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04F4B" w14:textId="7A8E7716" w:rsidR="00395B24" w:rsidRDefault="00DA4B24" w:rsidP="00A22932">
      <w:pPr>
        <w:pStyle w:val="CourtTitle"/>
      </w:pPr>
      <w:r>
        <w:fldChar w:fldCharType="begin"/>
      </w:r>
      <w:r>
        <w:instrText>DOCPROPERTY  Court  \* MERGEFORMAT</w:instrText>
      </w:r>
      <w:r>
        <w:fldChar w:fldCharType="separate"/>
      </w:r>
      <w:r w:rsidR="00E72A90">
        <w:t>Federal Court of Australia</w:t>
      </w:r>
      <w:r>
        <w:fldChar w:fldCharType="end"/>
      </w:r>
    </w:p>
    <w:p w14:paraId="35A833F8" w14:textId="77777777" w:rsidR="004D7950" w:rsidRDefault="004D7950">
      <w:pPr>
        <w:pStyle w:val="NormalHeadings"/>
        <w:jc w:val="center"/>
        <w:rPr>
          <w:sz w:val="32"/>
        </w:rPr>
      </w:pPr>
    </w:p>
    <w:bookmarkStart w:id="0" w:name="MNC"/>
    <w:p w14:paraId="10DE8551" w14:textId="77CD98BB" w:rsidR="00374CC4" w:rsidRDefault="00DA4B24" w:rsidP="001A2B40">
      <w:pPr>
        <w:pStyle w:val="MNC"/>
      </w:pPr>
      <w:sdt>
        <w:sdtPr>
          <w:alias w:val="MNC"/>
          <w:tag w:val="MNC"/>
          <w:id w:val="343289786"/>
          <w:lock w:val="sdtLocked"/>
          <w:placeholder>
            <w:docPart w:val="990F6909A8914B898AFE42EA400578D1"/>
          </w:placeholder>
          <w:dataBinding w:prefixMappings="xmlns:ns0='http://schemas.globalmacros.com/FCA'" w:xpath="/ns0:root[1]/ns0:Name[1]" w:storeItemID="{687E7CCB-4AA5-44E7-B148-17BA2B6F57C0}"/>
          <w:text w:multiLine="1"/>
        </w:sdtPr>
        <w:sdtEndPr/>
        <w:sdtContent>
          <w:r w:rsidR="003503EC">
            <w:t xml:space="preserve">Australian Securities and Investments Commission v </w:t>
          </w:r>
          <w:proofErr w:type="spellStart"/>
          <w:r w:rsidR="003503EC">
            <w:t>Holista</w:t>
          </w:r>
          <w:proofErr w:type="spellEnd"/>
          <w:r w:rsidR="003503EC">
            <w:t xml:space="preserve"> </w:t>
          </w:r>
          <w:proofErr w:type="spellStart"/>
          <w:r w:rsidR="003503EC">
            <w:t>Colltech</w:t>
          </w:r>
          <w:proofErr w:type="spellEnd"/>
          <w:r w:rsidR="003503EC">
            <w:t xml:space="preserve"> Ltd [2024] FCA 244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7FE16FDB" w14:textId="77777777" w:rsidTr="009A689C">
        <w:tc>
          <w:tcPr>
            <w:tcW w:w="3084" w:type="dxa"/>
            <w:shd w:val="clear" w:color="auto" w:fill="auto"/>
          </w:tcPr>
          <w:p w14:paraId="0427BE94" w14:textId="626EFFB8" w:rsidR="00395B24" w:rsidRDefault="002C7385" w:rsidP="00663878">
            <w:pPr>
              <w:pStyle w:val="Normal1linespace"/>
              <w:widowControl w:val="0"/>
              <w:jc w:val="left"/>
            </w:pPr>
            <w:r>
              <w:t>File number:</w:t>
            </w:r>
          </w:p>
        </w:tc>
        <w:tc>
          <w:tcPr>
            <w:tcW w:w="5989" w:type="dxa"/>
            <w:shd w:val="clear" w:color="auto" w:fill="auto"/>
          </w:tcPr>
          <w:p w14:paraId="03C6E23A" w14:textId="78FD2C7E" w:rsidR="00395B24" w:rsidRPr="00E72A90" w:rsidRDefault="00DA4B24" w:rsidP="00E72A90">
            <w:pPr>
              <w:pStyle w:val="Normal1linespace"/>
              <w:jc w:val="left"/>
            </w:pPr>
            <w:r>
              <w:fldChar w:fldCharType="begin" w:fldLock="1"/>
            </w:r>
            <w:r>
              <w:instrText>REF  FileNo  \* MERGEFORMAT</w:instrText>
            </w:r>
            <w:r>
              <w:fldChar w:fldCharType="separate"/>
            </w:r>
            <w:r w:rsidR="00E72A90" w:rsidRPr="00E72A90">
              <w:t>WAD 177 of 2021</w:t>
            </w:r>
            <w:r>
              <w:fldChar w:fldCharType="end"/>
            </w:r>
          </w:p>
        </w:tc>
      </w:tr>
      <w:tr w:rsidR="00395B24" w14:paraId="576E6C55" w14:textId="77777777" w:rsidTr="009A689C">
        <w:tc>
          <w:tcPr>
            <w:tcW w:w="3084" w:type="dxa"/>
            <w:shd w:val="clear" w:color="auto" w:fill="auto"/>
          </w:tcPr>
          <w:p w14:paraId="068D2BE2" w14:textId="77777777" w:rsidR="00395B24" w:rsidRDefault="00395B24" w:rsidP="00663878">
            <w:pPr>
              <w:pStyle w:val="Normal1linespace"/>
              <w:widowControl w:val="0"/>
              <w:jc w:val="left"/>
            </w:pPr>
          </w:p>
        </w:tc>
        <w:tc>
          <w:tcPr>
            <w:tcW w:w="5989" w:type="dxa"/>
            <w:shd w:val="clear" w:color="auto" w:fill="auto"/>
          </w:tcPr>
          <w:p w14:paraId="70D9325F" w14:textId="77777777" w:rsidR="00395B24" w:rsidRDefault="00395B24" w:rsidP="00663878">
            <w:pPr>
              <w:pStyle w:val="Normal1linespace"/>
              <w:widowControl w:val="0"/>
              <w:jc w:val="left"/>
            </w:pPr>
          </w:p>
        </w:tc>
      </w:tr>
      <w:tr w:rsidR="00395B24" w14:paraId="5C518829" w14:textId="77777777" w:rsidTr="009A689C">
        <w:tc>
          <w:tcPr>
            <w:tcW w:w="3084" w:type="dxa"/>
            <w:shd w:val="clear" w:color="auto" w:fill="auto"/>
          </w:tcPr>
          <w:p w14:paraId="423EE29A"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0188131A" w14:textId="31522E98" w:rsidR="00395B24" w:rsidRDefault="002C7385" w:rsidP="00663878">
            <w:pPr>
              <w:pStyle w:val="Normal1linespace"/>
              <w:widowControl w:val="0"/>
              <w:jc w:val="left"/>
              <w:rPr>
                <w:b/>
              </w:rPr>
            </w:pPr>
            <w:r w:rsidRPr="00E72A90">
              <w:rPr>
                <w:b/>
              </w:rPr>
              <w:fldChar w:fldCharType="begin" w:fldLock="1"/>
            </w:r>
            <w:r w:rsidRPr="00E72A90">
              <w:rPr>
                <w:b/>
              </w:rPr>
              <w:instrText xml:space="preserve"> REF  Judge  \* MERGEFORMAT </w:instrText>
            </w:r>
            <w:r w:rsidRPr="00E72A90">
              <w:rPr>
                <w:b/>
              </w:rPr>
              <w:fldChar w:fldCharType="separate"/>
            </w:r>
            <w:r w:rsidR="00E72A90" w:rsidRPr="00E72A90">
              <w:rPr>
                <w:b/>
                <w:caps/>
                <w:szCs w:val="24"/>
              </w:rPr>
              <w:t>SARAH C DERRINGTON J</w:t>
            </w:r>
            <w:r w:rsidRPr="00E72A90">
              <w:rPr>
                <w:b/>
              </w:rPr>
              <w:fldChar w:fldCharType="end"/>
            </w:r>
          </w:p>
        </w:tc>
      </w:tr>
      <w:tr w:rsidR="00395B24" w14:paraId="3BBB5DBA" w14:textId="77777777" w:rsidTr="009A689C">
        <w:tc>
          <w:tcPr>
            <w:tcW w:w="3084" w:type="dxa"/>
            <w:shd w:val="clear" w:color="auto" w:fill="auto"/>
          </w:tcPr>
          <w:p w14:paraId="3EE1842F" w14:textId="77777777" w:rsidR="00395B24" w:rsidRDefault="00395B24" w:rsidP="00663878">
            <w:pPr>
              <w:pStyle w:val="Normal1linespace"/>
              <w:widowControl w:val="0"/>
              <w:jc w:val="left"/>
            </w:pPr>
          </w:p>
        </w:tc>
        <w:tc>
          <w:tcPr>
            <w:tcW w:w="5989" w:type="dxa"/>
            <w:shd w:val="clear" w:color="auto" w:fill="auto"/>
          </w:tcPr>
          <w:p w14:paraId="6C98C49B" w14:textId="77777777" w:rsidR="00395B24" w:rsidRDefault="00395B24" w:rsidP="00663878">
            <w:pPr>
              <w:pStyle w:val="Normal1linespace"/>
              <w:widowControl w:val="0"/>
              <w:jc w:val="left"/>
            </w:pPr>
          </w:p>
        </w:tc>
      </w:tr>
      <w:tr w:rsidR="00395B24" w14:paraId="34A5F8A1" w14:textId="77777777" w:rsidTr="009A689C">
        <w:tc>
          <w:tcPr>
            <w:tcW w:w="3084" w:type="dxa"/>
            <w:shd w:val="clear" w:color="auto" w:fill="auto"/>
          </w:tcPr>
          <w:p w14:paraId="1E07864F" w14:textId="77777777" w:rsidR="00395B24" w:rsidRDefault="002C7385" w:rsidP="00663878">
            <w:pPr>
              <w:pStyle w:val="Normal1linespace"/>
              <w:widowControl w:val="0"/>
              <w:jc w:val="left"/>
            </w:pPr>
            <w:r>
              <w:t>Date of judgment:</w:t>
            </w:r>
          </w:p>
        </w:tc>
        <w:tc>
          <w:tcPr>
            <w:tcW w:w="5989" w:type="dxa"/>
            <w:shd w:val="clear" w:color="auto" w:fill="auto"/>
          </w:tcPr>
          <w:p w14:paraId="21B84118" w14:textId="6B9BF0AD" w:rsidR="00395B24" w:rsidRDefault="00721DC4" w:rsidP="00663878">
            <w:pPr>
              <w:pStyle w:val="Normal1linespace"/>
              <w:widowControl w:val="0"/>
              <w:jc w:val="left"/>
            </w:pPr>
            <w:bookmarkStart w:id="1" w:name="JudgmentDate"/>
            <w:bookmarkEnd w:id="1"/>
            <w:r>
              <w:t>19 March 2024</w:t>
            </w:r>
          </w:p>
        </w:tc>
      </w:tr>
      <w:tr w:rsidR="00395B24" w14:paraId="2F386359" w14:textId="77777777" w:rsidTr="009A689C">
        <w:tc>
          <w:tcPr>
            <w:tcW w:w="3084" w:type="dxa"/>
            <w:shd w:val="clear" w:color="auto" w:fill="auto"/>
          </w:tcPr>
          <w:p w14:paraId="5E401A31" w14:textId="77777777" w:rsidR="00395B24" w:rsidRDefault="00395B24" w:rsidP="00663878">
            <w:pPr>
              <w:pStyle w:val="Normal1linespace"/>
              <w:widowControl w:val="0"/>
              <w:jc w:val="left"/>
            </w:pPr>
          </w:p>
        </w:tc>
        <w:tc>
          <w:tcPr>
            <w:tcW w:w="5989" w:type="dxa"/>
            <w:shd w:val="clear" w:color="auto" w:fill="auto"/>
          </w:tcPr>
          <w:p w14:paraId="5C39C49B" w14:textId="77777777" w:rsidR="00395B24" w:rsidRDefault="00395B24" w:rsidP="00663878">
            <w:pPr>
              <w:pStyle w:val="Normal1linespace"/>
              <w:widowControl w:val="0"/>
              <w:jc w:val="left"/>
            </w:pPr>
          </w:p>
        </w:tc>
      </w:tr>
      <w:tr w:rsidR="00395B24" w14:paraId="272C0DF3" w14:textId="77777777" w:rsidTr="009A689C">
        <w:tc>
          <w:tcPr>
            <w:tcW w:w="3084" w:type="dxa"/>
            <w:shd w:val="clear" w:color="auto" w:fill="auto"/>
          </w:tcPr>
          <w:p w14:paraId="21481C89" w14:textId="77777777" w:rsidR="00395B24" w:rsidRDefault="002C7385" w:rsidP="00663878">
            <w:pPr>
              <w:pStyle w:val="Normal1linespace"/>
              <w:widowControl w:val="0"/>
              <w:jc w:val="left"/>
            </w:pPr>
            <w:r>
              <w:t>Catchwords:</w:t>
            </w:r>
          </w:p>
        </w:tc>
        <w:tc>
          <w:tcPr>
            <w:tcW w:w="5989" w:type="dxa"/>
            <w:shd w:val="clear" w:color="auto" w:fill="auto"/>
          </w:tcPr>
          <w:p w14:paraId="6FEB8D64" w14:textId="5B6E2506" w:rsidR="00395B24" w:rsidRDefault="00D30029" w:rsidP="00303E6B">
            <w:pPr>
              <w:pStyle w:val="Normal1linespace"/>
              <w:widowControl w:val="0"/>
              <w:jc w:val="left"/>
            </w:pPr>
            <w:bookmarkStart w:id="2" w:name="Catchwords"/>
            <w:r w:rsidRPr="00D30029">
              <w:rPr>
                <w:b/>
                <w:bCs/>
              </w:rPr>
              <w:t>CORPORATIONS</w:t>
            </w:r>
            <w:r>
              <w:t xml:space="preserve"> – </w:t>
            </w:r>
            <w:r w:rsidR="00412756">
              <w:t>alleged contraventions of ss 674(2) and 1041H(1)</w:t>
            </w:r>
            <w:r w:rsidR="00173969">
              <w:t xml:space="preserve"> </w:t>
            </w:r>
            <w:r w:rsidR="00B91428">
              <w:t xml:space="preserve">of the </w:t>
            </w:r>
            <w:r w:rsidR="00B91428" w:rsidRPr="00F83532">
              <w:rPr>
                <w:b/>
                <w:bCs/>
                <w:i/>
                <w:iCs/>
              </w:rPr>
              <w:t>Corporations Act</w:t>
            </w:r>
            <w:r w:rsidR="00B91428" w:rsidRPr="00B91428">
              <w:rPr>
                <w:i/>
                <w:iCs/>
              </w:rPr>
              <w:t xml:space="preserve"> 2001</w:t>
            </w:r>
            <w:r w:rsidR="00B91428">
              <w:t xml:space="preserve"> (</w:t>
            </w:r>
            <w:proofErr w:type="spellStart"/>
            <w:r w:rsidR="00B91428">
              <w:t>Cth</w:t>
            </w:r>
            <w:proofErr w:type="spellEnd"/>
            <w:r w:rsidR="00B91428">
              <w:t xml:space="preserve">) </w:t>
            </w:r>
            <w:r w:rsidR="00173969">
              <w:t xml:space="preserve">– </w:t>
            </w:r>
            <w:r w:rsidR="004B2EF0">
              <w:t xml:space="preserve">where company failed to notify the Australian Securities Exchange of </w:t>
            </w:r>
            <w:r w:rsidR="00752C9D">
              <w:t xml:space="preserve">certain information in breach of continuous disclosure obligations – </w:t>
            </w:r>
            <w:r w:rsidR="00BD4555">
              <w:t xml:space="preserve">where company </w:t>
            </w:r>
            <w:r w:rsidR="00303E6B">
              <w:t>engaged in conduct, in relation to a financial product or a financial service, that was misleading or deceptive, or likely to mislead or</w:t>
            </w:r>
            <w:r w:rsidR="00E962F7">
              <w:t xml:space="preserve"> </w:t>
            </w:r>
            <w:r w:rsidR="00303E6B">
              <w:t>deceive</w:t>
            </w:r>
            <w:r w:rsidR="00BD4555">
              <w:t xml:space="preserve"> </w:t>
            </w:r>
            <w:r w:rsidR="00E962F7">
              <w:t xml:space="preserve">– </w:t>
            </w:r>
            <w:r w:rsidR="00301046">
              <w:t>whether company knew if non-disclosed information</w:t>
            </w:r>
            <w:r w:rsidR="00301046" w:rsidRPr="004D3D7A">
              <w:t xml:space="preserve"> would, if generally available, have a material effect on the price or value of the</w:t>
            </w:r>
            <w:r w:rsidR="00301046">
              <w:t xml:space="preserve"> company</w:t>
            </w:r>
            <w:r w:rsidR="00301046" w:rsidRPr="004D3D7A">
              <w:t xml:space="preserve"> shares</w:t>
            </w:r>
            <w:r w:rsidR="00301046">
              <w:t xml:space="preserve"> – </w:t>
            </w:r>
            <w:r w:rsidR="00F83532">
              <w:t xml:space="preserve">application </w:t>
            </w:r>
            <w:r w:rsidR="00F83532" w:rsidRPr="00F83532">
              <w:t xml:space="preserve">for declaratory relief </w:t>
            </w:r>
            <w:r w:rsidR="00F83532">
              <w:t>under</w:t>
            </w:r>
            <w:r w:rsidR="00F83532" w:rsidRPr="00F83532">
              <w:t xml:space="preserve"> s 1317E of the </w:t>
            </w:r>
            <w:r w:rsidR="00F83532" w:rsidRPr="00F83532">
              <w:rPr>
                <w:i/>
                <w:iCs/>
              </w:rPr>
              <w:t>Corporations Act</w:t>
            </w:r>
            <w:r w:rsidR="00F83532">
              <w:t xml:space="preserve"> </w:t>
            </w:r>
            <w:r w:rsidR="00F83532" w:rsidRPr="00F83532">
              <w:t xml:space="preserve">or s 21 of the </w:t>
            </w:r>
            <w:r w:rsidR="00F83532" w:rsidRPr="00F83532">
              <w:rPr>
                <w:i/>
                <w:iCs/>
              </w:rPr>
              <w:t>Federal Court of Australia Act 1976</w:t>
            </w:r>
            <w:r w:rsidR="00F83532" w:rsidRPr="00F83532">
              <w:t xml:space="preserve"> (</w:t>
            </w:r>
            <w:proofErr w:type="spellStart"/>
            <w:r w:rsidR="00F83532" w:rsidRPr="00F83532">
              <w:t>Cth</w:t>
            </w:r>
            <w:proofErr w:type="spellEnd"/>
            <w:r w:rsidR="00F83532" w:rsidRPr="00F83532">
              <w:t xml:space="preserve">) </w:t>
            </w:r>
            <w:r w:rsidR="00F83532">
              <w:t>–</w:t>
            </w:r>
            <w:r w:rsidR="00183E16">
              <w:t xml:space="preserve"> determination of appropriate penalty</w:t>
            </w:r>
            <w:r w:rsidR="00F450E7">
              <w:t xml:space="preserve"> </w:t>
            </w:r>
            <w:r w:rsidR="00225166">
              <w:t>under</w:t>
            </w:r>
            <w:r w:rsidR="00F450E7">
              <w:t xml:space="preserve"> s 1317G of the </w:t>
            </w:r>
            <w:r w:rsidR="00F450E7" w:rsidRPr="00F450E7">
              <w:rPr>
                <w:i/>
                <w:iCs/>
              </w:rPr>
              <w:t>Corporations Act</w:t>
            </w:r>
            <w:r w:rsidR="002C7385">
              <w:t xml:space="preserve"> </w:t>
            </w:r>
            <w:bookmarkEnd w:id="2"/>
          </w:p>
          <w:p w14:paraId="16179039" w14:textId="77777777" w:rsidR="00E51CB7" w:rsidRDefault="00E51CB7" w:rsidP="00303E6B">
            <w:pPr>
              <w:pStyle w:val="Normal1linespace"/>
              <w:widowControl w:val="0"/>
              <w:jc w:val="left"/>
            </w:pPr>
          </w:p>
          <w:p w14:paraId="667B6705" w14:textId="241FE00D" w:rsidR="00E51CB7" w:rsidRPr="00F450E7" w:rsidRDefault="00E51CB7" w:rsidP="00F04170">
            <w:pPr>
              <w:pStyle w:val="Normal1linespace"/>
              <w:widowControl w:val="0"/>
              <w:jc w:val="left"/>
            </w:pPr>
            <w:r w:rsidRPr="00E51CB7">
              <w:rPr>
                <w:b/>
                <w:bCs/>
              </w:rPr>
              <w:t>DIRECTORS’ DUTIES</w:t>
            </w:r>
            <w:r>
              <w:t xml:space="preserve"> – </w:t>
            </w:r>
            <w:r w:rsidR="008708B3">
              <w:t>alleged contraventions of s</w:t>
            </w:r>
            <w:r w:rsidR="008708B3" w:rsidRPr="008708B3">
              <w:t>s 180(1)</w:t>
            </w:r>
            <w:r w:rsidR="002144FD">
              <w:t>,</w:t>
            </w:r>
            <w:r w:rsidR="008708B3">
              <w:t xml:space="preserve"> </w:t>
            </w:r>
            <w:r w:rsidR="00FC2FEF">
              <w:t xml:space="preserve">and </w:t>
            </w:r>
            <w:r w:rsidR="00FC2FEF" w:rsidRPr="00FC2FEF">
              <w:t>1309(2)</w:t>
            </w:r>
            <w:r w:rsidR="00183E16">
              <w:t xml:space="preserve"> or 1309</w:t>
            </w:r>
            <w:r w:rsidR="00FC2FEF" w:rsidRPr="00FC2FEF">
              <w:t>(12)</w:t>
            </w:r>
            <w:r w:rsidR="00183E16">
              <w:t xml:space="preserve"> of the </w:t>
            </w:r>
            <w:r w:rsidR="00183E16" w:rsidRPr="00183E16">
              <w:rPr>
                <w:i/>
                <w:iCs/>
              </w:rPr>
              <w:t>Corporations Act</w:t>
            </w:r>
            <w:r w:rsidR="00FC2FEF" w:rsidRPr="00FC2FEF">
              <w:t xml:space="preserve"> </w:t>
            </w:r>
            <w:r w:rsidR="008708B3">
              <w:t xml:space="preserve">– </w:t>
            </w:r>
            <w:r w:rsidR="00F04170">
              <w:t xml:space="preserve">whether </w:t>
            </w:r>
            <w:r w:rsidR="00656DBE">
              <w:t xml:space="preserve">director made </w:t>
            </w:r>
            <w:r w:rsidR="00F04170">
              <w:t xml:space="preserve">available or </w:t>
            </w:r>
            <w:r w:rsidR="00656DBE">
              <w:t>gave</w:t>
            </w:r>
            <w:r w:rsidR="00F04170">
              <w:t>, or alternatively</w:t>
            </w:r>
            <w:r w:rsidR="000F1166">
              <w:t xml:space="preserve"> </w:t>
            </w:r>
            <w:r w:rsidR="00F04170">
              <w:t>authoris</w:t>
            </w:r>
            <w:r w:rsidR="00656DBE">
              <w:t>ed</w:t>
            </w:r>
            <w:r w:rsidR="00F04170">
              <w:t xml:space="preserve"> or </w:t>
            </w:r>
            <w:r w:rsidR="00656DBE">
              <w:t>permitted</w:t>
            </w:r>
            <w:r w:rsidR="00F04170">
              <w:t xml:space="preserve"> the making available or giving of</w:t>
            </w:r>
            <w:r w:rsidR="00157F75">
              <w:t>,</w:t>
            </w:r>
            <w:r w:rsidR="000F1166">
              <w:t xml:space="preserve"> </w:t>
            </w:r>
            <w:r w:rsidR="00F04170">
              <w:t xml:space="preserve">information related to the affairs of the </w:t>
            </w:r>
            <w:r w:rsidR="000F1166">
              <w:t xml:space="preserve">company </w:t>
            </w:r>
            <w:r w:rsidR="00F04170">
              <w:t xml:space="preserve">and that was false or misleading in a material particular </w:t>
            </w:r>
            <w:r w:rsidR="000F1166">
              <w:t xml:space="preserve">– </w:t>
            </w:r>
            <w:r w:rsidR="00F450E7">
              <w:t>attribution</w:t>
            </w:r>
            <w:r w:rsidR="00183E16">
              <w:t xml:space="preserve"> of knowledge or recklessness of director to conduct of the company –</w:t>
            </w:r>
            <w:r w:rsidR="00215768">
              <w:t xml:space="preserve"> </w:t>
            </w:r>
            <w:r>
              <w:t xml:space="preserve">disqualification order under s 206C(1) of the </w:t>
            </w:r>
            <w:r w:rsidRPr="00B91428">
              <w:rPr>
                <w:i/>
                <w:iCs/>
              </w:rPr>
              <w:t>Corporations Act</w:t>
            </w:r>
            <w:r w:rsidR="00215768">
              <w:t xml:space="preserve"> – determination of appropriate penalty under s 1317G of the </w:t>
            </w:r>
            <w:r w:rsidR="00215768" w:rsidRPr="00A73514">
              <w:rPr>
                <w:i/>
                <w:iCs/>
              </w:rPr>
              <w:t>Corporations Act</w:t>
            </w:r>
          </w:p>
        </w:tc>
      </w:tr>
      <w:tr w:rsidR="00395B24" w14:paraId="4D1B6C06" w14:textId="77777777" w:rsidTr="009A689C">
        <w:tc>
          <w:tcPr>
            <w:tcW w:w="3084" w:type="dxa"/>
            <w:shd w:val="clear" w:color="auto" w:fill="auto"/>
          </w:tcPr>
          <w:p w14:paraId="601FE2AA" w14:textId="77777777" w:rsidR="00395B24" w:rsidRDefault="00395B24" w:rsidP="00663878">
            <w:pPr>
              <w:pStyle w:val="Normal1linespace"/>
              <w:widowControl w:val="0"/>
              <w:jc w:val="left"/>
            </w:pPr>
          </w:p>
        </w:tc>
        <w:tc>
          <w:tcPr>
            <w:tcW w:w="5989" w:type="dxa"/>
            <w:shd w:val="clear" w:color="auto" w:fill="auto"/>
          </w:tcPr>
          <w:p w14:paraId="42478739" w14:textId="77777777" w:rsidR="00395B24" w:rsidRDefault="00395B24" w:rsidP="00663878">
            <w:pPr>
              <w:pStyle w:val="Normal1linespace"/>
              <w:widowControl w:val="0"/>
              <w:jc w:val="left"/>
            </w:pPr>
          </w:p>
        </w:tc>
      </w:tr>
      <w:tr w:rsidR="00395B24" w14:paraId="2C3D0FCE" w14:textId="77777777" w:rsidTr="009A689C">
        <w:tc>
          <w:tcPr>
            <w:tcW w:w="3084" w:type="dxa"/>
            <w:shd w:val="clear" w:color="auto" w:fill="auto"/>
          </w:tcPr>
          <w:p w14:paraId="300C059C" w14:textId="77777777" w:rsidR="00395B24" w:rsidRDefault="002C7385" w:rsidP="00663878">
            <w:pPr>
              <w:pStyle w:val="Normal1linespace"/>
              <w:widowControl w:val="0"/>
              <w:jc w:val="left"/>
            </w:pPr>
            <w:r>
              <w:t>Legislation:</w:t>
            </w:r>
          </w:p>
        </w:tc>
        <w:tc>
          <w:tcPr>
            <w:tcW w:w="5989" w:type="dxa"/>
            <w:shd w:val="clear" w:color="auto" w:fill="auto"/>
          </w:tcPr>
          <w:p w14:paraId="79EABAAD" w14:textId="060B3E1C" w:rsidR="00533826" w:rsidRDefault="00533826" w:rsidP="006941F0">
            <w:pPr>
              <w:pStyle w:val="CasesLegislationAppealFrom"/>
              <w:spacing w:after="60"/>
            </w:pPr>
            <w:bookmarkStart w:id="3" w:name="Legislation"/>
            <w:r w:rsidRPr="006941F0">
              <w:rPr>
                <w:i/>
              </w:rPr>
              <w:t>Australian Securities and Investments Commission Act 2001</w:t>
            </w:r>
            <w:r w:rsidRPr="006941F0">
              <w:t xml:space="preserve"> (</w:t>
            </w:r>
            <w:proofErr w:type="spellStart"/>
            <w:r w:rsidRPr="006941F0">
              <w:t>Cth</w:t>
            </w:r>
            <w:proofErr w:type="spellEnd"/>
            <w:r w:rsidRPr="006941F0">
              <w:t>) s</w:t>
            </w:r>
            <w:r w:rsidR="002F3BA8">
              <w:t>s</w:t>
            </w:r>
            <w:r w:rsidR="00C624D7">
              <w:t xml:space="preserve"> 1(2)(b),</w:t>
            </w:r>
            <w:r w:rsidR="00535D2C">
              <w:t xml:space="preserve"> 1(2)(g),</w:t>
            </w:r>
            <w:r w:rsidRPr="006941F0">
              <w:t xml:space="preserve"> 12GBA</w:t>
            </w:r>
          </w:p>
          <w:p w14:paraId="43F1196C" w14:textId="77777777" w:rsidR="00C23DDC" w:rsidRDefault="00145B42" w:rsidP="006941F0">
            <w:pPr>
              <w:pStyle w:val="CasesLegislationAppealFrom"/>
              <w:spacing w:after="60"/>
            </w:pPr>
            <w:r>
              <w:rPr>
                <w:i/>
                <w:iCs/>
              </w:rPr>
              <w:t xml:space="preserve">Crimes Act </w:t>
            </w:r>
            <w:r w:rsidR="007B7570">
              <w:rPr>
                <w:i/>
                <w:iCs/>
              </w:rPr>
              <w:t xml:space="preserve">1958 </w:t>
            </w:r>
            <w:r w:rsidR="00C23DDC">
              <w:t>(</w:t>
            </w:r>
            <w:proofErr w:type="spellStart"/>
            <w:r w:rsidR="00C23DDC">
              <w:t>Cth</w:t>
            </w:r>
            <w:proofErr w:type="spellEnd"/>
            <w:r w:rsidR="00C23DDC">
              <w:t>) s 4AA</w:t>
            </w:r>
          </w:p>
          <w:p w14:paraId="514A6670" w14:textId="62431E5F" w:rsidR="00533826" w:rsidRDefault="00533826" w:rsidP="006941F0">
            <w:pPr>
              <w:pStyle w:val="CasesLegislationAppealFrom"/>
              <w:spacing w:after="60"/>
            </w:pPr>
            <w:r w:rsidRPr="005839E6">
              <w:rPr>
                <w:i/>
                <w:iCs/>
              </w:rPr>
              <w:t xml:space="preserve">Criminal </w:t>
            </w:r>
            <w:r w:rsidRPr="00150313">
              <w:rPr>
                <w:i/>
                <w:iCs/>
              </w:rPr>
              <w:t>Code Act 1995</w:t>
            </w:r>
            <w:r w:rsidRPr="00150313">
              <w:t xml:space="preserve"> (</w:t>
            </w:r>
            <w:proofErr w:type="spellStart"/>
            <w:r w:rsidRPr="00150313">
              <w:t>Cth</w:t>
            </w:r>
            <w:proofErr w:type="spellEnd"/>
            <w:r w:rsidRPr="00150313">
              <w:t>)</w:t>
            </w:r>
            <w:r w:rsidR="008F23FF">
              <w:t xml:space="preserve"> Sch </w:t>
            </w:r>
            <w:r w:rsidR="008F23FF" w:rsidRPr="004D2E10">
              <w:rPr>
                <w:i/>
              </w:rPr>
              <w:t>Criminal Code</w:t>
            </w:r>
            <w:r w:rsidR="008F23FF">
              <w:t xml:space="preserve"> ss 5.2, 5.3</w:t>
            </w:r>
            <w:r w:rsidR="00F97125">
              <w:t>, 5.4</w:t>
            </w:r>
          </w:p>
          <w:p w14:paraId="11EA607F" w14:textId="6784A281" w:rsidR="00533826" w:rsidRDefault="00533826" w:rsidP="006941F0">
            <w:pPr>
              <w:pStyle w:val="CasesLegislationAppealFrom"/>
              <w:spacing w:after="60"/>
            </w:pPr>
            <w:r w:rsidRPr="006941F0">
              <w:rPr>
                <w:i/>
                <w:iCs/>
              </w:rPr>
              <w:t>Corporations Act 2001</w:t>
            </w:r>
            <w:r w:rsidRPr="006941F0">
              <w:t xml:space="preserve"> (</w:t>
            </w:r>
            <w:proofErr w:type="spellStart"/>
            <w:r w:rsidRPr="006941F0">
              <w:t>Cth</w:t>
            </w:r>
            <w:proofErr w:type="spellEnd"/>
            <w:r w:rsidRPr="006941F0">
              <w:t>) ss 9, 92,111</w:t>
            </w:r>
            <w:proofErr w:type="gramStart"/>
            <w:r w:rsidRPr="006941F0">
              <w:t>AD(</w:t>
            </w:r>
            <w:proofErr w:type="gramEnd"/>
            <w:r w:rsidRPr="006941F0">
              <w:t xml:space="preserve">1), 111AK, 180(1), 206C(1), 674(2), 674A, 675, 675A,  676, 677, 727, 728, 761A, </w:t>
            </w:r>
            <w:r>
              <w:t xml:space="preserve">764A, </w:t>
            </w:r>
            <w:r w:rsidRPr="006941F0">
              <w:t>1041H(1), 1211B, 1309(2)/(12), 1311(1), 1317E, 1317F, 1317G(1)</w:t>
            </w:r>
          </w:p>
          <w:p w14:paraId="3BDD5CBF" w14:textId="363BD8CA" w:rsidR="00533826" w:rsidRDefault="00533826" w:rsidP="006941F0">
            <w:pPr>
              <w:pStyle w:val="CasesLegislationAppealFrom"/>
              <w:spacing w:after="60"/>
            </w:pPr>
            <w:r w:rsidRPr="006941F0">
              <w:rPr>
                <w:i/>
                <w:iCs/>
              </w:rPr>
              <w:t>Evidence Act 1995</w:t>
            </w:r>
            <w:r w:rsidRPr="006941F0">
              <w:t xml:space="preserve"> (</w:t>
            </w:r>
            <w:proofErr w:type="spellStart"/>
            <w:r w:rsidRPr="006941F0">
              <w:t>Cth</w:t>
            </w:r>
            <w:proofErr w:type="spellEnd"/>
            <w:r w:rsidRPr="006941F0">
              <w:t xml:space="preserve">) s </w:t>
            </w:r>
            <w:proofErr w:type="gramStart"/>
            <w:r w:rsidRPr="006941F0">
              <w:t>191</w:t>
            </w:r>
            <w:proofErr w:type="gramEnd"/>
          </w:p>
          <w:p w14:paraId="2442613C" w14:textId="2198F146" w:rsidR="00533826" w:rsidRDefault="00533826" w:rsidP="006941F0">
            <w:pPr>
              <w:pStyle w:val="CasesLegislationAppealFrom"/>
              <w:spacing w:after="60"/>
              <w:rPr>
                <w:i/>
                <w:iCs/>
              </w:rPr>
            </w:pPr>
            <w:r>
              <w:rPr>
                <w:i/>
                <w:iCs/>
              </w:rPr>
              <w:lastRenderedPageBreak/>
              <w:t xml:space="preserve">Fair Work Act 2009 </w:t>
            </w:r>
            <w:r>
              <w:t>(</w:t>
            </w:r>
            <w:proofErr w:type="spellStart"/>
            <w:r>
              <w:t>Cth</w:t>
            </w:r>
            <w:proofErr w:type="spellEnd"/>
            <w:r>
              <w:t>) s 546</w:t>
            </w:r>
          </w:p>
          <w:p w14:paraId="68542A63" w14:textId="7D4923AE" w:rsidR="002740B6" w:rsidRDefault="000C3FAA" w:rsidP="006941F0">
            <w:pPr>
              <w:pStyle w:val="CasesLegislationAppealFrom"/>
              <w:spacing w:after="60"/>
            </w:pPr>
            <w:r w:rsidRPr="006941F0">
              <w:rPr>
                <w:i/>
                <w:iCs/>
              </w:rPr>
              <w:t xml:space="preserve">Federal Court </w:t>
            </w:r>
            <w:r w:rsidR="00485C0A" w:rsidRPr="006941F0">
              <w:rPr>
                <w:i/>
                <w:iCs/>
              </w:rPr>
              <w:t>of Australia Act</w:t>
            </w:r>
            <w:r w:rsidR="000626A4" w:rsidRPr="006941F0">
              <w:rPr>
                <w:i/>
                <w:iCs/>
              </w:rPr>
              <w:t xml:space="preserve"> 1976</w:t>
            </w:r>
            <w:r w:rsidR="001407B7" w:rsidRPr="006941F0">
              <w:t xml:space="preserve"> (</w:t>
            </w:r>
            <w:proofErr w:type="spellStart"/>
            <w:r w:rsidR="001407B7" w:rsidRPr="006941F0">
              <w:t>Cth</w:t>
            </w:r>
            <w:proofErr w:type="spellEnd"/>
            <w:r w:rsidR="001407B7" w:rsidRPr="006941F0">
              <w:t>)</w:t>
            </w:r>
            <w:r w:rsidR="00715751" w:rsidRPr="006941F0">
              <w:t xml:space="preserve"> </w:t>
            </w:r>
            <w:r w:rsidR="000C3FA0" w:rsidRPr="006941F0">
              <w:t>s 21</w:t>
            </w:r>
          </w:p>
          <w:p w14:paraId="35186E5D" w14:textId="1113179E" w:rsidR="00294B2F" w:rsidRPr="00150313" w:rsidRDefault="00533826" w:rsidP="00294B2F">
            <w:pPr>
              <w:pStyle w:val="CasesLegislationAppealFrom"/>
              <w:spacing w:after="60"/>
            </w:pPr>
            <w:r w:rsidRPr="001B1290">
              <w:rPr>
                <w:i/>
                <w:iCs/>
              </w:rPr>
              <w:t>Strengthening Corporate and Financial S</w:t>
            </w:r>
            <w:r w:rsidRPr="006941F0">
              <w:rPr>
                <w:i/>
                <w:iCs/>
              </w:rPr>
              <w:t xml:space="preserve">ector Penalties Act </w:t>
            </w:r>
            <w:r w:rsidRPr="00721436">
              <w:rPr>
                <w:i/>
                <w:iCs/>
              </w:rPr>
              <w:t>2019</w:t>
            </w:r>
            <w:r w:rsidRPr="006941F0">
              <w:rPr>
                <w:i/>
                <w:iCs/>
              </w:rPr>
              <w:t xml:space="preserve"> </w:t>
            </w:r>
            <w:r w:rsidRPr="006941F0">
              <w:t>(</w:t>
            </w:r>
            <w:proofErr w:type="spellStart"/>
            <w:r w:rsidRPr="006941F0">
              <w:t>Cth</w:t>
            </w:r>
            <w:proofErr w:type="spellEnd"/>
            <w:r w:rsidRPr="006941F0">
              <w:t>)</w:t>
            </w:r>
          </w:p>
          <w:p w14:paraId="05DEAADF" w14:textId="2E9FE07B" w:rsidR="00294B2F" w:rsidRPr="0052534E" w:rsidRDefault="00294B2F" w:rsidP="00294B2F">
            <w:pPr>
              <w:pStyle w:val="CasesLegislationAppealFrom"/>
              <w:spacing w:after="60"/>
              <w:rPr>
                <w:highlight w:val="yellow"/>
              </w:rPr>
            </w:pPr>
            <w:r w:rsidRPr="00150313">
              <w:rPr>
                <w:i/>
                <w:iCs/>
              </w:rPr>
              <w:t xml:space="preserve">Treasury Laws Amendment (2021 Measures No.1) Act 2021 </w:t>
            </w:r>
            <w:r w:rsidRPr="00150313">
              <w:t>(</w:t>
            </w:r>
            <w:proofErr w:type="spellStart"/>
            <w:r w:rsidRPr="00150313">
              <w:t>Cth</w:t>
            </w:r>
            <w:proofErr w:type="spellEnd"/>
            <w:r w:rsidRPr="00150313">
              <w:t>) ss</w:t>
            </w:r>
            <w:r w:rsidR="005B30DF" w:rsidRPr="00150313">
              <w:t xml:space="preserve"> 674, 675,</w:t>
            </w:r>
            <w:r w:rsidRPr="00150313">
              <w:t xml:space="preserve"> 674A, 675A</w:t>
            </w:r>
          </w:p>
          <w:p w14:paraId="6AC1946E" w14:textId="77777777" w:rsidR="00067BFE" w:rsidRPr="006941F0" w:rsidRDefault="00067BFE" w:rsidP="006941F0">
            <w:pPr>
              <w:pStyle w:val="CasesLegislationAppealFrom"/>
              <w:spacing w:after="60"/>
            </w:pPr>
          </w:p>
          <w:p w14:paraId="58400CEF" w14:textId="52FE1B16" w:rsidR="006941F0" w:rsidRPr="006941F0" w:rsidRDefault="00477AFA" w:rsidP="006941F0">
            <w:pPr>
              <w:pStyle w:val="CasesLegislationAppealFrom"/>
              <w:spacing w:after="60"/>
            </w:pPr>
            <w:r w:rsidRPr="006941F0">
              <w:rPr>
                <w:i/>
                <w:iCs/>
              </w:rPr>
              <w:t>C</w:t>
            </w:r>
            <w:r w:rsidR="000811A4" w:rsidRPr="006941F0">
              <w:rPr>
                <w:i/>
                <w:iCs/>
              </w:rPr>
              <w:t>orporations (Coron</w:t>
            </w:r>
            <w:r w:rsidR="004C0EE8" w:rsidRPr="006941F0">
              <w:rPr>
                <w:i/>
                <w:iCs/>
              </w:rPr>
              <w:t xml:space="preserve">avirus Economic Response) Determination </w:t>
            </w:r>
            <w:r w:rsidR="003852B2" w:rsidRPr="006941F0">
              <w:rPr>
                <w:i/>
                <w:iCs/>
              </w:rPr>
              <w:t xml:space="preserve">(No. 2) 2020 </w:t>
            </w:r>
            <w:r w:rsidR="003852B2" w:rsidRPr="006941F0">
              <w:t>(</w:t>
            </w:r>
            <w:proofErr w:type="spellStart"/>
            <w:r w:rsidR="003852B2" w:rsidRPr="006941F0">
              <w:t>Cth</w:t>
            </w:r>
            <w:bookmarkEnd w:id="3"/>
            <w:proofErr w:type="spellEnd"/>
            <w:r w:rsidR="00516F6C">
              <w:t xml:space="preserve"> ss 5, 8</w:t>
            </w:r>
            <w:r w:rsidR="003852B2" w:rsidRPr="006941F0">
              <w:t>)</w:t>
            </w:r>
          </w:p>
        </w:tc>
      </w:tr>
      <w:tr w:rsidR="00395B24" w14:paraId="690F65A8" w14:textId="77777777" w:rsidTr="009A689C">
        <w:tc>
          <w:tcPr>
            <w:tcW w:w="3084" w:type="dxa"/>
            <w:shd w:val="clear" w:color="auto" w:fill="auto"/>
          </w:tcPr>
          <w:p w14:paraId="3D9429A7" w14:textId="77777777" w:rsidR="00395B24" w:rsidRDefault="00395B24" w:rsidP="00663878">
            <w:pPr>
              <w:pStyle w:val="Normal1linespace"/>
              <w:widowControl w:val="0"/>
              <w:jc w:val="left"/>
            </w:pPr>
          </w:p>
        </w:tc>
        <w:tc>
          <w:tcPr>
            <w:tcW w:w="5989" w:type="dxa"/>
            <w:shd w:val="clear" w:color="auto" w:fill="auto"/>
          </w:tcPr>
          <w:p w14:paraId="780EC102" w14:textId="77777777" w:rsidR="00395B24" w:rsidRDefault="00395B24" w:rsidP="00663878">
            <w:pPr>
              <w:pStyle w:val="Normal1linespace"/>
              <w:widowControl w:val="0"/>
              <w:jc w:val="left"/>
            </w:pPr>
          </w:p>
        </w:tc>
      </w:tr>
      <w:tr w:rsidR="00395B24" w14:paraId="05F5357A" w14:textId="77777777" w:rsidTr="009A689C">
        <w:tc>
          <w:tcPr>
            <w:tcW w:w="3084" w:type="dxa"/>
            <w:shd w:val="clear" w:color="auto" w:fill="auto"/>
          </w:tcPr>
          <w:p w14:paraId="0EBBC8A8" w14:textId="77777777" w:rsidR="00395B24" w:rsidRDefault="002C7385" w:rsidP="00663878">
            <w:pPr>
              <w:pStyle w:val="Normal1linespace"/>
              <w:widowControl w:val="0"/>
              <w:jc w:val="left"/>
            </w:pPr>
            <w:r w:rsidRPr="00014174">
              <w:t>Cases cited:</w:t>
            </w:r>
          </w:p>
        </w:tc>
        <w:tc>
          <w:tcPr>
            <w:tcW w:w="5989" w:type="dxa"/>
            <w:shd w:val="clear" w:color="auto" w:fill="auto"/>
          </w:tcPr>
          <w:p w14:paraId="28890C1A" w14:textId="2199923C" w:rsidR="0038774F" w:rsidRPr="00376D8E" w:rsidRDefault="0038774F" w:rsidP="00533826">
            <w:pPr>
              <w:pStyle w:val="CasesLegislationAppealFrom"/>
              <w:spacing w:after="60"/>
            </w:pPr>
            <w:bookmarkStart w:id="4" w:name="Cases_Cited"/>
            <w:r w:rsidRPr="00376D8E">
              <w:rPr>
                <w:i/>
              </w:rPr>
              <w:t>Australian Building and Construction Commissioner v Construction, Forestry, Mining and Energy Union</w:t>
            </w:r>
            <w:r w:rsidRPr="00376D8E">
              <w:t xml:space="preserve"> (2017) 254 FCR 68</w:t>
            </w:r>
            <w:r w:rsidRPr="00376D8E">
              <w:rPr>
                <w:i/>
              </w:rPr>
              <w:t xml:space="preserve"> </w:t>
            </w:r>
          </w:p>
          <w:p w14:paraId="04AED848" w14:textId="5B2BF7A2" w:rsidR="00383CD6" w:rsidRPr="00376D8E" w:rsidRDefault="00383CD6" w:rsidP="00533826">
            <w:pPr>
              <w:pStyle w:val="CasesLegislationAppealFrom"/>
              <w:spacing w:after="60"/>
            </w:pPr>
            <w:r w:rsidRPr="00376D8E">
              <w:rPr>
                <w:i/>
              </w:rPr>
              <w:t xml:space="preserve">Australian Building and Construction Commissioner v </w:t>
            </w:r>
            <w:r w:rsidRPr="00376D8E">
              <w:rPr>
                <w:i/>
                <w:iCs/>
              </w:rPr>
              <w:t>Pattinson</w:t>
            </w:r>
            <w:r w:rsidRPr="00376D8E">
              <w:t xml:space="preserve"> [2022] HCA 13; 274 CLR 450</w:t>
            </w:r>
          </w:p>
          <w:p w14:paraId="172E40A8" w14:textId="77777777" w:rsidR="001E611F" w:rsidRPr="00376D8E" w:rsidRDefault="001E611F" w:rsidP="00533826">
            <w:pPr>
              <w:pStyle w:val="ParaNumbering"/>
              <w:numPr>
                <w:ilvl w:val="0"/>
                <w:numId w:val="0"/>
              </w:numPr>
              <w:spacing w:before="0" w:after="60" w:line="240" w:lineRule="auto"/>
            </w:pPr>
            <w:r w:rsidRPr="00376D8E">
              <w:rPr>
                <w:i/>
                <w:iCs/>
              </w:rPr>
              <w:t xml:space="preserve">Australian Competition and Consumer Commission v Reckitt </w:t>
            </w:r>
            <w:proofErr w:type="spellStart"/>
            <w:r w:rsidRPr="00376D8E">
              <w:rPr>
                <w:i/>
                <w:iCs/>
              </w:rPr>
              <w:t>Benickser</w:t>
            </w:r>
            <w:proofErr w:type="spellEnd"/>
            <w:r w:rsidRPr="00376D8E">
              <w:rPr>
                <w:i/>
                <w:iCs/>
              </w:rPr>
              <w:t xml:space="preserve"> (Australia) Pty Ltd </w:t>
            </w:r>
            <w:r w:rsidRPr="00376D8E">
              <w:t xml:space="preserve">[2016] FCAFC 181; 340 ALR 25 </w:t>
            </w:r>
          </w:p>
          <w:p w14:paraId="60D90BDA" w14:textId="77777777" w:rsidR="0021114A" w:rsidRPr="00376D8E" w:rsidRDefault="0021114A" w:rsidP="00533826">
            <w:pPr>
              <w:pStyle w:val="CasesLegislationAppealFrom"/>
              <w:spacing w:after="60"/>
            </w:pPr>
            <w:r w:rsidRPr="00376D8E">
              <w:rPr>
                <w:i/>
                <w:iCs/>
              </w:rPr>
              <w:t>Australian Competition and Consumer Commission v High Adventure Pty Ltd</w:t>
            </w:r>
            <w:r w:rsidRPr="00376D8E">
              <w:t xml:space="preserve"> [2005] FCAFC 247; ATPR 42-091</w:t>
            </w:r>
          </w:p>
          <w:p w14:paraId="368ABE41" w14:textId="04EF0680" w:rsidR="003E0E17" w:rsidRPr="00376D8E" w:rsidRDefault="003E0E17" w:rsidP="00533826">
            <w:pPr>
              <w:pStyle w:val="CasesLegislationAppealFrom"/>
              <w:spacing w:after="60"/>
              <w:rPr>
                <w:szCs w:val="24"/>
              </w:rPr>
            </w:pPr>
            <w:r w:rsidRPr="00376D8E">
              <w:rPr>
                <w:i/>
                <w:iCs/>
                <w:szCs w:val="24"/>
              </w:rPr>
              <w:t>Australian Competition and Consumer Commission v Leahy Petroleum (No 2)</w:t>
            </w:r>
            <w:r w:rsidRPr="00376D8E">
              <w:rPr>
                <w:szCs w:val="24"/>
              </w:rPr>
              <w:t xml:space="preserve"> [2005] FCA 254; 215 ALR 281</w:t>
            </w:r>
          </w:p>
          <w:p w14:paraId="6D6564B0" w14:textId="0862ED72" w:rsidR="005400A9" w:rsidRPr="00376D8E" w:rsidRDefault="005400A9" w:rsidP="00533826">
            <w:pPr>
              <w:pStyle w:val="CasesLegislationAppealFrom"/>
              <w:spacing w:after="60"/>
            </w:pPr>
            <w:r w:rsidRPr="00376D8E">
              <w:rPr>
                <w:i/>
                <w:iCs/>
              </w:rPr>
              <w:t xml:space="preserve">Australian Ophthalmic Supplies Pty Ltd v McAlary-Smith </w:t>
            </w:r>
            <w:r w:rsidRPr="00376D8E">
              <w:t>(2008) 165 F</w:t>
            </w:r>
            <w:r w:rsidR="007A39D1">
              <w:t>C</w:t>
            </w:r>
            <w:r w:rsidRPr="00376D8E">
              <w:t xml:space="preserve">R 560 </w:t>
            </w:r>
          </w:p>
          <w:p w14:paraId="7C505E88" w14:textId="77777777" w:rsidR="00F564ED" w:rsidRPr="00376D8E" w:rsidRDefault="00F564ED" w:rsidP="00533826">
            <w:pPr>
              <w:pStyle w:val="CasesLegislationAppealFrom"/>
              <w:spacing w:after="60"/>
              <w:rPr>
                <w:color w:val="000000"/>
              </w:rPr>
            </w:pPr>
            <w:r w:rsidRPr="00376D8E">
              <w:rPr>
                <w:i/>
                <w:iCs/>
                <w:color w:val="000000"/>
              </w:rPr>
              <w:t>Australian Securities and Investments Commission v Australia and New Zealand Banking Group Limited</w:t>
            </w:r>
            <w:r w:rsidRPr="00376D8E">
              <w:rPr>
                <w:color w:val="000000"/>
              </w:rPr>
              <w:t xml:space="preserve"> [2023] FCA 256 </w:t>
            </w:r>
          </w:p>
          <w:p w14:paraId="60D7A691" w14:textId="77777777" w:rsidR="00A371BB" w:rsidRPr="00376D8E" w:rsidRDefault="00A371BB" w:rsidP="00A371BB">
            <w:pPr>
              <w:pStyle w:val="CasesLegislationAppealFrom"/>
              <w:spacing w:after="60"/>
            </w:pPr>
            <w:r w:rsidRPr="00376D8E">
              <w:rPr>
                <w:i/>
                <w:iCs/>
              </w:rPr>
              <w:t xml:space="preserve">Australian Securities and Investments Commission v </w:t>
            </w:r>
            <w:proofErr w:type="spellStart"/>
            <w:r w:rsidRPr="00376D8E">
              <w:rPr>
                <w:i/>
                <w:iCs/>
              </w:rPr>
              <w:t>GetSwift</w:t>
            </w:r>
            <w:proofErr w:type="spellEnd"/>
            <w:r w:rsidRPr="00376D8E">
              <w:rPr>
                <w:i/>
                <w:iCs/>
              </w:rPr>
              <w:t xml:space="preserve"> Ltd (Penalty Hearing)</w:t>
            </w:r>
            <w:r w:rsidRPr="00376D8E">
              <w:t xml:space="preserve"> [20</w:t>
            </w:r>
            <w:r>
              <w:t>2</w:t>
            </w:r>
            <w:r w:rsidRPr="00376D8E">
              <w:t>3] FCA 100</w:t>
            </w:r>
          </w:p>
          <w:p w14:paraId="5FF7A3B1" w14:textId="36066C30" w:rsidR="001F5787" w:rsidRPr="00376D8E" w:rsidRDefault="00E671F0" w:rsidP="00533826">
            <w:pPr>
              <w:pStyle w:val="CasesLegislationAppealFrom"/>
              <w:spacing w:after="60"/>
            </w:pPr>
            <w:r w:rsidRPr="00376D8E">
              <w:rPr>
                <w:i/>
                <w:iCs/>
              </w:rPr>
              <w:t>Australian Securities and Investments Commission v Wilson (No 3)</w:t>
            </w:r>
            <w:r w:rsidRPr="00376D8E">
              <w:t xml:space="preserve"> [2023] FCA 1009</w:t>
            </w:r>
          </w:p>
          <w:p w14:paraId="2547075A" w14:textId="080390BD" w:rsidR="00FF7081" w:rsidRPr="00376D8E" w:rsidRDefault="00FF7081" w:rsidP="00533826">
            <w:pPr>
              <w:pStyle w:val="CasesLegislationAppealFrom"/>
              <w:spacing w:after="60"/>
            </w:pPr>
            <w:r w:rsidRPr="00376D8E">
              <w:rPr>
                <w:i/>
                <w:iCs/>
              </w:rPr>
              <w:t xml:space="preserve">Australian </w:t>
            </w:r>
            <w:r w:rsidR="002F1697">
              <w:rPr>
                <w:i/>
                <w:iCs/>
              </w:rPr>
              <w:t xml:space="preserve">Securities and </w:t>
            </w:r>
            <w:r w:rsidRPr="00376D8E">
              <w:rPr>
                <w:i/>
                <w:iCs/>
              </w:rPr>
              <w:t xml:space="preserve">Investments Commission v Rio Tinto (No 2) </w:t>
            </w:r>
            <w:r w:rsidRPr="00376D8E">
              <w:t>[2022] FCA 184</w:t>
            </w:r>
          </w:p>
          <w:p w14:paraId="07485C6E" w14:textId="72A09617" w:rsidR="0069170E" w:rsidRDefault="0069170E" w:rsidP="0069170E">
            <w:pPr>
              <w:pStyle w:val="CasesLegislationAppealFrom"/>
              <w:spacing w:after="60"/>
            </w:pPr>
            <w:r w:rsidRPr="00AA62AA">
              <w:rPr>
                <w:i/>
              </w:rPr>
              <w:t xml:space="preserve">Australian </w:t>
            </w:r>
            <w:r w:rsidRPr="00AA62AA">
              <w:rPr>
                <w:bCs/>
                <w:i/>
              </w:rPr>
              <w:t>Sec</w:t>
            </w:r>
            <w:r w:rsidR="00AA62AA" w:rsidRPr="00AA62AA">
              <w:rPr>
                <w:bCs/>
                <w:i/>
              </w:rPr>
              <w:t>urities and Investments Commission</w:t>
            </w:r>
            <w:r w:rsidRPr="00AA62AA">
              <w:rPr>
                <w:i/>
              </w:rPr>
              <w:t xml:space="preserve"> v Westpac</w:t>
            </w:r>
            <w:r w:rsidRPr="00B822DF">
              <w:rPr>
                <w:i/>
              </w:rPr>
              <w:t xml:space="preserve"> Banking Corp</w:t>
            </w:r>
            <w:r>
              <w:t xml:space="preserve"> [2022] FCA 359; 158 ACSR 647</w:t>
            </w:r>
          </w:p>
          <w:p w14:paraId="2BE5A7A2" w14:textId="45533C8F" w:rsidR="00545A4F" w:rsidRPr="00376D8E" w:rsidRDefault="00545A4F" w:rsidP="00533826">
            <w:pPr>
              <w:pStyle w:val="CasesLegislationAppealFrom"/>
              <w:spacing w:after="60"/>
            </w:pPr>
            <w:r w:rsidRPr="00376D8E">
              <w:rPr>
                <w:i/>
                <w:iCs/>
              </w:rPr>
              <w:t xml:space="preserve">Australian Securities and Investments Commission v Blue Star Helium Ltd (No 4) </w:t>
            </w:r>
            <w:r w:rsidRPr="00376D8E">
              <w:t>[2021] FCA 1578; 158 ACSR 196</w:t>
            </w:r>
          </w:p>
          <w:p w14:paraId="1C24F62F" w14:textId="12F4F474" w:rsidR="00EF685E" w:rsidRPr="00376D8E" w:rsidRDefault="00EF685E" w:rsidP="00533826">
            <w:pPr>
              <w:pStyle w:val="CasesLegislationAppealFrom"/>
              <w:spacing w:after="60"/>
            </w:pPr>
            <w:r w:rsidRPr="00376D8E">
              <w:rPr>
                <w:i/>
                <w:iCs/>
              </w:rPr>
              <w:t xml:space="preserve">Australian </w:t>
            </w:r>
            <w:r w:rsidR="00E57AFA">
              <w:rPr>
                <w:i/>
                <w:iCs/>
              </w:rPr>
              <w:t>Securities and Investments</w:t>
            </w:r>
            <w:r w:rsidRPr="00376D8E">
              <w:rPr>
                <w:i/>
                <w:iCs/>
              </w:rPr>
              <w:t xml:space="preserve"> Commission v Helou (No 2)</w:t>
            </w:r>
            <w:r w:rsidR="00E57AFA">
              <w:rPr>
                <w:i/>
                <w:iCs/>
              </w:rPr>
              <w:t xml:space="preserve"> </w:t>
            </w:r>
            <w:r w:rsidRPr="00376D8E">
              <w:t>[2020] FCA 1650</w:t>
            </w:r>
          </w:p>
          <w:p w14:paraId="262C87BA" w14:textId="095EFD38" w:rsidR="009873A5" w:rsidRPr="00376D8E" w:rsidRDefault="009873A5" w:rsidP="00533826">
            <w:pPr>
              <w:pStyle w:val="CasesLegislationAppealFrom"/>
              <w:spacing w:after="60"/>
            </w:pPr>
            <w:r w:rsidRPr="00376D8E">
              <w:rPr>
                <w:i/>
                <w:iCs/>
              </w:rPr>
              <w:t xml:space="preserve">Australian Securities and Investments Commission v Vocation Ltd (in </w:t>
            </w:r>
            <w:proofErr w:type="spellStart"/>
            <w:r w:rsidRPr="00376D8E">
              <w:rPr>
                <w:i/>
                <w:iCs/>
              </w:rPr>
              <w:t>Liq</w:t>
            </w:r>
            <w:proofErr w:type="spellEnd"/>
            <w:r w:rsidRPr="00376D8E">
              <w:rPr>
                <w:i/>
                <w:iCs/>
              </w:rPr>
              <w:t xml:space="preserve">) (No 2) </w:t>
            </w:r>
            <w:r w:rsidRPr="00376D8E">
              <w:t>[2019] FCA 1783; 140 ACSR 382</w:t>
            </w:r>
          </w:p>
          <w:p w14:paraId="3A3065D4" w14:textId="77777777" w:rsidR="00E51522" w:rsidRDefault="003C18A9" w:rsidP="00533826">
            <w:pPr>
              <w:pStyle w:val="CasesLegislationAppealFrom"/>
              <w:spacing w:after="60"/>
            </w:pPr>
            <w:r>
              <w:rPr>
                <w:i/>
                <w:iCs/>
              </w:rPr>
              <w:t xml:space="preserve">Australian </w:t>
            </w:r>
            <w:r w:rsidR="009F3A41">
              <w:rPr>
                <w:i/>
                <w:iCs/>
              </w:rPr>
              <w:t xml:space="preserve">Securities and Investments </w:t>
            </w:r>
            <w:r w:rsidR="0069463D">
              <w:rPr>
                <w:i/>
                <w:iCs/>
              </w:rPr>
              <w:t>Commission v Westpac Banking Corp (No 2)</w:t>
            </w:r>
            <w:r w:rsidR="002F5B50">
              <w:t xml:space="preserve"> [2018] </w:t>
            </w:r>
            <w:r w:rsidR="00E51522">
              <w:t>FCA 751; 357 ALRC 240</w:t>
            </w:r>
          </w:p>
          <w:p w14:paraId="5DF7CA72" w14:textId="3FABBAF7" w:rsidR="00761286" w:rsidRPr="00376D8E" w:rsidRDefault="00761286" w:rsidP="00533826">
            <w:pPr>
              <w:pStyle w:val="CasesLegislationAppealFrom"/>
              <w:spacing w:after="60"/>
            </w:pPr>
            <w:r w:rsidRPr="00376D8E">
              <w:rPr>
                <w:i/>
                <w:iCs/>
              </w:rPr>
              <w:t xml:space="preserve">Australian Securities and Investments Commission v </w:t>
            </w:r>
            <w:r w:rsidRPr="00376D8E">
              <w:rPr>
                <w:i/>
                <w:iCs/>
              </w:rPr>
              <w:lastRenderedPageBreak/>
              <w:t>Ostrava Equities Pty Ltd</w:t>
            </w:r>
            <w:r w:rsidRPr="00376D8E">
              <w:t xml:space="preserve"> [2016] FCA 1064 </w:t>
            </w:r>
          </w:p>
          <w:p w14:paraId="5AFBBFD3" w14:textId="12281058" w:rsidR="0041439D" w:rsidRPr="00376D8E" w:rsidRDefault="0042491A" w:rsidP="00533826">
            <w:pPr>
              <w:pStyle w:val="ParaNumbering"/>
              <w:numPr>
                <w:ilvl w:val="0"/>
                <w:numId w:val="0"/>
              </w:numPr>
              <w:tabs>
                <w:tab w:val="num" w:pos="1080"/>
              </w:tabs>
              <w:spacing w:before="0" w:after="60" w:line="240" w:lineRule="auto"/>
            </w:pPr>
            <w:r w:rsidRPr="00376D8E">
              <w:rPr>
                <w:i/>
                <w:iCs/>
              </w:rPr>
              <w:t>Australian</w:t>
            </w:r>
            <w:r w:rsidR="00E57AFA">
              <w:rPr>
                <w:i/>
                <w:iCs/>
              </w:rPr>
              <w:t xml:space="preserve"> </w:t>
            </w:r>
            <w:r w:rsidRPr="00376D8E">
              <w:rPr>
                <w:i/>
                <w:iCs/>
              </w:rPr>
              <w:t>Securities and Investments Commission v Padbury Mining Limited</w:t>
            </w:r>
            <w:r w:rsidRPr="00376D8E">
              <w:t xml:space="preserve"> [2016] FCA 990; 116 ACSR 208</w:t>
            </w:r>
          </w:p>
          <w:p w14:paraId="00FD0E24" w14:textId="77777777" w:rsidR="00B1165F" w:rsidRDefault="00187A71" w:rsidP="00533826">
            <w:pPr>
              <w:pStyle w:val="ParaNumbering"/>
              <w:numPr>
                <w:ilvl w:val="0"/>
                <w:numId w:val="0"/>
              </w:numPr>
              <w:tabs>
                <w:tab w:val="num" w:pos="1080"/>
              </w:tabs>
              <w:spacing w:before="0" w:after="60" w:line="240" w:lineRule="auto"/>
              <w:rPr>
                <w:szCs w:val="24"/>
              </w:rPr>
            </w:pPr>
            <w:r>
              <w:rPr>
                <w:i/>
                <w:iCs/>
                <w:szCs w:val="24"/>
              </w:rPr>
              <w:t xml:space="preserve">Australian Securities and Investments Commission v Mariner Corp </w:t>
            </w:r>
            <w:r w:rsidR="00AC7D76">
              <w:rPr>
                <w:szCs w:val="24"/>
              </w:rPr>
              <w:t xml:space="preserve">[2015] </w:t>
            </w:r>
            <w:r w:rsidR="00B1165F">
              <w:rPr>
                <w:szCs w:val="24"/>
              </w:rPr>
              <w:t>FCA 589; 241 FCR 502</w:t>
            </w:r>
          </w:p>
          <w:p w14:paraId="697B2F0C" w14:textId="703F260A" w:rsidR="00712891" w:rsidRPr="00376D8E" w:rsidRDefault="00712891" w:rsidP="00533826">
            <w:pPr>
              <w:pStyle w:val="ParaNumbering"/>
              <w:numPr>
                <w:ilvl w:val="0"/>
                <w:numId w:val="0"/>
              </w:numPr>
              <w:tabs>
                <w:tab w:val="num" w:pos="1080"/>
              </w:tabs>
              <w:spacing w:before="0" w:after="60" w:line="240" w:lineRule="auto"/>
              <w:rPr>
                <w:szCs w:val="24"/>
              </w:rPr>
            </w:pPr>
            <w:r w:rsidRPr="00376D8E">
              <w:rPr>
                <w:i/>
                <w:iCs/>
                <w:szCs w:val="24"/>
              </w:rPr>
              <w:t>Australian Securities and Investments Commission v Newcrest Mining Ltd</w:t>
            </w:r>
            <w:r w:rsidRPr="00376D8E">
              <w:rPr>
                <w:szCs w:val="24"/>
              </w:rPr>
              <w:t xml:space="preserve"> </w:t>
            </w:r>
            <w:r w:rsidR="0026671A">
              <w:rPr>
                <w:szCs w:val="24"/>
              </w:rPr>
              <w:t>[</w:t>
            </w:r>
            <w:r w:rsidRPr="00376D8E">
              <w:rPr>
                <w:szCs w:val="24"/>
              </w:rPr>
              <w:t>2014</w:t>
            </w:r>
            <w:r w:rsidR="0026671A">
              <w:rPr>
                <w:szCs w:val="24"/>
              </w:rPr>
              <w:t>]</w:t>
            </w:r>
            <w:r w:rsidRPr="00376D8E">
              <w:rPr>
                <w:szCs w:val="24"/>
              </w:rPr>
              <w:t xml:space="preserve"> </w:t>
            </w:r>
            <w:r w:rsidR="00EB4976">
              <w:rPr>
                <w:szCs w:val="24"/>
              </w:rPr>
              <w:t xml:space="preserve">FCA </w:t>
            </w:r>
            <w:r w:rsidR="008E0CE2">
              <w:rPr>
                <w:szCs w:val="24"/>
              </w:rPr>
              <w:t>689</w:t>
            </w:r>
            <w:r w:rsidR="00E651DA">
              <w:rPr>
                <w:szCs w:val="24"/>
              </w:rPr>
              <w:t>;</w:t>
            </w:r>
            <w:r w:rsidRPr="00376D8E">
              <w:rPr>
                <w:szCs w:val="24"/>
              </w:rPr>
              <w:t xml:space="preserve"> 10</w:t>
            </w:r>
            <w:r w:rsidR="000F0F8C">
              <w:rPr>
                <w:szCs w:val="24"/>
              </w:rPr>
              <w:t>1</w:t>
            </w:r>
            <w:r w:rsidRPr="00376D8E">
              <w:rPr>
                <w:szCs w:val="24"/>
              </w:rPr>
              <w:t xml:space="preserve"> ACSR 46</w:t>
            </w:r>
          </w:p>
          <w:p w14:paraId="7B8D66BD" w14:textId="5E4A7519" w:rsidR="0041439D" w:rsidRPr="00376D8E" w:rsidRDefault="0041439D" w:rsidP="00533826">
            <w:pPr>
              <w:pStyle w:val="ParaNumbering"/>
              <w:numPr>
                <w:ilvl w:val="0"/>
                <w:numId w:val="0"/>
              </w:numPr>
              <w:tabs>
                <w:tab w:val="num" w:pos="1080"/>
              </w:tabs>
              <w:spacing w:before="0" w:after="60" w:line="240" w:lineRule="auto"/>
            </w:pPr>
            <w:r w:rsidRPr="00376D8E">
              <w:rPr>
                <w:i/>
                <w:iCs/>
              </w:rPr>
              <w:t>Australian Securities and Investments Commission v MacDonald</w:t>
            </w:r>
            <w:r w:rsidRPr="00376D8E">
              <w:t xml:space="preserve"> [2009] NSWSC 714; 73 ACSR 638</w:t>
            </w:r>
          </w:p>
          <w:p w14:paraId="4EBE2499" w14:textId="77777777" w:rsidR="00DA7718" w:rsidRPr="00376D8E" w:rsidRDefault="00DA7718" w:rsidP="00533826">
            <w:pPr>
              <w:pStyle w:val="CasesLegislationAppealFrom"/>
              <w:spacing w:after="60"/>
            </w:pPr>
            <w:r w:rsidRPr="00376D8E">
              <w:rPr>
                <w:i/>
              </w:rPr>
              <w:t>Australian Securities and investments Commission v Adler</w:t>
            </w:r>
            <w:r w:rsidRPr="00376D8E">
              <w:rPr>
                <w:iCs/>
              </w:rPr>
              <w:t xml:space="preserve"> </w:t>
            </w:r>
            <w:r w:rsidRPr="00376D8E">
              <w:t>[2002] NSWSC 483; 42 ACSR 80</w:t>
            </w:r>
          </w:p>
          <w:p w14:paraId="6CD3ED7A" w14:textId="05059229" w:rsidR="00C86E1D" w:rsidRPr="00376D8E" w:rsidRDefault="00C86E1D" w:rsidP="00533826">
            <w:pPr>
              <w:pStyle w:val="CasesLegislationAppealFrom"/>
              <w:spacing w:after="60"/>
            </w:pPr>
            <w:r w:rsidRPr="00376D8E">
              <w:rPr>
                <w:i/>
                <w:iCs/>
              </w:rPr>
              <w:t xml:space="preserve">Baden Delvaux &amp; </w:t>
            </w:r>
            <w:proofErr w:type="spellStart"/>
            <w:r w:rsidRPr="00376D8E">
              <w:rPr>
                <w:i/>
                <w:iCs/>
              </w:rPr>
              <w:t>Lecuit</w:t>
            </w:r>
            <w:proofErr w:type="spellEnd"/>
            <w:r w:rsidRPr="00376D8E">
              <w:rPr>
                <w:i/>
                <w:iCs/>
              </w:rPr>
              <w:t xml:space="preserve"> v Société Générale pour </w:t>
            </w:r>
            <w:proofErr w:type="spellStart"/>
            <w:r w:rsidRPr="00376D8E">
              <w:rPr>
                <w:i/>
                <w:iCs/>
              </w:rPr>
              <w:t>Favoriser</w:t>
            </w:r>
            <w:proofErr w:type="spellEnd"/>
            <w:r w:rsidRPr="00376D8E">
              <w:rPr>
                <w:i/>
                <w:iCs/>
              </w:rPr>
              <w:t xml:space="preserve"> le </w:t>
            </w:r>
            <w:proofErr w:type="spellStart"/>
            <w:r w:rsidRPr="00376D8E">
              <w:rPr>
                <w:i/>
                <w:iCs/>
              </w:rPr>
              <w:t>Développement</w:t>
            </w:r>
            <w:proofErr w:type="spellEnd"/>
            <w:r w:rsidRPr="00376D8E">
              <w:rPr>
                <w:i/>
                <w:iCs/>
              </w:rPr>
              <w:t xml:space="preserve"> du Commerce at de </w:t>
            </w:r>
            <w:proofErr w:type="spellStart"/>
            <w:r w:rsidRPr="00376D8E">
              <w:rPr>
                <w:i/>
                <w:iCs/>
              </w:rPr>
              <w:t>l’Industrie</w:t>
            </w:r>
            <w:proofErr w:type="spellEnd"/>
            <w:r w:rsidRPr="00376D8E">
              <w:rPr>
                <w:i/>
                <w:iCs/>
              </w:rPr>
              <w:t xml:space="preserve"> </w:t>
            </w:r>
            <w:proofErr w:type="spellStart"/>
            <w:r w:rsidRPr="00376D8E">
              <w:rPr>
                <w:i/>
                <w:iCs/>
              </w:rPr>
              <w:t>en</w:t>
            </w:r>
            <w:proofErr w:type="spellEnd"/>
            <w:r w:rsidRPr="00376D8E">
              <w:rPr>
                <w:i/>
                <w:iCs/>
              </w:rPr>
              <w:t xml:space="preserve"> France SA</w:t>
            </w:r>
            <w:r w:rsidRPr="00376D8E">
              <w:t xml:space="preserve"> [1992] 4 All ER 161</w:t>
            </w:r>
          </w:p>
          <w:p w14:paraId="168FEC19" w14:textId="77777777" w:rsidR="005009BD" w:rsidRDefault="00A11FBB" w:rsidP="00DB4A3C">
            <w:pPr>
              <w:pStyle w:val="CasesLegislationAppealFrom"/>
              <w:spacing w:after="60"/>
              <w:rPr>
                <w:iCs/>
                <w:color w:val="000000"/>
                <w:bdr w:val="none" w:sz="0" w:space="0" w:color="auto" w:frame="1"/>
              </w:rPr>
            </w:pPr>
            <w:r>
              <w:rPr>
                <w:i/>
                <w:color w:val="000000"/>
                <w:bdr w:val="none" w:sz="0" w:space="0" w:color="auto" w:frame="1"/>
              </w:rPr>
              <w:t xml:space="preserve">Brambles </w:t>
            </w:r>
            <w:r w:rsidR="00C844D1">
              <w:rPr>
                <w:i/>
                <w:color w:val="000000"/>
                <w:bdr w:val="none" w:sz="0" w:space="0" w:color="auto" w:frame="1"/>
              </w:rPr>
              <w:t>Holdings Ltd v Carey</w:t>
            </w:r>
            <w:r>
              <w:rPr>
                <w:i/>
                <w:color w:val="000000"/>
                <w:bdr w:val="none" w:sz="0" w:space="0" w:color="auto" w:frame="1"/>
              </w:rPr>
              <w:t xml:space="preserve"> </w:t>
            </w:r>
            <w:r w:rsidR="000A3FB1">
              <w:rPr>
                <w:iCs/>
                <w:color w:val="000000"/>
                <w:bdr w:val="none" w:sz="0" w:space="0" w:color="auto" w:frame="1"/>
              </w:rPr>
              <w:t>(</w:t>
            </w:r>
            <w:r w:rsidR="0074313C">
              <w:rPr>
                <w:iCs/>
                <w:color w:val="000000"/>
                <w:bdr w:val="none" w:sz="0" w:space="0" w:color="auto" w:frame="1"/>
              </w:rPr>
              <w:t>1976) 15 SASR 270</w:t>
            </w:r>
          </w:p>
          <w:p w14:paraId="4A28E19B" w14:textId="402640C7" w:rsidR="00156F04" w:rsidRPr="00DB4A3C" w:rsidRDefault="003F6259" w:rsidP="00DB4A3C">
            <w:pPr>
              <w:pStyle w:val="CasesLegislationAppealFrom"/>
              <w:spacing w:after="60"/>
              <w:rPr>
                <w:color w:val="000000"/>
                <w:bdr w:val="none" w:sz="0" w:space="0" w:color="auto" w:frame="1"/>
              </w:rPr>
            </w:pPr>
            <w:r w:rsidRPr="00DB4A3C">
              <w:rPr>
                <w:i/>
                <w:color w:val="000000"/>
                <w:bdr w:val="none" w:sz="0" w:space="0" w:color="auto" w:frame="1"/>
              </w:rPr>
              <w:t>Commonwealth v Director, Fair Work Building Industry Inspectorate</w:t>
            </w:r>
            <w:r w:rsidRPr="00DB4A3C">
              <w:rPr>
                <w:color w:val="000000"/>
              </w:rPr>
              <w:t> </w:t>
            </w:r>
            <w:r w:rsidR="00DB4A3C" w:rsidRPr="00DB4A3C">
              <w:rPr>
                <w:color w:val="000000"/>
                <w:bdr w:val="none" w:sz="0" w:space="0" w:color="auto" w:frame="1"/>
              </w:rPr>
              <w:t>[</w:t>
            </w:r>
            <w:r w:rsidRPr="00DB4A3C">
              <w:rPr>
                <w:color w:val="000000"/>
                <w:bdr w:val="none" w:sz="0" w:space="0" w:color="auto" w:frame="1"/>
              </w:rPr>
              <w:t>2015</w:t>
            </w:r>
            <w:r w:rsidR="00DB4A3C" w:rsidRPr="00DB4A3C">
              <w:rPr>
                <w:color w:val="000000"/>
                <w:bdr w:val="none" w:sz="0" w:space="0" w:color="auto" w:frame="1"/>
              </w:rPr>
              <w:t>] HCA 46;</w:t>
            </w:r>
            <w:r w:rsidRPr="00DB4A3C">
              <w:rPr>
                <w:color w:val="000000"/>
                <w:bdr w:val="none" w:sz="0" w:space="0" w:color="auto" w:frame="1"/>
              </w:rPr>
              <w:t xml:space="preserve"> 258 CLR 482</w:t>
            </w:r>
          </w:p>
          <w:p w14:paraId="55D229E4" w14:textId="4FC411BE" w:rsidR="00E47BCE" w:rsidRPr="00376D8E" w:rsidRDefault="00E47BCE" w:rsidP="00533826">
            <w:pPr>
              <w:pStyle w:val="ParaNumbering"/>
              <w:numPr>
                <w:ilvl w:val="0"/>
                <w:numId w:val="0"/>
              </w:numPr>
              <w:tabs>
                <w:tab w:val="num" w:pos="1080"/>
              </w:tabs>
              <w:spacing w:before="0" w:after="60" w:line="240" w:lineRule="auto"/>
            </w:pPr>
            <w:r w:rsidRPr="00376D8E">
              <w:rPr>
                <w:i/>
                <w:color w:val="000000" w:themeColor="text1"/>
              </w:rPr>
              <w:t xml:space="preserve">Construction, Forestry, Mining and Energy Union v De Martin &amp; Gasparini Pty Ltd (No 3) </w:t>
            </w:r>
            <w:r w:rsidRPr="00376D8E">
              <w:rPr>
                <w:color w:val="000000" w:themeColor="text1"/>
              </w:rPr>
              <w:t>[2018] FCA 1395</w:t>
            </w:r>
          </w:p>
          <w:p w14:paraId="1982817B" w14:textId="77777777" w:rsidR="00923CA1" w:rsidRPr="00376D8E" w:rsidRDefault="00923CA1" w:rsidP="00303A4B">
            <w:pPr>
              <w:pStyle w:val="CasesLegislationAppealFrom"/>
            </w:pPr>
            <w:r w:rsidRPr="00303A4B">
              <w:rPr>
                <w:i/>
                <w:iCs/>
              </w:rPr>
              <w:t>Cruickshank v Australian Securities and Investments Commission</w:t>
            </w:r>
            <w:r w:rsidRPr="00376D8E">
              <w:t xml:space="preserve"> [2022] FCAFC 128; 292 FCR 627</w:t>
            </w:r>
          </w:p>
          <w:p w14:paraId="3BA5AB4A" w14:textId="21857FBF" w:rsidR="000512CB" w:rsidRPr="00376D8E" w:rsidRDefault="00F25884" w:rsidP="00303A4B">
            <w:pPr>
              <w:pStyle w:val="CasesLegislationAppealFrom"/>
            </w:pPr>
            <w:r w:rsidRPr="00303A4B">
              <w:rPr>
                <w:i/>
                <w:iCs/>
              </w:rPr>
              <w:t xml:space="preserve">Forster v </w:t>
            </w:r>
            <w:proofErr w:type="spellStart"/>
            <w:r w:rsidRPr="00303A4B">
              <w:rPr>
                <w:i/>
                <w:iCs/>
              </w:rPr>
              <w:t>Jododex</w:t>
            </w:r>
            <w:proofErr w:type="spellEnd"/>
            <w:r w:rsidRPr="00303A4B">
              <w:rPr>
                <w:i/>
                <w:iCs/>
              </w:rPr>
              <w:t xml:space="preserve"> Australia Pty Ltd </w:t>
            </w:r>
            <w:r w:rsidRPr="00376D8E">
              <w:t xml:space="preserve">(1972) 127 CLR 421 </w:t>
            </w:r>
          </w:p>
          <w:p w14:paraId="34C56CF6" w14:textId="77777777" w:rsidR="0014110A" w:rsidRPr="00376D8E" w:rsidRDefault="0014110A" w:rsidP="00303A4B">
            <w:pPr>
              <w:pStyle w:val="CasesLegislationAppealFrom"/>
            </w:pPr>
            <w:r w:rsidRPr="00303A4B">
              <w:rPr>
                <w:i/>
                <w:iCs/>
              </w:rPr>
              <w:t>Hann v Commonwealth of Australia</w:t>
            </w:r>
            <w:r w:rsidRPr="00376D8E">
              <w:t xml:space="preserve"> [2004] SASC 86; 88 SASR 99</w:t>
            </w:r>
          </w:p>
          <w:p w14:paraId="2D23FB76" w14:textId="36680DF8" w:rsidR="00503354" w:rsidRPr="00376D8E" w:rsidRDefault="00503354" w:rsidP="00303A4B">
            <w:pPr>
              <w:pStyle w:val="CasesLegislationAppealFrom"/>
            </w:pPr>
            <w:r w:rsidRPr="00303A4B">
              <w:rPr>
                <w:i/>
                <w:iCs/>
              </w:rPr>
              <w:t xml:space="preserve">James Hardie Industries NV v Australian </w:t>
            </w:r>
            <w:r w:rsidR="007C0FF6" w:rsidRPr="00303A4B">
              <w:rPr>
                <w:i/>
                <w:iCs/>
              </w:rPr>
              <w:t xml:space="preserve">Securities and </w:t>
            </w:r>
            <w:r w:rsidRPr="00303A4B">
              <w:rPr>
                <w:i/>
                <w:iCs/>
              </w:rPr>
              <w:t>Investments Commission</w:t>
            </w:r>
            <w:r w:rsidRPr="00376D8E">
              <w:t xml:space="preserve"> </w:t>
            </w:r>
            <w:r w:rsidR="00F84C54">
              <w:t>[</w:t>
            </w:r>
            <w:r w:rsidRPr="00376D8E">
              <w:t>2010</w:t>
            </w:r>
            <w:r w:rsidR="00F84C54">
              <w:t>]</w:t>
            </w:r>
            <w:r w:rsidRPr="00376D8E">
              <w:t xml:space="preserve"> </w:t>
            </w:r>
            <w:r w:rsidR="00430A33" w:rsidRPr="00376D8E">
              <w:t>274 ALR 85</w:t>
            </w:r>
            <w:r w:rsidR="00430A33">
              <w:t xml:space="preserve">; </w:t>
            </w:r>
            <w:r w:rsidR="00F84C54">
              <w:t xml:space="preserve">NSWCA </w:t>
            </w:r>
            <w:proofErr w:type="gramStart"/>
            <w:r w:rsidR="00F84C54">
              <w:t>332;</w:t>
            </w:r>
            <w:proofErr w:type="gramEnd"/>
            <w:r w:rsidR="00F84C54">
              <w:t xml:space="preserve"> </w:t>
            </w:r>
          </w:p>
          <w:p w14:paraId="6B7B1739" w14:textId="0AF326CB" w:rsidR="00322594" w:rsidRPr="00376D8E" w:rsidRDefault="00322594" w:rsidP="00303A4B">
            <w:pPr>
              <w:pStyle w:val="CasesLegislationAppealFrom"/>
            </w:pPr>
            <w:r w:rsidRPr="00303A4B">
              <w:rPr>
                <w:i/>
                <w:iCs/>
              </w:rPr>
              <w:t xml:space="preserve">Krakowski v </w:t>
            </w:r>
            <w:proofErr w:type="spellStart"/>
            <w:r w:rsidRPr="00303A4B">
              <w:rPr>
                <w:i/>
                <w:iCs/>
              </w:rPr>
              <w:t>Eurolynx</w:t>
            </w:r>
            <w:proofErr w:type="spellEnd"/>
            <w:r w:rsidRPr="00303A4B">
              <w:rPr>
                <w:i/>
                <w:iCs/>
              </w:rPr>
              <w:t xml:space="preserve"> Properties Ltd </w:t>
            </w:r>
            <w:r w:rsidRPr="00376D8E">
              <w:t>[1995] HCA 68; 183 CLR 563</w:t>
            </w:r>
          </w:p>
          <w:p w14:paraId="52FF8B1B" w14:textId="38DF8BAD" w:rsidR="00F25884" w:rsidRPr="00376D8E" w:rsidRDefault="00E17F9C" w:rsidP="00303A4B">
            <w:pPr>
              <w:pStyle w:val="CasesLegislationAppealFrom"/>
            </w:pPr>
            <w:r w:rsidRPr="00303A4B">
              <w:rPr>
                <w:i/>
                <w:iCs/>
              </w:rPr>
              <w:t>Mayfair Wealth Partners Pty Ltd v Australian Securities and Investments Commission</w:t>
            </w:r>
            <w:r w:rsidRPr="00376D8E">
              <w:t xml:space="preserve"> [2022] FCAFC 170  </w:t>
            </w:r>
          </w:p>
          <w:p w14:paraId="435BD987" w14:textId="2339DFEA" w:rsidR="00B449BA" w:rsidRDefault="00BE2654" w:rsidP="00533826">
            <w:pPr>
              <w:pStyle w:val="ParaNumbering"/>
              <w:numPr>
                <w:ilvl w:val="0"/>
                <w:numId w:val="0"/>
              </w:numPr>
              <w:spacing w:before="0" w:after="60" w:line="240" w:lineRule="auto"/>
              <w:rPr>
                <w:iCs/>
              </w:rPr>
            </w:pPr>
            <w:r w:rsidRPr="00BE2654">
              <w:rPr>
                <w:i/>
              </w:rPr>
              <w:t xml:space="preserve">Minister for Industry, Tourism &amp; Resources v </w:t>
            </w:r>
            <w:r w:rsidR="006F40FD" w:rsidRPr="00BE2654">
              <w:rPr>
                <w:i/>
              </w:rPr>
              <w:t xml:space="preserve">Mobil Oil </w:t>
            </w:r>
            <w:r w:rsidR="002D6890" w:rsidRPr="00BE2654">
              <w:rPr>
                <w:iCs/>
              </w:rPr>
              <w:t xml:space="preserve">(2004) ATPR </w:t>
            </w:r>
            <w:r w:rsidR="00B449BA" w:rsidRPr="00BE2654">
              <w:rPr>
                <w:iCs/>
              </w:rPr>
              <w:t>41-993</w:t>
            </w:r>
          </w:p>
          <w:p w14:paraId="67BF6967" w14:textId="6C95A15A" w:rsidR="00E57D7E" w:rsidRPr="00376D8E" w:rsidRDefault="00E57D7E" w:rsidP="00533826">
            <w:pPr>
              <w:pStyle w:val="ParaNumbering"/>
              <w:numPr>
                <w:ilvl w:val="0"/>
                <w:numId w:val="0"/>
              </w:numPr>
              <w:spacing w:before="0" w:after="60" w:line="240" w:lineRule="auto"/>
            </w:pPr>
            <w:r w:rsidRPr="002E0870">
              <w:rPr>
                <w:i/>
              </w:rPr>
              <w:t>NW Frozen Foods Pty Ltd v Australian Competition and Consumer Commission</w:t>
            </w:r>
            <w:r w:rsidRPr="00376D8E">
              <w:rPr>
                <w:i/>
                <w:iCs/>
              </w:rPr>
              <w:t xml:space="preserve"> </w:t>
            </w:r>
            <w:r w:rsidRPr="00376D8E">
              <w:t xml:space="preserve">[1996] FCA 1134; 71 FCR 285 </w:t>
            </w:r>
          </w:p>
          <w:p w14:paraId="1DAB45E4" w14:textId="7EFDC019" w:rsidR="0062147D" w:rsidRDefault="0062147D" w:rsidP="00533826">
            <w:pPr>
              <w:pStyle w:val="ParaNumbering"/>
              <w:numPr>
                <w:ilvl w:val="0"/>
                <w:numId w:val="0"/>
              </w:numPr>
              <w:spacing w:before="0" w:after="60" w:line="240" w:lineRule="auto"/>
            </w:pPr>
            <w:r w:rsidRPr="00376D8E">
              <w:rPr>
                <w:i/>
                <w:iCs/>
              </w:rPr>
              <w:t xml:space="preserve">R v Alif, Amin and </w:t>
            </w:r>
            <w:proofErr w:type="spellStart"/>
            <w:r w:rsidRPr="00376D8E">
              <w:rPr>
                <w:i/>
                <w:iCs/>
              </w:rPr>
              <w:t>Zolmin</w:t>
            </w:r>
            <w:proofErr w:type="spellEnd"/>
            <w:r w:rsidRPr="00376D8E">
              <w:t xml:space="preserve"> [2012] QCA 355; [2013] 2 </w:t>
            </w:r>
            <w:proofErr w:type="spellStart"/>
            <w:r w:rsidRPr="00376D8E">
              <w:t>Qd</w:t>
            </w:r>
            <w:proofErr w:type="spellEnd"/>
            <w:r w:rsidRPr="00376D8E">
              <w:t xml:space="preserve"> R 140</w:t>
            </w:r>
          </w:p>
          <w:p w14:paraId="0116A6B6" w14:textId="24576269" w:rsidR="001A070E" w:rsidRPr="00376D8E" w:rsidRDefault="003B60F2" w:rsidP="00533826">
            <w:pPr>
              <w:pStyle w:val="ParaNumbering"/>
              <w:numPr>
                <w:ilvl w:val="0"/>
                <w:numId w:val="0"/>
              </w:numPr>
              <w:spacing w:before="0" w:after="60" w:line="240" w:lineRule="auto"/>
            </w:pPr>
            <w:r w:rsidRPr="0038525A">
              <w:rPr>
                <w:i/>
              </w:rPr>
              <w:t xml:space="preserve">Re HIH Insurance Ltd (in prov </w:t>
            </w:r>
            <w:proofErr w:type="spellStart"/>
            <w:r w:rsidRPr="0038525A">
              <w:rPr>
                <w:i/>
              </w:rPr>
              <w:t>liq</w:t>
            </w:r>
            <w:proofErr w:type="spellEnd"/>
            <w:r w:rsidRPr="0038525A">
              <w:rPr>
                <w:i/>
              </w:rPr>
              <w:t xml:space="preserve">) and HIH Casualty and General Insurance Ltd (in prov </w:t>
            </w:r>
            <w:proofErr w:type="spellStart"/>
            <w:r w:rsidRPr="0038525A">
              <w:rPr>
                <w:i/>
              </w:rPr>
              <w:t>liq</w:t>
            </w:r>
            <w:proofErr w:type="spellEnd"/>
            <w:r w:rsidRPr="0038525A">
              <w:rPr>
                <w:i/>
              </w:rPr>
              <w:t>)</w:t>
            </w:r>
            <w:r w:rsidRPr="00B57259">
              <w:rPr>
                <w:i/>
              </w:rPr>
              <w:t xml:space="preserve">; </w:t>
            </w:r>
            <w:r w:rsidRPr="001451B6">
              <w:rPr>
                <w:i/>
              </w:rPr>
              <w:t xml:space="preserve">Australian Securities and </w:t>
            </w:r>
            <w:r w:rsidR="00540537">
              <w:rPr>
                <w:i/>
              </w:rPr>
              <w:t>I</w:t>
            </w:r>
            <w:r w:rsidRPr="001451B6">
              <w:rPr>
                <w:i/>
              </w:rPr>
              <w:t>nvestments Commission v Adler</w:t>
            </w:r>
            <w:r w:rsidRPr="001451B6">
              <w:t xml:space="preserve"> [2002] NSWSC </w:t>
            </w:r>
            <w:r>
              <w:t>483</w:t>
            </w:r>
            <w:r w:rsidRPr="001451B6">
              <w:t>; 4</w:t>
            </w:r>
            <w:r>
              <w:t>2</w:t>
            </w:r>
            <w:r w:rsidRPr="001451B6">
              <w:t xml:space="preserve"> ACSR </w:t>
            </w:r>
            <w:r>
              <w:t>80</w:t>
            </w:r>
          </w:p>
          <w:p w14:paraId="7FBD5D13" w14:textId="35502EFB" w:rsidR="00C932EC" w:rsidRDefault="00C932EC" w:rsidP="00533826">
            <w:pPr>
              <w:pStyle w:val="ParaNumbering"/>
              <w:numPr>
                <w:ilvl w:val="0"/>
                <w:numId w:val="0"/>
              </w:numPr>
              <w:spacing w:before="0" w:after="60" w:line="240" w:lineRule="auto"/>
              <w:rPr>
                <w:i/>
                <w:iCs/>
              </w:rPr>
            </w:pPr>
            <w:r>
              <w:rPr>
                <w:i/>
                <w:iCs/>
              </w:rPr>
              <w:t xml:space="preserve">Re </w:t>
            </w:r>
            <w:proofErr w:type="spellStart"/>
            <w:r>
              <w:rPr>
                <w:i/>
                <w:iCs/>
              </w:rPr>
              <w:t>Chemeq</w:t>
            </w:r>
            <w:proofErr w:type="spellEnd"/>
            <w:r w:rsidR="00150102">
              <w:rPr>
                <w:i/>
                <w:iCs/>
              </w:rPr>
              <w:t xml:space="preserve"> Ltd</w:t>
            </w:r>
            <w:r w:rsidR="00554FE8">
              <w:rPr>
                <w:i/>
                <w:iCs/>
              </w:rPr>
              <w:t xml:space="preserve">; </w:t>
            </w:r>
            <w:r w:rsidR="00554FE8" w:rsidRPr="00376D8E">
              <w:rPr>
                <w:i/>
                <w:iCs/>
                <w:color w:val="000000"/>
                <w:bdr w:val="none" w:sz="0" w:space="0" w:color="auto" w:frame="1"/>
              </w:rPr>
              <w:t xml:space="preserve">Australian Securities and Investments Commission v </w:t>
            </w:r>
            <w:proofErr w:type="spellStart"/>
            <w:r w:rsidR="00554FE8" w:rsidRPr="00376D8E">
              <w:rPr>
                <w:i/>
                <w:iCs/>
                <w:color w:val="000000"/>
                <w:bdr w:val="none" w:sz="0" w:space="0" w:color="auto" w:frame="1"/>
              </w:rPr>
              <w:t>Chemeq</w:t>
            </w:r>
            <w:proofErr w:type="spellEnd"/>
            <w:r w:rsidR="00554FE8" w:rsidRPr="00376D8E">
              <w:rPr>
                <w:i/>
                <w:iCs/>
                <w:color w:val="000000"/>
                <w:bdr w:val="none" w:sz="0" w:space="0" w:color="auto" w:frame="1"/>
              </w:rPr>
              <w:t xml:space="preserve"> Ltd</w:t>
            </w:r>
            <w:r w:rsidR="00554FE8" w:rsidRPr="00376D8E">
              <w:rPr>
                <w:color w:val="000000"/>
              </w:rPr>
              <w:t> [2006] FCA 936; 234 ALR 511</w:t>
            </w:r>
          </w:p>
          <w:p w14:paraId="46536942" w14:textId="0950E712" w:rsidR="00704A93" w:rsidRPr="00376D8E" w:rsidRDefault="00704A93" w:rsidP="00533826">
            <w:pPr>
              <w:pStyle w:val="ParaNumbering"/>
              <w:numPr>
                <w:ilvl w:val="0"/>
                <w:numId w:val="0"/>
              </w:numPr>
              <w:spacing w:before="0" w:after="60" w:line="240" w:lineRule="auto"/>
            </w:pPr>
            <w:r w:rsidRPr="00376D8E">
              <w:rPr>
                <w:i/>
                <w:iCs/>
              </w:rPr>
              <w:t>R v Selim</w:t>
            </w:r>
            <w:r w:rsidRPr="00376D8E">
              <w:t xml:space="preserve"> [2007] NSWSC 362</w:t>
            </w:r>
          </w:p>
          <w:p w14:paraId="3332D119" w14:textId="536869CC" w:rsidR="00C64F17" w:rsidRDefault="00863816" w:rsidP="00533826">
            <w:pPr>
              <w:pStyle w:val="ParaNumbering"/>
              <w:numPr>
                <w:ilvl w:val="0"/>
                <w:numId w:val="0"/>
              </w:numPr>
              <w:spacing w:before="0" w:after="60" w:line="240" w:lineRule="auto"/>
            </w:pPr>
            <w:r>
              <w:rPr>
                <w:i/>
                <w:iCs/>
              </w:rPr>
              <w:lastRenderedPageBreak/>
              <w:t xml:space="preserve">Russian </w:t>
            </w:r>
            <w:r w:rsidR="005A743A">
              <w:rPr>
                <w:i/>
                <w:iCs/>
              </w:rPr>
              <w:t xml:space="preserve">Commercial and Industrial Bank v British </w:t>
            </w:r>
            <w:r w:rsidR="00090931">
              <w:rPr>
                <w:i/>
                <w:iCs/>
              </w:rPr>
              <w:t xml:space="preserve">Bank for Foreign Trade Ltd </w:t>
            </w:r>
            <w:r w:rsidR="00090931">
              <w:t>[</w:t>
            </w:r>
            <w:r w:rsidR="00AF7968">
              <w:t xml:space="preserve">1921] 2 </w:t>
            </w:r>
            <w:r w:rsidR="00C64F17">
              <w:t>AC</w:t>
            </w:r>
            <w:r w:rsidR="00AF7968">
              <w:t xml:space="preserve"> 437, </w:t>
            </w:r>
            <w:r w:rsidR="00C64F17">
              <w:t>448</w:t>
            </w:r>
          </w:p>
          <w:p w14:paraId="6E298928" w14:textId="7F09BA08" w:rsidR="00A75C27" w:rsidRPr="00376D8E" w:rsidRDefault="00A75C27" w:rsidP="00533826">
            <w:pPr>
              <w:pStyle w:val="ParaNumbering"/>
              <w:numPr>
                <w:ilvl w:val="0"/>
                <w:numId w:val="0"/>
              </w:numPr>
              <w:spacing w:before="0" w:after="60" w:line="240" w:lineRule="auto"/>
            </w:pPr>
            <w:r w:rsidRPr="07C118C5">
              <w:rPr>
                <w:i/>
                <w:iCs/>
              </w:rPr>
              <w:t>Trade Practices Commission v CSR Ltd</w:t>
            </w:r>
            <w:r>
              <w:t xml:space="preserve"> [1990] FCA 762; [1991] ATPR 41</w:t>
            </w:r>
            <w:r w:rsidR="7CCD5B0C">
              <w:t>-</w:t>
            </w:r>
            <w:r>
              <w:t xml:space="preserve">076 </w:t>
            </w:r>
          </w:p>
          <w:p w14:paraId="1A169227" w14:textId="77777777" w:rsidR="006941F0" w:rsidRDefault="009536C5" w:rsidP="00533826">
            <w:pPr>
              <w:pStyle w:val="ParaNumbering"/>
              <w:numPr>
                <w:ilvl w:val="0"/>
                <w:numId w:val="0"/>
              </w:numPr>
              <w:spacing w:before="0" w:after="60" w:line="240" w:lineRule="auto"/>
            </w:pPr>
            <w:r w:rsidRPr="00376D8E">
              <w:rPr>
                <w:i/>
                <w:iCs/>
              </w:rPr>
              <w:t>Transport Workers’ Union of Australia v Registered Organisations Commission (No 2) (TWU)</w:t>
            </w:r>
            <w:r w:rsidRPr="00376D8E">
              <w:t xml:space="preserve"> [2018] FCAFC 203; 267 FCR 40</w:t>
            </w:r>
            <w:bookmarkEnd w:id="4"/>
          </w:p>
          <w:p w14:paraId="550D9AB7" w14:textId="79F00328" w:rsidR="006941F0" w:rsidRPr="001A070E" w:rsidRDefault="00357EC8" w:rsidP="00533826">
            <w:pPr>
              <w:pStyle w:val="ParaNumbering"/>
              <w:numPr>
                <w:ilvl w:val="0"/>
                <w:numId w:val="0"/>
              </w:numPr>
              <w:spacing w:before="0" w:after="60" w:line="240" w:lineRule="auto"/>
              <w:rPr>
                <w:i/>
                <w:iCs/>
              </w:rPr>
            </w:pPr>
            <w:r w:rsidRPr="003F5578">
              <w:rPr>
                <w:i/>
                <w:iCs/>
              </w:rPr>
              <w:t>W</w:t>
            </w:r>
            <w:r w:rsidR="003F5578" w:rsidRPr="003F5578">
              <w:rPr>
                <w:i/>
                <w:iCs/>
              </w:rPr>
              <w:t>e</w:t>
            </w:r>
            <w:r w:rsidRPr="003F5578">
              <w:rPr>
                <w:i/>
                <w:iCs/>
              </w:rPr>
              <w:t>st</w:t>
            </w:r>
            <w:r w:rsidR="003F5578" w:rsidRPr="003F5578">
              <w:rPr>
                <w:i/>
                <w:iCs/>
              </w:rPr>
              <w:t xml:space="preserve">pac Banking Corp v Bell Group Ltd (in </w:t>
            </w:r>
            <w:proofErr w:type="spellStart"/>
            <w:r w:rsidR="003F5578" w:rsidRPr="003F5578">
              <w:rPr>
                <w:i/>
                <w:iCs/>
              </w:rPr>
              <w:t>Liq</w:t>
            </w:r>
            <w:proofErr w:type="spellEnd"/>
            <w:r w:rsidR="003F5578" w:rsidRPr="003F5578">
              <w:rPr>
                <w:i/>
                <w:iCs/>
              </w:rPr>
              <w:t>) (No 3)</w:t>
            </w:r>
            <w:r w:rsidR="003F5578">
              <w:t xml:space="preserve"> </w:t>
            </w:r>
            <w:r w:rsidR="003F5578" w:rsidRPr="003F5578">
              <w:t>(2012)</w:t>
            </w:r>
            <w:r w:rsidR="003F5578">
              <w:rPr>
                <w:i/>
                <w:iCs/>
              </w:rPr>
              <w:t xml:space="preserve"> </w:t>
            </w:r>
            <w:r w:rsidR="003F5578" w:rsidRPr="003F5578">
              <w:t>44 WAR 1; [2012] WASCA 157</w:t>
            </w:r>
          </w:p>
        </w:tc>
      </w:tr>
      <w:tr w:rsidR="00E72A90" w14:paraId="03974F1B" w14:textId="77777777" w:rsidTr="009A689C">
        <w:tc>
          <w:tcPr>
            <w:tcW w:w="3084" w:type="dxa"/>
            <w:shd w:val="clear" w:color="auto" w:fill="auto"/>
          </w:tcPr>
          <w:p w14:paraId="1B1B7A5D" w14:textId="77777777" w:rsidR="00E72A90" w:rsidRDefault="00E72A90" w:rsidP="001434AA">
            <w:pPr>
              <w:pStyle w:val="Normal1linespace"/>
              <w:widowControl w:val="0"/>
            </w:pPr>
          </w:p>
        </w:tc>
        <w:tc>
          <w:tcPr>
            <w:tcW w:w="5989" w:type="dxa"/>
            <w:shd w:val="clear" w:color="auto" w:fill="auto"/>
          </w:tcPr>
          <w:p w14:paraId="08320FDD" w14:textId="77777777" w:rsidR="00E72A90" w:rsidRDefault="00E72A90" w:rsidP="001434AA">
            <w:pPr>
              <w:pStyle w:val="Normal1linespace"/>
              <w:widowControl w:val="0"/>
              <w:jc w:val="left"/>
            </w:pPr>
          </w:p>
        </w:tc>
      </w:tr>
      <w:tr w:rsidR="00E72A90" w14:paraId="2DB62764" w14:textId="77777777" w:rsidTr="009A689C">
        <w:tc>
          <w:tcPr>
            <w:tcW w:w="3084" w:type="dxa"/>
            <w:shd w:val="clear" w:color="auto" w:fill="auto"/>
          </w:tcPr>
          <w:p w14:paraId="5EC26CAA" w14:textId="77777777" w:rsidR="00E72A90" w:rsidRDefault="00E72A90" w:rsidP="00501A12">
            <w:pPr>
              <w:pStyle w:val="Normal1linespace"/>
              <w:widowControl w:val="0"/>
            </w:pPr>
            <w:r>
              <w:t>Division:</w:t>
            </w:r>
          </w:p>
        </w:tc>
        <w:tc>
          <w:tcPr>
            <w:tcW w:w="5989" w:type="dxa"/>
            <w:shd w:val="clear" w:color="auto" w:fill="auto"/>
          </w:tcPr>
          <w:p w14:paraId="63CF95E4" w14:textId="74C7F5A2" w:rsidR="00E72A90" w:rsidRPr="00F17599" w:rsidRDefault="004B6C4F" w:rsidP="00501A12">
            <w:pPr>
              <w:pStyle w:val="Normal1linespace"/>
              <w:widowControl w:val="0"/>
              <w:jc w:val="left"/>
            </w:pPr>
            <w:r>
              <w:fldChar w:fldCharType="begin"/>
            </w:r>
            <w:r>
              <w:instrText xml:space="preserve"> DOCPROPERTY  Division </w:instrText>
            </w:r>
            <w:r>
              <w:fldChar w:fldCharType="separate"/>
            </w:r>
            <w:r w:rsidR="00E72A90">
              <w:t>General Division</w:t>
            </w:r>
            <w:r>
              <w:fldChar w:fldCharType="end"/>
            </w:r>
          </w:p>
        </w:tc>
      </w:tr>
      <w:tr w:rsidR="00E72A90" w14:paraId="63F5C49A" w14:textId="77777777" w:rsidTr="009A689C">
        <w:tc>
          <w:tcPr>
            <w:tcW w:w="3084" w:type="dxa"/>
            <w:shd w:val="clear" w:color="auto" w:fill="auto"/>
          </w:tcPr>
          <w:p w14:paraId="4011FFD2" w14:textId="77777777" w:rsidR="00E72A90" w:rsidRDefault="00E72A90" w:rsidP="00501A12">
            <w:pPr>
              <w:pStyle w:val="Normal1linespace"/>
              <w:widowControl w:val="0"/>
            </w:pPr>
            <w:bookmarkStart w:id="5" w:name="Registry_rows" w:colFirst="0" w:colLast="1"/>
          </w:p>
        </w:tc>
        <w:tc>
          <w:tcPr>
            <w:tcW w:w="5989" w:type="dxa"/>
            <w:shd w:val="clear" w:color="auto" w:fill="auto"/>
          </w:tcPr>
          <w:p w14:paraId="0D8FE2A0" w14:textId="77777777" w:rsidR="00E72A90" w:rsidRDefault="00E72A90" w:rsidP="00501A12">
            <w:pPr>
              <w:pStyle w:val="Normal1linespace"/>
              <w:widowControl w:val="0"/>
              <w:jc w:val="left"/>
            </w:pPr>
          </w:p>
        </w:tc>
      </w:tr>
      <w:tr w:rsidR="00E72A90" w14:paraId="05EBE980" w14:textId="77777777" w:rsidTr="009A689C">
        <w:tc>
          <w:tcPr>
            <w:tcW w:w="3084" w:type="dxa"/>
            <w:shd w:val="clear" w:color="auto" w:fill="auto"/>
          </w:tcPr>
          <w:p w14:paraId="668435CA" w14:textId="77777777" w:rsidR="00E72A90" w:rsidRDefault="00E72A90" w:rsidP="00501A12">
            <w:pPr>
              <w:pStyle w:val="Normal1linespace"/>
              <w:widowControl w:val="0"/>
            </w:pPr>
            <w:r>
              <w:t>Registry:</w:t>
            </w:r>
          </w:p>
        </w:tc>
        <w:tc>
          <w:tcPr>
            <w:tcW w:w="5989" w:type="dxa"/>
            <w:shd w:val="clear" w:color="auto" w:fill="auto"/>
          </w:tcPr>
          <w:p w14:paraId="79106B29" w14:textId="0B06B882" w:rsidR="00E72A90" w:rsidRPr="00F17599" w:rsidRDefault="00211437" w:rsidP="00501A12">
            <w:pPr>
              <w:pStyle w:val="Normal1linespace"/>
              <w:widowControl w:val="0"/>
              <w:jc w:val="left"/>
            </w:pPr>
            <w:r>
              <w:t>Western Australia</w:t>
            </w:r>
          </w:p>
        </w:tc>
      </w:tr>
      <w:tr w:rsidR="00E72A90" w14:paraId="7709040B" w14:textId="77777777" w:rsidTr="009A689C">
        <w:tc>
          <w:tcPr>
            <w:tcW w:w="3084" w:type="dxa"/>
            <w:shd w:val="clear" w:color="auto" w:fill="auto"/>
          </w:tcPr>
          <w:p w14:paraId="5CCC0E34" w14:textId="77777777" w:rsidR="00E72A90" w:rsidRDefault="00E72A90" w:rsidP="00501A12">
            <w:pPr>
              <w:pStyle w:val="Normal1linespace"/>
              <w:widowControl w:val="0"/>
            </w:pPr>
            <w:bookmarkStart w:id="6" w:name="NPARow" w:colFirst="0" w:colLast="1"/>
            <w:bookmarkEnd w:id="5"/>
          </w:p>
        </w:tc>
        <w:tc>
          <w:tcPr>
            <w:tcW w:w="5989" w:type="dxa"/>
            <w:shd w:val="clear" w:color="auto" w:fill="auto"/>
          </w:tcPr>
          <w:p w14:paraId="1B49BDF4" w14:textId="77777777" w:rsidR="00E72A90" w:rsidRPr="00F17599" w:rsidRDefault="00E72A90" w:rsidP="00501A12">
            <w:pPr>
              <w:pStyle w:val="Normal1linespace"/>
              <w:widowControl w:val="0"/>
              <w:jc w:val="left"/>
              <w:rPr>
                <w:b/>
              </w:rPr>
            </w:pPr>
          </w:p>
        </w:tc>
      </w:tr>
      <w:tr w:rsidR="00E72A90" w14:paraId="6B8B2B3B" w14:textId="77777777" w:rsidTr="009A689C">
        <w:tc>
          <w:tcPr>
            <w:tcW w:w="3084" w:type="dxa"/>
            <w:shd w:val="clear" w:color="auto" w:fill="auto"/>
          </w:tcPr>
          <w:p w14:paraId="2FED01FF" w14:textId="77777777" w:rsidR="00E72A90" w:rsidRDefault="00E72A90" w:rsidP="00501A12">
            <w:pPr>
              <w:pStyle w:val="Normal1linespace"/>
              <w:widowControl w:val="0"/>
            </w:pPr>
            <w:r>
              <w:t>National Practice Area:</w:t>
            </w:r>
          </w:p>
        </w:tc>
        <w:tc>
          <w:tcPr>
            <w:tcW w:w="5989" w:type="dxa"/>
            <w:shd w:val="clear" w:color="auto" w:fill="auto"/>
          </w:tcPr>
          <w:p w14:paraId="327271F9" w14:textId="22FDACED" w:rsidR="00E72A90" w:rsidRPr="00F17599" w:rsidRDefault="00DA4B24" w:rsidP="001434AA">
            <w:pPr>
              <w:pStyle w:val="Normal1linespace"/>
              <w:widowControl w:val="0"/>
              <w:jc w:val="left"/>
              <w:rPr>
                <w:b/>
              </w:rPr>
            </w:pPr>
            <w:r>
              <w:fldChar w:fldCharType="begin"/>
            </w:r>
            <w:r>
              <w:instrText>DOCPROPERTY  "Practice Area"  \* MERGEFORMAT</w:instrText>
            </w:r>
            <w:r>
              <w:fldChar w:fldCharType="separate"/>
            </w:r>
            <w:r w:rsidR="00E72A90">
              <w:t>Commercial and Corporations</w:t>
            </w:r>
            <w:r>
              <w:fldChar w:fldCharType="end"/>
            </w:r>
          </w:p>
        </w:tc>
      </w:tr>
      <w:tr w:rsidR="00E72A90" w14:paraId="43C11F4F" w14:textId="77777777" w:rsidTr="009A689C">
        <w:tc>
          <w:tcPr>
            <w:tcW w:w="3084" w:type="dxa"/>
            <w:shd w:val="clear" w:color="auto" w:fill="auto"/>
          </w:tcPr>
          <w:p w14:paraId="5506651A" w14:textId="77777777" w:rsidR="00E72A90" w:rsidRDefault="00E72A90" w:rsidP="00501A12">
            <w:pPr>
              <w:pStyle w:val="Normal1linespace"/>
              <w:widowControl w:val="0"/>
            </w:pPr>
            <w:bookmarkStart w:id="7" w:name="SubAreaRow" w:colFirst="0" w:colLast="1"/>
            <w:bookmarkEnd w:id="6"/>
          </w:p>
        </w:tc>
        <w:tc>
          <w:tcPr>
            <w:tcW w:w="5989" w:type="dxa"/>
            <w:shd w:val="clear" w:color="auto" w:fill="auto"/>
          </w:tcPr>
          <w:p w14:paraId="71617B39" w14:textId="77777777" w:rsidR="00E72A90" w:rsidRDefault="00E72A90" w:rsidP="001434AA">
            <w:pPr>
              <w:pStyle w:val="Normal1linespace"/>
              <w:widowControl w:val="0"/>
              <w:jc w:val="left"/>
            </w:pPr>
          </w:p>
        </w:tc>
      </w:tr>
      <w:tr w:rsidR="00E72A90" w14:paraId="32692D2C" w14:textId="77777777" w:rsidTr="009A689C">
        <w:tc>
          <w:tcPr>
            <w:tcW w:w="3084" w:type="dxa"/>
            <w:shd w:val="clear" w:color="auto" w:fill="auto"/>
          </w:tcPr>
          <w:p w14:paraId="62DAFF3A" w14:textId="77777777" w:rsidR="00E72A90" w:rsidRDefault="00E72A90" w:rsidP="00501A12">
            <w:pPr>
              <w:pStyle w:val="Normal1linespace"/>
              <w:widowControl w:val="0"/>
            </w:pPr>
            <w:r>
              <w:t>Sub-area:</w:t>
            </w:r>
          </w:p>
        </w:tc>
        <w:tc>
          <w:tcPr>
            <w:tcW w:w="5989" w:type="dxa"/>
            <w:shd w:val="clear" w:color="auto" w:fill="auto"/>
          </w:tcPr>
          <w:p w14:paraId="067E32A2" w14:textId="3BE71E52" w:rsidR="00E72A90" w:rsidRPr="00837288" w:rsidRDefault="00DA4B24" w:rsidP="001434AA">
            <w:pPr>
              <w:pStyle w:val="Normal1linespace"/>
              <w:widowControl w:val="0"/>
              <w:jc w:val="left"/>
            </w:pPr>
            <w:r>
              <w:fldChar w:fldCharType="begin"/>
            </w:r>
            <w:r>
              <w:instrText>DOCPROPERTY  "Sub Area"  \* MERGEFORMAT</w:instrText>
            </w:r>
            <w:r>
              <w:fldChar w:fldCharType="separate"/>
            </w:r>
            <w:r w:rsidR="00E72A90" w:rsidRPr="00E72A90">
              <w:rPr>
                <w:lang w:val="en-US"/>
              </w:rPr>
              <w:t>Regulator and Consumer</w:t>
            </w:r>
            <w:r w:rsidR="00E72A90">
              <w:t xml:space="preserve"> Protection</w:t>
            </w:r>
            <w:r>
              <w:fldChar w:fldCharType="end"/>
            </w:r>
          </w:p>
        </w:tc>
      </w:tr>
      <w:bookmarkEnd w:id="7"/>
      <w:tr w:rsidR="00E72A90" w14:paraId="63D6C674" w14:textId="77777777" w:rsidTr="009A689C">
        <w:tc>
          <w:tcPr>
            <w:tcW w:w="3084" w:type="dxa"/>
            <w:shd w:val="clear" w:color="auto" w:fill="auto"/>
          </w:tcPr>
          <w:p w14:paraId="1F4560BA" w14:textId="77777777" w:rsidR="00E72A90" w:rsidRDefault="00E72A90" w:rsidP="00501A12">
            <w:pPr>
              <w:pStyle w:val="Normal1linespace"/>
              <w:widowControl w:val="0"/>
            </w:pPr>
          </w:p>
        </w:tc>
        <w:tc>
          <w:tcPr>
            <w:tcW w:w="5989" w:type="dxa"/>
            <w:shd w:val="clear" w:color="auto" w:fill="auto"/>
          </w:tcPr>
          <w:p w14:paraId="439C7239" w14:textId="77777777" w:rsidR="00E72A90" w:rsidRDefault="00E72A90" w:rsidP="00501A12">
            <w:pPr>
              <w:pStyle w:val="Normal1linespace"/>
              <w:widowControl w:val="0"/>
              <w:jc w:val="left"/>
            </w:pPr>
          </w:p>
        </w:tc>
      </w:tr>
      <w:tr w:rsidR="00E72A90" w14:paraId="03EECE71" w14:textId="77777777" w:rsidTr="009A689C">
        <w:tc>
          <w:tcPr>
            <w:tcW w:w="3084" w:type="dxa"/>
            <w:shd w:val="clear" w:color="auto" w:fill="auto"/>
          </w:tcPr>
          <w:p w14:paraId="41883080" w14:textId="77777777" w:rsidR="00E72A90" w:rsidRDefault="00E72A90" w:rsidP="00501A12">
            <w:pPr>
              <w:pStyle w:val="Normal1linespace"/>
              <w:widowControl w:val="0"/>
            </w:pPr>
            <w:r>
              <w:t>Number of paragraphs:</w:t>
            </w:r>
          </w:p>
        </w:tc>
        <w:tc>
          <w:tcPr>
            <w:tcW w:w="5989" w:type="dxa"/>
            <w:shd w:val="clear" w:color="auto" w:fill="auto"/>
          </w:tcPr>
          <w:p w14:paraId="20B9689B" w14:textId="387DEAC1" w:rsidR="00E72A90" w:rsidRDefault="005B2993" w:rsidP="00501A12">
            <w:pPr>
              <w:pStyle w:val="Normal1linespace"/>
              <w:widowControl w:val="0"/>
              <w:jc w:val="left"/>
            </w:pPr>
            <w:bookmarkStart w:id="8" w:name="PlaceCategoryParagraphs"/>
            <w:r>
              <w:t>191</w:t>
            </w:r>
            <w:bookmarkEnd w:id="8"/>
          </w:p>
        </w:tc>
      </w:tr>
      <w:tr w:rsidR="00E72A90" w14:paraId="79622BEF" w14:textId="77777777" w:rsidTr="009A689C">
        <w:tc>
          <w:tcPr>
            <w:tcW w:w="3084" w:type="dxa"/>
            <w:shd w:val="clear" w:color="auto" w:fill="auto"/>
          </w:tcPr>
          <w:p w14:paraId="31EB885D" w14:textId="77777777" w:rsidR="00E72A90" w:rsidRDefault="00E72A90" w:rsidP="00E72A90">
            <w:pPr>
              <w:pStyle w:val="Normal1linespace"/>
              <w:widowControl w:val="0"/>
              <w:jc w:val="left"/>
            </w:pPr>
          </w:p>
        </w:tc>
        <w:tc>
          <w:tcPr>
            <w:tcW w:w="5989" w:type="dxa"/>
            <w:shd w:val="clear" w:color="auto" w:fill="auto"/>
          </w:tcPr>
          <w:p w14:paraId="33DB2689" w14:textId="77777777" w:rsidR="00E72A90" w:rsidRDefault="00E72A90" w:rsidP="00E72A90">
            <w:pPr>
              <w:pStyle w:val="Normal1linespace"/>
              <w:widowControl w:val="0"/>
              <w:jc w:val="left"/>
            </w:pPr>
          </w:p>
        </w:tc>
      </w:tr>
      <w:tr w:rsidR="00E72A90" w14:paraId="184C275E" w14:textId="77777777" w:rsidTr="009A689C">
        <w:tc>
          <w:tcPr>
            <w:tcW w:w="3084" w:type="dxa"/>
            <w:shd w:val="clear" w:color="auto" w:fill="auto"/>
          </w:tcPr>
          <w:p w14:paraId="501562F4" w14:textId="77777777" w:rsidR="00E72A90" w:rsidRDefault="00E72A90" w:rsidP="00E72A90">
            <w:pPr>
              <w:pStyle w:val="Normal1linespace"/>
              <w:widowControl w:val="0"/>
              <w:jc w:val="left"/>
            </w:pPr>
            <w:bookmarkStart w:id="9" w:name="CounselDate" w:colFirst="0" w:colLast="2"/>
            <w:r w:rsidRPr="006A24E3">
              <w:t>Date of hearing:</w:t>
            </w:r>
          </w:p>
        </w:tc>
        <w:tc>
          <w:tcPr>
            <w:tcW w:w="5989" w:type="dxa"/>
            <w:shd w:val="clear" w:color="auto" w:fill="auto"/>
          </w:tcPr>
          <w:p w14:paraId="5F81F977" w14:textId="6E8F3921" w:rsidR="00E72A90" w:rsidRDefault="00E72A90" w:rsidP="00E72A90">
            <w:pPr>
              <w:pStyle w:val="Normal1linespace"/>
              <w:widowControl w:val="0"/>
              <w:jc w:val="left"/>
            </w:pPr>
            <w:bookmarkStart w:id="10" w:name="HearingDate"/>
            <w:r>
              <w:t xml:space="preserve">6 December 2023 </w:t>
            </w:r>
            <w:bookmarkEnd w:id="10"/>
          </w:p>
        </w:tc>
      </w:tr>
      <w:tr w:rsidR="00E72A90" w14:paraId="6FCBC8DF" w14:textId="77777777" w:rsidTr="009A689C">
        <w:tc>
          <w:tcPr>
            <w:tcW w:w="3084" w:type="dxa"/>
            <w:shd w:val="clear" w:color="auto" w:fill="auto"/>
          </w:tcPr>
          <w:p w14:paraId="3C8F1285" w14:textId="77777777" w:rsidR="00E72A90" w:rsidRDefault="00E72A90" w:rsidP="00E72A90">
            <w:pPr>
              <w:pStyle w:val="Normal1linespace"/>
              <w:widowControl w:val="0"/>
              <w:jc w:val="left"/>
            </w:pPr>
          </w:p>
        </w:tc>
        <w:tc>
          <w:tcPr>
            <w:tcW w:w="5989" w:type="dxa"/>
            <w:shd w:val="clear" w:color="auto" w:fill="auto"/>
          </w:tcPr>
          <w:p w14:paraId="57C65C32" w14:textId="77777777" w:rsidR="00E72A90" w:rsidRDefault="00E72A90" w:rsidP="00E72A90">
            <w:pPr>
              <w:pStyle w:val="Normal1linespace"/>
              <w:widowControl w:val="0"/>
              <w:jc w:val="left"/>
            </w:pPr>
          </w:p>
        </w:tc>
      </w:tr>
      <w:tr w:rsidR="003E2FD8" w14:paraId="749BB978" w14:textId="77777777" w:rsidTr="009A689C">
        <w:tc>
          <w:tcPr>
            <w:tcW w:w="3084" w:type="dxa"/>
            <w:shd w:val="clear" w:color="auto" w:fill="auto"/>
          </w:tcPr>
          <w:p w14:paraId="3F3C8AAA" w14:textId="56B44DCF" w:rsidR="003E2FD8" w:rsidRDefault="003E2FD8" w:rsidP="00E72A90">
            <w:pPr>
              <w:pStyle w:val="Normal1linespace"/>
              <w:widowControl w:val="0"/>
              <w:jc w:val="left"/>
            </w:pPr>
            <w:r>
              <w:t xml:space="preserve">Counsel for the </w:t>
            </w:r>
            <w:r w:rsidR="00F05F3A">
              <w:t>Plain</w:t>
            </w:r>
            <w:r w:rsidR="00632610">
              <w:t>tiff</w:t>
            </w:r>
            <w:r>
              <w:t>:</w:t>
            </w:r>
          </w:p>
        </w:tc>
        <w:tc>
          <w:tcPr>
            <w:tcW w:w="5989" w:type="dxa"/>
            <w:shd w:val="clear" w:color="auto" w:fill="auto"/>
          </w:tcPr>
          <w:p w14:paraId="10A066FD" w14:textId="1BA0544A" w:rsidR="003E2FD8" w:rsidRDefault="00265276" w:rsidP="00E72A90">
            <w:pPr>
              <w:pStyle w:val="Normal1linespace"/>
              <w:widowControl w:val="0"/>
              <w:jc w:val="left"/>
            </w:pPr>
            <w:r>
              <w:t xml:space="preserve">Dr </w:t>
            </w:r>
            <w:r w:rsidR="009324ED">
              <w:t>O</w:t>
            </w:r>
            <w:r w:rsidR="00EE7A12">
              <w:t xml:space="preserve"> Bigos</w:t>
            </w:r>
            <w:r w:rsidR="008D2D37">
              <w:t xml:space="preserve"> KC</w:t>
            </w:r>
            <w:r w:rsidR="00CF311A">
              <w:t xml:space="preserve"> </w:t>
            </w:r>
            <w:r w:rsidR="009324ED">
              <w:t xml:space="preserve">with Mr M </w:t>
            </w:r>
            <w:r w:rsidR="00CF311A">
              <w:t>Sherman</w:t>
            </w:r>
          </w:p>
        </w:tc>
      </w:tr>
      <w:tr w:rsidR="003E2FD8" w14:paraId="38C734E3" w14:textId="77777777" w:rsidTr="009A689C">
        <w:tc>
          <w:tcPr>
            <w:tcW w:w="3084" w:type="dxa"/>
            <w:shd w:val="clear" w:color="auto" w:fill="auto"/>
          </w:tcPr>
          <w:p w14:paraId="6FB88E9A" w14:textId="77777777" w:rsidR="003E2FD8" w:rsidRDefault="003E2FD8" w:rsidP="00E72A90">
            <w:pPr>
              <w:pStyle w:val="Normal1linespace"/>
              <w:widowControl w:val="0"/>
              <w:jc w:val="left"/>
            </w:pPr>
          </w:p>
        </w:tc>
        <w:tc>
          <w:tcPr>
            <w:tcW w:w="5989" w:type="dxa"/>
            <w:shd w:val="clear" w:color="auto" w:fill="auto"/>
          </w:tcPr>
          <w:p w14:paraId="16438EBA" w14:textId="77777777" w:rsidR="003E2FD8" w:rsidRDefault="003E2FD8" w:rsidP="00E72A90">
            <w:pPr>
              <w:pStyle w:val="Normal1linespace"/>
              <w:widowControl w:val="0"/>
              <w:jc w:val="left"/>
            </w:pPr>
          </w:p>
        </w:tc>
      </w:tr>
      <w:tr w:rsidR="003E2FD8" w14:paraId="51271068" w14:textId="77777777" w:rsidTr="009A689C">
        <w:tc>
          <w:tcPr>
            <w:tcW w:w="3084" w:type="dxa"/>
            <w:shd w:val="clear" w:color="auto" w:fill="auto"/>
          </w:tcPr>
          <w:p w14:paraId="781FE8DE" w14:textId="65F7FAA3" w:rsidR="003E2FD8" w:rsidRDefault="003E2FD8" w:rsidP="00E72A90">
            <w:pPr>
              <w:pStyle w:val="Normal1linespace"/>
              <w:widowControl w:val="0"/>
              <w:jc w:val="left"/>
            </w:pPr>
            <w:r>
              <w:t xml:space="preserve">Solicitor for the </w:t>
            </w:r>
            <w:r w:rsidR="00004467">
              <w:t>Plaintiff</w:t>
            </w:r>
            <w:r>
              <w:t>:</w:t>
            </w:r>
          </w:p>
        </w:tc>
        <w:tc>
          <w:tcPr>
            <w:tcW w:w="5989" w:type="dxa"/>
            <w:shd w:val="clear" w:color="auto" w:fill="auto"/>
          </w:tcPr>
          <w:p w14:paraId="7B3591CB" w14:textId="007FBCB3" w:rsidR="003E2FD8" w:rsidRDefault="00EE15A5" w:rsidP="00E72A90">
            <w:pPr>
              <w:pStyle w:val="Normal1linespace"/>
              <w:widowControl w:val="0"/>
              <w:jc w:val="left"/>
            </w:pPr>
            <w:r>
              <w:t>Australian Government Solicitor</w:t>
            </w:r>
          </w:p>
        </w:tc>
      </w:tr>
      <w:tr w:rsidR="003E2FD8" w14:paraId="5EC81674" w14:textId="77777777" w:rsidTr="009A689C">
        <w:tc>
          <w:tcPr>
            <w:tcW w:w="3084" w:type="dxa"/>
            <w:shd w:val="clear" w:color="auto" w:fill="auto"/>
          </w:tcPr>
          <w:p w14:paraId="2F686FC4" w14:textId="77777777" w:rsidR="003E2FD8" w:rsidRDefault="003E2FD8" w:rsidP="00E72A90">
            <w:pPr>
              <w:pStyle w:val="Normal1linespace"/>
              <w:widowControl w:val="0"/>
              <w:jc w:val="left"/>
            </w:pPr>
          </w:p>
        </w:tc>
        <w:tc>
          <w:tcPr>
            <w:tcW w:w="5989" w:type="dxa"/>
            <w:shd w:val="clear" w:color="auto" w:fill="auto"/>
          </w:tcPr>
          <w:p w14:paraId="549477E3" w14:textId="77777777" w:rsidR="003E2FD8" w:rsidRDefault="003E2FD8" w:rsidP="00E72A90">
            <w:pPr>
              <w:pStyle w:val="Normal1linespace"/>
              <w:widowControl w:val="0"/>
              <w:jc w:val="left"/>
            </w:pPr>
          </w:p>
        </w:tc>
      </w:tr>
      <w:tr w:rsidR="003E2FD8" w14:paraId="5106BBC5" w14:textId="77777777" w:rsidTr="009A689C">
        <w:tc>
          <w:tcPr>
            <w:tcW w:w="3084" w:type="dxa"/>
            <w:shd w:val="clear" w:color="auto" w:fill="auto"/>
          </w:tcPr>
          <w:p w14:paraId="09D0C26C" w14:textId="38820A42" w:rsidR="003E2FD8" w:rsidRDefault="003E2FD8" w:rsidP="00E72A90">
            <w:pPr>
              <w:pStyle w:val="Normal1linespace"/>
              <w:widowControl w:val="0"/>
              <w:jc w:val="left"/>
            </w:pPr>
            <w:r>
              <w:t xml:space="preserve">Counsel for the </w:t>
            </w:r>
            <w:r w:rsidR="009324ED">
              <w:t>F</w:t>
            </w:r>
            <w:r w:rsidR="003F5E88">
              <w:t xml:space="preserve">irst </w:t>
            </w:r>
            <w:r w:rsidR="00004467">
              <w:t>Defenda</w:t>
            </w:r>
            <w:r>
              <w:t>nt:</w:t>
            </w:r>
          </w:p>
        </w:tc>
        <w:tc>
          <w:tcPr>
            <w:tcW w:w="5989" w:type="dxa"/>
            <w:shd w:val="clear" w:color="auto" w:fill="auto"/>
          </w:tcPr>
          <w:p w14:paraId="28BF615B" w14:textId="05EFF73C" w:rsidR="003E2FD8" w:rsidRDefault="009324ED" w:rsidP="00E72A90">
            <w:pPr>
              <w:pStyle w:val="Normal1linespace"/>
              <w:widowControl w:val="0"/>
              <w:jc w:val="left"/>
            </w:pPr>
            <w:r>
              <w:t>Mr D</w:t>
            </w:r>
            <w:r w:rsidR="00F908AA">
              <w:t xml:space="preserve"> Sulan SC </w:t>
            </w:r>
            <w:r>
              <w:t>with Mr B</w:t>
            </w:r>
            <w:r w:rsidR="00F908AA">
              <w:t xml:space="preserve"> Smith</w:t>
            </w:r>
          </w:p>
        </w:tc>
      </w:tr>
      <w:tr w:rsidR="003E2FD8" w14:paraId="5E0C45F6" w14:textId="77777777" w:rsidTr="009A689C">
        <w:tc>
          <w:tcPr>
            <w:tcW w:w="3084" w:type="dxa"/>
            <w:shd w:val="clear" w:color="auto" w:fill="auto"/>
          </w:tcPr>
          <w:p w14:paraId="1731E86B" w14:textId="77777777" w:rsidR="003E2FD8" w:rsidRDefault="003E2FD8" w:rsidP="00E72A90">
            <w:pPr>
              <w:pStyle w:val="Normal1linespace"/>
              <w:widowControl w:val="0"/>
              <w:jc w:val="left"/>
            </w:pPr>
          </w:p>
        </w:tc>
        <w:tc>
          <w:tcPr>
            <w:tcW w:w="5989" w:type="dxa"/>
            <w:shd w:val="clear" w:color="auto" w:fill="auto"/>
          </w:tcPr>
          <w:p w14:paraId="70ADFE93" w14:textId="77777777" w:rsidR="003E2FD8" w:rsidRDefault="003E2FD8" w:rsidP="00E72A90">
            <w:pPr>
              <w:pStyle w:val="Normal1linespace"/>
              <w:widowControl w:val="0"/>
              <w:jc w:val="left"/>
            </w:pPr>
          </w:p>
        </w:tc>
      </w:tr>
      <w:tr w:rsidR="003E2FD8" w14:paraId="3FF9D06A" w14:textId="77777777" w:rsidTr="009A689C">
        <w:tc>
          <w:tcPr>
            <w:tcW w:w="3084" w:type="dxa"/>
            <w:shd w:val="clear" w:color="auto" w:fill="auto"/>
          </w:tcPr>
          <w:p w14:paraId="21AB4CD7" w14:textId="100A86CB" w:rsidR="003E2FD8" w:rsidRDefault="003E2FD8" w:rsidP="00E72A90">
            <w:pPr>
              <w:pStyle w:val="Normal1linespace"/>
              <w:widowControl w:val="0"/>
              <w:jc w:val="left"/>
            </w:pPr>
            <w:r>
              <w:t xml:space="preserve">Solicitor for the </w:t>
            </w:r>
            <w:r w:rsidR="009324ED">
              <w:t>F</w:t>
            </w:r>
            <w:r w:rsidR="0061536B">
              <w:t xml:space="preserve">irst </w:t>
            </w:r>
            <w:r w:rsidR="00004467">
              <w:t>Defenda</w:t>
            </w:r>
            <w:r>
              <w:t>nt:</w:t>
            </w:r>
          </w:p>
        </w:tc>
        <w:tc>
          <w:tcPr>
            <w:tcW w:w="5989" w:type="dxa"/>
            <w:shd w:val="clear" w:color="auto" w:fill="auto"/>
          </w:tcPr>
          <w:p w14:paraId="43AF87CE" w14:textId="6B267C45" w:rsidR="003E2FD8" w:rsidRDefault="00916CD8" w:rsidP="00E72A90">
            <w:pPr>
              <w:pStyle w:val="Normal1linespace"/>
              <w:widowControl w:val="0"/>
              <w:jc w:val="left"/>
            </w:pPr>
            <w:r>
              <w:t>Jones Day</w:t>
            </w:r>
          </w:p>
        </w:tc>
      </w:tr>
      <w:tr w:rsidR="003E2FD8" w14:paraId="0062DCFD" w14:textId="77777777" w:rsidTr="009A689C">
        <w:tc>
          <w:tcPr>
            <w:tcW w:w="3084" w:type="dxa"/>
            <w:shd w:val="clear" w:color="auto" w:fill="auto"/>
          </w:tcPr>
          <w:p w14:paraId="001FF5D1" w14:textId="77777777" w:rsidR="003E2FD8" w:rsidRDefault="003E2FD8" w:rsidP="00E72A90">
            <w:pPr>
              <w:pStyle w:val="Normal1linespace"/>
              <w:widowControl w:val="0"/>
              <w:jc w:val="left"/>
            </w:pPr>
          </w:p>
        </w:tc>
        <w:tc>
          <w:tcPr>
            <w:tcW w:w="5989" w:type="dxa"/>
            <w:shd w:val="clear" w:color="auto" w:fill="auto"/>
          </w:tcPr>
          <w:p w14:paraId="652610E4" w14:textId="77777777" w:rsidR="003E2FD8" w:rsidRDefault="003E2FD8" w:rsidP="00E72A90">
            <w:pPr>
              <w:pStyle w:val="Normal1linespace"/>
              <w:widowControl w:val="0"/>
              <w:jc w:val="left"/>
            </w:pPr>
          </w:p>
        </w:tc>
      </w:tr>
      <w:tr w:rsidR="00916CD8" w14:paraId="0275D471" w14:textId="77777777" w:rsidTr="009A689C">
        <w:tc>
          <w:tcPr>
            <w:tcW w:w="3084" w:type="dxa"/>
            <w:shd w:val="clear" w:color="auto" w:fill="auto"/>
          </w:tcPr>
          <w:p w14:paraId="7037CA49" w14:textId="036303EA" w:rsidR="00916CD8" w:rsidRDefault="00916CD8" w:rsidP="00E72A90">
            <w:pPr>
              <w:pStyle w:val="Normal1linespace"/>
              <w:widowControl w:val="0"/>
              <w:jc w:val="left"/>
            </w:pPr>
            <w:r>
              <w:t xml:space="preserve">Counsel for the </w:t>
            </w:r>
            <w:r w:rsidR="009324ED">
              <w:t>S</w:t>
            </w:r>
            <w:r>
              <w:t xml:space="preserve">econd </w:t>
            </w:r>
            <w:r w:rsidR="00004467">
              <w:t>Defendant:</w:t>
            </w:r>
          </w:p>
        </w:tc>
        <w:tc>
          <w:tcPr>
            <w:tcW w:w="5989" w:type="dxa"/>
            <w:shd w:val="clear" w:color="auto" w:fill="auto"/>
          </w:tcPr>
          <w:p w14:paraId="27585306" w14:textId="569E9FE6" w:rsidR="00916CD8" w:rsidRDefault="009324ED" w:rsidP="00E72A90">
            <w:pPr>
              <w:pStyle w:val="Normal1linespace"/>
              <w:widowControl w:val="0"/>
              <w:jc w:val="left"/>
            </w:pPr>
            <w:r>
              <w:t>Ms J</w:t>
            </w:r>
            <w:r w:rsidR="00926D1F">
              <w:t xml:space="preserve"> </w:t>
            </w:r>
            <w:r w:rsidR="00FE6E27">
              <w:t xml:space="preserve">A </w:t>
            </w:r>
            <w:r w:rsidR="00926D1F">
              <w:t>Thornton</w:t>
            </w:r>
          </w:p>
        </w:tc>
      </w:tr>
      <w:tr w:rsidR="00916CD8" w14:paraId="42C8B1AE" w14:textId="77777777" w:rsidTr="009A689C">
        <w:tc>
          <w:tcPr>
            <w:tcW w:w="3084" w:type="dxa"/>
            <w:shd w:val="clear" w:color="auto" w:fill="auto"/>
          </w:tcPr>
          <w:p w14:paraId="47307A20" w14:textId="77777777" w:rsidR="00916CD8" w:rsidRDefault="00916CD8" w:rsidP="00E72A90">
            <w:pPr>
              <w:pStyle w:val="Normal1linespace"/>
              <w:widowControl w:val="0"/>
              <w:jc w:val="left"/>
            </w:pPr>
          </w:p>
        </w:tc>
        <w:tc>
          <w:tcPr>
            <w:tcW w:w="5989" w:type="dxa"/>
            <w:shd w:val="clear" w:color="auto" w:fill="auto"/>
          </w:tcPr>
          <w:p w14:paraId="29C9EE53" w14:textId="77777777" w:rsidR="00916CD8" w:rsidRDefault="00916CD8" w:rsidP="00E72A90">
            <w:pPr>
              <w:pStyle w:val="Normal1linespace"/>
              <w:widowControl w:val="0"/>
              <w:jc w:val="left"/>
            </w:pPr>
          </w:p>
        </w:tc>
      </w:tr>
      <w:tr w:rsidR="00916CD8" w14:paraId="60C42E5C" w14:textId="77777777" w:rsidTr="009A689C">
        <w:tc>
          <w:tcPr>
            <w:tcW w:w="3084" w:type="dxa"/>
            <w:shd w:val="clear" w:color="auto" w:fill="auto"/>
          </w:tcPr>
          <w:p w14:paraId="1155643A" w14:textId="2688B727" w:rsidR="00916CD8" w:rsidRDefault="00916CD8" w:rsidP="00E72A90">
            <w:pPr>
              <w:pStyle w:val="Normal1linespace"/>
              <w:widowControl w:val="0"/>
              <w:jc w:val="left"/>
            </w:pPr>
            <w:r>
              <w:t xml:space="preserve">Solicitor for the </w:t>
            </w:r>
            <w:r w:rsidR="009324ED">
              <w:t>S</w:t>
            </w:r>
            <w:r>
              <w:t xml:space="preserve">econd </w:t>
            </w:r>
            <w:r w:rsidR="00004467">
              <w:t>Defendant:</w:t>
            </w:r>
          </w:p>
        </w:tc>
        <w:tc>
          <w:tcPr>
            <w:tcW w:w="5989" w:type="dxa"/>
            <w:shd w:val="clear" w:color="auto" w:fill="auto"/>
          </w:tcPr>
          <w:p w14:paraId="13F2B2DB" w14:textId="7E674A60" w:rsidR="00916CD8" w:rsidRDefault="00946B6C" w:rsidP="00E72A90">
            <w:pPr>
              <w:pStyle w:val="Normal1linespace"/>
              <w:widowControl w:val="0"/>
              <w:jc w:val="left"/>
            </w:pPr>
            <w:r>
              <w:t>Edwards</w:t>
            </w:r>
            <w:r w:rsidR="007D292E">
              <w:t xml:space="preserve"> Mac Scovell</w:t>
            </w:r>
          </w:p>
        </w:tc>
      </w:tr>
      <w:bookmarkEnd w:id="9"/>
    </w:tbl>
    <w:p w14:paraId="540DA262" w14:textId="77777777" w:rsidR="007470BD" w:rsidRDefault="007470BD">
      <w:pPr>
        <w:pStyle w:val="Normal1linespace"/>
      </w:pPr>
    </w:p>
    <w:p w14:paraId="2A1B6F0E" w14:textId="77777777" w:rsidR="00E94CBF" w:rsidRDefault="00E94CBF">
      <w:pPr>
        <w:pStyle w:val="Normal1linespace"/>
      </w:pPr>
    </w:p>
    <w:tbl>
      <w:tblPr>
        <w:tblpPr w:leftFromText="181" w:rightFromText="181" w:tblpYSpec="bottom"/>
        <w:tblOverlap w:val="never"/>
        <w:tblW w:w="9044" w:type="dxa"/>
        <w:tblLayout w:type="fixed"/>
        <w:tblLook w:val="01E0" w:firstRow="1" w:lastRow="1" w:firstColumn="1" w:lastColumn="1" w:noHBand="0" w:noVBand="0"/>
      </w:tblPr>
      <w:tblGrid>
        <w:gridCol w:w="3052"/>
        <w:gridCol w:w="5992"/>
      </w:tblGrid>
      <w:tr w:rsidR="005A1F2F" w14:paraId="5D02DD95" w14:textId="77777777" w:rsidTr="005A1F2F">
        <w:tc>
          <w:tcPr>
            <w:tcW w:w="3052" w:type="dxa"/>
            <w:shd w:val="clear" w:color="auto" w:fill="auto"/>
          </w:tcPr>
          <w:p w14:paraId="0AC8BB53" w14:textId="0D3B7064" w:rsidR="005A1F2F" w:rsidRPr="00223FB4" w:rsidRDefault="005A1F2F" w:rsidP="005A1F2F">
            <w:pPr>
              <w:pStyle w:val="Normal1linespace"/>
              <w:jc w:val="left"/>
              <w:rPr>
                <w:b/>
              </w:rPr>
            </w:pPr>
            <w:r w:rsidRPr="00223FB4">
              <w:rPr>
                <w:b/>
              </w:rPr>
              <w:t>Table of Corrections</w:t>
            </w:r>
          </w:p>
        </w:tc>
        <w:tc>
          <w:tcPr>
            <w:tcW w:w="5992" w:type="dxa"/>
            <w:shd w:val="clear" w:color="auto" w:fill="auto"/>
          </w:tcPr>
          <w:p w14:paraId="51C711CE" w14:textId="77777777" w:rsidR="005A1F2F" w:rsidRDefault="005A1F2F" w:rsidP="005A1F2F">
            <w:pPr>
              <w:pStyle w:val="Normal1linespace"/>
              <w:widowControl w:val="0"/>
              <w:jc w:val="left"/>
              <w:rPr>
                <w:b/>
              </w:rPr>
            </w:pPr>
          </w:p>
        </w:tc>
      </w:tr>
      <w:tr w:rsidR="005A1F2F" w14:paraId="70100A14" w14:textId="77777777" w:rsidTr="005A1F2F">
        <w:tc>
          <w:tcPr>
            <w:tcW w:w="3052" w:type="dxa"/>
            <w:shd w:val="clear" w:color="auto" w:fill="auto"/>
          </w:tcPr>
          <w:p w14:paraId="51FB7D7C" w14:textId="3C5371DD" w:rsidR="005A1F2F" w:rsidRDefault="005A1F2F" w:rsidP="005A1F2F">
            <w:pPr>
              <w:pStyle w:val="Normal1linespace"/>
              <w:widowControl w:val="0"/>
              <w:jc w:val="left"/>
            </w:pPr>
            <w:r>
              <w:t>2 April 2024</w:t>
            </w:r>
          </w:p>
        </w:tc>
        <w:tc>
          <w:tcPr>
            <w:tcW w:w="5992" w:type="dxa"/>
            <w:shd w:val="clear" w:color="auto" w:fill="auto"/>
          </w:tcPr>
          <w:p w14:paraId="3809EE84" w14:textId="6843F457" w:rsidR="005A1F2F" w:rsidRDefault="005A1F2F" w:rsidP="005A1F2F">
            <w:pPr>
              <w:pStyle w:val="Normal1linespace"/>
              <w:widowControl w:val="0"/>
              <w:jc w:val="left"/>
            </w:pPr>
            <w:r>
              <w:t>Order 1 amended</w:t>
            </w:r>
          </w:p>
        </w:tc>
      </w:tr>
    </w:tbl>
    <w:p w14:paraId="249F3533" w14:textId="77777777" w:rsidR="005A1F2F" w:rsidRDefault="005A1F2F">
      <w:pPr>
        <w:pStyle w:val="Normal1linespace"/>
      </w:pPr>
      <w:bookmarkStart w:id="11" w:name="SelectMe"/>
      <w:bookmarkEnd w:id="11"/>
    </w:p>
    <w:p w14:paraId="798043AD" w14:textId="77777777" w:rsidR="00395B24" w:rsidRDefault="00395B24">
      <w:pPr>
        <w:pStyle w:val="Normal1linespace"/>
        <w:sectPr w:rsidR="00395B24" w:rsidSect="002104C2">
          <w:footerReference w:type="default" r:id="rId9"/>
          <w:endnotePr>
            <w:numFmt w:val="decimal"/>
          </w:endnotePr>
          <w:type w:val="continuous"/>
          <w:pgSz w:w="11907" w:h="16840" w:code="9"/>
          <w:pgMar w:top="1440" w:right="1440" w:bottom="1440" w:left="1440" w:header="851" w:footer="768" w:gutter="0"/>
          <w:pgNumType w:start="1"/>
          <w:cols w:space="720"/>
          <w:noEndnote/>
          <w:titlePg/>
        </w:sectPr>
      </w:pPr>
    </w:p>
    <w:p w14:paraId="48B12AA6"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4490E639" w14:textId="77777777" w:rsidTr="00E81DA6">
        <w:tc>
          <w:tcPr>
            <w:tcW w:w="6912" w:type="dxa"/>
            <w:gridSpan w:val="2"/>
          </w:tcPr>
          <w:p w14:paraId="4FBE043C" w14:textId="77777777" w:rsidR="00A46CCC" w:rsidRPr="001765E0" w:rsidRDefault="00A46CCC" w:rsidP="00525A49">
            <w:pPr>
              <w:pStyle w:val="NormalHeadings"/>
            </w:pPr>
          </w:p>
        </w:tc>
        <w:tc>
          <w:tcPr>
            <w:tcW w:w="2330" w:type="dxa"/>
          </w:tcPr>
          <w:p w14:paraId="1376831F" w14:textId="39E35EDB" w:rsidR="00A46CCC" w:rsidRDefault="00E72A90" w:rsidP="00F92355">
            <w:pPr>
              <w:pStyle w:val="NormalHeadings"/>
              <w:jc w:val="right"/>
            </w:pPr>
            <w:bookmarkStart w:id="12" w:name="FileNo"/>
            <w:r>
              <w:t>WAD 177 of 2021</w:t>
            </w:r>
            <w:bookmarkEnd w:id="12"/>
          </w:p>
        </w:tc>
      </w:tr>
      <w:tr w:rsidR="00A76C13" w14:paraId="06B3C928" w14:textId="77777777" w:rsidTr="001434AA">
        <w:tc>
          <w:tcPr>
            <w:tcW w:w="9242" w:type="dxa"/>
            <w:gridSpan w:val="3"/>
          </w:tcPr>
          <w:p w14:paraId="05DCE7C3" w14:textId="017D7012" w:rsidR="00A76C13" w:rsidRPr="00A76C13" w:rsidRDefault="00E72A90" w:rsidP="00E72A90">
            <w:pPr>
              <w:pStyle w:val="NormalHeadings"/>
              <w:jc w:val="left"/>
            </w:pPr>
            <w:bookmarkStart w:id="13" w:name="InTheMatterOf"/>
            <w:r>
              <w:t xml:space="preserve"> </w:t>
            </w:r>
            <w:bookmarkEnd w:id="13"/>
          </w:p>
        </w:tc>
      </w:tr>
      <w:tr w:rsidR="00A46CCC" w14:paraId="4C5381DC" w14:textId="77777777" w:rsidTr="001434AA">
        <w:trPr>
          <w:trHeight w:val="386"/>
        </w:trPr>
        <w:tc>
          <w:tcPr>
            <w:tcW w:w="2376" w:type="dxa"/>
          </w:tcPr>
          <w:p w14:paraId="3A38C88A" w14:textId="77777777" w:rsidR="00A46CCC" w:rsidRDefault="00A46CCC" w:rsidP="001434AA">
            <w:pPr>
              <w:pStyle w:val="NormalHeadings"/>
              <w:jc w:val="left"/>
              <w:rPr>
                <w:caps/>
                <w:szCs w:val="24"/>
              </w:rPr>
            </w:pPr>
            <w:bookmarkStart w:id="14" w:name="Parties"/>
            <w:r>
              <w:rPr>
                <w:caps/>
                <w:szCs w:val="24"/>
              </w:rPr>
              <w:t>BETWEEN:</w:t>
            </w:r>
          </w:p>
        </w:tc>
        <w:tc>
          <w:tcPr>
            <w:tcW w:w="6866" w:type="dxa"/>
            <w:gridSpan w:val="2"/>
          </w:tcPr>
          <w:p w14:paraId="73AF6254" w14:textId="77777777" w:rsidR="00E72A90" w:rsidRDefault="00E72A90" w:rsidP="00E72A90">
            <w:pPr>
              <w:pStyle w:val="NormalHeadings"/>
              <w:jc w:val="left"/>
            </w:pPr>
            <w:bookmarkStart w:id="15" w:name="Applicant"/>
            <w:r>
              <w:t>AUSTRALIAN SECURITIES AND INVESTMENTS COMMISSION</w:t>
            </w:r>
          </w:p>
          <w:p w14:paraId="2A98591E" w14:textId="77777777" w:rsidR="00E72A90" w:rsidRDefault="00E72A90" w:rsidP="00E72A90">
            <w:pPr>
              <w:pStyle w:val="PartyType"/>
            </w:pPr>
            <w:r>
              <w:t>Plaintiff</w:t>
            </w:r>
          </w:p>
          <w:bookmarkEnd w:id="15"/>
          <w:p w14:paraId="2F723B23" w14:textId="2A5C1B84" w:rsidR="00A46CCC" w:rsidRPr="006555B4" w:rsidRDefault="00A46CCC" w:rsidP="001434AA">
            <w:pPr>
              <w:pStyle w:val="NormalHeadings"/>
              <w:jc w:val="left"/>
            </w:pPr>
          </w:p>
        </w:tc>
      </w:tr>
      <w:tr w:rsidR="00A46CCC" w14:paraId="7D1801F6" w14:textId="77777777" w:rsidTr="001434AA">
        <w:trPr>
          <w:trHeight w:val="386"/>
        </w:trPr>
        <w:tc>
          <w:tcPr>
            <w:tcW w:w="2376" w:type="dxa"/>
          </w:tcPr>
          <w:p w14:paraId="3AA9AE16" w14:textId="77777777" w:rsidR="00A46CCC" w:rsidRDefault="00A46CCC" w:rsidP="001434AA">
            <w:pPr>
              <w:pStyle w:val="NormalHeadings"/>
              <w:jc w:val="left"/>
              <w:rPr>
                <w:caps/>
                <w:szCs w:val="24"/>
              </w:rPr>
            </w:pPr>
            <w:r>
              <w:rPr>
                <w:caps/>
                <w:szCs w:val="24"/>
              </w:rPr>
              <w:t>AND:</w:t>
            </w:r>
          </w:p>
        </w:tc>
        <w:tc>
          <w:tcPr>
            <w:tcW w:w="6866" w:type="dxa"/>
            <w:gridSpan w:val="2"/>
          </w:tcPr>
          <w:p w14:paraId="2C64077E" w14:textId="77777777" w:rsidR="00E72A90" w:rsidRDefault="00E72A90" w:rsidP="00E72A90">
            <w:pPr>
              <w:pStyle w:val="NormalHeadings"/>
              <w:jc w:val="left"/>
            </w:pPr>
            <w:bookmarkStart w:id="16" w:name="Respondent"/>
            <w:r>
              <w:t>HOLISTA COLLTECH LTD ACN 094 515 992</w:t>
            </w:r>
          </w:p>
          <w:p w14:paraId="1610DE81" w14:textId="77777777" w:rsidR="00E72A90" w:rsidRDefault="00E72A90" w:rsidP="00E72A90">
            <w:pPr>
              <w:pStyle w:val="PartyType"/>
            </w:pPr>
            <w:r>
              <w:t>First Defendant</w:t>
            </w:r>
          </w:p>
          <w:p w14:paraId="24669F5C" w14:textId="77777777" w:rsidR="00E72A90" w:rsidRDefault="00E72A90" w:rsidP="001434AA">
            <w:pPr>
              <w:pStyle w:val="NormalHeadings"/>
              <w:jc w:val="left"/>
              <w:rPr>
                <w:szCs w:val="24"/>
              </w:rPr>
            </w:pPr>
          </w:p>
          <w:p w14:paraId="5E2E8991" w14:textId="77777777" w:rsidR="00E72A90" w:rsidRDefault="00E72A90" w:rsidP="00E72A90">
            <w:pPr>
              <w:pStyle w:val="NormalHeadings"/>
              <w:jc w:val="left"/>
            </w:pPr>
            <w:r>
              <w:t>DR RAJENDRAN MARNICKAVASAGAR</w:t>
            </w:r>
          </w:p>
          <w:p w14:paraId="1E7C2170" w14:textId="77777777" w:rsidR="00E72A90" w:rsidRDefault="00E72A90" w:rsidP="00E72A90">
            <w:pPr>
              <w:pStyle w:val="PartyType"/>
            </w:pPr>
            <w:r>
              <w:t>Second Defendant</w:t>
            </w:r>
          </w:p>
          <w:bookmarkEnd w:id="16"/>
          <w:p w14:paraId="1A8861AE" w14:textId="3A606128" w:rsidR="00A46CCC" w:rsidRPr="006555B4" w:rsidRDefault="00A46CCC" w:rsidP="001434AA">
            <w:pPr>
              <w:pStyle w:val="NormalHeadings"/>
              <w:jc w:val="left"/>
            </w:pPr>
          </w:p>
        </w:tc>
      </w:tr>
    </w:tbl>
    <w:p w14:paraId="1D102B96"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E3E31CB" w14:textId="77777777">
        <w:tc>
          <w:tcPr>
            <w:tcW w:w="2376" w:type="dxa"/>
          </w:tcPr>
          <w:p w14:paraId="1064DEA7" w14:textId="77777777" w:rsidR="00395B24" w:rsidRDefault="00974709">
            <w:pPr>
              <w:pStyle w:val="NormalHeadings"/>
              <w:spacing w:after="120"/>
              <w:jc w:val="left"/>
              <w:rPr>
                <w:caps/>
                <w:szCs w:val="24"/>
              </w:rPr>
            </w:pPr>
            <w:bookmarkStart w:id="18" w:name="JudgeText"/>
            <w:r>
              <w:rPr>
                <w:caps/>
                <w:szCs w:val="24"/>
              </w:rPr>
              <w:t>order made by</w:t>
            </w:r>
            <w:bookmarkEnd w:id="18"/>
            <w:r w:rsidR="002C7385">
              <w:rPr>
                <w:caps/>
                <w:szCs w:val="24"/>
              </w:rPr>
              <w:t>:</w:t>
            </w:r>
          </w:p>
        </w:tc>
        <w:tc>
          <w:tcPr>
            <w:tcW w:w="6866" w:type="dxa"/>
          </w:tcPr>
          <w:p w14:paraId="08BE7940" w14:textId="327BF930" w:rsidR="00395B24" w:rsidRDefault="00E72A90">
            <w:pPr>
              <w:pStyle w:val="NormalHeadings"/>
              <w:jc w:val="left"/>
              <w:rPr>
                <w:caps/>
                <w:szCs w:val="24"/>
              </w:rPr>
            </w:pPr>
            <w:bookmarkStart w:id="19" w:name="Judge"/>
            <w:r>
              <w:rPr>
                <w:caps/>
                <w:szCs w:val="24"/>
              </w:rPr>
              <w:t>SARAH C DERRINGTON J</w:t>
            </w:r>
            <w:bookmarkEnd w:id="19"/>
          </w:p>
        </w:tc>
      </w:tr>
      <w:tr w:rsidR="00395B24" w14:paraId="18098486" w14:textId="77777777">
        <w:tc>
          <w:tcPr>
            <w:tcW w:w="2376" w:type="dxa"/>
          </w:tcPr>
          <w:p w14:paraId="0308EC4D" w14:textId="77777777" w:rsidR="00395B24" w:rsidRDefault="002C7385">
            <w:pPr>
              <w:pStyle w:val="NormalHeadings"/>
              <w:spacing w:after="120"/>
              <w:jc w:val="left"/>
              <w:rPr>
                <w:caps/>
                <w:szCs w:val="24"/>
              </w:rPr>
            </w:pPr>
            <w:r>
              <w:rPr>
                <w:caps/>
                <w:szCs w:val="24"/>
              </w:rPr>
              <w:t>DATE OF ORDER:</w:t>
            </w:r>
          </w:p>
        </w:tc>
        <w:tc>
          <w:tcPr>
            <w:tcW w:w="6866" w:type="dxa"/>
          </w:tcPr>
          <w:p w14:paraId="085DF841" w14:textId="2F0E3FA2" w:rsidR="00395B24" w:rsidRDefault="00BD4555">
            <w:pPr>
              <w:pStyle w:val="NormalHeadings"/>
              <w:jc w:val="left"/>
              <w:rPr>
                <w:caps/>
                <w:szCs w:val="24"/>
              </w:rPr>
            </w:pPr>
            <w:bookmarkStart w:id="20" w:name="Judgment_Dated"/>
            <w:bookmarkEnd w:id="20"/>
            <w:r>
              <w:rPr>
                <w:caps/>
                <w:szCs w:val="24"/>
              </w:rPr>
              <w:t>19 MARCH 2024</w:t>
            </w:r>
          </w:p>
        </w:tc>
      </w:tr>
    </w:tbl>
    <w:p w14:paraId="402DC7E9" w14:textId="77777777" w:rsidR="00395B24" w:rsidRPr="00FE520B" w:rsidRDefault="00395B24">
      <w:pPr>
        <w:pStyle w:val="NormalHeadings"/>
        <w:rPr>
          <w:b w:val="0"/>
          <w:sz w:val="8"/>
          <w:szCs w:val="4"/>
        </w:rPr>
      </w:pPr>
    </w:p>
    <w:p w14:paraId="375B0BED" w14:textId="77777777" w:rsidR="008D1617" w:rsidRDefault="008D1617">
      <w:pPr>
        <w:pStyle w:val="NormalHeadings"/>
        <w:rPr>
          <w:b w:val="0"/>
        </w:rPr>
      </w:pPr>
    </w:p>
    <w:p w14:paraId="536124CE" w14:textId="77777777" w:rsidR="005A1F2F" w:rsidRDefault="005A1F2F" w:rsidP="005A1F2F">
      <w:pPr>
        <w:pStyle w:val="NormalHeadings"/>
      </w:pPr>
      <w:r>
        <w:t>THE COURT DECLARES THAT:</w:t>
      </w:r>
    </w:p>
    <w:p w14:paraId="50CDCA94" w14:textId="77777777" w:rsidR="005A1F2F" w:rsidRPr="00DC491A" w:rsidRDefault="005A1F2F" w:rsidP="005A1F2F">
      <w:pPr>
        <w:pStyle w:val="OrdersHeading2"/>
      </w:pPr>
      <w:r w:rsidRPr="00DC491A">
        <w:t>Relief against the first defendant</w:t>
      </w:r>
    </w:p>
    <w:p w14:paraId="01E15E25" w14:textId="77777777" w:rsidR="005A1F2F" w:rsidRDefault="005A1F2F" w:rsidP="005A1F2F">
      <w:pPr>
        <w:pStyle w:val="Order1"/>
      </w:pPr>
      <w:r w:rsidRPr="00DC491A">
        <w:t xml:space="preserve">Pursuant to </w:t>
      </w:r>
      <w:r w:rsidRPr="006941F0">
        <w:t>s 1317</w:t>
      </w:r>
      <w:proofErr w:type="gramStart"/>
      <w:r w:rsidRPr="006941F0">
        <w:t>E(</w:t>
      </w:r>
      <w:proofErr w:type="gramEnd"/>
      <w:r w:rsidRPr="006941F0">
        <w:t xml:space="preserve">1) of the </w:t>
      </w:r>
      <w:r w:rsidRPr="006941F0">
        <w:rPr>
          <w:i/>
          <w:iCs/>
        </w:rPr>
        <w:t xml:space="preserve">Corporations Act 2001 </w:t>
      </w:r>
      <w:r w:rsidRPr="006941F0">
        <w:t>(</w:t>
      </w:r>
      <w:proofErr w:type="spellStart"/>
      <w:r w:rsidRPr="006941F0">
        <w:t>Cth</w:t>
      </w:r>
      <w:proofErr w:type="spellEnd"/>
      <w:r w:rsidRPr="006941F0">
        <w:t>)</w:t>
      </w:r>
      <w:r w:rsidRPr="00DC491A">
        <w:t xml:space="preserve"> </w:t>
      </w:r>
      <w:r w:rsidRPr="00FE520B">
        <w:t>(</w:t>
      </w:r>
      <w:r w:rsidRPr="00E14093">
        <w:rPr>
          <w:b/>
          <w:bCs/>
          <w:i/>
          <w:iCs/>
        </w:rPr>
        <w:t>Corporations Act</w:t>
      </w:r>
      <w:r w:rsidRPr="00FE520B">
        <w:t>),</w:t>
      </w:r>
      <w:r w:rsidRPr="00DC491A">
        <w:rPr>
          <w:b/>
          <w:bCs/>
        </w:rPr>
        <w:t xml:space="preserve"> </w:t>
      </w:r>
      <w:r w:rsidRPr="00DC491A">
        <w:t>the</w:t>
      </w:r>
      <w:r>
        <w:t xml:space="preserve"> </w:t>
      </w:r>
      <w:r w:rsidRPr="00DC491A">
        <w:t xml:space="preserve">first defendant contravened s 674(2) of the </w:t>
      </w:r>
      <w:r w:rsidRPr="00E14093">
        <w:rPr>
          <w:i/>
          <w:iCs/>
        </w:rPr>
        <w:t>Corporations Act</w:t>
      </w:r>
      <w:r w:rsidRPr="00DC491A">
        <w:t xml:space="preserve"> by failing to notify the</w:t>
      </w:r>
      <w:r>
        <w:t xml:space="preserve"> </w:t>
      </w:r>
      <w:r w:rsidRPr="00DC491A">
        <w:t xml:space="preserve">Australian Securities Exchange </w:t>
      </w:r>
      <w:r w:rsidRPr="00FE520B">
        <w:t>(</w:t>
      </w:r>
      <w:r w:rsidRPr="00DC491A">
        <w:rPr>
          <w:b/>
          <w:bCs/>
        </w:rPr>
        <w:t>ASX</w:t>
      </w:r>
      <w:r w:rsidRPr="00FE520B">
        <w:t xml:space="preserve">) </w:t>
      </w:r>
      <w:r w:rsidRPr="00DC491A">
        <w:t>of the following information (both individually</w:t>
      </w:r>
    </w:p>
    <w:p w14:paraId="3DE564C5" w14:textId="77777777" w:rsidR="005A1F2F" w:rsidRPr="00DC491A" w:rsidRDefault="005A1F2F" w:rsidP="005A1F2F">
      <w:pPr>
        <w:pStyle w:val="Order1"/>
        <w:numPr>
          <w:ilvl w:val="0"/>
          <w:numId w:val="0"/>
        </w:numPr>
        <w:ind w:left="720"/>
      </w:pPr>
      <w:r w:rsidRPr="00DC491A">
        <w:t>and collectively):</w:t>
      </w:r>
      <w:r>
        <w:t xml:space="preserve">   </w:t>
      </w:r>
    </w:p>
    <w:p w14:paraId="24579D4E" w14:textId="77777777" w:rsidR="005A1F2F" w:rsidRPr="00DC491A" w:rsidRDefault="005A1F2F" w:rsidP="005A1F2F">
      <w:pPr>
        <w:pStyle w:val="Order2"/>
        <w:numPr>
          <w:ilvl w:val="0"/>
          <w:numId w:val="0"/>
        </w:numPr>
        <w:ind w:left="1440" w:hanging="720"/>
      </w:pPr>
      <w:r w:rsidRPr="00DC491A">
        <w:t xml:space="preserve">(a) </w:t>
      </w:r>
      <w:r>
        <w:tab/>
      </w:r>
      <w:r w:rsidRPr="00DC491A">
        <w:t>between 9 April 2020 and 25 May 2020, prior to the commencement of th</w:t>
      </w:r>
      <w:r>
        <w:t xml:space="preserve">e </w:t>
      </w:r>
      <w:r w:rsidRPr="006941F0">
        <w:rPr>
          <w:i/>
          <w:iCs/>
        </w:rPr>
        <w:t>Corporations (Coronavirus Economic Response) Determination (No. 2) 2020</w:t>
      </w:r>
      <w:r w:rsidRPr="006941F0">
        <w:t xml:space="preserve"> (</w:t>
      </w:r>
      <w:proofErr w:type="spellStart"/>
      <w:r w:rsidRPr="006941F0">
        <w:t>Cth</w:t>
      </w:r>
      <w:proofErr w:type="spellEnd"/>
      <w:r w:rsidRPr="006941F0">
        <w:t xml:space="preserve">) </w:t>
      </w:r>
      <w:r w:rsidRPr="00FE520B">
        <w:t>(</w:t>
      </w:r>
      <w:r w:rsidRPr="00E14093">
        <w:rPr>
          <w:b/>
          <w:bCs/>
          <w:i/>
          <w:iCs/>
        </w:rPr>
        <w:t>Coronavirus Determination</w:t>
      </w:r>
      <w:r w:rsidRPr="0041336F">
        <w:t xml:space="preserve">), </w:t>
      </w:r>
      <w:r w:rsidRPr="00DC491A">
        <w:t xml:space="preserve">that </w:t>
      </w:r>
      <w:r w:rsidRPr="00AE3665">
        <w:rPr>
          <w:b/>
          <w:bCs/>
        </w:rPr>
        <w:t>Health Therapies</w:t>
      </w:r>
      <w:r w:rsidRPr="00DC491A">
        <w:t xml:space="preserve"> LLC had not placed</w:t>
      </w:r>
      <w:r>
        <w:t xml:space="preserve"> </w:t>
      </w:r>
      <w:r w:rsidRPr="00DC491A">
        <w:t xml:space="preserve">orders for 415,000 bottles of </w:t>
      </w:r>
      <w:proofErr w:type="spellStart"/>
      <w:r w:rsidRPr="00DC491A">
        <w:t>NatShield</w:t>
      </w:r>
      <w:proofErr w:type="spellEnd"/>
      <w:r w:rsidRPr="00DC491A">
        <w:t xml:space="preserve"> totalling A$3.8 million for delivery</w:t>
      </w:r>
      <w:r>
        <w:t xml:space="preserve"> </w:t>
      </w:r>
      <w:r w:rsidRPr="00DC491A">
        <w:t xml:space="preserve">between April and June 2020 (the </w:t>
      </w:r>
      <w:r w:rsidRPr="00DC491A">
        <w:rPr>
          <w:b/>
          <w:bCs/>
        </w:rPr>
        <w:t>Placed Orders Information</w:t>
      </w:r>
      <w:proofErr w:type="gramStart"/>
      <w:r w:rsidRPr="0041336F">
        <w:t>);</w:t>
      </w:r>
      <w:proofErr w:type="gramEnd"/>
    </w:p>
    <w:p w14:paraId="503A8B9B" w14:textId="77777777" w:rsidR="005A1F2F" w:rsidRPr="00BA1D82" w:rsidRDefault="005A1F2F" w:rsidP="005A1F2F">
      <w:pPr>
        <w:pStyle w:val="Order2"/>
        <w:numPr>
          <w:ilvl w:val="0"/>
          <w:numId w:val="0"/>
        </w:numPr>
        <w:ind w:left="1440" w:hanging="720"/>
      </w:pPr>
      <w:r w:rsidRPr="00DC491A">
        <w:t xml:space="preserve">(b) </w:t>
      </w:r>
      <w:r>
        <w:tab/>
      </w:r>
      <w:r w:rsidRPr="00DC491A">
        <w:t>between 9 April 2020 and 25 May 2020, prior</w:t>
      </w:r>
      <w:r>
        <w:t xml:space="preserve"> </w:t>
      </w:r>
      <w:r w:rsidRPr="00DC491A">
        <w:t xml:space="preserve">to the commencement of the </w:t>
      </w:r>
      <w:r w:rsidRPr="00CC2530">
        <w:rPr>
          <w:i/>
          <w:iCs/>
        </w:rPr>
        <w:t>Coronavirus Determination</w:t>
      </w:r>
      <w:r w:rsidRPr="00DC491A">
        <w:t>, that the first defendant</w:t>
      </w:r>
      <w:r w:rsidRPr="00BA1D82">
        <w:t xml:space="preserve"> was unlikely to receive orders </w:t>
      </w:r>
      <w:r>
        <w:t>for</w:t>
      </w:r>
      <w:r w:rsidRPr="00BA1D82">
        <w:t xml:space="preserve"> 415,000 bottles of </w:t>
      </w:r>
      <w:proofErr w:type="spellStart"/>
      <w:r w:rsidRPr="00BA1D82">
        <w:t>NatShield</w:t>
      </w:r>
      <w:proofErr w:type="spellEnd"/>
      <w:r w:rsidRPr="00BA1D82">
        <w:t xml:space="preserve"> totalling A$3.</w:t>
      </w:r>
      <w:r>
        <w:t xml:space="preserve">8 </w:t>
      </w:r>
      <w:r w:rsidRPr="00BA1D82">
        <w:t>million from Health Therapies for delivery between April and June 2020</w:t>
      </w:r>
      <w:r>
        <w:t xml:space="preserve"> </w:t>
      </w:r>
      <w:r w:rsidRPr="00BA1D82">
        <w:t xml:space="preserve">(the </w:t>
      </w:r>
      <w:r w:rsidRPr="00BA1D82">
        <w:rPr>
          <w:b/>
          <w:bCs/>
        </w:rPr>
        <w:t>Orders Shortfall Information</w:t>
      </w:r>
      <w:r w:rsidRPr="0041336F">
        <w:t>);</w:t>
      </w:r>
      <w:r w:rsidRPr="00BA1D82">
        <w:rPr>
          <w:b/>
          <w:bCs/>
        </w:rPr>
        <w:t xml:space="preserve"> </w:t>
      </w:r>
      <w:r w:rsidRPr="00BA1D82">
        <w:t>and</w:t>
      </w:r>
    </w:p>
    <w:p w14:paraId="710AA414" w14:textId="77777777" w:rsidR="005A1F2F" w:rsidRPr="00BA1D82" w:rsidRDefault="005A1F2F" w:rsidP="005A1F2F">
      <w:pPr>
        <w:pStyle w:val="Order2"/>
        <w:numPr>
          <w:ilvl w:val="0"/>
          <w:numId w:val="0"/>
        </w:numPr>
        <w:ind w:left="1440" w:hanging="720"/>
      </w:pPr>
      <w:r w:rsidRPr="00BA1D82">
        <w:t xml:space="preserve">(c) </w:t>
      </w:r>
      <w:r>
        <w:t xml:space="preserve"> </w:t>
      </w:r>
      <w:r>
        <w:tab/>
      </w:r>
      <w:r w:rsidRPr="00BA1D82">
        <w:t>between 9 April 2020 and 25 May 2020, prior</w:t>
      </w:r>
      <w:r>
        <w:t xml:space="preserve"> </w:t>
      </w:r>
      <w:r w:rsidRPr="00BA1D82">
        <w:t xml:space="preserve">to the commencement of the </w:t>
      </w:r>
      <w:r w:rsidRPr="00E14093">
        <w:rPr>
          <w:i/>
          <w:iCs/>
        </w:rPr>
        <w:t>Coronavirus Determination</w:t>
      </w:r>
      <w:r w:rsidRPr="00BA1D82">
        <w:t>, that the first defendant</w:t>
      </w:r>
      <w:r>
        <w:t xml:space="preserve"> </w:t>
      </w:r>
      <w:r w:rsidRPr="00BA1D82">
        <w:t xml:space="preserve">was unlikely to record revenue of A$3.8 million from orders </w:t>
      </w:r>
      <w:r>
        <w:t>of</w:t>
      </w:r>
      <w:r w:rsidRPr="00BA1D82">
        <w:t xml:space="preserve"> </w:t>
      </w:r>
      <w:r w:rsidRPr="00EB310D">
        <w:t>415,000 or 424,558 bottl</w:t>
      </w:r>
      <w:r w:rsidRPr="00BA1D82">
        <w:t xml:space="preserve">es of </w:t>
      </w:r>
      <w:proofErr w:type="spellStart"/>
      <w:r w:rsidRPr="00BA1D82">
        <w:lastRenderedPageBreak/>
        <w:t>NatShield</w:t>
      </w:r>
      <w:proofErr w:type="spellEnd"/>
      <w:r w:rsidRPr="00BA1D82">
        <w:t xml:space="preserve"> placed by</w:t>
      </w:r>
      <w:r w:rsidRPr="00980553">
        <w:rPr>
          <w:b/>
          <w:bCs/>
        </w:rPr>
        <w:t xml:space="preserve"> </w:t>
      </w:r>
      <w:r w:rsidRPr="001D74B2">
        <w:t>Health Therapies</w:t>
      </w:r>
      <w:r w:rsidRPr="00BA1D82">
        <w:t xml:space="preserve"> for delivery</w:t>
      </w:r>
      <w:r>
        <w:t xml:space="preserve"> </w:t>
      </w:r>
      <w:r w:rsidRPr="00BA1D82">
        <w:t xml:space="preserve">between April and June 2020 (the </w:t>
      </w:r>
      <w:r w:rsidRPr="00BA1D82">
        <w:rPr>
          <w:b/>
          <w:bCs/>
        </w:rPr>
        <w:t>Revenue Shortfall Information</w:t>
      </w:r>
      <w:r w:rsidRPr="0041336F">
        <w:t>)</w:t>
      </w:r>
      <w:r>
        <w:t>,</w:t>
      </w:r>
    </w:p>
    <w:p w14:paraId="40458D40" w14:textId="77777777" w:rsidR="005A1F2F" w:rsidRPr="00BA1D82" w:rsidRDefault="005A1F2F" w:rsidP="005A1F2F">
      <w:pPr>
        <w:pStyle w:val="Order1"/>
        <w:numPr>
          <w:ilvl w:val="0"/>
          <w:numId w:val="0"/>
        </w:numPr>
        <w:ind w:firstLine="720"/>
      </w:pPr>
      <w:r w:rsidRPr="00BA1D82">
        <w:t>in circumstances where:</w:t>
      </w:r>
    </w:p>
    <w:p w14:paraId="47489F00" w14:textId="77777777" w:rsidR="005A1F2F" w:rsidRPr="00BA1D82" w:rsidRDefault="005A1F2F" w:rsidP="005A1F2F">
      <w:pPr>
        <w:pStyle w:val="Order2"/>
        <w:numPr>
          <w:ilvl w:val="0"/>
          <w:numId w:val="0"/>
        </w:numPr>
        <w:ind w:left="1440" w:hanging="720"/>
      </w:pPr>
      <w:r w:rsidRPr="00BA1D82">
        <w:t xml:space="preserve">(d) </w:t>
      </w:r>
      <w:r>
        <w:tab/>
      </w:r>
      <w:r w:rsidRPr="00BA1D82">
        <w:t>ASX Listing Rule 3.1 required that each of the Placed Orders Information, the</w:t>
      </w:r>
      <w:r>
        <w:t xml:space="preserve"> </w:t>
      </w:r>
      <w:r w:rsidRPr="00BA1D82">
        <w:t>Orders Shortfall Information and the Revenue Shortfall Information be disclose</w:t>
      </w:r>
      <w:r>
        <w:t xml:space="preserve">d </w:t>
      </w:r>
      <w:r w:rsidRPr="00BA1D82">
        <w:t xml:space="preserve">to the </w:t>
      </w:r>
      <w:proofErr w:type="gramStart"/>
      <w:r w:rsidRPr="00BA1D82">
        <w:t>ASX;</w:t>
      </w:r>
      <w:proofErr w:type="gramEnd"/>
    </w:p>
    <w:p w14:paraId="4808992B" w14:textId="77777777" w:rsidR="005A1F2F" w:rsidRPr="00BA1D82" w:rsidRDefault="005A1F2F" w:rsidP="005A1F2F">
      <w:pPr>
        <w:pStyle w:val="Order2"/>
        <w:numPr>
          <w:ilvl w:val="0"/>
          <w:numId w:val="0"/>
        </w:numPr>
        <w:ind w:left="1440" w:hanging="720"/>
      </w:pPr>
      <w:r w:rsidRPr="00BA1D82">
        <w:t>(e)</w:t>
      </w:r>
      <w:r>
        <w:tab/>
      </w:r>
      <w:r w:rsidRPr="00BA1D82">
        <w:t>in each case, the first defendant was aware of the Placed Orders Information</w:t>
      </w:r>
      <w:r>
        <w:t xml:space="preserve">, </w:t>
      </w:r>
      <w:r w:rsidRPr="00BA1D82">
        <w:t xml:space="preserve">the Orders Shortfall Information and the Revenue Shortfall </w:t>
      </w:r>
      <w:proofErr w:type="gramStart"/>
      <w:r w:rsidRPr="00BA1D82">
        <w:t>Information;</w:t>
      </w:r>
      <w:proofErr w:type="gramEnd"/>
    </w:p>
    <w:p w14:paraId="0CE8DC1E" w14:textId="77777777" w:rsidR="005A1F2F" w:rsidRPr="00BA1D82" w:rsidRDefault="005A1F2F" w:rsidP="005A1F2F">
      <w:pPr>
        <w:pStyle w:val="Order2"/>
        <w:numPr>
          <w:ilvl w:val="0"/>
          <w:numId w:val="0"/>
        </w:numPr>
        <w:spacing w:line="276" w:lineRule="auto"/>
        <w:ind w:left="1440" w:hanging="720"/>
      </w:pPr>
      <w:r w:rsidRPr="00BA1D82">
        <w:t xml:space="preserve">(f) </w:t>
      </w:r>
      <w:r>
        <w:tab/>
      </w:r>
      <w:r w:rsidRPr="00BA1D82">
        <w:t>each of the Placed Orders Information, the Orders Shortfall Information and the</w:t>
      </w:r>
    </w:p>
    <w:p w14:paraId="5C51280A" w14:textId="77777777" w:rsidR="005A1F2F" w:rsidRPr="00BA1D82" w:rsidRDefault="005A1F2F" w:rsidP="005A1F2F">
      <w:pPr>
        <w:pStyle w:val="Order2"/>
        <w:numPr>
          <w:ilvl w:val="0"/>
          <w:numId w:val="0"/>
        </w:numPr>
        <w:ind w:left="1440"/>
      </w:pPr>
      <w:r w:rsidRPr="00BA1D82">
        <w:t>Revenue Shortfall Information was not generally available; and</w:t>
      </w:r>
    </w:p>
    <w:p w14:paraId="3079E9DD" w14:textId="77777777" w:rsidR="005A1F2F" w:rsidRPr="00BA1D82" w:rsidRDefault="005A1F2F" w:rsidP="005A1F2F">
      <w:pPr>
        <w:pStyle w:val="Order2"/>
        <w:numPr>
          <w:ilvl w:val="0"/>
          <w:numId w:val="0"/>
        </w:numPr>
        <w:ind w:left="1440" w:hanging="720"/>
        <w:rPr>
          <w:i/>
          <w:iCs/>
        </w:rPr>
      </w:pPr>
      <w:r>
        <w:t>(</w:t>
      </w:r>
      <w:r w:rsidRPr="00BA1D82">
        <w:t>g)</w:t>
      </w:r>
      <w:r>
        <w:tab/>
      </w:r>
      <w:r w:rsidRPr="00BA1D82">
        <w:t>the first defendant was</w:t>
      </w:r>
      <w:r w:rsidRPr="00BA1D82">
        <w:rPr>
          <w:i/>
          <w:iCs/>
        </w:rPr>
        <w:t xml:space="preserve"> </w:t>
      </w:r>
      <w:r w:rsidRPr="00BA1D82">
        <w:t>reckles</w:t>
      </w:r>
      <w:r>
        <w:t>s</w:t>
      </w:r>
      <w:r w:rsidRPr="00BA1D82">
        <w:rPr>
          <w:i/>
          <w:iCs/>
        </w:rPr>
        <w:t xml:space="preserve"> </w:t>
      </w:r>
      <w:r w:rsidRPr="00BA1D82">
        <w:t>with respect to whether each of the Placed Orders Information, the Orders</w:t>
      </w:r>
      <w:r>
        <w:rPr>
          <w:i/>
          <w:iCs/>
        </w:rPr>
        <w:t xml:space="preserve"> </w:t>
      </w:r>
      <w:r w:rsidRPr="00BA1D82">
        <w:t>Shortfall Information and the Revenue Shortfall Information was information that</w:t>
      </w:r>
      <w:r>
        <w:rPr>
          <w:i/>
          <w:iCs/>
        </w:rPr>
        <w:t xml:space="preserve"> </w:t>
      </w:r>
      <w:r w:rsidRPr="00BA1D82">
        <w:t>a reasonable person would expect, if it were</w:t>
      </w:r>
      <w:r>
        <w:t xml:space="preserve"> </w:t>
      </w:r>
      <w:r w:rsidRPr="00BA1D82">
        <w:t>generally available, to have a</w:t>
      </w:r>
      <w:r>
        <w:rPr>
          <w:i/>
          <w:iCs/>
        </w:rPr>
        <w:t xml:space="preserve"> </w:t>
      </w:r>
      <w:r w:rsidRPr="00BA1D82">
        <w:t>material effect on the price or value of shares in the first defendant.</w:t>
      </w:r>
    </w:p>
    <w:p w14:paraId="500DA225" w14:textId="77777777" w:rsidR="005A1F2F" w:rsidRPr="00BA1D82" w:rsidRDefault="005A1F2F" w:rsidP="005A1F2F">
      <w:pPr>
        <w:pStyle w:val="Order1"/>
      </w:pPr>
      <w:r w:rsidRPr="00BA1D82">
        <w:t xml:space="preserve">Pursuant to </w:t>
      </w:r>
      <w:r w:rsidRPr="006941F0">
        <w:t>s 1317</w:t>
      </w:r>
      <w:proofErr w:type="gramStart"/>
      <w:r w:rsidRPr="006941F0">
        <w:t>E(</w:t>
      </w:r>
      <w:proofErr w:type="gramEnd"/>
      <w:r w:rsidRPr="006941F0">
        <w:t xml:space="preserve">1) of the </w:t>
      </w:r>
      <w:r w:rsidRPr="006941F0">
        <w:rPr>
          <w:i/>
          <w:iCs/>
        </w:rPr>
        <w:t>Corporations Act</w:t>
      </w:r>
      <w:r w:rsidRPr="00BA1D82">
        <w:t>, the first defendant contravened</w:t>
      </w:r>
      <w:r>
        <w:t xml:space="preserve"> </w:t>
      </w:r>
      <w:r w:rsidRPr="006941F0">
        <w:t xml:space="preserve">s 674(2) of the </w:t>
      </w:r>
      <w:r w:rsidRPr="006941F0">
        <w:rPr>
          <w:i/>
          <w:iCs/>
        </w:rPr>
        <w:t>Corporations Act</w:t>
      </w:r>
      <w:r w:rsidRPr="00BA1D82">
        <w:t xml:space="preserve"> during the period between 26 May 2020 and 9 Jul</w:t>
      </w:r>
      <w:r>
        <w:t xml:space="preserve">y </w:t>
      </w:r>
      <w:r w:rsidRPr="00BA1D82">
        <w:t xml:space="preserve">2020, on and from the commencement of the </w:t>
      </w:r>
      <w:r w:rsidRPr="00E14093">
        <w:rPr>
          <w:i/>
          <w:iCs/>
        </w:rPr>
        <w:t>Coronavirus Determination</w:t>
      </w:r>
      <w:r w:rsidRPr="00BA1D82">
        <w:t>, by failing to</w:t>
      </w:r>
      <w:r>
        <w:t xml:space="preserve"> </w:t>
      </w:r>
      <w:r w:rsidRPr="00BA1D82">
        <w:t>notify the ASX (both individually and collectively) of:</w:t>
      </w:r>
    </w:p>
    <w:p w14:paraId="36123DA2" w14:textId="77777777" w:rsidR="005A1F2F" w:rsidRPr="00BA1D82" w:rsidRDefault="005A1F2F" w:rsidP="005A1F2F">
      <w:pPr>
        <w:pStyle w:val="Order2"/>
        <w:numPr>
          <w:ilvl w:val="0"/>
          <w:numId w:val="0"/>
        </w:numPr>
        <w:ind w:left="1440" w:hanging="720"/>
      </w:pPr>
      <w:r w:rsidRPr="00BA1D82">
        <w:t xml:space="preserve">(a) </w:t>
      </w:r>
      <w:r>
        <w:tab/>
      </w:r>
      <w:r w:rsidRPr="00BA1D82">
        <w:t xml:space="preserve">the Placed Orders </w:t>
      </w:r>
      <w:proofErr w:type="gramStart"/>
      <w:r w:rsidRPr="00BA1D82">
        <w:t>Information;</w:t>
      </w:r>
      <w:proofErr w:type="gramEnd"/>
    </w:p>
    <w:p w14:paraId="74D341AC" w14:textId="77777777" w:rsidR="005A1F2F" w:rsidRDefault="005A1F2F" w:rsidP="005A1F2F">
      <w:pPr>
        <w:pStyle w:val="Order2"/>
        <w:numPr>
          <w:ilvl w:val="0"/>
          <w:numId w:val="0"/>
        </w:numPr>
        <w:ind w:left="1440" w:hanging="720"/>
      </w:pPr>
      <w:r w:rsidRPr="00BA1D82">
        <w:t xml:space="preserve">(b) </w:t>
      </w:r>
      <w:r>
        <w:tab/>
      </w:r>
      <w:r w:rsidRPr="00BA1D82">
        <w:t>the Orders Shortfall Information; and</w:t>
      </w:r>
    </w:p>
    <w:p w14:paraId="678B4ACF" w14:textId="77777777" w:rsidR="005A1F2F" w:rsidRDefault="005A1F2F" w:rsidP="005A1F2F">
      <w:pPr>
        <w:pStyle w:val="Order2"/>
        <w:numPr>
          <w:ilvl w:val="0"/>
          <w:numId w:val="0"/>
        </w:numPr>
        <w:ind w:left="1440" w:hanging="720"/>
      </w:pPr>
      <w:r w:rsidRPr="0038452F">
        <w:t xml:space="preserve">(c) </w:t>
      </w:r>
      <w:r>
        <w:tab/>
      </w:r>
      <w:r w:rsidRPr="0038452F">
        <w:t>the Revenue Shortfall Information</w:t>
      </w:r>
      <w:r>
        <w:t>,</w:t>
      </w:r>
    </w:p>
    <w:p w14:paraId="65C1D39E" w14:textId="77777777" w:rsidR="005A1F2F" w:rsidRPr="0038452F" w:rsidRDefault="005A1F2F" w:rsidP="005A1F2F">
      <w:pPr>
        <w:pStyle w:val="Order1"/>
        <w:numPr>
          <w:ilvl w:val="0"/>
          <w:numId w:val="0"/>
        </w:numPr>
        <w:ind w:firstLine="720"/>
      </w:pPr>
      <w:r w:rsidRPr="0038452F">
        <w:t>in circumstances where:</w:t>
      </w:r>
    </w:p>
    <w:p w14:paraId="57E04E3B" w14:textId="77777777" w:rsidR="005A1F2F" w:rsidRPr="0038452F" w:rsidRDefault="005A1F2F" w:rsidP="005A1F2F">
      <w:pPr>
        <w:pStyle w:val="Order2"/>
        <w:numPr>
          <w:ilvl w:val="0"/>
          <w:numId w:val="0"/>
        </w:numPr>
        <w:ind w:left="1440" w:hanging="720"/>
      </w:pPr>
      <w:r w:rsidRPr="0038452F">
        <w:t xml:space="preserve">(d) </w:t>
      </w:r>
      <w:r>
        <w:tab/>
      </w:r>
      <w:r w:rsidRPr="0038452F">
        <w:t>ASX Listing Rule 3.1 required that each of the Placed Orders Information, the</w:t>
      </w:r>
      <w:r>
        <w:t xml:space="preserve"> </w:t>
      </w:r>
      <w:r w:rsidRPr="0038452F">
        <w:t>Orders Shortfall Information and the Revenue Shortfall Information be disclosed</w:t>
      </w:r>
      <w:r>
        <w:t xml:space="preserve"> </w:t>
      </w:r>
      <w:r w:rsidRPr="0038452F">
        <w:t xml:space="preserve">to the </w:t>
      </w:r>
      <w:proofErr w:type="gramStart"/>
      <w:r w:rsidRPr="0038452F">
        <w:t>ASX;</w:t>
      </w:r>
      <w:proofErr w:type="gramEnd"/>
    </w:p>
    <w:p w14:paraId="5326149C" w14:textId="77777777" w:rsidR="005A1F2F" w:rsidRPr="0038452F" w:rsidRDefault="005A1F2F" w:rsidP="005A1F2F">
      <w:pPr>
        <w:pStyle w:val="Order2"/>
        <w:numPr>
          <w:ilvl w:val="0"/>
          <w:numId w:val="0"/>
        </w:numPr>
        <w:ind w:left="1440" w:hanging="720"/>
      </w:pPr>
      <w:r w:rsidRPr="0038452F">
        <w:t xml:space="preserve">(e) </w:t>
      </w:r>
      <w:r>
        <w:tab/>
      </w:r>
      <w:r w:rsidRPr="0038452F">
        <w:t>in each case, the first defendant was aware of the Placed Orders Information,</w:t>
      </w:r>
      <w:r>
        <w:t xml:space="preserve"> </w:t>
      </w:r>
      <w:r w:rsidRPr="0038452F">
        <w:t xml:space="preserve">the Orders Shortfall Information and the Revenue Shortfall </w:t>
      </w:r>
      <w:proofErr w:type="gramStart"/>
      <w:r w:rsidRPr="0038452F">
        <w:t>Information;</w:t>
      </w:r>
      <w:proofErr w:type="gramEnd"/>
    </w:p>
    <w:p w14:paraId="76F18314" w14:textId="77777777" w:rsidR="005A1F2F" w:rsidRPr="0038452F" w:rsidRDefault="005A1F2F" w:rsidP="005A1F2F">
      <w:pPr>
        <w:pStyle w:val="Order2"/>
        <w:numPr>
          <w:ilvl w:val="0"/>
          <w:numId w:val="0"/>
        </w:numPr>
        <w:ind w:left="1440" w:hanging="720"/>
      </w:pPr>
      <w:r w:rsidRPr="0038452F">
        <w:t xml:space="preserve">(f) </w:t>
      </w:r>
      <w:r>
        <w:tab/>
      </w:r>
      <w:r w:rsidRPr="0038452F">
        <w:t>each of the Placed Orders Information, the Orders Shortfall Information and the</w:t>
      </w:r>
    </w:p>
    <w:p w14:paraId="2A3E9160" w14:textId="77777777" w:rsidR="005A1F2F" w:rsidRPr="0038452F" w:rsidRDefault="005A1F2F" w:rsidP="005A1F2F">
      <w:pPr>
        <w:pStyle w:val="Order2"/>
        <w:numPr>
          <w:ilvl w:val="0"/>
          <w:numId w:val="0"/>
        </w:numPr>
        <w:ind w:left="1440"/>
      </w:pPr>
      <w:r w:rsidRPr="0038452F">
        <w:t>Revenue Shortfall Information was not generally available; and</w:t>
      </w:r>
    </w:p>
    <w:p w14:paraId="3D5BD423" w14:textId="77777777" w:rsidR="005A1F2F" w:rsidRPr="0038452F" w:rsidRDefault="005A1F2F" w:rsidP="005A1F2F">
      <w:pPr>
        <w:pStyle w:val="Order2"/>
        <w:numPr>
          <w:ilvl w:val="0"/>
          <w:numId w:val="0"/>
        </w:numPr>
        <w:ind w:left="1440" w:hanging="720"/>
        <w:rPr>
          <w:i/>
          <w:iCs/>
        </w:rPr>
      </w:pPr>
      <w:r w:rsidRPr="0038452F">
        <w:lastRenderedPageBreak/>
        <w:t xml:space="preserve">(g) </w:t>
      </w:r>
      <w:r>
        <w:tab/>
      </w:r>
      <w:r w:rsidRPr="0038452F">
        <w:t xml:space="preserve">the first defendant was </w:t>
      </w:r>
      <w:r>
        <w:t xml:space="preserve">reckless </w:t>
      </w:r>
      <w:r w:rsidRPr="0038452F">
        <w:t xml:space="preserve">with respect to whether </w:t>
      </w:r>
      <w:r>
        <w:t xml:space="preserve">the </w:t>
      </w:r>
      <w:r w:rsidRPr="0038452F">
        <w:t>Placed Orders Information, the Orders Shortfall</w:t>
      </w:r>
      <w:r>
        <w:rPr>
          <w:i/>
          <w:iCs/>
        </w:rPr>
        <w:t xml:space="preserve"> </w:t>
      </w:r>
      <w:r w:rsidRPr="0038452F">
        <w:t>Information and the Revenue Shortfall Information would, if it were generally</w:t>
      </w:r>
      <w:r>
        <w:rPr>
          <w:i/>
          <w:iCs/>
        </w:rPr>
        <w:t xml:space="preserve"> </w:t>
      </w:r>
      <w:r w:rsidRPr="0038452F">
        <w:t>available, have a material effect on the price or value of shares in the</w:t>
      </w:r>
      <w:r>
        <w:rPr>
          <w:i/>
          <w:iCs/>
        </w:rPr>
        <w:t xml:space="preserve"> </w:t>
      </w:r>
      <w:r w:rsidRPr="0038452F">
        <w:t>first defendant.</w:t>
      </w:r>
    </w:p>
    <w:p w14:paraId="06E60867" w14:textId="77777777" w:rsidR="005A1F2F" w:rsidRPr="0038452F" w:rsidRDefault="005A1F2F" w:rsidP="005A1F2F">
      <w:pPr>
        <w:pStyle w:val="Order1"/>
      </w:pPr>
      <w:r w:rsidRPr="0038452F">
        <w:t xml:space="preserve">Pursuant to </w:t>
      </w:r>
      <w:r w:rsidRPr="006941F0">
        <w:t xml:space="preserve">s 21 of the </w:t>
      </w:r>
      <w:r w:rsidRPr="006941F0">
        <w:rPr>
          <w:i/>
          <w:iCs/>
        </w:rPr>
        <w:t xml:space="preserve">Federal Court of Australia Act 1976 </w:t>
      </w:r>
      <w:r w:rsidRPr="006941F0">
        <w:t>(</w:t>
      </w:r>
      <w:proofErr w:type="spellStart"/>
      <w:r w:rsidRPr="006941F0">
        <w:t>Cth</w:t>
      </w:r>
      <w:proofErr w:type="spellEnd"/>
      <w:r w:rsidRPr="006941F0">
        <w:t>)</w:t>
      </w:r>
      <w:r w:rsidRPr="0038452F">
        <w:t xml:space="preserve"> that, by publishing an</w:t>
      </w:r>
      <w:r>
        <w:t xml:space="preserve"> </w:t>
      </w:r>
      <w:r w:rsidRPr="0038452F">
        <w:t xml:space="preserve">announcement on 9 April 2020 </w:t>
      </w:r>
      <w:r>
        <w:t>headed</w:t>
      </w:r>
      <w:r w:rsidRPr="0038452F">
        <w:t xml:space="preserve"> "</w:t>
      </w:r>
      <w:proofErr w:type="spellStart"/>
      <w:r w:rsidRPr="0038452F">
        <w:t>Holista's</w:t>
      </w:r>
      <w:proofErr w:type="spellEnd"/>
      <w:r w:rsidRPr="0038452F">
        <w:t xml:space="preserve"> U.S. Distributor Increases Orders of</w:t>
      </w:r>
      <w:r>
        <w:t xml:space="preserve"> </w:t>
      </w:r>
      <w:proofErr w:type="spellStart"/>
      <w:r w:rsidRPr="0038452F">
        <w:t>NatShield</w:t>
      </w:r>
      <w:proofErr w:type="spellEnd"/>
      <w:r w:rsidRPr="0038452F">
        <w:t>™ Amounting to A$3.8M"</w:t>
      </w:r>
      <w:r>
        <w:t>,</w:t>
      </w:r>
      <w:r w:rsidRPr="0038452F">
        <w:t xml:space="preserve"> which stated that:</w:t>
      </w:r>
    </w:p>
    <w:p w14:paraId="41DD080C" w14:textId="77777777" w:rsidR="005A1F2F" w:rsidRPr="0038452F" w:rsidRDefault="005A1F2F" w:rsidP="005A1F2F">
      <w:pPr>
        <w:pStyle w:val="Order2"/>
        <w:numPr>
          <w:ilvl w:val="0"/>
          <w:numId w:val="0"/>
        </w:numPr>
        <w:ind w:left="1440" w:hanging="720"/>
      </w:pPr>
      <w:r w:rsidRPr="0038452F">
        <w:t xml:space="preserve">(a) </w:t>
      </w:r>
      <w:r>
        <w:tab/>
      </w:r>
      <w:r w:rsidRPr="0038452F">
        <w:t>Health Therapies had placed additional orders of 415,000 bottles</w:t>
      </w:r>
      <w:r>
        <w:t>,</w:t>
      </w:r>
      <w:r w:rsidRPr="0038452F">
        <w:t xml:space="preserve"> totalling A$3.8</w:t>
      </w:r>
      <w:r>
        <w:t xml:space="preserve"> </w:t>
      </w:r>
      <w:r w:rsidRPr="0038452F">
        <w:t xml:space="preserve">million for delivery between April and June 2020 </w:t>
      </w:r>
      <w:r w:rsidRPr="00763F41">
        <w:t>(</w:t>
      </w:r>
      <w:r w:rsidRPr="0038452F">
        <w:rPr>
          <w:b/>
          <w:bCs/>
        </w:rPr>
        <w:t>Orders Representation</w:t>
      </w:r>
      <w:r w:rsidRPr="00763F41">
        <w:t xml:space="preserve">); </w:t>
      </w:r>
      <w:r w:rsidRPr="0038452F">
        <w:t>and</w:t>
      </w:r>
    </w:p>
    <w:p w14:paraId="578A89C7" w14:textId="77777777" w:rsidR="005A1F2F" w:rsidRDefault="005A1F2F" w:rsidP="005A1F2F">
      <w:pPr>
        <w:pStyle w:val="Order2"/>
        <w:numPr>
          <w:ilvl w:val="0"/>
          <w:numId w:val="0"/>
        </w:numPr>
        <w:ind w:left="1440" w:hanging="720"/>
      </w:pPr>
      <w:r w:rsidRPr="0038452F">
        <w:t xml:space="preserve">(b) </w:t>
      </w:r>
      <w:r>
        <w:tab/>
      </w:r>
      <w:proofErr w:type="spellStart"/>
      <w:r w:rsidRPr="0038452F">
        <w:t>Holista</w:t>
      </w:r>
      <w:proofErr w:type="spellEnd"/>
      <w:r w:rsidRPr="0038452F">
        <w:t xml:space="preserve"> expects to record revenue of A$3.8 million from combined total orders</w:t>
      </w:r>
      <w:r>
        <w:t xml:space="preserve"> </w:t>
      </w:r>
      <w:r w:rsidRPr="0038452F">
        <w:t xml:space="preserve">of 424,558 bottles of </w:t>
      </w:r>
      <w:proofErr w:type="spellStart"/>
      <w:r w:rsidRPr="0038452F">
        <w:t>NatShield</w:t>
      </w:r>
      <w:proofErr w:type="spellEnd"/>
      <w:r w:rsidRPr="0038452F">
        <w:t>™ received in the United States of America t</w:t>
      </w:r>
      <w:r>
        <w:t xml:space="preserve">o </w:t>
      </w:r>
      <w:r w:rsidRPr="0038452F">
        <w:t>date from Health Therapies</w:t>
      </w:r>
      <w:r w:rsidRPr="00763F41">
        <w:t xml:space="preserve"> (</w:t>
      </w:r>
      <w:r w:rsidRPr="0038452F">
        <w:rPr>
          <w:b/>
          <w:bCs/>
        </w:rPr>
        <w:t>Revenue Representation</w:t>
      </w:r>
      <w:r w:rsidRPr="00763F41">
        <w:t>),</w:t>
      </w:r>
      <w:r>
        <w:t xml:space="preserve"> </w:t>
      </w:r>
    </w:p>
    <w:p w14:paraId="78D473D4" w14:textId="77777777" w:rsidR="005A1F2F" w:rsidRPr="0038452F" w:rsidRDefault="005A1F2F" w:rsidP="005A1F2F">
      <w:pPr>
        <w:pStyle w:val="Order1"/>
        <w:numPr>
          <w:ilvl w:val="0"/>
          <w:numId w:val="0"/>
        </w:numPr>
        <w:ind w:left="709" w:firstLine="11"/>
      </w:pPr>
      <w:r w:rsidRPr="0038452F">
        <w:t>the first defendant, in this jurisdiction, engaged in conduct, in relation to a financial</w:t>
      </w:r>
      <w:r>
        <w:t xml:space="preserve"> </w:t>
      </w:r>
      <w:r w:rsidRPr="0038452F">
        <w:t>product or a financial service, that was misleading or deceptive or likely to mislead or</w:t>
      </w:r>
    </w:p>
    <w:p w14:paraId="096C725F" w14:textId="77777777" w:rsidR="005A1F2F" w:rsidRPr="0038452F" w:rsidRDefault="005A1F2F" w:rsidP="005A1F2F">
      <w:pPr>
        <w:pStyle w:val="Order1"/>
        <w:numPr>
          <w:ilvl w:val="0"/>
          <w:numId w:val="0"/>
        </w:numPr>
        <w:ind w:firstLine="709"/>
      </w:pPr>
      <w:r w:rsidRPr="0038452F">
        <w:t xml:space="preserve">deceive, in contravention of </w:t>
      </w:r>
      <w:r w:rsidRPr="006941F0">
        <w:t>s 1041</w:t>
      </w:r>
      <w:proofErr w:type="gramStart"/>
      <w:r w:rsidRPr="006941F0">
        <w:t>H(</w:t>
      </w:r>
      <w:proofErr w:type="gramEnd"/>
      <w:r w:rsidRPr="006941F0">
        <w:t xml:space="preserve">1) of the </w:t>
      </w:r>
      <w:r w:rsidRPr="006941F0">
        <w:rPr>
          <w:i/>
          <w:iCs/>
        </w:rPr>
        <w:t>Corporations Act</w:t>
      </w:r>
      <w:r w:rsidRPr="0038452F">
        <w:t>.</w:t>
      </w:r>
    </w:p>
    <w:p w14:paraId="206C5EC9" w14:textId="77777777" w:rsidR="005A1F2F" w:rsidRPr="0038452F" w:rsidRDefault="005A1F2F" w:rsidP="005A1F2F">
      <w:pPr>
        <w:pStyle w:val="OrdersHeading2"/>
      </w:pPr>
      <w:r w:rsidRPr="0038452F">
        <w:t>Relief against the second defendant</w:t>
      </w:r>
    </w:p>
    <w:p w14:paraId="787D084D" w14:textId="77777777" w:rsidR="005A1F2F" w:rsidRPr="0038452F" w:rsidRDefault="005A1F2F" w:rsidP="005A1F2F">
      <w:pPr>
        <w:pStyle w:val="Order1"/>
      </w:pPr>
      <w:r w:rsidRPr="0038452F">
        <w:t xml:space="preserve">Pursuant to </w:t>
      </w:r>
      <w:r w:rsidRPr="006941F0">
        <w:t xml:space="preserve">s 1317E(1) of the </w:t>
      </w:r>
      <w:r w:rsidRPr="006941F0">
        <w:rPr>
          <w:i/>
          <w:iCs/>
        </w:rPr>
        <w:t>Corporations Act</w:t>
      </w:r>
      <w:r w:rsidRPr="006941F0">
        <w:t>,</w:t>
      </w:r>
      <w:r w:rsidRPr="0038452F">
        <w:t xml:space="preserve"> from 9 April 2020 to 9 July 2020, the</w:t>
      </w:r>
      <w:r>
        <w:t xml:space="preserve"> </w:t>
      </w:r>
      <w:r w:rsidRPr="0038452F">
        <w:t xml:space="preserve">second defendant contravened </w:t>
      </w:r>
      <w:r w:rsidRPr="006941F0">
        <w:t xml:space="preserve">s 180(1) of the </w:t>
      </w:r>
      <w:r w:rsidRPr="006941F0">
        <w:rPr>
          <w:i/>
          <w:iCs/>
        </w:rPr>
        <w:t>Corporations Act</w:t>
      </w:r>
      <w:r w:rsidRPr="006941F0">
        <w:t xml:space="preserve"> </w:t>
      </w:r>
      <w:r w:rsidRPr="0038452F">
        <w:t>in that he failed to</w:t>
      </w:r>
      <w:r>
        <w:t xml:space="preserve"> </w:t>
      </w:r>
      <w:r w:rsidRPr="0038452F">
        <w:t>discharge his duties to the first defendant with the degree of care and diligence that a</w:t>
      </w:r>
      <w:r>
        <w:t xml:space="preserve"> </w:t>
      </w:r>
      <w:r w:rsidRPr="0038452F">
        <w:t>reasonable person would exercise, if he or she were the Managing Director and Chief</w:t>
      </w:r>
      <w:r>
        <w:t xml:space="preserve"> </w:t>
      </w:r>
      <w:r w:rsidRPr="0038452F">
        <w:t>Executive Officer of a corporation in the first defendant's circumstances</w:t>
      </w:r>
      <w:r>
        <w:t xml:space="preserve"> and</w:t>
      </w:r>
      <w:r w:rsidRPr="0038452F">
        <w:t xml:space="preserve"> occupied</w:t>
      </w:r>
      <w:r>
        <w:t xml:space="preserve"> </w:t>
      </w:r>
      <w:r w:rsidRPr="0038452F">
        <w:t>the offices held by the second defendant, and had the same responsibilities within the</w:t>
      </w:r>
      <w:r>
        <w:t xml:space="preserve"> </w:t>
      </w:r>
      <w:r w:rsidRPr="0038452F">
        <w:t>first defendant, by failing to take all necessary steps to:</w:t>
      </w:r>
    </w:p>
    <w:p w14:paraId="6FB47685" w14:textId="77777777" w:rsidR="005A1F2F" w:rsidRPr="0038452F" w:rsidRDefault="005A1F2F" w:rsidP="005A1F2F">
      <w:pPr>
        <w:pStyle w:val="Order2"/>
        <w:numPr>
          <w:ilvl w:val="0"/>
          <w:numId w:val="0"/>
        </w:numPr>
        <w:ind w:left="1440" w:hanging="720"/>
      </w:pPr>
      <w:r w:rsidRPr="0038452F">
        <w:t>(a)</w:t>
      </w:r>
      <w:r>
        <w:tab/>
      </w:r>
      <w:r w:rsidRPr="0038452F">
        <w:t>ensure that any announcement or other document he approved for submission</w:t>
      </w:r>
    </w:p>
    <w:p w14:paraId="7933B297" w14:textId="77777777" w:rsidR="005A1F2F" w:rsidRPr="0038452F" w:rsidRDefault="005A1F2F" w:rsidP="005A1F2F">
      <w:pPr>
        <w:pStyle w:val="Order2"/>
        <w:numPr>
          <w:ilvl w:val="0"/>
          <w:numId w:val="0"/>
        </w:numPr>
        <w:ind w:left="1440"/>
      </w:pPr>
      <w:r>
        <w:t>t</w:t>
      </w:r>
      <w:r w:rsidRPr="0038452F">
        <w:t>o the ASX was not misleading or deceptive or likely to mislead or deceive; and</w:t>
      </w:r>
    </w:p>
    <w:p w14:paraId="4F5748CF" w14:textId="77777777" w:rsidR="005A1F2F" w:rsidRDefault="005A1F2F" w:rsidP="005A1F2F">
      <w:pPr>
        <w:pStyle w:val="Order2"/>
        <w:numPr>
          <w:ilvl w:val="0"/>
          <w:numId w:val="0"/>
        </w:numPr>
        <w:ind w:left="1440" w:hanging="720"/>
      </w:pPr>
      <w:r w:rsidRPr="0038452F">
        <w:t xml:space="preserve">(b) </w:t>
      </w:r>
      <w:r>
        <w:tab/>
      </w:r>
      <w:r w:rsidRPr="0038452F">
        <w:t xml:space="preserve">qualify, </w:t>
      </w:r>
      <w:proofErr w:type="gramStart"/>
      <w:r w:rsidRPr="0038452F">
        <w:t>withdraw</w:t>
      </w:r>
      <w:proofErr w:type="gramEnd"/>
      <w:r w:rsidRPr="0038452F">
        <w:t xml:space="preserve"> or correct any existing announcement or document made to</w:t>
      </w:r>
      <w:r>
        <w:t xml:space="preserve"> </w:t>
      </w:r>
      <w:r w:rsidRPr="0038452F">
        <w:t>the ASX so that it was not misleading or deceptive or likely to mislead or</w:t>
      </w:r>
      <w:r>
        <w:t xml:space="preserve"> </w:t>
      </w:r>
      <w:r w:rsidRPr="0038452F">
        <w:t>deceive,</w:t>
      </w:r>
      <w:r>
        <w:t xml:space="preserve"> </w:t>
      </w:r>
    </w:p>
    <w:p w14:paraId="62911413" w14:textId="77777777" w:rsidR="005A1F2F" w:rsidRPr="0038452F" w:rsidRDefault="005A1F2F" w:rsidP="005A1F2F">
      <w:pPr>
        <w:pStyle w:val="Order1"/>
        <w:numPr>
          <w:ilvl w:val="0"/>
          <w:numId w:val="0"/>
        </w:numPr>
        <w:ind w:left="709"/>
      </w:pPr>
      <w:r w:rsidRPr="0038452F">
        <w:t xml:space="preserve">thereby causing or otherwise permitting the first defendant to contravene each or </w:t>
      </w:r>
      <w:proofErr w:type="gramStart"/>
      <w:r w:rsidRPr="0038452F">
        <w:t>all of</w:t>
      </w:r>
      <w:proofErr w:type="gramEnd"/>
      <w:r>
        <w:t xml:space="preserve"> </w:t>
      </w:r>
      <w:r w:rsidRPr="0038452F">
        <w:t>the following provisions</w:t>
      </w:r>
      <w:r>
        <w:t>:</w:t>
      </w:r>
    </w:p>
    <w:p w14:paraId="72BC05CD" w14:textId="77777777" w:rsidR="005A1F2F" w:rsidRPr="0038452F" w:rsidRDefault="005A1F2F" w:rsidP="005A1F2F">
      <w:pPr>
        <w:pStyle w:val="Order2"/>
        <w:numPr>
          <w:ilvl w:val="0"/>
          <w:numId w:val="0"/>
        </w:numPr>
        <w:ind w:left="1440" w:hanging="720"/>
      </w:pPr>
      <w:r w:rsidRPr="0038452F">
        <w:lastRenderedPageBreak/>
        <w:t>(c)</w:t>
      </w:r>
      <w:r>
        <w:tab/>
      </w:r>
      <w:r w:rsidRPr="006941F0">
        <w:t>s 674(2)</w:t>
      </w:r>
      <w:r>
        <w:t xml:space="preserve"> of the </w:t>
      </w:r>
      <w:r w:rsidRPr="00F776DF">
        <w:rPr>
          <w:i/>
          <w:iCs/>
        </w:rPr>
        <w:t>Corporations Act</w:t>
      </w:r>
      <w:r>
        <w:t xml:space="preserve">, </w:t>
      </w:r>
      <w:r w:rsidRPr="0038452F">
        <w:t>and</w:t>
      </w:r>
      <w:r>
        <w:t>/or</w:t>
      </w:r>
    </w:p>
    <w:p w14:paraId="32376EB4" w14:textId="77777777" w:rsidR="005A1F2F" w:rsidRPr="0038452F" w:rsidRDefault="005A1F2F" w:rsidP="005A1F2F">
      <w:pPr>
        <w:pStyle w:val="Order2"/>
        <w:numPr>
          <w:ilvl w:val="0"/>
          <w:numId w:val="0"/>
        </w:numPr>
        <w:ind w:left="1440" w:hanging="720"/>
      </w:pPr>
      <w:r>
        <w:t>(</w:t>
      </w:r>
      <w:r w:rsidRPr="0038452F">
        <w:t xml:space="preserve">d) </w:t>
      </w:r>
      <w:r>
        <w:tab/>
      </w:r>
      <w:r w:rsidRPr="006941F0">
        <w:t>s 1041H</w:t>
      </w:r>
      <w:r>
        <w:t xml:space="preserve"> of the </w:t>
      </w:r>
      <w:r w:rsidRPr="00E373D7">
        <w:rPr>
          <w:i/>
          <w:iCs/>
        </w:rPr>
        <w:t>Corporations Act</w:t>
      </w:r>
    </w:p>
    <w:p w14:paraId="139EB228" w14:textId="77777777" w:rsidR="005A1F2F" w:rsidRPr="0038452F" w:rsidRDefault="005A1F2F" w:rsidP="005A1F2F">
      <w:pPr>
        <w:pStyle w:val="Order1"/>
        <w:numPr>
          <w:ilvl w:val="0"/>
          <w:numId w:val="0"/>
        </w:numPr>
        <w:ind w:left="709"/>
      </w:pPr>
      <w:r w:rsidRPr="0038452F">
        <w:t>and exposing the first defendant to the risk of legal proceedings, including declarations</w:t>
      </w:r>
      <w:r>
        <w:t xml:space="preserve"> </w:t>
      </w:r>
      <w:r w:rsidRPr="0038452F">
        <w:t>of contravention and civil pecuniary penalties.</w:t>
      </w:r>
    </w:p>
    <w:p w14:paraId="4A2555F0" w14:textId="77777777" w:rsidR="005A1F2F" w:rsidRPr="006941F0" w:rsidRDefault="005A1F2F" w:rsidP="005A1F2F">
      <w:pPr>
        <w:pStyle w:val="Order1"/>
      </w:pPr>
      <w:r w:rsidRPr="0038452F">
        <w:t xml:space="preserve">The contraventions in paragraph 4 were serious within the meaning of </w:t>
      </w:r>
      <w:r w:rsidRPr="006941F0">
        <w:t>s 1317G(1)(</w:t>
      </w:r>
      <w:r>
        <w:t>b</w:t>
      </w:r>
      <w:r w:rsidRPr="006941F0">
        <w:t xml:space="preserve">)(iii) of the </w:t>
      </w:r>
      <w:r w:rsidRPr="00C51BD2">
        <w:rPr>
          <w:i/>
          <w:iCs/>
        </w:rPr>
        <w:t>Corporations Act</w:t>
      </w:r>
      <w:r w:rsidRPr="006941F0">
        <w:t>.</w:t>
      </w:r>
    </w:p>
    <w:p w14:paraId="155EB4E0" w14:textId="77777777" w:rsidR="005A1F2F" w:rsidRPr="00E40894" w:rsidRDefault="005A1F2F" w:rsidP="005A1F2F">
      <w:pPr>
        <w:pStyle w:val="Order1"/>
      </w:pPr>
      <w:r w:rsidRPr="0038452F">
        <w:t xml:space="preserve">Pursuant to </w:t>
      </w:r>
      <w:r w:rsidRPr="006941F0">
        <w:t>s 1317</w:t>
      </w:r>
      <w:proofErr w:type="gramStart"/>
      <w:r w:rsidRPr="006941F0">
        <w:t>E(</w:t>
      </w:r>
      <w:proofErr w:type="gramEnd"/>
      <w:r w:rsidRPr="006941F0">
        <w:t>1)</w:t>
      </w:r>
      <w:r>
        <w:t xml:space="preserve"> of the </w:t>
      </w:r>
      <w:r w:rsidRPr="00490A7C">
        <w:rPr>
          <w:i/>
          <w:iCs/>
        </w:rPr>
        <w:t>Corporations Act</w:t>
      </w:r>
      <w:r w:rsidRPr="006941F0">
        <w:t>,</w:t>
      </w:r>
      <w:r w:rsidRPr="0038452F">
        <w:t xml:space="preserve"> the second defendant contravened</w:t>
      </w:r>
      <w:r>
        <w:t xml:space="preserve"> </w:t>
      </w:r>
      <w:r w:rsidRPr="006941F0">
        <w:t>ss 1309(2)</w:t>
      </w:r>
      <w:r>
        <w:t xml:space="preserve"> and 1309</w:t>
      </w:r>
      <w:r w:rsidRPr="006941F0">
        <w:t xml:space="preserve">(12) of the </w:t>
      </w:r>
      <w:r w:rsidRPr="006941F0">
        <w:rPr>
          <w:i/>
          <w:iCs/>
        </w:rPr>
        <w:t>Corporations Act</w:t>
      </w:r>
      <w:r w:rsidRPr="0038452F">
        <w:t xml:space="preserve"> in making available or giving,</w:t>
      </w:r>
      <w:r>
        <w:t xml:space="preserve"> </w:t>
      </w:r>
      <w:r w:rsidRPr="0038452F">
        <w:t>or alternatively</w:t>
      </w:r>
      <w:r>
        <w:t xml:space="preserve"> </w:t>
      </w:r>
      <w:r w:rsidRPr="0038452F">
        <w:t>authorising or permitting the making available or giving of:</w:t>
      </w:r>
      <w:bookmarkStart w:id="21" w:name="_Hlk161729559"/>
    </w:p>
    <w:p w14:paraId="6D4DC34C" w14:textId="77777777" w:rsidR="005A1F2F" w:rsidRPr="00E40894" w:rsidRDefault="005A1F2F" w:rsidP="005A1F2F">
      <w:pPr>
        <w:pStyle w:val="Order2"/>
        <w:numPr>
          <w:ilvl w:val="0"/>
          <w:numId w:val="0"/>
        </w:numPr>
        <w:ind w:left="1440" w:hanging="720"/>
      </w:pPr>
      <w:r w:rsidRPr="00E40894">
        <w:t>(</w:t>
      </w:r>
      <w:r>
        <w:t>a</w:t>
      </w:r>
      <w:r w:rsidRPr="00E40894">
        <w:t xml:space="preserve">) </w:t>
      </w:r>
      <w:r w:rsidRPr="00E40894">
        <w:tab/>
        <w:t xml:space="preserve">a letter dated 17 April 2020 to the ASX, in which the first defendant represented, prior to the press conference held on 20 February 2020, that a Binding Term Sheet was executed between </w:t>
      </w:r>
      <w:proofErr w:type="spellStart"/>
      <w:r>
        <w:t>Holista</w:t>
      </w:r>
      <w:proofErr w:type="spellEnd"/>
      <w:r w:rsidRPr="00E40894">
        <w:t xml:space="preserve"> and </w:t>
      </w:r>
      <w:proofErr w:type="gramStart"/>
      <w:r w:rsidRPr="0028143E">
        <w:t>GICC</w:t>
      </w:r>
      <w:r w:rsidRPr="00E40894">
        <w:t>;</w:t>
      </w:r>
      <w:proofErr w:type="gramEnd"/>
    </w:p>
    <w:p w14:paraId="5B4A3737" w14:textId="77777777" w:rsidR="005A1F2F" w:rsidRDefault="005A1F2F" w:rsidP="005A1F2F">
      <w:pPr>
        <w:pStyle w:val="Order2"/>
        <w:numPr>
          <w:ilvl w:val="0"/>
          <w:numId w:val="0"/>
        </w:numPr>
        <w:ind w:left="1440" w:hanging="720"/>
      </w:pPr>
      <w:r w:rsidRPr="00E40894">
        <w:t>(</w:t>
      </w:r>
      <w:r>
        <w:t>b</w:t>
      </w:r>
      <w:r w:rsidRPr="00E40894">
        <w:t xml:space="preserve">) </w:t>
      </w:r>
      <w:r w:rsidRPr="00E40894">
        <w:tab/>
        <w:t xml:space="preserve">a letter dated 20 April 2020 to the ASX and to members of the first defendant, in which </w:t>
      </w:r>
      <w:proofErr w:type="spellStart"/>
      <w:r>
        <w:t>Holista</w:t>
      </w:r>
      <w:proofErr w:type="spellEnd"/>
      <w:r w:rsidRPr="001A0134">
        <w:t xml:space="preserve"> represented that it was prior to the press conference held on 20 February</w:t>
      </w:r>
      <w:r w:rsidRPr="0038452F">
        <w:t xml:space="preserve"> 2020 that a Binding Term Sheet was executed between </w:t>
      </w:r>
      <w:proofErr w:type="spellStart"/>
      <w:r>
        <w:t>Holista</w:t>
      </w:r>
      <w:proofErr w:type="spellEnd"/>
      <w:r w:rsidRPr="0038452F">
        <w:t xml:space="preserve"> and</w:t>
      </w:r>
      <w:r>
        <w:t xml:space="preserve"> </w:t>
      </w:r>
      <w:r w:rsidRPr="0038452F">
        <w:t>GICC</w:t>
      </w:r>
      <w:bookmarkEnd w:id="21"/>
      <w:r>
        <w:t>; and</w:t>
      </w:r>
    </w:p>
    <w:p w14:paraId="49351584" w14:textId="77777777" w:rsidR="005A1F2F" w:rsidRPr="007C1139" w:rsidRDefault="005A1F2F" w:rsidP="005A1F2F">
      <w:pPr>
        <w:pStyle w:val="Order2"/>
        <w:numPr>
          <w:ilvl w:val="0"/>
          <w:numId w:val="0"/>
        </w:numPr>
        <w:ind w:left="1440" w:hanging="720"/>
      </w:pPr>
      <w:r>
        <w:t>(c)</w:t>
      </w:r>
      <w:r>
        <w:tab/>
      </w:r>
      <w:r w:rsidRPr="0038452F">
        <w:t>an ASX announcement dated 9 April 2020 to the ASX and to members of the</w:t>
      </w:r>
      <w:r>
        <w:t xml:space="preserve"> </w:t>
      </w:r>
      <w:r w:rsidRPr="0038452F">
        <w:t>first defendant, containing the Orders Representation and the Revenue</w:t>
      </w:r>
      <w:r>
        <w:t xml:space="preserve"> </w:t>
      </w:r>
      <w:proofErr w:type="gramStart"/>
      <w:r w:rsidRPr="00E40894">
        <w:t>Representation</w:t>
      </w:r>
      <w:r>
        <w:t>;</w:t>
      </w:r>
      <w:proofErr w:type="gramEnd"/>
    </w:p>
    <w:p w14:paraId="14874F4F" w14:textId="77777777" w:rsidR="005A1F2F" w:rsidRDefault="005A1F2F" w:rsidP="005A1F2F">
      <w:pPr>
        <w:pStyle w:val="Order1"/>
        <w:numPr>
          <w:ilvl w:val="0"/>
          <w:numId w:val="0"/>
        </w:numPr>
        <w:ind w:left="709" w:firstLine="11"/>
        <w:rPr>
          <w:b/>
          <w:bCs/>
        </w:rPr>
      </w:pPr>
      <w:r w:rsidRPr="006B130A">
        <w:t xml:space="preserve">which was information that related to the affairs of the first defendant and </w:t>
      </w:r>
      <w:r>
        <w:t xml:space="preserve">that </w:t>
      </w:r>
      <w:r w:rsidRPr="006B130A">
        <w:t>was false</w:t>
      </w:r>
      <w:r>
        <w:t xml:space="preserve"> </w:t>
      </w:r>
      <w:r w:rsidRPr="006B130A">
        <w:t>or misleading in a material particular without having taken reasonable steps to ensure</w:t>
      </w:r>
      <w:r>
        <w:t xml:space="preserve"> </w:t>
      </w:r>
      <w:r w:rsidRPr="006B130A">
        <w:t xml:space="preserve">that the information was not false or misleading in a </w:t>
      </w:r>
      <w:proofErr w:type="gramStart"/>
      <w:r w:rsidRPr="006B130A">
        <w:t>material particular</w:t>
      </w:r>
      <w:proofErr w:type="gramEnd"/>
      <w:r w:rsidRPr="006B130A">
        <w:t>.</w:t>
      </w:r>
    </w:p>
    <w:p w14:paraId="25FA41D3" w14:textId="77777777" w:rsidR="005A1F2F" w:rsidRPr="006B130A" w:rsidRDefault="005A1F2F" w:rsidP="005A1F2F">
      <w:pPr>
        <w:pStyle w:val="OrdersHeading2"/>
      </w:pPr>
      <w:r w:rsidRPr="006B130A">
        <w:t>AND THE COURT ORDERS THAT:</w:t>
      </w:r>
    </w:p>
    <w:p w14:paraId="0CBBF101" w14:textId="77777777" w:rsidR="005A1F2F" w:rsidRDefault="005A1F2F" w:rsidP="005A1F2F">
      <w:pPr>
        <w:pStyle w:val="Order1"/>
        <w:numPr>
          <w:ilvl w:val="0"/>
          <w:numId w:val="0"/>
        </w:numPr>
        <w:ind w:left="720" w:hanging="720"/>
      </w:pPr>
      <w:r>
        <w:t>1.</w:t>
      </w:r>
      <w:r w:rsidRPr="006B130A">
        <w:t xml:space="preserve"> </w:t>
      </w:r>
      <w:r>
        <w:tab/>
        <w:t xml:space="preserve">Pursuant to </w:t>
      </w:r>
      <w:r w:rsidRPr="006941F0">
        <w:t>s 1317</w:t>
      </w:r>
      <w:proofErr w:type="gramStart"/>
      <w:r w:rsidRPr="006941F0">
        <w:t>G(</w:t>
      </w:r>
      <w:proofErr w:type="gramEnd"/>
      <w:r w:rsidRPr="006941F0">
        <w:t xml:space="preserve">1) of the </w:t>
      </w:r>
      <w:r w:rsidRPr="006941F0">
        <w:rPr>
          <w:i/>
          <w:iCs/>
        </w:rPr>
        <w:t>Corporations Act</w:t>
      </w:r>
      <w:r>
        <w:t xml:space="preserve">, </w:t>
      </w:r>
      <w:r w:rsidRPr="006B130A">
        <w:t xml:space="preserve">the </w:t>
      </w:r>
      <w:r>
        <w:t>first</w:t>
      </w:r>
      <w:r w:rsidRPr="006B130A">
        <w:t xml:space="preserve"> defendant pay to the </w:t>
      </w:r>
      <w:r w:rsidRPr="007A3D2C">
        <w:rPr>
          <w:b/>
          <w:bCs/>
        </w:rPr>
        <w:t>Commonwealth</w:t>
      </w:r>
      <w:r w:rsidRPr="006B130A">
        <w:t xml:space="preserve"> of Australia a pecuniary penalty in the</w:t>
      </w:r>
      <w:r>
        <w:t xml:space="preserve"> </w:t>
      </w:r>
      <w:r w:rsidRPr="006B130A">
        <w:t>amount of $1</w:t>
      </w:r>
      <w:r>
        <w:t>,800,000</w:t>
      </w:r>
      <w:r w:rsidRPr="006B130A">
        <w:t xml:space="preserve"> in respect of the contraventions</w:t>
      </w:r>
      <w:r>
        <w:t xml:space="preserve"> of s</w:t>
      </w:r>
      <w:r w:rsidRPr="006941F0">
        <w:t xml:space="preserve"> 674(2) of the</w:t>
      </w:r>
      <w:r w:rsidRPr="006941F0">
        <w:rPr>
          <w:i/>
          <w:iCs/>
        </w:rPr>
        <w:t xml:space="preserve"> Corporations Act</w:t>
      </w:r>
      <w:r w:rsidRPr="006941F0">
        <w:t>.</w:t>
      </w:r>
    </w:p>
    <w:p w14:paraId="2119736E" w14:textId="77777777" w:rsidR="005A1F2F" w:rsidRPr="006B130A" w:rsidRDefault="005A1F2F" w:rsidP="005A1F2F">
      <w:pPr>
        <w:pStyle w:val="Order1"/>
        <w:numPr>
          <w:ilvl w:val="0"/>
          <w:numId w:val="0"/>
        </w:numPr>
        <w:ind w:left="720" w:hanging="720"/>
      </w:pPr>
      <w:r>
        <w:t>2.</w:t>
      </w:r>
      <w:r>
        <w:tab/>
      </w:r>
      <w:r w:rsidRPr="006B130A">
        <w:t xml:space="preserve">Pursuant to </w:t>
      </w:r>
      <w:r w:rsidRPr="006941F0">
        <w:t>s 1317</w:t>
      </w:r>
      <w:proofErr w:type="gramStart"/>
      <w:r w:rsidRPr="006941F0">
        <w:t>G(</w:t>
      </w:r>
      <w:proofErr w:type="gramEnd"/>
      <w:r w:rsidRPr="006941F0">
        <w:t xml:space="preserve">1) of the </w:t>
      </w:r>
      <w:r w:rsidRPr="006941F0">
        <w:rPr>
          <w:i/>
          <w:iCs/>
        </w:rPr>
        <w:t>Corporations Act</w:t>
      </w:r>
      <w:r w:rsidRPr="006B130A">
        <w:t>, within 28 days of service of this Order,</w:t>
      </w:r>
      <w:r>
        <w:t xml:space="preserve"> </w:t>
      </w:r>
      <w:r w:rsidRPr="006B130A">
        <w:t>the second defendant pay to the Commonwealth a pecuniary penalty in the</w:t>
      </w:r>
    </w:p>
    <w:p w14:paraId="686E020C" w14:textId="77777777" w:rsidR="005A1F2F" w:rsidRPr="006941F0" w:rsidRDefault="005A1F2F" w:rsidP="005A1F2F">
      <w:pPr>
        <w:pStyle w:val="Order1"/>
        <w:numPr>
          <w:ilvl w:val="0"/>
          <w:numId w:val="0"/>
        </w:numPr>
        <w:ind w:left="720"/>
      </w:pPr>
      <w:r w:rsidRPr="006B130A">
        <w:t xml:space="preserve">amount of $150,000 in respect of the contraventions of </w:t>
      </w:r>
      <w:r w:rsidRPr="006941F0">
        <w:t>s</w:t>
      </w:r>
      <w:r>
        <w:t>s</w:t>
      </w:r>
      <w:r w:rsidRPr="006941F0">
        <w:t xml:space="preserve"> 180(1), 1309(2)</w:t>
      </w:r>
      <w:r>
        <w:t xml:space="preserve"> and </w:t>
      </w:r>
      <w:r w:rsidRPr="006941F0">
        <w:t>(12)</w:t>
      </w:r>
      <w:r>
        <w:t xml:space="preserve"> </w:t>
      </w:r>
      <w:r w:rsidRPr="00BD4555">
        <w:t xml:space="preserve">of the </w:t>
      </w:r>
      <w:r w:rsidRPr="006941F0">
        <w:rPr>
          <w:i/>
          <w:iCs/>
        </w:rPr>
        <w:t>Corporations Act</w:t>
      </w:r>
      <w:r w:rsidRPr="006941F0">
        <w:t>.</w:t>
      </w:r>
    </w:p>
    <w:p w14:paraId="5F518450" w14:textId="77777777" w:rsidR="005A1F2F" w:rsidRPr="006B130A" w:rsidRDefault="005A1F2F" w:rsidP="005A1F2F">
      <w:pPr>
        <w:pStyle w:val="Order1"/>
        <w:numPr>
          <w:ilvl w:val="0"/>
          <w:numId w:val="0"/>
        </w:numPr>
        <w:ind w:left="720" w:hanging="720"/>
      </w:pPr>
      <w:r>
        <w:lastRenderedPageBreak/>
        <w:t>3.</w:t>
      </w:r>
      <w:r>
        <w:tab/>
      </w:r>
      <w:r w:rsidRPr="006B130A">
        <w:t xml:space="preserve">Pursuant to </w:t>
      </w:r>
      <w:r w:rsidRPr="006941F0">
        <w:t>s 206</w:t>
      </w:r>
      <w:proofErr w:type="gramStart"/>
      <w:r w:rsidRPr="006941F0">
        <w:t>C(</w:t>
      </w:r>
      <w:proofErr w:type="gramEnd"/>
      <w:r w:rsidRPr="006941F0">
        <w:t xml:space="preserve">1) of the </w:t>
      </w:r>
      <w:r w:rsidRPr="006941F0">
        <w:rPr>
          <w:i/>
          <w:iCs/>
        </w:rPr>
        <w:t>Corporations Act</w:t>
      </w:r>
      <w:r w:rsidRPr="006B130A">
        <w:t xml:space="preserve">, the second defendant </w:t>
      </w:r>
      <w:r>
        <w:t>be</w:t>
      </w:r>
      <w:r w:rsidRPr="006B130A">
        <w:t xml:space="preserve"> disqualified</w:t>
      </w:r>
      <w:r>
        <w:t xml:space="preserve"> </w:t>
      </w:r>
      <w:r w:rsidRPr="006B130A">
        <w:t>from managing a corporation for a period of 4 years</w:t>
      </w:r>
      <w:r>
        <w:t>,</w:t>
      </w:r>
      <w:r w:rsidRPr="006B130A">
        <w:t xml:space="preserve"> from the date of this Order.</w:t>
      </w:r>
    </w:p>
    <w:p w14:paraId="554DD7DD" w14:textId="77777777" w:rsidR="005A1F2F" w:rsidRDefault="005A1F2F" w:rsidP="005A1F2F">
      <w:pPr>
        <w:pStyle w:val="Order1"/>
        <w:numPr>
          <w:ilvl w:val="0"/>
          <w:numId w:val="0"/>
        </w:numPr>
        <w:ind w:left="720" w:hanging="720"/>
      </w:pPr>
      <w:r>
        <w:t>4.</w:t>
      </w:r>
      <w:r>
        <w:tab/>
      </w:r>
      <w:r w:rsidRPr="006B130A">
        <w:t>Within 28 days of service of this Order, the second defendant pay the plaintiff</w:t>
      </w:r>
      <w:r>
        <w:t>’</w:t>
      </w:r>
      <w:r w:rsidRPr="006B130A">
        <w:t>s costs</w:t>
      </w:r>
      <w:r>
        <w:t xml:space="preserve"> of the proceedings</w:t>
      </w:r>
      <w:r w:rsidRPr="006B130A">
        <w:t>,</w:t>
      </w:r>
      <w:r>
        <w:t xml:space="preserve"> </w:t>
      </w:r>
      <w:r w:rsidRPr="006B130A">
        <w:t>fixed in the amount of $200,000.</w:t>
      </w:r>
    </w:p>
    <w:p w14:paraId="265F1B38" w14:textId="77777777" w:rsidR="005A1F2F" w:rsidRDefault="005A1F2F" w:rsidP="005A1F2F">
      <w:pPr>
        <w:pStyle w:val="Order1"/>
        <w:numPr>
          <w:ilvl w:val="0"/>
          <w:numId w:val="0"/>
        </w:numPr>
        <w:ind w:left="720" w:hanging="720"/>
      </w:pPr>
      <w:r>
        <w:t>5.</w:t>
      </w:r>
      <w:r>
        <w:tab/>
      </w:r>
      <w:r w:rsidRPr="009A4C96">
        <w:t xml:space="preserve">The first defendant </w:t>
      </w:r>
      <w:proofErr w:type="gramStart"/>
      <w:r w:rsidRPr="009A4C96">
        <w:t>pay</w:t>
      </w:r>
      <w:proofErr w:type="gramEnd"/>
      <w:r w:rsidRPr="009A4C96">
        <w:t xml:space="preserve"> the plaintiff’s costs of the proceedings in so far as they exceed $200,000 to be taxed, if not agreed.</w:t>
      </w:r>
    </w:p>
    <w:p w14:paraId="29A3F655" w14:textId="77777777" w:rsidR="005A1F2F" w:rsidRDefault="005A1F2F" w:rsidP="005A1F2F">
      <w:pPr>
        <w:pStyle w:val="Order1"/>
        <w:numPr>
          <w:ilvl w:val="0"/>
          <w:numId w:val="0"/>
        </w:numPr>
        <w:ind w:left="720" w:hanging="720"/>
      </w:pPr>
      <w:r>
        <w:t>6.</w:t>
      </w:r>
      <w:r>
        <w:tab/>
        <w:t>Within 14 days of service of this Order, the first defendant and the plaintiff file and serve written submissions, not exceeding three pages in length, as to whether the pecuniary penalty ordered to be paid by the first defendant should be paid in instalments.</w:t>
      </w:r>
    </w:p>
    <w:p w14:paraId="122DDD32" w14:textId="77777777" w:rsidR="005A1F2F" w:rsidRDefault="005A1F2F" w:rsidP="005A1F2F">
      <w:pPr>
        <w:pStyle w:val="Order1"/>
        <w:numPr>
          <w:ilvl w:val="0"/>
          <w:numId w:val="0"/>
        </w:numPr>
        <w:ind w:left="720" w:hanging="720"/>
      </w:pPr>
      <w:r>
        <w:t>7.</w:t>
      </w:r>
      <w:r>
        <w:tab/>
        <w:t>The Orders 1 to 6 are taken to be entered forthwith.</w:t>
      </w:r>
    </w:p>
    <w:p w14:paraId="45E8B8CE" w14:textId="77777777" w:rsidR="001A6C52" w:rsidRDefault="001A6C52" w:rsidP="001A6C52">
      <w:pPr>
        <w:pStyle w:val="BodyText"/>
      </w:pPr>
    </w:p>
    <w:p w14:paraId="0C068511" w14:textId="77777777" w:rsidR="00A431E6" w:rsidRDefault="00A431E6" w:rsidP="001A6C52">
      <w:pPr>
        <w:pStyle w:val="BodyText"/>
      </w:pPr>
    </w:p>
    <w:p w14:paraId="712B8290" w14:textId="7B723031" w:rsidR="0050309C" w:rsidRDefault="00E72A90"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2D3CC0A8" w14:textId="77777777" w:rsidR="00E23577" w:rsidRDefault="00E23577" w:rsidP="002B0E91">
      <w:pPr>
        <w:pStyle w:val="BodyText"/>
      </w:pPr>
    </w:p>
    <w:p w14:paraId="0EB7A7B4" w14:textId="77777777" w:rsidR="00395B24" w:rsidRDefault="00395B24">
      <w:pPr>
        <w:pStyle w:val="NormalHeadings"/>
        <w:spacing w:before="240" w:after="120"/>
        <w:rPr>
          <w:b w:val="0"/>
        </w:rPr>
        <w:sectPr w:rsidR="00395B24" w:rsidSect="002104C2">
          <w:headerReference w:type="even" r:id="rId10"/>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36A9607C"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1AE74273" w14:textId="5CB82FAB" w:rsidR="00694BEB" w:rsidRDefault="00E72A90" w:rsidP="005E0510">
      <w:pPr>
        <w:pStyle w:val="NormalHeadings"/>
        <w:spacing w:line="360" w:lineRule="auto"/>
        <w:jc w:val="left"/>
        <w:rPr>
          <w:sz w:val="26"/>
          <w:szCs w:val="26"/>
        </w:rPr>
      </w:pPr>
      <w:r>
        <w:rPr>
          <w:sz w:val="26"/>
          <w:szCs w:val="26"/>
        </w:rPr>
        <w:t>SARAH C DERRINGTON J</w:t>
      </w:r>
    </w:p>
    <w:tbl>
      <w:tblPr>
        <w:tblW w:w="9291" w:type="dxa"/>
        <w:tblLook w:val="01E0" w:firstRow="1" w:lastRow="1" w:firstColumn="1" w:lastColumn="1" w:noHBand="0" w:noVBand="0"/>
      </w:tblPr>
      <w:tblGrid>
        <w:gridCol w:w="8291"/>
        <w:gridCol w:w="1000"/>
      </w:tblGrid>
      <w:tr w:rsidR="0006471F" w:rsidRPr="00D326DB" w14:paraId="21EA2FD7" w14:textId="77777777" w:rsidTr="0006471F">
        <w:tc>
          <w:tcPr>
            <w:tcW w:w="8291" w:type="dxa"/>
            <w:shd w:val="clear" w:color="auto" w:fill="auto"/>
          </w:tcPr>
          <w:bookmarkStart w:id="24" w:name="PTOC"/>
          <w:p w14:paraId="31EFDEC3" w14:textId="0BDA82B5"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_Ref161673101 \h </w:instrText>
            </w:r>
            <w:r>
              <w:rPr>
                <w:lang w:eastAsia="en-AU"/>
              </w:rPr>
            </w:r>
            <w:r>
              <w:rPr>
                <w:lang w:eastAsia="en-AU"/>
              </w:rPr>
              <w:fldChar w:fldCharType="separate"/>
            </w:r>
            <w:r>
              <w:t>introduction</w:t>
            </w:r>
            <w:r>
              <w:rPr>
                <w:lang w:eastAsia="en-AU"/>
              </w:rPr>
              <w:fldChar w:fldCharType="end"/>
            </w:r>
          </w:p>
        </w:tc>
        <w:tc>
          <w:tcPr>
            <w:tcW w:w="1000" w:type="dxa"/>
            <w:shd w:val="clear" w:color="auto" w:fill="auto"/>
            <w:vAlign w:val="bottom"/>
          </w:tcPr>
          <w:p w14:paraId="5A419B28" w14:textId="58D50C8E" w:rsidR="0006471F" w:rsidRDefault="0006471F" w:rsidP="00640103">
            <w:pPr>
              <w:spacing w:before="120" w:after="60" w:line="240" w:lineRule="auto"/>
              <w:jc w:val="right"/>
              <w:rPr>
                <w:szCs w:val="24"/>
              </w:rPr>
            </w:pPr>
            <w:r>
              <w:rPr>
                <w:szCs w:val="24"/>
              </w:rPr>
              <w:t>[1]</w:t>
            </w:r>
          </w:p>
        </w:tc>
      </w:tr>
      <w:tr w:rsidR="0006471F" w:rsidRPr="00D326DB" w14:paraId="7FF98BA7" w14:textId="77777777" w:rsidTr="0006471F">
        <w:tc>
          <w:tcPr>
            <w:tcW w:w="8291" w:type="dxa"/>
            <w:shd w:val="clear" w:color="auto" w:fill="auto"/>
          </w:tcPr>
          <w:p w14:paraId="129EC3EF" w14:textId="58EBCEBD"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_Ref161753320 \h </w:instrText>
            </w:r>
            <w:r>
              <w:rPr>
                <w:lang w:eastAsia="en-AU"/>
              </w:rPr>
            </w:r>
            <w:r>
              <w:rPr>
                <w:lang w:eastAsia="en-AU"/>
              </w:rPr>
              <w:fldChar w:fldCharType="separate"/>
            </w:r>
            <w:r>
              <w:t>THE Summary of agreed facts AND ADMISSIONS</w:t>
            </w:r>
            <w:r>
              <w:rPr>
                <w:lang w:eastAsia="en-AU"/>
              </w:rPr>
              <w:fldChar w:fldCharType="end"/>
            </w:r>
          </w:p>
        </w:tc>
        <w:tc>
          <w:tcPr>
            <w:tcW w:w="1000" w:type="dxa"/>
            <w:shd w:val="clear" w:color="auto" w:fill="auto"/>
            <w:vAlign w:val="bottom"/>
          </w:tcPr>
          <w:p w14:paraId="6FCF54EA" w14:textId="6967177A" w:rsidR="0006471F" w:rsidRDefault="0006471F" w:rsidP="00640103">
            <w:pPr>
              <w:spacing w:before="120" w:after="60" w:line="240" w:lineRule="auto"/>
              <w:jc w:val="right"/>
              <w:rPr>
                <w:szCs w:val="24"/>
              </w:rPr>
            </w:pPr>
            <w:r>
              <w:rPr>
                <w:szCs w:val="24"/>
              </w:rPr>
              <w:t>[5]</w:t>
            </w:r>
          </w:p>
        </w:tc>
      </w:tr>
      <w:tr w:rsidR="0006471F" w:rsidRPr="00D326DB" w14:paraId="7A68734E" w14:textId="77777777" w:rsidTr="0006471F">
        <w:tc>
          <w:tcPr>
            <w:tcW w:w="8291" w:type="dxa"/>
            <w:shd w:val="clear" w:color="auto" w:fill="auto"/>
          </w:tcPr>
          <w:p w14:paraId="0A1C00E1" w14:textId="677B2447"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_Ref161673103 \h </w:instrText>
            </w:r>
            <w:r>
              <w:rPr>
                <w:lang w:eastAsia="en-AU"/>
              </w:rPr>
            </w:r>
            <w:r>
              <w:rPr>
                <w:lang w:eastAsia="en-AU"/>
              </w:rPr>
              <w:fldChar w:fldCharType="separate"/>
            </w:r>
            <w:r>
              <w:t>Holista’s Liability</w:t>
            </w:r>
            <w:r>
              <w:rPr>
                <w:lang w:eastAsia="en-AU"/>
              </w:rPr>
              <w:fldChar w:fldCharType="end"/>
            </w:r>
          </w:p>
        </w:tc>
        <w:tc>
          <w:tcPr>
            <w:tcW w:w="1000" w:type="dxa"/>
            <w:shd w:val="clear" w:color="auto" w:fill="auto"/>
            <w:vAlign w:val="bottom"/>
          </w:tcPr>
          <w:p w14:paraId="6F5A6884" w14:textId="7A2B93A7" w:rsidR="0006471F" w:rsidRDefault="0006471F" w:rsidP="00640103">
            <w:pPr>
              <w:spacing w:before="120" w:after="60" w:line="240" w:lineRule="auto"/>
              <w:jc w:val="right"/>
              <w:rPr>
                <w:szCs w:val="24"/>
              </w:rPr>
            </w:pPr>
            <w:r>
              <w:rPr>
                <w:szCs w:val="24"/>
              </w:rPr>
              <w:t>[31]</w:t>
            </w:r>
          </w:p>
        </w:tc>
      </w:tr>
      <w:tr w:rsidR="0006471F" w:rsidRPr="00D326DB" w14:paraId="291C888D" w14:textId="77777777" w:rsidTr="0006471F">
        <w:tc>
          <w:tcPr>
            <w:tcW w:w="8291" w:type="dxa"/>
            <w:shd w:val="clear" w:color="auto" w:fill="auto"/>
          </w:tcPr>
          <w:p w14:paraId="3C62F92F" w14:textId="5A00863F" w:rsidR="0006471F" w:rsidRPr="0006471F" w:rsidRDefault="0006471F" w:rsidP="0006471F">
            <w:pPr>
              <w:pStyle w:val="FTOC2"/>
              <w:tabs>
                <w:tab w:val="clear" w:pos="9072"/>
              </w:tabs>
              <w:rPr>
                <w:lang w:eastAsia="en-AU"/>
              </w:rPr>
            </w:pPr>
            <w:r>
              <w:rPr>
                <w:lang w:eastAsia="en-AU"/>
              </w:rPr>
              <w:fldChar w:fldCharType="begin"/>
            </w:r>
            <w:r>
              <w:rPr>
                <w:lang w:eastAsia="en-AU"/>
              </w:rPr>
              <w:instrText xml:space="preserve"> REF _Ref161673104 \h </w:instrText>
            </w:r>
            <w:r>
              <w:rPr>
                <w:lang w:eastAsia="en-AU"/>
              </w:rPr>
            </w:r>
            <w:r>
              <w:rPr>
                <w:lang w:eastAsia="en-AU"/>
              </w:rPr>
              <w:fldChar w:fldCharType="separate"/>
            </w:r>
            <w:r>
              <w:t>Legislative provisions relevant to liability</w:t>
            </w:r>
            <w:r>
              <w:rPr>
                <w:lang w:eastAsia="en-AU"/>
              </w:rPr>
              <w:fldChar w:fldCharType="end"/>
            </w:r>
          </w:p>
        </w:tc>
        <w:tc>
          <w:tcPr>
            <w:tcW w:w="1000" w:type="dxa"/>
            <w:shd w:val="clear" w:color="auto" w:fill="auto"/>
            <w:vAlign w:val="bottom"/>
          </w:tcPr>
          <w:p w14:paraId="3BFE62AE" w14:textId="612AF6A0" w:rsidR="0006471F" w:rsidRDefault="0006471F" w:rsidP="00640103">
            <w:pPr>
              <w:spacing w:before="120" w:after="60" w:line="240" w:lineRule="auto"/>
              <w:jc w:val="right"/>
              <w:rPr>
                <w:szCs w:val="24"/>
              </w:rPr>
            </w:pPr>
            <w:r>
              <w:rPr>
                <w:szCs w:val="24"/>
              </w:rPr>
              <w:t>[31]</w:t>
            </w:r>
          </w:p>
        </w:tc>
      </w:tr>
      <w:tr w:rsidR="0006471F" w:rsidRPr="00D326DB" w14:paraId="3E097FD2" w14:textId="77777777" w:rsidTr="0006471F">
        <w:tc>
          <w:tcPr>
            <w:tcW w:w="8291" w:type="dxa"/>
            <w:shd w:val="clear" w:color="auto" w:fill="auto"/>
          </w:tcPr>
          <w:p w14:paraId="2B4AA18F" w14:textId="5DB472FD" w:rsidR="0006471F" w:rsidRPr="0006471F" w:rsidRDefault="0006471F" w:rsidP="0006471F">
            <w:pPr>
              <w:pStyle w:val="FTOC3"/>
              <w:tabs>
                <w:tab w:val="clear" w:pos="9072"/>
              </w:tabs>
              <w:rPr>
                <w:i w:val="0"/>
                <w:lang w:eastAsia="en-AU"/>
              </w:rPr>
            </w:pPr>
            <w:r>
              <w:rPr>
                <w:lang w:eastAsia="en-AU"/>
              </w:rPr>
              <w:fldChar w:fldCharType="begin"/>
            </w:r>
            <w:r>
              <w:rPr>
                <w:lang w:eastAsia="en-AU"/>
              </w:rPr>
              <w:instrText xml:space="preserve"> REF _Ref161673105 \h </w:instrText>
            </w:r>
            <w:r>
              <w:rPr>
                <w:lang w:eastAsia="en-AU"/>
              </w:rPr>
            </w:r>
            <w:r>
              <w:rPr>
                <w:lang w:eastAsia="en-AU"/>
              </w:rPr>
              <w:fldChar w:fldCharType="separate"/>
            </w:r>
            <w:r>
              <w:t>The admitted contraventions of ss 674(2) and 1041</w:t>
            </w:r>
            <w:proofErr w:type="gramStart"/>
            <w:r>
              <w:t>H(</w:t>
            </w:r>
            <w:proofErr w:type="gramEnd"/>
            <w:r>
              <w:t>1)</w:t>
            </w:r>
            <w:r>
              <w:rPr>
                <w:lang w:eastAsia="en-AU"/>
              </w:rPr>
              <w:fldChar w:fldCharType="end"/>
            </w:r>
          </w:p>
        </w:tc>
        <w:tc>
          <w:tcPr>
            <w:tcW w:w="1000" w:type="dxa"/>
            <w:shd w:val="clear" w:color="auto" w:fill="auto"/>
            <w:vAlign w:val="bottom"/>
          </w:tcPr>
          <w:p w14:paraId="6924A637" w14:textId="6EAC49FF" w:rsidR="0006471F" w:rsidRDefault="0006471F" w:rsidP="00640103">
            <w:pPr>
              <w:spacing w:before="120" w:after="60" w:line="240" w:lineRule="auto"/>
              <w:jc w:val="right"/>
              <w:rPr>
                <w:szCs w:val="24"/>
              </w:rPr>
            </w:pPr>
            <w:r>
              <w:rPr>
                <w:szCs w:val="24"/>
              </w:rPr>
              <w:t>[41]</w:t>
            </w:r>
          </w:p>
        </w:tc>
      </w:tr>
      <w:tr w:rsidR="0006471F" w:rsidRPr="00D326DB" w14:paraId="3EC027B0" w14:textId="77777777" w:rsidTr="0006471F">
        <w:tc>
          <w:tcPr>
            <w:tcW w:w="8291" w:type="dxa"/>
            <w:shd w:val="clear" w:color="auto" w:fill="auto"/>
          </w:tcPr>
          <w:p w14:paraId="13ED1CAB" w14:textId="312DAE22" w:rsidR="0006471F" w:rsidRPr="0006471F" w:rsidRDefault="0006471F" w:rsidP="0006471F">
            <w:pPr>
              <w:pStyle w:val="FTOC2"/>
              <w:tabs>
                <w:tab w:val="clear" w:pos="9072"/>
              </w:tabs>
              <w:rPr>
                <w:lang w:eastAsia="en-AU"/>
              </w:rPr>
            </w:pPr>
            <w:r>
              <w:rPr>
                <w:lang w:eastAsia="en-AU"/>
              </w:rPr>
              <w:fldChar w:fldCharType="begin"/>
            </w:r>
            <w:r>
              <w:rPr>
                <w:lang w:eastAsia="en-AU"/>
              </w:rPr>
              <w:instrText xml:space="preserve"> REF _Ref161673106 \h </w:instrText>
            </w:r>
            <w:r>
              <w:rPr>
                <w:lang w:eastAsia="en-AU"/>
              </w:rPr>
            </w:r>
            <w:r>
              <w:rPr>
                <w:lang w:eastAsia="en-AU"/>
              </w:rPr>
              <w:fldChar w:fldCharType="separate"/>
            </w:r>
            <w:r>
              <w:t xml:space="preserve">Is it appropriate to make the agreed declarations in respect of </w:t>
            </w:r>
            <w:proofErr w:type="spellStart"/>
            <w:r>
              <w:t>Holista’s</w:t>
            </w:r>
            <w:proofErr w:type="spellEnd"/>
            <w:r>
              <w:t xml:space="preserve"> liability?</w:t>
            </w:r>
            <w:r>
              <w:rPr>
                <w:lang w:eastAsia="en-AU"/>
              </w:rPr>
              <w:fldChar w:fldCharType="end"/>
            </w:r>
          </w:p>
        </w:tc>
        <w:tc>
          <w:tcPr>
            <w:tcW w:w="1000" w:type="dxa"/>
            <w:shd w:val="clear" w:color="auto" w:fill="auto"/>
            <w:vAlign w:val="bottom"/>
          </w:tcPr>
          <w:p w14:paraId="0A717C74" w14:textId="407E28CA" w:rsidR="0006471F" w:rsidRDefault="0006471F" w:rsidP="00640103">
            <w:pPr>
              <w:spacing w:before="120" w:after="60" w:line="240" w:lineRule="auto"/>
              <w:jc w:val="right"/>
              <w:rPr>
                <w:szCs w:val="24"/>
              </w:rPr>
            </w:pPr>
            <w:r>
              <w:rPr>
                <w:szCs w:val="24"/>
              </w:rPr>
              <w:t>[42]</w:t>
            </w:r>
          </w:p>
        </w:tc>
      </w:tr>
      <w:tr w:rsidR="0006471F" w:rsidRPr="00D326DB" w14:paraId="3D2B4C02" w14:textId="77777777" w:rsidTr="0006471F">
        <w:tc>
          <w:tcPr>
            <w:tcW w:w="8291" w:type="dxa"/>
            <w:shd w:val="clear" w:color="auto" w:fill="auto"/>
          </w:tcPr>
          <w:p w14:paraId="2ECFCE2E" w14:textId="2E8A9FBB" w:rsidR="0006471F" w:rsidRPr="0006471F" w:rsidRDefault="0006471F" w:rsidP="0006471F">
            <w:pPr>
              <w:pStyle w:val="FTOC3"/>
              <w:tabs>
                <w:tab w:val="clear" w:pos="9072"/>
              </w:tabs>
              <w:rPr>
                <w:i w:val="0"/>
                <w:lang w:eastAsia="en-AU"/>
              </w:rPr>
            </w:pPr>
            <w:r>
              <w:rPr>
                <w:lang w:eastAsia="en-AU"/>
              </w:rPr>
              <w:fldChar w:fldCharType="begin"/>
            </w:r>
            <w:r>
              <w:rPr>
                <w:lang w:eastAsia="en-AU"/>
              </w:rPr>
              <w:instrText xml:space="preserve"> REF _Ref161673107 \h </w:instrText>
            </w:r>
            <w:r>
              <w:rPr>
                <w:lang w:eastAsia="en-AU"/>
              </w:rPr>
            </w:r>
            <w:r>
              <w:rPr>
                <w:lang w:eastAsia="en-AU"/>
              </w:rPr>
              <w:fldChar w:fldCharType="separate"/>
            </w:r>
            <w:r>
              <w:t>The two matters in contention</w:t>
            </w:r>
            <w:r>
              <w:rPr>
                <w:lang w:eastAsia="en-AU"/>
              </w:rPr>
              <w:fldChar w:fldCharType="end"/>
            </w:r>
          </w:p>
        </w:tc>
        <w:tc>
          <w:tcPr>
            <w:tcW w:w="1000" w:type="dxa"/>
            <w:shd w:val="clear" w:color="auto" w:fill="auto"/>
            <w:vAlign w:val="bottom"/>
          </w:tcPr>
          <w:p w14:paraId="752590A7" w14:textId="171EA480" w:rsidR="0006471F" w:rsidRDefault="0006471F" w:rsidP="00640103">
            <w:pPr>
              <w:spacing w:before="120" w:after="60" w:line="240" w:lineRule="auto"/>
              <w:jc w:val="right"/>
              <w:rPr>
                <w:szCs w:val="24"/>
              </w:rPr>
            </w:pPr>
            <w:r>
              <w:rPr>
                <w:szCs w:val="24"/>
              </w:rPr>
              <w:t>[52]</w:t>
            </w:r>
          </w:p>
        </w:tc>
      </w:tr>
      <w:tr w:rsidR="0006471F" w:rsidRPr="00D326DB" w14:paraId="2E06114F" w14:textId="77777777" w:rsidTr="0006471F">
        <w:tc>
          <w:tcPr>
            <w:tcW w:w="8291" w:type="dxa"/>
            <w:shd w:val="clear" w:color="auto" w:fill="auto"/>
          </w:tcPr>
          <w:p w14:paraId="75FE4E21" w14:textId="57F554A9"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_Ref161673108 \h </w:instrText>
            </w:r>
            <w:r>
              <w:rPr>
                <w:lang w:eastAsia="en-AU"/>
              </w:rPr>
            </w:r>
            <w:r>
              <w:rPr>
                <w:lang w:eastAsia="en-AU"/>
              </w:rPr>
              <w:fldChar w:fldCharType="separate"/>
            </w:r>
            <w:r w:rsidRPr="00B30E78">
              <w:t>The relevant date</w:t>
            </w:r>
            <w:r>
              <w:rPr>
                <w:lang w:eastAsia="en-AU"/>
              </w:rPr>
              <w:fldChar w:fldCharType="end"/>
            </w:r>
          </w:p>
        </w:tc>
        <w:tc>
          <w:tcPr>
            <w:tcW w:w="1000" w:type="dxa"/>
            <w:shd w:val="clear" w:color="auto" w:fill="auto"/>
            <w:vAlign w:val="bottom"/>
          </w:tcPr>
          <w:p w14:paraId="380835D5" w14:textId="79BDAE29" w:rsidR="0006471F" w:rsidRDefault="0006471F" w:rsidP="00640103">
            <w:pPr>
              <w:spacing w:before="120" w:after="60" w:line="240" w:lineRule="auto"/>
              <w:jc w:val="right"/>
              <w:rPr>
                <w:szCs w:val="24"/>
              </w:rPr>
            </w:pPr>
            <w:r>
              <w:rPr>
                <w:szCs w:val="24"/>
              </w:rPr>
              <w:t>[53]</w:t>
            </w:r>
          </w:p>
        </w:tc>
      </w:tr>
      <w:tr w:rsidR="0006471F" w:rsidRPr="00D326DB" w14:paraId="6C1B1C7A" w14:textId="77777777" w:rsidTr="0006471F">
        <w:tc>
          <w:tcPr>
            <w:tcW w:w="8291" w:type="dxa"/>
            <w:shd w:val="clear" w:color="auto" w:fill="auto"/>
          </w:tcPr>
          <w:p w14:paraId="46969967" w14:textId="5FEC51F2"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_Ref161673109 \h </w:instrText>
            </w:r>
            <w:r>
              <w:rPr>
                <w:lang w:eastAsia="en-AU"/>
              </w:rPr>
            </w:r>
            <w:r>
              <w:rPr>
                <w:lang w:eastAsia="en-AU"/>
              </w:rPr>
              <w:fldChar w:fldCharType="separate"/>
            </w:r>
            <w:proofErr w:type="spellStart"/>
            <w:r w:rsidRPr="00B30E78">
              <w:t>Holista’s</w:t>
            </w:r>
            <w:proofErr w:type="spellEnd"/>
            <w:r w:rsidRPr="00B30E78">
              <w:t xml:space="preserve"> state of mind</w:t>
            </w:r>
            <w:r>
              <w:rPr>
                <w:lang w:eastAsia="en-AU"/>
              </w:rPr>
              <w:fldChar w:fldCharType="end"/>
            </w:r>
          </w:p>
        </w:tc>
        <w:tc>
          <w:tcPr>
            <w:tcW w:w="1000" w:type="dxa"/>
            <w:shd w:val="clear" w:color="auto" w:fill="auto"/>
            <w:vAlign w:val="bottom"/>
          </w:tcPr>
          <w:p w14:paraId="1A87F051" w14:textId="08109C11" w:rsidR="0006471F" w:rsidRDefault="0006471F" w:rsidP="00640103">
            <w:pPr>
              <w:spacing w:before="120" w:after="60" w:line="240" w:lineRule="auto"/>
              <w:jc w:val="right"/>
              <w:rPr>
                <w:szCs w:val="24"/>
              </w:rPr>
            </w:pPr>
            <w:r>
              <w:rPr>
                <w:szCs w:val="24"/>
              </w:rPr>
              <w:t>[56]</w:t>
            </w:r>
          </w:p>
        </w:tc>
      </w:tr>
      <w:tr w:rsidR="0006471F" w:rsidRPr="00D326DB" w14:paraId="212E6C3D" w14:textId="77777777" w:rsidTr="0006471F">
        <w:tc>
          <w:tcPr>
            <w:tcW w:w="8291" w:type="dxa"/>
            <w:shd w:val="clear" w:color="auto" w:fill="auto"/>
          </w:tcPr>
          <w:p w14:paraId="4DD61836" w14:textId="0CF65B38"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_Ref161673110 \h </w:instrText>
            </w:r>
            <w:r>
              <w:rPr>
                <w:lang w:eastAsia="en-AU"/>
              </w:rPr>
            </w:r>
            <w:r>
              <w:rPr>
                <w:lang w:eastAsia="en-AU"/>
              </w:rPr>
              <w:fldChar w:fldCharType="separate"/>
            </w:r>
            <w:r>
              <w:t>The appropriate PECUNIARY penalty for holista</w:t>
            </w:r>
            <w:r>
              <w:rPr>
                <w:lang w:eastAsia="en-AU"/>
              </w:rPr>
              <w:fldChar w:fldCharType="end"/>
            </w:r>
          </w:p>
        </w:tc>
        <w:tc>
          <w:tcPr>
            <w:tcW w:w="1000" w:type="dxa"/>
            <w:shd w:val="clear" w:color="auto" w:fill="auto"/>
            <w:vAlign w:val="bottom"/>
          </w:tcPr>
          <w:p w14:paraId="296BA1E4" w14:textId="62163953" w:rsidR="0006471F" w:rsidRDefault="0006471F" w:rsidP="00640103">
            <w:pPr>
              <w:spacing w:before="120" w:after="60" w:line="240" w:lineRule="auto"/>
              <w:jc w:val="right"/>
              <w:rPr>
                <w:szCs w:val="24"/>
              </w:rPr>
            </w:pPr>
            <w:r>
              <w:rPr>
                <w:szCs w:val="24"/>
              </w:rPr>
              <w:t>[103]</w:t>
            </w:r>
          </w:p>
        </w:tc>
      </w:tr>
      <w:tr w:rsidR="0006471F" w:rsidRPr="00D326DB" w14:paraId="7FC6AB4E" w14:textId="77777777" w:rsidTr="0006471F">
        <w:tc>
          <w:tcPr>
            <w:tcW w:w="8291" w:type="dxa"/>
            <w:shd w:val="clear" w:color="auto" w:fill="auto"/>
          </w:tcPr>
          <w:p w14:paraId="14A76FCA" w14:textId="10379D22" w:rsidR="0006471F" w:rsidRPr="0006471F" w:rsidRDefault="0006471F" w:rsidP="0006471F">
            <w:pPr>
              <w:pStyle w:val="FTOC2"/>
              <w:tabs>
                <w:tab w:val="clear" w:pos="9072"/>
              </w:tabs>
              <w:rPr>
                <w:lang w:eastAsia="en-AU"/>
              </w:rPr>
            </w:pPr>
            <w:r>
              <w:rPr>
                <w:lang w:eastAsia="en-AU"/>
              </w:rPr>
              <w:fldChar w:fldCharType="begin"/>
            </w:r>
            <w:r>
              <w:rPr>
                <w:lang w:eastAsia="en-AU"/>
              </w:rPr>
              <w:instrText xml:space="preserve"> REF _Ref161753321 \h </w:instrText>
            </w:r>
            <w:r>
              <w:rPr>
                <w:lang w:eastAsia="en-AU"/>
              </w:rPr>
            </w:r>
            <w:r>
              <w:rPr>
                <w:lang w:eastAsia="en-AU"/>
              </w:rPr>
              <w:fldChar w:fldCharType="separate"/>
            </w:r>
            <w:r>
              <w:t xml:space="preserve">Legislative provisions relevant to </w:t>
            </w:r>
            <w:proofErr w:type="spellStart"/>
            <w:r>
              <w:t>Holista’s</w:t>
            </w:r>
            <w:proofErr w:type="spellEnd"/>
            <w:r>
              <w:t xml:space="preserve"> penalty</w:t>
            </w:r>
            <w:r>
              <w:rPr>
                <w:lang w:eastAsia="en-AU"/>
              </w:rPr>
              <w:fldChar w:fldCharType="end"/>
            </w:r>
          </w:p>
        </w:tc>
        <w:tc>
          <w:tcPr>
            <w:tcW w:w="1000" w:type="dxa"/>
            <w:shd w:val="clear" w:color="auto" w:fill="auto"/>
            <w:vAlign w:val="bottom"/>
          </w:tcPr>
          <w:p w14:paraId="76784A48" w14:textId="4093DFFE" w:rsidR="0006471F" w:rsidRDefault="0006471F" w:rsidP="00640103">
            <w:pPr>
              <w:spacing w:before="120" w:after="60" w:line="240" w:lineRule="auto"/>
              <w:jc w:val="right"/>
              <w:rPr>
                <w:szCs w:val="24"/>
              </w:rPr>
            </w:pPr>
            <w:r>
              <w:rPr>
                <w:szCs w:val="24"/>
              </w:rPr>
              <w:t>[103]</w:t>
            </w:r>
          </w:p>
        </w:tc>
      </w:tr>
      <w:tr w:rsidR="0006471F" w:rsidRPr="00D326DB" w14:paraId="56209E54" w14:textId="77777777" w:rsidTr="0006471F">
        <w:tc>
          <w:tcPr>
            <w:tcW w:w="8291" w:type="dxa"/>
            <w:shd w:val="clear" w:color="auto" w:fill="auto"/>
          </w:tcPr>
          <w:p w14:paraId="5D7CB1F4" w14:textId="638B9AB3" w:rsidR="0006471F" w:rsidRPr="0006471F" w:rsidRDefault="0006471F" w:rsidP="0006471F">
            <w:pPr>
              <w:pStyle w:val="FTOC2"/>
              <w:tabs>
                <w:tab w:val="clear" w:pos="9072"/>
              </w:tabs>
              <w:rPr>
                <w:lang w:eastAsia="en-AU"/>
              </w:rPr>
            </w:pPr>
            <w:r>
              <w:rPr>
                <w:lang w:eastAsia="en-AU"/>
              </w:rPr>
              <w:fldChar w:fldCharType="begin"/>
            </w:r>
            <w:r>
              <w:rPr>
                <w:lang w:eastAsia="en-AU"/>
              </w:rPr>
              <w:instrText xml:space="preserve"> REF _Ref161753322 \h </w:instrText>
            </w:r>
            <w:r>
              <w:rPr>
                <w:lang w:eastAsia="en-AU"/>
              </w:rPr>
            </w:r>
            <w:r>
              <w:rPr>
                <w:lang w:eastAsia="en-AU"/>
              </w:rPr>
              <w:fldChar w:fldCharType="separate"/>
            </w:r>
            <w:r w:rsidRPr="009A689C">
              <w:t>The approach to the determination of an appropriate penalty</w:t>
            </w:r>
            <w:r>
              <w:rPr>
                <w:lang w:eastAsia="en-AU"/>
              </w:rPr>
              <w:fldChar w:fldCharType="end"/>
            </w:r>
          </w:p>
        </w:tc>
        <w:tc>
          <w:tcPr>
            <w:tcW w:w="1000" w:type="dxa"/>
            <w:shd w:val="clear" w:color="auto" w:fill="auto"/>
            <w:vAlign w:val="bottom"/>
          </w:tcPr>
          <w:p w14:paraId="13C3B5C2" w14:textId="62BC5AFA" w:rsidR="0006471F" w:rsidRDefault="0006471F" w:rsidP="00640103">
            <w:pPr>
              <w:spacing w:before="120" w:after="60" w:line="240" w:lineRule="auto"/>
              <w:jc w:val="right"/>
              <w:rPr>
                <w:szCs w:val="24"/>
              </w:rPr>
            </w:pPr>
            <w:r>
              <w:rPr>
                <w:szCs w:val="24"/>
              </w:rPr>
              <w:t>[10</w:t>
            </w:r>
            <w:r w:rsidR="004B6C4F">
              <w:rPr>
                <w:szCs w:val="24"/>
              </w:rPr>
              <w:t>8</w:t>
            </w:r>
            <w:r>
              <w:rPr>
                <w:szCs w:val="24"/>
              </w:rPr>
              <w:t>]</w:t>
            </w:r>
          </w:p>
        </w:tc>
      </w:tr>
      <w:tr w:rsidR="0006471F" w:rsidRPr="00D326DB" w14:paraId="7F996829" w14:textId="77777777" w:rsidTr="0006471F">
        <w:tc>
          <w:tcPr>
            <w:tcW w:w="8291" w:type="dxa"/>
            <w:shd w:val="clear" w:color="auto" w:fill="auto"/>
          </w:tcPr>
          <w:p w14:paraId="53F0633F" w14:textId="78E6E2CB"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_Ref161753323 \h </w:instrText>
            </w:r>
            <w:r>
              <w:rPr>
                <w:lang w:eastAsia="en-AU"/>
              </w:rPr>
            </w:r>
            <w:r>
              <w:rPr>
                <w:lang w:eastAsia="en-AU"/>
              </w:rPr>
              <w:fldChar w:fldCharType="separate"/>
            </w:r>
            <w:r w:rsidRPr="00B30E78">
              <w:rPr>
                <w:bCs/>
              </w:rPr>
              <w:t>Maximum penalty</w:t>
            </w:r>
            <w:r>
              <w:rPr>
                <w:lang w:eastAsia="en-AU"/>
              </w:rPr>
              <w:fldChar w:fldCharType="end"/>
            </w:r>
          </w:p>
        </w:tc>
        <w:tc>
          <w:tcPr>
            <w:tcW w:w="1000" w:type="dxa"/>
            <w:shd w:val="clear" w:color="auto" w:fill="auto"/>
            <w:vAlign w:val="bottom"/>
          </w:tcPr>
          <w:p w14:paraId="481C453F" w14:textId="30036F29" w:rsidR="0006471F" w:rsidRDefault="0006471F" w:rsidP="00640103">
            <w:pPr>
              <w:spacing w:before="120" w:after="60" w:line="240" w:lineRule="auto"/>
              <w:jc w:val="right"/>
              <w:rPr>
                <w:szCs w:val="24"/>
              </w:rPr>
            </w:pPr>
            <w:r>
              <w:rPr>
                <w:szCs w:val="24"/>
              </w:rPr>
              <w:t>[11</w:t>
            </w:r>
            <w:r w:rsidR="004B6C4F">
              <w:rPr>
                <w:szCs w:val="24"/>
              </w:rPr>
              <w:t>4</w:t>
            </w:r>
            <w:r>
              <w:rPr>
                <w:szCs w:val="24"/>
              </w:rPr>
              <w:t>]</w:t>
            </w:r>
          </w:p>
        </w:tc>
      </w:tr>
      <w:tr w:rsidR="0006471F" w:rsidRPr="00D326DB" w14:paraId="3A217320" w14:textId="77777777" w:rsidTr="0006471F">
        <w:tc>
          <w:tcPr>
            <w:tcW w:w="8291" w:type="dxa"/>
            <w:shd w:val="clear" w:color="auto" w:fill="auto"/>
          </w:tcPr>
          <w:p w14:paraId="58E221E0" w14:textId="05765A75"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_Ref161753324 \h </w:instrText>
            </w:r>
            <w:r>
              <w:rPr>
                <w:lang w:eastAsia="en-AU"/>
              </w:rPr>
            </w:r>
            <w:r>
              <w:rPr>
                <w:lang w:eastAsia="en-AU"/>
              </w:rPr>
              <w:fldChar w:fldCharType="separate"/>
            </w:r>
            <w:r w:rsidRPr="00B30E78">
              <w:rPr>
                <w:bCs/>
              </w:rPr>
              <w:t>Nature and extent of the contravention</w:t>
            </w:r>
            <w:r>
              <w:rPr>
                <w:lang w:eastAsia="en-AU"/>
              </w:rPr>
              <w:fldChar w:fldCharType="end"/>
            </w:r>
          </w:p>
        </w:tc>
        <w:tc>
          <w:tcPr>
            <w:tcW w:w="1000" w:type="dxa"/>
            <w:shd w:val="clear" w:color="auto" w:fill="auto"/>
            <w:vAlign w:val="bottom"/>
          </w:tcPr>
          <w:p w14:paraId="763A6AD5" w14:textId="4E20B9B6" w:rsidR="0006471F" w:rsidRDefault="0006471F" w:rsidP="00640103">
            <w:pPr>
              <w:spacing w:before="120" w:after="60" w:line="240" w:lineRule="auto"/>
              <w:jc w:val="right"/>
              <w:rPr>
                <w:szCs w:val="24"/>
              </w:rPr>
            </w:pPr>
            <w:r>
              <w:rPr>
                <w:szCs w:val="24"/>
              </w:rPr>
              <w:t>[11</w:t>
            </w:r>
            <w:r w:rsidR="004B6C4F">
              <w:rPr>
                <w:szCs w:val="24"/>
              </w:rPr>
              <w:t>8</w:t>
            </w:r>
            <w:r>
              <w:rPr>
                <w:szCs w:val="24"/>
              </w:rPr>
              <w:t>]</w:t>
            </w:r>
          </w:p>
        </w:tc>
      </w:tr>
      <w:tr w:rsidR="0006471F" w:rsidRPr="00D326DB" w14:paraId="789F6083" w14:textId="77777777" w:rsidTr="0006471F">
        <w:tc>
          <w:tcPr>
            <w:tcW w:w="8291" w:type="dxa"/>
            <w:shd w:val="clear" w:color="auto" w:fill="auto"/>
          </w:tcPr>
          <w:p w14:paraId="355AAD4D" w14:textId="76975F0D"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_Ref161753325 \h </w:instrText>
            </w:r>
            <w:r>
              <w:rPr>
                <w:lang w:eastAsia="en-AU"/>
              </w:rPr>
            </w:r>
            <w:r>
              <w:rPr>
                <w:lang w:eastAsia="en-AU"/>
              </w:rPr>
              <w:fldChar w:fldCharType="separate"/>
            </w:r>
            <w:r>
              <w:t>Nature and extent of any loss or damage suffered</w:t>
            </w:r>
            <w:r>
              <w:rPr>
                <w:lang w:eastAsia="en-AU"/>
              </w:rPr>
              <w:fldChar w:fldCharType="end"/>
            </w:r>
          </w:p>
        </w:tc>
        <w:tc>
          <w:tcPr>
            <w:tcW w:w="1000" w:type="dxa"/>
            <w:shd w:val="clear" w:color="auto" w:fill="auto"/>
            <w:vAlign w:val="bottom"/>
          </w:tcPr>
          <w:p w14:paraId="72B72F52" w14:textId="75FDFD27" w:rsidR="0006471F" w:rsidRDefault="0006471F" w:rsidP="00640103">
            <w:pPr>
              <w:spacing w:before="120" w:after="60" w:line="240" w:lineRule="auto"/>
              <w:jc w:val="right"/>
              <w:rPr>
                <w:szCs w:val="24"/>
              </w:rPr>
            </w:pPr>
            <w:r>
              <w:rPr>
                <w:szCs w:val="24"/>
              </w:rPr>
              <w:t>[12</w:t>
            </w:r>
            <w:r w:rsidR="004B6C4F">
              <w:rPr>
                <w:szCs w:val="24"/>
              </w:rPr>
              <w:t>1</w:t>
            </w:r>
            <w:r>
              <w:rPr>
                <w:szCs w:val="24"/>
              </w:rPr>
              <w:t>]</w:t>
            </w:r>
          </w:p>
        </w:tc>
      </w:tr>
      <w:tr w:rsidR="0006471F" w:rsidRPr="00D326DB" w14:paraId="63CDBF56" w14:textId="77777777" w:rsidTr="0006471F">
        <w:tc>
          <w:tcPr>
            <w:tcW w:w="8291" w:type="dxa"/>
            <w:shd w:val="clear" w:color="auto" w:fill="auto"/>
          </w:tcPr>
          <w:p w14:paraId="5D5695FC" w14:textId="12758F9D"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_Ref161753326 \h </w:instrText>
            </w:r>
            <w:r>
              <w:rPr>
                <w:lang w:eastAsia="en-AU"/>
              </w:rPr>
            </w:r>
            <w:r>
              <w:rPr>
                <w:lang w:eastAsia="en-AU"/>
              </w:rPr>
              <w:fldChar w:fldCharType="separate"/>
            </w:r>
            <w:r>
              <w:t>Circumstances in which the contravention took place</w:t>
            </w:r>
            <w:r>
              <w:rPr>
                <w:lang w:eastAsia="en-AU"/>
              </w:rPr>
              <w:fldChar w:fldCharType="end"/>
            </w:r>
          </w:p>
        </w:tc>
        <w:tc>
          <w:tcPr>
            <w:tcW w:w="1000" w:type="dxa"/>
            <w:shd w:val="clear" w:color="auto" w:fill="auto"/>
            <w:vAlign w:val="bottom"/>
          </w:tcPr>
          <w:p w14:paraId="5DC4D935" w14:textId="28C7E4CB" w:rsidR="0006471F" w:rsidRDefault="0006471F" w:rsidP="00640103">
            <w:pPr>
              <w:spacing w:before="120" w:after="60" w:line="240" w:lineRule="auto"/>
              <w:jc w:val="right"/>
              <w:rPr>
                <w:szCs w:val="24"/>
              </w:rPr>
            </w:pPr>
            <w:r>
              <w:rPr>
                <w:szCs w:val="24"/>
              </w:rPr>
              <w:t>[12</w:t>
            </w:r>
            <w:r w:rsidR="004B6C4F">
              <w:rPr>
                <w:szCs w:val="24"/>
              </w:rPr>
              <w:t>2</w:t>
            </w:r>
            <w:r>
              <w:rPr>
                <w:szCs w:val="24"/>
              </w:rPr>
              <w:t>]</w:t>
            </w:r>
          </w:p>
        </w:tc>
      </w:tr>
      <w:tr w:rsidR="0006471F" w:rsidRPr="00D326DB" w14:paraId="284E7C8D" w14:textId="77777777" w:rsidTr="0006471F">
        <w:tc>
          <w:tcPr>
            <w:tcW w:w="8291" w:type="dxa"/>
            <w:shd w:val="clear" w:color="auto" w:fill="auto"/>
          </w:tcPr>
          <w:p w14:paraId="6AF040E8" w14:textId="569A3E29"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_Ref161753482 \h </w:instrText>
            </w:r>
            <w:r>
              <w:rPr>
                <w:lang w:eastAsia="en-AU"/>
              </w:rPr>
            </w:r>
            <w:r>
              <w:rPr>
                <w:lang w:eastAsia="en-AU"/>
              </w:rPr>
              <w:fldChar w:fldCharType="separate"/>
            </w:r>
            <w:r>
              <w:t>No prior contraventions</w:t>
            </w:r>
            <w:r>
              <w:rPr>
                <w:lang w:eastAsia="en-AU"/>
              </w:rPr>
              <w:fldChar w:fldCharType="end"/>
            </w:r>
          </w:p>
        </w:tc>
        <w:tc>
          <w:tcPr>
            <w:tcW w:w="1000" w:type="dxa"/>
            <w:shd w:val="clear" w:color="auto" w:fill="auto"/>
            <w:vAlign w:val="bottom"/>
          </w:tcPr>
          <w:p w14:paraId="1DF70383" w14:textId="19374E7D" w:rsidR="0006471F" w:rsidRDefault="0006471F" w:rsidP="00640103">
            <w:pPr>
              <w:spacing w:before="120" w:after="60" w:line="240" w:lineRule="auto"/>
              <w:jc w:val="right"/>
              <w:rPr>
                <w:szCs w:val="24"/>
              </w:rPr>
            </w:pPr>
            <w:r>
              <w:rPr>
                <w:szCs w:val="24"/>
              </w:rPr>
              <w:t>[12</w:t>
            </w:r>
            <w:r w:rsidR="004B6C4F">
              <w:rPr>
                <w:szCs w:val="24"/>
              </w:rPr>
              <w:t>3</w:t>
            </w:r>
            <w:r>
              <w:rPr>
                <w:szCs w:val="24"/>
              </w:rPr>
              <w:t>]</w:t>
            </w:r>
          </w:p>
        </w:tc>
      </w:tr>
      <w:tr w:rsidR="0006471F" w:rsidRPr="00D326DB" w14:paraId="29734C66" w14:textId="77777777" w:rsidTr="0006471F">
        <w:tc>
          <w:tcPr>
            <w:tcW w:w="8291" w:type="dxa"/>
            <w:shd w:val="clear" w:color="auto" w:fill="auto"/>
          </w:tcPr>
          <w:p w14:paraId="435F7655" w14:textId="2445F597"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_Ref161757954 \h </w:instrText>
            </w:r>
            <w:r>
              <w:rPr>
                <w:lang w:eastAsia="en-AU"/>
              </w:rPr>
            </w:r>
            <w:r>
              <w:rPr>
                <w:lang w:eastAsia="en-AU"/>
              </w:rPr>
              <w:fldChar w:fldCharType="separate"/>
            </w:r>
            <w:r>
              <w:t>Seniority of officers involved, knowledge of directors, and processes to inform</w:t>
            </w:r>
            <w:r>
              <w:rPr>
                <w:lang w:eastAsia="en-AU"/>
              </w:rPr>
              <w:fldChar w:fldCharType="end"/>
            </w:r>
            <w:r>
              <w:rPr>
                <w:lang w:eastAsia="en-AU"/>
              </w:rPr>
              <w:t xml:space="preserve"> </w:t>
            </w:r>
            <w:r w:rsidRPr="0006471F">
              <w:rPr>
                <w:lang w:eastAsia="en-AU"/>
              </w:rPr>
              <w:t>directors of facts that ought to have been disclosed, change in senior officers or directors</w:t>
            </w:r>
          </w:p>
        </w:tc>
        <w:tc>
          <w:tcPr>
            <w:tcW w:w="1000" w:type="dxa"/>
            <w:shd w:val="clear" w:color="auto" w:fill="auto"/>
            <w:vAlign w:val="bottom"/>
          </w:tcPr>
          <w:p w14:paraId="404B7278" w14:textId="733DA6A4" w:rsidR="0006471F" w:rsidRDefault="0006471F" w:rsidP="00640103">
            <w:pPr>
              <w:spacing w:before="120" w:after="60" w:line="240" w:lineRule="auto"/>
              <w:jc w:val="right"/>
              <w:rPr>
                <w:szCs w:val="24"/>
              </w:rPr>
            </w:pPr>
            <w:r>
              <w:rPr>
                <w:szCs w:val="24"/>
              </w:rPr>
              <w:t>[12</w:t>
            </w:r>
            <w:r w:rsidR="004B6C4F">
              <w:rPr>
                <w:szCs w:val="24"/>
              </w:rPr>
              <w:t>4</w:t>
            </w:r>
            <w:r>
              <w:rPr>
                <w:szCs w:val="24"/>
              </w:rPr>
              <w:t>]</w:t>
            </w:r>
          </w:p>
        </w:tc>
      </w:tr>
      <w:tr w:rsidR="0006471F" w:rsidRPr="00D326DB" w14:paraId="5C54DD49" w14:textId="77777777" w:rsidTr="0006471F">
        <w:tc>
          <w:tcPr>
            <w:tcW w:w="8291" w:type="dxa"/>
            <w:shd w:val="clear" w:color="auto" w:fill="auto"/>
          </w:tcPr>
          <w:p w14:paraId="29C4E39C" w14:textId="51EA85F9"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_Ref161757955 \h </w:instrText>
            </w:r>
            <w:r>
              <w:rPr>
                <w:lang w:eastAsia="en-AU"/>
              </w:rPr>
            </w:r>
            <w:r>
              <w:rPr>
                <w:lang w:eastAsia="en-AU"/>
              </w:rPr>
              <w:fldChar w:fldCharType="separate"/>
            </w:r>
            <w:r>
              <w:t>Degree of cooperation with the regulator including any admission of contravention</w:t>
            </w:r>
            <w:r>
              <w:rPr>
                <w:lang w:eastAsia="en-AU"/>
              </w:rPr>
              <w:fldChar w:fldCharType="end"/>
            </w:r>
          </w:p>
        </w:tc>
        <w:tc>
          <w:tcPr>
            <w:tcW w:w="1000" w:type="dxa"/>
            <w:shd w:val="clear" w:color="auto" w:fill="auto"/>
            <w:vAlign w:val="bottom"/>
          </w:tcPr>
          <w:p w14:paraId="015CB33D" w14:textId="651CC174" w:rsidR="0006471F" w:rsidRDefault="0006471F" w:rsidP="00640103">
            <w:pPr>
              <w:spacing w:before="120" w:after="60" w:line="240" w:lineRule="auto"/>
              <w:jc w:val="right"/>
              <w:rPr>
                <w:szCs w:val="24"/>
              </w:rPr>
            </w:pPr>
            <w:r>
              <w:rPr>
                <w:szCs w:val="24"/>
              </w:rPr>
              <w:t>[12</w:t>
            </w:r>
            <w:r w:rsidR="004B6C4F">
              <w:rPr>
                <w:szCs w:val="24"/>
              </w:rPr>
              <w:t>7</w:t>
            </w:r>
            <w:r>
              <w:rPr>
                <w:szCs w:val="24"/>
              </w:rPr>
              <w:t>]</w:t>
            </w:r>
          </w:p>
        </w:tc>
      </w:tr>
      <w:tr w:rsidR="0006471F" w:rsidRPr="00D326DB" w14:paraId="4959C4DF" w14:textId="77777777" w:rsidTr="0006471F">
        <w:tc>
          <w:tcPr>
            <w:tcW w:w="8291" w:type="dxa"/>
            <w:shd w:val="clear" w:color="auto" w:fill="auto"/>
          </w:tcPr>
          <w:p w14:paraId="42267B25" w14:textId="4AF10B5F"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_Ref161757956 \h </w:instrText>
            </w:r>
            <w:r>
              <w:rPr>
                <w:lang w:eastAsia="en-AU"/>
              </w:rPr>
            </w:r>
            <w:r>
              <w:rPr>
                <w:lang w:eastAsia="en-AU"/>
              </w:rPr>
              <w:fldChar w:fldCharType="separate"/>
            </w:r>
            <w:r w:rsidRPr="00B747C0">
              <w:t>Existence of compliance systems, and provisions for and evidence of education and</w:t>
            </w:r>
            <w:r>
              <w:rPr>
                <w:lang w:eastAsia="en-AU"/>
              </w:rPr>
              <w:fldChar w:fldCharType="end"/>
            </w:r>
            <w:r>
              <w:rPr>
                <w:lang w:eastAsia="en-AU"/>
              </w:rPr>
              <w:t xml:space="preserve"> </w:t>
            </w:r>
            <w:r w:rsidRPr="0006471F">
              <w:rPr>
                <w:lang w:eastAsia="en-AU"/>
              </w:rPr>
              <w:t>internal enforcement of such systems, remedial and disciplinary steps</w:t>
            </w:r>
          </w:p>
        </w:tc>
        <w:tc>
          <w:tcPr>
            <w:tcW w:w="1000" w:type="dxa"/>
            <w:shd w:val="clear" w:color="auto" w:fill="auto"/>
            <w:vAlign w:val="bottom"/>
          </w:tcPr>
          <w:p w14:paraId="594F115B" w14:textId="1050B7BA" w:rsidR="0006471F" w:rsidRDefault="0006471F" w:rsidP="00640103">
            <w:pPr>
              <w:spacing w:before="120" w:after="60" w:line="240" w:lineRule="auto"/>
              <w:jc w:val="right"/>
              <w:rPr>
                <w:szCs w:val="24"/>
              </w:rPr>
            </w:pPr>
            <w:r>
              <w:rPr>
                <w:szCs w:val="24"/>
              </w:rPr>
              <w:t>[12</w:t>
            </w:r>
            <w:r w:rsidR="004B6C4F">
              <w:rPr>
                <w:szCs w:val="24"/>
              </w:rPr>
              <w:t>8</w:t>
            </w:r>
            <w:r>
              <w:rPr>
                <w:szCs w:val="24"/>
              </w:rPr>
              <w:t>]</w:t>
            </w:r>
          </w:p>
        </w:tc>
      </w:tr>
      <w:tr w:rsidR="0006471F" w:rsidRPr="00D326DB" w14:paraId="7B5A9F50" w14:textId="77777777" w:rsidTr="0006471F">
        <w:tc>
          <w:tcPr>
            <w:tcW w:w="8291" w:type="dxa"/>
            <w:shd w:val="clear" w:color="auto" w:fill="auto"/>
          </w:tcPr>
          <w:p w14:paraId="511F2A31" w14:textId="0983CE52"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_Ref161757957 \h </w:instrText>
            </w:r>
            <w:r>
              <w:rPr>
                <w:lang w:eastAsia="en-AU"/>
              </w:rPr>
            </w:r>
            <w:r>
              <w:rPr>
                <w:lang w:eastAsia="en-AU"/>
              </w:rPr>
              <w:fldChar w:fldCharType="separate"/>
            </w:r>
            <w:proofErr w:type="spellStart"/>
            <w:r>
              <w:t>Holista’s</w:t>
            </w:r>
            <w:proofErr w:type="spellEnd"/>
            <w:r>
              <w:t xml:space="preserve"> size and capacity to pay</w:t>
            </w:r>
            <w:r>
              <w:rPr>
                <w:lang w:eastAsia="en-AU"/>
              </w:rPr>
              <w:fldChar w:fldCharType="end"/>
            </w:r>
          </w:p>
        </w:tc>
        <w:tc>
          <w:tcPr>
            <w:tcW w:w="1000" w:type="dxa"/>
            <w:shd w:val="clear" w:color="auto" w:fill="auto"/>
            <w:vAlign w:val="bottom"/>
          </w:tcPr>
          <w:p w14:paraId="33A27B22" w14:textId="7082B839" w:rsidR="0006471F" w:rsidRDefault="0006471F" w:rsidP="00640103">
            <w:pPr>
              <w:spacing w:before="120" w:after="60" w:line="240" w:lineRule="auto"/>
              <w:jc w:val="right"/>
              <w:rPr>
                <w:szCs w:val="24"/>
              </w:rPr>
            </w:pPr>
            <w:r>
              <w:rPr>
                <w:szCs w:val="24"/>
              </w:rPr>
              <w:t>[13</w:t>
            </w:r>
            <w:r w:rsidR="004B6C4F">
              <w:rPr>
                <w:szCs w:val="24"/>
              </w:rPr>
              <w:t>2</w:t>
            </w:r>
            <w:r>
              <w:rPr>
                <w:szCs w:val="24"/>
              </w:rPr>
              <w:t>]</w:t>
            </w:r>
          </w:p>
        </w:tc>
      </w:tr>
      <w:tr w:rsidR="0006471F" w:rsidRPr="00D326DB" w14:paraId="3BBF4F74" w14:textId="77777777" w:rsidTr="0006471F">
        <w:tc>
          <w:tcPr>
            <w:tcW w:w="8291" w:type="dxa"/>
            <w:shd w:val="clear" w:color="auto" w:fill="auto"/>
          </w:tcPr>
          <w:p w14:paraId="7626AD58" w14:textId="5B57D656"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_Ref161757958 \h </w:instrText>
            </w:r>
            <w:r>
              <w:rPr>
                <w:lang w:eastAsia="en-AU"/>
              </w:rPr>
            </w:r>
            <w:r>
              <w:rPr>
                <w:lang w:eastAsia="en-AU"/>
              </w:rPr>
              <w:fldChar w:fldCharType="separate"/>
            </w:r>
            <w:r w:rsidRPr="00C1724A">
              <w:t>Parity</w:t>
            </w:r>
            <w:r>
              <w:rPr>
                <w:lang w:eastAsia="en-AU"/>
              </w:rPr>
              <w:fldChar w:fldCharType="end"/>
            </w:r>
          </w:p>
        </w:tc>
        <w:tc>
          <w:tcPr>
            <w:tcW w:w="1000" w:type="dxa"/>
            <w:shd w:val="clear" w:color="auto" w:fill="auto"/>
            <w:vAlign w:val="bottom"/>
          </w:tcPr>
          <w:p w14:paraId="44D508CC" w14:textId="7B507AD3" w:rsidR="0006471F" w:rsidRDefault="0006471F" w:rsidP="00640103">
            <w:pPr>
              <w:spacing w:before="120" w:after="60" w:line="240" w:lineRule="auto"/>
              <w:jc w:val="right"/>
              <w:rPr>
                <w:szCs w:val="24"/>
              </w:rPr>
            </w:pPr>
            <w:r>
              <w:rPr>
                <w:szCs w:val="24"/>
              </w:rPr>
              <w:t>[1</w:t>
            </w:r>
            <w:r w:rsidR="004B6C4F">
              <w:rPr>
                <w:szCs w:val="24"/>
              </w:rPr>
              <w:t>40</w:t>
            </w:r>
            <w:r>
              <w:rPr>
                <w:szCs w:val="24"/>
              </w:rPr>
              <w:t>]</w:t>
            </w:r>
          </w:p>
        </w:tc>
      </w:tr>
      <w:tr w:rsidR="0006471F" w:rsidRPr="00D326DB" w14:paraId="4F9206D4" w14:textId="77777777" w:rsidTr="0006471F">
        <w:tc>
          <w:tcPr>
            <w:tcW w:w="8291" w:type="dxa"/>
            <w:shd w:val="clear" w:color="auto" w:fill="auto"/>
          </w:tcPr>
          <w:p w14:paraId="3BD0F609" w14:textId="685FA076"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_Ref161757959 \h </w:instrText>
            </w:r>
            <w:r>
              <w:rPr>
                <w:lang w:eastAsia="en-AU"/>
              </w:rPr>
            </w:r>
            <w:r>
              <w:rPr>
                <w:lang w:eastAsia="en-AU"/>
              </w:rPr>
              <w:fldChar w:fldCharType="separate"/>
            </w:r>
            <w:r w:rsidRPr="00F84442">
              <w:t>What is the appropriate penalty?</w:t>
            </w:r>
            <w:r>
              <w:rPr>
                <w:lang w:eastAsia="en-AU"/>
              </w:rPr>
              <w:fldChar w:fldCharType="end"/>
            </w:r>
          </w:p>
        </w:tc>
        <w:tc>
          <w:tcPr>
            <w:tcW w:w="1000" w:type="dxa"/>
            <w:shd w:val="clear" w:color="auto" w:fill="auto"/>
            <w:vAlign w:val="bottom"/>
          </w:tcPr>
          <w:p w14:paraId="5A7B845F" w14:textId="5D0488B3" w:rsidR="0006471F" w:rsidRDefault="0006471F" w:rsidP="00640103">
            <w:pPr>
              <w:spacing w:before="120" w:after="60" w:line="240" w:lineRule="auto"/>
              <w:jc w:val="right"/>
              <w:rPr>
                <w:szCs w:val="24"/>
              </w:rPr>
            </w:pPr>
            <w:r>
              <w:rPr>
                <w:szCs w:val="24"/>
              </w:rPr>
              <w:t>[14</w:t>
            </w:r>
            <w:r w:rsidR="004B6C4F">
              <w:rPr>
                <w:szCs w:val="24"/>
              </w:rPr>
              <w:t>2</w:t>
            </w:r>
            <w:r>
              <w:rPr>
                <w:szCs w:val="24"/>
              </w:rPr>
              <w:t>]</w:t>
            </w:r>
          </w:p>
        </w:tc>
      </w:tr>
      <w:tr w:rsidR="0006471F" w:rsidRPr="00D326DB" w14:paraId="7A96744C" w14:textId="77777777" w:rsidTr="0006471F">
        <w:tc>
          <w:tcPr>
            <w:tcW w:w="8291" w:type="dxa"/>
            <w:shd w:val="clear" w:color="auto" w:fill="auto"/>
          </w:tcPr>
          <w:p w14:paraId="3DF4A992" w14:textId="69A490DE"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_Ref161757960 \h </w:instrText>
            </w:r>
            <w:r>
              <w:rPr>
                <w:lang w:eastAsia="en-AU"/>
              </w:rPr>
            </w:r>
            <w:r>
              <w:rPr>
                <w:lang w:eastAsia="en-AU"/>
              </w:rPr>
              <w:fldChar w:fldCharType="separate"/>
            </w:r>
            <w:r>
              <w:t xml:space="preserve">Liability of Dr </w:t>
            </w:r>
            <w:r w:rsidRPr="00E379C0">
              <w:t>Marnickavasagar</w:t>
            </w:r>
            <w:r>
              <w:rPr>
                <w:lang w:eastAsia="en-AU"/>
              </w:rPr>
              <w:fldChar w:fldCharType="end"/>
            </w:r>
          </w:p>
        </w:tc>
        <w:tc>
          <w:tcPr>
            <w:tcW w:w="1000" w:type="dxa"/>
            <w:shd w:val="clear" w:color="auto" w:fill="auto"/>
            <w:vAlign w:val="bottom"/>
          </w:tcPr>
          <w:p w14:paraId="6E1A1B4E" w14:textId="372A2265" w:rsidR="0006471F" w:rsidRDefault="0006471F" w:rsidP="00640103">
            <w:pPr>
              <w:spacing w:before="120" w:after="60" w:line="240" w:lineRule="auto"/>
              <w:jc w:val="right"/>
              <w:rPr>
                <w:szCs w:val="24"/>
              </w:rPr>
            </w:pPr>
            <w:r>
              <w:rPr>
                <w:szCs w:val="24"/>
              </w:rPr>
              <w:t>[14</w:t>
            </w:r>
            <w:r w:rsidR="004B6C4F">
              <w:rPr>
                <w:szCs w:val="24"/>
              </w:rPr>
              <w:t>7</w:t>
            </w:r>
            <w:r>
              <w:rPr>
                <w:szCs w:val="24"/>
              </w:rPr>
              <w:t>]</w:t>
            </w:r>
          </w:p>
        </w:tc>
      </w:tr>
      <w:tr w:rsidR="0006471F" w:rsidRPr="00D326DB" w14:paraId="610B7635" w14:textId="77777777" w:rsidTr="0006471F">
        <w:tc>
          <w:tcPr>
            <w:tcW w:w="8291" w:type="dxa"/>
            <w:shd w:val="clear" w:color="auto" w:fill="auto"/>
          </w:tcPr>
          <w:p w14:paraId="1ACC8802" w14:textId="01EE8116" w:rsidR="0006471F" w:rsidRPr="0006471F" w:rsidRDefault="0006471F" w:rsidP="0006471F">
            <w:pPr>
              <w:pStyle w:val="FTOC2"/>
              <w:tabs>
                <w:tab w:val="clear" w:pos="9072"/>
              </w:tabs>
              <w:rPr>
                <w:lang w:eastAsia="en-AU"/>
              </w:rPr>
            </w:pPr>
            <w:r>
              <w:rPr>
                <w:lang w:eastAsia="en-AU"/>
              </w:rPr>
              <w:lastRenderedPageBreak/>
              <w:fldChar w:fldCharType="begin"/>
            </w:r>
            <w:r>
              <w:rPr>
                <w:lang w:eastAsia="en-AU"/>
              </w:rPr>
              <w:instrText xml:space="preserve"> REF _Ref161673104 \h </w:instrText>
            </w:r>
            <w:r>
              <w:rPr>
                <w:lang w:eastAsia="en-AU"/>
              </w:rPr>
            </w:r>
            <w:r>
              <w:rPr>
                <w:lang w:eastAsia="en-AU"/>
              </w:rPr>
              <w:fldChar w:fldCharType="separate"/>
            </w:r>
            <w:r>
              <w:t>Legislative provisions relevant to liability</w:t>
            </w:r>
            <w:r>
              <w:rPr>
                <w:lang w:eastAsia="en-AU"/>
              </w:rPr>
              <w:fldChar w:fldCharType="end"/>
            </w:r>
          </w:p>
        </w:tc>
        <w:tc>
          <w:tcPr>
            <w:tcW w:w="1000" w:type="dxa"/>
            <w:shd w:val="clear" w:color="auto" w:fill="auto"/>
            <w:vAlign w:val="bottom"/>
          </w:tcPr>
          <w:p w14:paraId="338A7085" w14:textId="658C0972" w:rsidR="0006471F" w:rsidRDefault="0006471F" w:rsidP="00640103">
            <w:pPr>
              <w:spacing w:before="120" w:after="60" w:line="240" w:lineRule="auto"/>
              <w:jc w:val="right"/>
              <w:rPr>
                <w:szCs w:val="24"/>
              </w:rPr>
            </w:pPr>
            <w:r>
              <w:rPr>
                <w:szCs w:val="24"/>
              </w:rPr>
              <w:t>[14</w:t>
            </w:r>
            <w:r w:rsidR="004B6C4F">
              <w:rPr>
                <w:szCs w:val="24"/>
              </w:rPr>
              <w:t>7</w:t>
            </w:r>
            <w:r>
              <w:rPr>
                <w:szCs w:val="24"/>
              </w:rPr>
              <w:t>]</w:t>
            </w:r>
          </w:p>
        </w:tc>
      </w:tr>
      <w:tr w:rsidR="0006471F" w:rsidRPr="00D326DB" w14:paraId="50E2F540" w14:textId="77777777" w:rsidTr="0006471F">
        <w:tc>
          <w:tcPr>
            <w:tcW w:w="8291" w:type="dxa"/>
            <w:shd w:val="clear" w:color="auto" w:fill="auto"/>
          </w:tcPr>
          <w:p w14:paraId="07C79EA2" w14:textId="7AD86672" w:rsidR="0006471F" w:rsidRPr="0006471F" w:rsidRDefault="0006471F" w:rsidP="0006471F">
            <w:pPr>
              <w:pStyle w:val="FTOC3"/>
              <w:tabs>
                <w:tab w:val="clear" w:pos="9072"/>
              </w:tabs>
              <w:rPr>
                <w:i w:val="0"/>
                <w:lang w:eastAsia="en-AU"/>
              </w:rPr>
            </w:pPr>
            <w:r>
              <w:rPr>
                <w:lang w:eastAsia="en-AU"/>
              </w:rPr>
              <w:fldChar w:fldCharType="begin"/>
            </w:r>
            <w:r>
              <w:rPr>
                <w:lang w:eastAsia="en-AU"/>
              </w:rPr>
              <w:instrText xml:space="preserve"> REF _Ref161757961 \h </w:instrText>
            </w:r>
            <w:r>
              <w:rPr>
                <w:lang w:eastAsia="en-AU"/>
              </w:rPr>
            </w:r>
            <w:r>
              <w:rPr>
                <w:lang w:eastAsia="en-AU"/>
              </w:rPr>
              <w:fldChar w:fldCharType="separate"/>
            </w:r>
            <w:r w:rsidRPr="009A689C">
              <w:t>The admitted contravention of s 180(1)</w:t>
            </w:r>
            <w:r>
              <w:rPr>
                <w:lang w:eastAsia="en-AU"/>
              </w:rPr>
              <w:fldChar w:fldCharType="end"/>
            </w:r>
          </w:p>
        </w:tc>
        <w:tc>
          <w:tcPr>
            <w:tcW w:w="1000" w:type="dxa"/>
            <w:shd w:val="clear" w:color="auto" w:fill="auto"/>
            <w:vAlign w:val="bottom"/>
          </w:tcPr>
          <w:p w14:paraId="101D58C3" w14:textId="3EC5A838" w:rsidR="0006471F" w:rsidRDefault="0006471F" w:rsidP="00640103">
            <w:pPr>
              <w:spacing w:before="120" w:after="60" w:line="240" w:lineRule="auto"/>
              <w:jc w:val="right"/>
              <w:rPr>
                <w:szCs w:val="24"/>
              </w:rPr>
            </w:pPr>
            <w:r>
              <w:rPr>
                <w:szCs w:val="24"/>
              </w:rPr>
              <w:t>[14</w:t>
            </w:r>
            <w:r w:rsidR="004B6C4F">
              <w:rPr>
                <w:szCs w:val="24"/>
              </w:rPr>
              <w:t>9</w:t>
            </w:r>
            <w:r>
              <w:rPr>
                <w:szCs w:val="24"/>
              </w:rPr>
              <w:t>]</w:t>
            </w:r>
          </w:p>
        </w:tc>
      </w:tr>
      <w:tr w:rsidR="0006471F" w:rsidRPr="00D326DB" w14:paraId="4AE542AE" w14:textId="77777777" w:rsidTr="0006471F">
        <w:tc>
          <w:tcPr>
            <w:tcW w:w="8291" w:type="dxa"/>
            <w:shd w:val="clear" w:color="auto" w:fill="auto"/>
          </w:tcPr>
          <w:p w14:paraId="26242BBC" w14:textId="5A9CD720" w:rsidR="0006471F" w:rsidRPr="0006471F" w:rsidRDefault="0006471F" w:rsidP="0006471F">
            <w:pPr>
              <w:pStyle w:val="FTOC3"/>
              <w:tabs>
                <w:tab w:val="clear" w:pos="9072"/>
              </w:tabs>
              <w:rPr>
                <w:i w:val="0"/>
                <w:lang w:eastAsia="en-AU"/>
              </w:rPr>
            </w:pPr>
            <w:r>
              <w:rPr>
                <w:lang w:eastAsia="en-AU"/>
              </w:rPr>
              <w:fldChar w:fldCharType="begin"/>
            </w:r>
            <w:r>
              <w:rPr>
                <w:lang w:eastAsia="en-AU"/>
              </w:rPr>
              <w:instrText xml:space="preserve"> REF _Ref161757962 \h </w:instrText>
            </w:r>
            <w:r>
              <w:rPr>
                <w:lang w:eastAsia="en-AU"/>
              </w:rPr>
            </w:r>
            <w:r>
              <w:rPr>
                <w:lang w:eastAsia="en-AU"/>
              </w:rPr>
              <w:fldChar w:fldCharType="separate"/>
            </w:r>
            <w:r w:rsidRPr="009A689C">
              <w:t>The admitted contraventions of ss 1309(2) and (12)</w:t>
            </w:r>
            <w:r>
              <w:rPr>
                <w:lang w:eastAsia="en-AU"/>
              </w:rPr>
              <w:fldChar w:fldCharType="end"/>
            </w:r>
          </w:p>
        </w:tc>
        <w:tc>
          <w:tcPr>
            <w:tcW w:w="1000" w:type="dxa"/>
            <w:shd w:val="clear" w:color="auto" w:fill="auto"/>
            <w:vAlign w:val="bottom"/>
          </w:tcPr>
          <w:p w14:paraId="54AEA463" w14:textId="28775C65" w:rsidR="0006471F" w:rsidRDefault="0006471F" w:rsidP="00640103">
            <w:pPr>
              <w:spacing w:before="120" w:after="60" w:line="240" w:lineRule="auto"/>
              <w:jc w:val="right"/>
              <w:rPr>
                <w:szCs w:val="24"/>
              </w:rPr>
            </w:pPr>
            <w:r>
              <w:rPr>
                <w:szCs w:val="24"/>
              </w:rPr>
              <w:t>[15</w:t>
            </w:r>
            <w:r w:rsidR="004B6C4F">
              <w:rPr>
                <w:szCs w:val="24"/>
              </w:rPr>
              <w:t>3</w:t>
            </w:r>
            <w:r>
              <w:rPr>
                <w:szCs w:val="24"/>
              </w:rPr>
              <w:t>]</w:t>
            </w:r>
          </w:p>
        </w:tc>
      </w:tr>
      <w:tr w:rsidR="0006471F" w:rsidRPr="00D326DB" w14:paraId="78F28071" w14:textId="77777777" w:rsidTr="0006471F">
        <w:tc>
          <w:tcPr>
            <w:tcW w:w="8291" w:type="dxa"/>
            <w:shd w:val="clear" w:color="auto" w:fill="auto"/>
          </w:tcPr>
          <w:p w14:paraId="5D5C61BD" w14:textId="0446AEC2" w:rsidR="0006471F" w:rsidRPr="0006471F" w:rsidRDefault="0006471F" w:rsidP="0006471F">
            <w:pPr>
              <w:pStyle w:val="FTOC3"/>
              <w:tabs>
                <w:tab w:val="clear" w:pos="9072"/>
              </w:tabs>
              <w:rPr>
                <w:i w:val="0"/>
                <w:lang w:eastAsia="en-AU"/>
              </w:rPr>
            </w:pPr>
            <w:r>
              <w:rPr>
                <w:lang w:eastAsia="en-AU"/>
              </w:rPr>
              <w:fldChar w:fldCharType="begin"/>
            </w:r>
            <w:r>
              <w:rPr>
                <w:lang w:eastAsia="en-AU"/>
              </w:rPr>
              <w:instrText xml:space="preserve"> REF _Ref161673107 \h </w:instrText>
            </w:r>
            <w:r>
              <w:rPr>
                <w:lang w:eastAsia="en-AU"/>
              </w:rPr>
            </w:r>
            <w:r>
              <w:rPr>
                <w:lang w:eastAsia="en-AU"/>
              </w:rPr>
              <w:fldChar w:fldCharType="separate"/>
            </w:r>
            <w:r>
              <w:t>The two matters in contention</w:t>
            </w:r>
            <w:r>
              <w:rPr>
                <w:lang w:eastAsia="en-AU"/>
              </w:rPr>
              <w:fldChar w:fldCharType="end"/>
            </w:r>
          </w:p>
        </w:tc>
        <w:tc>
          <w:tcPr>
            <w:tcW w:w="1000" w:type="dxa"/>
            <w:shd w:val="clear" w:color="auto" w:fill="auto"/>
            <w:vAlign w:val="bottom"/>
          </w:tcPr>
          <w:p w14:paraId="3C1E7EC8" w14:textId="1EF61907" w:rsidR="0006471F" w:rsidRDefault="0006471F" w:rsidP="00640103">
            <w:pPr>
              <w:spacing w:before="120" w:after="60" w:line="240" w:lineRule="auto"/>
              <w:jc w:val="right"/>
              <w:rPr>
                <w:szCs w:val="24"/>
              </w:rPr>
            </w:pPr>
            <w:r>
              <w:rPr>
                <w:szCs w:val="24"/>
              </w:rPr>
              <w:t>[15</w:t>
            </w:r>
            <w:r w:rsidR="004B6C4F">
              <w:rPr>
                <w:szCs w:val="24"/>
              </w:rPr>
              <w:t>5</w:t>
            </w:r>
            <w:r>
              <w:rPr>
                <w:szCs w:val="24"/>
              </w:rPr>
              <w:t>]</w:t>
            </w:r>
          </w:p>
        </w:tc>
      </w:tr>
      <w:tr w:rsidR="0006471F" w:rsidRPr="00D326DB" w14:paraId="6B3E1FAC" w14:textId="77777777" w:rsidTr="0006471F">
        <w:tc>
          <w:tcPr>
            <w:tcW w:w="8291" w:type="dxa"/>
            <w:shd w:val="clear" w:color="auto" w:fill="auto"/>
          </w:tcPr>
          <w:p w14:paraId="3BC66630" w14:textId="69AFABFC"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_Ref161757963 \h </w:instrText>
            </w:r>
            <w:r>
              <w:rPr>
                <w:lang w:eastAsia="en-AU"/>
              </w:rPr>
            </w:r>
            <w:r>
              <w:rPr>
                <w:lang w:eastAsia="en-AU"/>
              </w:rPr>
              <w:fldChar w:fldCharType="separate"/>
            </w:r>
            <w:r>
              <w:t>Continuous disclosure obligations post 9 April 2020 Announcement</w:t>
            </w:r>
            <w:r>
              <w:rPr>
                <w:lang w:eastAsia="en-AU"/>
              </w:rPr>
              <w:fldChar w:fldCharType="end"/>
            </w:r>
          </w:p>
        </w:tc>
        <w:tc>
          <w:tcPr>
            <w:tcW w:w="1000" w:type="dxa"/>
            <w:shd w:val="clear" w:color="auto" w:fill="auto"/>
            <w:vAlign w:val="bottom"/>
          </w:tcPr>
          <w:p w14:paraId="454B0CFD" w14:textId="22C77522" w:rsidR="0006471F" w:rsidRDefault="0006471F" w:rsidP="00640103">
            <w:pPr>
              <w:spacing w:before="120" w:after="60" w:line="240" w:lineRule="auto"/>
              <w:jc w:val="right"/>
              <w:rPr>
                <w:szCs w:val="24"/>
              </w:rPr>
            </w:pPr>
            <w:r>
              <w:rPr>
                <w:szCs w:val="24"/>
              </w:rPr>
              <w:t>[16</w:t>
            </w:r>
            <w:r w:rsidR="004B6C4F">
              <w:rPr>
                <w:szCs w:val="24"/>
              </w:rPr>
              <w:t>7</w:t>
            </w:r>
            <w:r>
              <w:rPr>
                <w:szCs w:val="24"/>
              </w:rPr>
              <w:t>]</w:t>
            </w:r>
          </w:p>
        </w:tc>
      </w:tr>
      <w:tr w:rsidR="0006471F" w:rsidRPr="00D326DB" w14:paraId="7A33C9F7" w14:textId="77777777" w:rsidTr="0006471F">
        <w:tc>
          <w:tcPr>
            <w:tcW w:w="8291" w:type="dxa"/>
            <w:shd w:val="clear" w:color="auto" w:fill="auto"/>
          </w:tcPr>
          <w:p w14:paraId="55B7040A" w14:textId="7E5DF7A9" w:rsidR="0006471F" w:rsidRPr="0006471F" w:rsidRDefault="0006471F" w:rsidP="0006471F">
            <w:pPr>
              <w:pStyle w:val="FTOC3"/>
              <w:tabs>
                <w:tab w:val="clear" w:pos="9072"/>
              </w:tabs>
              <w:rPr>
                <w:i w:val="0"/>
                <w:lang w:eastAsia="en-AU"/>
              </w:rPr>
            </w:pPr>
            <w:r>
              <w:rPr>
                <w:lang w:eastAsia="en-AU"/>
              </w:rPr>
              <w:fldChar w:fldCharType="begin"/>
            </w:r>
            <w:r>
              <w:rPr>
                <w:lang w:eastAsia="en-AU"/>
              </w:rPr>
              <w:instrText xml:space="preserve"> REF _Ref161757964 \h </w:instrText>
            </w:r>
            <w:r>
              <w:rPr>
                <w:lang w:eastAsia="en-AU"/>
              </w:rPr>
            </w:r>
            <w:r>
              <w:rPr>
                <w:lang w:eastAsia="en-AU"/>
              </w:rPr>
              <w:fldChar w:fldCharType="separate"/>
            </w:r>
            <w:r>
              <w:t xml:space="preserve">Is it appropriate to make the agreed declarations in respect of Dr </w:t>
            </w:r>
            <w:proofErr w:type="spellStart"/>
            <w:r>
              <w:t>Marnickavasagar</w:t>
            </w:r>
            <w:proofErr w:type="spellEnd"/>
            <w:r>
              <w:t>?</w:t>
            </w:r>
            <w:r>
              <w:rPr>
                <w:lang w:eastAsia="en-AU"/>
              </w:rPr>
              <w:fldChar w:fldCharType="end"/>
            </w:r>
          </w:p>
        </w:tc>
        <w:tc>
          <w:tcPr>
            <w:tcW w:w="1000" w:type="dxa"/>
            <w:shd w:val="clear" w:color="auto" w:fill="auto"/>
            <w:vAlign w:val="bottom"/>
          </w:tcPr>
          <w:p w14:paraId="6922E18D" w14:textId="73396AB9" w:rsidR="0006471F" w:rsidRDefault="0006471F" w:rsidP="00640103">
            <w:pPr>
              <w:spacing w:before="120" w:after="60" w:line="240" w:lineRule="auto"/>
              <w:jc w:val="right"/>
              <w:rPr>
                <w:szCs w:val="24"/>
              </w:rPr>
            </w:pPr>
            <w:r>
              <w:rPr>
                <w:szCs w:val="24"/>
              </w:rPr>
              <w:t>[17</w:t>
            </w:r>
            <w:r w:rsidR="004B6C4F">
              <w:rPr>
                <w:szCs w:val="24"/>
              </w:rPr>
              <w:t>2</w:t>
            </w:r>
            <w:r>
              <w:rPr>
                <w:szCs w:val="24"/>
              </w:rPr>
              <w:t>]</w:t>
            </w:r>
          </w:p>
        </w:tc>
      </w:tr>
      <w:tr w:rsidR="0006471F" w:rsidRPr="00D326DB" w14:paraId="60575BE6" w14:textId="77777777" w:rsidTr="0006471F">
        <w:tc>
          <w:tcPr>
            <w:tcW w:w="8291" w:type="dxa"/>
            <w:shd w:val="clear" w:color="auto" w:fill="auto"/>
          </w:tcPr>
          <w:p w14:paraId="53C88DB1" w14:textId="4D7E1418"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_Ref161757965 \h </w:instrText>
            </w:r>
            <w:r>
              <w:rPr>
                <w:lang w:eastAsia="en-AU"/>
              </w:rPr>
            </w:r>
            <w:r>
              <w:rPr>
                <w:lang w:eastAsia="en-AU"/>
              </w:rPr>
              <w:fldChar w:fldCharType="separate"/>
            </w:r>
            <w:r>
              <w:t>The appropriate PECUNIARY penalty for Dr Marnickavasagar</w:t>
            </w:r>
            <w:r>
              <w:rPr>
                <w:lang w:eastAsia="en-AU"/>
              </w:rPr>
              <w:fldChar w:fldCharType="end"/>
            </w:r>
          </w:p>
        </w:tc>
        <w:tc>
          <w:tcPr>
            <w:tcW w:w="1000" w:type="dxa"/>
            <w:shd w:val="clear" w:color="auto" w:fill="auto"/>
            <w:vAlign w:val="bottom"/>
          </w:tcPr>
          <w:p w14:paraId="4FF0B4DD" w14:textId="74862A8B" w:rsidR="0006471F" w:rsidRDefault="0006471F" w:rsidP="00640103">
            <w:pPr>
              <w:spacing w:before="120" w:after="60" w:line="240" w:lineRule="auto"/>
              <w:jc w:val="right"/>
              <w:rPr>
                <w:szCs w:val="24"/>
              </w:rPr>
            </w:pPr>
            <w:r>
              <w:rPr>
                <w:szCs w:val="24"/>
              </w:rPr>
              <w:t>[17</w:t>
            </w:r>
            <w:r w:rsidR="004B6C4F">
              <w:rPr>
                <w:szCs w:val="24"/>
              </w:rPr>
              <w:t>3</w:t>
            </w:r>
            <w:r>
              <w:rPr>
                <w:szCs w:val="24"/>
              </w:rPr>
              <w:t>]</w:t>
            </w:r>
          </w:p>
        </w:tc>
      </w:tr>
      <w:tr w:rsidR="0006471F" w:rsidRPr="00D326DB" w14:paraId="6B9DCE5B" w14:textId="77777777" w:rsidTr="0006471F">
        <w:tc>
          <w:tcPr>
            <w:tcW w:w="8291" w:type="dxa"/>
            <w:shd w:val="clear" w:color="auto" w:fill="auto"/>
          </w:tcPr>
          <w:p w14:paraId="4707EB8B" w14:textId="49F74444" w:rsidR="0006471F" w:rsidRPr="0006471F" w:rsidRDefault="0006471F" w:rsidP="0006471F">
            <w:pPr>
              <w:pStyle w:val="FTOC2"/>
              <w:tabs>
                <w:tab w:val="clear" w:pos="9072"/>
              </w:tabs>
              <w:rPr>
                <w:lang w:eastAsia="en-AU"/>
              </w:rPr>
            </w:pPr>
            <w:r>
              <w:rPr>
                <w:lang w:eastAsia="en-AU"/>
              </w:rPr>
              <w:fldChar w:fldCharType="begin"/>
            </w:r>
            <w:r>
              <w:rPr>
                <w:lang w:eastAsia="en-AU"/>
              </w:rPr>
              <w:instrText xml:space="preserve"> REF _Ref161757966 \h </w:instrText>
            </w:r>
            <w:r>
              <w:rPr>
                <w:lang w:eastAsia="en-AU"/>
              </w:rPr>
            </w:r>
            <w:r>
              <w:rPr>
                <w:lang w:eastAsia="en-AU"/>
              </w:rPr>
              <w:fldChar w:fldCharType="separate"/>
            </w:r>
            <w:r w:rsidRPr="009A689C">
              <w:t>Disqualification</w:t>
            </w:r>
            <w:r>
              <w:rPr>
                <w:lang w:eastAsia="en-AU"/>
              </w:rPr>
              <w:fldChar w:fldCharType="end"/>
            </w:r>
          </w:p>
        </w:tc>
        <w:tc>
          <w:tcPr>
            <w:tcW w:w="1000" w:type="dxa"/>
            <w:shd w:val="clear" w:color="auto" w:fill="auto"/>
            <w:vAlign w:val="bottom"/>
          </w:tcPr>
          <w:p w14:paraId="15E41F9F" w14:textId="5A263B16" w:rsidR="0006471F" w:rsidRDefault="0006471F" w:rsidP="00640103">
            <w:pPr>
              <w:spacing w:before="120" w:after="60" w:line="240" w:lineRule="auto"/>
              <w:jc w:val="right"/>
              <w:rPr>
                <w:szCs w:val="24"/>
              </w:rPr>
            </w:pPr>
            <w:r>
              <w:rPr>
                <w:szCs w:val="24"/>
              </w:rPr>
              <w:t>[17</w:t>
            </w:r>
            <w:r w:rsidR="004B6C4F">
              <w:rPr>
                <w:szCs w:val="24"/>
              </w:rPr>
              <w:t>5</w:t>
            </w:r>
            <w:r>
              <w:rPr>
                <w:szCs w:val="24"/>
              </w:rPr>
              <w:t>]</w:t>
            </w:r>
          </w:p>
        </w:tc>
      </w:tr>
      <w:tr w:rsidR="0006471F" w:rsidRPr="00D326DB" w14:paraId="6D336697" w14:textId="77777777" w:rsidTr="0006471F">
        <w:tc>
          <w:tcPr>
            <w:tcW w:w="8291" w:type="dxa"/>
            <w:shd w:val="clear" w:color="auto" w:fill="auto"/>
          </w:tcPr>
          <w:p w14:paraId="74C9A3DA" w14:textId="6B365DE9" w:rsidR="0006471F" w:rsidRPr="0006471F" w:rsidRDefault="0006471F" w:rsidP="0006471F">
            <w:pPr>
              <w:pStyle w:val="FTOC2"/>
              <w:tabs>
                <w:tab w:val="clear" w:pos="9072"/>
              </w:tabs>
              <w:rPr>
                <w:lang w:eastAsia="en-AU"/>
              </w:rPr>
            </w:pPr>
            <w:r>
              <w:rPr>
                <w:lang w:eastAsia="en-AU"/>
              </w:rPr>
              <w:fldChar w:fldCharType="begin"/>
            </w:r>
            <w:r>
              <w:rPr>
                <w:lang w:eastAsia="en-AU"/>
              </w:rPr>
              <w:instrText xml:space="preserve"> REF _Ref161757967 \h </w:instrText>
            </w:r>
            <w:r>
              <w:rPr>
                <w:lang w:eastAsia="en-AU"/>
              </w:rPr>
            </w:r>
            <w:r>
              <w:rPr>
                <w:lang w:eastAsia="en-AU"/>
              </w:rPr>
              <w:fldChar w:fldCharType="separate"/>
            </w:r>
            <w:r w:rsidRPr="009A689C">
              <w:t>The appropriate pecuniary penalty</w:t>
            </w:r>
            <w:r>
              <w:rPr>
                <w:lang w:eastAsia="en-AU"/>
              </w:rPr>
              <w:fldChar w:fldCharType="end"/>
            </w:r>
          </w:p>
        </w:tc>
        <w:tc>
          <w:tcPr>
            <w:tcW w:w="1000" w:type="dxa"/>
            <w:shd w:val="clear" w:color="auto" w:fill="auto"/>
            <w:vAlign w:val="bottom"/>
          </w:tcPr>
          <w:p w14:paraId="769FD821" w14:textId="5E3508DE" w:rsidR="0006471F" w:rsidRDefault="0006471F" w:rsidP="00640103">
            <w:pPr>
              <w:spacing w:before="120" w:after="60" w:line="240" w:lineRule="auto"/>
              <w:jc w:val="right"/>
              <w:rPr>
                <w:szCs w:val="24"/>
              </w:rPr>
            </w:pPr>
            <w:r>
              <w:rPr>
                <w:szCs w:val="24"/>
              </w:rPr>
              <w:t>[17</w:t>
            </w:r>
            <w:r w:rsidR="004B6C4F">
              <w:rPr>
                <w:szCs w:val="24"/>
              </w:rPr>
              <w:t>9</w:t>
            </w:r>
            <w:r>
              <w:rPr>
                <w:szCs w:val="24"/>
              </w:rPr>
              <w:t>]</w:t>
            </w:r>
          </w:p>
        </w:tc>
      </w:tr>
      <w:tr w:rsidR="0006471F" w:rsidRPr="00D326DB" w14:paraId="004F1A53" w14:textId="77777777" w:rsidTr="0006471F">
        <w:tc>
          <w:tcPr>
            <w:tcW w:w="8291" w:type="dxa"/>
            <w:shd w:val="clear" w:color="auto" w:fill="auto"/>
          </w:tcPr>
          <w:p w14:paraId="7E73E44B" w14:textId="286978D2"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_Ref161757968 \h </w:instrText>
            </w:r>
            <w:r>
              <w:rPr>
                <w:lang w:eastAsia="en-AU"/>
              </w:rPr>
            </w:r>
            <w:r>
              <w:rPr>
                <w:lang w:eastAsia="en-AU"/>
              </w:rPr>
              <w:fldChar w:fldCharType="separate"/>
            </w:r>
            <w:r>
              <w:t>Nature and extent of any loss or damage</w:t>
            </w:r>
            <w:r>
              <w:rPr>
                <w:lang w:eastAsia="en-AU"/>
              </w:rPr>
              <w:fldChar w:fldCharType="end"/>
            </w:r>
          </w:p>
        </w:tc>
        <w:tc>
          <w:tcPr>
            <w:tcW w:w="1000" w:type="dxa"/>
            <w:shd w:val="clear" w:color="auto" w:fill="auto"/>
            <w:vAlign w:val="bottom"/>
          </w:tcPr>
          <w:p w14:paraId="3F0A1186" w14:textId="694D21AD" w:rsidR="0006471F" w:rsidRDefault="0006471F" w:rsidP="00640103">
            <w:pPr>
              <w:spacing w:before="120" w:after="60" w:line="240" w:lineRule="auto"/>
              <w:jc w:val="right"/>
              <w:rPr>
                <w:szCs w:val="24"/>
              </w:rPr>
            </w:pPr>
            <w:r>
              <w:rPr>
                <w:szCs w:val="24"/>
              </w:rPr>
              <w:t>[18</w:t>
            </w:r>
            <w:r w:rsidR="004B6C4F">
              <w:rPr>
                <w:szCs w:val="24"/>
              </w:rPr>
              <w:t>5</w:t>
            </w:r>
            <w:r>
              <w:rPr>
                <w:szCs w:val="24"/>
              </w:rPr>
              <w:t>]</w:t>
            </w:r>
          </w:p>
        </w:tc>
      </w:tr>
      <w:tr w:rsidR="0006471F" w:rsidRPr="00D326DB" w14:paraId="2DAB0BA5" w14:textId="77777777" w:rsidTr="0006471F">
        <w:tc>
          <w:tcPr>
            <w:tcW w:w="8291" w:type="dxa"/>
            <w:shd w:val="clear" w:color="auto" w:fill="auto"/>
          </w:tcPr>
          <w:p w14:paraId="07888D83" w14:textId="6F3DDC2B"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_Ref161753326 \h </w:instrText>
            </w:r>
            <w:r>
              <w:rPr>
                <w:lang w:eastAsia="en-AU"/>
              </w:rPr>
            </w:r>
            <w:r>
              <w:rPr>
                <w:lang w:eastAsia="en-AU"/>
              </w:rPr>
              <w:fldChar w:fldCharType="separate"/>
            </w:r>
            <w:r>
              <w:t>Circumstances in which the contravention took place</w:t>
            </w:r>
            <w:r>
              <w:rPr>
                <w:lang w:eastAsia="en-AU"/>
              </w:rPr>
              <w:fldChar w:fldCharType="end"/>
            </w:r>
          </w:p>
        </w:tc>
        <w:tc>
          <w:tcPr>
            <w:tcW w:w="1000" w:type="dxa"/>
            <w:shd w:val="clear" w:color="auto" w:fill="auto"/>
            <w:vAlign w:val="bottom"/>
          </w:tcPr>
          <w:p w14:paraId="1CA98048" w14:textId="7A3C09B2" w:rsidR="0006471F" w:rsidRDefault="0006471F" w:rsidP="00640103">
            <w:pPr>
              <w:spacing w:before="120" w:after="60" w:line="240" w:lineRule="auto"/>
              <w:jc w:val="right"/>
              <w:rPr>
                <w:szCs w:val="24"/>
              </w:rPr>
            </w:pPr>
            <w:r>
              <w:rPr>
                <w:szCs w:val="24"/>
              </w:rPr>
              <w:t>[18</w:t>
            </w:r>
            <w:r w:rsidR="004B6C4F">
              <w:rPr>
                <w:szCs w:val="24"/>
              </w:rPr>
              <w:t>6</w:t>
            </w:r>
            <w:r>
              <w:rPr>
                <w:szCs w:val="24"/>
              </w:rPr>
              <w:t>]</w:t>
            </w:r>
          </w:p>
        </w:tc>
      </w:tr>
      <w:tr w:rsidR="0006471F" w:rsidRPr="00D326DB" w14:paraId="3E65D125" w14:textId="77777777" w:rsidTr="0006471F">
        <w:tc>
          <w:tcPr>
            <w:tcW w:w="8291" w:type="dxa"/>
            <w:shd w:val="clear" w:color="auto" w:fill="auto"/>
          </w:tcPr>
          <w:p w14:paraId="10EF2D58" w14:textId="082F6997" w:rsidR="0006471F" w:rsidRPr="0006471F" w:rsidRDefault="0006471F" w:rsidP="0006471F">
            <w:pPr>
              <w:pStyle w:val="FTOC4"/>
              <w:tabs>
                <w:tab w:val="clear" w:pos="9072"/>
              </w:tabs>
              <w:rPr>
                <w:i w:val="0"/>
                <w:lang w:eastAsia="en-AU"/>
              </w:rPr>
            </w:pPr>
            <w:r>
              <w:rPr>
                <w:lang w:eastAsia="en-AU"/>
              </w:rPr>
              <w:fldChar w:fldCharType="begin"/>
            </w:r>
            <w:r>
              <w:rPr>
                <w:lang w:eastAsia="en-AU"/>
              </w:rPr>
              <w:instrText xml:space="preserve"> REF _Ref161753482 \h </w:instrText>
            </w:r>
            <w:r>
              <w:rPr>
                <w:lang w:eastAsia="en-AU"/>
              </w:rPr>
            </w:r>
            <w:r>
              <w:rPr>
                <w:lang w:eastAsia="en-AU"/>
              </w:rPr>
              <w:fldChar w:fldCharType="separate"/>
            </w:r>
            <w:r>
              <w:t>No prior contraventions</w:t>
            </w:r>
            <w:r>
              <w:rPr>
                <w:lang w:eastAsia="en-AU"/>
              </w:rPr>
              <w:fldChar w:fldCharType="end"/>
            </w:r>
          </w:p>
        </w:tc>
        <w:tc>
          <w:tcPr>
            <w:tcW w:w="1000" w:type="dxa"/>
            <w:shd w:val="clear" w:color="auto" w:fill="auto"/>
            <w:vAlign w:val="bottom"/>
          </w:tcPr>
          <w:p w14:paraId="42AB3D92" w14:textId="60B66E7F" w:rsidR="0006471F" w:rsidRDefault="0006471F" w:rsidP="00640103">
            <w:pPr>
              <w:spacing w:before="120" w:after="60" w:line="240" w:lineRule="auto"/>
              <w:jc w:val="right"/>
              <w:rPr>
                <w:szCs w:val="24"/>
              </w:rPr>
            </w:pPr>
            <w:r>
              <w:rPr>
                <w:szCs w:val="24"/>
              </w:rPr>
              <w:t>[18</w:t>
            </w:r>
            <w:r w:rsidR="004B6C4F">
              <w:rPr>
                <w:szCs w:val="24"/>
              </w:rPr>
              <w:t>7</w:t>
            </w:r>
            <w:r>
              <w:rPr>
                <w:szCs w:val="24"/>
              </w:rPr>
              <w:t>]</w:t>
            </w:r>
          </w:p>
        </w:tc>
      </w:tr>
      <w:tr w:rsidR="0006471F" w:rsidRPr="00D326DB" w14:paraId="1490ACDC" w14:textId="77777777" w:rsidTr="0006471F">
        <w:tc>
          <w:tcPr>
            <w:tcW w:w="8291" w:type="dxa"/>
            <w:shd w:val="clear" w:color="auto" w:fill="auto"/>
          </w:tcPr>
          <w:p w14:paraId="68E0CB41" w14:textId="23461A75" w:rsidR="0006471F" w:rsidRPr="0006471F" w:rsidRDefault="0006471F" w:rsidP="0006471F">
            <w:pPr>
              <w:pStyle w:val="FTOC1"/>
              <w:tabs>
                <w:tab w:val="clear" w:pos="9072"/>
              </w:tabs>
              <w:rPr>
                <w:lang w:eastAsia="en-AU"/>
              </w:rPr>
            </w:pPr>
            <w:r>
              <w:rPr>
                <w:lang w:eastAsia="en-AU"/>
              </w:rPr>
              <w:fldChar w:fldCharType="begin"/>
            </w:r>
            <w:r>
              <w:rPr>
                <w:lang w:eastAsia="en-AU"/>
              </w:rPr>
              <w:instrText xml:space="preserve"> REF _Ref161757969 \h </w:instrText>
            </w:r>
            <w:r>
              <w:rPr>
                <w:lang w:eastAsia="en-AU"/>
              </w:rPr>
            </w:r>
            <w:r>
              <w:rPr>
                <w:lang w:eastAsia="en-AU"/>
              </w:rPr>
              <w:fldChar w:fldCharType="separate"/>
            </w:r>
            <w:r>
              <w:t>DISPOSITION</w:t>
            </w:r>
            <w:r>
              <w:rPr>
                <w:lang w:eastAsia="en-AU"/>
              </w:rPr>
              <w:fldChar w:fldCharType="end"/>
            </w:r>
          </w:p>
        </w:tc>
        <w:tc>
          <w:tcPr>
            <w:tcW w:w="1000" w:type="dxa"/>
            <w:shd w:val="clear" w:color="auto" w:fill="auto"/>
            <w:vAlign w:val="bottom"/>
          </w:tcPr>
          <w:p w14:paraId="12E27434" w14:textId="14A3F33E" w:rsidR="0006471F" w:rsidRDefault="0006471F" w:rsidP="00640103">
            <w:pPr>
              <w:spacing w:before="120" w:after="60" w:line="240" w:lineRule="auto"/>
              <w:jc w:val="right"/>
              <w:rPr>
                <w:szCs w:val="24"/>
              </w:rPr>
            </w:pPr>
            <w:r>
              <w:rPr>
                <w:szCs w:val="24"/>
              </w:rPr>
              <w:t>[1</w:t>
            </w:r>
            <w:r w:rsidR="004B6C4F">
              <w:rPr>
                <w:szCs w:val="24"/>
              </w:rPr>
              <w:t>90</w:t>
            </w:r>
            <w:r>
              <w:rPr>
                <w:szCs w:val="24"/>
              </w:rPr>
              <w:t>]</w:t>
            </w:r>
          </w:p>
        </w:tc>
      </w:tr>
      <w:bookmarkEnd w:id="24"/>
    </w:tbl>
    <w:p w14:paraId="711446DF" w14:textId="77777777" w:rsidR="0006471F" w:rsidRDefault="0006471F" w:rsidP="005E0510">
      <w:pPr>
        <w:pStyle w:val="NormalHeadings"/>
        <w:spacing w:line="360" w:lineRule="auto"/>
        <w:jc w:val="left"/>
        <w:rPr>
          <w:sz w:val="26"/>
          <w:szCs w:val="26"/>
        </w:rPr>
      </w:pPr>
    </w:p>
    <w:p w14:paraId="0C0BC43A" w14:textId="4249FD65" w:rsidR="006463BB" w:rsidRDefault="006463BB" w:rsidP="006463BB">
      <w:pPr>
        <w:pStyle w:val="Heading1"/>
      </w:pPr>
      <w:bookmarkStart w:id="25" w:name="_Ref161673101"/>
      <w:r>
        <w:t>introduction</w:t>
      </w:r>
      <w:bookmarkEnd w:id="25"/>
    </w:p>
    <w:p w14:paraId="34ED019B" w14:textId="24B4053D" w:rsidR="00CD1346" w:rsidRDefault="00E72A90" w:rsidP="00A4777A">
      <w:pPr>
        <w:pStyle w:val="ParaNumbering"/>
      </w:pPr>
      <w:r>
        <w:t xml:space="preserve">By originating application </w:t>
      </w:r>
      <w:r w:rsidR="008C2EF8">
        <w:t>dated</w:t>
      </w:r>
      <w:r>
        <w:t xml:space="preserve"> 4 August 2021</w:t>
      </w:r>
      <w:r w:rsidR="00B704A4">
        <w:t xml:space="preserve">, the Australian </w:t>
      </w:r>
      <w:proofErr w:type="gramStart"/>
      <w:r w:rsidR="00B704A4">
        <w:t>Securities</w:t>
      </w:r>
      <w:proofErr w:type="gramEnd"/>
      <w:r w:rsidR="00B704A4">
        <w:t xml:space="preserve"> and Investments Commission (</w:t>
      </w:r>
      <w:r w:rsidR="00B704A4" w:rsidRPr="00AC37A1">
        <w:rPr>
          <w:b/>
          <w:bCs/>
        </w:rPr>
        <w:t>ASIC</w:t>
      </w:r>
      <w:r w:rsidR="00B704A4">
        <w:t xml:space="preserve">) sought declaratory relief and pecuniary penalties against the first defendant, </w:t>
      </w:r>
      <w:proofErr w:type="spellStart"/>
      <w:r w:rsidR="00B704A4" w:rsidRPr="00AC37A1">
        <w:rPr>
          <w:b/>
          <w:bCs/>
        </w:rPr>
        <w:t>Holista</w:t>
      </w:r>
      <w:proofErr w:type="spellEnd"/>
      <w:r w:rsidR="00B704A4">
        <w:t xml:space="preserve"> </w:t>
      </w:r>
      <w:proofErr w:type="spellStart"/>
      <w:r w:rsidR="00B704A4">
        <w:t>Colltech</w:t>
      </w:r>
      <w:proofErr w:type="spellEnd"/>
      <w:r w:rsidR="00B704A4">
        <w:t xml:space="preserve"> Ltd, and its </w:t>
      </w:r>
      <w:r w:rsidR="002C2C59">
        <w:t>Managing Director</w:t>
      </w:r>
      <w:r w:rsidR="00B704A4">
        <w:t xml:space="preserve"> and </w:t>
      </w:r>
      <w:r w:rsidR="002C2C59">
        <w:t>Chief Executive Officer</w:t>
      </w:r>
      <w:r w:rsidR="00B704A4">
        <w:t xml:space="preserve">, the second defendant, </w:t>
      </w:r>
      <w:r w:rsidR="00B704A4" w:rsidRPr="00AC37A1">
        <w:rPr>
          <w:b/>
        </w:rPr>
        <w:t>Dr</w:t>
      </w:r>
      <w:r w:rsidR="00B704A4">
        <w:t xml:space="preserve"> Rajendran </w:t>
      </w:r>
      <w:proofErr w:type="spellStart"/>
      <w:r w:rsidR="00B704A4" w:rsidRPr="00AC37A1">
        <w:rPr>
          <w:b/>
          <w:bCs/>
        </w:rPr>
        <w:t>Marnickavasagar</w:t>
      </w:r>
      <w:proofErr w:type="spellEnd"/>
      <w:r w:rsidR="00B704A4">
        <w:t xml:space="preserve">. As against </w:t>
      </w:r>
      <w:proofErr w:type="spellStart"/>
      <w:r w:rsidR="00B704A4">
        <w:t>Holista</w:t>
      </w:r>
      <w:proofErr w:type="spellEnd"/>
      <w:r w:rsidR="00B704A4">
        <w:t xml:space="preserve">, ASIC alleged that it had contravened </w:t>
      </w:r>
      <w:r w:rsidR="00B704A4" w:rsidRPr="006941F0">
        <w:t xml:space="preserve">s 674(2) of the </w:t>
      </w:r>
      <w:r w:rsidR="00B704A4" w:rsidRPr="00AC37A1">
        <w:rPr>
          <w:b/>
          <w:bCs/>
          <w:i/>
          <w:iCs/>
        </w:rPr>
        <w:t xml:space="preserve">Corporations Act </w:t>
      </w:r>
      <w:r w:rsidR="00B704A4" w:rsidRPr="00AC37A1">
        <w:rPr>
          <w:i/>
          <w:iCs/>
        </w:rPr>
        <w:t>20</w:t>
      </w:r>
      <w:r w:rsidR="003E0F34" w:rsidRPr="00AC37A1">
        <w:rPr>
          <w:i/>
          <w:iCs/>
        </w:rPr>
        <w:t>0</w:t>
      </w:r>
      <w:r w:rsidR="00B704A4" w:rsidRPr="00AC37A1">
        <w:rPr>
          <w:i/>
          <w:iCs/>
        </w:rPr>
        <w:t>1</w:t>
      </w:r>
      <w:r w:rsidR="00B704A4" w:rsidRPr="006941F0">
        <w:t xml:space="preserve"> (</w:t>
      </w:r>
      <w:proofErr w:type="spellStart"/>
      <w:r w:rsidR="00B704A4" w:rsidRPr="006941F0">
        <w:t>Cth</w:t>
      </w:r>
      <w:proofErr w:type="spellEnd"/>
      <w:r w:rsidR="00B704A4" w:rsidRPr="006941F0">
        <w:t>)</w:t>
      </w:r>
      <w:r w:rsidR="00B704A4">
        <w:t xml:space="preserve"> by failing to notify the</w:t>
      </w:r>
      <w:r w:rsidR="00892887">
        <w:t xml:space="preserve"> Australian Securities Exchange (</w:t>
      </w:r>
      <w:r w:rsidR="00B704A4" w:rsidRPr="00AC37A1">
        <w:rPr>
          <w:b/>
          <w:bCs/>
        </w:rPr>
        <w:t>ASX</w:t>
      </w:r>
      <w:r w:rsidR="00892887">
        <w:t>)</w:t>
      </w:r>
      <w:r w:rsidR="00B704A4">
        <w:t xml:space="preserve"> of certain information</w:t>
      </w:r>
      <w:r w:rsidR="00BF2C25">
        <w:t>, and that it had engaged in misleadin</w:t>
      </w:r>
      <w:r w:rsidR="006A4CC3">
        <w:t xml:space="preserve">g or deceptive conduct in contravention of </w:t>
      </w:r>
      <w:r w:rsidR="006A4CC3" w:rsidRPr="006941F0">
        <w:t>s 1041</w:t>
      </w:r>
      <w:proofErr w:type="gramStart"/>
      <w:r w:rsidR="006A4CC3" w:rsidRPr="006941F0">
        <w:t>H(</w:t>
      </w:r>
      <w:proofErr w:type="gramEnd"/>
      <w:r w:rsidR="006A4CC3" w:rsidRPr="006941F0">
        <w:t>1)</w:t>
      </w:r>
      <w:r w:rsidR="00AC424C" w:rsidRPr="006941F0">
        <w:t xml:space="preserve"> of the </w:t>
      </w:r>
      <w:r w:rsidR="00AC424C" w:rsidRPr="00AC37A1">
        <w:rPr>
          <w:i/>
          <w:iCs/>
        </w:rPr>
        <w:t>Corporations Act</w:t>
      </w:r>
      <w:r w:rsidR="006A4CC3" w:rsidRPr="006941F0">
        <w:t>.</w:t>
      </w:r>
      <w:r w:rsidR="00B704A4">
        <w:t xml:space="preserve"> As against Dr </w:t>
      </w:r>
      <w:proofErr w:type="spellStart"/>
      <w:r w:rsidR="00B76D83" w:rsidRPr="00B76D83">
        <w:t>Marnickavasagar</w:t>
      </w:r>
      <w:proofErr w:type="spellEnd"/>
      <w:r w:rsidR="00B76D83">
        <w:t xml:space="preserve">, </w:t>
      </w:r>
      <w:r w:rsidR="006F141D">
        <w:t xml:space="preserve">ASIC alleged that he contravened </w:t>
      </w:r>
      <w:r w:rsidR="006F141D" w:rsidRPr="006941F0">
        <w:t xml:space="preserve">s 180(1) of the </w:t>
      </w:r>
      <w:r w:rsidR="006F141D" w:rsidRPr="00AC37A1">
        <w:rPr>
          <w:i/>
          <w:iCs/>
        </w:rPr>
        <w:t>Corporations Act</w:t>
      </w:r>
      <w:r w:rsidR="00D013C3">
        <w:t xml:space="preserve"> in failing to discharge his duties to </w:t>
      </w:r>
      <w:proofErr w:type="spellStart"/>
      <w:r w:rsidR="00D013C3">
        <w:t>Holist</w:t>
      </w:r>
      <w:r w:rsidR="00FB63D6">
        <w:t>a</w:t>
      </w:r>
      <w:proofErr w:type="spellEnd"/>
      <w:r w:rsidR="00D013C3">
        <w:t xml:space="preserve"> with the degree of care and diligence of a reasonable person</w:t>
      </w:r>
      <w:r w:rsidR="006B4BE3">
        <w:t>,</w:t>
      </w:r>
      <w:r w:rsidR="00D013C3">
        <w:t xml:space="preserve"> </w:t>
      </w:r>
      <w:r w:rsidR="00551798">
        <w:t xml:space="preserve">or a reasonable person </w:t>
      </w:r>
      <w:r w:rsidR="00D013C3">
        <w:t xml:space="preserve">in the position of </w:t>
      </w:r>
      <w:r w:rsidR="00470572">
        <w:t>M</w:t>
      </w:r>
      <w:r w:rsidR="00D013C3">
        <w:t xml:space="preserve">anaging </w:t>
      </w:r>
      <w:r w:rsidR="00470572">
        <w:t>D</w:t>
      </w:r>
      <w:r w:rsidR="00D013C3">
        <w:t xml:space="preserve">irector or </w:t>
      </w:r>
      <w:r w:rsidR="00470572">
        <w:t>C</w:t>
      </w:r>
      <w:r w:rsidR="00D013C3">
        <w:t xml:space="preserve">hief </w:t>
      </w:r>
      <w:r w:rsidR="00470572">
        <w:t>E</w:t>
      </w:r>
      <w:r w:rsidR="00D013C3">
        <w:t xml:space="preserve">xecutive </w:t>
      </w:r>
      <w:r w:rsidR="00470572">
        <w:t>O</w:t>
      </w:r>
      <w:r w:rsidR="00D013C3">
        <w:t>fficer</w:t>
      </w:r>
      <w:r w:rsidR="00DF1003">
        <w:t xml:space="preserve"> of a company in </w:t>
      </w:r>
      <w:proofErr w:type="spellStart"/>
      <w:r w:rsidR="00DF1003">
        <w:t>Holista’s</w:t>
      </w:r>
      <w:proofErr w:type="spellEnd"/>
      <w:r w:rsidR="00DF1003">
        <w:t xml:space="preserve"> circumstances.</w:t>
      </w:r>
      <w:r w:rsidR="003F3486">
        <w:t xml:space="preserve"> ASIC </w:t>
      </w:r>
      <w:r w:rsidR="007F3242">
        <w:t>further</w:t>
      </w:r>
      <w:r w:rsidR="003F3486">
        <w:t xml:space="preserve"> alleged</w:t>
      </w:r>
      <w:r w:rsidR="00790021">
        <w:t xml:space="preserve"> against Dr </w:t>
      </w:r>
      <w:proofErr w:type="spellStart"/>
      <w:r w:rsidR="00790021" w:rsidRPr="00B76D83">
        <w:t>Marnickavasagar</w:t>
      </w:r>
      <w:proofErr w:type="spellEnd"/>
      <w:r w:rsidR="00790021">
        <w:t xml:space="preserve"> that</w:t>
      </w:r>
      <w:r w:rsidR="00EB253E">
        <w:t xml:space="preserve"> he contravened s 1309(12) of the </w:t>
      </w:r>
      <w:r w:rsidR="00EB253E" w:rsidRPr="00AC37A1">
        <w:rPr>
          <w:i/>
          <w:iCs/>
        </w:rPr>
        <w:t>Corporations Act</w:t>
      </w:r>
      <w:r w:rsidR="00EB253E">
        <w:t xml:space="preserve"> </w:t>
      </w:r>
      <w:r w:rsidR="00892887">
        <w:t xml:space="preserve">by making available </w:t>
      </w:r>
      <w:r w:rsidR="009E2C03">
        <w:t>or</w:t>
      </w:r>
      <w:r w:rsidR="00892887">
        <w:t xml:space="preserve"> giving to the ASX </w:t>
      </w:r>
      <w:r w:rsidR="009E2C03">
        <w:t xml:space="preserve">certain information which related to the affairs of </w:t>
      </w:r>
      <w:proofErr w:type="spellStart"/>
      <w:proofErr w:type="gramStart"/>
      <w:r w:rsidR="009E2C03">
        <w:t>Holista</w:t>
      </w:r>
      <w:proofErr w:type="spellEnd"/>
      <w:proofErr w:type="gramEnd"/>
      <w:r w:rsidR="009E2C03">
        <w:t xml:space="preserve"> and which was false or misleading </w:t>
      </w:r>
      <w:r w:rsidR="00974EFD">
        <w:t>in a material particular</w:t>
      </w:r>
      <w:r w:rsidR="0069733F">
        <w:t>,</w:t>
      </w:r>
      <w:r w:rsidR="00974EFD">
        <w:t xml:space="preserve"> without having taken reasonable steps to ensure the information was not </w:t>
      </w:r>
      <w:r w:rsidR="00974EFD">
        <w:lastRenderedPageBreak/>
        <w:t>false or misleading in a material particular</w:t>
      </w:r>
      <w:r w:rsidR="00C63DDA">
        <w:t xml:space="preserve">, within the meaning of </w:t>
      </w:r>
      <w:r w:rsidR="00C63DDA" w:rsidRPr="006941F0">
        <w:t>s 1309(2</w:t>
      </w:r>
      <w:r w:rsidR="00884173" w:rsidRPr="006941F0">
        <w:t xml:space="preserve">) of the </w:t>
      </w:r>
      <w:r w:rsidR="00884173" w:rsidRPr="00AC37A1">
        <w:rPr>
          <w:i/>
          <w:iCs/>
        </w:rPr>
        <w:t>Corporations Act</w:t>
      </w:r>
      <w:r w:rsidR="00884173" w:rsidRPr="006941F0">
        <w:t>.</w:t>
      </w:r>
    </w:p>
    <w:p w14:paraId="5D3EE78A" w14:textId="23F0D3AC" w:rsidR="00BC45C6" w:rsidRDefault="00DE7D99" w:rsidP="000D6D80">
      <w:pPr>
        <w:pStyle w:val="ParaNumbering"/>
      </w:pPr>
      <w:r>
        <w:t>On 27 November 2023, t</w:t>
      </w:r>
      <w:r w:rsidR="000D6886">
        <w:t xml:space="preserve">he parties filed </w:t>
      </w:r>
      <w:r>
        <w:t>a Statement of Agreed Facts and Admissions (</w:t>
      </w:r>
      <w:r w:rsidRPr="000D6D80">
        <w:rPr>
          <w:b/>
          <w:bCs/>
        </w:rPr>
        <w:t>SAFA</w:t>
      </w:r>
      <w:r>
        <w:t>)</w:t>
      </w:r>
      <w:r w:rsidR="00D50276">
        <w:t>,</w:t>
      </w:r>
      <w:r>
        <w:t xml:space="preserve"> pursuant to </w:t>
      </w:r>
      <w:r w:rsidRPr="006941F0">
        <w:t>s 191 of the</w:t>
      </w:r>
      <w:r w:rsidRPr="000D6D80">
        <w:rPr>
          <w:i/>
          <w:iCs/>
        </w:rPr>
        <w:t xml:space="preserve"> Evidence Act 1995</w:t>
      </w:r>
      <w:r w:rsidR="00205D42" w:rsidRPr="006941F0">
        <w:t xml:space="preserve"> (</w:t>
      </w:r>
      <w:proofErr w:type="spellStart"/>
      <w:r w:rsidR="00205D42" w:rsidRPr="006941F0">
        <w:t>Cth</w:t>
      </w:r>
      <w:proofErr w:type="spellEnd"/>
      <w:r w:rsidR="00205D42" w:rsidRPr="006941F0">
        <w:t>)</w:t>
      </w:r>
      <w:r w:rsidR="00380678">
        <w:t xml:space="preserve">. </w:t>
      </w:r>
      <w:r w:rsidR="00BB6CCA">
        <w:t xml:space="preserve">On the same date, </w:t>
      </w:r>
      <w:r w:rsidR="00380678">
        <w:t>amended joint submissions on liability</w:t>
      </w:r>
      <w:r w:rsidR="007C21CD">
        <w:t xml:space="preserve"> were filed by all parties</w:t>
      </w:r>
      <w:r w:rsidR="00BB6CCA">
        <w:t>,</w:t>
      </w:r>
      <w:r w:rsidR="00380678">
        <w:t xml:space="preserve"> and </w:t>
      </w:r>
      <w:r w:rsidR="00205D42">
        <w:t xml:space="preserve">joint </w:t>
      </w:r>
      <w:r w:rsidR="00703D50">
        <w:t xml:space="preserve">submissions </w:t>
      </w:r>
      <w:r w:rsidR="007C21CD">
        <w:t xml:space="preserve">by </w:t>
      </w:r>
      <w:r w:rsidR="00703D50">
        <w:t xml:space="preserve">ASIC and Dr </w:t>
      </w:r>
      <w:proofErr w:type="spellStart"/>
      <w:r w:rsidR="00703D50" w:rsidRPr="00703D50">
        <w:t>Marnickavasagar</w:t>
      </w:r>
      <w:proofErr w:type="spellEnd"/>
      <w:r w:rsidR="00703D50">
        <w:t xml:space="preserve"> </w:t>
      </w:r>
      <w:r w:rsidR="00F73CD9">
        <w:t xml:space="preserve">in relation to penalty. </w:t>
      </w:r>
    </w:p>
    <w:p w14:paraId="1982C146" w14:textId="292351B1" w:rsidR="00AC37A1" w:rsidRDefault="0099114F" w:rsidP="000D6D80">
      <w:pPr>
        <w:pStyle w:val="ParaNumbering"/>
      </w:pPr>
      <w:r>
        <w:t>Certain matters</w:t>
      </w:r>
      <w:r w:rsidR="007F6FCC">
        <w:t>,</w:t>
      </w:r>
      <w:r>
        <w:t xml:space="preserve"> however</w:t>
      </w:r>
      <w:r w:rsidR="007F6FCC">
        <w:t>,</w:t>
      </w:r>
      <w:r>
        <w:t xml:space="preserve"> were not agreed between the parties.</w:t>
      </w:r>
      <w:r w:rsidR="00C756CA">
        <w:t xml:space="preserve"> </w:t>
      </w:r>
      <w:proofErr w:type="gramStart"/>
      <w:r w:rsidR="00C756CA">
        <w:t>In particular, as</w:t>
      </w:r>
      <w:proofErr w:type="gramEnd"/>
      <w:r w:rsidR="00C756CA">
        <w:t xml:space="preserve"> concerns </w:t>
      </w:r>
      <w:proofErr w:type="spellStart"/>
      <w:r w:rsidR="00C756CA">
        <w:t>Holista</w:t>
      </w:r>
      <w:proofErr w:type="spellEnd"/>
      <w:r w:rsidR="00930B1B">
        <w:t xml:space="preserve">, there </w:t>
      </w:r>
      <w:r w:rsidR="00884173">
        <w:t>was</w:t>
      </w:r>
      <w:r w:rsidR="00930B1B">
        <w:t xml:space="preserve"> no agreement as to </w:t>
      </w:r>
      <w:r w:rsidR="00DB0571">
        <w:t>whether its state of mind with respect to the materiality of the relevant information</w:t>
      </w:r>
      <w:r w:rsidR="00095A90">
        <w:t xml:space="preserve">, during the time </w:t>
      </w:r>
      <w:r w:rsidR="002E5363">
        <w:t>of operation of</w:t>
      </w:r>
      <w:r w:rsidR="00095A90">
        <w:t xml:space="preserve"> the</w:t>
      </w:r>
      <w:r w:rsidR="00095A90" w:rsidRPr="00E379C0">
        <w:rPr>
          <w:i/>
          <w:iCs/>
        </w:rPr>
        <w:t xml:space="preserve"> </w:t>
      </w:r>
      <w:r w:rsidR="00F34738" w:rsidRPr="006941F0">
        <w:rPr>
          <w:i/>
          <w:iCs/>
        </w:rPr>
        <w:t xml:space="preserve">Corporations (Coronavirus Economic </w:t>
      </w:r>
      <w:r w:rsidR="002E5363" w:rsidRPr="006941F0">
        <w:rPr>
          <w:i/>
          <w:iCs/>
        </w:rPr>
        <w:t>Response) Determination (No 2) 2020</w:t>
      </w:r>
      <w:r w:rsidR="00793FA6" w:rsidRPr="006941F0">
        <w:t xml:space="preserve"> (</w:t>
      </w:r>
      <w:proofErr w:type="spellStart"/>
      <w:r w:rsidR="00793FA6" w:rsidRPr="006941F0">
        <w:t>Cth</w:t>
      </w:r>
      <w:proofErr w:type="spellEnd"/>
      <w:r w:rsidR="00793FA6" w:rsidRPr="006941F0">
        <w:t>)</w:t>
      </w:r>
      <w:r w:rsidR="00793FA6">
        <w:t xml:space="preserve"> (</w:t>
      </w:r>
      <w:r w:rsidR="00793FA6" w:rsidRPr="00494703">
        <w:rPr>
          <w:b/>
          <w:bCs/>
          <w:i/>
          <w:iCs/>
        </w:rPr>
        <w:t>Coronavirus Determination</w:t>
      </w:r>
      <w:r w:rsidR="00793FA6">
        <w:t>), was merely negligent</w:t>
      </w:r>
      <w:r w:rsidR="00352A89">
        <w:t>,</w:t>
      </w:r>
      <w:r w:rsidR="0080241E">
        <w:t xml:space="preserve"> or</w:t>
      </w:r>
      <w:r w:rsidR="00F21A43">
        <w:t xml:space="preserve"> whether </w:t>
      </w:r>
      <w:proofErr w:type="spellStart"/>
      <w:r w:rsidR="00F21A43">
        <w:t>Holista</w:t>
      </w:r>
      <w:proofErr w:type="spellEnd"/>
      <w:r w:rsidR="00F21A43">
        <w:t xml:space="preserve"> was reckless</w:t>
      </w:r>
      <w:r w:rsidR="00F362DB">
        <w:t>,</w:t>
      </w:r>
      <w:r w:rsidR="00F21A43">
        <w:t xml:space="preserve"> or had knowledge. Consequently, the </w:t>
      </w:r>
      <w:r w:rsidR="00D646AB">
        <w:t xml:space="preserve">appropriate penalty </w:t>
      </w:r>
      <w:r w:rsidR="000E5258">
        <w:t xml:space="preserve">for </w:t>
      </w:r>
      <w:proofErr w:type="spellStart"/>
      <w:r w:rsidR="000E5258">
        <w:t>Holista</w:t>
      </w:r>
      <w:proofErr w:type="spellEnd"/>
      <w:r w:rsidR="000E5258">
        <w:t xml:space="preserve"> </w:t>
      </w:r>
      <w:r w:rsidR="00D646AB">
        <w:t>has not been agreed.</w:t>
      </w:r>
    </w:p>
    <w:p w14:paraId="75D0DCC3" w14:textId="71EFD9C8" w:rsidR="00B1116F" w:rsidRDefault="00E379C0" w:rsidP="000D6D80">
      <w:pPr>
        <w:pStyle w:val="ParaNumbering"/>
      </w:pPr>
      <w:r>
        <w:t xml:space="preserve">As concerns Dr </w:t>
      </w:r>
      <w:proofErr w:type="spellStart"/>
      <w:r w:rsidRPr="00E379C0">
        <w:t>Marnickavasagar</w:t>
      </w:r>
      <w:proofErr w:type="spellEnd"/>
      <w:r>
        <w:t xml:space="preserve">, the parties are agreed as to the appropriate penalty. </w:t>
      </w:r>
      <w:r w:rsidR="00320126">
        <w:t>As to liability, two matters remain in dispute</w:t>
      </w:r>
      <w:r w:rsidR="004455FC">
        <w:t xml:space="preserve">, although they are said not to change the appropriateness of the agreed penalty. The </w:t>
      </w:r>
      <w:r w:rsidR="0010353A">
        <w:t>first</w:t>
      </w:r>
      <w:r w:rsidR="00686D0B">
        <w:t xml:space="preserve"> concerns</w:t>
      </w:r>
      <w:r w:rsidR="00326B83">
        <w:t xml:space="preserve"> </w:t>
      </w:r>
      <w:r w:rsidR="00320126">
        <w:t xml:space="preserve">Dr </w:t>
      </w:r>
      <w:proofErr w:type="spellStart"/>
      <w:r w:rsidR="00320126" w:rsidRPr="00E379C0">
        <w:t>Marnickavasagar</w:t>
      </w:r>
      <w:r w:rsidR="00326B83">
        <w:t>’s</w:t>
      </w:r>
      <w:proofErr w:type="spellEnd"/>
      <w:r w:rsidR="00326B83">
        <w:t xml:space="preserve"> attempt to rely on the existence of a pre-existing </w:t>
      </w:r>
      <w:r w:rsidR="00D33190">
        <w:t>d</w:t>
      </w:r>
      <w:r w:rsidR="00326B83">
        <w:t xml:space="preserve">istribution </w:t>
      </w:r>
      <w:r w:rsidR="00D33190">
        <w:t>a</w:t>
      </w:r>
      <w:r w:rsidR="00326B83">
        <w:t>greement</w:t>
      </w:r>
      <w:r w:rsidR="00776E90">
        <w:t xml:space="preserve"> and the provisions of a “sales projection” spreadsheet to diminish his culpability</w:t>
      </w:r>
      <w:r w:rsidR="00686D0B">
        <w:t>; t</w:t>
      </w:r>
      <w:r w:rsidR="0010353A">
        <w:t>he second</w:t>
      </w:r>
      <w:r w:rsidR="00686D0B">
        <w:t>,</w:t>
      </w:r>
      <w:r w:rsidR="0010353A">
        <w:t xml:space="preserve"> </w:t>
      </w:r>
      <w:r w:rsidR="00482875">
        <w:t xml:space="preserve">his </w:t>
      </w:r>
      <w:r w:rsidR="00BE2933">
        <w:t>alleged s</w:t>
      </w:r>
      <w:r w:rsidR="008C0D1C">
        <w:t>tate of mind</w:t>
      </w:r>
      <w:r w:rsidR="00717C92">
        <w:t xml:space="preserve"> at the relevant time.</w:t>
      </w:r>
    </w:p>
    <w:p w14:paraId="2E03E578" w14:textId="08AF9D22" w:rsidR="00773DA9" w:rsidRPr="00773DA9" w:rsidRDefault="008C1A69" w:rsidP="004B6D2D">
      <w:pPr>
        <w:pStyle w:val="Heading1"/>
      </w:pPr>
      <w:bookmarkStart w:id="26" w:name="_Ref161673102"/>
      <w:bookmarkStart w:id="27" w:name="_Ref161753320"/>
      <w:r>
        <w:t xml:space="preserve">THE </w:t>
      </w:r>
      <w:r w:rsidR="00F21C6F">
        <w:t xml:space="preserve">Summary of </w:t>
      </w:r>
      <w:r w:rsidR="007120F8">
        <w:t>agreed facts</w:t>
      </w:r>
      <w:bookmarkEnd w:id="26"/>
      <w:r w:rsidR="00AB5C0E">
        <w:t xml:space="preserve"> </w:t>
      </w:r>
      <w:r w:rsidR="00B84A10">
        <w:t>AND ADMISSIONS</w:t>
      </w:r>
      <w:bookmarkEnd w:id="27"/>
    </w:p>
    <w:p w14:paraId="05FA976A" w14:textId="1E5D60B8" w:rsidR="001B1F80" w:rsidRDefault="004B6D2D" w:rsidP="000D6D80">
      <w:pPr>
        <w:pStyle w:val="ParaNumbering"/>
      </w:pPr>
      <w:r>
        <w:t xml:space="preserve">As I have already mentioned, the parties filed a SAFA on 27 November </w:t>
      </w:r>
      <w:r w:rsidR="00BE646F">
        <w:t>2023.</w:t>
      </w:r>
      <w:r w:rsidR="001B1F80">
        <w:t xml:space="preserve"> The matters </w:t>
      </w:r>
      <w:r w:rsidR="003A18AB">
        <w:t xml:space="preserve">as I have framed them below are summarised </w:t>
      </w:r>
      <w:r w:rsidR="001B1F80">
        <w:t>from that document.</w:t>
      </w:r>
    </w:p>
    <w:p w14:paraId="3C0E8BC9" w14:textId="3EC113BB" w:rsidR="007120F8" w:rsidRDefault="00244729" w:rsidP="000D6D80">
      <w:pPr>
        <w:pStyle w:val="ParaNumbering"/>
      </w:pPr>
      <w:r>
        <w:t xml:space="preserve">Dr </w:t>
      </w:r>
      <w:proofErr w:type="spellStart"/>
      <w:r w:rsidRPr="00E379C0">
        <w:t>Marnickavasagar</w:t>
      </w:r>
      <w:proofErr w:type="spellEnd"/>
      <w:r>
        <w:t xml:space="preserve"> was</w:t>
      </w:r>
      <w:r w:rsidR="00C3070C">
        <w:t>, at all relevant times,</w:t>
      </w:r>
      <w:r>
        <w:t xml:space="preserve"> an “officer” of </w:t>
      </w:r>
      <w:proofErr w:type="spellStart"/>
      <w:r>
        <w:t>Holista</w:t>
      </w:r>
      <w:proofErr w:type="spellEnd"/>
      <w:r>
        <w:t xml:space="preserve"> within the meaning of</w:t>
      </w:r>
      <w:r w:rsidRPr="006941F0">
        <w:t xml:space="preserve"> s 9 of the </w:t>
      </w:r>
      <w:r w:rsidRPr="006941F0">
        <w:rPr>
          <w:i/>
          <w:iCs/>
        </w:rPr>
        <w:t>Corporations Act</w:t>
      </w:r>
      <w:r w:rsidRPr="006941F0">
        <w:t>.</w:t>
      </w:r>
      <w:r w:rsidR="00500E09">
        <w:t xml:space="preserve"> I observe that</w:t>
      </w:r>
      <w:r w:rsidR="004C6CDA">
        <w:t>,</w:t>
      </w:r>
      <w:r w:rsidR="00C630D5">
        <w:t xml:space="preserve"> in</w:t>
      </w:r>
      <w:r w:rsidR="00082051">
        <w:t xml:space="preserve"> some </w:t>
      </w:r>
      <w:r w:rsidR="00C630D5">
        <w:t xml:space="preserve">of the relevant documents, Dr </w:t>
      </w:r>
      <w:proofErr w:type="spellStart"/>
      <w:r w:rsidR="00C630D5" w:rsidRPr="00E379C0">
        <w:t>Marnickavasagar</w:t>
      </w:r>
      <w:proofErr w:type="spellEnd"/>
      <w:r w:rsidR="00C630D5">
        <w:t xml:space="preserve"> is referred to by shortened </w:t>
      </w:r>
      <w:r w:rsidR="00A9659F">
        <w:t>version</w:t>
      </w:r>
      <w:r w:rsidR="00082051">
        <w:t>s</w:t>
      </w:r>
      <w:r w:rsidR="00A9659F">
        <w:t xml:space="preserve"> of his name</w:t>
      </w:r>
      <w:r w:rsidR="00E54DE0">
        <w:t>,</w:t>
      </w:r>
      <w:r w:rsidR="00A9659F">
        <w:t xml:space="preserve"> “Dr Rajen”</w:t>
      </w:r>
      <w:r w:rsidR="00082051">
        <w:t xml:space="preserve"> or “Dr Manicka”</w:t>
      </w:r>
      <w:r w:rsidR="00A9659F">
        <w:t>.</w:t>
      </w:r>
    </w:p>
    <w:p w14:paraId="440E2649" w14:textId="55483F14" w:rsidR="00244729" w:rsidRDefault="001040AA" w:rsidP="000D6D80">
      <w:pPr>
        <w:pStyle w:val="ParaNumbering"/>
      </w:pPr>
      <w:r>
        <w:t>At all relevant times, o</w:t>
      </w:r>
      <w:r w:rsidR="003D104D">
        <w:t xml:space="preserve">rdinary shares in </w:t>
      </w:r>
      <w:proofErr w:type="spellStart"/>
      <w:r w:rsidR="003D104D">
        <w:t>Holista</w:t>
      </w:r>
      <w:proofErr w:type="spellEnd"/>
      <w:r w:rsidR="003D104D">
        <w:t xml:space="preserve"> </w:t>
      </w:r>
      <w:r w:rsidR="00A55D29">
        <w:t>were “securities” within the meaning of</w:t>
      </w:r>
      <w:r w:rsidR="004C6CDA">
        <w:t>:</w:t>
      </w:r>
      <w:r w:rsidR="00A55D29">
        <w:t xml:space="preserve"> </w:t>
      </w:r>
      <w:r w:rsidR="00A55D29" w:rsidRPr="006941F0">
        <w:t xml:space="preserve">ss 92 and 761A of the </w:t>
      </w:r>
      <w:r w:rsidR="00A55D29" w:rsidRPr="006941F0">
        <w:rPr>
          <w:i/>
          <w:iCs/>
        </w:rPr>
        <w:t>Corporations Act</w:t>
      </w:r>
      <w:r w:rsidR="00315FEB">
        <w:t>;</w:t>
      </w:r>
      <w:r w:rsidR="00A55D29">
        <w:t xml:space="preserve"> “ED securities” within the meaning of </w:t>
      </w:r>
      <w:r w:rsidR="00A55D29" w:rsidRPr="006941F0">
        <w:t>ss 111</w:t>
      </w:r>
      <w:proofErr w:type="gramStart"/>
      <w:r w:rsidR="00A55D29" w:rsidRPr="006941F0">
        <w:t>AD(</w:t>
      </w:r>
      <w:proofErr w:type="gramEnd"/>
      <w:r w:rsidR="00A55D29" w:rsidRPr="006941F0">
        <w:t xml:space="preserve">1) and 111AK of the </w:t>
      </w:r>
      <w:r w:rsidR="00A55D29" w:rsidRPr="006941F0">
        <w:rPr>
          <w:i/>
          <w:iCs/>
        </w:rPr>
        <w:t>Corporations Act</w:t>
      </w:r>
      <w:r w:rsidR="00315FEB">
        <w:t>;</w:t>
      </w:r>
      <w:r w:rsidR="00A55D29">
        <w:t xml:space="preserve"> and “financial products” as a consequence of </w:t>
      </w:r>
      <w:r w:rsidR="00A55D29" w:rsidRPr="006941F0">
        <w:t xml:space="preserve">s 764A(1)(a) of the </w:t>
      </w:r>
      <w:r w:rsidR="00A55D29" w:rsidRPr="006941F0">
        <w:rPr>
          <w:i/>
          <w:iCs/>
        </w:rPr>
        <w:t>Corporations Act</w:t>
      </w:r>
      <w:r w:rsidR="00A55D29">
        <w:t>.</w:t>
      </w:r>
    </w:p>
    <w:p w14:paraId="037A5596" w14:textId="090B410E" w:rsidR="00BD301C" w:rsidRDefault="00BD301C" w:rsidP="000D6D80">
      <w:pPr>
        <w:pStyle w:val="ParaNumbering"/>
      </w:pPr>
      <w:r>
        <w:t>Between 9 April 202</w:t>
      </w:r>
      <w:r w:rsidR="00CA6321">
        <w:t>0</w:t>
      </w:r>
      <w:r>
        <w:t xml:space="preserve"> and 9 July 2020 (</w:t>
      </w:r>
      <w:r w:rsidR="00315FEB">
        <w:t xml:space="preserve">the </w:t>
      </w:r>
      <w:r w:rsidRPr="00BD301C">
        <w:rPr>
          <w:b/>
          <w:bCs/>
        </w:rPr>
        <w:t>Relevant Period</w:t>
      </w:r>
      <w:r>
        <w:t xml:space="preserve">), </w:t>
      </w:r>
      <w:proofErr w:type="spellStart"/>
      <w:r>
        <w:t>Holista</w:t>
      </w:r>
      <w:proofErr w:type="spellEnd"/>
      <w:r>
        <w:t xml:space="preserve"> marketed a natural non-alcoholic sanitiser product under the brand name</w:t>
      </w:r>
      <w:r w:rsidR="0041068C">
        <w:t>,</w:t>
      </w:r>
      <w:r>
        <w:t xml:space="preserve"> “</w:t>
      </w:r>
      <w:proofErr w:type="spellStart"/>
      <w:r>
        <w:t>Nat</w:t>
      </w:r>
      <w:r w:rsidR="005352E4">
        <w:t>S</w:t>
      </w:r>
      <w:r>
        <w:t>hield</w:t>
      </w:r>
      <w:proofErr w:type="spellEnd"/>
      <w:r>
        <w:t xml:space="preserve">”, which utilised an active </w:t>
      </w:r>
      <w:r>
        <w:lastRenderedPageBreak/>
        <w:t>ingredient known as “Path-Away”. Path-Away is a proprietary formula owned or otherwise held by Global Infection Control Consultants LLC (</w:t>
      </w:r>
      <w:r w:rsidRPr="00647610">
        <w:rPr>
          <w:b/>
          <w:bCs/>
        </w:rPr>
        <w:t>GICC</w:t>
      </w:r>
      <w:r>
        <w:t>).</w:t>
      </w:r>
    </w:p>
    <w:p w14:paraId="1D59F17C" w14:textId="07570067" w:rsidR="00305932" w:rsidRDefault="004C39E5" w:rsidP="000D6D80">
      <w:pPr>
        <w:pStyle w:val="ParaNumbering"/>
      </w:pPr>
      <w:r>
        <w:t>At least b</w:t>
      </w:r>
      <w:r w:rsidR="00BF37F7">
        <w:t xml:space="preserve">etween 15 and 20 February 2020, Dr </w:t>
      </w:r>
      <w:proofErr w:type="spellStart"/>
      <w:r w:rsidR="00BF37F7" w:rsidRPr="00E379C0">
        <w:t>Marnickavasagar</w:t>
      </w:r>
      <w:proofErr w:type="spellEnd"/>
      <w:r w:rsidR="00762017">
        <w:t xml:space="preserve"> on behalf of </w:t>
      </w:r>
      <w:proofErr w:type="spellStart"/>
      <w:r w:rsidR="00762017">
        <w:t>Holista</w:t>
      </w:r>
      <w:proofErr w:type="spellEnd"/>
      <w:r w:rsidR="00762017">
        <w:t xml:space="preserve">, and </w:t>
      </w:r>
      <w:r w:rsidR="00762017" w:rsidRPr="00537A0E">
        <w:rPr>
          <w:b/>
          <w:bCs/>
        </w:rPr>
        <w:t>Dr</w:t>
      </w:r>
      <w:r w:rsidR="00762017">
        <w:t xml:space="preserve"> Arthur </w:t>
      </w:r>
      <w:r w:rsidR="00762017" w:rsidRPr="00537A0E">
        <w:rPr>
          <w:b/>
          <w:bCs/>
        </w:rPr>
        <w:t>Martin</w:t>
      </w:r>
      <w:r w:rsidR="00762017">
        <w:t xml:space="preserve"> on behalf of GICC</w:t>
      </w:r>
      <w:r w:rsidR="00B26ECA">
        <w:t xml:space="preserve">, </w:t>
      </w:r>
      <w:r w:rsidR="00207DCF">
        <w:t xml:space="preserve">engaged in </w:t>
      </w:r>
      <w:r w:rsidR="00B26ECA">
        <w:t xml:space="preserve">discussions concerning </w:t>
      </w:r>
      <w:proofErr w:type="spellStart"/>
      <w:r w:rsidR="00B26ECA">
        <w:t>Holista’s</w:t>
      </w:r>
      <w:proofErr w:type="spellEnd"/>
      <w:r w:rsidR="00B26ECA">
        <w:t xml:space="preserve"> Path-Away distribution </w:t>
      </w:r>
      <w:r w:rsidR="002D52B7">
        <w:t xml:space="preserve">rights, product development, and </w:t>
      </w:r>
      <w:r w:rsidR="00207DCF">
        <w:t xml:space="preserve">other </w:t>
      </w:r>
      <w:r w:rsidR="002D52B7">
        <w:t>ancillary matters. A</w:t>
      </w:r>
      <w:r w:rsidR="00FB2E7D">
        <w:t>s a result, a</w:t>
      </w:r>
      <w:r w:rsidR="002D52B7">
        <w:t xml:space="preserve"> draft Binding Collaboration Term Sheet</w:t>
      </w:r>
      <w:r w:rsidR="00BA1D9D">
        <w:t xml:space="preserve"> (</w:t>
      </w:r>
      <w:r w:rsidR="00BA1D9D" w:rsidRPr="00BA1D9D">
        <w:rPr>
          <w:b/>
          <w:bCs/>
        </w:rPr>
        <w:t>BCTS</w:t>
      </w:r>
      <w:r w:rsidR="00BA1D9D">
        <w:t>)</w:t>
      </w:r>
      <w:r w:rsidR="002D52B7">
        <w:t xml:space="preserve"> was prepared</w:t>
      </w:r>
      <w:r w:rsidR="00BA1D9D">
        <w:t>.</w:t>
      </w:r>
    </w:p>
    <w:p w14:paraId="6808EF3F" w14:textId="090944FE" w:rsidR="003C23E4" w:rsidRDefault="00BA1D9D" w:rsidP="000D6D80">
      <w:pPr>
        <w:pStyle w:val="ParaNumbering"/>
        <w:spacing w:after="120"/>
      </w:pPr>
      <w:r>
        <w:t>On 20 February 2020</w:t>
      </w:r>
      <w:r w:rsidR="00F86723">
        <w:t xml:space="preserve"> at 5.08</w:t>
      </w:r>
      <w:r w:rsidR="00836812">
        <w:t xml:space="preserve"> pm AEDT</w:t>
      </w:r>
      <w:r w:rsidR="00F86723">
        <w:t xml:space="preserve">, </w:t>
      </w:r>
      <w:proofErr w:type="spellStart"/>
      <w:r w:rsidR="00F86723">
        <w:t>Holista</w:t>
      </w:r>
      <w:proofErr w:type="spellEnd"/>
      <w:r w:rsidR="00F86723">
        <w:t xml:space="preserve"> </w:t>
      </w:r>
      <w:r w:rsidR="002D6697">
        <w:t>provided</w:t>
      </w:r>
      <w:r w:rsidR="00F86723">
        <w:t xml:space="preserve"> the ASX </w:t>
      </w:r>
      <w:r w:rsidR="002D6697">
        <w:t xml:space="preserve">with, </w:t>
      </w:r>
      <w:r w:rsidR="00F86723">
        <w:t>and published on the Market Announcement Platform (</w:t>
      </w:r>
      <w:r w:rsidR="00F86723" w:rsidRPr="00A65B24">
        <w:rPr>
          <w:b/>
          <w:bCs/>
        </w:rPr>
        <w:t>MAP</w:t>
      </w:r>
      <w:r w:rsidR="00F86723">
        <w:t>)</w:t>
      </w:r>
      <w:r w:rsidR="00FB72F2">
        <w:t xml:space="preserve"> an announcement </w:t>
      </w:r>
      <w:r w:rsidR="00905248">
        <w:t>(</w:t>
      </w:r>
      <w:r w:rsidR="00905248">
        <w:rPr>
          <w:b/>
          <w:bCs/>
        </w:rPr>
        <w:t xml:space="preserve">20 February </w:t>
      </w:r>
      <w:r w:rsidR="00905248" w:rsidRPr="00A26AA0">
        <w:rPr>
          <w:b/>
          <w:bCs/>
        </w:rPr>
        <w:t>2020 Announcement</w:t>
      </w:r>
      <w:r w:rsidR="00905248">
        <w:t xml:space="preserve">) </w:t>
      </w:r>
      <w:r w:rsidR="00FB72F2">
        <w:t xml:space="preserve">which </w:t>
      </w:r>
      <w:r w:rsidR="00D35DC5">
        <w:t>stated</w:t>
      </w:r>
      <w:r w:rsidR="003C23E4">
        <w:t>,</w:t>
      </w:r>
      <w:r w:rsidR="00D35DC5">
        <w:t xml:space="preserve"> </w:t>
      </w:r>
      <w:r w:rsidR="00CF71DC">
        <w:t>inter alia</w:t>
      </w:r>
      <w:r w:rsidR="003C23E4">
        <w:t>:</w:t>
      </w:r>
    </w:p>
    <w:p w14:paraId="706B36F5" w14:textId="23809A9A" w:rsidR="003C23E4" w:rsidRDefault="003C23E4" w:rsidP="00D9209D">
      <w:pPr>
        <w:pStyle w:val="Quote1"/>
      </w:pPr>
      <w:r>
        <w:t>…</w:t>
      </w:r>
    </w:p>
    <w:p w14:paraId="4ECFBF60" w14:textId="33052B01" w:rsidR="00BA1D9D" w:rsidRPr="00E24130" w:rsidRDefault="00D9209D" w:rsidP="007B4413">
      <w:pPr>
        <w:pStyle w:val="Quote1"/>
        <w:ind w:left="1440" w:hanging="703"/>
        <w:rPr>
          <w:i/>
          <w:iCs/>
        </w:rPr>
      </w:pPr>
      <w:r w:rsidRPr="007B4413">
        <w:t>(e)</w:t>
      </w:r>
      <w:r w:rsidRPr="007B4413">
        <w:tab/>
      </w:r>
      <w:r w:rsidR="003C23E4" w:rsidRPr="00E24130">
        <w:rPr>
          <w:i/>
          <w:iCs/>
        </w:rPr>
        <w:t xml:space="preserve">GICC LLC has agreed to grant </w:t>
      </w:r>
      <w:proofErr w:type="spellStart"/>
      <w:r w:rsidR="003C23E4" w:rsidRPr="00E24130">
        <w:rPr>
          <w:i/>
          <w:iCs/>
        </w:rPr>
        <w:t>Holista</w:t>
      </w:r>
      <w:proofErr w:type="spellEnd"/>
      <w:r w:rsidR="003C23E4" w:rsidRPr="00E24130">
        <w:rPr>
          <w:i/>
          <w:iCs/>
        </w:rPr>
        <w:t xml:space="preserve"> marketing and distribution rights of Path-Away</w:t>
      </w:r>
      <w:r w:rsidR="000B41DD" w:rsidRPr="00E24130">
        <w:rPr>
          <w:i/>
          <w:iCs/>
        </w:rPr>
        <w:t>® beyond ASEAN region to include UK and Europe.</w:t>
      </w:r>
      <w:r w:rsidR="005D132B" w:rsidRPr="00E24130">
        <w:rPr>
          <w:i/>
          <w:iCs/>
        </w:rPr>
        <w:t xml:space="preserve"> </w:t>
      </w:r>
      <w:proofErr w:type="spellStart"/>
      <w:r w:rsidR="002976BC" w:rsidRPr="00E24130">
        <w:rPr>
          <w:i/>
          <w:iCs/>
        </w:rPr>
        <w:t>Holista</w:t>
      </w:r>
      <w:proofErr w:type="spellEnd"/>
      <w:r w:rsidR="002976BC" w:rsidRPr="00E24130">
        <w:rPr>
          <w:i/>
          <w:iCs/>
        </w:rPr>
        <w:t xml:space="preserve"> will</w:t>
      </w:r>
      <w:r w:rsidR="005D132B" w:rsidRPr="00E24130">
        <w:rPr>
          <w:i/>
          <w:iCs/>
        </w:rPr>
        <w:t xml:space="preserve"> distribute </w:t>
      </w:r>
      <w:proofErr w:type="spellStart"/>
      <w:r w:rsidR="005D132B" w:rsidRPr="00E24130">
        <w:rPr>
          <w:i/>
          <w:iCs/>
        </w:rPr>
        <w:t>Nat</w:t>
      </w:r>
      <w:r w:rsidR="00685854" w:rsidRPr="00E24130">
        <w:rPr>
          <w:i/>
          <w:iCs/>
        </w:rPr>
        <w:t>S</w:t>
      </w:r>
      <w:r w:rsidR="005D132B" w:rsidRPr="00E24130">
        <w:rPr>
          <w:i/>
          <w:iCs/>
        </w:rPr>
        <w:t>hield</w:t>
      </w:r>
      <w:proofErr w:type="spellEnd"/>
      <w:r w:rsidR="005D132B" w:rsidRPr="00E24130">
        <w:rPr>
          <w:i/>
          <w:iCs/>
        </w:rPr>
        <w:t>™</w:t>
      </w:r>
      <w:r w:rsidR="00D95A2F" w:rsidRPr="00E24130">
        <w:rPr>
          <w:i/>
          <w:iCs/>
        </w:rPr>
        <w:t xml:space="preserve"> Sanitiser and the nasal sanitising balm into the UK and Europe. </w:t>
      </w:r>
      <w:proofErr w:type="spellStart"/>
      <w:r w:rsidR="00D95A2F" w:rsidRPr="00E24130">
        <w:rPr>
          <w:i/>
          <w:iCs/>
        </w:rPr>
        <w:t>Holista</w:t>
      </w:r>
      <w:proofErr w:type="spellEnd"/>
      <w:r w:rsidR="00D95A2F" w:rsidRPr="00E24130">
        <w:rPr>
          <w:i/>
          <w:iCs/>
        </w:rPr>
        <w:t xml:space="preserve"> will also work collaboratively</w:t>
      </w:r>
      <w:r w:rsidR="00FE55E5" w:rsidRPr="00E24130">
        <w:rPr>
          <w:i/>
          <w:iCs/>
        </w:rPr>
        <w:t xml:space="preserve"> with GICC LLC in the North American market to market </w:t>
      </w:r>
      <w:proofErr w:type="spellStart"/>
      <w:r w:rsidR="00FE55E5" w:rsidRPr="00E24130">
        <w:rPr>
          <w:i/>
          <w:iCs/>
        </w:rPr>
        <w:t>Nat</w:t>
      </w:r>
      <w:r w:rsidR="00ED7D5F" w:rsidRPr="00E24130">
        <w:rPr>
          <w:i/>
          <w:iCs/>
        </w:rPr>
        <w:t>S</w:t>
      </w:r>
      <w:r w:rsidR="00FE55E5" w:rsidRPr="00E24130">
        <w:rPr>
          <w:i/>
          <w:iCs/>
        </w:rPr>
        <w:t>hield</w:t>
      </w:r>
      <w:proofErr w:type="spellEnd"/>
      <w:r w:rsidR="00FE55E5" w:rsidRPr="00E24130">
        <w:rPr>
          <w:i/>
          <w:iCs/>
        </w:rPr>
        <w:t>™</w:t>
      </w:r>
      <w:r w:rsidR="00505220" w:rsidRPr="00E24130">
        <w:rPr>
          <w:i/>
          <w:iCs/>
        </w:rPr>
        <w:t xml:space="preserve"> Sanitiser and the nasal sanitiser </w:t>
      </w:r>
      <w:proofErr w:type="gramStart"/>
      <w:r w:rsidR="00505220" w:rsidRPr="00E24130">
        <w:rPr>
          <w:i/>
          <w:iCs/>
        </w:rPr>
        <w:t>balm;</w:t>
      </w:r>
      <w:proofErr w:type="gramEnd"/>
    </w:p>
    <w:p w14:paraId="00F82FEA" w14:textId="44C79501" w:rsidR="001D6973" w:rsidRPr="001F3EAB" w:rsidRDefault="00D9209D" w:rsidP="001F3EAB">
      <w:pPr>
        <w:pStyle w:val="Quote1"/>
        <w:spacing w:after="360"/>
        <w:ind w:left="1440" w:hanging="703"/>
        <w:rPr>
          <w:i/>
          <w:iCs/>
        </w:rPr>
      </w:pPr>
      <w:r w:rsidRPr="007B4413">
        <w:t>(f)</w:t>
      </w:r>
      <w:r w:rsidRPr="007B4413">
        <w:tab/>
      </w:r>
      <w:r w:rsidR="00505220" w:rsidRPr="00E24130">
        <w:rPr>
          <w:i/>
          <w:iCs/>
        </w:rPr>
        <w:t xml:space="preserve">“We are also grateful to Dr Martin and GICC LLC for granting </w:t>
      </w:r>
      <w:proofErr w:type="spellStart"/>
      <w:r w:rsidR="00505220" w:rsidRPr="00E24130">
        <w:rPr>
          <w:i/>
          <w:iCs/>
        </w:rPr>
        <w:t>Holista</w:t>
      </w:r>
      <w:proofErr w:type="spellEnd"/>
      <w:r w:rsidR="00505220" w:rsidRPr="00E24130">
        <w:rPr>
          <w:i/>
          <w:iCs/>
        </w:rPr>
        <w:t xml:space="preserve"> the distribution rights</w:t>
      </w:r>
      <w:r w:rsidR="00961A7B" w:rsidRPr="00E24130">
        <w:rPr>
          <w:i/>
          <w:iCs/>
        </w:rPr>
        <w:t xml:space="preserve"> for Path-Away® to include the UK and </w:t>
      </w:r>
      <w:r w:rsidR="00C77197" w:rsidRPr="00E24130">
        <w:rPr>
          <w:i/>
          <w:iCs/>
        </w:rPr>
        <w:t>Eu</w:t>
      </w:r>
      <w:r w:rsidR="00961A7B" w:rsidRPr="00E24130">
        <w:rPr>
          <w:i/>
          <w:iCs/>
        </w:rPr>
        <w:t>rope. We are excited to collaborate Dr Martin’</w:t>
      </w:r>
      <w:r w:rsidR="00C77197" w:rsidRPr="00E24130">
        <w:rPr>
          <w:i/>
          <w:iCs/>
        </w:rPr>
        <w:t xml:space="preserve">s team in the North American market on the </w:t>
      </w:r>
      <w:proofErr w:type="spellStart"/>
      <w:r w:rsidR="00C77197" w:rsidRPr="00E24130">
        <w:rPr>
          <w:i/>
          <w:iCs/>
        </w:rPr>
        <w:t>Nat</w:t>
      </w:r>
      <w:r w:rsidR="00A62223" w:rsidRPr="00E24130">
        <w:rPr>
          <w:i/>
          <w:iCs/>
        </w:rPr>
        <w:t>S</w:t>
      </w:r>
      <w:r w:rsidR="00C77197" w:rsidRPr="00E24130">
        <w:rPr>
          <w:i/>
          <w:iCs/>
        </w:rPr>
        <w:t>hield</w:t>
      </w:r>
      <w:proofErr w:type="spellEnd"/>
      <w:r w:rsidR="00C77197" w:rsidRPr="00E24130">
        <w:rPr>
          <w:i/>
          <w:iCs/>
        </w:rPr>
        <w:t>™ Sanitiser</w:t>
      </w:r>
      <w:r w:rsidR="00B82688" w:rsidRPr="00E24130">
        <w:rPr>
          <w:i/>
          <w:iCs/>
        </w:rPr>
        <w:t xml:space="preserve">,” </w:t>
      </w:r>
      <w:r w:rsidR="008E63D2" w:rsidRPr="00E24130">
        <w:rPr>
          <w:i/>
          <w:iCs/>
        </w:rPr>
        <w:t xml:space="preserve">[Dr </w:t>
      </w:r>
      <w:proofErr w:type="spellStart"/>
      <w:r w:rsidR="008E63D2" w:rsidRPr="00E24130">
        <w:rPr>
          <w:i/>
          <w:iCs/>
        </w:rPr>
        <w:t>Marnickavasagar</w:t>
      </w:r>
      <w:proofErr w:type="spellEnd"/>
      <w:r w:rsidR="008E63D2" w:rsidRPr="00E24130">
        <w:rPr>
          <w:i/>
          <w:iCs/>
        </w:rPr>
        <w:t xml:space="preserve">] </w:t>
      </w:r>
      <w:r w:rsidR="00B82688" w:rsidRPr="00E24130">
        <w:rPr>
          <w:i/>
          <w:iCs/>
        </w:rPr>
        <w:t>added.</w:t>
      </w:r>
    </w:p>
    <w:p w14:paraId="51695195" w14:textId="1673DFEB" w:rsidR="00B82688" w:rsidRDefault="00F9071D" w:rsidP="000D6D80">
      <w:pPr>
        <w:pStyle w:val="ParaNumbering"/>
      </w:pPr>
      <w:r>
        <w:t>In fact, a</w:t>
      </w:r>
      <w:r w:rsidR="00B82688">
        <w:t>s at the date of th</w:t>
      </w:r>
      <w:r w:rsidR="00287CAC">
        <w:t xml:space="preserve">e 20 February 2020 Announcement, </w:t>
      </w:r>
      <w:r w:rsidR="005E6927">
        <w:t>the</w:t>
      </w:r>
      <w:r w:rsidR="00401303">
        <w:t xml:space="preserve"> BCTS had </w:t>
      </w:r>
      <w:r w:rsidR="00974E02">
        <w:t xml:space="preserve">been executed by </w:t>
      </w:r>
      <w:proofErr w:type="spellStart"/>
      <w:r w:rsidR="00974E02">
        <w:t>Holista</w:t>
      </w:r>
      <w:proofErr w:type="spellEnd"/>
      <w:r w:rsidR="00974E02">
        <w:t xml:space="preserve">, but </w:t>
      </w:r>
      <w:r w:rsidR="00401303">
        <w:t>not</w:t>
      </w:r>
      <w:r w:rsidR="00974E02">
        <w:t xml:space="preserve"> </w:t>
      </w:r>
      <w:r w:rsidR="00401303">
        <w:t>by GICC or its representatives.</w:t>
      </w:r>
    </w:p>
    <w:p w14:paraId="40DAABA8" w14:textId="374872FC" w:rsidR="00D31122" w:rsidRDefault="00D31122" w:rsidP="000D6D80">
      <w:pPr>
        <w:pStyle w:val="ParaNumbering"/>
      </w:pPr>
      <w:r>
        <w:t xml:space="preserve">The </w:t>
      </w:r>
      <w:r w:rsidR="00297CD1">
        <w:t xml:space="preserve">BCTS was subsequently </w:t>
      </w:r>
      <w:r w:rsidR="00670991">
        <w:t>executed by Dr Martin on behalf of GICC</w:t>
      </w:r>
      <w:r w:rsidR="00FC65A1">
        <w:t xml:space="preserve"> on 13 April 2020</w:t>
      </w:r>
      <w:r w:rsidR="007C4382">
        <w:t xml:space="preserve">, following an urgent email request from Dr </w:t>
      </w:r>
      <w:proofErr w:type="spellStart"/>
      <w:r w:rsidR="007C4382">
        <w:t>Marnickavasagar</w:t>
      </w:r>
      <w:proofErr w:type="spellEnd"/>
      <w:r w:rsidR="007C4382">
        <w:t xml:space="preserve"> that he do so</w:t>
      </w:r>
      <w:r w:rsidR="00F26BCE">
        <w:t>,</w:t>
      </w:r>
      <w:r w:rsidR="00FC65A1">
        <w:t xml:space="preserve"> </w:t>
      </w:r>
      <w:r w:rsidR="00F26BCE">
        <w:t>after</w:t>
      </w:r>
      <w:r w:rsidR="00FC65A1">
        <w:t xml:space="preserve"> </w:t>
      </w:r>
      <w:r w:rsidR="005B3376">
        <w:t xml:space="preserve">an </w:t>
      </w:r>
      <w:r w:rsidR="00D0778E" w:rsidRPr="00602625">
        <w:t>ASX Aware Query</w:t>
      </w:r>
      <w:r w:rsidR="00D0778E">
        <w:t xml:space="preserve"> </w:t>
      </w:r>
      <w:r w:rsidR="00F26BCE">
        <w:t xml:space="preserve">was </w:t>
      </w:r>
      <w:r w:rsidR="005B3376">
        <w:t xml:space="preserve">issued </w:t>
      </w:r>
      <w:r w:rsidR="008909EE">
        <w:t xml:space="preserve">to </w:t>
      </w:r>
      <w:proofErr w:type="spellStart"/>
      <w:r w:rsidR="008909EE">
        <w:t>Holista</w:t>
      </w:r>
      <w:proofErr w:type="spellEnd"/>
      <w:r w:rsidR="008909EE">
        <w:t xml:space="preserve"> </w:t>
      </w:r>
      <w:r w:rsidR="005B3376">
        <w:t>on</w:t>
      </w:r>
      <w:r w:rsidR="00D0778E">
        <w:t xml:space="preserve"> 9 April 2020</w:t>
      </w:r>
      <w:r w:rsidR="0077065F">
        <w:t xml:space="preserve">. The </w:t>
      </w:r>
      <w:r w:rsidR="0076227A">
        <w:t>BCTS</w:t>
      </w:r>
      <w:r w:rsidR="00842E6D">
        <w:t xml:space="preserve"> </w:t>
      </w:r>
      <w:r w:rsidR="008909EE">
        <w:t>included</w:t>
      </w:r>
      <w:r w:rsidR="00616CA3">
        <w:t xml:space="preserve"> </w:t>
      </w:r>
      <w:r w:rsidR="00842E6D">
        <w:t>the words “</w:t>
      </w:r>
      <w:r w:rsidR="008909EE">
        <w:t>[a]</w:t>
      </w:r>
      <w:r w:rsidR="00842E6D">
        <w:t>greed to an</w:t>
      </w:r>
      <w:r w:rsidR="00E3662A">
        <w:t>d</w:t>
      </w:r>
      <w:r w:rsidR="00842E6D">
        <w:t xml:space="preserve"> accepted this 20</w:t>
      </w:r>
      <w:r w:rsidR="00842E6D" w:rsidRPr="00842E6D">
        <w:rPr>
          <w:vertAlign w:val="superscript"/>
        </w:rPr>
        <w:t>th</w:t>
      </w:r>
      <w:r w:rsidR="00842E6D">
        <w:t xml:space="preserve"> day of </w:t>
      </w:r>
      <w:proofErr w:type="gramStart"/>
      <w:r w:rsidR="00842E6D">
        <w:t>February</w:t>
      </w:r>
      <w:r w:rsidR="00804731">
        <w:t>,</w:t>
      </w:r>
      <w:proofErr w:type="gramEnd"/>
      <w:r w:rsidR="00842E6D">
        <w:t xml:space="preserve"> 202</w:t>
      </w:r>
      <w:r w:rsidR="007C4382">
        <w:t>0” above the execution block.</w:t>
      </w:r>
    </w:p>
    <w:p w14:paraId="326228CA" w14:textId="580DBBF0" w:rsidR="00197742" w:rsidRDefault="00BD301C" w:rsidP="000D6D80">
      <w:pPr>
        <w:pStyle w:val="ParaNumbering"/>
      </w:pPr>
      <w:r>
        <w:t>On 18 March 2020</w:t>
      </w:r>
      <w:r w:rsidR="00FA76B3">
        <w:t xml:space="preserve">, </w:t>
      </w:r>
      <w:proofErr w:type="spellStart"/>
      <w:r w:rsidR="00FA76B3">
        <w:t>Holista</w:t>
      </w:r>
      <w:proofErr w:type="spellEnd"/>
      <w:r w:rsidR="00FA76B3">
        <w:t xml:space="preserve"> entered into a </w:t>
      </w:r>
      <w:r w:rsidR="00D33190">
        <w:t>d</w:t>
      </w:r>
      <w:r w:rsidR="00FA76B3">
        <w:t xml:space="preserve">istribution </w:t>
      </w:r>
      <w:r w:rsidR="00D33190">
        <w:t>a</w:t>
      </w:r>
      <w:r w:rsidR="00FA76B3">
        <w:t xml:space="preserve">greement with </w:t>
      </w:r>
      <w:r w:rsidR="00FA76B3" w:rsidRPr="00550B18">
        <w:rPr>
          <w:b/>
          <w:bCs/>
        </w:rPr>
        <w:t>Health Therapies</w:t>
      </w:r>
      <w:r w:rsidR="00FA76B3">
        <w:t xml:space="preserve"> LLC</w:t>
      </w:r>
      <w:r w:rsidR="00196B88">
        <w:t xml:space="preserve"> (the </w:t>
      </w:r>
      <w:r w:rsidR="00196B88" w:rsidRPr="002E0870">
        <w:rPr>
          <w:b/>
        </w:rPr>
        <w:t>Distribution Agreement</w:t>
      </w:r>
      <w:r w:rsidR="00196B88">
        <w:t>)</w:t>
      </w:r>
      <w:r w:rsidR="00D33190">
        <w:t>,</w:t>
      </w:r>
      <w:r w:rsidR="00FA76B3">
        <w:t xml:space="preserve"> whereby Health Therapies was to be the exclusive distributor of </w:t>
      </w:r>
      <w:proofErr w:type="spellStart"/>
      <w:r w:rsidR="00FA76B3">
        <w:t>Nat</w:t>
      </w:r>
      <w:r w:rsidR="00782DA8">
        <w:t>S</w:t>
      </w:r>
      <w:r w:rsidR="00FA76B3">
        <w:t>hield</w:t>
      </w:r>
      <w:proofErr w:type="spellEnd"/>
      <w:r w:rsidR="00FA76B3">
        <w:t xml:space="preserve"> in the </w:t>
      </w:r>
      <w:r w:rsidR="000840BB" w:rsidRPr="004F000B">
        <w:rPr>
          <w:b/>
          <w:bCs/>
        </w:rPr>
        <w:t>United States</w:t>
      </w:r>
      <w:r w:rsidR="000840BB">
        <w:t xml:space="preserve"> of America </w:t>
      </w:r>
      <w:r w:rsidR="00550B18">
        <w:t>for a period of three years.</w:t>
      </w:r>
      <w:r w:rsidR="00197742">
        <w:t xml:space="preserve"> </w:t>
      </w:r>
    </w:p>
    <w:p w14:paraId="2128F857" w14:textId="08E2869C" w:rsidR="001265A9" w:rsidRDefault="001265A9" w:rsidP="000D6D80">
      <w:pPr>
        <w:pStyle w:val="ParaNumbering"/>
      </w:pPr>
      <w:r>
        <w:t>On 19 March 202</w:t>
      </w:r>
      <w:r w:rsidR="005A7CC0">
        <w:t xml:space="preserve">0 at 9.48 am </w:t>
      </w:r>
      <w:r w:rsidR="004F000B">
        <w:t>(</w:t>
      </w:r>
      <w:r w:rsidR="005A7CC0">
        <w:t>AEDT</w:t>
      </w:r>
      <w:r w:rsidR="004F000B">
        <w:t>)</w:t>
      </w:r>
      <w:r w:rsidR="005A7CC0">
        <w:t xml:space="preserve">, </w:t>
      </w:r>
      <w:proofErr w:type="spellStart"/>
      <w:r w:rsidR="005A7CC0">
        <w:t>Holista</w:t>
      </w:r>
      <w:proofErr w:type="spellEnd"/>
      <w:r w:rsidR="005A7CC0">
        <w:t xml:space="preserve"> </w:t>
      </w:r>
      <w:r w:rsidR="007919F0">
        <w:t>provided</w:t>
      </w:r>
      <w:r w:rsidR="005A7CC0">
        <w:t xml:space="preserve"> the ASX </w:t>
      </w:r>
      <w:r w:rsidR="007919F0">
        <w:t xml:space="preserve">with </w:t>
      </w:r>
      <w:r w:rsidR="005A7CC0">
        <w:t xml:space="preserve">and published </w:t>
      </w:r>
      <w:r w:rsidR="007919F0">
        <w:t xml:space="preserve">an announcement </w:t>
      </w:r>
      <w:r w:rsidR="005A7CC0">
        <w:t xml:space="preserve">on the </w:t>
      </w:r>
      <w:r w:rsidR="00A65B24" w:rsidRPr="00D633A1">
        <w:t>MAP</w:t>
      </w:r>
      <w:r w:rsidR="00A26AA0">
        <w:t xml:space="preserve"> (</w:t>
      </w:r>
      <w:r w:rsidR="00A26AA0" w:rsidRPr="00A26AA0">
        <w:rPr>
          <w:b/>
          <w:bCs/>
        </w:rPr>
        <w:t>19 March 2020 Announcement</w:t>
      </w:r>
      <w:r w:rsidR="00A26AA0">
        <w:t>),</w:t>
      </w:r>
      <w:r w:rsidR="007919F0">
        <w:t xml:space="preserve"> which stated,</w:t>
      </w:r>
      <w:r w:rsidR="00A26AA0">
        <w:t xml:space="preserve"> inter alia:</w:t>
      </w:r>
    </w:p>
    <w:p w14:paraId="17D29551" w14:textId="680D050E" w:rsidR="00A26AA0" w:rsidRPr="009D2AAD" w:rsidRDefault="005A60D5" w:rsidP="009D2AAD">
      <w:pPr>
        <w:pStyle w:val="Quote1"/>
        <w:ind w:left="1440" w:hanging="703"/>
      </w:pPr>
      <w:r w:rsidRPr="009D2AAD">
        <w:t xml:space="preserve">(a) </w:t>
      </w:r>
      <w:r w:rsidRPr="009D2AAD">
        <w:tab/>
        <w:t>[</w:t>
      </w:r>
      <w:proofErr w:type="spellStart"/>
      <w:r w:rsidRPr="009D2AAD">
        <w:t>Holista</w:t>
      </w:r>
      <w:proofErr w:type="spellEnd"/>
      <w:r w:rsidRPr="009D2AAD">
        <w:t xml:space="preserve"> has] </w:t>
      </w:r>
      <w:r w:rsidRPr="009D2AAD">
        <w:rPr>
          <w:i/>
          <w:iCs/>
        </w:rPr>
        <w:t xml:space="preserve">appointed Health Therapies LLC (“Health Therapies”) as its Exclusive Distributor for the United States for the </w:t>
      </w:r>
      <w:proofErr w:type="spellStart"/>
      <w:r w:rsidRPr="009D2AAD">
        <w:rPr>
          <w:i/>
          <w:iCs/>
        </w:rPr>
        <w:t>Nat</w:t>
      </w:r>
      <w:r w:rsidR="00782DA8" w:rsidRPr="009D2AAD">
        <w:rPr>
          <w:i/>
          <w:iCs/>
        </w:rPr>
        <w:t>S</w:t>
      </w:r>
      <w:r w:rsidRPr="009D2AAD">
        <w:rPr>
          <w:i/>
          <w:iCs/>
        </w:rPr>
        <w:t>hield</w:t>
      </w:r>
      <w:proofErr w:type="spellEnd"/>
      <w:r w:rsidRPr="009D2AAD">
        <w:rPr>
          <w:i/>
          <w:iCs/>
        </w:rPr>
        <w:t xml:space="preserve"> sanitiser amidst a sharp increase of Covid-19 coronavirus infection in the </w:t>
      </w:r>
      <w:proofErr w:type="gramStart"/>
      <w:r w:rsidRPr="009D2AAD">
        <w:rPr>
          <w:i/>
          <w:iCs/>
        </w:rPr>
        <w:t>country;</w:t>
      </w:r>
      <w:proofErr w:type="gramEnd"/>
    </w:p>
    <w:p w14:paraId="33272724" w14:textId="68AE2DF7" w:rsidR="005A60D5" w:rsidRPr="009D2AAD" w:rsidRDefault="005A60D5" w:rsidP="009D2AAD">
      <w:pPr>
        <w:pStyle w:val="Quote1"/>
        <w:ind w:left="1440" w:hanging="703"/>
      </w:pPr>
      <w:r w:rsidRPr="009D2AAD">
        <w:lastRenderedPageBreak/>
        <w:t>(b)</w:t>
      </w:r>
      <w:r w:rsidRPr="009D2AAD">
        <w:tab/>
      </w:r>
      <w:r w:rsidRPr="009D2AAD">
        <w:rPr>
          <w:i/>
          <w:iCs/>
        </w:rPr>
        <w:t>Health Therapies LLC has exclusiv</w:t>
      </w:r>
      <w:r w:rsidR="0015625F" w:rsidRPr="009D2AAD">
        <w:rPr>
          <w:i/>
          <w:iCs/>
        </w:rPr>
        <w:t xml:space="preserve">ity for the U.S. market for 3 years and has committed to a minimum order of at least A$3.0 million per </w:t>
      </w:r>
      <w:proofErr w:type="gramStart"/>
      <w:r w:rsidR="0015625F" w:rsidRPr="009D2AAD">
        <w:rPr>
          <w:i/>
          <w:iCs/>
        </w:rPr>
        <w:t>year;</w:t>
      </w:r>
      <w:proofErr w:type="gramEnd"/>
    </w:p>
    <w:p w14:paraId="388265EC" w14:textId="5A9C96D6" w:rsidR="0015625F" w:rsidRPr="009D2AAD" w:rsidRDefault="0015625F" w:rsidP="009D2AAD">
      <w:pPr>
        <w:pStyle w:val="Quote1"/>
        <w:ind w:left="1440" w:hanging="703"/>
      </w:pPr>
      <w:r w:rsidRPr="009D2AAD">
        <w:t>(c)</w:t>
      </w:r>
      <w:r w:rsidRPr="009D2AAD">
        <w:tab/>
      </w:r>
      <w:r w:rsidRPr="009D2AAD">
        <w:rPr>
          <w:i/>
          <w:iCs/>
        </w:rPr>
        <w:t xml:space="preserve">Shipment of the first 5,000 30-ml bottles will commence from Malaysia this </w:t>
      </w:r>
      <w:proofErr w:type="gramStart"/>
      <w:r w:rsidRPr="009D2AAD">
        <w:rPr>
          <w:i/>
          <w:iCs/>
        </w:rPr>
        <w:t>week</w:t>
      </w:r>
      <w:r w:rsidRPr="009D2AAD">
        <w:t>;</w:t>
      </w:r>
      <w:proofErr w:type="gramEnd"/>
    </w:p>
    <w:p w14:paraId="5150B06B" w14:textId="5E197C56" w:rsidR="0015625F" w:rsidRPr="009D2AAD" w:rsidRDefault="0015625F" w:rsidP="009D2AAD">
      <w:pPr>
        <w:pStyle w:val="Quote1"/>
        <w:ind w:left="1440" w:hanging="703"/>
      </w:pPr>
      <w:r w:rsidRPr="009D2AAD">
        <w:t>(d)</w:t>
      </w:r>
      <w:r w:rsidRPr="009D2AAD">
        <w:tab/>
      </w:r>
      <w:r w:rsidRPr="00B26A09">
        <w:rPr>
          <w:i/>
          <w:iCs/>
        </w:rPr>
        <w:t>Discussions have begu</w:t>
      </w:r>
      <w:r w:rsidR="004523C1" w:rsidRPr="00B26A09">
        <w:rPr>
          <w:i/>
          <w:iCs/>
        </w:rPr>
        <w:t>n</w:t>
      </w:r>
      <w:r w:rsidRPr="00B26A09">
        <w:rPr>
          <w:i/>
          <w:iCs/>
        </w:rPr>
        <w:t xml:space="preserve"> with U.S. bottlers who, as [sic] </w:t>
      </w:r>
      <w:r w:rsidR="008B298A" w:rsidRPr="00B26A09">
        <w:rPr>
          <w:i/>
          <w:iCs/>
        </w:rPr>
        <w:t>part of the logistic supply chain of GICC LLC, can commit up to 1,000,000 bottles per month with capacity to scale further.</w:t>
      </w:r>
    </w:p>
    <w:p w14:paraId="34DECB98" w14:textId="24CADE68" w:rsidR="00B876A6" w:rsidRPr="00D633A1" w:rsidRDefault="00B876A6" w:rsidP="00EE28DF">
      <w:pPr>
        <w:pStyle w:val="Quote1"/>
        <w:ind w:left="1440" w:hanging="703"/>
        <w:rPr>
          <w:i/>
          <w:iCs/>
        </w:rPr>
      </w:pPr>
      <w:r>
        <w:t>(Emphasis in original.)</w:t>
      </w:r>
    </w:p>
    <w:p w14:paraId="187B9D41" w14:textId="4A7B8313" w:rsidR="008B298A" w:rsidRDefault="00610560" w:rsidP="000D6D80">
      <w:pPr>
        <w:pStyle w:val="ParaNumbering"/>
      </w:pPr>
      <w:r>
        <w:t xml:space="preserve">On 8 April 2020, </w:t>
      </w:r>
      <w:r w:rsidRPr="00D633A1">
        <w:rPr>
          <w:b/>
          <w:bCs/>
        </w:rPr>
        <w:t>Mr</w:t>
      </w:r>
      <w:r>
        <w:t xml:space="preserve"> Morrell </w:t>
      </w:r>
      <w:r w:rsidRPr="00610560">
        <w:rPr>
          <w:b/>
          <w:bCs/>
        </w:rPr>
        <w:t>Maison</w:t>
      </w:r>
      <w:r w:rsidR="00DD7258" w:rsidRPr="002B287F">
        <w:t>, a representative</w:t>
      </w:r>
      <w:r w:rsidRPr="00DD7258">
        <w:t xml:space="preserve"> of Health</w:t>
      </w:r>
      <w:r>
        <w:t xml:space="preserve"> Therapies</w:t>
      </w:r>
      <w:r w:rsidR="00DD7258">
        <w:t>,</w:t>
      </w:r>
      <w:r>
        <w:t xml:space="preserve"> </w:t>
      </w:r>
      <w:r w:rsidR="00682FB3">
        <w:t xml:space="preserve">emailed Dr </w:t>
      </w:r>
      <w:proofErr w:type="spellStart"/>
      <w:r w:rsidR="00682FB3" w:rsidRPr="00E379C0">
        <w:t>Marnickavasagar</w:t>
      </w:r>
      <w:proofErr w:type="spellEnd"/>
      <w:r w:rsidR="00C809A4">
        <w:t xml:space="preserve"> and </w:t>
      </w:r>
      <w:r w:rsidR="00C809A4" w:rsidRPr="00D633A1">
        <w:rPr>
          <w:b/>
          <w:bCs/>
        </w:rPr>
        <w:t>Mr</w:t>
      </w:r>
      <w:r w:rsidR="00C809A4" w:rsidRPr="00782DA8">
        <w:t xml:space="preserve"> </w:t>
      </w:r>
      <w:r w:rsidR="00C809A4">
        <w:t xml:space="preserve">Edward </w:t>
      </w:r>
      <w:r w:rsidR="00C809A4" w:rsidRPr="00C809A4">
        <w:rPr>
          <w:b/>
          <w:bCs/>
        </w:rPr>
        <w:t>Tan</w:t>
      </w:r>
      <w:r w:rsidR="00C809A4">
        <w:rPr>
          <w:b/>
          <w:bCs/>
        </w:rPr>
        <w:t xml:space="preserve"> </w:t>
      </w:r>
      <w:r w:rsidR="00C809A4">
        <w:t xml:space="preserve">(who was appointed </w:t>
      </w:r>
      <w:r w:rsidR="00A173C6">
        <w:t>C</w:t>
      </w:r>
      <w:r w:rsidR="00C809A4">
        <w:t xml:space="preserve">hief </w:t>
      </w:r>
      <w:r w:rsidR="00A173C6">
        <w:t>F</w:t>
      </w:r>
      <w:r w:rsidR="00C809A4">
        <w:t xml:space="preserve">inancial </w:t>
      </w:r>
      <w:r w:rsidR="00A173C6">
        <w:t>O</w:t>
      </w:r>
      <w:r w:rsidR="00C809A4">
        <w:t>fficer in December 2019 and</w:t>
      </w:r>
      <w:r w:rsidR="001A2578">
        <w:t xml:space="preserve">, as </w:t>
      </w:r>
      <w:proofErr w:type="gramStart"/>
      <w:r w:rsidR="001A2578">
        <w:t>at</w:t>
      </w:r>
      <w:proofErr w:type="gramEnd"/>
      <w:r w:rsidR="001A2578">
        <w:t xml:space="preserve"> 27 November 2023,</w:t>
      </w:r>
      <w:r w:rsidR="00C809A4">
        <w:t xml:space="preserve"> remain</w:t>
      </w:r>
      <w:r w:rsidR="001A2578">
        <w:t>ed</w:t>
      </w:r>
      <w:r w:rsidR="00C809A4">
        <w:t xml:space="preserve"> so)</w:t>
      </w:r>
      <w:r w:rsidR="00C46DF6">
        <w:t xml:space="preserve">, attaching a </w:t>
      </w:r>
      <w:r w:rsidR="005C0D76">
        <w:t xml:space="preserve">Microsoft Excel </w:t>
      </w:r>
      <w:r w:rsidR="00C46DF6">
        <w:t>spreadsheet</w:t>
      </w:r>
      <w:r w:rsidR="005C0D76">
        <w:t xml:space="preserve"> document</w:t>
      </w:r>
      <w:r w:rsidR="00C46DF6">
        <w:t xml:space="preserve"> entitled “</w:t>
      </w:r>
      <w:r w:rsidR="00F92E4E">
        <w:t>Health Therapies Sales Projections 2020_04_08”</w:t>
      </w:r>
      <w:r w:rsidR="00064552">
        <w:t xml:space="preserve"> (</w:t>
      </w:r>
      <w:r w:rsidR="007C3090">
        <w:t xml:space="preserve">the </w:t>
      </w:r>
      <w:r w:rsidR="00064552" w:rsidRPr="00064552">
        <w:rPr>
          <w:b/>
          <w:bCs/>
        </w:rPr>
        <w:t>Sales Projection Spreadsheet</w:t>
      </w:r>
      <w:r w:rsidR="00064552" w:rsidRPr="00804731">
        <w:t>).</w:t>
      </w:r>
      <w:r w:rsidR="00972080" w:rsidRPr="00804731">
        <w:t xml:space="preserve"> The Sales Projection Spreadsheet recorded</w:t>
      </w:r>
      <w:r w:rsidR="00804731" w:rsidRPr="00804731">
        <w:t>, inter alia,</w:t>
      </w:r>
      <w:r w:rsidR="00972080" w:rsidRPr="00804731">
        <w:t xml:space="preserve"> that Health Therapies expected to sell 400,000 units of </w:t>
      </w:r>
      <w:proofErr w:type="spellStart"/>
      <w:r w:rsidR="00972080" w:rsidRPr="00804731">
        <w:t>Nat</w:t>
      </w:r>
      <w:r w:rsidR="002E36A7" w:rsidRPr="00804731">
        <w:t>S</w:t>
      </w:r>
      <w:r w:rsidR="00972080" w:rsidRPr="00804731">
        <w:t>hield</w:t>
      </w:r>
      <w:proofErr w:type="spellEnd"/>
      <w:r w:rsidR="00972080" w:rsidRPr="00804731">
        <w:t xml:space="preserve"> in May and June 2020, in addition to an order</w:t>
      </w:r>
      <w:r w:rsidR="00721D0B" w:rsidRPr="00804731">
        <w:t xml:space="preserve"> for 15,000 units</w:t>
      </w:r>
      <w:r w:rsidR="006B2507" w:rsidRPr="00804731">
        <w:t>,</w:t>
      </w:r>
      <w:r w:rsidR="00721D0B" w:rsidRPr="00804731">
        <w:t xml:space="preserve"> </w:t>
      </w:r>
      <w:r w:rsidR="006B2507" w:rsidRPr="00804731">
        <w:t>which</w:t>
      </w:r>
      <w:r w:rsidR="006B2507" w:rsidRPr="00804731" w:rsidDel="00C06866">
        <w:t xml:space="preserve"> </w:t>
      </w:r>
      <w:r w:rsidR="00721D0B" w:rsidRPr="00804731">
        <w:t xml:space="preserve">had been </w:t>
      </w:r>
      <w:r w:rsidR="007A5966" w:rsidRPr="00804731">
        <w:t>placed on 8 April 2020.</w:t>
      </w:r>
    </w:p>
    <w:p w14:paraId="10651988" w14:textId="50CB6F9C" w:rsidR="00805BA9" w:rsidRDefault="00947A7B" w:rsidP="000D6D80">
      <w:pPr>
        <w:pStyle w:val="ParaNumbering"/>
      </w:pPr>
      <w:proofErr w:type="spellStart"/>
      <w:r>
        <w:t>Holista’s</w:t>
      </w:r>
      <w:proofErr w:type="spellEnd"/>
      <w:r>
        <w:t xml:space="preserve"> “Accounting Policy for Revenue from contracts with customers” (</w:t>
      </w:r>
      <w:r w:rsidRPr="00C06866">
        <w:rPr>
          <w:b/>
          <w:bCs/>
        </w:rPr>
        <w:t>Revenue Policy</w:t>
      </w:r>
      <w:r w:rsidR="00CF4EDC">
        <w:t>) at the relevant time provided, inter alia:</w:t>
      </w:r>
    </w:p>
    <w:p w14:paraId="19207C07" w14:textId="0957E955" w:rsidR="00557FD7" w:rsidRPr="00336C89" w:rsidRDefault="00557FD7" w:rsidP="009746B8">
      <w:pPr>
        <w:pStyle w:val="Quote1"/>
        <w:ind w:left="1440" w:hanging="703"/>
      </w:pPr>
      <w:r w:rsidRPr="00336C89">
        <w:t xml:space="preserve">(a) </w:t>
      </w:r>
      <w:r w:rsidR="00B06A5A" w:rsidRPr="00336C89">
        <w:tab/>
      </w:r>
      <w:r w:rsidRPr="009746B8">
        <w:rPr>
          <w:i/>
          <w:iCs/>
        </w:rPr>
        <w:t>"Revenue is recognised on a basis that reflects the transfer of promised goods or</w:t>
      </w:r>
      <w:r w:rsidR="00B06A5A" w:rsidRPr="009746B8">
        <w:rPr>
          <w:i/>
          <w:iCs/>
        </w:rPr>
        <w:t xml:space="preserve"> </w:t>
      </w:r>
      <w:r w:rsidRPr="009746B8">
        <w:rPr>
          <w:i/>
          <w:iCs/>
        </w:rPr>
        <w:t>services to customers at an amount that reflects the consideration the Company</w:t>
      </w:r>
      <w:r w:rsidR="00B06A5A" w:rsidRPr="009746B8">
        <w:rPr>
          <w:i/>
          <w:iCs/>
        </w:rPr>
        <w:t xml:space="preserve"> </w:t>
      </w:r>
      <w:r w:rsidRPr="009746B8">
        <w:rPr>
          <w:i/>
          <w:iCs/>
        </w:rPr>
        <w:t>expects to receive in exchange for those goods or services."</w:t>
      </w:r>
    </w:p>
    <w:p w14:paraId="374E42D0" w14:textId="717AF0B8" w:rsidR="00557FD7" w:rsidRPr="009746B8" w:rsidRDefault="00557FD7" w:rsidP="00336C89">
      <w:pPr>
        <w:pStyle w:val="Quote1"/>
        <w:rPr>
          <w:i/>
          <w:iCs/>
        </w:rPr>
      </w:pPr>
      <w:r w:rsidRPr="00336C89">
        <w:t>(b)</w:t>
      </w:r>
      <w:r w:rsidR="00B06A5A" w:rsidRPr="00336C89">
        <w:tab/>
      </w:r>
      <w:r w:rsidRPr="009746B8">
        <w:rPr>
          <w:i/>
          <w:iCs/>
        </w:rPr>
        <w:t>"Revenue is recognised by applying a five-step process outlined in AASB 15</w:t>
      </w:r>
      <w:r w:rsidR="00B06A5A" w:rsidRPr="009746B8">
        <w:rPr>
          <w:i/>
          <w:iCs/>
        </w:rPr>
        <w:tab/>
      </w:r>
      <w:r w:rsidRPr="009746B8">
        <w:rPr>
          <w:i/>
          <w:iCs/>
        </w:rPr>
        <w:t>which is as follows:</w:t>
      </w:r>
    </w:p>
    <w:p w14:paraId="5065EDB8" w14:textId="4F8B27A1" w:rsidR="00557FD7" w:rsidRPr="00303A4B" w:rsidRDefault="00557FD7" w:rsidP="00303A4B">
      <w:pPr>
        <w:pStyle w:val="Quote2Bullet"/>
        <w:rPr>
          <w:i/>
          <w:iCs/>
          <w:lang w:eastAsia="en-AU"/>
        </w:rPr>
      </w:pPr>
      <w:r w:rsidRPr="00303A4B">
        <w:rPr>
          <w:i/>
          <w:iCs/>
          <w:lang w:eastAsia="en-AU"/>
        </w:rPr>
        <w:t xml:space="preserve">Identify the contract with a </w:t>
      </w:r>
      <w:proofErr w:type="gramStart"/>
      <w:r w:rsidRPr="00303A4B">
        <w:rPr>
          <w:i/>
          <w:iCs/>
          <w:lang w:eastAsia="en-AU"/>
        </w:rPr>
        <w:t>customer;</w:t>
      </w:r>
      <w:proofErr w:type="gramEnd"/>
    </w:p>
    <w:p w14:paraId="09438A7E" w14:textId="62D8D319" w:rsidR="002A0412" w:rsidRPr="00303A4B" w:rsidRDefault="00EF27B7" w:rsidP="00303A4B">
      <w:pPr>
        <w:pStyle w:val="Quote2Bullet"/>
        <w:rPr>
          <w:i/>
          <w:iCs/>
          <w:lang w:eastAsia="en-AU"/>
        </w:rPr>
      </w:pPr>
      <w:r w:rsidRPr="00303A4B">
        <w:rPr>
          <w:i/>
          <w:iCs/>
          <w:lang w:eastAsia="en-AU"/>
        </w:rPr>
        <w:t xml:space="preserve">Identify the </w:t>
      </w:r>
      <w:r w:rsidR="00A841F4" w:rsidRPr="00303A4B">
        <w:rPr>
          <w:i/>
          <w:iCs/>
          <w:lang w:eastAsia="en-AU"/>
        </w:rPr>
        <w:t xml:space="preserve">performance obligation sin the contract and determine at what point they are </w:t>
      </w:r>
      <w:proofErr w:type="gramStart"/>
      <w:r w:rsidR="00A841F4" w:rsidRPr="00303A4B">
        <w:rPr>
          <w:i/>
          <w:iCs/>
          <w:lang w:eastAsia="en-AU"/>
        </w:rPr>
        <w:t>satisfied;</w:t>
      </w:r>
      <w:proofErr w:type="gramEnd"/>
    </w:p>
    <w:p w14:paraId="2E628273" w14:textId="05B051D4" w:rsidR="00F62415" w:rsidRPr="00303A4B" w:rsidRDefault="00F62415" w:rsidP="00303A4B">
      <w:pPr>
        <w:pStyle w:val="Quote2Bullet"/>
        <w:rPr>
          <w:i/>
          <w:iCs/>
          <w:lang w:eastAsia="en-AU"/>
        </w:rPr>
      </w:pPr>
      <w:r w:rsidRPr="00303A4B">
        <w:rPr>
          <w:i/>
          <w:iCs/>
          <w:lang w:eastAsia="en-AU"/>
        </w:rPr>
        <w:t xml:space="preserve">Determine the transaction </w:t>
      </w:r>
      <w:proofErr w:type="gramStart"/>
      <w:r w:rsidRPr="00303A4B">
        <w:rPr>
          <w:i/>
          <w:iCs/>
          <w:lang w:eastAsia="en-AU"/>
        </w:rPr>
        <w:t>price;</w:t>
      </w:r>
      <w:proofErr w:type="gramEnd"/>
    </w:p>
    <w:p w14:paraId="27A15572" w14:textId="0CEA1C03" w:rsidR="00F62415" w:rsidRPr="00303A4B" w:rsidRDefault="00F62415" w:rsidP="00303A4B">
      <w:pPr>
        <w:pStyle w:val="Quote2Bullet"/>
        <w:rPr>
          <w:i/>
          <w:iCs/>
          <w:lang w:eastAsia="en-AU"/>
        </w:rPr>
      </w:pPr>
      <w:r w:rsidRPr="00303A4B">
        <w:rPr>
          <w:i/>
          <w:iCs/>
          <w:lang w:eastAsia="en-AU"/>
        </w:rPr>
        <w:t xml:space="preserve">Allocate the transaction price to the performance </w:t>
      </w:r>
      <w:r w:rsidR="00780032" w:rsidRPr="00303A4B">
        <w:rPr>
          <w:i/>
          <w:iCs/>
          <w:lang w:eastAsia="en-AU"/>
        </w:rPr>
        <w:t>obligations; and</w:t>
      </w:r>
    </w:p>
    <w:p w14:paraId="3F266C13" w14:textId="070712B5" w:rsidR="00780032" w:rsidRPr="00303A4B" w:rsidRDefault="00780032" w:rsidP="00303A4B">
      <w:pPr>
        <w:pStyle w:val="Quote2Bullet"/>
        <w:rPr>
          <w:i/>
          <w:iCs/>
          <w:lang w:eastAsia="en-AU"/>
        </w:rPr>
      </w:pPr>
      <w:r w:rsidRPr="00303A4B">
        <w:rPr>
          <w:i/>
          <w:iCs/>
          <w:lang w:eastAsia="en-AU"/>
        </w:rPr>
        <w:t>Recognise the revenue as the performance obligations are satisfied.</w:t>
      </w:r>
    </w:p>
    <w:p w14:paraId="6AFEC977" w14:textId="1C971B9F" w:rsidR="00557FD7" w:rsidRPr="009746B8" w:rsidRDefault="00557FD7" w:rsidP="009746B8">
      <w:pPr>
        <w:pStyle w:val="Quote1"/>
        <w:ind w:left="1440" w:hanging="703"/>
        <w:rPr>
          <w:i/>
          <w:iCs/>
        </w:rPr>
      </w:pPr>
      <w:r w:rsidRPr="009746B8">
        <w:t xml:space="preserve">(c) </w:t>
      </w:r>
      <w:r w:rsidR="00B06A5A" w:rsidRPr="009746B8">
        <w:tab/>
      </w:r>
      <w:r w:rsidRPr="00700605">
        <w:rPr>
          <w:b/>
          <w:bCs/>
          <w:i/>
          <w:iCs/>
        </w:rPr>
        <w:t xml:space="preserve">"revenue is recognised when or as a performance obligation in the contract </w:t>
      </w:r>
      <w:r w:rsidR="00B06A5A" w:rsidRPr="00700605">
        <w:rPr>
          <w:b/>
          <w:bCs/>
          <w:i/>
          <w:iCs/>
        </w:rPr>
        <w:t xml:space="preserve">is </w:t>
      </w:r>
      <w:r w:rsidRPr="00700605">
        <w:rPr>
          <w:b/>
          <w:bCs/>
          <w:i/>
          <w:iCs/>
        </w:rPr>
        <w:t>satisfied, i.e. when the control of the goods</w:t>
      </w:r>
      <w:r w:rsidRPr="009746B8">
        <w:rPr>
          <w:i/>
          <w:iCs/>
        </w:rPr>
        <w:t xml:space="preserve"> or services underlying the </w:t>
      </w:r>
      <w:proofErr w:type="gramStart"/>
      <w:r w:rsidRPr="009746B8">
        <w:rPr>
          <w:i/>
          <w:iCs/>
        </w:rPr>
        <w:t>particular</w:t>
      </w:r>
      <w:r w:rsidR="00B06A5A" w:rsidRPr="009746B8">
        <w:rPr>
          <w:i/>
          <w:iCs/>
        </w:rPr>
        <w:t xml:space="preserve"> </w:t>
      </w:r>
      <w:r w:rsidRPr="009746B8">
        <w:rPr>
          <w:i/>
          <w:iCs/>
        </w:rPr>
        <w:t>performance</w:t>
      </w:r>
      <w:proofErr w:type="gramEnd"/>
      <w:r w:rsidRPr="009746B8">
        <w:rPr>
          <w:i/>
          <w:iCs/>
        </w:rPr>
        <w:t xml:space="preserve"> obligation </w:t>
      </w:r>
      <w:r w:rsidRPr="00700605">
        <w:rPr>
          <w:b/>
          <w:bCs/>
          <w:i/>
          <w:iCs/>
        </w:rPr>
        <w:t>is transferred to the customer.</w:t>
      </w:r>
      <w:r w:rsidRPr="009746B8">
        <w:rPr>
          <w:i/>
          <w:iCs/>
        </w:rPr>
        <w:t xml:space="preserve"> A performance obligation</w:t>
      </w:r>
      <w:r w:rsidR="00B06A5A" w:rsidRPr="009746B8">
        <w:rPr>
          <w:i/>
          <w:iCs/>
        </w:rPr>
        <w:t xml:space="preserve"> </w:t>
      </w:r>
      <w:r w:rsidRPr="009746B8">
        <w:rPr>
          <w:i/>
          <w:iCs/>
        </w:rPr>
        <w:t>is a promise to transfer a distinct goods or service (or a series of distinct goods or</w:t>
      </w:r>
      <w:r w:rsidR="00B06A5A" w:rsidRPr="009746B8">
        <w:rPr>
          <w:i/>
          <w:iCs/>
        </w:rPr>
        <w:t xml:space="preserve"> </w:t>
      </w:r>
      <w:r w:rsidRPr="009746B8">
        <w:rPr>
          <w:i/>
          <w:iCs/>
        </w:rPr>
        <w:t>services that are substantially the same and that have the same pattern of</w:t>
      </w:r>
      <w:r w:rsidR="00B06A5A" w:rsidRPr="009746B8">
        <w:rPr>
          <w:i/>
          <w:iCs/>
        </w:rPr>
        <w:t xml:space="preserve"> </w:t>
      </w:r>
      <w:r w:rsidRPr="009746B8">
        <w:rPr>
          <w:i/>
          <w:iCs/>
        </w:rPr>
        <w:t>transfer) to the customer that is explicitly stated in the contract and implied in the</w:t>
      </w:r>
      <w:r w:rsidR="00B06A5A" w:rsidRPr="009746B8">
        <w:rPr>
          <w:i/>
          <w:iCs/>
        </w:rPr>
        <w:t xml:space="preserve"> </w:t>
      </w:r>
      <w:r w:rsidRPr="009746B8">
        <w:rPr>
          <w:i/>
          <w:iCs/>
        </w:rPr>
        <w:t>Group's customary business practices."</w:t>
      </w:r>
    </w:p>
    <w:p w14:paraId="52B6B939" w14:textId="76696E9F" w:rsidR="00A27AC5" w:rsidRPr="009746B8" w:rsidRDefault="00557FD7" w:rsidP="009746B8">
      <w:pPr>
        <w:pStyle w:val="Quote1"/>
        <w:ind w:left="1440" w:hanging="703"/>
        <w:rPr>
          <w:i/>
          <w:iCs/>
        </w:rPr>
      </w:pPr>
      <w:r w:rsidRPr="00C05453">
        <w:t xml:space="preserve">(d) </w:t>
      </w:r>
      <w:r w:rsidR="00B06A5A" w:rsidRPr="009746B8">
        <w:rPr>
          <w:i/>
          <w:iCs/>
        </w:rPr>
        <w:tab/>
      </w:r>
      <w:r w:rsidRPr="009746B8">
        <w:rPr>
          <w:i/>
          <w:iCs/>
        </w:rPr>
        <w:t>the "[s]ale of health care products</w:t>
      </w:r>
      <w:r w:rsidR="009B345B" w:rsidRPr="009746B8">
        <w:rPr>
          <w:i/>
          <w:iCs/>
        </w:rPr>
        <w:t xml:space="preserve"> </w:t>
      </w:r>
      <w:r w:rsidRPr="009746B8">
        <w:rPr>
          <w:i/>
          <w:iCs/>
        </w:rPr>
        <w:t>comprise revenue from supplements</w:t>
      </w:r>
      <w:r w:rsidR="00B06A5A" w:rsidRPr="009746B8">
        <w:rPr>
          <w:i/>
          <w:iCs/>
        </w:rPr>
        <w:t xml:space="preserve">, </w:t>
      </w:r>
      <w:r w:rsidRPr="009746B8">
        <w:rPr>
          <w:i/>
          <w:iCs/>
        </w:rPr>
        <w:t>food</w:t>
      </w:r>
      <w:r w:rsidR="00B06A5A" w:rsidRPr="009746B8">
        <w:rPr>
          <w:i/>
          <w:iCs/>
        </w:rPr>
        <w:t xml:space="preserve"> </w:t>
      </w:r>
      <w:r w:rsidRPr="009746B8">
        <w:rPr>
          <w:i/>
          <w:iCs/>
        </w:rPr>
        <w:t xml:space="preserve">ingredients and infection control. </w:t>
      </w:r>
      <w:r w:rsidRPr="00700605">
        <w:rPr>
          <w:b/>
          <w:bCs/>
          <w:i/>
          <w:iCs/>
        </w:rPr>
        <w:t>Revenue from sales of health care products is</w:t>
      </w:r>
      <w:r w:rsidR="00A27AC5" w:rsidRPr="00700605">
        <w:rPr>
          <w:b/>
          <w:bCs/>
          <w:i/>
          <w:iCs/>
        </w:rPr>
        <w:t xml:space="preserve"> recognised at the point in time when control of the asset is transferred to the</w:t>
      </w:r>
      <w:r w:rsidR="00B06A5A" w:rsidRPr="00700605">
        <w:rPr>
          <w:b/>
          <w:bCs/>
          <w:i/>
          <w:iCs/>
        </w:rPr>
        <w:t xml:space="preserve"> </w:t>
      </w:r>
      <w:r w:rsidR="00A27AC5" w:rsidRPr="00700605">
        <w:rPr>
          <w:b/>
          <w:bCs/>
          <w:i/>
          <w:iCs/>
        </w:rPr>
        <w:t>customer, i.e. upon delivery of goods</w:t>
      </w:r>
      <w:r w:rsidR="00A27AC5" w:rsidRPr="009746B8">
        <w:rPr>
          <w:i/>
          <w:iCs/>
        </w:rPr>
        <w:t xml:space="preserve"> to the customers. Some contracts for </w:t>
      </w:r>
      <w:r w:rsidR="00A27AC5" w:rsidRPr="009746B8">
        <w:rPr>
          <w:i/>
          <w:iCs/>
        </w:rPr>
        <w:lastRenderedPageBreak/>
        <w:t>the</w:t>
      </w:r>
      <w:r w:rsidR="009B345B" w:rsidRPr="009746B8">
        <w:rPr>
          <w:i/>
          <w:iCs/>
        </w:rPr>
        <w:t xml:space="preserve"> </w:t>
      </w:r>
      <w:r w:rsidR="00A27AC5" w:rsidRPr="009746B8">
        <w:rPr>
          <w:i/>
          <w:iCs/>
        </w:rPr>
        <w:t>sale of health care products provide customers with a right of return and volume</w:t>
      </w:r>
      <w:r w:rsidR="009B345B" w:rsidRPr="009746B8">
        <w:rPr>
          <w:i/>
          <w:iCs/>
        </w:rPr>
        <w:t xml:space="preserve"> </w:t>
      </w:r>
      <w:r w:rsidR="00A27AC5" w:rsidRPr="009746B8">
        <w:rPr>
          <w:i/>
          <w:iCs/>
        </w:rPr>
        <w:t>rebates. The rights of return and volume rebates give rise to variable</w:t>
      </w:r>
      <w:r w:rsidR="009B345B" w:rsidRPr="009746B8">
        <w:rPr>
          <w:i/>
          <w:iCs/>
        </w:rPr>
        <w:t xml:space="preserve"> </w:t>
      </w:r>
      <w:r w:rsidR="00A27AC5" w:rsidRPr="009746B8">
        <w:rPr>
          <w:i/>
          <w:iCs/>
        </w:rPr>
        <w:t>consideration."</w:t>
      </w:r>
    </w:p>
    <w:p w14:paraId="4BAF13F3" w14:textId="547BF066" w:rsidR="00CF4EDC" w:rsidRPr="009746B8" w:rsidRDefault="00A27AC5" w:rsidP="009746B8">
      <w:pPr>
        <w:pStyle w:val="Quote1"/>
        <w:ind w:left="1440" w:hanging="703"/>
        <w:rPr>
          <w:i/>
          <w:iCs/>
        </w:rPr>
      </w:pPr>
      <w:r w:rsidRPr="00C05453">
        <w:t xml:space="preserve">(e) </w:t>
      </w:r>
      <w:r w:rsidR="009B345B" w:rsidRPr="009746B8">
        <w:rPr>
          <w:i/>
          <w:iCs/>
        </w:rPr>
        <w:tab/>
      </w:r>
      <w:r w:rsidRPr="009746B8">
        <w:rPr>
          <w:i/>
          <w:iCs/>
        </w:rPr>
        <w:t>"[r]</w:t>
      </w:r>
      <w:proofErr w:type="spellStart"/>
      <w:r w:rsidRPr="009746B8">
        <w:rPr>
          <w:i/>
          <w:iCs/>
        </w:rPr>
        <w:t>evenue</w:t>
      </w:r>
      <w:proofErr w:type="spellEnd"/>
      <w:r w:rsidRPr="009746B8">
        <w:rPr>
          <w:i/>
          <w:iCs/>
        </w:rPr>
        <w:t xml:space="preserve"> from </w:t>
      </w:r>
      <w:r w:rsidRPr="00C36D10">
        <w:rPr>
          <w:b/>
          <w:bCs/>
          <w:i/>
          <w:iCs/>
        </w:rPr>
        <w:t>single level direct selling of health care products is recognised at</w:t>
      </w:r>
      <w:r w:rsidR="009B345B" w:rsidRPr="00C36D10">
        <w:rPr>
          <w:b/>
          <w:bCs/>
          <w:i/>
          <w:iCs/>
        </w:rPr>
        <w:t xml:space="preserve"> </w:t>
      </w:r>
      <w:r w:rsidRPr="00C36D10">
        <w:rPr>
          <w:b/>
          <w:bCs/>
          <w:i/>
          <w:iCs/>
        </w:rPr>
        <w:t>the point in time when control of the asset is transferred to the customer, i.e.</w:t>
      </w:r>
      <w:r w:rsidR="009B345B" w:rsidRPr="00C36D10">
        <w:rPr>
          <w:b/>
          <w:bCs/>
          <w:i/>
          <w:iCs/>
        </w:rPr>
        <w:t xml:space="preserve"> </w:t>
      </w:r>
      <w:r w:rsidRPr="00C36D10">
        <w:rPr>
          <w:b/>
          <w:bCs/>
          <w:i/>
          <w:iCs/>
        </w:rPr>
        <w:t xml:space="preserve">upon delivery of goods </w:t>
      </w:r>
      <w:r w:rsidRPr="009746B8">
        <w:rPr>
          <w:i/>
          <w:iCs/>
        </w:rPr>
        <w:t>to the customers."</w:t>
      </w:r>
    </w:p>
    <w:p w14:paraId="50FE6DC0" w14:textId="4C2DBCB0" w:rsidR="009B345B" w:rsidRPr="009B345B" w:rsidRDefault="009B345B" w:rsidP="009B345B">
      <w:pPr>
        <w:pStyle w:val="Quote1"/>
        <w:rPr>
          <w:szCs w:val="22"/>
          <w:lang w:eastAsia="en-AU"/>
        </w:rPr>
      </w:pPr>
      <w:r>
        <w:rPr>
          <w:szCs w:val="22"/>
          <w:lang w:eastAsia="en-AU"/>
        </w:rPr>
        <w:t>(Emphasis added.)</w:t>
      </w:r>
    </w:p>
    <w:p w14:paraId="2BA655EB" w14:textId="531E7450" w:rsidR="007A5966" w:rsidRDefault="007A5966" w:rsidP="000D6D80">
      <w:pPr>
        <w:pStyle w:val="ParaNumbering"/>
      </w:pPr>
      <w:r>
        <w:t>On 9 April 2020</w:t>
      </w:r>
      <w:r w:rsidR="00FB500E">
        <w:t>,</w:t>
      </w:r>
      <w:r>
        <w:t xml:space="preserve"> at </w:t>
      </w:r>
      <w:r w:rsidR="00FB500E">
        <w:t xml:space="preserve">approximately </w:t>
      </w:r>
      <w:r>
        <w:t>9.</w:t>
      </w:r>
      <w:r w:rsidR="00615449">
        <w:t>25</w:t>
      </w:r>
      <w:r>
        <w:t xml:space="preserve"> am (AE</w:t>
      </w:r>
      <w:r w:rsidR="00615449">
        <w:t>S</w:t>
      </w:r>
      <w:r>
        <w:t xml:space="preserve">T), </w:t>
      </w:r>
      <w:proofErr w:type="spellStart"/>
      <w:r>
        <w:t>Holista</w:t>
      </w:r>
      <w:proofErr w:type="spellEnd"/>
      <w:r>
        <w:t xml:space="preserve"> </w:t>
      </w:r>
      <w:r w:rsidR="002A1C55">
        <w:t xml:space="preserve">provided </w:t>
      </w:r>
      <w:r>
        <w:t xml:space="preserve">the ASX </w:t>
      </w:r>
      <w:r w:rsidR="002A1C55">
        <w:t xml:space="preserve">with, </w:t>
      </w:r>
      <w:r>
        <w:t>and published on the</w:t>
      </w:r>
      <w:r w:rsidR="00615449">
        <w:t xml:space="preserve"> MAP</w:t>
      </w:r>
      <w:r w:rsidR="00D80E05">
        <w:t xml:space="preserve"> an announcement containing</w:t>
      </w:r>
      <w:r w:rsidR="00615449">
        <w:t xml:space="preserve"> </w:t>
      </w:r>
      <w:r w:rsidR="00C25B2D">
        <w:t>the following statements</w:t>
      </w:r>
      <w:r w:rsidR="002A1C55">
        <w:t xml:space="preserve"> (</w:t>
      </w:r>
      <w:r w:rsidR="002A1C55" w:rsidRPr="00C25B2D">
        <w:rPr>
          <w:b/>
          <w:bCs/>
        </w:rPr>
        <w:t>9 April 2020 Announcement</w:t>
      </w:r>
      <w:r w:rsidR="002A1C55">
        <w:t>)</w:t>
      </w:r>
      <w:r w:rsidR="00C25B2D">
        <w:t>:</w:t>
      </w:r>
    </w:p>
    <w:p w14:paraId="6D76FEC6" w14:textId="77777777" w:rsidR="00684058" w:rsidRDefault="00F76741" w:rsidP="00A4777A">
      <w:pPr>
        <w:pStyle w:val="Quote1"/>
        <w:numPr>
          <w:ilvl w:val="0"/>
          <w:numId w:val="41"/>
        </w:numPr>
        <w:ind w:left="1440" w:hanging="720"/>
      </w:pPr>
      <w:r w:rsidRPr="00B102E1">
        <w:t>Following the first and second shipment from Malaysia totalling 9,558 30</w:t>
      </w:r>
      <w:r w:rsidR="0096222F" w:rsidRPr="00B102E1">
        <w:t>-</w:t>
      </w:r>
      <w:r w:rsidRPr="00B102E1">
        <w:t xml:space="preserve">ml bottles of </w:t>
      </w:r>
      <w:proofErr w:type="spellStart"/>
      <w:r w:rsidRPr="00B102E1">
        <w:t>Nat</w:t>
      </w:r>
      <w:r w:rsidR="002E36A7" w:rsidRPr="00B102E1">
        <w:t>S</w:t>
      </w:r>
      <w:r w:rsidRPr="00B102E1">
        <w:t>hield</w:t>
      </w:r>
      <w:proofErr w:type="spellEnd"/>
      <w:r w:rsidRPr="00B102E1">
        <w:t>™</w:t>
      </w:r>
      <w:r w:rsidR="0023413A" w:rsidRPr="00B102E1">
        <w:t xml:space="preserve"> to date, Health Therapies has placed additional orders for 415,000 bottles totalling A$3.8 million for delivery between April and June 2020 </w:t>
      </w:r>
      <w:r w:rsidR="0023413A" w:rsidRPr="00DA2EF1">
        <w:rPr>
          <w:b/>
          <w:bCs/>
        </w:rPr>
        <w:t>(Orders Representation</w:t>
      </w:r>
      <w:proofErr w:type="gramStart"/>
      <w:r w:rsidR="0023413A" w:rsidRPr="00DA2EF1">
        <w:rPr>
          <w:b/>
          <w:bCs/>
        </w:rPr>
        <w:t>)</w:t>
      </w:r>
      <w:r w:rsidR="0023413A" w:rsidRPr="00B102E1">
        <w:t>;</w:t>
      </w:r>
      <w:proofErr w:type="gramEnd"/>
    </w:p>
    <w:p w14:paraId="179AC4E0" w14:textId="77777777" w:rsidR="008138FB" w:rsidRDefault="0023413A" w:rsidP="00A4777A">
      <w:pPr>
        <w:pStyle w:val="Quote1"/>
        <w:numPr>
          <w:ilvl w:val="0"/>
          <w:numId w:val="41"/>
        </w:numPr>
        <w:ind w:left="1440" w:hanging="720"/>
      </w:pPr>
      <w:r w:rsidRPr="00B102E1">
        <w:t>Of the latter order 15,000 bo</w:t>
      </w:r>
      <w:r w:rsidR="0096222F" w:rsidRPr="00B102E1">
        <w:t>t</w:t>
      </w:r>
      <w:r w:rsidRPr="00B102E1">
        <w:t>tles of 30-ml</w:t>
      </w:r>
      <w:r w:rsidR="0096222F" w:rsidRPr="00B102E1">
        <w:t xml:space="preserve"> will be shipped in April, while 400,000 60-ml bottles are expected to be delivered through May and </w:t>
      </w:r>
      <w:proofErr w:type="gramStart"/>
      <w:r w:rsidR="0096222F" w:rsidRPr="00B102E1">
        <w:t>June;</w:t>
      </w:r>
      <w:proofErr w:type="gramEnd"/>
    </w:p>
    <w:p w14:paraId="3ABD85AE" w14:textId="4956878B" w:rsidR="0096222F" w:rsidRPr="00B102E1" w:rsidRDefault="0096222F" w:rsidP="00A4777A">
      <w:pPr>
        <w:pStyle w:val="Quote1"/>
        <w:numPr>
          <w:ilvl w:val="0"/>
          <w:numId w:val="41"/>
        </w:numPr>
        <w:ind w:left="1440" w:hanging="720"/>
      </w:pPr>
      <w:proofErr w:type="spellStart"/>
      <w:r w:rsidRPr="00B102E1">
        <w:t>Holista</w:t>
      </w:r>
      <w:proofErr w:type="spellEnd"/>
      <w:r w:rsidRPr="00B102E1">
        <w:t xml:space="preserve"> expects </w:t>
      </w:r>
      <w:r w:rsidR="002E36A7" w:rsidRPr="00B102E1">
        <w:t>to record revenue of A$3.8 million from combined total orders of 424,55</w:t>
      </w:r>
      <w:r w:rsidR="502302D4" w:rsidRPr="00B102E1">
        <w:t>8</w:t>
      </w:r>
      <w:r w:rsidR="002E36A7" w:rsidRPr="00B102E1">
        <w:t xml:space="preserve"> bottles of </w:t>
      </w:r>
      <w:proofErr w:type="spellStart"/>
      <w:r w:rsidR="002E36A7" w:rsidRPr="00B102E1">
        <w:t>NatShield</w:t>
      </w:r>
      <w:proofErr w:type="spellEnd"/>
      <w:r w:rsidR="002E36A7" w:rsidRPr="00B102E1">
        <w:t xml:space="preserve">™ received in the United [States] of America to date from Health Therapies </w:t>
      </w:r>
      <w:r w:rsidR="002E36A7" w:rsidRPr="00A4777A">
        <w:rPr>
          <w:b/>
          <w:bCs/>
        </w:rPr>
        <w:t>(Revenue Representation</w:t>
      </w:r>
      <w:r w:rsidR="00347E5D" w:rsidRPr="00A4777A">
        <w:rPr>
          <w:b/>
          <w:bCs/>
        </w:rPr>
        <w:t>)</w:t>
      </w:r>
      <w:r w:rsidR="00347E5D" w:rsidRPr="00B102E1">
        <w:t>.</w:t>
      </w:r>
    </w:p>
    <w:p w14:paraId="3104B4E9" w14:textId="7FF7C947" w:rsidR="00C25B2D" w:rsidRDefault="00347E5D" w:rsidP="000D6D80">
      <w:pPr>
        <w:pStyle w:val="ParaNumbering"/>
      </w:pPr>
      <w:r>
        <w:t xml:space="preserve">The </w:t>
      </w:r>
      <w:r w:rsidRPr="00347E5D">
        <w:t>9 April 2020 Announcement</w:t>
      </w:r>
      <w:r>
        <w:t xml:space="preserve"> further stated, “</w:t>
      </w:r>
      <w:r w:rsidR="00362AF7">
        <w:t>[</w:t>
      </w:r>
      <w:r>
        <w:t>t</w:t>
      </w:r>
      <w:r w:rsidR="00362AF7">
        <w:t>]</w:t>
      </w:r>
      <w:r>
        <w:t>his announcement has been approved for release by all members of the</w:t>
      </w:r>
      <w:r w:rsidR="006C3972">
        <w:t xml:space="preserve"> </w:t>
      </w:r>
      <w:proofErr w:type="spellStart"/>
      <w:r w:rsidR="006C3972">
        <w:t>Holista</w:t>
      </w:r>
      <w:proofErr w:type="spellEnd"/>
      <w:r w:rsidR="006C3972">
        <w:t xml:space="preserve"> Board</w:t>
      </w:r>
      <w:proofErr w:type="gramStart"/>
      <w:r w:rsidR="006C3972">
        <w:t>”</w:t>
      </w:r>
      <w:r w:rsidR="004A5A96">
        <w:t>,</w:t>
      </w:r>
      <w:r w:rsidR="006C3972">
        <w:t xml:space="preserve"> and</w:t>
      </w:r>
      <w:proofErr w:type="gramEnd"/>
      <w:r w:rsidR="006C3972">
        <w:t xml:space="preserve"> was authorised by Dr </w:t>
      </w:r>
      <w:proofErr w:type="spellStart"/>
      <w:r w:rsidR="006C3972" w:rsidRPr="00E379C0">
        <w:t>Marnickavasagar</w:t>
      </w:r>
      <w:proofErr w:type="spellEnd"/>
      <w:r w:rsidR="006C3972">
        <w:t>.</w:t>
      </w:r>
    </w:p>
    <w:p w14:paraId="1B3CAA3E" w14:textId="225496F2" w:rsidR="00591D01" w:rsidRDefault="00D878F0" w:rsidP="000D6D80">
      <w:pPr>
        <w:pStyle w:val="ParaNumbering"/>
      </w:pPr>
      <w:r>
        <w:t xml:space="preserve">On 8 April 2020, prior </w:t>
      </w:r>
      <w:r w:rsidR="00591D01">
        <w:t xml:space="preserve">to the release of the </w:t>
      </w:r>
      <w:r w:rsidR="00591D01" w:rsidRPr="00347E5D">
        <w:t>9 April 2020 Announcement</w:t>
      </w:r>
      <w:r w:rsidR="00591D01">
        <w:t xml:space="preserve">, </w:t>
      </w:r>
      <w:r w:rsidR="00591D01" w:rsidRPr="00466B3E">
        <w:rPr>
          <w:b/>
          <w:bCs/>
        </w:rPr>
        <w:t>Mr</w:t>
      </w:r>
      <w:r w:rsidR="00CC6E3A">
        <w:t xml:space="preserve"> Stuart Douglas </w:t>
      </w:r>
      <w:r w:rsidR="00CC6E3A" w:rsidRPr="0058538F">
        <w:rPr>
          <w:b/>
          <w:bCs/>
        </w:rPr>
        <w:t>Usher</w:t>
      </w:r>
      <w:r w:rsidR="00CC6E3A">
        <w:t xml:space="preserve"> (</w:t>
      </w:r>
      <w:r w:rsidR="00BA0BE3">
        <w:t xml:space="preserve">appointed </w:t>
      </w:r>
      <w:r w:rsidR="007615C7">
        <w:t>C</w:t>
      </w:r>
      <w:r w:rsidR="00CC6E3A">
        <w:t xml:space="preserve">ompany </w:t>
      </w:r>
      <w:r w:rsidR="007615C7">
        <w:t>S</w:t>
      </w:r>
      <w:r w:rsidR="00CC6E3A">
        <w:t xml:space="preserve">ecretary from </w:t>
      </w:r>
      <w:r w:rsidR="00BA0BE3">
        <w:t xml:space="preserve">21 </w:t>
      </w:r>
      <w:r w:rsidR="00CC6E3A">
        <w:t xml:space="preserve">February </w:t>
      </w:r>
      <w:r w:rsidR="00BA0BE3">
        <w:t xml:space="preserve">2020 </w:t>
      </w:r>
      <w:r w:rsidR="00466B3E">
        <w:t>until his</w:t>
      </w:r>
      <w:r w:rsidR="00BA0BE3">
        <w:t xml:space="preserve"> resign</w:t>
      </w:r>
      <w:r w:rsidR="00466B3E">
        <w:t>ation</w:t>
      </w:r>
      <w:r w:rsidR="00BA0BE3">
        <w:t xml:space="preserve"> on 13 July 2020)</w:t>
      </w:r>
      <w:r w:rsidR="0058538F">
        <w:t xml:space="preserve"> provided a comment on </w:t>
      </w:r>
      <w:r w:rsidR="004629BE">
        <w:t>the</w:t>
      </w:r>
      <w:r w:rsidR="00B462CB">
        <w:t xml:space="preserve"> draft announcement</w:t>
      </w:r>
      <w:r w:rsidR="004629BE">
        <w:t>.</w:t>
      </w:r>
      <w:r w:rsidR="00B462CB">
        <w:t xml:space="preserve"> </w:t>
      </w:r>
      <w:r w:rsidR="004629BE">
        <w:t>H</w:t>
      </w:r>
      <w:r w:rsidR="00B462CB">
        <w:t>e wrote: “</w:t>
      </w:r>
      <w:r w:rsidR="007E0CB5">
        <w:t>[c]</w:t>
      </w:r>
      <w:proofErr w:type="spellStart"/>
      <w:proofErr w:type="gramStart"/>
      <w:r w:rsidR="00B462CB" w:rsidRPr="004629BE">
        <w:t>an</w:t>
      </w:r>
      <w:proofErr w:type="spellEnd"/>
      <w:proofErr w:type="gramEnd"/>
      <w:r w:rsidR="00B462CB" w:rsidRPr="004629BE">
        <w:t xml:space="preserve"> we include payment terms of the sales order, timing</w:t>
      </w:r>
      <w:r w:rsidR="00A84D7F" w:rsidRPr="004629BE">
        <w:t xml:space="preserve"> of cash received in the Coy?</w:t>
      </w:r>
      <w:r w:rsidR="00A84D7F">
        <w:t>”.</w:t>
      </w:r>
    </w:p>
    <w:p w14:paraId="3E9D624A" w14:textId="3078C3A8" w:rsidR="001E1632" w:rsidRDefault="004C0FA7" w:rsidP="000D6D80">
      <w:pPr>
        <w:pStyle w:val="ParaNumbering"/>
      </w:pPr>
      <w:r>
        <w:t xml:space="preserve">On 9 April 2020, </w:t>
      </w:r>
      <w:proofErr w:type="spellStart"/>
      <w:r w:rsidR="001E1632">
        <w:t>Holista’s</w:t>
      </w:r>
      <w:proofErr w:type="spellEnd"/>
      <w:r w:rsidR="001E1632">
        <w:t xml:space="preserve"> shares recorded a 14.29% gain on 9 April 2020, rising to </w:t>
      </w:r>
      <w:r w:rsidR="00384170">
        <w:t xml:space="preserve">a high of </w:t>
      </w:r>
      <w:r w:rsidR="001E1632">
        <w:t>17 cents</w:t>
      </w:r>
      <w:r w:rsidR="00384170">
        <w:t xml:space="preserve"> per share,</w:t>
      </w:r>
      <w:r w:rsidR="001E1632">
        <w:t xml:space="preserve"> before closing at 16 cents per share.</w:t>
      </w:r>
    </w:p>
    <w:p w14:paraId="4070B003" w14:textId="681F742E" w:rsidR="004070F0" w:rsidRDefault="00C80084" w:rsidP="000D6D80">
      <w:pPr>
        <w:pStyle w:val="ParaNumbering"/>
      </w:pPr>
      <w:r>
        <w:t>Prior to and on 9 April 2020,</w:t>
      </w:r>
      <w:r w:rsidR="00261744">
        <w:t xml:space="preserve"> there was correspondence regarding purchases and projections between Mr Tan, Mr </w:t>
      </w:r>
      <w:proofErr w:type="gramStart"/>
      <w:r w:rsidR="00261744">
        <w:t>Ma</w:t>
      </w:r>
      <w:r w:rsidR="003849DC">
        <w:t>ison</w:t>
      </w:r>
      <w:proofErr w:type="gramEnd"/>
      <w:r w:rsidR="00226C1B">
        <w:t xml:space="preserve"> </w:t>
      </w:r>
      <w:r w:rsidR="003849DC">
        <w:t xml:space="preserve">and Dr </w:t>
      </w:r>
      <w:proofErr w:type="spellStart"/>
      <w:r w:rsidR="003849DC" w:rsidRPr="00E379C0">
        <w:t>Marnickavasagar</w:t>
      </w:r>
      <w:proofErr w:type="spellEnd"/>
      <w:r w:rsidR="003849DC">
        <w:t>. In particular:</w:t>
      </w:r>
    </w:p>
    <w:p w14:paraId="1E1AFB83" w14:textId="2BCC8B48" w:rsidR="003849DC" w:rsidRPr="00D7036F" w:rsidRDefault="003849DC" w:rsidP="00A4777A">
      <w:pPr>
        <w:pStyle w:val="Quote1"/>
        <w:numPr>
          <w:ilvl w:val="0"/>
          <w:numId w:val="27"/>
        </w:numPr>
        <w:ind w:left="1440" w:hanging="703"/>
        <w:rPr>
          <w:sz w:val="24"/>
          <w:szCs w:val="22"/>
        </w:rPr>
      </w:pPr>
      <w:r w:rsidRPr="00D7036F">
        <w:rPr>
          <w:sz w:val="24"/>
          <w:szCs w:val="22"/>
        </w:rPr>
        <w:t xml:space="preserve">Health Therapies had placed </w:t>
      </w:r>
      <w:r w:rsidR="001F7CE1" w:rsidRPr="00D7036F">
        <w:rPr>
          <w:sz w:val="24"/>
          <w:szCs w:val="22"/>
        </w:rPr>
        <w:t xml:space="preserve">orders for </w:t>
      </w:r>
      <w:r w:rsidR="00530C20" w:rsidRPr="00D7036F">
        <w:rPr>
          <w:sz w:val="24"/>
          <w:szCs w:val="22"/>
        </w:rPr>
        <w:t xml:space="preserve">a total </w:t>
      </w:r>
      <w:r w:rsidR="00B316C1" w:rsidRPr="00D7036F">
        <w:rPr>
          <w:sz w:val="24"/>
          <w:szCs w:val="22"/>
        </w:rPr>
        <w:t>of 26,</w:t>
      </w:r>
      <w:r w:rsidR="3F8281ED" w:rsidRPr="00D7036F">
        <w:rPr>
          <w:sz w:val="24"/>
          <w:szCs w:val="22"/>
        </w:rPr>
        <w:t>558</w:t>
      </w:r>
      <w:r w:rsidR="00B316C1" w:rsidRPr="00D7036F">
        <w:rPr>
          <w:sz w:val="24"/>
          <w:szCs w:val="22"/>
        </w:rPr>
        <w:t xml:space="preserve"> units of </w:t>
      </w:r>
      <w:proofErr w:type="spellStart"/>
      <w:r w:rsidR="00B316C1" w:rsidRPr="00D7036F">
        <w:rPr>
          <w:sz w:val="24"/>
          <w:szCs w:val="22"/>
        </w:rPr>
        <w:t>NatShield</w:t>
      </w:r>
      <w:proofErr w:type="spellEnd"/>
      <w:r w:rsidR="00B316C1" w:rsidRPr="00D7036F">
        <w:rPr>
          <w:sz w:val="24"/>
          <w:szCs w:val="22"/>
        </w:rPr>
        <w:t xml:space="preserve"> </w:t>
      </w:r>
      <w:r w:rsidR="007F7459" w:rsidRPr="00D7036F">
        <w:rPr>
          <w:sz w:val="24"/>
          <w:szCs w:val="22"/>
        </w:rPr>
        <w:t xml:space="preserve">for delivery dates between 24 February 2020 and </w:t>
      </w:r>
      <w:r w:rsidR="0042730F" w:rsidRPr="00D7036F">
        <w:rPr>
          <w:sz w:val="24"/>
          <w:szCs w:val="22"/>
        </w:rPr>
        <w:t xml:space="preserve">8 April </w:t>
      </w:r>
      <w:proofErr w:type="gramStart"/>
      <w:r w:rsidR="0042730F" w:rsidRPr="00D7036F">
        <w:rPr>
          <w:sz w:val="24"/>
          <w:szCs w:val="22"/>
        </w:rPr>
        <w:t>2020;</w:t>
      </w:r>
      <w:proofErr w:type="gramEnd"/>
    </w:p>
    <w:p w14:paraId="7B6EBFE2" w14:textId="045B5470" w:rsidR="0042730F" w:rsidRPr="00D7036F" w:rsidRDefault="00F81587" w:rsidP="00A4777A">
      <w:pPr>
        <w:pStyle w:val="Quote1"/>
        <w:numPr>
          <w:ilvl w:val="0"/>
          <w:numId w:val="27"/>
        </w:numPr>
        <w:ind w:left="1440" w:hanging="703"/>
        <w:rPr>
          <w:sz w:val="24"/>
          <w:szCs w:val="22"/>
        </w:rPr>
      </w:pPr>
      <w:r w:rsidRPr="00D7036F">
        <w:rPr>
          <w:sz w:val="24"/>
          <w:szCs w:val="22"/>
        </w:rPr>
        <w:t xml:space="preserve">On 3 April 2020, Mr </w:t>
      </w:r>
      <w:r w:rsidR="008E2F0F" w:rsidRPr="00D7036F">
        <w:rPr>
          <w:sz w:val="24"/>
          <w:szCs w:val="22"/>
        </w:rPr>
        <w:t>T</w:t>
      </w:r>
      <w:r w:rsidRPr="00D7036F">
        <w:rPr>
          <w:sz w:val="24"/>
          <w:szCs w:val="22"/>
        </w:rPr>
        <w:t xml:space="preserve">an and Mr Maison corresponded (copying Dr </w:t>
      </w:r>
      <w:proofErr w:type="spellStart"/>
      <w:r w:rsidRPr="00D7036F">
        <w:rPr>
          <w:sz w:val="24"/>
          <w:szCs w:val="22"/>
        </w:rPr>
        <w:t>Marnickavasagar</w:t>
      </w:r>
      <w:proofErr w:type="spellEnd"/>
      <w:r w:rsidRPr="00D7036F">
        <w:rPr>
          <w:sz w:val="24"/>
          <w:szCs w:val="22"/>
        </w:rPr>
        <w:t xml:space="preserve">) regarding the pricing of </w:t>
      </w:r>
      <w:proofErr w:type="spellStart"/>
      <w:r w:rsidRPr="00D7036F">
        <w:rPr>
          <w:sz w:val="24"/>
          <w:szCs w:val="22"/>
        </w:rPr>
        <w:t>NatShield</w:t>
      </w:r>
      <w:proofErr w:type="spellEnd"/>
      <w:r w:rsidRPr="00D7036F">
        <w:rPr>
          <w:sz w:val="24"/>
          <w:szCs w:val="22"/>
        </w:rPr>
        <w:t xml:space="preserve"> </w:t>
      </w:r>
      <w:proofErr w:type="gramStart"/>
      <w:r w:rsidRPr="00D7036F">
        <w:rPr>
          <w:sz w:val="24"/>
          <w:szCs w:val="22"/>
        </w:rPr>
        <w:t>products;</w:t>
      </w:r>
      <w:proofErr w:type="gramEnd"/>
    </w:p>
    <w:p w14:paraId="62B4B6BD" w14:textId="72BE659A" w:rsidR="00F81587" w:rsidRPr="00D7036F" w:rsidRDefault="00F81587" w:rsidP="00A4777A">
      <w:pPr>
        <w:pStyle w:val="Quote1"/>
        <w:numPr>
          <w:ilvl w:val="0"/>
          <w:numId w:val="27"/>
        </w:numPr>
        <w:ind w:left="1440" w:hanging="703"/>
        <w:rPr>
          <w:sz w:val="24"/>
          <w:szCs w:val="22"/>
        </w:rPr>
      </w:pPr>
      <w:r w:rsidRPr="00D7036F">
        <w:rPr>
          <w:sz w:val="24"/>
          <w:szCs w:val="22"/>
        </w:rPr>
        <w:t>On 8 April 20202, Mr Ma</w:t>
      </w:r>
      <w:r w:rsidR="009B5C0A" w:rsidRPr="00D7036F">
        <w:rPr>
          <w:sz w:val="24"/>
          <w:szCs w:val="22"/>
        </w:rPr>
        <w:t xml:space="preserve">ison </w:t>
      </w:r>
      <w:r w:rsidR="008E2F0F" w:rsidRPr="00D7036F">
        <w:rPr>
          <w:sz w:val="24"/>
          <w:szCs w:val="22"/>
        </w:rPr>
        <w:t>emailed</w:t>
      </w:r>
      <w:r w:rsidR="009B5C0A" w:rsidRPr="00D7036F">
        <w:rPr>
          <w:sz w:val="24"/>
          <w:szCs w:val="22"/>
        </w:rPr>
        <w:t xml:space="preserve"> Mr Tan (copying Dr </w:t>
      </w:r>
      <w:proofErr w:type="spellStart"/>
      <w:r w:rsidR="009B5C0A" w:rsidRPr="00D7036F">
        <w:rPr>
          <w:sz w:val="24"/>
          <w:szCs w:val="22"/>
        </w:rPr>
        <w:t>Marnickavasagar</w:t>
      </w:r>
      <w:proofErr w:type="spellEnd"/>
      <w:r w:rsidR="009B5C0A" w:rsidRPr="00D7036F">
        <w:rPr>
          <w:sz w:val="24"/>
          <w:szCs w:val="22"/>
        </w:rPr>
        <w:t xml:space="preserve">) regarding a purchase order of </w:t>
      </w:r>
      <w:proofErr w:type="spellStart"/>
      <w:r w:rsidR="009B5C0A" w:rsidRPr="00D7036F">
        <w:rPr>
          <w:sz w:val="24"/>
          <w:szCs w:val="22"/>
        </w:rPr>
        <w:t>NatShield</w:t>
      </w:r>
      <w:proofErr w:type="spellEnd"/>
      <w:r w:rsidR="009B5C0A" w:rsidRPr="00D7036F">
        <w:rPr>
          <w:sz w:val="24"/>
          <w:szCs w:val="22"/>
        </w:rPr>
        <w:t xml:space="preserve"> </w:t>
      </w:r>
      <w:proofErr w:type="gramStart"/>
      <w:r w:rsidR="009B5C0A" w:rsidRPr="00D7036F">
        <w:rPr>
          <w:sz w:val="24"/>
          <w:szCs w:val="22"/>
        </w:rPr>
        <w:t>products;</w:t>
      </w:r>
      <w:proofErr w:type="gramEnd"/>
    </w:p>
    <w:p w14:paraId="165130C5" w14:textId="14C1042B" w:rsidR="006D5118" w:rsidRPr="00D7036F" w:rsidRDefault="006D5118" w:rsidP="00A4777A">
      <w:pPr>
        <w:pStyle w:val="Quote1"/>
        <w:numPr>
          <w:ilvl w:val="0"/>
          <w:numId w:val="27"/>
        </w:numPr>
        <w:ind w:left="1440" w:hanging="703"/>
        <w:rPr>
          <w:sz w:val="24"/>
          <w:szCs w:val="22"/>
        </w:rPr>
      </w:pPr>
      <w:r w:rsidRPr="00D7036F">
        <w:rPr>
          <w:sz w:val="24"/>
          <w:szCs w:val="22"/>
        </w:rPr>
        <w:lastRenderedPageBreak/>
        <w:t xml:space="preserve">On 8 April 20202, Mr Maison emailed Dr </w:t>
      </w:r>
      <w:proofErr w:type="spellStart"/>
      <w:r w:rsidRPr="00D7036F">
        <w:rPr>
          <w:sz w:val="24"/>
          <w:szCs w:val="22"/>
        </w:rPr>
        <w:t>Marnickavasagar</w:t>
      </w:r>
      <w:proofErr w:type="spellEnd"/>
      <w:r w:rsidRPr="00D7036F">
        <w:rPr>
          <w:sz w:val="24"/>
          <w:szCs w:val="22"/>
        </w:rPr>
        <w:t xml:space="preserve"> the Sales Projections </w:t>
      </w:r>
      <w:r w:rsidR="00213F2D" w:rsidRPr="00D7036F">
        <w:rPr>
          <w:sz w:val="24"/>
          <w:szCs w:val="22"/>
        </w:rPr>
        <w:t>S</w:t>
      </w:r>
      <w:r w:rsidRPr="00D7036F">
        <w:rPr>
          <w:sz w:val="24"/>
          <w:szCs w:val="22"/>
        </w:rPr>
        <w:t>preadsheet;</w:t>
      </w:r>
      <w:r w:rsidR="004B41AA" w:rsidRPr="00D7036F">
        <w:rPr>
          <w:sz w:val="24"/>
          <w:szCs w:val="22"/>
        </w:rPr>
        <w:t xml:space="preserve"> and</w:t>
      </w:r>
    </w:p>
    <w:p w14:paraId="29F5AA66" w14:textId="7B329CCC" w:rsidR="006D5118" w:rsidRDefault="006D5118" w:rsidP="00A4777A">
      <w:pPr>
        <w:pStyle w:val="Quote1"/>
        <w:numPr>
          <w:ilvl w:val="0"/>
          <w:numId w:val="27"/>
        </w:numPr>
        <w:ind w:left="1440" w:hanging="703"/>
      </w:pPr>
      <w:r w:rsidRPr="00D7036F">
        <w:rPr>
          <w:sz w:val="24"/>
          <w:szCs w:val="22"/>
        </w:rPr>
        <w:t>On 9 April 2020, Mr Tan emailed Mr Maison and requested that he issue a revised purchase</w:t>
      </w:r>
      <w:r w:rsidR="00D81EF0" w:rsidRPr="00D7036F">
        <w:rPr>
          <w:sz w:val="24"/>
          <w:szCs w:val="22"/>
        </w:rPr>
        <w:t xml:space="preserve"> order.</w:t>
      </w:r>
    </w:p>
    <w:p w14:paraId="1F210F82" w14:textId="24083A93" w:rsidR="006925A8" w:rsidRDefault="00210D41" w:rsidP="000D6D80">
      <w:pPr>
        <w:pStyle w:val="ParaNumbering"/>
      </w:pPr>
      <w:r>
        <w:t>On 9 April 2020</w:t>
      </w:r>
      <w:r w:rsidR="00C50A59">
        <w:t xml:space="preserve">, </w:t>
      </w:r>
      <w:r w:rsidR="00BB191A">
        <w:t xml:space="preserve">at approximately 12.53pm (AEST), </w:t>
      </w:r>
      <w:proofErr w:type="spellStart"/>
      <w:r>
        <w:t>Holista</w:t>
      </w:r>
      <w:proofErr w:type="spellEnd"/>
      <w:r>
        <w:t xml:space="preserve"> </w:t>
      </w:r>
      <w:r w:rsidR="00C50A59">
        <w:t xml:space="preserve">received </w:t>
      </w:r>
      <w:r w:rsidR="00602625">
        <w:t>an</w:t>
      </w:r>
      <w:r w:rsidR="00C50A59">
        <w:t xml:space="preserve"> </w:t>
      </w:r>
      <w:r>
        <w:t>ASX Aware Query</w:t>
      </w:r>
      <w:r w:rsidR="00E257F2">
        <w:t xml:space="preserve">. </w:t>
      </w:r>
      <w:r w:rsidR="00BA5790">
        <w:t xml:space="preserve"> </w:t>
      </w:r>
      <w:r w:rsidR="00DD750D">
        <w:t xml:space="preserve">Dr </w:t>
      </w:r>
      <w:proofErr w:type="spellStart"/>
      <w:r w:rsidR="00DD750D" w:rsidRPr="00E379C0">
        <w:t>Marnickavasagar</w:t>
      </w:r>
      <w:proofErr w:type="spellEnd"/>
      <w:r w:rsidR="00DD750D">
        <w:t xml:space="preserve"> </w:t>
      </w:r>
      <w:r w:rsidR="00D9640F">
        <w:t xml:space="preserve">authorised, </w:t>
      </w:r>
      <w:proofErr w:type="gramStart"/>
      <w:r w:rsidR="00D9640F">
        <w:t>permitted</w:t>
      </w:r>
      <w:proofErr w:type="gramEnd"/>
      <w:r w:rsidR="00D9640F">
        <w:t xml:space="preserve"> or otherwise approved </w:t>
      </w:r>
      <w:r w:rsidR="007A5B17">
        <w:t xml:space="preserve">the provision of </w:t>
      </w:r>
      <w:r w:rsidR="00BA5790">
        <w:t xml:space="preserve">a response, which included </w:t>
      </w:r>
      <w:r w:rsidR="006925A8">
        <w:t>information i</w:t>
      </w:r>
      <w:r w:rsidR="006925A8" w:rsidRPr="004B2C5B">
        <w:t xml:space="preserve">n </w:t>
      </w:r>
      <w:r w:rsidR="008D40C0" w:rsidRPr="004D2E10">
        <w:t>two</w:t>
      </w:r>
      <w:r w:rsidR="008D40C0" w:rsidRPr="004B2C5B">
        <w:t xml:space="preserve"> </w:t>
      </w:r>
      <w:r w:rsidR="006925A8" w:rsidRPr="004B2C5B">
        <w:t>d</w:t>
      </w:r>
      <w:r w:rsidR="006925A8">
        <w:t>ocuments:</w:t>
      </w:r>
    </w:p>
    <w:p w14:paraId="659C67EF" w14:textId="63392FC7" w:rsidR="00E5394F" w:rsidRPr="00D7036F" w:rsidRDefault="00427BF1" w:rsidP="00A4777A">
      <w:pPr>
        <w:pStyle w:val="Quote1"/>
        <w:numPr>
          <w:ilvl w:val="0"/>
          <w:numId w:val="24"/>
        </w:numPr>
        <w:ind w:left="1440" w:hanging="720"/>
        <w:rPr>
          <w:sz w:val="24"/>
          <w:szCs w:val="22"/>
        </w:rPr>
      </w:pPr>
      <w:r>
        <w:rPr>
          <w:sz w:val="24"/>
          <w:szCs w:val="22"/>
        </w:rPr>
        <w:t xml:space="preserve">a letter </w:t>
      </w:r>
      <w:r w:rsidR="00D9640F" w:rsidRPr="00D7036F">
        <w:rPr>
          <w:sz w:val="24"/>
          <w:szCs w:val="22"/>
        </w:rPr>
        <w:t xml:space="preserve">from </w:t>
      </w:r>
      <w:proofErr w:type="spellStart"/>
      <w:r w:rsidR="00D9640F" w:rsidRPr="00D7036F">
        <w:rPr>
          <w:sz w:val="24"/>
          <w:szCs w:val="22"/>
        </w:rPr>
        <w:t>Holista</w:t>
      </w:r>
      <w:proofErr w:type="spellEnd"/>
      <w:r w:rsidR="00D9640F" w:rsidRPr="00D7036F">
        <w:rPr>
          <w:sz w:val="24"/>
          <w:szCs w:val="22"/>
        </w:rPr>
        <w:t xml:space="preserve"> to the ASX dated 17 April 2020</w:t>
      </w:r>
      <w:r w:rsidR="0030529E" w:rsidRPr="00D7036F">
        <w:rPr>
          <w:sz w:val="24"/>
          <w:szCs w:val="22"/>
        </w:rPr>
        <w:t xml:space="preserve"> (</w:t>
      </w:r>
      <w:r w:rsidR="0030529E" w:rsidRPr="00D7036F">
        <w:rPr>
          <w:b/>
          <w:bCs/>
          <w:sz w:val="24"/>
          <w:szCs w:val="22"/>
        </w:rPr>
        <w:t>17 April ASX Response</w:t>
      </w:r>
      <w:r w:rsidR="0030529E" w:rsidRPr="00D7036F">
        <w:rPr>
          <w:sz w:val="24"/>
          <w:szCs w:val="22"/>
        </w:rPr>
        <w:t>) which, inter alia</w:t>
      </w:r>
      <w:r w:rsidR="00F06857" w:rsidRPr="00D7036F">
        <w:rPr>
          <w:sz w:val="24"/>
          <w:szCs w:val="22"/>
        </w:rPr>
        <w:t xml:space="preserve">, stated that prior to the press conference held on 20 February 2020, “final negotiations were concluded, </w:t>
      </w:r>
      <w:r w:rsidR="008D3DAB" w:rsidRPr="00D7036F">
        <w:rPr>
          <w:sz w:val="24"/>
          <w:szCs w:val="22"/>
        </w:rPr>
        <w:t>B</w:t>
      </w:r>
      <w:r w:rsidR="00F06857" w:rsidRPr="00D7036F">
        <w:rPr>
          <w:sz w:val="24"/>
          <w:szCs w:val="22"/>
        </w:rPr>
        <w:t xml:space="preserve">oard </w:t>
      </w:r>
      <w:r w:rsidR="008D3DAB" w:rsidRPr="00D7036F">
        <w:rPr>
          <w:sz w:val="24"/>
          <w:szCs w:val="22"/>
        </w:rPr>
        <w:t>a</w:t>
      </w:r>
      <w:r w:rsidR="00F06857" w:rsidRPr="00D7036F">
        <w:rPr>
          <w:sz w:val="24"/>
          <w:szCs w:val="22"/>
        </w:rPr>
        <w:t xml:space="preserve">pproval of the </w:t>
      </w:r>
      <w:r w:rsidR="003C043E" w:rsidRPr="00D7036F">
        <w:rPr>
          <w:sz w:val="24"/>
          <w:szCs w:val="22"/>
        </w:rPr>
        <w:t xml:space="preserve">20 February </w:t>
      </w:r>
      <w:r w:rsidR="00F06857" w:rsidRPr="00D7036F">
        <w:rPr>
          <w:sz w:val="24"/>
          <w:szCs w:val="22"/>
        </w:rPr>
        <w:t xml:space="preserve">Announcement was received, with a </w:t>
      </w:r>
      <w:r w:rsidR="003C043E" w:rsidRPr="00D7036F">
        <w:rPr>
          <w:sz w:val="24"/>
          <w:szCs w:val="22"/>
        </w:rPr>
        <w:t>‘</w:t>
      </w:r>
      <w:r w:rsidR="00C36170" w:rsidRPr="00D7036F">
        <w:rPr>
          <w:sz w:val="24"/>
          <w:szCs w:val="22"/>
        </w:rPr>
        <w:t>B</w:t>
      </w:r>
      <w:r w:rsidR="00F06857" w:rsidRPr="00D7036F">
        <w:rPr>
          <w:sz w:val="24"/>
          <w:szCs w:val="22"/>
        </w:rPr>
        <w:t xml:space="preserve">inding </w:t>
      </w:r>
      <w:r w:rsidR="00C36170" w:rsidRPr="00D7036F">
        <w:rPr>
          <w:sz w:val="24"/>
          <w:szCs w:val="22"/>
        </w:rPr>
        <w:t>Collaboration Term Sheet</w:t>
      </w:r>
      <w:r w:rsidR="003C043E" w:rsidRPr="00D7036F">
        <w:rPr>
          <w:sz w:val="24"/>
          <w:szCs w:val="22"/>
        </w:rPr>
        <w:t>’</w:t>
      </w:r>
      <w:r w:rsidR="00C36170" w:rsidRPr="00D7036F">
        <w:rPr>
          <w:sz w:val="24"/>
          <w:szCs w:val="22"/>
        </w:rPr>
        <w:t xml:space="preserve"> being executed, for the co-development of the Nasal Sanitising Balm for Global Markets”;</w:t>
      </w:r>
      <w:r w:rsidR="00954DF2" w:rsidRPr="00D7036F">
        <w:rPr>
          <w:sz w:val="24"/>
          <w:szCs w:val="22"/>
        </w:rPr>
        <w:t xml:space="preserve"> and</w:t>
      </w:r>
    </w:p>
    <w:p w14:paraId="2258C39B" w14:textId="21C05716" w:rsidR="00C36170" w:rsidRPr="007F6D32" w:rsidRDefault="00656FD9" w:rsidP="007F6D32">
      <w:pPr>
        <w:pStyle w:val="Quote1"/>
        <w:numPr>
          <w:ilvl w:val="0"/>
          <w:numId w:val="24"/>
        </w:numPr>
        <w:ind w:left="1440" w:hanging="720"/>
        <w:rPr>
          <w:sz w:val="24"/>
          <w:szCs w:val="22"/>
        </w:rPr>
      </w:pPr>
      <w:r w:rsidRPr="004A20DE">
        <w:rPr>
          <w:sz w:val="24"/>
          <w:szCs w:val="22"/>
        </w:rPr>
        <w:t>a</w:t>
      </w:r>
      <w:r w:rsidR="00427BF1">
        <w:rPr>
          <w:sz w:val="24"/>
          <w:szCs w:val="22"/>
        </w:rPr>
        <w:t xml:space="preserve"> letter </w:t>
      </w:r>
      <w:r w:rsidR="003259C2" w:rsidRPr="004A20DE">
        <w:rPr>
          <w:sz w:val="24"/>
          <w:szCs w:val="22"/>
        </w:rPr>
        <w:t xml:space="preserve">from </w:t>
      </w:r>
      <w:proofErr w:type="spellStart"/>
      <w:r w:rsidR="003259C2" w:rsidRPr="004A20DE">
        <w:rPr>
          <w:sz w:val="24"/>
          <w:szCs w:val="22"/>
        </w:rPr>
        <w:t>Holista</w:t>
      </w:r>
      <w:proofErr w:type="spellEnd"/>
      <w:r w:rsidR="003259C2" w:rsidRPr="004A20DE">
        <w:rPr>
          <w:sz w:val="24"/>
          <w:szCs w:val="22"/>
        </w:rPr>
        <w:t xml:space="preserve"> </w:t>
      </w:r>
      <w:r w:rsidR="001F00A0" w:rsidRPr="004A20DE">
        <w:rPr>
          <w:sz w:val="24"/>
          <w:szCs w:val="22"/>
        </w:rPr>
        <w:t>dated 20 April 2020 to the ASX (</w:t>
      </w:r>
      <w:r w:rsidR="001F00A0" w:rsidRPr="004A20DE">
        <w:rPr>
          <w:b/>
          <w:sz w:val="24"/>
          <w:szCs w:val="22"/>
        </w:rPr>
        <w:t>20 April ASX Response</w:t>
      </w:r>
      <w:r w:rsidR="001F00A0" w:rsidRPr="004A20DE">
        <w:rPr>
          <w:sz w:val="24"/>
          <w:szCs w:val="22"/>
        </w:rPr>
        <w:t>)</w:t>
      </w:r>
      <w:r w:rsidR="00C3026C" w:rsidRPr="004A20DE">
        <w:rPr>
          <w:sz w:val="24"/>
          <w:szCs w:val="22"/>
        </w:rPr>
        <w:t xml:space="preserve">, which </w:t>
      </w:r>
      <w:r w:rsidR="00F61B70" w:rsidRPr="004A20DE">
        <w:rPr>
          <w:sz w:val="24"/>
          <w:szCs w:val="22"/>
        </w:rPr>
        <w:t>contained</w:t>
      </w:r>
      <w:r w:rsidR="00463EC3" w:rsidRPr="004A20DE">
        <w:rPr>
          <w:sz w:val="24"/>
          <w:szCs w:val="22"/>
        </w:rPr>
        <w:t xml:space="preserve"> an amended </w:t>
      </w:r>
      <w:r w:rsidR="00CC2DEB" w:rsidRPr="004A20DE">
        <w:rPr>
          <w:sz w:val="24"/>
          <w:szCs w:val="22"/>
        </w:rPr>
        <w:t>version of</w:t>
      </w:r>
      <w:r w:rsidR="00463EC3" w:rsidRPr="004A20DE">
        <w:rPr>
          <w:sz w:val="24"/>
          <w:szCs w:val="22"/>
        </w:rPr>
        <w:t xml:space="preserve"> </w:t>
      </w:r>
      <w:r w:rsidR="00C3026C" w:rsidRPr="004A20DE">
        <w:rPr>
          <w:sz w:val="24"/>
          <w:szCs w:val="22"/>
        </w:rPr>
        <w:t>the</w:t>
      </w:r>
      <w:r w:rsidR="000E57CB" w:rsidRPr="004A20DE">
        <w:rPr>
          <w:sz w:val="24"/>
          <w:szCs w:val="22"/>
        </w:rPr>
        <w:t xml:space="preserve"> </w:t>
      </w:r>
      <w:r w:rsidR="00C3026C" w:rsidRPr="004A20DE">
        <w:rPr>
          <w:sz w:val="24"/>
          <w:szCs w:val="22"/>
        </w:rPr>
        <w:t>17 April ASX Response</w:t>
      </w:r>
      <w:r w:rsidR="00EF01CF" w:rsidRPr="004A20DE">
        <w:rPr>
          <w:sz w:val="24"/>
          <w:szCs w:val="22"/>
        </w:rPr>
        <w:t xml:space="preserve">, </w:t>
      </w:r>
      <w:r w:rsidR="005D3C2B" w:rsidRPr="004A20DE">
        <w:rPr>
          <w:sz w:val="24"/>
          <w:szCs w:val="22"/>
        </w:rPr>
        <w:t>and noted</w:t>
      </w:r>
      <w:r w:rsidR="00EF01CF" w:rsidRPr="004A20DE">
        <w:rPr>
          <w:sz w:val="24"/>
          <w:szCs w:val="22"/>
        </w:rPr>
        <w:t>, inter alia,</w:t>
      </w:r>
      <w:r w:rsidR="00F61B70" w:rsidRPr="004A20DE">
        <w:rPr>
          <w:sz w:val="24"/>
          <w:szCs w:val="22"/>
        </w:rPr>
        <w:t xml:space="preserve"> that</w:t>
      </w:r>
      <w:r w:rsidR="002E4C5C" w:rsidRPr="004A20DE">
        <w:rPr>
          <w:sz w:val="24"/>
          <w:szCs w:val="22"/>
        </w:rPr>
        <w:t xml:space="preserve"> before </w:t>
      </w:r>
      <w:r w:rsidR="00553AAA" w:rsidRPr="004A20DE">
        <w:rPr>
          <w:sz w:val="24"/>
          <w:szCs w:val="22"/>
        </w:rPr>
        <w:t xml:space="preserve">20 February 2020, the Board of </w:t>
      </w:r>
      <w:proofErr w:type="spellStart"/>
      <w:r w:rsidR="00553AAA" w:rsidRPr="004A20DE">
        <w:rPr>
          <w:sz w:val="24"/>
          <w:szCs w:val="22"/>
        </w:rPr>
        <w:t>Holista</w:t>
      </w:r>
      <w:proofErr w:type="spellEnd"/>
      <w:r w:rsidR="00553AAA" w:rsidRPr="004A20DE">
        <w:rPr>
          <w:sz w:val="24"/>
          <w:szCs w:val="22"/>
        </w:rPr>
        <w:t xml:space="preserve"> believed the transaction to be “sufficiently indefinite that the subject matter of the BCTS and the BCTS itself were not price sensitive”.</w:t>
      </w:r>
    </w:p>
    <w:p w14:paraId="15180196" w14:textId="269DA9D2" w:rsidR="000F69F5" w:rsidRDefault="000F69F5" w:rsidP="000D6D80">
      <w:pPr>
        <w:pStyle w:val="ParaNumbering"/>
      </w:pPr>
      <w:r>
        <w:t>On 22 April 2020</w:t>
      </w:r>
      <w:r w:rsidR="00672F78">
        <w:t>,</w:t>
      </w:r>
      <w:r>
        <w:t xml:space="preserve"> at </w:t>
      </w:r>
      <w:r w:rsidR="002A2A51">
        <w:t xml:space="preserve">approximately </w:t>
      </w:r>
      <w:r>
        <w:t>11.34am (AWST)</w:t>
      </w:r>
      <w:r w:rsidR="00C355C2">
        <w:t xml:space="preserve"> (</w:t>
      </w:r>
      <w:r w:rsidR="00C355C2" w:rsidRPr="00C355C2">
        <w:rPr>
          <w:b/>
          <w:bCs/>
        </w:rPr>
        <w:t>22 April 2020 Email</w:t>
      </w:r>
      <w:r w:rsidR="00C355C2">
        <w:t>)</w:t>
      </w:r>
      <w:r>
        <w:t>, Mr Ma</w:t>
      </w:r>
      <w:r w:rsidR="00EC43EF">
        <w:t>i</w:t>
      </w:r>
      <w:r>
        <w:t>s</w:t>
      </w:r>
      <w:r w:rsidR="00EC43EF">
        <w:t>o</w:t>
      </w:r>
      <w:r>
        <w:t xml:space="preserve">n emailed Mr Tan and Dr </w:t>
      </w:r>
      <w:proofErr w:type="spellStart"/>
      <w:r w:rsidRPr="00E379C0">
        <w:t>Marnickavasagar</w:t>
      </w:r>
      <w:proofErr w:type="spellEnd"/>
      <w:r w:rsidR="00795AF5">
        <w:t>,</w:t>
      </w:r>
      <w:r>
        <w:t xml:space="preserve"> </w:t>
      </w:r>
      <w:r w:rsidR="00795AF5">
        <w:t>saying</w:t>
      </w:r>
      <w:r>
        <w:t>:</w:t>
      </w:r>
    </w:p>
    <w:p w14:paraId="0B041FB4" w14:textId="40C1E940" w:rsidR="000F69F5" w:rsidRDefault="00434303" w:rsidP="00A4777A">
      <w:pPr>
        <w:pStyle w:val="Quote1"/>
        <w:numPr>
          <w:ilvl w:val="0"/>
          <w:numId w:val="28"/>
        </w:numPr>
        <w:ind w:left="1440" w:hanging="703"/>
      </w:pPr>
      <w:r>
        <w:t>[he]</w:t>
      </w:r>
      <w:r w:rsidR="000F69F5">
        <w:t xml:space="preserve"> never agreed to prepay for stock and hold it in the </w:t>
      </w:r>
      <w:proofErr w:type="gramStart"/>
      <w:r w:rsidR="000F69F5">
        <w:t>USA;</w:t>
      </w:r>
      <w:proofErr w:type="gramEnd"/>
    </w:p>
    <w:p w14:paraId="47EE487D" w14:textId="3DA6C018" w:rsidR="000F69F5" w:rsidRDefault="00434303" w:rsidP="00A4777A">
      <w:pPr>
        <w:pStyle w:val="Quote1"/>
        <w:numPr>
          <w:ilvl w:val="0"/>
          <w:numId w:val="28"/>
        </w:numPr>
        <w:ind w:left="1440" w:hanging="703"/>
      </w:pPr>
      <w:r>
        <w:t>[he]</w:t>
      </w:r>
      <w:r w:rsidR="000F69F5">
        <w:t xml:space="preserve"> </w:t>
      </w:r>
      <w:r>
        <w:t xml:space="preserve">[was] </w:t>
      </w:r>
      <w:r w:rsidR="000F69F5">
        <w:t xml:space="preserve">still selling the original order </w:t>
      </w:r>
      <w:r>
        <w:t>[he]</w:t>
      </w:r>
      <w:r w:rsidR="000F69F5">
        <w:t xml:space="preserve"> had, and </w:t>
      </w:r>
      <w:r>
        <w:t xml:space="preserve">[had] </w:t>
      </w:r>
      <w:r w:rsidR="000F69F5">
        <w:t xml:space="preserve">more sales coming </w:t>
      </w:r>
      <w:r>
        <w:t xml:space="preserve">[that] </w:t>
      </w:r>
      <w:proofErr w:type="gramStart"/>
      <w:r w:rsidR="000F69F5">
        <w:t>week;</w:t>
      </w:r>
      <w:proofErr w:type="gramEnd"/>
    </w:p>
    <w:p w14:paraId="48B9C53F" w14:textId="636DEFFA" w:rsidR="0074331E" w:rsidRDefault="0074331E" w:rsidP="00CC2C8C">
      <w:pPr>
        <w:pStyle w:val="Quote1"/>
        <w:numPr>
          <w:ilvl w:val="0"/>
          <w:numId w:val="28"/>
        </w:numPr>
        <w:spacing w:after="240"/>
        <w:ind w:left="1440" w:hanging="703"/>
      </w:pPr>
      <w:r>
        <w:t xml:space="preserve">Dr Rajen and </w:t>
      </w:r>
      <w:r w:rsidR="00434303">
        <w:t>[</w:t>
      </w:r>
      <w:r w:rsidR="00B36464">
        <w:t>Mr Maison]</w:t>
      </w:r>
      <w:r>
        <w:t xml:space="preserve"> agreed the stock would be sent so that </w:t>
      </w:r>
      <w:r w:rsidR="00B36464">
        <w:t xml:space="preserve">[they] </w:t>
      </w:r>
      <w:r>
        <w:t xml:space="preserve">had stock in the USA available as </w:t>
      </w:r>
      <w:r w:rsidR="00B36464">
        <w:t xml:space="preserve">[they] </w:t>
      </w:r>
      <w:r>
        <w:t xml:space="preserve">sold to distributors, not that </w:t>
      </w:r>
      <w:r w:rsidR="00FE247F">
        <w:t>[</w:t>
      </w:r>
      <w:r w:rsidR="00B36464">
        <w:t>Mr Maison]</w:t>
      </w:r>
      <w:r>
        <w:t xml:space="preserve"> pay in advance for stock</w:t>
      </w:r>
      <w:r w:rsidR="005578BC">
        <w:t>.</w:t>
      </w:r>
    </w:p>
    <w:p w14:paraId="549530CB" w14:textId="0BBE169D" w:rsidR="00B34F23" w:rsidRDefault="00B34F23" w:rsidP="000D6D80">
      <w:pPr>
        <w:pStyle w:val="ParaNumbering"/>
      </w:pPr>
      <w:r>
        <w:t xml:space="preserve">On 29 April 2020, </w:t>
      </w:r>
      <w:proofErr w:type="spellStart"/>
      <w:r>
        <w:t>Holista</w:t>
      </w:r>
      <w:proofErr w:type="spellEnd"/>
      <w:r>
        <w:t xml:space="preserve"> released</w:t>
      </w:r>
      <w:r w:rsidR="005C130C">
        <w:t xml:space="preserve"> an announcement</w:t>
      </w:r>
      <w:r w:rsidR="00CB7CBE">
        <w:t xml:space="preserve"> to the ASX</w:t>
      </w:r>
      <w:r w:rsidR="00906411">
        <w:t>,</w:t>
      </w:r>
      <w:r w:rsidR="005C130C">
        <w:t xml:space="preserve"> entitled “</w:t>
      </w:r>
      <w:proofErr w:type="spellStart"/>
      <w:r w:rsidR="005C130C">
        <w:t>Holista</w:t>
      </w:r>
      <w:proofErr w:type="spellEnd"/>
      <w:r w:rsidR="005C130C">
        <w:t xml:space="preserve"> </w:t>
      </w:r>
      <w:proofErr w:type="spellStart"/>
      <w:r w:rsidR="005C130C">
        <w:t>Colltech</w:t>
      </w:r>
      <w:proofErr w:type="spellEnd"/>
      <w:r w:rsidR="005C130C">
        <w:t xml:space="preserve"> Limited </w:t>
      </w:r>
      <w:r w:rsidR="005C130C" w:rsidRPr="00302A71">
        <w:rPr>
          <w:b/>
          <w:bCs/>
        </w:rPr>
        <w:t>Appendix 4C</w:t>
      </w:r>
      <w:r w:rsidR="005C130C">
        <w:t xml:space="preserve"> Quarterly Report</w:t>
      </w:r>
      <w:r w:rsidR="00906411">
        <w:t>”</w:t>
      </w:r>
      <w:r w:rsidR="005C130C">
        <w:t>.</w:t>
      </w:r>
    </w:p>
    <w:p w14:paraId="574CF795" w14:textId="5B7339C8" w:rsidR="005C130C" w:rsidRDefault="005C130C" w:rsidP="000D6D80">
      <w:pPr>
        <w:pStyle w:val="ParaNumbering"/>
      </w:pPr>
      <w:r>
        <w:t xml:space="preserve">On 31 May 2020, Dr </w:t>
      </w:r>
      <w:proofErr w:type="spellStart"/>
      <w:r w:rsidRPr="00E379C0">
        <w:t>Marnickavasagar</w:t>
      </w:r>
      <w:proofErr w:type="spellEnd"/>
      <w:r w:rsidR="00A948D3">
        <w:t xml:space="preserve"> emailed Mr Masion</w:t>
      </w:r>
      <w:r w:rsidR="00E5194B">
        <w:t>, stating “the following” was “[needed]”</w:t>
      </w:r>
      <w:r w:rsidR="00A948D3">
        <w:t>:</w:t>
      </w:r>
    </w:p>
    <w:p w14:paraId="67AE7253" w14:textId="47BA9DC4" w:rsidR="00A948D3" w:rsidRDefault="00CB7CBE" w:rsidP="00A4777A">
      <w:pPr>
        <w:pStyle w:val="Quote1"/>
        <w:numPr>
          <w:ilvl w:val="0"/>
          <w:numId w:val="29"/>
        </w:numPr>
        <w:ind w:left="1440" w:hanging="720"/>
      </w:pPr>
      <w:r>
        <w:t>w</w:t>
      </w:r>
      <w:r w:rsidR="00A948D3">
        <w:t xml:space="preserve">eekly reports of sales (from </w:t>
      </w:r>
      <w:r w:rsidR="172C306D">
        <w:t>H</w:t>
      </w:r>
      <w:r w:rsidR="00A948D3">
        <w:t xml:space="preserve">ealth Therapies) to the </w:t>
      </w:r>
      <w:proofErr w:type="gramStart"/>
      <w:r w:rsidR="00A948D3">
        <w:t>market;</w:t>
      </w:r>
      <w:proofErr w:type="gramEnd"/>
    </w:p>
    <w:p w14:paraId="3F7F1BAD" w14:textId="7152A4A8" w:rsidR="00A948D3" w:rsidRDefault="00CB7CBE" w:rsidP="00A4777A">
      <w:pPr>
        <w:pStyle w:val="Quote1"/>
        <w:numPr>
          <w:ilvl w:val="0"/>
          <w:numId w:val="29"/>
        </w:numPr>
        <w:ind w:left="1440" w:hanging="720"/>
      </w:pPr>
      <w:r>
        <w:t>a</w:t>
      </w:r>
      <w:r w:rsidR="00A948D3">
        <w:t xml:space="preserve"> breakdown of all the sales </w:t>
      </w:r>
      <w:proofErr w:type="gramStart"/>
      <w:r w:rsidR="00A948D3">
        <w:t>channels;</w:t>
      </w:r>
      <w:proofErr w:type="gramEnd"/>
    </w:p>
    <w:p w14:paraId="57209577" w14:textId="2A2CC84E" w:rsidR="00A948D3" w:rsidRDefault="00CB7CBE" w:rsidP="00A4777A">
      <w:pPr>
        <w:pStyle w:val="Quote1"/>
        <w:numPr>
          <w:ilvl w:val="0"/>
          <w:numId w:val="29"/>
        </w:numPr>
        <w:ind w:left="1440" w:hanging="720"/>
      </w:pPr>
      <w:r>
        <w:t>a</w:t>
      </w:r>
      <w:r w:rsidR="00A948D3">
        <w:t xml:space="preserve"> clear business plan with </w:t>
      </w:r>
      <w:r w:rsidR="00B74613">
        <w:t>breakdown</w:t>
      </w:r>
      <w:r w:rsidR="00A948D3">
        <w:t xml:space="preserve"> of sale, stock forecast, sales-</w:t>
      </w:r>
      <w:r w:rsidR="00FC67CA">
        <w:t xml:space="preserve"> </w:t>
      </w:r>
      <w:r w:rsidR="00A948D3">
        <w:t xml:space="preserve">related activities, marketing related activities and marketing budget </w:t>
      </w:r>
      <w:proofErr w:type="gramStart"/>
      <w:r w:rsidR="00A948D3">
        <w:t>allocation;</w:t>
      </w:r>
      <w:proofErr w:type="gramEnd"/>
    </w:p>
    <w:p w14:paraId="3E4C48FE" w14:textId="54755F12" w:rsidR="00A948D3" w:rsidRDefault="00CB7CBE" w:rsidP="00A4777A">
      <w:pPr>
        <w:pStyle w:val="Quote1"/>
        <w:numPr>
          <w:ilvl w:val="0"/>
          <w:numId w:val="29"/>
        </w:numPr>
        <w:ind w:left="1440" w:hanging="720"/>
      </w:pPr>
      <w:r>
        <w:t>a</w:t>
      </w:r>
      <w:r w:rsidR="00A948D3">
        <w:t xml:space="preserve"> </w:t>
      </w:r>
      <w:proofErr w:type="gramStart"/>
      <w:r w:rsidR="00A948D3">
        <w:t>monthly sales</w:t>
      </w:r>
      <w:proofErr w:type="gramEnd"/>
      <w:r w:rsidR="00A948D3">
        <w:t xml:space="preserve"> review;</w:t>
      </w:r>
    </w:p>
    <w:p w14:paraId="2AB24830" w14:textId="650DB6B8" w:rsidR="00A948D3" w:rsidRDefault="00CB7CBE" w:rsidP="00A4777A">
      <w:pPr>
        <w:pStyle w:val="Quote1"/>
        <w:numPr>
          <w:ilvl w:val="0"/>
          <w:numId w:val="29"/>
        </w:numPr>
        <w:spacing w:after="240"/>
        <w:ind w:left="1440" w:hanging="720"/>
      </w:pPr>
      <w:r>
        <w:t>w</w:t>
      </w:r>
      <w:r w:rsidR="00A948D3">
        <w:t>ebsites to reflect the same message and need</w:t>
      </w:r>
      <w:r w:rsidR="2D2EDB6F">
        <w:t>ed</w:t>
      </w:r>
      <w:r w:rsidR="00A948D3">
        <w:t xml:space="preserve"> to be reviewed.</w:t>
      </w:r>
    </w:p>
    <w:p w14:paraId="4CD0A841" w14:textId="5944F1B2" w:rsidR="00B74613" w:rsidRDefault="00BC3D44" w:rsidP="000D6D80">
      <w:pPr>
        <w:pStyle w:val="ParaNumbering"/>
      </w:pPr>
      <w:r>
        <w:lastRenderedPageBreak/>
        <w:t xml:space="preserve">On 4 June 2020, at </w:t>
      </w:r>
      <w:r w:rsidR="00B74613">
        <w:t xml:space="preserve">a meeting of the Board of </w:t>
      </w:r>
      <w:proofErr w:type="spellStart"/>
      <w:r w:rsidR="00B74613">
        <w:t>Holista</w:t>
      </w:r>
      <w:proofErr w:type="spellEnd"/>
      <w:r w:rsidR="00B74613">
        <w:t>, members discussed</w:t>
      </w:r>
      <w:r w:rsidR="00F647B9">
        <w:t xml:space="preserve"> the need to make an announcement to the ASX if </w:t>
      </w:r>
      <w:proofErr w:type="spellStart"/>
      <w:r w:rsidR="00F647B9">
        <w:t>Holista</w:t>
      </w:r>
      <w:proofErr w:type="spellEnd"/>
      <w:r w:rsidR="00F647B9">
        <w:t xml:space="preserve"> was not going to mee</w:t>
      </w:r>
      <w:r w:rsidR="00B36DDD">
        <w:t>t</w:t>
      </w:r>
      <w:r w:rsidR="00F647B9">
        <w:t xml:space="preserve"> its expected sales </w:t>
      </w:r>
      <w:r w:rsidR="00692070">
        <w:t>targets.</w:t>
      </w:r>
    </w:p>
    <w:p w14:paraId="6D491EA8" w14:textId="7E838298" w:rsidR="004E25AF" w:rsidRDefault="004E25AF" w:rsidP="000D6D80">
      <w:pPr>
        <w:pStyle w:val="ParaNumbering"/>
      </w:pPr>
      <w:r>
        <w:t xml:space="preserve">On 25 June 2020, Health Therapies submitted four purchase orders to </w:t>
      </w:r>
      <w:proofErr w:type="spellStart"/>
      <w:r>
        <w:t>Holista</w:t>
      </w:r>
      <w:proofErr w:type="spellEnd"/>
      <w:r>
        <w:t xml:space="preserve"> for orders </w:t>
      </w:r>
      <w:r w:rsidR="007A3E86">
        <w:t>totalling</w:t>
      </w:r>
      <w:r>
        <w:t xml:space="preserve"> 30</w:t>
      </w:r>
      <w:r w:rsidR="007A3E86">
        <w:t xml:space="preserve">2,400 bottles of </w:t>
      </w:r>
      <w:proofErr w:type="spellStart"/>
      <w:r w:rsidR="007A3E86">
        <w:t>NatShield</w:t>
      </w:r>
      <w:proofErr w:type="spellEnd"/>
      <w:r w:rsidR="007A3E86">
        <w:t xml:space="preserve"> </w:t>
      </w:r>
      <w:r w:rsidR="007421EA">
        <w:t>(</w:t>
      </w:r>
      <w:r w:rsidR="007A3E86">
        <w:t xml:space="preserve">although these </w:t>
      </w:r>
      <w:r w:rsidR="007421EA">
        <w:t xml:space="preserve">orders </w:t>
      </w:r>
      <w:r w:rsidR="007A3E86">
        <w:t>were ultimately</w:t>
      </w:r>
      <w:r w:rsidR="007421EA">
        <w:t xml:space="preserve"> not</w:t>
      </w:r>
      <w:r w:rsidR="007A3E86">
        <w:t xml:space="preserve"> paid by Health Therapies</w:t>
      </w:r>
      <w:r w:rsidR="007421EA">
        <w:t>)</w:t>
      </w:r>
      <w:r w:rsidR="007A3E86">
        <w:t>.</w:t>
      </w:r>
    </w:p>
    <w:p w14:paraId="45A4740F" w14:textId="1AD2E86E" w:rsidR="000568B6" w:rsidRDefault="000568B6" w:rsidP="000D6D80">
      <w:pPr>
        <w:pStyle w:val="ParaNumbering"/>
      </w:pPr>
      <w:r>
        <w:t xml:space="preserve">Between 29 June 2020 and 8 July 2020, drafts of an ASX </w:t>
      </w:r>
      <w:r w:rsidR="00EF7085">
        <w:t>a</w:t>
      </w:r>
      <w:r>
        <w:t xml:space="preserve">nnouncement providing an </w:t>
      </w:r>
      <w:r w:rsidR="00A6261B">
        <w:t>update</w:t>
      </w:r>
      <w:r>
        <w:t xml:space="preserve"> on sales of </w:t>
      </w:r>
      <w:proofErr w:type="spellStart"/>
      <w:r>
        <w:t>NatShield</w:t>
      </w:r>
      <w:proofErr w:type="spellEnd"/>
      <w:r>
        <w:t xml:space="preserve"> were circulated amongst Mr </w:t>
      </w:r>
      <w:r w:rsidR="000C2E30">
        <w:t>T</w:t>
      </w:r>
      <w:r>
        <w:t>an and members of the Board</w:t>
      </w:r>
      <w:r w:rsidR="00EF7085">
        <w:t xml:space="preserve"> of </w:t>
      </w:r>
      <w:proofErr w:type="spellStart"/>
      <w:r w:rsidR="00EF7085">
        <w:t>Holista</w:t>
      </w:r>
      <w:proofErr w:type="spellEnd"/>
      <w:r w:rsidR="00A6261B">
        <w:t>. Correspondence between Mr Tan and Mr Maison (cop</w:t>
      </w:r>
      <w:r w:rsidR="00EF7085">
        <w:t>ying in</w:t>
      </w:r>
      <w:r w:rsidR="00A6261B">
        <w:t xml:space="preserve"> Dr </w:t>
      </w:r>
      <w:proofErr w:type="spellStart"/>
      <w:r w:rsidR="00A6261B" w:rsidRPr="00E379C0">
        <w:t>Marnickavasagar</w:t>
      </w:r>
      <w:proofErr w:type="spellEnd"/>
      <w:r w:rsidR="00A6261B">
        <w:t>) also occurred</w:t>
      </w:r>
      <w:r w:rsidR="007E78CC">
        <w:t xml:space="preserve"> during the same period</w:t>
      </w:r>
      <w:r w:rsidR="005B278C">
        <w:t>.</w:t>
      </w:r>
    </w:p>
    <w:p w14:paraId="639A9156" w14:textId="17995906" w:rsidR="003638CC" w:rsidRDefault="004102B1" w:rsidP="000D6D80">
      <w:pPr>
        <w:pStyle w:val="ParaNumbering"/>
      </w:pPr>
      <w:r>
        <w:t xml:space="preserve">On 9 July 2020 at around 10.40am (AEST), </w:t>
      </w:r>
      <w:proofErr w:type="spellStart"/>
      <w:r>
        <w:t>Holista</w:t>
      </w:r>
      <w:proofErr w:type="spellEnd"/>
      <w:r>
        <w:t xml:space="preserve"> </w:t>
      </w:r>
      <w:r w:rsidR="007E78CC">
        <w:t>provided the</w:t>
      </w:r>
      <w:r>
        <w:t xml:space="preserve"> ASX </w:t>
      </w:r>
      <w:r w:rsidR="007E78CC">
        <w:t xml:space="preserve">with </w:t>
      </w:r>
      <w:r>
        <w:t>and published an announcement on the MAP (</w:t>
      </w:r>
      <w:r w:rsidR="00A82A86" w:rsidRPr="00A82A86">
        <w:rPr>
          <w:b/>
          <w:bCs/>
        </w:rPr>
        <w:t>9 July 2020 Announcement</w:t>
      </w:r>
      <w:r w:rsidR="00A82A86">
        <w:t>), pursuant to which it disclosed:</w:t>
      </w:r>
    </w:p>
    <w:p w14:paraId="0B62078A" w14:textId="5021A146" w:rsidR="00A82A86" w:rsidRPr="00844FA7" w:rsidRDefault="009621B9" w:rsidP="00844FA7">
      <w:pPr>
        <w:pStyle w:val="Quote1"/>
        <w:ind w:left="1440" w:hanging="703"/>
        <w:rPr>
          <w:i/>
        </w:rPr>
      </w:pPr>
      <w:r w:rsidRPr="006A71BE">
        <w:rPr>
          <w:i/>
        </w:rPr>
        <w:t xml:space="preserve">(a) </w:t>
      </w:r>
      <w:r w:rsidR="00844FA7">
        <w:tab/>
      </w:r>
      <w:r w:rsidR="00FD11AA" w:rsidRPr="00844FA7">
        <w:rPr>
          <w:i/>
        </w:rPr>
        <w:t>As a result of the “lockdown”, travel restrictions and race related unrest in the United States supply chains have been disrupted including the availability of bottlers, retail listings have been delayed and to prevent</w:t>
      </w:r>
      <w:r w:rsidR="00DA6039" w:rsidRPr="00844FA7">
        <w:rPr>
          <w:i/>
        </w:rPr>
        <w:t xml:space="preserve"> price gouging major e-commerce platforms have imposed listing restrictions (especially in relation to new brands). Whilst these conditions have now eased somewhat, targeted sales of $A3.8 million from Health Therapies LLC by 30 June 2020 (as announced on 9 April 2020) had been scaled back and/or delayed by the purchasing parties; and</w:t>
      </w:r>
    </w:p>
    <w:p w14:paraId="6C271306" w14:textId="25530B24" w:rsidR="00DA6039" w:rsidRPr="00405E19" w:rsidRDefault="00844FA7" w:rsidP="00844FA7">
      <w:pPr>
        <w:pStyle w:val="Quote1"/>
        <w:ind w:left="1440" w:hanging="703"/>
        <w:rPr>
          <w:i/>
          <w:iCs/>
        </w:rPr>
      </w:pPr>
      <w:r w:rsidRPr="00844FA7">
        <w:rPr>
          <w:i/>
          <w:iCs/>
        </w:rPr>
        <w:t>(b)</w:t>
      </w:r>
      <w:r w:rsidRPr="00844FA7">
        <w:rPr>
          <w:i/>
          <w:iCs/>
        </w:rPr>
        <w:tab/>
      </w:r>
      <w:r w:rsidR="00DA6039" w:rsidRPr="00405E19">
        <w:rPr>
          <w:i/>
          <w:iCs/>
        </w:rPr>
        <w:t xml:space="preserve">Notwithstanding the above, for the six months ended 30 June 2020, </w:t>
      </w:r>
      <w:proofErr w:type="spellStart"/>
      <w:r w:rsidR="00DA6039" w:rsidRPr="00405E19">
        <w:rPr>
          <w:i/>
          <w:iCs/>
        </w:rPr>
        <w:t>Holista</w:t>
      </w:r>
      <w:proofErr w:type="spellEnd"/>
      <w:r w:rsidR="00DA6039" w:rsidRPr="00405E19">
        <w:rPr>
          <w:i/>
          <w:iCs/>
        </w:rPr>
        <w:t xml:space="preserve"> now expects to record revenue of A$0.5m for the sale of </w:t>
      </w:r>
      <w:proofErr w:type="spellStart"/>
      <w:r w:rsidR="00DA6039" w:rsidRPr="00405E19">
        <w:rPr>
          <w:i/>
          <w:iCs/>
        </w:rPr>
        <w:t>NatShield</w:t>
      </w:r>
      <w:proofErr w:type="spellEnd"/>
      <w:r w:rsidR="00DA6039" w:rsidRPr="00405E19">
        <w:rPr>
          <w:i/>
          <w:iCs/>
        </w:rPr>
        <w:t>™ hand sanitisers globally, of which approximately a third is from Health Therapies LLC.</w:t>
      </w:r>
    </w:p>
    <w:p w14:paraId="7F8390B9" w14:textId="625B51E9" w:rsidR="00DA6039" w:rsidRDefault="00DA6039" w:rsidP="000D6D80">
      <w:pPr>
        <w:pStyle w:val="ParaNumbering"/>
      </w:pPr>
      <w:r>
        <w:t xml:space="preserve">On 9 July 2020, the </w:t>
      </w:r>
      <w:proofErr w:type="spellStart"/>
      <w:r w:rsidR="00ED171D">
        <w:t>Ho</w:t>
      </w:r>
      <w:r>
        <w:t>lista</w:t>
      </w:r>
      <w:proofErr w:type="spellEnd"/>
      <w:r>
        <w:t xml:space="preserve"> closing share price was $0.</w:t>
      </w:r>
      <w:r w:rsidR="00ED171D">
        <w:t>092.</w:t>
      </w:r>
    </w:p>
    <w:p w14:paraId="0B2C870E" w14:textId="63D25753" w:rsidR="00E55A16" w:rsidRDefault="00E55A16" w:rsidP="00E55A16">
      <w:pPr>
        <w:pStyle w:val="Heading1"/>
      </w:pPr>
      <w:bookmarkStart w:id="28" w:name="_Ref161673103"/>
      <w:r>
        <w:t>Holista’s Liability</w:t>
      </w:r>
      <w:bookmarkEnd w:id="28"/>
    </w:p>
    <w:p w14:paraId="60BDD02B" w14:textId="2568733F" w:rsidR="00721060" w:rsidRDefault="00721060" w:rsidP="00721060">
      <w:pPr>
        <w:pStyle w:val="Heading2"/>
      </w:pPr>
      <w:bookmarkStart w:id="29" w:name="_Ref161673104"/>
      <w:r>
        <w:t>Legislative provisions relevant to liability</w:t>
      </w:r>
      <w:bookmarkEnd w:id="29"/>
    </w:p>
    <w:p w14:paraId="22238F59" w14:textId="60BC8A98" w:rsidR="00721060" w:rsidRDefault="00721060" w:rsidP="000D6D80">
      <w:pPr>
        <w:pStyle w:val="ParaNumbering"/>
      </w:pPr>
      <w:r>
        <w:t>Section 674</w:t>
      </w:r>
      <w:r w:rsidR="003A78C2">
        <w:t xml:space="preserve"> of the </w:t>
      </w:r>
      <w:r w:rsidR="003A78C2" w:rsidRPr="000B5868">
        <w:rPr>
          <w:i/>
          <w:iCs/>
        </w:rPr>
        <w:t>Corporations Act</w:t>
      </w:r>
      <w:r>
        <w:t xml:space="preserve"> imposes an obligation on a listed entity to disclose information in accordance with listing rules. </w:t>
      </w:r>
      <w:r w:rsidRPr="006D16BF">
        <w:t>At the time relevant to these proceedings, failure to comply with s 674(2) was both an offence (s 1311(1)) and a civil penalty provision</w:t>
      </w:r>
      <w:r>
        <w:t xml:space="preserve"> (s</w:t>
      </w:r>
      <w:r w:rsidR="003A78C2">
        <w:t xml:space="preserve"> </w:t>
      </w:r>
      <w:r>
        <w:t>1317E)</w:t>
      </w:r>
      <w:r w:rsidR="000363B0">
        <w:t xml:space="preserve">: </w:t>
      </w:r>
      <w:r w:rsidR="00AE6127">
        <w:t xml:space="preserve">registered </w:t>
      </w:r>
      <w:r w:rsidR="00D55BBD">
        <w:t xml:space="preserve">27/09/2021 to </w:t>
      </w:r>
      <w:r w:rsidR="00B46A57" w:rsidRPr="00B46A57">
        <w:t>C2004A00818</w:t>
      </w:r>
      <w:r>
        <w:t>. Relevantly, it provided:</w:t>
      </w:r>
    </w:p>
    <w:p w14:paraId="493F1575" w14:textId="1DE71F75" w:rsidR="00721060" w:rsidRPr="00D03589" w:rsidRDefault="00D03589" w:rsidP="008D6D7B">
      <w:pPr>
        <w:pStyle w:val="Quote1"/>
        <w:ind w:left="1440" w:hanging="703"/>
        <w:rPr>
          <w:b/>
          <w:bCs/>
        </w:rPr>
      </w:pPr>
      <w:r w:rsidRPr="00D03589">
        <w:rPr>
          <w:b/>
          <w:bCs/>
        </w:rPr>
        <w:t>674</w:t>
      </w:r>
      <w:r w:rsidRPr="00D03589">
        <w:rPr>
          <w:b/>
          <w:bCs/>
        </w:rPr>
        <w:tab/>
      </w:r>
      <w:r w:rsidR="00721060" w:rsidRPr="00D03589">
        <w:rPr>
          <w:b/>
          <w:bCs/>
        </w:rPr>
        <w:t>Continuous</w:t>
      </w:r>
      <w:r w:rsidR="00500F05" w:rsidRPr="00D03589">
        <w:rPr>
          <w:b/>
          <w:bCs/>
        </w:rPr>
        <w:t xml:space="preserve"> </w:t>
      </w:r>
      <w:proofErr w:type="gramStart"/>
      <w:r w:rsidR="00721060" w:rsidRPr="00D03589">
        <w:rPr>
          <w:b/>
          <w:bCs/>
        </w:rPr>
        <w:t>disclosure</w:t>
      </w:r>
      <w:proofErr w:type="gramEnd"/>
      <w:r w:rsidR="00721060" w:rsidRPr="00D03589">
        <w:rPr>
          <w:b/>
          <w:bCs/>
        </w:rPr>
        <w:t>—listed disclosing entity bound by a disclosure requirement in market listing rules</w:t>
      </w:r>
    </w:p>
    <w:p w14:paraId="14271853" w14:textId="2254DFEA" w:rsidR="00721060" w:rsidRPr="0089683F" w:rsidRDefault="00721060" w:rsidP="0089683F">
      <w:pPr>
        <w:pStyle w:val="Quote2"/>
        <w:rPr>
          <w:i/>
          <w:iCs/>
        </w:rPr>
      </w:pPr>
      <w:r w:rsidRPr="0089683F">
        <w:rPr>
          <w:i/>
          <w:iCs/>
        </w:rPr>
        <w:t xml:space="preserve">Obligation to disclose in accordance with listing </w:t>
      </w:r>
      <w:proofErr w:type="gramStart"/>
      <w:r w:rsidRPr="0089683F">
        <w:rPr>
          <w:i/>
          <w:iCs/>
        </w:rPr>
        <w:t>rules</w:t>
      </w:r>
      <w:proofErr w:type="gramEnd"/>
    </w:p>
    <w:p w14:paraId="3ADCF46E" w14:textId="335B64CD" w:rsidR="00721060" w:rsidRPr="00190142" w:rsidRDefault="00AA494C" w:rsidP="0089683F">
      <w:pPr>
        <w:pStyle w:val="Quote2"/>
        <w:ind w:left="2160" w:hanging="720"/>
        <w:rPr>
          <w:lang w:eastAsia="en-AU"/>
        </w:rPr>
      </w:pPr>
      <w:r>
        <w:rPr>
          <w:lang w:eastAsia="en-AU"/>
        </w:rPr>
        <w:t xml:space="preserve">(1) </w:t>
      </w:r>
      <w:r w:rsidR="003F433C">
        <w:rPr>
          <w:lang w:eastAsia="en-AU"/>
        </w:rPr>
        <w:tab/>
      </w:r>
      <w:r w:rsidR="00721060" w:rsidRPr="00190142">
        <w:rPr>
          <w:lang w:eastAsia="en-AU"/>
        </w:rPr>
        <w:t xml:space="preserve">Subsection (2) applies to a listed disclosing entity if provisions of the listing rules of a listing market in relation to that entity require the </w:t>
      </w:r>
      <w:r w:rsidR="00721060" w:rsidRPr="00190142">
        <w:rPr>
          <w:lang w:eastAsia="en-AU"/>
        </w:rPr>
        <w:lastRenderedPageBreak/>
        <w:t>entity to notify the market operator of information about specified events or matters as they arise for the purpose of the operator making that information available to participants in the market.</w:t>
      </w:r>
    </w:p>
    <w:p w14:paraId="4999F65A" w14:textId="77777777" w:rsidR="00721060" w:rsidRPr="00190142" w:rsidRDefault="00721060" w:rsidP="0089683F">
      <w:pPr>
        <w:pStyle w:val="Quote2"/>
        <w:ind w:left="2160" w:hanging="720"/>
        <w:rPr>
          <w:lang w:eastAsia="en-AU"/>
        </w:rPr>
      </w:pPr>
      <w:r w:rsidRPr="00190142">
        <w:rPr>
          <w:lang w:eastAsia="en-AU"/>
        </w:rPr>
        <w:t xml:space="preserve">(2) </w:t>
      </w:r>
      <w:r w:rsidRPr="00190142">
        <w:rPr>
          <w:lang w:eastAsia="en-AU"/>
        </w:rPr>
        <w:tab/>
      </w:r>
      <w:bookmarkStart w:id="30" w:name="_Hlk157679163"/>
      <w:r w:rsidRPr="00190142">
        <w:rPr>
          <w:lang w:eastAsia="en-AU"/>
        </w:rPr>
        <w:t>If:</w:t>
      </w:r>
    </w:p>
    <w:p w14:paraId="328CC518" w14:textId="77777777" w:rsidR="00721060" w:rsidRPr="00223AAA" w:rsidRDefault="00721060" w:rsidP="0089683F">
      <w:pPr>
        <w:pStyle w:val="Quote3"/>
        <w:ind w:left="2880" w:hanging="720"/>
      </w:pPr>
      <w:r w:rsidRPr="00223AAA">
        <w:t xml:space="preserve">(a) </w:t>
      </w:r>
      <w:r w:rsidRPr="00223AAA">
        <w:tab/>
        <w:t>this subsection applies to a listed disclosing entity; and</w:t>
      </w:r>
    </w:p>
    <w:p w14:paraId="5D7200DC" w14:textId="77777777" w:rsidR="00721060" w:rsidRPr="00223AAA" w:rsidRDefault="00721060" w:rsidP="0089683F">
      <w:pPr>
        <w:pStyle w:val="Quote3"/>
        <w:ind w:left="2880" w:hanging="720"/>
      </w:pPr>
      <w:r w:rsidRPr="00223AAA">
        <w:t xml:space="preserve">(b) </w:t>
      </w:r>
      <w:r w:rsidRPr="00223AAA">
        <w:tab/>
        <w:t>the entity has information that those provisions require the entity to notify to the market operator; and</w:t>
      </w:r>
    </w:p>
    <w:p w14:paraId="7997DB46" w14:textId="77777777" w:rsidR="00721060" w:rsidRPr="00223AAA" w:rsidRDefault="00721060" w:rsidP="0089683F">
      <w:pPr>
        <w:pStyle w:val="Quote3"/>
        <w:ind w:left="2880" w:hanging="720"/>
      </w:pPr>
      <w:r w:rsidRPr="00223AAA">
        <w:t>(c)</w:t>
      </w:r>
      <w:r w:rsidRPr="00223AAA">
        <w:tab/>
        <w:t>that information:</w:t>
      </w:r>
    </w:p>
    <w:p w14:paraId="51C40716" w14:textId="77777777" w:rsidR="00721060" w:rsidRPr="003D5FE8" w:rsidRDefault="00721060" w:rsidP="0089683F">
      <w:pPr>
        <w:pStyle w:val="Quote4"/>
        <w:ind w:left="3600" w:hanging="720"/>
        <w:rPr>
          <w:lang w:eastAsia="en-AU"/>
        </w:rPr>
      </w:pPr>
      <w:r w:rsidRPr="003D5FE8">
        <w:rPr>
          <w:lang w:eastAsia="en-AU"/>
        </w:rPr>
        <w:t>(</w:t>
      </w:r>
      <w:proofErr w:type="spellStart"/>
      <w:r w:rsidRPr="003D5FE8">
        <w:rPr>
          <w:lang w:eastAsia="en-AU"/>
        </w:rPr>
        <w:t>i</w:t>
      </w:r>
      <w:proofErr w:type="spellEnd"/>
      <w:r w:rsidRPr="003D5FE8">
        <w:rPr>
          <w:lang w:eastAsia="en-AU"/>
        </w:rPr>
        <w:t xml:space="preserve">) </w:t>
      </w:r>
      <w:r w:rsidRPr="003D5FE8">
        <w:rPr>
          <w:lang w:eastAsia="en-AU"/>
        </w:rPr>
        <w:tab/>
        <w:t>is not generally available; and</w:t>
      </w:r>
    </w:p>
    <w:p w14:paraId="6850BE2B" w14:textId="77777777" w:rsidR="00721060" w:rsidRPr="003D5FE8" w:rsidRDefault="00721060" w:rsidP="0089683F">
      <w:pPr>
        <w:pStyle w:val="Quote4"/>
        <w:ind w:left="3600" w:hanging="720"/>
        <w:rPr>
          <w:lang w:eastAsia="en-AU"/>
        </w:rPr>
      </w:pPr>
      <w:r w:rsidRPr="003D5FE8">
        <w:rPr>
          <w:lang w:eastAsia="en-AU"/>
        </w:rPr>
        <w:t xml:space="preserve">(ii) </w:t>
      </w:r>
      <w:r w:rsidRPr="003D5FE8">
        <w:rPr>
          <w:lang w:eastAsia="en-AU"/>
        </w:rPr>
        <w:tab/>
        <w:t xml:space="preserve">is information that a reasonable person would expect, if it were generally available, to have a material effect on the price or value of ED securities of the </w:t>
      </w:r>
      <w:proofErr w:type="gramStart"/>
      <w:r w:rsidRPr="003D5FE8">
        <w:rPr>
          <w:lang w:eastAsia="en-AU"/>
        </w:rPr>
        <w:t>entity;</w:t>
      </w:r>
      <w:proofErr w:type="gramEnd"/>
    </w:p>
    <w:p w14:paraId="7C9C5607" w14:textId="77777777" w:rsidR="00721060" w:rsidRDefault="00721060" w:rsidP="0089683F">
      <w:pPr>
        <w:pStyle w:val="Quote2"/>
        <w:rPr>
          <w:lang w:eastAsia="en-AU"/>
        </w:rPr>
      </w:pPr>
      <w:r w:rsidRPr="003D5FE8">
        <w:rPr>
          <w:lang w:eastAsia="en-AU"/>
        </w:rPr>
        <w:t>the entity must notify the market operator of that information</w:t>
      </w:r>
      <w:r w:rsidRPr="00190142">
        <w:rPr>
          <w:lang w:eastAsia="en-AU"/>
        </w:rPr>
        <w:t xml:space="preserve"> in accordance with those provisions.</w:t>
      </w:r>
    </w:p>
    <w:bookmarkEnd w:id="30"/>
    <w:p w14:paraId="5928DE8D" w14:textId="77777777" w:rsidR="008D6D7B" w:rsidRDefault="00721060" w:rsidP="000D6D80">
      <w:pPr>
        <w:pStyle w:val="ParaNumbering"/>
        <w:rPr>
          <w:lang w:eastAsia="en-AU"/>
        </w:rPr>
      </w:pPr>
      <w:r>
        <w:rPr>
          <w:lang w:eastAsia="en-AU"/>
        </w:rPr>
        <w:t>As to when information is “generally available” and would be expected to have a “material effect on price or value</w:t>
      </w:r>
      <w:r w:rsidR="00E3662A">
        <w:rPr>
          <w:lang w:eastAsia="en-AU"/>
        </w:rPr>
        <w:t>”</w:t>
      </w:r>
      <w:r>
        <w:rPr>
          <w:lang w:eastAsia="en-AU"/>
        </w:rPr>
        <w:t>, ss 676 and 677 provide</w:t>
      </w:r>
      <w:r w:rsidR="00483400">
        <w:rPr>
          <w:lang w:eastAsia="en-AU"/>
        </w:rPr>
        <w:t>d</w:t>
      </w:r>
      <w:r>
        <w:rPr>
          <w:lang w:eastAsia="en-AU"/>
        </w:rPr>
        <w:t>:</w:t>
      </w:r>
    </w:p>
    <w:p w14:paraId="7085DBED" w14:textId="12C63696" w:rsidR="00721060" w:rsidRPr="00BD407E" w:rsidRDefault="00721060" w:rsidP="00BD407E">
      <w:pPr>
        <w:pStyle w:val="Quote1"/>
        <w:rPr>
          <w:b/>
          <w:bCs/>
          <w:lang w:eastAsia="en-AU"/>
        </w:rPr>
      </w:pPr>
      <w:r w:rsidRPr="00BD407E">
        <w:rPr>
          <w:b/>
          <w:bCs/>
          <w:lang w:eastAsia="en-AU"/>
        </w:rPr>
        <w:t>676</w:t>
      </w:r>
      <w:r w:rsidRPr="00BD407E">
        <w:rPr>
          <w:b/>
          <w:bCs/>
          <w:lang w:eastAsia="en-AU"/>
        </w:rPr>
        <w:tab/>
        <w:t xml:space="preserve">Sections 674 and 675—when information is generally </w:t>
      </w:r>
      <w:proofErr w:type="gramStart"/>
      <w:r w:rsidRPr="00BD407E">
        <w:rPr>
          <w:b/>
          <w:bCs/>
          <w:lang w:eastAsia="en-AU"/>
        </w:rPr>
        <w:t>available</w:t>
      </w:r>
      <w:proofErr w:type="gramEnd"/>
    </w:p>
    <w:p w14:paraId="5A52FF25" w14:textId="77777777" w:rsidR="00721060" w:rsidRPr="00C407DA" w:rsidRDefault="00721060" w:rsidP="0089683F">
      <w:pPr>
        <w:pStyle w:val="Quote2"/>
      </w:pPr>
      <w:r w:rsidRPr="00C407DA">
        <w:t>(1)</w:t>
      </w:r>
      <w:r w:rsidRPr="00C407DA">
        <w:tab/>
        <w:t>This section has effect for the purposes of sections 674 and 675.</w:t>
      </w:r>
    </w:p>
    <w:p w14:paraId="3D130595" w14:textId="77777777" w:rsidR="00721060" w:rsidRPr="00C407DA" w:rsidRDefault="00721060" w:rsidP="0089683F">
      <w:pPr>
        <w:pStyle w:val="Quote2"/>
      </w:pPr>
      <w:r w:rsidRPr="00C407DA">
        <w:t>(2)</w:t>
      </w:r>
      <w:r w:rsidRPr="00C407DA">
        <w:tab/>
        <w:t>Information is generally available if:</w:t>
      </w:r>
    </w:p>
    <w:p w14:paraId="1DCA087C" w14:textId="6C339FFF" w:rsidR="00721060" w:rsidRDefault="00721060" w:rsidP="0089683F">
      <w:pPr>
        <w:pStyle w:val="Quote3"/>
        <w:ind w:left="2880" w:hanging="720"/>
        <w:rPr>
          <w:lang w:eastAsia="en-AU"/>
        </w:rPr>
      </w:pPr>
      <w:r>
        <w:rPr>
          <w:lang w:eastAsia="en-AU"/>
        </w:rPr>
        <w:t>(a)</w:t>
      </w:r>
      <w:r w:rsidR="00F50A6C">
        <w:rPr>
          <w:lang w:eastAsia="en-AU"/>
        </w:rPr>
        <w:tab/>
      </w:r>
      <w:r>
        <w:rPr>
          <w:lang w:eastAsia="en-AU"/>
        </w:rPr>
        <w:t>it consists of readily observable matter; or</w:t>
      </w:r>
    </w:p>
    <w:p w14:paraId="6AB45157" w14:textId="77777777" w:rsidR="00721060" w:rsidRDefault="00721060" w:rsidP="0089683F">
      <w:pPr>
        <w:pStyle w:val="Quote3"/>
        <w:ind w:left="2880" w:hanging="720"/>
        <w:rPr>
          <w:lang w:eastAsia="en-AU"/>
        </w:rPr>
      </w:pPr>
      <w:r>
        <w:rPr>
          <w:lang w:eastAsia="en-AU"/>
        </w:rPr>
        <w:t>(b)</w:t>
      </w:r>
      <w:r>
        <w:rPr>
          <w:lang w:eastAsia="en-AU"/>
        </w:rPr>
        <w:tab/>
        <w:t>without limiting the generality of paragraph (a), both of the following subparagraphs apply:</w:t>
      </w:r>
    </w:p>
    <w:p w14:paraId="22A15DB5" w14:textId="77777777" w:rsidR="00721060" w:rsidRDefault="00721060" w:rsidP="0089683F">
      <w:pPr>
        <w:pStyle w:val="Quote4"/>
        <w:ind w:left="3600" w:hanging="720"/>
        <w:rPr>
          <w:lang w:eastAsia="en-AU"/>
        </w:rPr>
      </w:pPr>
      <w:r>
        <w:rPr>
          <w:lang w:eastAsia="en-AU"/>
        </w:rPr>
        <w:t>(</w:t>
      </w:r>
      <w:proofErr w:type="spellStart"/>
      <w:r>
        <w:rPr>
          <w:lang w:eastAsia="en-AU"/>
        </w:rPr>
        <w:t>i</w:t>
      </w:r>
      <w:proofErr w:type="spellEnd"/>
      <w:r>
        <w:rPr>
          <w:lang w:eastAsia="en-AU"/>
        </w:rPr>
        <w:t>)</w:t>
      </w:r>
      <w:r>
        <w:rPr>
          <w:lang w:eastAsia="en-AU"/>
        </w:rPr>
        <w:tab/>
        <w:t>it has been made known in a manner that would, or would be likely to, bring it to the attention of persons who commonly invest in securities of a kind whose price or value might be affected by the information; and</w:t>
      </w:r>
    </w:p>
    <w:p w14:paraId="1A13BAA6" w14:textId="77777777" w:rsidR="00727501" w:rsidRDefault="00721060" w:rsidP="0089683F">
      <w:pPr>
        <w:pStyle w:val="Quote4"/>
        <w:ind w:left="3600" w:hanging="720"/>
        <w:rPr>
          <w:lang w:eastAsia="en-AU"/>
        </w:rPr>
      </w:pPr>
      <w:r>
        <w:rPr>
          <w:lang w:eastAsia="en-AU"/>
        </w:rPr>
        <w:t>(ii)</w:t>
      </w:r>
      <w:r>
        <w:rPr>
          <w:lang w:eastAsia="en-AU"/>
        </w:rPr>
        <w:tab/>
        <w:t>since it was so made known, a reasonable period for it to be disseminated among such persons has elapsed</w:t>
      </w:r>
    </w:p>
    <w:p w14:paraId="1C9E1708" w14:textId="01EC2928" w:rsidR="00721060" w:rsidRPr="00AC23BB" w:rsidRDefault="00721060" w:rsidP="0089683F">
      <w:pPr>
        <w:pStyle w:val="Quote2"/>
        <w:ind w:left="2160" w:hanging="720"/>
        <w:rPr>
          <w:lang w:eastAsia="en-AU"/>
        </w:rPr>
      </w:pPr>
      <w:r w:rsidRPr="00AC23BB">
        <w:rPr>
          <w:lang w:eastAsia="en-AU"/>
        </w:rPr>
        <w:t>(3)</w:t>
      </w:r>
      <w:r w:rsidRPr="00AC23BB">
        <w:rPr>
          <w:lang w:eastAsia="en-AU"/>
        </w:rPr>
        <w:tab/>
        <w:t>Information is also generally available if it consists of deductions, conclusions or inferences made or drawn from either or both of the following:</w:t>
      </w:r>
    </w:p>
    <w:p w14:paraId="473FAF42" w14:textId="77777777" w:rsidR="00C44970" w:rsidRPr="00C44970" w:rsidRDefault="00721060" w:rsidP="0089683F">
      <w:pPr>
        <w:pStyle w:val="Quote3"/>
        <w:ind w:left="2880" w:hanging="720"/>
      </w:pPr>
      <w:r w:rsidRPr="00C44970">
        <w:t>(a)</w:t>
      </w:r>
      <w:r w:rsidRPr="00C44970">
        <w:tab/>
        <w:t xml:space="preserve">information referred to in paragraph </w:t>
      </w:r>
      <w:proofErr w:type="gramStart"/>
      <w:r w:rsidRPr="00C44970">
        <w:t>2(a);</w:t>
      </w:r>
      <w:proofErr w:type="gramEnd"/>
    </w:p>
    <w:p w14:paraId="59D9C214" w14:textId="48A04339" w:rsidR="00721060" w:rsidRDefault="00721060" w:rsidP="0089683F">
      <w:pPr>
        <w:pStyle w:val="Quote3"/>
        <w:ind w:left="2880" w:hanging="720"/>
        <w:rPr>
          <w:lang w:eastAsia="en-AU"/>
        </w:rPr>
      </w:pPr>
      <w:r w:rsidRPr="00C44970">
        <w:t xml:space="preserve">(b) </w:t>
      </w:r>
      <w:r w:rsidRPr="00AC23BB">
        <w:rPr>
          <w:lang w:eastAsia="en-AU"/>
        </w:rPr>
        <w:tab/>
        <w:t>information made known as mentioned in subparagraph (2)(b)(</w:t>
      </w:r>
      <w:proofErr w:type="spellStart"/>
      <w:r w:rsidRPr="00AC23BB">
        <w:rPr>
          <w:lang w:eastAsia="en-AU"/>
        </w:rPr>
        <w:t>i</w:t>
      </w:r>
      <w:proofErr w:type="spellEnd"/>
      <w:r w:rsidRPr="00AC23BB">
        <w:rPr>
          <w:lang w:eastAsia="en-AU"/>
        </w:rPr>
        <w:t>).</w:t>
      </w:r>
    </w:p>
    <w:p w14:paraId="11F768FD" w14:textId="77777777" w:rsidR="00721060" w:rsidRPr="000B5868" w:rsidRDefault="00721060" w:rsidP="00857E42">
      <w:pPr>
        <w:pStyle w:val="Quote2"/>
        <w:rPr>
          <w:sz w:val="2"/>
          <w:szCs w:val="2"/>
          <w:lang w:eastAsia="en-AU"/>
        </w:rPr>
      </w:pPr>
      <w:r>
        <w:rPr>
          <w:lang w:eastAsia="en-AU"/>
        </w:rPr>
        <w:t xml:space="preserve"> </w:t>
      </w:r>
    </w:p>
    <w:p w14:paraId="5B835EB7" w14:textId="77777777" w:rsidR="00721060" w:rsidRPr="00327D86" w:rsidRDefault="00721060" w:rsidP="00C44970">
      <w:pPr>
        <w:pStyle w:val="Quote1"/>
        <w:rPr>
          <w:b/>
          <w:bCs/>
          <w:lang w:eastAsia="en-AU"/>
        </w:rPr>
      </w:pPr>
      <w:r w:rsidRPr="00327D86">
        <w:rPr>
          <w:b/>
          <w:bCs/>
          <w:lang w:eastAsia="en-AU"/>
        </w:rPr>
        <w:t>677</w:t>
      </w:r>
      <w:r w:rsidRPr="00327D86">
        <w:rPr>
          <w:b/>
          <w:bCs/>
          <w:lang w:eastAsia="en-AU"/>
        </w:rPr>
        <w:tab/>
        <w:t>Sections 674 and 675—material effect on price or value</w:t>
      </w:r>
    </w:p>
    <w:p w14:paraId="59D58425" w14:textId="1A22E070" w:rsidR="00721060" w:rsidRPr="00327D86" w:rsidRDefault="00721060" w:rsidP="0089683F">
      <w:pPr>
        <w:pStyle w:val="Quote2"/>
      </w:pPr>
      <w:r w:rsidRPr="00327D86">
        <w:t xml:space="preserve">For the purposes of sections 674 and 675, a reasonable person would be taken to expect information to have a material effect on the price or value of ED </w:t>
      </w:r>
      <w:r w:rsidRPr="00327D86">
        <w:lastRenderedPageBreak/>
        <w:t>securities of a disclosing entity if the information would, or would be likely</w:t>
      </w:r>
      <w:r w:rsidR="00C274B9" w:rsidRPr="00327D86">
        <w:t xml:space="preserve"> to</w:t>
      </w:r>
      <w:r w:rsidRPr="00327D86">
        <w:t>, influence persons who commonly invest in securities in deciding whether to acquire or dispose of the ED securities.</w:t>
      </w:r>
    </w:p>
    <w:p w14:paraId="6F3B6E55" w14:textId="51092223" w:rsidR="00721060" w:rsidRDefault="00721060" w:rsidP="000D6D80">
      <w:pPr>
        <w:pStyle w:val="ParaNumbering"/>
        <w:rPr>
          <w:lang w:eastAsia="en-AU"/>
        </w:rPr>
      </w:pPr>
      <w:r>
        <w:rPr>
          <w:lang w:eastAsia="en-AU"/>
        </w:rPr>
        <w:t>From 26 May 2020, s 674(2) was</w:t>
      </w:r>
      <w:r w:rsidR="00504B51">
        <w:rPr>
          <w:lang w:eastAsia="en-AU"/>
        </w:rPr>
        <w:t xml:space="preserve"> temporarily</w:t>
      </w:r>
      <w:r>
        <w:rPr>
          <w:lang w:eastAsia="en-AU"/>
        </w:rPr>
        <w:t xml:space="preserve"> modified by the </w:t>
      </w:r>
      <w:r w:rsidRPr="00494703">
        <w:rPr>
          <w:i/>
          <w:iCs/>
          <w:lang w:eastAsia="en-AU"/>
        </w:rPr>
        <w:t>Coronavirus Determination</w:t>
      </w:r>
      <w:r>
        <w:rPr>
          <w:lang w:eastAsia="en-AU"/>
        </w:rPr>
        <w:t xml:space="preserve">. By s 5, the </w:t>
      </w:r>
      <w:r w:rsidRPr="00987490">
        <w:rPr>
          <w:i/>
          <w:iCs/>
          <w:lang w:eastAsia="en-AU"/>
        </w:rPr>
        <w:t>Coronavirus Determination</w:t>
      </w:r>
      <w:r>
        <w:rPr>
          <w:lang w:eastAsia="en-AU"/>
        </w:rPr>
        <w:t xml:space="preserve"> replaced s 674(2)(c) </w:t>
      </w:r>
      <w:r w:rsidR="000260C9">
        <w:rPr>
          <w:lang w:eastAsia="en-AU"/>
        </w:rPr>
        <w:t xml:space="preserve">of the </w:t>
      </w:r>
      <w:r w:rsidR="000260C9" w:rsidRPr="00EF0322">
        <w:rPr>
          <w:i/>
          <w:iCs/>
          <w:lang w:eastAsia="en-AU"/>
        </w:rPr>
        <w:t>Corporations Act</w:t>
      </w:r>
      <w:r w:rsidR="000260C9">
        <w:rPr>
          <w:lang w:eastAsia="en-AU"/>
        </w:rPr>
        <w:t xml:space="preserve"> </w:t>
      </w:r>
      <w:r>
        <w:rPr>
          <w:lang w:eastAsia="en-AU"/>
        </w:rPr>
        <w:t>such that, for the purposes of the contraventions betwee</w:t>
      </w:r>
      <w:r w:rsidRPr="00040C4A">
        <w:rPr>
          <w:lang w:eastAsia="en-AU"/>
        </w:rPr>
        <w:t>n 26 May 2020 and 9 July 2020, s 674</w:t>
      </w:r>
      <w:r>
        <w:rPr>
          <w:lang w:eastAsia="en-AU"/>
        </w:rPr>
        <w:t>(2) provided</w:t>
      </w:r>
      <w:r w:rsidR="00992E0B">
        <w:rPr>
          <w:lang w:eastAsia="en-AU"/>
        </w:rPr>
        <w:t xml:space="preserve"> (provisions </w:t>
      </w:r>
      <w:r w:rsidR="00620155">
        <w:rPr>
          <w:lang w:eastAsia="en-AU"/>
        </w:rPr>
        <w:t>inserted by s 5 in bold</w:t>
      </w:r>
      <w:r w:rsidR="00504B51">
        <w:rPr>
          <w:lang w:eastAsia="en-AU"/>
        </w:rPr>
        <w:t xml:space="preserve"> below</w:t>
      </w:r>
      <w:r w:rsidR="00620155">
        <w:rPr>
          <w:lang w:eastAsia="en-AU"/>
        </w:rPr>
        <w:t>)</w:t>
      </w:r>
      <w:r>
        <w:rPr>
          <w:lang w:eastAsia="en-AU"/>
        </w:rPr>
        <w:t>:</w:t>
      </w:r>
    </w:p>
    <w:p w14:paraId="5604AC7D" w14:textId="77777777" w:rsidR="00721060" w:rsidRPr="00190142" w:rsidRDefault="00721060" w:rsidP="00EF0322">
      <w:pPr>
        <w:pStyle w:val="Quote1"/>
        <w:spacing w:after="0"/>
        <w:rPr>
          <w:szCs w:val="22"/>
          <w:lang w:eastAsia="en-AU"/>
        </w:rPr>
      </w:pPr>
      <w:r w:rsidRPr="00AC2F7C">
        <w:t>(2)</w:t>
      </w:r>
      <w:r w:rsidRPr="00AC2F7C">
        <w:tab/>
        <w:t>If</w:t>
      </w:r>
      <w:r w:rsidRPr="00190142">
        <w:rPr>
          <w:szCs w:val="22"/>
          <w:lang w:eastAsia="en-AU"/>
        </w:rPr>
        <w:t>:</w:t>
      </w:r>
    </w:p>
    <w:p w14:paraId="0C5A09C3" w14:textId="77777777" w:rsidR="00721060" w:rsidRPr="00190142" w:rsidRDefault="00721060" w:rsidP="00303A4B">
      <w:pPr>
        <w:pStyle w:val="Quote2"/>
        <w:ind w:left="2160" w:hanging="720"/>
        <w:rPr>
          <w:lang w:eastAsia="en-AU"/>
        </w:rPr>
      </w:pPr>
      <w:r w:rsidRPr="00190142">
        <w:rPr>
          <w:lang w:eastAsia="en-AU"/>
        </w:rPr>
        <w:t xml:space="preserve">(a) </w:t>
      </w:r>
      <w:r w:rsidRPr="00190142">
        <w:rPr>
          <w:lang w:eastAsia="en-AU"/>
        </w:rPr>
        <w:tab/>
        <w:t>this subsection applies to a listed disclosing entity; and</w:t>
      </w:r>
    </w:p>
    <w:p w14:paraId="753522DA" w14:textId="77777777" w:rsidR="00721060" w:rsidRPr="00190142" w:rsidRDefault="00721060" w:rsidP="00303A4B">
      <w:pPr>
        <w:pStyle w:val="Quote2"/>
        <w:ind w:left="2160" w:hanging="720"/>
        <w:rPr>
          <w:lang w:eastAsia="en-AU"/>
        </w:rPr>
      </w:pPr>
      <w:r w:rsidRPr="00190142">
        <w:rPr>
          <w:lang w:eastAsia="en-AU"/>
        </w:rPr>
        <w:t xml:space="preserve">(b) </w:t>
      </w:r>
      <w:r w:rsidRPr="00190142">
        <w:rPr>
          <w:lang w:eastAsia="en-AU"/>
        </w:rPr>
        <w:tab/>
        <w:t>the entity has information that those provisions require the entity to notify to the market operator; and</w:t>
      </w:r>
    </w:p>
    <w:p w14:paraId="1286FB10" w14:textId="77777777" w:rsidR="00721060" w:rsidRPr="00774615" w:rsidRDefault="00721060" w:rsidP="00303A4B">
      <w:pPr>
        <w:pStyle w:val="Quote2"/>
        <w:ind w:left="2160" w:hanging="720"/>
        <w:rPr>
          <w:b/>
          <w:bCs/>
          <w:szCs w:val="22"/>
          <w:lang w:eastAsia="en-AU"/>
        </w:rPr>
      </w:pPr>
      <w:r w:rsidRPr="00774615">
        <w:rPr>
          <w:b/>
          <w:bCs/>
          <w:szCs w:val="22"/>
          <w:lang w:eastAsia="en-AU"/>
        </w:rPr>
        <w:t>(c)</w:t>
      </w:r>
      <w:r w:rsidRPr="00774615">
        <w:rPr>
          <w:b/>
          <w:bCs/>
          <w:szCs w:val="22"/>
          <w:lang w:eastAsia="en-AU"/>
        </w:rPr>
        <w:tab/>
        <w:t xml:space="preserve">that information </w:t>
      </w:r>
      <w:r w:rsidRPr="00774615">
        <w:rPr>
          <w:b/>
          <w:bCs/>
          <w:lang w:eastAsia="en-AU"/>
        </w:rPr>
        <w:t>is not generally available; and</w:t>
      </w:r>
    </w:p>
    <w:p w14:paraId="5F5A3DA6" w14:textId="77777777" w:rsidR="00721060" w:rsidRPr="00774615" w:rsidRDefault="00721060" w:rsidP="00303A4B">
      <w:pPr>
        <w:pStyle w:val="Quote2"/>
        <w:ind w:left="2160" w:hanging="720"/>
        <w:rPr>
          <w:b/>
          <w:bCs/>
          <w:szCs w:val="22"/>
          <w:lang w:eastAsia="en-AU"/>
        </w:rPr>
      </w:pPr>
      <w:r w:rsidRPr="00774615">
        <w:rPr>
          <w:b/>
          <w:bCs/>
          <w:lang w:eastAsia="en-AU"/>
        </w:rPr>
        <w:t>(d)</w:t>
      </w:r>
      <w:r w:rsidRPr="00774615">
        <w:rPr>
          <w:b/>
          <w:bCs/>
          <w:lang w:eastAsia="en-AU"/>
        </w:rPr>
        <w:tab/>
      </w:r>
      <w:r w:rsidRPr="00774615">
        <w:rPr>
          <w:b/>
          <w:bCs/>
          <w:szCs w:val="22"/>
          <w:lang w:eastAsia="en-AU"/>
        </w:rPr>
        <w:t xml:space="preserve">the entity knows or is reckless or negligent with respect to whether that information would, if it were generally available, have a material effect on the price or value of ED securities of the </w:t>
      </w:r>
      <w:proofErr w:type="gramStart"/>
      <w:r w:rsidRPr="00774615">
        <w:rPr>
          <w:b/>
          <w:bCs/>
          <w:szCs w:val="22"/>
          <w:lang w:eastAsia="en-AU"/>
        </w:rPr>
        <w:t>entity;</w:t>
      </w:r>
      <w:proofErr w:type="gramEnd"/>
    </w:p>
    <w:p w14:paraId="23FBE2EC" w14:textId="77777777" w:rsidR="00721060" w:rsidRDefault="00721060" w:rsidP="00721060">
      <w:pPr>
        <w:pStyle w:val="Quote1"/>
        <w:ind w:left="1440"/>
        <w:rPr>
          <w:szCs w:val="22"/>
          <w:lang w:eastAsia="en-AU"/>
        </w:rPr>
      </w:pPr>
      <w:r w:rsidRPr="00D809C2">
        <w:rPr>
          <w:szCs w:val="22"/>
          <w:lang w:eastAsia="en-AU"/>
        </w:rPr>
        <w:t>the entity must notify the market operator of that information in accordance with those provisions.</w:t>
      </w:r>
    </w:p>
    <w:p w14:paraId="46379E60" w14:textId="61A7F200" w:rsidR="000260C9" w:rsidRPr="008E7582" w:rsidRDefault="000260C9" w:rsidP="004D2E10">
      <w:pPr>
        <w:pStyle w:val="Quote1"/>
        <w:spacing w:after="240"/>
        <w:rPr>
          <w:szCs w:val="22"/>
          <w:lang w:eastAsia="en-AU"/>
        </w:rPr>
      </w:pPr>
      <w:r>
        <w:rPr>
          <w:szCs w:val="22"/>
          <w:lang w:eastAsia="en-AU"/>
        </w:rPr>
        <w:t>(Emphasis added.)</w:t>
      </w:r>
    </w:p>
    <w:p w14:paraId="368787F3" w14:textId="041311C3" w:rsidR="00524615" w:rsidRDefault="00721060" w:rsidP="000D6D80">
      <w:pPr>
        <w:pStyle w:val="ParaNumbering"/>
      </w:pPr>
      <w:r>
        <w:t xml:space="preserve">Section 8 of the </w:t>
      </w:r>
      <w:r w:rsidRPr="000908BC">
        <w:rPr>
          <w:i/>
          <w:iCs/>
        </w:rPr>
        <w:t>Coronavirus Determination</w:t>
      </w:r>
      <w:r>
        <w:t xml:space="preserve"> </w:t>
      </w:r>
      <w:proofErr w:type="gramStart"/>
      <w:r>
        <w:t>provided that</w:t>
      </w:r>
      <w:proofErr w:type="gramEnd"/>
      <w:r>
        <w:t xml:space="preserve"> “knowledge” and “recklessness” </w:t>
      </w:r>
      <w:r w:rsidR="00537055">
        <w:t xml:space="preserve">had </w:t>
      </w:r>
      <w:r>
        <w:t xml:space="preserve">the same meaning as in the </w:t>
      </w:r>
      <w:r w:rsidRPr="00662106">
        <w:rPr>
          <w:b/>
          <w:bCs/>
          <w:i/>
          <w:iCs/>
        </w:rPr>
        <w:t>Criminal Code</w:t>
      </w:r>
      <w:r>
        <w:t xml:space="preserve"> (Schedule to the </w:t>
      </w:r>
      <w:r w:rsidRPr="00662106">
        <w:rPr>
          <w:i/>
          <w:iCs/>
        </w:rPr>
        <w:t>Criminal Code Act 1995</w:t>
      </w:r>
      <w:r>
        <w:t xml:space="preserve"> (</w:t>
      </w:r>
      <w:proofErr w:type="spellStart"/>
      <w:r>
        <w:t>Cth</w:t>
      </w:r>
      <w:proofErr w:type="spellEnd"/>
      <w:r>
        <w:t xml:space="preserve">)). “Negligence” is not defined. </w:t>
      </w:r>
      <w:r w:rsidR="00EA6112">
        <w:t>Rather,</w:t>
      </w:r>
      <w:r w:rsidR="002C73E1">
        <w:t xml:space="preserve"> the</w:t>
      </w:r>
      <w:r>
        <w:t xml:space="preserve"> </w:t>
      </w:r>
      <w:r w:rsidRPr="008C403A">
        <w:rPr>
          <w:b/>
          <w:bCs/>
          <w:i/>
          <w:iCs/>
        </w:rPr>
        <w:t>Explanatory Statement</w:t>
      </w:r>
      <w:r w:rsidRPr="008C403A">
        <w:rPr>
          <w:i/>
          <w:iCs/>
        </w:rPr>
        <w:t xml:space="preserve"> </w:t>
      </w:r>
      <w:r w:rsidRPr="003362A6">
        <w:t>to the</w:t>
      </w:r>
      <w:r w:rsidRPr="008C403A">
        <w:rPr>
          <w:i/>
          <w:iCs/>
        </w:rPr>
        <w:t xml:space="preserve"> Coronavirus Determination</w:t>
      </w:r>
      <w:r>
        <w:t xml:space="preserve"> (registered 25/05/2020 to F2020L00611) observe</w:t>
      </w:r>
      <w:r w:rsidR="00A75001">
        <w:t>d</w:t>
      </w:r>
      <w:r>
        <w:t xml:space="preserve"> that, “</w:t>
      </w:r>
      <w:r w:rsidR="00D36021">
        <w:t>[a]</w:t>
      </w:r>
      <w:r>
        <w:t>s a civil tort, it is a common law concept and appropriate for courts to decide what constitutes negligence in a given case”</w:t>
      </w:r>
      <w:r w:rsidR="00524615">
        <w:rPr>
          <w:lang w:eastAsia="en-AU"/>
        </w:rPr>
        <w:t>.</w:t>
      </w:r>
    </w:p>
    <w:p w14:paraId="24378412" w14:textId="1BEEB951" w:rsidR="00E3662A" w:rsidRDefault="00721060" w:rsidP="000D6D80">
      <w:pPr>
        <w:pStyle w:val="ParaNumbering"/>
        <w:rPr>
          <w:lang w:eastAsia="en-AU"/>
        </w:rPr>
      </w:pPr>
      <w:r>
        <w:rPr>
          <w:lang w:eastAsia="en-AU"/>
        </w:rPr>
        <w:t>I interpolate that, as from 14 August 2021</w:t>
      </w:r>
      <w:r w:rsidR="00E3662A">
        <w:rPr>
          <w:lang w:eastAsia="en-AU"/>
        </w:rPr>
        <w:t>,</w:t>
      </w:r>
      <w:r>
        <w:rPr>
          <w:lang w:eastAsia="en-AU"/>
        </w:rPr>
        <w:t xml:space="preserve"> by the </w:t>
      </w:r>
      <w:r w:rsidRPr="00524615">
        <w:rPr>
          <w:i/>
          <w:iCs/>
          <w:lang w:eastAsia="en-AU"/>
        </w:rPr>
        <w:t>Treasury Laws Amendment (</w:t>
      </w:r>
      <w:r w:rsidRPr="00524615">
        <w:rPr>
          <w:b/>
          <w:bCs/>
          <w:i/>
          <w:iCs/>
          <w:lang w:eastAsia="en-AU"/>
        </w:rPr>
        <w:t xml:space="preserve">2021 Measures </w:t>
      </w:r>
      <w:r w:rsidRPr="00524615">
        <w:rPr>
          <w:i/>
          <w:iCs/>
          <w:lang w:eastAsia="en-AU"/>
        </w:rPr>
        <w:t xml:space="preserve">No.1) </w:t>
      </w:r>
      <w:r w:rsidRPr="008373E8">
        <w:rPr>
          <w:b/>
          <w:bCs/>
          <w:i/>
          <w:iCs/>
          <w:lang w:eastAsia="en-AU"/>
        </w:rPr>
        <w:t>Act</w:t>
      </w:r>
      <w:r w:rsidRPr="00524615">
        <w:rPr>
          <w:i/>
          <w:iCs/>
          <w:lang w:eastAsia="en-AU"/>
        </w:rPr>
        <w:t xml:space="preserve"> 2021</w:t>
      </w:r>
      <w:r>
        <w:rPr>
          <w:lang w:eastAsia="en-AU"/>
        </w:rPr>
        <w:t xml:space="preserve"> (</w:t>
      </w:r>
      <w:proofErr w:type="spellStart"/>
      <w:r>
        <w:rPr>
          <w:lang w:eastAsia="en-AU"/>
        </w:rPr>
        <w:t>Cth</w:t>
      </w:r>
      <w:proofErr w:type="spellEnd"/>
      <w:r>
        <w:rPr>
          <w:lang w:eastAsia="en-AU"/>
        </w:rPr>
        <w:t>)</w:t>
      </w:r>
      <w:r w:rsidR="00575B01">
        <w:rPr>
          <w:lang w:eastAsia="en-AU"/>
        </w:rPr>
        <w:t xml:space="preserve"> (see s 2)</w:t>
      </w:r>
      <w:r>
        <w:rPr>
          <w:lang w:eastAsia="en-AU"/>
        </w:rPr>
        <w:t xml:space="preserve">, the modifications to s 674 and s 675 were made permanent through the insertion of s 674A and s 675A. Through those amendments, s 674(2) </w:t>
      </w:r>
      <w:r w:rsidR="00E72691">
        <w:rPr>
          <w:lang w:eastAsia="en-AU"/>
        </w:rPr>
        <w:t xml:space="preserve">is preserved </w:t>
      </w:r>
      <w:r>
        <w:rPr>
          <w:lang w:eastAsia="en-AU"/>
        </w:rPr>
        <w:t>in its original form</w:t>
      </w:r>
      <w:r w:rsidR="00E72691">
        <w:rPr>
          <w:lang w:eastAsia="en-AU"/>
        </w:rPr>
        <w:t xml:space="preserve"> – </w:t>
      </w:r>
      <w:r>
        <w:rPr>
          <w:lang w:eastAsia="en-AU"/>
        </w:rPr>
        <w:t xml:space="preserve">a contravention of the section is </w:t>
      </w:r>
      <w:r w:rsidRPr="008E79B0">
        <w:rPr>
          <w:lang w:eastAsia="en-AU"/>
        </w:rPr>
        <w:t>a</w:t>
      </w:r>
      <w:r w:rsidR="00D160E8" w:rsidRPr="008E79B0">
        <w:rPr>
          <w:lang w:eastAsia="en-AU"/>
        </w:rPr>
        <w:t xml:space="preserve"> strict liability</w:t>
      </w:r>
      <w:r w:rsidRPr="008E79B0">
        <w:rPr>
          <w:lang w:eastAsia="en-AU"/>
        </w:rPr>
        <w:t xml:space="preserve"> </w:t>
      </w:r>
      <w:proofErr w:type="gramStart"/>
      <w:r w:rsidR="00555216" w:rsidRPr="008E79B0">
        <w:rPr>
          <w:lang w:eastAsia="en-AU"/>
        </w:rPr>
        <w:t>offence</w:t>
      </w:r>
      <w:r w:rsidR="00E72691">
        <w:rPr>
          <w:lang w:eastAsia="en-AU"/>
        </w:rPr>
        <w:t>,</w:t>
      </w:r>
      <w:r w:rsidR="00555216">
        <w:rPr>
          <w:lang w:eastAsia="en-AU"/>
        </w:rPr>
        <w:t xml:space="preserve"> but</w:t>
      </w:r>
      <w:proofErr w:type="gramEnd"/>
      <w:r>
        <w:rPr>
          <w:lang w:eastAsia="en-AU"/>
        </w:rPr>
        <w:t xml:space="preserve"> ceases to be a civil penalty provision. The same is true of s 675(2). A breach of ss 674</w:t>
      </w:r>
      <w:proofErr w:type="gramStart"/>
      <w:r>
        <w:rPr>
          <w:lang w:eastAsia="en-AU"/>
        </w:rPr>
        <w:t>A(</w:t>
      </w:r>
      <w:proofErr w:type="gramEnd"/>
      <w:r>
        <w:rPr>
          <w:lang w:eastAsia="en-AU"/>
        </w:rPr>
        <w:t xml:space="preserve">2) or 675A(2), by contrast, </w:t>
      </w:r>
      <w:r w:rsidR="00B36D33">
        <w:rPr>
          <w:lang w:eastAsia="en-AU"/>
        </w:rPr>
        <w:t>invokes a</w:t>
      </w:r>
      <w:r>
        <w:rPr>
          <w:lang w:eastAsia="en-AU"/>
        </w:rPr>
        <w:t xml:space="preserve"> </w:t>
      </w:r>
      <w:r w:rsidR="00555216">
        <w:rPr>
          <w:lang w:eastAsia="en-AU"/>
        </w:rPr>
        <w:t>civil penalty provision</w:t>
      </w:r>
      <w:r w:rsidR="00B36D33">
        <w:rPr>
          <w:lang w:eastAsia="en-AU"/>
        </w:rPr>
        <w:t>,</w:t>
      </w:r>
      <w:r>
        <w:rPr>
          <w:lang w:eastAsia="en-AU"/>
        </w:rPr>
        <w:t xml:space="preserve"> but </w:t>
      </w:r>
      <w:r w:rsidR="008373E8">
        <w:rPr>
          <w:lang w:eastAsia="en-AU"/>
        </w:rPr>
        <w:t xml:space="preserve">is </w:t>
      </w:r>
      <w:r w:rsidRPr="4707C941">
        <w:rPr>
          <w:lang w:eastAsia="en-AU"/>
        </w:rPr>
        <w:t>not</w:t>
      </w:r>
      <w:r>
        <w:rPr>
          <w:lang w:eastAsia="en-AU"/>
        </w:rPr>
        <w:t xml:space="preserve"> an offence. </w:t>
      </w:r>
    </w:p>
    <w:p w14:paraId="47158608" w14:textId="77777777" w:rsidR="00DC6D84" w:rsidRDefault="00721060" w:rsidP="000D6D80">
      <w:pPr>
        <w:pStyle w:val="ParaNumbering"/>
        <w:rPr>
          <w:lang w:eastAsia="en-AU"/>
        </w:rPr>
      </w:pPr>
      <w:r>
        <w:rPr>
          <w:lang w:eastAsia="en-AU"/>
        </w:rPr>
        <w:t xml:space="preserve">Unlike the </w:t>
      </w:r>
      <w:r w:rsidRPr="001A16D1">
        <w:rPr>
          <w:i/>
          <w:iCs/>
          <w:lang w:eastAsia="en-AU"/>
        </w:rPr>
        <w:t>Coronavirus Determination</w:t>
      </w:r>
      <w:r>
        <w:rPr>
          <w:lang w:eastAsia="en-AU"/>
        </w:rPr>
        <w:t xml:space="preserve">, no definition of “knowledge” or “recklessness” </w:t>
      </w:r>
      <w:r w:rsidR="007F037F">
        <w:rPr>
          <w:lang w:eastAsia="en-AU"/>
        </w:rPr>
        <w:t>as used in ss 674</w:t>
      </w:r>
      <w:proofErr w:type="gramStart"/>
      <w:r w:rsidR="007F037F">
        <w:rPr>
          <w:lang w:eastAsia="en-AU"/>
        </w:rPr>
        <w:t>A(</w:t>
      </w:r>
      <w:proofErr w:type="gramEnd"/>
      <w:r w:rsidR="007F037F">
        <w:rPr>
          <w:lang w:eastAsia="en-AU"/>
        </w:rPr>
        <w:t>2) or 675A</w:t>
      </w:r>
      <w:r w:rsidR="00EF2E61">
        <w:rPr>
          <w:lang w:eastAsia="en-AU"/>
        </w:rPr>
        <w:t xml:space="preserve">(2) </w:t>
      </w:r>
      <w:r>
        <w:rPr>
          <w:lang w:eastAsia="en-AU"/>
        </w:rPr>
        <w:t xml:space="preserve">was </w:t>
      </w:r>
      <w:r w:rsidR="00EF2E61">
        <w:rPr>
          <w:lang w:eastAsia="en-AU"/>
        </w:rPr>
        <w:t xml:space="preserve">provided </w:t>
      </w:r>
      <w:r>
        <w:rPr>
          <w:lang w:eastAsia="en-AU"/>
        </w:rPr>
        <w:t>in the</w:t>
      </w:r>
      <w:r w:rsidR="00BA3CC4">
        <w:rPr>
          <w:lang w:eastAsia="en-AU"/>
        </w:rPr>
        <w:t xml:space="preserve"> </w:t>
      </w:r>
      <w:r w:rsidR="00904EFA" w:rsidRPr="00BA3CC4">
        <w:rPr>
          <w:i/>
          <w:iCs/>
          <w:lang w:eastAsia="en-AU"/>
        </w:rPr>
        <w:t>202</w:t>
      </w:r>
      <w:r w:rsidR="00BA3CC4" w:rsidRPr="00BA3CC4">
        <w:rPr>
          <w:i/>
          <w:iCs/>
          <w:lang w:eastAsia="en-AU"/>
        </w:rPr>
        <w:t xml:space="preserve">1 </w:t>
      </w:r>
      <w:r w:rsidR="00904EFA" w:rsidRPr="00BA3CC4">
        <w:rPr>
          <w:i/>
          <w:iCs/>
          <w:lang w:eastAsia="en-AU"/>
        </w:rPr>
        <w:t>Measures</w:t>
      </w:r>
      <w:r w:rsidR="00904EFA">
        <w:rPr>
          <w:lang w:eastAsia="en-AU"/>
        </w:rPr>
        <w:t>.</w:t>
      </w:r>
      <w:r w:rsidR="00E72691">
        <w:rPr>
          <w:lang w:eastAsia="en-AU"/>
        </w:rPr>
        <w:t xml:space="preserve"> </w:t>
      </w:r>
    </w:p>
    <w:p w14:paraId="3D27A2B7" w14:textId="350CCCB2" w:rsidR="00721060" w:rsidRDefault="00721060" w:rsidP="000D6D80">
      <w:pPr>
        <w:pStyle w:val="ParaNumbering"/>
        <w:rPr>
          <w:lang w:eastAsia="en-AU"/>
        </w:rPr>
      </w:pPr>
      <w:r>
        <w:rPr>
          <w:lang w:eastAsia="en-AU"/>
        </w:rPr>
        <w:t xml:space="preserve">Chapter 3 of the ASX Listing </w:t>
      </w:r>
      <w:r w:rsidRPr="6E8C0E44">
        <w:rPr>
          <w:lang w:eastAsia="en-AU"/>
        </w:rPr>
        <w:t>Rule</w:t>
      </w:r>
      <w:r w:rsidR="25436FF2" w:rsidRPr="6E8C0E44">
        <w:rPr>
          <w:lang w:eastAsia="en-AU"/>
        </w:rPr>
        <w:t>s</w:t>
      </w:r>
      <w:r>
        <w:rPr>
          <w:lang w:eastAsia="en-AU"/>
        </w:rPr>
        <w:t xml:space="preserve"> is concerned with continuous disclosure requirements. </w:t>
      </w:r>
      <w:proofErr w:type="gramStart"/>
      <w:r>
        <w:rPr>
          <w:lang w:eastAsia="en-AU"/>
        </w:rPr>
        <w:t>In particular, Rule</w:t>
      </w:r>
      <w:proofErr w:type="gramEnd"/>
      <w:r>
        <w:rPr>
          <w:lang w:eastAsia="en-AU"/>
        </w:rPr>
        <w:t xml:space="preserve"> 3.1 provides:</w:t>
      </w:r>
    </w:p>
    <w:p w14:paraId="349A1CE0" w14:textId="77777777" w:rsidR="00721060" w:rsidRDefault="00721060" w:rsidP="006506E0">
      <w:pPr>
        <w:pStyle w:val="Quote1"/>
        <w:rPr>
          <w:lang w:eastAsia="en-AU"/>
        </w:rPr>
      </w:pPr>
      <w:r>
        <w:rPr>
          <w:lang w:eastAsia="en-AU"/>
        </w:rPr>
        <w:lastRenderedPageBreak/>
        <w:t>Once an entity is or becomes aware of any information concerning it that a reasonable person would expect to have a material effect on the price or value of the entity’s securities, the entity must immediately tell ASX that information.</w:t>
      </w:r>
    </w:p>
    <w:p w14:paraId="1752816A" w14:textId="77777777" w:rsidR="00721060" w:rsidRDefault="00721060" w:rsidP="000D6D80">
      <w:pPr>
        <w:pStyle w:val="ParaNumbering"/>
        <w:rPr>
          <w:lang w:eastAsia="en-AU"/>
        </w:rPr>
      </w:pPr>
      <w:r>
        <w:rPr>
          <w:lang w:eastAsia="en-AU"/>
        </w:rPr>
        <w:t>Rule 3.1A provides an exception to rule 3.1:</w:t>
      </w:r>
    </w:p>
    <w:p w14:paraId="533B7049" w14:textId="77777777" w:rsidR="00721060" w:rsidRDefault="00721060" w:rsidP="006506E0">
      <w:pPr>
        <w:pStyle w:val="Quote1"/>
        <w:rPr>
          <w:lang w:eastAsia="en-AU"/>
        </w:rPr>
      </w:pPr>
      <w:r>
        <w:rPr>
          <w:lang w:eastAsia="en-AU"/>
        </w:rPr>
        <w:t xml:space="preserve">Listing rule 3.1 does not apply to </w:t>
      </w:r>
      <w:proofErr w:type="gramStart"/>
      <w:r>
        <w:rPr>
          <w:lang w:eastAsia="en-AU"/>
        </w:rPr>
        <w:t>particular information</w:t>
      </w:r>
      <w:proofErr w:type="gramEnd"/>
      <w:r>
        <w:rPr>
          <w:lang w:eastAsia="en-AU"/>
        </w:rPr>
        <w:t xml:space="preserve"> while each of the following is satisfied in relation to the information:</w:t>
      </w:r>
    </w:p>
    <w:p w14:paraId="2A4F83E0" w14:textId="77777777" w:rsidR="00721060" w:rsidRDefault="00721060" w:rsidP="006506E0">
      <w:pPr>
        <w:pStyle w:val="Quote1"/>
        <w:rPr>
          <w:lang w:eastAsia="en-AU"/>
        </w:rPr>
      </w:pPr>
      <w:r>
        <w:rPr>
          <w:lang w:eastAsia="en-AU"/>
        </w:rPr>
        <w:t>3.1A.1</w:t>
      </w:r>
      <w:r>
        <w:rPr>
          <w:lang w:eastAsia="en-AU"/>
        </w:rPr>
        <w:tab/>
        <w:t>One or more of the following 5 situations applies:</w:t>
      </w:r>
    </w:p>
    <w:p w14:paraId="4782FCAB" w14:textId="77777777" w:rsidR="00721060" w:rsidRDefault="00721060" w:rsidP="0089683F">
      <w:pPr>
        <w:pStyle w:val="Quote2Bullet"/>
        <w:rPr>
          <w:lang w:eastAsia="en-AU"/>
        </w:rPr>
      </w:pPr>
      <w:r>
        <w:rPr>
          <w:lang w:eastAsia="en-AU"/>
        </w:rPr>
        <w:t xml:space="preserve">It would be a breach of a law to disclose the </w:t>
      </w:r>
      <w:proofErr w:type="gramStart"/>
      <w:r>
        <w:rPr>
          <w:lang w:eastAsia="en-AU"/>
        </w:rPr>
        <w:t>information;</w:t>
      </w:r>
      <w:proofErr w:type="gramEnd"/>
    </w:p>
    <w:p w14:paraId="0724133A" w14:textId="77777777" w:rsidR="00721060" w:rsidRDefault="00721060" w:rsidP="0089683F">
      <w:pPr>
        <w:pStyle w:val="Quote2Bullet"/>
        <w:rPr>
          <w:lang w:eastAsia="en-AU"/>
        </w:rPr>
      </w:pPr>
      <w:r>
        <w:rPr>
          <w:lang w:eastAsia="en-AU"/>
        </w:rPr>
        <w:t xml:space="preserve">The information concerns an incomplete proposal or </w:t>
      </w:r>
      <w:proofErr w:type="gramStart"/>
      <w:r>
        <w:rPr>
          <w:lang w:eastAsia="en-AU"/>
        </w:rPr>
        <w:t>negotiation;</w:t>
      </w:r>
      <w:proofErr w:type="gramEnd"/>
    </w:p>
    <w:p w14:paraId="0E024927" w14:textId="77777777" w:rsidR="00721060" w:rsidRDefault="00721060" w:rsidP="0089683F">
      <w:pPr>
        <w:pStyle w:val="Quote2Bullet"/>
        <w:rPr>
          <w:lang w:eastAsia="en-AU"/>
        </w:rPr>
      </w:pPr>
      <w:r>
        <w:rPr>
          <w:lang w:eastAsia="en-AU"/>
        </w:rPr>
        <w:t xml:space="preserve">The information comprises matters of supposition or is insufficiently definite to warrant </w:t>
      </w:r>
      <w:proofErr w:type="gramStart"/>
      <w:r>
        <w:rPr>
          <w:lang w:eastAsia="en-AU"/>
        </w:rPr>
        <w:t>disclosure;</w:t>
      </w:r>
      <w:proofErr w:type="gramEnd"/>
    </w:p>
    <w:p w14:paraId="08BD0FAC" w14:textId="77777777" w:rsidR="00721060" w:rsidRDefault="00721060" w:rsidP="0089683F">
      <w:pPr>
        <w:pStyle w:val="Quote2Bullet"/>
        <w:rPr>
          <w:lang w:eastAsia="en-AU"/>
        </w:rPr>
      </w:pPr>
      <w:r>
        <w:rPr>
          <w:lang w:eastAsia="en-AU"/>
        </w:rPr>
        <w:t>The information is generated for the internal management purposes of the entity; or</w:t>
      </w:r>
    </w:p>
    <w:p w14:paraId="580EFD4B" w14:textId="77777777" w:rsidR="00721060" w:rsidRDefault="00721060" w:rsidP="0089683F">
      <w:pPr>
        <w:pStyle w:val="Quote2Bullet"/>
        <w:rPr>
          <w:lang w:eastAsia="en-AU"/>
        </w:rPr>
      </w:pPr>
      <w:r>
        <w:rPr>
          <w:lang w:eastAsia="en-AU"/>
        </w:rPr>
        <w:t>The information is a trade secret; and</w:t>
      </w:r>
    </w:p>
    <w:p w14:paraId="52180ED8" w14:textId="77777777" w:rsidR="00721060" w:rsidRDefault="00721060" w:rsidP="00F82511">
      <w:pPr>
        <w:pStyle w:val="Quote1"/>
        <w:ind w:left="1440" w:hanging="703"/>
        <w:rPr>
          <w:lang w:eastAsia="en-AU"/>
        </w:rPr>
      </w:pPr>
      <w:r>
        <w:rPr>
          <w:lang w:eastAsia="en-AU"/>
        </w:rPr>
        <w:t>3.1A.2</w:t>
      </w:r>
      <w:r>
        <w:rPr>
          <w:lang w:eastAsia="en-AU"/>
        </w:rPr>
        <w:tab/>
        <w:t>The information is confidential and ASX has not formed the view that the information has ceased to be confidential; and</w:t>
      </w:r>
    </w:p>
    <w:p w14:paraId="7FFE642F" w14:textId="77777777" w:rsidR="00721060" w:rsidRDefault="00721060" w:rsidP="00721060">
      <w:pPr>
        <w:pStyle w:val="Quote1"/>
        <w:rPr>
          <w:lang w:eastAsia="en-AU"/>
        </w:rPr>
      </w:pPr>
      <w:r>
        <w:rPr>
          <w:lang w:eastAsia="en-AU"/>
        </w:rPr>
        <w:t>3.1A.3</w:t>
      </w:r>
      <w:r>
        <w:rPr>
          <w:lang w:eastAsia="en-AU"/>
        </w:rPr>
        <w:tab/>
        <w:t>A reasonable person would not expect the information to be disclosed.</w:t>
      </w:r>
    </w:p>
    <w:p w14:paraId="5D56589B" w14:textId="42DF7260" w:rsidR="00721060" w:rsidRDefault="00721060" w:rsidP="000D6D80">
      <w:pPr>
        <w:pStyle w:val="ParaNumbering"/>
        <w:rPr>
          <w:lang w:eastAsia="en-AU"/>
        </w:rPr>
      </w:pPr>
      <w:r>
        <w:rPr>
          <w:lang w:eastAsia="en-AU"/>
        </w:rPr>
        <w:t xml:space="preserve">Rule 19.12 </w:t>
      </w:r>
      <w:r w:rsidR="001A1F2F">
        <w:rPr>
          <w:lang w:eastAsia="en-AU"/>
        </w:rPr>
        <w:t xml:space="preserve">under Chapter 19 </w:t>
      </w:r>
      <w:r>
        <w:rPr>
          <w:lang w:eastAsia="en-AU"/>
        </w:rPr>
        <w:t>provides that an entity becomes “aware” of information:</w:t>
      </w:r>
    </w:p>
    <w:p w14:paraId="54922420" w14:textId="77777777" w:rsidR="00721060" w:rsidRDefault="00721060" w:rsidP="0021396C">
      <w:pPr>
        <w:pStyle w:val="Quote1"/>
        <w:spacing w:after="240"/>
        <w:rPr>
          <w:lang w:eastAsia="en-AU"/>
        </w:rPr>
      </w:pPr>
      <w:r>
        <w:rPr>
          <w:lang w:eastAsia="en-AU"/>
        </w:rPr>
        <w:t xml:space="preserve">if, and as soon as, an officer of the entity (or, in the case of a trust, an officer of the responsible entity) has, or ought reasonably to have, come into possession of the information </w:t>
      </w:r>
      <w:proofErr w:type="gramStart"/>
      <w:r>
        <w:rPr>
          <w:lang w:eastAsia="en-AU"/>
        </w:rPr>
        <w:t>in the course of</w:t>
      </w:r>
      <w:proofErr w:type="gramEnd"/>
      <w:r>
        <w:rPr>
          <w:lang w:eastAsia="en-AU"/>
        </w:rPr>
        <w:t xml:space="preserve"> the performance of their duties as an officer of that entity.</w:t>
      </w:r>
    </w:p>
    <w:p w14:paraId="0580B619" w14:textId="77777777" w:rsidR="00721060" w:rsidRDefault="00721060" w:rsidP="000D6D80">
      <w:pPr>
        <w:pStyle w:val="ParaNumbering"/>
        <w:rPr>
          <w:lang w:eastAsia="en-AU"/>
        </w:rPr>
      </w:pPr>
      <w:r>
        <w:rPr>
          <w:lang w:eastAsia="en-AU"/>
        </w:rPr>
        <w:t xml:space="preserve">The prohibition on misleading or deceptive conduct is found in s 1041H of the </w:t>
      </w:r>
      <w:r w:rsidRPr="0021396C">
        <w:rPr>
          <w:i/>
          <w:iCs/>
          <w:lang w:eastAsia="en-AU"/>
        </w:rPr>
        <w:t>Corporations Act</w:t>
      </w:r>
      <w:r>
        <w:rPr>
          <w:lang w:eastAsia="en-AU"/>
        </w:rPr>
        <w:t>. It provides, relevantly:</w:t>
      </w:r>
    </w:p>
    <w:p w14:paraId="35D681B9" w14:textId="7EAC02E6" w:rsidR="00721060" w:rsidRPr="005555AA" w:rsidRDefault="00721060" w:rsidP="005555AA">
      <w:pPr>
        <w:pStyle w:val="Quote1"/>
        <w:rPr>
          <w:b/>
          <w:bCs/>
          <w:lang w:eastAsia="en-AU"/>
        </w:rPr>
      </w:pPr>
      <w:r w:rsidRPr="005555AA">
        <w:rPr>
          <w:b/>
          <w:bCs/>
          <w:lang w:eastAsia="en-AU"/>
        </w:rPr>
        <w:t xml:space="preserve">1041H </w:t>
      </w:r>
      <w:r w:rsidR="002A2A51" w:rsidRPr="005555AA">
        <w:rPr>
          <w:b/>
          <w:bCs/>
          <w:lang w:eastAsia="en-AU"/>
        </w:rPr>
        <w:t xml:space="preserve"> </w:t>
      </w:r>
      <w:r w:rsidR="00180706" w:rsidRPr="005555AA">
        <w:rPr>
          <w:b/>
          <w:bCs/>
          <w:lang w:eastAsia="en-AU"/>
        </w:rPr>
        <w:t xml:space="preserve"> </w:t>
      </w:r>
      <w:r w:rsidRPr="005555AA">
        <w:rPr>
          <w:b/>
          <w:bCs/>
          <w:lang w:eastAsia="en-AU"/>
        </w:rPr>
        <w:t>Misleading or deceptive conduct (civil liability only)</w:t>
      </w:r>
    </w:p>
    <w:p w14:paraId="15E8AD04" w14:textId="51039941" w:rsidR="00180706" w:rsidRDefault="00721060" w:rsidP="00A4777A">
      <w:pPr>
        <w:pStyle w:val="Quote1"/>
        <w:numPr>
          <w:ilvl w:val="0"/>
          <w:numId w:val="25"/>
        </w:numPr>
        <w:ind w:left="1440" w:hanging="703"/>
        <w:rPr>
          <w:lang w:eastAsia="en-AU"/>
        </w:rPr>
      </w:pPr>
      <w:r>
        <w:rPr>
          <w:lang w:eastAsia="en-AU"/>
        </w:rPr>
        <w:t>A person must not, in this jurisdiction, engage in conduct, in relation to a financial product or a financial service, that is misleading or deceptive or is likely to mislead or deceive.</w:t>
      </w:r>
    </w:p>
    <w:p w14:paraId="5F40B9CC" w14:textId="77777777" w:rsidR="00721060" w:rsidRDefault="00721060" w:rsidP="00A4777A">
      <w:pPr>
        <w:pStyle w:val="Quote1"/>
        <w:numPr>
          <w:ilvl w:val="0"/>
          <w:numId w:val="25"/>
        </w:numPr>
        <w:ind w:left="1440" w:hanging="703"/>
        <w:rPr>
          <w:lang w:eastAsia="en-AU"/>
        </w:rPr>
      </w:pPr>
      <w:r>
        <w:rPr>
          <w:lang w:eastAsia="en-AU"/>
        </w:rPr>
        <w:t>The reference in subsection (1) to engaging in conduct in relation to a financial product includes (but is not limited to) any of the following:</w:t>
      </w:r>
    </w:p>
    <w:p w14:paraId="5124BE3F" w14:textId="77777777" w:rsidR="00721060" w:rsidRPr="00C666EA" w:rsidRDefault="00721060" w:rsidP="0089683F">
      <w:pPr>
        <w:pStyle w:val="Quote2"/>
        <w:rPr>
          <w:lang w:eastAsia="en-AU"/>
        </w:rPr>
      </w:pPr>
      <w:r w:rsidRPr="00C666EA">
        <w:rPr>
          <w:lang w:eastAsia="en-AU"/>
        </w:rPr>
        <w:t>(a)</w:t>
      </w:r>
      <w:r w:rsidRPr="00C666EA">
        <w:rPr>
          <w:lang w:eastAsia="en-AU"/>
        </w:rPr>
        <w:tab/>
        <w:t xml:space="preserve">dealing in a financial </w:t>
      </w:r>
      <w:proofErr w:type="gramStart"/>
      <w:r w:rsidRPr="00C666EA">
        <w:rPr>
          <w:lang w:eastAsia="en-AU"/>
        </w:rPr>
        <w:t>product;</w:t>
      </w:r>
      <w:proofErr w:type="gramEnd"/>
    </w:p>
    <w:p w14:paraId="09A354DA" w14:textId="77777777" w:rsidR="00721060" w:rsidRPr="00C666EA" w:rsidRDefault="00721060" w:rsidP="0089683F">
      <w:pPr>
        <w:pStyle w:val="Quote2"/>
        <w:rPr>
          <w:lang w:eastAsia="en-AU"/>
        </w:rPr>
      </w:pPr>
      <w:r w:rsidRPr="00C666EA">
        <w:rPr>
          <w:lang w:eastAsia="en-AU"/>
        </w:rPr>
        <w:t>(b)</w:t>
      </w:r>
      <w:r w:rsidRPr="00C666EA">
        <w:rPr>
          <w:lang w:eastAsia="en-AU"/>
        </w:rPr>
        <w:tab/>
        <w:t>without limiting paragraph (a):</w:t>
      </w:r>
    </w:p>
    <w:p w14:paraId="59FADA21" w14:textId="1235D43E" w:rsidR="00721060" w:rsidRPr="00C666EA" w:rsidRDefault="00721060" w:rsidP="0089683F">
      <w:pPr>
        <w:pStyle w:val="Quote3"/>
        <w:rPr>
          <w:lang w:eastAsia="en-AU"/>
        </w:rPr>
      </w:pPr>
      <w:r w:rsidRPr="00C666EA">
        <w:rPr>
          <w:lang w:eastAsia="en-AU"/>
        </w:rPr>
        <w:t>(</w:t>
      </w:r>
      <w:proofErr w:type="spellStart"/>
      <w:r w:rsidRPr="00C666EA">
        <w:rPr>
          <w:lang w:eastAsia="en-AU"/>
        </w:rPr>
        <w:t>i</w:t>
      </w:r>
      <w:proofErr w:type="spellEnd"/>
      <w:r w:rsidRPr="00C666EA">
        <w:rPr>
          <w:lang w:eastAsia="en-AU"/>
        </w:rPr>
        <w:t>)</w:t>
      </w:r>
      <w:r w:rsidRPr="00C666EA">
        <w:rPr>
          <w:lang w:eastAsia="en-AU"/>
        </w:rPr>
        <w:tab/>
        <w:t xml:space="preserve">issuing a financial </w:t>
      </w:r>
      <w:proofErr w:type="gramStart"/>
      <w:r w:rsidRPr="00C666EA">
        <w:rPr>
          <w:lang w:eastAsia="en-AU"/>
        </w:rPr>
        <w:t>product;</w:t>
      </w:r>
      <w:proofErr w:type="gramEnd"/>
    </w:p>
    <w:p w14:paraId="078F00E7" w14:textId="361C1734" w:rsidR="00721060" w:rsidRPr="00C666EA" w:rsidRDefault="00721060" w:rsidP="0089683F">
      <w:pPr>
        <w:pStyle w:val="Quote3"/>
        <w:rPr>
          <w:lang w:eastAsia="en-AU"/>
        </w:rPr>
      </w:pPr>
      <w:r w:rsidRPr="00C666EA">
        <w:rPr>
          <w:lang w:eastAsia="en-AU"/>
        </w:rPr>
        <w:t>(ii)</w:t>
      </w:r>
      <w:r w:rsidRPr="00C666EA">
        <w:rPr>
          <w:lang w:eastAsia="en-AU"/>
        </w:rPr>
        <w:tab/>
        <w:t xml:space="preserve">publishing a notice in relation to a financial </w:t>
      </w:r>
      <w:proofErr w:type="gramStart"/>
      <w:r w:rsidRPr="00C666EA">
        <w:rPr>
          <w:lang w:eastAsia="en-AU"/>
        </w:rPr>
        <w:t>product;</w:t>
      </w:r>
      <w:proofErr w:type="gramEnd"/>
    </w:p>
    <w:p w14:paraId="33EB30D9" w14:textId="3BB047AA" w:rsidR="00721060" w:rsidRPr="00191844" w:rsidRDefault="00721060" w:rsidP="00BD5A5A">
      <w:pPr>
        <w:pStyle w:val="Quote3"/>
        <w:ind w:left="1440"/>
        <w:rPr>
          <w:lang w:eastAsia="en-AU"/>
        </w:rPr>
      </w:pPr>
      <w:r w:rsidRPr="00C666EA">
        <w:rPr>
          <w:lang w:eastAsia="en-AU"/>
        </w:rPr>
        <w:tab/>
        <w:t>…</w:t>
      </w:r>
    </w:p>
    <w:p w14:paraId="55810988" w14:textId="71A07667" w:rsidR="0058183C" w:rsidRDefault="0058183C" w:rsidP="0058183C">
      <w:pPr>
        <w:pStyle w:val="Heading3"/>
      </w:pPr>
      <w:bookmarkStart w:id="31" w:name="_Ref161673105"/>
      <w:r>
        <w:lastRenderedPageBreak/>
        <w:t xml:space="preserve">The </w:t>
      </w:r>
      <w:r w:rsidR="00E55A16">
        <w:t xml:space="preserve">admitted </w:t>
      </w:r>
      <w:r>
        <w:t>contraventions of ss 674(2) and 1041</w:t>
      </w:r>
      <w:proofErr w:type="gramStart"/>
      <w:r>
        <w:t>H(</w:t>
      </w:r>
      <w:proofErr w:type="gramEnd"/>
      <w:r>
        <w:t>1)</w:t>
      </w:r>
      <w:bookmarkEnd w:id="31"/>
      <w:r>
        <w:t xml:space="preserve"> </w:t>
      </w:r>
    </w:p>
    <w:p w14:paraId="52577CF3" w14:textId="37E22039" w:rsidR="0058183C" w:rsidRDefault="0058183C" w:rsidP="000D6D80">
      <w:pPr>
        <w:pStyle w:val="ParaNumbering"/>
      </w:pPr>
      <w:r>
        <w:t>On and from 9 April 2020, or alternatively in res</w:t>
      </w:r>
      <w:r w:rsidRPr="009D2710">
        <w:t xml:space="preserve">pect of sub-paras (b) and (c) below, from at least 22 April 2020, </w:t>
      </w:r>
      <w:proofErr w:type="spellStart"/>
      <w:r w:rsidRPr="009D2710">
        <w:t>Holista</w:t>
      </w:r>
      <w:proofErr w:type="spellEnd"/>
      <w:r w:rsidRPr="009D2710">
        <w:t xml:space="preserve"> </w:t>
      </w:r>
      <w:r w:rsidR="00B47227" w:rsidRPr="009D2710">
        <w:t xml:space="preserve">admits it </w:t>
      </w:r>
      <w:r w:rsidRPr="009D2710">
        <w:t>was aware of three pie</w:t>
      </w:r>
      <w:r>
        <w:t>ces of material information which were not disclosed</w:t>
      </w:r>
      <w:r w:rsidR="00B47227">
        <w:t xml:space="preserve"> (</w:t>
      </w:r>
      <w:r w:rsidR="000636AA">
        <w:t xml:space="preserve">collectively, </w:t>
      </w:r>
      <w:r w:rsidR="00B47227">
        <w:t xml:space="preserve">the </w:t>
      </w:r>
      <w:r w:rsidR="00B47227" w:rsidRPr="00942D23">
        <w:rPr>
          <w:b/>
          <w:bCs/>
        </w:rPr>
        <w:t>Non-Disclosed Information</w:t>
      </w:r>
      <w:r w:rsidR="00B47227">
        <w:t>)</w:t>
      </w:r>
      <w:r>
        <w:t>, in contravention of s 674(2)</w:t>
      </w:r>
      <w:r w:rsidR="00AE2FBD">
        <w:t>, per (a), (b) and (c) below</w:t>
      </w:r>
      <w:r>
        <w:t>:</w:t>
      </w:r>
    </w:p>
    <w:p w14:paraId="01614841" w14:textId="18735EFC" w:rsidR="0058183C" w:rsidRDefault="0058183C" w:rsidP="00475635">
      <w:pPr>
        <w:pStyle w:val="ListNo1alt"/>
      </w:pPr>
      <w:r>
        <w:t xml:space="preserve">Health Therapies had not placed orders for 415,000 bottles of </w:t>
      </w:r>
      <w:proofErr w:type="spellStart"/>
      <w:r>
        <w:t>NatShield</w:t>
      </w:r>
      <w:proofErr w:type="spellEnd"/>
      <w:r>
        <w:t xml:space="preserve"> totalling </w:t>
      </w:r>
      <w:r w:rsidR="004049EB">
        <w:t>A</w:t>
      </w:r>
      <w:r>
        <w:t>$3.8 million for delivery between April and June 2020 (</w:t>
      </w:r>
      <w:r w:rsidRPr="00AA1BAB">
        <w:rPr>
          <w:b/>
          <w:bCs/>
        </w:rPr>
        <w:t xml:space="preserve">Placed </w:t>
      </w:r>
      <w:r>
        <w:rPr>
          <w:b/>
          <w:bCs/>
        </w:rPr>
        <w:t>O</w:t>
      </w:r>
      <w:r w:rsidRPr="00AA1BAB">
        <w:rPr>
          <w:b/>
          <w:bCs/>
        </w:rPr>
        <w:t>rders Information</w:t>
      </w:r>
      <w:proofErr w:type="gramStart"/>
      <w:r>
        <w:t>);</w:t>
      </w:r>
      <w:proofErr w:type="gramEnd"/>
    </w:p>
    <w:p w14:paraId="0C1D8E27" w14:textId="77777777" w:rsidR="0058183C" w:rsidRDefault="0058183C" w:rsidP="00475635">
      <w:pPr>
        <w:pStyle w:val="ListNo1alt"/>
      </w:pPr>
      <w:proofErr w:type="spellStart"/>
      <w:r>
        <w:t>Holista</w:t>
      </w:r>
      <w:proofErr w:type="spellEnd"/>
      <w:r>
        <w:t xml:space="preserve"> was unlikely to receive orders of 415,000 bottles of </w:t>
      </w:r>
      <w:proofErr w:type="spellStart"/>
      <w:r>
        <w:t>NatShield</w:t>
      </w:r>
      <w:proofErr w:type="spellEnd"/>
      <w:r>
        <w:t xml:space="preserve"> totalling A$3.8 million from Health Therapies for delivery between April and June 2020 (</w:t>
      </w:r>
      <w:r w:rsidRPr="009E393B">
        <w:rPr>
          <w:b/>
          <w:bCs/>
        </w:rPr>
        <w:t>Orders Shortfall Information</w:t>
      </w:r>
      <w:r>
        <w:t>); and</w:t>
      </w:r>
    </w:p>
    <w:p w14:paraId="64E32BE8" w14:textId="77777777" w:rsidR="0058183C" w:rsidRDefault="0058183C" w:rsidP="00475635">
      <w:pPr>
        <w:pStyle w:val="ListNo1alt"/>
      </w:pPr>
      <w:proofErr w:type="spellStart"/>
      <w:r>
        <w:t>Holista</w:t>
      </w:r>
      <w:proofErr w:type="spellEnd"/>
      <w:r>
        <w:t xml:space="preserve"> was unlikely to record revenue of A$3.8 million from orders of 415,000 or 424,558 bottles of </w:t>
      </w:r>
      <w:proofErr w:type="spellStart"/>
      <w:r>
        <w:t>NatShield</w:t>
      </w:r>
      <w:proofErr w:type="spellEnd"/>
      <w:r>
        <w:t xml:space="preserve"> placed by Health Therapies for delivery between April and June 2020 (</w:t>
      </w:r>
      <w:r w:rsidRPr="009E393B">
        <w:rPr>
          <w:b/>
          <w:bCs/>
        </w:rPr>
        <w:t>Revenue Shortfall Information</w:t>
      </w:r>
      <w:proofErr w:type="gramStart"/>
      <w:r>
        <w:t>);</w:t>
      </w:r>
      <w:proofErr w:type="gramEnd"/>
      <w:r>
        <w:t xml:space="preserve"> </w:t>
      </w:r>
    </w:p>
    <w:p w14:paraId="7A186265" w14:textId="46FFB484" w:rsidR="0058183C" w:rsidRDefault="0058183C" w:rsidP="00475635">
      <w:pPr>
        <w:pStyle w:val="ListNo1alt"/>
      </w:pPr>
      <w:r w:rsidRPr="008678FA">
        <w:t xml:space="preserve">and </w:t>
      </w:r>
      <w:r w:rsidRPr="00F6348E">
        <w:rPr>
          <w:b/>
          <w:bCs/>
        </w:rPr>
        <w:t>admits</w:t>
      </w:r>
      <w:r w:rsidRPr="000636AA">
        <w:t>:</w:t>
      </w:r>
    </w:p>
    <w:p w14:paraId="1483AFA2" w14:textId="378E2E03" w:rsidR="0058183C" w:rsidRDefault="00552D53" w:rsidP="00475635">
      <w:pPr>
        <w:pStyle w:val="ListNo1alt"/>
      </w:pPr>
      <w:r>
        <w:t xml:space="preserve">the Non-Disclosed Information </w:t>
      </w:r>
      <w:r w:rsidR="0058183C">
        <w:t>was information which was not generally available within the meaning of ss 674(2)(c)(</w:t>
      </w:r>
      <w:proofErr w:type="spellStart"/>
      <w:r w:rsidR="0058183C">
        <w:t>i</w:t>
      </w:r>
      <w:proofErr w:type="spellEnd"/>
      <w:r w:rsidR="0058183C">
        <w:t xml:space="preserve">) and 676 of the </w:t>
      </w:r>
      <w:r w:rsidR="0058183C" w:rsidRPr="003B0939">
        <w:rPr>
          <w:i/>
          <w:iCs/>
        </w:rPr>
        <w:t xml:space="preserve">Corporations </w:t>
      </w:r>
      <w:proofErr w:type="gramStart"/>
      <w:r w:rsidR="0058183C" w:rsidRPr="003B0939">
        <w:rPr>
          <w:i/>
          <w:iCs/>
        </w:rPr>
        <w:t>Act</w:t>
      </w:r>
      <w:r w:rsidR="0058183C">
        <w:t>;</w:t>
      </w:r>
      <w:proofErr w:type="gramEnd"/>
    </w:p>
    <w:p w14:paraId="1AF5A5E8" w14:textId="63545E60" w:rsidR="0058183C" w:rsidRDefault="00552D53" w:rsidP="00475635">
      <w:pPr>
        <w:pStyle w:val="ListNo1alt"/>
      </w:pPr>
      <w:r>
        <w:t xml:space="preserve">the Non-Disclosed Information </w:t>
      </w:r>
      <w:r w:rsidR="0058183C">
        <w:t xml:space="preserve">was information which a reasonable person would expect, if it were generally available, to have a material effect on the price or value of </w:t>
      </w:r>
      <w:proofErr w:type="spellStart"/>
      <w:r w:rsidR="0058183C">
        <w:t>Holista</w:t>
      </w:r>
      <w:proofErr w:type="spellEnd"/>
      <w:r w:rsidR="0058183C">
        <w:t xml:space="preserve"> </w:t>
      </w:r>
      <w:r w:rsidR="005231FA">
        <w:t>s</w:t>
      </w:r>
      <w:r w:rsidR="0058183C">
        <w:t xml:space="preserve">ecurities, as it would, or would have been likely to, influence persons who commonly invest in securities in deciding whether to acquire of dispose of </w:t>
      </w:r>
      <w:proofErr w:type="spellStart"/>
      <w:r w:rsidR="0058183C">
        <w:t>Holista</w:t>
      </w:r>
      <w:proofErr w:type="spellEnd"/>
      <w:r w:rsidR="0058183C">
        <w:t xml:space="preserve"> </w:t>
      </w:r>
      <w:r w:rsidR="005231FA">
        <w:t>s</w:t>
      </w:r>
      <w:r w:rsidR="0058183C">
        <w:t xml:space="preserve">ecurities, for the purposes of ss 674(2)(c)(ii) and 677 of the </w:t>
      </w:r>
      <w:r w:rsidR="0058183C" w:rsidRPr="003B0939">
        <w:rPr>
          <w:i/>
          <w:iCs/>
        </w:rPr>
        <w:t>Corporations Act</w:t>
      </w:r>
      <w:r w:rsidR="0058183C">
        <w:t>;</w:t>
      </w:r>
    </w:p>
    <w:p w14:paraId="5CEA76C4" w14:textId="55858D6E" w:rsidR="0058183C" w:rsidRDefault="0058183C" w:rsidP="00475635">
      <w:pPr>
        <w:pStyle w:val="ListNo1alt"/>
      </w:pPr>
      <w:r>
        <w:t xml:space="preserve">the ASX Listing Rules required </w:t>
      </w:r>
      <w:proofErr w:type="spellStart"/>
      <w:r>
        <w:t>Holista</w:t>
      </w:r>
      <w:proofErr w:type="spellEnd"/>
      <w:r>
        <w:t xml:space="preserve"> to notify the ASX of the </w:t>
      </w:r>
      <w:r w:rsidR="00AB7C37">
        <w:t xml:space="preserve">Non-Disclosed </w:t>
      </w:r>
      <w:proofErr w:type="gramStart"/>
      <w:r w:rsidR="00AB7C37">
        <w:t>Information</w:t>
      </w:r>
      <w:r>
        <w:t>;</w:t>
      </w:r>
      <w:proofErr w:type="gramEnd"/>
    </w:p>
    <w:p w14:paraId="29DB33F7" w14:textId="1D9C7573" w:rsidR="0058183C" w:rsidRDefault="0058183C" w:rsidP="00475635">
      <w:pPr>
        <w:pStyle w:val="ListNo1alt"/>
      </w:pPr>
      <w:r>
        <w:t xml:space="preserve">between 9 April 2020 (or alternatively in respect of the Orders Shortfall Information and the Revenue Shortfall Information, by at least 22 April) and 9 July 2020, it failed to notify the ASX of the </w:t>
      </w:r>
      <w:r w:rsidR="00AB7C37">
        <w:t xml:space="preserve">Non-Disclosed </w:t>
      </w:r>
      <w:proofErr w:type="gramStart"/>
      <w:r>
        <w:t>Information;</w:t>
      </w:r>
      <w:proofErr w:type="gramEnd"/>
    </w:p>
    <w:p w14:paraId="596560BF" w14:textId="37826A78" w:rsidR="0058183C" w:rsidRDefault="0058183C" w:rsidP="00475635">
      <w:pPr>
        <w:pStyle w:val="ListNo1alt"/>
      </w:pPr>
      <w:r>
        <w:t xml:space="preserve">between 9 April 2020 (or alternatively in respect of the Orders Shortfall Information and the Revenue Shortfall Information, by at least 22 April) and 25 May 2020, it contravened s 674(2) of the </w:t>
      </w:r>
      <w:r w:rsidRPr="0010407C">
        <w:rPr>
          <w:i/>
          <w:iCs/>
        </w:rPr>
        <w:t>Corporations Act</w:t>
      </w:r>
      <w:r>
        <w:t xml:space="preserve">, as modified by the </w:t>
      </w:r>
      <w:r w:rsidRPr="005231FA">
        <w:rPr>
          <w:i/>
          <w:iCs/>
        </w:rPr>
        <w:lastRenderedPageBreak/>
        <w:t>Coronavirus Determination</w:t>
      </w:r>
      <w:r>
        <w:t xml:space="preserve"> in failing to notify the ASX of the </w:t>
      </w:r>
      <w:r w:rsidR="00AB7C37">
        <w:t xml:space="preserve">Non-Disclosed </w:t>
      </w:r>
      <w:proofErr w:type="gramStart"/>
      <w:r>
        <w:t>Information;</w:t>
      </w:r>
      <w:proofErr w:type="gramEnd"/>
    </w:p>
    <w:p w14:paraId="213D6D4F" w14:textId="77777777" w:rsidR="0058183C" w:rsidRDefault="0058183C" w:rsidP="00475635">
      <w:pPr>
        <w:pStyle w:val="ListNo1alt"/>
      </w:pPr>
      <w:r>
        <w:t xml:space="preserve">its contraventions of s 674(2) were serious within the meaning of s 1317G(1)(c)(iii) of the </w:t>
      </w:r>
      <w:r w:rsidRPr="007F48AE">
        <w:rPr>
          <w:i/>
          <w:iCs/>
        </w:rPr>
        <w:t xml:space="preserve">Corporations </w:t>
      </w:r>
      <w:proofErr w:type="gramStart"/>
      <w:r w:rsidRPr="007F48AE">
        <w:rPr>
          <w:i/>
          <w:iCs/>
        </w:rPr>
        <w:t>Ac</w:t>
      </w:r>
      <w:r>
        <w:t>t;</w:t>
      </w:r>
      <w:proofErr w:type="gramEnd"/>
    </w:p>
    <w:p w14:paraId="4C973515" w14:textId="699D2737" w:rsidR="0058183C" w:rsidRDefault="0058183C" w:rsidP="00475635">
      <w:pPr>
        <w:pStyle w:val="ListNo1alt"/>
      </w:pPr>
      <w:r>
        <w:t>in the period</w:t>
      </w:r>
      <w:r w:rsidR="005231FA">
        <w:t xml:space="preserve"> </w:t>
      </w:r>
      <w:r>
        <w:t xml:space="preserve">from 26 May 2020 to 9 July 2020, it was at least negligent as to whether the </w:t>
      </w:r>
      <w:r w:rsidR="00AB7C37">
        <w:t xml:space="preserve">Non-Disclosed </w:t>
      </w:r>
      <w:r>
        <w:t xml:space="preserve">Information would, if it were generally available, have a material effect on the price or value of </w:t>
      </w:r>
      <w:proofErr w:type="spellStart"/>
      <w:r>
        <w:t>Holista</w:t>
      </w:r>
      <w:proofErr w:type="spellEnd"/>
      <w:r>
        <w:t xml:space="preserve"> Securities, for the purposes of ss 674(2)(c) and 677 of the </w:t>
      </w:r>
      <w:r w:rsidRPr="006D712F">
        <w:rPr>
          <w:i/>
          <w:iCs/>
        </w:rPr>
        <w:t>Corporations Act</w:t>
      </w:r>
      <w:r>
        <w:t xml:space="preserve">, as modified by the </w:t>
      </w:r>
      <w:r w:rsidRPr="00AB7C37">
        <w:rPr>
          <w:i/>
          <w:iCs/>
        </w:rPr>
        <w:t>Coronavirus Determination</w:t>
      </w:r>
      <w:r>
        <w:t>;</w:t>
      </w:r>
      <w:r w:rsidR="00241957">
        <w:t xml:space="preserve"> and</w:t>
      </w:r>
    </w:p>
    <w:p w14:paraId="5FDC481C" w14:textId="7606B703" w:rsidR="0058183C" w:rsidRDefault="0058183C" w:rsidP="00475635">
      <w:pPr>
        <w:pStyle w:val="ListNo1alt"/>
      </w:pPr>
      <w:r>
        <w:t xml:space="preserve">by engaging in the conduct described which led to the Orders Representation and the Revenue Representation, it contravened s 1041H of the </w:t>
      </w:r>
      <w:r w:rsidRPr="00124F74">
        <w:rPr>
          <w:i/>
          <w:iCs/>
        </w:rPr>
        <w:t>Corporations Act</w:t>
      </w:r>
      <w:r>
        <w:t>.</w:t>
      </w:r>
    </w:p>
    <w:p w14:paraId="5E4D3D64" w14:textId="7E3105B1" w:rsidR="002702AE" w:rsidRDefault="00E33B8C" w:rsidP="00B70B14">
      <w:pPr>
        <w:pStyle w:val="Heading2"/>
      </w:pPr>
      <w:bookmarkStart w:id="32" w:name="_Ref161673106"/>
      <w:r>
        <w:t>Is it appropriate to make the agreed declarations</w:t>
      </w:r>
      <w:r w:rsidR="003A18AB">
        <w:t xml:space="preserve"> in respect of </w:t>
      </w:r>
      <w:proofErr w:type="spellStart"/>
      <w:r w:rsidR="003A18AB">
        <w:t>Holista</w:t>
      </w:r>
      <w:r w:rsidR="00D83C40">
        <w:t>’s</w:t>
      </w:r>
      <w:proofErr w:type="spellEnd"/>
      <w:r w:rsidR="00D83C40">
        <w:t xml:space="preserve"> liability</w:t>
      </w:r>
      <w:r>
        <w:t>?</w:t>
      </w:r>
      <w:bookmarkEnd w:id="32"/>
      <w:r>
        <w:t xml:space="preserve"> </w:t>
      </w:r>
    </w:p>
    <w:p w14:paraId="5D7554EC" w14:textId="66919E50" w:rsidR="0065449B" w:rsidRDefault="0065449B" w:rsidP="000D6D80">
      <w:pPr>
        <w:pStyle w:val="ParaNumbering"/>
      </w:pPr>
      <w:r>
        <w:t>By its originating application, and i</w:t>
      </w:r>
      <w:r w:rsidR="00764259">
        <w:t xml:space="preserve">n respect of the admitted contraventions </w:t>
      </w:r>
      <w:r w:rsidR="00170C79">
        <w:t xml:space="preserve">of ss 674(2) and 1041H of the </w:t>
      </w:r>
      <w:r w:rsidR="00170C79" w:rsidRPr="003A18AB">
        <w:rPr>
          <w:i/>
          <w:iCs/>
        </w:rPr>
        <w:t>Corporations Act</w:t>
      </w:r>
      <w:r w:rsidR="00170C79">
        <w:t xml:space="preserve"> by </w:t>
      </w:r>
      <w:proofErr w:type="spellStart"/>
      <w:r w:rsidR="00170C79">
        <w:t>Holista</w:t>
      </w:r>
      <w:proofErr w:type="spellEnd"/>
      <w:r w:rsidR="00170C79">
        <w:t xml:space="preserve">, ASIC </w:t>
      </w:r>
      <w:r>
        <w:t xml:space="preserve">has </w:t>
      </w:r>
      <w:r w:rsidR="00170C79">
        <w:t xml:space="preserve">applied </w:t>
      </w:r>
      <w:r w:rsidR="005656F7">
        <w:t>for</w:t>
      </w:r>
      <w:r>
        <w:t>, inter alia,</w:t>
      </w:r>
      <w:r w:rsidR="005656F7">
        <w:t xml:space="preserve"> declaratory relief </w:t>
      </w:r>
      <w:r w:rsidR="005555AC">
        <w:t>pursuant to</w:t>
      </w:r>
      <w:r w:rsidR="005555AC" w:rsidRPr="00EA5DD5">
        <w:t xml:space="preserve"> </w:t>
      </w:r>
      <w:r w:rsidR="005555AC" w:rsidRPr="006941F0">
        <w:t xml:space="preserve">s 1317E of the </w:t>
      </w:r>
      <w:r w:rsidR="005555AC" w:rsidRPr="006941F0">
        <w:rPr>
          <w:i/>
          <w:iCs/>
        </w:rPr>
        <w:t>Corporations Act</w:t>
      </w:r>
      <w:r w:rsidR="005555AC" w:rsidRPr="00EA5DD5">
        <w:t>,</w:t>
      </w:r>
      <w:r w:rsidR="005555AC">
        <w:t xml:space="preserve"> or alternative</w:t>
      </w:r>
      <w:r w:rsidR="00D9209D">
        <w:t>ly</w:t>
      </w:r>
      <w:r w:rsidR="00075270">
        <w:t>,</w:t>
      </w:r>
      <w:r w:rsidR="00D9209D">
        <w:t xml:space="preserve"> s 21 of the </w:t>
      </w:r>
      <w:r w:rsidR="00D9209D" w:rsidRPr="003A18AB">
        <w:rPr>
          <w:i/>
          <w:iCs/>
        </w:rPr>
        <w:t>Federal Court of Australia Act 1976</w:t>
      </w:r>
      <w:r w:rsidR="00D9209D">
        <w:t xml:space="preserve"> (</w:t>
      </w:r>
      <w:proofErr w:type="spellStart"/>
      <w:r w:rsidR="00D9209D">
        <w:t>Cth</w:t>
      </w:r>
      <w:proofErr w:type="spellEnd"/>
      <w:r w:rsidR="00D9209D">
        <w:t>) (</w:t>
      </w:r>
      <w:r w:rsidR="00D9209D" w:rsidRPr="003A18AB">
        <w:rPr>
          <w:b/>
          <w:bCs/>
          <w:i/>
          <w:iCs/>
        </w:rPr>
        <w:t>FCA</w:t>
      </w:r>
      <w:r w:rsidR="002359E2" w:rsidRPr="003A18AB">
        <w:rPr>
          <w:b/>
          <w:bCs/>
          <w:i/>
          <w:iCs/>
        </w:rPr>
        <w:t xml:space="preserve"> Act</w:t>
      </w:r>
      <w:r w:rsidR="00D9209D">
        <w:t>)</w:t>
      </w:r>
      <w:r w:rsidR="00AD4C26">
        <w:t>.</w:t>
      </w:r>
      <w:r w:rsidR="002A2A7B">
        <w:t xml:space="preserve"> </w:t>
      </w:r>
    </w:p>
    <w:p w14:paraId="14A8BD8F" w14:textId="3DE0359B" w:rsidR="00033DDA" w:rsidRDefault="002A2A7B" w:rsidP="000D6D80">
      <w:pPr>
        <w:pStyle w:val="ParaNumbering"/>
      </w:pPr>
      <w:r>
        <w:t>Se</w:t>
      </w:r>
      <w:r w:rsidR="004F4766">
        <w:t>ction 1317E is a mandatory provision. It provides</w:t>
      </w:r>
      <w:r w:rsidR="00447268">
        <w:t>, relevantly</w:t>
      </w:r>
      <w:r w:rsidR="004F4766">
        <w:t>:</w:t>
      </w:r>
    </w:p>
    <w:p w14:paraId="0C75D497" w14:textId="22CED7B7" w:rsidR="007C402A" w:rsidRPr="005D2515" w:rsidRDefault="00EB5ACA" w:rsidP="0035783D">
      <w:pPr>
        <w:pStyle w:val="Quote1"/>
        <w:ind w:left="0" w:firstLine="720"/>
        <w:rPr>
          <w:b/>
          <w:bCs/>
          <w:lang w:eastAsia="en-AU"/>
        </w:rPr>
      </w:pPr>
      <w:r w:rsidRPr="005D2515">
        <w:rPr>
          <w:b/>
          <w:bCs/>
          <w:lang w:eastAsia="en-AU"/>
        </w:rPr>
        <w:t>1317E</w:t>
      </w:r>
      <w:r w:rsidR="005D2515" w:rsidRPr="005D2515">
        <w:rPr>
          <w:b/>
          <w:bCs/>
          <w:lang w:eastAsia="en-AU"/>
        </w:rPr>
        <w:tab/>
      </w:r>
      <w:r w:rsidR="007C402A" w:rsidRPr="005D2515">
        <w:rPr>
          <w:b/>
          <w:bCs/>
          <w:lang w:eastAsia="en-AU"/>
        </w:rPr>
        <w:t>Declaration of contravention of a civil penalty provision</w:t>
      </w:r>
    </w:p>
    <w:p w14:paraId="1F6962C0" w14:textId="77777777" w:rsidR="007C402A" w:rsidRPr="007C402A" w:rsidRDefault="007C402A" w:rsidP="00F57BB9">
      <w:pPr>
        <w:pStyle w:val="Quote1"/>
        <w:rPr>
          <w:i/>
          <w:iCs/>
          <w:szCs w:val="22"/>
          <w:lang w:eastAsia="en-AU"/>
        </w:rPr>
      </w:pPr>
      <w:r w:rsidRPr="007C402A">
        <w:rPr>
          <w:i/>
          <w:iCs/>
          <w:szCs w:val="22"/>
          <w:lang w:eastAsia="en-AU"/>
        </w:rPr>
        <w:t>Declaration of contravention</w:t>
      </w:r>
    </w:p>
    <w:p w14:paraId="3668276A" w14:textId="70B8CAF8" w:rsidR="007C402A" w:rsidRPr="007C402A" w:rsidRDefault="007C402A" w:rsidP="007C402A">
      <w:pPr>
        <w:pStyle w:val="Quote1"/>
        <w:ind w:left="1440" w:hanging="703"/>
        <w:rPr>
          <w:szCs w:val="22"/>
          <w:lang w:eastAsia="en-AU"/>
        </w:rPr>
      </w:pPr>
      <w:r w:rsidRPr="007C402A">
        <w:rPr>
          <w:szCs w:val="22"/>
          <w:lang w:eastAsia="en-AU"/>
        </w:rPr>
        <w:t xml:space="preserve">(1) </w:t>
      </w:r>
      <w:r>
        <w:rPr>
          <w:szCs w:val="22"/>
          <w:lang w:eastAsia="en-AU"/>
        </w:rPr>
        <w:tab/>
      </w:r>
      <w:r w:rsidRPr="007C402A">
        <w:rPr>
          <w:szCs w:val="22"/>
          <w:lang w:eastAsia="en-AU"/>
        </w:rPr>
        <w:t>If a Court is satisfied that a person has contravened a civil penalty</w:t>
      </w:r>
      <w:r>
        <w:rPr>
          <w:szCs w:val="22"/>
          <w:lang w:eastAsia="en-AU"/>
        </w:rPr>
        <w:t xml:space="preserve"> </w:t>
      </w:r>
      <w:r w:rsidRPr="007C402A">
        <w:rPr>
          <w:szCs w:val="22"/>
          <w:lang w:eastAsia="en-AU"/>
        </w:rPr>
        <w:t>provision, the Court must make a declaration of contravention.</w:t>
      </w:r>
    </w:p>
    <w:p w14:paraId="54BCE972" w14:textId="7C4F7896" w:rsidR="007C402A" w:rsidRPr="007C402A" w:rsidRDefault="007C402A" w:rsidP="006F4E8D">
      <w:pPr>
        <w:pStyle w:val="Quote1"/>
        <w:spacing w:after="0"/>
        <w:rPr>
          <w:szCs w:val="22"/>
          <w:lang w:eastAsia="en-AU"/>
        </w:rPr>
      </w:pPr>
      <w:r w:rsidRPr="007C402A">
        <w:rPr>
          <w:szCs w:val="22"/>
          <w:lang w:eastAsia="en-AU"/>
        </w:rPr>
        <w:t xml:space="preserve">(2) </w:t>
      </w:r>
      <w:r>
        <w:rPr>
          <w:szCs w:val="22"/>
          <w:lang w:eastAsia="en-AU"/>
        </w:rPr>
        <w:tab/>
      </w:r>
      <w:r w:rsidRPr="007C402A">
        <w:rPr>
          <w:szCs w:val="22"/>
          <w:lang w:eastAsia="en-AU"/>
        </w:rPr>
        <w:t>The declaration must specify the following:</w:t>
      </w:r>
    </w:p>
    <w:p w14:paraId="6E548F61" w14:textId="46352F5C" w:rsidR="007C402A" w:rsidRPr="007C402A" w:rsidRDefault="007C402A" w:rsidP="00E46FC2">
      <w:pPr>
        <w:pStyle w:val="Quote2"/>
        <w:ind w:left="2160" w:hanging="720"/>
        <w:rPr>
          <w:lang w:eastAsia="en-AU"/>
        </w:rPr>
      </w:pPr>
      <w:r w:rsidRPr="007C402A">
        <w:rPr>
          <w:lang w:eastAsia="en-AU"/>
        </w:rPr>
        <w:t xml:space="preserve">(a) </w:t>
      </w:r>
      <w:r>
        <w:rPr>
          <w:lang w:eastAsia="en-AU"/>
        </w:rPr>
        <w:tab/>
      </w:r>
      <w:r w:rsidRPr="007C402A">
        <w:rPr>
          <w:lang w:eastAsia="en-AU"/>
        </w:rPr>
        <w:t xml:space="preserve">the Court that made the </w:t>
      </w:r>
      <w:proofErr w:type="gramStart"/>
      <w:r w:rsidRPr="007C402A">
        <w:rPr>
          <w:lang w:eastAsia="en-AU"/>
        </w:rPr>
        <w:t>declaration;</w:t>
      </w:r>
      <w:proofErr w:type="gramEnd"/>
    </w:p>
    <w:p w14:paraId="494F0E17" w14:textId="0166B7C3" w:rsidR="007C402A" w:rsidRPr="007C402A" w:rsidRDefault="007C402A" w:rsidP="00E46FC2">
      <w:pPr>
        <w:pStyle w:val="Quote2"/>
        <w:ind w:left="2160" w:hanging="720"/>
        <w:rPr>
          <w:lang w:eastAsia="en-AU"/>
        </w:rPr>
      </w:pPr>
      <w:r w:rsidRPr="007C402A">
        <w:rPr>
          <w:lang w:eastAsia="en-AU"/>
        </w:rPr>
        <w:t xml:space="preserve">(b) </w:t>
      </w:r>
      <w:r>
        <w:rPr>
          <w:lang w:eastAsia="en-AU"/>
        </w:rPr>
        <w:tab/>
      </w:r>
      <w:r w:rsidRPr="007C402A">
        <w:rPr>
          <w:lang w:eastAsia="en-AU"/>
        </w:rPr>
        <w:t xml:space="preserve">the civil penalty provision that was </w:t>
      </w:r>
      <w:proofErr w:type="gramStart"/>
      <w:r w:rsidRPr="007C402A">
        <w:rPr>
          <w:lang w:eastAsia="en-AU"/>
        </w:rPr>
        <w:t>contravened;</w:t>
      </w:r>
      <w:proofErr w:type="gramEnd"/>
    </w:p>
    <w:p w14:paraId="78DC6B8F" w14:textId="68498A4F" w:rsidR="007C402A" w:rsidRPr="007C402A" w:rsidRDefault="007C402A" w:rsidP="00E46FC2">
      <w:pPr>
        <w:pStyle w:val="Quote2"/>
        <w:ind w:left="2160" w:hanging="720"/>
        <w:rPr>
          <w:lang w:eastAsia="en-AU"/>
        </w:rPr>
      </w:pPr>
      <w:r>
        <w:rPr>
          <w:lang w:eastAsia="en-AU"/>
        </w:rPr>
        <w:t>(</w:t>
      </w:r>
      <w:r w:rsidRPr="007C402A">
        <w:rPr>
          <w:lang w:eastAsia="en-AU"/>
        </w:rPr>
        <w:t>c)</w:t>
      </w:r>
      <w:r>
        <w:rPr>
          <w:lang w:eastAsia="en-AU"/>
        </w:rPr>
        <w:tab/>
      </w:r>
      <w:r w:rsidRPr="007C402A">
        <w:rPr>
          <w:lang w:eastAsia="en-AU"/>
        </w:rPr>
        <w:t xml:space="preserve">the person who contravened the </w:t>
      </w:r>
      <w:proofErr w:type="gramStart"/>
      <w:r w:rsidRPr="007C402A">
        <w:rPr>
          <w:lang w:eastAsia="en-AU"/>
        </w:rPr>
        <w:t>provision;</w:t>
      </w:r>
      <w:proofErr w:type="gramEnd"/>
    </w:p>
    <w:p w14:paraId="3B1739AC" w14:textId="3AC2726E" w:rsidR="007C402A" w:rsidRPr="007C402A" w:rsidRDefault="007C402A" w:rsidP="00E46FC2">
      <w:pPr>
        <w:pStyle w:val="Quote2"/>
        <w:ind w:left="2160" w:hanging="720"/>
        <w:rPr>
          <w:lang w:eastAsia="en-AU"/>
        </w:rPr>
      </w:pPr>
      <w:r w:rsidRPr="007C402A">
        <w:rPr>
          <w:lang w:eastAsia="en-AU"/>
        </w:rPr>
        <w:t xml:space="preserve">(d) </w:t>
      </w:r>
      <w:r>
        <w:rPr>
          <w:lang w:eastAsia="en-AU"/>
        </w:rPr>
        <w:tab/>
      </w:r>
      <w:r w:rsidRPr="007C402A">
        <w:rPr>
          <w:lang w:eastAsia="en-AU"/>
        </w:rPr>
        <w:t xml:space="preserve">the conduct that constituted the </w:t>
      </w:r>
      <w:proofErr w:type="gramStart"/>
      <w:r w:rsidRPr="007C402A">
        <w:rPr>
          <w:lang w:eastAsia="en-AU"/>
        </w:rPr>
        <w:t>contravention;</w:t>
      </w:r>
      <w:proofErr w:type="gramEnd"/>
    </w:p>
    <w:p w14:paraId="31D22A89" w14:textId="0C016785" w:rsidR="007C402A" w:rsidRPr="007C402A" w:rsidRDefault="007C402A" w:rsidP="00E46FC2">
      <w:pPr>
        <w:pStyle w:val="Quote2"/>
        <w:ind w:left="2160" w:hanging="720"/>
        <w:rPr>
          <w:lang w:eastAsia="en-AU"/>
        </w:rPr>
      </w:pPr>
      <w:r w:rsidRPr="007C402A">
        <w:rPr>
          <w:lang w:eastAsia="en-AU"/>
        </w:rPr>
        <w:t>(e)</w:t>
      </w:r>
      <w:r>
        <w:rPr>
          <w:lang w:eastAsia="en-AU"/>
        </w:rPr>
        <w:tab/>
      </w:r>
      <w:r w:rsidRPr="007C402A">
        <w:rPr>
          <w:lang w:eastAsia="en-AU"/>
        </w:rPr>
        <w:t>if the contravention is of a corporation/scheme civil penalty</w:t>
      </w:r>
      <w:r>
        <w:rPr>
          <w:lang w:eastAsia="en-AU"/>
        </w:rPr>
        <w:t xml:space="preserve"> </w:t>
      </w:r>
      <w:r w:rsidRPr="007C402A">
        <w:rPr>
          <w:lang w:eastAsia="en-AU"/>
        </w:rPr>
        <w:t>provision</w:t>
      </w:r>
      <w:r>
        <w:rPr>
          <w:lang w:eastAsia="en-AU"/>
        </w:rPr>
        <w:t>—</w:t>
      </w:r>
      <w:r w:rsidRPr="007C402A">
        <w:rPr>
          <w:lang w:eastAsia="en-AU"/>
        </w:rPr>
        <w:t>the corporation, registered scheme or notified</w:t>
      </w:r>
      <w:r>
        <w:rPr>
          <w:lang w:eastAsia="en-AU"/>
        </w:rPr>
        <w:t xml:space="preserve"> </w:t>
      </w:r>
      <w:r w:rsidRPr="007C402A">
        <w:rPr>
          <w:lang w:eastAsia="en-AU"/>
        </w:rPr>
        <w:t xml:space="preserve">foreign passport fund to which the conduct </w:t>
      </w:r>
      <w:proofErr w:type="gramStart"/>
      <w:r w:rsidRPr="007C402A">
        <w:rPr>
          <w:lang w:eastAsia="en-AU"/>
        </w:rPr>
        <w:t>related;</w:t>
      </w:r>
      <w:proofErr w:type="gramEnd"/>
    </w:p>
    <w:p w14:paraId="7551AAC0" w14:textId="5654E257" w:rsidR="007C402A" w:rsidRPr="007C402A" w:rsidRDefault="007C402A" w:rsidP="00E46FC2">
      <w:pPr>
        <w:pStyle w:val="Quote2"/>
        <w:ind w:left="2160" w:hanging="720"/>
        <w:rPr>
          <w:lang w:eastAsia="en-AU"/>
        </w:rPr>
      </w:pPr>
      <w:r w:rsidRPr="007C402A">
        <w:rPr>
          <w:lang w:eastAsia="en-AU"/>
        </w:rPr>
        <w:t>(f)</w:t>
      </w:r>
      <w:r>
        <w:rPr>
          <w:lang w:eastAsia="en-AU"/>
        </w:rPr>
        <w:tab/>
      </w:r>
      <w:r w:rsidRPr="007C402A">
        <w:rPr>
          <w:lang w:eastAsia="en-AU"/>
        </w:rPr>
        <w:t>if the contravention is of subsection 1211</w:t>
      </w:r>
      <w:proofErr w:type="gramStart"/>
      <w:r w:rsidRPr="007C402A">
        <w:rPr>
          <w:lang w:eastAsia="en-AU"/>
        </w:rPr>
        <w:t>B(</w:t>
      </w:r>
      <w:proofErr w:type="gramEnd"/>
      <w:r w:rsidRPr="007C402A">
        <w:rPr>
          <w:lang w:eastAsia="en-AU"/>
        </w:rPr>
        <w:t>1) or (2)</w:t>
      </w:r>
      <w:r>
        <w:rPr>
          <w:lang w:eastAsia="en-AU"/>
        </w:rPr>
        <w:t xml:space="preserve"> </w:t>
      </w:r>
      <w:r w:rsidRPr="007C402A">
        <w:rPr>
          <w:lang w:eastAsia="en-AU"/>
        </w:rPr>
        <w:t xml:space="preserve">(complying with the Passport Rules for this jurisdiction) </w:t>
      </w:r>
      <w:r>
        <w:rPr>
          <w:lang w:eastAsia="en-AU"/>
        </w:rPr>
        <w:t>—</w:t>
      </w:r>
      <w:r w:rsidRPr="007C402A">
        <w:rPr>
          <w:lang w:eastAsia="en-AU"/>
        </w:rPr>
        <w:t>the</w:t>
      </w:r>
      <w:r>
        <w:rPr>
          <w:lang w:eastAsia="en-AU"/>
        </w:rPr>
        <w:t xml:space="preserve"> </w:t>
      </w:r>
      <w:r w:rsidRPr="007C402A">
        <w:rPr>
          <w:lang w:eastAsia="en-AU"/>
        </w:rPr>
        <w:t>passport fund in relation to which the obligation was</w:t>
      </w:r>
      <w:r>
        <w:rPr>
          <w:lang w:eastAsia="en-AU"/>
        </w:rPr>
        <w:t xml:space="preserve"> </w:t>
      </w:r>
      <w:r w:rsidRPr="007C402A">
        <w:rPr>
          <w:lang w:eastAsia="en-AU"/>
        </w:rPr>
        <w:t>imposed on the person;</w:t>
      </w:r>
    </w:p>
    <w:p w14:paraId="405CA21B" w14:textId="13130EEC" w:rsidR="007C402A" w:rsidRPr="007C402A" w:rsidRDefault="007C402A" w:rsidP="00E46FC2">
      <w:pPr>
        <w:pStyle w:val="Quote2"/>
        <w:ind w:left="2160" w:hanging="720"/>
        <w:rPr>
          <w:lang w:eastAsia="en-AU"/>
        </w:rPr>
      </w:pPr>
      <w:r w:rsidRPr="007C402A">
        <w:rPr>
          <w:lang w:eastAsia="en-AU"/>
        </w:rPr>
        <w:t>(g)</w:t>
      </w:r>
      <w:r>
        <w:rPr>
          <w:lang w:eastAsia="en-AU"/>
        </w:rPr>
        <w:tab/>
      </w:r>
      <w:r w:rsidRPr="007C402A">
        <w:rPr>
          <w:lang w:eastAsia="en-AU"/>
        </w:rPr>
        <w:t>if the contravention is of subsection 670</w:t>
      </w:r>
      <w:proofErr w:type="gramStart"/>
      <w:r w:rsidRPr="007C402A">
        <w:rPr>
          <w:lang w:eastAsia="en-AU"/>
        </w:rPr>
        <w:t>A(</w:t>
      </w:r>
      <w:proofErr w:type="gramEnd"/>
      <w:r w:rsidRPr="007C402A">
        <w:rPr>
          <w:lang w:eastAsia="en-AU"/>
        </w:rPr>
        <w:t>4), 727(6), 728(4)</w:t>
      </w:r>
      <w:r>
        <w:rPr>
          <w:lang w:eastAsia="en-AU"/>
        </w:rPr>
        <w:t xml:space="preserve"> </w:t>
      </w:r>
      <w:r w:rsidRPr="007C402A">
        <w:rPr>
          <w:lang w:eastAsia="en-AU"/>
        </w:rPr>
        <w:t xml:space="preserve">or </w:t>
      </w:r>
      <w:r w:rsidRPr="007C402A">
        <w:rPr>
          <w:lang w:eastAsia="en-AU"/>
        </w:rPr>
        <w:lastRenderedPageBreak/>
        <w:t>1309(12) (misleading statements etc.)</w:t>
      </w:r>
      <w:r>
        <w:rPr>
          <w:lang w:eastAsia="en-AU"/>
        </w:rPr>
        <w:t>—</w:t>
      </w:r>
      <w:r w:rsidRPr="007C402A">
        <w:rPr>
          <w:lang w:eastAsia="en-AU"/>
        </w:rPr>
        <w:t>the corporation,</w:t>
      </w:r>
      <w:r>
        <w:rPr>
          <w:lang w:eastAsia="en-AU"/>
        </w:rPr>
        <w:t xml:space="preserve"> </w:t>
      </w:r>
      <w:r w:rsidRPr="007C402A">
        <w:rPr>
          <w:lang w:eastAsia="en-AU"/>
        </w:rPr>
        <w:t>registered scheme or notified foreign passport fund to which</w:t>
      </w:r>
      <w:r>
        <w:rPr>
          <w:lang w:eastAsia="en-AU"/>
        </w:rPr>
        <w:t xml:space="preserve"> </w:t>
      </w:r>
      <w:r w:rsidRPr="007C402A">
        <w:rPr>
          <w:lang w:eastAsia="en-AU"/>
        </w:rPr>
        <w:t>the conduct related.</w:t>
      </w:r>
    </w:p>
    <w:p w14:paraId="584D97ED" w14:textId="25E52232" w:rsidR="00D51261" w:rsidRDefault="00D51261" w:rsidP="000D6D80">
      <w:pPr>
        <w:pStyle w:val="ParaNumbering"/>
      </w:pPr>
      <w:r>
        <w:t>Section 1317F provides:</w:t>
      </w:r>
    </w:p>
    <w:p w14:paraId="39E282D4" w14:textId="07B15B1B" w:rsidR="00D51261" w:rsidRDefault="00232862" w:rsidP="00A21E81">
      <w:pPr>
        <w:pStyle w:val="Quote1"/>
      </w:pPr>
      <w:r w:rsidRPr="00232862">
        <w:rPr>
          <w:b/>
          <w:bCs/>
        </w:rPr>
        <w:t>1317F</w:t>
      </w:r>
      <w:r w:rsidRPr="00232862">
        <w:rPr>
          <w:b/>
          <w:bCs/>
        </w:rPr>
        <w:tab/>
        <w:t xml:space="preserve">Declaration of contravention is conclusive </w:t>
      </w:r>
      <w:proofErr w:type="gramStart"/>
      <w:r w:rsidRPr="00232862">
        <w:rPr>
          <w:b/>
          <w:bCs/>
        </w:rPr>
        <w:t>evidence</w:t>
      </w:r>
      <w:proofErr w:type="gramEnd"/>
      <w:r>
        <w:t xml:space="preserve"> </w:t>
      </w:r>
    </w:p>
    <w:p w14:paraId="38A1EEA5" w14:textId="3873B8BE" w:rsidR="00232862" w:rsidRDefault="00232862" w:rsidP="006F4E8D">
      <w:pPr>
        <w:pStyle w:val="Quote1"/>
        <w:spacing w:after="240"/>
        <w:ind w:left="1440"/>
      </w:pPr>
      <w:r>
        <w:t>A declaration of contravention is conclusive evidence of the matters referred to in subsection 1317</w:t>
      </w:r>
      <w:proofErr w:type="gramStart"/>
      <w:r>
        <w:t>E(</w:t>
      </w:r>
      <w:proofErr w:type="gramEnd"/>
      <w:r>
        <w:t>2)</w:t>
      </w:r>
      <w:r w:rsidR="009C5F17">
        <w:t>.</w:t>
      </w:r>
    </w:p>
    <w:p w14:paraId="04AC11F5" w14:textId="7B734404" w:rsidR="004C3177" w:rsidRDefault="00E35CF8" w:rsidP="000D6D80">
      <w:pPr>
        <w:pStyle w:val="ParaNumbering"/>
      </w:pPr>
      <w:r>
        <w:t xml:space="preserve">Consequently, if I am satisfied that </w:t>
      </w:r>
      <w:proofErr w:type="spellStart"/>
      <w:r>
        <w:t>Holista</w:t>
      </w:r>
      <w:proofErr w:type="spellEnd"/>
      <w:r>
        <w:t xml:space="preserve"> has contravened s</w:t>
      </w:r>
      <w:r w:rsidR="003E30E0">
        <w:t xml:space="preserve"> 674(2), it being a civil penalty provision, I must make a declaration in the terms prescribed by s</w:t>
      </w:r>
      <w:r w:rsidR="009C067F">
        <w:t xml:space="preserve"> 1317</w:t>
      </w:r>
      <w:proofErr w:type="gramStart"/>
      <w:r w:rsidR="009C067F">
        <w:t>E(</w:t>
      </w:r>
      <w:proofErr w:type="gramEnd"/>
      <w:r w:rsidR="009C067F">
        <w:t xml:space="preserve">1). </w:t>
      </w:r>
      <w:r w:rsidR="00783CB2" w:rsidRPr="00783CB2">
        <w:t xml:space="preserve">As </w:t>
      </w:r>
      <w:r w:rsidR="00783CB2">
        <w:t xml:space="preserve">was </w:t>
      </w:r>
      <w:r w:rsidR="00783CB2" w:rsidRPr="00783CB2">
        <w:t xml:space="preserve">observed by the Full Court in </w:t>
      </w:r>
      <w:r w:rsidR="00783CB2" w:rsidRPr="006941F0">
        <w:rPr>
          <w:b/>
          <w:bCs/>
          <w:i/>
        </w:rPr>
        <w:t>Mayfair Wealth</w:t>
      </w:r>
      <w:r w:rsidR="00783CB2" w:rsidRPr="006941F0">
        <w:rPr>
          <w:i/>
        </w:rPr>
        <w:t xml:space="preserve"> Partners Pty Ltd v Australian Securities and Investments Commission </w:t>
      </w:r>
      <w:r w:rsidR="00783CB2" w:rsidRPr="006941F0">
        <w:t>[2022] FCAFC 170</w:t>
      </w:r>
      <w:r w:rsidR="00783CB2" w:rsidRPr="00783CB2">
        <w:t xml:space="preserve"> at [184] </w:t>
      </w:r>
      <w:r w:rsidR="003B611A">
        <w:t xml:space="preserve">(per </w:t>
      </w:r>
      <w:proofErr w:type="spellStart"/>
      <w:r w:rsidR="003B611A">
        <w:t>Jagot</w:t>
      </w:r>
      <w:proofErr w:type="spellEnd"/>
      <w:r w:rsidR="003B611A">
        <w:t xml:space="preserve">, O’Bryan and Cheeseman JJ) </w:t>
      </w:r>
      <w:r w:rsidR="00783CB2" w:rsidRPr="00783CB2">
        <w:t xml:space="preserve">in respect of the analogous s 12GBA of the </w:t>
      </w:r>
      <w:r w:rsidR="00783CB2" w:rsidRPr="00783CB2">
        <w:rPr>
          <w:i/>
        </w:rPr>
        <w:t>Australian Securities and Investments Commission Act 2001</w:t>
      </w:r>
      <w:r w:rsidR="00783CB2" w:rsidRPr="00783CB2">
        <w:t xml:space="preserve"> (</w:t>
      </w:r>
      <w:proofErr w:type="spellStart"/>
      <w:r w:rsidR="00783CB2" w:rsidRPr="00783CB2">
        <w:t>Cth</w:t>
      </w:r>
      <w:proofErr w:type="spellEnd"/>
      <w:r w:rsidR="00783CB2" w:rsidRPr="00783CB2">
        <w:t>)</w:t>
      </w:r>
      <w:r w:rsidR="00665973">
        <w:t xml:space="preserve"> (</w:t>
      </w:r>
      <w:r w:rsidR="00665973" w:rsidRPr="00665973">
        <w:rPr>
          <w:b/>
          <w:bCs/>
          <w:i/>
          <w:iCs/>
        </w:rPr>
        <w:t>ASIC Act</w:t>
      </w:r>
      <w:r w:rsidR="00783CB2" w:rsidRPr="00783CB2">
        <w:t>), the mandatory terms of the section necessarily override</w:t>
      </w:r>
      <w:r w:rsidR="00783CB2">
        <w:t xml:space="preserve"> </w:t>
      </w:r>
      <w:r w:rsidR="00783CB2" w:rsidRPr="00783CB2">
        <w:t>the discretionary considerations to which a court might otherwise have given weight</w:t>
      </w:r>
      <w:r w:rsidR="00075270">
        <w:t>,</w:t>
      </w:r>
      <w:r w:rsidR="00783CB2" w:rsidRPr="00783CB2">
        <w:t xml:space="preserve"> in declining to make a declaration.</w:t>
      </w:r>
    </w:p>
    <w:p w14:paraId="5A9AB491" w14:textId="079FF1A6" w:rsidR="007C402A" w:rsidRDefault="003B1D63" w:rsidP="000D6D80">
      <w:pPr>
        <w:pStyle w:val="ParaNumbering"/>
      </w:pPr>
      <w:r>
        <w:t>Section 1317</w:t>
      </w:r>
      <w:proofErr w:type="gramStart"/>
      <w:r>
        <w:t>E(</w:t>
      </w:r>
      <w:proofErr w:type="gramEnd"/>
      <w:r>
        <w:t>1)</w:t>
      </w:r>
      <w:r w:rsidR="009C067F">
        <w:t xml:space="preserve"> is not, however, relevant to the declaration sought in respect of the contravention of </w:t>
      </w:r>
      <w:r w:rsidR="00923C77">
        <w:t>s 1041H, it not being a civil penalty provisi</w:t>
      </w:r>
      <w:r w:rsidR="000C67FE">
        <w:t xml:space="preserve">on. Hence ASIC’s reliance on s 21 </w:t>
      </w:r>
      <w:r w:rsidR="005D34CF">
        <w:t xml:space="preserve">of the </w:t>
      </w:r>
      <w:r w:rsidR="005D34CF" w:rsidRPr="00633179">
        <w:rPr>
          <w:i/>
          <w:iCs/>
        </w:rPr>
        <w:t>FCA</w:t>
      </w:r>
      <w:r w:rsidR="002359E2" w:rsidRPr="00633179">
        <w:rPr>
          <w:i/>
          <w:iCs/>
        </w:rPr>
        <w:t xml:space="preserve"> Act</w:t>
      </w:r>
      <w:r w:rsidR="000C67FE">
        <w:t>,</w:t>
      </w:r>
      <w:r w:rsidR="005D34CF">
        <w:t xml:space="preserve"> </w:t>
      </w:r>
      <w:r w:rsidR="000C67FE">
        <w:t xml:space="preserve">which </w:t>
      </w:r>
      <w:r w:rsidR="005D34CF">
        <w:t xml:space="preserve">confers power on the Court to </w:t>
      </w:r>
      <w:r w:rsidR="002C6604">
        <w:t xml:space="preserve">make binding declarations of right in civil proceedings in which it has original jurisdiction. </w:t>
      </w:r>
    </w:p>
    <w:p w14:paraId="0259055D" w14:textId="7116342A" w:rsidR="00616C0E" w:rsidRDefault="0083573F" w:rsidP="000D6D80">
      <w:pPr>
        <w:pStyle w:val="ParaNumbering"/>
      </w:pPr>
      <w:proofErr w:type="gramStart"/>
      <w:r>
        <w:t>On the basis of</w:t>
      </w:r>
      <w:proofErr w:type="gramEnd"/>
      <w:r>
        <w:t xml:space="preserve"> the SAFA and the joint written submission</w:t>
      </w:r>
      <w:r w:rsidR="00EF1C78">
        <w:t>s</w:t>
      </w:r>
      <w:r>
        <w:t xml:space="preserve">, I am satisfied that </w:t>
      </w:r>
      <w:proofErr w:type="spellStart"/>
      <w:r>
        <w:t>Holista</w:t>
      </w:r>
      <w:proofErr w:type="spellEnd"/>
      <w:r>
        <w:t xml:space="preserve"> </w:t>
      </w:r>
      <w:r w:rsidR="003B766D">
        <w:t>has contravened ss 674(2) and 1041H</w:t>
      </w:r>
      <w:r w:rsidR="00EC5D0F">
        <w:t xml:space="preserve"> of the </w:t>
      </w:r>
      <w:r w:rsidR="00EC5D0F" w:rsidRPr="00F64BC7">
        <w:rPr>
          <w:i/>
          <w:iCs/>
        </w:rPr>
        <w:t>Corporations Act</w:t>
      </w:r>
      <w:r w:rsidR="00EC5D0F">
        <w:t>. Accordingly, I am required by s 1317</w:t>
      </w:r>
      <w:proofErr w:type="gramStart"/>
      <w:r w:rsidR="00EC5D0F">
        <w:t>E(</w:t>
      </w:r>
      <w:proofErr w:type="gramEnd"/>
      <w:r w:rsidR="00EC5D0F">
        <w:t>1) to</w:t>
      </w:r>
      <w:r w:rsidR="002138F0">
        <w:t xml:space="preserve"> make a declaration of contravention in respect of s 674(2). </w:t>
      </w:r>
    </w:p>
    <w:p w14:paraId="25965D10" w14:textId="3E1A5788" w:rsidR="00B5610F" w:rsidRDefault="002138F0" w:rsidP="000D6D80">
      <w:pPr>
        <w:pStyle w:val="ParaNumbering"/>
        <w:tabs>
          <w:tab w:val="num" w:pos="1080"/>
        </w:tabs>
      </w:pPr>
      <w:r>
        <w:t>It is</w:t>
      </w:r>
      <w:r w:rsidR="00616C0E">
        <w:t xml:space="preserve"> also</w:t>
      </w:r>
      <w:r>
        <w:t xml:space="preserve"> appropriate that I exercise the power conferred by s 21 of the </w:t>
      </w:r>
      <w:r w:rsidRPr="00F64BC7">
        <w:rPr>
          <w:i/>
          <w:iCs/>
        </w:rPr>
        <w:t>FCA</w:t>
      </w:r>
      <w:r w:rsidR="002359E2">
        <w:rPr>
          <w:i/>
          <w:iCs/>
        </w:rPr>
        <w:t xml:space="preserve"> Act</w:t>
      </w:r>
      <w:r>
        <w:t xml:space="preserve"> to make a declaration </w:t>
      </w:r>
      <w:r w:rsidR="00F64BC7">
        <w:t xml:space="preserve">of contravention in respect of s 1041H. </w:t>
      </w:r>
      <w:r w:rsidR="00592D79">
        <w:t xml:space="preserve">While the discretion conferred by s 21 of the </w:t>
      </w:r>
      <w:r w:rsidR="00592D79" w:rsidRPr="002359E2">
        <w:rPr>
          <w:i/>
          <w:iCs/>
        </w:rPr>
        <w:t>FCA Act</w:t>
      </w:r>
      <w:r w:rsidR="00592D79">
        <w:t xml:space="preserve"> is broad, it should only be exercised where the question is real and not theoretical, the person raising it has a real interest to raise it, and there is a proper contradictor, being someone who has a true interest to oppose the declaration: </w:t>
      </w:r>
      <w:r w:rsidR="00592D79" w:rsidRPr="006941F0">
        <w:rPr>
          <w:i/>
        </w:rPr>
        <w:t xml:space="preserve">Forster v </w:t>
      </w:r>
      <w:proofErr w:type="spellStart"/>
      <w:r w:rsidR="00592D79" w:rsidRPr="006941F0">
        <w:rPr>
          <w:i/>
        </w:rPr>
        <w:t>Jododex</w:t>
      </w:r>
      <w:proofErr w:type="spellEnd"/>
      <w:r w:rsidR="00592D79" w:rsidRPr="006941F0">
        <w:rPr>
          <w:i/>
        </w:rPr>
        <w:t xml:space="preserve"> Australia Pty Ltd </w:t>
      </w:r>
      <w:r w:rsidR="00592D79" w:rsidRPr="006941F0">
        <w:t>(1972) 127 CLR 421</w:t>
      </w:r>
      <w:r w:rsidR="00244D31">
        <w:t>,</w:t>
      </w:r>
      <w:r w:rsidR="00592D79">
        <w:t>437-438</w:t>
      </w:r>
      <w:r w:rsidR="00205AB7">
        <w:t xml:space="preserve">, quoting Lord Dunedin in </w:t>
      </w:r>
      <w:r w:rsidR="00205AB7" w:rsidRPr="007C20A8">
        <w:rPr>
          <w:i/>
          <w:iCs/>
        </w:rPr>
        <w:t xml:space="preserve">Russian Commercial and Industrial Bank v British Bank for Foreign Trade Ltd </w:t>
      </w:r>
      <w:r w:rsidR="00244D31">
        <w:t>[1921] 2 AC 437, 448</w:t>
      </w:r>
      <w:r w:rsidR="002359E2">
        <w:t>.</w:t>
      </w:r>
    </w:p>
    <w:p w14:paraId="70ED5CCC" w14:textId="7278B754" w:rsidR="00592D79" w:rsidRPr="00606510" w:rsidRDefault="003E13DC" w:rsidP="000D6D80">
      <w:pPr>
        <w:pStyle w:val="ParaNumbering"/>
        <w:tabs>
          <w:tab w:val="num" w:pos="1080"/>
        </w:tabs>
      </w:pPr>
      <w:r>
        <w:rPr>
          <w:lang w:eastAsia="en-AU"/>
        </w:rPr>
        <w:t>As has been observed on several occasions, t</w:t>
      </w:r>
      <w:r w:rsidR="00592D79">
        <w:rPr>
          <w:lang w:eastAsia="en-AU"/>
        </w:rPr>
        <w:t xml:space="preserve">he fact that the parties have agreed that a declaration of contravention should be made does not relieve the Court of the obligation to satisfy itself that the making of the declaration is appropriate: </w:t>
      </w:r>
      <w:r w:rsidR="00592D79" w:rsidRPr="00B5610F">
        <w:rPr>
          <w:i/>
          <w:iCs/>
          <w:color w:val="000000"/>
          <w:bdr w:val="none" w:sz="0" w:space="0" w:color="auto" w:frame="1"/>
        </w:rPr>
        <w:t xml:space="preserve">Commonwealth v Director, </w:t>
      </w:r>
      <w:r w:rsidR="00592D79" w:rsidRPr="00B5610F">
        <w:rPr>
          <w:b/>
          <w:bCs/>
          <w:i/>
          <w:iCs/>
          <w:color w:val="000000"/>
          <w:bdr w:val="none" w:sz="0" w:space="0" w:color="auto" w:frame="1"/>
        </w:rPr>
        <w:t xml:space="preserve">Fair Work </w:t>
      </w:r>
      <w:r w:rsidR="00592D79" w:rsidRPr="00B5610F">
        <w:rPr>
          <w:i/>
          <w:iCs/>
          <w:color w:val="000000"/>
          <w:bdr w:val="none" w:sz="0" w:space="0" w:color="auto" w:frame="1"/>
        </w:rPr>
        <w:t>Building Industry Inspectorate</w:t>
      </w:r>
      <w:r w:rsidR="00592D79" w:rsidRPr="00B5610F">
        <w:rPr>
          <w:color w:val="000000"/>
        </w:rPr>
        <w:t> </w:t>
      </w:r>
      <w:r w:rsidR="00EF5A2B">
        <w:rPr>
          <w:color w:val="000000"/>
          <w:bdr w:val="none" w:sz="0" w:space="0" w:color="auto" w:frame="1"/>
        </w:rPr>
        <w:t>[2015] HCA 46;</w:t>
      </w:r>
      <w:r w:rsidR="00EF5A2B" w:rsidRPr="00B5610F">
        <w:rPr>
          <w:color w:val="000000"/>
          <w:bdr w:val="none" w:sz="0" w:space="0" w:color="auto" w:frame="1"/>
        </w:rPr>
        <w:t xml:space="preserve"> </w:t>
      </w:r>
      <w:r w:rsidR="00592D79" w:rsidRPr="00B5610F">
        <w:rPr>
          <w:color w:val="000000"/>
          <w:bdr w:val="none" w:sz="0" w:space="0" w:color="auto" w:frame="1"/>
        </w:rPr>
        <w:t>258 CLR 482</w:t>
      </w:r>
      <w:r w:rsidR="00C8196A">
        <w:rPr>
          <w:color w:val="000000"/>
          <w:bdr w:val="none" w:sz="0" w:space="0" w:color="auto" w:frame="1"/>
        </w:rPr>
        <w:t xml:space="preserve"> at [</w:t>
      </w:r>
      <w:r w:rsidR="00DD36F1">
        <w:rPr>
          <w:color w:val="000000"/>
          <w:bdr w:val="none" w:sz="0" w:space="0" w:color="auto" w:frame="1"/>
        </w:rPr>
        <w:t xml:space="preserve">48] and </w:t>
      </w:r>
      <w:r w:rsidR="00C8196A">
        <w:rPr>
          <w:color w:val="000000"/>
          <w:bdr w:val="none" w:sz="0" w:space="0" w:color="auto" w:frame="1"/>
        </w:rPr>
        <w:t>[59]</w:t>
      </w:r>
      <w:r w:rsidR="00C67E52">
        <w:rPr>
          <w:color w:val="000000"/>
          <w:bdr w:val="none" w:sz="0" w:space="0" w:color="auto" w:frame="1"/>
        </w:rPr>
        <w:t>;</w:t>
      </w:r>
      <w:r w:rsidR="00246D93">
        <w:rPr>
          <w:color w:val="000000"/>
        </w:rPr>
        <w:t xml:space="preserve"> </w:t>
      </w:r>
      <w:r w:rsidR="00246D93" w:rsidRPr="00CA3984">
        <w:rPr>
          <w:b/>
          <w:bCs/>
          <w:i/>
          <w:iCs/>
          <w:color w:val="000000"/>
        </w:rPr>
        <w:t xml:space="preserve">NW </w:t>
      </w:r>
      <w:r w:rsidR="00246D93" w:rsidRPr="00CA3984">
        <w:rPr>
          <w:b/>
          <w:bCs/>
          <w:i/>
          <w:iCs/>
          <w:color w:val="000000"/>
        </w:rPr>
        <w:lastRenderedPageBreak/>
        <w:t>Frozen Foods</w:t>
      </w:r>
      <w:r w:rsidR="00246D93" w:rsidRPr="00CA3984">
        <w:rPr>
          <w:b/>
          <w:bCs/>
          <w:color w:val="000000"/>
        </w:rPr>
        <w:t xml:space="preserve"> </w:t>
      </w:r>
      <w:r w:rsidR="00165F9E">
        <w:rPr>
          <w:color w:val="000000"/>
        </w:rPr>
        <w:t>[</w:t>
      </w:r>
      <w:r w:rsidR="00965E11">
        <w:rPr>
          <w:color w:val="000000"/>
        </w:rPr>
        <w:t>1996</w:t>
      </w:r>
      <w:r w:rsidR="00165F9E">
        <w:rPr>
          <w:color w:val="000000"/>
        </w:rPr>
        <w:t>]</w:t>
      </w:r>
      <w:r w:rsidR="005C2E73">
        <w:rPr>
          <w:color w:val="000000"/>
        </w:rPr>
        <w:t xml:space="preserve"> FCA 1134;</w:t>
      </w:r>
      <w:r w:rsidR="00965E11">
        <w:rPr>
          <w:color w:val="000000"/>
        </w:rPr>
        <w:t xml:space="preserve"> 71 FCR 285 at </w:t>
      </w:r>
      <w:r w:rsidR="007A4C08">
        <w:rPr>
          <w:color w:val="000000"/>
        </w:rPr>
        <w:t>290-</w:t>
      </w:r>
      <w:r w:rsidR="00965E11">
        <w:rPr>
          <w:color w:val="000000"/>
        </w:rPr>
        <w:t xml:space="preserve">291; </w:t>
      </w:r>
      <w:r w:rsidR="00BE2654" w:rsidRPr="00BE2654">
        <w:rPr>
          <w:i/>
        </w:rPr>
        <w:t xml:space="preserve">Minister for Industry, Tourism &amp; Resources v Mobil Oil </w:t>
      </w:r>
      <w:r w:rsidR="00BE2654" w:rsidRPr="00BE2654">
        <w:rPr>
          <w:iCs/>
        </w:rPr>
        <w:t>(2004) ATPR 41-993</w:t>
      </w:r>
      <w:r w:rsidR="007A4C08">
        <w:rPr>
          <w:color w:val="000000"/>
        </w:rPr>
        <w:t xml:space="preserve"> at 48,</w:t>
      </w:r>
      <w:r w:rsidR="005A492C">
        <w:rPr>
          <w:color w:val="000000"/>
        </w:rPr>
        <w:t xml:space="preserve"> </w:t>
      </w:r>
      <w:r w:rsidR="007A4C08">
        <w:rPr>
          <w:color w:val="000000"/>
        </w:rPr>
        <w:t>626</w:t>
      </w:r>
      <w:r w:rsidR="00592D79" w:rsidRPr="00B5610F">
        <w:rPr>
          <w:color w:val="000000"/>
        </w:rPr>
        <w:t xml:space="preserve">. </w:t>
      </w:r>
      <w:r w:rsidR="008D6787" w:rsidRPr="00B5610F">
        <w:rPr>
          <w:color w:val="000000"/>
        </w:rPr>
        <w:t xml:space="preserve">It is not the </w:t>
      </w:r>
      <w:r w:rsidR="00592D79" w:rsidRPr="00B5610F">
        <w:rPr>
          <w:color w:val="000000"/>
        </w:rPr>
        <w:t xml:space="preserve">role of the Court </w:t>
      </w:r>
      <w:r w:rsidR="008D6787" w:rsidRPr="00B5610F">
        <w:rPr>
          <w:color w:val="000000"/>
        </w:rPr>
        <w:t xml:space="preserve">to simply </w:t>
      </w:r>
      <w:r w:rsidR="00592D79" w:rsidRPr="00B5610F">
        <w:rPr>
          <w:color w:val="000000"/>
        </w:rPr>
        <w:t>“ru</w:t>
      </w:r>
      <w:r w:rsidR="00592D79" w:rsidRPr="004E19DF">
        <w:rPr>
          <w:color w:val="000000"/>
        </w:rPr>
        <w:t xml:space="preserve">bber stamp” orders agreed between a regulator and a person who has admitted </w:t>
      </w:r>
      <w:r w:rsidR="009436FD" w:rsidRPr="004E19DF">
        <w:rPr>
          <w:color w:val="000000"/>
        </w:rPr>
        <w:t>a statutory contravention</w:t>
      </w:r>
      <w:r w:rsidR="00592D79" w:rsidRPr="004E19DF">
        <w:rPr>
          <w:color w:val="000000"/>
        </w:rPr>
        <w:t xml:space="preserve">: </w:t>
      </w:r>
      <w:r w:rsidR="00592D79" w:rsidRPr="004E19DF">
        <w:rPr>
          <w:i/>
          <w:iCs/>
          <w:color w:val="000000"/>
          <w:bdr w:val="none" w:sz="0" w:space="0" w:color="auto" w:frame="1"/>
        </w:rPr>
        <w:t xml:space="preserve">Re </w:t>
      </w:r>
      <w:proofErr w:type="spellStart"/>
      <w:r w:rsidR="00592D79" w:rsidRPr="004E19DF">
        <w:rPr>
          <w:i/>
          <w:iCs/>
          <w:color w:val="000000"/>
          <w:bdr w:val="none" w:sz="0" w:space="0" w:color="auto" w:frame="1"/>
        </w:rPr>
        <w:t>Chemeq</w:t>
      </w:r>
      <w:proofErr w:type="spellEnd"/>
      <w:r w:rsidR="00592D79" w:rsidRPr="004E19DF">
        <w:rPr>
          <w:i/>
          <w:iCs/>
          <w:color w:val="000000"/>
          <w:bdr w:val="none" w:sz="0" w:space="0" w:color="auto" w:frame="1"/>
        </w:rPr>
        <w:t xml:space="preserve"> Ltd; Australian Securities and Investments Commission v </w:t>
      </w:r>
      <w:proofErr w:type="spellStart"/>
      <w:r w:rsidR="00592D79" w:rsidRPr="004E19DF">
        <w:rPr>
          <w:b/>
          <w:bCs/>
          <w:i/>
          <w:iCs/>
          <w:color w:val="000000"/>
          <w:bdr w:val="none" w:sz="0" w:space="0" w:color="auto" w:frame="1"/>
        </w:rPr>
        <w:t>Chemeq</w:t>
      </w:r>
      <w:proofErr w:type="spellEnd"/>
      <w:r w:rsidR="00592D79" w:rsidRPr="004E19DF">
        <w:rPr>
          <w:i/>
          <w:iCs/>
          <w:color w:val="000000"/>
          <w:bdr w:val="none" w:sz="0" w:space="0" w:color="auto" w:frame="1"/>
        </w:rPr>
        <w:t xml:space="preserve"> Ltd</w:t>
      </w:r>
      <w:r w:rsidR="00592D79" w:rsidRPr="004E19DF">
        <w:rPr>
          <w:color w:val="000000"/>
        </w:rPr>
        <w:t> [2006] FCA 936; 234 ALR 511 at [</w:t>
      </w:r>
      <w:r w:rsidR="00592D79" w:rsidRPr="00B5610F">
        <w:rPr>
          <w:color w:val="000000"/>
        </w:rPr>
        <w:t>100]</w:t>
      </w:r>
      <w:r w:rsidR="008D6787" w:rsidRPr="00B5610F">
        <w:rPr>
          <w:color w:val="000000"/>
        </w:rPr>
        <w:t xml:space="preserve">; </w:t>
      </w:r>
      <w:r w:rsidR="00592D79" w:rsidRPr="00B5610F">
        <w:rPr>
          <w:i/>
          <w:color w:val="000000"/>
        </w:rPr>
        <w:t xml:space="preserve">Construction, Forestry, Mining and Energy Union v De Martin &amp; Gasparini Pty Ltd (No 3) </w:t>
      </w:r>
      <w:r w:rsidR="00592D79" w:rsidRPr="00B5610F">
        <w:rPr>
          <w:color w:val="000000"/>
        </w:rPr>
        <w:t>[2018] FCA 1395 at [74]</w:t>
      </w:r>
      <w:r w:rsidR="008D6787" w:rsidRPr="00B5610F">
        <w:rPr>
          <w:color w:val="000000"/>
        </w:rPr>
        <w:t xml:space="preserve">; </w:t>
      </w:r>
      <w:r w:rsidR="005A62D9" w:rsidRPr="00B5610F">
        <w:rPr>
          <w:i/>
          <w:iCs/>
          <w:color w:val="000000"/>
        </w:rPr>
        <w:t>Australian Securities and Investments Commission v Australia</w:t>
      </w:r>
      <w:r w:rsidR="00A446D1" w:rsidRPr="00B5610F">
        <w:rPr>
          <w:i/>
          <w:iCs/>
          <w:color w:val="000000"/>
        </w:rPr>
        <w:t xml:space="preserve"> </w:t>
      </w:r>
      <w:r w:rsidR="005A62D9" w:rsidRPr="00B5610F">
        <w:rPr>
          <w:i/>
          <w:iCs/>
          <w:color w:val="000000"/>
        </w:rPr>
        <w:t>and New Zealand Banking Group</w:t>
      </w:r>
      <w:r w:rsidR="001C2C5E" w:rsidRPr="00B5610F">
        <w:rPr>
          <w:i/>
          <w:iCs/>
          <w:color w:val="000000"/>
        </w:rPr>
        <w:t xml:space="preserve"> </w:t>
      </w:r>
      <w:r w:rsidR="00A446D1" w:rsidRPr="00B5610F">
        <w:rPr>
          <w:i/>
          <w:iCs/>
          <w:color w:val="000000"/>
        </w:rPr>
        <w:t>Limited</w:t>
      </w:r>
      <w:r w:rsidR="00A446D1" w:rsidRPr="00B5610F">
        <w:rPr>
          <w:color w:val="000000"/>
        </w:rPr>
        <w:t xml:space="preserve"> [2023] FCA 256 at </w:t>
      </w:r>
      <w:r w:rsidR="001C1E1D" w:rsidRPr="00B5610F">
        <w:rPr>
          <w:color w:val="000000"/>
        </w:rPr>
        <w:t>[50]</w:t>
      </w:r>
      <w:r w:rsidR="00606510" w:rsidRPr="00B5610F">
        <w:rPr>
          <w:color w:val="000000"/>
        </w:rPr>
        <w:t xml:space="preserve"> (</w:t>
      </w:r>
      <w:r w:rsidR="00606510" w:rsidRPr="00B5610F">
        <w:rPr>
          <w:b/>
          <w:bCs/>
          <w:i/>
          <w:iCs/>
          <w:color w:val="000000"/>
        </w:rPr>
        <w:t>ASIC v ANZ</w:t>
      </w:r>
      <w:r w:rsidR="00606510" w:rsidRPr="00B5610F">
        <w:rPr>
          <w:color w:val="000000"/>
        </w:rPr>
        <w:t>)</w:t>
      </w:r>
      <w:r w:rsidR="001C1E1D" w:rsidRPr="00B5610F">
        <w:rPr>
          <w:color w:val="000000"/>
        </w:rPr>
        <w:t>.</w:t>
      </w:r>
    </w:p>
    <w:p w14:paraId="0D407039" w14:textId="5E7D86DE" w:rsidR="00606510" w:rsidRDefault="00606510" w:rsidP="000D6D80">
      <w:pPr>
        <w:pStyle w:val="ParaNumbering"/>
        <w:tabs>
          <w:tab w:val="num" w:pos="1080"/>
        </w:tabs>
        <w:rPr>
          <w:lang w:eastAsia="en-AU"/>
        </w:rPr>
      </w:pPr>
      <w:r>
        <w:rPr>
          <w:lang w:eastAsia="en-AU"/>
        </w:rPr>
        <w:t xml:space="preserve">As O’Bryan J went on to explain in </w:t>
      </w:r>
      <w:r w:rsidRPr="00C37E2F">
        <w:rPr>
          <w:i/>
          <w:iCs/>
          <w:lang w:eastAsia="en-AU"/>
        </w:rPr>
        <w:t>ASIC v ANZ</w:t>
      </w:r>
      <w:r>
        <w:rPr>
          <w:lang w:eastAsia="en-AU"/>
        </w:rPr>
        <w:t xml:space="preserve"> at [51]</w:t>
      </w:r>
      <w:r w:rsidR="00C65C0E">
        <w:rPr>
          <w:lang w:eastAsia="en-AU"/>
        </w:rPr>
        <w:t>:</w:t>
      </w:r>
    </w:p>
    <w:p w14:paraId="2C243491" w14:textId="3971592A" w:rsidR="000B0445" w:rsidRDefault="00592D79" w:rsidP="00675EEB">
      <w:pPr>
        <w:pStyle w:val="Quote1"/>
        <w:spacing w:after="240"/>
        <w:ind w:left="720"/>
        <w:rPr>
          <w:lang w:eastAsia="en-AU"/>
        </w:rPr>
      </w:pPr>
      <w:r>
        <w:rPr>
          <w:lang w:eastAsia="en-AU"/>
        </w:rPr>
        <w:t xml:space="preserve">The making of declarations should have some utility: see </w:t>
      </w:r>
      <w:r w:rsidRPr="00661FB6">
        <w:rPr>
          <w:i/>
        </w:rPr>
        <w:t xml:space="preserve">Rural Press Ltd </w:t>
      </w:r>
      <w:proofErr w:type="gramStart"/>
      <w:r w:rsidRPr="00661FB6">
        <w:rPr>
          <w:i/>
        </w:rPr>
        <w:t>v</w:t>
      </w:r>
      <w:proofErr w:type="gramEnd"/>
      <w:r w:rsidRPr="00661FB6">
        <w:rPr>
          <w:i/>
        </w:rPr>
        <w:t xml:space="preserve"> Australian Competit</w:t>
      </w:r>
      <w:r w:rsidRPr="007C4449">
        <w:rPr>
          <w:i/>
        </w:rPr>
        <w:t xml:space="preserve">ion and Consumer Commission </w:t>
      </w:r>
      <w:r w:rsidRPr="007C4449">
        <w:t>(2003) 216 CLR 53</w:t>
      </w:r>
      <w:r>
        <w:t xml:space="preserve"> (</w:t>
      </w:r>
      <w:r w:rsidRPr="00675EEB">
        <w:rPr>
          <w:i/>
        </w:rPr>
        <w:t>Rural Press</w:t>
      </w:r>
      <w:r>
        <w:t xml:space="preserve">) </w:t>
      </w:r>
      <w:r>
        <w:rPr>
          <w:lang w:eastAsia="en-AU"/>
        </w:rPr>
        <w:t xml:space="preserve">at [95] (Gummow, Hayne and </w:t>
      </w:r>
      <w:proofErr w:type="spellStart"/>
      <w:r>
        <w:rPr>
          <w:lang w:eastAsia="en-AU"/>
        </w:rPr>
        <w:t>Heydon</w:t>
      </w:r>
      <w:proofErr w:type="spellEnd"/>
      <w:r>
        <w:rPr>
          <w:lang w:eastAsia="en-AU"/>
        </w:rPr>
        <w:t xml:space="preserve"> JJ). However, this does not necessarily require a litigant to seek consequential relief in connection with the subject matter of the declaration: see, e.g. </w:t>
      </w:r>
      <w:r w:rsidRPr="00661FB6">
        <w:rPr>
          <w:i/>
          <w:lang w:eastAsia="en-AU"/>
        </w:rPr>
        <w:t xml:space="preserve">Australian Securities and Investments Commission v Australian Lending Centre Pty Ltd (No 3) </w:t>
      </w:r>
      <w:r w:rsidRPr="007C4449">
        <w:rPr>
          <w:lang w:eastAsia="en-AU"/>
        </w:rPr>
        <w:t xml:space="preserve">(2012) 213 FCR </w:t>
      </w:r>
      <w:r w:rsidRPr="00661FB6">
        <w:rPr>
          <w:lang w:eastAsia="en-AU"/>
        </w:rPr>
        <w:t>380</w:t>
      </w:r>
      <w:r>
        <w:rPr>
          <w:lang w:eastAsia="en-AU"/>
        </w:rPr>
        <w:t xml:space="preserve"> at [271] (Perram J); </w:t>
      </w:r>
      <w:r w:rsidRPr="00661FB6">
        <w:rPr>
          <w:i/>
          <w:lang w:eastAsia="en-AU"/>
        </w:rPr>
        <w:t xml:space="preserve">Australian Securities and Investments Commission v AMP Financial Planning Pty Ltd (No 2) </w:t>
      </w:r>
      <w:r w:rsidRPr="00661FB6">
        <w:rPr>
          <w:lang w:eastAsia="en-AU"/>
        </w:rPr>
        <w:t xml:space="preserve">[2020] FCA 69; </w:t>
      </w:r>
      <w:r w:rsidRPr="00661FB6">
        <w:t>377 ALR 55</w:t>
      </w:r>
      <w:r>
        <w:rPr>
          <w:lang w:eastAsia="en-AU"/>
        </w:rPr>
        <w:t xml:space="preserve"> (</w:t>
      </w:r>
      <w:r w:rsidRPr="00675EEB">
        <w:rPr>
          <w:i/>
          <w:lang w:eastAsia="en-AU"/>
        </w:rPr>
        <w:t>AMP Financial Planning</w:t>
      </w:r>
      <w:r>
        <w:rPr>
          <w:lang w:eastAsia="en-AU"/>
        </w:rPr>
        <w:t>) at [143] (Lee J). In the context of proceedings brought by a regulatory body, d</w:t>
      </w:r>
      <w:r w:rsidRPr="000C73DD">
        <w:rPr>
          <w:lang w:eastAsia="en-AU"/>
        </w:rPr>
        <w:t>eclarations relating to contraventions of legislative provisions are likely to be appropriate where they serve to record the Court’s disapproval of the contravening conduct, vindicate a regulator’s claim that the respondent contravened the provisions, assist a regulator to carry out its duties, and deter other persons from contravening the provisions: </w:t>
      </w:r>
      <w:r w:rsidRPr="00661FB6">
        <w:rPr>
          <w:i/>
          <w:iCs/>
          <w:bdr w:val="none" w:sz="0" w:space="0" w:color="auto" w:frame="1"/>
          <w:lang w:eastAsia="en-AU"/>
        </w:rPr>
        <w:t>Australian Competition and Consumer Commission v Construction, Fores</w:t>
      </w:r>
      <w:r w:rsidRPr="007C4449">
        <w:rPr>
          <w:i/>
          <w:iCs/>
          <w:bdr w:val="none" w:sz="0" w:space="0" w:color="auto" w:frame="1"/>
          <w:lang w:eastAsia="en-AU"/>
        </w:rPr>
        <w:t>try, Mining and Energy Union</w:t>
      </w:r>
      <w:r w:rsidRPr="007C4449">
        <w:rPr>
          <w:lang w:eastAsia="en-AU"/>
        </w:rPr>
        <w:t> [2006] FCA 1730</w:t>
      </w:r>
      <w:r w:rsidRPr="00661FB6">
        <w:rPr>
          <w:lang w:eastAsia="en-AU"/>
        </w:rPr>
        <w:t xml:space="preserve">; </w:t>
      </w:r>
      <w:r w:rsidRPr="00661FB6">
        <w:rPr>
          <w:bdr w:val="none" w:sz="0" w:space="0" w:color="auto" w:frame="1"/>
          <w:lang w:eastAsia="en-AU"/>
        </w:rPr>
        <w:t>ATPR 42-140</w:t>
      </w:r>
      <w:r w:rsidRPr="000C73DD">
        <w:rPr>
          <w:lang w:eastAsia="en-AU"/>
        </w:rPr>
        <w:t> at [6]</w:t>
      </w:r>
      <w:r>
        <w:rPr>
          <w:lang w:eastAsia="en-AU"/>
        </w:rPr>
        <w:t xml:space="preserve"> (Nicholson J)</w:t>
      </w:r>
      <w:r w:rsidRPr="000C73DD">
        <w:rPr>
          <w:lang w:eastAsia="en-AU"/>
        </w:rPr>
        <w:t>, and the cases there cited</w:t>
      </w:r>
      <w:r>
        <w:rPr>
          <w:lang w:eastAsia="en-AU"/>
        </w:rPr>
        <w:t>.</w:t>
      </w:r>
    </w:p>
    <w:p w14:paraId="3D00F563" w14:textId="7CDFAE2B" w:rsidR="0083573F" w:rsidRDefault="00C65C0E" w:rsidP="000D6D80">
      <w:pPr>
        <w:pStyle w:val="ParaNumbering"/>
      </w:pPr>
      <w:r>
        <w:t>I am satisfied that a</w:t>
      </w:r>
      <w:r w:rsidR="00E82253">
        <w:t xml:space="preserve"> declaration </w:t>
      </w:r>
      <w:r w:rsidR="00053643">
        <w:t xml:space="preserve">in respect of </w:t>
      </w:r>
      <w:r w:rsidR="00A24CDF">
        <w:t xml:space="preserve">the admitted contravention of </w:t>
      </w:r>
      <w:r w:rsidR="00053643">
        <w:t xml:space="preserve">s 1041H will have </w:t>
      </w:r>
      <w:r w:rsidR="00102748">
        <w:t xml:space="preserve">the requisite </w:t>
      </w:r>
      <w:r w:rsidR="00053643">
        <w:t>utility</w:t>
      </w:r>
      <w:r w:rsidR="00102748">
        <w:t>,</w:t>
      </w:r>
      <w:r w:rsidR="00053643">
        <w:t xml:space="preserve"> in that it will serve the public interest by identifying the contravening conduct and recording the Court’s disapproval of such conduct: </w:t>
      </w:r>
      <w:r w:rsidR="00053643" w:rsidRPr="006941F0">
        <w:rPr>
          <w:i/>
          <w:iCs/>
        </w:rPr>
        <w:t>A</w:t>
      </w:r>
      <w:r w:rsidR="00137F58" w:rsidRPr="006941F0">
        <w:rPr>
          <w:i/>
          <w:iCs/>
        </w:rPr>
        <w:t>ustralian Securities and Investments Commission v Ostrava Equities Pty Ltd</w:t>
      </w:r>
      <w:r w:rsidR="00137F58" w:rsidRPr="006941F0">
        <w:t xml:space="preserve"> [2016] FCA 1064</w:t>
      </w:r>
      <w:r w:rsidR="00137F58">
        <w:t xml:space="preserve"> at [51]</w:t>
      </w:r>
      <w:r w:rsidR="007C1254">
        <w:t>.</w:t>
      </w:r>
    </w:p>
    <w:p w14:paraId="0B28DF69" w14:textId="77777777" w:rsidR="00994C2D" w:rsidRDefault="003A18AB" w:rsidP="00994C2D">
      <w:pPr>
        <w:pStyle w:val="Heading3"/>
      </w:pPr>
      <w:bookmarkStart w:id="33" w:name="_Ref161673107"/>
      <w:r>
        <w:t>The two ma</w:t>
      </w:r>
      <w:r w:rsidR="00736A45">
        <w:t>tters in contention</w:t>
      </w:r>
      <w:bookmarkEnd w:id="33"/>
    </w:p>
    <w:p w14:paraId="47E13B98" w14:textId="33024FF4" w:rsidR="00994C2D" w:rsidRPr="00994C2D" w:rsidRDefault="00AA0ED1" w:rsidP="000D6D80">
      <w:pPr>
        <w:pStyle w:val="ParaNumbering"/>
      </w:pPr>
      <w:r>
        <w:t>The</w:t>
      </w:r>
      <w:r w:rsidR="00736A45">
        <w:t>re are t</w:t>
      </w:r>
      <w:r w:rsidR="00F81630">
        <w:t xml:space="preserve">wo matters relevant to </w:t>
      </w:r>
      <w:proofErr w:type="spellStart"/>
      <w:r w:rsidR="00187FBE">
        <w:t>Holista’s</w:t>
      </w:r>
      <w:proofErr w:type="spellEnd"/>
      <w:r w:rsidR="00187FBE">
        <w:t xml:space="preserve"> </w:t>
      </w:r>
      <w:r w:rsidR="00F81630">
        <w:t xml:space="preserve">liability </w:t>
      </w:r>
      <w:r w:rsidR="009E5F85">
        <w:t xml:space="preserve">as </w:t>
      </w:r>
      <w:r w:rsidR="00F81630">
        <w:t xml:space="preserve">to which the parties were not agreed. </w:t>
      </w:r>
      <w:r w:rsidR="00994C2D">
        <w:t xml:space="preserve">The first is whether </w:t>
      </w:r>
      <w:proofErr w:type="spellStart"/>
      <w:r w:rsidR="00994C2D">
        <w:t>Holista</w:t>
      </w:r>
      <w:proofErr w:type="spellEnd"/>
      <w:r w:rsidR="00994C2D">
        <w:t xml:space="preserve"> was aware of the Orders Shortfall Information and the Revenue Shortfall Information prior to 22 April 2020. </w:t>
      </w:r>
      <w:r w:rsidR="00150237">
        <w:t xml:space="preserve">The second is the relevant state of mind that should be attributed to </w:t>
      </w:r>
      <w:proofErr w:type="spellStart"/>
      <w:r w:rsidR="00150237">
        <w:t>Holista</w:t>
      </w:r>
      <w:proofErr w:type="spellEnd"/>
      <w:r w:rsidR="00150237">
        <w:t xml:space="preserve"> in the period from 26 May 2020 to 9 July 2020 </w:t>
      </w:r>
      <w:r w:rsidR="007301CF">
        <w:t>in respect of the Non-Disclosed Information</w:t>
      </w:r>
      <w:r w:rsidR="0028319D">
        <w:t xml:space="preserve">, </w:t>
      </w:r>
      <w:r w:rsidR="00150237">
        <w:t xml:space="preserve">during the operation of the </w:t>
      </w:r>
      <w:r w:rsidR="00150237" w:rsidRPr="00150237">
        <w:rPr>
          <w:i/>
          <w:iCs/>
        </w:rPr>
        <w:t>Coronavirus Determination</w:t>
      </w:r>
      <w:r w:rsidR="00150237">
        <w:t>.</w:t>
      </w:r>
    </w:p>
    <w:p w14:paraId="7801A848" w14:textId="392ECA7B" w:rsidR="00150237" w:rsidRPr="00B30E78" w:rsidRDefault="00150237" w:rsidP="00150237">
      <w:pPr>
        <w:pStyle w:val="Heading4"/>
      </w:pPr>
      <w:bookmarkStart w:id="34" w:name="_Ref161673108"/>
      <w:r w:rsidRPr="00B30E78">
        <w:t>The relevant date</w:t>
      </w:r>
      <w:bookmarkEnd w:id="34"/>
    </w:p>
    <w:p w14:paraId="26B8233E" w14:textId="1BF3791A" w:rsidR="00994C2D" w:rsidRDefault="00FD2667" w:rsidP="000D6D80">
      <w:pPr>
        <w:pStyle w:val="ParaNumbering"/>
      </w:pPr>
      <w:proofErr w:type="spellStart"/>
      <w:r>
        <w:t>Holista</w:t>
      </w:r>
      <w:proofErr w:type="spellEnd"/>
      <w:r>
        <w:t xml:space="preserve"> accept</w:t>
      </w:r>
      <w:r w:rsidR="00053D72">
        <w:t>ed</w:t>
      </w:r>
      <w:r>
        <w:t xml:space="preserve"> that the Placed Orders Information wa</w:t>
      </w:r>
      <w:r w:rsidRPr="00907B04">
        <w:t>s apparent from the Sales Projection Spreadsheet, and it was therefore aware of the Placed Orders</w:t>
      </w:r>
      <w:r>
        <w:t xml:space="preserve"> Information from 9 April 2020. </w:t>
      </w:r>
      <w:r>
        <w:lastRenderedPageBreak/>
        <w:t xml:space="preserve">It submitted, however, that it was not aware of the Orders Shortfall Information and Revenue Shortfall Information until the 22 April </w:t>
      </w:r>
      <w:r w:rsidR="000F36C1">
        <w:t xml:space="preserve">2020 </w:t>
      </w:r>
      <w:r w:rsidR="00154EDB">
        <w:t xml:space="preserve">Email </w:t>
      </w:r>
      <w:r>
        <w:t xml:space="preserve">from Mr Maison was received by Dr </w:t>
      </w:r>
      <w:proofErr w:type="spellStart"/>
      <w:r>
        <w:t>Marnickavasagar</w:t>
      </w:r>
      <w:proofErr w:type="spellEnd"/>
      <w:r>
        <w:t xml:space="preserve"> and Mr Tan</w:t>
      </w:r>
      <w:r w:rsidR="000F36C1">
        <w:t xml:space="preserve">, </w:t>
      </w:r>
      <w:r w:rsidR="00994C2D">
        <w:t xml:space="preserve">informing </w:t>
      </w:r>
      <w:r w:rsidR="000F36C1">
        <w:t>them</w:t>
      </w:r>
      <w:r w:rsidR="00994C2D">
        <w:t xml:space="preserve">, inter alia, that </w:t>
      </w:r>
      <w:r w:rsidR="000F36C1">
        <w:t xml:space="preserve">he </w:t>
      </w:r>
      <w:r w:rsidR="00994C2D">
        <w:t xml:space="preserve">had never agreed to prepay for stock and was still selling the original stock. ASIC submits that the evidence discloses that </w:t>
      </w:r>
      <w:proofErr w:type="spellStart"/>
      <w:r w:rsidR="00994C2D">
        <w:t>Holista</w:t>
      </w:r>
      <w:proofErr w:type="spellEnd"/>
      <w:r w:rsidR="00994C2D">
        <w:t xml:space="preserve"> was aware of the Orders Shortfall Information and the Revenue Shortfall Information on 9 April 2020. It points to the following matters:</w:t>
      </w:r>
    </w:p>
    <w:p w14:paraId="012CC005" w14:textId="3BEC1787" w:rsidR="00994C2D" w:rsidRDefault="00994C2D" w:rsidP="00082384">
      <w:pPr>
        <w:pStyle w:val="ListNo1alt"/>
        <w:numPr>
          <w:ilvl w:val="0"/>
          <w:numId w:val="43"/>
        </w:numPr>
      </w:pPr>
      <w:r>
        <w:t xml:space="preserve">On 18 March 2020, </w:t>
      </w:r>
      <w:proofErr w:type="spellStart"/>
      <w:r>
        <w:t>Holista</w:t>
      </w:r>
      <w:proofErr w:type="spellEnd"/>
      <w:r>
        <w:t xml:space="preserve"> had entered into </w:t>
      </w:r>
      <w:r w:rsidR="00196B88">
        <w:t>the D</w:t>
      </w:r>
      <w:r>
        <w:t xml:space="preserve">istribution </w:t>
      </w:r>
      <w:r w:rsidR="00196B88">
        <w:t>A</w:t>
      </w:r>
      <w:r>
        <w:t>greement with health Therapies (SAFA [36]</w:t>
      </w:r>
      <w:proofErr w:type="gramStart"/>
      <w:r>
        <w:t>);</w:t>
      </w:r>
      <w:proofErr w:type="gramEnd"/>
    </w:p>
    <w:p w14:paraId="2CCF1FAA" w14:textId="7137CF79" w:rsidR="00994C2D" w:rsidRDefault="00994C2D" w:rsidP="0089683F">
      <w:pPr>
        <w:pStyle w:val="ListNo1alt"/>
        <w:numPr>
          <w:ilvl w:val="0"/>
          <w:numId w:val="43"/>
        </w:numPr>
      </w:pPr>
      <w:r>
        <w:t>The “</w:t>
      </w:r>
      <w:r w:rsidR="00362E5C">
        <w:t>[</w:t>
      </w:r>
      <w:r>
        <w:t>m</w:t>
      </w:r>
      <w:r w:rsidR="00362E5C">
        <w:t>]</w:t>
      </w:r>
      <w:proofErr w:type="spellStart"/>
      <w:r>
        <w:t>inimum</w:t>
      </w:r>
      <w:proofErr w:type="spellEnd"/>
      <w:r>
        <w:t xml:space="preserve"> </w:t>
      </w:r>
      <w:r w:rsidR="00362E5C">
        <w:t>[</w:t>
      </w:r>
      <w:r>
        <w:t>c</w:t>
      </w:r>
      <w:r w:rsidR="00362E5C">
        <w:t>]</w:t>
      </w:r>
      <w:proofErr w:type="spellStart"/>
      <w:r>
        <w:t>ommitments</w:t>
      </w:r>
      <w:proofErr w:type="spellEnd"/>
      <w:r>
        <w:t>” clause provided that Health Therapies was required to “</w:t>
      </w:r>
      <w:r w:rsidRPr="00536B90">
        <w:t>order and provide buyers for, during each of the periods set forth in Exhibit A, at least the minimum quantities of each Product indicated in Exhibit A for such periods</w:t>
      </w:r>
      <w:r>
        <w:t xml:space="preserve">” – being </w:t>
      </w:r>
      <w:r w:rsidR="0093398C">
        <w:t>“</w:t>
      </w:r>
      <w:proofErr w:type="spellStart"/>
      <w:r>
        <w:t>Natshield</w:t>
      </w:r>
      <w:proofErr w:type="spellEnd"/>
      <w:r>
        <w:t xml:space="preserve"> (60ml)</w:t>
      </w:r>
      <w:r w:rsidR="0093398C">
        <w:t>”</w:t>
      </w:r>
      <w:r w:rsidR="00536B90">
        <w:t>,</w:t>
      </w:r>
      <w:r>
        <w:t xml:space="preserve"> with an initial price of $5.40</w:t>
      </w:r>
      <w:r w:rsidR="00536B90">
        <w:t>;</w:t>
      </w:r>
      <w:r>
        <w:t xml:space="preserve"> and “</w:t>
      </w:r>
      <w:r w:rsidR="00536B90">
        <w:t>[m]</w:t>
      </w:r>
      <w:proofErr w:type="spellStart"/>
      <w:r>
        <w:t>inimum</w:t>
      </w:r>
      <w:proofErr w:type="spellEnd"/>
      <w:r>
        <w:t xml:space="preserve"> </w:t>
      </w:r>
      <w:r w:rsidR="00536B90">
        <w:t>[</w:t>
      </w:r>
      <w:r>
        <w:t>q</w:t>
      </w:r>
      <w:r w:rsidR="00536B90">
        <w:t>]</w:t>
      </w:r>
      <w:proofErr w:type="spellStart"/>
      <w:r>
        <w:t>uantities</w:t>
      </w:r>
      <w:proofErr w:type="spellEnd"/>
      <w:r>
        <w:t>/</w:t>
      </w:r>
      <w:r w:rsidR="00536B90">
        <w:t>[t]</w:t>
      </w:r>
      <w:proofErr w:type="spellStart"/>
      <w:r>
        <w:t>ime</w:t>
      </w:r>
      <w:proofErr w:type="spellEnd"/>
      <w:r>
        <w:t xml:space="preserve"> </w:t>
      </w:r>
      <w:r w:rsidR="0093398C">
        <w:t>[</w:t>
      </w:r>
      <w:r>
        <w:t>p</w:t>
      </w:r>
      <w:r w:rsidR="0093398C">
        <w:t>]</w:t>
      </w:r>
      <w:proofErr w:type="spellStart"/>
      <w:r>
        <w:t>eriods</w:t>
      </w:r>
      <w:proofErr w:type="spellEnd"/>
      <w:r>
        <w:t>” of “200,000” and “</w:t>
      </w:r>
      <w:proofErr w:type="spellStart"/>
      <w:r>
        <w:t>Natshield</w:t>
      </w:r>
      <w:proofErr w:type="spellEnd"/>
      <w:r>
        <w:t xml:space="preserve"> (30ml)” with an initial price of </w:t>
      </w:r>
      <w:r w:rsidRPr="00D4016E">
        <w:t>$4.69</w:t>
      </w:r>
      <w:r>
        <w:t xml:space="preserve"> and “</w:t>
      </w:r>
      <w:r w:rsidR="0093398C">
        <w:t>[m]</w:t>
      </w:r>
      <w:proofErr w:type="spellStart"/>
      <w:r>
        <w:t>inimum</w:t>
      </w:r>
      <w:proofErr w:type="spellEnd"/>
      <w:r>
        <w:t xml:space="preserve"> quantities/</w:t>
      </w:r>
      <w:r w:rsidR="0093398C">
        <w:t>[t]</w:t>
      </w:r>
      <w:proofErr w:type="spellStart"/>
      <w:r>
        <w:t>ime</w:t>
      </w:r>
      <w:proofErr w:type="spellEnd"/>
      <w:r>
        <w:t xml:space="preserve"> periods” of “200,000”;</w:t>
      </w:r>
    </w:p>
    <w:p w14:paraId="20FE77CE" w14:textId="144E22AC" w:rsidR="00994C2D" w:rsidRDefault="00994C2D" w:rsidP="0089683F">
      <w:pPr>
        <w:pStyle w:val="ListNo1alt"/>
        <w:numPr>
          <w:ilvl w:val="0"/>
          <w:numId w:val="43"/>
        </w:numPr>
      </w:pPr>
      <w:r>
        <w:t>Between 18 March 2020 and 8 April 2020, Health Therapies placed orders for 2</w:t>
      </w:r>
      <w:r w:rsidR="00D55779">
        <w:t>6</w:t>
      </w:r>
      <w:r>
        <w:t xml:space="preserve">,558 units of </w:t>
      </w:r>
      <w:proofErr w:type="spellStart"/>
      <w:r>
        <w:t>Nat</w:t>
      </w:r>
      <w:r w:rsidR="00AF2790">
        <w:t>S</w:t>
      </w:r>
      <w:r>
        <w:t>hield</w:t>
      </w:r>
      <w:proofErr w:type="spellEnd"/>
      <w:r>
        <w:t xml:space="preserve"> (SAFA [44(b)]</w:t>
      </w:r>
      <w:proofErr w:type="gramStart"/>
      <w:r>
        <w:t>);</w:t>
      </w:r>
      <w:proofErr w:type="gramEnd"/>
    </w:p>
    <w:p w14:paraId="5D46DDE8" w14:textId="5A3773A4" w:rsidR="00994C2D" w:rsidRDefault="5B02DAEC" w:rsidP="0089683F">
      <w:pPr>
        <w:pStyle w:val="ListNo1alt"/>
        <w:numPr>
          <w:ilvl w:val="0"/>
          <w:numId w:val="43"/>
        </w:numPr>
      </w:pPr>
      <w:r>
        <w:t xml:space="preserve">On 8 April 2020, Mr Maison emailed Mr Tan and Dr </w:t>
      </w:r>
      <w:proofErr w:type="spellStart"/>
      <w:r>
        <w:t>Marnickavasagar</w:t>
      </w:r>
      <w:proofErr w:type="spellEnd"/>
      <w:r>
        <w:t xml:space="preserve"> with the subject “HT Sales Projections”</w:t>
      </w:r>
      <w:r w:rsidR="00955CC9">
        <w:t>,</w:t>
      </w:r>
      <w:r>
        <w:t xml:space="preserve"> attaching </w:t>
      </w:r>
      <w:r w:rsidR="007C3090">
        <w:t>the Sales Project Spreadsheet</w:t>
      </w:r>
      <w:r>
        <w:t xml:space="preserve">. The spreadsheet contained </w:t>
      </w:r>
      <w:proofErr w:type="gramStart"/>
      <w:r>
        <w:t>a number of</w:t>
      </w:r>
      <w:proofErr w:type="gramEnd"/>
      <w:r>
        <w:t xml:space="preserve"> tabs. The first “</w:t>
      </w:r>
      <w:r w:rsidR="005C5C16">
        <w:t>PRE-LAB REPORT</w:t>
      </w:r>
      <w:r>
        <w:t>” had a total of $3,493,0</w:t>
      </w:r>
      <w:r w:rsidR="00AB2112">
        <w:t>0</w:t>
      </w:r>
      <w:r>
        <w:t>0</w:t>
      </w:r>
      <w:r w:rsidR="00E301FF">
        <w:t xml:space="preserve"> in sales</w:t>
      </w:r>
      <w:r>
        <w:t xml:space="preserve">, including sales with the </w:t>
      </w:r>
      <w:proofErr w:type="gramStart"/>
      <w:r>
        <w:t>customer</w:t>
      </w:r>
      <w:proofErr w:type="gramEnd"/>
      <w:r>
        <w:t xml:space="preserve"> name of “NJ Governor – Phil </w:t>
      </w:r>
      <w:r w:rsidRPr="00880A24">
        <w:rPr>
          <w:u w:val="single"/>
        </w:rPr>
        <w:t>Turner</w:t>
      </w:r>
      <w:r>
        <w:t>”</w:t>
      </w:r>
      <w:r w:rsidR="00AB2112">
        <w:t xml:space="preserve"> (emphasis in original)</w:t>
      </w:r>
      <w:r>
        <w:t>. A second “</w:t>
      </w:r>
      <w:r w:rsidR="00E16A2C" w:rsidRPr="00E16A2C">
        <w:t>POST – LAB REPORT</w:t>
      </w:r>
      <w:r>
        <w:t>” tab had a total of $4,520,940 in sales</w:t>
      </w:r>
      <w:r w:rsidR="00AB2112">
        <w:t>,</w:t>
      </w:r>
      <w:r>
        <w:t xml:space="preserve"> and refe</w:t>
      </w:r>
      <w:r w:rsidRPr="008B1FF3">
        <w:t>rences to a customer with the name “NY Governor – Andrew Cuomo”</w:t>
      </w:r>
      <w:r w:rsidR="00E40F7C">
        <w:t xml:space="preserve">. </w:t>
      </w:r>
      <w:r w:rsidR="00EF76A0">
        <w:t>A</w:t>
      </w:r>
      <w:r w:rsidR="00EF76A0" w:rsidRPr="00EF76A0">
        <w:t xml:space="preserve"> third “POST – TRADEMARK REGISTRATION” </w:t>
      </w:r>
      <w:r w:rsidR="00EF76A0">
        <w:t>tab had projections for</w:t>
      </w:r>
      <w:r w:rsidR="00EF76A0" w:rsidRPr="00EF76A0">
        <w:t xml:space="preserve"> </w:t>
      </w:r>
      <w:r w:rsidR="002B0F1C">
        <w:t>$798,400</w:t>
      </w:r>
      <w:r w:rsidR="009202E4">
        <w:t xml:space="preserve"> in</w:t>
      </w:r>
      <w:r w:rsidR="00EF76A0" w:rsidRPr="00EF76A0">
        <w:t xml:space="preserve"> sales of 60ml units between April and July 2020, </w:t>
      </w:r>
      <w:r w:rsidR="00E301FF">
        <w:t>and reference to a customer with the name</w:t>
      </w:r>
      <w:r w:rsidR="00EF76A0" w:rsidRPr="00EF76A0">
        <w:t xml:space="preserve"> </w:t>
      </w:r>
      <w:r w:rsidR="00DF7060">
        <w:t>“Tech Wiz Distributors”</w:t>
      </w:r>
      <w:r w:rsidR="00E40F7C">
        <w:t xml:space="preserve"> (SAFA [38])</w:t>
      </w:r>
      <w:r w:rsidR="00EF76A0" w:rsidRPr="00EF76A0">
        <w:t>.</w:t>
      </w:r>
      <w:r w:rsidR="0010393F">
        <w:t xml:space="preserve"> </w:t>
      </w:r>
      <w:r w:rsidRPr="008B1FF3">
        <w:t xml:space="preserve">The email accompanying those sales projections reads, relevantly, “I have based </w:t>
      </w:r>
      <w:r w:rsidR="008B1FF3" w:rsidRPr="008B1FF3">
        <w:t xml:space="preserve">these </w:t>
      </w:r>
      <w:r w:rsidRPr="008B1FF3">
        <w:t>numb</w:t>
      </w:r>
      <w:r>
        <w:t>ers on actual discussions I am having with companies and have left out some of the large ones like Johnson &amp; Johnson until the commit (in discussion) at least to numbers</w:t>
      </w:r>
      <w:proofErr w:type="gramStart"/>
      <w:r w:rsidR="00AB2112">
        <w:t>”</w:t>
      </w:r>
      <w:r>
        <w:t>;</w:t>
      </w:r>
      <w:proofErr w:type="gramEnd"/>
    </w:p>
    <w:p w14:paraId="02BBFB18" w14:textId="303DF171" w:rsidR="00994C2D" w:rsidRDefault="00994C2D" w:rsidP="0089683F">
      <w:pPr>
        <w:pStyle w:val="ListNo1alt"/>
        <w:numPr>
          <w:ilvl w:val="0"/>
          <w:numId w:val="43"/>
        </w:numPr>
      </w:pPr>
      <w:r>
        <w:t xml:space="preserve">Contrary to the statements in the 9 April 2020 Announcement, Health Therapies had not placed additional orders for 415,000 bottles of </w:t>
      </w:r>
      <w:proofErr w:type="spellStart"/>
      <w:r>
        <w:t>NatShield</w:t>
      </w:r>
      <w:proofErr w:type="spellEnd"/>
      <w:r>
        <w:t xml:space="preserve"> totalling A$3.8 million (SAFA [43]</w:t>
      </w:r>
      <w:proofErr w:type="gramStart"/>
      <w:r>
        <w:t>);</w:t>
      </w:r>
      <w:proofErr w:type="gramEnd"/>
    </w:p>
    <w:p w14:paraId="009C6F6F" w14:textId="53644362" w:rsidR="00994C2D" w:rsidRDefault="00994C2D" w:rsidP="0089683F">
      <w:pPr>
        <w:pStyle w:val="ListNo1alt"/>
        <w:numPr>
          <w:ilvl w:val="0"/>
          <w:numId w:val="43"/>
        </w:numPr>
      </w:pPr>
      <w:r>
        <w:lastRenderedPageBreak/>
        <w:t xml:space="preserve">Dr </w:t>
      </w:r>
      <w:proofErr w:type="spellStart"/>
      <w:r>
        <w:t>Marnickavasagar</w:t>
      </w:r>
      <w:proofErr w:type="spellEnd"/>
      <w:r>
        <w:t xml:space="preserve"> knew that Health Therapies had not placed those orders</w:t>
      </w:r>
      <w:r w:rsidR="00CA38AA">
        <w:t xml:space="preserve"> referred to in (e) immediately above</w:t>
      </w:r>
      <w:r>
        <w:t xml:space="preserve"> (SAFA [45]</w:t>
      </w:r>
      <w:proofErr w:type="gramStart"/>
      <w:r>
        <w:t>);</w:t>
      </w:r>
      <w:proofErr w:type="gramEnd"/>
    </w:p>
    <w:p w14:paraId="0C6BB325" w14:textId="18C8AC31" w:rsidR="00994C2D" w:rsidRDefault="00994C2D" w:rsidP="0089683F">
      <w:pPr>
        <w:pStyle w:val="ListNo1alt"/>
        <w:numPr>
          <w:ilvl w:val="0"/>
          <w:numId w:val="43"/>
        </w:numPr>
      </w:pPr>
      <w:r>
        <w:t xml:space="preserve">In the course of reviewing the </w:t>
      </w:r>
      <w:r w:rsidR="006D230D">
        <w:t xml:space="preserve">draft </w:t>
      </w:r>
      <w:r>
        <w:t>9 April 2020 Announcement, board member Mr Usher queried, “</w:t>
      </w:r>
      <w:r w:rsidR="00CA38AA">
        <w:t>[c]</w:t>
      </w:r>
      <w:proofErr w:type="spellStart"/>
      <w:proofErr w:type="gramStart"/>
      <w:r>
        <w:t>an</w:t>
      </w:r>
      <w:proofErr w:type="spellEnd"/>
      <w:proofErr w:type="gramEnd"/>
      <w:r>
        <w:t xml:space="preserve"> we include payment terms of the sales order, timing of cash received in the Coy</w:t>
      </w:r>
      <w:r w:rsidR="00CA38AA">
        <w:t>?</w:t>
      </w:r>
      <w:r>
        <w:t>”</w:t>
      </w:r>
      <w:r w:rsidR="00E62B5C">
        <w:t xml:space="preserve"> (SAFA</w:t>
      </w:r>
      <w:r w:rsidR="00E62B5C" w:rsidDel="004B2C66">
        <w:t xml:space="preserve"> </w:t>
      </w:r>
      <w:r w:rsidR="00E62B5C">
        <w:t>[67]</w:t>
      </w:r>
      <w:proofErr w:type="gramStart"/>
      <w:r w:rsidR="00E62B5C">
        <w:t>)</w:t>
      </w:r>
      <w:r>
        <w:t>;</w:t>
      </w:r>
      <w:proofErr w:type="gramEnd"/>
    </w:p>
    <w:p w14:paraId="1AC4574C" w14:textId="063125E6" w:rsidR="00994C2D" w:rsidRDefault="00E62B5C" w:rsidP="0089683F">
      <w:pPr>
        <w:pStyle w:val="ListNo1alt"/>
        <w:numPr>
          <w:ilvl w:val="0"/>
          <w:numId w:val="43"/>
        </w:numPr>
      </w:pPr>
      <w:r>
        <w:t>By the point of market close on</w:t>
      </w:r>
      <w:r w:rsidR="00994C2D">
        <w:t xml:space="preserve"> the</w:t>
      </w:r>
      <w:r>
        <w:t xml:space="preserve"> day of the</w:t>
      </w:r>
      <w:r w:rsidR="00994C2D">
        <w:t xml:space="preserve"> 9 April 2020 Announcement, there were significant increases in </w:t>
      </w:r>
      <w:proofErr w:type="spellStart"/>
      <w:r w:rsidR="00994C2D">
        <w:t>Holista’s</w:t>
      </w:r>
      <w:proofErr w:type="spellEnd"/>
      <w:r w:rsidR="00994C2D">
        <w:t xml:space="preserve"> share price (SAFA [49]).</w:t>
      </w:r>
    </w:p>
    <w:p w14:paraId="7955C28C" w14:textId="0C7A0985" w:rsidR="00994C2D" w:rsidRDefault="00994C2D" w:rsidP="000D6D80">
      <w:pPr>
        <w:pStyle w:val="ParaNumbering"/>
      </w:pPr>
      <w:r>
        <w:t xml:space="preserve">I </w:t>
      </w:r>
      <w:r w:rsidR="00C33756">
        <w:t>find</w:t>
      </w:r>
      <w:r>
        <w:t xml:space="preserve"> that </w:t>
      </w:r>
      <w:proofErr w:type="spellStart"/>
      <w:r>
        <w:t>Holista</w:t>
      </w:r>
      <w:proofErr w:type="spellEnd"/>
      <w:r>
        <w:t xml:space="preserve"> was aware of the Orders Shortfall Information and the Revenue Shortfall Information on and from 9 April 2020. Nothing in the correspondence that passed between Mr Maison o</w:t>
      </w:r>
      <w:r w:rsidR="00F104B4">
        <w:t>n behalf of</w:t>
      </w:r>
      <w:r>
        <w:t xml:space="preserve"> Health Therapies</w:t>
      </w:r>
      <w:r w:rsidR="00F104B4">
        <w:t>,</w:t>
      </w:r>
      <w:r>
        <w:t xml:space="preserve"> and Mr Tan and Dr </w:t>
      </w:r>
      <w:proofErr w:type="spellStart"/>
      <w:r>
        <w:t>Marnickavasagar</w:t>
      </w:r>
      <w:proofErr w:type="spellEnd"/>
      <w:r w:rsidR="00F104B4">
        <w:t xml:space="preserve"> on behalf of </w:t>
      </w:r>
      <w:proofErr w:type="spellStart"/>
      <w:r w:rsidR="00F104B4">
        <w:t>Holista</w:t>
      </w:r>
      <w:proofErr w:type="spellEnd"/>
      <w:r w:rsidR="00F104B4">
        <w:t>,</w:t>
      </w:r>
      <w:r>
        <w:t xml:space="preserve"> can reasonably be construed as evidencing that </w:t>
      </w:r>
      <w:proofErr w:type="spellStart"/>
      <w:r>
        <w:t>Holista</w:t>
      </w:r>
      <w:proofErr w:type="spellEnd"/>
      <w:r>
        <w:t xml:space="preserve"> would likely receive orders of 415,000 bottles of </w:t>
      </w:r>
      <w:proofErr w:type="spellStart"/>
      <w:r>
        <w:t>NatShield</w:t>
      </w:r>
      <w:proofErr w:type="spellEnd"/>
      <w:r>
        <w:t xml:space="preserve"> totalling A$3.8 million between April and June 2020</w:t>
      </w:r>
      <w:r w:rsidR="00010AA7">
        <w:t>,</w:t>
      </w:r>
      <w:r>
        <w:t xml:space="preserve"> and was likely to record revenue of A$3.8 million. To t</w:t>
      </w:r>
      <w:r w:rsidRPr="00B019A6">
        <w:t>he contrary, the fact that no further orders had been placed</w:t>
      </w:r>
      <w:r w:rsidR="00C33756" w:rsidRPr="00B019A6">
        <w:t>,</w:t>
      </w:r>
      <w:r w:rsidRPr="00B019A6">
        <w:t xml:space="preserve"> coupled with nothing more than “</w:t>
      </w:r>
      <w:r w:rsidR="00B019A6" w:rsidRPr="00B019A6">
        <w:t>[</w:t>
      </w:r>
      <w:r w:rsidRPr="00B019A6">
        <w:t>projections</w:t>
      </w:r>
      <w:r w:rsidR="00B019A6" w:rsidRPr="00B019A6">
        <w:t>]</w:t>
      </w:r>
      <w:r w:rsidRPr="00B019A6">
        <w:t>” based on “discussions”</w:t>
      </w:r>
      <w:r w:rsidR="00C33756" w:rsidRPr="00B019A6">
        <w:t>, albeit described as “actual discussion</w:t>
      </w:r>
      <w:r w:rsidR="00CF719A" w:rsidRPr="00B019A6">
        <w:t>s</w:t>
      </w:r>
      <w:r w:rsidR="00C33756" w:rsidRPr="00B019A6">
        <w:t>”</w:t>
      </w:r>
      <w:r w:rsidR="00CF719A" w:rsidRPr="00B019A6">
        <w:t>,</w:t>
      </w:r>
      <w:r w:rsidRPr="00B019A6">
        <w:t xml:space="preserve"> made it highly unlikely that the</w:t>
      </w:r>
      <w:r>
        <w:t xml:space="preserve"> Orders Representation and the Revenue Representation would be fulfilled.</w:t>
      </w:r>
    </w:p>
    <w:p w14:paraId="6A157343" w14:textId="21D33657" w:rsidR="00994C2D" w:rsidRDefault="00994C2D" w:rsidP="000D6D80">
      <w:pPr>
        <w:pStyle w:val="ParaNumbering"/>
      </w:pPr>
      <w:r>
        <w:t xml:space="preserve">It follows that </w:t>
      </w:r>
      <w:r w:rsidR="00AB4E37">
        <w:t xml:space="preserve">the relevant </w:t>
      </w:r>
      <w:proofErr w:type="gramStart"/>
      <w:r w:rsidR="00AB4E37">
        <w:t>period of time</w:t>
      </w:r>
      <w:proofErr w:type="gramEnd"/>
      <w:r w:rsidR="00AB4E37">
        <w:t xml:space="preserve"> during which </w:t>
      </w:r>
      <w:proofErr w:type="spellStart"/>
      <w:r>
        <w:t>Holista</w:t>
      </w:r>
      <w:proofErr w:type="spellEnd"/>
      <w:r>
        <w:t xml:space="preserve"> </w:t>
      </w:r>
      <w:r w:rsidR="00C9757C">
        <w:t xml:space="preserve">contravened </w:t>
      </w:r>
      <w:r w:rsidR="00000051">
        <w:t xml:space="preserve">s </w:t>
      </w:r>
      <w:r>
        <w:t xml:space="preserve">674(2) </w:t>
      </w:r>
      <w:r w:rsidR="003726A1">
        <w:t>was from 9 April 2020 to 25 May 2020.</w:t>
      </w:r>
    </w:p>
    <w:p w14:paraId="6012AF70" w14:textId="39D26ED1" w:rsidR="00994C2D" w:rsidRPr="00B30E78" w:rsidRDefault="00CF719A" w:rsidP="00CF719A">
      <w:pPr>
        <w:pStyle w:val="Heading4"/>
      </w:pPr>
      <w:bookmarkStart w:id="35" w:name="_Ref161673109"/>
      <w:proofErr w:type="spellStart"/>
      <w:r w:rsidRPr="00B30E78">
        <w:t>Holista’s</w:t>
      </w:r>
      <w:proofErr w:type="spellEnd"/>
      <w:r w:rsidRPr="00B30E78">
        <w:t xml:space="preserve"> state of mind</w:t>
      </w:r>
      <w:bookmarkEnd w:id="35"/>
    </w:p>
    <w:p w14:paraId="029F4BF1" w14:textId="7A21C99C" w:rsidR="00CB3549" w:rsidRDefault="00CF719A" w:rsidP="000D6D80">
      <w:pPr>
        <w:pStyle w:val="ParaNumbering"/>
      </w:pPr>
      <w:r>
        <w:t>F</w:t>
      </w:r>
      <w:r w:rsidR="00610AB3">
        <w:t>or the period between 26 May 2020 and 9 July</w:t>
      </w:r>
      <w:r w:rsidR="00DC2734">
        <w:t xml:space="preserve"> 2020, </w:t>
      </w:r>
      <w:r w:rsidR="00282603">
        <w:t xml:space="preserve">and </w:t>
      </w:r>
      <w:r w:rsidR="00DC2734">
        <w:t xml:space="preserve">after the commencement of the </w:t>
      </w:r>
      <w:r w:rsidR="00DC2734" w:rsidRPr="00DC2734">
        <w:rPr>
          <w:i/>
          <w:iCs/>
        </w:rPr>
        <w:t>Coronavirus Determination</w:t>
      </w:r>
      <w:r w:rsidR="00DC2734">
        <w:t xml:space="preserve">, </w:t>
      </w:r>
      <w:proofErr w:type="spellStart"/>
      <w:r w:rsidR="003C61FC">
        <w:t>Holista</w:t>
      </w:r>
      <w:proofErr w:type="spellEnd"/>
      <w:r w:rsidR="003C61FC">
        <w:t xml:space="preserve"> </w:t>
      </w:r>
      <w:r w:rsidR="00282603">
        <w:t>admits</w:t>
      </w:r>
      <w:r w:rsidR="00CB3549">
        <w:t xml:space="preserve"> it was “at least negligent” </w:t>
      </w:r>
      <w:r w:rsidR="003C61FC">
        <w:t xml:space="preserve">with respect to whether </w:t>
      </w:r>
      <w:r w:rsidR="00A02E0E" w:rsidRPr="00CB3549">
        <w:t xml:space="preserve">the </w:t>
      </w:r>
      <w:r w:rsidR="002B7BC2" w:rsidRPr="00CB3549">
        <w:t>Non-Disclosed I</w:t>
      </w:r>
      <w:r w:rsidR="00A02E0E" w:rsidRPr="00CB3549">
        <w:t>nformation</w:t>
      </w:r>
      <w:r w:rsidR="00CB3549">
        <w:t xml:space="preserve"> </w:t>
      </w:r>
      <w:r w:rsidR="003C61FC">
        <w:t>would</w:t>
      </w:r>
      <w:r w:rsidR="00081041">
        <w:t xml:space="preserve">, if </w:t>
      </w:r>
      <w:r w:rsidR="00946B20">
        <w:t>was</w:t>
      </w:r>
      <w:r w:rsidR="00081041">
        <w:t xml:space="preserve"> generally available, have a material effect on the price or value of the shares in </w:t>
      </w:r>
      <w:proofErr w:type="spellStart"/>
      <w:r w:rsidR="00081041">
        <w:t>Holista</w:t>
      </w:r>
      <w:proofErr w:type="spellEnd"/>
      <w:r w:rsidR="00282603">
        <w:t xml:space="preserve">, or whether </w:t>
      </w:r>
      <w:proofErr w:type="spellStart"/>
      <w:r w:rsidR="00282603">
        <w:t>Holista</w:t>
      </w:r>
      <w:proofErr w:type="spellEnd"/>
      <w:r w:rsidR="00282603">
        <w:t xml:space="preserve"> </w:t>
      </w:r>
      <w:r w:rsidR="00983F38">
        <w:t>knew or was reckless as to that matter.</w:t>
      </w:r>
      <w:r w:rsidR="00E40D72">
        <w:t xml:space="preserve"> </w:t>
      </w:r>
    </w:p>
    <w:p w14:paraId="7AEBD71B" w14:textId="1F0BE994" w:rsidR="005E434A" w:rsidRDefault="00E40D72" w:rsidP="000D6D80">
      <w:pPr>
        <w:pStyle w:val="ParaNumbering"/>
      </w:pPr>
      <w:r>
        <w:t>ASIC</w:t>
      </w:r>
      <w:r w:rsidR="00531DFB">
        <w:t xml:space="preserve"> </w:t>
      </w:r>
      <w:r w:rsidR="00F112F9">
        <w:t>submitted that</w:t>
      </w:r>
      <w:r w:rsidR="003819A2">
        <w:t xml:space="preserve"> the evidence establishes that</w:t>
      </w:r>
      <w:r w:rsidR="00CB3549">
        <w:t>,</w:t>
      </w:r>
      <w:r w:rsidR="003819A2">
        <w:t xml:space="preserve"> </w:t>
      </w:r>
      <w:r w:rsidR="00CB3549">
        <w:t>in th</w:t>
      </w:r>
      <w:r w:rsidR="005C551F">
        <w:t>e relevant</w:t>
      </w:r>
      <w:r w:rsidR="00CB3549">
        <w:t xml:space="preserve"> period</w:t>
      </w:r>
      <w:r w:rsidR="00A167AA">
        <w:t>,</w:t>
      </w:r>
      <w:r w:rsidR="00CB3549">
        <w:t xml:space="preserve"> </w:t>
      </w:r>
      <w:proofErr w:type="spellStart"/>
      <w:r w:rsidR="003819A2">
        <w:t>Holista</w:t>
      </w:r>
      <w:proofErr w:type="spellEnd"/>
      <w:r w:rsidR="003819A2">
        <w:t xml:space="preserve"> </w:t>
      </w:r>
      <w:r w:rsidR="00C95B63">
        <w:t xml:space="preserve">knew, or was reckless, as to </w:t>
      </w:r>
      <w:r w:rsidR="005C551F">
        <w:t xml:space="preserve">the materiality </w:t>
      </w:r>
      <w:r w:rsidR="008B471D">
        <w:t xml:space="preserve">of </w:t>
      </w:r>
      <w:r w:rsidR="00C95B63">
        <w:t xml:space="preserve">the </w:t>
      </w:r>
      <w:r w:rsidR="00946B20">
        <w:t>Non-Disclosed Information</w:t>
      </w:r>
      <w:r w:rsidR="008B471D">
        <w:t>.</w:t>
      </w:r>
      <w:r w:rsidR="00946B20">
        <w:t xml:space="preserve"> </w:t>
      </w:r>
      <w:r w:rsidR="009B69DF">
        <w:t xml:space="preserve">It </w:t>
      </w:r>
      <w:r w:rsidR="00531DFB">
        <w:t>urge</w:t>
      </w:r>
      <w:r w:rsidR="009B69DF">
        <w:t>s</w:t>
      </w:r>
      <w:r w:rsidR="00531DFB">
        <w:t xml:space="preserve"> </w:t>
      </w:r>
      <w:r w:rsidR="009B69DF">
        <w:t xml:space="preserve">such </w:t>
      </w:r>
      <w:r w:rsidR="00531DFB">
        <w:t xml:space="preserve">a finding </w:t>
      </w:r>
      <w:r w:rsidR="009B69DF">
        <w:t>in support of</w:t>
      </w:r>
      <w:r w:rsidR="005A3627">
        <w:t xml:space="preserve"> a</w:t>
      </w:r>
      <w:r w:rsidR="00061772">
        <w:t xml:space="preserve"> higher penalty range.</w:t>
      </w:r>
      <w:r w:rsidR="003655E8">
        <w:t xml:space="preserve"> </w:t>
      </w:r>
      <w:proofErr w:type="spellStart"/>
      <w:r w:rsidR="003655E8">
        <w:t>Holista</w:t>
      </w:r>
      <w:proofErr w:type="spellEnd"/>
      <w:r w:rsidR="003655E8">
        <w:t xml:space="preserve"> submitted that it is unnecessary </w:t>
      </w:r>
      <w:r w:rsidR="00930803">
        <w:t xml:space="preserve">for the Court to make a finding </w:t>
      </w:r>
      <w:r w:rsidR="00CE6A0A">
        <w:t>as to knowledge or recklessness</w:t>
      </w:r>
      <w:r w:rsidR="005463CC">
        <w:t xml:space="preserve"> </w:t>
      </w:r>
      <w:r w:rsidR="00B83F2B">
        <w:t xml:space="preserve">because </w:t>
      </w:r>
      <w:proofErr w:type="spellStart"/>
      <w:r w:rsidR="00B83F2B">
        <w:t>Holista’s</w:t>
      </w:r>
      <w:proofErr w:type="spellEnd"/>
      <w:r w:rsidR="00B83F2B">
        <w:t xml:space="preserve"> state </w:t>
      </w:r>
      <w:r w:rsidR="00B94F8B">
        <w:t>o</w:t>
      </w:r>
      <w:r w:rsidR="00B83F2B">
        <w:t xml:space="preserve">f mind is not relevant as an aggravating factor </w:t>
      </w:r>
      <w:r w:rsidR="00B94F8B">
        <w:t>in</w:t>
      </w:r>
      <w:r w:rsidR="00E22CDE">
        <w:t xml:space="preserve"> </w:t>
      </w:r>
      <w:r w:rsidR="00B94F8B">
        <w:t xml:space="preserve">considering the </w:t>
      </w:r>
      <w:r w:rsidR="00B7768C">
        <w:t xml:space="preserve">quantum </w:t>
      </w:r>
      <w:r w:rsidR="00B94F8B">
        <w:t xml:space="preserve">of the penalty. </w:t>
      </w:r>
      <w:proofErr w:type="spellStart"/>
      <w:r w:rsidR="0060718B">
        <w:t>Holista</w:t>
      </w:r>
      <w:proofErr w:type="spellEnd"/>
      <w:r w:rsidR="0060718B">
        <w:t xml:space="preserve"> submitted that the purpose of the </w:t>
      </w:r>
      <w:r w:rsidR="0060718B" w:rsidRPr="00484DF5">
        <w:rPr>
          <w:i/>
          <w:iCs/>
        </w:rPr>
        <w:t>Coronavirus Determination</w:t>
      </w:r>
      <w:r w:rsidR="0060718B">
        <w:t xml:space="preserve"> was </w:t>
      </w:r>
      <w:r w:rsidR="0060687F">
        <w:t xml:space="preserve">not to give the Court an avenue for increasing </w:t>
      </w:r>
      <w:r w:rsidR="00FC11A2">
        <w:t>penalties in certain circumstances.</w:t>
      </w:r>
    </w:p>
    <w:p w14:paraId="7F4993CC" w14:textId="7F5B1910" w:rsidR="00BC75F4" w:rsidRDefault="00F40734" w:rsidP="000D6D80">
      <w:pPr>
        <w:pStyle w:val="ParaNumbering"/>
      </w:pPr>
      <w:r w:rsidRPr="007E0D92">
        <w:lastRenderedPageBreak/>
        <w:t>The</w:t>
      </w:r>
      <w:r w:rsidRPr="008E79B0">
        <w:t xml:space="preserve"> p</w:t>
      </w:r>
      <w:r>
        <w:t xml:space="preserve">urpose of the </w:t>
      </w:r>
      <w:r w:rsidRPr="00E22CDE">
        <w:rPr>
          <w:i/>
          <w:iCs/>
        </w:rPr>
        <w:t>Coronavirus Determination</w:t>
      </w:r>
      <w:r>
        <w:t xml:space="preserve"> as described in the </w:t>
      </w:r>
      <w:r w:rsidRPr="00E22CDE">
        <w:rPr>
          <w:i/>
          <w:iCs/>
        </w:rPr>
        <w:t xml:space="preserve">Explanatory Statement </w:t>
      </w:r>
      <w:r w:rsidR="00FC11A2">
        <w:t>was</w:t>
      </w:r>
      <w:r w:rsidR="008C403A">
        <w:t xml:space="preserve"> “to temporarily modify the continuous disclosure provisions in the </w:t>
      </w:r>
      <w:r w:rsidR="00596D5D">
        <w:t>[</w:t>
      </w:r>
      <w:r w:rsidR="00596D5D" w:rsidRPr="00596D5D">
        <w:rPr>
          <w:i/>
          <w:iCs/>
        </w:rPr>
        <w:t xml:space="preserve">Corporations </w:t>
      </w:r>
      <w:r w:rsidR="008C403A" w:rsidRPr="00596D5D">
        <w:rPr>
          <w:i/>
          <w:iCs/>
        </w:rPr>
        <w:t>Act</w:t>
      </w:r>
      <w:r w:rsidR="00596D5D">
        <w:t>]</w:t>
      </w:r>
      <w:r w:rsidR="008C403A">
        <w:t xml:space="preserve"> to facilitate the continuation of business in circumstances relating to COVID-19”</w:t>
      </w:r>
      <w:r w:rsidR="00EC07BF">
        <w:t xml:space="preserve">, </w:t>
      </w:r>
      <w:r w:rsidR="000C5785">
        <w:t>albeit that the modifications were subsequently made permanent.</w:t>
      </w:r>
      <w:r w:rsidR="00165AA7">
        <w:t xml:space="preserve"> In other words, its purpose was to ameliorate the strict liability for breach of the continuous disclosure obligations </w:t>
      </w:r>
      <w:r w:rsidR="00093799">
        <w:t xml:space="preserve">under the </w:t>
      </w:r>
      <w:r w:rsidR="00093799" w:rsidRPr="0022710A">
        <w:rPr>
          <w:i/>
          <w:iCs/>
        </w:rPr>
        <w:t xml:space="preserve">Corporations Act </w:t>
      </w:r>
      <w:r w:rsidR="00165AA7">
        <w:t xml:space="preserve">by </w:t>
      </w:r>
      <w:r w:rsidR="00580E8B">
        <w:t>imposing liability only for breaches committed knowingly, recklessly, or negligently.</w:t>
      </w:r>
      <w:r w:rsidR="00BE08B5">
        <w:t xml:space="preserve"> </w:t>
      </w:r>
      <w:r w:rsidR="00EB1E47">
        <w:t xml:space="preserve">During the operation of the </w:t>
      </w:r>
      <w:r w:rsidR="00EB1E47" w:rsidRPr="00E22CDE">
        <w:rPr>
          <w:i/>
          <w:iCs/>
        </w:rPr>
        <w:t>Coronavirus Determination</w:t>
      </w:r>
      <w:r w:rsidR="00EB1E47">
        <w:t xml:space="preserve">, and prior to the enactment of ss 674A and 675A </w:t>
      </w:r>
      <w:r w:rsidR="00690AA6">
        <w:t>by the</w:t>
      </w:r>
      <w:r w:rsidR="00EB1E47">
        <w:t xml:space="preserve"> </w:t>
      </w:r>
      <w:r w:rsidR="00EB1E47" w:rsidRPr="00E22CDE">
        <w:rPr>
          <w:i/>
          <w:iCs/>
        </w:rPr>
        <w:t>2021</w:t>
      </w:r>
      <w:r w:rsidR="00690AA6" w:rsidRPr="00E22CDE">
        <w:rPr>
          <w:i/>
          <w:iCs/>
        </w:rPr>
        <w:t xml:space="preserve"> Measures</w:t>
      </w:r>
      <w:r w:rsidR="00EB1E47">
        <w:t>, a failure to comply with the modified s 674(2) was both an offence and a civil penalty provision, even in case</w:t>
      </w:r>
      <w:r w:rsidR="00E22CDE">
        <w:t>s</w:t>
      </w:r>
      <w:r w:rsidR="00EB1E47">
        <w:t xml:space="preserve"> of mere negligence.</w:t>
      </w:r>
      <w:r w:rsidR="0022710A">
        <w:t xml:space="preserve"> </w:t>
      </w:r>
      <w:r w:rsidR="006F753F">
        <w:t xml:space="preserve">Whilst I accept </w:t>
      </w:r>
      <w:proofErr w:type="spellStart"/>
      <w:r w:rsidR="006F753F">
        <w:t>Holista’s</w:t>
      </w:r>
      <w:proofErr w:type="spellEnd"/>
      <w:r w:rsidR="006F753F">
        <w:t xml:space="preserve"> </w:t>
      </w:r>
      <w:r w:rsidR="004D44C0">
        <w:t xml:space="preserve">submission as to the purpose of the </w:t>
      </w:r>
      <w:r w:rsidR="004D44C0" w:rsidRPr="00E22CDE">
        <w:rPr>
          <w:i/>
          <w:iCs/>
        </w:rPr>
        <w:t>Coronavirus Determination</w:t>
      </w:r>
      <w:r w:rsidR="004D44C0">
        <w:t>, I do not accept that</w:t>
      </w:r>
      <w:r w:rsidR="00FE43BF">
        <w:t xml:space="preserve"> it is unnecessary for the Court to consider whether </w:t>
      </w:r>
      <w:proofErr w:type="spellStart"/>
      <w:r w:rsidR="001F4A47">
        <w:t>Holista</w:t>
      </w:r>
      <w:proofErr w:type="spellEnd"/>
      <w:r w:rsidR="001F4A47">
        <w:t xml:space="preserve"> had knowledge</w:t>
      </w:r>
      <w:r w:rsidR="00A07F08">
        <w:t>,</w:t>
      </w:r>
      <w:r w:rsidR="001F4A47">
        <w:t xml:space="preserve"> or was reckless</w:t>
      </w:r>
      <w:r w:rsidR="00A07F08">
        <w:t>,</w:t>
      </w:r>
      <w:r w:rsidR="001F4A47">
        <w:t xml:space="preserve"> as to the material</w:t>
      </w:r>
      <w:r w:rsidR="00CB1AD8">
        <w:t xml:space="preserve">ity </w:t>
      </w:r>
      <w:r w:rsidR="001F4A47">
        <w:t xml:space="preserve">of the </w:t>
      </w:r>
      <w:r w:rsidR="004D496C">
        <w:t>Non-Disclosed</w:t>
      </w:r>
      <w:r w:rsidR="0094502E">
        <w:t xml:space="preserve"> </w:t>
      </w:r>
      <w:r w:rsidR="004D496C">
        <w:t>Information</w:t>
      </w:r>
      <w:r w:rsidR="001F4A47">
        <w:t>.</w:t>
      </w:r>
      <w:r w:rsidR="00BA4E9E">
        <w:t xml:space="preserve"> In assessing the appropriate penalty</w:t>
      </w:r>
      <w:r w:rsidR="003823BB">
        <w:t xml:space="preserve">, the </w:t>
      </w:r>
      <w:r w:rsidR="00AA56E5">
        <w:t>“</w:t>
      </w:r>
      <w:r w:rsidR="003823BB">
        <w:t>deliberateness</w:t>
      </w:r>
      <w:r w:rsidR="00AA56E5">
        <w:t>”</w:t>
      </w:r>
      <w:r w:rsidR="003823BB">
        <w:t xml:space="preserve"> of the contravention and the period over which it was extended is</w:t>
      </w:r>
      <w:r w:rsidR="0094502E">
        <w:t>,</w:t>
      </w:r>
      <w:r w:rsidR="003823BB">
        <w:t xml:space="preserve"> at least</w:t>
      </w:r>
      <w:r w:rsidR="0094502E">
        <w:t>,</w:t>
      </w:r>
      <w:r w:rsidR="003823BB">
        <w:t xml:space="preserve"> one of the </w:t>
      </w:r>
      <w:r w:rsidR="00F10BBE">
        <w:t xml:space="preserve">many factors </w:t>
      </w:r>
      <w:r w:rsidR="0094502E">
        <w:t xml:space="preserve">that </w:t>
      </w:r>
      <w:r w:rsidR="00607F96">
        <w:t>c</w:t>
      </w:r>
      <w:r w:rsidR="00F10BBE">
        <w:t>ourts have identified as generally relevant to the assessment</w:t>
      </w:r>
      <w:r w:rsidR="006419DC">
        <w:t xml:space="preserve"> of pecuniary penalties</w:t>
      </w:r>
      <w:r w:rsidR="001E2865">
        <w:t>, in addition to any mandatory statutory considerations (in this case</w:t>
      </w:r>
      <w:r w:rsidR="002A2686">
        <w:t>,</w:t>
      </w:r>
      <w:r w:rsidR="001E2865">
        <w:t xml:space="preserve"> </w:t>
      </w:r>
      <w:r w:rsidR="00417AE9">
        <w:t xml:space="preserve">those prescribed by </w:t>
      </w:r>
      <w:r w:rsidR="001E2865">
        <w:t>s 1317G</w:t>
      </w:r>
      <w:r w:rsidR="00417AE9">
        <w:t>(</w:t>
      </w:r>
      <w:r w:rsidR="001E2865">
        <w:t>6))</w:t>
      </w:r>
      <w:r w:rsidR="006419DC">
        <w:t xml:space="preserve">: </w:t>
      </w:r>
      <w:r w:rsidR="00262C49" w:rsidRPr="00E22CDE">
        <w:rPr>
          <w:i/>
          <w:iCs/>
        </w:rPr>
        <w:t>Trade</w:t>
      </w:r>
      <w:r w:rsidR="005B1AED" w:rsidRPr="00E22CDE">
        <w:rPr>
          <w:i/>
          <w:iCs/>
        </w:rPr>
        <w:t xml:space="preserve"> P</w:t>
      </w:r>
      <w:r w:rsidR="00AA63A3" w:rsidRPr="00E22CDE">
        <w:rPr>
          <w:i/>
          <w:iCs/>
        </w:rPr>
        <w:t>r</w:t>
      </w:r>
      <w:r w:rsidR="005B1AED" w:rsidRPr="00E22CDE">
        <w:rPr>
          <w:i/>
          <w:iCs/>
        </w:rPr>
        <w:t xml:space="preserve">actices Commission v </w:t>
      </w:r>
      <w:r w:rsidR="005B1AED" w:rsidRPr="00E22CDE">
        <w:rPr>
          <w:b/>
          <w:bCs/>
          <w:i/>
          <w:iCs/>
        </w:rPr>
        <w:t>CSR</w:t>
      </w:r>
      <w:r w:rsidR="005B1AED" w:rsidRPr="00E22CDE">
        <w:rPr>
          <w:i/>
          <w:iCs/>
        </w:rPr>
        <w:t xml:space="preserve"> Ltd</w:t>
      </w:r>
      <w:r w:rsidR="005B1AED" w:rsidRPr="006941F0">
        <w:t xml:space="preserve"> </w:t>
      </w:r>
      <w:r w:rsidR="0077692A" w:rsidRPr="006941F0">
        <w:t xml:space="preserve">[1990] FCA 762; </w:t>
      </w:r>
      <w:r w:rsidR="00EA4392" w:rsidRPr="006941F0">
        <w:t xml:space="preserve">[1991] ATPR </w:t>
      </w:r>
      <w:r w:rsidR="00873FA2" w:rsidRPr="006941F0">
        <w:t>¶41-076</w:t>
      </w:r>
      <w:r w:rsidR="00873FA2">
        <w:t xml:space="preserve"> at 52,152-52,153; </w:t>
      </w:r>
      <w:r w:rsidR="004A3B8C" w:rsidRPr="00E22CDE">
        <w:rPr>
          <w:i/>
        </w:rPr>
        <w:t>Australian Building and Construction Commissioner v Construction, Forestry, Mining and Energy Union</w:t>
      </w:r>
      <w:r w:rsidR="004A3B8C" w:rsidRPr="006941F0">
        <w:t xml:space="preserve"> (2017) 254 FCR 68</w:t>
      </w:r>
      <w:r w:rsidR="004A3B8C" w:rsidRPr="00E22CDE">
        <w:rPr>
          <w:i/>
        </w:rPr>
        <w:t xml:space="preserve"> </w:t>
      </w:r>
      <w:r w:rsidR="004A3B8C" w:rsidRPr="006941F0">
        <w:t>at [101]</w:t>
      </w:r>
      <w:r w:rsidR="00873FA2" w:rsidRPr="006941F0">
        <w:t>;</w:t>
      </w:r>
      <w:r w:rsidR="00873FA2">
        <w:t xml:space="preserve"> </w:t>
      </w:r>
      <w:r w:rsidR="000E051D" w:rsidRPr="00E22CDE">
        <w:rPr>
          <w:i/>
        </w:rPr>
        <w:t xml:space="preserve">Australian Building and Construction Commissioner v </w:t>
      </w:r>
      <w:r w:rsidR="000E051D" w:rsidRPr="00CD5448">
        <w:rPr>
          <w:b/>
          <w:bCs/>
          <w:i/>
          <w:iCs/>
        </w:rPr>
        <w:t>P</w:t>
      </w:r>
      <w:r w:rsidR="00873FA2" w:rsidRPr="00CD5448">
        <w:rPr>
          <w:b/>
          <w:bCs/>
          <w:i/>
          <w:iCs/>
        </w:rPr>
        <w:t>attinson</w:t>
      </w:r>
      <w:r w:rsidR="000E051D" w:rsidRPr="006941F0">
        <w:t xml:space="preserve"> [2022] HCA 13; </w:t>
      </w:r>
      <w:r w:rsidR="00320598" w:rsidRPr="006941F0">
        <w:t>274 CLR 450</w:t>
      </w:r>
      <w:r w:rsidR="00320598">
        <w:t xml:space="preserve"> at </w:t>
      </w:r>
      <w:r w:rsidR="0C01E1FE">
        <w:t xml:space="preserve">[18], </w:t>
      </w:r>
      <w:r w:rsidR="00320598">
        <w:t>[19].</w:t>
      </w:r>
      <w:r w:rsidR="007D3196">
        <w:t xml:space="preserve"> The use of the term </w:t>
      </w:r>
      <w:r w:rsidR="00760777">
        <w:t>‘</w:t>
      </w:r>
      <w:r w:rsidR="007D3196">
        <w:t>deliberateness</w:t>
      </w:r>
      <w:r w:rsidR="00760777">
        <w:t>’</w:t>
      </w:r>
      <w:r w:rsidR="007D3196">
        <w:t xml:space="preserve"> </w:t>
      </w:r>
      <w:r w:rsidR="00F27B24">
        <w:t xml:space="preserve">in this context is shorthand for the relevant state of mind. ASIC does not contend that </w:t>
      </w:r>
      <w:proofErr w:type="spellStart"/>
      <w:r w:rsidR="00F27B24">
        <w:t>Holista</w:t>
      </w:r>
      <w:proofErr w:type="spellEnd"/>
      <w:r w:rsidR="00F27B24">
        <w:t xml:space="preserve"> deliberately contravened s </w:t>
      </w:r>
      <w:r w:rsidR="006A636E">
        <w:t>674(2).</w:t>
      </w:r>
    </w:p>
    <w:p w14:paraId="526987A9" w14:textId="759914D1" w:rsidR="009E19A5" w:rsidRDefault="009E19A5" w:rsidP="000D6D80">
      <w:pPr>
        <w:pStyle w:val="ParaNumbering"/>
      </w:pPr>
      <w:r>
        <w:t xml:space="preserve">Further, in </w:t>
      </w:r>
      <w:r w:rsidR="000056C7" w:rsidRPr="006941F0">
        <w:rPr>
          <w:i/>
          <w:iCs/>
        </w:rPr>
        <w:t xml:space="preserve">Australian Competition and Consumer Commission v </w:t>
      </w:r>
      <w:r w:rsidR="000056C7" w:rsidRPr="006941F0">
        <w:rPr>
          <w:b/>
          <w:bCs/>
          <w:i/>
          <w:iCs/>
        </w:rPr>
        <w:t>Re</w:t>
      </w:r>
      <w:r w:rsidR="00CF28F3" w:rsidRPr="006941F0">
        <w:rPr>
          <w:b/>
          <w:bCs/>
          <w:i/>
          <w:iCs/>
        </w:rPr>
        <w:t xml:space="preserve">ckitt </w:t>
      </w:r>
      <w:proofErr w:type="spellStart"/>
      <w:r w:rsidR="00CF28F3" w:rsidRPr="006941F0">
        <w:rPr>
          <w:b/>
          <w:bCs/>
          <w:i/>
          <w:iCs/>
        </w:rPr>
        <w:t>Benickser</w:t>
      </w:r>
      <w:proofErr w:type="spellEnd"/>
      <w:r w:rsidR="00CF28F3" w:rsidRPr="006941F0">
        <w:rPr>
          <w:i/>
          <w:iCs/>
        </w:rPr>
        <w:t xml:space="preserve"> (Australia) Pty Ltd </w:t>
      </w:r>
      <w:r w:rsidR="00CF28F3" w:rsidRPr="006941F0">
        <w:t xml:space="preserve">[2016] </w:t>
      </w:r>
      <w:r w:rsidR="00A94893" w:rsidRPr="006941F0">
        <w:t>FCAFC 181;</w:t>
      </w:r>
      <w:r w:rsidR="00CF28F3" w:rsidRPr="006941F0">
        <w:t xml:space="preserve"> 340 ALR 25</w:t>
      </w:r>
      <w:r w:rsidR="00A94893">
        <w:t>, the Full Court said,</w:t>
      </w:r>
      <w:r w:rsidR="00CF28F3" w:rsidRPr="005F599D">
        <w:t xml:space="preserve"> at</w:t>
      </w:r>
      <w:r w:rsidR="00CF28F3">
        <w:rPr>
          <w:i/>
          <w:iCs/>
        </w:rPr>
        <w:t xml:space="preserve"> </w:t>
      </w:r>
      <w:r w:rsidR="00AB4452">
        <w:t>[132]</w:t>
      </w:r>
      <w:r w:rsidR="000872D5">
        <w:t>:</w:t>
      </w:r>
    </w:p>
    <w:p w14:paraId="47508965" w14:textId="64D7455C" w:rsidR="00830A91" w:rsidRDefault="00AB4452" w:rsidP="002E0870">
      <w:pPr>
        <w:pStyle w:val="Quote1"/>
        <w:spacing w:after="240"/>
        <w:rPr>
          <w:lang w:eastAsia="en-AU"/>
        </w:rPr>
      </w:pPr>
      <w:r>
        <w:rPr>
          <w:lang w:eastAsia="en-AU"/>
        </w:rPr>
        <w:t xml:space="preserve">Ultimately, a judge must form his or her own views on whether and if so what state of mind existed on the evidence that is before the Court, provided that a party has been given an opportunity to be heard. To do otherwise is to require a judge to surrender an essential judicial function, even if it is not as clear-cut for civil penalty proceedings as it is for criminal proceedings: the </w:t>
      </w:r>
      <w:r>
        <w:rPr>
          <w:rFonts w:ascii="Times-Italic" w:hAnsi="Times-Italic" w:cs="Times-Italic"/>
          <w:i/>
          <w:iCs/>
          <w:lang w:eastAsia="en-AU"/>
        </w:rPr>
        <w:t>CFMEU civil</w:t>
      </w:r>
      <w:r>
        <w:rPr>
          <w:lang w:eastAsia="en-AU"/>
        </w:rPr>
        <w:t xml:space="preserve"> </w:t>
      </w:r>
      <w:r>
        <w:rPr>
          <w:rFonts w:ascii="Times-Italic" w:hAnsi="Times-Italic" w:cs="Times-Italic"/>
          <w:i/>
          <w:iCs/>
          <w:lang w:eastAsia="en-AU"/>
        </w:rPr>
        <w:t xml:space="preserve">penalty case </w:t>
      </w:r>
      <w:r>
        <w:rPr>
          <w:lang w:eastAsia="en-AU"/>
        </w:rPr>
        <w:t>at [61]. The Court cannot surrender the ultimate responsibility for making the necessary findings leading to penalty, even if any penalty agreed between the parties cannot easily be departed from. The determination of state of mind, if any, is a central judicial function.</w:t>
      </w:r>
    </w:p>
    <w:p w14:paraId="49A6BBBA" w14:textId="1627531F" w:rsidR="00EA4848" w:rsidRDefault="00EE12B3" w:rsidP="000D6D80">
      <w:pPr>
        <w:pStyle w:val="ParaNumbering"/>
      </w:pPr>
      <w:r>
        <w:t>It remains, of course, for the party asserting a particular state of mind, in this case ASIC, to prove its assertion.</w:t>
      </w:r>
      <w:r w:rsidR="00445613">
        <w:t xml:space="preserve"> </w:t>
      </w:r>
    </w:p>
    <w:p w14:paraId="5024754B" w14:textId="64DD6F19" w:rsidR="00347D40" w:rsidRDefault="0004094C" w:rsidP="000D6D80">
      <w:pPr>
        <w:pStyle w:val="ParaNumbering"/>
      </w:pPr>
      <w:r>
        <w:t xml:space="preserve">I have already observed that the </w:t>
      </w:r>
      <w:r w:rsidRPr="00655CA3">
        <w:rPr>
          <w:i/>
          <w:iCs/>
        </w:rPr>
        <w:t>Coronavirus Determination</w:t>
      </w:r>
      <w:r>
        <w:t xml:space="preserve"> </w:t>
      </w:r>
      <w:r w:rsidR="00655CA3">
        <w:t xml:space="preserve">incorporates the definitions of “knowledge” and “recklessness” from the </w:t>
      </w:r>
      <w:r w:rsidR="00655CA3" w:rsidRPr="007301C5">
        <w:rPr>
          <w:i/>
        </w:rPr>
        <w:t>Criminal Code</w:t>
      </w:r>
      <w:r w:rsidR="00655CA3">
        <w:t xml:space="preserve">, albeit </w:t>
      </w:r>
      <w:r w:rsidR="00D30802">
        <w:t xml:space="preserve">in the context of </w:t>
      </w:r>
      <w:r w:rsidR="00445613">
        <w:t xml:space="preserve">a civil penalty </w:t>
      </w:r>
      <w:r w:rsidR="00445613">
        <w:lastRenderedPageBreak/>
        <w:t>provision.</w:t>
      </w:r>
      <w:r w:rsidR="003C28B7">
        <w:t xml:space="preserve"> </w:t>
      </w:r>
      <w:r w:rsidR="00000C9A">
        <w:t>Therefore, i</w:t>
      </w:r>
      <w:r w:rsidR="003C28B7">
        <w:t xml:space="preserve">t is perhaps important to recall </w:t>
      </w:r>
      <w:r w:rsidR="00000C9A">
        <w:t xml:space="preserve">and state </w:t>
      </w:r>
      <w:r w:rsidR="003C28B7">
        <w:t xml:space="preserve">the </w:t>
      </w:r>
      <w:r w:rsidR="00B32D27">
        <w:t xml:space="preserve">nature of the </w:t>
      </w:r>
      <w:r w:rsidR="003C28B7">
        <w:t>differences between</w:t>
      </w:r>
      <w:r w:rsidR="000736AD">
        <w:t xml:space="preserve"> </w:t>
      </w:r>
      <w:r w:rsidR="00B6604C">
        <w:t>criminal and civil</w:t>
      </w:r>
      <w:r w:rsidR="00B32D27">
        <w:t xml:space="preserve"> </w:t>
      </w:r>
      <w:r w:rsidR="000736AD">
        <w:t>regimes</w:t>
      </w:r>
      <w:r w:rsidR="00B6604C">
        <w:t xml:space="preserve">. </w:t>
      </w:r>
      <w:proofErr w:type="gramStart"/>
      <w:r w:rsidR="00DB7069">
        <w:t xml:space="preserve">In </w:t>
      </w:r>
      <w:r w:rsidR="00C26143">
        <w:t>the co</w:t>
      </w:r>
      <w:r w:rsidR="005A7A30">
        <w:t>urse</w:t>
      </w:r>
      <w:r w:rsidR="00C26143">
        <w:t xml:space="preserve"> of</w:t>
      </w:r>
      <w:proofErr w:type="gramEnd"/>
      <w:r w:rsidR="00BD15CD">
        <w:t xml:space="preserve"> considering civil penalty provisions </w:t>
      </w:r>
      <w:r w:rsidR="000736AD">
        <w:t xml:space="preserve">under </w:t>
      </w:r>
      <w:r w:rsidR="00BD15CD">
        <w:t>the</w:t>
      </w:r>
      <w:r w:rsidR="00C26143">
        <w:t xml:space="preserve"> </w:t>
      </w:r>
      <w:r w:rsidR="00C26143" w:rsidRPr="006E1445">
        <w:rPr>
          <w:b/>
          <w:bCs/>
          <w:i/>
          <w:iCs/>
        </w:rPr>
        <w:t xml:space="preserve">Fair Work </w:t>
      </w:r>
      <w:r w:rsidR="00BD15CD" w:rsidRPr="006E1445">
        <w:rPr>
          <w:b/>
          <w:bCs/>
          <w:i/>
          <w:iCs/>
        </w:rPr>
        <w:t>Act</w:t>
      </w:r>
      <w:r w:rsidR="005A7A30">
        <w:rPr>
          <w:i/>
          <w:iCs/>
        </w:rPr>
        <w:t xml:space="preserve"> 2009</w:t>
      </w:r>
      <w:r w:rsidR="005A7A30">
        <w:t xml:space="preserve"> (</w:t>
      </w:r>
      <w:proofErr w:type="spellStart"/>
      <w:r w:rsidR="005A7A30">
        <w:t>Cth</w:t>
      </w:r>
      <w:proofErr w:type="spellEnd"/>
      <w:r w:rsidR="005A7A30">
        <w:t>)</w:t>
      </w:r>
      <w:r w:rsidR="00BD15CD">
        <w:t xml:space="preserve"> </w:t>
      </w:r>
      <w:r w:rsidR="000736AD">
        <w:t xml:space="preserve">in </w:t>
      </w:r>
      <w:r w:rsidR="00DB7069" w:rsidRPr="00C332A5">
        <w:rPr>
          <w:i/>
          <w:iCs/>
        </w:rPr>
        <w:t>Pattinson</w:t>
      </w:r>
      <w:r w:rsidR="00DB7069">
        <w:t>, the High Court</w:t>
      </w:r>
      <w:r w:rsidR="00347D40">
        <w:t xml:space="preserve"> observed</w:t>
      </w:r>
      <w:r w:rsidR="00C332A5">
        <w:t xml:space="preserve"> at [14]</w:t>
      </w:r>
      <w:r w:rsidR="00347D40">
        <w:t>:</w:t>
      </w:r>
    </w:p>
    <w:p w14:paraId="1E350123" w14:textId="2D9B4331" w:rsidR="0004094C" w:rsidRDefault="00347D40" w:rsidP="00C26143">
      <w:pPr>
        <w:pStyle w:val="Quote1"/>
      </w:pPr>
      <w:r>
        <w:t xml:space="preserve">In </w:t>
      </w:r>
      <w:r w:rsidRPr="00BD15CD">
        <w:rPr>
          <w:i/>
          <w:iCs/>
        </w:rPr>
        <w:t xml:space="preserve">Commonwealth v Director, Fair Work Building Industry Inspectorate </w:t>
      </w:r>
      <w:r w:rsidRPr="00C332A5">
        <w:t>(“</w:t>
      </w:r>
      <w:r w:rsidR="008A4CE3" w:rsidRPr="00C332A5">
        <w:t>the</w:t>
      </w:r>
      <w:r w:rsidR="008A4CE3">
        <w:rPr>
          <w:i/>
          <w:iCs/>
        </w:rPr>
        <w:t xml:space="preserve"> </w:t>
      </w:r>
      <w:r w:rsidRPr="00BD15CD">
        <w:rPr>
          <w:i/>
          <w:iCs/>
        </w:rPr>
        <w:t>Agreed Penalties</w:t>
      </w:r>
      <w:r w:rsidR="00D84F1F" w:rsidRPr="00BD15CD">
        <w:rPr>
          <w:i/>
          <w:iCs/>
        </w:rPr>
        <w:t xml:space="preserve"> Case</w:t>
      </w:r>
      <w:r w:rsidR="00D84F1F" w:rsidRPr="00C332A5">
        <w:t>”)</w:t>
      </w:r>
      <w:r w:rsidR="00D84F1F">
        <w:t>, French CJ, Kiefel, Bell, Nettle and Gordon JJ said that civil penalty provisions of the kind enacted in s 5</w:t>
      </w:r>
      <w:r w:rsidR="00F10F09">
        <w:t xml:space="preserve">46 have a “statutory function of securing compliance with provisions of the [statutory] regime”. Although </w:t>
      </w:r>
      <w:r w:rsidR="00F10F09" w:rsidRPr="00BD15CD">
        <w:rPr>
          <w:b/>
          <w:bCs/>
        </w:rPr>
        <w:t xml:space="preserve">it is accepted in the authorities that the courts may adapt </w:t>
      </w:r>
      <w:r w:rsidR="00C26143" w:rsidRPr="00BD15CD">
        <w:rPr>
          <w:b/>
          <w:bCs/>
        </w:rPr>
        <w:t>principles</w:t>
      </w:r>
      <w:r w:rsidR="00F10F09" w:rsidRPr="00BD15CD">
        <w:rPr>
          <w:b/>
          <w:bCs/>
        </w:rPr>
        <w:t xml:space="preserve"> which govern criminal sentencing to civil penalty regimes</w:t>
      </w:r>
      <w:r w:rsidR="00761894">
        <w:t xml:space="preserve">, “basic </w:t>
      </w:r>
      <w:r w:rsidR="00C26143">
        <w:t>differences</w:t>
      </w:r>
      <w:r w:rsidR="00761894">
        <w:t xml:space="preserve">” between criminal prosecutions and civil penalty proceedings mean </w:t>
      </w:r>
      <w:r w:rsidR="00761894" w:rsidRPr="00BD15CD">
        <w:rPr>
          <w:b/>
          <w:bCs/>
        </w:rPr>
        <w:t>there are limits to the transplantation of principles</w:t>
      </w:r>
      <w:r w:rsidR="00761894">
        <w:t xml:space="preserve"> from the former context to the latter. Indeed</w:t>
      </w:r>
      <w:r w:rsidR="00BD15CD">
        <w:t>,</w:t>
      </w:r>
      <w:r w:rsidR="00761894">
        <w:t xml:space="preserve"> </w:t>
      </w:r>
      <w:r w:rsidR="00761894" w:rsidRPr="006E1445">
        <w:rPr>
          <w:b/>
          <w:bCs/>
        </w:rPr>
        <w:t xml:space="preserve">the Act is emphatic in drawing a distinction </w:t>
      </w:r>
      <w:r w:rsidR="00BD15CD" w:rsidRPr="006E1445">
        <w:rPr>
          <w:b/>
          <w:bCs/>
        </w:rPr>
        <w:t>between</w:t>
      </w:r>
      <w:r w:rsidR="00761894" w:rsidRPr="006E1445">
        <w:rPr>
          <w:b/>
          <w:bCs/>
        </w:rPr>
        <w:t xml:space="preserve"> its civil penalty regime and criminal proceedings</w:t>
      </w:r>
      <w:r w:rsidR="00A57249">
        <w:t>. For example: a contravention of a civil remedy provision is not an offence; the rules of evidence and procedure for civil matters are applicable to proceedings relating to a contravention of a civil re</w:t>
      </w:r>
      <w:r w:rsidR="00213308">
        <w:t>medy provision; and a court must not make a pecuniary penalty order for a contravention of a civil remedy provision against a person who has already been convicted of an offence for substantially the same conduct</w:t>
      </w:r>
      <w:r w:rsidR="00C26143">
        <w:t>.</w:t>
      </w:r>
    </w:p>
    <w:p w14:paraId="425E8507" w14:textId="185B2D38" w:rsidR="006E1445" w:rsidRDefault="006E1445" w:rsidP="00C332A5">
      <w:pPr>
        <w:pStyle w:val="Quote1"/>
        <w:spacing w:after="240"/>
      </w:pPr>
      <w:r>
        <w:t>(Emphasis added.)</w:t>
      </w:r>
    </w:p>
    <w:p w14:paraId="45694706" w14:textId="15FFA239" w:rsidR="008E4185" w:rsidRDefault="006E1445" w:rsidP="000D6D80">
      <w:pPr>
        <w:pStyle w:val="ParaNumbering"/>
      </w:pPr>
      <w:r>
        <w:t xml:space="preserve">As is apparent from the text of the </w:t>
      </w:r>
      <w:r w:rsidRPr="003E3560">
        <w:rPr>
          <w:i/>
          <w:iCs/>
        </w:rPr>
        <w:t>Coronavirus Determination</w:t>
      </w:r>
      <w:r>
        <w:t xml:space="preserve">, unlike the </w:t>
      </w:r>
      <w:r w:rsidRPr="003E3560">
        <w:rPr>
          <w:i/>
          <w:iCs/>
        </w:rPr>
        <w:t>Fair Work Act</w:t>
      </w:r>
      <w:r>
        <w:t xml:space="preserve">, no “emphatic </w:t>
      </w:r>
      <w:r w:rsidR="00F72E0A">
        <w:t xml:space="preserve">… </w:t>
      </w:r>
      <w:r w:rsidR="00BA5A56">
        <w:t xml:space="preserve">distinction” has been drawn between the civil and criminal consequences of </w:t>
      </w:r>
      <w:r w:rsidR="00F72E0A">
        <w:t xml:space="preserve">contravening </w:t>
      </w:r>
      <w:r w:rsidR="00B767D9">
        <w:t>s 674(2)</w:t>
      </w:r>
      <w:r w:rsidR="008E302E">
        <w:t xml:space="preserve"> of the </w:t>
      </w:r>
      <w:r w:rsidR="008E302E" w:rsidRPr="008E302E">
        <w:rPr>
          <w:i/>
          <w:iCs/>
        </w:rPr>
        <w:t>Corporations Act</w:t>
      </w:r>
      <w:r w:rsidR="00B767D9">
        <w:t>. Such</w:t>
      </w:r>
      <w:r w:rsidR="00F72E0A">
        <w:t xml:space="preserve"> a</w:t>
      </w:r>
      <w:r w:rsidR="00B767D9">
        <w:t xml:space="preserve"> breach </w:t>
      </w:r>
      <w:r w:rsidR="00F72E0A">
        <w:t xml:space="preserve">enlivens </w:t>
      </w:r>
      <w:r w:rsidR="00B767D9">
        <w:t>both an offence and a civil penalty</w:t>
      </w:r>
      <w:r w:rsidR="00952559">
        <w:t xml:space="preserve">. It </w:t>
      </w:r>
      <w:r w:rsidR="00F72E0A">
        <w:t xml:space="preserve">seems </w:t>
      </w:r>
      <w:r w:rsidR="00952559">
        <w:t xml:space="preserve">therefore that, by the incorporation of the definitions from the </w:t>
      </w:r>
      <w:r w:rsidR="00952559" w:rsidRPr="008E302E">
        <w:rPr>
          <w:i/>
          <w:iCs/>
        </w:rPr>
        <w:t>Criminal Code</w:t>
      </w:r>
      <w:r w:rsidR="00952559">
        <w:t xml:space="preserve">, the Parliament intended those definitions </w:t>
      </w:r>
      <w:r w:rsidR="00F72E0A">
        <w:t xml:space="preserve">to </w:t>
      </w:r>
      <w:r w:rsidR="00952559">
        <w:t>apply to both the offence and the civil penalty provision created by</w:t>
      </w:r>
      <w:r w:rsidR="008E302E">
        <w:t xml:space="preserve"> s</w:t>
      </w:r>
      <w:r w:rsidR="008A0148">
        <w:t>s</w:t>
      </w:r>
      <w:r w:rsidR="008E302E">
        <w:t xml:space="preserve"> 1311(1) and 1317E</w:t>
      </w:r>
      <w:r w:rsidR="008E4185">
        <w:t xml:space="preserve"> of the</w:t>
      </w:r>
      <w:r w:rsidR="008E4185" w:rsidRPr="008E4185">
        <w:rPr>
          <w:i/>
          <w:iCs/>
        </w:rPr>
        <w:t xml:space="preserve"> Corporations Act</w:t>
      </w:r>
      <w:r w:rsidR="008A0148">
        <w:t xml:space="preserve">, </w:t>
      </w:r>
      <w:r w:rsidR="008E302E">
        <w:t>respectively.</w:t>
      </w:r>
    </w:p>
    <w:p w14:paraId="2C9AADFC" w14:textId="1255CC7C" w:rsidR="00EC3075" w:rsidRDefault="005528CB" w:rsidP="000D6D80">
      <w:pPr>
        <w:pStyle w:val="ParaNumbering"/>
      </w:pPr>
      <w:r>
        <w:t xml:space="preserve">By virtue of the application of the definitions of “knowledge” and “recklessness” </w:t>
      </w:r>
      <w:r w:rsidR="001633F5">
        <w:t xml:space="preserve">from </w:t>
      </w:r>
      <w:r>
        <w:t xml:space="preserve">the </w:t>
      </w:r>
      <w:r w:rsidRPr="005528CB">
        <w:rPr>
          <w:i/>
          <w:iCs/>
        </w:rPr>
        <w:t>Criminal Code</w:t>
      </w:r>
      <w:r>
        <w:t xml:space="preserve"> to the </w:t>
      </w:r>
      <w:r w:rsidR="00DB2818" w:rsidRPr="000908BC">
        <w:rPr>
          <w:i/>
          <w:iCs/>
        </w:rPr>
        <w:t>Coronavirus Determination</w:t>
      </w:r>
      <w:r w:rsidR="00DB2818">
        <w:t xml:space="preserve"> </w:t>
      </w:r>
      <w:r>
        <w:t>(</w:t>
      </w:r>
      <w:r w:rsidR="001633F5">
        <w:t xml:space="preserve">see </w:t>
      </w:r>
      <w:r>
        <w:t>s 8), “</w:t>
      </w:r>
      <w:r w:rsidR="00167EE0">
        <w:t>k</w:t>
      </w:r>
      <w:r w:rsidR="00EC3075">
        <w:t xml:space="preserve">nowledge” is defined in relation to </w:t>
      </w:r>
      <w:r w:rsidR="00EC3075" w:rsidRPr="005528CB">
        <w:rPr>
          <w:b/>
          <w:bCs/>
        </w:rPr>
        <w:t>circumstances and results</w:t>
      </w:r>
      <w:r w:rsidR="001633F5">
        <w:t xml:space="preserve">, </w:t>
      </w:r>
      <w:r w:rsidR="00EC3075">
        <w:t>but not conduct. Section</w:t>
      </w:r>
      <w:r w:rsidR="001705C6">
        <w:t xml:space="preserve"> 5.3 of the </w:t>
      </w:r>
      <w:r w:rsidR="001705C6" w:rsidRPr="005528CB">
        <w:rPr>
          <w:i/>
          <w:iCs/>
        </w:rPr>
        <w:t>Criminal Code</w:t>
      </w:r>
      <w:r w:rsidR="001705C6">
        <w:t xml:space="preserve"> </w:t>
      </w:r>
      <w:r w:rsidR="001633F5">
        <w:t xml:space="preserve">relevantly </w:t>
      </w:r>
      <w:r w:rsidR="001705C6">
        <w:t>provides:</w:t>
      </w:r>
    </w:p>
    <w:p w14:paraId="7F11A6E7" w14:textId="565DC9A6" w:rsidR="001705C6" w:rsidRDefault="001705C6" w:rsidP="004708F8">
      <w:pPr>
        <w:pStyle w:val="Quote1"/>
      </w:pPr>
      <w:r>
        <w:t xml:space="preserve">A person has </w:t>
      </w:r>
      <w:r w:rsidRPr="007A63AB">
        <w:rPr>
          <w:b/>
          <w:bCs/>
        </w:rPr>
        <w:t>knowledge</w:t>
      </w:r>
      <w:r>
        <w:t xml:space="preserve"> of a circumstance or a result if he or she </w:t>
      </w:r>
      <w:r w:rsidRPr="007A63AB">
        <w:rPr>
          <w:b/>
          <w:bCs/>
        </w:rPr>
        <w:t>is aware</w:t>
      </w:r>
      <w:r>
        <w:t xml:space="preserve"> that </w:t>
      </w:r>
      <w:r w:rsidRPr="007A63AB">
        <w:rPr>
          <w:b/>
          <w:bCs/>
        </w:rPr>
        <w:t>it exists or will exist</w:t>
      </w:r>
      <w:r>
        <w:t xml:space="preserve"> in the ordinary course of events.</w:t>
      </w:r>
    </w:p>
    <w:p w14:paraId="6D6336D6" w14:textId="33FD008C" w:rsidR="00DF6096" w:rsidRDefault="00DF6096" w:rsidP="008E7EB0">
      <w:pPr>
        <w:pStyle w:val="Quote1"/>
        <w:spacing w:after="360"/>
      </w:pPr>
      <w:r>
        <w:t>(Emphasis added.)</w:t>
      </w:r>
    </w:p>
    <w:p w14:paraId="520F9186" w14:textId="2091E554" w:rsidR="002F69F9" w:rsidRDefault="00A92A6B" w:rsidP="000D6D80">
      <w:pPr>
        <w:pStyle w:val="ParaNumbering"/>
      </w:pPr>
      <w:r>
        <w:t>By contrast, “intention</w:t>
      </w:r>
      <w:r w:rsidR="002F69F9">
        <w:t>”</w:t>
      </w:r>
      <w:r>
        <w:t>, is define</w:t>
      </w:r>
      <w:r w:rsidR="002F69F9">
        <w:t xml:space="preserve">d in s 5.2 </w:t>
      </w:r>
      <w:r w:rsidR="00167EE0">
        <w:t xml:space="preserve">of the </w:t>
      </w:r>
      <w:r w:rsidR="00167EE0" w:rsidRPr="00167EE0">
        <w:rPr>
          <w:i/>
          <w:iCs/>
        </w:rPr>
        <w:t>Criminal Code</w:t>
      </w:r>
      <w:r w:rsidR="00167EE0">
        <w:t xml:space="preserve"> </w:t>
      </w:r>
      <w:r w:rsidR="002F69F9">
        <w:t>in the following way:</w:t>
      </w:r>
    </w:p>
    <w:p w14:paraId="09348939" w14:textId="5851D8FD" w:rsidR="002F69F9" w:rsidRDefault="002F69F9" w:rsidP="00A4777A">
      <w:pPr>
        <w:pStyle w:val="Quote1"/>
        <w:numPr>
          <w:ilvl w:val="0"/>
          <w:numId w:val="26"/>
        </w:numPr>
        <w:ind w:left="1276" w:hanging="567"/>
      </w:pPr>
      <w:r>
        <w:t xml:space="preserve">A person has intention </w:t>
      </w:r>
      <w:r w:rsidRPr="002F69F9">
        <w:rPr>
          <w:b/>
          <w:bCs/>
        </w:rPr>
        <w:t>with respect to conduct</w:t>
      </w:r>
      <w:r>
        <w:t xml:space="preserve"> if he or she </w:t>
      </w:r>
      <w:r w:rsidRPr="002F69F9">
        <w:rPr>
          <w:b/>
          <w:bCs/>
        </w:rPr>
        <w:t>means to engage in the conduct</w:t>
      </w:r>
      <w:r>
        <w:t>.</w:t>
      </w:r>
    </w:p>
    <w:p w14:paraId="162578F3" w14:textId="77777777" w:rsidR="007A63AB" w:rsidRPr="007A63AB" w:rsidRDefault="002F69F9" w:rsidP="00A4777A">
      <w:pPr>
        <w:pStyle w:val="Quote1"/>
        <w:numPr>
          <w:ilvl w:val="0"/>
          <w:numId w:val="26"/>
        </w:numPr>
        <w:ind w:left="1276" w:hanging="567"/>
      </w:pPr>
      <w:r>
        <w:t xml:space="preserve">A person has intention </w:t>
      </w:r>
      <w:r w:rsidRPr="002F69F9">
        <w:rPr>
          <w:b/>
          <w:bCs/>
        </w:rPr>
        <w:t xml:space="preserve">with respect to </w:t>
      </w:r>
      <w:r w:rsidR="007A63AB">
        <w:rPr>
          <w:b/>
          <w:bCs/>
        </w:rPr>
        <w:t>a circumstance</w:t>
      </w:r>
      <w:r>
        <w:t xml:space="preserve"> if he or she </w:t>
      </w:r>
      <w:r w:rsidR="007A63AB">
        <w:rPr>
          <w:b/>
          <w:bCs/>
        </w:rPr>
        <w:t>believes that it exists or will exists.</w:t>
      </w:r>
    </w:p>
    <w:p w14:paraId="7CA532D8" w14:textId="3578B423" w:rsidR="002F69F9" w:rsidRDefault="007A63AB" w:rsidP="00A4777A">
      <w:pPr>
        <w:pStyle w:val="Quote1"/>
        <w:numPr>
          <w:ilvl w:val="0"/>
          <w:numId w:val="26"/>
        </w:numPr>
        <w:ind w:left="1276" w:hanging="567"/>
      </w:pPr>
      <w:r>
        <w:t xml:space="preserve">A person has intention </w:t>
      </w:r>
      <w:r w:rsidRPr="007A63AB">
        <w:rPr>
          <w:b/>
          <w:bCs/>
        </w:rPr>
        <w:t xml:space="preserve">with respect to a result </w:t>
      </w:r>
      <w:r>
        <w:t xml:space="preserve">if he or she </w:t>
      </w:r>
      <w:r w:rsidRPr="007A63AB">
        <w:rPr>
          <w:b/>
          <w:bCs/>
        </w:rPr>
        <w:t xml:space="preserve">means to </w:t>
      </w:r>
      <w:r>
        <w:rPr>
          <w:b/>
          <w:bCs/>
        </w:rPr>
        <w:t xml:space="preserve">bring it about or is aware that it will occur </w:t>
      </w:r>
      <w:r w:rsidRPr="007A63AB">
        <w:t>in the ordinary course of events.</w:t>
      </w:r>
    </w:p>
    <w:p w14:paraId="6E3A7D9E" w14:textId="02D93620" w:rsidR="00DF6096" w:rsidRDefault="00DF6096" w:rsidP="007301C5">
      <w:pPr>
        <w:pStyle w:val="Quote1"/>
        <w:spacing w:after="240"/>
        <w:ind w:left="0" w:firstLine="709"/>
      </w:pPr>
      <w:r>
        <w:lastRenderedPageBreak/>
        <w:t>(Emphasis added.)</w:t>
      </w:r>
    </w:p>
    <w:p w14:paraId="55C5E20F" w14:textId="35F63129" w:rsidR="00345821" w:rsidRDefault="004D4F78" w:rsidP="000D6D80">
      <w:pPr>
        <w:pStyle w:val="ParaNumbering"/>
      </w:pPr>
      <w:r>
        <w:t xml:space="preserve">Although </w:t>
      </w:r>
      <w:r w:rsidR="00F10EFB">
        <w:t xml:space="preserve">it is </w:t>
      </w:r>
      <w:r>
        <w:t xml:space="preserve">not </w:t>
      </w:r>
      <w:r w:rsidR="00B8170F">
        <w:t>elaborated</w:t>
      </w:r>
      <w:r w:rsidR="008E7EB0">
        <w:t xml:space="preserve"> upon</w:t>
      </w:r>
      <w:r w:rsidR="00F951FA">
        <w:t xml:space="preserve"> </w:t>
      </w:r>
      <w:r>
        <w:t xml:space="preserve">in the </w:t>
      </w:r>
      <w:r w:rsidRPr="00167EE0">
        <w:rPr>
          <w:i/>
          <w:iCs/>
        </w:rPr>
        <w:t>Explanatory Statement</w:t>
      </w:r>
      <w:r>
        <w:t xml:space="preserve">, it may be presumed that the </w:t>
      </w:r>
      <w:r w:rsidR="004D4EF7">
        <w:t xml:space="preserve">decision </w:t>
      </w:r>
      <w:r w:rsidR="00DC6BD1">
        <w:t xml:space="preserve">to incorporate </w:t>
      </w:r>
      <w:r>
        <w:t xml:space="preserve">“knowledge” </w:t>
      </w:r>
      <w:r w:rsidR="00DC6BD1">
        <w:t xml:space="preserve">in the </w:t>
      </w:r>
      <w:r w:rsidR="00DC6BD1" w:rsidRPr="006C66D4">
        <w:rPr>
          <w:i/>
          <w:iCs/>
        </w:rPr>
        <w:t>Coronavirus Determination</w:t>
      </w:r>
      <w:r w:rsidR="00DC6BD1">
        <w:t xml:space="preserve"> </w:t>
      </w:r>
      <w:r w:rsidR="00F7016D">
        <w:t>as the requisite fault element</w:t>
      </w:r>
      <w:r w:rsidR="00DC6BD1">
        <w:t>,</w:t>
      </w:r>
      <w:r w:rsidR="00F7016D">
        <w:t xml:space="preserve"> </w:t>
      </w:r>
      <w:r w:rsidR="00DC6BD1">
        <w:t xml:space="preserve">rather than “intention”, </w:t>
      </w:r>
      <w:r w:rsidR="00F7016D">
        <w:t xml:space="preserve">was intended to </w:t>
      </w:r>
      <w:r w:rsidR="00C405D3">
        <w:t xml:space="preserve">better </w:t>
      </w:r>
      <w:r w:rsidR="00FB29DB">
        <w:t>facilitate the prosecution of offences under ss 674 and 675 by</w:t>
      </w:r>
      <w:r w:rsidR="007A7B91">
        <w:t xml:space="preserve"> </w:t>
      </w:r>
      <w:r w:rsidR="001566EC">
        <w:t xml:space="preserve">only </w:t>
      </w:r>
      <w:r w:rsidR="00FB29DB">
        <w:t xml:space="preserve">requiring proof </w:t>
      </w:r>
      <w:r w:rsidR="007A7B91">
        <w:t xml:space="preserve">of “awareness” of </w:t>
      </w:r>
      <w:r w:rsidR="00E27CEE">
        <w:t xml:space="preserve">the requisite </w:t>
      </w:r>
      <w:r w:rsidR="007A7B91">
        <w:t xml:space="preserve">circumstance </w:t>
      </w:r>
      <w:r w:rsidR="00996376">
        <w:t>or result</w:t>
      </w:r>
      <w:r w:rsidR="007D3E04">
        <w:t>,</w:t>
      </w:r>
      <w:r w:rsidR="00996376">
        <w:t xml:space="preserve"> rather than, for example, subjective belief in the existence of </w:t>
      </w:r>
      <w:r w:rsidR="00E27CEE">
        <w:t>same</w:t>
      </w:r>
      <w:r w:rsidR="001E6A79">
        <w:t>: see</w:t>
      </w:r>
      <w:r w:rsidR="006E4E9A">
        <w:t xml:space="preserve"> </w:t>
      </w:r>
      <w:r w:rsidR="001E6A79" w:rsidRPr="006941F0">
        <w:rPr>
          <w:i/>
          <w:iCs/>
        </w:rPr>
        <w:t xml:space="preserve">R v </w:t>
      </w:r>
      <w:r w:rsidR="001E6A79" w:rsidRPr="006C66D4">
        <w:rPr>
          <w:b/>
          <w:bCs/>
          <w:i/>
          <w:iCs/>
        </w:rPr>
        <w:t>Selim</w:t>
      </w:r>
      <w:r w:rsidR="001E6A79" w:rsidRPr="006941F0">
        <w:t xml:space="preserve"> [2007] NSWSC 362</w:t>
      </w:r>
      <w:r w:rsidR="001E6A79">
        <w:t xml:space="preserve"> at [26].</w:t>
      </w:r>
    </w:p>
    <w:p w14:paraId="199DCFBF" w14:textId="54184066" w:rsidR="001705C6" w:rsidRDefault="001705C6" w:rsidP="000D6D80">
      <w:pPr>
        <w:pStyle w:val="ParaNumbering"/>
      </w:pPr>
      <w:r>
        <w:t>“Rec</w:t>
      </w:r>
      <w:r w:rsidR="00512317">
        <w:t>k</w:t>
      </w:r>
      <w:r>
        <w:t>lessness”</w:t>
      </w:r>
      <w:r w:rsidR="00D775CF">
        <w:t xml:space="preserve"> is defined in s</w:t>
      </w:r>
      <w:r w:rsidR="0001282B">
        <w:t xml:space="preserve"> </w:t>
      </w:r>
      <w:r w:rsidR="005426E7">
        <w:t>5.4</w:t>
      </w:r>
      <w:r w:rsidR="00167EE0">
        <w:t xml:space="preserve"> of the </w:t>
      </w:r>
      <w:r w:rsidR="00167EE0" w:rsidRPr="00167EE0">
        <w:rPr>
          <w:i/>
          <w:iCs/>
        </w:rPr>
        <w:t>Criminal Code</w:t>
      </w:r>
      <w:r w:rsidR="00167EE0">
        <w:t>.</w:t>
      </w:r>
    </w:p>
    <w:p w14:paraId="02D76E23" w14:textId="77777777" w:rsidR="000E152C" w:rsidRDefault="000E152C" w:rsidP="00F7390B">
      <w:pPr>
        <w:pStyle w:val="Quote1"/>
      </w:pPr>
      <w:r>
        <w:t>(1)</w:t>
      </w:r>
      <w:r>
        <w:tab/>
        <w:t xml:space="preserve">A person is reckless with respect </w:t>
      </w:r>
      <w:r w:rsidRPr="00712447">
        <w:rPr>
          <w:b/>
          <w:bCs/>
        </w:rPr>
        <w:t>to a circumstance</w:t>
      </w:r>
      <w:r>
        <w:t xml:space="preserve"> if:</w:t>
      </w:r>
    </w:p>
    <w:p w14:paraId="7800D266" w14:textId="46D80905" w:rsidR="00712447" w:rsidRDefault="000E152C" w:rsidP="003A2BD8">
      <w:pPr>
        <w:pStyle w:val="Quote2"/>
        <w:ind w:left="2160" w:hanging="720"/>
        <w:rPr>
          <w:bCs/>
        </w:rPr>
      </w:pPr>
      <w:r>
        <w:t>(a)</w:t>
      </w:r>
      <w:r>
        <w:tab/>
      </w:r>
      <w:r w:rsidR="00712447">
        <w:t>he or she is</w:t>
      </w:r>
      <w:r w:rsidR="00712447" w:rsidRPr="00134CA5">
        <w:rPr>
          <w:b/>
          <w:bCs/>
        </w:rPr>
        <w:t xml:space="preserve"> aware of a substantial risk that the circumstance exists</w:t>
      </w:r>
      <w:r w:rsidR="00864474">
        <w:t xml:space="preserve"> </w:t>
      </w:r>
      <w:r w:rsidR="00864474">
        <w:rPr>
          <w:bCs/>
        </w:rPr>
        <w:t>or will exist; and</w:t>
      </w:r>
    </w:p>
    <w:p w14:paraId="48DCE708" w14:textId="34C66223" w:rsidR="00864474" w:rsidRDefault="00864474" w:rsidP="003A2BD8">
      <w:pPr>
        <w:pStyle w:val="Quote2"/>
        <w:ind w:left="2160" w:hanging="720"/>
      </w:pPr>
      <w:r>
        <w:rPr>
          <w:bCs/>
        </w:rPr>
        <w:t>(b)</w:t>
      </w:r>
      <w:r w:rsidR="00CE5054">
        <w:rPr>
          <w:bCs/>
        </w:rPr>
        <w:tab/>
        <w:t xml:space="preserve">having regard to the circumstances known to him or her, it is </w:t>
      </w:r>
      <w:r w:rsidR="00CE5054" w:rsidRPr="00134CA5">
        <w:rPr>
          <w:b/>
          <w:bCs/>
        </w:rPr>
        <w:t xml:space="preserve">unjustifiable </w:t>
      </w:r>
      <w:r w:rsidR="008A3F3F" w:rsidRPr="00134CA5">
        <w:rPr>
          <w:b/>
          <w:bCs/>
        </w:rPr>
        <w:t>to take the risk</w:t>
      </w:r>
      <w:r w:rsidR="008A3F3F">
        <w:t>.</w:t>
      </w:r>
    </w:p>
    <w:p w14:paraId="253399D2" w14:textId="06DC4C19" w:rsidR="008A3F3F" w:rsidRDefault="008A3F3F" w:rsidP="008A3F3F">
      <w:pPr>
        <w:pStyle w:val="Quote1"/>
      </w:pPr>
      <w:r>
        <w:t>(2)</w:t>
      </w:r>
      <w:r>
        <w:tab/>
      </w:r>
      <w:r w:rsidR="00B21135">
        <w:t xml:space="preserve">A person is reckless with respect </w:t>
      </w:r>
      <w:r w:rsidR="00B21135">
        <w:rPr>
          <w:b/>
          <w:bCs/>
        </w:rPr>
        <w:t>to a result if:</w:t>
      </w:r>
    </w:p>
    <w:p w14:paraId="31CA6DEF" w14:textId="2AD23398" w:rsidR="00165828" w:rsidRDefault="00165828" w:rsidP="00DD7E96">
      <w:pPr>
        <w:pStyle w:val="Quote2"/>
        <w:ind w:left="2160" w:hanging="720"/>
      </w:pPr>
      <w:r>
        <w:t>(a)</w:t>
      </w:r>
      <w:r>
        <w:tab/>
        <w:t xml:space="preserve">he or she is </w:t>
      </w:r>
      <w:r w:rsidRPr="00DD7E96">
        <w:rPr>
          <w:b/>
          <w:bCs/>
        </w:rPr>
        <w:t>aware of a substantial risk that the result will occur</w:t>
      </w:r>
      <w:r>
        <w:t xml:space="preserve">; and </w:t>
      </w:r>
    </w:p>
    <w:p w14:paraId="34EF77AE" w14:textId="0BA4B68A" w:rsidR="000720A8" w:rsidRDefault="000720A8" w:rsidP="00037A63">
      <w:pPr>
        <w:pStyle w:val="Quote2"/>
        <w:ind w:left="2160" w:hanging="720"/>
        <w:rPr>
          <w:b/>
          <w:bCs/>
        </w:rPr>
      </w:pPr>
      <w:r>
        <w:t>(b)</w:t>
      </w:r>
      <w:r w:rsidR="003A2BD8">
        <w:tab/>
      </w:r>
      <w:r w:rsidR="00BD05CA">
        <w:t xml:space="preserve">having regard to the circumstances known to him or her, </w:t>
      </w:r>
      <w:r w:rsidR="00BD05CA">
        <w:rPr>
          <w:b/>
          <w:bCs/>
        </w:rPr>
        <w:t>it is unjusti</w:t>
      </w:r>
      <w:r w:rsidR="00037A63">
        <w:rPr>
          <w:b/>
          <w:bCs/>
        </w:rPr>
        <w:t>fiable to take the risk.</w:t>
      </w:r>
    </w:p>
    <w:p w14:paraId="74C2A52D" w14:textId="0FD7F85D" w:rsidR="00037A63" w:rsidRDefault="00037A63" w:rsidP="00037A63">
      <w:pPr>
        <w:pStyle w:val="Quote1"/>
      </w:pPr>
      <w:r>
        <w:t>(3)</w:t>
      </w:r>
      <w:r>
        <w:tab/>
      </w:r>
      <w:r w:rsidR="00ED6E15">
        <w:t>The question whether taking a risk is unjustifiable is one of face.</w:t>
      </w:r>
    </w:p>
    <w:p w14:paraId="543AD884" w14:textId="04C85BC1" w:rsidR="00ED6E15" w:rsidRPr="00BD05CA" w:rsidRDefault="00ED6E15" w:rsidP="008D7771">
      <w:pPr>
        <w:pStyle w:val="Quote1"/>
        <w:ind w:left="1440" w:hanging="703"/>
      </w:pPr>
      <w:r>
        <w:t>(4)</w:t>
      </w:r>
      <w:r>
        <w:tab/>
        <w:t xml:space="preserve">If recklessness is a fault element for a physical element of an offence, proof of intention, knowledge or recklessness will satisfy the fault element. </w:t>
      </w:r>
    </w:p>
    <w:p w14:paraId="1DE2FE05" w14:textId="52947E0D" w:rsidR="00312155" w:rsidRDefault="005E0D76" w:rsidP="000E152C">
      <w:pPr>
        <w:pStyle w:val="Quote1"/>
        <w:spacing w:after="240"/>
        <w:ind w:firstLine="703"/>
      </w:pPr>
      <w:r>
        <w:t>(Emphasis added.)</w:t>
      </w:r>
    </w:p>
    <w:p w14:paraId="6437A5F1" w14:textId="284F72A4" w:rsidR="001B2A0E" w:rsidRDefault="00D95785" w:rsidP="000D6D80">
      <w:pPr>
        <w:pStyle w:val="ParaNumbering"/>
      </w:pPr>
      <w:r>
        <w:t xml:space="preserve">As provided in s 5.4(3), </w:t>
      </w:r>
      <w:r w:rsidR="00D515E7">
        <w:t xml:space="preserve">the question of </w:t>
      </w:r>
      <w:r>
        <w:t xml:space="preserve">whether </w:t>
      </w:r>
      <w:r w:rsidR="007D72C9">
        <w:t xml:space="preserve">taking a risk is unjustifiable is </w:t>
      </w:r>
      <w:r w:rsidR="005E0D76">
        <w:t xml:space="preserve">a matter </w:t>
      </w:r>
      <w:r w:rsidR="007D72C9">
        <w:t xml:space="preserve">of fact. </w:t>
      </w:r>
      <w:r w:rsidR="00C33B17">
        <w:t>The concept of “unjustifiable risk” points to the application of an objective standard of reasonableness</w:t>
      </w:r>
      <w:r w:rsidR="002C2F87">
        <w:t xml:space="preserve">, assessed </w:t>
      </w:r>
      <w:proofErr w:type="gramStart"/>
      <w:r w:rsidR="002C2F87">
        <w:t>in light of</w:t>
      </w:r>
      <w:proofErr w:type="gramEnd"/>
      <w:r w:rsidR="002C2F87">
        <w:t xml:space="preserve"> the defendant’s knowledge</w:t>
      </w:r>
      <w:r w:rsidR="005442DF">
        <w:t xml:space="preserve">: see, for example, </w:t>
      </w:r>
      <w:r w:rsidR="003A0471" w:rsidRPr="00EB2D02">
        <w:rPr>
          <w:i/>
          <w:iCs/>
        </w:rPr>
        <w:t>Australian Securities and Investments Commission (ASIC) v Mariner Corp</w:t>
      </w:r>
      <w:r w:rsidR="003A0471">
        <w:t xml:space="preserve"> [2015] FCA 589</w:t>
      </w:r>
      <w:r w:rsidR="002113A3">
        <w:t>; 241 FCR 502</w:t>
      </w:r>
      <w:r w:rsidR="003A0471">
        <w:t xml:space="preserve"> at </w:t>
      </w:r>
      <w:r w:rsidR="005442DF">
        <w:t>[261]</w:t>
      </w:r>
      <w:r w:rsidR="00A074C1">
        <w:t>.</w:t>
      </w:r>
    </w:p>
    <w:p w14:paraId="261BDDB8" w14:textId="07A9255C" w:rsidR="005828DA" w:rsidRDefault="00605D0E" w:rsidP="000D6D80">
      <w:pPr>
        <w:pStyle w:val="ParaNumbering"/>
      </w:pPr>
      <w:r>
        <w:t>It is necessary to understand what</w:t>
      </w:r>
      <w:r w:rsidR="001A2991">
        <w:t xml:space="preserve"> is comprised by</w:t>
      </w:r>
      <w:r w:rsidR="00053282">
        <w:t xml:space="preserve"> </w:t>
      </w:r>
      <w:proofErr w:type="spellStart"/>
      <w:r w:rsidR="00053282">
        <w:t>Holista’s</w:t>
      </w:r>
      <w:proofErr w:type="spellEnd"/>
      <w:r w:rsidR="00053282">
        <w:t xml:space="preserve"> admission of </w:t>
      </w:r>
      <w:r w:rsidR="00B101C0">
        <w:t>being “at least negligent”</w:t>
      </w:r>
      <w:r w:rsidR="00F310EC">
        <w:t>.</w:t>
      </w:r>
      <w:r w:rsidR="00081BA4">
        <w:t xml:space="preserve"> </w:t>
      </w:r>
      <w:proofErr w:type="spellStart"/>
      <w:r w:rsidR="00C8739D">
        <w:t>Holista</w:t>
      </w:r>
      <w:proofErr w:type="spellEnd"/>
      <w:r w:rsidR="00C8739D">
        <w:t xml:space="preserve"> </w:t>
      </w:r>
      <w:r w:rsidR="00FB587A">
        <w:t>admits</w:t>
      </w:r>
      <w:r w:rsidR="00595300">
        <w:t xml:space="preserve"> inter alia</w:t>
      </w:r>
      <w:r w:rsidR="00FB587A">
        <w:t xml:space="preserve"> that</w:t>
      </w:r>
      <w:r w:rsidR="00361E7A">
        <w:t>,</w:t>
      </w:r>
      <w:r w:rsidR="00FB587A">
        <w:t xml:space="preserve"> in the period from 9 April 202</w:t>
      </w:r>
      <w:r w:rsidR="007820DD">
        <w:t>0 (or</w:t>
      </w:r>
      <w:r w:rsidR="00B159A4">
        <w:t xml:space="preserve">, </w:t>
      </w:r>
      <w:r w:rsidR="00595300">
        <w:t>notwithstanding</w:t>
      </w:r>
      <w:r w:rsidR="00B159A4">
        <w:t xml:space="preserve"> </w:t>
      </w:r>
      <w:r w:rsidR="00595300">
        <w:t>the</w:t>
      </w:r>
      <w:r w:rsidR="00B159A4">
        <w:t xml:space="preserve"> finding at paragraph </w:t>
      </w:r>
      <w:r w:rsidR="00B159A4" w:rsidRPr="00EE3D43">
        <w:t>[5</w:t>
      </w:r>
      <w:r w:rsidR="00EE3D43" w:rsidRPr="00EE3D43">
        <w:t>5</w:t>
      </w:r>
      <w:r w:rsidR="00B159A4" w:rsidRPr="00EE3D43">
        <w:t>] a</w:t>
      </w:r>
      <w:r w:rsidR="00B159A4">
        <w:t xml:space="preserve">bove, </w:t>
      </w:r>
      <w:r w:rsidR="007820DD">
        <w:t xml:space="preserve">at least by 22 April </w:t>
      </w:r>
      <w:r w:rsidR="00854E79">
        <w:t>2020</w:t>
      </w:r>
      <w:r w:rsidR="00B159A4">
        <w:t xml:space="preserve"> </w:t>
      </w:r>
      <w:r w:rsidR="007820DD">
        <w:t xml:space="preserve">with respect to </w:t>
      </w:r>
      <w:r w:rsidR="008661E4">
        <w:t xml:space="preserve">the second and third pieces of information) </w:t>
      </w:r>
      <w:r w:rsidR="000F48AA">
        <w:t>to 9 July 2020</w:t>
      </w:r>
      <w:r w:rsidR="005828DA">
        <w:t>:</w:t>
      </w:r>
    </w:p>
    <w:p w14:paraId="71ACF32E" w14:textId="4ECA7629" w:rsidR="00C8739D" w:rsidRDefault="00CF28B1" w:rsidP="00CF28B1">
      <w:pPr>
        <w:pStyle w:val="Quote1"/>
      </w:pPr>
      <w:r w:rsidRPr="00CF28B1">
        <w:t>(a)</w:t>
      </w:r>
      <w:r>
        <w:rPr>
          <w:b/>
          <w:bCs/>
        </w:rPr>
        <w:tab/>
      </w:r>
      <w:r w:rsidR="003F1DD0" w:rsidRPr="001D4FC9">
        <w:rPr>
          <w:b/>
          <w:bCs/>
        </w:rPr>
        <w:t>it was aware</w:t>
      </w:r>
      <w:r w:rsidR="003F1DD0">
        <w:t xml:space="preserve"> of the </w:t>
      </w:r>
      <w:proofErr w:type="gramStart"/>
      <w:r w:rsidR="004D496C">
        <w:t>Non-Disclosed</w:t>
      </w:r>
      <w:proofErr w:type="gramEnd"/>
      <w:r w:rsidR="004D496C">
        <w:t xml:space="preserve"> </w:t>
      </w:r>
      <w:r w:rsidR="00464737">
        <w:t>I</w:t>
      </w:r>
      <w:r w:rsidR="003F1DD0">
        <w:t>nformation;</w:t>
      </w:r>
    </w:p>
    <w:p w14:paraId="69A9D627" w14:textId="2C6A9285" w:rsidR="008E02A1" w:rsidRDefault="00CF28B1" w:rsidP="00CF28B1">
      <w:pPr>
        <w:pStyle w:val="Quote1"/>
      </w:pPr>
      <w:r>
        <w:t xml:space="preserve">(b) </w:t>
      </w:r>
      <w:r>
        <w:tab/>
      </w:r>
      <w:r w:rsidR="008E02A1">
        <w:t xml:space="preserve">the </w:t>
      </w:r>
      <w:r w:rsidR="00F83A28">
        <w:t>Non-Disclosed I</w:t>
      </w:r>
      <w:r w:rsidR="008E02A1">
        <w:t xml:space="preserve">nformation was not generally </w:t>
      </w:r>
      <w:proofErr w:type="gramStart"/>
      <w:r w:rsidR="008E02A1">
        <w:t>available;</w:t>
      </w:r>
      <w:proofErr w:type="gramEnd"/>
    </w:p>
    <w:p w14:paraId="3BE9F7E2" w14:textId="6F6B4BAA" w:rsidR="001B73B0" w:rsidRDefault="00CF28B1" w:rsidP="00CF28B1">
      <w:pPr>
        <w:pStyle w:val="Quote1"/>
        <w:ind w:left="1440" w:hanging="703"/>
      </w:pPr>
      <w:r w:rsidRPr="00CF28B1">
        <w:lastRenderedPageBreak/>
        <w:t>(c)</w:t>
      </w:r>
      <w:r>
        <w:rPr>
          <w:b/>
          <w:bCs/>
        </w:rPr>
        <w:tab/>
      </w:r>
      <w:r w:rsidR="003C1E16" w:rsidRPr="008E02A1">
        <w:rPr>
          <w:b/>
          <w:bCs/>
        </w:rPr>
        <w:t>a reasonable perso</w:t>
      </w:r>
      <w:r w:rsidR="003353F0" w:rsidRPr="008E02A1">
        <w:rPr>
          <w:b/>
          <w:bCs/>
        </w:rPr>
        <w:t>n would expect</w:t>
      </w:r>
      <w:r w:rsidR="00AD41C8">
        <w:rPr>
          <w:b/>
          <w:bCs/>
        </w:rPr>
        <w:t>, if it were generally available,</w:t>
      </w:r>
      <w:r w:rsidR="003353F0">
        <w:t xml:space="preserve"> </w:t>
      </w:r>
      <w:r w:rsidR="00786FAF" w:rsidRPr="004D496C">
        <w:rPr>
          <w:b/>
          <w:bCs/>
        </w:rPr>
        <w:t xml:space="preserve">the </w:t>
      </w:r>
      <w:r w:rsidR="004D496C" w:rsidRPr="004D496C">
        <w:rPr>
          <w:b/>
          <w:bCs/>
        </w:rPr>
        <w:t>Non-Disclosed I</w:t>
      </w:r>
      <w:r w:rsidR="00786FAF" w:rsidRPr="004D496C">
        <w:rPr>
          <w:b/>
          <w:bCs/>
        </w:rPr>
        <w:t>nformation</w:t>
      </w:r>
      <w:r w:rsidR="003353F0" w:rsidRPr="008E02A1">
        <w:rPr>
          <w:b/>
          <w:bCs/>
        </w:rPr>
        <w:t xml:space="preserve"> to </w:t>
      </w:r>
      <w:r w:rsidR="00786FAF" w:rsidRPr="008E02A1">
        <w:rPr>
          <w:b/>
          <w:bCs/>
        </w:rPr>
        <w:t xml:space="preserve">have a </w:t>
      </w:r>
      <w:r w:rsidR="003353F0" w:rsidRPr="008E02A1">
        <w:rPr>
          <w:b/>
          <w:bCs/>
        </w:rPr>
        <w:t xml:space="preserve">material </w:t>
      </w:r>
      <w:r w:rsidR="00786FAF" w:rsidRPr="008E02A1">
        <w:rPr>
          <w:b/>
          <w:bCs/>
        </w:rPr>
        <w:t>effect</w:t>
      </w:r>
      <w:r w:rsidR="00786FAF">
        <w:t xml:space="preserve"> on the value of </w:t>
      </w:r>
      <w:proofErr w:type="spellStart"/>
      <w:r w:rsidR="00786FAF">
        <w:t>Holista’s</w:t>
      </w:r>
      <w:proofErr w:type="spellEnd"/>
      <w:r w:rsidR="00786FAF">
        <w:t xml:space="preserve"> securities</w:t>
      </w:r>
      <w:r w:rsidR="004201DE">
        <w:t xml:space="preserve">. It also admits that it would, or would have been likely to, influence </w:t>
      </w:r>
      <w:r w:rsidR="00DD5AAB">
        <w:t>investors.</w:t>
      </w:r>
    </w:p>
    <w:p w14:paraId="399409E5" w14:textId="0AD31EC1" w:rsidR="00361E7A" w:rsidRDefault="00361E7A" w:rsidP="00EB2D02">
      <w:pPr>
        <w:pStyle w:val="Quote1"/>
        <w:spacing w:after="240"/>
        <w:ind w:left="1440" w:hanging="703"/>
      </w:pPr>
      <w:r>
        <w:t>(Emphasis added.)</w:t>
      </w:r>
    </w:p>
    <w:p w14:paraId="51410800" w14:textId="27A8B9D0" w:rsidR="00271B81" w:rsidRDefault="00E64AA2" w:rsidP="000D6D80">
      <w:pPr>
        <w:pStyle w:val="ParaNumbering"/>
      </w:pPr>
      <w:r>
        <w:t>It</w:t>
      </w:r>
      <w:r w:rsidR="0003509E">
        <w:t xml:space="preserve"> admits that in the period from 26 May 2020 to 9 July 2020 it was at least negligent as to whether the </w:t>
      </w:r>
      <w:r w:rsidR="004D496C">
        <w:t>Non-Disclosed I</w:t>
      </w:r>
      <w:r w:rsidR="0003509E">
        <w:t xml:space="preserve">nformation would, if </w:t>
      </w:r>
      <w:r w:rsidR="004D496C">
        <w:t>it</w:t>
      </w:r>
      <w:r w:rsidR="003A3784">
        <w:t xml:space="preserve"> </w:t>
      </w:r>
      <w:r w:rsidR="0003509E">
        <w:t>w</w:t>
      </w:r>
      <w:r w:rsidR="004904CD">
        <w:t>as</w:t>
      </w:r>
      <w:r w:rsidR="0003509E">
        <w:t xml:space="preserve"> generally</w:t>
      </w:r>
      <w:r w:rsidR="003A3784">
        <w:t xml:space="preserve"> available, have a material effect on the price or value of </w:t>
      </w:r>
      <w:proofErr w:type="spellStart"/>
      <w:r w:rsidR="003A3784">
        <w:t>Holista</w:t>
      </w:r>
      <w:proofErr w:type="spellEnd"/>
      <w:r w:rsidR="003A3784">
        <w:t xml:space="preserve"> </w:t>
      </w:r>
      <w:r w:rsidR="00341E40">
        <w:t>s</w:t>
      </w:r>
      <w:r w:rsidR="003A3784">
        <w:t>ecurities.</w:t>
      </w:r>
      <w:r w:rsidR="00A169AA">
        <w:t xml:space="preserve"> This is an admission as to</w:t>
      </w:r>
      <w:r w:rsidR="00BC149F">
        <w:t xml:space="preserve"> circumstances and result</w:t>
      </w:r>
      <w:r w:rsidR="00296DB4">
        <w:t>s</w:t>
      </w:r>
      <w:r w:rsidR="00BC149F">
        <w:t>, not conduct</w:t>
      </w:r>
      <w:r w:rsidR="00296DB4">
        <w:t>.</w:t>
      </w:r>
      <w:r w:rsidR="00294C88">
        <w:t xml:space="preserve"> </w:t>
      </w:r>
    </w:p>
    <w:p w14:paraId="1312889C" w14:textId="508DD3CF" w:rsidR="00AE13E7" w:rsidRDefault="00AE13E7" w:rsidP="000D6D80">
      <w:pPr>
        <w:pStyle w:val="ParaNumbering"/>
      </w:pPr>
      <w:r>
        <w:t xml:space="preserve">It is uncontroversial </w:t>
      </w:r>
      <w:r w:rsidR="002D4F42">
        <w:t xml:space="preserve">that, as directors or officers of </w:t>
      </w:r>
      <w:proofErr w:type="spellStart"/>
      <w:r w:rsidR="002D4F42">
        <w:t>Holista</w:t>
      </w:r>
      <w:proofErr w:type="spellEnd"/>
      <w:r w:rsidR="002D4F42">
        <w:t xml:space="preserve">, the knowledge of each of Dr </w:t>
      </w:r>
      <w:proofErr w:type="spellStart"/>
      <w:r w:rsidR="002D4F42">
        <w:t>Marnickav</w:t>
      </w:r>
      <w:r w:rsidR="00B15F86">
        <w:t>a</w:t>
      </w:r>
      <w:r w:rsidR="002D4F42">
        <w:t>sagar</w:t>
      </w:r>
      <w:proofErr w:type="spellEnd"/>
      <w:r w:rsidR="00B15F86">
        <w:t xml:space="preserve"> and Mr Tan is to be attributed to </w:t>
      </w:r>
      <w:proofErr w:type="spellStart"/>
      <w:r w:rsidR="00B15F86">
        <w:t>Holista</w:t>
      </w:r>
      <w:proofErr w:type="spellEnd"/>
      <w:r w:rsidR="0030190F">
        <w:t xml:space="preserve"> pursuant to s 769B of the </w:t>
      </w:r>
      <w:r w:rsidR="0030190F" w:rsidRPr="00271B81">
        <w:rPr>
          <w:i/>
          <w:iCs/>
        </w:rPr>
        <w:t>Corporations Act</w:t>
      </w:r>
      <w:r w:rsidR="0030190F">
        <w:t xml:space="preserve">, and </w:t>
      </w:r>
      <w:r w:rsidR="009D3B99">
        <w:t xml:space="preserve">as a matter of common law: </w:t>
      </w:r>
      <w:r w:rsidR="009D3B99" w:rsidRPr="00271B81">
        <w:rPr>
          <w:i/>
          <w:iCs/>
        </w:rPr>
        <w:t xml:space="preserve">Krakowski v </w:t>
      </w:r>
      <w:proofErr w:type="spellStart"/>
      <w:r w:rsidR="009D3B99" w:rsidRPr="00271B81">
        <w:rPr>
          <w:i/>
          <w:iCs/>
        </w:rPr>
        <w:t>Eurolynx</w:t>
      </w:r>
      <w:proofErr w:type="spellEnd"/>
      <w:r w:rsidR="009D3B99" w:rsidRPr="00271B81">
        <w:rPr>
          <w:i/>
          <w:iCs/>
        </w:rPr>
        <w:t xml:space="preserve"> Properties </w:t>
      </w:r>
      <w:r w:rsidR="002837A1" w:rsidRPr="00271B81">
        <w:rPr>
          <w:i/>
          <w:iCs/>
        </w:rPr>
        <w:t>Ltd</w:t>
      </w:r>
      <w:r w:rsidR="002837A1" w:rsidRPr="006941F0">
        <w:t xml:space="preserve"> [1995] HCA 68; 183 CLR 563</w:t>
      </w:r>
      <w:r w:rsidR="002837A1">
        <w:t xml:space="preserve"> at </w:t>
      </w:r>
      <w:r w:rsidR="00E05530">
        <w:t>582-</w:t>
      </w:r>
      <w:r w:rsidR="002837A1">
        <w:t>3</w:t>
      </w:r>
      <w:r w:rsidR="00E05530">
        <w:t>, quoting</w:t>
      </w:r>
      <w:r w:rsidR="00C17E0E">
        <w:t xml:space="preserve"> </w:t>
      </w:r>
      <w:r w:rsidR="005313A5" w:rsidRPr="007301C5">
        <w:rPr>
          <w:i/>
        </w:rPr>
        <w:t>Brambles Holdings Ltd v Carey</w:t>
      </w:r>
      <w:r w:rsidR="005313A5">
        <w:t xml:space="preserve"> (1976) 15 SASR 270 at 279 (Bright J)</w:t>
      </w:r>
      <w:r w:rsidR="002837A1">
        <w:t>.</w:t>
      </w:r>
      <w:r w:rsidR="00B525BD">
        <w:t xml:space="preserve"> </w:t>
      </w:r>
      <w:r w:rsidR="00681A51">
        <w:t>Moreover, k</w:t>
      </w:r>
      <w:r w:rsidR="00B525BD">
        <w:t>nowledge of agents of a corporation</w:t>
      </w:r>
      <w:r w:rsidR="006C790B">
        <w:t xml:space="preserve"> engaged </w:t>
      </w:r>
      <w:r w:rsidR="00681A51">
        <w:t xml:space="preserve">in a transaction can be aggregated to establish </w:t>
      </w:r>
      <w:r w:rsidR="00AA2757">
        <w:t xml:space="preserve">a company’s </w:t>
      </w:r>
      <w:r w:rsidR="00681A51">
        <w:t>state of mind</w:t>
      </w:r>
      <w:r w:rsidR="00AA2757">
        <w:t xml:space="preserve">: </w:t>
      </w:r>
      <w:r w:rsidR="007D3809" w:rsidRPr="007301C5">
        <w:rPr>
          <w:i/>
        </w:rPr>
        <w:t xml:space="preserve">Westpac Banking Corp v Bell Group Ltd (in </w:t>
      </w:r>
      <w:proofErr w:type="spellStart"/>
      <w:r w:rsidR="007D3809" w:rsidRPr="007301C5">
        <w:rPr>
          <w:i/>
        </w:rPr>
        <w:t>liq</w:t>
      </w:r>
      <w:proofErr w:type="spellEnd"/>
      <w:r w:rsidR="007D3809" w:rsidRPr="007301C5">
        <w:rPr>
          <w:i/>
        </w:rPr>
        <w:t>) (No 3)</w:t>
      </w:r>
      <w:r w:rsidR="007D3809">
        <w:t xml:space="preserve"> (2012) 44 WAR 1; [2012] WASCA 157 at [2183]</w:t>
      </w:r>
      <w:proofErr w:type="gramStart"/>
      <w:r w:rsidR="007D3809">
        <w:t>-[</w:t>
      </w:r>
      <w:proofErr w:type="gramEnd"/>
      <w:r w:rsidR="007D3809">
        <w:t>2184], [2187].</w:t>
      </w:r>
    </w:p>
    <w:p w14:paraId="5A9FCD2B" w14:textId="4C0DE8AB" w:rsidR="002236AC" w:rsidRDefault="00F35E9E" w:rsidP="000D6D80">
      <w:pPr>
        <w:pStyle w:val="ParaNumbering"/>
      </w:pPr>
      <w:r>
        <w:t xml:space="preserve">Prior to the enactment of the </w:t>
      </w:r>
      <w:r w:rsidRPr="004B1CA8">
        <w:rPr>
          <w:i/>
          <w:iCs/>
        </w:rPr>
        <w:t>Coronavirus Determination</w:t>
      </w:r>
      <w:r>
        <w:t xml:space="preserve">, </w:t>
      </w:r>
      <w:proofErr w:type="spellStart"/>
      <w:r>
        <w:t>Holista</w:t>
      </w:r>
      <w:proofErr w:type="spellEnd"/>
      <w:r>
        <w:t xml:space="preserve"> was strictly liable </w:t>
      </w:r>
      <w:r w:rsidR="00C51AF8">
        <w:t xml:space="preserve">for any contravention of s 674(2). Nevertheless, its state of mind </w:t>
      </w:r>
      <w:r w:rsidR="00A52478">
        <w:t xml:space="preserve">within that period </w:t>
      </w:r>
      <w:r w:rsidR="00C51AF8">
        <w:t xml:space="preserve">could </w:t>
      </w:r>
      <w:r w:rsidR="004B1CA8">
        <w:t xml:space="preserve">still </w:t>
      </w:r>
      <w:r w:rsidR="00C51AF8">
        <w:t>be relevant</w:t>
      </w:r>
      <w:r w:rsidR="004B1CA8">
        <w:t xml:space="preserve"> to the appropriate penalty.</w:t>
      </w:r>
    </w:p>
    <w:p w14:paraId="3ACE7CEB" w14:textId="2D4867D8" w:rsidR="0078606D" w:rsidRDefault="00B152B2" w:rsidP="000D6D80">
      <w:pPr>
        <w:pStyle w:val="ParaNumbering"/>
      </w:pPr>
      <w:r>
        <w:t xml:space="preserve">From </w:t>
      </w:r>
      <w:r w:rsidR="00A35D1A">
        <w:t xml:space="preserve">26 May 2020, it is necessary to establish not merely that </w:t>
      </w:r>
      <w:proofErr w:type="spellStart"/>
      <w:r w:rsidR="00A35D1A">
        <w:t>Holista</w:t>
      </w:r>
      <w:proofErr w:type="spellEnd"/>
      <w:r w:rsidR="005A1BE2">
        <w:t xml:space="preserve"> failed to notify the ASX of the Non-Disclosed Information, but that it </w:t>
      </w:r>
      <w:r w:rsidR="00C95964">
        <w:t xml:space="preserve">also </w:t>
      </w:r>
      <w:r w:rsidR="005A1BE2">
        <w:t xml:space="preserve">had the requisite state of mind. </w:t>
      </w:r>
      <w:proofErr w:type="spellStart"/>
      <w:r w:rsidR="005A1BE2">
        <w:t>Holista</w:t>
      </w:r>
      <w:proofErr w:type="spellEnd"/>
      <w:r w:rsidR="005A1BE2">
        <w:t xml:space="preserve"> has admitted to negligence. </w:t>
      </w:r>
      <w:r w:rsidR="00DD5AAB">
        <w:t>An admission that it was</w:t>
      </w:r>
      <w:r w:rsidR="00DF78FB">
        <w:t xml:space="preserve"> at least negligent </w:t>
      </w:r>
      <w:r w:rsidR="00222ACA">
        <w:t>as to those matters as from 26 May 2020</w:t>
      </w:r>
      <w:r w:rsidR="002C7C7A">
        <w:t xml:space="preserve"> is to be construed as an admission that </w:t>
      </w:r>
      <w:proofErr w:type="spellStart"/>
      <w:r w:rsidR="00E444BE">
        <w:t>Holista</w:t>
      </w:r>
      <w:proofErr w:type="spellEnd"/>
      <w:r w:rsidR="00E71E11">
        <w:t xml:space="preserve"> </w:t>
      </w:r>
      <w:r w:rsidR="001F1A32">
        <w:t>fell short of the standard required by s</w:t>
      </w:r>
      <w:r w:rsidR="00356607">
        <w:t xml:space="preserve"> 674(2) </w:t>
      </w:r>
      <w:r w:rsidR="003015C3">
        <w:t>to n</w:t>
      </w:r>
      <w:r w:rsidR="002A5051">
        <w:t xml:space="preserve">otify the ASX of the </w:t>
      </w:r>
      <w:r w:rsidR="009405C1">
        <w:t>Non-Disclosed I</w:t>
      </w:r>
      <w:r w:rsidR="002A5051">
        <w:t>nformation</w:t>
      </w:r>
      <w:r w:rsidR="00B21AAB">
        <w:t xml:space="preserve">. </w:t>
      </w:r>
      <w:r w:rsidR="00136B83">
        <w:t>As Professor Bant has pointed out</w:t>
      </w:r>
      <w:r w:rsidR="000F11D3">
        <w:t xml:space="preserve"> </w:t>
      </w:r>
      <w:r w:rsidR="00931F84">
        <w:t>(</w:t>
      </w:r>
      <w:r w:rsidR="000F11D3">
        <w:t xml:space="preserve">Elise Bant, “Modelling Corporate States of Mind through Systems Intentionality” in </w:t>
      </w:r>
      <w:r w:rsidR="00EB0533">
        <w:t>Elise Bant (ed)</w:t>
      </w:r>
      <w:r w:rsidR="00CB23FB">
        <w:t>,</w:t>
      </w:r>
      <w:r w:rsidR="00EB0533">
        <w:t xml:space="preserve"> </w:t>
      </w:r>
      <w:r w:rsidR="00EB0533" w:rsidRPr="00CB23FB">
        <w:rPr>
          <w:i/>
          <w:iCs/>
        </w:rPr>
        <w:t>The Culpable Corporate Mind</w:t>
      </w:r>
      <w:r w:rsidR="00EB0533">
        <w:t xml:space="preserve"> </w:t>
      </w:r>
      <w:r w:rsidR="0003250F">
        <w:t>(Hart, 2023)</w:t>
      </w:r>
      <w:r w:rsidR="005C0EE4">
        <w:t xml:space="preserve"> </w:t>
      </w:r>
      <w:r w:rsidR="0003250F">
        <w:t xml:space="preserve">231 at </w:t>
      </w:r>
      <w:r w:rsidR="008D0582">
        <w:t>24</w:t>
      </w:r>
      <w:r w:rsidR="00CB23FB">
        <w:t>1</w:t>
      </w:r>
      <w:r w:rsidR="00931F84">
        <w:t>)</w:t>
      </w:r>
      <w:r w:rsidR="008D0582">
        <w:t>:</w:t>
      </w:r>
    </w:p>
    <w:p w14:paraId="7DDF5211" w14:textId="13CD7F19" w:rsidR="00882C13" w:rsidRDefault="0005169E" w:rsidP="000F36C1">
      <w:pPr>
        <w:pStyle w:val="Quote1"/>
      </w:pPr>
      <w:r>
        <w:t>Negligence is a standard that may apply to conduct</w:t>
      </w:r>
      <w:r w:rsidR="00212807">
        <w:t xml:space="preserve"> </w:t>
      </w:r>
      <w:r w:rsidR="00212807" w:rsidRPr="00815534">
        <w:rPr>
          <w:b/>
          <w:bCs/>
        </w:rPr>
        <w:t>and</w:t>
      </w:r>
      <w:r w:rsidR="00212807">
        <w:t>, indeed</w:t>
      </w:r>
      <w:r w:rsidR="00EF02A2">
        <w:t xml:space="preserve">, </w:t>
      </w:r>
      <w:r w:rsidR="00EF02A2" w:rsidRPr="00815534">
        <w:rPr>
          <w:b/>
          <w:bCs/>
        </w:rPr>
        <w:t>to states of mind</w:t>
      </w:r>
      <w:r w:rsidR="00EF02A2">
        <w:t xml:space="preserve">. Consistently, a person may breach that same standard through conduct </w:t>
      </w:r>
      <w:proofErr w:type="gramStart"/>
      <w:r w:rsidR="00EF02A2">
        <w:t>so as to</w:t>
      </w:r>
      <w:proofErr w:type="gramEnd"/>
      <w:r w:rsidR="00EF02A2">
        <w:t xml:space="preserve"> attract liability in negligence without any mental state at </w:t>
      </w:r>
      <w:r w:rsidR="003F198E">
        <w:t xml:space="preserve">all. Advertent or inadvertent conduct may both count as negligent: the </w:t>
      </w:r>
      <w:proofErr w:type="gramStart"/>
      <w:r w:rsidR="003F198E">
        <w:t>main focus</w:t>
      </w:r>
      <w:proofErr w:type="gramEnd"/>
      <w:r w:rsidR="003F198E">
        <w:t xml:space="preserve"> o</w:t>
      </w:r>
      <w:r w:rsidR="006B74B5">
        <w:t>f</w:t>
      </w:r>
      <w:r w:rsidR="003F198E">
        <w:t xml:space="preserve"> the law is </w:t>
      </w:r>
      <w:r w:rsidR="006B74B5">
        <w:t xml:space="preserve">on </w:t>
      </w:r>
      <w:r w:rsidR="003F198E">
        <w:t xml:space="preserve">whether the defendant’s </w:t>
      </w:r>
      <w:r w:rsidR="009F757A">
        <w:t>conduct breached the required standard.</w:t>
      </w:r>
    </w:p>
    <w:p w14:paraId="646097EA" w14:textId="2620F825" w:rsidR="00931F84" w:rsidRDefault="00931F84" w:rsidP="000F36C1">
      <w:pPr>
        <w:pStyle w:val="Quote1"/>
      </w:pPr>
      <w:r>
        <w:t>(Emphasis added.)</w:t>
      </w:r>
    </w:p>
    <w:p w14:paraId="4EDFF512" w14:textId="10118740" w:rsidR="0023579C" w:rsidRDefault="00D86331" w:rsidP="000D6D80">
      <w:pPr>
        <w:pStyle w:val="ParaNumbering"/>
      </w:pPr>
      <w:r>
        <w:t xml:space="preserve">As to whether </w:t>
      </w:r>
      <w:proofErr w:type="spellStart"/>
      <w:r>
        <w:t>Holista</w:t>
      </w:r>
      <w:proofErr w:type="spellEnd"/>
      <w:r>
        <w:t xml:space="preserve"> </w:t>
      </w:r>
      <w:r w:rsidR="003224CE" w:rsidRPr="00161D80">
        <w:rPr>
          <w:i/>
          <w:iCs/>
        </w:rPr>
        <w:t>knew</w:t>
      </w:r>
      <w:r w:rsidR="003224CE">
        <w:t xml:space="preserve"> </w:t>
      </w:r>
      <w:r w:rsidR="009300E4">
        <w:t xml:space="preserve">the relevant information </w:t>
      </w:r>
      <w:r w:rsidR="003C3422">
        <w:t>would have a material effect on the price of its</w:t>
      </w:r>
      <w:r w:rsidR="003C3422" w:rsidDel="003E7370">
        <w:t xml:space="preserve"> shares</w:t>
      </w:r>
      <w:r w:rsidR="00020027">
        <w:t xml:space="preserve">, </w:t>
      </w:r>
      <w:r w:rsidR="00936493">
        <w:t xml:space="preserve">the incorporation of the </w:t>
      </w:r>
      <w:r w:rsidR="00936493" w:rsidRPr="00A55174">
        <w:rPr>
          <w:i/>
          <w:iCs/>
        </w:rPr>
        <w:t>Criminal Code</w:t>
      </w:r>
      <w:r w:rsidR="009405C1">
        <w:t xml:space="preserve"> </w:t>
      </w:r>
      <w:r w:rsidR="00936493">
        <w:t xml:space="preserve">definition of </w:t>
      </w:r>
      <w:r w:rsidR="009405C1">
        <w:t>“</w:t>
      </w:r>
      <w:r w:rsidR="00936493">
        <w:t>knowledge</w:t>
      </w:r>
      <w:r w:rsidR="009405C1">
        <w:t>”</w:t>
      </w:r>
      <w:r w:rsidR="00EE4258">
        <w:t xml:space="preserve"> should be </w:t>
      </w:r>
      <w:r w:rsidR="00EE4258">
        <w:lastRenderedPageBreak/>
        <w:t>construed as</w:t>
      </w:r>
      <w:r w:rsidR="00936493">
        <w:t xml:space="preserve"> </w:t>
      </w:r>
      <w:r w:rsidR="00153094">
        <w:t>displac</w:t>
      </w:r>
      <w:r w:rsidR="000A15EC">
        <w:t xml:space="preserve">ing </w:t>
      </w:r>
      <w:r w:rsidR="00153094">
        <w:t xml:space="preserve">the usual classification of </w:t>
      </w:r>
      <w:r w:rsidR="009405C1">
        <w:t xml:space="preserve">types of </w:t>
      </w:r>
      <w:r w:rsidR="00153094">
        <w:t>knowledge for the purposes of civil liability</w:t>
      </w:r>
      <w:r w:rsidR="009405C1">
        <w:t>,</w:t>
      </w:r>
      <w:r w:rsidR="00153094">
        <w:t xml:space="preserve"> </w:t>
      </w:r>
      <w:r w:rsidR="00D513C7">
        <w:t xml:space="preserve">as set out in </w:t>
      </w:r>
      <w:r w:rsidR="00D513C7" w:rsidRPr="006941F0">
        <w:rPr>
          <w:b/>
          <w:bCs/>
          <w:i/>
          <w:iCs/>
        </w:rPr>
        <w:t xml:space="preserve">Baden </w:t>
      </w:r>
      <w:r w:rsidR="00D513C7" w:rsidRPr="00076A62">
        <w:rPr>
          <w:i/>
        </w:rPr>
        <w:t>Delvaux</w:t>
      </w:r>
      <w:r w:rsidR="00D513C7" w:rsidRPr="006941F0">
        <w:rPr>
          <w:i/>
          <w:iCs/>
        </w:rPr>
        <w:t xml:space="preserve"> &amp; </w:t>
      </w:r>
      <w:proofErr w:type="spellStart"/>
      <w:r w:rsidR="00D513C7" w:rsidRPr="006941F0">
        <w:rPr>
          <w:i/>
          <w:iCs/>
        </w:rPr>
        <w:t>Lecuit</w:t>
      </w:r>
      <w:proofErr w:type="spellEnd"/>
      <w:r w:rsidR="00D513C7" w:rsidRPr="006941F0">
        <w:rPr>
          <w:i/>
          <w:iCs/>
        </w:rPr>
        <w:t xml:space="preserve"> v Société </w:t>
      </w:r>
      <w:r w:rsidR="003878E2" w:rsidRPr="006941F0">
        <w:rPr>
          <w:i/>
          <w:iCs/>
        </w:rPr>
        <w:t xml:space="preserve">Générale pour </w:t>
      </w:r>
      <w:proofErr w:type="spellStart"/>
      <w:r w:rsidR="003878E2" w:rsidRPr="006941F0">
        <w:rPr>
          <w:i/>
          <w:iCs/>
        </w:rPr>
        <w:t>Favoriser</w:t>
      </w:r>
      <w:proofErr w:type="spellEnd"/>
      <w:r w:rsidR="003878E2" w:rsidRPr="006941F0">
        <w:rPr>
          <w:i/>
          <w:iCs/>
        </w:rPr>
        <w:t xml:space="preserve"> le </w:t>
      </w:r>
      <w:proofErr w:type="spellStart"/>
      <w:r w:rsidR="003878E2" w:rsidRPr="006941F0">
        <w:rPr>
          <w:i/>
          <w:iCs/>
        </w:rPr>
        <w:t>Dévelop</w:t>
      </w:r>
      <w:r w:rsidR="00893D7F" w:rsidRPr="006941F0">
        <w:rPr>
          <w:i/>
          <w:iCs/>
        </w:rPr>
        <w:t>pement</w:t>
      </w:r>
      <w:proofErr w:type="spellEnd"/>
      <w:r w:rsidR="00893D7F" w:rsidRPr="006941F0">
        <w:rPr>
          <w:i/>
          <w:iCs/>
        </w:rPr>
        <w:t xml:space="preserve"> du Commerce at de </w:t>
      </w:r>
      <w:proofErr w:type="spellStart"/>
      <w:r w:rsidR="00893D7F" w:rsidRPr="006941F0">
        <w:rPr>
          <w:i/>
          <w:iCs/>
        </w:rPr>
        <w:t>l’Industrie</w:t>
      </w:r>
      <w:proofErr w:type="spellEnd"/>
      <w:r w:rsidR="00893D7F" w:rsidRPr="006941F0">
        <w:rPr>
          <w:i/>
          <w:iCs/>
        </w:rPr>
        <w:t xml:space="preserve"> </w:t>
      </w:r>
      <w:proofErr w:type="spellStart"/>
      <w:r w:rsidR="00893D7F" w:rsidRPr="006941F0">
        <w:rPr>
          <w:i/>
          <w:iCs/>
        </w:rPr>
        <w:t>en</w:t>
      </w:r>
      <w:proofErr w:type="spellEnd"/>
      <w:r w:rsidR="00893D7F" w:rsidRPr="006941F0">
        <w:rPr>
          <w:i/>
          <w:iCs/>
        </w:rPr>
        <w:t xml:space="preserve"> France SA</w:t>
      </w:r>
      <w:r w:rsidR="00893D7F" w:rsidRPr="006941F0">
        <w:t xml:space="preserve"> [199</w:t>
      </w:r>
      <w:r w:rsidR="00CF27B0" w:rsidRPr="006941F0">
        <w:t>2] 4 All ER 16</w:t>
      </w:r>
      <w:r w:rsidR="00E86A78" w:rsidRPr="006941F0">
        <w:t>1, 235, 242-43</w:t>
      </w:r>
      <w:r w:rsidR="00E86A78">
        <w:t xml:space="preserve">. </w:t>
      </w:r>
      <w:r w:rsidR="002866D2">
        <w:t>Consequently,</w:t>
      </w:r>
      <w:r w:rsidR="00626AF0">
        <w:t xml:space="preserve"> what must be established is the first</w:t>
      </w:r>
      <w:r w:rsidR="00DB644F">
        <w:t xml:space="preserve"> of the five</w:t>
      </w:r>
      <w:r w:rsidR="00626AF0">
        <w:t xml:space="preserve"> </w:t>
      </w:r>
      <w:r w:rsidR="00626AF0" w:rsidRPr="00DB644F">
        <w:rPr>
          <w:i/>
          <w:iCs/>
        </w:rPr>
        <w:t xml:space="preserve">Baden </w:t>
      </w:r>
      <w:r w:rsidR="00DB644F">
        <w:t>categories – actual knowledge</w:t>
      </w:r>
      <w:r w:rsidR="00C46219">
        <w:t xml:space="preserve"> – </w:t>
      </w:r>
      <w:r w:rsidR="00F754F1">
        <w:t xml:space="preserve">with </w:t>
      </w:r>
      <w:r w:rsidR="00C46219">
        <w:t xml:space="preserve">the other categories being </w:t>
      </w:r>
      <w:r w:rsidR="00630B0F">
        <w:t>wilful</w:t>
      </w:r>
      <w:r w:rsidR="00C46219">
        <w:t xml:space="preserve"> blindness; </w:t>
      </w:r>
      <w:r w:rsidR="00630B0F">
        <w:t>wilfully</w:t>
      </w:r>
      <w:r w:rsidR="00C46219">
        <w:t xml:space="preserve"> and recklessly failing to </w:t>
      </w:r>
      <w:r w:rsidR="00630B0F">
        <w:t>undertake such inquires as would a</w:t>
      </w:r>
      <w:r w:rsidR="00445D0B">
        <w:t xml:space="preserve">n </w:t>
      </w:r>
      <w:r w:rsidR="00630B0F">
        <w:t>honest</w:t>
      </w:r>
      <w:r w:rsidR="00445D0B">
        <w:t xml:space="preserve"> and reasonable</w:t>
      </w:r>
      <w:r w:rsidR="00630B0F">
        <w:t xml:space="preserve"> person</w:t>
      </w:r>
      <w:r w:rsidR="00445D0B">
        <w:t>; knowledge of circumstances that would indicate the facts to an honest and reasonable person; and knowledge of circumstances that would put a reasonable person on inquiry</w:t>
      </w:r>
      <w:r w:rsidR="00F754F1">
        <w:t xml:space="preserve">: see </w:t>
      </w:r>
      <w:r w:rsidR="00F754F1" w:rsidRPr="00076A62">
        <w:rPr>
          <w:i/>
        </w:rPr>
        <w:t>Baden</w:t>
      </w:r>
      <w:r w:rsidR="00F754F1">
        <w:t xml:space="preserve"> at [250]</w:t>
      </w:r>
      <w:r w:rsidR="00445D0B">
        <w:t>.</w:t>
      </w:r>
      <w:r w:rsidR="00C0124A">
        <w:t xml:space="preserve"> In</w:t>
      </w:r>
      <w:r w:rsidR="00C0124A" w:rsidRPr="006941F0">
        <w:rPr>
          <w:i/>
          <w:iCs/>
        </w:rPr>
        <w:t xml:space="preserve"> Selim</w:t>
      </w:r>
      <w:r w:rsidR="00CF2E93" w:rsidRPr="006941F0">
        <w:t xml:space="preserve"> </w:t>
      </w:r>
      <w:r w:rsidR="00CF2E93">
        <w:t>at [26]</w:t>
      </w:r>
      <w:r w:rsidR="0023579C">
        <w:t>, Fullerton J explained that:</w:t>
      </w:r>
    </w:p>
    <w:p w14:paraId="4621A5A6" w14:textId="2C258020" w:rsidR="00DB644F" w:rsidRDefault="00421932" w:rsidP="000C0E3B">
      <w:pPr>
        <w:pStyle w:val="Quote1"/>
      </w:pPr>
      <w:r>
        <w:t xml:space="preserve">Where knowledge as to a </w:t>
      </w:r>
      <w:proofErr w:type="gramStart"/>
      <w:r>
        <w:t>state</w:t>
      </w:r>
      <w:r w:rsidR="0078357E">
        <w:t xml:space="preserve"> of affairs</w:t>
      </w:r>
      <w:proofErr w:type="gramEnd"/>
      <w:r w:rsidR="0078357E">
        <w:t xml:space="preserve"> might be taken to include a belief as to the existence </w:t>
      </w:r>
      <w:r w:rsidR="002C77F3">
        <w:t xml:space="preserve">of that state of affairs under the </w:t>
      </w:r>
      <w:r w:rsidR="002C77F3" w:rsidRPr="00A72CD8">
        <w:rPr>
          <w:i/>
          <w:iCs/>
        </w:rPr>
        <w:t>Queensland Code</w:t>
      </w:r>
      <w:r w:rsidR="002C77F3">
        <w:t xml:space="preserve"> or at common law, this is not the position under the Code.</w:t>
      </w:r>
      <w:r w:rsidR="00A72CD8">
        <w:t xml:space="preserve"> </w:t>
      </w:r>
      <w:r w:rsidR="0023579C" w:rsidRPr="000C0E3B">
        <w:rPr>
          <w:b/>
          <w:bCs/>
        </w:rPr>
        <w:t xml:space="preserve">The definition of knowledge in s 5.3 of the </w:t>
      </w:r>
      <w:r w:rsidR="0023579C" w:rsidRPr="000C0E3B">
        <w:rPr>
          <w:b/>
          <w:bCs/>
          <w:i/>
          <w:iCs/>
        </w:rPr>
        <w:t>Criminal Code</w:t>
      </w:r>
      <w:r w:rsidR="0023579C" w:rsidRPr="000C0E3B">
        <w:rPr>
          <w:b/>
          <w:bCs/>
        </w:rPr>
        <w:t xml:space="preserve"> eschews belief and imposes a more </w:t>
      </w:r>
      <w:r w:rsidR="00A72CD8" w:rsidRPr="000C0E3B">
        <w:rPr>
          <w:b/>
          <w:bCs/>
        </w:rPr>
        <w:t>exacting standard of conscious awareness</w:t>
      </w:r>
      <w:r w:rsidR="00A72CD8">
        <w:t>.</w:t>
      </w:r>
      <w:r w:rsidR="00CF2E93">
        <w:t xml:space="preserve"> </w:t>
      </w:r>
    </w:p>
    <w:p w14:paraId="2E2B60E0" w14:textId="12FA1B21" w:rsidR="000C0E3B" w:rsidRDefault="000C0E3B" w:rsidP="00076A62">
      <w:pPr>
        <w:pStyle w:val="Quote1"/>
        <w:spacing w:after="240"/>
      </w:pPr>
      <w:r>
        <w:t>(Emphasis added.)</w:t>
      </w:r>
    </w:p>
    <w:p w14:paraId="09FCE419" w14:textId="139C8871" w:rsidR="00A30628" w:rsidRDefault="00DF50D4" w:rsidP="000D6D80">
      <w:pPr>
        <w:pStyle w:val="ParaNumbering"/>
      </w:pPr>
      <w:r>
        <w:t xml:space="preserve">Similarly, with respect to the definition of “recklessness” in the </w:t>
      </w:r>
      <w:r w:rsidRPr="003776F3">
        <w:rPr>
          <w:i/>
          <w:iCs/>
        </w:rPr>
        <w:t>Criminal Code</w:t>
      </w:r>
      <w:r>
        <w:t>, it is not sufficient for ASIC to establish</w:t>
      </w:r>
      <w:r w:rsidR="00CE68B4">
        <w:t xml:space="preserve"> that the relevant risk was </w:t>
      </w:r>
      <w:r w:rsidR="001C7B6F">
        <w:t xml:space="preserve">simply </w:t>
      </w:r>
      <w:r w:rsidR="00CE68B4">
        <w:t>obvious or well know</w:t>
      </w:r>
      <w:r w:rsidR="001C7B6F">
        <w:t>n</w:t>
      </w:r>
      <w:r w:rsidR="00CE68B4">
        <w:t>.</w:t>
      </w:r>
      <w:r w:rsidR="00E96980">
        <w:t xml:space="preserve"> Conscious awareness of the </w:t>
      </w:r>
      <w:r w:rsidR="006B4ACD">
        <w:t xml:space="preserve">substantial </w:t>
      </w:r>
      <w:r w:rsidR="00E96980">
        <w:t>risk is required:</w:t>
      </w:r>
      <w:r w:rsidR="006B4ACD">
        <w:t xml:space="preserve"> </w:t>
      </w:r>
      <w:r w:rsidR="006B4ACD" w:rsidRPr="006941F0">
        <w:rPr>
          <w:b/>
          <w:bCs/>
          <w:i/>
          <w:iCs/>
        </w:rPr>
        <w:t>Hann</w:t>
      </w:r>
      <w:r w:rsidR="006B4ACD" w:rsidRPr="006941F0">
        <w:rPr>
          <w:i/>
          <w:iCs/>
        </w:rPr>
        <w:t xml:space="preserve"> v Commonwealth</w:t>
      </w:r>
      <w:r w:rsidR="00A75121" w:rsidRPr="006941F0">
        <w:rPr>
          <w:i/>
          <w:iCs/>
        </w:rPr>
        <w:t xml:space="preserve"> of Australia</w:t>
      </w:r>
      <w:r w:rsidR="00A75121" w:rsidRPr="006941F0">
        <w:t xml:space="preserve"> [2004] SASC 86; 88 SASR 99</w:t>
      </w:r>
      <w:r w:rsidR="00A75121">
        <w:t xml:space="preserve"> at [26]; </w:t>
      </w:r>
      <w:r w:rsidR="00A75121" w:rsidRPr="006941F0">
        <w:rPr>
          <w:i/>
          <w:iCs/>
        </w:rPr>
        <w:t>R</w:t>
      </w:r>
      <w:r w:rsidR="00A2396C" w:rsidRPr="006941F0">
        <w:rPr>
          <w:i/>
          <w:iCs/>
        </w:rPr>
        <w:t xml:space="preserve"> v Alif, Amin and </w:t>
      </w:r>
      <w:proofErr w:type="spellStart"/>
      <w:r w:rsidR="00A2396C" w:rsidRPr="006941F0">
        <w:rPr>
          <w:i/>
          <w:iCs/>
        </w:rPr>
        <w:t>Zolmin</w:t>
      </w:r>
      <w:proofErr w:type="spellEnd"/>
      <w:r w:rsidR="00A2396C" w:rsidRPr="006941F0">
        <w:t xml:space="preserve"> [2012] QCA</w:t>
      </w:r>
      <w:r w:rsidR="00A67AAC" w:rsidRPr="006941F0">
        <w:t xml:space="preserve"> 355; [2013] 2 </w:t>
      </w:r>
      <w:proofErr w:type="spellStart"/>
      <w:r w:rsidR="00A67AAC" w:rsidRPr="006941F0">
        <w:t>Qd</w:t>
      </w:r>
      <w:proofErr w:type="spellEnd"/>
      <w:r w:rsidR="00A67AAC" w:rsidRPr="006941F0">
        <w:t xml:space="preserve"> R 140</w:t>
      </w:r>
      <w:r w:rsidR="00A67AAC">
        <w:t xml:space="preserve"> at [68].</w:t>
      </w:r>
      <w:r w:rsidR="00A75121">
        <w:t xml:space="preserve"> </w:t>
      </w:r>
      <w:r w:rsidR="00A2396C">
        <w:t xml:space="preserve"> </w:t>
      </w:r>
    </w:p>
    <w:p w14:paraId="39C3995D" w14:textId="50DDC69B" w:rsidR="00C56F3F" w:rsidRDefault="00726884" w:rsidP="000D6D80">
      <w:pPr>
        <w:pStyle w:val="ParaNumbering"/>
      </w:pPr>
      <w:r>
        <w:t xml:space="preserve">ASIC </w:t>
      </w:r>
      <w:r w:rsidR="00BC75EB">
        <w:t>sub</w:t>
      </w:r>
      <w:r w:rsidR="00985CF5">
        <w:t>mits that the evidence e</w:t>
      </w:r>
      <w:r w:rsidR="00774447">
        <w:t xml:space="preserve">nables a finding that </w:t>
      </w:r>
      <w:proofErr w:type="spellStart"/>
      <w:r w:rsidR="00774447">
        <w:t>Holista</w:t>
      </w:r>
      <w:proofErr w:type="spellEnd"/>
      <w:r w:rsidR="00774447">
        <w:t xml:space="preserve"> knew</w:t>
      </w:r>
      <w:r w:rsidR="00A723BC">
        <w:t>,</w:t>
      </w:r>
      <w:r w:rsidR="00774447">
        <w:t xml:space="preserve"> or was reckless as to</w:t>
      </w:r>
      <w:r w:rsidR="00A723BC">
        <w:t>,</w:t>
      </w:r>
      <w:r w:rsidR="00774447">
        <w:t xml:space="preserve"> the materiality </w:t>
      </w:r>
      <w:r w:rsidR="001C3110">
        <w:t xml:space="preserve">of the </w:t>
      </w:r>
      <w:r w:rsidR="00A723BC">
        <w:t>Non-Disclosed I</w:t>
      </w:r>
      <w:r w:rsidR="001C3110">
        <w:t xml:space="preserve">nformation. </w:t>
      </w:r>
      <w:r w:rsidR="00F871AF">
        <w:t xml:space="preserve">ASIC </w:t>
      </w:r>
      <w:r w:rsidR="0097536D">
        <w:t xml:space="preserve">referred first </w:t>
      </w:r>
      <w:r w:rsidR="00F871AF">
        <w:t xml:space="preserve">to </w:t>
      </w:r>
      <w:r w:rsidR="008E231E">
        <w:t xml:space="preserve">the 9 April 2020 Announcement, </w:t>
      </w:r>
      <w:r w:rsidR="00AF7DD8">
        <w:t>and</w:t>
      </w:r>
      <w:r w:rsidR="008E231E">
        <w:t xml:space="preserve"> submit</w:t>
      </w:r>
      <w:r w:rsidR="0097536D">
        <w:t>ted</w:t>
      </w:r>
      <w:r w:rsidR="0061297E">
        <w:t xml:space="preserve"> </w:t>
      </w:r>
      <w:proofErr w:type="spellStart"/>
      <w:r w:rsidR="007F1B32">
        <w:t>Holista’s</w:t>
      </w:r>
      <w:proofErr w:type="spellEnd"/>
      <w:r w:rsidR="007F1B32">
        <w:t xml:space="preserve"> decision</w:t>
      </w:r>
      <w:r w:rsidR="00AF7DD8">
        <w:t xml:space="preserve"> </w:t>
      </w:r>
      <w:r w:rsidR="007F1B32">
        <w:t xml:space="preserve">to make the announcement was </w:t>
      </w:r>
      <w:r w:rsidR="00266B5E">
        <w:t xml:space="preserve">due to its knowledge that </w:t>
      </w:r>
      <w:r w:rsidR="00577A16">
        <w:t>such an announcement would receive market interest</w:t>
      </w:r>
      <w:r w:rsidR="007E6111">
        <w:t>.</w:t>
      </w:r>
      <w:r w:rsidR="0097536D">
        <w:t xml:space="preserve"> </w:t>
      </w:r>
      <w:r w:rsidR="00915C81">
        <w:t>I accept that</w:t>
      </w:r>
      <w:r w:rsidR="00AE27D0">
        <w:t xml:space="preserve"> the only logical inference to be drawn from </w:t>
      </w:r>
      <w:r w:rsidR="002A6041">
        <w:t xml:space="preserve">that </w:t>
      </w:r>
      <w:r w:rsidR="00AE27D0">
        <w:t xml:space="preserve">announcement is that </w:t>
      </w:r>
      <w:proofErr w:type="spellStart"/>
      <w:r w:rsidR="00AE27D0">
        <w:t>Holista</w:t>
      </w:r>
      <w:proofErr w:type="spellEnd"/>
      <w:r w:rsidR="00AE27D0">
        <w:t xml:space="preserve"> knew </w:t>
      </w:r>
      <w:r w:rsidR="00572168">
        <w:t>that</w:t>
      </w:r>
      <w:r w:rsidR="00AE27D0">
        <w:t xml:space="preserve"> the market</w:t>
      </w:r>
      <w:r w:rsidR="00572168">
        <w:t xml:space="preserve"> was likely to respond to </w:t>
      </w:r>
      <w:r w:rsidR="00851815">
        <w:t xml:space="preserve">such </w:t>
      </w:r>
      <w:r w:rsidR="00572168">
        <w:t>a “good news” story</w:t>
      </w:r>
      <w:r w:rsidR="00AE27D0">
        <w:t>.</w:t>
      </w:r>
    </w:p>
    <w:p w14:paraId="666AD33F" w14:textId="4A4F3CBD" w:rsidR="008D301C" w:rsidRDefault="0097536D" w:rsidP="000D6D80">
      <w:pPr>
        <w:pStyle w:val="ParaNumbering"/>
      </w:pPr>
      <w:r>
        <w:t>Secondly</w:t>
      </w:r>
      <w:r w:rsidR="00DD6131">
        <w:t>, the</w:t>
      </w:r>
      <w:r w:rsidR="008A3EA3">
        <w:t xml:space="preserve"> </w:t>
      </w:r>
      <w:r w:rsidR="00DD6131">
        <w:t>orders announced represented</w:t>
      </w:r>
      <w:r w:rsidR="0047451E">
        <w:t xml:space="preserve"> more than 50% of </w:t>
      </w:r>
      <w:proofErr w:type="spellStart"/>
      <w:r w:rsidR="00D913DD">
        <w:t>Holista’s</w:t>
      </w:r>
      <w:proofErr w:type="spellEnd"/>
      <w:r w:rsidR="00D913DD">
        <w:t xml:space="preserve"> revenue from the </w:t>
      </w:r>
      <w:r w:rsidR="0047451E">
        <w:t>previous financial year</w:t>
      </w:r>
      <w:r w:rsidR="00C07640">
        <w:t xml:space="preserve">. </w:t>
      </w:r>
      <w:r w:rsidR="00C8651A">
        <w:t>I infer that t</w:t>
      </w:r>
      <w:r w:rsidR="001A3594">
        <w:t xml:space="preserve">he significance of the increase in revenue </w:t>
      </w:r>
      <w:r w:rsidR="00C8651A">
        <w:t xml:space="preserve">would have </w:t>
      </w:r>
      <w:r w:rsidR="009076D2">
        <w:t xml:space="preserve">been known to </w:t>
      </w:r>
      <w:proofErr w:type="spellStart"/>
      <w:r w:rsidR="009076D2">
        <w:t>Holista</w:t>
      </w:r>
      <w:proofErr w:type="spellEnd"/>
      <w:r w:rsidR="009076D2">
        <w:t>.</w:t>
      </w:r>
      <w:r w:rsidR="00555953">
        <w:t xml:space="preserve"> This inference is supported by </w:t>
      </w:r>
      <w:r w:rsidR="00C07640">
        <w:t xml:space="preserve">Professor </w:t>
      </w:r>
      <w:proofErr w:type="spellStart"/>
      <w:r w:rsidR="00C07640">
        <w:t>Putnan’s</w:t>
      </w:r>
      <w:proofErr w:type="spellEnd"/>
      <w:r w:rsidR="00C07640">
        <w:t xml:space="preserve"> </w:t>
      </w:r>
      <w:r w:rsidR="00877E81">
        <w:t xml:space="preserve">expert </w:t>
      </w:r>
      <w:r w:rsidR="00C07640">
        <w:t>report</w:t>
      </w:r>
      <w:r w:rsidR="00733FD8">
        <w:t xml:space="preserve">, </w:t>
      </w:r>
      <w:r w:rsidR="006D53DB">
        <w:t xml:space="preserve">dated 17 April 2023, </w:t>
      </w:r>
      <w:r w:rsidR="00733FD8">
        <w:t>which was unchallenged,</w:t>
      </w:r>
      <w:r w:rsidR="002A7C19">
        <w:t xml:space="preserve"> </w:t>
      </w:r>
      <w:r w:rsidR="00EE02CB">
        <w:t xml:space="preserve">and </w:t>
      </w:r>
      <w:r w:rsidR="002A7C19">
        <w:t>note</w:t>
      </w:r>
      <w:r w:rsidR="000C6D44">
        <w:t>d</w:t>
      </w:r>
      <w:r w:rsidR="002A7C19">
        <w:t xml:space="preserve"> that the positive return from 9 April 202</w:t>
      </w:r>
      <w:r w:rsidR="005D6975">
        <w:t>0 was a price increase of 14.29% on the day of the 9 April 2020 Announcement and that such a return is substantial both in an absolute sense</w:t>
      </w:r>
      <w:r w:rsidR="0060770A">
        <w:t>,</w:t>
      </w:r>
      <w:r w:rsidR="005D6975">
        <w:t xml:space="preserve"> and relative </w:t>
      </w:r>
      <w:r w:rsidR="00F95206">
        <w:t xml:space="preserve">to </w:t>
      </w:r>
      <w:proofErr w:type="spellStart"/>
      <w:r w:rsidR="00F95206">
        <w:t>Holista’s</w:t>
      </w:r>
      <w:proofErr w:type="spellEnd"/>
      <w:r w:rsidR="00F95206">
        <w:t xml:space="preserve"> stock volatility. ASIC submitted that I </w:t>
      </w:r>
      <w:r w:rsidR="005C56A2">
        <w:t xml:space="preserve">may </w:t>
      </w:r>
      <w:r w:rsidR="00F95206">
        <w:t>infer that</w:t>
      </w:r>
      <w:r w:rsidR="004D6D51">
        <w:t>, by 26 May 2020,</w:t>
      </w:r>
      <w:r w:rsidR="00E64CFA">
        <w:t xml:space="preserve"> when Mr Usher requested an amendment to </w:t>
      </w:r>
      <w:r w:rsidR="00E64CFA">
        <w:lastRenderedPageBreak/>
        <w:t>the announcement,</w:t>
      </w:r>
      <w:r w:rsidR="00F95206">
        <w:t xml:space="preserve"> </w:t>
      </w:r>
      <w:proofErr w:type="spellStart"/>
      <w:r w:rsidR="00F95206">
        <w:t>Holista</w:t>
      </w:r>
      <w:proofErr w:type="spellEnd"/>
      <w:r w:rsidR="00F95206">
        <w:t xml:space="preserve"> knew t</w:t>
      </w:r>
      <w:r w:rsidR="00483B68">
        <w:t xml:space="preserve">he impact </w:t>
      </w:r>
      <w:r w:rsidR="00987FBC">
        <w:t xml:space="preserve">of its disclosure </w:t>
      </w:r>
      <w:r w:rsidR="00483B68">
        <w:t>on the share price because it was readily observable.</w:t>
      </w:r>
      <w:r w:rsidR="00650D72">
        <w:t xml:space="preserve"> </w:t>
      </w:r>
      <w:r w:rsidR="009076D2">
        <w:t>I accept that submission.</w:t>
      </w:r>
    </w:p>
    <w:p w14:paraId="1097BFDC" w14:textId="5BD5C91A" w:rsidR="008D301C" w:rsidRDefault="009A6AE1" w:rsidP="000D6D80">
      <w:pPr>
        <w:pStyle w:val="ParaNumbering"/>
      </w:pPr>
      <w:r>
        <w:t>Thirdly</w:t>
      </w:r>
      <w:r w:rsidR="00BD4272">
        <w:t>,</w:t>
      </w:r>
      <w:r w:rsidR="00414131">
        <w:t xml:space="preserve"> </w:t>
      </w:r>
      <w:r w:rsidR="00811E74">
        <w:t xml:space="preserve">in his affidavit dated 24 August 2022, </w:t>
      </w:r>
      <w:r w:rsidR="00414131">
        <w:t>Mr Fraser’s unchallenged evidence was that</w:t>
      </w:r>
      <w:r w:rsidR="009076D2">
        <w:t xml:space="preserve"> </w:t>
      </w:r>
      <w:r w:rsidR="00CE270D">
        <w:t>he was aware of the materiality of the</w:t>
      </w:r>
      <w:r w:rsidR="00AD4F5C">
        <w:t xml:space="preserve"> revenue forecast. He deposed</w:t>
      </w:r>
      <w:r w:rsidR="008D301C">
        <w:t>:</w:t>
      </w:r>
    </w:p>
    <w:p w14:paraId="2BAD5DDE" w14:textId="7D85FC47" w:rsidR="0082052C" w:rsidRDefault="00632E91" w:rsidP="0082052C">
      <w:pPr>
        <w:pStyle w:val="Quote1"/>
      </w:pPr>
      <w:r>
        <w:t>This announcement</w:t>
      </w:r>
      <w:r w:rsidR="008D301C">
        <w:t xml:space="preserve"> was made to keep </w:t>
      </w:r>
      <w:r w:rsidR="0093310D">
        <w:t xml:space="preserve">the market informed because this was a significant contract for </w:t>
      </w:r>
      <w:proofErr w:type="spellStart"/>
      <w:r w:rsidR="0093310D">
        <w:t>Holista</w:t>
      </w:r>
      <w:proofErr w:type="spellEnd"/>
      <w:r w:rsidR="0093310D">
        <w:t xml:space="preserve"> and was, accordingly, market sensitive and there was a high level of investor interest in </w:t>
      </w:r>
      <w:proofErr w:type="spellStart"/>
      <w:r w:rsidR="0093310D">
        <w:t>Holista</w:t>
      </w:r>
      <w:proofErr w:type="spellEnd"/>
      <w:r w:rsidR="0093310D">
        <w:t xml:space="preserve">. </w:t>
      </w:r>
      <w:r w:rsidR="0093310D" w:rsidRPr="009E52A9">
        <w:rPr>
          <w:b/>
          <w:bCs/>
        </w:rPr>
        <w:t xml:space="preserve">The amount of $3.8 million referred to in the announcement would make a major contribution to </w:t>
      </w:r>
      <w:proofErr w:type="spellStart"/>
      <w:r w:rsidR="0093310D" w:rsidRPr="009E52A9">
        <w:rPr>
          <w:b/>
          <w:bCs/>
        </w:rPr>
        <w:t>Holista’s</w:t>
      </w:r>
      <w:proofErr w:type="spellEnd"/>
      <w:r w:rsidR="0093310D" w:rsidRPr="009E52A9">
        <w:rPr>
          <w:b/>
          <w:bCs/>
        </w:rPr>
        <w:t xml:space="preserve"> revenue</w:t>
      </w:r>
      <w:r w:rsidR="0082052C">
        <w:t>.</w:t>
      </w:r>
    </w:p>
    <w:p w14:paraId="40100430" w14:textId="4B4F0400" w:rsidR="009E52A9" w:rsidRDefault="009E52A9" w:rsidP="00B34992">
      <w:pPr>
        <w:pStyle w:val="Quote1"/>
        <w:spacing w:after="240"/>
      </w:pPr>
      <w:r>
        <w:t>(Emphasis added.)</w:t>
      </w:r>
    </w:p>
    <w:p w14:paraId="576AF0DD" w14:textId="333F614A" w:rsidR="0082052C" w:rsidRDefault="00FD7989" w:rsidP="000D6D80">
      <w:pPr>
        <w:pStyle w:val="ParaNumbering"/>
      </w:pPr>
      <w:r>
        <w:t>F</w:t>
      </w:r>
      <w:r w:rsidR="009A6AE1">
        <w:t>ourthly</w:t>
      </w:r>
      <w:r>
        <w:t>, Mr</w:t>
      </w:r>
      <w:r w:rsidR="009E52A9">
        <w:t xml:space="preserve"> Usher</w:t>
      </w:r>
      <w:r w:rsidR="00704765">
        <w:t>’s comment on the draft 9 April 2020 Announcement queried “</w:t>
      </w:r>
      <w:r w:rsidR="00374CE0">
        <w:t>[c]</w:t>
      </w:r>
      <w:proofErr w:type="spellStart"/>
      <w:proofErr w:type="gramStart"/>
      <w:r w:rsidR="00704765">
        <w:t>an</w:t>
      </w:r>
      <w:proofErr w:type="spellEnd"/>
      <w:proofErr w:type="gramEnd"/>
      <w:r w:rsidR="00704765">
        <w:t xml:space="preserve"> we include payment terms of the sales order, timing of cash received in the Coy?”</w:t>
      </w:r>
      <w:r w:rsidR="00CC605A">
        <w:t xml:space="preserve"> I accept ASIC’s submission that this comment </w:t>
      </w:r>
      <w:r w:rsidR="00CD5E44">
        <w:t xml:space="preserve">indicates </w:t>
      </w:r>
      <w:r w:rsidR="00CC605A">
        <w:t>a clear awareness of the materiality of the</w:t>
      </w:r>
      <w:r w:rsidR="00426F3B">
        <w:t xml:space="preserve"> revenue forecast</w:t>
      </w:r>
      <w:r w:rsidR="00374CE0">
        <w:t>,</w:t>
      </w:r>
      <w:r w:rsidR="00426F3B">
        <w:t xml:space="preserve"> and of the timing of the cash flow.</w:t>
      </w:r>
    </w:p>
    <w:p w14:paraId="0D8AF9D7" w14:textId="0428A2F4" w:rsidR="009A6AE1" w:rsidRDefault="009A6AE1" w:rsidP="000D6D80">
      <w:pPr>
        <w:pStyle w:val="ParaNumbering"/>
      </w:pPr>
      <w:r w:rsidRPr="0010393F">
        <w:t>Fifthly</w:t>
      </w:r>
      <w:r w:rsidR="00797F8B" w:rsidRPr="0010393F">
        <w:t xml:space="preserve">, as </w:t>
      </w:r>
      <w:proofErr w:type="gramStart"/>
      <w:r w:rsidR="00797F8B" w:rsidRPr="0010393F">
        <w:t>at</w:t>
      </w:r>
      <w:proofErr w:type="gramEnd"/>
      <w:r w:rsidR="00797F8B" w:rsidRPr="0010393F">
        <w:t xml:space="preserve"> 9 April 2020, </w:t>
      </w:r>
      <w:proofErr w:type="spellStart"/>
      <w:r w:rsidR="00797F8B" w:rsidRPr="0010393F">
        <w:t>Holista</w:t>
      </w:r>
      <w:proofErr w:type="spellEnd"/>
      <w:r w:rsidR="00797F8B" w:rsidRPr="0010393F">
        <w:t xml:space="preserve"> kn</w:t>
      </w:r>
      <w:r w:rsidR="00D33223" w:rsidRPr="0010393F">
        <w:t>e</w:t>
      </w:r>
      <w:r w:rsidR="00797F8B" w:rsidRPr="0010393F">
        <w:t xml:space="preserve">w that Health Therapies had placed orders for only </w:t>
      </w:r>
      <w:r w:rsidR="00DB6843" w:rsidRPr="0010393F">
        <w:t>2</w:t>
      </w:r>
      <w:r w:rsidR="007F2AE8" w:rsidRPr="0010393F">
        <w:t>6</w:t>
      </w:r>
      <w:r w:rsidR="00DB6843" w:rsidRPr="0010393F">
        <w:t xml:space="preserve">,558 </w:t>
      </w:r>
      <w:r w:rsidR="00797F8B" w:rsidRPr="0010393F">
        <w:t>bottles</w:t>
      </w:r>
      <w:r w:rsidR="00DB6843">
        <w:t xml:space="preserve"> of </w:t>
      </w:r>
      <w:proofErr w:type="spellStart"/>
      <w:r w:rsidR="00DB6843">
        <w:t>NatShield</w:t>
      </w:r>
      <w:proofErr w:type="spellEnd"/>
      <w:r w:rsidR="00797F8B">
        <w:t xml:space="preserve">. </w:t>
      </w:r>
      <w:r w:rsidR="00D33223">
        <w:t>Nothing occurred between that date and 22 April 2020</w:t>
      </w:r>
      <w:r w:rsidR="00D96DED">
        <w:t>,</w:t>
      </w:r>
      <w:r w:rsidR="00D33223">
        <w:t xml:space="preserve"> which </w:t>
      </w:r>
      <w:r w:rsidR="00137358">
        <w:t xml:space="preserve">would indicate that any further orders were </w:t>
      </w:r>
      <w:r w:rsidR="00D224C4">
        <w:t xml:space="preserve">yet </w:t>
      </w:r>
      <w:r w:rsidR="00137358">
        <w:t xml:space="preserve">to be placed. </w:t>
      </w:r>
      <w:r w:rsidR="003A13B8">
        <w:t>At best</w:t>
      </w:r>
      <w:r w:rsidR="00540C3F">
        <w:t xml:space="preserve">, </w:t>
      </w:r>
      <w:proofErr w:type="spellStart"/>
      <w:r w:rsidR="00540C3F">
        <w:t>Holista</w:t>
      </w:r>
      <w:proofErr w:type="spellEnd"/>
      <w:r w:rsidR="00540C3F">
        <w:t xml:space="preserve"> had </w:t>
      </w:r>
      <w:r w:rsidR="00AB556E">
        <w:t>received</w:t>
      </w:r>
      <w:r w:rsidR="00930770">
        <w:t xml:space="preserve"> via email </w:t>
      </w:r>
      <w:r w:rsidR="00540C3F">
        <w:t xml:space="preserve">the </w:t>
      </w:r>
      <w:r w:rsidR="005618E1" w:rsidRPr="005618E1">
        <w:t xml:space="preserve">Sales Projection Spreadsheet </w:t>
      </w:r>
      <w:r w:rsidR="00930770">
        <w:t>from</w:t>
      </w:r>
      <w:r w:rsidR="00540C3F" w:rsidDel="00930770">
        <w:t xml:space="preserve"> </w:t>
      </w:r>
      <w:r w:rsidR="00540C3F">
        <w:t>Mr Maison on 8 April 2020</w:t>
      </w:r>
      <w:r w:rsidR="00930770">
        <w:t>,</w:t>
      </w:r>
      <w:r w:rsidR="00095B06">
        <w:t xml:space="preserve"> which were </w:t>
      </w:r>
      <w:r w:rsidR="008C23B9">
        <w:t xml:space="preserve">said to be </w:t>
      </w:r>
      <w:r w:rsidR="00095B06">
        <w:t xml:space="preserve">based on </w:t>
      </w:r>
      <w:r w:rsidR="008C23B9">
        <w:t xml:space="preserve">“actual </w:t>
      </w:r>
      <w:r w:rsidR="00095B06">
        <w:t>discussions</w:t>
      </w:r>
      <w:r w:rsidR="008C23B9">
        <w:t xml:space="preserve">”. </w:t>
      </w:r>
      <w:r w:rsidR="00797F8B">
        <w:t>On 22 April 2020</w:t>
      </w:r>
      <w:r w:rsidR="00930770">
        <w:t>,</w:t>
      </w:r>
      <w:r w:rsidR="00797F8B">
        <w:t xml:space="preserve"> it was made pel</w:t>
      </w:r>
      <w:r w:rsidR="00A1626A">
        <w:t>l</w:t>
      </w:r>
      <w:r w:rsidR="00797F8B">
        <w:t>ucid that</w:t>
      </w:r>
      <w:r w:rsidR="00A1626A">
        <w:t xml:space="preserve"> Health Therapies had not placed any further </w:t>
      </w:r>
      <w:proofErr w:type="gramStart"/>
      <w:r w:rsidR="00A1626A">
        <w:t>orders</w:t>
      </w:r>
      <w:r w:rsidR="00930770">
        <w:t>,</w:t>
      </w:r>
      <w:r w:rsidR="00A1626A">
        <w:t xml:space="preserve"> and</w:t>
      </w:r>
      <w:proofErr w:type="gramEnd"/>
      <w:r w:rsidR="00A1626A">
        <w:t xml:space="preserve"> had not ever agreed to prepay for stock.</w:t>
      </w:r>
      <w:r w:rsidR="00B63FE6">
        <w:t xml:space="preserve"> </w:t>
      </w:r>
    </w:p>
    <w:p w14:paraId="5084164A" w14:textId="51FC5131" w:rsidR="0047214B" w:rsidRDefault="00796AF2" w:rsidP="000D6D80">
      <w:pPr>
        <w:pStyle w:val="ParaNumbering"/>
      </w:pPr>
      <w:proofErr w:type="spellStart"/>
      <w:r>
        <w:t>Holista</w:t>
      </w:r>
      <w:proofErr w:type="spellEnd"/>
      <w:r>
        <w:t xml:space="preserve"> </w:t>
      </w:r>
      <w:r w:rsidR="009845F8">
        <w:t>contended that the absence of any evidence that this email was brought to the attention of the Board despite the</w:t>
      </w:r>
      <w:r w:rsidR="00FA5700">
        <w:t xml:space="preserve"> 9 April 2020 Announcement suggests that Mr Tan and Dr </w:t>
      </w:r>
      <w:proofErr w:type="spellStart"/>
      <w:r w:rsidR="00FA5700">
        <w:t>Marnickavasagar</w:t>
      </w:r>
      <w:proofErr w:type="spellEnd"/>
      <w:r w:rsidR="00FA5700">
        <w:t xml:space="preserve"> were not consciously aware that it was material information.</w:t>
      </w:r>
      <w:r w:rsidR="007B0565">
        <w:t xml:space="preserve"> </w:t>
      </w:r>
      <w:r w:rsidR="006811D8">
        <w:t xml:space="preserve">It </w:t>
      </w:r>
      <w:r w:rsidR="00860DED">
        <w:t xml:space="preserve">must be recalled however, that </w:t>
      </w:r>
      <w:proofErr w:type="spellStart"/>
      <w:r w:rsidR="00860DED">
        <w:t>Holista</w:t>
      </w:r>
      <w:proofErr w:type="spellEnd"/>
      <w:r w:rsidR="00860DED">
        <w:t xml:space="preserve"> has admitted that</w:t>
      </w:r>
      <w:r w:rsidR="00DD206E">
        <w:t xml:space="preserve">, as </w:t>
      </w:r>
      <w:proofErr w:type="gramStart"/>
      <w:r w:rsidR="00DD206E">
        <w:t>at</w:t>
      </w:r>
      <w:proofErr w:type="gramEnd"/>
      <w:r w:rsidR="00DD206E">
        <w:t xml:space="preserve"> 9 April 2020</w:t>
      </w:r>
      <w:r w:rsidR="00860DED">
        <w:t xml:space="preserve"> it was aware: (1) that it did not have orders for 415,000 bottles of </w:t>
      </w:r>
      <w:proofErr w:type="spellStart"/>
      <w:r w:rsidR="00860DED">
        <w:t>NatShield</w:t>
      </w:r>
      <w:proofErr w:type="spellEnd"/>
      <w:r w:rsidR="00860DED">
        <w:t xml:space="preserve"> totalling A$3.8M for delivery between April and June 2020</w:t>
      </w:r>
      <w:r w:rsidR="0008593B">
        <w:t>; (2) of the unlikelihood of orders being fulfilled; and (3) of the unlikelihood of the revenue target being reached</w:t>
      </w:r>
      <w:r w:rsidR="004677DF">
        <w:t xml:space="preserve">. </w:t>
      </w:r>
    </w:p>
    <w:p w14:paraId="45F604BD" w14:textId="0AD0EDD7" w:rsidR="00860DED" w:rsidRDefault="004677DF" w:rsidP="000D6D80">
      <w:pPr>
        <w:pStyle w:val="ParaNumbering"/>
      </w:pPr>
      <w:r>
        <w:t>Prior to the release of the 9 April 2020 Announcement, Mr Usher had quer</w:t>
      </w:r>
      <w:r w:rsidR="00D06279">
        <w:t xml:space="preserve">ied the omission of </w:t>
      </w:r>
      <w:r w:rsidR="00236F3B">
        <w:t>the</w:t>
      </w:r>
      <w:r>
        <w:t xml:space="preserve"> payment terms and </w:t>
      </w:r>
      <w:r w:rsidR="00236F3B">
        <w:t xml:space="preserve">the </w:t>
      </w:r>
      <w:r>
        <w:t xml:space="preserve">timing of cash </w:t>
      </w:r>
      <w:r w:rsidR="00236F3B">
        <w:t xml:space="preserve">to be </w:t>
      </w:r>
      <w:r>
        <w:t>received</w:t>
      </w:r>
      <w:r w:rsidR="00370AC7">
        <w:t>, from the terms of the announcement</w:t>
      </w:r>
      <w:r w:rsidR="00D06279">
        <w:t xml:space="preserve">. </w:t>
      </w:r>
      <w:r w:rsidR="00DF5733">
        <w:t xml:space="preserve">The only </w:t>
      </w:r>
      <w:r w:rsidR="00C22B2C">
        <w:t xml:space="preserve">inference to be drawn </w:t>
      </w:r>
      <w:r w:rsidR="0004494F">
        <w:t xml:space="preserve">from that inquiry </w:t>
      </w:r>
      <w:r w:rsidR="00C22B2C">
        <w:t>is that</w:t>
      </w:r>
      <w:r w:rsidR="001F56ED">
        <w:t xml:space="preserve"> </w:t>
      </w:r>
      <w:r w:rsidR="0047214B">
        <w:t xml:space="preserve">Mr Usher considered </w:t>
      </w:r>
      <w:r w:rsidR="00A260A2">
        <w:t xml:space="preserve">it would be useful to inform the market of some </w:t>
      </w:r>
      <w:r w:rsidR="001F56ED">
        <w:t>details of the</w:t>
      </w:r>
      <w:r w:rsidR="00D06069">
        <w:t xml:space="preserve"> otherwise </w:t>
      </w:r>
      <w:proofErr w:type="gramStart"/>
      <w:r w:rsidR="00D06069">
        <w:t>fairly general</w:t>
      </w:r>
      <w:proofErr w:type="gramEnd"/>
      <w:r w:rsidR="00D06069">
        <w:t xml:space="preserve"> information</w:t>
      </w:r>
      <w:r w:rsidR="00D34CBB">
        <w:t xml:space="preserve"> regarding its dealings with Health Therapies,</w:t>
      </w:r>
      <w:r w:rsidR="00641FEA">
        <w:t xml:space="preserve"> </w:t>
      </w:r>
      <w:r w:rsidR="00502802">
        <w:t xml:space="preserve">which </w:t>
      </w:r>
      <w:r w:rsidR="00802563">
        <w:t xml:space="preserve">employed </w:t>
      </w:r>
      <w:r w:rsidR="00502802">
        <w:t xml:space="preserve">language of </w:t>
      </w:r>
      <w:r w:rsidR="002046D6">
        <w:t xml:space="preserve">market </w:t>
      </w:r>
      <w:r w:rsidR="00502802">
        <w:t>expectation in relation to delivery and revenue</w:t>
      </w:r>
      <w:r w:rsidR="00802563">
        <w:t>,</w:t>
      </w:r>
      <w:r w:rsidR="00502802">
        <w:t xml:space="preserve"> in contrast to the very clear</w:t>
      </w:r>
      <w:r w:rsidR="00BF4211">
        <w:t xml:space="preserve"> statement that Health Therapi</w:t>
      </w:r>
      <w:r w:rsidR="00BF4211" w:rsidRPr="0010393F">
        <w:t xml:space="preserve">es </w:t>
      </w:r>
      <w:r w:rsidR="00C42B47" w:rsidRPr="0010393F">
        <w:t xml:space="preserve">only </w:t>
      </w:r>
      <w:r w:rsidR="00BF4211" w:rsidRPr="0010393F">
        <w:t>“</w:t>
      </w:r>
      <w:r w:rsidR="00C42B47" w:rsidRPr="0010393F">
        <w:t>[</w:t>
      </w:r>
      <w:r w:rsidR="00BF4211" w:rsidRPr="0010393F">
        <w:t>ha</w:t>
      </w:r>
      <w:r w:rsidR="00C42B47" w:rsidRPr="0010393F">
        <w:t>d]</w:t>
      </w:r>
      <w:r w:rsidR="00BF4211">
        <w:t xml:space="preserve"> </w:t>
      </w:r>
      <w:r w:rsidR="00BF4211">
        <w:lastRenderedPageBreak/>
        <w:t>placed additional orders”</w:t>
      </w:r>
      <w:r w:rsidR="00DB06DF">
        <w:t xml:space="preserve">. </w:t>
      </w:r>
      <w:r>
        <w:t>It is inconceivable</w:t>
      </w:r>
      <w:r w:rsidR="00DB06DF">
        <w:t xml:space="preserve"> that Mr Usher’s inquiry would not have </w:t>
      </w:r>
      <w:r w:rsidR="00993365">
        <w:t xml:space="preserve">drawn </w:t>
      </w:r>
      <w:r>
        <w:t>Mr Tan</w:t>
      </w:r>
      <w:r w:rsidR="00A375C8">
        <w:t>’s</w:t>
      </w:r>
      <w:r>
        <w:t xml:space="preserve"> and Dr </w:t>
      </w:r>
      <w:proofErr w:type="spellStart"/>
      <w:r>
        <w:t>Marnickavasagar</w:t>
      </w:r>
      <w:r w:rsidR="00993365">
        <w:t>’s</w:t>
      </w:r>
      <w:proofErr w:type="spellEnd"/>
      <w:r w:rsidR="00993365">
        <w:t xml:space="preserve"> attention </w:t>
      </w:r>
      <w:r w:rsidR="004505B9">
        <w:t xml:space="preserve">to the circumstance </w:t>
      </w:r>
      <w:r w:rsidR="00993365">
        <w:t>that</w:t>
      </w:r>
      <w:r w:rsidR="002046D6">
        <w:t>,</w:t>
      </w:r>
      <w:r w:rsidR="00993365">
        <w:t xml:space="preserve"> </w:t>
      </w:r>
      <w:r w:rsidR="000C3B3B">
        <w:t xml:space="preserve">because </w:t>
      </w:r>
      <w:proofErr w:type="spellStart"/>
      <w:r w:rsidR="00902224">
        <w:t>Holista</w:t>
      </w:r>
      <w:proofErr w:type="spellEnd"/>
      <w:r w:rsidR="00902224">
        <w:t xml:space="preserve"> </w:t>
      </w:r>
      <w:r w:rsidR="00993365">
        <w:t>did not</w:t>
      </w:r>
      <w:r w:rsidR="000C3B3B">
        <w:t xml:space="preserve"> yet</w:t>
      </w:r>
      <w:r w:rsidR="00993365">
        <w:t xml:space="preserve"> have orders for 415,000 bottles of </w:t>
      </w:r>
      <w:proofErr w:type="spellStart"/>
      <w:r w:rsidR="00993365">
        <w:t>NatShield</w:t>
      </w:r>
      <w:proofErr w:type="spellEnd"/>
      <w:r w:rsidR="00C069CA">
        <w:t>, they could not respond to Mr Usher’s inquiry. There is no evidence that they did respond.</w:t>
      </w:r>
      <w:r w:rsidR="0068748C">
        <w:t xml:space="preserve"> </w:t>
      </w:r>
      <w:r w:rsidR="008F239D">
        <w:t>It is not to the point that Mr Usher</w:t>
      </w:r>
      <w:r w:rsidR="00183944">
        <w:t xml:space="preserve"> did not advise the Board not to release the </w:t>
      </w:r>
      <w:r w:rsidR="00902224">
        <w:t xml:space="preserve">9 April 2020 </w:t>
      </w:r>
      <w:r w:rsidR="00183944">
        <w:t xml:space="preserve">Announcement without the </w:t>
      </w:r>
      <w:r w:rsidR="000B2575">
        <w:t>additional information.</w:t>
      </w:r>
      <w:r w:rsidR="00183944">
        <w:t xml:space="preserve"> </w:t>
      </w:r>
      <w:r w:rsidR="00123DD0">
        <w:t xml:space="preserve">In my view, through Mr Tan and Dr </w:t>
      </w:r>
      <w:proofErr w:type="spellStart"/>
      <w:r w:rsidR="00123DD0">
        <w:t>Marnickavasagar</w:t>
      </w:r>
      <w:proofErr w:type="spellEnd"/>
      <w:r w:rsidR="00123DD0">
        <w:t xml:space="preserve">, </w:t>
      </w:r>
      <w:proofErr w:type="spellStart"/>
      <w:r w:rsidR="008F239D">
        <w:t>Holista</w:t>
      </w:r>
      <w:proofErr w:type="spellEnd"/>
      <w:r w:rsidR="00123DD0">
        <w:t xml:space="preserve"> was, </w:t>
      </w:r>
      <w:proofErr w:type="gramStart"/>
      <w:r w:rsidR="00123DD0">
        <w:t>at this point in time</w:t>
      </w:r>
      <w:proofErr w:type="gramEnd"/>
      <w:r w:rsidR="00123DD0">
        <w:t>, aware of a risk that the Non-Disclosed Information was materi</w:t>
      </w:r>
      <w:r w:rsidR="003C7B7B">
        <w:t>al.</w:t>
      </w:r>
    </w:p>
    <w:p w14:paraId="573DFA37" w14:textId="536A0638" w:rsidR="0052445A" w:rsidRDefault="000F5CA4" w:rsidP="000D6D80">
      <w:pPr>
        <w:pStyle w:val="ParaNumbering"/>
      </w:pPr>
      <w:r>
        <w:t>Sixthly</w:t>
      </w:r>
      <w:r w:rsidR="00BA4487">
        <w:t>, the draft announcement circulated on 27 April 2020</w:t>
      </w:r>
      <w:r w:rsidR="0079080A">
        <w:t xml:space="preserve"> stated, “</w:t>
      </w:r>
      <w:r w:rsidR="00902224">
        <w:t>[t]</w:t>
      </w:r>
      <w:r w:rsidR="0079080A">
        <w:t>he Company expects total sales of A$2,1</w:t>
      </w:r>
      <w:r w:rsidR="004B517A">
        <w:t>60,00</w:t>
      </w:r>
      <w:r w:rsidR="001F4E4E">
        <w:t xml:space="preserve">0 </w:t>
      </w:r>
      <w:r w:rsidR="004B517A">
        <w:t xml:space="preserve">in the next quarter, an improvement as the Company anticipates increasing orders of </w:t>
      </w:r>
      <w:proofErr w:type="spellStart"/>
      <w:r w:rsidR="004B517A">
        <w:t>NatShield</w:t>
      </w:r>
      <w:proofErr w:type="spellEnd"/>
      <w:r w:rsidR="004B517A">
        <w:t>™</w:t>
      </w:r>
      <w:r w:rsidR="00F81AAB">
        <w:t xml:space="preserve"> to be realised in the 2</w:t>
      </w:r>
      <w:r w:rsidR="00F81AAB" w:rsidRPr="00F81AAB">
        <w:rPr>
          <w:vertAlign w:val="superscript"/>
        </w:rPr>
        <w:t>nd</w:t>
      </w:r>
      <w:r w:rsidR="00F81AAB">
        <w:t xml:space="preserve"> quarter of 2020”.</w:t>
      </w:r>
      <w:r w:rsidR="00BA4487">
        <w:t xml:space="preserve"> Mr Fraser </w:t>
      </w:r>
      <w:r w:rsidR="0079080A">
        <w:t>comment</w:t>
      </w:r>
      <w:r w:rsidR="00F81AAB">
        <w:t>ed</w:t>
      </w:r>
      <w:r w:rsidR="0052445A">
        <w:t>:</w:t>
      </w:r>
    </w:p>
    <w:p w14:paraId="0F2BCDBA" w14:textId="77777777" w:rsidR="00AB556E" w:rsidRPr="00AB556E" w:rsidRDefault="00AB556E" w:rsidP="003440D1">
      <w:pPr>
        <w:pStyle w:val="Quote1"/>
      </w:pPr>
      <w:r w:rsidRPr="00AB556E">
        <w:t>9 April 2020, HCT announced it had confirmed sales from Health Therapies of $3.8m fulfilled by June 2020.</w:t>
      </w:r>
    </w:p>
    <w:p w14:paraId="37E20EFB" w14:textId="1E80236D" w:rsidR="00AB556E" w:rsidRDefault="00AB556E" w:rsidP="003440D1">
      <w:pPr>
        <w:pStyle w:val="Quote1"/>
      </w:pPr>
      <w:proofErr w:type="gramStart"/>
      <w:r w:rsidRPr="00AB556E">
        <w:t>SO</w:t>
      </w:r>
      <w:proofErr w:type="gramEnd"/>
      <w:r w:rsidRPr="00AB556E">
        <w:t xml:space="preserve"> THIS NUMBER IS INCORRECT or THE ANNOUNCEMENT WAS INCORRECT</w:t>
      </w:r>
    </w:p>
    <w:p w14:paraId="583E5D42" w14:textId="58436F52" w:rsidR="00F023B1" w:rsidRDefault="00506D77" w:rsidP="000D6D80">
      <w:pPr>
        <w:pStyle w:val="ParaNumbering"/>
      </w:pPr>
      <w:r>
        <w:t>A further draft circulated on 28</w:t>
      </w:r>
      <w:r w:rsidR="000740D3">
        <w:t xml:space="preserve"> April </w:t>
      </w:r>
      <w:r w:rsidR="00F023B1">
        <w:t>202</w:t>
      </w:r>
      <w:r w:rsidR="70F0175F">
        <w:t>0</w:t>
      </w:r>
      <w:r w:rsidR="00F023B1">
        <w:t xml:space="preserve"> stated that </w:t>
      </w:r>
      <w:proofErr w:type="spellStart"/>
      <w:r w:rsidR="00F023B1">
        <w:t>Holista</w:t>
      </w:r>
      <w:proofErr w:type="spellEnd"/>
      <w:r w:rsidR="00F023B1">
        <w:t xml:space="preserve"> had:</w:t>
      </w:r>
    </w:p>
    <w:p w14:paraId="2EA8A82E" w14:textId="7C0D39C4" w:rsidR="00506D77" w:rsidRDefault="00F023B1" w:rsidP="000D2F64">
      <w:pPr>
        <w:pStyle w:val="Quote1"/>
        <w:spacing w:after="240"/>
      </w:pPr>
      <w:r>
        <w:t>booked a total cash inflow from customers of A$1,989,000 for the quarter ending 31</w:t>
      </w:r>
      <w:r w:rsidRPr="00F023B1">
        <w:rPr>
          <w:vertAlign w:val="superscript"/>
        </w:rPr>
        <w:t>st</w:t>
      </w:r>
      <w:r>
        <w:t xml:space="preserve"> March 2020. The Company expects a total cash inflow from </w:t>
      </w:r>
      <w:r w:rsidR="00D61E7C">
        <w:t xml:space="preserve">customers of A$2.467,000 in the next quarter, an improvement as the Company anticipates </w:t>
      </w:r>
      <w:r w:rsidR="00E558D5">
        <w:t xml:space="preserve">increasing orders of </w:t>
      </w:r>
      <w:proofErr w:type="spellStart"/>
      <w:r w:rsidR="00E558D5">
        <w:t>Natshield</w:t>
      </w:r>
      <w:proofErr w:type="spellEnd"/>
      <w:r w:rsidR="00E558D5">
        <w:t>™ to be reali</w:t>
      </w:r>
      <w:r w:rsidR="00952216">
        <w:t>s</w:t>
      </w:r>
      <w:r w:rsidR="00E558D5">
        <w:t>ed in the 2</w:t>
      </w:r>
      <w:r w:rsidR="00E558D5" w:rsidRPr="00E558D5">
        <w:rPr>
          <w:vertAlign w:val="superscript"/>
        </w:rPr>
        <w:t>nd</w:t>
      </w:r>
      <w:r w:rsidR="00E558D5">
        <w:t xml:space="preserve"> quarter of 2020.</w:t>
      </w:r>
    </w:p>
    <w:p w14:paraId="25640F72" w14:textId="6D5B353D" w:rsidR="00732DEA" w:rsidRDefault="001F4E4E" w:rsidP="000D6D80">
      <w:pPr>
        <w:pStyle w:val="ParaNumbering"/>
      </w:pPr>
      <w:r>
        <w:t>On 28 April</w:t>
      </w:r>
      <w:r w:rsidR="002419B4">
        <w:t xml:space="preserve"> 2020</w:t>
      </w:r>
      <w:r>
        <w:t xml:space="preserve">, </w:t>
      </w:r>
      <w:r w:rsidR="00284884">
        <w:t xml:space="preserve">Mr Usher </w:t>
      </w:r>
      <w:r>
        <w:t>asked Mr Tan how confident he was on the June quarter cash inflows from sales receipts</w:t>
      </w:r>
      <w:r w:rsidR="00BA6FE9">
        <w:t xml:space="preserve">. </w:t>
      </w:r>
      <w:r w:rsidR="008931C5">
        <w:t>Mr Tan sought to explain the discrepancy between the 9 April 2020 Announcement and the 29 April 2020 Announcement as being a difference between sales (A$3.8</w:t>
      </w:r>
      <w:r w:rsidR="00B67C97">
        <w:t xml:space="preserve"> million</w:t>
      </w:r>
      <w:r w:rsidR="008931C5">
        <w:t>) and collection (A$2.467</w:t>
      </w:r>
      <w:r w:rsidR="00B67C97">
        <w:t xml:space="preserve"> million</w:t>
      </w:r>
      <w:r w:rsidR="008931C5">
        <w:t xml:space="preserve">). </w:t>
      </w:r>
      <w:r w:rsidR="00BE2C46">
        <w:t>ASIC submitted that</w:t>
      </w:r>
      <w:r w:rsidR="0076424C">
        <w:t xml:space="preserve"> this email chain demonstrates at least a level of recklessness about the materiality of information</w:t>
      </w:r>
      <w:r w:rsidR="000D05B0">
        <w:t>,</w:t>
      </w:r>
      <w:r w:rsidR="0076424C">
        <w:t xml:space="preserve"> which was </w:t>
      </w:r>
      <w:r w:rsidR="00435662">
        <w:t>undisclosed</w:t>
      </w:r>
      <w:r w:rsidR="0076424C">
        <w:t xml:space="preserve"> to the market in</w:t>
      </w:r>
      <w:r w:rsidR="00435662">
        <w:t xml:space="preserve"> </w:t>
      </w:r>
      <w:r w:rsidR="0076424C">
        <w:t>circumstances where</w:t>
      </w:r>
      <w:r w:rsidR="003C0682">
        <w:t>, on 9 April</w:t>
      </w:r>
      <w:r w:rsidR="000D05B0">
        <w:t xml:space="preserve"> 2020</w:t>
      </w:r>
      <w:r w:rsidR="003C0682">
        <w:t xml:space="preserve">, a figure of A$3.8 million in </w:t>
      </w:r>
      <w:r w:rsidR="00435662">
        <w:t xml:space="preserve">recorded revenue </w:t>
      </w:r>
      <w:r w:rsidR="00315FFF">
        <w:t xml:space="preserve">between April and June 2020 had been announced. </w:t>
      </w:r>
      <w:r w:rsidR="005B2F00">
        <w:t>I accept that submission.</w:t>
      </w:r>
    </w:p>
    <w:p w14:paraId="18E3597E" w14:textId="0B8DE27B" w:rsidR="004A3857" w:rsidRDefault="001C4E9B" w:rsidP="000D6D80">
      <w:pPr>
        <w:pStyle w:val="ParaNumbering"/>
      </w:pPr>
      <w:r>
        <w:t xml:space="preserve">The final version of the </w:t>
      </w:r>
      <w:r w:rsidR="001814A6">
        <w:t xml:space="preserve">29 April 2020 Announcement </w:t>
      </w:r>
      <w:r w:rsidR="00040B78">
        <w:t>made no</w:t>
      </w:r>
      <w:r w:rsidR="008C2589">
        <w:t xml:space="preserve"> express</w:t>
      </w:r>
      <w:r w:rsidR="00040B78">
        <w:t xml:space="preserve"> reference to the expected cash inflow in </w:t>
      </w:r>
      <w:r w:rsidR="00616962">
        <w:t>the second quarter.</w:t>
      </w:r>
    </w:p>
    <w:p w14:paraId="0E47F421" w14:textId="300A7B64" w:rsidR="000D11DB" w:rsidRDefault="00D12727" w:rsidP="000D6D80">
      <w:pPr>
        <w:pStyle w:val="ParaNumbering"/>
      </w:pPr>
      <w:r>
        <w:t>Seventhly</w:t>
      </w:r>
      <w:r w:rsidR="00C61EA6">
        <w:t xml:space="preserve">, </w:t>
      </w:r>
      <w:r w:rsidR="00AA426F">
        <w:t xml:space="preserve">on 31 May 2020, Dr </w:t>
      </w:r>
      <w:proofErr w:type="spellStart"/>
      <w:r w:rsidR="005139C6">
        <w:t>Marnicka</w:t>
      </w:r>
      <w:r w:rsidR="00AA426F">
        <w:t>vasagar</w:t>
      </w:r>
      <w:proofErr w:type="spellEnd"/>
      <w:r w:rsidR="00AA426F">
        <w:t xml:space="preserve"> </w:t>
      </w:r>
      <w:r w:rsidR="008416EE">
        <w:t>emailed the executives of Health Therapies</w:t>
      </w:r>
      <w:r w:rsidR="00740E20">
        <w:t>,</w:t>
      </w:r>
      <w:r w:rsidR="008416EE" w:rsidDel="00740E20">
        <w:t xml:space="preserve"> </w:t>
      </w:r>
      <w:r w:rsidR="008C46C4">
        <w:t>noting</w:t>
      </w:r>
      <w:r w:rsidR="00740E20">
        <w:t>,</w:t>
      </w:r>
      <w:r w:rsidR="008C46C4">
        <w:t xml:space="preserve"> in particular,</w:t>
      </w:r>
      <w:r w:rsidR="00740E20">
        <w:t xml:space="preserve"> that</w:t>
      </w:r>
      <w:r w:rsidR="008C46C4">
        <w:t xml:space="preserve"> “</w:t>
      </w:r>
      <w:r w:rsidR="00740E20">
        <w:t>[</w:t>
      </w:r>
      <w:proofErr w:type="spellStart"/>
      <w:r w:rsidR="00740E20">
        <w:t>Holista</w:t>
      </w:r>
      <w:proofErr w:type="spellEnd"/>
      <w:r w:rsidR="00740E20">
        <w:t>]</w:t>
      </w:r>
      <w:r w:rsidR="008C46C4">
        <w:t xml:space="preserve"> are a </w:t>
      </w:r>
      <w:proofErr w:type="gramStart"/>
      <w:r w:rsidR="008C46C4">
        <w:t>publicly-traded</w:t>
      </w:r>
      <w:proofErr w:type="gramEnd"/>
      <w:r w:rsidR="008C46C4">
        <w:t xml:space="preserve"> company that has serious reporting obligations. By choosing to be </w:t>
      </w:r>
      <w:r w:rsidR="00740E20">
        <w:t xml:space="preserve">[their] </w:t>
      </w:r>
      <w:r w:rsidR="008C46C4">
        <w:t xml:space="preserve">Exclusive distributor in North America, </w:t>
      </w:r>
      <w:r w:rsidR="00CF1E31">
        <w:t xml:space="preserve">[Health </w:t>
      </w:r>
      <w:r w:rsidR="00CF1E31">
        <w:lastRenderedPageBreak/>
        <w:t xml:space="preserve">Therapies] [had] </w:t>
      </w:r>
      <w:r w:rsidR="008C46C4">
        <w:t xml:space="preserve">to be part of </w:t>
      </w:r>
      <w:r w:rsidR="00CF1E31">
        <w:t xml:space="preserve">[their] </w:t>
      </w:r>
      <w:r w:rsidR="008C46C4">
        <w:t>obligations”. He asked</w:t>
      </w:r>
      <w:r w:rsidR="008B4C9E">
        <w:t xml:space="preserve"> for</w:t>
      </w:r>
      <w:r w:rsidR="00057C77">
        <w:t xml:space="preserve"> </w:t>
      </w:r>
      <w:proofErr w:type="gramStart"/>
      <w:r w:rsidR="00057C77">
        <w:t>a number of</w:t>
      </w:r>
      <w:proofErr w:type="gramEnd"/>
      <w:r w:rsidR="00057C77">
        <w:t xml:space="preserve"> pieces of information including, relevantly, “weekly reports of sales (from Health Therapies) to the market”</w:t>
      </w:r>
      <w:r w:rsidR="006F7574">
        <w:t xml:space="preserve">, a breakdown of “all the channels – online, offline, stores </w:t>
      </w:r>
      <w:proofErr w:type="spellStart"/>
      <w:r w:rsidR="006F7574">
        <w:t>ect</w:t>
      </w:r>
      <w:proofErr w:type="spellEnd"/>
      <w:r w:rsidR="006F7574">
        <w:t xml:space="preserve"> [sic]”</w:t>
      </w:r>
      <w:r w:rsidR="00424DD8">
        <w:t>, “a clear business plan with a breakdown of sales, stock forecast, sales</w:t>
      </w:r>
      <w:r w:rsidR="00414706">
        <w:t>-related activities, marketing-related activities, budgeting allocation”, and a “monthly sales review”.</w:t>
      </w:r>
      <w:r w:rsidR="000D11DB">
        <w:t xml:space="preserve"> </w:t>
      </w:r>
    </w:p>
    <w:p w14:paraId="246C366A" w14:textId="589023AC" w:rsidR="00A67EB5" w:rsidRDefault="000D11DB" w:rsidP="000D6D80">
      <w:pPr>
        <w:pStyle w:val="ParaNumbering"/>
      </w:pPr>
      <w:proofErr w:type="spellStart"/>
      <w:r>
        <w:t>Holista</w:t>
      </w:r>
      <w:proofErr w:type="spellEnd"/>
      <w:r>
        <w:t xml:space="preserve"> contended </w:t>
      </w:r>
      <w:r w:rsidR="00FD2211">
        <w:t>that this</w:t>
      </w:r>
      <w:r w:rsidR="001E29B2">
        <w:t xml:space="preserve"> email suggest</w:t>
      </w:r>
      <w:r w:rsidR="000811BE">
        <w:t>ed</w:t>
      </w:r>
      <w:r w:rsidR="001E29B2">
        <w:t xml:space="preserve"> that Dr</w:t>
      </w:r>
      <w:r w:rsidR="001E29B2" w:rsidRPr="001E29B2">
        <w:t xml:space="preserve"> </w:t>
      </w:r>
      <w:proofErr w:type="spellStart"/>
      <w:r w:rsidR="001E29B2">
        <w:t>Marnickavasagar</w:t>
      </w:r>
      <w:proofErr w:type="spellEnd"/>
      <w:r w:rsidR="001E29B2">
        <w:t xml:space="preserve"> was still labouring under a misapprehension that no information of a material nature had come to light </w:t>
      </w:r>
      <w:r w:rsidR="000811BE">
        <w:t xml:space="preserve">that would </w:t>
      </w:r>
      <w:r w:rsidR="001E29B2">
        <w:t>require the 9 April 2020 Announcement to be rectified. It is</w:t>
      </w:r>
      <w:r w:rsidR="000811BE">
        <w:t>,</w:t>
      </w:r>
      <w:r w:rsidR="001E29B2">
        <w:t xml:space="preserve"> however</w:t>
      </w:r>
      <w:r w:rsidR="000811BE">
        <w:t>,</w:t>
      </w:r>
      <w:r w:rsidR="001E29B2">
        <w:t xml:space="preserve"> equally consistent with Dr </w:t>
      </w:r>
      <w:proofErr w:type="spellStart"/>
      <w:r w:rsidR="001E29B2">
        <w:t>Marnickavasagar</w:t>
      </w:r>
      <w:r w:rsidR="00FC7981">
        <w:t>’s</w:t>
      </w:r>
      <w:proofErr w:type="spellEnd"/>
      <w:r w:rsidR="00FC7981">
        <w:t xml:space="preserve"> attempt to mitigate the </w:t>
      </w:r>
      <w:r w:rsidR="00001E57">
        <w:t xml:space="preserve">associated </w:t>
      </w:r>
      <w:r w:rsidR="00FC7981">
        <w:t>risk</w:t>
      </w:r>
      <w:r w:rsidR="00001E57">
        <w:t>,</w:t>
      </w:r>
      <w:r w:rsidR="00FC7981">
        <w:t xml:space="preserve"> of which he was, by this time, aware.</w:t>
      </w:r>
      <w:r w:rsidR="001E29B2">
        <w:t xml:space="preserve"> </w:t>
      </w:r>
      <w:r w:rsidR="00BF3C6F">
        <w:t xml:space="preserve"> I accept ASIC’s submission that this email </w:t>
      </w:r>
      <w:proofErr w:type="gramStart"/>
      <w:r w:rsidR="00BF3C6F">
        <w:t>evidence</w:t>
      </w:r>
      <w:r w:rsidR="00393ED5">
        <w:t>s</w:t>
      </w:r>
      <w:proofErr w:type="gramEnd"/>
      <w:r w:rsidR="00393ED5">
        <w:t xml:space="preserve"> Dr </w:t>
      </w:r>
      <w:proofErr w:type="spellStart"/>
      <w:r w:rsidR="005139C6">
        <w:t>Marnickavasagar’s</w:t>
      </w:r>
      <w:proofErr w:type="spellEnd"/>
      <w:r w:rsidR="005139C6">
        <w:t xml:space="preserve"> </w:t>
      </w:r>
      <w:r w:rsidR="00007DCB">
        <w:t xml:space="preserve">awareness of the importance of </w:t>
      </w:r>
      <w:r w:rsidR="006E6D19">
        <w:t>being able to substantiate the figures that had been disclosed to the market.</w:t>
      </w:r>
      <w:r w:rsidR="00D12727">
        <w:t xml:space="preserve"> </w:t>
      </w:r>
      <w:r w:rsidR="00F86D2D">
        <w:t xml:space="preserve">That he was aware of the importance of these matters is reinforced by </w:t>
      </w:r>
      <w:r w:rsidR="00A63056">
        <w:t>the fact that</w:t>
      </w:r>
      <w:r w:rsidR="00D12727">
        <w:t xml:space="preserve"> </w:t>
      </w:r>
      <w:r w:rsidR="006D0F80">
        <w:t>the request followed on from Mr Fraser’s request</w:t>
      </w:r>
      <w:r w:rsidR="00742B25">
        <w:t>,</w:t>
      </w:r>
      <w:r w:rsidR="006D0F80">
        <w:t xml:space="preserve"> </w:t>
      </w:r>
      <w:r w:rsidR="00F86D2D">
        <w:t>described below.</w:t>
      </w:r>
    </w:p>
    <w:p w14:paraId="47AB1006" w14:textId="5DBC2EC1" w:rsidR="0088081E" w:rsidRDefault="00A63056" w:rsidP="000D6D80">
      <w:pPr>
        <w:pStyle w:val="ParaNumbering"/>
      </w:pPr>
      <w:r>
        <w:t>Eighthly</w:t>
      </w:r>
      <w:r w:rsidR="0088081E">
        <w:t xml:space="preserve">, on 22 May 2020, Mr Fraser wrote to all Board members requesting a Board Meeting on 28 May 2020 and asked Mr Tan to produce, </w:t>
      </w:r>
      <w:r w:rsidR="00156125">
        <w:t>“[</w:t>
      </w:r>
      <w:r w:rsidR="0088081E">
        <w:t>a</w:t>
      </w:r>
      <w:r w:rsidR="00156125">
        <w:t>]s</w:t>
      </w:r>
      <w:r w:rsidR="0088081E">
        <w:t xml:space="preserve"> a minimum</w:t>
      </w:r>
      <w:r w:rsidR="00156125">
        <w:t>”</w:t>
      </w:r>
      <w:r w:rsidR="00DD592D">
        <w:t>:</w:t>
      </w:r>
    </w:p>
    <w:p w14:paraId="08929591" w14:textId="77777777" w:rsidR="0088081E" w:rsidRPr="00A27285" w:rsidRDefault="0088081E" w:rsidP="0089683F">
      <w:pPr>
        <w:pStyle w:val="Quote1"/>
      </w:pPr>
      <w:r w:rsidRPr="00A27285">
        <w:t xml:space="preserve">the </w:t>
      </w:r>
      <w:proofErr w:type="gramStart"/>
      <w:r w:rsidRPr="00A27285">
        <w:t>year to date</w:t>
      </w:r>
      <w:proofErr w:type="gramEnd"/>
      <w:r w:rsidRPr="00A27285">
        <w:t xml:space="preserve"> financials by month,</w:t>
      </w:r>
    </w:p>
    <w:p w14:paraId="7A8097EA" w14:textId="77777777" w:rsidR="0088081E" w:rsidRPr="00A27285" w:rsidRDefault="0088081E" w:rsidP="0089683F">
      <w:pPr>
        <w:pStyle w:val="Quote1"/>
      </w:pPr>
      <w:r w:rsidRPr="00A27285">
        <w:t>the actual cashflow for YTD from January 2020,</w:t>
      </w:r>
    </w:p>
    <w:p w14:paraId="3250EDB6" w14:textId="60527B31" w:rsidR="0088081E" w:rsidRPr="00A27285" w:rsidRDefault="00156125" w:rsidP="0089683F">
      <w:pPr>
        <w:pStyle w:val="Quote1"/>
      </w:pPr>
      <w:r>
        <w:t>W</w:t>
      </w:r>
      <w:r w:rsidR="0088081E" w:rsidRPr="00A27285">
        <w:t>ork papers for the reassessment of the cashflow for 2020,</w:t>
      </w:r>
    </w:p>
    <w:p w14:paraId="65BC22C7" w14:textId="6BF1BE4E" w:rsidR="0088081E" w:rsidRPr="00A27285" w:rsidRDefault="00156125" w:rsidP="0089683F">
      <w:pPr>
        <w:pStyle w:val="Quote1"/>
      </w:pPr>
      <w:r>
        <w:t>A</w:t>
      </w:r>
      <w:r w:rsidR="0088081E" w:rsidRPr="00A27285">
        <w:t>pplication of the $6M raised since January 2020, and</w:t>
      </w:r>
    </w:p>
    <w:p w14:paraId="439B6F9E" w14:textId="319F8638" w:rsidR="00156125" w:rsidRDefault="00156125" w:rsidP="0089683F">
      <w:pPr>
        <w:pStyle w:val="Quote1"/>
      </w:pPr>
      <w:r>
        <w:t>S</w:t>
      </w:r>
      <w:r w:rsidR="0088081E" w:rsidRPr="00A27285">
        <w:t>chedule of all current distribution agreements for each category of product in</w:t>
      </w:r>
      <w:r w:rsidRPr="00A27285">
        <w:t xml:space="preserve"> </w:t>
      </w:r>
      <w:r w:rsidR="0088081E" w:rsidRPr="00A27285">
        <w:t>HCT, and their performance to agreed terms.</w:t>
      </w:r>
    </w:p>
    <w:p w14:paraId="730EC51D" w14:textId="2D7586C2" w:rsidR="00423AC5" w:rsidRDefault="00423AC5" w:rsidP="000D6D80">
      <w:pPr>
        <w:pStyle w:val="ParaNumbering"/>
      </w:pPr>
      <w:r>
        <w:t xml:space="preserve">Mr Fraser deposed to the </w:t>
      </w:r>
      <w:r w:rsidR="00581197">
        <w:t>several occasion</w:t>
      </w:r>
      <w:r w:rsidR="001B59F8">
        <w:t xml:space="preserve">s between 9 April and May 2020 on which he had requested Dr </w:t>
      </w:r>
      <w:proofErr w:type="spellStart"/>
      <w:r w:rsidR="001B59F8">
        <w:t>Marnickavasagar</w:t>
      </w:r>
      <w:proofErr w:type="spellEnd"/>
      <w:r w:rsidR="00E96DE3">
        <w:t xml:space="preserve"> to provide him with an update on the orders of </w:t>
      </w:r>
      <w:proofErr w:type="spellStart"/>
      <w:r w:rsidR="00E96DE3">
        <w:t>NatShield</w:t>
      </w:r>
      <w:proofErr w:type="spellEnd"/>
      <w:r w:rsidR="00E96DE3">
        <w:t>.</w:t>
      </w:r>
    </w:p>
    <w:p w14:paraId="102F417E" w14:textId="272C8875" w:rsidR="00605AED" w:rsidRDefault="00F31557" w:rsidP="000D6D80">
      <w:pPr>
        <w:pStyle w:val="ParaNumbering"/>
      </w:pPr>
      <w:r>
        <w:t>The Board Meeting was held on 4 June 2020</w:t>
      </w:r>
      <w:r w:rsidR="00CF2FE9">
        <w:t>.</w:t>
      </w:r>
      <w:r w:rsidR="00257941">
        <w:t xml:space="preserve"> Mr Usher</w:t>
      </w:r>
      <w:r w:rsidR="00A96A24">
        <w:t xml:space="preserve"> deposed that there was a discussion about needing to </w:t>
      </w:r>
      <w:r w:rsidR="001D1FCB">
        <w:t>make</w:t>
      </w:r>
      <w:r w:rsidR="00A96A24">
        <w:t xml:space="preserve"> an announcement</w:t>
      </w:r>
      <w:r w:rsidR="00A7182A">
        <w:t xml:space="preserve"> to the ASX if </w:t>
      </w:r>
      <w:proofErr w:type="spellStart"/>
      <w:r w:rsidR="00A7182A">
        <w:t>Holista</w:t>
      </w:r>
      <w:proofErr w:type="spellEnd"/>
      <w:r w:rsidR="00A7182A">
        <w:t xml:space="preserve"> was not going to meet its expected </w:t>
      </w:r>
      <w:r w:rsidR="00B55E11">
        <w:t>sales targets. He stated that D</w:t>
      </w:r>
      <w:r w:rsidR="00C063B4">
        <w:t>r</w:t>
      </w:r>
      <w:r w:rsidR="00B55E11">
        <w:t xml:space="preserve"> </w:t>
      </w:r>
      <w:proofErr w:type="spellStart"/>
      <w:r w:rsidR="00B55E11">
        <w:t>Marnickavasagar</w:t>
      </w:r>
      <w:proofErr w:type="spellEnd"/>
      <w:r w:rsidR="00C063B4">
        <w:t xml:space="preserve"> said</w:t>
      </w:r>
      <w:r w:rsidR="008718C2">
        <w:t>,</w:t>
      </w:r>
      <w:r w:rsidR="00C063B4">
        <w:t xml:space="preserve"> </w:t>
      </w:r>
      <w:r w:rsidR="003B665F">
        <w:t>“</w:t>
      </w:r>
      <w:r w:rsidR="00C063B4">
        <w:t xml:space="preserve">he would prepare a market update on </w:t>
      </w:r>
      <w:proofErr w:type="spellStart"/>
      <w:r w:rsidR="00C063B4">
        <w:t>NatShiel</w:t>
      </w:r>
      <w:r w:rsidR="00BC2E5D">
        <w:t>d</w:t>
      </w:r>
      <w:proofErr w:type="spellEnd"/>
      <w:r w:rsidR="00C063B4">
        <w:t xml:space="preserve"> sales and would update the Board on those sales </w:t>
      </w:r>
      <w:r w:rsidR="005F4482">
        <w:t xml:space="preserve">(the) </w:t>
      </w:r>
      <w:r w:rsidR="00C063B4">
        <w:t>next week</w:t>
      </w:r>
      <w:r w:rsidR="003B665F">
        <w:t>”</w:t>
      </w:r>
      <w:r w:rsidR="00C063B4">
        <w:t>.</w:t>
      </w:r>
      <w:r w:rsidR="00BC2E5D">
        <w:t xml:space="preserve"> </w:t>
      </w:r>
    </w:p>
    <w:p w14:paraId="3D12366F" w14:textId="2C1D6B65" w:rsidR="00E96DE3" w:rsidRDefault="00E96DE3" w:rsidP="000D6D80">
      <w:pPr>
        <w:pStyle w:val="ParaNumbering"/>
      </w:pPr>
      <w:r>
        <w:t>Ninthly</w:t>
      </w:r>
      <w:r w:rsidR="008A3A1A">
        <w:t>, on 23 June 2020, the Board considered</w:t>
      </w:r>
      <w:r w:rsidR="00EF77F0">
        <w:t xml:space="preserve"> the management accounts. They revealed that in the period January to May, total sales </w:t>
      </w:r>
      <w:r w:rsidR="00950D14">
        <w:t xml:space="preserve">amounted to </w:t>
      </w:r>
      <w:r w:rsidR="00661230">
        <w:t>A</w:t>
      </w:r>
      <w:r w:rsidR="00950D14">
        <w:t>$202,000</w:t>
      </w:r>
      <w:r w:rsidR="00661230">
        <w:t xml:space="preserve"> against a budgeted amount of A$167,000</w:t>
      </w:r>
      <w:r w:rsidR="00950D14">
        <w:t>.</w:t>
      </w:r>
      <w:r w:rsidR="00B32860">
        <w:t xml:space="preserve"> Following that meeting, an ASX announcement was prepared</w:t>
      </w:r>
      <w:r w:rsidR="0078256E">
        <w:t>,</w:t>
      </w:r>
      <w:r w:rsidR="005F7C1D">
        <w:t xml:space="preserve"> to be issued on 30 June 2020. On 29 June 2020,</w:t>
      </w:r>
      <w:r w:rsidR="00701272">
        <w:t xml:space="preserve"> Mr Fraser wrote </w:t>
      </w:r>
      <w:r w:rsidR="00220E00">
        <w:t>t</w:t>
      </w:r>
      <w:r w:rsidR="000F06D7">
        <w:t xml:space="preserve">o Mr Tan, copying in the Board, drawing </w:t>
      </w:r>
      <w:r w:rsidR="000F06D7">
        <w:lastRenderedPageBreak/>
        <w:t xml:space="preserve">attention to the </w:t>
      </w:r>
      <w:r w:rsidR="00686540">
        <w:t>need for there to be an explicit statement of reasons on the sales achieved for each product lin</w:t>
      </w:r>
      <w:r w:rsidR="00686540" w:rsidRPr="003855BF">
        <w:t>e and stating:</w:t>
      </w:r>
    </w:p>
    <w:p w14:paraId="18A860BB" w14:textId="21CBB936" w:rsidR="005F4EF1" w:rsidRDefault="00686540" w:rsidP="006C1014">
      <w:pPr>
        <w:pStyle w:val="Quote1"/>
      </w:pPr>
      <w:r w:rsidRPr="002213F9">
        <w:t>I would like to remind the board there is a process for ASX announcements and this must be followed. Attached is an article where such a procedure was not followed. Please provide the supporting material so each Board member can reference data for this release.</w:t>
      </w:r>
    </w:p>
    <w:p w14:paraId="45295B7F" w14:textId="04A3D05D" w:rsidR="007F6481" w:rsidRDefault="006C1014" w:rsidP="000D6D80">
      <w:pPr>
        <w:pStyle w:val="ParaNumbering"/>
      </w:pPr>
      <w:r>
        <w:t>Later</w:t>
      </w:r>
      <w:r w:rsidR="006044AB">
        <w:t>,</w:t>
      </w:r>
      <w:r>
        <w:t xml:space="preserve"> </w:t>
      </w:r>
      <w:r w:rsidR="007F6481">
        <w:t>on the same day, Mr Fraser wrote to Mr Tan, with the Board in copy, and said:</w:t>
      </w:r>
    </w:p>
    <w:p w14:paraId="6BD4787D" w14:textId="79311F48" w:rsidR="007F6481" w:rsidRDefault="007F6481" w:rsidP="001969C8">
      <w:pPr>
        <w:pStyle w:val="Quote1"/>
      </w:pPr>
      <w:r>
        <w:t>The continuous disc</w:t>
      </w:r>
      <w:r w:rsidR="00F52B65">
        <w:t xml:space="preserve">losure requirements prescribe keeping the market informed when the company becomes aware of any notifiable event. HCT must report </w:t>
      </w:r>
      <w:r w:rsidR="000F52E5">
        <w:t>on all its products if it seeks to keep the market informed</w:t>
      </w:r>
      <w:r w:rsidR="001969C8">
        <w:t xml:space="preserve"> not just </w:t>
      </w:r>
      <w:proofErr w:type="spellStart"/>
      <w:r w:rsidR="001969C8">
        <w:t>NatShield</w:t>
      </w:r>
      <w:proofErr w:type="spellEnd"/>
      <w:r w:rsidR="001969C8">
        <w:t>.</w:t>
      </w:r>
    </w:p>
    <w:p w14:paraId="05F8E224" w14:textId="133B1FD4" w:rsidR="001969C8" w:rsidRDefault="001969C8" w:rsidP="001969C8">
      <w:pPr>
        <w:pStyle w:val="Quote1"/>
      </w:pPr>
      <w:r>
        <w:t>…</w:t>
      </w:r>
    </w:p>
    <w:p w14:paraId="66C92465" w14:textId="28C1615D" w:rsidR="00771784" w:rsidRDefault="00771784" w:rsidP="001969C8">
      <w:pPr>
        <w:pStyle w:val="Quote1"/>
      </w:pPr>
      <w:r>
        <w:t xml:space="preserve">Edward, if you seek to quote the ASX listing rules and guidelines that’s fine, as this is an </w:t>
      </w:r>
      <w:proofErr w:type="gramStart"/>
      <w:r>
        <w:t>area</w:t>
      </w:r>
      <w:proofErr w:type="gramEnd"/>
      <w:r>
        <w:t xml:space="preserve"> we are quite </w:t>
      </w:r>
      <w:r w:rsidR="00F419E5">
        <w:t>familiar so ensure you clearly understand these regulations. Details on the product sales should not wait to be released in the 4D, there is a material change to what has been announced – which if you understood the Listing rules you would know.</w:t>
      </w:r>
    </w:p>
    <w:p w14:paraId="1155F7BB" w14:textId="0B7AB058" w:rsidR="00F419E5" w:rsidRDefault="00F419E5" w:rsidP="001969C8">
      <w:pPr>
        <w:pStyle w:val="Quote1"/>
      </w:pPr>
      <w:r>
        <w:t>…</w:t>
      </w:r>
    </w:p>
    <w:p w14:paraId="74124631" w14:textId="3DC009DE" w:rsidR="001969C8" w:rsidRDefault="001969C8" w:rsidP="00505D29">
      <w:pPr>
        <w:pStyle w:val="Quote1"/>
        <w:spacing w:after="240"/>
      </w:pPr>
      <w:r>
        <w:t>Specially there is a need for a narrative around SALES and ORDERs for each of HCT’s products and if there is a reference to previous announcements then put the date and headline of that announcement into the release.</w:t>
      </w:r>
    </w:p>
    <w:p w14:paraId="1E6C0361" w14:textId="0E6F663D" w:rsidR="0061409A" w:rsidRDefault="0061409A" w:rsidP="00823766">
      <w:pPr>
        <w:pStyle w:val="Quote1"/>
        <w:spacing w:after="240"/>
      </w:pPr>
      <w:r>
        <w:t>(Errors in original.)</w:t>
      </w:r>
    </w:p>
    <w:p w14:paraId="0A4ED090" w14:textId="499465D0" w:rsidR="00C45D9C" w:rsidRDefault="006044AB" w:rsidP="000D6D80">
      <w:pPr>
        <w:pStyle w:val="ParaNumbering"/>
      </w:pPr>
      <w:r>
        <w:t>On 30 June 2020, Mr Usher wrote to the Board</w:t>
      </w:r>
      <w:r w:rsidR="00505D29">
        <w:t>, relevantly</w:t>
      </w:r>
      <w:r>
        <w:t xml:space="preserve"> expressing his concern as follows</w:t>
      </w:r>
      <w:r w:rsidR="00C45D9C">
        <w:t>:</w:t>
      </w:r>
    </w:p>
    <w:p w14:paraId="4497C00E" w14:textId="26EF6856" w:rsidR="00C444F1" w:rsidRDefault="00C45D9C" w:rsidP="00A733EE">
      <w:pPr>
        <w:pStyle w:val="Quote1"/>
      </w:pPr>
      <w:r>
        <w:t xml:space="preserve">The ASX announcement dated 9 April, titled ‘US Distributor increases orders of </w:t>
      </w:r>
      <w:proofErr w:type="spellStart"/>
      <w:r>
        <w:t>N</w:t>
      </w:r>
      <w:r w:rsidR="00A733EE">
        <w:t>a</w:t>
      </w:r>
      <w:r>
        <w:t>tShield</w:t>
      </w:r>
      <w:proofErr w:type="spellEnd"/>
      <w:r>
        <w:t xml:space="preserve"> amounting to $3.8M’. In this announcement it confirms that </w:t>
      </w:r>
      <w:r w:rsidR="00585DC1">
        <w:t>H</w:t>
      </w:r>
      <w:r>
        <w:t>ealth Therapies has placed additional orders</w:t>
      </w:r>
      <w:r w:rsidR="00A733EE">
        <w:t xml:space="preserve"> for 415,000 bottles totalling $3.8M for delivery between May and June.</w:t>
      </w:r>
    </w:p>
    <w:p w14:paraId="7BF1120D" w14:textId="4815431E" w:rsidR="00A733EE" w:rsidRDefault="00A733EE" w:rsidP="00A733EE">
      <w:pPr>
        <w:pStyle w:val="Quote1"/>
      </w:pPr>
      <w:r>
        <w:t xml:space="preserve">In the sales update </w:t>
      </w:r>
      <w:proofErr w:type="gramStart"/>
      <w:r>
        <w:t>announcement</w:t>
      </w:r>
      <w:proofErr w:type="gramEnd"/>
      <w:r>
        <w:t xml:space="preserve"> you say this order is now $1.9M. </w:t>
      </w:r>
      <w:r w:rsidR="00487C85">
        <w:t>T</w:t>
      </w:r>
      <w:r>
        <w:t>here is a reference to both sales and purchase orders, so the Company will need to ensure this is properly reconciled and is conveyed clearly on the announcement.</w:t>
      </w:r>
    </w:p>
    <w:p w14:paraId="4253B88A" w14:textId="18472850" w:rsidR="00A733EE" w:rsidRDefault="00A733EE" w:rsidP="00A733EE">
      <w:pPr>
        <w:pStyle w:val="Quote1"/>
      </w:pPr>
      <w:r>
        <w:t xml:space="preserve">Nonetheless, the difference is a material change and as such should be immediately disclosed to ASX – and should disclosed from the moment the Company is in receipt of such information. From my understanding of the announcement the purchases have been carried forward/delayed through to August, so we will get the $3.8M of purchases – it’s just a timing difference. The Board should consider a trading halt until this is reconciled, </w:t>
      </w:r>
      <w:proofErr w:type="gramStart"/>
      <w:r>
        <w:t>resolved</w:t>
      </w:r>
      <w:proofErr w:type="gramEnd"/>
      <w:r>
        <w:t xml:space="preserve"> and disclosed to the ASX. Without suitable narrative around this </w:t>
      </w:r>
      <w:proofErr w:type="gramStart"/>
      <w:r>
        <w:t>shortfall</w:t>
      </w:r>
      <w:proofErr w:type="gramEnd"/>
      <w:r>
        <w:t xml:space="preserve"> it may likely raise concerns with ASX from a continuous disclosure obligation.</w:t>
      </w:r>
    </w:p>
    <w:p w14:paraId="51A5AB80" w14:textId="06F33603" w:rsidR="00444643" w:rsidRDefault="00444643" w:rsidP="00A733EE">
      <w:pPr>
        <w:pStyle w:val="Quote1"/>
      </w:pPr>
      <w:r>
        <w:t>(Errors in original.)</w:t>
      </w:r>
    </w:p>
    <w:p w14:paraId="10E8C30C" w14:textId="323A7640" w:rsidR="00A733EE" w:rsidRDefault="007C6C17" w:rsidP="000D6D80">
      <w:pPr>
        <w:pStyle w:val="ParaNumbering"/>
      </w:pPr>
      <w:r>
        <w:t xml:space="preserve">Dr </w:t>
      </w:r>
      <w:proofErr w:type="spellStart"/>
      <w:r>
        <w:t>Marnickavasagar</w:t>
      </w:r>
      <w:proofErr w:type="spellEnd"/>
      <w:r>
        <w:t xml:space="preserve"> responded </w:t>
      </w:r>
      <w:r w:rsidR="00774027">
        <w:t>by agreeing that it was “just a timing issue”.</w:t>
      </w:r>
      <w:r w:rsidR="00EE60BC">
        <w:t xml:space="preserve"> </w:t>
      </w:r>
      <w:r w:rsidR="00264B18">
        <w:t xml:space="preserve">It is apparent that </w:t>
      </w:r>
      <w:r w:rsidR="003F3970">
        <w:t xml:space="preserve">Dr </w:t>
      </w:r>
      <w:proofErr w:type="spellStart"/>
      <w:r w:rsidR="003F3970">
        <w:t>Marnickavasagar</w:t>
      </w:r>
      <w:proofErr w:type="spellEnd"/>
      <w:r w:rsidR="003F3970">
        <w:t xml:space="preserve"> </w:t>
      </w:r>
      <w:r w:rsidR="00547D8B">
        <w:t xml:space="preserve">was of the view that the $3.8 million in sales would be realised, albeit not </w:t>
      </w:r>
      <w:r w:rsidR="00547D8B">
        <w:lastRenderedPageBreak/>
        <w:t xml:space="preserve">in the </w:t>
      </w:r>
      <w:r w:rsidR="00264B18">
        <w:t xml:space="preserve">same </w:t>
      </w:r>
      <w:r w:rsidR="00547D8B">
        <w:t xml:space="preserve">quarter that had been announced to the market. </w:t>
      </w:r>
      <w:r w:rsidR="001D0A2D">
        <w:t xml:space="preserve">His acknowledgment of a mere “timing issue” demonstrates that he was reckless as to the materiality of the information which remained undisclosed as </w:t>
      </w:r>
      <w:proofErr w:type="gramStart"/>
      <w:r w:rsidR="001D0A2D">
        <w:t>at</w:t>
      </w:r>
      <w:proofErr w:type="gramEnd"/>
      <w:r w:rsidR="001D0A2D">
        <w:t xml:space="preserve"> 30 June 2020.</w:t>
      </w:r>
    </w:p>
    <w:p w14:paraId="6FA0B5E1" w14:textId="2EDDFAC9" w:rsidR="00EC332A" w:rsidRDefault="00EC332A" w:rsidP="000D6D80">
      <w:pPr>
        <w:pStyle w:val="ParaNumbering"/>
      </w:pPr>
      <w:r>
        <w:t xml:space="preserve">Further draft announcements </w:t>
      </w:r>
      <w:r w:rsidR="00264B18">
        <w:t xml:space="preserve">were </w:t>
      </w:r>
      <w:r>
        <w:t xml:space="preserve">circulated amongst the Board in the following days. On 7 July 2020, Mr Usher </w:t>
      </w:r>
      <w:r w:rsidR="006D5E67">
        <w:t>wrote</w:t>
      </w:r>
      <w:r>
        <w:t>:</w:t>
      </w:r>
    </w:p>
    <w:p w14:paraId="4109EFA4" w14:textId="48C278F3" w:rsidR="0038339D" w:rsidRDefault="00EC332A" w:rsidP="00577F5D">
      <w:pPr>
        <w:pStyle w:val="Quote1"/>
      </w:pPr>
      <w:r>
        <w:t xml:space="preserve">In reference to my earlier email, dated 30 June, as </w:t>
      </w:r>
      <w:r w:rsidR="001E0AA7">
        <w:t>attached</w:t>
      </w:r>
      <w:r>
        <w:t xml:space="preserve">, the revised announcement still fails to fully explain the reasons why, between 9 April, where it was disclosed that the company would achieve sales of $3.8M of </w:t>
      </w:r>
      <w:proofErr w:type="spellStart"/>
      <w:r>
        <w:t>NatShield</w:t>
      </w:r>
      <w:proofErr w:type="spellEnd"/>
      <w:r>
        <w:t xml:space="preserve"> by 30 June, to actual sales of $500K. This material variance is not fully explained within the announcement, nor is this announcement referenced. </w:t>
      </w:r>
    </w:p>
    <w:p w14:paraId="0693C55E" w14:textId="7009DCAC" w:rsidR="001E0AA7" w:rsidRDefault="001E0AA7" w:rsidP="00577F5D">
      <w:pPr>
        <w:pStyle w:val="Quote1"/>
      </w:pPr>
      <w:r>
        <w:t>…</w:t>
      </w:r>
    </w:p>
    <w:p w14:paraId="1AE7F16A" w14:textId="7334BB0D" w:rsidR="001E0AA7" w:rsidRDefault="001E0AA7" w:rsidP="00577F5D">
      <w:pPr>
        <w:pStyle w:val="Quote1"/>
      </w:pPr>
      <w:r>
        <w:t xml:space="preserve">I reiterate that I do not approve the announcement for lodgement </w:t>
      </w:r>
      <w:r w:rsidR="00577F5D">
        <w:t xml:space="preserve">as </w:t>
      </w:r>
      <w:r w:rsidR="00B81408">
        <w:t>i</w:t>
      </w:r>
      <w:r w:rsidR="00577F5D">
        <w:t xml:space="preserve">t fails various continuous disclosure requirements. However, as a board you have approved the </w:t>
      </w:r>
      <w:proofErr w:type="gramStart"/>
      <w:r w:rsidR="00577F5D">
        <w:t>announcement</w:t>
      </w:r>
      <w:proofErr w:type="gramEnd"/>
      <w:r w:rsidR="00577F5D">
        <w:t xml:space="preserve"> and I will therefore lodge it with MAP on your behalf.</w:t>
      </w:r>
    </w:p>
    <w:p w14:paraId="2806C0E8" w14:textId="62389485" w:rsidR="00577F5D" w:rsidRDefault="00577F5D" w:rsidP="00823766">
      <w:pPr>
        <w:pStyle w:val="Quote1"/>
        <w:spacing w:after="240"/>
      </w:pPr>
      <w:r>
        <w:t>Please re-confirm your instructions</w:t>
      </w:r>
      <w:r w:rsidR="00946935">
        <w:t>.</w:t>
      </w:r>
    </w:p>
    <w:p w14:paraId="3A76F953" w14:textId="34691FD9" w:rsidR="0038339D" w:rsidRDefault="00CD11B7" w:rsidP="000D6D80">
      <w:pPr>
        <w:pStyle w:val="ParaNumbering"/>
      </w:pPr>
      <w:r>
        <w:t xml:space="preserve">That same day, </w:t>
      </w:r>
      <w:r w:rsidR="00852F56">
        <w:t xml:space="preserve">Mr </w:t>
      </w:r>
      <w:r>
        <w:t xml:space="preserve">Jonathan </w:t>
      </w:r>
      <w:r w:rsidR="00852F56">
        <w:t xml:space="preserve">Pager, a </w:t>
      </w:r>
      <w:r w:rsidR="00946935">
        <w:t>B</w:t>
      </w:r>
      <w:r w:rsidR="00852F56">
        <w:t>oard member</w:t>
      </w:r>
      <w:r w:rsidR="00103EE1">
        <w:t xml:space="preserve"> of </w:t>
      </w:r>
      <w:proofErr w:type="spellStart"/>
      <w:r w:rsidR="00103EE1">
        <w:t>Holista</w:t>
      </w:r>
      <w:proofErr w:type="spellEnd"/>
      <w:r w:rsidR="00852F56">
        <w:t>, respond</w:t>
      </w:r>
      <w:r w:rsidR="00946935">
        <w:t>ed</w:t>
      </w:r>
      <w:r w:rsidR="00852F56">
        <w:t xml:space="preserve"> with “</w:t>
      </w:r>
      <w:r w:rsidR="00946935">
        <w:t>[</w:t>
      </w:r>
      <w:proofErr w:type="spellStart"/>
      <w:r w:rsidR="00AD109C">
        <w:t>i</w:t>
      </w:r>
      <w:proofErr w:type="spellEnd"/>
      <w:r w:rsidR="00946935">
        <w:t>]</w:t>
      </w:r>
      <w:r w:rsidR="00852F56">
        <w:t>t would be good to know exactly which continuous disclosure requirements fail?”</w:t>
      </w:r>
    </w:p>
    <w:p w14:paraId="30E9C071" w14:textId="549B962F" w:rsidR="00852F56" w:rsidRDefault="003B32FA" w:rsidP="000D6D80">
      <w:pPr>
        <w:pStyle w:val="ParaNumbering"/>
      </w:pPr>
      <w:r>
        <w:t>M</w:t>
      </w:r>
      <w:r w:rsidR="00DC73FB">
        <w:t>r</w:t>
      </w:r>
      <w:r>
        <w:t xml:space="preserve"> Usher responded by </w:t>
      </w:r>
      <w:r w:rsidR="009176AB">
        <w:t>setting out ASX Listing Rul</w:t>
      </w:r>
      <w:r w:rsidR="00DC73FB">
        <w:t>e</w:t>
      </w:r>
      <w:r w:rsidR="00551921">
        <w:t>s</w:t>
      </w:r>
      <w:r w:rsidR="009176AB">
        <w:t xml:space="preserve"> 3.1</w:t>
      </w:r>
      <w:r w:rsidR="00DC73FB">
        <w:t xml:space="preserve">, </w:t>
      </w:r>
      <w:r w:rsidR="009176AB">
        <w:t>4.1</w:t>
      </w:r>
      <w:r w:rsidR="00DC73FB">
        <w:t xml:space="preserve"> and 4.4</w:t>
      </w:r>
      <w:r w:rsidR="009176AB">
        <w:t xml:space="preserve"> and s 677 of the </w:t>
      </w:r>
      <w:r w:rsidR="009176AB" w:rsidRPr="00DC73FB">
        <w:rPr>
          <w:i/>
          <w:iCs/>
        </w:rPr>
        <w:t>Corporations Act</w:t>
      </w:r>
      <w:r w:rsidR="00DC73FB">
        <w:t>. He</w:t>
      </w:r>
      <w:r w:rsidR="00DC73FB" w:rsidDel="00EF133B">
        <w:t xml:space="preserve"> </w:t>
      </w:r>
      <w:r w:rsidR="00EF133B">
        <w:t xml:space="preserve">also </w:t>
      </w:r>
      <w:r w:rsidR="00DC73FB">
        <w:t>wrote:</w:t>
      </w:r>
    </w:p>
    <w:p w14:paraId="35E7856F" w14:textId="74F7680C" w:rsidR="0038339D" w:rsidRDefault="00DC73FB" w:rsidP="00C237C3">
      <w:pPr>
        <w:pStyle w:val="Quote1"/>
      </w:pPr>
      <w:r>
        <w:t xml:space="preserve">Expect the ASX to make further </w:t>
      </w:r>
      <w:r w:rsidR="00A16197">
        <w:t>enquiries</w:t>
      </w:r>
      <w:r>
        <w:t xml:space="preserve"> to ascertain when management were first aware that sales</w:t>
      </w:r>
      <w:r w:rsidR="00A16197">
        <w:t xml:space="preserve"> of $3.8M were not going to be achieved and why this information had not been disclosed earlier. A false market has in effect been operating which needs to be corrected ASAP.</w:t>
      </w:r>
    </w:p>
    <w:p w14:paraId="664AFEDD" w14:textId="3E7EC8CD" w:rsidR="00C844EC" w:rsidRPr="009A689C" w:rsidRDefault="008F011C" w:rsidP="000D6D80">
      <w:pPr>
        <w:pStyle w:val="ParaNumbering"/>
      </w:pPr>
      <w:proofErr w:type="spellStart"/>
      <w:r>
        <w:t>Holista</w:t>
      </w:r>
      <w:proofErr w:type="spellEnd"/>
      <w:r>
        <w:t xml:space="preserve"> contended that, aside from Mr Tan and Dr </w:t>
      </w:r>
      <w:proofErr w:type="spellStart"/>
      <w:r>
        <w:t>Marnickavasagar</w:t>
      </w:r>
      <w:proofErr w:type="spellEnd"/>
      <w:r>
        <w:t>, the evidence demonstrates that the oth</w:t>
      </w:r>
      <w:r w:rsidR="00CD063D">
        <w:t>e</w:t>
      </w:r>
      <w:r>
        <w:t>r members of the Board were not consciously aware of the true shortfall in orders until late June 2020</w:t>
      </w:r>
      <w:r w:rsidR="00CD063D">
        <w:t xml:space="preserve">. Even accepting that to be correct, it does not change the knowledge attributable to </w:t>
      </w:r>
      <w:proofErr w:type="spellStart"/>
      <w:r w:rsidR="00CD063D">
        <w:t>Holista</w:t>
      </w:r>
      <w:proofErr w:type="spellEnd"/>
      <w:r w:rsidR="00CD063D">
        <w:t xml:space="preserve"> by</w:t>
      </w:r>
      <w:r w:rsidR="00AE6309">
        <w:t xml:space="preserve"> the knowledge of Mr Tan and Dr </w:t>
      </w:r>
      <w:proofErr w:type="spellStart"/>
      <w:r w:rsidR="00AE6309">
        <w:t>Marnickavasagar</w:t>
      </w:r>
      <w:proofErr w:type="spellEnd"/>
      <w:r w:rsidR="00AE6309">
        <w:t xml:space="preserve"> as and from 9 April 2020</w:t>
      </w:r>
      <w:r w:rsidR="00BE21FD">
        <w:t>,</w:t>
      </w:r>
      <w:r w:rsidR="00AE6309">
        <w:t xml:space="preserve"> as I have found. Corporate attribution does not depend upon every </w:t>
      </w:r>
      <w:r w:rsidR="00BE21FD">
        <w:t>b</w:t>
      </w:r>
      <w:r w:rsidR="008145E1">
        <w:t xml:space="preserve">oard member </w:t>
      </w:r>
      <w:r w:rsidR="008145E1" w:rsidRPr="009A689C">
        <w:t>or senior manager having the same degree of knowledge at the same time</w:t>
      </w:r>
      <w:r w:rsidR="00595B29" w:rsidRPr="009A689C">
        <w:t>: s</w:t>
      </w:r>
      <w:r w:rsidR="0017324C" w:rsidRPr="009A689C">
        <w:t>ee</w:t>
      </w:r>
      <w:r w:rsidR="003855BF" w:rsidRPr="009A689C">
        <w:t xml:space="preserve"> </w:t>
      </w:r>
      <w:r w:rsidR="003855BF" w:rsidRPr="009A689C">
        <w:rPr>
          <w:i/>
        </w:rPr>
        <w:t>Australian Securities and Investments Commission v Westpac Banking Corp (No 2)</w:t>
      </w:r>
      <w:r w:rsidR="003855BF" w:rsidRPr="009A689C">
        <w:t xml:space="preserve"> [2018] FCA 751; 357 ALR 240 at [1660]</w:t>
      </w:r>
      <w:r w:rsidR="008145E1" w:rsidRPr="009A689C">
        <w:t>.</w:t>
      </w:r>
    </w:p>
    <w:p w14:paraId="25CAE9E1" w14:textId="77777777" w:rsidR="003855BF" w:rsidRPr="009A689C" w:rsidRDefault="00D2387C" w:rsidP="000D6D80">
      <w:pPr>
        <w:pStyle w:val="ParaNumbering"/>
      </w:pPr>
      <w:r w:rsidRPr="009A689C">
        <w:t xml:space="preserve">I am satisfied that </w:t>
      </w:r>
      <w:proofErr w:type="spellStart"/>
      <w:r w:rsidRPr="009A689C">
        <w:t>Holista</w:t>
      </w:r>
      <w:proofErr w:type="spellEnd"/>
      <w:r w:rsidRPr="009A689C">
        <w:t xml:space="preserve"> was a</w:t>
      </w:r>
      <w:r w:rsidR="00401818" w:rsidRPr="009A689C">
        <w:t>wa</w:t>
      </w:r>
      <w:r w:rsidRPr="009A689C">
        <w:t>re of a risk that the Non-Disclosed Information was material.</w:t>
      </w:r>
    </w:p>
    <w:p w14:paraId="4492578C" w14:textId="4ED8DB6E" w:rsidR="003855BF" w:rsidRPr="000D6D80" w:rsidRDefault="003855BF" w:rsidP="000D6D80">
      <w:pPr>
        <w:pStyle w:val="Heading3"/>
        <w:rPr>
          <w:iCs/>
        </w:rPr>
      </w:pPr>
      <w:r w:rsidRPr="000D6D80">
        <w:t>Was that risk substantial?</w:t>
      </w:r>
    </w:p>
    <w:p w14:paraId="5A755C4C" w14:textId="6942CDB2" w:rsidR="00485A12" w:rsidRPr="009A689C" w:rsidRDefault="00485A12" w:rsidP="000D6D80">
      <w:pPr>
        <w:pStyle w:val="ParaNumbering"/>
      </w:pPr>
      <w:r w:rsidRPr="009A689C">
        <w:t xml:space="preserve">In considering what is meant by “substantial risk”, Gray J in </w:t>
      </w:r>
      <w:r w:rsidRPr="009A689C">
        <w:rPr>
          <w:i/>
          <w:iCs/>
        </w:rPr>
        <w:t>Hann</w:t>
      </w:r>
      <w:r w:rsidRPr="009A689C">
        <w:t xml:space="preserve"> observed, at [2</w:t>
      </w:r>
      <w:r w:rsidR="32F161D2" w:rsidRPr="009A689C">
        <w:t>5</w:t>
      </w:r>
      <w:r w:rsidRPr="009A689C">
        <w:t>]:</w:t>
      </w:r>
    </w:p>
    <w:p w14:paraId="15244513" w14:textId="783AE2AD" w:rsidR="00485A12" w:rsidRDefault="00485A12" w:rsidP="003E02AD">
      <w:pPr>
        <w:pStyle w:val="Quote1"/>
        <w:spacing w:after="360"/>
      </w:pPr>
      <w:r w:rsidRPr="009A689C">
        <w:lastRenderedPageBreak/>
        <w:t xml:space="preserve">The term “substantial risk” does not appear to be defined in Australian legal dictionaries. </w:t>
      </w:r>
      <w:proofErr w:type="gramStart"/>
      <w:r w:rsidRPr="009A689C">
        <w:t>However</w:t>
      </w:r>
      <w:proofErr w:type="gramEnd"/>
      <w:r w:rsidRPr="009A689C">
        <w:t xml:space="preserve"> Carswell’s Words and Phrases, an American legal dictionary, describes the phrase as meaning “real and apparent on the evidence presented</w:t>
      </w:r>
      <w:r w:rsidR="00B35CC2" w:rsidRPr="009A689C">
        <w:t xml:space="preserve"> </w:t>
      </w:r>
      <w:r w:rsidR="00EC1D7C" w:rsidRPr="009A689C">
        <w:t>…</w:t>
      </w:r>
      <w:r w:rsidR="00B35CC2" w:rsidRPr="009A689C">
        <w:t xml:space="preserve"> </w:t>
      </w:r>
      <w:r w:rsidR="00EC1D7C" w:rsidRPr="009A689C">
        <w:t>not a risk that is without substance or wh</w:t>
      </w:r>
      <w:r w:rsidR="00EC1D7C">
        <w:t>ich is fanciful or speculative”. The word “substantial” has been described in Australian legal dictionaries as “real or of substance as distinct from ephemeral or nominal”. “Risk” has been described as “a possibility, chance or likelihood”.</w:t>
      </w:r>
    </w:p>
    <w:p w14:paraId="3867CF85" w14:textId="01E70D79" w:rsidR="00DB3D35" w:rsidRDefault="004245FE" w:rsidP="000D6D80">
      <w:pPr>
        <w:pStyle w:val="ParaNumbering"/>
      </w:pPr>
      <w:proofErr w:type="gramStart"/>
      <w:r>
        <w:t>On the basis of</w:t>
      </w:r>
      <w:proofErr w:type="gramEnd"/>
      <w:r>
        <w:t xml:space="preserve"> </w:t>
      </w:r>
      <w:proofErr w:type="spellStart"/>
      <w:r w:rsidR="00767130">
        <w:t>Holista’s</w:t>
      </w:r>
      <w:proofErr w:type="spellEnd"/>
      <w:r w:rsidR="00767130">
        <w:t xml:space="preserve"> admission</w:t>
      </w:r>
      <w:r w:rsidR="00305FCD">
        <w:t>s</w:t>
      </w:r>
      <w:r w:rsidR="00580EA3">
        <w:t>,</w:t>
      </w:r>
      <w:r w:rsidR="00127F23">
        <w:t xml:space="preserve"> </w:t>
      </w:r>
      <w:r>
        <w:t xml:space="preserve">I find </w:t>
      </w:r>
      <w:r w:rsidR="00127F23">
        <w:t xml:space="preserve">that </w:t>
      </w:r>
      <w:r w:rsidR="00FD2967">
        <w:t xml:space="preserve">the </w:t>
      </w:r>
      <w:r w:rsidR="00BF4C60">
        <w:t>risk</w:t>
      </w:r>
      <w:r w:rsidR="005E15FC">
        <w:t xml:space="preserve"> was substant</w:t>
      </w:r>
      <w:r w:rsidR="00BA7FDD">
        <w:t>ial. It was neither fanciful, nor speculative</w:t>
      </w:r>
      <w:r w:rsidR="006E19AC">
        <w:t xml:space="preserve">. </w:t>
      </w:r>
      <w:r w:rsidR="00671426">
        <w:t>Further, having regard to</w:t>
      </w:r>
      <w:r w:rsidR="00D35844">
        <w:t xml:space="preserve"> the circumstances known to </w:t>
      </w:r>
      <w:proofErr w:type="spellStart"/>
      <w:r w:rsidR="00D35844">
        <w:t>Holista</w:t>
      </w:r>
      <w:proofErr w:type="spellEnd"/>
      <w:r w:rsidR="00D35844">
        <w:t>, being the Non-Disclosed Information</w:t>
      </w:r>
      <w:r w:rsidR="005006E8">
        <w:t xml:space="preserve">, </w:t>
      </w:r>
      <w:r w:rsidR="008D3727">
        <w:t>it was unjustifiable to take the risk</w:t>
      </w:r>
      <w:r w:rsidR="00DB3D35">
        <w:t xml:space="preserve"> that the </w:t>
      </w:r>
      <w:r w:rsidR="00E770D7">
        <w:t>i</w:t>
      </w:r>
      <w:r w:rsidR="00DB3D35">
        <w:t xml:space="preserve">nformation was material. </w:t>
      </w:r>
    </w:p>
    <w:p w14:paraId="3816A7D7" w14:textId="30BA2167" w:rsidR="00C237C3" w:rsidRDefault="00DB3D35" w:rsidP="000D6D80">
      <w:pPr>
        <w:pStyle w:val="ParaNumbering"/>
      </w:pPr>
      <w:r>
        <w:t xml:space="preserve">I find that </w:t>
      </w:r>
      <w:proofErr w:type="spellStart"/>
      <w:r>
        <w:t>Holista</w:t>
      </w:r>
      <w:proofErr w:type="spellEnd"/>
      <w:r>
        <w:t xml:space="preserve"> was reckless </w:t>
      </w:r>
      <w:r w:rsidR="009853EE">
        <w:t>with respect to whether the Non-</w:t>
      </w:r>
      <w:r w:rsidR="0032793C">
        <w:t>Disclosed</w:t>
      </w:r>
      <w:r w:rsidR="009853EE">
        <w:t xml:space="preserve"> Information would, if it were generally available, have a material effect on the price or value of </w:t>
      </w:r>
      <w:proofErr w:type="spellStart"/>
      <w:r w:rsidR="009853EE">
        <w:t>Holista’s</w:t>
      </w:r>
      <w:proofErr w:type="spellEnd"/>
      <w:r w:rsidR="009853EE">
        <w:t xml:space="preserve"> securitie</w:t>
      </w:r>
      <w:r w:rsidR="00F11F63">
        <w:t>s</w:t>
      </w:r>
      <w:r w:rsidR="0032793C">
        <w:t>.</w:t>
      </w:r>
      <w:r w:rsidR="00F11F63" w:rsidDel="0032793C">
        <w:t xml:space="preserve"> </w:t>
      </w:r>
      <w:r w:rsidR="0032793C">
        <w:t>T</w:t>
      </w:r>
      <w:r w:rsidR="00F11F63">
        <w:t xml:space="preserve">he declaration will </w:t>
      </w:r>
      <w:r w:rsidR="002D65AF">
        <w:t>record that finding</w:t>
      </w:r>
      <w:r w:rsidR="009853EE">
        <w:t>.</w:t>
      </w:r>
    </w:p>
    <w:p w14:paraId="658DC530" w14:textId="269B1382" w:rsidR="002156A1" w:rsidRDefault="009C7C5F" w:rsidP="00861413">
      <w:pPr>
        <w:pStyle w:val="Heading1"/>
      </w:pPr>
      <w:bookmarkStart w:id="36" w:name="_Ref161673110"/>
      <w:r>
        <w:t xml:space="preserve">The appropriate </w:t>
      </w:r>
      <w:r w:rsidR="00B70B14">
        <w:t>PECUNIARY</w:t>
      </w:r>
      <w:r w:rsidR="00D83C40">
        <w:t xml:space="preserve"> </w:t>
      </w:r>
      <w:r>
        <w:t>penalty</w:t>
      </w:r>
      <w:r w:rsidR="00861413">
        <w:t xml:space="preserve"> for holista</w:t>
      </w:r>
      <w:bookmarkEnd w:id="36"/>
    </w:p>
    <w:p w14:paraId="3B533AF5" w14:textId="74E01BF7" w:rsidR="002D65AF" w:rsidRDefault="002D65AF" w:rsidP="0006471F">
      <w:pPr>
        <w:pStyle w:val="Heading2"/>
      </w:pPr>
      <w:bookmarkStart w:id="37" w:name="_Ref161753321"/>
      <w:r>
        <w:t xml:space="preserve">Legislative provisions relevant to </w:t>
      </w:r>
      <w:proofErr w:type="spellStart"/>
      <w:r w:rsidR="000F7D64">
        <w:t>Holista’s</w:t>
      </w:r>
      <w:proofErr w:type="spellEnd"/>
      <w:r w:rsidR="000F7D64">
        <w:t xml:space="preserve"> </w:t>
      </w:r>
      <w:r>
        <w:t>penalty</w:t>
      </w:r>
      <w:bookmarkEnd w:id="37"/>
    </w:p>
    <w:p w14:paraId="5DFA30DB" w14:textId="02CB6043" w:rsidR="00441156" w:rsidRPr="00441156" w:rsidRDefault="00441156" w:rsidP="000D6D80">
      <w:pPr>
        <w:pStyle w:val="ParaNumbering"/>
      </w:pPr>
      <w:r>
        <w:t>As has already been mentioned, s 1317</w:t>
      </w:r>
      <w:proofErr w:type="gramStart"/>
      <w:r>
        <w:t>G(</w:t>
      </w:r>
      <w:proofErr w:type="gramEnd"/>
      <w:r>
        <w:t>1</w:t>
      </w:r>
      <w:r w:rsidR="0047431B">
        <w:t xml:space="preserve">) </w:t>
      </w:r>
      <w:r>
        <w:t xml:space="preserve">provides that the Court </w:t>
      </w:r>
      <w:r w:rsidRPr="002273C4">
        <w:rPr>
          <w:b/>
          <w:bCs/>
        </w:rPr>
        <w:t xml:space="preserve">may </w:t>
      </w:r>
      <w:r>
        <w:t>order a person to pay the Commonwealth a pecuniary penalty of the relevant maximum</w:t>
      </w:r>
      <w:r w:rsidR="0047431B">
        <w:t>.</w:t>
      </w:r>
    </w:p>
    <w:p w14:paraId="171C49F4" w14:textId="77777777" w:rsidR="007B2C97" w:rsidRPr="0047431B" w:rsidRDefault="007B2C97" w:rsidP="0047431B">
      <w:pPr>
        <w:pStyle w:val="Quote1"/>
        <w:rPr>
          <w:b/>
          <w:bCs/>
          <w:lang w:eastAsia="en-AU"/>
        </w:rPr>
      </w:pPr>
      <w:r w:rsidRPr="0047431B">
        <w:rPr>
          <w:b/>
          <w:bCs/>
          <w:lang w:eastAsia="en-AU"/>
        </w:rPr>
        <w:t>1317G Pecuniary penalty orders</w:t>
      </w:r>
    </w:p>
    <w:p w14:paraId="334DDAE0" w14:textId="77777777" w:rsidR="007B2C97" w:rsidRDefault="007B2C97" w:rsidP="00DE5272">
      <w:pPr>
        <w:pStyle w:val="Quote1"/>
        <w:rPr>
          <w:i/>
          <w:iCs/>
          <w:sz w:val="21"/>
          <w:szCs w:val="21"/>
          <w:lang w:eastAsia="en-AU"/>
        </w:rPr>
      </w:pPr>
      <w:r>
        <w:rPr>
          <w:i/>
          <w:iCs/>
          <w:sz w:val="21"/>
          <w:szCs w:val="21"/>
          <w:lang w:eastAsia="en-AU"/>
        </w:rPr>
        <w:t xml:space="preserve">Court may order person to pay pecuniary </w:t>
      </w:r>
      <w:proofErr w:type="gramStart"/>
      <w:r>
        <w:rPr>
          <w:i/>
          <w:iCs/>
          <w:sz w:val="21"/>
          <w:szCs w:val="21"/>
          <w:lang w:eastAsia="en-AU"/>
        </w:rPr>
        <w:t>penalty</w:t>
      </w:r>
      <w:proofErr w:type="gramEnd"/>
    </w:p>
    <w:p w14:paraId="5531D93E" w14:textId="501EBBC7" w:rsidR="007B2C97" w:rsidRDefault="007B2C97" w:rsidP="0047431B">
      <w:pPr>
        <w:pStyle w:val="Quote1"/>
        <w:ind w:left="1437" w:hanging="700"/>
        <w:rPr>
          <w:sz w:val="21"/>
          <w:szCs w:val="21"/>
          <w:lang w:eastAsia="en-AU"/>
        </w:rPr>
      </w:pPr>
      <w:r>
        <w:rPr>
          <w:sz w:val="21"/>
          <w:szCs w:val="21"/>
          <w:lang w:eastAsia="en-AU"/>
        </w:rPr>
        <w:t xml:space="preserve">(1) </w:t>
      </w:r>
      <w:r w:rsidR="0047431B">
        <w:rPr>
          <w:sz w:val="21"/>
          <w:szCs w:val="21"/>
          <w:lang w:eastAsia="en-AU"/>
        </w:rPr>
        <w:tab/>
      </w:r>
      <w:r>
        <w:rPr>
          <w:sz w:val="21"/>
          <w:szCs w:val="21"/>
          <w:lang w:eastAsia="en-AU"/>
        </w:rPr>
        <w:t>A Court may order a person to pay to the Commonwealth a</w:t>
      </w:r>
      <w:r w:rsidR="0047431B">
        <w:rPr>
          <w:sz w:val="21"/>
          <w:szCs w:val="21"/>
          <w:lang w:eastAsia="en-AU"/>
        </w:rPr>
        <w:t xml:space="preserve"> </w:t>
      </w:r>
      <w:r>
        <w:rPr>
          <w:sz w:val="21"/>
          <w:szCs w:val="21"/>
          <w:lang w:eastAsia="en-AU"/>
        </w:rPr>
        <w:t>pecuniary penalty in relation to the contravention of a civil penalty</w:t>
      </w:r>
      <w:r w:rsidR="0047431B">
        <w:rPr>
          <w:sz w:val="21"/>
          <w:szCs w:val="21"/>
          <w:lang w:eastAsia="en-AU"/>
        </w:rPr>
        <w:t xml:space="preserve"> </w:t>
      </w:r>
      <w:r>
        <w:rPr>
          <w:sz w:val="21"/>
          <w:szCs w:val="21"/>
          <w:lang w:eastAsia="en-AU"/>
        </w:rPr>
        <w:t>provision if:</w:t>
      </w:r>
    </w:p>
    <w:p w14:paraId="62A12CA9" w14:textId="4CCFA07C" w:rsidR="00004BDE" w:rsidRDefault="007B2C97" w:rsidP="0045282B">
      <w:pPr>
        <w:pStyle w:val="Quote2"/>
        <w:ind w:left="2157" w:hanging="717"/>
        <w:rPr>
          <w:lang w:eastAsia="en-AU"/>
        </w:rPr>
      </w:pPr>
      <w:r>
        <w:rPr>
          <w:lang w:eastAsia="en-AU"/>
        </w:rPr>
        <w:t xml:space="preserve">(a) </w:t>
      </w:r>
      <w:r w:rsidR="0047431B">
        <w:rPr>
          <w:lang w:eastAsia="en-AU"/>
        </w:rPr>
        <w:tab/>
      </w:r>
      <w:r>
        <w:rPr>
          <w:lang w:eastAsia="en-AU"/>
        </w:rPr>
        <w:t>a declaration of contravention of the civil penalty provision</w:t>
      </w:r>
      <w:r w:rsidR="0047431B">
        <w:rPr>
          <w:lang w:eastAsia="en-AU"/>
        </w:rPr>
        <w:t xml:space="preserve"> </w:t>
      </w:r>
      <w:r>
        <w:rPr>
          <w:lang w:eastAsia="en-AU"/>
        </w:rPr>
        <w:t>by the person has been made under section 1317E; and</w:t>
      </w:r>
    </w:p>
    <w:p w14:paraId="5936574D" w14:textId="4D122BA5" w:rsidR="00D76DC8" w:rsidRPr="0047431B" w:rsidRDefault="00D76DC8" w:rsidP="0047431B">
      <w:pPr>
        <w:pStyle w:val="Quote1"/>
        <w:ind w:left="2157" w:hanging="720"/>
        <w:rPr>
          <w:sz w:val="21"/>
          <w:szCs w:val="21"/>
          <w:lang w:eastAsia="en-AU"/>
        </w:rPr>
      </w:pPr>
      <w:r>
        <w:rPr>
          <w:sz w:val="21"/>
          <w:szCs w:val="21"/>
          <w:lang w:eastAsia="en-AU"/>
        </w:rPr>
        <w:t>…</w:t>
      </w:r>
    </w:p>
    <w:p w14:paraId="433DEA7F" w14:textId="42150D98" w:rsidR="0073110E" w:rsidRDefault="0047431B" w:rsidP="0045282B">
      <w:pPr>
        <w:pStyle w:val="Quote2"/>
        <w:ind w:left="2157" w:hanging="717"/>
        <w:rPr>
          <w:lang w:eastAsia="en-AU"/>
        </w:rPr>
      </w:pPr>
      <w:r>
        <w:rPr>
          <w:lang w:eastAsia="en-AU"/>
        </w:rPr>
        <w:t>(</w:t>
      </w:r>
      <w:r w:rsidR="0073110E">
        <w:rPr>
          <w:lang w:eastAsia="en-AU"/>
        </w:rPr>
        <w:t xml:space="preserve">c) </w:t>
      </w:r>
      <w:r>
        <w:rPr>
          <w:lang w:eastAsia="en-AU"/>
        </w:rPr>
        <w:tab/>
      </w:r>
      <w:r w:rsidR="0073110E">
        <w:rPr>
          <w:lang w:eastAsia="en-AU"/>
        </w:rPr>
        <w:t>if the contravention is of a financial services civil penalty</w:t>
      </w:r>
      <w:r>
        <w:rPr>
          <w:lang w:eastAsia="en-AU"/>
        </w:rPr>
        <w:t xml:space="preserve"> </w:t>
      </w:r>
      <w:r w:rsidR="0073110E">
        <w:rPr>
          <w:lang w:eastAsia="en-AU"/>
        </w:rPr>
        <w:t xml:space="preserve">provision </w:t>
      </w:r>
      <w:r w:rsidR="00320123">
        <w:rPr>
          <w:lang w:eastAsia="en-AU"/>
        </w:rPr>
        <w:t>[</w:t>
      </w:r>
      <w:r w:rsidR="0073110E">
        <w:rPr>
          <w:lang w:eastAsia="en-AU"/>
        </w:rPr>
        <w:t>that is not a</w:t>
      </w:r>
      <w:r w:rsidR="006766F3">
        <w:rPr>
          <w:lang w:eastAsia="en-AU"/>
        </w:rPr>
        <w:t xml:space="preserve">n excluded </w:t>
      </w:r>
      <w:r w:rsidR="0073110E">
        <w:rPr>
          <w:lang w:eastAsia="en-AU"/>
        </w:rPr>
        <w:t>civil penalty provision</w:t>
      </w:r>
      <w:r w:rsidR="006766F3">
        <w:rPr>
          <w:lang w:eastAsia="en-AU"/>
        </w:rPr>
        <w:t xml:space="preserve"> under Part 7.7A</w:t>
      </w:r>
      <w:r w:rsidR="00320123">
        <w:rPr>
          <w:lang w:eastAsia="en-AU"/>
        </w:rPr>
        <w:t>]</w:t>
      </w:r>
      <w:r w:rsidR="0073110E">
        <w:rPr>
          <w:lang w:eastAsia="en-AU"/>
        </w:rPr>
        <w:t>, the</w:t>
      </w:r>
      <w:r>
        <w:rPr>
          <w:lang w:eastAsia="en-AU"/>
        </w:rPr>
        <w:t xml:space="preserve"> </w:t>
      </w:r>
      <w:r w:rsidR="0073110E">
        <w:rPr>
          <w:lang w:eastAsia="en-AU"/>
        </w:rPr>
        <w:t>contravention:</w:t>
      </w:r>
    </w:p>
    <w:p w14:paraId="493B179A" w14:textId="141D49ED" w:rsidR="0073110E" w:rsidRDefault="0073110E" w:rsidP="0089683F">
      <w:pPr>
        <w:pStyle w:val="Quote3"/>
        <w:ind w:left="2880" w:hanging="720"/>
        <w:rPr>
          <w:lang w:eastAsia="en-AU"/>
        </w:rPr>
      </w:pPr>
      <w:r>
        <w:rPr>
          <w:lang w:eastAsia="en-AU"/>
        </w:rPr>
        <w:t>(</w:t>
      </w:r>
      <w:proofErr w:type="spellStart"/>
      <w:r>
        <w:rPr>
          <w:lang w:eastAsia="en-AU"/>
        </w:rPr>
        <w:t>i</w:t>
      </w:r>
      <w:proofErr w:type="spellEnd"/>
      <w:r>
        <w:rPr>
          <w:lang w:eastAsia="en-AU"/>
        </w:rPr>
        <w:t xml:space="preserve">) </w:t>
      </w:r>
      <w:r w:rsidR="0047431B">
        <w:rPr>
          <w:lang w:eastAsia="en-AU"/>
        </w:rPr>
        <w:tab/>
      </w:r>
      <w:r>
        <w:rPr>
          <w:lang w:eastAsia="en-AU"/>
        </w:rPr>
        <w:t>materially prejudices the interests of acquirers or</w:t>
      </w:r>
      <w:r w:rsidR="0074109A">
        <w:rPr>
          <w:lang w:eastAsia="en-AU"/>
        </w:rPr>
        <w:t xml:space="preserve"> </w:t>
      </w:r>
      <w:r>
        <w:rPr>
          <w:lang w:eastAsia="en-AU"/>
        </w:rPr>
        <w:t>disposers of the relevant financial products; or</w:t>
      </w:r>
    </w:p>
    <w:p w14:paraId="274C6C9E" w14:textId="65BF7A4E" w:rsidR="0073110E" w:rsidRDefault="0073110E" w:rsidP="0089683F">
      <w:pPr>
        <w:pStyle w:val="Quote3"/>
        <w:ind w:left="2880" w:hanging="720"/>
        <w:rPr>
          <w:lang w:eastAsia="en-AU"/>
        </w:rPr>
      </w:pPr>
      <w:r>
        <w:rPr>
          <w:lang w:eastAsia="en-AU"/>
        </w:rPr>
        <w:t xml:space="preserve">(ii) </w:t>
      </w:r>
      <w:r w:rsidR="0074109A">
        <w:rPr>
          <w:lang w:eastAsia="en-AU"/>
        </w:rPr>
        <w:tab/>
      </w:r>
      <w:r>
        <w:rPr>
          <w:lang w:eastAsia="en-AU"/>
        </w:rPr>
        <w:t>materially prejudices the issuer of the relevant financial</w:t>
      </w:r>
      <w:r w:rsidR="0074109A">
        <w:rPr>
          <w:lang w:eastAsia="en-AU"/>
        </w:rPr>
        <w:t xml:space="preserve"> </w:t>
      </w:r>
      <w:r>
        <w:rPr>
          <w:lang w:eastAsia="en-AU"/>
        </w:rPr>
        <w:t>products or, if the issuer is a corporation, scheme or</w:t>
      </w:r>
      <w:r w:rsidR="0074109A">
        <w:rPr>
          <w:lang w:eastAsia="en-AU"/>
        </w:rPr>
        <w:t xml:space="preserve"> </w:t>
      </w:r>
      <w:r>
        <w:rPr>
          <w:lang w:eastAsia="en-AU"/>
        </w:rPr>
        <w:t xml:space="preserve">fund, the members of that corporation, </w:t>
      </w:r>
      <w:proofErr w:type="gramStart"/>
      <w:r>
        <w:rPr>
          <w:lang w:eastAsia="en-AU"/>
        </w:rPr>
        <w:t>scheme</w:t>
      </w:r>
      <w:proofErr w:type="gramEnd"/>
      <w:r>
        <w:rPr>
          <w:lang w:eastAsia="en-AU"/>
        </w:rPr>
        <w:t xml:space="preserve"> or fund;</w:t>
      </w:r>
      <w:r w:rsidR="0074109A">
        <w:rPr>
          <w:lang w:eastAsia="en-AU"/>
        </w:rPr>
        <w:t xml:space="preserve"> </w:t>
      </w:r>
      <w:r>
        <w:rPr>
          <w:lang w:eastAsia="en-AU"/>
        </w:rPr>
        <w:t>or</w:t>
      </w:r>
    </w:p>
    <w:p w14:paraId="39EF9EF9" w14:textId="5C488CFC" w:rsidR="0073110E" w:rsidRDefault="0073110E" w:rsidP="0089683F">
      <w:pPr>
        <w:pStyle w:val="Quote3"/>
        <w:ind w:left="2880" w:hanging="720"/>
        <w:rPr>
          <w:lang w:eastAsia="en-AU"/>
        </w:rPr>
      </w:pPr>
      <w:r>
        <w:rPr>
          <w:lang w:eastAsia="en-AU"/>
        </w:rPr>
        <w:t xml:space="preserve">(iii) </w:t>
      </w:r>
      <w:r w:rsidR="0074109A">
        <w:rPr>
          <w:lang w:eastAsia="en-AU"/>
        </w:rPr>
        <w:tab/>
      </w:r>
      <w:r>
        <w:rPr>
          <w:lang w:eastAsia="en-AU"/>
        </w:rPr>
        <w:t xml:space="preserve">is serious; </w:t>
      </w:r>
      <w:r w:rsidR="004A65FA">
        <w:rPr>
          <w:lang w:eastAsia="en-AU"/>
        </w:rPr>
        <w:t>…</w:t>
      </w:r>
    </w:p>
    <w:p w14:paraId="5EA126A7" w14:textId="7006D182" w:rsidR="000F7D64" w:rsidRDefault="000F7D64" w:rsidP="00A200A2">
      <w:pPr>
        <w:pStyle w:val="Quote1"/>
        <w:ind w:firstLine="703"/>
        <w:rPr>
          <w:szCs w:val="22"/>
          <w:lang w:eastAsia="en-AU"/>
        </w:rPr>
      </w:pPr>
      <w:r>
        <w:rPr>
          <w:szCs w:val="22"/>
          <w:lang w:eastAsia="en-AU"/>
        </w:rPr>
        <w:t>…</w:t>
      </w:r>
    </w:p>
    <w:p w14:paraId="11B815A2" w14:textId="77777777" w:rsidR="0073110E" w:rsidRDefault="0073110E" w:rsidP="000F7D64">
      <w:pPr>
        <w:pStyle w:val="Quote1"/>
        <w:ind w:firstLine="703"/>
        <w:rPr>
          <w:i/>
          <w:iCs/>
          <w:sz w:val="21"/>
          <w:szCs w:val="21"/>
          <w:lang w:eastAsia="en-AU"/>
        </w:rPr>
      </w:pPr>
      <w:r>
        <w:rPr>
          <w:szCs w:val="22"/>
          <w:lang w:eastAsia="en-AU"/>
        </w:rPr>
        <w:t>The order is a</w:t>
      </w:r>
      <w:r w:rsidRPr="0073359F">
        <w:rPr>
          <w:szCs w:val="22"/>
          <w:lang w:eastAsia="en-AU"/>
        </w:rPr>
        <w:t xml:space="preserve"> </w:t>
      </w:r>
      <w:r w:rsidRPr="003E02AD">
        <w:rPr>
          <w:b/>
          <w:i/>
          <w:szCs w:val="22"/>
          <w:lang w:eastAsia="en-AU"/>
        </w:rPr>
        <w:t>pecuniary penalty order.</w:t>
      </w:r>
    </w:p>
    <w:p w14:paraId="5E228FA3" w14:textId="77777777" w:rsidR="0073110E" w:rsidRDefault="0073110E" w:rsidP="0047431B">
      <w:pPr>
        <w:pStyle w:val="Quote1"/>
        <w:rPr>
          <w:i/>
          <w:iCs/>
          <w:szCs w:val="22"/>
          <w:lang w:eastAsia="en-AU"/>
        </w:rPr>
      </w:pPr>
      <w:r>
        <w:rPr>
          <w:i/>
          <w:iCs/>
          <w:szCs w:val="22"/>
          <w:lang w:eastAsia="en-AU"/>
        </w:rPr>
        <w:t>Maximum pecuniary penalty</w:t>
      </w:r>
    </w:p>
    <w:p w14:paraId="2070FEE3" w14:textId="21F6F448" w:rsidR="0073110E" w:rsidRDefault="0073110E" w:rsidP="00736202">
      <w:pPr>
        <w:pStyle w:val="Quote1"/>
        <w:ind w:left="1437" w:hanging="700"/>
        <w:rPr>
          <w:szCs w:val="22"/>
          <w:lang w:eastAsia="en-AU"/>
        </w:rPr>
      </w:pPr>
      <w:r>
        <w:rPr>
          <w:szCs w:val="22"/>
          <w:lang w:eastAsia="en-AU"/>
        </w:rPr>
        <w:lastRenderedPageBreak/>
        <w:t xml:space="preserve">(2) </w:t>
      </w:r>
      <w:r w:rsidR="00736202">
        <w:rPr>
          <w:szCs w:val="22"/>
          <w:lang w:eastAsia="en-AU"/>
        </w:rPr>
        <w:tab/>
      </w:r>
      <w:r>
        <w:rPr>
          <w:szCs w:val="22"/>
          <w:lang w:eastAsia="en-AU"/>
        </w:rPr>
        <w:t>The pecuniary penalty must not exceed the pecuniary penalty</w:t>
      </w:r>
      <w:r w:rsidR="00736202">
        <w:rPr>
          <w:szCs w:val="22"/>
          <w:lang w:eastAsia="en-AU"/>
        </w:rPr>
        <w:t xml:space="preserve"> </w:t>
      </w:r>
      <w:r>
        <w:rPr>
          <w:szCs w:val="22"/>
          <w:lang w:eastAsia="en-AU"/>
        </w:rPr>
        <w:t>applicable to the contravention of the civil penalty provision.</w:t>
      </w:r>
    </w:p>
    <w:p w14:paraId="7E218966" w14:textId="692FE03E" w:rsidR="00D76DC8" w:rsidRPr="00D76DC8" w:rsidRDefault="00D76DC8" w:rsidP="00D76DC8">
      <w:pPr>
        <w:pStyle w:val="Quote1"/>
        <w:rPr>
          <w:szCs w:val="22"/>
          <w:lang w:eastAsia="en-AU"/>
        </w:rPr>
      </w:pPr>
      <w:r>
        <w:rPr>
          <w:szCs w:val="22"/>
          <w:lang w:eastAsia="en-AU"/>
        </w:rPr>
        <w:t>…</w:t>
      </w:r>
    </w:p>
    <w:p w14:paraId="4429A601" w14:textId="65AECDFE" w:rsidR="005729E0" w:rsidRDefault="005729E0" w:rsidP="00D76DC8">
      <w:pPr>
        <w:pStyle w:val="Quote1"/>
        <w:rPr>
          <w:i/>
          <w:iCs/>
          <w:szCs w:val="22"/>
          <w:lang w:eastAsia="en-AU"/>
        </w:rPr>
      </w:pPr>
      <w:r>
        <w:rPr>
          <w:i/>
          <w:iCs/>
          <w:szCs w:val="22"/>
          <w:lang w:eastAsia="en-AU"/>
        </w:rPr>
        <w:t>Pecuniary penalty applicable to the contravention of a civil penalty</w:t>
      </w:r>
      <w:r w:rsidR="00D76DC8">
        <w:rPr>
          <w:i/>
          <w:iCs/>
          <w:szCs w:val="22"/>
          <w:lang w:eastAsia="en-AU"/>
        </w:rPr>
        <w:t xml:space="preserve"> </w:t>
      </w:r>
      <w:r>
        <w:rPr>
          <w:i/>
          <w:iCs/>
          <w:szCs w:val="22"/>
          <w:lang w:eastAsia="en-AU"/>
        </w:rPr>
        <w:t>provision-by a body corporate</w:t>
      </w:r>
    </w:p>
    <w:p w14:paraId="7CE65D5A" w14:textId="5FAF80AD" w:rsidR="005729E0" w:rsidRPr="00D76DC8" w:rsidRDefault="005729E0" w:rsidP="00A4777A">
      <w:pPr>
        <w:pStyle w:val="Quote1"/>
        <w:numPr>
          <w:ilvl w:val="0"/>
          <w:numId w:val="37"/>
        </w:numPr>
        <w:ind w:left="1418" w:hanging="681"/>
        <w:rPr>
          <w:szCs w:val="22"/>
          <w:lang w:eastAsia="en-AU"/>
        </w:rPr>
      </w:pPr>
      <w:r>
        <w:rPr>
          <w:szCs w:val="22"/>
          <w:lang w:eastAsia="en-AU"/>
        </w:rPr>
        <w:t xml:space="preserve">The </w:t>
      </w:r>
      <w:r w:rsidRPr="003E02AD">
        <w:rPr>
          <w:b/>
          <w:i/>
          <w:sz w:val="21"/>
          <w:szCs w:val="21"/>
          <w:lang w:eastAsia="en-AU"/>
        </w:rPr>
        <w:t xml:space="preserve">pecuniary penalty applicable </w:t>
      </w:r>
      <w:r>
        <w:rPr>
          <w:szCs w:val="22"/>
          <w:lang w:eastAsia="en-AU"/>
        </w:rPr>
        <w:t>to the contravention of a civil</w:t>
      </w:r>
      <w:r w:rsidR="00D76DC8">
        <w:rPr>
          <w:szCs w:val="22"/>
          <w:lang w:eastAsia="en-AU"/>
        </w:rPr>
        <w:t xml:space="preserve"> </w:t>
      </w:r>
      <w:r w:rsidRPr="00D76DC8">
        <w:rPr>
          <w:szCs w:val="22"/>
          <w:lang w:eastAsia="en-AU"/>
        </w:rPr>
        <w:t>penalty provision by a body corporate is the greatest of:</w:t>
      </w:r>
    </w:p>
    <w:p w14:paraId="2C982DC6" w14:textId="6AE85153" w:rsidR="005729E0" w:rsidRDefault="005729E0" w:rsidP="003E02AD">
      <w:pPr>
        <w:pStyle w:val="Quote2"/>
        <w:spacing w:after="0"/>
        <w:rPr>
          <w:szCs w:val="22"/>
          <w:lang w:eastAsia="en-AU"/>
        </w:rPr>
      </w:pPr>
      <w:r>
        <w:rPr>
          <w:szCs w:val="22"/>
          <w:lang w:eastAsia="en-AU"/>
        </w:rPr>
        <w:t xml:space="preserve">(a) </w:t>
      </w:r>
      <w:r w:rsidR="00D76DC8">
        <w:rPr>
          <w:szCs w:val="22"/>
          <w:lang w:eastAsia="en-AU"/>
        </w:rPr>
        <w:tab/>
      </w:r>
      <w:r>
        <w:rPr>
          <w:szCs w:val="22"/>
          <w:lang w:eastAsia="en-AU"/>
        </w:rPr>
        <w:t>50,000 penalty units; and</w:t>
      </w:r>
    </w:p>
    <w:p w14:paraId="589DD1B1" w14:textId="03122491" w:rsidR="005729E0" w:rsidRDefault="005729E0" w:rsidP="003E02AD">
      <w:pPr>
        <w:pStyle w:val="Quote2"/>
        <w:spacing w:after="0"/>
        <w:ind w:left="2160" w:hanging="720"/>
        <w:rPr>
          <w:szCs w:val="22"/>
          <w:lang w:eastAsia="en-AU"/>
        </w:rPr>
      </w:pPr>
      <w:r>
        <w:rPr>
          <w:szCs w:val="22"/>
          <w:lang w:eastAsia="en-AU"/>
        </w:rPr>
        <w:t>(b)</w:t>
      </w:r>
      <w:r w:rsidR="00D76DC8">
        <w:rPr>
          <w:szCs w:val="22"/>
          <w:lang w:eastAsia="en-AU"/>
        </w:rPr>
        <w:tab/>
      </w:r>
      <w:r>
        <w:rPr>
          <w:szCs w:val="22"/>
          <w:lang w:eastAsia="en-AU"/>
        </w:rPr>
        <w:t>if the Court can determine the benefit derived and detriment</w:t>
      </w:r>
      <w:r w:rsidR="00D76DC8">
        <w:rPr>
          <w:szCs w:val="22"/>
          <w:lang w:eastAsia="en-AU"/>
        </w:rPr>
        <w:t xml:space="preserve"> </w:t>
      </w:r>
      <w:r>
        <w:rPr>
          <w:szCs w:val="22"/>
          <w:lang w:eastAsia="en-AU"/>
        </w:rPr>
        <w:t>avoided because of the contravention-that amount</w:t>
      </w:r>
      <w:r w:rsidR="00D76DC8">
        <w:rPr>
          <w:szCs w:val="22"/>
          <w:lang w:eastAsia="en-AU"/>
        </w:rPr>
        <w:t xml:space="preserve"> </w:t>
      </w:r>
      <w:r>
        <w:rPr>
          <w:szCs w:val="22"/>
          <w:lang w:eastAsia="en-AU"/>
        </w:rPr>
        <w:t>multiplied by 3; and</w:t>
      </w:r>
    </w:p>
    <w:p w14:paraId="398254DC" w14:textId="57DF1F96" w:rsidR="005729E0" w:rsidRDefault="005729E0" w:rsidP="003E02AD">
      <w:pPr>
        <w:pStyle w:val="Quote2"/>
        <w:spacing w:after="0"/>
        <w:rPr>
          <w:szCs w:val="22"/>
          <w:lang w:eastAsia="en-AU"/>
        </w:rPr>
      </w:pPr>
      <w:r>
        <w:rPr>
          <w:szCs w:val="22"/>
          <w:lang w:eastAsia="en-AU"/>
        </w:rPr>
        <w:t>(c)</w:t>
      </w:r>
      <w:r w:rsidR="00D76DC8">
        <w:rPr>
          <w:szCs w:val="22"/>
          <w:lang w:eastAsia="en-AU"/>
        </w:rPr>
        <w:tab/>
      </w:r>
      <w:r>
        <w:rPr>
          <w:szCs w:val="22"/>
          <w:lang w:eastAsia="en-AU"/>
        </w:rPr>
        <w:t>either:</w:t>
      </w:r>
    </w:p>
    <w:p w14:paraId="41F56C18" w14:textId="1DEE1CDD" w:rsidR="005729E0" w:rsidRDefault="005729E0" w:rsidP="003E02AD">
      <w:pPr>
        <w:pStyle w:val="Quote3"/>
        <w:spacing w:after="0"/>
        <w:ind w:left="2880" w:hanging="720"/>
        <w:rPr>
          <w:szCs w:val="22"/>
          <w:lang w:eastAsia="en-AU"/>
        </w:rPr>
      </w:pPr>
      <w:r>
        <w:rPr>
          <w:szCs w:val="22"/>
          <w:lang w:eastAsia="en-AU"/>
        </w:rPr>
        <w:t>(</w:t>
      </w:r>
      <w:proofErr w:type="spellStart"/>
      <w:r>
        <w:rPr>
          <w:szCs w:val="22"/>
          <w:lang w:eastAsia="en-AU"/>
        </w:rPr>
        <w:t>i</w:t>
      </w:r>
      <w:proofErr w:type="spellEnd"/>
      <w:r>
        <w:rPr>
          <w:szCs w:val="22"/>
          <w:lang w:eastAsia="en-AU"/>
        </w:rPr>
        <w:t xml:space="preserve">) </w:t>
      </w:r>
      <w:r w:rsidR="00D76DC8">
        <w:rPr>
          <w:szCs w:val="22"/>
          <w:lang w:eastAsia="en-AU"/>
        </w:rPr>
        <w:tab/>
      </w:r>
      <w:r>
        <w:rPr>
          <w:szCs w:val="22"/>
          <w:lang w:eastAsia="en-AU"/>
        </w:rPr>
        <w:t>10% of the annual turnover of the body corporate for the</w:t>
      </w:r>
      <w:r w:rsidR="00D76DC8">
        <w:rPr>
          <w:szCs w:val="22"/>
          <w:lang w:eastAsia="en-AU"/>
        </w:rPr>
        <w:t xml:space="preserve"> </w:t>
      </w:r>
      <w:r>
        <w:rPr>
          <w:szCs w:val="22"/>
          <w:lang w:eastAsia="en-AU"/>
        </w:rPr>
        <w:t>12-month period ending at the end of the month in</w:t>
      </w:r>
      <w:r w:rsidR="00D76DC8">
        <w:rPr>
          <w:szCs w:val="22"/>
          <w:lang w:eastAsia="en-AU"/>
        </w:rPr>
        <w:t xml:space="preserve"> </w:t>
      </w:r>
      <w:r>
        <w:rPr>
          <w:szCs w:val="22"/>
          <w:lang w:eastAsia="en-AU"/>
        </w:rPr>
        <w:t>which the body corporate contravened, or began to</w:t>
      </w:r>
      <w:r w:rsidR="00D76DC8">
        <w:rPr>
          <w:szCs w:val="22"/>
          <w:lang w:eastAsia="en-AU"/>
        </w:rPr>
        <w:t xml:space="preserve"> </w:t>
      </w:r>
      <w:r>
        <w:rPr>
          <w:szCs w:val="22"/>
          <w:lang w:eastAsia="en-AU"/>
        </w:rPr>
        <w:t>contravene, the civil penalty provision; or</w:t>
      </w:r>
    </w:p>
    <w:p w14:paraId="3ACCAE99" w14:textId="54DDCF6F" w:rsidR="005729E0" w:rsidRPr="00D76DC8" w:rsidRDefault="005729E0" w:rsidP="00024F6F">
      <w:pPr>
        <w:pStyle w:val="Quote3"/>
        <w:ind w:left="2880" w:hanging="720"/>
        <w:rPr>
          <w:szCs w:val="22"/>
          <w:lang w:eastAsia="en-AU"/>
        </w:rPr>
      </w:pPr>
      <w:r>
        <w:rPr>
          <w:szCs w:val="22"/>
          <w:lang w:eastAsia="en-AU"/>
        </w:rPr>
        <w:t>(ii)</w:t>
      </w:r>
      <w:r w:rsidR="00D76DC8">
        <w:rPr>
          <w:szCs w:val="22"/>
          <w:lang w:eastAsia="en-AU"/>
        </w:rPr>
        <w:tab/>
      </w:r>
      <w:r>
        <w:rPr>
          <w:szCs w:val="22"/>
          <w:lang w:eastAsia="en-AU"/>
        </w:rPr>
        <w:t>if the amount worked out under subparagraph (</w:t>
      </w:r>
      <w:proofErr w:type="spellStart"/>
      <w:r>
        <w:rPr>
          <w:szCs w:val="22"/>
          <w:lang w:eastAsia="en-AU"/>
        </w:rPr>
        <w:t>i</w:t>
      </w:r>
      <w:proofErr w:type="spellEnd"/>
      <w:r>
        <w:rPr>
          <w:szCs w:val="22"/>
          <w:lang w:eastAsia="en-AU"/>
        </w:rPr>
        <w:t>) is</w:t>
      </w:r>
      <w:r w:rsidR="00D76DC8">
        <w:rPr>
          <w:szCs w:val="22"/>
          <w:lang w:eastAsia="en-AU"/>
        </w:rPr>
        <w:t xml:space="preserve"> </w:t>
      </w:r>
      <w:r>
        <w:rPr>
          <w:szCs w:val="22"/>
          <w:lang w:eastAsia="en-AU"/>
        </w:rPr>
        <w:t>greater than an amount equal to 2.5 million penalty</w:t>
      </w:r>
      <w:r w:rsidR="00D76DC8">
        <w:rPr>
          <w:szCs w:val="22"/>
          <w:lang w:eastAsia="en-AU"/>
        </w:rPr>
        <w:t xml:space="preserve"> </w:t>
      </w:r>
      <w:r>
        <w:rPr>
          <w:szCs w:val="22"/>
          <w:lang w:eastAsia="en-AU"/>
        </w:rPr>
        <w:t>units</w:t>
      </w:r>
      <w:r w:rsidR="009A284D">
        <w:rPr>
          <w:szCs w:val="22"/>
          <w:lang w:eastAsia="en-AU"/>
        </w:rPr>
        <w:t>–</w:t>
      </w:r>
      <w:r>
        <w:rPr>
          <w:szCs w:val="22"/>
          <w:lang w:eastAsia="en-AU"/>
        </w:rPr>
        <w:t>2.5 million penalty units.</w:t>
      </w:r>
    </w:p>
    <w:p w14:paraId="0CA8457D" w14:textId="4C54004D" w:rsidR="00D76DC8" w:rsidRPr="003E02AD" w:rsidRDefault="00D76DC8" w:rsidP="0047431B">
      <w:pPr>
        <w:pStyle w:val="Quote1"/>
        <w:rPr>
          <w:i/>
          <w:szCs w:val="22"/>
          <w:lang w:eastAsia="en-AU"/>
        </w:rPr>
      </w:pPr>
      <w:r w:rsidRPr="003E02AD">
        <w:rPr>
          <w:i/>
          <w:szCs w:val="22"/>
          <w:lang w:eastAsia="en-AU"/>
        </w:rPr>
        <w:t>…</w:t>
      </w:r>
    </w:p>
    <w:p w14:paraId="2876DFE2" w14:textId="7534FBAE" w:rsidR="005729E0" w:rsidRDefault="005729E0" w:rsidP="0047431B">
      <w:pPr>
        <w:pStyle w:val="Quote1"/>
        <w:rPr>
          <w:i/>
          <w:iCs/>
          <w:szCs w:val="22"/>
          <w:lang w:eastAsia="en-AU"/>
        </w:rPr>
      </w:pPr>
      <w:bookmarkStart w:id="38" w:name="_Hlk160119274"/>
      <w:r>
        <w:rPr>
          <w:i/>
          <w:iCs/>
          <w:szCs w:val="22"/>
          <w:lang w:eastAsia="en-AU"/>
        </w:rPr>
        <w:t>Determining pecuniary penalty</w:t>
      </w:r>
    </w:p>
    <w:p w14:paraId="506BA254" w14:textId="40DA6791" w:rsidR="005729E0" w:rsidRDefault="005729E0" w:rsidP="00D76DC8">
      <w:pPr>
        <w:pStyle w:val="Quote1"/>
        <w:ind w:left="1437" w:hanging="700"/>
        <w:rPr>
          <w:szCs w:val="22"/>
          <w:lang w:eastAsia="en-AU"/>
        </w:rPr>
      </w:pPr>
      <w:r>
        <w:rPr>
          <w:szCs w:val="22"/>
          <w:lang w:eastAsia="en-AU"/>
        </w:rPr>
        <w:t xml:space="preserve">(6) </w:t>
      </w:r>
      <w:r w:rsidR="00D76DC8">
        <w:rPr>
          <w:szCs w:val="22"/>
          <w:lang w:eastAsia="en-AU"/>
        </w:rPr>
        <w:tab/>
      </w:r>
      <w:r>
        <w:rPr>
          <w:szCs w:val="22"/>
          <w:lang w:eastAsia="en-AU"/>
        </w:rPr>
        <w:t xml:space="preserve">In determining the pecuniary penalty, the Court must </w:t>
      </w:r>
      <w:proofErr w:type="gramStart"/>
      <w:r>
        <w:rPr>
          <w:szCs w:val="22"/>
          <w:lang w:eastAsia="en-AU"/>
        </w:rPr>
        <w:t>take into</w:t>
      </w:r>
      <w:r w:rsidR="00D76DC8">
        <w:rPr>
          <w:szCs w:val="22"/>
          <w:lang w:eastAsia="en-AU"/>
        </w:rPr>
        <w:t xml:space="preserve"> </w:t>
      </w:r>
      <w:r>
        <w:rPr>
          <w:szCs w:val="22"/>
          <w:lang w:eastAsia="en-AU"/>
        </w:rPr>
        <w:t>account</w:t>
      </w:r>
      <w:proofErr w:type="gramEnd"/>
      <w:r w:rsidRPr="003E02AD">
        <w:rPr>
          <w:b/>
          <w:szCs w:val="22"/>
          <w:lang w:eastAsia="en-AU"/>
        </w:rPr>
        <w:t xml:space="preserve"> all relevant matters</w:t>
      </w:r>
      <w:r>
        <w:rPr>
          <w:szCs w:val="22"/>
          <w:lang w:eastAsia="en-AU"/>
        </w:rPr>
        <w:t>, including:</w:t>
      </w:r>
    </w:p>
    <w:p w14:paraId="4C3F5D3C" w14:textId="15C3F0AF" w:rsidR="005729E0" w:rsidRDefault="005729E0" w:rsidP="002B3BDC">
      <w:pPr>
        <w:pStyle w:val="Quote2"/>
        <w:spacing w:after="0"/>
        <w:rPr>
          <w:lang w:eastAsia="en-AU"/>
        </w:rPr>
      </w:pPr>
      <w:r>
        <w:rPr>
          <w:lang w:eastAsia="en-AU"/>
        </w:rPr>
        <w:t xml:space="preserve">(a) </w:t>
      </w:r>
      <w:r w:rsidR="00D76DC8">
        <w:rPr>
          <w:lang w:eastAsia="en-AU"/>
        </w:rPr>
        <w:tab/>
      </w:r>
      <w:r>
        <w:rPr>
          <w:lang w:eastAsia="en-AU"/>
        </w:rPr>
        <w:t>the nature and extent of the contravention; and</w:t>
      </w:r>
    </w:p>
    <w:p w14:paraId="35E8B624" w14:textId="792F1DB6" w:rsidR="005729E0" w:rsidRDefault="005729E0" w:rsidP="002B3BDC">
      <w:pPr>
        <w:pStyle w:val="Quote2"/>
        <w:spacing w:after="0"/>
        <w:ind w:left="2160" w:hanging="720"/>
        <w:rPr>
          <w:lang w:eastAsia="en-AU"/>
        </w:rPr>
      </w:pPr>
      <w:r>
        <w:rPr>
          <w:lang w:eastAsia="en-AU"/>
        </w:rPr>
        <w:t xml:space="preserve">(b) </w:t>
      </w:r>
      <w:r w:rsidR="00D76DC8">
        <w:rPr>
          <w:lang w:eastAsia="en-AU"/>
        </w:rPr>
        <w:tab/>
      </w:r>
      <w:r>
        <w:rPr>
          <w:lang w:eastAsia="en-AU"/>
        </w:rPr>
        <w:t>the nature and extent of any loss or damage suffered because</w:t>
      </w:r>
      <w:r w:rsidR="00D76DC8">
        <w:rPr>
          <w:lang w:eastAsia="en-AU"/>
        </w:rPr>
        <w:t xml:space="preserve"> of the contravention; and </w:t>
      </w:r>
    </w:p>
    <w:p w14:paraId="037EA50F" w14:textId="449C8F3E" w:rsidR="00502B84" w:rsidRDefault="00502B84" w:rsidP="002B3BDC">
      <w:pPr>
        <w:pStyle w:val="Quote2"/>
        <w:spacing w:after="0"/>
        <w:rPr>
          <w:sz w:val="21"/>
          <w:szCs w:val="21"/>
          <w:lang w:eastAsia="en-AU"/>
        </w:rPr>
      </w:pPr>
      <w:r>
        <w:rPr>
          <w:sz w:val="21"/>
          <w:szCs w:val="21"/>
          <w:lang w:eastAsia="en-AU"/>
        </w:rPr>
        <w:t>(c)</w:t>
      </w:r>
      <w:r w:rsidR="00D76DC8">
        <w:rPr>
          <w:sz w:val="21"/>
          <w:szCs w:val="21"/>
          <w:lang w:eastAsia="en-AU"/>
        </w:rPr>
        <w:tab/>
      </w:r>
      <w:r>
        <w:rPr>
          <w:sz w:val="21"/>
          <w:szCs w:val="21"/>
          <w:lang w:eastAsia="en-AU"/>
        </w:rPr>
        <w:t>the circumstances in which the contravention took place; and</w:t>
      </w:r>
    </w:p>
    <w:p w14:paraId="0EB3318B" w14:textId="13D46480" w:rsidR="00502B84" w:rsidRDefault="00502B84" w:rsidP="002B3BDC">
      <w:pPr>
        <w:pStyle w:val="Quote2"/>
        <w:spacing w:after="0"/>
        <w:ind w:left="2160" w:hanging="720"/>
        <w:rPr>
          <w:lang w:eastAsia="en-AU"/>
        </w:rPr>
      </w:pPr>
      <w:r>
        <w:rPr>
          <w:sz w:val="21"/>
          <w:szCs w:val="21"/>
          <w:lang w:eastAsia="en-AU"/>
        </w:rPr>
        <w:t>(d)</w:t>
      </w:r>
      <w:r w:rsidR="00D76DC8">
        <w:rPr>
          <w:sz w:val="21"/>
          <w:szCs w:val="21"/>
          <w:lang w:eastAsia="en-AU"/>
        </w:rPr>
        <w:tab/>
      </w:r>
      <w:r>
        <w:rPr>
          <w:sz w:val="21"/>
          <w:szCs w:val="21"/>
          <w:lang w:eastAsia="en-AU"/>
        </w:rPr>
        <w:t>whether the person has previously been found by a court</w:t>
      </w:r>
      <w:r w:rsidR="00D76DC8">
        <w:rPr>
          <w:sz w:val="21"/>
          <w:szCs w:val="21"/>
          <w:lang w:eastAsia="en-AU"/>
        </w:rPr>
        <w:t xml:space="preserve"> </w:t>
      </w:r>
      <w:r>
        <w:rPr>
          <w:sz w:val="21"/>
          <w:szCs w:val="21"/>
          <w:lang w:eastAsia="en-AU"/>
        </w:rPr>
        <w:t>(including a court in foreign country) to have engaged in</w:t>
      </w:r>
      <w:r w:rsidR="00D76DC8">
        <w:rPr>
          <w:sz w:val="21"/>
          <w:szCs w:val="21"/>
          <w:lang w:eastAsia="en-AU"/>
        </w:rPr>
        <w:t xml:space="preserve"> </w:t>
      </w:r>
      <w:r>
        <w:rPr>
          <w:sz w:val="21"/>
          <w:szCs w:val="21"/>
          <w:lang w:eastAsia="en-AU"/>
        </w:rPr>
        <w:t>similar conduct.</w:t>
      </w:r>
      <w:r>
        <w:rPr>
          <w:lang w:eastAsia="en-AU"/>
        </w:rPr>
        <w:t xml:space="preserve"> </w:t>
      </w:r>
    </w:p>
    <w:p w14:paraId="373F1653" w14:textId="5F7090BE" w:rsidR="00A11D93" w:rsidRDefault="00A11D93" w:rsidP="00C652A3">
      <w:pPr>
        <w:pStyle w:val="Quote2"/>
        <w:ind w:left="2160" w:hanging="720"/>
        <w:rPr>
          <w:lang w:eastAsia="en-AU"/>
        </w:rPr>
      </w:pPr>
      <w:r>
        <w:rPr>
          <w:lang w:eastAsia="en-AU"/>
        </w:rPr>
        <w:t>…</w:t>
      </w:r>
    </w:p>
    <w:p w14:paraId="21854E0A" w14:textId="55B672E3" w:rsidR="009A284D" w:rsidRDefault="009A284D" w:rsidP="002B3BDC">
      <w:pPr>
        <w:pStyle w:val="Quote2"/>
        <w:ind w:left="0"/>
      </w:pPr>
      <w:r>
        <w:rPr>
          <w:lang w:eastAsia="en-AU"/>
        </w:rPr>
        <w:tab/>
        <w:t>(Emphasis added.)</w:t>
      </w:r>
    </w:p>
    <w:p w14:paraId="44026BCA" w14:textId="4705689A" w:rsidR="00EA65CC" w:rsidRDefault="00EA65CC" w:rsidP="000D6D80">
      <w:pPr>
        <w:pStyle w:val="ParaNumbering"/>
      </w:pPr>
      <w:bookmarkStart w:id="39" w:name="_Hlk160097358"/>
      <w:bookmarkEnd w:id="38"/>
      <w:r>
        <w:t>In</w:t>
      </w:r>
      <w:r w:rsidR="00E5041F">
        <w:t xml:space="preserve"> respect of s 1317</w:t>
      </w:r>
      <w:proofErr w:type="gramStart"/>
      <w:r w:rsidR="00E5041F">
        <w:t>G</w:t>
      </w:r>
      <w:r w:rsidR="00052A39">
        <w:t>(</w:t>
      </w:r>
      <w:proofErr w:type="gramEnd"/>
      <w:r w:rsidR="00052A39">
        <w:t>1)</w:t>
      </w:r>
      <w:r w:rsidR="00E5041F">
        <w:t>, in</w:t>
      </w:r>
      <w:r>
        <w:t xml:space="preserve"> the present case, </w:t>
      </w:r>
      <w:r w:rsidR="00E5041F">
        <w:t>sub</w:t>
      </w:r>
      <w:r>
        <w:t>paragraph (a) is satisfied</w:t>
      </w:r>
      <w:r w:rsidR="00892A9E">
        <w:t>. A</w:t>
      </w:r>
      <w:r>
        <w:t xml:space="preserve"> declaration of contravention by the person will have been made under s 1317E. </w:t>
      </w:r>
      <w:r w:rsidR="009C33C5">
        <w:t>Subparagraph</w:t>
      </w:r>
      <w:r>
        <w:t xml:space="preserve"> (c) sets o</w:t>
      </w:r>
      <w:r w:rsidR="004345BA">
        <w:t xml:space="preserve">ut what of three possible </w:t>
      </w:r>
      <w:r w:rsidR="002273C4">
        <w:t xml:space="preserve">consequences </w:t>
      </w:r>
      <w:r w:rsidR="004345BA">
        <w:t>must flow from the contravention</w:t>
      </w:r>
      <w:r w:rsidR="00F94921">
        <w:t>,</w:t>
      </w:r>
      <w:r w:rsidR="004345BA">
        <w:t xml:space="preserve"> </w:t>
      </w:r>
      <w:proofErr w:type="gramStart"/>
      <w:r w:rsidR="004345BA">
        <w:t>in order for</w:t>
      </w:r>
      <w:proofErr w:type="gramEnd"/>
      <w:r w:rsidR="004345BA">
        <w:t xml:space="preserve"> a pecuniary penalty to be imposed.</w:t>
      </w:r>
      <w:bookmarkEnd w:id="39"/>
      <w:r w:rsidRPr="00821A5F">
        <w:t xml:space="preserve"> </w:t>
      </w:r>
      <w:proofErr w:type="spellStart"/>
      <w:r w:rsidR="008D3033">
        <w:t>Holista</w:t>
      </w:r>
      <w:proofErr w:type="spellEnd"/>
      <w:r w:rsidR="008D3033">
        <w:t xml:space="preserve"> </w:t>
      </w:r>
      <w:r w:rsidRPr="00821A5F">
        <w:t>admits that its contravention</w:t>
      </w:r>
      <w:r w:rsidR="002273C4" w:rsidRPr="002273C4">
        <w:t xml:space="preserve"> </w:t>
      </w:r>
      <w:r w:rsidR="002273C4" w:rsidRPr="00821A5F">
        <w:t>of s</w:t>
      </w:r>
      <w:r w:rsidR="002273C4">
        <w:t> </w:t>
      </w:r>
      <w:r w:rsidR="002273C4" w:rsidRPr="00821A5F">
        <w:t xml:space="preserve">674(2) of the </w:t>
      </w:r>
      <w:r w:rsidR="002273C4" w:rsidRPr="00566EE0">
        <w:rPr>
          <w:i/>
          <w:iCs/>
        </w:rPr>
        <w:t>Corporations Act</w:t>
      </w:r>
      <w:r w:rsidR="002273C4" w:rsidRPr="00821A5F">
        <w:t>,</w:t>
      </w:r>
      <w:r w:rsidRPr="00821A5F">
        <w:t xml:space="preserve"> is </w:t>
      </w:r>
      <w:r w:rsidRPr="00566EE0">
        <w:rPr>
          <w:i/>
          <w:iCs/>
        </w:rPr>
        <w:t>serious</w:t>
      </w:r>
      <w:r w:rsidRPr="00821A5F">
        <w:t xml:space="preserve"> within the meaning of </w:t>
      </w:r>
      <w:r>
        <w:t xml:space="preserve">subparagraph (iii) of </w:t>
      </w:r>
      <w:r w:rsidRPr="00821A5F">
        <w:t>s</w:t>
      </w:r>
      <w:r>
        <w:t> </w:t>
      </w:r>
      <w:r w:rsidRPr="00821A5F">
        <w:t>1317G(1)(c)</w:t>
      </w:r>
      <w:r w:rsidR="00282412">
        <w:t xml:space="preserve">. </w:t>
      </w:r>
      <w:r>
        <w:t xml:space="preserve">It is therefore unnecessary to consider the other two alternatives in </w:t>
      </w:r>
      <w:r w:rsidR="006C384A">
        <w:t>sub</w:t>
      </w:r>
      <w:r>
        <w:t>paragraph (c).  Accordingly, the discretion to impose a pecuniary penalty is enlivened.</w:t>
      </w:r>
    </w:p>
    <w:p w14:paraId="7817CC38" w14:textId="5D7BC029" w:rsidR="00EA65CC" w:rsidRDefault="00282412" w:rsidP="000D6D80">
      <w:pPr>
        <w:pStyle w:val="ParaNumbering"/>
      </w:pPr>
      <w:r>
        <w:t xml:space="preserve">The maximum penalty that could be ordered against </w:t>
      </w:r>
      <w:proofErr w:type="spellStart"/>
      <w:r>
        <w:t>Holist</w:t>
      </w:r>
      <w:r w:rsidR="00F11237">
        <w:t>a</w:t>
      </w:r>
      <w:proofErr w:type="spellEnd"/>
      <w:r>
        <w:t xml:space="preserve"> in respect of each contravention </w:t>
      </w:r>
      <w:r w:rsidR="00214C0A">
        <w:t>of s 674(2) is $10.5 million</w:t>
      </w:r>
      <w:r w:rsidR="00F11237">
        <w:t>.</w:t>
      </w:r>
    </w:p>
    <w:p w14:paraId="3160787E" w14:textId="358ABF9A" w:rsidR="009C7C5F" w:rsidRDefault="000E1343" w:rsidP="000D6D80">
      <w:pPr>
        <w:pStyle w:val="ParaNumbering"/>
      </w:pPr>
      <w:r>
        <w:lastRenderedPageBreak/>
        <w:t>ASIC submitted that, based on the admitted contraventions</w:t>
      </w:r>
      <w:r w:rsidR="00F25967">
        <w:t>, a total penalty in the range of $1,800,000 to $2,000,000 is appropriate, regardless of the finding as to whether the contravention</w:t>
      </w:r>
      <w:r w:rsidR="00D3695A">
        <w:t>s arising from the Orders Shortfall Information and the Revenue Shortfall Information commenced on 9 April 2020 or 22 April 2020. It submitted that</w:t>
      </w:r>
      <w:r w:rsidR="003C7A09">
        <w:t>,</w:t>
      </w:r>
      <w:r w:rsidR="00D3695A">
        <w:t xml:space="preserve"> if </w:t>
      </w:r>
      <w:proofErr w:type="spellStart"/>
      <w:r w:rsidR="00D3695A">
        <w:t>Holista</w:t>
      </w:r>
      <w:proofErr w:type="spellEnd"/>
      <w:r w:rsidR="00D3695A">
        <w:t xml:space="preserve"> was found to have been reckless</w:t>
      </w:r>
      <w:r w:rsidR="004A5160">
        <w:t xml:space="preserve">, the appropriate penalty range </w:t>
      </w:r>
      <w:r w:rsidR="003C7A09">
        <w:t xml:space="preserve">would be </w:t>
      </w:r>
      <w:r w:rsidR="004A5160">
        <w:t>$2,100,000 to $2,500,000.</w:t>
      </w:r>
      <w:r w:rsidR="004A3BD3">
        <w:t xml:space="preserve"> ASIC accepts that</w:t>
      </w:r>
      <w:r w:rsidR="00A74E1E">
        <w:t>,</w:t>
      </w:r>
      <w:r w:rsidR="00F8545D">
        <w:t xml:space="preserve"> applying the course of conduct principle</w:t>
      </w:r>
      <w:r w:rsidR="00A74E1E">
        <w:t>,</w:t>
      </w:r>
      <w:r w:rsidR="00812E7E">
        <w:t xml:space="preserve"> a single penalty ought to be imposed for all contraventions: </w:t>
      </w:r>
      <w:r w:rsidR="00DB062C" w:rsidRPr="006941F0">
        <w:rPr>
          <w:i/>
          <w:iCs/>
        </w:rPr>
        <w:t xml:space="preserve">Transport Workers’ Union of Australia v Registered Organisations Commission (No 2) </w:t>
      </w:r>
      <w:r w:rsidR="0080281D" w:rsidRPr="006941F0">
        <w:rPr>
          <w:i/>
          <w:iCs/>
        </w:rPr>
        <w:t>(</w:t>
      </w:r>
      <w:r w:rsidR="0080281D" w:rsidRPr="006941F0">
        <w:rPr>
          <w:b/>
          <w:bCs/>
          <w:i/>
          <w:iCs/>
        </w:rPr>
        <w:t>TWU</w:t>
      </w:r>
      <w:r w:rsidR="0080281D" w:rsidRPr="006941F0">
        <w:rPr>
          <w:i/>
          <w:iCs/>
        </w:rPr>
        <w:t>)</w:t>
      </w:r>
      <w:r w:rsidR="0080281D" w:rsidRPr="006941F0">
        <w:t xml:space="preserve"> </w:t>
      </w:r>
      <w:r w:rsidR="00DB062C" w:rsidRPr="006941F0">
        <w:t>[2018] FCAFC 203;</w:t>
      </w:r>
      <w:r w:rsidR="00B84430" w:rsidRPr="006941F0">
        <w:t xml:space="preserve"> 267 FCR 40</w:t>
      </w:r>
      <w:r w:rsidR="00B84430">
        <w:t xml:space="preserve"> at [90]</w:t>
      </w:r>
      <w:r w:rsidR="00AC533A">
        <w:t>:</w:t>
      </w:r>
    </w:p>
    <w:p w14:paraId="7F4C67F6" w14:textId="088ECA50" w:rsidR="00AC533A" w:rsidRPr="009A689C" w:rsidRDefault="00172296" w:rsidP="003C7A09">
      <w:pPr>
        <w:pStyle w:val="Quote1"/>
        <w:spacing w:after="240"/>
        <w:rPr>
          <w:lang w:eastAsia="en-AU"/>
        </w:rPr>
      </w:pPr>
      <w:r w:rsidRPr="00172296">
        <w:rPr>
          <w:lang w:eastAsia="en-AU"/>
        </w:rPr>
        <w:t>That there can be one penalty from multiple contraventions was recognised</w:t>
      </w:r>
      <w:r>
        <w:rPr>
          <w:lang w:eastAsia="en-AU"/>
        </w:rPr>
        <w:t xml:space="preserve"> </w:t>
      </w:r>
      <w:r w:rsidRPr="00172296">
        <w:rPr>
          <w:lang w:eastAsia="en-AU"/>
        </w:rPr>
        <w:t xml:space="preserve">by </w:t>
      </w:r>
      <w:r w:rsidRPr="00172296">
        <w:rPr>
          <w:i/>
          <w:iCs/>
          <w:lang w:eastAsia="en-AU"/>
        </w:rPr>
        <w:t>The Agreed Penalties Case</w:t>
      </w:r>
      <w:r w:rsidRPr="00172296">
        <w:rPr>
          <w:lang w:eastAsia="en-AU"/>
        </w:rPr>
        <w:t xml:space="preserve">. In some </w:t>
      </w:r>
      <w:proofErr w:type="gramStart"/>
      <w:r w:rsidRPr="00172296">
        <w:rPr>
          <w:lang w:eastAsia="en-AU"/>
        </w:rPr>
        <w:t>cases</w:t>
      </w:r>
      <w:proofErr w:type="gramEnd"/>
      <w:r w:rsidRPr="00172296">
        <w:rPr>
          <w:lang w:eastAsia="en-AU"/>
        </w:rPr>
        <w:t xml:space="preserve"> it is plain that thousands of</w:t>
      </w:r>
      <w:r>
        <w:rPr>
          <w:lang w:eastAsia="en-AU"/>
        </w:rPr>
        <w:t xml:space="preserve"> </w:t>
      </w:r>
      <w:r w:rsidRPr="00172296">
        <w:rPr>
          <w:lang w:eastAsia="en-AU"/>
        </w:rPr>
        <w:t>contraventions (even if they can be calculated) cannot meaningfully be</w:t>
      </w:r>
      <w:r>
        <w:rPr>
          <w:lang w:eastAsia="en-AU"/>
        </w:rPr>
        <w:t xml:space="preserve"> </w:t>
      </w:r>
      <w:r w:rsidRPr="00172296">
        <w:rPr>
          <w:lang w:eastAsia="en-AU"/>
        </w:rPr>
        <w:t xml:space="preserve">individually dealt with: </w:t>
      </w:r>
      <w:r w:rsidRPr="00172296">
        <w:rPr>
          <w:i/>
          <w:iCs/>
          <w:lang w:eastAsia="en-AU"/>
        </w:rPr>
        <w:t>Australian Competition and Consumer Commission v</w:t>
      </w:r>
      <w:r>
        <w:rPr>
          <w:lang w:eastAsia="en-AU"/>
        </w:rPr>
        <w:t xml:space="preserve"> </w:t>
      </w:r>
      <w:r w:rsidRPr="00172296">
        <w:rPr>
          <w:i/>
          <w:iCs/>
          <w:lang w:eastAsia="en-AU"/>
        </w:rPr>
        <w:t xml:space="preserve">Coles Supermarkets Australia Pty Ltd </w:t>
      </w:r>
      <w:r w:rsidRPr="00172296">
        <w:rPr>
          <w:lang w:eastAsia="en-AU"/>
        </w:rPr>
        <w:t>[2014] FCA 1405. Sometimes parties</w:t>
      </w:r>
      <w:r>
        <w:rPr>
          <w:lang w:eastAsia="en-AU"/>
        </w:rPr>
        <w:t xml:space="preserve"> </w:t>
      </w:r>
      <w:r w:rsidRPr="00172296">
        <w:rPr>
          <w:lang w:eastAsia="en-AU"/>
        </w:rPr>
        <w:t>come with an agreed position that one penalty appropriately reflects the penalty</w:t>
      </w:r>
      <w:r>
        <w:rPr>
          <w:lang w:eastAsia="en-AU"/>
        </w:rPr>
        <w:t xml:space="preserve"> </w:t>
      </w:r>
      <w:r w:rsidRPr="00172296">
        <w:rPr>
          <w:lang w:eastAsia="en-AU"/>
        </w:rPr>
        <w:t>for all contraventions. This is not, however, a function of a course of conduct</w:t>
      </w:r>
      <w:r>
        <w:rPr>
          <w:lang w:eastAsia="en-AU"/>
        </w:rPr>
        <w:t xml:space="preserve"> </w:t>
      </w:r>
      <w:r w:rsidRPr="00172296">
        <w:rPr>
          <w:lang w:eastAsia="en-AU"/>
        </w:rPr>
        <w:t>limiting the penalty to one contravention (which the multiple contraventions are</w:t>
      </w:r>
      <w:r>
        <w:rPr>
          <w:lang w:eastAsia="en-AU"/>
        </w:rPr>
        <w:t xml:space="preserve"> </w:t>
      </w:r>
      <w:r w:rsidRPr="00172296">
        <w:rPr>
          <w:lang w:eastAsia="en-AU"/>
        </w:rPr>
        <w:t>not) or limiting the penalty for multiple contraventions to one penalty by</w:t>
      </w:r>
      <w:r>
        <w:rPr>
          <w:lang w:eastAsia="en-AU"/>
        </w:rPr>
        <w:t xml:space="preserve"> </w:t>
      </w:r>
      <w:r w:rsidRPr="00172296">
        <w:rPr>
          <w:lang w:eastAsia="en-AU"/>
        </w:rPr>
        <w:t xml:space="preserve">reference to one maximum penalty. The </w:t>
      </w:r>
      <w:r w:rsidRPr="002B3BDC">
        <w:rPr>
          <w:b/>
          <w:lang w:eastAsia="en-AU"/>
        </w:rPr>
        <w:t>task is to evaluate</w:t>
      </w:r>
      <w:r w:rsidRPr="00172296">
        <w:rPr>
          <w:lang w:eastAsia="en-AU"/>
        </w:rPr>
        <w:t xml:space="preserve"> the conduct and its</w:t>
      </w:r>
      <w:r w:rsidR="000F6986">
        <w:rPr>
          <w:lang w:eastAsia="en-AU"/>
        </w:rPr>
        <w:t xml:space="preserve"> </w:t>
      </w:r>
      <w:r w:rsidRPr="00172296">
        <w:rPr>
          <w:lang w:eastAsia="en-AU"/>
        </w:rPr>
        <w:t xml:space="preserve">course (called a course of conduct) and assess </w:t>
      </w:r>
      <w:r w:rsidRPr="002B3BDC">
        <w:rPr>
          <w:b/>
          <w:lang w:eastAsia="en-AU"/>
        </w:rPr>
        <w:t xml:space="preserve">what penalty is, or penalties </w:t>
      </w:r>
      <w:r w:rsidRPr="009A689C">
        <w:rPr>
          <w:b/>
          <w:lang w:eastAsia="en-AU"/>
        </w:rPr>
        <w:t>are,</w:t>
      </w:r>
      <w:r w:rsidR="000F6986" w:rsidRPr="009A689C">
        <w:rPr>
          <w:b/>
          <w:lang w:eastAsia="en-AU"/>
        </w:rPr>
        <w:t xml:space="preserve"> </w:t>
      </w:r>
      <w:r w:rsidRPr="009A689C">
        <w:rPr>
          <w:b/>
          <w:lang w:eastAsia="en-AU"/>
        </w:rPr>
        <w:t>appropriate for the proven contraventions</w:t>
      </w:r>
      <w:r w:rsidRPr="009A689C">
        <w:rPr>
          <w:lang w:eastAsia="en-AU"/>
        </w:rPr>
        <w:t>.</w:t>
      </w:r>
    </w:p>
    <w:p w14:paraId="5A8E9DFE" w14:textId="27073A61" w:rsidR="000E00E1" w:rsidRPr="009A689C" w:rsidRDefault="000E00E1" w:rsidP="002B3BDC">
      <w:pPr>
        <w:pStyle w:val="Quote1"/>
        <w:spacing w:after="240"/>
        <w:rPr>
          <w:lang w:eastAsia="en-AU"/>
        </w:rPr>
      </w:pPr>
      <w:r w:rsidRPr="009A689C">
        <w:rPr>
          <w:lang w:eastAsia="en-AU"/>
        </w:rPr>
        <w:t>(Emphasis added.)</w:t>
      </w:r>
    </w:p>
    <w:p w14:paraId="012B8F30" w14:textId="2761F42C" w:rsidR="00FA7000" w:rsidRPr="009A689C" w:rsidRDefault="00FA7000" w:rsidP="000D6D80">
      <w:pPr>
        <w:pStyle w:val="ParaNumbering"/>
      </w:pPr>
      <w:proofErr w:type="spellStart"/>
      <w:r w:rsidRPr="009A689C">
        <w:t>Holista</w:t>
      </w:r>
      <w:proofErr w:type="spellEnd"/>
      <w:r w:rsidRPr="009A689C">
        <w:t xml:space="preserve"> submitted that </w:t>
      </w:r>
      <w:r w:rsidR="00B27DA8" w:rsidRPr="009A689C">
        <w:t xml:space="preserve">an appropriate pecuniary penalty </w:t>
      </w:r>
      <w:r w:rsidR="000E00E1" w:rsidRPr="009A689C">
        <w:t xml:space="preserve">would be </w:t>
      </w:r>
      <w:r w:rsidR="00B27DA8" w:rsidRPr="009A689C">
        <w:t>$500,000.</w:t>
      </w:r>
    </w:p>
    <w:p w14:paraId="656D72BC" w14:textId="7B6FB426" w:rsidR="00FA00AF" w:rsidRPr="009A689C" w:rsidRDefault="001A7243" w:rsidP="002B3BDC">
      <w:pPr>
        <w:pStyle w:val="Heading2"/>
        <w:spacing w:after="240"/>
      </w:pPr>
      <w:bookmarkStart w:id="40" w:name="_Ref161753322"/>
      <w:r w:rsidRPr="009A689C">
        <w:t>The approach to the determination of an appropriate penalty</w:t>
      </w:r>
      <w:bookmarkEnd w:id="40"/>
    </w:p>
    <w:p w14:paraId="6A21500D" w14:textId="1FA0DB4E" w:rsidR="007B542E" w:rsidRPr="009A689C" w:rsidRDefault="00FA00AF" w:rsidP="00F978C7">
      <w:pPr>
        <w:pStyle w:val="ParaNumbering"/>
      </w:pPr>
      <w:r w:rsidRPr="009A689C">
        <w:t xml:space="preserve">Although the High Court has warned against </w:t>
      </w:r>
      <w:r w:rsidR="0073359F" w:rsidRPr="009A689C">
        <w:t>the use of</w:t>
      </w:r>
      <w:r w:rsidR="00680C55" w:rsidRPr="009A689C">
        <w:t xml:space="preserve"> prescriptive </w:t>
      </w:r>
      <w:r w:rsidRPr="009A689C">
        <w:t xml:space="preserve">factors, in particular the </w:t>
      </w:r>
      <w:r w:rsidR="002B3BDC" w:rsidRPr="009A689C">
        <w:t>“</w:t>
      </w:r>
      <w:r w:rsidRPr="009A689C">
        <w:t>French factors</w:t>
      </w:r>
      <w:r w:rsidR="002B3BDC" w:rsidRPr="009A689C">
        <w:t>”</w:t>
      </w:r>
      <w:r w:rsidRPr="009A689C">
        <w:t>, as a “rigid catalogue of matters for attention” or a “legal checklist” (</w:t>
      </w:r>
      <w:r w:rsidRPr="009A689C">
        <w:rPr>
          <w:i/>
          <w:iCs/>
        </w:rPr>
        <w:t xml:space="preserve">Pattinson </w:t>
      </w:r>
      <w:r w:rsidRPr="009A689C">
        <w:t xml:space="preserve">at [19], quoting </w:t>
      </w:r>
      <w:r w:rsidRPr="009A689C">
        <w:rPr>
          <w:i/>
          <w:iCs/>
        </w:rPr>
        <w:t xml:space="preserve">Australian Ophthalmic Supplies Pty Ltd v McAlary-Smith </w:t>
      </w:r>
      <w:r w:rsidRPr="009A689C">
        <w:t>(2008) 165 F</w:t>
      </w:r>
      <w:r w:rsidR="0854EEAF" w:rsidRPr="009A689C">
        <w:t>C</w:t>
      </w:r>
      <w:r w:rsidRPr="009A689C">
        <w:t>R 560 at [91]), there is a statutory mandate in the present context</w:t>
      </w:r>
      <w:r w:rsidR="000C21F6" w:rsidRPr="009A689C">
        <w:t>, set out in s 1317G(6),</w:t>
      </w:r>
      <w:r w:rsidRPr="009A689C">
        <w:t xml:space="preserve"> to take into account at least f</w:t>
      </w:r>
      <w:r w:rsidR="007B542E" w:rsidRPr="009A689C">
        <w:t xml:space="preserve">our </w:t>
      </w:r>
      <w:r w:rsidRPr="009A689C">
        <w:t xml:space="preserve">matters, in addition to any others that may be relevant. </w:t>
      </w:r>
    </w:p>
    <w:p w14:paraId="1C40E4F2" w14:textId="56D7579C" w:rsidR="00BB0937" w:rsidRDefault="00BB0937" w:rsidP="000D6D80">
      <w:pPr>
        <w:pStyle w:val="ParaNumbering"/>
      </w:pPr>
      <w:r w:rsidRPr="009A689C">
        <w:t xml:space="preserve">In addition to the statutory mandate </w:t>
      </w:r>
      <w:r w:rsidR="007D768E" w:rsidRPr="009A689C">
        <w:t>in</w:t>
      </w:r>
      <w:r w:rsidRPr="009A689C">
        <w:t xml:space="preserve"> s </w:t>
      </w:r>
      <w:r w:rsidR="00415FF5" w:rsidRPr="009A689C">
        <w:t>1317</w:t>
      </w:r>
      <w:proofErr w:type="gramStart"/>
      <w:r w:rsidR="00415FF5" w:rsidRPr="009A689C">
        <w:t>G(</w:t>
      </w:r>
      <w:proofErr w:type="gramEnd"/>
      <w:r w:rsidR="00415FF5" w:rsidRPr="009A689C">
        <w:t xml:space="preserve">6), </w:t>
      </w:r>
      <w:r w:rsidRPr="009A689C">
        <w:t xml:space="preserve">the Court’s task remains evaluative in determining what is appropriate in the circumstances of the particular case. As the majority said in </w:t>
      </w:r>
      <w:r w:rsidRPr="009A689C">
        <w:rPr>
          <w:i/>
          <w:iCs/>
        </w:rPr>
        <w:t>Pattinson</w:t>
      </w:r>
      <w:r w:rsidRPr="009A689C">
        <w:t xml:space="preserve"> in relation to the discretion conferred by s 546 of the </w:t>
      </w:r>
      <w:r w:rsidRPr="009A689C">
        <w:rPr>
          <w:i/>
          <w:iCs/>
        </w:rPr>
        <w:t xml:space="preserve">Fair Work </w:t>
      </w:r>
      <w:proofErr w:type="gramStart"/>
      <w:r w:rsidRPr="009A689C">
        <w:rPr>
          <w:i/>
          <w:iCs/>
        </w:rPr>
        <w:t xml:space="preserve">Act </w:t>
      </w:r>
      <w:r w:rsidRPr="009A689C">
        <w:t>,</w:t>
      </w:r>
      <w:proofErr w:type="gramEnd"/>
      <w:r w:rsidRPr="009A689C">
        <w:t xml:space="preserve"> at</w:t>
      </w:r>
      <w:r>
        <w:t xml:space="preserve"> [40]:</w:t>
      </w:r>
    </w:p>
    <w:p w14:paraId="009BE3BF" w14:textId="77777777" w:rsidR="00BB0937" w:rsidRDefault="00BB0937" w:rsidP="002B3BDC">
      <w:pPr>
        <w:pStyle w:val="Quote1"/>
        <w:spacing w:after="240"/>
      </w:pPr>
      <w:r>
        <w:t xml:space="preserve">[It is] like any discretionary power conferred by statute on a court, to be exercised judicially, that is, fairly and reasonably having regard to the subject matter, </w:t>
      </w:r>
      <w:proofErr w:type="gramStart"/>
      <w:r>
        <w:t>scope</w:t>
      </w:r>
      <w:proofErr w:type="gramEnd"/>
      <w:r>
        <w:t xml:space="preserve"> and purpose of the legislation.</w:t>
      </w:r>
    </w:p>
    <w:p w14:paraId="3D2F60B9" w14:textId="18ECF7B2" w:rsidR="00570A4A" w:rsidRDefault="00570A4A" w:rsidP="000D6D80">
      <w:pPr>
        <w:pStyle w:val="ParaNumbering"/>
      </w:pPr>
      <w:r>
        <w:t xml:space="preserve">In </w:t>
      </w:r>
      <w:r w:rsidR="002D51F7">
        <w:t>undertaking it</w:t>
      </w:r>
      <w:r w:rsidR="004E292D">
        <w:t>s</w:t>
      </w:r>
      <w:r w:rsidR="002D51F7">
        <w:t xml:space="preserve"> evaluative task</w:t>
      </w:r>
      <w:r w:rsidR="00AA09A7">
        <w:t xml:space="preserve">, </w:t>
      </w:r>
      <w:r w:rsidR="006E1B1B">
        <w:t xml:space="preserve">the Court is guided by </w:t>
      </w:r>
      <w:r w:rsidR="00AA09A7">
        <w:t>the so-called “French factors”</w:t>
      </w:r>
      <w:r w:rsidR="00BA709C">
        <w:t xml:space="preserve">, which subsume the statutory </w:t>
      </w:r>
      <w:r w:rsidR="006E1B1B">
        <w:t xml:space="preserve">considerations. </w:t>
      </w:r>
      <w:r w:rsidR="007D768E">
        <w:t>These were f</w:t>
      </w:r>
      <w:r w:rsidR="002B0C69">
        <w:t xml:space="preserve">irst </w:t>
      </w:r>
      <w:r w:rsidR="002E7146">
        <w:t xml:space="preserve">enunciated by </w:t>
      </w:r>
      <w:r>
        <w:t xml:space="preserve">French J in </w:t>
      </w:r>
      <w:r w:rsidR="00FF7952" w:rsidRPr="16CD04C2">
        <w:rPr>
          <w:i/>
          <w:iCs/>
        </w:rPr>
        <w:t xml:space="preserve">CSR </w:t>
      </w:r>
      <w:r w:rsidR="00FF7952">
        <w:t xml:space="preserve">at </w:t>
      </w:r>
      <w:r w:rsidR="0053210D">
        <w:t>52,</w:t>
      </w:r>
      <w:r w:rsidR="0073359F">
        <w:t xml:space="preserve"> </w:t>
      </w:r>
      <w:r w:rsidR="0053210D">
        <w:t>152-52,</w:t>
      </w:r>
      <w:r w:rsidR="0073359F">
        <w:t xml:space="preserve"> </w:t>
      </w:r>
      <w:r w:rsidR="0053210D">
        <w:t>153</w:t>
      </w:r>
      <w:r w:rsidR="0073359F">
        <w:t>,</w:t>
      </w:r>
      <w:r w:rsidR="00647866">
        <w:t xml:space="preserve"> and </w:t>
      </w:r>
      <w:r w:rsidR="00C07DC8">
        <w:t xml:space="preserve">then </w:t>
      </w:r>
      <w:r w:rsidR="00647866">
        <w:t>expanded upon</w:t>
      </w:r>
      <w:r w:rsidR="00C07DC8">
        <w:t xml:space="preserve"> by his Honour in</w:t>
      </w:r>
      <w:r w:rsidR="0053210D">
        <w:t xml:space="preserve"> </w:t>
      </w:r>
      <w:proofErr w:type="spellStart"/>
      <w:r w:rsidRPr="00797A72">
        <w:rPr>
          <w:i/>
          <w:iCs/>
        </w:rPr>
        <w:t>Chemeq</w:t>
      </w:r>
      <w:proofErr w:type="spellEnd"/>
      <w:r w:rsidRPr="006941F0">
        <w:rPr>
          <w:i/>
          <w:iCs/>
        </w:rPr>
        <w:t xml:space="preserve"> </w:t>
      </w:r>
      <w:r>
        <w:t>at [99]:</w:t>
      </w:r>
    </w:p>
    <w:p w14:paraId="5D9E633C" w14:textId="5BAC0127" w:rsidR="00570A4A" w:rsidRDefault="005346D7" w:rsidP="00570A4A">
      <w:pPr>
        <w:pStyle w:val="Quote1"/>
      </w:pPr>
      <w:r>
        <w:lastRenderedPageBreak/>
        <w:t>…</w:t>
      </w:r>
      <w:r w:rsidR="00570A4A" w:rsidDel="005346D7">
        <w:t xml:space="preserve"> </w:t>
      </w:r>
      <w:r w:rsidR="00570A4A">
        <w:t>I extract the following factors relevant to the level of penalty for contravention of the continuous disclosure provisions. The list is non-exhaustive:</w:t>
      </w:r>
    </w:p>
    <w:p w14:paraId="2051E052" w14:textId="5A30D317" w:rsidR="00570A4A" w:rsidRDefault="00570A4A" w:rsidP="00570A4A">
      <w:pPr>
        <w:pStyle w:val="Quote1"/>
        <w:ind w:left="1440" w:hanging="703"/>
      </w:pPr>
      <w:r>
        <w:t>(1)</w:t>
      </w:r>
      <w:r>
        <w:tab/>
        <w:t xml:space="preserve">The extent to which the information not disclosed would have been expected to and (if applicable) did affect the price of the contravening company’s shares </w:t>
      </w:r>
      <w:r w:rsidR="003132DC">
        <w:t>(</w:t>
      </w:r>
      <w:r>
        <w:t>s 674(2)(c</w:t>
      </w:r>
      <w:r w:rsidR="003132DC">
        <w:t>)</w:t>
      </w:r>
      <w:r>
        <w:t>).</w:t>
      </w:r>
    </w:p>
    <w:p w14:paraId="0017765F" w14:textId="16AC310C" w:rsidR="00570A4A" w:rsidRDefault="00570A4A" w:rsidP="00570A4A">
      <w:pPr>
        <w:pStyle w:val="Quote1"/>
        <w:ind w:left="1440" w:hanging="703"/>
      </w:pPr>
      <w:r>
        <w:t>(2)</w:t>
      </w:r>
      <w:r>
        <w:tab/>
        <w:t>The extent to which the information, if not generally available, would have been discoverable upon inquiry by a third party</w:t>
      </w:r>
      <w:r w:rsidR="003132DC">
        <w:t xml:space="preserve"> (</w:t>
      </w:r>
      <w:r>
        <w:t>s 676(2)</w:t>
      </w:r>
      <w:r w:rsidR="003132DC">
        <w:t>)</w:t>
      </w:r>
      <w:r>
        <w:t>.</w:t>
      </w:r>
    </w:p>
    <w:p w14:paraId="1F24C00E" w14:textId="7A000D3D" w:rsidR="00570A4A" w:rsidRDefault="00570A4A" w:rsidP="00570A4A">
      <w:pPr>
        <w:pStyle w:val="Quote1"/>
        <w:ind w:left="1440" w:hanging="703"/>
      </w:pPr>
      <w:r>
        <w:t>(3)</w:t>
      </w:r>
      <w:r>
        <w:tab/>
        <w:t xml:space="preserve">The extent (if any) to which acquirers or disposers of the company’s shares were materially prejudiced by the non-disclosure </w:t>
      </w:r>
      <w:r w:rsidR="003132DC">
        <w:t>(</w:t>
      </w:r>
      <w:r>
        <w:t>s 1317G(1A)</w:t>
      </w:r>
      <w:r w:rsidR="003132DC">
        <w:t>)</w:t>
      </w:r>
      <w:r>
        <w:t>.</w:t>
      </w:r>
    </w:p>
    <w:p w14:paraId="5FE88CA3" w14:textId="77777777" w:rsidR="00570A4A" w:rsidRDefault="00570A4A" w:rsidP="00570A4A">
      <w:pPr>
        <w:pStyle w:val="Quote1"/>
        <w:ind w:left="1440" w:hanging="703"/>
      </w:pPr>
      <w:r>
        <w:t>(4)</w:t>
      </w:r>
      <w:r>
        <w:tab/>
        <w:t>The extent to which (if at all) the contravention was the result of deliberate or reckless conduct by the corporation.</w:t>
      </w:r>
    </w:p>
    <w:p w14:paraId="77682F7D" w14:textId="77777777" w:rsidR="00570A4A" w:rsidRDefault="00570A4A" w:rsidP="00570A4A">
      <w:pPr>
        <w:pStyle w:val="Quote1"/>
        <w:ind w:left="1440" w:hanging="703"/>
      </w:pPr>
      <w:r>
        <w:t>(5)</w:t>
      </w:r>
      <w:r>
        <w:tab/>
        <w:t>The extent to which the contravention was the result of negligent conduct by the corporation.</w:t>
      </w:r>
    </w:p>
    <w:p w14:paraId="72F2CC49" w14:textId="77777777" w:rsidR="00570A4A" w:rsidRDefault="00570A4A" w:rsidP="00570A4A">
      <w:pPr>
        <w:pStyle w:val="Quote1"/>
        <w:ind w:left="1440" w:hanging="703"/>
      </w:pPr>
      <w:r>
        <w:t>(6)</w:t>
      </w:r>
      <w:r>
        <w:tab/>
        <w:t xml:space="preserve">The </w:t>
      </w:r>
      <w:proofErr w:type="gramStart"/>
      <w:r>
        <w:t>period of time</w:t>
      </w:r>
      <w:proofErr w:type="gramEnd"/>
      <w:r>
        <w:t xml:space="preserve"> over which the contravention occurred.</w:t>
      </w:r>
    </w:p>
    <w:p w14:paraId="679412B7" w14:textId="77777777" w:rsidR="00570A4A" w:rsidRDefault="00570A4A" w:rsidP="00570A4A">
      <w:pPr>
        <w:pStyle w:val="Quote1"/>
        <w:ind w:left="1440" w:hanging="703"/>
      </w:pPr>
      <w:r>
        <w:t>(7)</w:t>
      </w:r>
      <w:r>
        <w:tab/>
        <w:t>The existence, within the corporation, of compliance systems in relation to its disclosure obligations including provisions for and evidence of education and internal enforcement of such systems.</w:t>
      </w:r>
    </w:p>
    <w:p w14:paraId="369EDC9C" w14:textId="77777777" w:rsidR="00570A4A" w:rsidRDefault="00570A4A" w:rsidP="00570A4A">
      <w:pPr>
        <w:pStyle w:val="Quote1"/>
        <w:ind w:left="1440" w:hanging="703"/>
      </w:pPr>
      <w:r>
        <w:t>(8)</w:t>
      </w:r>
      <w:r>
        <w:tab/>
        <w:t>Remedial and disciplinary steps taken after the contravention and directed to putting in place a compliance system or improving existing systems and disciplining officers responsible for the contravention.</w:t>
      </w:r>
    </w:p>
    <w:p w14:paraId="07821641" w14:textId="77777777" w:rsidR="00570A4A" w:rsidRDefault="00570A4A" w:rsidP="00570A4A">
      <w:pPr>
        <w:pStyle w:val="Quote1"/>
        <w:ind w:left="1440" w:hanging="703"/>
      </w:pPr>
      <w:r>
        <w:t>(9)</w:t>
      </w:r>
      <w:r>
        <w:tab/>
        <w:t>The seniority of officers responsible for the non-disclosure and whether they included directors of the company.</w:t>
      </w:r>
    </w:p>
    <w:p w14:paraId="249C7D54" w14:textId="77777777" w:rsidR="00570A4A" w:rsidRDefault="00570A4A" w:rsidP="00570A4A">
      <w:pPr>
        <w:pStyle w:val="Quote1"/>
        <w:ind w:left="1440" w:hanging="703"/>
      </w:pPr>
      <w:r>
        <w:t>(10)</w:t>
      </w:r>
      <w:r>
        <w:tab/>
        <w:t>Whether the directors of the corporation were aware of the facts which ought to have been disclosed and, if not, what processes were in place at the time, or put in place after the contravention to ensure their awareness of such facts in the future.</w:t>
      </w:r>
    </w:p>
    <w:p w14:paraId="2280BE75" w14:textId="77777777" w:rsidR="00570A4A" w:rsidRDefault="00570A4A" w:rsidP="00570A4A">
      <w:pPr>
        <w:pStyle w:val="Quote1"/>
        <w:ind w:left="1440" w:hanging="703"/>
      </w:pPr>
      <w:r>
        <w:t>(11)</w:t>
      </w:r>
      <w:r>
        <w:tab/>
        <w:t>Any change in the composition of the board or senior managers since the contravention.</w:t>
      </w:r>
    </w:p>
    <w:p w14:paraId="40175829" w14:textId="77777777" w:rsidR="00570A4A" w:rsidRDefault="00570A4A" w:rsidP="00570A4A">
      <w:pPr>
        <w:pStyle w:val="Quote1"/>
        <w:ind w:left="1440" w:hanging="703"/>
      </w:pPr>
      <w:r>
        <w:t>(12)</w:t>
      </w:r>
      <w:r>
        <w:tab/>
        <w:t>The degree of the corporation’s cooperation with the regulator including any admission of contravention.</w:t>
      </w:r>
    </w:p>
    <w:p w14:paraId="5A9DE593" w14:textId="77777777" w:rsidR="00570A4A" w:rsidRPr="00A3007C" w:rsidRDefault="00570A4A" w:rsidP="002B3BDC">
      <w:pPr>
        <w:pStyle w:val="Quote1"/>
        <w:spacing w:after="240"/>
        <w:ind w:left="1440" w:hanging="703"/>
      </w:pPr>
      <w:r>
        <w:t>(13)</w:t>
      </w:r>
      <w:r>
        <w:tab/>
        <w:t xml:space="preserve">The prevalence of the </w:t>
      </w:r>
      <w:proofErr w:type="gramStart"/>
      <w:r>
        <w:t>particular class</w:t>
      </w:r>
      <w:proofErr w:type="gramEnd"/>
      <w:r>
        <w:t xml:space="preserve"> of non-disclosure in the wider corporate community. </w:t>
      </w:r>
    </w:p>
    <w:p w14:paraId="767D1995" w14:textId="1A3C566D" w:rsidR="00570A4A" w:rsidRPr="00AB792C" w:rsidRDefault="00570A4A" w:rsidP="000D6D80">
      <w:pPr>
        <w:pStyle w:val="ParaNumbering"/>
      </w:pPr>
      <w:r>
        <w:t xml:space="preserve">In addition to these matters, other relevant considerations include the size of the contravening company: see </w:t>
      </w:r>
      <w:r>
        <w:rPr>
          <w:i/>
          <w:iCs/>
        </w:rPr>
        <w:t xml:space="preserve">Pattinson </w:t>
      </w:r>
      <w:r>
        <w:t>at [18]</w:t>
      </w:r>
      <w:r w:rsidR="00481BDF">
        <w:t xml:space="preserve">, quoting </w:t>
      </w:r>
      <w:r w:rsidR="00481BDF" w:rsidRPr="002B3BDC">
        <w:rPr>
          <w:i/>
        </w:rPr>
        <w:t>CSR</w:t>
      </w:r>
      <w:r w:rsidR="00481BDF">
        <w:t xml:space="preserve"> at </w:t>
      </w:r>
      <w:r w:rsidR="007D6DEC">
        <w:t>52, 152-52, 153</w:t>
      </w:r>
      <w:r w:rsidR="00961C5A">
        <w:t>.</w:t>
      </w:r>
    </w:p>
    <w:p w14:paraId="4A513ADF" w14:textId="03B4B53B" w:rsidR="0087430E" w:rsidRDefault="0087430E" w:rsidP="000D6D80">
      <w:pPr>
        <w:pStyle w:val="ParaNumbering"/>
        <w:spacing w:after="120"/>
      </w:pPr>
      <w:r>
        <w:t xml:space="preserve">In undertaking its evaluative task, the Court must </w:t>
      </w:r>
      <w:r w:rsidR="00CC75DA">
        <w:t xml:space="preserve">be vigilant as to its purpose </w:t>
      </w:r>
      <w:r w:rsidR="006317EE">
        <w:t>for doing</w:t>
      </w:r>
      <w:r w:rsidR="00394523">
        <w:t xml:space="preserve"> so</w:t>
      </w:r>
      <w:r w:rsidR="006317EE">
        <w:t>. That purpose</w:t>
      </w:r>
      <w:r w:rsidR="007A7E57">
        <w:t xml:space="preserve"> is</w:t>
      </w:r>
      <w:r w:rsidR="00F37B24">
        <w:t>,</w:t>
      </w:r>
      <w:r w:rsidR="007A7E57">
        <w:t xml:space="preserve"> and remains</w:t>
      </w:r>
      <w:r w:rsidR="00F37B24">
        <w:t>,</w:t>
      </w:r>
      <w:r w:rsidR="00032B53">
        <w:t xml:space="preserve"> deterrence</w:t>
      </w:r>
      <w:r w:rsidR="00207C6C">
        <w:t xml:space="preserve"> (</w:t>
      </w:r>
      <w:r w:rsidR="00207C6C" w:rsidRPr="00207C6C">
        <w:rPr>
          <w:i/>
          <w:iCs/>
        </w:rPr>
        <w:t>Pattinson</w:t>
      </w:r>
      <w:r w:rsidR="00207C6C">
        <w:t xml:space="preserve"> at [15])</w:t>
      </w:r>
      <w:r w:rsidR="007A7E57">
        <w:t xml:space="preserve"> as stated by French J in </w:t>
      </w:r>
      <w:r w:rsidR="007A7E57" w:rsidRPr="00F723A7">
        <w:rPr>
          <w:i/>
          <w:iCs/>
        </w:rPr>
        <w:t>CSR</w:t>
      </w:r>
      <w:r w:rsidR="00F723A7">
        <w:rPr>
          <w:i/>
          <w:iCs/>
        </w:rPr>
        <w:t xml:space="preserve"> </w:t>
      </w:r>
      <w:r w:rsidR="00F723A7">
        <w:t>at</w:t>
      </w:r>
      <w:r w:rsidR="004F03DA">
        <w:t xml:space="preserve"> 52,</w:t>
      </w:r>
      <w:r w:rsidR="00BF16FB">
        <w:t xml:space="preserve"> </w:t>
      </w:r>
      <w:r w:rsidR="006A5AD7">
        <w:t>1</w:t>
      </w:r>
      <w:r w:rsidR="004F03DA">
        <w:t>36:</w:t>
      </w:r>
    </w:p>
    <w:p w14:paraId="4BDA8DC0" w14:textId="5F6713BC" w:rsidR="002F046D" w:rsidRDefault="004F03DA" w:rsidP="002B3BDC">
      <w:pPr>
        <w:pStyle w:val="Quote1"/>
        <w:spacing w:after="240"/>
      </w:pPr>
      <w:r>
        <w:t xml:space="preserve">The principal, and </w:t>
      </w:r>
      <w:r w:rsidR="0007535D">
        <w:t xml:space="preserve">I think </w:t>
      </w:r>
      <w:r>
        <w:t>probably the only</w:t>
      </w:r>
      <w:r w:rsidR="00BD20F9">
        <w:t>,</w:t>
      </w:r>
      <w:r>
        <w:t xml:space="preserve"> object</w:t>
      </w:r>
      <w:r w:rsidR="0007535D">
        <w:t xml:space="preserve"> of the penalties imposed by s 76</w:t>
      </w:r>
      <w:r w:rsidR="003576BE">
        <w:t xml:space="preserve"> is to attempt to put a price on contravention that is sufficiently high to deter repetition by the </w:t>
      </w:r>
      <w:proofErr w:type="spellStart"/>
      <w:r w:rsidR="003576BE">
        <w:t>contravenor</w:t>
      </w:r>
      <w:proofErr w:type="spellEnd"/>
      <w:r w:rsidR="003576BE">
        <w:t xml:space="preserve"> and by others who might be tempted to contravene the Act.</w:t>
      </w:r>
    </w:p>
    <w:p w14:paraId="71D9B8CE" w14:textId="38382BDD" w:rsidR="00032B53" w:rsidRDefault="00F8549C" w:rsidP="000D6D80">
      <w:pPr>
        <w:pStyle w:val="ParaNumbering"/>
      </w:pPr>
      <w:r>
        <w:lastRenderedPageBreak/>
        <w:t xml:space="preserve">I turn then to </w:t>
      </w:r>
      <w:r w:rsidR="008443C0">
        <w:t xml:space="preserve">consider </w:t>
      </w:r>
      <w:r w:rsidR="00A25C3A">
        <w:t xml:space="preserve">the </w:t>
      </w:r>
      <w:r w:rsidR="008443C0">
        <w:t>factors relevant to the circumstances of this case.</w:t>
      </w:r>
    </w:p>
    <w:p w14:paraId="0BC8F9A0" w14:textId="788FE9E7" w:rsidR="00EB4881" w:rsidRPr="00B30E78" w:rsidRDefault="00EB4881" w:rsidP="002F046D">
      <w:pPr>
        <w:pStyle w:val="Heading4"/>
        <w:rPr>
          <w:bCs/>
        </w:rPr>
      </w:pPr>
      <w:bookmarkStart w:id="41" w:name="_Ref161753323"/>
      <w:r w:rsidRPr="00B30E78">
        <w:rPr>
          <w:bCs/>
        </w:rPr>
        <w:t>Maximum pen</w:t>
      </w:r>
      <w:r w:rsidR="002F046D" w:rsidRPr="00B30E78">
        <w:rPr>
          <w:bCs/>
        </w:rPr>
        <w:t>a</w:t>
      </w:r>
      <w:r w:rsidRPr="00B30E78">
        <w:rPr>
          <w:bCs/>
        </w:rPr>
        <w:t>lty</w:t>
      </w:r>
      <w:bookmarkEnd w:id="41"/>
    </w:p>
    <w:p w14:paraId="69528990" w14:textId="4D79F150" w:rsidR="002F046D" w:rsidRDefault="00350F16" w:rsidP="000D6D80">
      <w:pPr>
        <w:pStyle w:val="ParaNumbering"/>
      </w:pPr>
      <w:r>
        <w:t xml:space="preserve">As I have already observed, the maximum penalty </w:t>
      </w:r>
      <w:r w:rsidR="00EF4409">
        <w:t>relevant to each contravention in this case is $10.5 million.</w:t>
      </w:r>
    </w:p>
    <w:p w14:paraId="19CFC42D" w14:textId="5DF79985" w:rsidR="009F5E3D" w:rsidRDefault="00917B35" w:rsidP="000D6D80">
      <w:pPr>
        <w:pStyle w:val="ParaNumbering"/>
      </w:pPr>
      <w:r>
        <w:t>In</w:t>
      </w:r>
      <w:r w:rsidRPr="00917B35">
        <w:rPr>
          <w:i/>
          <w:iCs/>
        </w:rPr>
        <w:t xml:space="preserve"> Pattinson</w:t>
      </w:r>
      <w:r>
        <w:rPr>
          <w:i/>
          <w:iCs/>
        </w:rPr>
        <w:t xml:space="preserve"> </w:t>
      </w:r>
      <w:r w:rsidRPr="00F931AA">
        <w:t>(at [</w:t>
      </w:r>
      <w:r w:rsidR="008224F5">
        <w:t>49</w:t>
      </w:r>
      <w:r w:rsidRPr="00F931AA">
        <w:t>]-[55])</w:t>
      </w:r>
      <w:r>
        <w:t xml:space="preserve">, the High Court explained the </w:t>
      </w:r>
      <w:r w:rsidR="005D676F">
        <w:t>r</w:t>
      </w:r>
      <w:r>
        <w:t>elevance of a prescribed maximum penalty as a yardstick</w:t>
      </w:r>
      <w:r w:rsidR="009A3B4F">
        <w:t xml:space="preserve">. </w:t>
      </w:r>
      <w:r w:rsidR="008224F5">
        <w:t>It held that the Full Federal Court had erred in treating the statutory maximum “as implicitly requiring that all contraventions be graded on a scale of increasing seriousness</w:t>
      </w:r>
      <w:r w:rsidR="009A34AB">
        <w:t>,</w:t>
      </w:r>
      <w:r w:rsidR="008224F5">
        <w:t xml:space="preserve"> with the maximum to be reserved exclusively for the worst category of contravening conduct”</w:t>
      </w:r>
      <w:r w:rsidR="00C007A6">
        <w:t>: at [49].</w:t>
      </w:r>
      <w:r w:rsidR="008224F5">
        <w:t xml:space="preserve"> </w:t>
      </w:r>
      <w:r w:rsidR="009F5E3D">
        <w:t xml:space="preserve">The Court </w:t>
      </w:r>
      <w:r w:rsidR="009A34AB">
        <w:t>continued</w:t>
      </w:r>
      <w:r w:rsidR="009F5E3D">
        <w:t xml:space="preserve"> at [50]:</w:t>
      </w:r>
    </w:p>
    <w:p w14:paraId="3C3E2EA1" w14:textId="78882E39" w:rsidR="009F5E3D" w:rsidRDefault="009F5E3D" w:rsidP="009F5E3D">
      <w:pPr>
        <w:pStyle w:val="Quote1"/>
        <w:rPr>
          <w:lang w:eastAsia="en-AU"/>
        </w:rPr>
      </w:pPr>
      <w:r>
        <w:rPr>
          <w:lang w:eastAsia="en-AU"/>
        </w:rPr>
        <w:t xml:space="preserve">Considerations of deterrence, and the protection of the public interest, justify the imposition of the maximum penalty where it is apparent that no lesser penalty will be an effective deterrent against further contraventions of a like kind. Where a contravention is an example of adherence to a strategy of choosing to pay a penalty in preference to obeying the law, the court may reasonably fix a penalty at the maximum set by statute with a view to making continued adherence to that strategy in the ongoing conduct of the </w:t>
      </w:r>
      <w:proofErr w:type="spellStart"/>
      <w:r>
        <w:rPr>
          <w:lang w:eastAsia="en-AU"/>
        </w:rPr>
        <w:t>contravenor’s</w:t>
      </w:r>
      <w:proofErr w:type="spellEnd"/>
      <w:r>
        <w:rPr>
          <w:lang w:eastAsia="en-AU"/>
        </w:rPr>
        <w:t xml:space="preserve"> affairs as unattractive as it is open to the court reasonably to do.</w:t>
      </w:r>
    </w:p>
    <w:p w14:paraId="41C12604" w14:textId="29E666FF" w:rsidR="00F70C37" w:rsidRDefault="00A16AEF" w:rsidP="000D6D80">
      <w:pPr>
        <w:pStyle w:val="ParaNumbering"/>
      </w:pPr>
      <w:r>
        <w:t>There is no suggestion on the f</w:t>
      </w:r>
      <w:r w:rsidR="003544B8">
        <w:t>a</w:t>
      </w:r>
      <w:r>
        <w:t>cts of this case</w:t>
      </w:r>
      <w:r w:rsidR="003544B8">
        <w:t xml:space="preserve"> that </w:t>
      </w:r>
      <w:proofErr w:type="spellStart"/>
      <w:r w:rsidR="003544B8">
        <w:t>Holista</w:t>
      </w:r>
      <w:proofErr w:type="spellEnd"/>
      <w:r w:rsidR="003544B8">
        <w:t xml:space="preserve"> adhered to a strategy of choosing to pay a penalty</w:t>
      </w:r>
      <w:r w:rsidR="00D50133">
        <w:t>,</w:t>
      </w:r>
      <w:r w:rsidR="003544B8">
        <w:t xml:space="preserve"> in preference </w:t>
      </w:r>
      <w:r w:rsidR="004D525C">
        <w:t xml:space="preserve">over </w:t>
      </w:r>
      <w:r w:rsidR="003544B8">
        <w:t xml:space="preserve">obeying the law. What use then is to be made of </w:t>
      </w:r>
      <w:r w:rsidR="00AA6659">
        <w:t xml:space="preserve">the yardstick? The </w:t>
      </w:r>
      <w:r w:rsidR="003E1340">
        <w:t xml:space="preserve">High Court </w:t>
      </w:r>
      <w:r w:rsidR="00AA6659">
        <w:t xml:space="preserve">drew attention to </w:t>
      </w:r>
      <w:r w:rsidR="008777F6">
        <w:t xml:space="preserve">two important </w:t>
      </w:r>
      <w:r w:rsidR="00EE2528">
        <w:t>considerations</w:t>
      </w:r>
      <w:r w:rsidR="00F07C07">
        <w:t xml:space="preserve"> that emerge from the reasoning of the Full Court in </w:t>
      </w:r>
      <w:r w:rsidR="00F07C07" w:rsidRPr="008777F6">
        <w:rPr>
          <w:i/>
          <w:iCs/>
        </w:rPr>
        <w:t>Reckitt Benckiser</w:t>
      </w:r>
      <w:r w:rsidR="00E92AB0">
        <w:rPr>
          <w:i/>
          <w:iCs/>
        </w:rPr>
        <w:t xml:space="preserve"> </w:t>
      </w:r>
      <w:r w:rsidR="00E92AB0">
        <w:t>(2016) 34 ALR 25 at [155]-[156]</w:t>
      </w:r>
      <w:r w:rsidR="003E1340" w:rsidRPr="00F931AA">
        <w:t>. The first was their Honours’ recognition that the maximum penalty is “but one yardstick that ordinarily must be applied” and must be treated “as one of a number of relevant factors</w:t>
      </w:r>
      <w:r w:rsidR="004D4BA2">
        <w:t>, albeit an important one</w:t>
      </w:r>
      <w:r w:rsidR="003E1340" w:rsidRPr="00F931AA">
        <w:t>”</w:t>
      </w:r>
      <w:r w:rsidR="00B7476B">
        <w:t xml:space="preserve">: </w:t>
      </w:r>
      <w:r w:rsidR="007E6653" w:rsidRPr="00923BA3">
        <w:rPr>
          <w:i/>
        </w:rPr>
        <w:t>Pattinson</w:t>
      </w:r>
      <w:r w:rsidR="007E6653">
        <w:t xml:space="preserve"> at [54], quoting </w:t>
      </w:r>
      <w:r w:rsidR="007E6653" w:rsidRPr="00923BA3">
        <w:rPr>
          <w:i/>
        </w:rPr>
        <w:t>Reckitt</w:t>
      </w:r>
      <w:r w:rsidR="007E6653">
        <w:t xml:space="preserve"> at [155]</w:t>
      </w:r>
      <w:r w:rsidR="003E1340" w:rsidRPr="00F931AA">
        <w:t xml:space="preserve">. The second was that the maximum penalty </w:t>
      </w:r>
      <w:r w:rsidR="004D4BA2">
        <w:t>“</w:t>
      </w:r>
      <w:r w:rsidR="003E1340" w:rsidRPr="00F931AA">
        <w:t>does not constrain the exercise of the discretion</w:t>
      </w:r>
      <w:r w:rsidR="004D4BA2">
        <w:t>”</w:t>
      </w:r>
      <w:r w:rsidR="003E1340" w:rsidRPr="00F931AA">
        <w:t xml:space="preserve"> under </w:t>
      </w:r>
      <w:r w:rsidR="003E1340" w:rsidRPr="006941F0">
        <w:t xml:space="preserve">s 546 of the </w:t>
      </w:r>
      <w:r w:rsidR="003E1340" w:rsidRPr="006941F0">
        <w:rPr>
          <w:i/>
          <w:iCs/>
        </w:rPr>
        <w:t>Fair Work Act</w:t>
      </w:r>
      <w:r w:rsidR="003E1340" w:rsidRPr="00F931AA">
        <w:rPr>
          <w:i/>
          <w:iCs/>
        </w:rPr>
        <w:t xml:space="preserve"> </w:t>
      </w:r>
      <w:r w:rsidR="003E1340" w:rsidRPr="00F931AA">
        <w:t>(or its analogues in other Commonwealth legislation), beyond requiring “some reasonable relationship between the theoretical maximum and the final penalty imposed”</w:t>
      </w:r>
      <w:r w:rsidR="00C358AC">
        <w:t xml:space="preserve">: </w:t>
      </w:r>
      <w:r w:rsidR="00F70C37" w:rsidRPr="00F70C37">
        <w:rPr>
          <w:i/>
          <w:iCs/>
        </w:rPr>
        <w:t>Pattinson</w:t>
      </w:r>
      <w:r w:rsidR="00F70C37">
        <w:t xml:space="preserve"> </w:t>
      </w:r>
      <w:r w:rsidR="00C358AC">
        <w:t>at [54]-[55].</w:t>
      </w:r>
    </w:p>
    <w:p w14:paraId="0C30EA39" w14:textId="4B2C0526" w:rsidR="00F70C37" w:rsidRPr="00F70C37" w:rsidRDefault="002A07E9" w:rsidP="000D6D80">
      <w:pPr>
        <w:pStyle w:val="ParaNumbering"/>
      </w:pPr>
      <w:r>
        <w:t>Earlier in that case</w:t>
      </w:r>
      <w:r w:rsidR="00041E4D">
        <w:t xml:space="preserve">, the </w:t>
      </w:r>
      <w:r w:rsidR="00E63895">
        <w:t xml:space="preserve">High </w:t>
      </w:r>
      <w:r w:rsidR="00041E4D">
        <w:t>Court had</w:t>
      </w:r>
      <w:r w:rsidR="001D40CB">
        <w:t xml:space="preserve"> considered </w:t>
      </w:r>
      <w:r w:rsidR="00F70615">
        <w:t>proportionality in the context of a civil penalty regime</w:t>
      </w:r>
      <w:r w:rsidR="00B71CB1">
        <w:t>. In observing (</w:t>
      </w:r>
      <w:r w:rsidR="00B71CB1" w:rsidRPr="00F70C37">
        <w:rPr>
          <w:i/>
          <w:iCs/>
        </w:rPr>
        <w:t>Pattinson</w:t>
      </w:r>
      <w:r w:rsidR="00B71CB1">
        <w:t xml:space="preserve"> at [10], [38]</w:t>
      </w:r>
      <w:r w:rsidR="00E63895">
        <w:t xml:space="preserve">) </w:t>
      </w:r>
      <w:r w:rsidR="00F70C37" w:rsidRPr="00F70C37">
        <w:t>that the “notion of proportionality”, in the sense in which that expression is used in the criminal law, could not be translated coherently into civil penalty regimes</w:t>
      </w:r>
      <w:r w:rsidR="00E63895">
        <w:t>,</w:t>
      </w:r>
      <w:r w:rsidR="00F70C37" w:rsidRPr="00F70C37">
        <w:t xml:space="preserve"> </w:t>
      </w:r>
      <w:r w:rsidR="00E63895">
        <w:t>the Court</w:t>
      </w:r>
      <w:r w:rsidR="00F70C37" w:rsidRPr="00F70C37">
        <w:t xml:space="preserve"> (at [40]) approved the following statement of Burchett and Kiefel JJ in </w:t>
      </w:r>
      <w:r w:rsidR="00F70C37" w:rsidRPr="006941F0">
        <w:rPr>
          <w:i/>
          <w:iCs/>
        </w:rPr>
        <w:t xml:space="preserve">NW Frozen Foods </w:t>
      </w:r>
      <w:r w:rsidR="00F70C37" w:rsidRPr="00F70C37">
        <w:t>at 293:</w:t>
      </w:r>
    </w:p>
    <w:p w14:paraId="24094998" w14:textId="054B70C6" w:rsidR="003E1340" w:rsidRPr="00E63895" w:rsidRDefault="00F70C37" w:rsidP="00E63895">
      <w:pPr>
        <w:widowControl w:val="0"/>
        <w:spacing w:after="180" w:line="240" w:lineRule="auto"/>
        <w:ind w:left="737" w:right="737"/>
        <w:rPr>
          <w:sz w:val="22"/>
        </w:rPr>
      </w:pPr>
      <w:r w:rsidRPr="00F70C37">
        <w:rPr>
          <w:sz w:val="22"/>
        </w:rPr>
        <w:t>[I]</w:t>
      </w:r>
      <w:proofErr w:type="spellStart"/>
      <w:r w:rsidRPr="00F70C37">
        <w:rPr>
          <w:sz w:val="22"/>
        </w:rPr>
        <w:t>nsistence</w:t>
      </w:r>
      <w:proofErr w:type="spellEnd"/>
      <w:r w:rsidRPr="00F70C37">
        <w:rPr>
          <w:sz w:val="22"/>
        </w:rPr>
        <w:t xml:space="preserve"> upon the deterrent quality of a penalty should be balanced by insistence </w:t>
      </w:r>
      <w:r w:rsidRPr="00F70C37">
        <w:rPr>
          <w:sz w:val="22"/>
        </w:rPr>
        <w:lastRenderedPageBreak/>
        <w:t xml:space="preserve">that it </w:t>
      </w:r>
      <w:r w:rsidR="00C83733">
        <w:rPr>
          <w:sz w:val="22"/>
        </w:rPr>
        <w:t>“</w:t>
      </w:r>
      <w:r w:rsidRPr="00F70C37">
        <w:rPr>
          <w:sz w:val="22"/>
        </w:rPr>
        <w:t>not be so high as to be oppressive</w:t>
      </w:r>
      <w:r w:rsidR="00C83733">
        <w:rPr>
          <w:sz w:val="22"/>
        </w:rPr>
        <w:t>”</w:t>
      </w:r>
      <w:r w:rsidRPr="00F70C37">
        <w:rPr>
          <w:sz w:val="22"/>
        </w:rPr>
        <w:t>. Plainly, if deterrence is the object, the penalty should not be greater than is necessary to achieve this object; severity beyond that would be oppression.</w:t>
      </w:r>
    </w:p>
    <w:p w14:paraId="6B6D74D3" w14:textId="7CC668A0" w:rsidR="004A3BD3" w:rsidRPr="00B30E78" w:rsidRDefault="00F30210" w:rsidP="00222051">
      <w:pPr>
        <w:pStyle w:val="Heading4"/>
        <w:rPr>
          <w:bCs/>
        </w:rPr>
      </w:pPr>
      <w:bookmarkStart w:id="42" w:name="_Ref161753324"/>
      <w:r w:rsidRPr="00B30E78">
        <w:rPr>
          <w:bCs/>
        </w:rPr>
        <w:t>Nature and extent of the contravention</w:t>
      </w:r>
      <w:bookmarkEnd w:id="42"/>
    </w:p>
    <w:p w14:paraId="17156CCC" w14:textId="5AC12EED" w:rsidR="00BF3295" w:rsidRDefault="00222051" w:rsidP="000D6D80">
      <w:pPr>
        <w:pStyle w:val="ParaNumbering"/>
      </w:pPr>
      <w:r>
        <w:t xml:space="preserve">Continuous disclosure obligations are </w:t>
      </w:r>
      <w:r w:rsidR="008F14E9">
        <w:t>“</w:t>
      </w:r>
      <w:r>
        <w:t xml:space="preserve">based on the efficient market hypothesis that </w:t>
      </w:r>
      <w:r w:rsidR="002203B8">
        <w:t xml:space="preserve">current share prices should reflect all available </w:t>
      </w:r>
      <w:r w:rsidR="007347D1">
        <w:t>information</w:t>
      </w:r>
      <w:r w:rsidR="008F14E9">
        <w:t>”</w:t>
      </w:r>
      <w:r w:rsidR="007347D1">
        <w:t xml:space="preserve">: Michael Legg, “Shareholder </w:t>
      </w:r>
      <w:r w:rsidR="004A6295">
        <w:t>C</w:t>
      </w:r>
      <w:r w:rsidR="007347D1">
        <w:t xml:space="preserve">lass </w:t>
      </w:r>
      <w:r w:rsidR="004A6295">
        <w:t>A</w:t>
      </w:r>
      <w:r w:rsidR="007347D1">
        <w:t xml:space="preserve">ctions in </w:t>
      </w:r>
      <w:r w:rsidR="00A46F2D">
        <w:t>Australia</w:t>
      </w:r>
      <w:r w:rsidR="00D72DEA">
        <w:t xml:space="preserve"> –</w:t>
      </w:r>
      <w:r w:rsidR="00A46F2D">
        <w:t xml:space="preserve"> the </w:t>
      </w:r>
      <w:r w:rsidR="004A6295">
        <w:t>P</w:t>
      </w:r>
      <w:r w:rsidR="00A46F2D">
        <w:t xml:space="preserve">erfect </w:t>
      </w:r>
      <w:r w:rsidR="004A6295">
        <w:t>S</w:t>
      </w:r>
      <w:r w:rsidR="00A46F2D">
        <w:t>torm?” (2008) 31</w:t>
      </w:r>
      <w:r w:rsidR="004A6295">
        <w:t>(3)</w:t>
      </w:r>
      <w:r w:rsidR="00A46F2D">
        <w:t xml:space="preserve"> </w:t>
      </w:r>
      <w:r w:rsidR="00A46F2D" w:rsidRPr="00A46F2D">
        <w:rPr>
          <w:i/>
          <w:iCs/>
        </w:rPr>
        <w:t>University of New South Wales Law Journal</w:t>
      </w:r>
      <w:r w:rsidR="00A46F2D">
        <w:t xml:space="preserve"> 669 at 684. </w:t>
      </w:r>
      <w:r w:rsidR="00BF3295">
        <w:t>Professor Paul Davies QC has observed that</w:t>
      </w:r>
      <w:r w:rsidR="00AD7D0B">
        <w:t xml:space="preserve"> t</w:t>
      </w:r>
      <w:r w:rsidR="00BF3295">
        <w:t xml:space="preserve">he disclosure of </w:t>
      </w:r>
      <w:r w:rsidR="00AD4DEB">
        <w:t xml:space="preserve">information by companies is a crucial initial step in the process of price formation, whereby </w:t>
      </w:r>
      <w:r w:rsidR="00AD7D0B">
        <w:t xml:space="preserve">market </w:t>
      </w:r>
      <w:r w:rsidR="0022190A">
        <w:t>participants</w:t>
      </w:r>
      <w:r w:rsidR="00AD7D0B">
        <w:t xml:space="preserve"> rely on available information to evaluate securities </w:t>
      </w:r>
      <w:r w:rsidR="001E1012">
        <w:t xml:space="preserve">and make investment decisions: </w:t>
      </w:r>
      <w:r w:rsidR="00161732">
        <w:t xml:space="preserve">see </w:t>
      </w:r>
      <w:r w:rsidR="001E1012">
        <w:t xml:space="preserve">Paul Davies, “Liability for misstatements to the market: A </w:t>
      </w:r>
      <w:r w:rsidR="003B57AA">
        <w:t>d</w:t>
      </w:r>
      <w:r w:rsidR="001E1012">
        <w:t>iscussion</w:t>
      </w:r>
      <w:r w:rsidR="003B57AA">
        <w:t xml:space="preserve"> paper by Professor Paul Davies QC”</w:t>
      </w:r>
      <w:r w:rsidR="001E1012">
        <w:t xml:space="preserve"> </w:t>
      </w:r>
      <w:r w:rsidR="003B57AA">
        <w:t xml:space="preserve">(Discussion Paper, </w:t>
      </w:r>
      <w:r w:rsidR="001E1012">
        <w:t>Treasury</w:t>
      </w:r>
      <w:r w:rsidR="003B57AA">
        <w:t xml:space="preserve">, </w:t>
      </w:r>
      <w:r w:rsidR="00262359">
        <w:t xml:space="preserve">March </w:t>
      </w:r>
      <w:r w:rsidR="003B57AA">
        <w:t>2007</w:t>
      </w:r>
      <w:r w:rsidR="00262359">
        <w:t>).</w:t>
      </w:r>
      <w:r w:rsidR="00E067F4">
        <w:t xml:space="preserve"> In </w:t>
      </w:r>
      <w:r w:rsidR="00E067F4" w:rsidRPr="006941F0">
        <w:rPr>
          <w:i/>
          <w:iCs/>
        </w:rPr>
        <w:t xml:space="preserve">James Hardie Industries NV v Australian </w:t>
      </w:r>
      <w:r w:rsidR="00CF07C0" w:rsidRPr="006941F0">
        <w:rPr>
          <w:i/>
          <w:iCs/>
        </w:rPr>
        <w:t xml:space="preserve">Securities </w:t>
      </w:r>
      <w:r w:rsidR="00CF07C0">
        <w:rPr>
          <w:i/>
          <w:iCs/>
        </w:rPr>
        <w:t xml:space="preserve">and </w:t>
      </w:r>
      <w:r w:rsidR="00E067F4" w:rsidRPr="006941F0">
        <w:rPr>
          <w:i/>
          <w:iCs/>
        </w:rPr>
        <w:t>Investments Commission</w:t>
      </w:r>
      <w:r w:rsidR="00E067F4" w:rsidRPr="006941F0">
        <w:t xml:space="preserve"> </w:t>
      </w:r>
      <w:r w:rsidR="00FC137A">
        <w:t xml:space="preserve">[2010] </w:t>
      </w:r>
      <w:r w:rsidR="00DE245A" w:rsidRPr="00376D8E">
        <w:t>274 ALR 85</w:t>
      </w:r>
      <w:r w:rsidR="00430A33">
        <w:t>;</w:t>
      </w:r>
      <w:r w:rsidR="00E067F4">
        <w:t xml:space="preserve"> </w:t>
      </w:r>
      <w:r w:rsidR="00430A33">
        <w:t xml:space="preserve">NSWCA 332 </w:t>
      </w:r>
      <w:r w:rsidR="00E067F4">
        <w:t>at [355]</w:t>
      </w:r>
      <w:r w:rsidR="00BA364D">
        <w:t xml:space="preserve"> (per Spigelman CJ, Beazley and Giles JJA)</w:t>
      </w:r>
      <w:r w:rsidR="00E067F4">
        <w:t xml:space="preserve">, the New South Wales Court of Appeal </w:t>
      </w:r>
      <w:r w:rsidR="00B850A8">
        <w:t>noted that</w:t>
      </w:r>
      <w:r w:rsidR="00C14625">
        <w:t xml:space="preserve"> the</w:t>
      </w:r>
      <w:r w:rsidR="00B850A8">
        <w:t xml:space="preserve"> “timely disclosure of market information is essential to maintaining and increasing </w:t>
      </w:r>
      <w:r w:rsidR="006464C7">
        <w:t xml:space="preserve">the </w:t>
      </w:r>
      <w:r w:rsidR="00B850A8">
        <w:t xml:space="preserve">confidence </w:t>
      </w:r>
      <w:r w:rsidR="006464C7">
        <w:t>of investors in Australian markets, and to improving the accountability of company management”.</w:t>
      </w:r>
      <w:r w:rsidR="00703289">
        <w:t xml:space="preserve"> Similar</w:t>
      </w:r>
      <w:r w:rsidR="00BE703C">
        <w:t xml:space="preserve"> ob</w:t>
      </w:r>
      <w:r w:rsidR="00D878AA">
        <w:t xml:space="preserve">servations have been made more recently by Beach J in </w:t>
      </w:r>
      <w:r w:rsidR="00D878AA" w:rsidRPr="006941F0">
        <w:rPr>
          <w:i/>
          <w:iCs/>
        </w:rPr>
        <w:t xml:space="preserve">Australian Securities </w:t>
      </w:r>
      <w:r w:rsidR="00377328">
        <w:rPr>
          <w:i/>
          <w:iCs/>
        </w:rPr>
        <w:t xml:space="preserve">and Investments </w:t>
      </w:r>
      <w:r w:rsidR="00D878AA" w:rsidRPr="006941F0">
        <w:rPr>
          <w:i/>
          <w:iCs/>
        </w:rPr>
        <w:t xml:space="preserve">Commission v </w:t>
      </w:r>
      <w:r w:rsidR="00D878AA" w:rsidRPr="006941F0">
        <w:rPr>
          <w:b/>
          <w:bCs/>
          <w:i/>
          <w:iCs/>
        </w:rPr>
        <w:t>Helou</w:t>
      </w:r>
      <w:r w:rsidR="007B6194" w:rsidRPr="006941F0">
        <w:rPr>
          <w:b/>
          <w:bCs/>
          <w:i/>
          <w:iCs/>
        </w:rPr>
        <w:t xml:space="preserve"> (No 2)</w:t>
      </w:r>
      <w:r w:rsidR="00C14625">
        <w:rPr>
          <w:b/>
          <w:bCs/>
          <w:i/>
          <w:iCs/>
        </w:rPr>
        <w:t xml:space="preserve"> </w:t>
      </w:r>
      <w:r w:rsidR="007B6194" w:rsidRPr="006941F0">
        <w:t>[2020] FCA 1650</w:t>
      </w:r>
      <w:r w:rsidR="007B6194">
        <w:t xml:space="preserve"> at [149] and [157].</w:t>
      </w:r>
    </w:p>
    <w:p w14:paraId="68A549D0" w14:textId="1D6CBE78" w:rsidR="006464C7" w:rsidRDefault="006464C7" w:rsidP="000D6D80">
      <w:pPr>
        <w:pStyle w:val="ParaNumbering"/>
      </w:pPr>
      <w:r>
        <w:t>For all these reasons</w:t>
      </w:r>
      <w:r w:rsidR="0022190A">
        <w:t>, contraventions of the continuous disclosure</w:t>
      </w:r>
      <w:r w:rsidR="000358F1">
        <w:t xml:space="preserve"> obligation are serious. </w:t>
      </w:r>
      <w:proofErr w:type="spellStart"/>
      <w:r w:rsidR="000358F1">
        <w:t>Holista</w:t>
      </w:r>
      <w:proofErr w:type="spellEnd"/>
      <w:r w:rsidR="000358F1">
        <w:t xml:space="preserve"> has</w:t>
      </w:r>
      <w:r w:rsidR="00A3195F">
        <w:t xml:space="preserve">, too, </w:t>
      </w:r>
      <w:r w:rsidR="000358F1">
        <w:t>admitted that its contraventions were serious. As I have found, they persisted</w:t>
      </w:r>
      <w:r w:rsidR="00981FA0">
        <w:t xml:space="preserve"> for three months, from 9 April 2020 until 9 July 2020</w:t>
      </w:r>
      <w:r w:rsidR="007E19D1">
        <w:t>,</w:t>
      </w:r>
      <w:r w:rsidR="00E378CB">
        <w:t xml:space="preserve"> </w:t>
      </w:r>
      <w:r w:rsidR="00A3195F">
        <w:t xml:space="preserve">until </w:t>
      </w:r>
      <w:r w:rsidR="006274BE">
        <w:t xml:space="preserve">a corrective disclosure was eventually made. </w:t>
      </w:r>
      <w:r w:rsidR="00332872">
        <w:t>They also persisted after the Board had been made aware</w:t>
      </w:r>
      <w:r w:rsidR="00C83CFC">
        <w:t>, on 27 April 2020</w:t>
      </w:r>
      <w:r w:rsidR="00484612">
        <w:t>,</w:t>
      </w:r>
      <w:r w:rsidR="00332872">
        <w:t xml:space="preserve"> of th</w:t>
      </w:r>
      <w:r w:rsidR="00B17B12">
        <w:t xml:space="preserve">e </w:t>
      </w:r>
      <w:r w:rsidR="00C83CFC">
        <w:t xml:space="preserve">likelihood that the 9 April 2020 Announcement </w:t>
      </w:r>
      <w:r w:rsidR="00484612">
        <w:t>was incorrect. Further,</w:t>
      </w:r>
      <w:r w:rsidR="00A05DE0" w:rsidRPr="00A05DE0">
        <w:t xml:space="preserve"> </w:t>
      </w:r>
      <w:r w:rsidR="00A05DE0">
        <w:t>the information in question represented</w:t>
      </w:r>
      <w:r w:rsidR="00484612">
        <w:t xml:space="preserve"> </w:t>
      </w:r>
      <w:r w:rsidR="00A05DE0">
        <w:t>a very large proportion</w:t>
      </w:r>
      <w:r w:rsidR="00A05DE0" w:rsidRPr="00A05DE0">
        <w:t xml:space="preserve"> </w:t>
      </w:r>
      <w:r w:rsidR="00A05DE0">
        <w:t xml:space="preserve">of </w:t>
      </w:r>
      <w:proofErr w:type="spellStart"/>
      <w:r w:rsidR="00A05DE0">
        <w:t>Holista’s</w:t>
      </w:r>
      <w:proofErr w:type="spellEnd"/>
      <w:r w:rsidR="00A05DE0">
        <w:t xml:space="preserve"> operating revenue.</w:t>
      </w:r>
    </w:p>
    <w:p w14:paraId="4D2D03CB" w14:textId="28809819" w:rsidR="0038339D" w:rsidRDefault="00BA0E05" w:rsidP="000D6D80">
      <w:pPr>
        <w:pStyle w:val="ParaNumbering"/>
      </w:pPr>
      <w:r>
        <w:t>There is no evidence to suggest that the contraventions were the result of a deliberate</w:t>
      </w:r>
      <w:r w:rsidR="00F467A7">
        <w:t xml:space="preserve"> decision by </w:t>
      </w:r>
      <w:proofErr w:type="spellStart"/>
      <w:r w:rsidR="00F467A7">
        <w:t>Holista</w:t>
      </w:r>
      <w:proofErr w:type="spellEnd"/>
      <w:r w:rsidR="00F467A7">
        <w:t xml:space="preserve"> not to comply with its continuous disclosure obligations</w:t>
      </w:r>
      <w:r w:rsidR="006C413E">
        <w:t>.</w:t>
      </w:r>
      <w:r w:rsidR="00DF2F55">
        <w:t xml:space="preserve"> There is no evidence of any profit or benefit to </w:t>
      </w:r>
      <w:proofErr w:type="spellStart"/>
      <w:r w:rsidR="00DF2F55">
        <w:t>Holista</w:t>
      </w:r>
      <w:proofErr w:type="spellEnd"/>
      <w:r w:rsidR="00DF2F55">
        <w:t xml:space="preserve"> </w:t>
      </w:r>
      <w:proofErr w:type="gramStart"/>
      <w:r w:rsidR="00DF2F55">
        <w:t>as a result of</w:t>
      </w:r>
      <w:proofErr w:type="gramEnd"/>
      <w:r w:rsidR="00DF2F55">
        <w:t xml:space="preserve"> the contraventions</w:t>
      </w:r>
      <w:r w:rsidR="007C5061">
        <w:t xml:space="preserve">: </w:t>
      </w:r>
      <w:proofErr w:type="spellStart"/>
      <w:r w:rsidR="007C5061">
        <w:t>cf</w:t>
      </w:r>
      <w:proofErr w:type="spellEnd"/>
      <w:r w:rsidR="007C5061">
        <w:t xml:space="preserve"> </w:t>
      </w:r>
      <w:r w:rsidR="007C5061" w:rsidRPr="006941F0">
        <w:rPr>
          <w:i/>
          <w:iCs/>
        </w:rPr>
        <w:t xml:space="preserve">Australian </w:t>
      </w:r>
      <w:r w:rsidR="00840310" w:rsidRPr="006941F0">
        <w:rPr>
          <w:i/>
          <w:iCs/>
        </w:rPr>
        <w:t xml:space="preserve">Securities </w:t>
      </w:r>
      <w:r w:rsidR="007C5061" w:rsidRPr="006941F0">
        <w:rPr>
          <w:i/>
          <w:iCs/>
        </w:rPr>
        <w:t xml:space="preserve">and Investments Commission v </w:t>
      </w:r>
      <w:proofErr w:type="spellStart"/>
      <w:r w:rsidR="007C5061" w:rsidRPr="00B822DF">
        <w:rPr>
          <w:b/>
          <w:i/>
        </w:rPr>
        <w:t>GetSwift</w:t>
      </w:r>
      <w:proofErr w:type="spellEnd"/>
      <w:r w:rsidR="007C5061" w:rsidRPr="006941F0">
        <w:rPr>
          <w:i/>
          <w:iCs/>
        </w:rPr>
        <w:t xml:space="preserve"> Ltd (Penalty Hearing)</w:t>
      </w:r>
      <w:r w:rsidR="007C5061" w:rsidRPr="006941F0">
        <w:t xml:space="preserve"> [20</w:t>
      </w:r>
      <w:r w:rsidR="003D402E">
        <w:t>2</w:t>
      </w:r>
      <w:r w:rsidR="007C5061" w:rsidRPr="006941F0">
        <w:t>3] FCA</w:t>
      </w:r>
      <w:r w:rsidR="006C413E" w:rsidRPr="006941F0">
        <w:t xml:space="preserve"> </w:t>
      </w:r>
      <w:r w:rsidR="00840310" w:rsidRPr="006941F0">
        <w:t>100</w:t>
      </w:r>
      <w:r w:rsidR="00840310">
        <w:t xml:space="preserve"> at [73]. </w:t>
      </w:r>
      <w:r w:rsidR="006C413E">
        <w:t xml:space="preserve">Nevertheless, I </w:t>
      </w:r>
      <w:r w:rsidR="00A858BC">
        <w:t xml:space="preserve">have found that </w:t>
      </w:r>
      <w:proofErr w:type="spellStart"/>
      <w:r w:rsidR="00A858BC">
        <w:t>Holista</w:t>
      </w:r>
      <w:proofErr w:type="spellEnd"/>
      <w:r w:rsidR="00A858BC">
        <w:t xml:space="preserve"> was </w:t>
      </w:r>
      <w:r w:rsidR="003D7EB0">
        <w:t xml:space="preserve">reckless as to the materiality </w:t>
      </w:r>
      <w:r w:rsidR="004946E8">
        <w:t>of the Non-Disclosed Information.</w:t>
      </w:r>
    </w:p>
    <w:p w14:paraId="4C4C2E72" w14:textId="6F1DE071" w:rsidR="00574080" w:rsidRDefault="00574080" w:rsidP="00574080">
      <w:pPr>
        <w:pStyle w:val="Heading4"/>
      </w:pPr>
      <w:bookmarkStart w:id="43" w:name="_Ref161753325"/>
      <w:r>
        <w:lastRenderedPageBreak/>
        <w:t xml:space="preserve">Nature and extent of any loss or damage </w:t>
      </w:r>
      <w:proofErr w:type="gramStart"/>
      <w:r>
        <w:t>suffered</w:t>
      </w:r>
      <w:bookmarkEnd w:id="43"/>
      <w:proofErr w:type="gramEnd"/>
    </w:p>
    <w:p w14:paraId="72CBAC8F" w14:textId="1D04F24D" w:rsidR="009251E4" w:rsidRDefault="00F52686" w:rsidP="000D6D80">
      <w:pPr>
        <w:pStyle w:val="ParaNumbering"/>
      </w:pPr>
      <w:r>
        <w:t xml:space="preserve">ASIC submitted, albeit faintly, that </w:t>
      </w:r>
      <w:r w:rsidR="00BF23E6">
        <w:t xml:space="preserve">a false market persisted for an extended </w:t>
      </w:r>
      <w:proofErr w:type="gramStart"/>
      <w:r w:rsidR="00BF23E6">
        <w:t>period of time</w:t>
      </w:r>
      <w:proofErr w:type="gramEnd"/>
      <w:r w:rsidR="001D0912">
        <w:t xml:space="preserve">, </w:t>
      </w:r>
      <w:r w:rsidR="00180C51">
        <w:t xml:space="preserve">from </w:t>
      </w:r>
      <w:r w:rsidR="001D0912">
        <w:t>April to July 2020</w:t>
      </w:r>
      <w:r w:rsidR="00BF23E6">
        <w:t xml:space="preserve">. </w:t>
      </w:r>
      <w:r w:rsidR="009251E4">
        <w:t>There is</w:t>
      </w:r>
      <w:r w:rsidR="00180C51">
        <w:t>,</w:t>
      </w:r>
      <w:r w:rsidR="009251E4">
        <w:t xml:space="preserve"> </w:t>
      </w:r>
      <w:r w:rsidR="00ED7E74">
        <w:t>however</w:t>
      </w:r>
      <w:r w:rsidR="00180C51">
        <w:t>,</w:t>
      </w:r>
      <w:r w:rsidR="00ED7E74">
        <w:t xml:space="preserve"> </w:t>
      </w:r>
      <w:r w:rsidR="00180C51">
        <w:t xml:space="preserve">as identified by ASIC, </w:t>
      </w:r>
      <w:r w:rsidR="009251E4">
        <w:t xml:space="preserve">no evidence of any </w:t>
      </w:r>
      <w:proofErr w:type="gramStart"/>
      <w:r w:rsidR="009251E4">
        <w:t>particular loss</w:t>
      </w:r>
      <w:proofErr w:type="gramEnd"/>
      <w:r w:rsidR="009251E4">
        <w:t xml:space="preserve"> and damage having been suffered by investors. </w:t>
      </w:r>
      <w:r w:rsidR="00C4333A">
        <w:t>There is no evidence that acquirers or disposers of the company’s shares</w:t>
      </w:r>
      <w:r w:rsidR="00660050">
        <w:t xml:space="preserve"> were materially prejudiced by the non-disclosure,</w:t>
      </w:r>
      <w:r w:rsidR="00574080">
        <w:t xml:space="preserve"> </w:t>
      </w:r>
      <w:r w:rsidR="00660050">
        <w:t xml:space="preserve">nor that the contravening conduct was the result of any </w:t>
      </w:r>
      <w:r w:rsidR="009D0105">
        <w:t>“</w:t>
      </w:r>
      <w:r w:rsidR="00660050">
        <w:t>plan</w:t>
      </w:r>
      <w:r w:rsidR="009D0105">
        <w:t>”</w:t>
      </w:r>
      <w:r w:rsidR="00660050">
        <w:t xml:space="preserve"> to mislead the market</w:t>
      </w:r>
      <w:r w:rsidR="009D0105">
        <w:t xml:space="preserve">: </w:t>
      </w:r>
      <w:r w:rsidR="006C3F40">
        <w:t xml:space="preserve">see </w:t>
      </w:r>
      <w:proofErr w:type="spellStart"/>
      <w:r w:rsidR="009D0105" w:rsidRPr="00B822DF">
        <w:rPr>
          <w:i/>
        </w:rPr>
        <w:t>Chemeq</w:t>
      </w:r>
      <w:proofErr w:type="spellEnd"/>
      <w:r w:rsidR="009D0105">
        <w:t xml:space="preserve"> at [99]; </w:t>
      </w:r>
      <w:r w:rsidR="00453741" w:rsidRPr="00B822DF">
        <w:rPr>
          <w:b/>
          <w:i/>
        </w:rPr>
        <w:t>ASIC v Westpac</w:t>
      </w:r>
      <w:r w:rsidR="00453741" w:rsidRPr="00B822DF">
        <w:rPr>
          <w:i/>
        </w:rPr>
        <w:t xml:space="preserve"> Banking Corp</w:t>
      </w:r>
      <w:r w:rsidR="00453741">
        <w:t xml:space="preserve"> </w:t>
      </w:r>
      <w:r w:rsidR="008C5092">
        <w:t>[2022] FCA 359; 158 ACSR 647 at [122]</w:t>
      </w:r>
      <w:r w:rsidR="00DF2F55">
        <w:t>.</w:t>
      </w:r>
      <w:r w:rsidR="004607AD">
        <w:t xml:space="preserve"> I am unable to find that there has been any relevant loss or damage suffered by investors</w:t>
      </w:r>
      <w:r w:rsidR="004255CA">
        <w:t>,</w:t>
      </w:r>
      <w:r w:rsidR="004607AD">
        <w:t xml:space="preserve"> beyond what </w:t>
      </w:r>
      <w:r w:rsidR="006C6BF7">
        <w:t xml:space="preserve">is </w:t>
      </w:r>
      <w:r w:rsidR="00EF574A">
        <w:t>theoretical</w:t>
      </w:r>
      <w:r w:rsidR="006C6BF7">
        <w:t>.</w:t>
      </w:r>
    </w:p>
    <w:p w14:paraId="41D795B2" w14:textId="6EF92BF9" w:rsidR="006C6BF7" w:rsidRDefault="006C6BF7" w:rsidP="00EF574A">
      <w:pPr>
        <w:pStyle w:val="Heading4"/>
      </w:pPr>
      <w:bookmarkStart w:id="44" w:name="_Ref161753326"/>
      <w:r>
        <w:t xml:space="preserve">Circumstances in which the contravention took </w:t>
      </w:r>
      <w:proofErr w:type="gramStart"/>
      <w:r>
        <w:t>p</w:t>
      </w:r>
      <w:r w:rsidR="00DA5DFF">
        <w:t>lace</w:t>
      </w:r>
      <w:bookmarkEnd w:id="44"/>
      <w:proofErr w:type="gramEnd"/>
    </w:p>
    <w:p w14:paraId="201F132D" w14:textId="59343DD9" w:rsidR="00DA5DFF" w:rsidRDefault="00DA5DFF" w:rsidP="000D6D80">
      <w:pPr>
        <w:pStyle w:val="ParaNumbering"/>
      </w:pPr>
      <w:proofErr w:type="spellStart"/>
      <w:r>
        <w:t>Holista</w:t>
      </w:r>
      <w:proofErr w:type="spellEnd"/>
      <w:r>
        <w:t xml:space="preserve"> submits that the </w:t>
      </w:r>
      <w:r w:rsidR="00C3644E">
        <w:t xml:space="preserve">fact the non-disclosure took place during the uncertainty and difficulties faced by companies during the COVID-19 pandemic is a matter </w:t>
      </w:r>
      <w:r w:rsidR="00DF55F4">
        <w:t>of mitigation. It submits</w:t>
      </w:r>
      <w:r w:rsidR="00A069EB">
        <w:t>, for example,</w:t>
      </w:r>
      <w:r w:rsidR="00DF55F4">
        <w:t xml:space="preserve"> that it is apparent </w:t>
      </w:r>
      <w:r w:rsidR="00E7423D">
        <w:t xml:space="preserve">that Dr </w:t>
      </w:r>
      <w:proofErr w:type="spellStart"/>
      <w:r w:rsidR="00E7423D">
        <w:t>Marnickavasagar</w:t>
      </w:r>
      <w:proofErr w:type="spellEnd"/>
      <w:r w:rsidR="00E7423D">
        <w:t xml:space="preserve"> was receiving “vague and uncertain” responses from Mr Maison </w:t>
      </w:r>
      <w:r w:rsidR="00A03480">
        <w:t>regarding</w:t>
      </w:r>
      <w:r w:rsidR="00E7423D">
        <w:t xml:space="preserve"> the status of orders from Health Therapies</w:t>
      </w:r>
      <w:r w:rsidR="00A03480">
        <w:t xml:space="preserve">, </w:t>
      </w:r>
      <w:r w:rsidR="00B07DA3">
        <w:t xml:space="preserve">and that uncertainty was at least, in part, </w:t>
      </w:r>
      <w:r w:rsidR="00A03480">
        <w:t xml:space="preserve">causally connected </w:t>
      </w:r>
      <w:r w:rsidR="00B07DA3">
        <w:t xml:space="preserve">to </w:t>
      </w:r>
      <w:r w:rsidR="00A03480">
        <w:t xml:space="preserve">government </w:t>
      </w:r>
      <w:r w:rsidR="00B07DA3">
        <w:t>lockdowns in the United State</w:t>
      </w:r>
      <w:r w:rsidR="00FC241C">
        <w:t xml:space="preserve">s. </w:t>
      </w:r>
      <w:r w:rsidR="005945E6">
        <w:t>Whilst ASIC accepts that COVID-19 contributed to the uncertainty in commercial markets, it points to the</w:t>
      </w:r>
      <w:r w:rsidR="00F10F7E">
        <w:t xml:space="preserve"> </w:t>
      </w:r>
      <w:r w:rsidR="00825A7B">
        <w:t>“</w:t>
      </w:r>
      <w:r w:rsidR="00F10F7E">
        <w:t>heightened need for clear and compliant disclosure in capital markets</w:t>
      </w:r>
      <w:r w:rsidR="00825A7B">
        <w:t>”</w:t>
      </w:r>
      <w:r w:rsidR="00C13C52">
        <w:t xml:space="preserve"> </w:t>
      </w:r>
      <w:r w:rsidR="00A37055">
        <w:t xml:space="preserve">particularly when involving matters relating </w:t>
      </w:r>
      <w:r w:rsidR="00101362">
        <w:t xml:space="preserve">to </w:t>
      </w:r>
      <w:r w:rsidR="00C13C52">
        <w:t>the pandemic</w:t>
      </w:r>
      <w:r w:rsidR="00F10F7E">
        <w:t xml:space="preserve">. The purpose of the </w:t>
      </w:r>
      <w:r w:rsidR="00F10F7E" w:rsidRPr="00FF7CF2">
        <w:rPr>
          <w:i/>
          <w:iCs/>
        </w:rPr>
        <w:t>Coronavirus Determination</w:t>
      </w:r>
      <w:r w:rsidR="00F10F7E">
        <w:t xml:space="preserve"> has already been described above. In circumstances where the policy settings were altered to ameliorate the </w:t>
      </w:r>
      <w:r w:rsidR="00EB50AA">
        <w:t xml:space="preserve">consequences for breach of the continuous disclosure obligations, I accept that </w:t>
      </w:r>
      <w:r w:rsidR="000A430D">
        <w:t xml:space="preserve">the difficulties faced by companies during the pandemic are, prima facie, </w:t>
      </w:r>
      <w:r w:rsidR="001157C5">
        <w:t xml:space="preserve">mitigating factors. Nevertheless, despite the uncertainties and the vagueness with respect to Health Therapies’ position, I have found that </w:t>
      </w:r>
      <w:r w:rsidR="00EB50AA">
        <w:t xml:space="preserve">Dr </w:t>
      </w:r>
      <w:proofErr w:type="spellStart"/>
      <w:r w:rsidR="00EB50AA">
        <w:t>Marnickavasagar</w:t>
      </w:r>
      <w:proofErr w:type="spellEnd"/>
      <w:r w:rsidR="000A430D">
        <w:t xml:space="preserve"> </w:t>
      </w:r>
      <w:r w:rsidR="008B7268">
        <w:t xml:space="preserve">chose, perhaps optimistically, to take a </w:t>
      </w:r>
      <w:r w:rsidR="00C13C52">
        <w:t xml:space="preserve">substantial </w:t>
      </w:r>
      <w:r w:rsidR="008B7268">
        <w:t xml:space="preserve">risk – one that I have found to </w:t>
      </w:r>
      <w:r w:rsidR="00842344">
        <w:t xml:space="preserve">have </w:t>
      </w:r>
      <w:r w:rsidR="008B7268">
        <w:t>be</w:t>
      </w:r>
      <w:r w:rsidR="00842344">
        <w:t>en</w:t>
      </w:r>
      <w:r w:rsidR="00664CA3">
        <w:t xml:space="preserve"> </w:t>
      </w:r>
      <w:r w:rsidR="008B7268">
        <w:t>reckless.</w:t>
      </w:r>
    </w:p>
    <w:p w14:paraId="500931D0" w14:textId="652E48F9" w:rsidR="00664CA3" w:rsidRDefault="00587CF2" w:rsidP="00DB0807">
      <w:pPr>
        <w:pStyle w:val="Heading4"/>
      </w:pPr>
      <w:bookmarkStart w:id="45" w:name="_Ref161753482"/>
      <w:r>
        <w:t>No</w:t>
      </w:r>
      <w:r w:rsidR="00A413F5">
        <w:t xml:space="preserve"> </w:t>
      </w:r>
      <w:r>
        <w:t>prior contraventions</w:t>
      </w:r>
      <w:bookmarkEnd w:id="45"/>
    </w:p>
    <w:p w14:paraId="59138C03" w14:textId="33012186" w:rsidR="00DB0807" w:rsidRDefault="00DB0807" w:rsidP="000D6D80">
      <w:pPr>
        <w:pStyle w:val="ParaNumbering"/>
      </w:pPr>
      <w:proofErr w:type="spellStart"/>
      <w:r>
        <w:t>Holista</w:t>
      </w:r>
      <w:proofErr w:type="spellEnd"/>
      <w:r>
        <w:t xml:space="preserve"> has been listed on the ASX since 2009. It has never previously contravened the </w:t>
      </w:r>
      <w:r w:rsidRPr="007D2B1B">
        <w:rPr>
          <w:i/>
          <w:iCs/>
        </w:rPr>
        <w:t xml:space="preserve">Corporations Act </w:t>
      </w:r>
      <w:r>
        <w:t>nor engaged in any other similar conduct</w:t>
      </w:r>
      <w:r w:rsidR="00CF74FC">
        <w:t>: SAFA [8</w:t>
      </w:r>
      <w:r w:rsidR="001A2A76">
        <w:t>(</w:t>
      </w:r>
      <w:r w:rsidR="00E51A73">
        <w:t>a</w:t>
      </w:r>
      <w:r w:rsidR="001A2A76">
        <w:t>)</w:t>
      </w:r>
      <w:r w:rsidR="00CF74FC">
        <w:t>].</w:t>
      </w:r>
    </w:p>
    <w:p w14:paraId="307C634F" w14:textId="75490F44" w:rsidR="006F0067" w:rsidRDefault="006F0067" w:rsidP="007733BA">
      <w:pPr>
        <w:pStyle w:val="Heading4"/>
      </w:pPr>
      <w:bookmarkStart w:id="46" w:name="_Ref161757954"/>
      <w:r>
        <w:t>Seniority of officers involved, knowledge of directors</w:t>
      </w:r>
      <w:r w:rsidR="00D55CA3">
        <w:t>, and processes to inform</w:t>
      </w:r>
      <w:bookmarkEnd w:id="46"/>
      <w:r w:rsidR="00D55CA3">
        <w:t xml:space="preserve"> </w:t>
      </w:r>
      <w:r w:rsidR="0006471F" w:rsidRPr="0006471F">
        <w:t xml:space="preserve">directors of facts that ought to have been disclosed, change in senior officers or </w:t>
      </w:r>
      <w:proofErr w:type="gramStart"/>
      <w:r w:rsidR="0006471F" w:rsidRPr="0006471F">
        <w:t>directors</w:t>
      </w:r>
      <w:proofErr w:type="gramEnd"/>
    </w:p>
    <w:p w14:paraId="231F385C" w14:textId="05DCD06C" w:rsidR="00D55CA3" w:rsidRDefault="007733BA" w:rsidP="000D6D80">
      <w:pPr>
        <w:pStyle w:val="ParaNumbering"/>
      </w:pPr>
      <w:proofErr w:type="spellStart"/>
      <w:r>
        <w:t>Holista</w:t>
      </w:r>
      <w:proofErr w:type="spellEnd"/>
      <w:r>
        <w:t xml:space="preserve"> accepts that Dr </w:t>
      </w:r>
      <w:proofErr w:type="spellStart"/>
      <w:r>
        <w:t>Marnickav</w:t>
      </w:r>
      <w:r w:rsidR="0029661B">
        <w:t>a</w:t>
      </w:r>
      <w:r>
        <w:t>sagar</w:t>
      </w:r>
      <w:proofErr w:type="spellEnd"/>
      <w:r>
        <w:t xml:space="preserve">, its most senior officer, was responsible for the contravening conduct. </w:t>
      </w:r>
      <w:r w:rsidR="00B27CE9">
        <w:t xml:space="preserve">Dr </w:t>
      </w:r>
      <w:proofErr w:type="spellStart"/>
      <w:r w:rsidR="00B27CE9">
        <w:t>Marnickav</w:t>
      </w:r>
      <w:r w:rsidR="0029661B">
        <w:t>a</w:t>
      </w:r>
      <w:r w:rsidR="00B27CE9">
        <w:t>sagar</w:t>
      </w:r>
      <w:proofErr w:type="spellEnd"/>
      <w:r w:rsidR="00B27CE9">
        <w:t xml:space="preserve"> has personally admitted liability</w:t>
      </w:r>
      <w:r w:rsidR="00C102D8">
        <w:t xml:space="preserve"> and has agreed to </w:t>
      </w:r>
      <w:r w:rsidR="00C102D8">
        <w:lastRenderedPageBreak/>
        <w:t xml:space="preserve">pecuniary </w:t>
      </w:r>
      <w:r w:rsidR="00A413F5">
        <w:t>penalty</w:t>
      </w:r>
      <w:r w:rsidR="00C102D8">
        <w:t xml:space="preserve"> and disqualification orders.</w:t>
      </w:r>
      <w:r w:rsidR="00B27CE9" w:rsidRPr="00B27CE9">
        <w:t xml:space="preserve"> </w:t>
      </w:r>
      <w:r w:rsidR="00B27CE9">
        <w:t xml:space="preserve">The remainder of the Board was </w:t>
      </w:r>
      <w:r w:rsidR="00FD7979">
        <w:t xml:space="preserve">apparently </w:t>
      </w:r>
      <w:r w:rsidR="00B27CE9">
        <w:t>not aware</w:t>
      </w:r>
      <w:r w:rsidR="0002787D">
        <w:t xml:space="preserve"> of </w:t>
      </w:r>
      <w:r w:rsidR="00A65EE3">
        <w:t>the true extent of the non-disclosures</w:t>
      </w:r>
      <w:r w:rsidR="00B27CE9">
        <w:t xml:space="preserve"> until late June 2020.</w:t>
      </w:r>
    </w:p>
    <w:p w14:paraId="64E651DE" w14:textId="0540452B" w:rsidR="00A65EE3" w:rsidRDefault="0013347B" w:rsidP="000D6D80">
      <w:pPr>
        <w:pStyle w:val="ParaNumbering"/>
      </w:pPr>
      <w:r>
        <w:t xml:space="preserve">Dr </w:t>
      </w:r>
      <w:proofErr w:type="spellStart"/>
      <w:r>
        <w:t>Marnickav</w:t>
      </w:r>
      <w:r w:rsidR="0029661B">
        <w:t>a</w:t>
      </w:r>
      <w:r>
        <w:t>sagar</w:t>
      </w:r>
      <w:proofErr w:type="spellEnd"/>
      <w:r w:rsidR="00513359">
        <w:t xml:space="preserve"> remains on the Board</w:t>
      </w:r>
      <w:r w:rsidR="00FD7979">
        <w:t xml:space="preserve"> of </w:t>
      </w:r>
      <w:proofErr w:type="spellStart"/>
      <w:r w:rsidR="00FD7979">
        <w:t>Holista</w:t>
      </w:r>
      <w:proofErr w:type="spellEnd"/>
      <w:r w:rsidR="00FC2D64">
        <w:t>,</w:t>
      </w:r>
      <w:r w:rsidR="00513359">
        <w:t xml:space="preserve"> pending the appointment of a replacement CEO</w:t>
      </w:r>
      <w:r>
        <w:t xml:space="preserve">, </w:t>
      </w:r>
      <w:r w:rsidR="007865E0">
        <w:t xml:space="preserve">as does Mr Tan, who has been the </w:t>
      </w:r>
      <w:r w:rsidR="00157926">
        <w:t xml:space="preserve">company’s </w:t>
      </w:r>
      <w:r w:rsidR="00BC1074">
        <w:t>Chief Financial Officer (</w:t>
      </w:r>
      <w:r w:rsidR="00BC1074" w:rsidRPr="00EC6D7B">
        <w:rPr>
          <w:b/>
        </w:rPr>
        <w:t>CFO</w:t>
      </w:r>
      <w:r w:rsidR="00BC1074">
        <w:t xml:space="preserve">) </w:t>
      </w:r>
      <w:r w:rsidR="007865E0">
        <w:t>since</w:t>
      </w:r>
      <w:r w:rsidR="00DA46BB">
        <w:t xml:space="preserve"> December 2019. Otherwise, </w:t>
      </w:r>
      <w:r w:rsidR="00A65EE3">
        <w:t>the composition of the Board has changed entirely</w:t>
      </w:r>
      <w:r w:rsidR="00776EB2">
        <w:t>.</w:t>
      </w:r>
      <w:r w:rsidR="00DA46BB">
        <w:t xml:space="preserve"> Dr David </w:t>
      </w:r>
      <w:proofErr w:type="spellStart"/>
      <w:r w:rsidR="00DA46BB">
        <w:t>Deloub</w:t>
      </w:r>
      <w:proofErr w:type="spellEnd"/>
      <w:r w:rsidR="00DA46BB">
        <w:t xml:space="preserve"> was appointed </w:t>
      </w:r>
      <w:r w:rsidR="00CB16C9">
        <w:t xml:space="preserve">as the Non-Executive Chairperson on 6 April 2023, Ms Loren King was appointed a Non-Executive Director on 31 July 2021, and Mr Jay Stephenson was appointed as the Company </w:t>
      </w:r>
      <w:r w:rsidR="00B84D71">
        <w:t>Secretary</w:t>
      </w:r>
      <w:r w:rsidR="00CB16C9">
        <w:t xml:space="preserve"> on 1 September 2021</w:t>
      </w:r>
      <w:r w:rsidR="00B84D71">
        <w:t xml:space="preserve">: SAFA </w:t>
      </w:r>
      <w:r w:rsidR="00477708">
        <w:t xml:space="preserve">[121], </w:t>
      </w:r>
      <w:r w:rsidR="00B84D71">
        <w:t xml:space="preserve">[11]. </w:t>
      </w:r>
      <w:r w:rsidR="00776EB2">
        <w:t xml:space="preserve">The </w:t>
      </w:r>
      <w:r w:rsidR="00B84D71">
        <w:t xml:space="preserve">three </w:t>
      </w:r>
      <w:r>
        <w:t xml:space="preserve">new </w:t>
      </w:r>
      <w:r w:rsidR="00E8521A">
        <w:t xml:space="preserve">members of the Board were </w:t>
      </w:r>
      <w:r w:rsidR="00776EB2">
        <w:t>not involved in any contravening conduct</w:t>
      </w:r>
      <w:r w:rsidR="00AF7A60">
        <w:t>: SAFA [121].</w:t>
      </w:r>
      <w:r>
        <w:t xml:space="preserve"> </w:t>
      </w:r>
    </w:p>
    <w:p w14:paraId="472072EF" w14:textId="5D188260" w:rsidR="001E4FEC" w:rsidRDefault="008B461E" w:rsidP="000D6D80">
      <w:pPr>
        <w:pStyle w:val="ParaNumbering"/>
      </w:pPr>
      <w:r>
        <w:t xml:space="preserve">Although </w:t>
      </w:r>
      <w:proofErr w:type="spellStart"/>
      <w:r>
        <w:t>Holista</w:t>
      </w:r>
      <w:proofErr w:type="spellEnd"/>
      <w:r>
        <w:t xml:space="preserve"> had a </w:t>
      </w:r>
      <w:r w:rsidRPr="00B747C0">
        <w:rPr>
          <w:b/>
          <w:bCs/>
        </w:rPr>
        <w:t>Continuous</w:t>
      </w:r>
      <w:r w:rsidR="00276347" w:rsidRPr="00B747C0">
        <w:rPr>
          <w:b/>
          <w:bCs/>
        </w:rPr>
        <w:t xml:space="preserve"> Disclosure Policy</w:t>
      </w:r>
      <w:r w:rsidR="002C5164">
        <w:t xml:space="preserve"> in place at the time of the contraventions, it did not stipulate a procedure </w:t>
      </w:r>
      <w:proofErr w:type="gramStart"/>
      <w:r w:rsidR="002C5164">
        <w:t>for the manner in which</w:t>
      </w:r>
      <w:proofErr w:type="gramEnd"/>
      <w:r w:rsidR="002C5164">
        <w:t xml:space="preserve"> decisions were to be made regarding the</w:t>
      </w:r>
      <w:r w:rsidR="00504851">
        <w:t xml:space="preserve"> </w:t>
      </w:r>
      <w:r w:rsidR="002C5164">
        <w:t xml:space="preserve">information </w:t>
      </w:r>
      <w:r w:rsidR="00504851">
        <w:t xml:space="preserve">that was to be disclosed, or a procedure for the review of ASX announcements by </w:t>
      </w:r>
      <w:proofErr w:type="spellStart"/>
      <w:r w:rsidR="00504851">
        <w:t>Holista’s</w:t>
      </w:r>
      <w:proofErr w:type="spellEnd"/>
      <w:r w:rsidR="00504851">
        <w:t xml:space="preserve"> Board or </w:t>
      </w:r>
      <w:r w:rsidR="00932993">
        <w:t>its</w:t>
      </w:r>
      <w:r w:rsidR="00504851">
        <w:t xml:space="preserve"> lawyers: SAFA </w:t>
      </w:r>
      <w:r w:rsidR="00B02914">
        <w:t>[117].</w:t>
      </w:r>
    </w:p>
    <w:p w14:paraId="11DAF29E" w14:textId="07577CB9" w:rsidR="00E9776C" w:rsidRDefault="00E9776C" w:rsidP="00B747C0">
      <w:pPr>
        <w:pStyle w:val="Heading4"/>
      </w:pPr>
      <w:bookmarkStart w:id="47" w:name="_Ref161757955"/>
      <w:r>
        <w:t>Degree of cooperation with the regulator including any admission of contravention</w:t>
      </w:r>
      <w:bookmarkEnd w:id="47"/>
    </w:p>
    <w:p w14:paraId="13083A98" w14:textId="2391E18A" w:rsidR="00C134DF" w:rsidRDefault="00C134DF" w:rsidP="000D6D80">
      <w:pPr>
        <w:pStyle w:val="ParaNumbering"/>
        <w:rPr>
          <w:szCs w:val="24"/>
        </w:rPr>
      </w:pPr>
      <w:proofErr w:type="spellStart"/>
      <w:r>
        <w:rPr>
          <w:szCs w:val="24"/>
        </w:rPr>
        <w:t>Holista</w:t>
      </w:r>
      <w:proofErr w:type="spellEnd"/>
      <w:r>
        <w:rPr>
          <w:szCs w:val="24"/>
        </w:rPr>
        <w:t xml:space="preserve"> has substantially admitted liability and joined in an agreed statement of facts</w:t>
      </w:r>
      <w:r w:rsidR="00436D26">
        <w:rPr>
          <w:szCs w:val="24"/>
        </w:rPr>
        <w:t xml:space="preserve">. Although the amount of the penalty was not agreed and there were two outstanding issues going to liability that were required to be litigated, </w:t>
      </w:r>
      <w:proofErr w:type="spellStart"/>
      <w:r w:rsidR="00436D26">
        <w:rPr>
          <w:szCs w:val="24"/>
        </w:rPr>
        <w:t>Holista</w:t>
      </w:r>
      <w:r w:rsidR="00520965">
        <w:rPr>
          <w:szCs w:val="24"/>
        </w:rPr>
        <w:t>’s</w:t>
      </w:r>
      <w:proofErr w:type="spellEnd"/>
      <w:r w:rsidR="00520965">
        <w:rPr>
          <w:szCs w:val="24"/>
        </w:rPr>
        <w:t xml:space="preserve"> admissions have avoided the need for a significant contested hearing on all issues.</w:t>
      </w:r>
      <w:r w:rsidR="0017228B">
        <w:rPr>
          <w:szCs w:val="24"/>
        </w:rPr>
        <w:t xml:space="preserve"> </w:t>
      </w:r>
      <w:r w:rsidR="00243871">
        <w:rPr>
          <w:szCs w:val="24"/>
        </w:rPr>
        <w:t>Consequently,</w:t>
      </w:r>
      <w:r w:rsidR="000F197F">
        <w:rPr>
          <w:szCs w:val="24"/>
        </w:rPr>
        <w:t xml:space="preserve"> its cooperation and acknowledgment </w:t>
      </w:r>
      <w:r w:rsidR="00A80BCF">
        <w:rPr>
          <w:szCs w:val="24"/>
        </w:rPr>
        <w:t xml:space="preserve">of wrongdoing “bears upon the evaluation of the need for specific </w:t>
      </w:r>
      <w:r w:rsidR="00302B63">
        <w:rPr>
          <w:szCs w:val="24"/>
        </w:rPr>
        <w:t>deterrence</w:t>
      </w:r>
      <w:r w:rsidR="00A80BCF">
        <w:rPr>
          <w:szCs w:val="24"/>
        </w:rPr>
        <w:t xml:space="preserve"> in fi</w:t>
      </w:r>
      <w:r w:rsidR="00302B63">
        <w:rPr>
          <w:szCs w:val="24"/>
        </w:rPr>
        <w:t>x</w:t>
      </w:r>
      <w:r w:rsidR="00A80BCF">
        <w:rPr>
          <w:szCs w:val="24"/>
        </w:rPr>
        <w:t xml:space="preserve">ing </w:t>
      </w:r>
      <w:r w:rsidR="00302B63">
        <w:rPr>
          <w:szCs w:val="24"/>
        </w:rPr>
        <w:t>the level of the penalty”, noting that “court resources have been saved and public resources (in the form of the regulator</w:t>
      </w:r>
      <w:r w:rsidR="00D5400A">
        <w:rPr>
          <w:szCs w:val="24"/>
        </w:rPr>
        <w:t xml:space="preserve">s’ resources) then become available to be deployed in further regulatory activity”: </w:t>
      </w:r>
      <w:r w:rsidR="00D5400A" w:rsidRPr="006941F0">
        <w:rPr>
          <w:i/>
          <w:iCs/>
          <w:szCs w:val="24"/>
        </w:rPr>
        <w:t>Australian Securities and Investments Commission v Newcrest Mining Ltd</w:t>
      </w:r>
      <w:r w:rsidR="00D5400A" w:rsidRPr="006941F0">
        <w:rPr>
          <w:szCs w:val="24"/>
        </w:rPr>
        <w:t xml:space="preserve"> </w:t>
      </w:r>
      <w:r w:rsidR="004B3A47">
        <w:rPr>
          <w:szCs w:val="24"/>
        </w:rPr>
        <w:t>[</w:t>
      </w:r>
      <w:r w:rsidR="00D5400A" w:rsidRPr="006941F0">
        <w:rPr>
          <w:szCs w:val="24"/>
        </w:rPr>
        <w:t>2014</w:t>
      </w:r>
      <w:r w:rsidR="004B3A47">
        <w:rPr>
          <w:szCs w:val="24"/>
        </w:rPr>
        <w:t>] FCA 689;</w:t>
      </w:r>
      <w:r w:rsidR="00D5400A" w:rsidRPr="006941F0">
        <w:rPr>
          <w:szCs w:val="24"/>
        </w:rPr>
        <w:t xml:space="preserve"> 10</w:t>
      </w:r>
      <w:r w:rsidR="004B3A47">
        <w:rPr>
          <w:szCs w:val="24"/>
        </w:rPr>
        <w:t>1</w:t>
      </w:r>
      <w:r w:rsidR="00D5400A" w:rsidRPr="006941F0">
        <w:rPr>
          <w:szCs w:val="24"/>
        </w:rPr>
        <w:t xml:space="preserve"> ACSR</w:t>
      </w:r>
      <w:r w:rsidR="000B6594" w:rsidRPr="006941F0">
        <w:rPr>
          <w:szCs w:val="24"/>
        </w:rPr>
        <w:t xml:space="preserve"> 46</w:t>
      </w:r>
      <w:r w:rsidR="000B6594">
        <w:rPr>
          <w:szCs w:val="24"/>
        </w:rPr>
        <w:t xml:space="preserve"> at [61].</w:t>
      </w:r>
    </w:p>
    <w:p w14:paraId="31EFE0A0" w14:textId="41B0963D" w:rsidR="008A5849" w:rsidRPr="00B747C0" w:rsidRDefault="008A5849" w:rsidP="00B747C0">
      <w:pPr>
        <w:pStyle w:val="Heading4"/>
      </w:pPr>
      <w:bookmarkStart w:id="48" w:name="_Ref161757956"/>
      <w:r w:rsidRPr="00B747C0">
        <w:t>Existence of compliance systems, and provisions for an</w:t>
      </w:r>
      <w:r w:rsidR="008E34A0" w:rsidRPr="00B747C0">
        <w:t>d evidence of education and</w:t>
      </w:r>
      <w:bookmarkEnd w:id="48"/>
      <w:r w:rsidR="008E34A0" w:rsidRPr="00B747C0">
        <w:t xml:space="preserve"> </w:t>
      </w:r>
      <w:r w:rsidR="0006471F" w:rsidRPr="0006471F">
        <w:t>internal enforcement of such systems, remedial and disciplinary steps</w:t>
      </w:r>
    </w:p>
    <w:p w14:paraId="7CA9B1F6" w14:textId="4CEB0BB0" w:rsidR="004121B3" w:rsidRDefault="00B747C0" w:rsidP="000D6D80">
      <w:pPr>
        <w:pStyle w:val="ParaNumbering"/>
        <w:rPr>
          <w:szCs w:val="24"/>
        </w:rPr>
      </w:pPr>
      <w:proofErr w:type="spellStart"/>
      <w:r>
        <w:t>Holista</w:t>
      </w:r>
      <w:proofErr w:type="spellEnd"/>
      <w:r>
        <w:t xml:space="preserve"> implemented a </w:t>
      </w:r>
      <w:r w:rsidRPr="00DB501D">
        <w:rPr>
          <w:b/>
          <w:bCs/>
        </w:rPr>
        <w:t>Revised</w:t>
      </w:r>
      <w:r>
        <w:t xml:space="preserve"> Continuous Disclosure </w:t>
      </w:r>
      <w:r w:rsidRPr="00DB501D">
        <w:rPr>
          <w:b/>
          <w:bCs/>
        </w:rPr>
        <w:t>Policy</w:t>
      </w:r>
      <w:r>
        <w:t xml:space="preserve"> in or around February 2022. The Revised Policy adopted procedures for the </w:t>
      </w:r>
      <w:r w:rsidR="00E8658C">
        <w:t>c</w:t>
      </w:r>
      <w:r>
        <w:t xml:space="preserve">ompany </w:t>
      </w:r>
      <w:r w:rsidRPr="00F74BAE">
        <w:rPr>
          <w:szCs w:val="24"/>
        </w:rPr>
        <w:t>secretary to oversee, coordinate and provide guidance on disclosure-related matters</w:t>
      </w:r>
      <w:r w:rsidR="009E76E5">
        <w:rPr>
          <w:szCs w:val="24"/>
        </w:rPr>
        <w:t>,</w:t>
      </w:r>
      <w:r w:rsidRPr="00F74BAE">
        <w:rPr>
          <w:szCs w:val="24"/>
        </w:rPr>
        <w:t xml:space="preserve"> and provides for a comprehensive procedure for the review and releas</w:t>
      </w:r>
      <w:r>
        <w:rPr>
          <w:szCs w:val="24"/>
        </w:rPr>
        <w:t xml:space="preserve">e of ASX announcements: SAFA [119]. </w:t>
      </w:r>
    </w:p>
    <w:p w14:paraId="40010D70" w14:textId="641CE3AF" w:rsidR="00B747C0" w:rsidRDefault="004121B3" w:rsidP="000D6D80">
      <w:pPr>
        <w:pStyle w:val="ParaNumbering"/>
        <w:rPr>
          <w:szCs w:val="24"/>
        </w:rPr>
      </w:pPr>
      <w:r>
        <w:rPr>
          <w:szCs w:val="24"/>
        </w:rPr>
        <w:t xml:space="preserve">Nevertheless, </w:t>
      </w:r>
      <w:r>
        <w:t xml:space="preserve">ASIC submitted that the evidence does not disclose a positive culture of compliance </w:t>
      </w:r>
      <w:r w:rsidR="00A8244B">
        <w:t>with</w:t>
      </w:r>
      <w:r>
        <w:t xml:space="preserve">in </w:t>
      </w:r>
      <w:proofErr w:type="spellStart"/>
      <w:r>
        <w:t>Holista</w:t>
      </w:r>
      <w:proofErr w:type="spellEnd"/>
      <w:r>
        <w:t>.</w:t>
      </w:r>
      <w:r>
        <w:rPr>
          <w:szCs w:val="24"/>
        </w:rPr>
        <w:t xml:space="preserve"> </w:t>
      </w:r>
      <w:r w:rsidR="00B747C0" w:rsidRPr="004121B3">
        <w:rPr>
          <w:szCs w:val="24"/>
        </w:rPr>
        <w:t xml:space="preserve">Although the Board of </w:t>
      </w:r>
      <w:proofErr w:type="spellStart"/>
      <w:r w:rsidR="00B747C0" w:rsidRPr="004121B3">
        <w:rPr>
          <w:szCs w:val="24"/>
        </w:rPr>
        <w:t>Holista</w:t>
      </w:r>
      <w:proofErr w:type="spellEnd"/>
      <w:r w:rsidR="00B747C0" w:rsidRPr="004121B3">
        <w:rPr>
          <w:szCs w:val="24"/>
        </w:rPr>
        <w:t xml:space="preserve"> had discussed a draft revision to the </w:t>
      </w:r>
      <w:r w:rsidR="00B747C0" w:rsidRPr="004121B3">
        <w:rPr>
          <w:szCs w:val="24"/>
        </w:rPr>
        <w:lastRenderedPageBreak/>
        <w:t xml:space="preserve">policy on 4 June 2020, by which stage the gaps in the Continuous Disclosure Policy had become apparent, the revised draft was never finalised: SAFA [118]. The Revised Policy was adopted retroactively – approximately 6 months after the proceedings had been commenced – rather than proactively. </w:t>
      </w:r>
      <w:r w:rsidR="00C0299B">
        <w:rPr>
          <w:szCs w:val="24"/>
        </w:rPr>
        <w:t>On the one hand, t</w:t>
      </w:r>
      <w:r w:rsidR="00B747C0" w:rsidRPr="004121B3">
        <w:rPr>
          <w:szCs w:val="24"/>
        </w:rPr>
        <w:t xml:space="preserve">hat is a matter which tends to suggest a certain lack of appreciation </w:t>
      </w:r>
      <w:r w:rsidR="00C6028E">
        <w:rPr>
          <w:szCs w:val="24"/>
        </w:rPr>
        <w:t>about</w:t>
      </w:r>
      <w:r w:rsidR="00C6028E" w:rsidRPr="004121B3">
        <w:rPr>
          <w:szCs w:val="24"/>
        </w:rPr>
        <w:t xml:space="preserve"> </w:t>
      </w:r>
      <w:r w:rsidR="00B747C0" w:rsidRPr="004121B3">
        <w:rPr>
          <w:szCs w:val="24"/>
        </w:rPr>
        <w:t>the importance of having an appropriate policy in place.</w:t>
      </w:r>
      <w:r w:rsidR="009F7A40">
        <w:rPr>
          <w:szCs w:val="24"/>
        </w:rPr>
        <w:t xml:space="preserve"> </w:t>
      </w:r>
      <w:r w:rsidR="00C0299B">
        <w:rPr>
          <w:szCs w:val="24"/>
        </w:rPr>
        <w:t xml:space="preserve">On the other hand, the Revised Policy was adopted within </w:t>
      </w:r>
      <w:r w:rsidR="005E5870">
        <w:rPr>
          <w:szCs w:val="24"/>
        </w:rPr>
        <w:t>five months of the ap</w:t>
      </w:r>
      <w:r w:rsidR="00C22C23">
        <w:rPr>
          <w:szCs w:val="24"/>
        </w:rPr>
        <w:t xml:space="preserve">pointment of Mr Stephenson, and prior to the appointment of Mr </w:t>
      </w:r>
      <w:proofErr w:type="spellStart"/>
      <w:r w:rsidR="00C22C23">
        <w:rPr>
          <w:szCs w:val="24"/>
        </w:rPr>
        <w:t>Deloub</w:t>
      </w:r>
      <w:proofErr w:type="spellEnd"/>
      <w:r w:rsidR="00C22C23">
        <w:rPr>
          <w:szCs w:val="24"/>
        </w:rPr>
        <w:t xml:space="preserve">. This tends to suggest the newly appointed </w:t>
      </w:r>
      <w:r w:rsidR="00C6028E">
        <w:rPr>
          <w:szCs w:val="24"/>
        </w:rPr>
        <w:t>B</w:t>
      </w:r>
      <w:r w:rsidR="00C22C23">
        <w:rPr>
          <w:szCs w:val="24"/>
        </w:rPr>
        <w:t xml:space="preserve">oard members were acutely aware of the need to adopt the Revised Policy </w:t>
      </w:r>
      <w:r w:rsidR="00C6028E">
        <w:rPr>
          <w:szCs w:val="24"/>
        </w:rPr>
        <w:t>expediently.</w:t>
      </w:r>
    </w:p>
    <w:p w14:paraId="4FB56358" w14:textId="1661FA1D" w:rsidR="00974EAA" w:rsidRDefault="00974EAA" w:rsidP="000D6D80">
      <w:pPr>
        <w:pStyle w:val="ParaNumbering"/>
        <w:rPr>
          <w:szCs w:val="24"/>
        </w:rPr>
      </w:pPr>
      <w:r>
        <w:rPr>
          <w:szCs w:val="24"/>
        </w:rPr>
        <w:t xml:space="preserve">There is no evidence of any </w:t>
      </w:r>
      <w:r w:rsidR="00434E41">
        <w:rPr>
          <w:szCs w:val="24"/>
        </w:rPr>
        <w:t>education in relation to corporate governance generally or of continuous disclosure obligations specifically.</w:t>
      </w:r>
    </w:p>
    <w:p w14:paraId="67C21C89" w14:textId="00E9292E" w:rsidR="00434E41" w:rsidRDefault="005766E2" w:rsidP="000D6D80">
      <w:pPr>
        <w:pStyle w:val="ParaNumbering"/>
        <w:rPr>
          <w:szCs w:val="24"/>
        </w:rPr>
      </w:pPr>
      <w:r>
        <w:rPr>
          <w:szCs w:val="24"/>
        </w:rPr>
        <w:t>There is no evidence of any</w:t>
      </w:r>
      <w:r w:rsidR="006E361F">
        <w:rPr>
          <w:szCs w:val="24"/>
        </w:rPr>
        <w:t xml:space="preserve"> disciplinary processes or internal enforcement procedures. It is remarkable that Dr </w:t>
      </w:r>
      <w:proofErr w:type="spellStart"/>
      <w:r w:rsidR="006E361F">
        <w:rPr>
          <w:szCs w:val="24"/>
        </w:rPr>
        <w:t>Marnickavasagar</w:t>
      </w:r>
      <w:proofErr w:type="spellEnd"/>
      <w:r w:rsidR="006E361F">
        <w:rPr>
          <w:szCs w:val="24"/>
        </w:rPr>
        <w:t xml:space="preserve"> remained on the Board at the date of trial</w:t>
      </w:r>
      <w:r w:rsidR="0066466C">
        <w:rPr>
          <w:szCs w:val="24"/>
        </w:rPr>
        <w:t>,</w:t>
      </w:r>
      <w:r w:rsidR="00785E5B">
        <w:rPr>
          <w:szCs w:val="24"/>
        </w:rPr>
        <w:t xml:space="preserve"> despite his admission of serious contraventions</w:t>
      </w:r>
      <w:r w:rsidR="00605ADF">
        <w:rPr>
          <w:szCs w:val="24"/>
        </w:rPr>
        <w:t>. It is also asto</w:t>
      </w:r>
      <w:r w:rsidR="00DC7F65">
        <w:rPr>
          <w:szCs w:val="24"/>
        </w:rPr>
        <w:t>nishing</w:t>
      </w:r>
      <w:r w:rsidR="00785E5B">
        <w:rPr>
          <w:szCs w:val="24"/>
        </w:rPr>
        <w:t xml:space="preserve"> that no</w:t>
      </w:r>
      <w:r>
        <w:rPr>
          <w:szCs w:val="24"/>
        </w:rPr>
        <w:t xml:space="preserve"> disciplinary action was taken</w:t>
      </w:r>
      <w:r w:rsidR="00785E5B">
        <w:rPr>
          <w:szCs w:val="24"/>
        </w:rPr>
        <w:t xml:space="preserve"> against him </w:t>
      </w:r>
      <w:r w:rsidR="00F641C5">
        <w:rPr>
          <w:szCs w:val="24"/>
        </w:rPr>
        <w:t xml:space="preserve">by </w:t>
      </w:r>
      <w:proofErr w:type="spellStart"/>
      <w:r w:rsidR="00F641C5">
        <w:rPr>
          <w:szCs w:val="24"/>
        </w:rPr>
        <w:t>Holista</w:t>
      </w:r>
      <w:proofErr w:type="spellEnd"/>
      <w:r w:rsidR="00F641C5">
        <w:rPr>
          <w:szCs w:val="24"/>
        </w:rPr>
        <w:t>. The explanation</w:t>
      </w:r>
      <w:r w:rsidR="00DC7F65">
        <w:rPr>
          <w:szCs w:val="24"/>
        </w:rPr>
        <w:t xml:space="preserve"> given, namely</w:t>
      </w:r>
      <w:r w:rsidR="00F641C5">
        <w:rPr>
          <w:szCs w:val="24"/>
        </w:rPr>
        <w:t xml:space="preserve"> that it was difficult to find a replacement</w:t>
      </w:r>
      <w:r w:rsidR="000B63AF">
        <w:rPr>
          <w:szCs w:val="24"/>
        </w:rPr>
        <w:t xml:space="preserve"> CEO</w:t>
      </w:r>
      <w:r w:rsidR="00F641C5">
        <w:rPr>
          <w:szCs w:val="24"/>
        </w:rPr>
        <w:t xml:space="preserve">, particularly while the proceedings </w:t>
      </w:r>
      <w:r w:rsidR="000B63AF">
        <w:rPr>
          <w:szCs w:val="24"/>
        </w:rPr>
        <w:t xml:space="preserve">remain </w:t>
      </w:r>
      <w:r w:rsidR="00F641C5">
        <w:rPr>
          <w:szCs w:val="24"/>
        </w:rPr>
        <w:t xml:space="preserve">on foot, </w:t>
      </w:r>
      <w:r w:rsidR="000B63AF">
        <w:rPr>
          <w:szCs w:val="24"/>
        </w:rPr>
        <w:t xml:space="preserve">is not a credible reason for retaining Dr </w:t>
      </w:r>
      <w:proofErr w:type="spellStart"/>
      <w:r w:rsidR="000B63AF">
        <w:rPr>
          <w:szCs w:val="24"/>
        </w:rPr>
        <w:t>Marnickavasagar</w:t>
      </w:r>
      <w:proofErr w:type="spellEnd"/>
      <w:r w:rsidR="0066466C">
        <w:rPr>
          <w:szCs w:val="24"/>
        </w:rPr>
        <w:t xml:space="preserve"> as </w:t>
      </w:r>
      <w:r w:rsidR="00540F01">
        <w:rPr>
          <w:szCs w:val="24"/>
        </w:rPr>
        <w:t>CEO,</w:t>
      </w:r>
      <w:r w:rsidR="00231A56">
        <w:rPr>
          <w:szCs w:val="24"/>
        </w:rPr>
        <w:t xml:space="preserve"> in the face of the conduct to which he has admitted.</w:t>
      </w:r>
      <w:r w:rsidR="0014311C">
        <w:rPr>
          <w:szCs w:val="24"/>
        </w:rPr>
        <w:t xml:space="preserve"> The evidence disclosed that</w:t>
      </w:r>
      <w:r w:rsidR="00DD5B25">
        <w:rPr>
          <w:szCs w:val="24"/>
        </w:rPr>
        <w:t xml:space="preserve"> no attempt had been made to find a replacement until 22 September 2023.</w:t>
      </w:r>
    </w:p>
    <w:p w14:paraId="3FB1956A" w14:textId="3FED7A81" w:rsidR="00D86D77" w:rsidRDefault="0003312E" w:rsidP="00150C8B">
      <w:pPr>
        <w:pStyle w:val="Heading4"/>
      </w:pPr>
      <w:bookmarkStart w:id="49" w:name="_Ref161757957"/>
      <w:proofErr w:type="spellStart"/>
      <w:r>
        <w:t>Holista’s</w:t>
      </w:r>
      <w:proofErr w:type="spellEnd"/>
      <w:r>
        <w:t xml:space="preserve"> size and </w:t>
      </w:r>
      <w:r w:rsidR="00585821">
        <w:t xml:space="preserve">capacity to </w:t>
      </w:r>
      <w:proofErr w:type="gramStart"/>
      <w:r w:rsidR="00585821">
        <w:t>pay</w:t>
      </w:r>
      <w:bookmarkEnd w:id="49"/>
      <w:proofErr w:type="gramEnd"/>
    </w:p>
    <w:p w14:paraId="48EDF725" w14:textId="2A60ED97" w:rsidR="00585821" w:rsidRDefault="00585821" w:rsidP="000D6D80">
      <w:pPr>
        <w:pStyle w:val="ParaNumbering"/>
        <w:rPr>
          <w:szCs w:val="24"/>
        </w:rPr>
      </w:pPr>
      <w:proofErr w:type="spellStart"/>
      <w:r>
        <w:rPr>
          <w:szCs w:val="24"/>
        </w:rPr>
        <w:t>Holis</w:t>
      </w:r>
      <w:r w:rsidR="006835A7">
        <w:rPr>
          <w:szCs w:val="24"/>
        </w:rPr>
        <w:t>ta</w:t>
      </w:r>
      <w:proofErr w:type="spellEnd"/>
      <w:r w:rsidR="006835A7">
        <w:rPr>
          <w:szCs w:val="24"/>
        </w:rPr>
        <w:t xml:space="preserve"> relied on its size and capacity to pay as</w:t>
      </w:r>
      <w:r w:rsidR="00776168">
        <w:rPr>
          <w:szCs w:val="24"/>
        </w:rPr>
        <w:t xml:space="preserve"> </w:t>
      </w:r>
      <w:r w:rsidR="006835A7">
        <w:rPr>
          <w:szCs w:val="24"/>
        </w:rPr>
        <w:t>mitigating</w:t>
      </w:r>
      <w:r w:rsidR="00776168">
        <w:rPr>
          <w:szCs w:val="24"/>
        </w:rPr>
        <w:t xml:space="preserve"> factors in the present case. As was said in </w:t>
      </w:r>
      <w:r w:rsidR="00776168" w:rsidRPr="006941F0">
        <w:rPr>
          <w:i/>
          <w:iCs/>
          <w:szCs w:val="24"/>
        </w:rPr>
        <w:t>Australian Compe</w:t>
      </w:r>
      <w:r w:rsidR="00CE2874" w:rsidRPr="006941F0">
        <w:rPr>
          <w:i/>
          <w:iCs/>
          <w:szCs w:val="24"/>
        </w:rPr>
        <w:t>tition and Consumer Commission v Leahy Petroleum (No 2)</w:t>
      </w:r>
      <w:r w:rsidR="00CE2874" w:rsidRPr="006941F0">
        <w:rPr>
          <w:szCs w:val="24"/>
        </w:rPr>
        <w:t xml:space="preserve"> [2005] FCA 254; </w:t>
      </w:r>
      <w:r w:rsidR="000B60FB" w:rsidRPr="006941F0">
        <w:rPr>
          <w:szCs w:val="24"/>
        </w:rPr>
        <w:t>215 ALR 281</w:t>
      </w:r>
      <w:r w:rsidR="000B60FB">
        <w:rPr>
          <w:szCs w:val="24"/>
        </w:rPr>
        <w:t xml:space="preserve"> at [9]</w:t>
      </w:r>
      <w:r w:rsidR="00EB5C41">
        <w:rPr>
          <w:szCs w:val="24"/>
        </w:rPr>
        <w:t xml:space="preserve">, where both factors were similarly relied upon </w:t>
      </w:r>
      <w:proofErr w:type="gramStart"/>
      <w:r w:rsidR="00EB5C41">
        <w:rPr>
          <w:szCs w:val="24"/>
        </w:rPr>
        <w:t>in an attempt to</w:t>
      </w:r>
      <w:proofErr w:type="gramEnd"/>
      <w:r w:rsidR="00EB5C41">
        <w:rPr>
          <w:szCs w:val="24"/>
        </w:rPr>
        <w:t xml:space="preserve"> mitigate the quantum of penalty</w:t>
      </w:r>
      <w:r w:rsidR="000B60FB">
        <w:rPr>
          <w:szCs w:val="24"/>
        </w:rPr>
        <w:t>:</w:t>
      </w:r>
    </w:p>
    <w:p w14:paraId="00DB5CDC" w14:textId="54A0FB1C" w:rsidR="00AA19D4" w:rsidRPr="00AA19D4" w:rsidRDefault="00AA19D4" w:rsidP="00985AA5">
      <w:pPr>
        <w:pStyle w:val="Quote1"/>
        <w:spacing w:after="360"/>
        <w:rPr>
          <w:lang w:eastAsia="en-AU"/>
        </w:rPr>
      </w:pPr>
      <w:r>
        <w:rPr>
          <w:lang w:eastAsia="en-AU"/>
        </w:rPr>
        <w:t xml:space="preserve">Plainly, such factors can be relevant to the penalty that is necessary to deter the company from contravening the Act in the future. </w:t>
      </w:r>
      <w:r w:rsidRPr="00AA19D4">
        <w:rPr>
          <w:b/>
          <w:bCs/>
          <w:lang w:eastAsia="en-AU"/>
        </w:rPr>
        <w:t xml:space="preserve">Size </w:t>
      </w:r>
      <w:r>
        <w:rPr>
          <w:lang w:eastAsia="en-AU"/>
        </w:rPr>
        <w:t xml:space="preserve">may also be </w:t>
      </w:r>
      <w:r w:rsidRPr="00AA19D4">
        <w:rPr>
          <w:b/>
          <w:bCs/>
          <w:lang w:eastAsia="en-AU"/>
        </w:rPr>
        <w:t>relevant to general deterrence</w:t>
      </w:r>
      <w:r>
        <w:rPr>
          <w:lang w:eastAsia="en-AU"/>
        </w:rPr>
        <w:t xml:space="preserve"> because other potential </w:t>
      </w:r>
      <w:r w:rsidRPr="00AA19D4">
        <w:rPr>
          <w:b/>
          <w:bCs/>
          <w:lang w:eastAsia="en-AU"/>
        </w:rPr>
        <w:t>contraveners are likely to take notice of penalties imposed on companies of a similar size.</w:t>
      </w:r>
      <w:r>
        <w:rPr>
          <w:lang w:eastAsia="en-AU"/>
        </w:rPr>
        <w:t xml:space="preserve"> However, a contravening company’s </w:t>
      </w:r>
      <w:r w:rsidRPr="00AA19D4">
        <w:rPr>
          <w:b/>
          <w:bCs/>
          <w:lang w:eastAsia="en-AU"/>
        </w:rPr>
        <w:t xml:space="preserve">capacity to pay a penalty is of less relevance to the objective of general deterrence </w:t>
      </w:r>
      <w:r>
        <w:rPr>
          <w:lang w:eastAsia="en-AU"/>
        </w:rPr>
        <w:t xml:space="preserve">because that objective is not concerned with whether the penalties imposed have been paid. Rather, it involves a penalty being fixed that will deter others from engaging in similar contravening conduct in the future. Thus, general deterrence will depend more on the expected quantum of the penalty for the offending conduct, rather than on a past offender’s capacity to pay a previous penalty. I therefore respectfully agree with the observation of Smithers J, referred to by Burchett and Kiefel JJ in </w:t>
      </w:r>
      <w:r>
        <w:rPr>
          <w:rFonts w:ascii="Times-Italic" w:hAnsi="Times-Italic" w:cs="Times-Italic"/>
          <w:i/>
          <w:iCs/>
          <w:lang w:eastAsia="en-AU"/>
        </w:rPr>
        <w:t>NW Frozen Foods</w:t>
      </w:r>
      <w:r>
        <w:rPr>
          <w:lang w:eastAsia="en-AU"/>
        </w:rPr>
        <w:t xml:space="preserve">, to the effect that, </w:t>
      </w:r>
      <w:r w:rsidRPr="00AA19D4">
        <w:rPr>
          <w:b/>
          <w:bCs/>
          <w:lang w:eastAsia="en-AU"/>
        </w:rPr>
        <w:t>a penalty that is no greater than is necessary to achieve the object of general deterrence, will not be oppressive</w:t>
      </w:r>
      <w:r>
        <w:rPr>
          <w:lang w:eastAsia="en-AU"/>
        </w:rPr>
        <w:t>.</w:t>
      </w:r>
    </w:p>
    <w:p w14:paraId="2436136D" w14:textId="7F4204E7" w:rsidR="00653CD8" w:rsidRPr="005830BA" w:rsidRDefault="00653CD8" w:rsidP="000D6D80">
      <w:pPr>
        <w:pStyle w:val="ParaNumbering"/>
      </w:pPr>
      <w:r>
        <w:rPr>
          <w:szCs w:val="24"/>
        </w:rPr>
        <w:lastRenderedPageBreak/>
        <w:t xml:space="preserve">Similarly, in </w:t>
      </w:r>
      <w:r w:rsidRPr="005830BA">
        <w:rPr>
          <w:i/>
          <w:iCs/>
          <w:szCs w:val="24"/>
        </w:rPr>
        <w:t>Pattinson</w:t>
      </w:r>
      <w:r w:rsidR="00B74BDA">
        <w:rPr>
          <w:szCs w:val="24"/>
        </w:rPr>
        <w:t xml:space="preserve"> at [41], the High Court accepted that a pecuniary penalty provision </w:t>
      </w:r>
      <w:r w:rsidR="005830BA" w:rsidRPr="00F931AA">
        <w:t>“requires the court to ensure that the penalty it imposes is ‘proportionate’, where that term is understood to refer to a penalty that strikes a reasonable balance between deterrence and oppressive severity”.</w:t>
      </w:r>
    </w:p>
    <w:p w14:paraId="0BB9BC82" w14:textId="3DA8BAF9" w:rsidR="000B60FB" w:rsidRDefault="00150C8B" w:rsidP="000D6D80">
      <w:pPr>
        <w:pStyle w:val="ParaNumbering"/>
        <w:rPr>
          <w:szCs w:val="24"/>
        </w:rPr>
      </w:pPr>
      <w:r>
        <w:rPr>
          <w:szCs w:val="24"/>
        </w:rPr>
        <w:t xml:space="preserve">As to general deterrence, </w:t>
      </w:r>
      <w:proofErr w:type="spellStart"/>
      <w:r>
        <w:rPr>
          <w:szCs w:val="24"/>
        </w:rPr>
        <w:t>Holista</w:t>
      </w:r>
      <w:proofErr w:type="spellEnd"/>
      <w:r>
        <w:rPr>
          <w:szCs w:val="24"/>
        </w:rPr>
        <w:t xml:space="preserve"> submitted tha</w:t>
      </w:r>
      <w:r w:rsidR="00D025BE">
        <w:rPr>
          <w:szCs w:val="24"/>
        </w:rPr>
        <w:t>t the following matters were relevant</w:t>
      </w:r>
      <w:r w:rsidR="00E5405D">
        <w:rPr>
          <w:szCs w:val="24"/>
        </w:rPr>
        <w:t xml:space="preserve"> to its size in urging a finding that, objectively, it is a small publicly listed company</w:t>
      </w:r>
      <w:r w:rsidR="00D025BE">
        <w:rPr>
          <w:szCs w:val="24"/>
        </w:rPr>
        <w:t>:</w:t>
      </w:r>
    </w:p>
    <w:p w14:paraId="5FF3F94B" w14:textId="7FCD5A09" w:rsidR="00D025BE" w:rsidRDefault="00D025BE" w:rsidP="00A4777A">
      <w:pPr>
        <w:pStyle w:val="Quote1"/>
        <w:numPr>
          <w:ilvl w:val="0"/>
          <w:numId w:val="32"/>
        </w:numPr>
        <w:ind w:left="1440" w:hanging="720"/>
      </w:pPr>
      <w:r>
        <w:t xml:space="preserve">as </w:t>
      </w:r>
      <w:proofErr w:type="gramStart"/>
      <w:r>
        <w:t>at</w:t>
      </w:r>
      <w:proofErr w:type="gramEnd"/>
      <w:r>
        <w:t xml:space="preserve"> </w:t>
      </w:r>
      <w:r w:rsidR="003E6D92">
        <w:t xml:space="preserve">27 October 2023, </w:t>
      </w:r>
      <w:proofErr w:type="spellStart"/>
      <w:r w:rsidR="003E6D92">
        <w:t>Holista’s</w:t>
      </w:r>
      <w:proofErr w:type="spellEnd"/>
      <w:r w:rsidR="003E6D92">
        <w:t xml:space="preserve"> market capitalisation was $2.78 million</w:t>
      </w:r>
      <w:r w:rsidR="00384923">
        <w:t>;</w:t>
      </w:r>
    </w:p>
    <w:p w14:paraId="1DE397B9" w14:textId="414F291A" w:rsidR="00384923" w:rsidRDefault="00384923" w:rsidP="00A4777A">
      <w:pPr>
        <w:pStyle w:val="Quote1"/>
        <w:numPr>
          <w:ilvl w:val="0"/>
          <w:numId w:val="32"/>
        </w:numPr>
        <w:ind w:left="1440" w:hanging="720"/>
      </w:pPr>
      <w:r>
        <w:t xml:space="preserve">as </w:t>
      </w:r>
      <w:proofErr w:type="gramStart"/>
      <w:r>
        <w:t>at</w:t>
      </w:r>
      <w:proofErr w:type="gramEnd"/>
      <w:r>
        <w:t xml:space="preserve"> 30 June 2023, </w:t>
      </w:r>
      <w:proofErr w:type="spellStart"/>
      <w:r>
        <w:t>Holista</w:t>
      </w:r>
      <w:proofErr w:type="spellEnd"/>
      <w:r>
        <w:t xml:space="preserve"> had total assets of $4,314,819</w:t>
      </w:r>
      <w:r w:rsidR="007A6076">
        <w:t>, total liabilities of $4,052,217, and net assets of $262,602;</w:t>
      </w:r>
      <w:r w:rsidR="004262ED">
        <w:t xml:space="preserve"> and</w:t>
      </w:r>
    </w:p>
    <w:p w14:paraId="37B54EA2" w14:textId="3EF6EAA8" w:rsidR="007A6076" w:rsidRPr="004121B3" w:rsidRDefault="007A6076" w:rsidP="00A4777A">
      <w:pPr>
        <w:pStyle w:val="Quote1"/>
        <w:numPr>
          <w:ilvl w:val="0"/>
          <w:numId w:val="32"/>
        </w:numPr>
        <w:spacing w:after="240"/>
        <w:ind w:left="1440" w:hanging="720"/>
      </w:pPr>
      <w:r>
        <w:t xml:space="preserve">For the years ended 31 December 2020, </w:t>
      </w:r>
      <w:proofErr w:type="gramStart"/>
      <w:r>
        <w:t>2021</w:t>
      </w:r>
      <w:proofErr w:type="gramEnd"/>
      <w:r>
        <w:t xml:space="preserve"> and 2022</w:t>
      </w:r>
      <w:r w:rsidR="003617DB">
        <w:t xml:space="preserve">, </w:t>
      </w:r>
      <w:proofErr w:type="spellStart"/>
      <w:r w:rsidR="003617DB">
        <w:t>Holista</w:t>
      </w:r>
      <w:proofErr w:type="spellEnd"/>
      <w:r w:rsidR="003617DB">
        <w:t xml:space="preserve"> recorded trading revenue of $7.1 million, $8 million, and $8.2 million respectively.</w:t>
      </w:r>
    </w:p>
    <w:p w14:paraId="234F8526" w14:textId="02D7A65F" w:rsidR="00592B7F" w:rsidRDefault="0008428D" w:rsidP="000D6D80">
      <w:pPr>
        <w:pStyle w:val="ParaNumbering"/>
        <w:rPr>
          <w:lang w:eastAsia="en-AU"/>
        </w:rPr>
      </w:pPr>
      <w:r>
        <w:t xml:space="preserve">ASIC contended that </w:t>
      </w:r>
      <w:proofErr w:type="spellStart"/>
      <w:r>
        <w:t>Holista’s</w:t>
      </w:r>
      <w:proofErr w:type="spellEnd"/>
      <w:r>
        <w:t xml:space="preserve"> financial position is not a reason against imposing a penalty in the range it proposes. </w:t>
      </w:r>
      <w:r w:rsidR="001066EC">
        <w:t>A</w:t>
      </w:r>
      <w:r w:rsidR="00CE325B">
        <w:t>t the date of the 9 April 2020 Announcement,</w:t>
      </w:r>
      <w:r w:rsidR="004F11B5">
        <w:t xml:space="preserve"> </w:t>
      </w:r>
      <w:proofErr w:type="spellStart"/>
      <w:r w:rsidR="004F11B5">
        <w:t>Holista’s</w:t>
      </w:r>
      <w:proofErr w:type="spellEnd"/>
      <w:r w:rsidR="004F11B5">
        <w:t xml:space="preserve"> market capitalisation </w:t>
      </w:r>
      <w:r w:rsidR="00CE325B">
        <w:t>was</w:t>
      </w:r>
      <w:r w:rsidR="004F11B5">
        <w:t xml:space="preserve"> $45</w:t>
      </w:r>
      <w:r w:rsidR="003334BE">
        <w:t>.43 million</w:t>
      </w:r>
      <w:r w:rsidR="00452653">
        <w:t xml:space="preserve">. </w:t>
      </w:r>
      <w:r w:rsidR="003334BE">
        <w:t xml:space="preserve"> </w:t>
      </w:r>
      <w:r w:rsidR="00452653">
        <w:t xml:space="preserve">That figure </w:t>
      </w:r>
      <w:r>
        <w:t>fell</w:t>
      </w:r>
      <w:r w:rsidR="003334BE">
        <w:t xml:space="preserve"> </w:t>
      </w:r>
      <w:r w:rsidR="002F6C57">
        <w:t xml:space="preserve">to $38.55 million at market close on </w:t>
      </w:r>
      <w:r w:rsidR="00A13D0A">
        <w:t xml:space="preserve">8 July 2020, </w:t>
      </w:r>
      <w:r w:rsidR="002F6C57">
        <w:t>the</w:t>
      </w:r>
      <w:r w:rsidR="00301C25">
        <w:t xml:space="preserve"> </w:t>
      </w:r>
      <w:r w:rsidR="002F6C57">
        <w:t>day</w:t>
      </w:r>
      <w:r w:rsidR="002F6C57" w:rsidDel="00301C25">
        <w:t xml:space="preserve"> </w:t>
      </w:r>
      <w:r w:rsidR="00301C25">
        <w:t xml:space="preserve">before </w:t>
      </w:r>
      <w:r w:rsidR="002F6C57">
        <w:t>the corrective announcement</w:t>
      </w:r>
      <w:r w:rsidR="005D7713" w:rsidDel="00A13D0A">
        <w:t>,</w:t>
      </w:r>
      <w:r w:rsidR="00883D98">
        <w:t xml:space="preserve"> an approximate reduction of 16%</w:t>
      </w:r>
      <w:r w:rsidR="00883D98" w:rsidRPr="00DA0E77">
        <w:t xml:space="preserve">. </w:t>
      </w:r>
      <w:r w:rsidR="00BB5138" w:rsidRPr="00DA0E77">
        <w:t xml:space="preserve">There is no evidence as to why the </w:t>
      </w:r>
      <w:r w:rsidR="008A5A5D" w:rsidRPr="00DA0E77">
        <w:t xml:space="preserve">market capitalisation </w:t>
      </w:r>
      <w:r w:rsidR="00DA0E77" w:rsidRPr="0048552F">
        <w:t xml:space="preserve">of </w:t>
      </w:r>
      <w:proofErr w:type="spellStart"/>
      <w:r w:rsidR="00DA0E77" w:rsidRPr="0048552F">
        <w:t>Holista</w:t>
      </w:r>
      <w:proofErr w:type="spellEnd"/>
      <w:r w:rsidR="00DA0E77" w:rsidRPr="0048552F">
        <w:t xml:space="preserve"> as </w:t>
      </w:r>
      <w:proofErr w:type="gramStart"/>
      <w:r w:rsidR="00DA0E77" w:rsidRPr="0048552F">
        <w:t>at</w:t>
      </w:r>
      <w:proofErr w:type="gramEnd"/>
      <w:r w:rsidR="00DA0E77" w:rsidRPr="0048552F">
        <w:t xml:space="preserve"> 27 October 2023 </w:t>
      </w:r>
      <w:r w:rsidR="008A5A5D" w:rsidRPr="00DA0E77">
        <w:t>is so much lower tha</w:t>
      </w:r>
      <w:r w:rsidR="001E7E81" w:rsidRPr="00DA0E77">
        <w:t>n</w:t>
      </w:r>
      <w:r w:rsidR="008A5A5D" w:rsidRPr="00DA0E77">
        <w:t xml:space="preserve"> in 2020. </w:t>
      </w:r>
      <w:proofErr w:type="spellStart"/>
      <w:r w:rsidR="008A5A5D" w:rsidRPr="00DA0E77">
        <w:t>H</w:t>
      </w:r>
      <w:r w:rsidR="008A5A5D">
        <w:t>olista</w:t>
      </w:r>
      <w:proofErr w:type="spellEnd"/>
      <w:r w:rsidR="008A5A5D">
        <w:t xml:space="preserve"> submitted that, in the absence of any such evidence, I </w:t>
      </w:r>
      <w:r w:rsidR="00177311">
        <w:t xml:space="preserve">could </w:t>
      </w:r>
      <w:r w:rsidR="00375216">
        <w:t>not draw any conclusion about the cause and so</w:t>
      </w:r>
      <w:r w:rsidR="00625526">
        <w:t xml:space="preserve">, for the purposes of assessing the general deterrent value of a penalty, I </w:t>
      </w:r>
      <w:r w:rsidR="00375216">
        <w:t xml:space="preserve">should be concerned only with comparing companies of </w:t>
      </w:r>
      <w:r w:rsidR="00DB5693">
        <w:t xml:space="preserve">a </w:t>
      </w:r>
      <w:r w:rsidR="00375216">
        <w:t xml:space="preserve">similar size to </w:t>
      </w:r>
      <w:proofErr w:type="spellStart"/>
      <w:r w:rsidR="00375216">
        <w:t>Holista</w:t>
      </w:r>
      <w:proofErr w:type="spellEnd"/>
      <w:r w:rsidR="004C262B">
        <w:t>,</w:t>
      </w:r>
      <w:r w:rsidR="00375216">
        <w:t xml:space="preserve"> as at the date of imposition of the penalty.</w:t>
      </w:r>
    </w:p>
    <w:p w14:paraId="0A3668CB" w14:textId="544A36F3" w:rsidR="001066EC" w:rsidRPr="002942DB" w:rsidRDefault="00BE019D" w:rsidP="000D6D80">
      <w:pPr>
        <w:pStyle w:val="ParaNumbering"/>
        <w:rPr>
          <w:lang w:eastAsia="en-AU"/>
        </w:rPr>
      </w:pPr>
      <w:r>
        <w:t xml:space="preserve">Whilst I </w:t>
      </w:r>
      <w:r w:rsidR="001066EC">
        <w:t xml:space="preserve">give some weight to </w:t>
      </w:r>
      <w:proofErr w:type="spellStart"/>
      <w:r w:rsidR="001066EC">
        <w:t>Holista’s</w:t>
      </w:r>
      <w:proofErr w:type="spellEnd"/>
      <w:r w:rsidR="001066EC">
        <w:t xml:space="preserve"> present financial position</w:t>
      </w:r>
      <w:r>
        <w:t>, I do not necessarily accept that the c</w:t>
      </w:r>
      <w:r w:rsidR="002D1FE6">
        <w:t xml:space="preserve">orrect comparators </w:t>
      </w:r>
      <w:r w:rsidR="00EA5078">
        <w:t xml:space="preserve">are companies of a similar size to </w:t>
      </w:r>
      <w:proofErr w:type="spellStart"/>
      <w:r w:rsidR="00893EFD">
        <w:t>Holista</w:t>
      </w:r>
      <w:proofErr w:type="spellEnd"/>
      <w:r w:rsidR="00893EFD">
        <w:t xml:space="preserve"> </w:t>
      </w:r>
      <w:r w:rsidR="00893EFD" w:rsidRPr="00183339">
        <w:rPr>
          <w:i/>
        </w:rPr>
        <w:t>at</w:t>
      </w:r>
      <w:r w:rsidR="00893EFD">
        <w:t xml:space="preserve"> </w:t>
      </w:r>
      <w:r w:rsidR="00EA5078" w:rsidRPr="00183339">
        <w:rPr>
          <w:i/>
        </w:rPr>
        <w:t>present</w:t>
      </w:r>
      <w:r w:rsidR="00EA5078">
        <w:t>.</w:t>
      </w:r>
      <w:r w:rsidR="006E630C" w:rsidDel="00893EFD">
        <w:t xml:space="preserve"> </w:t>
      </w:r>
      <w:r w:rsidR="00893EFD">
        <w:t>Rather, I</w:t>
      </w:r>
      <w:r w:rsidR="00695EED">
        <w:t xml:space="preserve"> consider</w:t>
      </w:r>
      <w:r w:rsidR="006E630C">
        <w:t xml:space="preserve"> the correct approach </w:t>
      </w:r>
      <w:r w:rsidR="006E630C" w:rsidDel="00695EED">
        <w:t xml:space="preserve">is </w:t>
      </w:r>
      <w:r w:rsidR="00695EED">
        <w:t>to</w:t>
      </w:r>
      <w:r w:rsidR="00293747">
        <w:t xml:space="preserve"> </w:t>
      </w:r>
      <w:r w:rsidR="006E630C">
        <w:t>compar</w:t>
      </w:r>
      <w:r w:rsidR="00835808">
        <w:t>e</w:t>
      </w:r>
      <w:r w:rsidR="006E630C">
        <w:t xml:space="preserve"> companies of a similar size</w:t>
      </w:r>
      <w:r w:rsidR="006E630C" w:rsidRPr="00183339">
        <w:rPr>
          <w:i/>
        </w:rPr>
        <w:t xml:space="preserve"> as at the date of the contravention</w:t>
      </w:r>
      <w:r w:rsidR="006D6BD8">
        <w:t>. One reason</w:t>
      </w:r>
      <w:r w:rsidR="006D6BD8" w:rsidDel="00695EED">
        <w:t xml:space="preserve"> </w:t>
      </w:r>
      <w:r w:rsidR="00695EED">
        <w:t xml:space="preserve">to adopt </w:t>
      </w:r>
      <w:r w:rsidR="006D6BD8">
        <w:t xml:space="preserve">such an approach </w:t>
      </w:r>
      <w:r w:rsidR="00E41131">
        <w:t>might be the relative risk appetites of larger companies</w:t>
      </w:r>
      <w:r w:rsidR="00695EED">
        <w:t>,</w:t>
      </w:r>
      <w:r w:rsidR="00E41131">
        <w:t xml:space="preserve"> as compared with smaller companies, particularly in circumstances such as these</w:t>
      </w:r>
      <w:r w:rsidR="00695EED">
        <w:t>,</w:t>
      </w:r>
      <w:r w:rsidR="00E41131">
        <w:t xml:space="preserve"> where I have found that </w:t>
      </w:r>
      <w:proofErr w:type="spellStart"/>
      <w:r w:rsidR="00E41131">
        <w:t>Holista</w:t>
      </w:r>
      <w:proofErr w:type="spellEnd"/>
      <w:r w:rsidR="00E41131">
        <w:t xml:space="preserve"> was reckless as to </w:t>
      </w:r>
      <w:r w:rsidR="009A6448">
        <w:t xml:space="preserve">its continuous disclosure obligations under the </w:t>
      </w:r>
      <w:r w:rsidR="009A6448" w:rsidRPr="009F6290">
        <w:rPr>
          <w:i/>
        </w:rPr>
        <w:t>Corporations Act</w:t>
      </w:r>
      <w:r w:rsidR="00E41131">
        <w:t>.</w:t>
      </w:r>
      <w:r w:rsidR="006D6BD8">
        <w:t xml:space="preserve"> </w:t>
      </w:r>
      <w:r w:rsidR="00505800">
        <w:t xml:space="preserve">Were </w:t>
      </w:r>
      <w:proofErr w:type="spellStart"/>
      <w:r w:rsidR="00505800">
        <w:t>Holista</w:t>
      </w:r>
      <w:proofErr w:type="spellEnd"/>
      <w:r w:rsidR="00505800">
        <w:t xml:space="preserve"> to engage in similar </w:t>
      </w:r>
      <w:r w:rsidR="0042506F">
        <w:t xml:space="preserve">contraventions </w:t>
      </w:r>
      <w:proofErr w:type="gramStart"/>
      <w:r w:rsidR="00505800">
        <w:t>today</w:t>
      </w:r>
      <w:r w:rsidR="002E03C5">
        <w:t>,</w:t>
      </w:r>
      <w:r w:rsidR="00505800">
        <w:t xml:space="preserve"> and</w:t>
      </w:r>
      <w:proofErr w:type="gramEnd"/>
      <w:r w:rsidR="00505800">
        <w:t xml:space="preserve"> were there to be a similar market reaction</w:t>
      </w:r>
      <w:r w:rsidR="0042506F">
        <w:t xml:space="preserve"> to its conduct</w:t>
      </w:r>
      <w:r w:rsidR="00C37FE5">
        <w:t xml:space="preserve">, </w:t>
      </w:r>
      <w:r w:rsidR="002E03C5">
        <w:t>it can reasonabl</w:t>
      </w:r>
      <w:r w:rsidR="00124064">
        <w:t>y</w:t>
      </w:r>
      <w:r w:rsidR="002E03C5">
        <w:t xml:space="preserve"> be supposed that </w:t>
      </w:r>
      <w:r w:rsidR="00C37FE5">
        <w:t xml:space="preserve">a 16% reduction in its present value would be of significantly greater consequence to </w:t>
      </w:r>
      <w:r w:rsidR="00142AC8">
        <w:t xml:space="preserve">shareholders </w:t>
      </w:r>
      <w:r w:rsidR="002E03C5">
        <w:t>in a company of its present size</w:t>
      </w:r>
      <w:r w:rsidR="00124064">
        <w:t xml:space="preserve"> (</w:t>
      </w:r>
      <w:proofErr w:type="spellStart"/>
      <w:r w:rsidR="00124064">
        <w:t>cf</w:t>
      </w:r>
      <w:proofErr w:type="spellEnd"/>
      <w:r w:rsidR="00124064">
        <w:t xml:space="preserve"> </w:t>
      </w:r>
      <w:proofErr w:type="spellStart"/>
      <w:r w:rsidR="00124064" w:rsidRPr="006937EE">
        <w:rPr>
          <w:i/>
          <w:iCs/>
        </w:rPr>
        <w:t>Chemeq</w:t>
      </w:r>
      <w:proofErr w:type="spellEnd"/>
      <w:r w:rsidR="00124064">
        <w:t xml:space="preserve"> at [98]</w:t>
      </w:r>
      <w:r w:rsidR="0042506F">
        <w:t>,</w:t>
      </w:r>
      <w:r w:rsidR="00124064">
        <w:t xml:space="preserve"> extracted below).</w:t>
      </w:r>
    </w:p>
    <w:p w14:paraId="78B000C1" w14:textId="1C3817AC" w:rsidR="0038339D" w:rsidRDefault="00087A9E" w:rsidP="000D6D80">
      <w:pPr>
        <w:pStyle w:val="ParaNumbering"/>
      </w:pPr>
      <w:r>
        <w:t xml:space="preserve">As to </w:t>
      </w:r>
      <w:proofErr w:type="spellStart"/>
      <w:r>
        <w:t>Holista’s</w:t>
      </w:r>
      <w:proofErr w:type="spellEnd"/>
      <w:r>
        <w:t xml:space="preserve"> capacity to pay, </w:t>
      </w:r>
      <w:proofErr w:type="spellStart"/>
      <w:r w:rsidR="006937EE">
        <w:t>Holista</w:t>
      </w:r>
      <w:proofErr w:type="spellEnd"/>
      <w:r w:rsidR="006937EE">
        <w:t xml:space="preserve"> </w:t>
      </w:r>
      <w:r>
        <w:t>contended that</w:t>
      </w:r>
      <w:r w:rsidR="008A5825">
        <w:t xml:space="preserve"> if </w:t>
      </w:r>
      <w:r w:rsidR="007A4DD2">
        <w:t>it</w:t>
      </w:r>
      <w:r w:rsidR="008A5825">
        <w:t xml:space="preserve"> is ordered to pay a pecuniary penalty </w:t>
      </w:r>
      <w:r w:rsidR="00F65C8B">
        <w:t>with</w:t>
      </w:r>
      <w:r w:rsidR="008A5825">
        <w:t xml:space="preserve">in the range </w:t>
      </w:r>
      <w:r w:rsidR="00F65C8B">
        <w:t xml:space="preserve">proposed </w:t>
      </w:r>
      <w:r w:rsidR="008A5825">
        <w:t xml:space="preserve">by ASIC, it will </w:t>
      </w:r>
      <w:r w:rsidR="00B50637">
        <w:t xml:space="preserve">experience </w:t>
      </w:r>
      <w:r w:rsidR="008A5825">
        <w:t>significant financial difficulties</w:t>
      </w:r>
      <w:r w:rsidR="00C315D7">
        <w:t xml:space="preserve">. Those </w:t>
      </w:r>
      <w:r w:rsidR="00C315D7">
        <w:lastRenderedPageBreak/>
        <w:t>difficulties arise from the</w:t>
      </w:r>
      <w:r w:rsidR="00F65C8B">
        <w:t xml:space="preserve"> following relevant</w:t>
      </w:r>
      <w:r w:rsidR="00C315D7">
        <w:t xml:space="preserve"> facts</w:t>
      </w:r>
      <w:r w:rsidR="003918EA">
        <w:t>:</w:t>
      </w:r>
      <w:r w:rsidR="00C315D7">
        <w:t xml:space="preserve"> as at 31 October 2023, it had A$100,000 in cash or cash equivalents</w:t>
      </w:r>
      <w:r w:rsidR="003918EA">
        <w:t>;</w:t>
      </w:r>
      <w:r w:rsidR="00394C7A">
        <w:t xml:space="preserve"> the forecast residual cash a</w:t>
      </w:r>
      <w:r w:rsidR="00394C7A" w:rsidRPr="000C53D4">
        <w:t>vailable by December 2024</w:t>
      </w:r>
      <w:r w:rsidR="00080E23">
        <w:t xml:space="preserve"> is approximately </w:t>
      </w:r>
      <w:r w:rsidR="00D90729" w:rsidRPr="00804731">
        <w:t>A</w:t>
      </w:r>
      <w:r w:rsidR="00080E23">
        <w:t>$440,000</w:t>
      </w:r>
      <w:r w:rsidR="003918EA">
        <w:t>;</w:t>
      </w:r>
      <w:r w:rsidR="00A55CD7">
        <w:t xml:space="preserve"> </w:t>
      </w:r>
      <w:r w:rsidR="003918EA">
        <w:t>despite a reported 48% increase in</w:t>
      </w:r>
      <w:r w:rsidR="0047170F">
        <w:t xml:space="preserve"> unaudited</w:t>
      </w:r>
      <w:r w:rsidR="003918EA">
        <w:t xml:space="preserve"> sales </w:t>
      </w:r>
      <w:r w:rsidR="00A55CD7">
        <w:t>in the October 2023</w:t>
      </w:r>
      <w:r w:rsidR="0047170F">
        <w:t>, revenue</w:t>
      </w:r>
      <w:r w:rsidR="00A55CD7">
        <w:t xml:space="preserve"> is</w:t>
      </w:r>
      <w:r w:rsidR="0047170F">
        <w:t xml:space="preserve"> still</w:t>
      </w:r>
      <w:r w:rsidR="00A55CD7">
        <w:t xml:space="preserve"> down on the March </w:t>
      </w:r>
      <w:r w:rsidR="0047170F">
        <w:t xml:space="preserve">2023 </w:t>
      </w:r>
      <w:r w:rsidR="00A55CD7">
        <w:t xml:space="preserve">quarter and has not materially altered </w:t>
      </w:r>
      <w:r w:rsidR="0047170F">
        <w:t xml:space="preserve">the cash flow position; </w:t>
      </w:r>
      <w:r w:rsidR="00FA3E8B">
        <w:t xml:space="preserve">its unused debt facility could not be used to pay a pecuniary penalty; and </w:t>
      </w:r>
      <w:r w:rsidR="00641F19">
        <w:t xml:space="preserve">repayments to </w:t>
      </w:r>
      <w:proofErr w:type="spellStart"/>
      <w:r w:rsidR="00641F19">
        <w:t>Holista</w:t>
      </w:r>
      <w:proofErr w:type="spellEnd"/>
      <w:r w:rsidR="00641F19">
        <w:t xml:space="preserve"> </w:t>
      </w:r>
      <w:r w:rsidR="00B2506C">
        <w:t xml:space="preserve">of </w:t>
      </w:r>
      <w:r w:rsidR="00641F19">
        <w:t xml:space="preserve">the related-party loan to Galen Biomedical </w:t>
      </w:r>
      <w:r w:rsidR="00B2506C">
        <w:t>are already included in the cash forecasts.</w:t>
      </w:r>
      <w:r w:rsidR="00200C87">
        <w:t xml:space="preserve"> </w:t>
      </w:r>
      <w:r w:rsidR="004C262B">
        <w:t>Whilst</w:t>
      </w:r>
      <w:r w:rsidR="00200C87">
        <w:t xml:space="preserve"> taking </w:t>
      </w:r>
      <w:proofErr w:type="gramStart"/>
      <w:r w:rsidR="00200C87">
        <w:t>all of</w:t>
      </w:r>
      <w:proofErr w:type="gramEnd"/>
      <w:r w:rsidR="00200C87">
        <w:t xml:space="preserve"> those factors into account, it was clear from the evidence given by Ms King under cross-examination that </w:t>
      </w:r>
      <w:proofErr w:type="spellStart"/>
      <w:r w:rsidR="00200C87">
        <w:t>Holista’s</w:t>
      </w:r>
      <w:proofErr w:type="spellEnd"/>
      <w:r w:rsidR="00200C87">
        <w:t xml:space="preserve"> financial </w:t>
      </w:r>
      <w:r w:rsidR="005F07B9">
        <w:t>prospects</w:t>
      </w:r>
      <w:r w:rsidR="006F0365">
        <w:t xml:space="preserve"> </w:t>
      </w:r>
      <w:r w:rsidR="008C6ECB">
        <w:t>appear to be</w:t>
      </w:r>
      <w:r w:rsidR="005F07B9">
        <w:t xml:space="preserve"> improving</w:t>
      </w:r>
      <w:r w:rsidR="008C6ECB">
        <w:t xml:space="preserve">. </w:t>
      </w:r>
    </w:p>
    <w:p w14:paraId="5F3BC35B" w14:textId="2CFE062C" w:rsidR="007177DF" w:rsidRDefault="00AE6A41" w:rsidP="000D6D80">
      <w:pPr>
        <w:pStyle w:val="ParaNumbering"/>
      </w:pPr>
      <w:proofErr w:type="spellStart"/>
      <w:r>
        <w:t>Holista</w:t>
      </w:r>
      <w:proofErr w:type="spellEnd"/>
      <w:r>
        <w:t xml:space="preserve"> submitted that any pecuniary penalty</w:t>
      </w:r>
      <w:r w:rsidR="00C8256C">
        <w:t xml:space="preserve"> will have a significant effect on </w:t>
      </w:r>
      <w:proofErr w:type="spellStart"/>
      <w:r w:rsidR="00C8256C">
        <w:t>Holista’s</w:t>
      </w:r>
      <w:proofErr w:type="spellEnd"/>
      <w:r w:rsidR="00C8256C">
        <w:t xml:space="preserve"> </w:t>
      </w:r>
      <w:r w:rsidR="00F32CC5">
        <w:t>financial</w:t>
      </w:r>
      <w:r w:rsidR="00C8256C">
        <w:t xml:space="preserve"> position to the detriment of the </w:t>
      </w:r>
      <w:r w:rsidR="00F32CC5">
        <w:t>very investors</w:t>
      </w:r>
      <w:r w:rsidR="001224D2">
        <w:t xml:space="preserve"> </w:t>
      </w:r>
      <w:r w:rsidR="005F07B9">
        <w:t xml:space="preserve">for </w:t>
      </w:r>
      <w:r w:rsidR="001224D2">
        <w:t>whom</w:t>
      </w:r>
      <w:r w:rsidR="00F32CC5">
        <w:t xml:space="preserve"> the </w:t>
      </w:r>
      <w:r w:rsidR="001224D2">
        <w:t xml:space="preserve">statutory </w:t>
      </w:r>
      <w:r w:rsidR="00F32CC5">
        <w:t xml:space="preserve">continuous disclosure regime </w:t>
      </w:r>
      <w:r w:rsidR="005114E2">
        <w:t>has been</w:t>
      </w:r>
      <w:r w:rsidR="00F32CC5">
        <w:t xml:space="preserve"> designed to protect.</w:t>
      </w:r>
      <w:r w:rsidR="006A473A">
        <w:t xml:space="preserve"> </w:t>
      </w:r>
      <w:r w:rsidR="00306107">
        <w:t xml:space="preserve">As French J observed in </w:t>
      </w:r>
      <w:proofErr w:type="spellStart"/>
      <w:r w:rsidR="00273075" w:rsidRPr="00115A41">
        <w:rPr>
          <w:i/>
          <w:iCs/>
        </w:rPr>
        <w:t>Chemeq</w:t>
      </w:r>
      <w:proofErr w:type="spellEnd"/>
      <w:r w:rsidR="007F6E36">
        <w:t xml:space="preserve"> at </w:t>
      </w:r>
      <w:r w:rsidR="00306107">
        <w:t>[</w:t>
      </w:r>
      <w:r w:rsidR="007F6E36">
        <w:t>98</w:t>
      </w:r>
      <w:r w:rsidR="005D6DDD">
        <w:t>]:</w:t>
      </w:r>
    </w:p>
    <w:p w14:paraId="50A29F16" w14:textId="0D8322EE" w:rsidR="00273075" w:rsidRDefault="00273075" w:rsidP="005C1EDE">
      <w:pPr>
        <w:pStyle w:val="Quote1"/>
        <w:spacing w:after="360"/>
        <w:rPr>
          <w:lang w:eastAsia="en-AU"/>
        </w:rPr>
      </w:pPr>
      <w:r>
        <w:rPr>
          <w:lang w:eastAsia="en-AU"/>
        </w:rPr>
        <w:t>Penalties imposed on the corporation may affect shareholders including those</w:t>
      </w:r>
      <w:r w:rsidR="005D6DDD">
        <w:rPr>
          <w:lang w:eastAsia="en-AU"/>
        </w:rPr>
        <w:t xml:space="preserve"> </w:t>
      </w:r>
      <w:r>
        <w:rPr>
          <w:lang w:eastAsia="en-AU"/>
        </w:rPr>
        <w:t>who have become shareholders on a set of assumptions induced by the very</w:t>
      </w:r>
      <w:r w:rsidR="005D6DDD">
        <w:rPr>
          <w:lang w:eastAsia="en-AU"/>
        </w:rPr>
        <w:t xml:space="preserve"> </w:t>
      </w:r>
      <w:r>
        <w:rPr>
          <w:lang w:eastAsia="en-AU"/>
        </w:rPr>
        <w:t xml:space="preserve">non-disclosure complained of. In some </w:t>
      </w:r>
      <w:proofErr w:type="gramStart"/>
      <w:r>
        <w:rPr>
          <w:lang w:eastAsia="en-AU"/>
        </w:rPr>
        <w:t>cases</w:t>
      </w:r>
      <w:proofErr w:type="gramEnd"/>
      <w:r>
        <w:rPr>
          <w:lang w:eastAsia="en-AU"/>
        </w:rPr>
        <w:t xml:space="preserve"> it is possible also that creditors may</w:t>
      </w:r>
      <w:r w:rsidR="005D6DDD">
        <w:rPr>
          <w:lang w:eastAsia="en-AU"/>
        </w:rPr>
        <w:t xml:space="preserve"> </w:t>
      </w:r>
      <w:r>
        <w:rPr>
          <w:lang w:eastAsia="en-AU"/>
        </w:rPr>
        <w:t>be affected. Who then is being deterred when only the corporation is penalised?</w:t>
      </w:r>
      <w:r w:rsidR="005D6DDD">
        <w:rPr>
          <w:lang w:eastAsia="en-AU"/>
        </w:rPr>
        <w:t xml:space="preserve"> </w:t>
      </w:r>
      <w:r>
        <w:rPr>
          <w:lang w:eastAsia="en-AU"/>
        </w:rPr>
        <w:t>I am not sure that there is a satisfactory answer to this concern within the present</w:t>
      </w:r>
      <w:r w:rsidR="005D6DDD">
        <w:rPr>
          <w:lang w:eastAsia="en-AU"/>
        </w:rPr>
        <w:t xml:space="preserve"> </w:t>
      </w:r>
      <w:r>
        <w:rPr>
          <w:lang w:eastAsia="en-AU"/>
        </w:rPr>
        <w:t>statutory scheme. One might imagine that if a penalty is to be significant to a</w:t>
      </w:r>
      <w:r w:rsidR="005D6DDD">
        <w:rPr>
          <w:lang w:eastAsia="en-AU"/>
        </w:rPr>
        <w:t xml:space="preserve"> </w:t>
      </w:r>
      <w:r>
        <w:rPr>
          <w:lang w:eastAsia="en-AU"/>
        </w:rPr>
        <w:t>corporation it will also be significant to its shareholders in its impact on the</w:t>
      </w:r>
      <w:r w:rsidR="005D6DDD">
        <w:rPr>
          <w:lang w:eastAsia="en-AU"/>
        </w:rPr>
        <w:t xml:space="preserve"> </w:t>
      </w:r>
      <w:r>
        <w:rPr>
          <w:lang w:eastAsia="en-AU"/>
        </w:rPr>
        <w:t>capital which backs their shares. In a company with capitalisation as high as that</w:t>
      </w:r>
      <w:r w:rsidR="005D6DDD">
        <w:rPr>
          <w:lang w:eastAsia="en-AU"/>
        </w:rPr>
        <w:t xml:space="preserve"> </w:t>
      </w:r>
      <w:r>
        <w:rPr>
          <w:lang w:eastAsia="en-AU"/>
        </w:rPr>
        <w:t xml:space="preserve">of </w:t>
      </w:r>
      <w:proofErr w:type="spellStart"/>
      <w:r>
        <w:rPr>
          <w:lang w:eastAsia="en-AU"/>
        </w:rPr>
        <w:t>Chemeq</w:t>
      </w:r>
      <w:proofErr w:type="spellEnd"/>
      <w:r>
        <w:rPr>
          <w:lang w:eastAsia="en-AU"/>
        </w:rPr>
        <w:t>, the impact on individual shareholders may be insignificant.</w:t>
      </w:r>
      <w:r w:rsidR="005D6DDD">
        <w:rPr>
          <w:lang w:eastAsia="en-AU"/>
        </w:rPr>
        <w:t xml:space="preserve"> </w:t>
      </w:r>
      <w:r>
        <w:rPr>
          <w:lang w:eastAsia="en-AU"/>
        </w:rPr>
        <w:t>The penalties that count most are likely to be those imposed on the responsible</w:t>
      </w:r>
      <w:r w:rsidR="005D6DDD">
        <w:rPr>
          <w:lang w:eastAsia="en-AU"/>
        </w:rPr>
        <w:t xml:space="preserve"> </w:t>
      </w:r>
      <w:r>
        <w:rPr>
          <w:lang w:eastAsia="en-AU"/>
        </w:rPr>
        <w:t xml:space="preserve">individuals. </w:t>
      </w:r>
      <w:proofErr w:type="gramStart"/>
      <w:r>
        <w:rPr>
          <w:lang w:eastAsia="en-AU"/>
        </w:rPr>
        <w:t>Nevertheless</w:t>
      </w:r>
      <w:proofErr w:type="gramEnd"/>
      <w:r>
        <w:rPr>
          <w:lang w:eastAsia="en-AU"/>
        </w:rPr>
        <w:t xml:space="preserve"> the law as presently framed requires the assumption</w:t>
      </w:r>
      <w:r w:rsidR="005D6DDD">
        <w:rPr>
          <w:lang w:eastAsia="en-AU"/>
        </w:rPr>
        <w:t xml:space="preserve"> </w:t>
      </w:r>
      <w:r>
        <w:rPr>
          <w:lang w:eastAsia="en-AU"/>
        </w:rPr>
        <w:t>that the contravening corporation is a person distinct from its shareholders and</w:t>
      </w:r>
      <w:r w:rsidR="005D6DDD">
        <w:rPr>
          <w:lang w:eastAsia="en-AU"/>
        </w:rPr>
        <w:t xml:space="preserve"> </w:t>
      </w:r>
      <w:r>
        <w:rPr>
          <w:lang w:eastAsia="en-AU"/>
        </w:rPr>
        <w:t>that it can be deterred by the imposition of appropriate penalties.</w:t>
      </w:r>
    </w:p>
    <w:p w14:paraId="5F6165D1" w14:textId="366E9073" w:rsidR="00AE6A41" w:rsidRDefault="00115A41" w:rsidP="000D6D80">
      <w:pPr>
        <w:pStyle w:val="ParaNumbering"/>
      </w:pPr>
      <w:proofErr w:type="spellStart"/>
      <w:r>
        <w:t>Holista</w:t>
      </w:r>
      <w:proofErr w:type="spellEnd"/>
      <w:r w:rsidR="00F10D10">
        <w:t xml:space="preserve"> submitted that the pecuniary penalties proposed by ASIC are not necessary for specific deterrence in circumstances where there is minimal risk of reoffending, because of</w:t>
      </w:r>
      <w:r w:rsidR="008962DD">
        <w:t>:</w:t>
      </w:r>
      <w:r w:rsidR="00F10D10">
        <w:t xml:space="preserve"> the c</w:t>
      </w:r>
      <w:r w:rsidR="00345687">
        <w:t>hange in the composition of the Board, the Revised Continuous Disclosure Policy</w:t>
      </w:r>
      <w:r w:rsidR="008962DD">
        <w:t>;</w:t>
      </w:r>
      <w:r w:rsidR="00450D2C">
        <w:t xml:space="preserve"> Dr </w:t>
      </w:r>
      <w:proofErr w:type="spellStart"/>
      <w:r w:rsidR="00450D2C">
        <w:t>Marnickavasagar’s</w:t>
      </w:r>
      <w:proofErr w:type="spellEnd"/>
      <w:r w:rsidR="00450D2C">
        <w:t xml:space="preserve"> agreement to a four-year disqualification period</w:t>
      </w:r>
      <w:r w:rsidR="008962DD">
        <w:t>;</w:t>
      </w:r>
      <w:r w:rsidR="00836169">
        <w:t xml:space="preserve"> and the fact that </w:t>
      </w:r>
      <w:proofErr w:type="spellStart"/>
      <w:r w:rsidR="00836169">
        <w:t>Holista</w:t>
      </w:r>
      <w:proofErr w:type="spellEnd"/>
      <w:r w:rsidR="00836169">
        <w:t xml:space="preserve"> has not deliberately structured its business in a manner which </w:t>
      </w:r>
      <w:r w:rsidR="00227087">
        <w:t xml:space="preserve">ensures </w:t>
      </w:r>
      <w:r w:rsidR="00F850A1">
        <w:t xml:space="preserve">that minimal assets </w:t>
      </w:r>
      <w:r w:rsidR="00227087">
        <w:t xml:space="preserve">are </w:t>
      </w:r>
      <w:r w:rsidR="00F850A1">
        <w:t>available</w:t>
      </w:r>
      <w:r w:rsidR="00836169">
        <w:t xml:space="preserve"> to pay </w:t>
      </w:r>
      <w:r w:rsidR="00F850A1">
        <w:t xml:space="preserve">any </w:t>
      </w:r>
      <w:r w:rsidR="00836169">
        <w:t>penalty</w:t>
      </w:r>
      <w:r w:rsidR="00666645">
        <w:t>.</w:t>
      </w:r>
    </w:p>
    <w:p w14:paraId="47054D51" w14:textId="493BAAC0" w:rsidR="00C1724A" w:rsidRPr="00C1724A" w:rsidRDefault="00C1724A" w:rsidP="00C1724A">
      <w:pPr>
        <w:pStyle w:val="Heading4"/>
      </w:pPr>
      <w:bookmarkStart w:id="50" w:name="_Ref161757958"/>
      <w:r w:rsidRPr="00C1724A">
        <w:t>Parity</w:t>
      </w:r>
      <w:bookmarkEnd w:id="50"/>
    </w:p>
    <w:p w14:paraId="0B6FD529" w14:textId="482ECFB5" w:rsidR="00AC6E71" w:rsidRDefault="00D87992" w:rsidP="000D6D80">
      <w:pPr>
        <w:pStyle w:val="ParaNumbering"/>
      </w:pPr>
      <w:r>
        <w:t xml:space="preserve">The present case </w:t>
      </w:r>
      <w:r w:rsidR="001D24B8">
        <w:t xml:space="preserve">concerns conduct that occurred after the commencement of the </w:t>
      </w:r>
      <w:r w:rsidR="009011DD" w:rsidRPr="00101025">
        <w:rPr>
          <w:i/>
        </w:rPr>
        <w:t>Treasury Laws Amendment (</w:t>
      </w:r>
      <w:r w:rsidR="001D24B8" w:rsidRPr="00DF68E7">
        <w:rPr>
          <w:i/>
          <w:iCs/>
        </w:rPr>
        <w:t>Strengthening Corporate and Financial Sector Penalties Act</w:t>
      </w:r>
      <w:r w:rsidR="009011DD">
        <w:rPr>
          <w:i/>
          <w:iCs/>
        </w:rPr>
        <w:t>)</w:t>
      </w:r>
      <w:r w:rsidR="00741903" w:rsidRPr="00DF68E7">
        <w:rPr>
          <w:i/>
          <w:iCs/>
        </w:rPr>
        <w:t xml:space="preserve"> </w:t>
      </w:r>
      <w:r w:rsidR="00DF68E7">
        <w:rPr>
          <w:i/>
          <w:iCs/>
        </w:rPr>
        <w:t>(</w:t>
      </w:r>
      <w:r w:rsidR="00741903" w:rsidRPr="00DF68E7">
        <w:rPr>
          <w:i/>
          <w:iCs/>
        </w:rPr>
        <w:t>2019</w:t>
      </w:r>
      <w:r w:rsidR="00DF68E7">
        <w:rPr>
          <w:i/>
          <w:iCs/>
        </w:rPr>
        <w:t>)</w:t>
      </w:r>
      <w:r w:rsidR="00741903">
        <w:t xml:space="preserve"> (</w:t>
      </w:r>
      <w:proofErr w:type="spellStart"/>
      <w:r w:rsidR="00741903">
        <w:t>Cth</w:t>
      </w:r>
      <w:proofErr w:type="spellEnd"/>
      <w:r w:rsidR="00741903">
        <w:t xml:space="preserve">) </w:t>
      </w:r>
      <w:r w:rsidR="00FC12CE">
        <w:t>(</w:t>
      </w:r>
      <w:r w:rsidR="00FC12CE" w:rsidRPr="00FC12CE">
        <w:rPr>
          <w:b/>
          <w:bCs/>
          <w:i/>
          <w:iCs/>
        </w:rPr>
        <w:t>Strengthening Penalties Act</w:t>
      </w:r>
      <w:r w:rsidR="00FC12CE">
        <w:t>)</w:t>
      </w:r>
      <w:r w:rsidR="009011DD">
        <w:t>,</w:t>
      </w:r>
      <w:r w:rsidR="00FC12CE">
        <w:t xml:space="preserve"> </w:t>
      </w:r>
      <w:r w:rsidR="00741903">
        <w:t xml:space="preserve">which significantly </w:t>
      </w:r>
      <w:r w:rsidR="00DB25A4">
        <w:t xml:space="preserve">increased </w:t>
      </w:r>
      <w:r w:rsidR="00741903">
        <w:t xml:space="preserve">the </w:t>
      </w:r>
      <w:r w:rsidR="00AB67A6">
        <w:t>level</w:t>
      </w:r>
      <w:r w:rsidR="00741903">
        <w:t xml:space="preserve"> of pecuniary penalties. </w:t>
      </w:r>
      <w:r w:rsidR="00A85218">
        <w:t xml:space="preserve">Analogising </w:t>
      </w:r>
      <w:r w:rsidR="00741903">
        <w:t xml:space="preserve">with cases decided before the implementation of that legislation </w:t>
      </w:r>
      <w:r w:rsidR="00A85218">
        <w:t>is</w:t>
      </w:r>
      <w:r w:rsidR="009011DD">
        <w:t>,</w:t>
      </w:r>
      <w:r w:rsidR="00741903">
        <w:t xml:space="preserve"> therefore</w:t>
      </w:r>
      <w:r w:rsidR="009011DD">
        <w:t>,</w:t>
      </w:r>
      <w:r w:rsidR="00741903">
        <w:t xml:space="preserve"> </w:t>
      </w:r>
      <w:r w:rsidR="009011DD">
        <w:lastRenderedPageBreak/>
        <w:t xml:space="preserve">problematic </w:t>
      </w:r>
      <w:r w:rsidR="00741903">
        <w:t>in an absolute</w:t>
      </w:r>
      <w:r w:rsidR="00A85218">
        <w:t xml:space="preserve"> </w:t>
      </w:r>
      <w:r w:rsidR="00741903">
        <w:t xml:space="preserve">sense, although some guidance </w:t>
      </w:r>
      <w:r w:rsidR="00A85218">
        <w:t xml:space="preserve">may </w:t>
      </w:r>
      <w:r w:rsidR="00741903">
        <w:t xml:space="preserve">be drawn from </w:t>
      </w:r>
      <w:r w:rsidR="00926185">
        <w:t>penalt</w:t>
      </w:r>
      <w:r w:rsidR="00500D99">
        <w:t>ies</w:t>
      </w:r>
      <w:r w:rsidR="00926185">
        <w:t xml:space="preserve"> imposed as a percentage of the statutory maximum.</w:t>
      </w:r>
      <w:r w:rsidR="00DB25A4">
        <w:t xml:space="preserve"> </w:t>
      </w:r>
    </w:p>
    <w:p w14:paraId="0714881A" w14:textId="2CB16221" w:rsidR="00C1724A" w:rsidRDefault="00DB25A4" w:rsidP="000D6D80">
      <w:pPr>
        <w:pStyle w:val="ParaNumbering"/>
      </w:pPr>
      <w:r>
        <w:t>ASIC pointed to cases</w:t>
      </w:r>
      <w:r w:rsidR="00010226">
        <w:t xml:space="preserve"> where companies had been ordered to pay a pecuniary penalty </w:t>
      </w:r>
      <w:r w:rsidR="0088141B">
        <w:t xml:space="preserve">in the </w:t>
      </w:r>
      <w:r w:rsidR="00D85B52">
        <w:t>range of $</w:t>
      </w:r>
      <w:r w:rsidR="00E11F25">
        <w:t>650,000</w:t>
      </w:r>
      <w:r w:rsidR="0066629D">
        <w:t xml:space="preserve"> – </w:t>
      </w:r>
      <w:r w:rsidR="00E11F25">
        <w:t xml:space="preserve">$800,000 </w:t>
      </w:r>
      <w:r w:rsidR="0066629D">
        <w:t xml:space="preserve">in the context of </w:t>
      </w:r>
      <w:r w:rsidR="00E11F25">
        <w:t>a statutory maximum of $1 million</w:t>
      </w:r>
      <w:r w:rsidR="00A12A95">
        <w:t xml:space="preserve">. </w:t>
      </w:r>
      <w:r w:rsidR="008D19B3">
        <w:t xml:space="preserve">Each of the examples </w:t>
      </w:r>
      <w:r w:rsidR="0082198C">
        <w:t xml:space="preserve">concerned corporations </w:t>
      </w:r>
      <w:r w:rsidR="00CD1654">
        <w:t xml:space="preserve">with an extent of </w:t>
      </w:r>
      <w:r w:rsidR="0082198C">
        <w:t>market capital</w:t>
      </w:r>
      <w:r w:rsidR="00CD1654">
        <w:t>isation</w:t>
      </w:r>
      <w:r w:rsidR="0082198C">
        <w:t xml:space="preserve"> </w:t>
      </w:r>
      <w:r w:rsidR="00CD1654">
        <w:t xml:space="preserve">that </w:t>
      </w:r>
      <w:r w:rsidR="0082198C">
        <w:t>b</w:t>
      </w:r>
      <w:r w:rsidR="00E437F7">
        <w:t xml:space="preserve">ears no </w:t>
      </w:r>
      <w:r w:rsidR="00CD1654">
        <w:t>co</w:t>
      </w:r>
      <w:r w:rsidR="00101025">
        <w:t>rrelation</w:t>
      </w:r>
      <w:r w:rsidR="00CD1654">
        <w:t xml:space="preserve"> </w:t>
      </w:r>
      <w:r w:rsidR="00E437F7">
        <w:t>to that of</w:t>
      </w:r>
      <w:r w:rsidR="0082198C">
        <w:t xml:space="preserve"> </w:t>
      </w:r>
      <w:proofErr w:type="spellStart"/>
      <w:r w:rsidR="0082198C">
        <w:t>Holista</w:t>
      </w:r>
      <w:proofErr w:type="spellEnd"/>
      <w:r w:rsidR="00E437F7">
        <w:t>:</w:t>
      </w:r>
      <w:r w:rsidR="0082198C">
        <w:t xml:space="preserve"> </w:t>
      </w:r>
      <w:r w:rsidR="00BB2275">
        <w:t xml:space="preserve">see, for example, </w:t>
      </w:r>
      <w:r w:rsidR="009F2BAD" w:rsidRPr="006941F0">
        <w:rPr>
          <w:i/>
          <w:iCs/>
        </w:rPr>
        <w:t xml:space="preserve">Australian </w:t>
      </w:r>
      <w:r w:rsidR="00635479">
        <w:rPr>
          <w:i/>
          <w:iCs/>
        </w:rPr>
        <w:t>Securities and Investment</w:t>
      </w:r>
      <w:r w:rsidR="009B2AD7">
        <w:rPr>
          <w:i/>
          <w:iCs/>
        </w:rPr>
        <w:t>s</w:t>
      </w:r>
      <w:r w:rsidR="007B0A19">
        <w:rPr>
          <w:i/>
          <w:iCs/>
        </w:rPr>
        <w:t xml:space="preserve"> </w:t>
      </w:r>
      <w:r w:rsidR="009F2BAD" w:rsidRPr="006941F0">
        <w:rPr>
          <w:i/>
          <w:iCs/>
        </w:rPr>
        <w:t xml:space="preserve">Commission v Rio Tinto (No 2) </w:t>
      </w:r>
      <w:r w:rsidR="009F2BAD" w:rsidRPr="006941F0">
        <w:t>[2022] FCA 184</w:t>
      </w:r>
      <w:r w:rsidR="00E437F7">
        <w:t xml:space="preserve"> </w:t>
      </w:r>
      <w:r w:rsidR="005C38DA">
        <w:t xml:space="preserve">at [12]-[13], </w:t>
      </w:r>
      <w:r w:rsidR="00593BEC">
        <w:t>~</w:t>
      </w:r>
      <w:r w:rsidR="0045063D">
        <w:t>US</w:t>
      </w:r>
      <w:r w:rsidR="00EF5BD3">
        <w:t>D</w:t>
      </w:r>
      <w:r w:rsidR="00E21D19">
        <w:t xml:space="preserve">82 </w:t>
      </w:r>
      <w:r w:rsidR="00E437F7">
        <w:t>billion</w:t>
      </w:r>
      <w:r w:rsidR="00E21D19">
        <w:t xml:space="preserve"> at </w:t>
      </w:r>
      <w:r w:rsidR="00590807">
        <w:t xml:space="preserve">the </w:t>
      </w:r>
      <w:r w:rsidR="00E21D19">
        <w:t>date of contravention/~US</w:t>
      </w:r>
      <w:r w:rsidR="00EF5BD3">
        <w:t>D</w:t>
      </w:r>
      <w:r w:rsidR="00091847">
        <w:t>123</w:t>
      </w:r>
      <w:r w:rsidR="00E21D19">
        <w:t xml:space="preserve"> billion</w:t>
      </w:r>
      <w:r w:rsidR="00091847">
        <w:t xml:space="preserve"> at </w:t>
      </w:r>
      <w:r w:rsidR="00590807">
        <w:t xml:space="preserve">the </w:t>
      </w:r>
      <w:r w:rsidR="00091847">
        <w:t>date of penalty hearing</w:t>
      </w:r>
      <w:r w:rsidR="009F2BAD">
        <w:t xml:space="preserve">; </w:t>
      </w:r>
      <w:r w:rsidR="00674E61">
        <w:rPr>
          <w:i/>
          <w:iCs/>
        </w:rPr>
        <w:t xml:space="preserve">Newcrest </w:t>
      </w:r>
      <w:r w:rsidR="00674E61">
        <w:t>at [72]</w:t>
      </w:r>
      <w:r w:rsidR="007038DF">
        <w:t>, ~US</w:t>
      </w:r>
      <w:r w:rsidR="00EF5BD3">
        <w:t>D</w:t>
      </w:r>
      <w:r w:rsidR="007038DF">
        <w:t xml:space="preserve">7.5 billion </w:t>
      </w:r>
      <w:r w:rsidR="00DE57C5">
        <w:t>at</w:t>
      </w:r>
      <w:r w:rsidR="00590807">
        <w:t xml:space="preserve"> the</w:t>
      </w:r>
      <w:r w:rsidR="00DE57C5">
        <w:t xml:space="preserve"> date of contravention</w:t>
      </w:r>
      <w:r w:rsidR="00020402">
        <w:t xml:space="preserve">; </w:t>
      </w:r>
      <w:proofErr w:type="spellStart"/>
      <w:r w:rsidR="00020402" w:rsidRPr="00EF5BD3">
        <w:rPr>
          <w:i/>
          <w:iCs/>
        </w:rPr>
        <w:t>Chemeq</w:t>
      </w:r>
      <w:proofErr w:type="spellEnd"/>
      <w:r w:rsidR="00020402" w:rsidRPr="00EF5BD3">
        <w:rPr>
          <w:i/>
          <w:iCs/>
        </w:rPr>
        <w:t xml:space="preserve"> </w:t>
      </w:r>
      <w:r w:rsidR="00A354E8">
        <w:t>at [61]</w:t>
      </w:r>
      <w:r w:rsidR="00EF5BD3">
        <w:t>,</w:t>
      </w:r>
      <w:r w:rsidR="00A354E8">
        <w:t xml:space="preserve"> ~</w:t>
      </w:r>
      <w:r w:rsidR="00EF5BD3">
        <w:t>AUD474 million</w:t>
      </w:r>
      <w:r w:rsidR="00A354E8">
        <w:t xml:space="preserve"> </w:t>
      </w:r>
      <w:r w:rsidR="00EF5BD3">
        <w:t xml:space="preserve">at </w:t>
      </w:r>
      <w:r w:rsidR="00590807">
        <w:t xml:space="preserve">the </w:t>
      </w:r>
      <w:r w:rsidR="00EF5BD3">
        <w:t>date of contravention</w:t>
      </w:r>
      <w:r w:rsidR="002F43D5">
        <w:t xml:space="preserve">. </w:t>
      </w:r>
      <w:r w:rsidR="00B823E8">
        <w:t xml:space="preserve">As </w:t>
      </w:r>
      <w:r w:rsidR="00500B92">
        <w:t>O’Bryan J observed</w:t>
      </w:r>
      <w:r w:rsidR="00604E69">
        <w:t>,</w:t>
      </w:r>
      <w:r w:rsidR="00500B92">
        <w:t xml:space="preserve"> however</w:t>
      </w:r>
      <w:r w:rsidR="00604E69">
        <w:t>,</w:t>
      </w:r>
      <w:r w:rsidR="00500B92">
        <w:t xml:space="preserve"> in </w:t>
      </w:r>
      <w:r w:rsidR="00BE777C" w:rsidRPr="00CC434A">
        <w:rPr>
          <w:i/>
        </w:rPr>
        <w:t xml:space="preserve">ASIC v </w:t>
      </w:r>
      <w:r w:rsidR="00500B92" w:rsidRPr="00500B92">
        <w:rPr>
          <w:i/>
          <w:iCs/>
        </w:rPr>
        <w:t>ANZ</w:t>
      </w:r>
      <w:r w:rsidR="00500B92">
        <w:t xml:space="preserve"> at [</w:t>
      </w:r>
      <w:r w:rsidR="00DE7E92">
        <w:t>72</w:t>
      </w:r>
      <w:r w:rsidR="00500B92">
        <w:t>]</w:t>
      </w:r>
      <w:r w:rsidR="00DB6FEF">
        <w:t xml:space="preserve">, </w:t>
      </w:r>
      <w:r w:rsidR="00500B92">
        <w:t xml:space="preserve">the circumstances of </w:t>
      </w:r>
      <w:proofErr w:type="gramStart"/>
      <w:r w:rsidR="00500B92">
        <w:t>each and every</w:t>
      </w:r>
      <w:proofErr w:type="gramEnd"/>
      <w:r w:rsidR="00500B92">
        <w:t xml:space="preserve"> case </w:t>
      </w:r>
      <w:r w:rsidR="00015274">
        <w:t>differ</w:t>
      </w:r>
      <w:r w:rsidR="005A5E60">
        <w:t>,</w:t>
      </w:r>
      <w:r w:rsidR="00500B92">
        <w:t xml:space="preserve"> and it is particularly difficult to draw comparisons where the parties have reached an agreement on the </w:t>
      </w:r>
      <w:r w:rsidR="00065594">
        <w:t>level</w:t>
      </w:r>
      <w:r w:rsidR="00500B92">
        <w:t xml:space="preserve"> of pecuniary penalty.</w:t>
      </w:r>
    </w:p>
    <w:p w14:paraId="737C85B9" w14:textId="7C9CE10F" w:rsidR="00500B92" w:rsidRPr="00F84442" w:rsidRDefault="00F84442" w:rsidP="00F84442">
      <w:pPr>
        <w:pStyle w:val="Heading4"/>
      </w:pPr>
      <w:bookmarkStart w:id="51" w:name="_Ref161757959"/>
      <w:r w:rsidRPr="00F84442">
        <w:t>What is the appropriate penalty?</w:t>
      </w:r>
      <w:bookmarkEnd w:id="51"/>
    </w:p>
    <w:p w14:paraId="37C9ED14" w14:textId="06EDA475" w:rsidR="00F84442" w:rsidRDefault="000F3C02" w:rsidP="000D6D80">
      <w:pPr>
        <w:pStyle w:val="ParaNumbering"/>
      </w:pPr>
      <w:r>
        <w:t>I approach the assessment of the appropriate penalty in this case on the basis that there has been one contravention, stemming from the 9 April 2020 Announcement, and where the statutory maximum</w:t>
      </w:r>
      <w:r w:rsidR="00604E69">
        <w:t>, as</w:t>
      </w:r>
      <w:r w:rsidDel="00604E69">
        <w:t xml:space="preserve"> </w:t>
      </w:r>
      <w:r>
        <w:t>at the time of the contravention</w:t>
      </w:r>
      <w:r w:rsidR="00604E69">
        <w:t>,</w:t>
      </w:r>
      <w:r>
        <w:t xml:space="preserve"> </w:t>
      </w:r>
      <w:r w:rsidR="00565235">
        <w:t>is $10.5 million.</w:t>
      </w:r>
      <w:r w:rsidR="001C64D6">
        <w:t xml:space="preserve"> Although </w:t>
      </w:r>
      <w:proofErr w:type="spellStart"/>
      <w:r w:rsidR="001C64D6">
        <w:t>Holista</w:t>
      </w:r>
      <w:proofErr w:type="spellEnd"/>
      <w:r w:rsidR="001C64D6">
        <w:t xml:space="preserve"> is not a larg</w:t>
      </w:r>
      <w:r w:rsidR="00205352">
        <w:t xml:space="preserve">e company, it was </w:t>
      </w:r>
      <w:r w:rsidR="000E1870">
        <w:t>in a substantially superior financial position</w:t>
      </w:r>
      <w:r w:rsidR="003E150D">
        <w:t xml:space="preserve"> </w:t>
      </w:r>
      <w:r w:rsidR="00604E69">
        <w:t xml:space="preserve">at the time of the contravention, compared to its present financial </w:t>
      </w:r>
      <w:r w:rsidR="00BD047E">
        <w:t>state</w:t>
      </w:r>
      <w:r w:rsidR="00366299">
        <w:t>.</w:t>
      </w:r>
      <w:r w:rsidR="0009149C">
        <w:t xml:space="preserve"> </w:t>
      </w:r>
      <w:r w:rsidR="00604E69">
        <w:t>Moreover, r</w:t>
      </w:r>
      <w:r w:rsidR="0009149C">
        <w:t xml:space="preserve">egardless of its size, it </w:t>
      </w:r>
      <w:r w:rsidR="0027526C">
        <w:t>is a listed entity</w:t>
      </w:r>
      <w:r w:rsidR="00604E69">
        <w:t>,</w:t>
      </w:r>
      <w:r w:rsidR="0027526C">
        <w:t xml:space="preserve"> </w:t>
      </w:r>
      <w:r w:rsidR="00604E69">
        <w:t xml:space="preserve">with its </w:t>
      </w:r>
      <w:r w:rsidR="0027526C">
        <w:t xml:space="preserve">securities offered to the public at large on the ASX. They </w:t>
      </w:r>
      <w:r w:rsidR="00604E69">
        <w:t xml:space="preserve">– shareholders and investors – </w:t>
      </w:r>
      <w:r w:rsidR="0027526C">
        <w:t>are the persons for whom the continuous disclosure regime exists.</w:t>
      </w:r>
      <w:r w:rsidR="000E1870">
        <w:t xml:space="preserve"> </w:t>
      </w:r>
      <w:proofErr w:type="spellStart"/>
      <w:r w:rsidR="00366299">
        <w:t>Holista’s</w:t>
      </w:r>
      <w:proofErr w:type="spellEnd"/>
      <w:r w:rsidR="00366299">
        <w:t xml:space="preserve"> </w:t>
      </w:r>
      <w:r w:rsidR="000E1870">
        <w:t xml:space="preserve">conduct had </w:t>
      </w:r>
      <w:r w:rsidR="00846459">
        <w:t>significant consequences for its financial position</w:t>
      </w:r>
      <w:r w:rsidR="0027526C">
        <w:t>, and so for its investors,</w:t>
      </w:r>
      <w:r w:rsidR="00846459">
        <w:t xml:space="preserve"> after the corrective disclosure. </w:t>
      </w:r>
      <w:r w:rsidR="000E1870">
        <w:t xml:space="preserve"> </w:t>
      </w:r>
    </w:p>
    <w:p w14:paraId="244ED3CD" w14:textId="1DDE2788" w:rsidR="007A4423" w:rsidRDefault="007A4423" w:rsidP="000D6D80">
      <w:pPr>
        <w:pStyle w:val="ParaNumbering"/>
      </w:pPr>
      <w:r>
        <w:t>I accept that the need for specific deterrence is reduced in this case</w:t>
      </w:r>
      <w:r w:rsidR="00BC1074">
        <w:t>,</w:t>
      </w:r>
      <w:r>
        <w:t xml:space="preserve"> because of the </w:t>
      </w:r>
      <w:r w:rsidR="00F0602B">
        <w:t>renewal</w:t>
      </w:r>
      <w:r>
        <w:t xml:space="preserve"> of the Board and Dr </w:t>
      </w:r>
      <w:proofErr w:type="spellStart"/>
      <w:r>
        <w:t>Marnickavasagar’s</w:t>
      </w:r>
      <w:proofErr w:type="spellEnd"/>
      <w:r>
        <w:t xml:space="preserve"> admissions and agreement to a significant period of disqualification.</w:t>
      </w:r>
      <w:r w:rsidR="00120DA1">
        <w:t xml:space="preserve"> Nevertheless, I </w:t>
      </w:r>
      <w:proofErr w:type="gramStart"/>
      <w:r w:rsidR="00120DA1">
        <w:t>take into account</w:t>
      </w:r>
      <w:proofErr w:type="gramEnd"/>
      <w:r w:rsidR="00120DA1">
        <w:t xml:space="preserve"> that Mr Tan remains the </w:t>
      </w:r>
      <w:r w:rsidR="00BC1074">
        <w:t>CFO</w:t>
      </w:r>
      <w:r w:rsidR="00120DA1">
        <w:t xml:space="preserve"> and that some members of the current Board </w:t>
      </w:r>
      <w:r w:rsidR="00E04032">
        <w:t xml:space="preserve">appear to have elected to take no action to remove </w:t>
      </w:r>
      <w:r w:rsidR="00BC1074">
        <w:t xml:space="preserve">or even discipline </w:t>
      </w:r>
      <w:r w:rsidR="00E04032">
        <w:t xml:space="preserve">Dr </w:t>
      </w:r>
      <w:proofErr w:type="spellStart"/>
      <w:r w:rsidR="00E04032">
        <w:t>Marnickavasagar</w:t>
      </w:r>
      <w:proofErr w:type="spellEnd"/>
      <w:r w:rsidR="002F647A">
        <w:t>.</w:t>
      </w:r>
    </w:p>
    <w:p w14:paraId="12593077" w14:textId="2A46D65B" w:rsidR="008339AC" w:rsidRDefault="008339AC" w:rsidP="000D6D80">
      <w:pPr>
        <w:pStyle w:val="ParaNumbering"/>
      </w:pPr>
      <w:r>
        <w:t xml:space="preserve">In circumstances where I have found that </w:t>
      </w:r>
      <w:proofErr w:type="spellStart"/>
      <w:r>
        <w:t>Holista’s</w:t>
      </w:r>
      <w:proofErr w:type="spellEnd"/>
      <w:r>
        <w:t xml:space="preserve"> conduct was reckless, </w:t>
      </w:r>
      <w:r w:rsidR="00417F18">
        <w:t xml:space="preserve">the objects of general deterrence dictate that a significant penalty is warranted </w:t>
      </w:r>
      <w:r w:rsidR="008247C8">
        <w:t>to deter other</w:t>
      </w:r>
      <w:r w:rsidR="008947DE">
        <w:t xml:space="preserve">s </w:t>
      </w:r>
      <w:r w:rsidR="008247C8">
        <w:t xml:space="preserve">from </w:t>
      </w:r>
      <w:r w:rsidR="00365BBE">
        <w:t xml:space="preserve">reckless </w:t>
      </w:r>
      <w:r w:rsidR="00BE5BE0">
        <w:t>failure to</w:t>
      </w:r>
      <w:r w:rsidR="00D533BC">
        <w:t xml:space="preserve"> disclose material information to the ASX. </w:t>
      </w:r>
    </w:p>
    <w:p w14:paraId="4951600F" w14:textId="574EEEE2" w:rsidR="00171883" w:rsidRDefault="00171883" w:rsidP="000D6D80">
      <w:pPr>
        <w:pStyle w:val="ParaNumbering"/>
      </w:pPr>
      <w:r>
        <w:t xml:space="preserve">In all the circumstances, I consider </w:t>
      </w:r>
      <w:r w:rsidR="002768B3">
        <w:t>a penalty of $1.8 million, being the lowest end of the range proposed by ASIC, to be appropriate to achieve the objec</w:t>
      </w:r>
      <w:r w:rsidR="00120DA1">
        <w:t xml:space="preserve">ts of both specific and general </w:t>
      </w:r>
      <w:r w:rsidR="00120DA1">
        <w:lastRenderedPageBreak/>
        <w:t>deterrence</w:t>
      </w:r>
      <w:r w:rsidR="002F647A">
        <w:t>.</w:t>
      </w:r>
      <w:r w:rsidR="008947DE">
        <w:t xml:space="preserve"> </w:t>
      </w:r>
      <w:r w:rsidR="000E7F2B">
        <w:t xml:space="preserve">I am conscious that </w:t>
      </w:r>
      <w:r w:rsidR="00461922">
        <w:t xml:space="preserve">a penalty should not be </w:t>
      </w:r>
      <w:r w:rsidR="000D76E9">
        <w:t>beyond what</w:t>
      </w:r>
      <w:r w:rsidR="00461922" w:rsidDel="000D76E9">
        <w:t xml:space="preserve"> </w:t>
      </w:r>
      <w:r w:rsidR="00461922">
        <w:t xml:space="preserve">is necessary to achieve this object </w:t>
      </w:r>
      <w:r w:rsidR="00264FC3">
        <w:t xml:space="preserve">and that </w:t>
      </w:r>
      <w:r w:rsidR="00216A01">
        <w:t>there must be some “reasonable relationship</w:t>
      </w:r>
      <w:r w:rsidR="0068590F">
        <w:t xml:space="preserve">” between the </w:t>
      </w:r>
      <w:r w:rsidR="00770A45">
        <w:t>“</w:t>
      </w:r>
      <w:r w:rsidR="0068590F">
        <w:t xml:space="preserve">theoretical maximum and the final penalty </w:t>
      </w:r>
      <w:r w:rsidR="002D6166">
        <w:t xml:space="preserve">imposed”: </w:t>
      </w:r>
      <w:r w:rsidR="002D6166" w:rsidRPr="00F66DC4">
        <w:rPr>
          <w:i/>
          <w:iCs/>
        </w:rPr>
        <w:t>Reckitt Ben</w:t>
      </w:r>
      <w:r w:rsidR="00F66DC4" w:rsidRPr="00F66DC4">
        <w:rPr>
          <w:i/>
          <w:iCs/>
        </w:rPr>
        <w:t>ckiser</w:t>
      </w:r>
      <w:r w:rsidR="00F66DC4">
        <w:t xml:space="preserve"> at [156]</w:t>
      </w:r>
      <w:r w:rsidR="00DC6B8F">
        <w:t xml:space="preserve">. </w:t>
      </w:r>
      <w:r w:rsidR="006A5EA3">
        <w:t xml:space="preserve">In arriving at this amount, I </w:t>
      </w:r>
      <w:proofErr w:type="gramStart"/>
      <w:r w:rsidR="006A5EA3">
        <w:t>take into account</w:t>
      </w:r>
      <w:proofErr w:type="gramEnd"/>
      <w:r w:rsidR="006A5EA3">
        <w:t xml:space="preserve"> </w:t>
      </w:r>
      <w:proofErr w:type="spellStart"/>
      <w:r w:rsidR="006A5EA3">
        <w:t>Holista’s</w:t>
      </w:r>
      <w:proofErr w:type="spellEnd"/>
      <w:r w:rsidR="006A5EA3">
        <w:t xml:space="preserve"> size and that, when considering its effect on general deterrence, it is an amount arrived at relative to companies of a similar size</w:t>
      </w:r>
      <w:r w:rsidR="005F0E9D">
        <w:t xml:space="preserve"> at the time of the contravention.</w:t>
      </w:r>
    </w:p>
    <w:p w14:paraId="60F05523" w14:textId="1DE9F62A" w:rsidR="002942DB" w:rsidRDefault="00E11AD3" w:rsidP="000D6D80">
      <w:pPr>
        <w:pStyle w:val="ParaNumbering"/>
      </w:pPr>
      <w:r>
        <w:t xml:space="preserve">I </w:t>
      </w:r>
      <w:r w:rsidR="00BB761C">
        <w:t xml:space="preserve">have </w:t>
      </w:r>
      <w:proofErr w:type="gramStart"/>
      <w:r w:rsidR="00BB761C">
        <w:t xml:space="preserve">taken into </w:t>
      </w:r>
      <w:r w:rsidR="00FC12CE">
        <w:t>account</w:t>
      </w:r>
      <w:proofErr w:type="gramEnd"/>
      <w:r w:rsidR="00FC12CE">
        <w:t xml:space="preserve"> </w:t>
      </w:r>
      <w:proofErr w:type="spellStart"/>
      <w:r>
        <w:t>Holista’s</w:t>
      </w:r>
      <w:proofErr w:type="spellEnd"/>
      <w:r>
        <w:t xml:space="preserve"> submissions</w:t>
      </w:r>
      <w:r w:rsidR="00BB761C">
        <w:t xml:space="preserve"> as to the</w:t>
      </w:r>
      <w:r w:rsidR="00102311">
        <w:t xml:space="preserve"> associated</w:t>
      </w:r>
      <w:r w:rsidR="00BB761C">
        <w:t xml:space="preserve"> financial burden</w:t>
      </w:r>
      <w:r w:rsidR="00102311">
        <w:t>,</w:t>
      </w:r>
      <w:r w:rsidR="00BB761C">
        <w:t xml:space="preserve"> </w:t>
      </w:r>
      <w:r w:rsidR="00FC12CE">
        <w:t xml:space="preserve">even </w:t>
      </w:r>
      <w:r w:rsidR="00BD047E">
        <w:t>from</w:t>
      </w:r>
      <w:r w:rsidR="00BB761C">
        <w:t xml:space="preserve"> a penalty of </w:t>
      </w:r>
      <w:r w:rsidR="00895CD9">
        <w:t xml:space="preserve">$500,000. </w:t>
      </w:r>
      <w:r w:rsidR="0070739E">
        <w:t>R</w:t>
      </w:r>
      <w:r w:rsidR="00E03359">
        <w:t>elative to the applicable statutory maximum</w:t>
      </w:r>
      <w:r w:rsidR="0070739E">
        <w:t xml:space="preserve"> of $10.5 million, the sum I have arrived at represents a very small proportion of the </w:t>
      </w:r>
      <w:r w:rsidR="00FC12CE">
        <w:t>applicable maximum</w:t>
      </w:r>
      <w:r w:rsidR="00102311">
        <w:t xml:space="preserve"> liability</w:t>
      </w:r>
      <w:r w:rsidR="00FC12CE">
        <w:t xml:space="preserve"> as compared with comparator cases decided prior to the </w:t>
      </w:r>
      <w:r w:rsidR="00FC12CE" w:rsidRPr="00FC12CE">
        <w:rPr>
          <w:i/>
          <w:iCs/>
        </w:rPr>
        <w:t>Strengthening Penalties Act</w:t>
      </w:r>
      <w:r w:rsidR="004C5D4E">
        <w:t>, albeit in relation to much larger companies.</w:t>
      </w:r>
      <w:r w:rsidR="00E03359">
        <w:t xml:space="preserve"> </w:t>
      </w:r>
      <w:r w:rsidR="0001481C">
        <w:t xml:space="preserve">I consider that any lower </w:t>
      </w:r>
      <w:r w:rsidR="00224C73">
        <w:t xml:space="preserve">sum </w:t>
      </w:r>
      <w:r w:rsidR="0001481C">
        <w:t xml:space="preserve">would </w:t>
      </w:r>
      <w:r w:rsidR="000F778B">
        <w:t>provide</w:t>
      </w:r>
      <w:r w:rsidR="008E20A4">
        <w:t xml:space="preserve"> </w:t>
      </w:r>
      <w:r w:rsidR="00224C73">
        <w:t xml:space="preserve">little </w:t>
      </w:r>
      <w:r w:rsidR="008E20A4">
        <w:t xml:space="preserve">general deterrence. </w:t>
      </w:r>
      <w:r w:rsidR="002942DB">
        <w:t xml:space="preserve">As was said by the Full Court in </w:t>
      </w:r>
      <w:r w:rsidR="002942DB" w:rsidRPr="006941F0">
        <w:rPr>
          <w:i/>
          <w:iCs/>
        </w:rPr>
        <w:t>Australian Competition and Consumer Commission v High Adventure Pty Ltd</w:t>
      </w:r>
      <w:r w:rsidR="002942DB" w:rsidRPr="006941F0">
        <w:t xml:space="preserve"> [2005] FCAFC 247; ATPR 42-091</w:t>
      </w:r>
      <w:r w:rsidR="002942DB">
        <w:t xml:space="preserve"> at [11]:</w:t>
      </w:r>
    </w:p>
    <w:p w14:paraId="531512AC" w14:textId="01BB2005" w:rsidR="0038339D" w:rsidRDefault="002942DB" w:rsidP="00BF0647">
      <w:pPr>
        <w:pStyle w:val="Quote1"/>
        <w:spacing w:after="360"/>
        <w:rPr>
          <w:lang w:eastAsia="en-AU"/>
        </w:rPr>
      </w:pPr>
      <w:r w:rsidRPr="002942DB">
        <w:rPr>
          <w:lang w:eastAsia="en-AU"/>
        </w:rPr>
        <w:t>Moreover, as deterrence</w:t>
      </w:r>
      <w:r>
        <w:rPr>
          <w:lang w:eastAsia="en-AU"/>
        </w:rPr>
        <w:t xml:space="preserve"> </w:t>
      </w:r>
      <w:r w:rsidRPr="002942DB">
        <w:rPr>
          <w:lang w:eastAsia="en-AU"/>
        </w:rPr>
        <w:t>(especially general deterrence) is the primary</w:t>
      </w:r>
      <w:r>
        <w:rPr>
          <w:lang w:eastAsia="en-AU"/>
        </w:rPr>
        <w:t xml:space="preserve"> </w:t>
      </w:r>
      <w:r w:rsidRPr="002942DB">
        <w:rPr>
          <w:lang w:eastAsia="en-AU"/>
        </w:rPr>
        <w:t>purpose lying behind the penalty regime, there</w:t>
      </w:r>
      <w:r>
        <w:rPr>
          <w:lang w:eastAsia="en-AU"/>
        </w:rPr>
        <w:t xml:space="preserve"> </w:t>
      </w:r>
      <w:r w:rsidRPr="002942DB">
        <w:rPr>
          <w:lang w:eastAsia="en-AU"/>
        </w:rPr>
        <w:t>inevitably will be cases where the penalty that</w:t>
      </w:r>
      <w:r>
        <w:rPr>
          <w:lang w:eastAsia="en-AU"/>
        </w:rPr>
        <w:t xml:space="preserve"> </w:t>
      </w:r>
      <w:r w:rsidRPr="002942DB">
        <w:rPr>
          <w:lang w:eastAsia="en-AU"/>
        </w:rPr>
        <w:t>must be imposed will be higher, perhaps even</w:t>
      </w:r>
      <w:r>
        <w:rPr>
          <w:lang w:eastAsia="en-AU"/>
        </w:rPr>
        <w:t xml:space="preserve"> </w:t>
      </w:r>
      <w:r w:rsidRPr="002942DB">
        <w:rPr>
          <w:lang w:eastAsia="en-AU"/>
        </w:rPr>
        <w:t>considerably higher, than the penalty that would</w:t>
      </w:r>
      <w:r>
        <w:rPr>
          <w:lang w:eastAsia="en-AU"/>
        </w:rPr>
        <w:t xml:space="preserve"> </w:t>
      </w:r>
      <w:r w:rsidRPr="002942DB">
        <w:rPr>
          <w:lang w:eastAsia="en-AU"/>
        </w:rPr>
        <w:t>otherwise be imposed on a particular offender if</w:t>
      </w:r>
      <w:r>
        <w:rPr>
          <w:lang w:eastAsia="en-AU"/>
        </w:rPr>
        <w:t xml:space="preserve"> </w:t>
      </w:r>
      <w:r w:rsidRPr="002942DB">
        <w:rPr>
          <w:lang w:eastAsia="en-AU"/>
        </w:rPr>
        <w:t>one were to have regard only to the</w:t>
      </w:r>
      <w:r>
        <w:rPr>
          <w:lang w:eastAsia="en-AU"/>
        </w:rPr>
        <w:t xml:space="preserve"> </w:t>
      </w:r>
      <w:r w:rsidRPr="002942DB">
        <w:rPr>
          <w:lang w:eastAsia="en-AU"/>
        </w:rPr>
        <w:t xml:space="preserve">circumstances of that offender. In some </w:t>
      </w:r>
      <w:proofErr w:type="gramStart"/>
      <w:r w:rsidRPr="002942DB">
        <w:rPr>
          <w:lang w:eastAsia="en-AU"/>
        </w:rPr>
        <w:t>cases</w:t>
      </w:r>
      <w:proofErr w:type="gramEnd"/>
      <w:r>
        <w:rPr>
          <w:lang w:eastAsia="en-AU"/>
        </w:rPr>
        <w:t xml:space="preserve"> </w:t>
      </w:r>
      <w:r w:rsidRPr="002942DB">
        <w:rPr>
          <w:lang w:eastAsia="en-AU"/>
        </w:rPr>
        <w:t>the penalty may be so high that the offender</w:t>
      </w:r>
      <w:r>
        <w:rPr>
          <w:lang w:eastAsia="en-AU"/>
        </w:rPr>
        <w:t xml:space="preserve"> </w:t>
      </w:r>
      <w:r w:rsidRPr="002942DB">
        <w:rPr>
          <w:lang w:eastAsia="en-AU"/>
        </w:rPr>
        <w:t>will become insolvent. That possibility must not</w:t>
      </w:r>
      <w:r>
        <w:rPr>
          <w:lang w:eastAsia="en-AU"/>
        </w:rPr>
        <w:t xml:space="preserve"> </w:t>
      </w:r>
      <w:r w:rsidRPr="002942DB">
        <w:rPr>
          <w:lang w:eastAsia="en-AU"/>
        </w:rPr>
        <w:t>prevent the Court from doing its duty for</w:t>
      </w:r>
      <w:r>
        <w:rPr>
          <w:lang w:eastAsia="en-AU"/>
        </w:rPr>
        <w:t xml:space="preserve"> </w:t>
      </w:r>
      <w:r w:rsidRPr="002942DB">
        <w:rPr>
          <w:lang w:eastAsia="en-AU"/>
        </w:rPr>
        <w:t>otherwise the important object of general</w:t>
      </w:r>
      <w:r>
        <w:rPr>
          <w:lang w:eastAsia="en-AU"/>
        </w:rPr>
        <w:t xml:space="preserve"> </w:t>
      </w:r>
      <w:r w:rsidRPr="002942DB">
        <w:rPr>
          <w:lang w:eastAsia="en-AU"/>
        </w:rPr>
        <w:t>deterrence will be undermined.</w:t>
      </w:r>
    </w:p>
    <w:p w14:paraId="2EB2BB0F" w14:textId="77777777" w:rsidR="003A18AB" w:rsidRDefault="003A18AB" w:rsidP="003A18AB">
      <w:pPr>
        <w:pStyle w:val="Heading1"/>
      </w:pPr>
      <w:bookmarkStart w:id="52" w:name="_Ref161757960"/>
      <w:r>
        <w:t xml:space="preserve">Liability of Dr </w:t>
      </w:r>
      <w:r w:rsidRPr="00E379C0">
        <w:t>Marnickavasagar</w:t>
      </w:r>
      <w:bookmarkEnd w:id="52"/>
    </w:p>
    <w:p w14:paraId="43AAEFE0" w14:textId="486DF441" w:rsidR="004A235E" w:rsidRDefault="004A235E" w:rsidP="0060682D">
      <w:pPr>
        <w:pStyle w:val="Heading2"/>
      </w:pPr>
      <w:r>
        <w:t>Legis</w:t>
      </w:r>
      <w:r w:rsidR="0060682D">
        <w:t>lative provisions relevant to liability</w:t>
      </w:r>
    </w:p>
    <w:p w14:paraId="6E443DE3" w14:textId="7E0FEAAD" w:rsidR="004A235E" w:rsidRDefault="004A235E" w:rsidP="000D6D80">
      <w:pPr>
        <w:pStyle w:val="ParaNumbering"/>
      </w:pPr>
      <w:r>
        <w:t xml:space="preserve">Section 180(1) of the </w:t>
      </w:r>
      <w:r w:rsidRPr="004672CA">
        <w:rPr>
          <w:i/>
          <w:iCs/>
        </w:rPr>
        <w:t>Corporations Act</w:t>
      </w:r>
      <w:r>
        <w:t xml:space="preserve"> is a civil penalty provision (s 1317E). It provides:</w:t>
      </w:r>
    </w:p>
    <w:p w14:paraId="4B072B32" w14:textId="1299E5B5" w:rsidR="004A235E" w:rsidRPr="00E40338" w:rsidRDefault="004A235E" w:rsidP="004A235E">
      <w:pPr>
        <w:pStyle w:val="Quote1"/>
        <w:rPr>
          <w:b/>
          <w:bCs/>
        </w:rPr>
      </w:pPr>
      <w:r w:rsidRPr="00E40338">
        <w:rPr>
          <w:b/>
          <w:bCs/>
        </w:rPr>
        <w:t xml:space="preserve">180 </w:t>
      </w:r>
      <w:r w:rsidR="00E44FE0">
        <w:rPr>
          <w:b/>
          <w:bCs/>
        </w:rPr>
        <w:t xml:space="preserve">  </w:t>
      </w:r>
      <w:r w:rsidRPr="00E40338">
        <w:rPr>
          <w:b/>
          <w:bCs/>
        </w:rPr>
        <w:t>Care and diligence—civil obligation only</w:t>
      </w:r>
    </w:p>
    <w:p w14:paraId="6D10EF35" w14:textId="77777777" w:rsidR="004A235E" w:rsidRDefault="004A235E" w:rsidP="004A235E">
      <w:pPr>
        <w:pStyle w:val="Quote1"/>
        <w:ind w:firstLine="703"/>
      </w:pPr>
      <w:r w:rsidRPr="00E40338">
        <w:rPr>
          <w:i/>
          <w:iCs/>
        </w:rPr>
        <w:t>Care and diligence – directors and other officers</w:t>
      </w:r>
    </w:p>
    <w:p w14:paraId="3DB5C07C" w14:textId="77777777" w:rsidR="004A235E" w:rsidRDefault="004A235E" w:rsidP="004A235E">
      <w:pPr>
        <w:pStyle w:val="Quote1"/>
        <w:ind w:left="1440" w:hanging="703"/>
      </w:pPr>
      <w:r>
        <w:t>(1)</w:t>
      </w:r>
      <w:r>
        <w:tab/>
        <w:t>A director or other officer of a corporation must exercise their powers and discharge their duties with the degree of care and diligence that a reasonable person would exercise if they:</w:t>
      </w:r>
    </w:p>
    <w:p w14:paraId="00A6352F" w14:textId="77777777" w:rsidR="004A235E" w:rsidRDefault="004A235E" w:rsidP="0089683F">
      <w:pPr>
        <w:pStyle w:val="Quote2"/>
        <w:ind w:left="2160" w:hanging="720"/>
      </w:pPr>
      <w:r>
        <w:t xml:space="preserve">(a)  </w:t>
      </w:r>
      <w:r>
        <w:tab/>
        <w:t>were a director or officer of a corporation in the corporation’s circumstances; and</w:t>
      </w:r>
    </w:p>
    <w:p w14:paraId="03530147" w14:textId="77777777" w:rsidR="004A235E" w:rsidRDefault="004A235E" w:rsidP="0089683F">
      <w:pPr>
        <w:pStyle w:val="Quote2"/>
        <w:ind w:left="2160" w:hanging="720"/>
      </w:pPr>
      <w:r>
        <w:t xml:space="preserve">(b) </w:t>
      </w:r>
      <w:r>
        <w:tab/>
        <w:t>occupied the office held by, and had the same responsibilities within the corporation as, the director or officer.</w:t>
      </w:r>
    </w:p>
    <w:p w14:paraId="7417FA75" w14:textId="673AAD1C" w:rsidR="00191844" w:rsidRPr="009A689C" w:rsidRDefault="00191844" w:rsidP="000D6D80">
      <w:pPr>
        <w:pStyle w:val="ParaNumbering"/>
        <w:rPr>
          <w:lang w:eastAsia="en-AU"/>
        </w:rPr>
      </w:pPr>
      <w:r>
        <w:rPr>
          <w:lang w:eastAsia="en-AU"/>
        </w:rPr>
        <w:t xml:space="preserve">Section 1309(2) is concerned with the provision </w:t>
      </w:r>
      <w:r w:rsidR="00FB102A">
        <w:rPr>
          <w:lang w:eastAsia="en-AU"/>
        </w:rPr>
        <w:t xml:space="preserve">of false or misleading information </w:t>
      </w:r>
      <w:r>
        <w:rPr>
          <w:lang w:eastAsia="en-AU"/>
        </w:rPr>
        <w:t>by an officer or employee of a corporation to an operator of a financial market. Contravention of s 13</w:t>
      </w:r>
      <w:r w:rsidRPr="009A689C">
        <w:rPr>
          <w:lang w:eastAsia="en-AU"/>
        </w:rPr>
        <w:t xml:space="preserve">09(2) is both an offence (s 1309(11)) and </w:t>
      </w:r>
      <w:r w:rsidR="00E44FE0" w:rsidRPr="009A689C">
        <w:rPr>
          <w:lang w:eastAsia="en-AU"/>
        </w:rPr>
        <w:t xml:space="preserve">enlivens </w:t>
      </w:r>
      <w:r w:rsidRPr="009A689C">
        <w:rPr>
          <w:lang w:eastAsia="en-AU"/>
        </w:rPr>
        <w:t>a civil penalty (s 1309(12)).</w:t>
      </w:r>
    </w:p>
    <w:p w14:paraId="56F05AC8" w14:textId="25422F25" w:rsidR="00191844" w:rsidRPr="000D6D80" w:rsidRDefault="00191844" w:rsidP="000D6D80">
      <w:pPr>
        <w:pStyle w:val="Quote1"/>
        <w:rPr>
          <w:b/>
          <w:bCs/>
          <w:lang w:eastAsia="en-AU"/>
        </w:rPr>
      </w:pPr>
      <w:proofErr w:type="gramStart"/>
      <w:r w:rsidRPr="000D6D80">
        <w:rPr>
          <w:b/>
          <w:bCs/>
          <w:lang w:eastAsia="en-AU"/>
        </w:rPr>
        <w:lastRenderedPageBreak/>
        <w:t>1309</w:t>
      </w:r>
      <w:r w:rsidR="00E44FE0" w:rsidRPr="000D6D80">
        <w:rPr>
          <w:b/>
          <w:bCs/>
          <w:lang w:eastAsia="en-AU"/>
        </w:rPr>
        <w:t xml:space="preserve">  </w:t>
      </w:r>
      <w:r w:rsidRPr="000D6D80">
        <w:rPr>
          <w:b/>
          <w:bCs/>
          <w:lang w:eastAsia="en-AU"/>
        </w:rPr>
        <w:t>False</w:t>
      </w:r>
      <w:proofErr w:type="gramEnd"/>
      <w:r w:rsidRPr="000D6D80">
        <w:rPr>
          <w:b/>
          <w:bCs/>
          <w:lang w:eastAsia="en-AU"/>
        </w:rPr>
        <w:t xml:space="preserve"> information etc.</w:t>
      </w:r>
    </w:p>
    <w:p w14:paraId="5DD7834C" w14:textId="77777777" w:rsidR="00191844" w:rsidRPr="000D6D80" w:rsidRDefault="00191844" w:rsidP="000D6D80">
      <w:pPr>
        <w:pStyle w:val="Quote1"/>
        <w:rPr>
          <w:lang w:eastAsia="en-AU"/>
        </w:rPr>
      </w:pPr>
      <w:r w:rsidRPr="000D6D80">
        <w:rPr>
          <w:lang w:eastAsia="en-AU"/>
        </w:rPr>
        <w:t>…</w:t>
      </w:r>
    </w:p>
    <w:p w14:paraId="2FD4CFE1" w14:textId="77777777" w:rsidR="00191844" w:rsidRPr="009A689C" w:rsidRDefault="00191844" w:rsidP="00191844">
      <w:pPr>
        <w:pStyle w:val="Quote1"/>
        <w:ind w:left="1440" w:hanging="703"/>
        <w:rPr>
          <w:lang w:eastAsia="en-AU"/>
        </w:rPr>
      </w:pPr>
      <w:r w:rsidRPr="009A689C">
        <w:rPr>
          <w:lang w:eastAsia="en-AU"/>
        </w:rPr>
        <w:t xml:space="preserve">(2) </w:t>
      </w:r>
      <w:r w:rsidRPr="009A689C">
        <w:rPr>
          <w:lang w:eastAsia="en-AU"/>
        </w:rPr>
        <w:tab/>
        <w:t>An officer or employee of a corporation who makes available or gives information, or authorises or permits the making available or giving of information, to:</w:t>
      </w:r>
    </w:p>
    <w:p w14:paraId="1237B957" w14:textId="77777777" w:rsidR="00191844" w:rsidRDefault="00191844" w:rsidP="00245EA5">
      <w:pPr>
        <w:pStyle w:val="Quote2"/>
        <w:ind w:left="2160" w:hanging="720"/>
        <w:rPr>
          <w:lang w:eastAsia="en-AU"/>
        </w:rPr>
      </w:pPr>
      <w:r w:rsidRPr="009A689C">
        <w:rPr>
          <w:lang w:eastAsia="en-AU"/>
        </w:rPr>
        <w:t xml:space="preserve">(a) </w:t>
      </w:r>
      <w:r w:rsidRPr="009A689C">
        <w:rPr>
          <w:lang w:eastAsia="en-AU"/>
        </w:rPr>
        <w:tab/>
        <w:t>a director, auditor, member, debenture holder or trustee for debenture holders of the corpor</w:t>
      </w:r>
      <w:r>
        <w:rPr>
          <w:lang w:eastAsia="en-AU"/>
        </w:rPr>
        <w:t>ation; or</w:t>
      </w:r>
    </w:p>
    <w:p w14:paraId="7ECE06D5" w14:textId="77777777" w:rsidR="00191844" w:rsidRDefault="00191844" w:rsidP="00245EA5">
      <w:pPr>
        <w:pStyle w:val="Quote2"/>
        <w:ind w:left="2160" w:hanging="720"/>
        <w:rPr>
          <w:lang w:eastAsia="en-AU"/>
        </w:rPr>
      </w:pPr>
      <w:r>
        <w:rPr>
          <w:lang w:eastAsia="en-AU"/>
        </w:rPr>
        <w:t xml:space="preserve">(b) </w:t>
      </w:r>
      <w:r>
        <w:rPr>
          <w:lang w:eastAsia="en-AU"/>
        </w:rPr>
        <w:tab/>
        <w:t>if the corporation is taken for the purposes of Chapter 2M to be controlled by another corporation-an auditor of the other corporation; or</w:t>
      </w:r>
    </w:p>
    <w:p w14:paraId="40E91D7A" w14:textId="77777777" w:rsidR="00191844" w:rsidRDefault="00191844" w:rsidP="00245EA5">
      <w:pPr>
        <w:pStyle w:val="Quote2"/>
        <w:ind w:left="2160" w:hanging="720"/>
        <w:rPr>
          <w:lang w:eastAsia="en-AU"/>
        </w:rPr>
      </w:pPr>
      <w:r>
        <w:rPr>
          <w:lang w:eastAsia="en-AU"/>
        </w:rPr>
        <w:t>(c)</w:t>
      </w:r>
      <w:r>
        <w:rPr>
          <w:lang w:eastAsia="en-AU"/>
        </w:rPr>
        <w:tab/>
        <w:t xml:space="preserve"> an operator of a financial market (whether the market is operated in Australia or elsewhere) or an officer of such a </w:t>
      </w:r>
      <w:proofErr w:type="gramStart"/>
      <w:r>
        <w:rPr>
          <w:lang w:eastAsia="en-AU"/>
        </w:rPr>
        <w:t>market;</w:t>
      </w:r>
      <w:proofErr w:type="gramEnd"/>
    </w:p>
    <w:p w14:paraId="4A1CB427" w14:textId="77777777" w:rsidR="00191844" w:rsidRDefault="00191844" w:rsidP="00191844">
      <w:pPr>
        <w:pStyle w:val="Quote1"/>
        <w:ind w:left="1440"/>
        <w:rPr>
          <w:lang w:eastAsia="en-AU"/>
        </w:rPr>
      </w:pPr>
      <w:r>
        <w:rPr>
          <w:lang w:eastAsia="en-AU"/>
        </w:rPr>
        <w:t>being information, whether in documentary or any other form, relating to the affairs of the corporation that:</w:t>
      </w:r>
    </w:p>
    <w:p w14:paraId="4A38060C" w14:textId="77777777" w:rsidR="00191844" w:rsidRDefault="00191844" w:rsidP="00245EA5">
      <w:pPr>
        <w:pStyle w:val="Quote2"/>
        <w:rPr>
          <w:lang w:eastAsia="en-AU"/>
        </w:rPr>
      </w:pPr>
      <w:r>
        <w:rPr>
          <w:lang w:eastAsia="en-AU"/>
        </w:rPr>
        <w:t xml:space="preserve">(d) </w:t>
      </w:r>
      <w:r>
        <w:rPr>
          <w:lang w:eastAsia="en-AU"/>
        </w:rPr>
        <w:tab/>
        <w:t>is false or misleading in a material particular; or</w:t>
      </w:r>
    </w:p>
    <w:p w14:paraId="624CD7F1" w14:textId="77777777" w:rsidR="00191844" w:rsidRDefault="00191844" w:rsidP="00245EA5">
      <w:pPr>
        <w:pStyle w:val="Quote2"/>
        <w:ind w:left="2160" w:hanging="720"/>
        <w:rPr>
          <w:lang w:eastAsia="en-AU"/>
        </w:rPr>
      </w:pPr>
      <w:r>
        <w:rPr>
          <w:lang w:eastAsia="en-AU"/>
        </w:rPr>
        <w:t xml:space="preserve">(e) </w:t>
      </w:r>
      <w:r>
        <w:rPr>
          <w:lang w:eastAsia="en-AU"/>
        </w:rPr>
        <w:tab/>
        <w:t xml:space="preserve">has omitted from it a matter </w:t>
      </w:r>
      <w:proofErr w:type="spellStart"/>
      <w:r>
        <w:rPr>
          <w:lang w:eastAsia="en-AU"/>
        </w:rPr>
        <w:t>or</w:t>
      </w:r>
      <w:proofErr w:type="spellEnd"/>
      <w:r>
        <w:rPr>
          <w:lang w:eastAsia="en-AU"/>
        </w:rPr>
        <w:t xml:space="preserve"> thing the omission of which renders the information misleading in a material </w:t>
      </w:r>
      <w:proofErr w:type="gramStart"/>
      <w:r>
        <w:rPr>
          <w:lang w:eastAsia="en-AU"/>
        </w:rPr>
        <w:t>respect;</w:t>
      </w:r>
      <w:proofErr w:type="gramEnd"/>
    </w:p>
    <w:p w14:paraId="390533BC" w14:textId="77777777" w:rsidR="00191844" w:rsidRDefault="00191844" w:rsidP="00191844">
      <w:pPr>
        <w:pStyle w:val="Quote1"/>
        <w:ind w:left="2160" w:hanging="720"/>
        <w:rPr>
          <w:lang w:eastAsia="en-AU"/>
        </w:rPr>
      </w:pPr>
      <w:r>
        <w:rPr>
          <w:lang w:eastAsia="en-AU"/>
        </w:rPr>
        <w:t>without having taken reasonable steps to ensure that the information:</w:t>
      </w:r>
    </w:p>
    <w:p w14:paraId="179E7E74" w14:textId="77777777" w:rsidR="00191844" w:rsidRDefault="00191844" w:rsidP="00245EA5">
      <w:pPr>
        <w:pStyle w:val="Quote2"/>
        <w:rPr>
          <w:lang w:eastAsia="en-AU"/>
        </w:rPr>
      </w:pPr>
      <w:r>
        <w:rPr>
          <w:lang w:eastAsia="en-AU"/>
        </w:rPr>
        <w:t>(f)</w:t>
      </w:r>
      <w:r>
        <w:rPr>
          <w:lang w:eastAsia="en-AU"/>
        </w:rPr>
        <w:tab/>
        <w:t>was not false or misleading in a material particular; and</w:t>
      </w:r>
    </w:p>
    <w:p w14:paraId="3665E2BC" w14:textId="77777777" w:rsidR="00191844" w:rsidRPr="009A689C" w:rsidRDefault="00191844" w:rsidP="00245EA5">
      <w:pPr>
        <w:pStyle w:val="Quote2"/>
        <w:ind w:left="2160" w:hanging="720"/>
        <w:rPr>
          <w:lang w:eastAsia="en-AU"/>
        </w:rPr>
      </w:pPr>
      <w:r>
        <w:rPr>
          <w:lang w:eastAsia="en-AU"/>
        </w:rPr>
        <w:t>(g)</w:t>
      </w:r>
      <w:r>
        <w:rPr>
          <w:lang w:eastAsia="en-AU"/>
        </w:rPr>
        <w:tab/>
        <w:t xml:space="preserve">did not have omitted from it a matter </w:t>
      </w:r>
      <w:proofErr w:type="spellStart"/>
      <w:r>
        <w:rPr>
          <w:lang w:eastAsia="en-AU"/>
        </w:rPr>
        <w:t>or</w:t>
      </w:r>
      <w:proofErr w:type="spellEnd"/>
      <w:r>
        <w:rPr>
          <w:lang w:eastAsia="en-AU"/>
        </w:rPr>
        <w:t xml:space="preserve"> thing the omission of which </w:t>
      </w:r>
      <w:r w:rsidRPr="009A689C">
        <w:rPr>
          <w:lang w:eastAsia="en-AU"/>
        </w:rPr>
        <w:t xml:space="preserve">rendered the information misleading in a material </w:t>
      </w:r>
      <w:proofErr w:type="gramStart"/>
      <w:r w:rsidRPr="009A689C">
        <w:rPr>
          <w:lang w:eastAsia="en-AU"/>
        </w:rPr>
        <w:t>respect;</w:t>
      </w:r>
      <w:proofErr w:type="gramEnd"/>
    </w:p>
    <w:p w14:paraId="7DB821C8" w14:textId="77777777" w:rsidR="00191844" w:rsidRPr="009A689C" w:rsidRDefault="00191844" w:rsidP="00191844">
      <w:pPr>
        <w:pStyle w:val="Quote1"/>
        <w:ind w:firstLine="703"/>
        <w:rPr>
          <w:lang w:eastAsia="en-AU"/>
        </w:rPr>
      </w:pPr>
      <w:r w:rsidRPr="009A689C">
        <w:rPr>
          <w:lang w:eastAsia="en-AU"/>
        </w:rPr>
        <w:t>contravenes this subsection.</w:t>
      </w:r>
    </w:p>
    <w:p w14:paraId="0C428064" w14:textId="1D3C7097" w:rsidR="004A235E" w:rsidRPr="000D6D80" w:rsidRDefault="00364309" w:rsidP="000D6D80">
      <w:pPr>
        <w:pStyle w:val="Quote1"/>
      </w:pPr>
      <w:r w:rsidRPr="000D6D80">
        <w:t>…</w:t>
      </w:r>
    </w:p>
    <w:p w14:paraId="6C38C0C4" w14:textId="32B80BFA" w:rsidR="00364309" w:rsidRPr="000D6D80" w:rsidRDefault="00364309" w:rsidP="000D6D80">
      <w:pPr>
        <w:pStyle w:val="Quote1"/>
      </w:pPr>
      <w:r w:rsidRPr="000D6D80">
        <w:t>(12)</w:t>
      </w:r>
      <w:r w:rsidRPr="000D6D80">
        <w:tab/>
        <w:t>A person contravenes this subsection if the person contravenes subsection (2).</w:t>
      </w:r>
    </w:p>
    <w:p w14:paraId="3D058E00" w14:textId="57FBE575" w:rsidR="00364309" w:rsidRPr="000D6D80" w:rsidRDefault="00364309" w:rsidP="000D6D80">
      <w:pPr>
        <w:pStyle w:val="Quote2"/>
        <w:rPr>
          <w:sz w:val="20"/>
          <w:highlight w:val="yellow"/>
        </w:rPr>
      </w:pPr>
      <w:r w:rsidRPr="000D6D80">
        <w:rPr>
          <w:sz w:val="20"/>
        </w:rPr>
        <w:t>Note: This subsection is a civil penalty provision (see section 1317E)</w:t>
      </w:r>
      <w:r w:rsidRPr="000D6D80">
        <w:rPr>
          <w:sz w:val="20"/>
          <w:highlight w:val="yellow"/>
        </w:rPr>
        <w:t>.</w:t>
      </w:r>
    </w:p>
    <w:p w14:paraId="19BEEA52" w14:textId="28A3D359" w:rsidR="003A18AB" w:rsidRPr="009A689C" w:rsidRDefault="003A18AB" w:rsidP="003A18AB">
      <w:pPr>
        <w:pStyle w:val="Heading3"/>
      </w:pPr>
      <w:bookmarkStart w:id="53" w:name="_Ref161757961"/>
      <w:r w:rsidRPr="009A689C">
        <w:t>The admitted contravention of s 180(1)</w:t>
      </w:r>
      <w:bookmarkEnd w:id="53"/>
      <w:r w:rsidRPr="009A689C">
        <w:t xml:space="preserve"> </w:t>
      </w:r>
    </w:p>
    <w:p w14:paraId="4C300449" w14:textId="108D9F4E" w:rsidR="003A18AB" w:rsidRPr="009A689C" w:rsidRDefault="003A18AB" w:rsidP="000D6D80">
      <w:pPr>
        <w:pStyle w:val="ParaNumbering"/>
      </w:pPr>
      <w:r w:rsidRPr="009A689C">
        <w:t xml:space="preserve">Dr </w:t>
      </w:r>
      <w:proofErr w:type="spellStart"/>
      <w:r w:rsidRPr="009A689C">
        <w:t>Marnickavasagar</w:t>
      </w:r>
      <w:proofErr w:type="spellEnd"/>
      <w:r w:rsidRPr="009A689C">
        <w:t xml:space="preserve"> </w:t>
      </w:r>
      <w:r w:rsidR="002017C0" w:rsidRPr="009A689C">
        <w:t xml:space="preserve">admits </w:t>
      </w:r>
      <w:r w:rsidR="00C90181" w:rsidRPr="009A689C">
        <w:t xml:space="preserve">(SAFA [97]) </w:t>
      </w:r>
      <w:r w:rsidR="002017C0" w:rsidRPr="009A689C">
        <w:t>that</w:t>
      </w:r>
      <w:r w:rsidR="00A45086" w:rsidRPr="009A689C">
        <w:t>,</w:t>
      </w:r>
      <w:r w:rsidR="002017C0" w:rsidRPr="009A689C">
        <w:t xml:space="preserve"> </w:t>
      </w:r>
      <w:r w:rsidR="005D0892" w:rsidRPr="009A689C">
        <w:t xml:space="preserve">by </w:t>
      </w:r>
      <w:r w:rsidR="00035217" w:rsidRPr="009A689C">
        <w:t>authoris</w:t>
      </w:r>
      <w:r w:rsidR="005D0892" w:rsidRPr="009A689C">
        <w:t>ing</w:t>
      </w:r>
      <w:r w:rsidR="00035217" w:rsidRPr="009A689C">
        <w:t xml:space="preserve"> the 9 April </w:t>
      </w:r>
      <w:r w:rsidR="004958AC" w:rsidRPr="009A689C">
        <w:t>2020 Announcement, in the circumstances</w:t>
      </w:r>
      <w:r w:rsidR="00765F17" w:rsidRPr="009A689C">
        <w:t xml:space="preserve"> of making the Non-Disclosed Information </w:t>
      </w:r>
      <w:r w:rsidR="00A45086" w:rsidRPr="009A689C">
        <w:t>r</w:t>
      </w:r>
      <w:r w:rsidR="00765F17" w:rsidRPr="009A689C">
        <w:t>epresentations</w:t>
      </w:r>
      <w:r w:rsidR="00A45086" w:rsidRPr="009A689C">
        <w:t>,</w:t>
      </w:r>
      <w:r w:rsidR="00765F17" w:rsidRPr="009A689C">
        <w:t xml:space="preserve"> </w:t>
      </w:r>
      <w:r w:rsidR="00C90181" w:rsidRPr="009A689C">
        <w:t xml:space="preserve">and in the circumstances that occurred between 9 April 2020 and 9 July 2020 which have been outlined above, he </w:t>
      </w:r>
      <w:r w:rsidRPr="009A689C">
        <w:t xml:space="preserve">failed to discharge his duties to </w:t>
      </w:r>
      <w:proofErr w:type="spellStart"/>
      <w:r w:rsidRPr="009A689C">
        <w:t>Holista</w:t>
      </w:r>
      <w:proofErr w:type="spellEnd"/>
      <w:r w:rsidRPr="009A689C">
        <w:t xml:space="preserve"> with the degree of care and diligence that a reasonable person would exercise if he or she were the Managing Director or Chief Executive Officer of a corporation in </w:t>
      </w:r>
      <w:proofErr w:type="spellStart"/>
      <w:r w:rsidRPr="009A689C">
        <w:t>Holista’s</w:t>
      </w:r>
      <w:proofErr w:type="spellEnd"/>
      <w:r w:rsidRPr="009A689C">
        <w:t xml:space="preserve"> circumstances</w:t>
      </w:r>
      <w:r w:rsidR="00A45086" w:rsidRPr="009A689C">
        <w:t>,</w:t>
      </w:r>
      <w:r w:rsidRPr="009A689C">
        <w:t xml:space="preserve"> occupied the offices held by</w:t>
      </w:r>
      <w:r w:rsidR="00764431" w:rsidRPr="009A689C">
        <w:t>,</w:t>
      </w:r>
      <w:r w:rsidRPr="009A689C" w:rsidDel="00A45086">
        <w:t xml:space="preserve"> </w:t>
      </w:r>
      <w:r w:rsidRPr="009A689C">
        <w:t>and had the same responsibilities as</w:t>
      </w:r>
      <w:r w:rsidR="00764431" w:rsidRPr="009A689C">
        <w:t>,</w:t>
      </w:r>
      <w:r w:rsidRPr="009A689C">
        <w:t xml:space="preserve"> Dr </w:t>
      </w:r>
      <w:proofErr w:type="spellStart"/>
      <w:r w:rsidRPr="009A689C">
        <w:t>Marnickavasagar</w:t>
      </w:r>
      <w:proofErr w:type="spellEnd"/>
      <w:r w:rsidRPr="009A689C">
        <w:t>. He</w:t>
      </w:r>
      <w:r w:rsidR="00C90181" w:rsidRPr="009A689C">
        <w:t xml:space="preserve"> </w:t>
      </w:r>
      <w:r w:rsidR="00C90181" w:rsidRPr="009A689C">
        <w:rPr>
          <w:b/>
          <w:bCs/>
        </w:rPr>
        <w:t>admits</w:t>
      </w:r>
      <w:r w:rsidR="00C90181" w:rsidRPr="009A689C">
        <w:t xml:space="preserve"> he</w:t>
      </w:r>
      <w:r w:rsidRPr="009A689C">
        <w:t xml:space="preserve"> failed to:</w:t>
      </w:r>
    </w:p>
    <w:p w14:paraId="69213CB5" w14:textId="77777777" w:rsidR="003A18AB" w:rsidRPr="009A689C" w:rsidRDefault="003A18AB" w:rsidP="00A4777A">
      <w:pPr>
        <w:pStyle w:val="Quote1"/>
        <w:numPr>
          <w:ilvl w:val="0"/>
          <w:numId w:val="33"/>
        </w:numPr>
        <w:ind w:left="1440" w:hanging="720"/>
      </w:pPr>
      <w:r w:rsidRPr="009A689C">
        <w:t xml:space="preserve">ensure that any announcement which he approved was not misleading or deceptive or likely to mislead or </w:t>
      </w:r>
      <w:proofErr w:type="gramStart"/>
      <w:r w:rsidRPr="009A689C">
        <w:t>deceive;</w:t>
      </w:r>
      <w:proofErr w:type="gramEnd"/>
    </w:p>
    <w:p w14:paraId="3B22E3F1" w14:textId="77777777" w:rsidR="003A18AB" w:rsidRPr="009A689C" w:rsidRDefault="003A18AB" w:rsidP="00A4777A">
      <w:pPr>
        <w:pStyle w:val="Quote1"/>
        <w:numPr>
          <w:ilvl w:val="0"/>
          <w:numId w:val="33"/>
        </w:numPr>
        <w:ind w:left="1440" w:hanging="720"/>
      </w:pPr>
      <w:r w:rsidRPr="009A689C">
        <w:t xml:space="preserve">qualify, withdraw or correct any existing announcement he made or approved </w:t>
      </w:r>
      <w:r w:rsidRPr="009A689C">
        <w:lastRenderedPageBreak/>
        <w:t xml:space="preserve">to that it was not misleading or deceptive or likely to mislead or </w:t>
      </w:r>
      <w:proofErr w:type="gramStart"/>
      <w:r w:rsidRPr="009A689C">
        <w:t>deceive;</w:t>
      </w:r>
      <w:proofErr w:type="gramEnd"/>
    </w:p>
    <w:p w14:paraId="448F5583" w14:textId="77777777" w:rsidR="003A18AB" w:rsidRPr="009A689C" w:rsidRDefault="003A18AB" w:rsidP="00A4777A">
      <w:pPr>
        <w:pStyle w:val="Quote1"/>
        <w:numPr>
          <w:ilvl w:val="0"/>
          <w:numId w:val="33"/>
        </w:numPr>
        <w:ind w:left="1440" w:hanging="720"/>
      </w:pPr>
      <w:r w:rsidRPr="009A689C">
        <w:t xml:space="preserve">ensure that information which was required to be notified to the ASX pursuant to the Listing Rules was provided to the </w:t>
      </w:r>
      <w:proofErr w:type="gramStart"/>
      <w:r w:rsidRPr="009A689C">
        <w:t>ASX;</w:t>
      </w:r>
      <w:proofErr w:type="gramEnd"/>
    </w:p>
    <w:p w14:paraId="49D06EF0" w14:textId="77777777" w:rsidR="003A18AB" w:rsidRPr="009A689C" w:rsidRDefault="003A18AB" w:rsidP="00A4777A">
      <w:pPr>
        <w:pStyle w:val="Quote1"/>
        <w:numPr>
          <w:ilvl w:val="0"/>
          <w:numId w:val="33"/>
        </w:numPr>
        <w:ind w:left="1440" w:hanging="720"/>
      </w:pPr>
      <w:r w:rsidRPr="009A689C">
        <w:t xml:space="preserve">ensure that each of the Orders Representation and the Revenue Representation was not misleading or deceptive or likely to mislead or </w:t>
      </w:r>
      <w:proofErr w:type="gramStart"/>
      <w:r w:rsidRPr="009A689C">
        <w:t>deceive;</w:t>
      </w:r>
      <w:proofErr w:type="gramEnd"/>
    </w:p>
    <w:p w14:paraId="5C3CB9B0" w14:textId="77777777" w:rsidR="003A18AB" w:rsidRPr="009A689C" w:rsidRDefault="003A18AB" w:rsidP="00A4777A">
      <w:pPr>
        <w:pStyle w:val="Quote1"/>
        <w:numPr>
          <w:ilvl w:val="0"/>
          <w:numId w:val="33"/>
        </w:numPr>
        <w:ind w:left="1440" w:hanging="720"/>
      </w:pPr>
      <w:r w:rsidRPr="009A689C">
        <w:t xml:space="preserve">ensure that the 9 April 2020 Announcement was not misleading or deceptive or likely to mislead or </w:t>
      </w:r>
      <w:proofErr w:type="gramStart"/>
      <w:r w:rsidRPr="009A689C">
        <w:t>deceive;</w:t>
      </w:r>
      <w:proofErr w:type="gramEnd"/>
    </w:p>
    <w:p w14:paraId="20AC803D" w14:textId="77777777" w:rsidR="003A18AB" w:rsidRPr="009A689C" w:rsidRDefault="003A18AB" w:rsidP="00A4777A">
      <w:pPr>
        <w:pStyle w:val="Quote1"/>
        <w:numPr>
          <w:ilvl w:val="0"/>
          <w:numId w:val="33"/>
        </w:numPr>
        <w:spacing w:after="240"/>
        <w:ind w:left="1440" w:hanging="720"/>
      </w:pPr>
      <w:r w:rsidRPr="009A689C">
        <w:t xml:space="preserve">qualify, </w:t>
      </w:r>
      <w:proofErr w:type="gramStart"/>
      <w:r w:rsidRPr="009A689C">
        <w:t>withdraw</w:t>
      </w:r>
      <w:proofErr w:type="gramEnd"/>
      <w:r w:rsidRPr="009A689C">
        <w:t xml:space="preserve"> or correct the 9 April 2020 Announcement so that it was not misleading or deceptive or likely to mislead or deceive prior to the 9 July 2020 Announcement.</w:t>
      </w:r>
    </w:p>
    <w:p w14:paraId="14C05BD6" w14:textId="58C3C452" w:rsidR="003A18AB" w:rsidRPr="009A689C" w:rsidRDefault="003A18AB" w:rsidP="000D6D80">
      <w:pPr>
        <w:pStyle w:val="ParaNumbering"/>
      </w:pPr>
      <w:r w:rsidRPr="009A689C">
        <w:t xml:space="preserve">Dr </w:t>
      </w:r>
      <w:proofErr w:type="spellStart"/>
      <w:r w:rsidRPr="009A689C">
        <w:t>Marnickavasagar</w:t>
      </w:r>
      <w:proofErr w:type="spellEnd"/>
      <w:r w:rsidRPr="009A689C">
        <w:t xml:space="preserve"> </w:t>
      </w:r>
      <w:r w:rsidRPr="009A689C">
        <w:rPr>
          <w:b/>
          <w:bCs/>
        </w:rPr>
        <w:t>admits</w:t>
      </w:r>
      <w:r w:rsidRPr="009A689C">
        <w:t xml:space="preserve"> that he thereby caused or permitted </w:t>
      </w:r>
      <w:proofErr w:type="spellStart"/>
      <w:r w:rsidRPr="009A689C">
        <w:t>Holista</w:t>
      </w:r>
      <w:proofErr w:type="spellEnd"/>
      <w:r w:rsidRPr="009A689C">
        <w:t xml:space="preserve"> to breach ss 674(2) and 1041H of the </w:t>
      </w:r>
      <w:r w:rsidRPr="009A689C">
        <w:rPr>
          <w:i/>
          <w:iCs/>
        </w:rPr>
        <w:t>Corporations Act</w:t>
      </w:r>
      <w:r w:rsidRPr="009A689C">
        <w:t xml:space="preserve"> in the manner admitted to by </w:t>
      </w:r>
      <w:proofErr w:type="spellStart"/>
      <w:r w:rsidRPr="009A689C">
        <w:t>Holista</w:t>
      </w:r>
      <w:proofErr w:type="spellEnd"/>
      <w:r w:rsidR="00780594" w:rsidRPr="009A689C">
        <w:t>: SAFA [98]</w:t>
      </w:r>
      <w:r w:rsidR="002D07B8" w:rsidRPr="009A689C">
        <w:t>-[99].</w:t>
      </w:r>
    </w:p>
    <w:p w14:paraId="328FD2A5" w14:textId="77031B43" w:rsidR="003A18AB" w:rsidRPr="009A689C" w:rsidRDefault="003A18AB" w:rsidP="000D6D80">
      <w:pPr>
        <w:pStyle w:val="ParaNumbering"/>
      </w:pPr>
      <w:r w:rsidRPr="009A689C">
        <w:t xml:space="preserve">Dr </w:t>
      </w:r>
      <w:proofErr w:type="spellStart"/>
      <w:r w:rsidRPr="009A689C">
        <w:t>Marnickavasagar</w:t>
      </w:r>
      <w:proofErr w:type="spellEnd"/>
      <w:r w:rsidRPr="009A689C">
        <w:t xml:space="preserve"> </w:t>
      </w:r>
      <w:r w:rsidRPr="009A689C">
        <w:rPr>
          <w:b/>
          <w:bCs/>
        </w:rPr>
        <w:t xml:space="preserve">admits </w:t>
      </w:r>
      <w:r w:rsidRPr="009A689C">
        <w:t xml:space="preserve">further that he exposed </w:t>
      </w:r>
      <w:proofErr w:type="spellStart"/>
      <w:r w:rsidRPr="009A689C">
        <w:t>Holista</w:t>
      </w:r>
      <w:proofErr w:type="spellEnd"/>
      <w:r w:rsidRPr="009A689C">
        <w:t xml:space="preserve"> to the risk of legal proceedings, including for declarations of contravention, in relation to </w:t>
      </w:r>
      <w:proofErr w:type="spellStart"/>
      <w:r w:rsidRPr="009A689C">
        <w:t>Holista’s</w:t>
      </w:r>
      <w:proofErr w:type="spellEnd"/>
      <w:r w:rsidRPr="009A689C">
        <w:t xml:space="preserve"> continuous disclosure obligations, the Orders Representation and the Revenue Representation, and costs</w:t>
      </w:r>
      <w:r w:rsidR="00780594" w:rsidRPr="009A689C">
        <w:t>: SAFA [</w:t>
      </w:r>
      <w:r w:rsidR="002D07B8" w:rsidRPr="009A689C">
        <w:t>100</w:t>
      </w:r>
      <w:r w:rsidR="00780594" w:rsidRPr="009A689C">
        <w:t>].</w:t>
      </w:r>
    </w:p>
    <w:p w14:paraId="5290DCBB" w14:textId="24E36B35" w:rsidR="003A18AB" w:rsidRPr="009A689C" w:rsidRDefault="003A18AB" w:rsidP="000D6D80">
      <w:pPr>
        <w:pStyle w:val="ParaNumbering"/>
      </w:pPr>
      <w:r w:rsidRPr="009A689C">
        <w:t xml:space="preserve">He </w:t>
      </w:r>
      <w:r w:rsidR="00A45086" w:rsidRPr="009A689C">
        <w:t xml:space="preserve">also </w:t>
      </w:r>
      <w:r w:rsidRPr="009A689C">
        <w:rPr>
          <w:b/>
          <w:bCs/>
        </w:rPr>
        <w:t>admits</w:t>
      </w:r>
      <w:r w:rsidRPr="009A689C">
        <w:t xml:space="preserve"> that his contravention of s 180 was serious within the meaning of s 1317G(1)(b)(iii) of the </w:t>
      </w:r>
      <w:r w:rsidRPr="009A689C">
        <w:rPr>
          <w:i/>
          <w:iCs/>
        </w:rPr>
        <w:t>Corporations Act</w:t>
      </w:r>
      <w:r w:rsidR="003C7D9B" w:rsidRPr="009A689C">
        <w:t>: SAFA [101].</w:t>
      </w:r>
    </w:p>
    <w:p w14:paraId="2B389619" w14:textId="551726DD" w:rsidR="00BF5B1F" w:rsidRPr="009A689C" w:rsidRDefault="00BF5B1F" w:rsidP="00BF5B1F">
      <w:pPr>
        <w:pStyle w:val="Heading3"/>
      </w:pPr>
      <w:bookmarkStart w:id="54" w:name="_Ref161757962"/>
      <w:r w:rsidRPr="009A689C">
        <w:t>The admitted contraventions of ss 1309(2) and (12)</w:t>
      </w:r>
      <w:bookmarkEnd w:id="54"/>
    </w:p>
    <w:p w14:paraId="1A70D524" w14:textId="1B1C3FD5" w:rsidR="003A18AB" w:rsidRPr="009A689C" w:rsidRDefault="003A18AB" w:rsidP="000D6D80">
      <w:pPr>
        <w:pStyle w:val="ParaNumbering"/>
      </w:pPr>
      <w:r w:rsidRPr="009A689C">
        <w:t xml:space="preserve">Dr </w:t>
      </w:r>
      <w:proofErr w:type="spellStart"/>
      <w:r w:rsidRPr="009A689C">
        <w:t>Marnickavasagar</w:t>
      </w:r>
      <w:proofErr w:type="spellEnd"/>
      <w:r w:rsidRPr="009A689C">
        <w:t xml:space="preserve"> </w:t>
      </w:r>
      <w:r w:rsidRPr="009A689C">
        <w:rPr>
          <w:b/>
          <w:bCs/>
        </w:rPr>
        <w:t xml:space="preserve">admits </w:t>
      </w:r>
      <w:r w:rsidR="002B3634" w:rsidRPr="009A689C">
        <w:t>(SAFA</w:t>
      </w:r>
      <w:r w:rsidR="004E1195" w:rsidRPr="009A689C">
        <w:t xml:space="preserve"> [10</w:t>
      </w:r>
      <w:r w:rsidR="00215100" w:rsidRPr="009A689C">
        <w:t>5</w:t>
      </w:r>
      <w:r w:rsidR="004E1195" w:rsidRPr="009A689C">
        <w:t>]-[</w:t>
      </w:r>
      <w:r w:rsidR="00E7014A" w:rsidRPr="009A689C">
        <w:t>1</w:t>
      </w:r>
      <w:r w:rsidR="00215100" w:rsidRPr="009A689C">
        <w:t>07])</w:t>
      </w:r>
      <w:r w:rsidR="00215100" w:rsidRPr="009A689C">
        <w:rPr>
          <w:b/>
          <w:bCs/>
        </w:rPr>
        <w:t xml:space="preserve"> </w:t>
      </w:r>
      <w:r w:rsidRPr="009A689C">
        <w:t>that he contravened s 1309(2) and thereby also s 1309(12)</w:t>
      </w:r>
      <w:r w:rsidR="00A45086" w:rsidRPr="009A689C">
        <w:t>,</w:t>
      </w:r>
      <w:r w:rsidRPr="009A689C">
        <w:t xml:space="preserve"> in making available or giving, or alternatively authorising or permitting the making available or the giving of</w:t>
      </w:r>
      <w:r w:rsidR="00AC4BC8" w:rsidRPr="009A689C">
        <w:t>,</w:t>
      </w:r>
      <w:r w:rsidRPr="009A689C">
        <w:t xml:space="preserve"> the 9 April 2020 Announcement to the ASX and to members of </w:t>
      </w:r>
      <w:proofErr w:type="spellStart"/>
      <w:r w:rsidRPr="009A689C">
        <w:t>Holista</w:t>
      </w:r>
      <w:proofErr w:type="spellEnd"/>
      <w:r w:rsidR="00692FBE" w:rsidRPr="009A689C">
        <w:t>;</w:t>
      </w:r>
      <w:r w:rsidRPr="009A689C">
        <w:t xml:space="preserve"> the 17 April 2020 ASX Response to the ASX</w:t>
      </w:r>
      <w:r w:rsidR="00692FBE" w:rsidRPr="009A689C">
        <w:t>;</w:t>
      </w:r>
      <w:r w:rsidRPr="009A689C">
        <w:t xml:space="preserve"> and the 20 April 2020 ASX Response to the ASX and to members of </w:t>
      </w:r>
      <w:proofErr w:type="spellStart"/>
      <w:r w:rsidRPr="009A689C">
        <w:t>Holista</w:t>
      </w:r>
      <w:proofErr w:type="spellEnd"/>
      <w:r w:rsidRPr="009A689C">
        <w:t xml:space="preserve">, on the basis that he </w:t>
      </w:r>
      <w:r w:rsidRPr="009A689C">
        <w:rPr>
          <w:b/>
          <w:bCs/>
        </w:rPr>
        <w:t>admits</w:t>
      </w:r>
      <w:r w:rsidRPr="009A689C">
        <w:t>:</w:t>
      </w:r>
    </w:p>
    <w:p w14:paraId="75AD8C6F" w14:textId="0731682F" w:rsidR="003A18AB" w:rsidRPr="009A689C" w:rsidRDefault="003A18AB" w:rsidP="00A4777A">
      <w:pPr>
        <w:pStyle w:val="Quote1"/>
        <w:numPr>
          <w:ilvl w:val="0"/>
          <w:numId w:val="34"/>
        </w:numPr>
        <w:ind w:left="1440" w:hanging="720"/>
      </w:pPr>
      <w:r w:rsidRPr="009A689C">
        <w:t xml:space="preserve">the information in the 9 April Announcement which contained the Orders </w:t>
      </w:r>
      <w:proofErr w:type="gramStart"/>
      <w:r w:rsidRPr="009A689C">
        <w:t>Representation</w:t>
      </w:r>
      <w:proofErr w:type="gramEnd"/>
      <w:r w:rsidRPr="009A689C">
        <w:t xml:space="preserve"> and the Revenue Representation was false and misleading in a material particular</w:t>
      </w:r>
      <w:r w:rsidR="00C9673B" w:rsidRPr="009A689C">
        <w:t xml:space="preserve"> (SAFA [102]</w:t>
      </w:r>
      <w:r w:rsidRPr="009A689C">
        <w:t xml:space="preserve">; </w:t>
      </w:r>
    </w:p>
    <w:p w14:paraId="1DF16DAC" w14:textId="5E70FAFA" w:rsidR="003A18AB" w:rsidRPr="009A689C" w:rsidRDefault="003A18AB" w:rsidP="00A4777A">
      <w:pPr>
        <w:pStyle w:val="Quote1"/>
        <w:numPr>
          <w:ilvl w:val="0"/>
          <w:numId w:val="34"/>
        </w:numPr>
        <w:ind w:left="1440" w:hanging="720"/>
      </w:pPr>
      <w:r w:rsidRPr="009A689C">
        <w:t xml:space="preserve">the information in the 17 April 2020 ASX Response was false and misleading in a </w:t>
      </w:r>
      <w:proofErr w:type="gramStart"/>
      <w:r w:rsidRPr="009A689C">
        <w:t>material particular, being</w:t>
      </w:r>
      <w:proofErr w:type="gramEnd"/>
      <w:r w:rsidRPr="009A689C">
        <w:t xml:space="preserve"> the date on which the Term Sheet was executed</w:t>
      </w:r>
      <w:r w:rsidR="007E39AB" w:rsidRPr="009A689C">
        <w:t xml:space="preserve"> (SAFA [103])</w:t>
      </w:r>
      <w:r w:rsidRPr="009A689C">
        <w:t xml:space="preserve">; and </w:t>
      </w:r>
    </w:p>
    <w:p w14:paraId="52090FF6" w14:textId="5537AF01" w:rsidR="003A18AB" w:rsidRPr="009A689C" w:rsidRDefault="003A18AB" w:rsidP="00A4777A">
      <w:pPr>
        <w:pStyle w:val="Quote1"/>
        <w:numPr>
          <w:ilvl w:val="0"/>
          <w:numId w:val="34"/>
        </w:numPr>
        <w:spacing w:after="240"/>
        <w:ind w:left="1440" w:hanging="720"/>
      </w:pPr>
      <w:r w:rsidRPr="009A689C">
        <w:t xml:space="preserve">the information in the 20 April 2020 ASX Response was false and misleading in a </w:t>
      </w:r>
      <w:proofErr w:type="gramStart"/>
      <w:r w:rsidRPr="009A689C">
        <w:t>material particular, being</w:t>
      </w:r>
      <w:proofErr w:type="gramEnd"/>
      <w:r w:rsidRPr="009A689C">
        <w:t xml:space="preserve"> the date on which the Term Sheet was executed</w:t>
      </w:r>
      <w:r w:rsidR="007E39AB" w:rsidRPr="009A689C">
        <w:t xml:space="preserve"> (SAFA [104]</w:t>
      </w:r>
      <w:r w:rsidRPr="009A689C">
        <w:t xml:space="preserve">. </w:t>
      </w:r>
    </w:p>
    <w:p w14:paraId="40B63E36" w14:textId="4841A978" w:rsidR="003A18AB" w:rsidRPr="009A689C" w:rsidRDefault="003A18AB" w:rsidP="000D6D80">
      <w:pPr>
        <w:pStyle w:val="ParaNumbering"/>
      </w:pPr>
      <w:r w:rsidRPr="009A689C">
        <w:t xml:space="preserve">He </w:t>
      </w:r>
      <w:r w:rsidRPr="009A689C">
        <w:rPr>
          <w:b/>
          <w:bCs/>
        </w:rPr>
        <w:t>admits</w:t>
      </w:r>
      <w:r w:rsidRPr="009A689C">
        <w:t xml:space="preserve"> further that each of the contraventions of ss 1309(2) and (12) referred to above </w:t>
      </w:r>
      <w:r w:rsidR="00B77705" w:rsidRPr="009A689C">
        <w:t xml:space="preserve">were </w:t>
      </w:r>
      <w:r w:rsidRPr="009A689C">
        <w:t>serious</w:t>
      </w:r>
      <w:r w:rsidR="00215100" w:rsidRPr="009A689C">
        <w:t xml:space="preserve">: SAFA </w:t>
      </w:r>
      <w:r w:rsidR="00BE3F86" w:rsidRPr="009A689C">
        <w:t>[108].</w:t>
      </w:r>
    </w:p>
    <w:p w14:paraId="1E20FF53" w14:textId="6D02CF66" w:rsidR="00677C8B" w:rsidRPr="009A689C" w:rsidRDefault="00677C8B" w:rsidP="00F93A9E">
      <w:pPr>
        <w:pStyle w:val="Heading3"/>
      </w:pPr>
      <w:r w:rsidRPr="009A689C">
        <w:lastRenderedPageBreak/>
        <w:t>The two matters</w:t>
      </w:r>
      <w:r w:rsidR="0013677F" w:rsidRPr="009A689C">
        <w:t xml:space="preserve"> </w:t>
      </w:r>
      <w:r w:rsidR="00F93A9E" w:rsidRPr="009A689C">
        <w:t>in contention</w:t>
      </w:r>
    </w:p>
    <w:p w14:paraId="3F0D463F" w14:textId="0FA07DF3" w:rsidR="00F93A9E" w:rsidRPr="009A689C" w:rsidRDefault="00C40332" w:rsidP="000D6D80">
      <w:pPr>
        <w:pStyle w:val="ParaNumbering"/>
      </w:pPr>
      <w:r w:rsidRPr="009A689C">
        <w:t>Two matters</w:t>
      </w:r>
      <w:r w:rsidR="00865BCA" w:rsidRPr="009A689C">
        <w:t xml:space="preserve"> remain in dispute as between ASIC and Dr </w:t>
      </w:r>
      <w:proofErr w:type="spellStart"/>
      <w:r w:rsidR="00865BCA" w:rsidRPr="009A689C">
        <w:t>Marnickavasagar</w:t>
      </w:r>
      <w:proofErr w:type="spellEnd"/>
      <w:r w:rsidR="00865BCA" w:rsidRPr="009A689C">
        <w:t xml:space="preserve"> that bear on the </w:t>
      </w:r>
      <w:r w:rsidR="00023263" w:rsidRPr="009A689C">
        <w:t xml:space="preserve">extent of </w:t>
      </w:r>
      <w:r w:rsidR="00B77705" w:rsidRPr="009A689C">
        <w:t xml:space="preserve">Dr </w:t>
      </w:r>
      <w:proofErr w:type="spellStart"/>
      <w:r w:rsidR="00B77705" w:rsidRPr="009A689C">
        <w:t>Marnickavasagar’s</w:t>
      </w:r>
      <w:proofErr w:type="spellEnd"/>
      <w:r w:rsidR="00B77705" w:rsidRPr="009A689C">
        <w:t xml:space="preserve"> </w:t>
      </w:r>
      <w:r w:rsidR="00023263" w:rsidRPr="009A689C">
        <w:t>liability</w:t>
      </w:r>
      <w:r w:rsidR="005D56D8" w:rsidRPr="009A689C">
        <w:t>. The first</w:t>
      </w:r>
      <w:r w:rsidR="005D56D8" w:rsidRPr="009A689C">
        <w:rPr>
          <w:i/>
          <w:iCs/>
        </w:rPr>
        <w:t xml:space="preserve"> </w:t>
      </w:r>
      <w:r w:rsidR="00DB4990" w:rsidRPr="009A689C">
        <w:t xml:space="preserve">is the extent to which Dr </w:t>
      </w:r>
      <w:proofErr w:type="spellStart"/>
      <w:r w:rsidR="00DB4990" w:rsidRPr="009A689C">
        <w:t>Marnickavasagar’s</w:t>
      </w:r>
      <w:proofErr w:type="spellEnd"/>
      <w:r w:rsidR="00DB4990" w:rsidRPr="009A689C">
        <w:t xml:space="preserve"> culpability is said to be mitigated by his reliance on the</w:t>
      </w:r>
      <w:r w:rsidR="00BA2C64" w:rsidRPr="009A689C">
        <w:t xml:space="preserve"> </w:t>
      </w:r>
      <w:r w:rsidR="00196B88" w:rsidRPr="009A689C">
        <w:t>D</w:t>
      </w:r>
      <w:r w:rsidR="00BA2C64" w:rsidRPr="009A689C">
        <w:t xml:space="preserve">istribution </w:t>
      </w:r>
      <w:r w:rsidR="00196B88" w:rsidRPr="009A689C">
        <w:t>A</w:t>
      </w:r>
      <w:r w:rsidR="00BA2C64" w:rsidRPr="009A689C">
        <w:t>greement</w:t>
      </w:r>
      <w:r w:rsidR="007B3EB6" w:rsidRPr="009A689C">
        <w:t xml:space="preserve">, </w:t>
      </w:r>
      <w:r w:rsidR="00BA2C64" w:rsidRPr="009A689C">
        <w:t xml:space="preserve">and the provision of the </w:t>
      </w:r>
      <w:r w:rsidR="004A384D" w:rsidRPr="009A689C">
        <w:t xml:space="preserve">Sales Projection Spreadsheet </w:t>
      </w:r>
      <w:r w:rsidR="00ED6AFC" w:rsidRPr="009A689C">
        <w:t>on 8 April 2020.</w:t>
      </w:r>
      <w:r w:rsidR="0062434D" w:rsidRPr="009A689C">
        <w:t xml:space="preserve"> The</w:t>
      </w:r>
      <w:r w:rsidR="00E66973" w:rsidRPr="009A689C">
        <w:t xml:space="preserve"> second i</w:t>
      </w:r>
      <w:r w:rsidR="0062434D" w:rsidRPr="009A689C">
        <w:t xml:space="preserve">s the extent to which he </w:t>
      </w:r>
      <w:r w:rsidR="00284DA9" w:rsidRPr="009A689C">
        <w:t xml:space="preserve">should bear any responsibility for the delay between 29 June 2020 and 9 July 2020 in </w:t>
      </w:r>
      <w:r w:rsidR="008C7787" w:rsidRPr="009A689C">
        <w:t xml:space="preserve">publishing </w:t>
      </w:r>
      <w:r w:rsidR="00284DA9" w:rsidRPr="009A689C">
        <w:t>the corrective disclosure statement</w:t>
      </w:r>
      <w:r w:rsidR="006922AE" w:rsidRPr="009A689C">
        <w:t xml:space="preserve"> and, in that regard, the extent to which he was entitled to rely </w:t>
      </w:r>
      <w:r w:rsidR="00D32469" w:rsidRPr="009A689C">
        <w:t xml:space="preserve">on </w:t>
      </w:r>
      <w:r w:rsidR="00D575C9" w:rsidRPr="009A689C">
        <w:t>other Board members.</w:t>
      </w:r>
    </w:p>
    <w:p w14:paraId="089287A1" w14:textId="19A8AB34" w:rsidR="00D575C9" w:rsidRPr="000D6D80" w:rsidRDefault="00D575C9" w:rsidP="000D6D80">
      <w:pPr>
        <w:pStyle w:val="Heading4"/>
      </w:pPr>
      <w:r w:rsidRPr="000D6D80">
        <w:t>The Distribution Agreement and Sales Projection Spreadsheet</w:t>
      </w:r>
    </w:p>
    <w:p w14:paraId="21E40903" w14:textId="72D99984" w:rsidR="0006106D" w:rsidRDefault="00CD6B3A" w:rsidP="000D6D80">
      <w:pPr>
        <w:pStyle w:val="ParaNumbering"/>
      </w:pPr>
      <w:r w:rsidRPr="009A689C">
        <w:t xml:space="preserve">As to the first matter, it is difficult to understand how it could be said that the Distribution Agreement </w:t>
      </w:r>
      <w:r w:rsidR="00247491" w:rsidRPr="009A689C">
        <w:t xml:space="preserve">assists in mitigating Dr </w:t>
      </w:r>
      <w:proofErr w:type="spellStart"/>
      <w:r w:rsidR="00247491" w:rsidRPr="009A689C">
        <w:t>Marnickavasagar’s</w:t>
      </w:r>
      <w:proofErr w:type="spellEnd"/>
      <w:r w:rsidR="00247491" w:rsidRPr="009A689C">
        <w:t xml:space="preserve"> culpability</w:t>
      </w:r>
      <w:r w:rsidR="00247491">
        <w:t xml:space="preserve"> for the following reasons. </w:t>
      </w:r>
      <w:r w:rsidR="00394313">
        <w:t xml:space="preserve">The </w:t>
      </w:r>
      <w:r w:rsidR="00F22217">
        <w:t xml:space="preserve">initial </w:t>
      </w:r>
      <w:r w:rsidR="00394313">
        <w:t xml:space="preserve">term of the </w:t>
      </w:r>
      <w:r w:rsidR="00E57DAD">
        <w:t xml:space="preserve">Distribution </w:t>
      </w:r>
      <w:r w:rsidR="00394313">
        <w:t>Agreement was three years</w:t>
      </w:r>
      <w:r w:rsidR="00E57DAD">
        <w:t>,</w:t>
      </w:r>
      <w:r w:rsidR="00394313">
        <w:t xml:space="preserve"> as provided for in </w:t>
      </w:r>
      <w:r w:rsidR="00E57DAD">
        <w:t xml:space="preserve">cl </w:t>
      </w:r>
      <w:r w:rsidR="00394313">
        <w:t>2</w:t>
      </w:r>
      <w:r w:rsidR="00E57DAD">
        <w:t>.</w:t>
      </w:r>
      <w:r w:rsidR="0006106D">
        <w:t xml:space="preserve"> </w:t>
      </w:r>
      <w:r w:rsidR="00E57DAD">
        <w:t>C</w:t>
      </w:r>
      <w:r w:rsidR="0006106D">
        <w:t>lause 7 of the Agreement provided:</w:t>
      </w:r>
    </w:p>
    <w:p w14:paraId="4F9063AF" w14:textId="4163FDF9" w:rsidR="00B8559B" w:rsidRPr="001B5E5C" w:rsidRDefault="00B8559B" w:rsidP="001B5E5C">
      <w:pPr>
        <w:pStyle w:val="Quote1"/>
        <w:rPr>
          <w:b/>
          <w:bCs/>
        </w:rPr>
      </w:pPr>
      <w:r w:rsidRPr="001B5E5C">
        <w:rPr>
          <w:b/>
          <w:bCs/>
        </w:rPr>
        <w:t>7. MINIMUM COMMITMENTS</w:t>
      </w:r>
    </w:p>
    <w:p w14:paraId="5D0B82EF" w14:textId="175DEDA6" w:rsidR="00B8559B" w:rsidRDefault="0009422D" w:rsidP="003525E8">
      <w:pPr>
        <w:pStyle w:val="Quote1"/>
        <w:spacing w:after="240"/>
      </w:pPr>
      <w:r>
        <w:t xml:space="preserve">The Distributor shall order and provide buyers for, during each of the periods set forth in </w:t>
      </w:r>
      <w:r w:rsidRPr="001B5E5C">
        <w:rPr>
          <w:b/>
          <w:bCs/>
        </w:rPr>
        <w:t>Exhibit A</w:t>
      </w:r>
      <w:r>
        <w:t xml:space="preserve">, at least the minimum quantities of each Product indicated in </w:t>
      </w:r>
      <w:r w:rsidRPr="001B5E5C">
        <w:rPr>
          <w:b/>
          <w:bCs/>
        </w:rPr>
        <w:t>Exhibit A</w:t>
      </w:r>
      <w:r>
        <w:t xml:space="preserve"> for such periods</w:t>
      </w:r>
      <w:r w:rsidR="003931FF">
        <w:t xml:space="preserve">. The Supplier, at its sole discretion, may amend </w:t>
      </w:r>
      <w:r w:rsidR="003931FF" w:rsidRPr="001B5E5C">
        <w:rPr>
          <w:b/>
          <w:bCs/>
        </w:rPr>
        <w:t>Exhibit A</w:t>
      </w:r>
      <w:r w:rsidR="003931FF">
        <w:t xml:space="preserve"> on 30 days’ prior written </w:t>
      </w:r>
      <w:r w:rsidR="001B5E5C">
        <w:t>notice to the Distributor.</w:t>
      </w:r>
      <w:r w:rsidR="00B8559B">
        <w:tab/>
      </w:r>
    </w:p>
    <w:p w14:paraId="752CF33B" w14:textId="5428F5F1" w:rsidR="00426A43" w:rsidRDefault="00426A43" w:rsidP="002D33BB">
      <w:pPr>
        <w:pStyle w:val="Quote1"/>
        <w:spacing w:after="240"/>
      </w:pPr>
      <w:r>
        <w:t>(Emphasis in original.)</w:t>
      </w:r>
    </w:p>
    <w:p w14:paraId="09C861BD" w14:textId="20E35B36" w:rsidR="00DC700E" w:rsidRDefault="00EB015E" w:rsidP="000D6D80">
      <w:pPr>
        <w:pStyle w:val="ParaNumbering"/>
      </w:pPr>
      <w:r>
        <w:t>Exhibit A did no</w:t>
      </w:r>
      <w:r w:rsidR="00E0750F">
        <w:t xml:space="preserve">t provide for any “periods” as described in </w:t>
      </w:r>
      <w:r w:rsidR="00CD6BA2">
        <w:t xml:space="preserve">cl </w:t>
      </w:r>
      <w:r w:rsidR="00E0750F">
        <w:t xml:space="preserve">7. Rather, </w:t>
      </w:r>
      <w:r w:rsidR="00DC700E">
        <w:t>it simply recorded that:</w:t>
      </w:r>
    </w:p>
    <w:p w14:paraId="34EBADB5" w14:textId="626BFFF9" w:rsidR="00DC700E" w:rsidRPr="002D33BB" w:rsidRDefault="00DC700E" w:rsidP="001D2A2C">
      <w:pPr>
        <w:pStyle w:val="Quote1"/>
        <w:rPr>
          <w:szCs w:val="22"/>
        </w:rPr>
      </w:pPr>
      <w:r w:rsidRPr="008220F5">
        <w:rPr>
          <w:szCs w:val="22"/>
        </w:rPr>
        <w:t xml:space="preserve">The following products are the subject of this distribution agreement. Any products </w:t>
      </w:r>
      <w:r w:rsidRPr="002D33BB">
        <w:rPr>
          <w:szCs w:val="22"/>
        </w:rPr>
        <w:t>not specifically listed are excluded from this agreement: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2144"/>
        <w:gridCol w:w="3814"/>
      </w:tblGrid>
      <w:tr w:rsidR="001D2A2C" w:rsidRPr="001D2A2C" w14:paraId="5B8A776B" w14:textId="77777777" w:rsidTr="00D06775">
        <w:tc>
          <w:tcPr>
            <w:tcW w:w="2304" w:type="dxa"/>
          </w:tcPr>
          <w:p w14:paraId="4942CC5E" w14:textId="0BA610E8" w:rsidR="00DC700E" w:rsidRPr="001D2A2C" w:rsidRDefault="00DC700E" w:rsidP="001D2A2C">
            <w:pPr>
              <w:pStyle w:val="Quote1"/>
              <w:ind w:left="0" w:right="364"/>
              <w:rPr>
                <w:sz w:val="16"/>
                <w:szCs w:val="16"/>
              </w:rPr>
            </w:pPr>
            <w:r w:rsidRPr="001D2A2C">
              <w:rPr>
                <w:sz w:val="16"/>
                <w:szCs w:val="16"/>
              </w:rPr>
              <w:t>PRODUCT</w:t>
            </w:r>
            <w:r w:rsidR="001D2A2C">
              <w:rPr>
                <w:sz w:val="16"/>
                <w:szCs w:val="16"/>
              </w:rPr>
              <w:t xml:space="preserve"> </w:t>
            </w:r>
            <w:r w:rsidRPr="001D2A2C">
              <w:rPr>
                <w:sz w:val="16"/>
                <w:szCs w:val="16"/>
              </w:rPr>
              <w:t>NAME</w:t>
            </w:r>
          </w:p>
        </w:tc>
        <w:tc>
          <w:tcPr>
            <w:tcW w:w="0" w:type="auto"/>
          </w:tcPr>
          <w:p w14:paraId="22A6FE5A" w14:textId="05A9E27A" w:rsidR="00DC700E" w:rsidRPr="001D2A2C" w:rsidRDefault="00DC700E" w:rsidP="001D2A2C">
            <w:pPr>
              <w:pStyle w:val="Quote1"/>
              <w:ind w:hanging="678"/>
              <w:jc w:val="left"/>
              <w:rPr>
                <w:sz w:val="16"/>
                <w:szCs w:val="16"/>
              </w:rPr>
            </w:pPr>
            <w:r w:rsidRPr="001D2A2C">
              <w:rPr>
                <w:sz w:val="16"/>
                <w:szCs w:val="16"/>
              </w:rPr>
              <w:t xml:space="preserve">INITIAL PRICE </w:t>
            </w:r>
          </w:p>
        </w:tc>
        <w:tc>
          <w:tcPr>
            <w:tcW w:w="3814" w:type="dxa"/>
          </w:tcPr>
          <w:p w14:paraId="7B78921E" w14:textId="3BBF58F2" w:rsidR="00DC700E" w:rsidRPr="001D2A2C" w:rsidRDefault="00DC700E" w:rsidP="001D2A2C">
            <w:pPr>
              <w:pStyle w:val="Quote1"/>
              <w:ind w:left="78" w:hanging="26"/>
              <w:jc w:val="left"/>
              <w:rPr>
                <w:sz w:val="16"/>
                <w:szCs w:val="16"/>
              </w:rPr>
            </w:pPr>
            <w:r w:rsidRPr="001D2A2C">
              <w:rPr>
                <w:sz w:val="16"/>
                <w:szCs w:val="16"/>
              </w:rPr>
              <w:t>MINIMUM</w:t>
            </w:r>
            <w:r w:rsidR="001D2A2C">
              <w:rPr>
                <w:sz w:val="16"/>
                <w:szCs w:val="16"/>
              </w:rPr>
              <w:t xml:space="preserve"> </w:t>
            </w:r>
            <w:r w:rsidRPr="001D2A2C">
              <w:rPr>
                <w:sz w:val="16"/>
                <w:szCs w:val="16"/>
              </w:rPr>
              <w:t>QUANTITIES</w:t>
            </w:r>
            <w:r w:rsidR="001D2A2C" w:rsidRPr="001D2A2C">
              <w:rPr>
                <w:sz w:val="16"/>
                <w:szCs w:val="16"/>
              </w:rPr>
              <w:t>/TIME</w:t>
            </w:r>
            <w:r w:rsidR="001D2A2C">
              <w:rPr>
                <w:sz w:val="16"/>
                <w:szCs w:val="16"/>
              </w:rPr>
              <w:t xml:space="preserve"> </w:t>
            </w:r>
            <w:r w:rsidR="001D2A2C" w:rsidRPr="001D2A2C">
              <w:rPr>
                <w:sz w:val="16"/>
                <w:szCs w:val="16"/>
              </w:rPr>
              <w:t>PERIOD</w:t>
            </w:r>
          </w:p>
        </w:tc>
      </w:tr>
      <w:tr w:rsidR="001D2A2C" w:rsidRPr="001D2A2C" w14:paraId="20DD780C" w14:textId="77777777" w:rsidTr="00D06775">
        <w:tc>
          <w:tcPr>
            <w:tcW w:w="2304" w:type="dxa"/>
          </w:tcPr>
          <w:p w14:paraId="6A141AB6" w14:textId="1322A2DD" w:rsidR="00DC700E" w:rsidRPr="00FD1489" w:rsidRDefault="001D2A2C" w:rsidP="00FD1489">
            <w:pPr>
              <w:pStyle w:val="Quote1"/>
              <w:ind w:left="0" w:right="80" w:firstLine="19"/>
              <w:jc w:val="left"/>
              <w:rPr>
                <w:sz w:val="16"/>
                <w:szCs w:val="16"/>
              </w:rPr>
            </w:pPr>
            <w:r w:rsidRPr="00FD1489">
              <w:rPr>
                <w:sz w:val="16"/>
                <w:szCs w:val="16"/>
              </w:rPr>
              <w:t xml:space="preserve">1. </w:t>
            </w:r>
            <w:proofErr w:type="spellStart"/>
            <w:r w:rsidR="00FD1489" w:rsidRPr="00FD1489">
              <w:rPr>
                <w:sz w:val="16"/>
                <w:szCs w:val="16"/>
              </w:rPr>
              <w:t>Natshield</w:t>
            </w:r>
            <w:proofErr w:type="spellEnd"/>
            <w:r w:rsidR="00FD1489">
              <w:rPr>
                <w:sz w:val="16"/>
                <w:szCs w:val="16"/>
              </w:rPr>
              <w:t xml:space="preserve"> </w:t>
            </w:r>
            <w:r w:rsidR="00FD1489" w:rsidRPr="00FD1489">
              <w:rPr>
                <w:sz w:val="16"/>
                <w:szCs w:val="16"/>
              </w:rPr>
              <w:t>(60ml)</w:t>
            </w:r>
          </w:p>
        </w:tc>
        <w:tc>
          <w:tcPr>
            <w:tcW w:w="0" w:type="auto"/>
          </w:tcPr>
          <w:p w14:paraId="2051A5F7" w14:textId="4D2EDCA4" w:rsidR="00DC700E" w:rsidRPr="00FD1489" w:rsidRDefault="00FD1489" w:rsidP="00FD1489">
            <w:pPr>
              <w:pStyle w:val="Quote1"/>
              <w:ind w:left="124" w:right="104"/>
              <w:rPr>
                <w:sz w:val="16"/>
                <w:szCs w:val="16"/>
              </w:rPr>
            </w:pPr>
            <w:r w:rsidRPr="00FD1489">
              <w:rPr>
                <w:sz w:val="16"/>
                <w:szCs w:val="16"/>
              </w:rPr>
              <w:t>$5.</w:t>
            </w:r>
            <w:r w:rsidR="00CB78DB">
              <w:rPr>
                <w:sz w:val="16"/>
                <w:szCs w:val="16"/>
              </w:rPr>
              <w:t>9</w:t>
            </w:r>
            <w:r w:rsidR="00CB78DB" w:rsidRPr="00FD1489">
              <w:rPr>
                <w:sz w:val="16"/>
                <w:szCs w:val="16"/>
              </w:rPr>
              <w:t>9</w:t>
            </w:r>
          </w:p>
        </w:tc>
        <w:tc>
          <w:tcPr>
            <w:tcW w:w="0" w:type="auto"/>
          </w:tcPr>
          <w:p w14:paraId="7758B325" w14:textId="551D1A3D" w:rsidR="00DC700E" w:rsidRPr="00FD1489" w:rsidRDefault="00FD1489" w:rsidP="00FD1489">
            <w:pPr>
              <w:pStyle w:val="Quote1"/>
              <w:ind w:left="0" w:firstLine="106"/>
              <w:rPr>
                <w:sz w:val="16"/>
                <w:szCs w:val="16"/>
              </w:rPr>
            </w:pPr>
            <w:r w:rsidRPr="00FD1489">
              <w:rPr>
                <w:sz w:val="16"/>
                <w:szCs w:val="16"/>
              </w:rPr>
              <w:t>200,000</w:t>
            </w:r>
          </w:p>
        </w:tc>
      </w:tr>
      <w:tr w:rsidR="001D2A2C" w:rsidRPr="001D2A2C" w14:paraId="0954823B" w14:textId="77777777" w:rsidTr="00D06775">
        <w:tc>
          <w:tcPr>
            <w:tcW w:w="2304" w:type="dxa"/>
          </w:tcPr>
          <w:p w14:paraId="6B532386" w14:textId="7466902A" w:rsidR="00DC700E" w:rsidRPr="001D2A2C" w:rsidRDefault="00FD1489" w:rsidP="00FD1489">
            <w:pPr>
              <w:pStyle w:val="Quote1"/>
              <w:ind w:hanging="737"/>
              <w:rPr>
                <w:sz w:val="20"/>
              </w:rPr>
            </w:pPr>
            <w:r w:rsidRPr="00FD1489">
              <w:rPr>
                <w:sz w:val="16"/>
                <w:szCs w:val="16"/>
              </w:rPr>
              <w:t xml:space="preserve">1. </w:t>
            </w:r>
            <w:proofErr w:type="spellStart"/>
            <w:r w:rsidRPr="00FD1489">
              <w:rPr>
                <w:sz w:val="16"/>
                <w:szCs w:val="16"/>
              </w:rPr>
              <w:t>Natshield</w:t>
            </w:r>
            <w:proofErr w:type="spellEnd"/>
            <w:r>
              <w:rPr>
                <w:sz w:val="16"/>
                <w:szCs w:val="16"/>
              </w:rPr>
              <w:t xml:space="preserve"> </w:t>
            </w:r>
            <w:r w:rsidRPr="00FD1489">
              <w:rPr>
                <w:sz w:val="16"/>
                <w:szCs w:val="16"/>
              </w:rPr>
              <w:t>(</w:t>
            </w:r>
            <w:r>
              <w:rPr>
                <w:sz w:val="16"/>
                <w:szCs w:val="16"/>
              </w:rPr>
              <w:t>3</w:t>
            </w:r>
            <w:r w:rsidRPr="00FD1489">
              <w:rPr>
                <w:sz w:val="16"/>
                <w:szCs w:val="16"/>
              </w:rPr>
              <w:t>0ml)</w:t>
            </w:r>
          </w:p>
        </w:tc>
        <w:tc>
          <w:tcPr>
            <w:tcW w:w="0" w:type="auto"/>
          </w:tcPr>
          <w:p w14:paraId="6F86AA3D" w14:textId="32384BE0" w:rsidR="00DC700E" w:rsidRPr="00FD1489" w:rsidRDefault="00FD1489" w:rsidP="00FD1489">
            <w:pPr>
              <w:pStyle w:val="Quote1"/>
              <w:ind w:left="124"/>
              <w:rPr>
                <w:sz w:val="16"/>
                <w:szCs w:val="16"/>
              </w:rPr>
            </w:pPr>
            <w:r w:rsidRPr="00FD1489">
              <w:rPr>
                <w:sz w:val="16"/>
                <w:szCs w:val="16"/>
              </w:rPr>
              <w:t>$4.69</w:t>
            </w:r>
          </w:p>
        </w:tc>
        <w:tc>
          <w:tcPr>
            <w:tcW w:w="0" w:type="auto"/>
          </w:tcPr>
          <w:p w14:paraId="1C3DC8FE" w14:textId="1C2EBEFB" w:rsidR="00DC700E" w:rsidRPr="00FD1489" w:rsidRDefault="00FD1489" w:rsidP="00FD1489">
            <w:pPr>
              <w:pStyle w:val="Quote1"/>
              <w:ind w:left="106"/>
              <w:rPr>
                <w:sz w:val="16"/>
                <w:szCs w:val="16"/>
              </w:rPr>
            </w:pPr>
            <w:r w:rsidRPr="00FD1489">
              <w:rPr>
                <w:sz w:val="16"/>
                <w:szCs w:val="16"/>
              </w:rPr>
              <w:t>200,000</w:t>
            </w:r>
          </w:p>
        </w:tc>
      </w:tr>
    </w:tbl>
    <w:p w14:paraId="08C8013B" w14:textId="1F56A7C4" w:rsidR="00247491" w:rsidRDefault="00D06775" w:rsidP="000D6D80">
      <w:pPr>
        <w:pStyle w:val="ParaNumbering"/>
        <w:spacing w:before="240" w:after="120"/>
        <w:ind w:right="96"/>
      </w:pPr>
      <w:r>
        <w:t>It was apparent on the face of the Distribution Agreement that there was no commitment on part</w:t>
      </w:r>
      <w:r w:rsidR="0006106D" w:rsidDel="007333DF">
        <w:t xml:space="preserve"> </w:t>
      </w:r>
      <w:r w:rsidR="007333DF">
        <w:t xml:space="preserve">of </w:t>
      </w:r>
      <w:r w:rsidR="0006106D">
        <w:t xml:space="preserve">Health Therapies </w:t>
      </w:r>
      <w:r w:rsidR="0033249B">
        <w:t>to</w:t>
      </w:r>
      <w:r w:rsidR="00B838E0">
        <w:t xml:space="preserve"> </w:t>
      </w:r>
      <w:r w:rsidR="00274D0D">
        <w:t xml:space="preserve">a </w:t>
      </w:r>
      <w:r w:rsidR="007333DF">
        <w:t>“</w:t>
      </w:r>
      <w:r w:rsidR="00274D0D" w:rsidRPr="002D33BB">
        <w:t>minimum</w:t>
      </w:r>
      <w:r w:rsidR="007333DF">
        <w:t>”</w:t>
      </w:r>
      <w:r w:rsidR="00274D0D">
        <w:t xml:space="preserve"> order of </w:t>
      </w:r>
      <w:r w:rsidR="007333DF">
        <w:t>“</w:t>
      </w:r>
      <w:r w:rsidR="00274D0D" w:rsidRPr="002D33BB">
        <w:t>at least A$3</w:t>
      </w:r>
      <w:r w:rsidR="00B556D9" w:rsidRPr="005E17ED">
        <w:t>.0</w:t>
      </w:r>
      <w:r w:rsidR="00274D0D" w:rsidRPr="002D33BB">
        <w:t xml:space="preserve"> million per year</w:t>
      </w:r>
      <w:r w:rsidR="007333DF">
        <w:t>”</w:t>
      </w:r>
      <w:r w:rsidR="00AC4F1D">
        <w:t xml:space="preserve"> as claimed in the </w:t>
      </w:r>
      <w:r w:rsidR="00D873BC">
        <w:t>1</w:t>
      </w:r>
      <w:r w:rsidR="00AC4F1D">
        <w:t xml:space="preserve">9 </w:t>
      </w:r>
      <w:r w:rsidR="00D873BC">
        <w:t>March</w:t>
      </w:r>
      <w:r w:rsidR="00AC4F1D">
        <w:t xml:space="preserve"> 2020 Announcement. Still less did the Distribution </w:t>
      </w:r>
      <w:r w:rsidR="00E1135A">
        <w:t xml:space="preserve">Agreement </w:t>
      </w:r>
      <w:r w:rsidR="00AC4F1D">
        <w:t xml:space="preserve">provide grounds for the </w:t>
      </w:r>
      <w:r w:rsidR="00BF6D7E">
        <w:t xml:space="preserve">statement that “Health Therapies has placed </w:t>
      </w:r>
      <w:r w:rsidR="00BF6D7E" w:rsidRPr="002D33BB">
        <w:t>additional orders</w:t>
      </w:r>
      <w:r w:rsidR="00BF6D7E" w:rsidRPr="005E17ED">
        <w:t xml:space="preserve"> </w:t>
      </w:r>
      <w:r w:rsidR="00F44F23">
        <w:t xml:space="preserve">for 415,000 bottles </w:t>
      </w:r>
      <w:r w:rsidR="00F44F23" w:rsidRPr="002D33BB">
        <w:t>totalling A$3.8 million for delivery between April and June</w:t>
      </w:r>
      <w:r w:rsidR="00F44F23" w:rsidRPr="005E17ED">
        <w:t xml:space="preserve"> 2020</w:t>
      </w:r>
      <w:r w:rsidR="00F44F23">
        <w:t>”</w:t>
      </w:r>
      <w:r w:rsidR="005E17ED">
        <w:t>,</w:t>
      </w:r>
      <w:r w:rsidR="00DB482D">
        <w:t xml:space="preserve"> as claimed in the 9 April 2020 Announcement. </w:t>
      </w:r>
    </w:p>
    <w:p w14:paraId="45939E03" w14:textId="639F85B5" w:rsidR="00352D99" w:rsidRDefault="001F27C1" w:rsidP="000D6D80">
      <w:pPr>
        <w:pStyle w:val="ParaNumbering"/>
        <w:ind w:right="96"/>
      </w:pPr>
      <w:r>
        <w:lastRenderedPageBreak/>
        <w:t xml:space="preserve">Similarly, the </w:t>
      </w:r>
      <w:r w:rsidR="004A384D">
        <w:t xml:space="preserve">Sales Projection Spreadsheet </w:t>
      </w:r>
      <w:r w:rsidR="00523515">
        <w:t xml:space="preserve">could not be said to have provided any reasonable basis </w:t>
      </w:r>
      <w:r w:rsidR="00953C5A">
        <w:t xml:space="preserve">for what Dr </w:t>
      </w:r>
      <w:proofErr w:type="spellStart"/>
      <w:r w:rsidR="00953C5A">
        <w:t>Marnickavasagar</w:t>
      </w:r>
      <w:proofErr w:type="spellEnd"/>
      <w:r w:rsidR="00953C5A">
        <w:t xml:space="preserve"> approved for announcement on 9 April 2020.</w:t>
      </w:r>
      <w:r w:rsidR="00953618">
        <w:t xml:space="preserve"> </w:t>
      </w:r>
      <w:r w:rsidR="004A384D">
        <w:t>The Sales Projection Spreadsheet comprised t</w:t>
      </w:r>
      <w:r w:rsidR="007A23E6">
        <w:t xml:space="preserve">hree </w:t>
      </w:r>
      <w:r w:rsidR="004A384D">
        <w:t>separate tables</w:t>
      </w:r>
      <w:r w:rsidR="00F72336">
        <w:t xml:space="preserve"> </w:t>
      </w:r>
      <w:r w:rsidR="00876E46">
        <w:t xml:space="preserve">attached to the email sent by Mr Maison on 8 April 2020. </w:t>
      </w:r>
    </w:p>
    <w:p w14:paraId="096A14EB" w14:textId="2011DA43" w:rsidR="00B01659" w:rsidRDefault="00352D99" w:rsidP="000D6D80">
      <w:pPr>
        <w:pStyle w:val="ParaNumbering"/>
        <w:ind w:right="96"/>
      </w:pPr>
      <w:r>
        <w:t>The first had a notation on the far left</w:t>
      </w:r>
      <w:r w:rsidR="00B55F7D">
        <w:t>,</w:t>
      </w:r>
      <w:r>
        <w:t xml:space="preserve"> “PRE-LAB REPORT”</w:t>
      </w:r>
      <w:r w:rsidR="00090D3B">
        <w:t>,</w:t>
      </w:r>
      <w:r>
        <w:t xml:space="preserve"> which signalled that the projections </w:t>
      </w:r>
      <w:r w:rsidR="00EE6EF8">
        <w:t xml:space="preserve">were </w:t>
      </w:r>
      <w:r w:rsidR="00821EB1">
        <w:t xml:space="preserve">generated </w:t>
      </w:r>
      <w:r w:rsidR="00EE6EF8">
        <w:t xml:space="preserve">before </w:t>
      </w:r>
      <w:r w:rsidR="00B01659">
        <w:t xml:space="preserve">the results of the efficacy </w:t>
      </w:r>
      <w:r w:rsidR="00821EB1">
        <w:t xml:space="preserve">testing </w:t>
      </w:r>
      <w:r w:rsidR="00B01659">
        <w:t xml:space="preserve">of the product. </w:t>
      </w:r>
      <w:r w:rsidR="00953618">
        <w:t>Th</w:t>
      </w:r>
      <w:r w:rsidR="00B01659">
        <w:t>at</w:t>
      </w:r>
      <w:r w:rsidR="00953618">
        <w:t xml:space="preserve"> </w:t>
      </w:r>
      <w:r w:rsidR="00F72336">
        <w:t xml:space="preserve">table </w:t>
      </w:r>
      <w:r w:rsidR="0003236A">
        <w:t xml:space="preserve">purported to </w:t>
      </w:r>
      <w:r w:rsidR="008E7561">
        <w:t>sugge</w:t>
      </w:r>
      <w:bookmarkStart w:id="55" w:name="20._HCL.0019.0001.0081"/>
      <w:bookmarkEnd w:id="55"/>
      <w:r w:rsidR="00F72336">
        <w:t>st</w:t>
      </w:r>
      <w:r w:rsidR="008E7561">
        <w:t xml:space="preserve"> projected</w:t>
      </w:r>
      <w:r w:rsidR="00F1763A">
        <w:t xml:space="preserve"> </w:t>
      </w:r>
      <w:r w:rsidR="00893ED3">
        <w:t xml:space="preserve">700,000 </w:t>
      </w:r>
      <w:r w:rsidR="00F1763A">
        <w:t>sales</w:t>
      </w:r>
      <w:r w:rsidR="005118F3">
        <w:t xml:space="preserve"> of 60ml units</w:t>
      </w:r>
      <w:r w:rsidR="00821EB1">
        <w:t>,</w:t>
      </w:r>
      <w:r w:rsidR="006B6D7E">
        <w:t xml:space="preserve"> </w:t>
      </w:r>
      <w:r w:rsidR="009E6103">
        <w:t xml:space="preserve">which </w:t>
      </w:r>
      <w:r w:rsidR="006B6D7E">
        <w:t>comprised</w:t>
      </w:r>
      <w:r w:rsidR="00F1763A">
        <w:t xml:space="preserve"> of</w:t>
      </w:r>
      <w:r w:rsidR="00AE5B9A">
        <w:t>:</w:t>
      </w:r>
      <w:r w:rsidR="00F1763A">
        <w:t xml:space="preserve"> 200,000 in each of May and June</w:t>
      </w:r>
      <w:r w:rsidR="00AE5B9A">
        <w:t xml:space="preserve"> 2020</w:t>
      </w:r>
      <w:r w:rsidR="00763AB2">
        <w:t>, split equally between “</w:t>
      </w:r>
      <w:proofErr w:type="spellStart"/>
      <w:r w:rsidR="00763AB2">
        <w:t>Avorit</w:t>
      </w:r>
      <w:proofErr w:type="spellEnd"/>
      <w:r w:rsidR="00763AB2">
        <w:t>” and “NJ Governor – Phil Turner”</w:t>
      </w:r>
      <w:r w:rsidR="00AE5B9A">
        <w:t>;</w:t>
      </w:r>
      <w:r w:rsidR="00893ED3">
        <w:t xml:space="preserve"> </w:t>
      </w:r>
      <w:r w:rsidR="00763AB2">
        <w:t>300,00</w:t>
      </w:r>
      <w:r w:rsidR="006B6D7E">
        <w:t>0 in July</w:t>
      </w:r>
      <w:r w:rsidR="009134FA">
        <w:t xml:space="preserve"> 2020</w:t>
      </w:r>
      <w:r w:rsidR="006B6D7E" w:rsidDel="009134FA">
        <w:t>,</w:t>
      </w:r>
      <w:r w:rsidR="006B6D7E">
        <w:t xml:space="preserve"> 100,000 </w:t>
      </w:r>
      <w:r w:rsidR="009E6103">
        <w:t xml:space="preserve">in </w:t>
      </w:r>
      <w:r w:rsidR="006B6D7E">
        <w:t>projected sales to “</w:t>
      </w:r>
      <w:proofErr w:type="spellStart"/>
      <w:r w:rsidR="006B6D7E">
        <w:t>Avorit</w:t>
      </w:r>
      <w:proofErr w:type="spellEnd"/>
      <w:r w:rsidR="006B6D7E">
        <w:t>” and the balance</w:t>
      </w:r>
      <w:r w:rsidR="0028562D">
        <w:t xml:space="preserve"> of 200,000</w:t>
      </w:r>
      <w:r w:rsidR="006B6D7E">
        <w:t xml:space="preserve"> to “NJ Governor – Phil Turner”. </w:t>
      </w:r>
    </w:p>
    <w:p w14:paraId="2F6347A4" w14:textId="21181694" w:rsidR="00BA6E53" w:rsidRDefault="00BA6E53" w:rsidP="000D6D80">
      <w:pPr>
        <w:pStyle w:val="ParaNumbering"/>
        <w:ind w:right="96"/>
      </w:pPr>
      <w:r>
        <w:t xml:space="preserve">The second </w:t>
      </w:r>
      <w:r w:rsidR="00F72336">
        <w:t xml:space="preserve">table </w:t>
      </w:r>
      <w:r>
        <w:t xml:space="preserve">had a similar </w:t>
      </w:r>
      <w:proofErr w:type="gramStart"/>
      <w:r>
        <w:t>notation</w:t>
      </w:r>
      <w:r w:rsidR="009E6103">
        <w:t>,</w:t>
      </w:r>
      <w:r>
        <w:t xml:space="preserve"> but</w:t>
      </w:r>
      <w:proofErr w:type="gramEnd"/>
      <w:r>
        <w:t xml:space="preserve"> was premised on projections “</w:t>
      </w:r>
      <w:r w:rsidR="007C3751">
        <w:t>POST – LAB REPORT</w:t>
      </w:r>
      <w:r>
        <w:t xml:space="preserve">”. It </w:t>
      </w:r>
      <w:r w:rsidR="00FD05DC">
        <w:t xml:space="preserve">projected 906,000 </w:t>
      </w:r>
      <w:r w:rsidR="00F06F61">
        <w:t xml:space="preserve">sales of </w:t>
      </w:r>
      <w:r w:rsidR="00FD05DC">
        <w:t xml:space="preserve">60ml units between April and July </w:t>
      </w:r>
      <w:r w:rsidR="00553197">
        <w:t xml:space="preserve">2020 </w:t>
      </w:r>
      <w:r w:rsidR="006D542F">
        <w:t>to five different purchasers.</w:t>
      </w:r>
    </w:p>
    <w:p w14:paraId="06D2B113" w14:textId="68E853EE" w:rsidR="006D542F" w:rsidRDefault="006D542F" w:rsidP="000D6D80">
      <w:pPr>
        <w:pStyle w:val="ParaNumbering"/>
        <w:ind w:right="96"/>
      </w:pPr>
      <w:r>
        <w:t xml:space="preserve">The third </w:t>
      </w:r>
      <w:r w:rsidR="00F72336">
        <w:t xml:space="preserve">table </w:t>
      </w:r>
      <w:r>
        <w:t>was premised on projections “</w:t>
      </w:r>
      <w:r w:rsidR="00F06F61">
        <w:t>POST – TRADEMARK REGISTRATION</w:t>
      </w:r>
      <w:r>
        <w:t xml:space="preserve">” and </w:t>
      </w:r>
      <w:r w:rsidR="0009404E">
        <w:t>projected 1</w:t>
      </w:r>
      <w:r w:rsidR="00553197">
        <w:t>6</w:t>
      </w:r>
      <w:r w:rsidR="0009404E">
        <w:t xml:space="preserve">0,000 </w:t>
      </w:r>
      <w:r w:rsidR="00F06F61">
        <w:t xml:space="preserve">sales of </w:t>
      </w:r>
      <w:r w:rsidR="0009404E">
        <w:t>60ml units between April and July</w:t>
      </w:r>
      <w:r w:rsidR="00553197">
        <w:t xml:space="preserve"> 2020</w:t>
      </w:r>
      <w:r w:rsidR="00F06F61">
        <w:t>,</w:t>
      </w:r>
      <w:r w:rsidR="0009404E">
        <w:t xml:space="preserve"> to one distributor.</w:t>
      </w:r>
    </w:p>
    <w:p w14:paraId="2D73984D" w14:textId="06659B6A" w:rsidR="00D94F29" w:rsidRDefault="006B6D7E" w:rsidP="000D6D80">
      <w:pPr>
        <w:pStyle w:val="ParaNumbering"/>
        <w:ind w:right="96"/>
      </w:pPr>
      <w:r>
        <w:t xml:space="preserve">Dr </w:t>
      </w:r>
      <w:proofErr w:type="spellStart"/>
      <w:r>
        <w:t>Marnickavasagar</w:t>
      </w:r>
      <w:proofErr w:type="spellEnd"/>
      <w:r>
        <w:t xml:space="preserve"> submitted </w:t>
      </w:r>
      <w:r w:rsidR="00DF3F25">
        <w:t>t</w:t>
      </w:r>
      <w:r w:rsidR="00DF3F25" w:rsidRPr="00035DD1">
        <w:t>hat by referring to only 4</w:t>
      </w:r>
      <w:r w:rsidR="00594D96" w:rsidRPr="00035DD1">
        <w:t>00</w:t>
      </w:r>
      <w:r w:rsidR="00DF3F25" w:rsidRPr="00035DD1">
        <w:t>,000</w:t>
      </w:r>
      <w:r w:rsidR="00DF3F25">
        <w:t xml:space="preserve"> units in the 9 April </w:t>
      </w:r>
      <w:r w:rsidR="00CD6BA2">
        <w:t xml:space="preserve">2020 </w:t>
      </w:r>
      <w:r w:rsidR="00DF3F25">
        <w:t>Announcement, he was taking a conservative view</w:t>
      </w:r>
      <w:r w:rsidR="00881C6E">
        <w:t xml:space="preserve"> of these forecasts.</w:t>
      </w:r>
      <w:r w:rsidR="00CE6A55">
        <w:t xml:space="preserve"> He submitted</w:t>
      </w:r>
      <w:r w:rsidR="00CD6BA2">
        <w:t xml:space="preserve"> that</w:t>
      </w:r>
      <w:r w:rsidR="00F72336">
        <w:t>,</w:t>
      </w:r>
      <w:r w:rsidR="00CE6A55">
        <w:t xml:space="preserve"> </w:t>
      </w:r>
      <w:r w:rsidR="00F43B0E">
        <w:t xml:space="preserve">although it was correct at the date of receiving the </w:t>
      </w:r>
      <w:r w:rsidR="00F72336">
        <w:t xml:space="preserve">Sales Projection Spreadsheet </w:t>
      </w:r>
      <w:r w:rsidR="00ED69F7">
        <w:t xml:space="preserve">that </w:t>
      </w:r>
      <w:r w:rsidR="00F43B0E">
        <w:t>no order had been placed, he had no reason to doubt, and there was no evidence to doubt, that Mr Maison</w:t>
      </w:r>
      <w:r w:rsidR="00BB18B1">
        <w:t xml:space="preserve"> or Health Therapies would not follow through with their projections.</w:t>
      </w:r>
    </w:p>
    <w:p w14:paraId="39154AA1" w14:textId="19C96D0B" w:rsidR="00881C6E" w:rsidRDefault="00881C6E" w:rsidP="000D6D80">
      <w:pPr>
        <w:pStyle w:val="ParaNumbering"/>
        <w:ind w:right="96"/>
      </w:pPr>
      <w:r>
        <w:t xml:space="preserve">That submission cannot be accepted. </w:t>
      </w:r>
      <w:r w:rsidR="003F0BB4">
        <w:t>A fair reading of the spreadsheet</w:t>
      </w:r>
      <w:r w:rsidR="00883925">
        <w:t>s</w:t>
      </w:r>
      <w:r w:rsidR="00A60E1F">
        <w:t>,</w:t>
      </w:r>
      <w:r w:rsidR="003F0BB4">
        <w:t xml:space="preserve"> and the email</w:t>
      </w:r>
      <w:r w:rsidR="00A60E1F">
        <w:t xml:space="preserve"> dated 8 April 2020 </w:t>
      </w:r>
      <w:r w:rsidR="003F0BB4">
        <w:t>which accompanied it</w:t>
      </w:r>
      <w:r w:rsidR="00A60E1F">
        <w:t>,</w:t>
      </w:r>
      <w:r w:rsidR="003F0BB4">
        <w:t xml:space="preserve"> could not reasonably have given Dr </w:t>
      </w:r>
      <w:proofErr w:type="spellStart"/>
      <w:r w:rsidR="003F0BB4">
        <w:t>Marnickavasagar</w:t>
      </w:r>
      <w:proofErr w:type="spellEnd"/>
      <w:r w:rsidR="003F0BB4">
        <w:t xml:space="preserve"> any confidence that </w:t>
      </w:r>
      <w:r w:rsidR="00C04A5B">
        <w:t xml:space="preserve">the projections would eventuate as actual sales. </w:t>
      </w:r>
      <w:r w:rsidR="001856F0">
        <w:t>First, the</w:t>
      </w:r>
      <w:r w:rsidR="00A60E1F">
        <w:t xml:space="preserve"> projections</w:t>
      </w:r>
      <w:r w:rsidR="001856F0">
        <w:t xml:space="preserve"> did not accord </w:t>
      </w:r>
      <w:r w:rsidR="00A60E1F">
        <w:t xml:space="preserve">in any material respect with the Distribution Agreement </w:t>
      </w:r>
      <w:proofErr w:type="gramStart"/>
      <w:r w:rsidR="00A60E1F">
        <w:t>entered into</w:t>
      </w:r>
      <w:proofErr w:type="gramEnd"/>
      <w:r w:rsidR="00A60E1F">
        <w:t xml:space="preserve"> between</w:t>
      </w:r>
      <w:r w:rsidR="005335EB">
        <w:t xml:space="preserve"> Health Therapies and </w:t>
      </w:r>
      <w:proofErr w:type="spellStart"/>
      <w:r w:rsidR="005335EB">
        <w:t>Holista</w:t>
      </w:r>
      <w:proofErr w:type="spellEnd"/>
      <w:r w:rsidR="00C7036A">
        <w:t>,</w:t>
      </w:r>
      <w:r w:rsidR="005335EB">
        <w:t xml:space="preserve"> only three weeks </w:t>
      </w:r>
      <w:r w:rsidR="00197641">
        <w:t>previously. Secondly, the numbers were expressed to have been based on</w:t>
      </w:r>
      <w:r w:rsidR="00883925">
        <w:t>ly on</w:t>
      </w:r>
      <w:r w:rsidR="00197641">
        <w:t xml:space="preserve"> “actual discussions”</w:t>
      </w:r>
      <w:r w:rsidR="00E205AB">
        <w:t xml:space="preserve"> – there was no suggestion that any </w:t>
      </w:r>
      <w:r w:rsidR="005F697F">
        <w:t xml:space="preserve">purchase </w:t>
      </w:r>
      <w:r w:rsidR="00E205AB">
        <w:t xml:space="preserve">commitments, whether in writing or otherwise, had in fact been made by </w:t>
      </w:r>
      <w:proofErr w:type="spellStart"/>
      <w:r w:rsidR="0010417A">
        <w:t>Avorit</w:t>
      </w:r>
      <w:proofErr w:type="spellEnd"/>
      <w:r w:rsidR="0010417A">
        <w:t xml:space="preserve"> or the New Jersey Governor</w:t>
      </w:r>
      <w:r w:rsidR="00883925">
        <w:t xml:space="preserve">, nor any of the other identified prospective purchasers who were expected to place orders post </w:t>
      </w:r>
      <w:r w:rsidR="005F697F">
        <w:t>“[</w:t>
      </w:r>
      <w:r w:rsidR="00883925">
        <w:t>lab</w:t>
      </w:r>
      <w:r w:rsidR="005F697F">
        <w:t>]</w:t>
      </w:r>
      <w:r w:rsidR="00883925">
        <w:t xml:space="preserve"> </w:t>
      </w:r>
      <w:r w:rsidR="005F697F">
        <w:t>[</w:t>
      </w:r>
      <w:r w:rsidR="00883925">
        <w:t>report</w:t>
      </w:r>
      <w:r w:rsidR="005F697F">
        <w:t xml:space="preserve">]” </w:t>
      </w:r>
      <w:r w:rsidR="00883925">
        <w:t xml:space="preserve">and </w:t>
      </w:r>
      <w:r w:rsidR="005F697F">
        <w:t>“[</w:t>
      </w:r>
      <w:r w:rsidR="00883925">
        <w:t>trademark</w:t>
      </w:r>
      <w:r w:rsidR="005F697F">
        <w:t>]</w:t>
      </w:r>
      <w:r w:rsidR="00883925">
        <w:t xml:space="preserve"> </w:t>
      </w:r>
      <w:r w:rsidR="005F697F">
        <w:t>[</w:t>
      </w:r>
      <w:r w:rsidR="00883925">
        <w:t>registration</w:t>
      </w:r>
      <w:r w:rsidR="005F697F">
        <w:t>]”</w:t>
      </w:r>
      <w:r w:rsidR="00883925">
        <w:t>.</w:t>
      </w:r>
      <w:r w:rsidR="0010417A">
        <w:t xml:space="preserve"> </w:t>
      </w:r>
      <w:r w:rsidR="00581388">
        <w:t>Thirdly, Mr Maison acknowledged expressly th</w:t>
      </w:r>
      <w:r w:rsidR="00F90CCF">
        <w:t xml:space="preserve">e </w:t>
      </w:r>
      <w:r w:rsidR="0042039D">
        <w:t>“</w:t>
      </w:r>
      <w:r w:rsidR="00F90CCF">
        <w:t>embryonic</w:t>
      </w:r>
      <w:r w:rsidR="0042039D">
        <w:t>”</w:t>
      </w:r>
      <w:r w:rsidR="00F90CCF">
        <w:t xml:space="preserve"> nature of various discussions he had because </w:t>
      </w:r>
      <w:r w:rsidR="00324A3D">
        <w:t xml:space="preserve">the </w:t>
      </w:r>
      <w:r w:rsidR="00324A3D">
        <w:lastRenderedPageBreak/>
        <w:t>“science not being immediately available</w:t>
      </w:r>
      <w:r w:rsidR="005C3B37">
        <w:t xml:space="preserve">” was </w:t>
      </w:r>
      <w:proofErr w:type="gramStart"/>
      <w:r w:rsidR="005C3B37">
        <w:t>having an effect on</w:t>
      </w:r>
      <w:proofErr w:type="gramEnd"/>
      <w:r w:rsidR="005C3B37">
        <w:t xml:space="preserve"> “which sales</w:t>
      </w:r>
      <w:r w:rsidR="00581388">
        <w:t xml:space="preserve"> </w:t>
      </w:r>
      <w:r w:rsidR="005C3B37">
        <w:t>process to follow and how much to invest in this particular venture”.</w:t>
      </w:r>
    </w:p>
    <w:p w14:paraId="5A99A071" w14:textId="5479C5FB" w:rsidR="00FF718D" w:rsidRDefault="00FF718D" w:rsidP="000D6D80">
      <w:pPr>
        <w:pStyle w:val="ParaNumbering"/>
      </w:pPr>
      <w:r>
        <w:t xml:space="preserve">Dr </w:t>
      </w:r>
      <w:proofErr w:type="spellStart"/>
      <w:r>
        <w:t>Marnickavasagar</w:t>
      </w:r>
      <w:proofErr w:type="spellEnd"/>
      <w:r>
        <w:t xml:space="preserve"> also submitted that the Court should </w:t>
      </w:r>
      <w:proofErr w:type="gramStart"/>
      <w:r>
        <w:t>take into account</w:t>
      </w:r>
      <w:proofErr w:type="gramEnd"/>
      <w:r>
        <w:t xml:space="preserve"> his subjectively held belief that the forecasted sales on which he relied would be made good, which was a mistake. Again, even if it were relevant, which it is not, there is no evidence of Dr </w:t>
      </w:r>
      <w:proofErr w:type="spellStart"/>
      <w:r>
        <w:t>Marnickavasagar’s</w:t>
      </w:r>
      <w:proofErr w:type="spellEnd"/>
      <w:r>
        <w:t xml:space="preserve"> subjective state of mind.</w:t>
      </w:r>
    </w:p>
    <w:p w14:paraId="75176122" w14:textId="786AE511" w:rsidR="001C3703" w:rsidRDefault="00072DFD" w:rsidP="000D6D80">
      <w:pPr>
        <w:pStyle w:val="ParaNumbering"/>
      </w:pPr>
      <w:r>
        <w:t>I do not conside</w:t>
      </w:r>
      <w:r w:rsidR="00284DA9">
        <w:t>r</w:t>
      </w:r>
      <w:r>
        <w:t xml:space="preserve"> that</w:t>
      </w:r>
      <w:r w:rsidR="00291972">
        <w:t xml:space="preserve"> Dr </w:t>
      </w:r>
      <w:proofErr w:type="spellStart"/>
      <w:r w:rsidR="00291972">
        <w:t>Marnickavasagar’s</w:t>
      </w:r>
      <w:proofErr w:type="spellEnd"/>
      <w:r w:rsidR="00291972">
        <w:t xml:space="preserve"> reliance on the Distribution Agreement </w:t>
      </w:r>
      <w:r w:rsidR="00F91171">
        <w:t>or</w:t>
      </w:r>
      <w:r w:rsidR="00291972">
        <w:t xml:space="preserve"> the </w:t>
      </w:r>
      <w:r w:rsidR="00F91171">
        <w:t>Sales Projection Spreadsheet</w:t>
      </w:r>
      <w:r>
        <w:t xml:space="preserve"> diminish </w:t>
      </w:r>
      <w:r w:rsidR="00F91171">
        <w:t xml:space="preserve">his </w:t>
      </w:r>
      <w:r>
        <w:t xml:space="preserve">culpability. Indeed, I have already found that they were matters </w:t>
      </w:r>
      <w:r w:rsidR="00005AD7">
        <w:t xml:space="preserve">relevant to the conclusion I have reached that </w:t>
      </w:r>
      <w:proofErr w:type="spellStart"/>
      <w:r w:rsidR="00005AD7">
        <w:t>Holista</w:t>
      </w:r>
      <w:proofErr w:type="spellEnd"/>
      <w:r w:rsidR="00005AD7">
        <w:t xml:space="preserve">, through Dr </w:t>
      </w:r>
      <w:proofErr w:type="spellStart"/>
      <w:r w:rsidR="00005AD7">
        <w:t>Marnickavasagar</w:t>
      </w:r>
      <w:proofErr w:type="spellEnd"/>
      <w:r w:rsidR="00005AD7">
        <w:t>, acted recklessly.</w:t>
      </w:r>
    </w:p>
    <w:p w14:paraId="3271446F" w14:textId="26B32D74" w:rsidR="001D3125" w:rsidRDefault="001D3125" w:rsidP="001D3125">
      <w:pPr>
        <w:pStyle w:val="Heading4"/>
      </w:pPr>
      <w:bookmarkStart w:id="56" w:name="_Ref161757963"/>
      <w:r>
        <w:t>Continuous disclosure obligations post 9 April 2020 Announcement</w:t>
      </w:r>
      <w:bookmarkEnd w:id="56"/>
    </w:p>
    <w:p w14:paraId="423BBC3A" w14:textId="5BA8D568" w:rsidR="00747DE4" w:rsidRDefault="00284DA9" w:rsidP="000D6D80">
      <w:pPr>
        <w:pStyle w:val="ParaNumbering"/>
      </w:pPr>
      <w:r>
        <w:t xml:space="preserve">As to the second matter, </w:t>
      </w:r>
      <w:r w:rsidR="001E0DD5">
        <w:t xml:space="preserve">it is </w:t>
      </w:r>
      <w:r w:rsidR="000855BC">
        <w:t xml:space="preserve">difficult to see how Dr </w:t>
      </w:r>
      <w:proofErr w:type="spellStart"/>
      <w:r w:rsidR="000855BC">
        <w:t>Marnickavasagar</w:t>
      </w:r>
      <w:proofErr w:type="spellEnd"/>
      <w:r w:rsidR="000855BC">
        <w:t xml:space="preserve"> could continue to rely on the Distribution Agreement and the </w:t>
      </w:r>
      <w:r w:rsidR="00E130D5">
        <w:t xml:space="preserve">Sales Projection Spreadsheet as matters unfolded after the 9 April </w:t>
      </w:r>
      <w:r w:rsidR="00B05AC3">
        <w:t xml:space="preserve">2020 </w:t>
      </w:r>
      <w:r w:rsidR="00E130D5">
        <w:t xml:space="preserve">Announcement. </w:t>
      </w:r>
      <w:r w:rsidR="00747DE4">
        <w:t>The projections clearly did not eventuate and, as has already been discussed</w:t>
      </w:r>
      <w:r w:rsidR="00B05AC3">
        <w:t xml:space="preserve">, </w:t>
      </w:r>
      <w:r w:rsidR="00747DE4">
        <w:t xml:space="preserve">Dr </w:t>
      </w:r>
      <w:proofErr w:type="spellStart"/>
      <w:r w:rsidR="00747DE4">
        <w:t>Marnickavasagar</w:t>
      </w:r>
      <w:proofErr w:type="spellEnd"/>
      <w:r w:rsidR="0073202D">
        <w:t>, in discussion with the Board about the discrepancy between the numbers announced on 9 April</w:t>
      </w:r>
      <w:r w:rsidR="00B05AC3">
        <w:t xml:space="preserve"> 2020</w:t>
      </w:r>
      <w:r w:rsidR="0073202D">
        <w:t xml:space="preserve"> and those sought to be announced </w:t>
      </w:r>
      <w:r w:rsidR="00F40E49">
        <w:t xml:space="preserve">at the end of April, dismissing the Board’s concerns as a “timing issue” does not </w:t>
      </w:r>
      <w:r w:rsidR="00B05AC3">
        <w:t>with</w:t>
      </w:r>
      <w:r w:rsidR="00F40E49">
        <w:t>stand scrutiny.</w:t>
      </w:r>
      <w:r w:rsidR="001C7863">
        <w:t xml:space="preserve"> I</w:t>
      </w:r>
      <w:r w:rsidR="00B05AC3">
        <w:t>n fact, i</w:t>
      </w:r>
      <w:r w:rsidR="001C7863">
        <w:t xml:space="preserve">t was contrary to </w:t>
      </w:r>
      <w:proofErr w:type="spellStart"/>
      <w:r w:rsidR="001C7863">
        <w:t>Holista’s</w:t>
      </w:r>
      <w:proofErr w:type="spellEnd"/>
      <w:r w:rsidR="001C7863">
        <w:t xml:space="preserve"> Revenue Policy</w:t>
      </w:r>
      <w:r w:rsidR="00F10B52">
        <w:t>.</w:t>
      </w:r>
      <w:r w:rsidR="00A05655">
        <w:t xml:space="preserve"> Further, Dr </w:t>
      </w:r>
      <w:proofErr w:type="spellStart"/>
      <w:r w:rsidR="00A05655">
        <w:t>Marnickavasagar</w:t>
      </w:r>
      <w:proofErr w:type="spellEnd"/>
      <w:r w:rsidR="00A05655">
        <w:t xml:space="preserve"> was apparently untroubled by the </w:t>
      </w:r>
      <w:r w:rsidR="00E54F1E">
        <w:t>repeated attempts by fellow Board members to</w:t>
      </w:r>
      <w:r w:rsidR="00100840">
        <w:t xml:space="preserve"> impress upon him the importance of </w:t>
      </w:r>
      <w:proofErr w:type="spellStart"/>
      <w:r w:rsidR="00100840">
        <w:t>Holista’s</w:t>
      </w:r>
      <w:proofErr w:type="spellEnd"/>
      <w:r w:rsidR="00100840">
        <w:t xml:space="preserve"> continuous disclosure obligations.</w:t>
      </w:r>
    </w:p>
    <w:p w14:paraId="2D792A66" w14:textId="025FA2D7" w:rsidR="00300968" w:rsidRDefault="003C02A8" w:rsidP="000D6D80">
      <w:pPr>
        <w:pStyle w:val="ParaNumbering"/>
      </w:pPr>
      <w:r>
        <w:t xml:space="preserve">That </w:t>
      </w:r>
      <w:r w:rsidR="00E32762">
        <w:t xml:space="preserve">attitude may well have been informed by his belief that he </w:t>
      </w:r>
      <w:r w:rsidR="002507E2">
        <w:t xml:space="preserve">was entitled to rely on others within </w:t>
      </w:r>
      <w:r w:rsidR="00FB2ECA">
        <w:t xml:space="preserve">the company </w:t>
      </w:r>
      <w:r w:rsidR="00B9261D">
        <w:t xml:space="preserve">in delaying the 9 July </w:t>
      </w:r>
      <w:r w:rsidR="00C2408B">
        <w:t xml:space="preserve">2020 </w:t>
      </w:r>
      <w:r w:rsidR="00B9261D">
        <w:t xml:space="preserve">Announcement between 29 June </w:t>
      </w:r>
      <w:r w:rsidR="00C2408B">
        <w:t xml:space="preserve">2020 </w:t>
      </w:r>
      <w:r w:rsidR="00B9261D">
        <w:t>and 9 July</w:t>
      </w:r>
      <w:r w:rsidR="00C2408B">
        <w:t xml:space="preserve"> 2020</w:t>
      </w:r>
      <w:r w:rsidR="00B9261D">
        <w:t>.</w:t>
      </w:r>
      <w:r w:rsidR="00B10A58">
        <w:t xml:space="preserve"> </w:t>
      </w:r>
      <w:r w:rsidR="00E32762">
        <w:t xml:space="preserve">Dr </w:t>
      </w:r>
      <w:proofErr w:type="spellStart"/>
      <w:r w:rsidR="00E32762">
        <w:t>Marnickavasagar</w:t>
      </w:r>
      <w:proofErr w:type="spellEnd"/>
      <w:r w:rsidR="00E32762">
        <w:t xml:space="preserve"> submitted that, because he was based in Malaysia and </w:t>
      </w:r>
      <w:proofErr w:type="spellStart"/>
      <w:r w:rsidR="00E32762">
        <w:t>Holista</w:t>
      </w:r>
      <w:proofErr w:type="spellEnd"/>
      <w:r w:rsidR="00E32762">
        <w:t xml:space="preserve"> had Australian company officers who were appointed specifically for their “capital market and corporate governance skills” (SAFA [10]), it would not have been unreasonable for him to have relied on their expertise. </w:t>
      </w:r>
    </w:p>
    <w:p w14:paraId="316E22D8" w14:textId="14FF63BD" w:rsidR="003C4CC6" w:rsidRDefault="003C4CC6" w:rsidP="000D6D80">
      <w:pPr>
        <w:pStyle w:val="ParaNumbering"/>
      </w:pPr>
      <w:r>
        <w:t>Recently, in</w:t>
      </w:r>
      <w:r w:rsidRPr="006941F0">
        <w:t xml:space="preserve"> </w:t>
      </w:r>
      <w:r w:rsidRPr="006941F0">
        <w:rPr>
          <w:i/>
          <w:iCs/>
        </w:rPr>
        <w:t>Australian Securities and Investments Commission v Wilson (No 3)</w:t>
      </w:r>
      <w:r w:rsidRPr="006941F0">
        <w:t xml:space="preserve"> [2023] FCA 1009</w:t>
      </w:r>
      <w:r>
        <w:t xml:space="preserve"> at [116]-[119], Jackson J reiterated the standard required of</w:t>
      </w:r>
      <w:r w:rsidR="00477D22">
        <w:t xml:space="preserve"> d</w:t>
      </w:r>
      <w:r>
        <w:t>irectors by s 180(1)</w:t>
      </w:r>
      <w:r w:rsidR="00477D22">
        <w:t>:</w:t>
      </w:r>
    </w:p>
    <w:p w14:paraId="6C836223" w14:textId="31326EAC" w:rsidR="00F76AD4" w:rsidRDefault="00E50BEE" w:rsidP="00F76AD4">
      <w:pPr>
        <w:pStyle w:val="Quote1"/>
        <w:ind w:left="1437" w:hanging="700"/>
        <w:rPr>
          <w:lang w:eastAsia="en-AU"/>
        </w:rPr>
      </w:pPr>
      <w:r>
        <w:rPr>
          <w:sz w:val="20"/>
          <w:lang w:eastAsia="en-AU"/>
        </w:rPr>
        <w:t>[</w:t>
      </w:r>
      <w:r w:rsidR="00F76AD4">
        <w:rPr>
          <w:sz w:val="20"/>
          <w:lang w:eastAsia="en-AU"/>
        </w:rPr>
        <w:t>116</w:t>
      </w:r>
      <w:r>
        <w:rPr>
          <w:sz w:val="20"/>
          <w:lang w:eastAsia="en-AU"/>
        </w:rPr>
        <w:t>]</w:t>
      </w:r>
      <w:r w:rsidR="00F76AD4">
        <w:rPr>
          <w:sz w:val="20"/>
          <w:lang w:eastAsia="en-AU"/>
        </w:rPr>
        <w:t xml:space="preserve"> </w:t>
      </w:r>
      <w:r w:rsidR="00F76AD4">
        <w:rPr>
          <w:sz w:val="20"/>
          <w:lang w:eastAsia="en-AU"/>
        </w:rPr>
        <w:tab/>
      </w:r>
      <w:r w:rsidR="00F76AD4">
        <w:rPr>
          <w:lang w:eastAsia="en-AU"/>
        </w:rPr>
        <w:t xml:space="preserve">The standard in s 180(1) concerns the exercise of powers and duties, so those powers and duties need to be identified before the provision can be applied: </w:t>
      </w:r>
      <w:r w:rsidR="00F76AD4">
        <w:rPr>
          <w:rFonts w:ascii="TimesNewRomanPS-ItalicMT" w:hAnsi="TimesNewRomanPS-ItalicMT" w:cs="TimesNewRomanPS-ItalicMT"/>
          <w:i/>
          <w:iCs/>
          <w:lang w:eastAsia="en-AU"/>
        </w:rPr>
        <w:t>Cassimatis v Australian</w:t>
      </w:r>
      <w:r w:rsidR="00F76AD4">
        <w:rPr>
          <w:lang w:eastAsia="en-AU"/>
        </w:rPr>
        <w:t xml:space="preserve"> </w:t>
      </w:r>
      <w:r w:rsidR="00F76AD4">
        <w:rPr>
          <w:rFonts w:ascii="TimesNewRomanPS-ItalicMT" w:hAnsi="TimesNewRomanPS-ItalicMT" w:cs="TimesNewRomanPS-ItalicMT"/>
          <w:i/>
          <w:iCs/>
          <w:lang w:eastAsia="en-AU"/>
        </w:rPr>
        <w:t xml:space="preserve">Securities and Investments Commission </w:t>
      </w:r>
      <w:r w:rsidR="00F76AD4">
        <w:rPr>
          <w:lang w:eastAsia="en-AU"/>
        </w:rPr>
        <w:t>[2020] FCAFC 52; (2020) 275 FCR 533 (</w:t>
      </w:r>
      <w:r w:rsidR="00F76AD4">
        <w:rPr>
          <w:rFonts w:ascii="TimesNewRomanPS-BoldItalicMT" w:hAnsi="TimesNewRomanPS-BoldItalicMT" w:cs="TimesNewRomanPS-BoldItalicMT"/>
          <w:b/>
          <w:bCs/>
          <w:i/>
          <w:iCs/>
          <w:lang w:eastAsia="en-AU"/>
        </w:rPr>
        <w:t>Cassimatis</w:t>
      </w:r>
      <w:r w:rsidR="00F76AD4">
        <w:rPr>
          <w:lang w:eastAsia="en-AU"/>
        </w:rPr>
        <w:t xml:space="preserve"> </w:t>
      </w:r>
      <w:r w:rsidR="00F76AD4">
        <w:rPr>
          <w:rFonts w:ascii="TimesNewRomanPS-BoldItalicMT" w:hAnsi="TimesNewRomanPS-BoldItalicMT" w:cs="TimesNewRomanPS-BoldItalicMT"/>
          <w:b/>
          <w:bCs/>
          <w:i/>
          <w:iCs/>
          <w:lang w:eastAsia="en-AU"/>
        </w:rPr>
        <w:t>FC</w:t>
      </w:r>
      <w:r w:rsidR="00F76AD4">
        <w:rPr>
          <w:lang w:eastAsia="en-AU"/>
        </w:rPr>
        <w:t xml:space="preserve">) at [452] (Thawley J). In </w:t>
      </w:r>
      <w:r w:rsidR="00F76AD4">
        <w:rPr>
          <w:rFonts w:ascii="TimesNewRomanPS-BoldItalicMT" w:hAnsi="TimesNewRomanPS-BoldItalicMT" w:cs="TimesNewRomanPS-BoldItalicMT"/>
          <w:b/>
          <w:bCs/>
          <w:i/>
          <w:iCs/>
          <w:lang w:eastAsia="en-AU"/>
        </w:rPr>
        <w:lastRenderedPageBreak/>
        <w:t xml:space="preserve">Shafron </w:t>
      </w:r>
      <w:r w:rsidR="00F76AD4">
        <w:rPr>
          <w:rFonts w:ascii="TimesNewRomanPS-ItalicMT" w:hAnsi="TimesNewRomanPS-ItalicMT" w:cs="TimesNewRomanPS-ItalicMT"/>
          <w:i/>
          <w:iCs/>
          <w:lang w:eastAsia="en-AU"/>
        </w:rPr>
        <w:t>v Australian Securities and Investments Commission</w:t>
      </w:r>
      <w:r w:rsidR="00F76AD4">
        <w:rPr>
          <w:lang w:eastAsia="en-AU"/>
        </w:rPr>
        <w:t xml:space="preserve"> [2012] HCA 18; (2012) 247 CLR 465 at [18], French CJ and Gummow, Hayne, Crennan, Kiefel and Bell JJ described the standard set by s 180 as follows (emphasis in original):</w:t>
      </w:r>
    </w:p>
    <w:p w14:paraId="3E4D5102" w14:textId="75112ADE" w:rsidR="00F76AD4" w:rsidRPr="007D440F" w:rsidRDefault="00F76AD4" w:rsidP="00253CFC">
      <w:pPr>
        <w:pStyle w:val="Quote2"/>
        <w:ind w:left="2160"/>
        <w:rPr>
          <w:sz w:val="20"/>
          <w:lang w:eastAsia="en-AU"/>
        </w:rPr>
      </w:pPr>
      <w:r w:rsidRPr="007D440F">
        <w:rPr>
          <w:sz w:val="20"/>
          <w:lang w:eastAsia="en-AU"/>
        </w:rPr>
        <w:t>The degree of care and diligence that is required by s 180(1) is fixed as an objective standard identified by reference to two relevant elements - the element identified in</w:t>
      </w:r>
      <w:r w:rsidR="00A7728B" w:rsidRPr="007D440F">
        <w:rPr>
          <w:sz w:val="20"/>
          <w:lang w:eastAsia="en-AU"/>
        </w:rPr>
        <w:t xml:space="preserve"> </w:t>
      </w:r>
      <w:r w:rsidRPr="007D440F">
        <w:rPr>
          <w:sz w:val="20"/>
          <w:lang w:eastAsia="en-AU"/>
        </w:rPr>
        <w:t xml:space="preserve">para (a): </w:t>
      </w:r>
      <w:r w:rsidR="00480188" w:rsidRPr="007D440F">
        <w:rPr>
          <w:sz w:val="20"/>
          <w:lang w:eastAsia="en-AU"/>
        </w:rPr>
        <w:t>‘</w:t>
      </w:r>
      <w:r w:rsidRPr="007D440F">
        <w:rPr>
          <w:sz w:val="20"/>
          <w:lang w:eastAsia="en-AU"/>
        </w:rPr>
        <w:t>the corporation</w:t>
      </w:r>
      <w:r w:rsidR="00480188" w:rsidRPr="007D440F">
        <w:rPr>
          <w:sz w:val="20"/>
          <w:lang w:eastAsia="en-AU"/>
        </w:rPr>
        <w:t>’</w:t>
      </w:r>
      <w:r w:rsidRPr="007D440F">
        <w:rPr>
          <w:sz w:val="20"/>
          <w:lang w:eastAsia="en-AU"/>
        </w:rPr>
        <w:t>s circumstances</w:t>
      </w:r>
      <w:r w:rsidR="00480188" w:rsidRPr="007D440F">
        <w:rPr>
          <w:sz w:val="20"/>
          <w:lang w:eastAsia="en-AU"/>
        </w:rPr>
        <w:t>’</w:t>
      </w:r>
      <w:r w:rsidRPr="007D440F">
        <w:rPr>
          <w:sz w:val="20"/>
          <w:lang w:eastAsia="en-AU"/>
        </w:rPr>
        <w:t>, and the element identified in para (b): the</w:t>
      </w:r>
      <w:r w:rsidR="00A7728B" w:rsidRPr="007D440F">
        <w:rPr>
          <w:sz w:val="20"/>
          <w:lang w:eastAsia="en-AU"/>
        </w:rPr>
        <w:t xml:space="preserve"> </w:t>
      </w:r>
      <w:r w:rsidRPr="007D440F">
        <w:rPr>
          <w:sz w:val="20"/>
          <w:lang w:eastAsia="en-AU"/>
        </w:rPr>
        <w:t xml:space="preserve">office </w:t>
      </w:r>
      <w:r w:rsidRPr="007D440F">
        <w:rPr>
          <w:rFonts w:ascii="TimesNewRomanPS-ItalicMT" w:hAnsi="TimesNewRomanPS-ItalicMT" w:cs="TimesNewRomanPS-ItalicMT"/>
          <w:i/>
          <w:iCs/>
          <w:sz w:val="20"/>
          <w:lang w:eastAsia="en-AU"/>
        </w:rPr>
        <w:t xml:space="preserve">and </w:t>
      </w:r>
      <w:r w:rsidRPr="007D440F">
        <w:rPr>
          <w:sz w:val="20"/>
          <w:lang w:eastAsia="en-AU"/>
        </w:rPr>
        <w:t>the responsibilities within the corporation that the officer in question</w:t>
      </w:r>
      <w:r w:rsidR="00A7728B" w:rsidRPr="007D440F">
        <w:rPr>
          <w:sz w:val="20"/>
          <w:lang w:eastAsia="en-AU"/>
        </w:rPr>
        <w:t xml:space="preserve"> </w:t>
      </w:r>
      <w:r w:rsidRPr="007D440F">
        <w:rPr>
          <w:sz w:val="20"/>
          <w:lang w:eastAsia="en-AU"/>
        </w:rPr>
        <w:t>occupied and had. No doubt, those responsibilities include any responsibility that is</w:t>
      </w:r>
      <w:r w:rsidR="00A7728B" w:rsidRPr="007D440F">
        <w:rPr>
          <w:sz w:val="20"/>
          <w:lang w:eastAsia="en-AU"/>
        </w:rPr>
        <w:t xml:space="preserve"> </w:t>
      </w:r>
      <w:r w:rsidRPr="007D440F">
        <w:rPr>
          <w:sz w:val="20"/>
          <w:lang w:eastAsia="en-AU"/>
        </w:rPr>
        <w:t xml:space="preserve">imposed on the officer by the applicable </w:t>
      </w:r>
      <w:proofErr w:type="gramStart"/>
      <w:r w:rsidRPr="007D440F">
        <w:rPr>
          <w:sz w:val="20"/>
          <w:lang w:eastAsia="en-AU"/>
        </w:rPr>
        <w:t>corporations</w:t>
      </w:r>
      <w:proofErr w:type="gramEnd"/>
      <w:r w:rsidR="00480188" w:rsidRPr="007D440F">
        <w:rPr>
          <w:sz w:val="20"/>
          <w:lang w:eastAsia="en-AU"/>
        </w:rPr>
        <w:t xml:space="preserve"> </w:t>
      </w:r>
      <w:r w:rsidRPr="007D440F">
        <w:rPr>
          <w:sz w:val="20"/>
          <w:lang w:eastAsia="en-AU"/>
        </w:rPr>
        <w:t>legislation. But the</w:t>
      </w:r>
      <w:r w:rsidR="00A7728B" w:rsidRPr="007D440F">
        <w:rPr>
          <w:sz w:val="20"/>
          <w:lang w:eastAsia="en-AU"/>
        </w:rPr>
        <w:t xml:space="preserve"> </w:t>
      </w:r>
      <w:r w:rsidRPr="007D440F">
        <w:rPr>
          <w:sz w:val="20"/>
          <w:lang w:eastAsia="en-AU"/>
        </w:rPr>
        <w:t>responsibilities referred to in s 180(1) are not confined to statutory responsibilities;</w:t>
      </w:r>
      <w:r w:rsidR="006D7D97" w:rsidRPr="007D440F">
        <w:rPr>
          <w:sz w:val="20"/>
          <w:lang w:eastAsia="en-AU"/>
        </w:rPr>
        <w:t xml:space="preserve"> </w:t>
      </w:r>
      <w:r w:rsidRPr="007D440F">
        <w:rPr>
          <w:sz w:val="20"/>
          <w:lang w:eastAsia="en-AU"/>
        </w:rPr>
        <w:t xml:space="preserve">they include </w:t>
      </w:r>
      <w:r w:rsidRPr="007D440F">
        <w:rPr>
          <w:rFonts w:ascii="TimesNewRomanPS-ItalicMT" w:hAnsi="TimesNewRomanPS-ItalicMT" w:cs="TimesNewRomanPS-ItalicMT"/>
          <w:i/>
          <w:iCs/>
          <w:sz w:val="20"/>
          <w:lang w:eastAsia="en-AU"/>
        </w:rPr>
        <w:t xml:space="preserve">whatever </w:t>
      </w:r>
      <w:r w:rsidRPr="007D440F">
        <w:rPr>
          <w:sz w:val="20"/>
          <w:lang w:eastAsia="en-AU"/>
        </w:rPr>
        <w:t>responsibilities the officer concerned had within the</w:t>
      </w:r>
      <w:r w:rsidR="006D7D97" w:rsidRPr="007D440F">
        <w:rPr>
          <w:sz w:val="20"/>
          <w:lang w:eastAsia="en-AU"/>
        </w:rPr>
        <w:t xml:space="preserve"> </w:t>
      </w:r>
      <w:r w:rsidRPr="007D440F">
        <w:rPr>
          <w:sz w:val="20"/>
          <w:lang w:eastAsia="en-AU"/>
        </w:rPr>
        <w:t>corporation, regardless of how or why those responsibilities came to be imposed on</w:t>
      </w:r>
      <w:r w:rsidR="006D7D97" w:rsidRPr="007D440F">
        <w:rPr>
          <w:sz w:val="20"/>
          <w:lang w:eastAsia="en-AU"/>
        </w:rPr>
        <w:t xml:space="preserve"> </w:t>
      </w:r>
      <w:r w:rsidRPr="007D440F">
        <w:rPr>
          <w:sz w:val="20"/>
          <w:lang w:eastAsia="en-AU"/>
        </w:rPr>
        <w:t>that officer.</w:t>
      </w:r>
    </w:p>
    <w:p w14:paraId="235E0889" w14:textId="72D6EC96" w:rsidR="00F76AD4" w:rsidRDefault="00E50BEE" w:rsidP="006D7D97">
      <w:pPr>
        <w:pStyle w:val="Quote1"/>
        <w:ind w:left="1440" w:hanging="700"/>
        <w:rPr>
          <w:lang w:eastAsia="en-AU"/>
        </w:rPr>
      </w:pPr>
      <w:r>
        <w:rPr>
          <w:sz w:val="20"/>
          <w:lang w:eastAsia="en-AU"/>
        </w:rPr>
        <w:t>[</w:t>
      </w:r>
      <w:r w:rsidR="00F76AD4">
        <w:rPr>
          <w:sz w:val="20"/>
          <w:lang w:eastAsia="en-AU"/>
        </w:rPr>
        <w:t>117</w:t>
      </w:r>
      <w:r>
        <w:rPr>
          <w:sz w:val="20"/>
          <w:lang w:eastAsia="en-AU"/>
        </w:rPr>
        <w:t>]</w:t>
      </w:r>
      <w:r w:rsidR="00F76AD4">
        <w:rPr>
          <w:sz w:val="20"/>
          <w:lang w:eastAsia="en-AU"/>
        </w:rPr>
        <w:t xml:space="preserve"> </w:t>
      </w:r>
      <w:r w:rsidR="006D7D97">
        <w:rPr>
          <w:sz w:val="20"/>
          <w:lang w:eastAsia="en-AU"/>
        </w:rPr>
        <w:tab/>
      </w:r>
      <w:r w:rsidR="00F76AD4">
        <w:rPr>
          <w:lang w:eastAsia="en-AU"/>
        </w:rPr>
        <w:t>Thus the application of s 180(1) is not confined to the powers and duties which the</w:t>
      </w:r>
      <w:r w:rsidR="006D7D97">
        <w:rPr>
          <w:lang w:eastAsia="en-AU"/>
        </w:rPr>
        <w:t xml:space="preserve"> </w:t>
      </w:r>
      <w:r w:rsidR="00F76AD4">
        <w:rPr>
          <w:lang w:eastAsia="en-AU"/>
        </w:rPr>
        <w:t xml:space="preserve">law attaches to a particular office: see also </w:t>
      </w:r>
      <w:r w:rsidR="00F76AD4">
        <w:rPr>
          <w:rFonts w:ascii="TimesNewRomanPS-ItalicMT" w:hAnsi="TimesNewRomanPS-ItalicMT" w:cs="TimesNewRomanPS-ItalicMT"/>
          <w:i/>
          <w:iCs/>
          <w:lang w:eastAsia="en-AU"/>
        </w:rPr>
        <w:t>Australian Securities and Investments</w:t>
      </w:r>
      <w:r w:rsidR="006D7D97">
        <w:rPr>
          <w:lang w:eastAsia="en-AU"/>
        </w:rPr>
        <w:t xml:space="preserve"> </w:t>
      </w:r>
      <w:r w:rsidR="00F76AD4">
        <w:rPr>
          <w:rFonts w:ascii="TimesNewRomanPS-ItalicMT" w:hAnsi="TimesNewRomanPS-ItalicMT" w:cs="TimesNewRomanPS-ItalicMT"/>
          <w:i/>
          <w:iCs/>
          <w:lang w:eastAsia="en-AU"/>
        </w:rPr>
        <w:t xml:space="preserve">Commission v </w:t>
      </w:r>
      <w:r w:rsidR="00F76AD4">
        <w:rPr>
          <w:rFonts w:ascii="TimesNewRomanPS-BoldItalicMT" w:hAnsi="TimesNewRomanPS-BoldItalicMT" w:cs="TimesNewRomanPS-BoldItalicMT"/>
          <w:b/>
          <w:bCs/>
          <w:i/>
          <w:iCs/>
          <w:lang w:eastAsia="en-AU"/>
        </w:rPr>
        <w:t xml:space="preserve">King </w:t>
      </w:r>
      <w:r w:rsidR="00F76AD4">
        <w:rPr>
          <w:lang w:eastAsia="en-AU"/>
        </w:rPr>
        <w:t xml:space="preserve">[2020] HCA 4; (2020) 270 CLR 1 at [33] (Kiefel CJ, </w:t>
      </w:r>
      <w:proofErr w:type="spellStart"/>
      <w:r w:rsidR="00F76AD4">
        <w:rPr>
          <w:lang w:eastAsia="en-AU"/>
        </w:rPr>
        <w:t>Gageler</w:t>
      </w:r>
      <w:proofErr w:type="spellEnd"/>
      <w:r w:rsidR="00F76AD4">
        <w:rPr>
          <w:lang w:eastAsia="en-AU"/>
        </w:rPr>
        <w:t xml:space="preserve"> and</w:t>
      </w:r>
      <w:r w:rsidR="006D7D97">
        <w:rPr>
          <w:lang w:eastAsia="en-AU"/>
        </w:rPr>
        <w:t xml:space="preserve"> </w:t>
      </w:r>
      <w:r w:rsidR="00F76AD4">
        <w:rPr>
          <w:lang w:eastAsia="en-AU"/>
        </w:rPr>
        <w:t>Keane JJ). The inquiry must be directed to the role the person in question plays in the</w:t>
      </w:r>
      <w:r w:rsidR="006D7D97">
        <w:rPr>
          <w:lang w:eastAsia="en-AU"/>
        </w:rPr>
        <w:t xml:space="preserve"> </w:t>
      </w:r>
      <w:r w:rsidR="00F76AD4">
        <w:rPr>
          <w:lang w:eastAsia="en-AU"/>
        </w:rPr>
        <w:t xml:space="preserve">corporation: </w:t>
      </w:r>
      <w:r w:rsidR="00F76AD4">
        <w:rPr>
          <w:rFonts w:ascii="TimesNewRomanPS-ItalicMT" w:hAnsi="TimesNewRomanPS-ItalicMT" w:cs="TimesNewRomanPS-ItalicMT"/>
          <w:i/>
          <w:iCs/>
          <w:lang w:eastAsia="en-AU"/>
        </w:rPr>
        <w:t xml:space="preserve">Shafron </w:t>
      </w:r>
      <w:r w:rsidR="00F76AD4">
        <w:rPr>
          <w:lang w:eastAsia="en-AU"/>
        </w:rPr>
        <w:t xml:space="preserve">at [23]; </w:t>
      </w:r>
      <w:r w:rsidR="00F76AD4">
        <w:rPr>
          <w:rFonts w:ascii="TimesNewRomanPS-ItalicMT" w:hAnsi="TimesNewRomanPS-ItalicMT" w:cs="TimesNewRomanPS-ItalicMT"/>
          <w:i/>
          <w:iCs/>
          <w:lang w:eastAsia="en-AU"/>
        </w:rPr>
        <w:t xml:space="preserve">King </w:t>
      </w:r>
      <w:r w:rsidR="00F76AD4">
        <w:rPr>
          <w:lang w:eastAsia="en-AU"/>
        </w:rPr>
        <w:t>at [35]. That is inevitably a factual inquiry which depends</w:t>
      </w:r>
      <w:r w:rsidR="006D7D97">
        <w:rPr>
          <w:lang w:eastAsia="en-AU"/>
        </w:rPr>
        <w:t xml:space="preserve"> </w:t>
      </w:r>
      <w:r w:rsidR="00F76AD4">
        <w:rPr>
          <w:lang w:eastAsia="en-AU"/>
        </w:rPr>
        <w:t>on all the relevant circumstances. It is concerned with whether the facts show that a putative</w:t>
      </w:r>
      <w:r w:rsidR="006D7D97">
        <w:rPr>
          <w:lang w:eastAsia="en-AU"/>
        </w:rPr>
        <w:t xml:space="preserve"> </w:t>
      </w:r>
      <w:r w:rsidR="00F76AD4">
        <w:rPr>
          <w:lang w:eastAsia="en-AU"/>
        </w:rPr>
        <w:t>officer has played a role in the corporation and the nature and extent of that role, not with</w:t>
      </w:r>
      <w:r w:rsidR="006D7D97">
        <w:rPr>
          <w:lang w:eastAsia="en-AU"/>
        </w:rPr>
        <w:t xml:space="preserve"> </w:t>
      </w:r>
      <w:r w:rsidR="00F76AD4">
        <w:rPr>
          <w:lang w:eastAsia="en-AU"/>
        </w:rPr>
        <w:t xml:space="preserve">some a priori classification of their position: </w:t>
      </w:r>
      <w:r w:rsidR="00F76AD4">
        <w:rPr>
          <w:rFonts w:ascii="TimesNewRomanPS-ItalicMT" w:hAnsi="TimesNewRomanPS-ItalicMT" w:cs="TimesNewRomanPS-ItalicMT"/>
          <w:i/>
          <w:iCs/>
          <w:lang w:eastAsia="en-AU"/>
        </w:rPr>
        <w:t xml:space="preserve">King </w:t>
      </w:r>
      <w:r w:rsidR="00F76AD4">
        <w:rPr>
          <w:lang w:eastAsia="en-AU"/>
        </w:rPr>
        <w:t>at [35].</w:t>
      </w:r>
    </w:p>
    <w:p w14:paraId="3E4AE29A" w14:textId="139AAA38" w:rsidR="00D367BD" w:rsidRDefault="00E50BEE" w:rsidP="00D367BD">
      <w:pPr>
        <w:pStyle w:val="Quote1"/>
        <w:ind w:left="1437" w:hanging="700"/>
        <w:rPr>
          <w:lang w:eastAsia="en-AU"/>
        </w:rPr>
      </w:pPr>
      <w:r>
        <w:rPr>
          <w:sz w:val="20"/>
          <w:lang w:eastAsia="en-AU"/>
        </w:rPr>
        <w:t>[</w:t>
      </w:r>
      <w:r w:rsidR="00F76AD4">
        <w:rPr>
          <w:sz w:val="20"/>
          <w:lang w:eastAsia="en-AU"/>
        </w:rPr>
        <w:t>118</w:t>
      </w:r>
      <w:r>
        <w:rPr>
          <w:sz w:val="20"/>
          <w:lang w:eastAsia="en-AU"/>
        </w:rPr>
        <w:t>]</w:t>
      </w:r>
      <w:r w:rsidR="006D7D97">
        <w:rPr>
          <w:sz w:val="20"/>
          <w:lang w:eastAsia="en-AU"/>
        </w:rPr>
        <w:tab/>
      </w:r>
      <w:r w:rsidR="00F76AD4">
        <w:rPr>
          <w:lang w:eastAsia="en-AU"/>
        </w:rPr>
        <w:t xml:space="preserve">As to the </w:t>
      </w:r>
      <w:r w:rsidR="00480188">
        <w:rPr>
          <w:lang w:eastAsia="en-AU"/>
        </w:rPr>
        <w:t>‘</w:t>
      </w:r>
      <w:r w:rsidR="00F76AD4">
        <w:rPr>
          <w:lang w:eastAsia="en-AU"/>
        </w:rPr>
        <w:t>corporation</w:t>
      </w:r>
      <w:r w:rsidR="00480188">
        <w:rPr>
          <w:lang w:eastAsia="en-AU"/>
        </w:rPr>
        <w:t>’</w:t>
      </w:r>
      <w:r w:rsidR="00F76AD4">
        <w:rPr>
          <w:lang w:eastAsia="en-AU"/>
        </w:rPr>
        <w:t>s circumstances</w:t>
      </w:r>
      <w:r w:rsidR="00480188">
        <w:rPr>
          <w:lang w:eastAsia="en-AU"/>
        </w:rPr>
        <w:t>’</w:t>
      </w:r>
      <w:r w:rsidR="00F76AD4">
        <w:rPr>
          <w:lang w:eastAsia="en-AU"/>
        </w:rPr>
        <w:t>, these necessarily include any breach or</w:t>
      </w:r>
      <w:r w:rsidR="006D7D97">
        <w:rPr>
          <w:lang w:eastAsia="en-AU"/>
        </w:rPr>
        <w:t xml:space="preserve"> </w:t>
      </w:r>
      <w:r w:rsidR="00F76AD4">
        <w:rPr>
          <w:lang w:eastAsia="en-AU"/>
        </w:rPr>
        <w:t xml:space="preserve">potential breach of law by the corporation, as well as </w:t>
      </w:r>
      <w:proofErr w:type="gramStart"/>
      <w:r w:rsidR="00F76AD4">
        <w:rPr>
          <w:lang w:eastAsia="en-AU"/>
        </w:rPr>
        <w:t>all of</w:t>
      </w:r>
      <w:proofErr w:type="gramEnd"/>
      <w:r w:rsidR="00F76AD4">
        <w:rPr>
          <w:lang w:eastAsia="en-AU"/>
        </w:rPr>
        <w:t xml:space="preserve"> the relevant commercial and other</w:t>
      </w:r>
      <w:r w:rsidR="006D7D97">
        <w:rPr>
          <w:lang w:eastAsia="en-AU"/>
        </w:rPr>
        <w:t xml:space="preserve"> </w:t>
      </w:r>
      <w:r w:rsidR="00F76AD4">
        <w:rPr>
          <w:lang w:eastAsia="en-AU"/>
        </w:rPr>
        <w:t xml:space="preserve">circumstances and the conduct of the corporation: </w:t>
      </w:r>
      <w:r w:rsidR="00F76AD4">
        <w:rPr>
          <w:rFonts w:ascii="TimesNewRomanPS-ItalicMT" w:hAnsi="TimesNewRomanPS-ItalicMT" w:cs="TimesNewRomanPS-ItalicMT"/>
          <w:i/>
          <w:iCs/>
          <w:lang w:eastAsia="en-AU"/>
        </w:rPr>
        <w:t xml:space="preserve">Cassimatis FC </w:t>
      </w:r>
      <w:r w:rsidR="00F76AD4">
        <w:rPr>
          <w:lang w:eastAsia="en-AU"/>
        </w:rPr>
        <w:t>at [456].</w:t>
      </w:r>
    </w:p>
    <w:p w14:paraId="72319E8E" w14:textId="55544613" w:rsidR="00F83982" w:rsidRDefault="00D367BD" w:rsidP="00D367BD">
      <w:pPr>
        <w:pStyle w:val="Quote1"/>
        <w:ind w:left="1437" w:hanging="700"/>
        <w:rPr>
          <w:lang w:eastAsia="en-AU"/>
        </w:rPr>
      </w:pPr>
      <w:r>
        <w:rPr>
          <w:lang w:eastAsia="en-AU"/>
        </w:rPr>
        <w:t>119</w:t>
      </w:r>
      <w:r>
        <w:rPr>
          <w:lang w:eastAsia="en-AU"/>
        </w:rPr>
        <w:tab/>
      </w:r>
      <w:r w:rsidRPr="00622561">
        <w:t>Directors are required to take reasonable steps to place themselves in a position to</w:t>
      </w:r>
      <w:r>
        <w:t xml:space="preserve"> </w:t>
      </w:r>
      <w:r w:rsidRPr="00622561">
        <w:t>guide and monitor the management of the company, but they are entitled to rely on others,</w:t>
      </w:r>
      <w:r>
        <w:t xml:space="preserve"> </w:t>
      </w:r>
      <w:r w:rsidRPr="00622561">
        <w:t>unless they know, or by the exercise of ordinary care should know, facts that indicate that</w:t>
      </w:r>
      <w:r>
        <w:t xml:space="preserve"> </w:t>
      </w:r>
      <w:r w:rsidRPr="00622561">
        <w:t>they cannot so rely</w:t>
      </w:r>
      <w:r>
        <w:t xml:space="preserve">: </w:t>
      </w:r>
      <w:r w:rsidR="004439F3" w:rsidRPr="004439F3">
        <w:rPr>
          <w:i/>
          <w:iCs/>
        </w:rPr>
        <w:t xml:space="preserve">Australian Securities and Investments Commission v </w:t>
      </w:r>
      <w:r w:rsidR="004439F3" w:rsidRPr="004439F3">
        <w:rPr>
          <w:b/>
          <w:bCs/>
          <w:i/>
          <w:iCs/>
        </w:rPr>
        <w:t xml:space="preserve">Maxwell </w:t>
      </w:r>
      <w:r w:rsidR="004439F3" w:rsidRPr="004439F3">
        <w:t>[2006]</w:t>
      </w:r>
      <w:r w:rsidR="00956442">
        <w:t xml:space="preserve"> </w:t>
      </w:r>
      <w:r w:rsidR="004439F3" w:rsidRPr="004439F3">
        <w:t>NSWSC 1052 at [101]</w:t>
      </w:r>
      <w:r>
        <w:t xml:space="preserve"> (</w:t>
      </w:r>
      <w:r w:rsidR="00956442">
        <w:t>Brereton J</w:t>
      </w:r>
      <w:r>
        <w:t>).</w:t>
      </w:r>
      <w:r w:rsidR="00956442">
        <w:t xml:space="preserve"> </w:t>
      </w:r>
    </w:p>
    <w:p w14:paraId="0E8EE43D" w14:textId="4276121C" w:rsidR="00CC63D6" w:rsidRDefault="00CC63D6" w:rsidP="000D6D80">
      <w:pPr>
        <w:pStyle w:val="ParaNumbering"/>
      </w:pPr>
      <w:r>
        <w:t xml:space="preserve">The fact of residence overseas does not relieve a director of an Australian listed entity from ensuring </w:t>
      </w:r>
      <w:r w:rsidR="00F628D2">
        <w:t xml:space="preserve">the </w:t>
      </w:r>
      <w:r>
        <w:t xml:space="preserve">company complies with its continuous disclosure obligations. Even if it were reasonable for Dr </w:t>
      </w:r>
      <w:proofErr w:type="spellStart"/>
      <w:r>
        <w:t>Marnickavasagar</w:t>
      </w:r>
      <w:proofErr w:type="spellEnd"/>
      <w:r>
        <w:t xml:space="preserve"> to have relied on his fellow board members in Australia, there is no evidence that he did so. </w:t>
      </w:r>
    </w:p>
    <w:p w14:paraId="69AAE523" w14:textId="2828591C" w:rsidR="00BE3F86" w:rsidRDefault="005A19C2" w:rsidP="000D6D80">
      <w:pPr>
        <w:pStyle w:val="ParaNumbering"/>
      </w:pPr>
      <w:r>
        <w:t xml:space="preserve">Dr </w:t>
      </w:r>
      <w:proofErr w:type="spellStart"/>
      <w:r>
        <w:t>Marnickavasagar</w:t>
      </w:r>
      <w:proofErr w:type="spellEnd"/>
      <w:r>
        <w:t xml:space="preserve"> </w:t>
      </w:r>
      <w:r w:rsidR="00BA61BD">
        <w:t xml:space="preserve">was both the CEO and </w:t>
      </w:r>
      <w:r w:rsidR="00E9564F">
        <w:t xml:space="preserve">a </w:t>
      </w:r>
      <w:r w:rsidR="00BA61BD">
        <w:t>member of the B</w:t>
      </w:r>
      <w:r w:rsidR="007B0798">
        <w:t>oa</w:t>
      </w:r>
      <w:r w:rsidR="00BA61BD">
        <w:t>rd</w:t>
      </w:r>
      <w:r w:rsidR="008C2D45">
        <w:t xml:space="preserve"> of </w:t>
      </w:r>
      <w:proofErr w:type="spellStart"/>
      <w:r w:rsidR="008C2D45">
        <w:t>Holista</w:t>
      </w:r>
      <w:proofErr w:type="spellEnd"/>
      <w:r w:rsidR="00BA61BD">
        <w:t>. H</w:t>
      </w:r>
      <w:r w:rsidR="007B0798">
        <w:t>e was intimately involved in the</w:t>
      </w:r>
      <w:r w:rsidR="00E26C90">
        <w:t xml:space="preserve"> activities of </w:t>
      </w:r>
      <w:proofErr w:type="spellStart"/>
      <w:r w:rsidR="00E26C90">
        <w:t>Holista</w:t>
      </w:r>
      <w:proofErr w:type="spellEnd"/>
      <w:r w:rsidR="0035590F">
        <w:t xml:space="preserve"> – the ASX responses were issued under his authority, he was responsible for the negotiations with GICC, he was involved </w:t>
      </w:r>
      <w:r w:rsidR="00DE1074">
        <w:t>in the backdating of the BCTS, he was privy to the communications with Mr Maison an</w:t>
      </w:r>
      <w:r w:rsidR="00C86F2D">
        <w:t>d</w:t>
      </w:r>
      <w:r w:rsidR="00DE1074">
        <w:t xml:space="preserve"> Health Therapie</w:t>
      </w:r>
      <w:r w:rsidR="00C86F2D">
        <w:t>s.</w:t>
      </w:r>
      <w:r w:rsidR="00CC63D6">
        <w:t xml:space="preserve"> </w:t>
      </w:r>
      <w:r w:rsidR="00685BEE">
        <w:t>His liability is not mitigated by the factors to which he has pointed.</w:t>
      </w:r>
    </w:p>
    <w:p w14:paraId="297596DD" w14:textId="2D6E617F" w:rsidR="009328DA" w:rsidRDefault="009328DA" w:rsidP="00F616D5">
      <w:pPr>
        <w:pStyle w:val="Heading3"/>
      </w:pPr>
      <w:bookmarkStart w:id="57" w:name="_Ref161757964"/>
      <w:r>
        <w:lastRenderedPageBreak/>
        <w:t xml:space="preserve">Is it appropriate </w:t>
      </w:r>
      <w:r w:rsidR="009E6272">
        <w:t xml:space="preserve">to make the agreed declarations in respect of Dr </w:t>
      </w:r>
      <w:proofErr w:type="spellStart"/>
      <w:r w:rsidR="009E6272">
        <w:t>Marnickavasagar</w:t>
      </w:r>
      <w:proofErr w:type="spellEnd"/>
      <w:r w:rsidR="009E6272">
        <w:t>?</w:t>
      </w:r>
      <w:bookmarkEnd w:id="57"/>
    </w:p>
    <w:p w14:paraId="79D3B247" w14:textId="4D9FE7A5" w:rsidR="00C14845" w:rsidRDefault="00C14845" w:rsidP="000D6D80">
      <w:pPr>
        <w:pStyle w:val="ParaNumbering"/>
      </w:pPr>
      <w:r>
        <w:t xml:space="preserve">Consequently, being satisfied that Dr </w:t>
      </w:r>
      <w:proofErr w:type="spellStart"/>
      <w:r>
        <w:t>Marnickavasagar</w:t>
      </w:r>
      <w:proofErr w:type="spellEnd"/>
      <w:r>
        <w:t xml:space="preserve"> has contravened s </w:t>
      </w:r>
      <w:r w:rsidR="00845125">
        <w:t>180(1)</w:t>
      </w:r>
      <w:r>
        <w:t xml:space="preserve">, </w:t>
      </w:r>
      <w:r w:rsidR="00845125">
        <w:t xml:space="preserve">which at all times has been a civil </w:t>
      </w:r>
      <w:r>
        <w:t>penalty provision</w:t>
      </w:r>
      <w:r w:rsidR="00F500F9">
        <w:t>,</w:t>
      </w:r>
      <w:r w:rsidR="00845125">
        <w:t xml:space="preserve"> and </w:t>
      </w:r>
      <w:r w:rsidR="00EA4CF7">
        <w:t xml:space="preserve">that he </w:t>
      </w:r>
      <w:r w:rsidR="00845125">
        <w:t>has contravened s 1309(12)</w:t>
      </w:r>
      <w:r>
        <w:t>, I must make a declaration in the terms prescribed by s 1317</w:t>
      </w:r>
      <w:proofErr w:type="gramStart"/>
      <w:r>
        <w:t>E(</w:t>
      </w:r>
      <w:proofErr w:type="gramEnd"/>
      <w:r>
        <w:t>1)</w:t>
      </w:r>
      <w:r w:rsidR="008A4DD9">
        <w:t xml:space="preserve">: </w:t>
      </w:r>
      <w:r w:rsidR="00E9564F">
        <w:t xml:space="preserve">see </w:t>
      </w:r>
      <w:r w:rsidRPr="008A4DD9">
        <w:rPr>
          <w:bCs/>
          <w:i/>
        </w:rPr>
        <w:t>Mayfair Wealth</w:t>
      </w:r>
      <w:r w:rsidR="008A4DD9" w:rsidRPr="008A4DD9">
        <w:rPr>
          <w:bCs/>
        </w:rPr>
        <w:t xml:space="preserve"> </w:t>
      </w:r>
      <w:r w:rsidRPr="00783CB2">
        <w:t>at [184]</w:t>
      </w:r>
      <w:r w:rsidR="008A4DD9">
        <w:t>.</w:t>
      </w:r>
    </w:p>
    <w:p w14:paraId="660F1789" w14:textId="75E39E10" w:rsidR="00886405" w:rsidRDefault="00886405" w:rsidP="00886405">
      <w:pPr>
        <w:pStyle w:val="Heading1"/>
      </w:pPr>
      <w:bookmarkStart w:id="58" w:name="_Ref161757965"/>
      <w:r>
        <w:t xml:space="preserve">The appropriate </w:t>
      </w:r>
      <w:r w:rsidR="00782D68">
        <w:t xml:space="preserve">PECUNIARY </w:t>
      </w:r>
      <w:r>
        <w:t>penalty for Dr Marnickavasagar</w:t>
      </w:r>
      <w:bookmarkEnd w:id="58"/>
    </w:p>
    <w:p w14:paraId="203E7181" w14:textId="6541AA3F" w:rsidR="00B453E4" w:rsidRDefault="00B36D28" w:rsidP="000D6D80">
      <w:pPr>
        <w:pStyle w:val="ParaNumbering"/>
        <w:rPr>
          <w:lang w:eastAsia="en-AU"/>
        </w:rPr>
      </w:pPr>
      <w:r>
        <w:rPr>
          <w:lang w:eastAsia="en-AU"/>
        </w:rPr>
        <w:t xml:space="preserve">Relevant to the contraventions by Dr </w:t>
      </w:r>
      <w:proofErr w:type="spellStart"/>
      <w:r>
        <w:rPr>
          <w:lang w:eastAsia="en-AU"/>
        </w:rPr>
        <w:t>Marnickavasagar</w:t>
      </w:r>
      <w:proofErr w:type="spellEnd"/>
      <w:r>
        <w:rPr>
          <w:lang w:eastAsia="en-AU"/>
        </w:rPr>
        <w:t>,</w:t>
      </w:r>
      <w:r w:rsidR="002B5CEA">
        <w:rPr>
          <w:lang w:eastAsia="en-AU"/>
        </w:rPr>
        <w:t xml:space="preserve"> </w:t>
      </w:r>
      <w:r w:rsidR="00593A0D">
        <w:rPr>
          <w:lang w:eastAsia="en-AU"/>
        </w:rPr>
        <w:t>s 206C</w:t>
      </w:r>
      <w:r w:rsidR="00B53E2F">
        <w:rPr>
          <w:lang w:eastAsia="en-AU"/>
        </w:rPr>
        <w:t xml:space="preserve"> empowers the Court to disqualify a person from being a director of a company</w:t>
      </w:r>
      <w:r w:rsidR="0083090C">
        <w:rPr>
          <w:lang w:eastAsia="en-AU"/>
        </w:rPr>
        <w:t>:</w:t>
      </w:r>
    </w:p>
    <w:p w14:paraId="77E728B9" w14:textId="0121B799" w:rsidR="00593A0D" w:rsidRPr="00744EBB" w:rsidRDefault="00593A0D" w:rsidP="00744EBB">
      <w:pPr>
        <w:pStyle w:val="Quote1"/>
        <w:rPr>
          <w:b/>
          <w:bCs/>
          <w:lang w:eastAsia="en-AU"/>
        </w:rPr>
      </w:pPr>
      <w:r w:rsidRPr="00744EBB">
        <w:rPr>
          <w:b/>
          <w:bCs/>
          <w:lang w:eastAsia="en-AU"/>
        </w:rPr>
        <w:t xml:space="preserve">206C </w:t>
      </w:r>
      <w:r w:rsidR="00744EBB" w:rsidRPr="00744EBB">
        <w:rPr>
          <w:b/>
          <w:bCs/>
          <w:lang w:eastAsia="en-AU"/>
        </w:rPr>
        <w:tab/>
      </w:r>
      <w:r w:rsidRPr="00744EBB">
        <w:rPr>
          <w:b/>
          <w:bCs/>
          <w:lang w:eastAsia="en-AU"/>
        </w:rPr>
        <w:t>Court power of disqualification-contravention of civil</w:t>
      </w:r>
      <w:r w:rsidR="00744EBB" w:rsidRPr="00744EBB">
        <w:rPr>
          <w:b/>
          <w:bCs/>
          <w:lang w:eastAsia="en-AU"/>
        </w:rPr>
        <w:t xml:space="preserve"> </w:t>
      </w:r>
      <w:r w:rsidRPr="00744EBB">
        <w:rPr>
          <w:b/>
          <w:bCs/>
          <w:lang w:eastAsia="en-AU"/>
        </w:rPr>
        <w:t>penalty provision</w:t>
      </w:r>
    </w:p>
    <w:p w14:paraId="3A0110C3" w14:textId="46BBEB1E" w:rsidR="00593A0D" w:rsidRDefault="00593A0D" w:rsidP="00744EBB">
      <w:pPr>
        <w:pStyle w:val="Quote1"/>
        <w:ind w:left="1437" w:hanging="700"/>
        <w:rPr>
          <w:szCs w:val="22"/>
          <w:lang w:eastAsia="en-AU"/>
        </w:rPr>
      </w:pPr>
      <w:r>
        <w:rPr>
          <w:szCs w:val="22"/>
          <w:lang w:eastAsia="en-AU"/>
        </w:rPr>
        <w:t xml:space="preserve">(1) </w:t>
      </w:r>
      <w:r w:rsidR="00744EBB">
        <w:rPr>
          <w:szCs w:val="22"/>
          <w:lang w:eastAsia="en-AU"/>
        </w:rPr>
        <w:tab/>
      </w:r>
      <w:r>
        <w:rPr>
          <w:szCs w:val="22"/>
          <w:lang w:eastAsia="en-AU"/>
        </w:rPr>
        <w:t>On application by ASIC, the Court may disqualify a person from</w:t>
      </w:r>
      <w:r w:rsidR="00744EBB">
        <w:rPr>
          <w:szCs w:val="22"/>
          <w:lang w:eastAsia="en-AU"/>
        </w:rPr>
        <w:t xml:space="preserve"> </w:t>
      </w:r>
      <w:r>
        <w:rPr>
          <w:szCs w:val="22"/>
          <w:lang w:eastAsia="en-AU"/>
        </w:rPr>
        <w:t>managing corporations for a period that the Court considers</w:t>
      </w:r>
      <w:r w:rsidR="00744EBB">
        <w:rPr>
          <w:szCs w:val="22"/>
          <w:lang w:eastAsia="en-AU"/>
        </w:rPr>
        <w:t xml:space="preserve"> </w:t>
      </w:r>
      <w:r>
        <w:rPr>
          <w:szCs w:val="22"/>
          <w:lang w:eastAsia="en-AU"/>
        </w:rPr>
        <w:t>appropriate if:</w:t>
      </w:r>
    </w:p>
    <w:p w14:paraId="23D6728A" w14:textId="0123CF67" w:rsidR="00593A0D" w:rsidRPr="007D440F" w:rsidRDefault="00744EBB" w:rsidP="007D440F">
      <w:pPr>
        <w:pStyle w:val="Quote2"/>
        <w:rPr>
          <w:b/>
          <w:bCs/>
          <w:lang w:eastAsia="en-AU"/>
        </w:rPr>
      </w:pPr>
      <w:r>
        <w:rPr>
          <w:lang w:eastAsia="en-AU"/>
        </w:rPr>
        <w:t>(a)</w:t>
      </w:r>
      <w:r>
        <w:rPr>
          <w:lang w:eastAsia="en-AU"/>
        </w:rPr>
        <w:tab/>
      </w:r>
      <w:r w:rsidR="00593A0D" w:rsidRPr="007D440F">
        <w:rPr>
          <w:b/>
          <w:bCs/>
          <w:lang w:eastAsia="en-AU"/>
        </w:rPr>
        <w:t>a declaration is made under:</w:t>
      </w:r>
    </w:p>
    <w:p w14:paraId="5728784A" w14:textId="510FC9E1" w:rsidR="00593A0D" w:rsidRDefault="00593A0D" w:rsidP="007D440F">
      <w:pPr>
        <w:pStyle w:val="Quote3"/>
        <w:ind w:left="2880" w:hanging="720"/>
        <w:rPr>
          <w:lang w:eastAsia="en-AU"/>
        </w:rPr>
      </w:pPr>
      <w:r>
        <w:rPr>
          <w:lang w:eastAsia="en-AU"/>
        </w:rPr>
        <w:t>(</w:t>
      </w:r>
      <w:proofErr w:type="spellStart"/>
      <w:r>
        <w:rPr>
          <w:lang w:eastAsia="en-AU"/>
        </w:rPr>
        <w:t>i</w:t>
      </w:r>
      <w:proofErr w:type="spellEnd"/>
      <w:r>
        <w:rPr>
          <w:lang w:eastAsia="en-AU"/>
        </w:rPr>
        <w:t>)</w:t>
      </w:r>
      <w:r w:rsidR="00744EBB">
        <w:rPr>
          <w:lang w:eastAsia="en-AU"/>
        </w:rPr>
        <w:tab/>
      </w:r>
      <w:r w:rsidRPr="00744EBB">
        <w:rPr>
          <w:b/>
          <w:bCs/>
          <w:lang w:eastAsia="en-AU"/>
        </w:rPr>
        <w:t>section 1317E</w:t>
      </w:r>
      <w:r>
        <w:rPr>
          <w:lang w:eastAsia="en-AU"/>
        </w:rPr>
        <w:t xml:space="preserve"> (civil penalty provision) that the person</w:t>
      </w:r>
      <w:r w:rsidR="00744EBB">
        <w:rPr>
          <w:lang w:eastAsia="en-AU"/>
        </w:rPr>
        <w:t xml:space="preserve"> </w:t>
      </w:r>
      <w:r>
        <w:rPr>
          <w:lang w:eastAsia="en-AU"/>
        </w:rPr>
        <w:t>has contravened a corporation/scheme civil penalty</w:t>
      </w:r>
      <w:r w:rsidR="00744EBB">
        <w:rPr>
          <w:lang w:eastAsia="en-AU"/>
        </w:rPr>
        <w:t xml:space="preserve"> </w:t>
      </w:r>
      <w:r>
        <w:rPr>
          <w:lang w:eastAsia="en-AU"/>
        </w:rPr>
        <w:t>provision or subsection 670</w:t>
      </w:r>
      <w:proofErr w:type="gramStart"/>
      <w:r>
        <w:rPr>
          <w:lang w:eastAsia="en-AU"/>
        </w:rPr>
        <w:t>A(</w:t>
      </w:r>
      <w:proofErr w:type="gramEnd"/>
      <w:r>
        <w:rPr>
          <w:lang w:eastAsia="en-AU"/>
        </w:rPr>
        <w:t>4), 727(6), 728(4) or</w:t>
      </w:r>
      <w:r w:rsidR="00744EBB">
        <w:rPr>
          <w:lang w:eastAsia="en-AU"/>
        </w:rPr>
        <w:t xml:space="preserve"> </w:t>
      </w:r>
      <w:r w:rsidRPr="00744EBB">
        <w:rPr>
          <w:b/>
          <w:bCs/>
          <w:lang w:eastAsia="en-AU"/>
        </w:rPr>
        <w:t>1309(12)</w:t>
      </w:r>
      <w:r>
        <w:rPr>
          <w:lang w:eastAsia="en-AU"/>
        </w:rPr>
        <w:t>; or</w:t>
      </w:r>
    </w:p>
    <w:p w14:paraId="0E52EDAB" w14:textId="3185A990" w:rsidR="00593A0D" w:rsidRDefault="00744EBB" w:rsidP="007D440F">
      <w:pPr>
        <w:pStyle w:val="Quote3"/>
        <w:rPr>
          <w:lang w:eastAsia="en-AU"/>
        </w:rPr>
      </w:pPr>
      <w:r>
        <w:rPr>
          <w:lang w:eastAsia="en-AU"/>
        </w:rPr>
        <w:t>…</w:t>
      </w:r>
      <w:r w:rsidR="00593A0D">
        <w:rPr>
          <w:lang w:eastAsia="en-AU"/>
        </w:rPr>
        <w:t>; and</w:t>
      </w:r>
    </w:p>
    <w:p w14:paraId="1E747A63" w14:textId="6FC6D28D" w:rsidR="00593A0D" w:rsidRDefault="00593A0D" w:rsidP="0089683F">
      <w:pPr>
        <w:pStyle w:val="Quote2"/>
        <w:rPr>
          <w:szCs w:val="22"/>
          <w:lang w:eastAsia="en-AU"/>
        </w:rPr>
      </w:pPr>
      <w:r w:rsidRPr="007D440F">
        <w:t>(b)</w:t>
      </w:r>
      <w:r w:rsidR="00744EBB" w:rsidRPr="007D440F">
        <w:tab/>
      </w:r>
      <w:r w:rsidRPr="007D440F">
        <w:t xml:space="preserve"> the Court is satisfied that the disqualification is justified</w:t>
      </w:r>
      <w:r>
        <w:rPr>
          <w:szCs w:val="22"/>
          <w:lang w:eastAsia="en-AU"/>
        </w:rPr>
        <w:t>.</w:t>
      </w:r>
    </w:p>
    <w:p w14:paraId="792DE1E2" w14:textId="1DAC048F" w:rsidR="00593A0D" w:rsidRDefault="00593A0D" w:rsidP="00744EBB">
      <w:pPr>
        <w:pStyle w:val="Quote1"/>
        <w:ind w:left="1437" w:hanging="700"/>
        <w:rPr>
          <w:szCs w:val="22"/>
          <w:lang w:eastAsia="en-AU"/>
        </w:rPr>
      </w:pPr>
      <w:r>
        <w:rPr>
          <w:szCs w:val="22"/>
          <w:lang w:eastAsia="en-AU"/>
        </w:rPr>
        <w:t>(2)</w:t>
      </w:r>
      <w:r w:rsidR="00744EBB">
        <w:rPr>
          <w:szCs w:val="22"/>
          <w:lang w:eastAsia="en-AU"/>
        </w:rPr>
        <w:tab/>
      </w:r>
      <w:r>
        <w:rPr>
          <w:szCs w:val="22"/>
          <w:lang w:eastAsia="en-AU"/>
        </w:rPr>
        <w:t>In determining whether the disqualification is justified, the Court</w:t>
      </w:r>
      <w:r w:rsidR="00744EBB">
        <w:rPr>
          <w:szCs w:val="22"/>
          <w:lang w:eastAsia="en-AU"/>
        </w:rPr>
        <w:t xml:space="preserve"> </w:t>
      </w:r>
      <w:r>
        <w:rPr>
          <w:szCs w:val="22"/>
          <w:lang w:eastAsia="en-AU"/>
        </w:rPr>
        <w:t>may have regard to:</w:t>
      </w:r>
    </w:p>
    <w:p w14:paraId="50503273" w14:textId="7DB57148" w:rsidR="00593A0D" w:rsidRDefault="00593A0D" w:rsidP="0089683F">
      <w:pPr>
        <w:pStyle w:val="Quote2"/>
        <w:ind w:left="2160" w:hanging="720"/>
        <w:rPr>
          <w:lang w:eastAsia="en-AU"/>
        </w:rPr>
      </w:pPr>
      <w:r>
        <w:rPr>
          <w:lang w:eastAsia="en-AU"/>
        </w:rPr>
        <w:t xml:space="preserve">(a) </w:t>
      </w:r>
      <w:r w:rsidR="00744EBB">
        <w:rPr>
          <w:lang w:eastAsia="en-AU"/>
        </w:rPr>
        <w:tab/>
      </w:r>
      <w:r>
        <w:rPr>
          <w:lang w:eastAsia="en-AU"/>
        </w:rPr>
        <w:t>the person's conduct in relation to the management,</w:t>
      </w:r>
      <w:r w:rsidR="00301642">
        <w:rPr>
          <w:lang w:eastAsia="en-AU"/>
        </w:rPr>
        <w:t xml:space="preserve"> </w:t>
      </w:r>
      <w:proofErr w:type="gramStart"/>
      <w:r>
        <w:rPr>
          <w:lang w:eastAsia="en-AU"/>
        </w:rPr>
        <w:t>business</w:t>
      </w:r>
      <w:proofErr w:type="gramEnd"/>
      <w:r w:rsidR="00301642">
        <w:rPr>
          <w:lang w:eastAsia="en-AU"/>
        </w:rPr>
        <w:t xml:space="preserve"> </w:t>
      </w:r>
      <w:r>
        <w:rPr>
          <w:lang w:eastAsia="en-AU"/>
        </w:rPr>
        <w:t>or property of any corporation; and</w:t>
      </w:r>
    </w:p>
    <w:p w14:paraId="13BEBB39" w14:textId="01408889" w:rsidR="00593A0D" w:rsidRDefault="00593A0D" w:rsidP="0089683F">
      <w:pPr>
        <w:pStyle w:val="Quote2"/>
        <w:ind w:left="2160" w:hanging="720"/>
        <w:rPr>
          <w:lang w:eastAsia="en-AU"/>
        </w:rPr>
      </w:pPr>
      <w:r>
        <w:rPr>
          <w:lang w:eastAsia="en-AU"/>
        </w:rPr>
        <w:t xml:space="preserve">(b) </w:t>
      </w:r>
      <w:r w:rsidR="00301642">
        <w:rPr>
          <w:lang w:eastAsia="en-AU"/>
        </w:rPr>
        <w:tab/>
      </w:r>
      <w:r>
        <w:rPr>
          <w:lang w:eastAsia="en-AU"/>
        </w:rPr>
        <w:t>any other matters that the Court considers appropriate.</w:t>
      </w:r>
    </w:p>
    <w:p w14:paraId="6E3DED11" w14:textId="57F69A6B" w:rsidR="00301642" w:rsidRDefault="00301642" w:rsidP="00301642">
      <w:pPr>
        <w:pStyle w:val="Quote1"/>
        <w:rPr>
          <w:lang w:eastAsia="en-AU"/>
        </w:rPr>
      </w:pPr>
      <w:r>
        <w:rPr>
          <w:szCs w:val="22"/>
          <w:lang w:eastAsia="en-AU"/>
        </w:rPr>
        <w:t>…</w:t>
      </w:r>
    </w:p>
    <w:p w14:paraId="5AF77305" w14:textId="44DBEDE4" w:rsidR="002B5CEA" w:rsidRDefault="00301642" w:rsidP="000D6D80">
      <w:pPr>
        <w:pStyle w:val="ParaNumbering"/>
        <w:spacing w:after="120"/>
        <w:rPr>
          <w:lang w:eastAsia="en-AU"/>
        </w:rPr>
      </w:pPr>
      <w:r>
        <w:rPr>
          <w:lang w:eastAsia="en-AU"/>
        </w:rPr>
        <w:t xml:space="preserve">Section </w:t>
      </w:r>
      <w:r w:rsidR="004713AC" w:rsidRPr="0047431B">
        <w:rPr>
          <w:lang w:eastAsia="en-AU"/>
        </w:rPr>
        <w:t xml:space="preserve">1317G </w:t>
      </w:r>
      <w:r w:rsidR="002B5CEA">
        <w:rPr>
          <w:lang w:eastAsia="en-AU"/>
        </w:rPr>
        <w:t>provides</w:t>
      </w:r>
      <w:r>
        <w:rPr>
          <w:lang w:eastAsia="en-AU"/>
        </w:rPr>
        <w:t>, relevantly</w:t>
      </w:r>
      <w:r w:rsidR="002B5CEA">
        <w:rPr>
          <w:lang w:eastAsia="en-AU"/>
        </w:rPr>
        <w:t>:</w:t>
      </w:r>
    </w:p>
    <w:p w14:paraId="4CAD9A77" w14:textId="059B3B52" w:rsidR="004713AC" w:rsidRPr="002B5CEA" w:rsidRDefault="002B5CEA" w:rsidP="002B5CEA">
      <w:pPr>
        <w:pStyle w:val="Quote1"/>
        <w:rPr>
          <w:b/>
          <w:bCs/>
          <w:lang w:eastAsia="en-AU"/>
        </w:rPr>
      </w:pPr>
      <w:r w:rsidRPr="002B5CEA">
        <w:rPr>
          <w:b/>
          <w:bCs/>
          <w:lang w:eastAsia="en-AU"/>
        </w:rPr>
        <w:t xml:space="preserve">1317G </w:t>
      </w:r>
      <w:r w:rsidR="004713AC" w:rsidRPr="002B5CEA">
        <w:rPr>
          <w:b/>
          <w:bCs/>
          <w:lang w:eastAsia="en-AU"/>
        </w:rPr>
        <w:t>Pecuniary penalty orders</w:t>
      </w:r>
    </w:p>
    <w:p w14:paraId="3B0BA245" w14:textId="77777777" w:rsidR="004713AC" w:rsidRPr="002B5CEA" w:rsidRDefault="004713AC" w:rsidP="002B5CEA">
      <w:pPr>
        <w:pStyle w:val="Quote1"/>
        <w:rPr>
          <w:i/>
          <w:iCs/>
          <w:lang w:eastAsia="en-AU"/>
        </w:rPr>
      </w:pPr>
      <w:r w:rsidRPr="002B5CEA">
        <w:rPr>
          <w:i/>
          <w:iCs/>
          <w:lang w:eastAsia="en-AU"/>
        </w:rPr>
        <w:t xml:space="preserve">Court may order person to pay pecuniary </w:t>
      </w:r>
      <w:proofErr w:type="gramStart"/>
      <w:r w:rsidRPr="002B5CEA">
        <w:rPr>
          <w:i/>
          <w:iCs/>
          <w:lang w:eastAsia="en-AU"/>
        </w:rPr>
        <w:t>penalty</w:t>
      </w:r>
      <w:proofErr w:type="gramEnd"/>
    </w:p>
    <w:p w14:paraId="485CFF24" w14:textId="2EEA0139" w:rsidR="004713AC" w:rsidRDefault="004713AC" w:rsidP="002B5CEA">
      <w:pPr>
        <w:pStyle w:val="Quote1"/>
        <w:ind w:left="1437" w:hanging="700"/>
        <w:rPr>
          <w:lang w:eastAsia="en-AU"/>
        </w:rPr>
      </w:pPr>
      <w:r>
        <w:rPr>
          <w:lang w:eastAsia="en-AU"/>
        </w:rPr>
        <w:t xml:space="preserve">(1) </w:t>
      </w:r>
      <w:r>
        <w:rPr>
          <w:lang w:eastAsia="en-AU"/>
        </w:rPr>
        <w:tab/>
        <w:t>A Court may order a person to pay to the Commonwealth a pecuniary penalty</w:t>
      </w:r>
      <w:r w:rsidR="002B5CEA">
        <w:rPr>
          <w:lang w:eastAsia="en-AU"/>
        </w:rPr>
        <w:t xml:space="preserve"> </w:t>
      </w:r>
      <w:r>
        <w:rPr>
          <w:lang w:eastAsia="en-AU"/>
        </w:rPr>
        <w:t>in relation to the contravention of a civil penalty provision if:</w:t>
      </w:r>
    </w:p>
    <w:p w14:paraId="7A132CE1" w14:textId="6FE51B6A" w:rsidR="004713AC" w:rsidRDefault="004713AC" w:rsidP="00A0798C">
      <w:pPr>
        <w:pStyle w:val="Quote2"/>
        <w:ind w:left="2160" w:hanging="720"/>
        <w:rPr>
          <w:lang w:eastAsia="en-AU"/>
        </w:rPr>
      </w:pPr>
      <w:r>
        <w:rPr>
          <w:lang w:eastAsia="en-AU"/>
        </w:rPr>
        <w:t xml:space="preserve">(a) </w:t>
      </w:r>
      <w:r>
        <w:rPr>
          <w:lang w:eastAsia="en-AU"/>
        </w:rPr>
        <w:tab/>
        <w:t>a declaration of contravention of the civil penalty provision by the person has been made under section 1317E; and</w:t>
      </w:r>
    </w:p>
    <w:p w14:paraId="59968918" w14:textId="4359B11C" w:rsidR="007873E8" w:rsidRDefault="007873E8" w:rsidP="00A0798C">
      <w:pPr>
        <w:pStyle w:val="Quote2"/>
        <w:ind w:left="2143" w:hanging="703"/>
        <w:rPr>
          <w:lang w:eastAsia="en-AU"/>
        </w:rPr>
      </w:pPr>
      <w:r>
        <w:rPr>
          <w:lang w:eastAsia="en-AU"/>
        </w:rPr>
        <w:t>(b)</w:t>
      </w:r>
      <w:r>
        <w:rPr>
          <w:lang w:eastAsia="en-AU"/>
        </w:rPr>
        <w:tab/>
        <w:t>if the contravention is of a corporation/scheme civil penalty provision, the contravention:</w:t>
      </w:r>
    </w:p>
    <w:p w14:paraId="7F1649D6" w14:textId="77777777" w:rsidR="007873E8" w:rsidRDefault="007873E8" w:rsidP="00A0798C">
      <w:pPr>
        <w:pStyle w:val="Quote3"/>
        <w:ind w:left="2880" w:hanging="720"/>
        <w:rPr>
          <w:lang w:eastAsia="en-AU"/>
        </w:rPr>
      </w:pPr>
      <w:r>
        <w:rPr>
          <w:lang w:eastAsia="en-AU"/>
        </w:rPr>
        <w:t>(</w:t>
      </w:r>
      <w:proofErr w:type="spellStart"/>
      <w:r>
        <w:rPr>
          <w:lang w:eastAsia="en-AU"/>
        </w:rPr>
        <w:t>i</w:t>
      </w:r>
      <w:proofErr w:type="spellEnd"/>
      <w:r>
        <w:rPr>
          <w:lang w:eastAsia="en-AU"/>
        </w:rPr>
        <w:t>)</w:t>
      </w:r>
      <w:r>
        <w:rPr>
          <w:lang w:eastAsia="en-AU"/>
        </w:rPr>
        <w:tab/>
        <w:t>materially prejudices the interests of the corporation, scheme or fund, or its members; or</w:t>
      </w:r>
    </w:p>
    <w:p w14:paraId="151B9B12" w14:textId="77777777" w:rsidR="007873E8" w:rsidRDefault="007873E8" w:rsidP="00A0798C">
      <w:pPr>
        <w:pStyle w:val="Quote3"/>
        <w:ind w:left="2880" w:hanging="720"/>
        <w:rPr>
          <w:lang w:eastAsia="en-AU"/>
        </w:rPr>
      </w:pPr>
      <w:r>
        <w:rPr>
          <w:lang w:eastAsia="en-AU"/>
        </w:rPr>
        <w:t>(ii)</w:t>
      </w:r>
      <w:r>
        <w:rPr>
          <w:lang w:eastAsia="en-AU"/>
        </w:rPr>
        <w:tab/>
        <w:t>materially prejudices the corporation's ability to pay its creditors; or</w:t>
      </w:r>
    </w:p>
    <w:p w14:paraId="5F18AC9F" w14:textId="77777777" w:rsidR="007873E8" w:rsidRDefault="007873E8" w:rsidP="00A0798C">
      <w:pPr>
        <w:pStyle w:val="Quote3"/>
        <w:rPr>
          <w:lang w:eastAsia="en-AU"/>
        </w:rPr>
      </w:pPr>
      <w:r>
        <w:rPr>
          <w:lang w:eastAsia="en-AU"/>
        </w:rPr>
        <w:lastRenderedPageBreak/>
        <w:t xml:space="preserve">(iii) </w:t>
      </w:r>
      <w:r>
        <w:rPr>
          <w:lang w:eastAsia="en-AU"/>
        </w:rPr>
        <w:tab/>
        <w:t>is serious; and</w:t>
      </w:r>
    </w:p>
    <w:p w14:paraId="448FBDE0" w14:textId="6C7EBE17" w:rsidR="00223D25" w:rsidRDefault="00223D25" w:rsidP="00223D25">
      <w:pPr>
        <w:pStyle w:val="Quote3"/>
        <w:ind w:left="0"/>
        <w:rPr>
          <w:lang w:eastAsia="en-AU"/>
        </w:rPr>
      </w:pPr>
      <w:r>
        <w:rPr>
          <w:lang w:eastAsia="en-AU"/>
        </w:rPr>
        <w:tab/>
      </w:r>
      <w:r w:rsidR="002B0F1D">
        <w:rPr>
          <w:lang w:eastAsia="en-AU"/>
        </w:rPr>
        <w:tab/>
      </w:r>
      <w:r w:rsidR="00ED7EC1">
        <w:rPr>
          <w:lang w:eastAsia="en-AU"/>
        </w:rPr>
        <w:t>…</w:t>
      </w:r>
    </w:p>
    <w:p w14:paraId="03337EC9" w14:textId="77777777" w:rsidR="00F626A1" w:rsidRDefault="00F626A1" w:rsidP="00524D2F">
      <w:pPr>
        <w:autoSpaceDE w:val="0"/>
        <w:autoSpaceDN w:val="0"/>
        <w:adjustRightInd w:val="0"/>
        <w:spacing w:after="180" w:line="240" w:lineRule="auto"/>
        <w:ind w:left="720" w:firstLine="720"/>
        <w:jc w:val="left"/>
        <w:rPr>
          <w:i/>
          <w:iCs/>
          <w:sz w:val="22"/>
          <w:szCs w:val="22"/>
          <w:lang w:eastAsia="en-AU"/>
        </w:rPr>
      </w:pPr>
      <w:r>
        <w:rPr>
          <w:i/>
          <w:iCs/>
          <w:sz w:val="22"/>
          <w:szCs w:val="22"/>
          <w:lang w:eastAsia="en-AU"/>
        </w:rPr>
        <w:t>Maximum pecuniary penalty</w:t>
      </w:r>
    </w:p>
    <w:p w14:paraId="6485013F" w14:textId="77777777" w:rsidR="00F70E38" w:rsidRDefault="00F626A1" w:rsidP="00F70E38">
      <w:pPr>
        <w:pStyle w:val="Quote1"/>
        <w:ind w:left="1437" w:hanging="700"/>
        <w:rPr>
          <w:lang w:eastAsia="en-AU"/>
        </w:rPr>
      </w:pPr>
      <w:r>
        <w:rPr>
          <w:lang w:eastAsia="en-AU"/>
        </w:rPr>
        <w:t xml:space="preserve">(2) </w:t>
      </w:r>
      <w:r>
        <w:rPr>
          <w:lang w:eastAsia="en-AU"/>
        </w:rPr>
        <w:tab/>
        <w:t>The pecuniary penalty must not exceed the pecuniary penalty</w:t>
      </w:r>
      <w:r w:rsidR="00F70E38">
        <w:rPr>
          <w:lang w:eastAsia="en-AU"/>
        </w:rPr>
        <w:t xml:space="preserve"> </w:t>
      </w:r>
      <w:r>
        <w:rPr>
          <w:lang w:eastAsia="en-AU"/>
        </w:rPr>
        <w:t>applicable to the contravention of the civil penalty provision.</w:t>
      </w:r>
      <w:r w:rsidR="008D56D3">
        <w:rPr>
          <w:lang w:eastAsia="en-AU"/>
        </w:rPr>
        <w:tab/>
      </w:r>
    </w:p>
    <w:p w14:paraId="5C2D9E3F" w14:textId="10166C61" w:rsidR="00D76DC8" w:rsidRPr="00E3168C" w:rsidRDefault="00D76DC8" w:rsidP="00524D2F">
      <w:pPr>
        <w:pStyle w:val="Quote1"/>
        <w:ind w:left="1437" w:firstLine="3"/>
        <w:rPr>
          <w:i/>
          <w:iCs/>
          <w:lang w:eastAsia="en-AU"/>
        </w:rPr>
      </w:pPr>
      <w:r w:rsidRPr="00E3168C">
        <w:rPr>
          <w:i/>
          <w:iCs/>
          <w:lang w:eastAsia="en-AU"/>
        </w:rPr>
        <w:t>Pecuniary penalty applicable to the contravention of a civil penalty provision-by an individual</w:t>
      </w:r>
    </w:p>
    <w:p w14:paraId="308F42ED" w14:textId="3724219D" w:rsidR="00D76DC8" w:rsidRDefault="00D76DC8" w:rsidP="008D56D3">
      <w:pPr>
        <w:pStyle w:val="Quote1"/>
        <w:ind w:left="1437" w:hanging="700"/>
        <w:rPr>
          <w:lang w:eastAsia="en-AU"/>
        </w:rPr>
      </w:pPr>
      <w:r>
        <w:rPr>
          <w:lang w:eastAsia="en-AU"/>
        </w:rPr>
        <w:t xml:space="preserve">(3) </w:t>
      </w:r>
      <w:r w:rsidR="008D56D3">
        <w:rPr>
          <w:lang w:eastAsia="en-AU"/>
        </w:rPr>
        <w:tab/>
      </w:r>
      <w:r>
        <w:rPr>
          <w:lang w:eastAsia="en-AU"/>
        </w:rPr>
        <w:t xml:space="preserve">The </w:t>
      </w:r>
      <w:r w:rsidRPr="009F7539">
        <w:rPr>
          <w:b/>
          <w:bCs/>
          <w:i/>
          <w:iCs/>
          <w:sz w:val="21"/>
          <w:szCs w:val="21"/>
          <w:lang w:eastAsia="en-AU"/>
        </w:rPr>
        <w:t>pecuniary penalty applicable</w:t>
      </w:r>
      <w:r>
        <w:rPr>
          <w:i/>
          <w:iCs/>
          <w:sz w:val="21"/>
          <w:szCs w:val="21"/>
          <w:lang w:eastAsia="en-AU"/>
        </w:rPr>
        <w:t xml:space="preserve"> </w:t>
      </w:r>
      <w:r>
        <w:rPr>
          <w:lang w:eastAsia="en-AU"/>
        </w:rPr>
        <w:t>to the contravention of a civil</w:t>
      </w:r>
      <w:r w:rsidR="008D56D3">
        <w:rPr>
          <w:lang w:eastAsia="en-AU"/>
        </w:rPr>
        <w:t xml:space="preserve"> </w:t>
      </w:r>
      <w:r>
        <w:rPr>
          <w:lang w:eastAsia="en-AU"/>
        </w:rPr>
        <w:t>penalty provision by an individual is the greater of:</w:t>
      </w:r>
    </w:p>
    <w:p w14:paraId="03074057" w14:textId="002A62F9" w:rsidR="00D76DC8" w:rsidRPr="005729E0" w:rsidRDefault="00D76DC8" w:rsidP="008C0FCB">
      <w:pPr>
        <w:pStyle w:val="Quote2"/>
      </w:pPr>
      <w:r>
        <w:rPr>
          <w:lang w:eastAsia="en-AU"/>
        </w:rPr>
        <w:t xml:space="preserve">(a) </w:t>
      </w:r>
      <w:r w:rsidR="008D56D3">
        <w:rPr>
          <w:lang w:eastAsia="en-AU"/>
        </w:rPr>
        <w:tab/>
      </w:r>
      <w:r>
        <w:rPr>
          <w:lang w:eastAsia="en-AU"/>
        </w:rPr>
        <w:t>5,000 penalty units; and</w:t>
      </w:r>
    </w:p>
    <w:p w14:paraId="4DEEDA6B" w14:textId="549E5BD6" w:rsidR="00D76DC8" w:rsidRPr="009A689C" w:rsidRDefault="00D76DC8" w:rsidP="008C0FCB">
      <w:pPr>
        <w:pStyle w:val="Quote2"/>
        <w:ind w:left="2160" w:hanging="720"/>
        <w:rPr>
          <w:lang w:eastAsia="en-AU"/>
        </w:rPr>
      </w:pPr>
      <w:r>
        <w:rPr>
          <w:lang w:eastAsia="en-AU"/>
        </w:rPr>
        <w:t xml:space="preserve">(b) </w:t>
      </w:r>
      <w:r w:rsidR="008D56D3">
        <w:rPr>
          <w:lang w:eastAsia="en-AU"/>
        </w:rPr>
        <w:tab/>
      </w:r>
      <w:r>
        <w:rPr>
          <w:lang w:eastAsia="en-AU"/>
        </w:rPr>
        <w:t>if the Court can determine the benefit derived and detriment</w:t>
      </w:r>
      <w:r w:rsidR="008D56D3">
        <w:rPr>
          <w:lang w:eastAsia="en-AU"/>
        </w:rPr>
        <w:t xml:space="preserve"> </w:t>
      </w:r>
      <w:r>
        <w:rPr>
          <w:lang w:eastAsia="en-AU"/>
        </w:rPr>
        <w:t xml:space="preserve">avoided </w:t>
      </w:r>
      <w:r w:rsidRPr="009A689C">
        <w:rPr>
          <w:lang w:eastAsia="en-AU"/>
        </w:rPr>
        <w:t>because of the contravention-that amount</w:t>
      </w:r>
      <w:r w:rsidR="008D56D3" w:rsidRPr="009A689C">
        <w:rPr>
          <w:lang w:eastAsia="en-AU"/>
        </w:rPr>
        <w:t xml:space="preserve"> </w:t>
      </w:r>
      <w:r w:rsidRPr="009A689C">
        <w:rPr>
          <w:lang w:eastAsia="en-AU"/>
        </w:rPr>
        <w:t>multiplied by 3.</w:t>
      </w:r>
    </w:p>
    <w:p w14:paraId="4E060FBC" w14:textId="14A386A9" w:rsidR="007873E8" w:rsidRPr="000D6D80" w:rsidRDefault="00E3168C" w:rsidP="000D6D80">
      <w:pPr>
        <w:pStyle w:val="Quote3"/>
      </w:pPr>
      <w:r w:rsidRPr="000D6D80">
        <w:t>…</w:t>
      </w:r>
    </w:p>
    <w:p w14:paraId="7AFF18E6" w14:textId="5724A230" w:rsidR="00440CCB" w:rsidRPr="000D6D80" w:rsidRDefault="00492582" w:rsidP="000D6D80">
      <w:pPr>
        <w:pStyle w:val="Quote1"/>
      </w:pPr>
      <w:r w:rsidRPr="000D6D80">
        <w:t>…</w:t>
      </w:r>
    </w:p>
    <w:p w14:paraId="7B6D27A3" w14:textId="02E132DD" w:rsidR="00E3168C" w:rsidRPr="009A689C" w:rsidRDefault="00E3168C" w:rsidP="00E3168C">
      <w:pPr>
        <w:pStyle w:val="Quote1"/>
        <w:ind w:firstLine="700"/>
        <w:rPr>
          <w:i/>
          <w:iCs/>
          <w:szCs w:val="22"/>
          <w:lang w:eastAsia="en-AU"/>
        </w:rPr>
      </w:pPr>
      <w:r w:rsidRPr="009A689C">
        <w:rPr>
          <w:i/>
          <w:iCs/>
          <w:szCs w:val="22"/>
          <w:lang w:eastAsia="en-AU"/>
        </w:rPr>
        <w:t>Determining pecuniary penalty</w:t>
      </w:r>
    </w:p>
    <w:p w14:paraId="259698B8" w14:textId="77777777" w:rsidR="00E3168C" w:rsidRPr="009A689C" w:rsidRDefault="00E3168C" w:rsidP="00E3168C">
      <w:pPr>
        <w:pStyle w:val="Quote1"/>
        <w:ind w:left="1437" w:hanging="700"/>
        <w:rPr>
          <w:szCs w:val="22"/>
          <w:lang w:eastAsia="en-AU"/>
        </w:rPr>
      </w:pPr>
      <w:r w:rsidRPr="009A689C">
        <w:rPr>
          <w:szCs w:val="22"/>
          <w:lang w:eastAsia="en-AU"/>
        </w:rPr>
        <w:t xml:space="preserve">(6) </w:t>
      </w:r>
      <w:r w:rsidRPr="009A689C">
        <w:rPr>
          <w:szCs w:val="22"/>
          <w:lang w:eastAsia="en-AU"/>
        </w:rPr>
        <w:tab/>
        <w:t xml:space="preserve">In determining the pecuniary penalty, the Court must </w:t>
      </w:r>
      <w:proofErr w:type="gramStart"/>
      <w:r w:rsidRPr="009A689C">
        <w:rPr>
          <w:szCs w:val="22"/>
          <w:lang w:eastAsia="en-AU"/>
        </w:rPr>
        <w:t>take into account</w:t>
      </w:r>
      <w:proofErr w:type="gramEnd"/>
      <w:r w:rsidRPr="009A689C">
        <w:rPr>
          <w:szCs w:val="22"/>
          <w:lang w:eastAsia="en-AU"/>
        </w:rPr>
        <w:t xml:space="preserve"> all </w:t>
      </w:r>
      <w:r w:rsidR="008C0FCB" w:rsidRPr="009A689C">
        <w:rPr>
          <w:szCs w:val="22"/>
          <w:lang w:eastAsia="en-AU"/>
        </w:rPr>
        <w:t>r</w:t>
      </w:r>
      <w:r w:rsidRPr="009A689C">
        <w:rPr>
          <w:szCs w:val="22"/>
          <w:lang w:eastAsia="en-AU"/>
        </w:rPr>
        <w:t>elevant matters, including:</w:t>
      </w:r>
    </w:p>
    <w:p w14:paraId="1D6D921A" w14:textId="77777777" w:rsidR="00E3168C" w:rsidRPr="009A689C" w:rsidRDefault="00E3168C" w:rsidP="0089683F">
      <w:pPr>
        <w:pStyle w:val="Quote2"/>
        <w:ind w:left="2160" w:hanging="720"/>
        <w:rPr>
          <w:lang w:eastAsia="en-AU"/>
        </w:rPr>
      </w:pPr>
      <w:r w:rsidRPr="009A689C">
        <w:rPr>
          <w:lang w:eastAsia="en-AU"/>
        </w:rPr>
        <w:t xml:space="preserve">(a) </w:t>
      </w:r>
      <w:r w:rsidRPr="009A689C">
        <w:rPr>
          <w:lang w:eastAsia="en-AU"/>
        </w:rPr>
        <w:tab/>
        <w:t>the nature and extent of the contravention; and</w:t>
      </w:r>
    </w:p>
    <w:p w14:paraId="0F8ABF52" w14:textId="77777777" w:rsidR="00E3168C" w:rsidRPr="009A689C" w:rsidRDefault="00E3168C" w:rsidP="0089683F">
      <w:pPr>
        <w:pStyle w:val="Quote2"/>
        <w:ind w:left="2160" w:hanging="720"/>
        <w:rPr>
          <w:lang w:eastAsia="en-AU"/>
        </w:rPr>
      </w:pPr>
      <w:r w:rsidRPr="009A689C">
        <w:rPr>
          <w:lang w:eastAsia="en-AU"/>
        </w:rPr>
        <w:t xml:space="preserve">(b) </w:t>
      </w:r>
      <w:r w:rsidRPr="009A689C">
        <w:rPr>
          <w:lang w:eastAsia="en-AU"/>
        </w:rPr>
        <w:tab/>
        <w:t xml:space="preserve">the nature and extent of any loss or damage suffered because of the contravention; and </w:t>
      </w:r>
    </w:p>
    <w:p w14:paraId="58DA7864" w14:textId="47A32347" w:rsidR="00E3168C" w:rsidRPr="009A689C" w:rsidRDefault="00E3168C" w:rsidP="0089683F">
      <w:pPr>
        <w:pStyle w:val="Quote2"/>
        <w:ind w:left="2160" w:hanging="720"/>
        <w:rPr>
          <w:sz w:val="21"/>
          <w:szCs w:val="21"/>
          <w:lang w:eastAsia="en-AU"/>
        </w:rPr>
      </w:pPr>
      <w:r w:rsidRPr="009A689C">
        <w:rPr>
          <w:sz w:val="21"/>
          <w:szCs w:val="21"/>
          <w:lang w:eastAsia="en-AU"/>
        </w:rPr>
        <w:t>(c)</w:t>
      </w:r>
      <w:r w:rsidRPr="009A689C">
        <w:rPr>
          <w:sz w:val="21"/>
          <w:szCs w:val="21"/>
          <w:lang w:eastAsia="en-AU"/>
        </w:rPr>
        <w:tab/>
        <w:t>the circumstances in which the contravention took place; and</w:t>
      </w:r>
    </w:p>
    <w:p w14:paraId="06FDAC20" w14:textId="402CB01A" w:rsidR="00E3168C" w:rsidRPr="009A689C" w:rsidRDefault="00E3168C" w:rsidP="0089683F">
      <w:pPr>
        <w:pStyle w:val="Quote2"/>
        <w:ind w:left="2160" w:hanging="720"/>
      </w:pPr>
      <w:r w:rsidRPr="009A689C">
        <w:rPr>
          <w:sz w:val="21"/>
          <w:szCs w:val="21"/>
          <w:lang w:eastAsia="en-AU"/>
        </w:rPr>
        <w:t>(d)</w:t>
      </w:r>
      <w:r w:rsidRPr="009A689C">
        <w:rPr>
          <w:sz w:val="21"/>
          <w:szCs w:val="21"/>
          <w:lang w:eastAsia="en-AU"/>
        </w:rPr>
        <w:tab/>
        <w:t>whether the person has previously been found by a court (including a court in foreign country) to have engaged in similar conduct.</w:t>
      </w:r>
      <w:r w:rsidRPr="009A689C">
        <w:rPr>
          <w:lang w:eastAsia="en-AU"/>
        </w:rPr>
        <w:t xml:space="preserve"> </w:t>
      </w:r>
    </w:p>
    <w:p w14:paraId="37705B2F" w14:textId="4D2E9AD4" w:rsidR="00301642" w:rsidRPr="009A689C" w:rsidRDefault="00301642" w:rsidP="00301642">
      <w:pPr>
        <w:pStyle w:val="Heading2"/>
      </w:pPr>
      <w:bookmarkStart w:id="59" w:name="_Ref161757966"/>
      <w:r w:rsidRPr="009A689C">
        <w:t>Disqualification</w:t>
      </w:r>
      <w:bookmarkEnd w:id="59"/>
    </w:p>
    <w:p w14:paraId="52761C27" w14:textId="391BE6DA" w:rsidR="00886405" w:rsidRPr="009A689C" w:rsidRDefault="008B20B8" w:rsidP="000D6D80">
      <w:pPr>
        <w:pStyle w:val="ParaNumbering"/>
      </w:pPr>
      <w:r w:rsidRPr="009A689C">
        <w:t xml:space="preserve">ASIC and Dr </w:t>
      </w:r>
      <w:proofErr w:type="spellStart"/>
      <w:r w:rsidRPr="009A689C">
        <w:t>Marnickavasagar</w:t>
      </w:r>
      <w:proofErr w:type="spellEnd"/>
      <w:r w:rsidRPr="009A689C">
        <w:t xml:space="preserve">, jointly submit that it is appropriate for the Court to </w:t>
      </w:r>
      <w:r w:rsidR="00283827" w:rsidRPr="009A689C">
        <w:t xml:space="preserve">disqualify </w:t>
      </w:r>
      <w:r w:rsidRPr="009A689C">
        <w:t xml:space="preserve">Dr </w:t>
      </w:r>
      <w:proofErr w:type="spellStart"/>
      <w:r w:rsidRPr="009A689C">
        <w:t>Marnickavasagar</w:t>
      </w:r>
      <w:proofErr w:type="spellEnd"/>
      <w:r w:rsidRPr="009A689C">
        <w:t xml:space="preserve"> </w:t>
      </w:r>
      <w:r w:rsidR="00283827" w:rsidRPr="009A689C">
        <w:t>from being a director pursuant t</w:t>
      </w:r>
      <w:r w:rsidR="008B6582" w:rsidRPr="009A689C">
        <w:t xml:space="preserve">o s 206C of the </w:t>
      </w:r>
      <w:r w:rsidR="008B6582" w:rsidRPr="009A689C">
        <w:rPr>
          <w:i/>
          <w:iCs/>
        </w:rPr>
        <w:t>Corporations Act</w:t>
      </w:r>
      <w:r w:rsidR="008B6582" w:rsidRPr="009A689C">
        <w:t xml:space="preserve"> for a period of 4 years, and that he be ordered to pay a pecuniary penalty </w:t>
      </w:r>
      <w:r w:rsidR="00F34137" w:rsidRPr="009A689C">
        <w:t xml:space="preserve">under s 1317G of $150,000 in respect of his contraventions of s 180(1) and </w:t>
      </w:r>
      <w:r w:rsidR="00D26449" w:rsidRPr="009A689C">
        <w:t>ss 1309(2) and (12).</w:t>
      </w:r>
      <w:r w:rsidR="008B6582" w:rsidRPr="009A689C">
        <w:t xml:space="preserve"> </w:t>
      </w:r>
      <w:r w:rsidR="00040673" w:rsidRPr="009A689C">
        <w:t xml:space="preserve">It is appropriate that the </w:t>
      </w:r>
      <w:r w:rsidR="002D34DD" w:rsidRPr="009A689C">
        <w:t>disqualification order be considered first</w:t>
      </w:r>
      <w:r w:rsidR="00C76D2A" w:rsidRPr="009A689C">
        <w:t>,</w:t>
      </w:r>
      <w:r w:rsidR="002D34DD" w:rsidRPr="009A689C">
        <w:t xml:space="preserve"> and before any pecuniary penalty is assessed: </w:t>
      </w:r>
      <w:r w:rsidR="002D34DD" w:rsidRPr="009A689C">
        <w:rPr>
          <w:i/>
        </w:rPr>
        <w:t>Cruickshank v Australian Securities and Investments Commission</w:t>
      </w:r>
      <w:r w:rsidR="002D34DD" w:rsidRPr="009A689C">
        <w:t xml:space="preserve"> [2022] FCAFC 128; 292 FCR 627 at [143]-[145].</w:t>
      </w:r>
      <w:r w:rsidR="00A540EB" w:rsidRPr="009A689C">
        <w:t xml:space="preserve"> As Allsop CJ said, at</w:t>
      </w:r>
      <w:r w:rsidR="00190A80" w:rsidRPr="009A689C">
        <w:t xml:space="preserve"> [144]:</w:t>
      </w:r>
    </w:p>
    <w:p w14:paraId="6AA2CC6B" w14:textId="1A699911" w:rsidR="00CB1646" w:rsidRPr="009A689C" w:rsidRDefault="00190A80" w:rsidP="003D44C6">
      <w:pPr>
        <w:pStyle w:val="Quote1"/>
        <w:spacing w:after="240"/>
      </w:pPr>
      <w:r w:rsidRPr="009A689C">
        <w:t xml:space="preserve">This long-standing practice makes sense in that the primary purpose of disqualification orders is the protection of the public, while the purpose of a pecuniary penalty is to act as a specific and general deterrent to the </w:t>
      </w:r>
      <w:proofErr w:type="gramStart"/>
      <w:r w:rsidRPr="009A689C">
        <w:t>general public</w:t>
      </w:r>
      <w:proofErr w:type="gramEnd"/>
      <w:r w:rsidRPr="009A689C">
        <w:t xml:space="preserve"> against repetition of like conduct</w:t>
      </w:r>
      <w:r w:rsidR="00B10284" w:rsidRPr="009A689C">
        <w:t xml:space="preserve">: </w:t>
      </w:r>
      <w:r w:rsidR="00B10284" w:rsidRPr="009A689C">
        <w:rPr>
          <w:i/>
        </w:rPr>
        <w:t>Australian Securities and Investments Commission v Adler</w:t>
      </w:r>
      <w:r w:rsidR="00B10284" w:rsidRPr="009A689C">
        <w:t xml:space="preserve"> [2002] NSWSC 483; 42 ACSR 80 per Santow J at [60] and [125]</w:t>
      </w:r>
      <w:r w:rsidRPr="009A689C">
        <w:t>.</w:t>
      </w:r>
    </w:p>
    <w:p w14:paraId="3F24CF11" w14:textId="6932B111" w:rsidR="00780F55" w:rsidRPr="009A689C" w:rsidRDefault="00000BDA" w:rsidP="000D6D80">
      <w:pPr>
        <w:pStyle w:val="ParaNumbering"/>
      </w:pPr>
      <w:r w:rsidRPr="009A689C">
        <w:lastRenderedPageBreak/>
        <w:t xml:space="preserve">In </w:t>
      </w:r>
      <w:r w:rsidR="004C0351" w:rsidRPr="009A689C">
        <w:t xml:space="preserve">considering the appropriateness of the disqualification period proposed jointly by ASIC and Dr </w:t>
      </w:r>
      <w:proofErr w:type="spellStart"/>
      <w:r w:rsidR="008B2DAC" w:rsidRPr="009A689C">
        <w:t>Marnickavasagar</w:t>
      </w:r>
      <w:proofErr w:type="spellEnd"/>
      <w:r w:rsidR="00780F55" w:rsidRPr="009A689C">
        <w:t xml:space="preserve">, I have </w:t>
      </w:r>
      <w:proofErr w:type="gramStart"/>
      <w:r w:rsidR="00780F55" w:rsidRPr="009A689C">
        <w:t>taken into account</w:t>
      </w:r>
      <w:proofErr w:type="gramEnd"/>
      <w:r w:rsidR="00780F55" w:rsidRPr="009A689C">
        <w:t xml:space="preserve"> the following factors:</w:t>
      </w:r>
    </w:p>
    <w:p w14:paraId="1C3A79B5" w14:textId="7EC38CDA" w:rsidR="00190A80" w:rsidRPr="009A689C" w:rsidRDefault="005F2056" w:rsidP="00A4777A">
      <w:pPr>
        <w:pStyle w:val="ListNo1"/>
        <w:numPr>
          <w:ilvl w:val="0"/>
          <w:numId w:val="35"/>
        </w:numPr>
      </w:pPr>
      <w:r w:rsidRPr="009A689C">
        <w:t>t</w:t>
      </w:r>
      <w:r w:rsidR="0019594D" w:rsidRPr="009A689C">
        <w:t>he seniority of</w:t>
      </w:r>
      <w:r w:rsidR="004C0351" w:rsidRPr="009A689C">
        <w:t xml:space="preserve"> </w:t>
      </w:r>
      <w:r w:rsidR="0019594D" w:rsidRPr="009A689C">
        <w:t xml:space="preserve">Dr </w:t>
      </w:r>
      <w:proofErr w:type="spellStart"/>
      <w:r w:rsidR="000B610E" w:rsidRPr="009A689C">
        <w:t>Marnickavasagar</w:t>
      </w:r>
      <w:proofErr w:type="spellEnd"/>
      <w:r w:rsidR="0019594D" w:rsidRPr="009A689C">
        <w:t>, being both CEO and Board Member</w:t>
      </w:r>
      <w:r w:rsidRPr="009A689C">
        <w:t xml:space="preserve"> since </w:t>
      </w:r>
      <w:proofErr w:type="gramStart"/>
      <w:r w:rsidRPr="009A689C">
        <w:t>2009;</w:t>
      </w:r>
      <w:proofErr w:type="gramEnd"/>
    </w:p>
    <w:p w14:paraId="27C2780E" w14:textId="7E741AD3" w:rsidR="005F2056" w:rsidRPr="009A689C" w:rsidRDefault="005F2056" w:rsidP="00A4777A">
      <w:pPr>
        <w:pStyle w:val="ListNo1"/>
        <w:numPr>
          <w:ilvl w:val="0"/>
          <w:numId w:val="35"/>
        </w:numPr>
      </w:pPr>
      <w:r w:rsidRPr="009A689C">
        <w:t>the admitted contravention</w:t>
      </w:r>
      <w:r w:rsidR="00AF564D" w:rsidRPr="009A689C">
        <w:t>s</w:t>
      </w:r>
      <w:r w:rsidR="00C0177B" w:rsidRPr="009A689C">
        <w:t xml:space="preserve"> which</w:t>
      </w:r>
      <w:r w:rsidR="003708A7" w:rsidRPr="009A689C">
        <w:t xml:space="preserve"> I have characterised as one course of conduct, albeit serious</w:t>
      </w:r>
      <w:r w:rsidR="00C76D2A" w:rsidRPr="009A689C">
        <w:t>,</w:t>
      </w:r>
      <w:r w:rsidR="0052797F" w:rsidRPr="009A689C">
        <w:t xml:space="preserve"> and the need to protect the public from similar </w:t>
      </w:r>
      <w:proofErr w:type="gramStart"/>
      <w:r w:rsidR="0052797F" w:rsidRPr="009A689C">
        <w:t>contraventions</w:t>
      </w:r>
      <w:r w:rsidR="0060263C" w:rsidRPr="009A689C">
        <w:t>;</w:t>
      </w:r>
      <w:proofErr w:type="gramEnd"/>
    </w:p>
    <w:p w14:paraId="6CDF4AB3" w14:textId="1319031E" w:rsidR="0052797F" w:rsidRPr="009A689C" w:rsidRDefault="0052797F" w:rsidP="00A4777A">
      <w:pPr>
        <w:pStyle w:val="ListNo1"/>
        <w:numPr>
          <w:ilvl w:val="0"/>
          <w:numId w:val="35"/>
        </w:numPr>
      </w:pPr>
      <w:r w:rsidRPr="009A689C">
        <w:t>the c</w:t>
      </w:r>
      <w:r w:rsidR="00A51F33" w:rsidRPr="009A689C">
        <w:t xml:space="preserve">onduct involved providing false and misleading information to the market </w:t>
      </w:r>
      <w:proofErr w:type="gramStart"/>
      <w:r w:rsidR="00A51F33" w:rsidRPr="009A689C">
        <w:t>operator</w:t>
      </w:r>
      <w:r w:rsidR="00457A6E" w:rsidRPr="009A689C">
        <w:t>;</w:t>
      </w:r>
      <w:proofErr w:type="gramEnd"/>
    </w:p>
    <w:p w14:paraId="32D42033" w14:textId="45685A4E" w:rsidR="00457A6E" w:rsidRPr="009A689C" w:rsidRDefault="00457A6E" w:rsidP="00A4777A">
      <w:pPr>
        <w:pStyle w:val="ListNo1"/>
        <w:numPr>
          <w:ilvl w:val="0"/>
          <w:numId w:val="35"/>
        </w:numPr>
      </w:pPr>
      <w:r w:rsidRPr="009A689C">
        <w:t xml:space="preserve">the </w:t>
      </w:r>
      <w:r w:rsidR="00FE573B" w:rsidRPr="009A689C">
        <w:t xml:space="preserve">information which was the basis of the contraventions represented such a significant proportion of the company’s </w:t>
      </w:r>
      <w:proofErr w:type="gramStart"/>
      <w:r w:rsidR="00FE573B" w:rsidRPr="009A689C">
        <w:t>revenue;</w:t>
      </w:r>
      <w:proofErr w:type="gramEnd"/>
    </w:p>
    <w:p w14:paraId="5579642A" w14:textId="23F01C07" w:rsidR="00B0752C" w:rsidRPr="009A689C" w:rsidRDefault="00B0752C" w:rsidP="00A4777A">
      <w:pPr>
        <w:pStyle w:val="ListNo1"/>
        <w:numPr>
          <w:ilvl w:val="0"/>
          <w:numId w:val="35"/>
        </w:numPr>
      </w:pPr>
      <w:r w:rsidRPr="009A689C">
        <w:t xml:space="preserve">the effect on </w:t>
      </w:r>
      <w:proofErr w:type="spellStart"/>
      <w:r w:rsidRPr="009A689C">
        <w:t>Holista’s</w:t>
      </w:r>
      <w:proofErr w:type="spellEnd"/>
      <w:r w:rsidRPr="009A689C">
        <w:t xml:space="preserve"> share price before and after the </w:t>
      </w:r>
      <w:r w:rsidR="00BE1C7E" w:rsidRPr="009A689C">
        <w:t xml:space="preserve">9 April 2020 Announcement, and subsequent to the corrective </w:t>
      </w:r>
      <w:proofErr w:type="gramStart"/>
      <w:r w:rsidR="00BE1C7E" w:rsidRPr="009A689C">
        <w:t>disclosure</w:t>
      </w:r>
      <w:r w:rsidR="003A7BD3" w:rsidRPr="009A689C">
        <w:t>;</w:t>
      </w:r>
      <w:proofErr w:type="gramEnd"/>
    </w:p>
    <w:p w14:paraId="5EE891FF" w14:textId="5E441542" w:rsidR="003A7BD3" w:rsidRPr="009A689C" w:rsidRDefault="003A7BD3" w:rsidP="00A4777A">
      <w:pPr>
        <w:pStyle w:val="ListNo1"/>
        <w:numPr>
          <w:ilvl w:val="0"/>
          <w:numId w:val="35"/>
        </w:numPr>
      </w:pPr>
      <w:r w:rsidRPr="009A689C">
        <w:t xml:space="preserve">the </w:t>
      </w:r>
      <w:r w:rsidR="00F719C7" w:rsidRPr="009A689C">
        <w:t xml:space="preserve">conduct extended over 3 </w:t>
      </w:r>
      <w:proofErr w:type="gramStart"/>
      <w:r w:rsidR="00F719C7" w:rsidRPr="009A689C">
        <w:t>months;</w:t>
      </w:r>
      <w:proofErr w:type="gramEnd"/>
    </w:p>
    <w:p w14:paraId="04540EA1" w14:textId="551351C0" w:rsidR="00D66BA0" w:rsidRPr="009A689C" w:rsidRDefault="00F719C7" w:rsidP="00A4777A">
      <w:pPr>
        <w:pStyle w:val="ListNo1"/>
        <w:numPr>
          <w:ilvl w:val="0"/>
          <w:numId w:val="35"/>
        </w:numPr>
      </w:pPr>
      <w:r w:rsidRPr="009A689C">
        <w:t xml:space="preserve">Dr </w:t>
      </w:r>
      <w:proofErr w:type="spellStart"/>
      <w:r w:rsidR="000B610E" w:rsidRPr="009A689C">
        <w:t>Marnickavasagar’s</w:t>
      </w:r>
      <w:proofErr w:type="spellEnd"/>
      <w:r w:rsidRPr="009A689C">
        <w:t xml:space="preserve"> conduct was reckless</w:t>
      </w:r>
      <w:r w:rsidR="00655457" w:rsidRPr="009A689C">
        <w:t xml:space="preserve"> but not deliberately wrongful or dishonest</w:t>
      </w:r>
      <w:r w:rsidR="00D66BA0" w:rsidRPr="009A689C">
        <w:t>;</w:t>
      </w:r>
      <w:r w:rsidR="000B610E" w:rsidRPr="009A689C">
        <w:t xml:space="preserve"> and</w:t>
      </w:r>
    </w:p>
    <w:p w14:paraId="45C57A56" w14:textId="30C262BD" w:rsidR="00F719C7" w:rsidRPr="009A689C" w:rsidRDefault="000631AE" w:rsidP="00A4777A">
      <w:pPr>
        <w:pStyle w:val="ListNo1"/>
        <w:numPr>
          <w:ilvl w:val="0"/>
          <w:numId w:val="35"/>
        </w:numPr>
      </w:pPr>
      <w:r w:rsidRPr="009A689C">
        <w:t>a</w:t>
      </w:r>
      <w:r w:rsidR="00D66BA0" w:rsidRPr="009A689C">
        <w:t>dmissions hav</w:t>
      </w:r>
      <w:r w:rsidR="000B610E" w:rsidRPr="009A689C">
        <w:t>ing</w:t>
      </w:r>
      <w:r w:rsidR="00D66BA0" w:rsidRPr="009A689C">
        <w:t xml:space="preserve"> been made</w:t>
      </w:r>
      <w:r w:rsidR="000B610E" w:rsidRPr="009A689C">
        <w:t>,</w:t>
      </w:r>
      <w:r w:rsidR="00D66BA0" w:rsidRPr="009A689C">
        <w:t xml:space="preserve"> albeit relatively late in the proceedings</w:t>
      </w:r>
      <w:r w:rsidRPr="009A689C">
        <w:t>.</w:t>
      </w:r>
    </w:p>
    <w:p w14:paraId="49BC7CA3" w14:textId="78B3AED6" w:rsidR="001C5E66" w:rsidRPr="009A689C" w:rsidRDefault="00C22840" w:rsidP="000D6D80">
      <w:pPr>
        <w:pStyle w:val="ParaNumbering"/>
      </w:pPr>
      <w:r w:rsidRPr="009A689C">
        <w:t>I have also had regard to the cases</w:t>
      </w:r>
      <w:r w:rsidR="00BA31DB" w:rsidRPr="009A689C">
        <w:t xml:space="preserve"> referred to in the joint submissions as being comparable: </w:t>
      </w:r>
      <w:r w:rsidR="00107059" w:rsidRPr="009A689C">
        <w:rPr>
          <w:i/>
        </w:rPr>
        <w:t xml:space="preserve">Australian Securities and Investments Commission v Blue Star Helium Ltd (No 4) </w:t>
      </w:r>
      <w:r w:rsidR="00776C5C" w:rsidRPr="009A689C">
        <w:t xml:space="preserve">[2021] FCA 1578; 158 ACSR 196; </w:t>
      </w:r>
      <w:r w:rsidR="00776C5C" w:rsidRPr="009A689C">
        <w:rPr>
          <w:i/>
        </w:rPr>
        <w:t xml:space="preserve">Australian Securities and Investments Commission v Vocation Ltd (in </w:t>
      </w:r>
      <w:proofErr w:type="spellStart"/>
      <w:r w:rsidR="00776C5C" w:rsidRPr="009A689C">
        <w:rPr>
          <w:i/>
        </w:rPr>
        <w:t>Liq</w:t>
      </w:r>
      <w:proofErr w:type="spellEnd"/>
      <w:r w:rsidR="00776C5C" w:rsidRPr="009A689C">
        <w:rPr>
          <w:i/>
        </w:rPr>
        <w:t xml:space="preserve">) (No 2) </w:t>
      </w:r>
      <w:r w:rsidR="00776C5C" w:rsidRPr="009A689C">
        <w:t>[2019]</w:t>
      </w:r>
      <w:r w:rsidR="00682082" w:rsidRPr="009A689C">
        <w:t xml:space="preserve"> FCA 1783; 140 ACSR 382; </w:t>
      </w:r>
      <w:r w:rsidR="00682082" w:rsidRPr="009A689C">
        <w:rPr>
          <w:i/>
        </w:rPr>
        <w:t>Australian Securities and Investments Commission v Padbury Mining Limited</w:t>
      </w:r>
      <w:r w:rsidR="00682082" w:rsidRPr="009A689C">
        <w:t xml:space="preserve"> [2016] FCA 990; 116 ACSR 208</w:t>
      </w:r>
      <w:r w:rsidR="003B75E0" w:rsidRPr="009A689C">
        <w:t xml:space="preserve">; </w:t>
      </w:r>
      <w:r w:rsidR="003B75E0" w:rsidRPr="009A689C">
        <w:rPr>
          <w:i/>
        </w:rPr>
        <w:t>Australian Securities and Investments Commission v MacDonald</w:t>
      </w:r>
      <w:r w:rsidR="003B75E0" w:rsidRPr="009A689C">
        <w:t xml:space="preserve"> </w:t>
      </w:r>
      <w:r w:rsidR="00696913" w:rsidRPr="009A689C">
        <w:t>[2009] NSWSC 714; 73 ACSR 638.</w:t>
      </w:r>
      <w:r w:rsidR="00682082" w:rsidRPr="009A689C">
        <w:rPr>
          <w:i/>
          <w:iCs/>
        </w:rPr>
        <w:t xml:space="preserve"> </w:t>
      </w:r>
    </w:p>
    <w:p w14:paraId="4D8C39DF" w14:textId="4901162C" w:rsidR="000631AE" w:rsidRPr="009A689C" w:rsidRDefault="000631AE" w:rsidP="000D6D80">
      <w:pPr>
        <w:pStyle w:val="ParaNumbering"/>
      </w:pPr>
      <w:r w:rsidRPr="009A689C">
        <w:t>In all the circumstances, I am sat</w:t>
      </w:r>
      <w:r w:rsidR="003E7089" w:rsidRPr="009A689C">
        <w:t>isfied that the appropriate disqualification period is 4 years.</w:t>
      </w:r>
    </w:p>
    <w:p w14:paraId="43210E2A" w14:textId="7DCB0C0B" w:rsidR="00346C5C" w:rsidRPr="009A689C" w:rsidRDefault="00346C5C" w:rsidP="00346C5C">
      <w:pPr>
        <w:pStyle w:val="Heading2"/>
      </w:pPr>
      <w:bookmarkStart w:id="60" w:name="_Ref161757967"/>
      <w:r w:rsidRPr="009A689C">
        <w:t>The appropriate pecuniary penalty</w:t>
      </w:r>
      <w:bookmarkEnd w:id="60"/>
    </w:p>
    <w:p w14:paraId="482DB391" w14:textId="1500BD65" w:rsidR="0005232B" w:rsidRPr="009A689C" w:rsidRDefault="00EF35B9" w:rsidP="000D6D80">
      <w:pPr>
        <w:pStyle w:val="ParaNumbering"/>
      </w:pPr>
      <w:r w:rsidRPr="009A689C">
        <w:t>As to the proposed pecuniary penalty, the task for the Court</w:t>
      </w:r>
      <w:r w:rsidR="00422F76" w:rsidRPr="009A689C">
        <w:t xml:space="preserve"> is to satisfy itself that the submitted penalty is appropriate: </w:t>
      </w:r>
      <w:r w:rsidR="00392973" w:rsidRPr="009A689C">
        <w:rPr>
          <w:bCs/>
          <w:i/>
        </w:rPr>
        <w:t>Fair Work</w:t>
      </w:r>
      <w:r w:rsidR="00392973" w:rsidRPr="009A689C">
        <w:t xml:space="preserve"> at [48].</w:t>
      </w:r>
      <w:r w:rsidR="00684663" w:rsidRPr="009A689C">
        <w:t xml:space="preserve"> In so doing, the Court assumes that the reg</w:t>
      </w:r>
      <w:r w:rsidR="007D69C2" w:rsidRPr="009A689C">
        <w:t>u</w:t>
      </w:r>
      <w:r w:rsidR="00684663" w:rsidRPr="009A689C">
        <w:t>lator</w:t>
      </w:r>
      <w:r w:rsidR="003F021C" w:rsidRPr="009A689C">
        <w:t xml:space="preserve"> –</w:t>
      </w:r>
      <w:r w:rsidR="00684663" w:rsidRPr="009A689C">
        <w:t xml:space="preserve"> in this case, </w:t>
      </w:r>
      <w:r w:rsidR="00A6684D" w:rsidRPr="009A689C">
        <w:t>ASIC</w:t>
      </w:r>
      <w:r w:rsidR="003F021C" w:rsidRPr="009A689C">
        <w:t xml:space="preserve"> –</w:t>
      </w:r>
      <w:r w:rsidR="00A6684D" w:rsidRPr="009A689C">
        <w:t xml:space="preserve"> “</w:t>
      </w:r>
      <w:r w:rsidR="00684663" w:rsidRPr="009A689C">
        <w:t>will</w:t>
      </w:r>
      <w:r w:rsidR="00A6684D" w:rsidRPr="009A689C">
        <w:t xml:space="preserve"> fashion penalty submissions with an overall view to achieving</w:t>
      </w:r>
      <w:r w:rsidR="007D69C2" w:rsidRPr="009A689C">
        <w:t>” its statutory functions</w:t>
      </w:r>
      <w:r w:rsidR="00D33B9E" w:rsidRPr="009A689C">
        <w:t>, which include</w:t>
      </w:r>
      <w:r w:rsidR="007D49EF" w:rsidRPr="009A689C">
        <w:t>, relevantly: to “promote the confident and informed participation of investors and consumers in the financial system”</w:t>
      </w:r>
      <w:r w:rsidR="00244D6C" w:rsidRPr="009A689C">
        <w:t xml:space="preserve"> and </w:t>
      </w:r>
      <w:r w:rsidR="001641B1" w:rsidRPr="009A689C">
        <w:t xml:space="preserve">to </w:t>
      </w:r>
      <w:r w:rsidR="00244D6C" w:rsidRPr="009A689C">
        <w:t>“</w:t>
      </w:r>
      <w:r w:rsidR="001641B1" w:rsidRPr="009A689C">
        <w:t xml:space="preserve">take whatever action </w:t>
      </w:r>
      <w:r w:rsidR="001641B1" w:rsidRPr="009A689C">
        <w:lastRenderedPageBreak/>
        <w:t>it can take, and is necessary, in order to enforce and give effect to the laws of the Commonwealth that confer functions and powers on it” (</w:t>
      </w:r>
      <w:r w:rsidR="001641B1" w:rsidRPr="009A689C">
        <w:rPr>
          <w:i/>
          <w:iCs/>
        </w:rPr>
        <w:t>ASIC Act</w:t>
      </w:r>
      <w:r w:rsidR="001641B1" w:rsidRPr="009A689C">
        <w:t xml:space="preserve"> </w:t>
      </w:r>
      <w:r w:rsidR="00443D16" w:rsidRPr="009A689C">
        <w:t>s</w:t>
      </w:r>
      <w:r w:rsidR="001641B1" w:rsidRPr="009A689C">
        <w:t xml:space="preserve">s </w:t>
      </w:r>
      <w:r w:rsidR="00443D16" w:rsidRPr="009A689C">
        <w:t xml:space="preserve">1(2)(b), </w:t>
      </w:r>
      <w:r w:rsidR="001641B1" w:rsidRPr="009A689C">
        <w:t>1(2)(g)).</w:t>
      </w:r>
    </w:p>
    <w:p w14:paraId="7D139E33" w14:textId="01E29DFD" w:rsidR="009540CF" w:rsidRPr="009A689C" w:rsidRDefault="009540CF" w:rsidP="000D6D80">
      <w:pPr>
        <w:pStyle w:val="ParaNumbering"/>
      </w:pPr>
      <w:r w:rsidRPr="009A689C">
        <w:t xml:space="preserve">ASIC and Dr </w:t>
      </w:r>
      <w:proofErr w:type="spellStart"/>
      <w:r w:rsidRPr="009A689C">
        <w:t>Marnickavasagar</w:t>
      </w:r>
      <w:proofErr w:type="spellEnd"/>
      <w:r w:rsidRPr="009A689C">
        <w:t xml:space="preserve"> jointly submit that the appropriate penalty is $150,000</w:t>
      </w:r>
      <w:r w:rsidR="00096F9A" w:rsidRPr="009A689C">
        <w:t>. At the time of the contraventions, s 1317</w:t>
      </w:r>
      <w:proofErr w:type="gramStart"/>
      <w:r w:rsidR="00096F9A" w:rsidRPr="009A689C">
        <w:t>G(</w:t>
      </w:r>
      <w:proofErr w:type="gramEnd"/>
      <w:r w:rsidR="00096F9A" w:rsidRPr="009A689C">
        <w:t>1) provide</w:t>
      </w:r>
      <w:r w:rsidR="00151D38" w:rsidRPr="009A689C">
        <w:t>d</w:t>
      </w:r>
      <w:r w:rsidR="00096F9A" w:rsidRPr="009A689C">
        <w:t xml:space="preserve"> that the Court may order a person to pay the Commonwealth a pecuniary penalty of the relevant maximum amount </w:t>
      </w:r>
      <w:r w:rsidR="007F3709" w:rsidRPr="009A689C">
        <w:t xml:space="preserve">where </w:t>
      </w:r>
      <w:r w:rsidR="00096F9A" w:rsidRPr="009A689C">
        <w:t>t</w:t>
      </w:r>
      <w:r w:rsidR="00495BB2" w:rsidRPr="009A689C">
        <w:t xml:space="preserve">he </w:t>
      </w:r>
      <w:r w:rsidR="007F3709" w:rsidRPr="009A689C">
        <w:t xml:space="preserve">statutory </w:t>
      </w:r>
      <w:r w:rsidR="00096F9A" w:rsidRPr="009A689C">
        <w:t xml:space="preserve">conditions, set out in </w:t>
      </w:r>
      <w:r w:rsidR="00187AB4" w:rsidRPr="009A689C">
        <w:t>sub</w:t>
      </w:r>
      <w:r w:rsidR="00096F9A" w:rsidRPr="009A689C">
        <w:t>paragraphs (a)</w:t>
      </w:r>
      <w:r w:rsidR="00495BB2" w:rsidRPr="009A689C">
        <w:t xml:space="preserve"> </w:t>
      </w:r>
      <w:r w:rsidR="0053613D" w:rsidRPr="009A689C">
        <w:t>–</w:t>
      </w:r>
      <w:r w:rsidR="00495BB2" w:rsidRPr="009A689C">
        <w:t xml:space="preserve"> </w:t>
      </w:r>
      <w:r w:rsidR="0053613D" w:rsidRPr="009A689C">
        <w:t>(d</w:t>
      </w:r>
      <w:r w:rsidR="00096F9A" w:rsidRPr="009A689C">
        <w:t xml:space="preserve">), </w:t>
      </w:r>
      <w:r w:rsidR="007F3709" w:rsidRPr="009A689C">
        <w:t xml:space="preserve">were </w:t>
      </w:r>
      <w:r w:rsidR="00096F9A" w:rsidRPr="009A689C">
        <w:t xml:space="preserve">satisfied. In the present case, </w:t>
      </w:r>
      <w:r w:rsidR="00187AB4" w:rsidRPr="009A689C">
        <w:t>sub</w:t>
      </w:r>
      <w:r w:rsidR="00096F9A" w:rsidRPr="009A689C">
        <w:t xml:space="preserve">paragraph (a) is satisfied as a declaration of contravention by the person will have been made under s 1317E.  </w:t>
      </w:r>
      <w:r w:rsidR="0062199B" w:rsidRPr="009A689C">
        <w:t>Subp</w:t>
      </w:r>
      <w:r w:rsidR="00096F9A" w:rsidRPr="009A689C">
        <w:t xml:space="preserve">aragraph (b) is satisfied because </w:t>
      </w:r>
      <w:r w:rsidR="007F3709" w:rsidRPr="009A689C">
        <w:t xml:space="preserve">it is a serious </w:t>
      </w:r>
      <w:r w:rsidR="00096F9A" w:rsidRPr="009A689C">
        <w:t xml:space="preserve">contravention of a financial </w:t>
      </w:r>
      <w:proofErr w:type="gramStart"/>
      <w:r w:rsidR="00096F9A" w:rsidRPr="009A689C">
        <w:t>services</w:t>
      </w:r>
      <w:proofErr w:type="gramEnd"/>
      <w:r w:rsidR="00096F9A" w:rsidRPr="009A689C">
        <w:t xml:space="preserve"> civil penalty provision. </w:t>
      </w:r>
      <w:r w:rsidR="0053613D" w:rsidRPr="009A689C">
        <w:t xml:space="preserve">The maximum pecuniary penalty </w:t>
      </w:r>
      <w:r w:rsidR="008021BC" w:rsidRPr="009A689C">
        <w:t>of 5000 penalty units prescribed by s 1317G(3)(a)</w:t>
      </w:r>
      <w:r w:rsidR="007A36C2" w:rsidRPr="009A689C">
        <w:t xml:space="preserve"> applies to each contravention. </w:t>
      </w:r>
      <w:r w:rsidR="00365764" w:rsidRPr="009A689C">
        <w:t>Applying t</w:t>
      </w:r>
      <w:r w:rsidR="007A36C2" w:rsidRPr="009A689C">
        <w:t xml:space="preserve">he value of a penalty unit under s 4AA of the </w:t>
      </w:r>
      <w:r w:rsidR="007A36C2" w:rsidRPr="009A689C">
        <w:rPr>
          <w:i/>
          <w:iCs/>
        </w:rPr>
        <w:t>Crimes Act</w:t>
      </w:r>
      <w:r w:rsidR="00365764" w:rsidRPr="009A689C">
        <w:rPr>
          <w:i/>
          <w:iCs/>
        </w:rPr>
        <w:t xml:space="preserve"> </w:t>
      </w:r>
      <w:r w:rsidR="00C00F13" w:rsidRPr="009A689C">
        <w:rPr>
          <w:i/>
          <w:iCs/>
        </w:rPr>
        <w:t xml:space="preserve">1958 </w:t>
      </w:r>
      <w:r w:rsidR="00C00F13" w:rsidRPr="009A689C">
        <w:t>(</w:t>
      </w:r>
      <w:proofErr w:type="spellStart"/>
      <w:r w:rsidR="00C00F13" w:rsidRPr="009A689C">
        <w:t>Cth</w:t>
      </w:r>
      <w:proofErr w:type="spellEnd"/>
      <w:r w:rsidR="00C00F13" w:rsidRPr="009A689C">
        <w:t xml:space="preserve">) </w:t>
      </w:r>
      <w:r w:rsidR="00365764" w:rsidRPr="009A689C">
        <w:t xml:space="preserve">at the relevant times of the contraventions, the maximum </w:t>
      </w:r>
      <w:r w:rsidR="004C732E" w:rsidRPr="009A689C">
        <w:t xml:space="preserve">penalty for each contravention by Dr </w:t>
      </w:r>
      <w:proofErr w:type="spellStart"/>
      <w:r w:rsidR="004C732E" w:rsidRPr="009A689C">
        <w:t>Marnickavasagar</w:t>
      </w:r>
      <w:proofErr w:type="spellEnd"/>
      <w:r w:rsidR="004C732E" w:rsidRPr="009A689C">
        <w:t xml:space="preserve"> is $1.05 million.</w:t>
      </w:r>
    </w:p>
    <w:p w14:paraId="27CD88D1" w14:textId="7430F6F6" w:rsidR="003323CE" w:rsidRPr="009A689C" w:rsidRDefault="008C1741" w:rsidP="000D6D80">
      <w:pPr>
        <w:pStyle w:val="ParaNumbering"/>
      </w:pPr>
      <w:r w:rsidRPr="009A689C">
        <w:t xml:space="preserve">In considering </w:t>
      </w:r>
      <w:r w:rsidR="00493E78" w:rsidRPr="009A689C">
        <w:t xml:space="preserve">the appropriate penalty for Dr </w:t>
      </w:r>
      <w:proofErr w:type="spellStart"/>
      <w:r w:rsidR="008B2DAC" w:rsidRPr="009A689C">
        <w:t>Marnickavasagar</w:t>
      </w:r>
      <w:proofErr w:type="spellEnd"/>
      <w:r w:rsidRPr="009A689C">
        <w:t>, the Court is again required to take account of the mandatory considerations in s 1317</w:t>
      </w:r>
      <w:proofErr w:type="gramStart"/>
      <w:r w:rsidRPr="009A689C">
        <w:t>G(</w:t>
      </w:r>
      <w:proofErr w:type="gramEnd"/>
      <w:r w:rsidRPr="009A689C">
        <w:t>6) of the</w:t>
      </w:r>
      <w:r w:rsidRPr="009A689C">
        <w:rPr>
          <w:iCs/>
        </w:rPr>
        <w:t xml:space="preserve"> </w:t>
      </w:r>
      <w:r w:rsidRPr="009A689C">
        <w:rPr>
          <w:i/>
        </w:rPr>
        <w:t>Corporations Act</w:t>
      </w:r>
      <w:r w:rsidR="003323CE" w:rsidRPr="009A689C">
        <w:rPr>
          <w:iCs/>
        </w:rPr>
        <w:t>,</w:t>
      </w:r>
      <w:r w:rsidRPr="009A689C">
        <w:rPr>
          <w:i/>
        </w:rPr>
        <w:t xml:space="preserve"> </w:t>
      </w:r>
      <w:r w:rsidR="00154F61" w:rsidRPr="009A689C">
        <w:t>in addition to undertaking its general evaluative task</w:t>
      </w:r>
      <w:r w:rsidR="00B87357" w:rsidRPr="009A689C">
        <w:t xml:space="preserve"> guided by the French factors. Additional factors relevant to </w:t>
      </w:r>
      <w:r w:rsidR="00E430F8" w:rsidRPr="009A689C">
        <w:t xml:space="preserve">an individual were identified by Santow J in </w:t>
      </w:r>
      <w:r w:rsidR="00274D5C" w:rsidRPr="009A689C">
        <w:rPr>
          <w:i/>
        </w:rPr>
        <w:t xml:space="preserve">Re HIH </w:t>
      </w:r>
      <w:r w:rsidR="00E76623" w:rsidRPr="009A689C">
        <w:rPr>
          <w:i/>
        </w:rPr>
        <w:t xml:space="preserve">Insurance Ltd (in prov </w:t>
      </w:r>
      <w:proofErr w:type="spellStart"/>
      <w:r w:rsidR="00E76623" w:rsidRPr="009A689C">
        <w:rPr>
          <w:i/>
        </w:rPr>
        <w:t>liq</w:t>
      </w:r>
      <w:proofErr w:type="spellEnd"/>
      <w:r w:rsidR="00E76623" w:rsidRPr="009A689C">
        <w:rPr>
          <w:i/>
        </w:rPr>
        <w:t xml:space="preserve">) and HIH Casualty and General Insurance Ltd (in prov </w:t>
      </w:r>
      <w:proofErr w:type="spellStart"/>
      <w:r w:rsidR="00E76623" w:rsidRPr="009A689C">
        <w:rPr>
          <w:i/>
        </w:rPr>
        <w:t>liq</w:t>
      </w:r>
      <w:proofErr w:type="spellEnd"/>
      <w:r w:rsidR="00E76623" w:rsidRPr="009A689C">
        <w:rPr>
          <w:i/>
        </w:rPr>
        <w:t xml:space="preserve">); Australian Securities and </w:t>
      </w:r>
      <w:r w:rsidR="008B7A49">
        <w:rPr>
          <w:i/>
        </w:rPr>
        <w:t>I</w:t>
      </w:r>
      <w:r w:rsidR="00E76623" w:rsidRPr="009A689C">
        <w:rPr>
          <w:i/>
        </w:rPr>
        <w:t>nvestments Commission v Adler</w:t>
      </w:r>
      <w:r w:rsidR="00E76623" w:rsidRPr="009A689C">
        <w:t xml:space="preserve"> [2002] NSWSC </w:t>
      </w:r>
      <w:r w:rsidR="00312D36" w:rsidRPr="009A689C">
        <w:t>483</w:t>
      </w:r>
      <w:r w:rsidR="005B376B" w:rsidRPr="009A689C">
        <w:t>; 4</w:t>
      </w:r>
      <w:r w:rsidR="003B60F2" w:rsidRPr="009A689C">
        <w:t>2</w:t>
      </w:r>
      <w:r w:rsidR="005B376B" w:rsidRPr="009A689C">
        <w:t xml:space="preserve"> ACSR </w:t>
      </w:r>
      <w:r w:rsidR="003B60F2" w:rsidRPr="009A689C">
        <w:t>80</w:t>
      </w:r>
      <w:r w:rsidR="005B376B" w:rsidRPr="009A689C">
        <w:t xml:space="preserve"> at </w:t>
      </w:r>
      <w:r w:rsidR="003B60F2" w:rsidRPr="009A689C">
        <w:t>[</w:t>
      </w:r>
      <w:r w:rsidR="00AF4633" w:rsidRPr="009A689C">
        <w:t>126</w:t>
      </w:r>
      <w:r w:rsidR="003B60F2" w:rsidRPr="009A689C">
        <w:t>]</w:t>
      </w:r>
      <w:r w:rsidR="001151FC" w:rsidRPr="009A689C">
        <w:t>. To the extent that the</w:t>
      </w:r>
      <w:r w:rsidR="00B9427F" w:rsidRPr="009A689C">
        <w:t xml:space="preserve">se factors are not already expressly contemplated by the French factors, they </w:t>
      </w:r>
      <w:proofErr w:type="gramStart"/>
      <w:r w:rsidR="00B9427F" w:rsidRPr="009A689C">
        <w:t>include</w:t>
      </w:r>
      <w:r w:rsidR="00AD59F5" w:rsidRPr="009A689C">
        <w:t>:</w:t>
      </w:r>
      <w:proofErr w:type="gramEnd"/>
      <w:r w:rsidR="001B62CD" w:rsidRPr="009A689C">
        <w:t xml:space="preserve"> hardship to </w:t>
      </w:r>
      <w:r w:rsidR="002F20D8" w:rsidRPr="009A689C">
        <w:t>the individual</w:t>
      </w:r>
      <w:r w:rsidR="003323CE" w:rsidRPr="009A689C">
        <w:t>;</w:t>
      </w:r>
      <w:r w:rsidR="002F20D8" w:rsidRPr="009A689C">
        <w:t xml:space="preserve"> the consequences of an associated disqualification order</w:t>
      </w:r>
      <w:r w:rsidR="003323CE" w:rsidRPr="009A689C">
        <w:t>;</w:t>
      </w:r>
      <w:r w:rsidR="00AD59F5" w:rsidRPr="009A689C">
        <w:t xml:space="preserve"> any prejudice to the individual’s rehabilitation</w:t>
      </w:r>
      <w:r w:rsidR="003323CE" w:rsidRPr="009A689C">
        <w:t>;</w:t>
      </w:r>
      <w:r w:rsidR="002D3F62" w:rsidRPr="009A689C">
        <w:t xml:space="preserve"> any remorse or contrition</w:t>
      </w:r>
      <w:r w:rsidR="003323CE" w:rsidRPr="009A689C">
        <w:t>;</w:t>
      </w:r>
      <w:r w:rsidR="002D3F62" w:rsidRPr="009A689C">
        <w:t xml:space="preserve"> </w:t>
      </w:r>
      <w:r w:rsidR="00BA4290" w:rsidRPr="009A689C">
        <w:t xml:space="preserve">whether </w:t>
      </w:r>
      <w:r w:rsidR="00331742" w:rsidRPr="009A689C">
        <w:t xml:space="preserve">the individual </w:t>
      </w:r>
      <w:r w:rsidR="00BA4290" w:rsidRPr="009A689C">
        <w:t>acted on the advice of professionals</w:t>
      </w:r>
      <w:r w:rsidR="003323CE" w:rsidRPr="009A689C">
        <w:t>;</w:t>
      </w:r>
      <w:r w:rsidR="00BA4290" w:rsidRPr="009A689C">
        <w:t xml:space="preserve"> </w:t>
      </w:r>
      <w:r w:rsidR="004A2B48" w:rsidRPr="009A689C">
        <w:t>and previous unblemished character.</w:t>
      </w:r>
      <w:r w:rsidR="0031201B" w:rsidRPr="009A689C">
        <w:t xml:space="preserve"> </w:t>
      </w:r>
    </w:p>
    <w:p w14:paraId="4A5F5213" w14:textId="638CB375" w:rsidR="00281828" w:rsidRPr="005B2993" w:rsidRDefault="00281828" w:rsidP="000D6D80">
      <w:pPr>
        <w:pStyle w:val="Heading4"/>
      </w:pPr>
      <w:r w:rsidRPr="005B2993">
        <w:t>Nature and extent of the contravention</w:t>
      </w:r>
    </w:p>
    <w:p w14:paraId="675B84A2" w14:textId="5AB4C523" w:rsidR="002A4DAF" w:rsidRDefault="00281828" w:rsidP="000D6D80">
      <w:pPr>
        <w:pStyle w:val="ParaNumbering"/>
      </w:pPr>
      <w:r w:rsidRPr="009A689C">
        <w:t>As I have already explained above</w:t>
      </w:r>
      <w:r w:rsidR="00C70746" w:rsidRPr="009A689C">
        <w:t xml:space="preserve">, contraventions of the continuous disclosure obligation are serious: </w:t>
      </w:r>
      <w:r w:rsidR="00C70746" w:rsidRPr="009A689C">
        <w:rPr>
          <w:i/>
          <w:iCs/>
        </w:rPr>
        <w:t>Helou (No 2)</w:t>
      </w:r>
      <w:r w:rsidR="00C70746" w:rsidRPr="009A689C">
        <w:t xml:space="preserve"> at [149] and [147]. Dr </w:t>
      </w:r>
      <w:proofErr w:type="spellStart"/>
      <w:r w:rsidR="00C70746" w:rsidRPr="009A689C">
        <w:t>Marnickavasagar</w:t>
      </w:r>
      <w:proofErr w:type="spellEnd"/>
      <w:r w:rsidR="00C70746" w:rsidRPr="009A689C">
        <w:t xml:space="preserve"> has admitted that his contravention</w:t>
      </w:r>
      <w:r w:rsidR="002B6444" w:rsidRPr="009A689C">
        <w:t xml:space="preserve"> of s 180 of the</w:t>
      </w:r>
      <w:r w:rsidR="002B6444" w:rsidRPr="009A689C">
        <w:rPr>
          <w:i/>
          <w:iCs/>
        </w:rPr>
        <w:t xml:space="preserve"> Corporations Act</w:t>
      </w:r>
      <w:r w:rsidR="002B6444" w:rsidRPr="009A689C">
        <w:t xml:space="preserve"> in authorising the announcement which led </w:t>
      </w:r>
      <w:proofErr w:type="spellStart"/>
      <w:r w:rsidR="002B6444" w:rsidRPr="009A689C">
        <w:t>Holista</w:t>
      </w:r>
      <w:proofErr w:type="spellEnd"/>
      <w:r w:rsidR="002B6444" w:rsidRPr="009A689C">
        <w:t xml:space="preserve"> to breach its obligations</w:t>
      </w:r>
      <w:r w:rsidR="003323CE" w:rsidRPr="009A689C">
        <w:t>,</w:t>
      </w:r>
      <w:r w:rsidR="002B6444" w:rsidRPr="009A689C">
        <w:t xml:space="preserve"> </w:t>
      </w:r>
      <w:r w:rsidR="00C70746" w:rsidRPr="009A689C">
        <w:t>w</w:t>
      </w:r>
      <w:r w:rsidR="002B6444" w:rsidRPr="009A689C">
        <w:t xml:space="preserve">as </w:t>
      </w:r>
      <w:r w:rsidR="00C70746" w:rsidRPr="009A689C">
        <w:t>serious. As I have found</w:t>
      </w:r>
      <w:r w:rsidR="00C70746">
        <w:t xml:space="preserve">, </w:t>
      </w:r>
      <w:proofErr w:type="spellStart"/>
      <w:r w:rsidR="006905DA">
        <w:t>Holista’s</w:t>
      </w:r>
      <w:proofErr w:type="spellEnd"/>
      <w:r w:rsidR="006905DA">
        <w:t xml:space="preserve"> contravention</w:t>
      </w:r>
      <w:r w:rsidR="00C70746">
        <w:t xml:space="preserve"> persisted for three months, from 9 April 2020 until 9 July 2020, </w:t>
      </w:r>
      <w:r w:rsidR="00613D4D">
        <w:t xml:space="preserve">because of Dr </w:t>
      </w:r>
      <w:proofErr w:type="spellStart"/>
      <w:r w:rsidR="00613D4D">
        <w:t>Marnickavasagar</w:t>
      </w:r>
      <w:proofErr w:type="spellEnd"/>
      <w:r w:rsidR="00613D4D">
        <w:t xml:space="preserve">’ admitted failure to </w:t>
      </w:r>
      <w:r w:rsidR="002A4DAF">
        <w:t>qualify, withdraw or correct the announcement: SAFA [97].</w:t>
      </w:r>
    </w:p>
    <w:p w14:paraId="30D54640" w14:textId="17FC4E7F" w:rsidR="001A0DD2" w:rsidRDefault="001A0DD2" w:rsidP="000D6D80">
      <w:pPr>
        <w:pStyle w:val="ParaNumbering"/>
      </w:pPr>
      <w:r>
        <w:lastRenderedPageBreak/>
        <w:t xml:space="preserve">Dr </w:t>
      </w:r>
      <w:proofErr w:type="spellStart"/>
      <w:r>
        <w:t>Marnickavasagar</w:t>
      </w:r>
      <w:proofErr w:type="spellEnd"/>
      <w:r w:rsidR="00130BAF">
        <w:t xml:space="preserve"> also </w:t>
      </w:r>
      <w:r w:rsidR="00130BAF" w:rsidRPr="00807901">
        <w:rPr>
          <w:b/>
          <w:bCs/>
        </w:rPr>
        <w:t>admits</w:t>
      </w:r>
      <w:r w:rsidR="00130BAF">
        <w:t xml:space="preserve"> to </w:t>
      </w:r>
      <w:r w:rsidR="00420E23">
        <w:t xml:space="preserve">providing false and misleading </w:t>
      </w:r>
      <w:r w:rsidR="001218BA">
        <w:t xml:space="preserve">information to the ASX, and to members of </w:t>
      </w:r>
      <w:proofErr w:type="spellStart"/>
      <w:r w:rsidR="001218BA">
        <w:t>Holista</w:t>
      </w:r>
      <w:proofErr w:type="spellEnd"/>
      <w:r w:rsidR="001218BA">
        <w:t>, on three occasions</w:t>
      </w:r>
      <w:r w:rsidR="00F02457">
        <w:t xml:space="preserve">, contrary to ss 1309(2) and (12) of the </w:t>
      </w:r>
      <w:r w:rsidR="00F02457" w:rsidRPr="00F02457">
        <w:rPr>
          <w:i/>
          <w:iCs/>
        </w:rPr>
        <w:t>Corporations Act</w:t>
      </w:r>
      <w:r w:rsidR="001218BA">
        <w:t>: SAFA [102]-[108]</w:t>
      </w:r>
      <w:r w:rsidR="00F02457">
        <w:t>.</w:t>
      </w:r>
    </w:p>
    <w:p w14:paraId="4C4E244A" w14:textId="6ED57BD2" w:rsidR="002A4DAF" w:rsidRDefault="00281828" w:rsidP="000D6D80">
      <w:pPr>
        <w:pStyle w:val="ParaNumbering"/>
      </w:pPr>
      <w:r>
        <w:t>There is</w:t>
      </w:r>
      <w:r w:rsidR="002A4DAF">
        <w:t>, however,</w:t>
      </w:r>
      <w:r>
        <w:t xml:space="preserve"> no evidence to suggest that </w:t>
      </w:r>
      <w:r w:rsidR="002A4DAF">
        <w:t xml:space="preserve">Dr </w:t>
      </w:r>
      <w:proofErr w:type="spellStart"/>
      <w:r w:rsidR="002A4DAF">
        <w:t>Marnickavasagar</w:t>
      </w:r>
      <w:proofErr w:type="spellEnd"/>
      <w:r w:rsidR="002A4DAF">
        <w:t xml:space="preserve"> acted deliberately or dishonestly</w:t>
      </w:r>
      <w:r w:rsidR="00145F3D">
        <w:t>, nor that he benefitted in any way from the contraventions</w:t>
      </w:r>
      <w:r w:rsidR="00CE2B9F">
        <w:t xml:space="preserve">: </w:t>
      </w:r>
      <w:proofErr w:type="spellStart"/>
      <w:r w:rsidR="00CE2B9F">
        <w:t>cf</w:t>
      </w:r>
      <w:proofErr w:type="spellEnd"/>
      <w:r w:rsidR="00CE2B9F">
        <w:t xml:space="preserve"> </w:t>
      </w:r>
      <w:proofErr w:type="spellStart"/>
      <w:r w:rsidR="00CE2B9F" w:rsidRPr="00815CE4">
        <w:rPr>
          <w:i/>
        </w:rPr>
        <w:t>GetSwift</w:t>
      </w:r>
      <w:proofErr w:type="spellEnd"/>
      <w:r w:rsidR="00145F3D">
        <w:t>.</w:t>
      </w:r>
    </w:p>
    <w:p w14:paraId="0E6345F3" w14:textId="05895661" w:rsidR="00123FE4" w:rsidRDefault="00123FE4" w:rsidP="00123FE4">
      <w:pPr>
        <w:pStyle w:val="Heading4"/>
      </w:pPr>
      <w:bookmarkStart w:id="61" w:name="_Ref161757968"/>
      <w:r>
        <w:t>Nature and extent of any loss or damage</w:t>
      </w:r>
      <w:bookmarkEnd w:id="61"/>
    </w:p>
    <w:p w14:paraId="5793C597" w14:textId="43A553D1" w:rsidR="00EF154D" w:rsidRDefault="00281828" w:rsidP="000D6D80">
      <w:pPr>
        <w:pStyle w:val="ParaNumbering"/>
      </w:pPr>
      <w:r>
        <w:t>There is</w:t>
      </w:r>
      <w:r w:rsidR="002A4DAF" w:rsidDel="00A06D12">
        <w:t xml:space="preserve"> </w:t>
      </w:r>
      <w:r>
        <w:t>no evidence that “acquirers or disposers</w:t>
      </w:r>
      <w:r w:rsidR="00A06D12">
        <w:t>”</w:t>
      </w:r>
      <w:r>
        <w:t xml:space="preserve"> of the company’s shares were materially prejudiced by the non-disclosure, nor that the contravening conduct was the result of any “plan” to mislead the market</w:t>
      </w:r>
      <w:r w:rsidR="00E94645">
        <w:t xml:space="preserve">: </w:t>
      </w:r>
      <w:proofErr w:type="spellStart"/>
      <w:r w:rsidR="00E94645" w:rsidRPr="00815CE4">
        <w:rPr>
          <w:i/>
        </w:rPr>
        <w:t>Chemeq</w:t>
      </w:r>
      <w:proofErr w:type="spellEnd"/>
      <w:r w:rsidR="00E94645">
        <w:t xml:space="preserve"> at [99]; </w:t>
      </w:r>
      <w:r w:rsidR="00E94645" w:rsidRPr="00815CE4">
        <w:rPr>
          <w:i/>
        </w:rPr>
        <w:t xml:space="preserve">ASIC v Westpac </w:t>
      </w:r>
      <w:r w:rsidR="00E94645">
        <w:t>at [122]</w:t>
      </w:r>
      <w:r>
        <w:t xml:space="preserve">. </w:t>
      </w:r>
    </w:p>
    <w:p w14:paraId="757A699C" w14:textId="68386BFD" w:rsidR="00281828" w:rsidRDefault="00281828" w:rsidP="00EF154D">
      <w:pPr>
        <w:pStyle w:val="Heading4"/>
      </w:pPr>
      <w:r>
        <w:t xml:space="preserve">Circumstances in which the contravention took </w:t>
      </w:r>
      <w:proofErr w:type="gramStart"/>
      <w:r>
        <w:t>place</w:t>
      </w:r>
      <w:proofErr w:type="gramEnd"/>
    </w:p>
    <w:p w14:paraId="74328246" w14:textId="6542B075" w:rsidR="00281828" w:rsidRDefault="00DC6BE8" w:rsidP="000D6D80">
      <w:pPr>
        <w:pStyle w:val="ParaNumbering"/>
      </w:pPr>
      <w:r>
        <w:t xml:space="preserve">I have already rejected Dr </w:t>
      </w:r>
      <w:proofErr w:type="spellStart"/>
      <w:r>
        <w:t>Marnickavasagar</w:t>
      </w:r>
      <w:proofErr w:type="spellEnd"/>
      <w:r>
        <w:t xml:space="preserve"> plea in mitigation based on the COVID-19 pandemic</w:t>
      </w:r>
      <w:r w:rsidR="00F461BA">
        <w:t xml:space="preserve">. </w:t>
      </w:r>
      <w:r w:rsidR="00281828">
        <w:t>I</w:t>
      </w:r>
      <w:r w:rsidR="00F461BA">
        <w:t xml:space="preserve"> have</w:t>
      </w:r>
      <w:r w:rsidR="00281828">
        <w:t xml:space="preserve"> accept</w:t>
      </w:r>
      <w:r w:rsidR="00F461BA">
        <w:t>ed</w:t>
      </w:r>
      <w:r w:rsidR="00281828">
        <w:t xml:space="preserve"> that the difficulties faced by companies during the pandemic are, prima facie, mitigating factors. Nevertheless, despite the uncertainties and the vagueness with respect to Health Therapies’ position, I have found that Dr </w:t>
      </w:r>
      <w:proofErr w:type="spellStart"/>
      <w:r w:rsidR="00281828">
        <w:t>Marnickavasagar</w:t>
      </w:r>
      <w:proofErr w:type="spellEnd"/>
      <w:r w:rsidR="00281828">
        <w:t xml:space="preserve"> chose, perhaps optimistically, to take a risk – one that I have found to have been reckless.</w:t>
      </w:r>
      <w:r w:rsidR="00F461BA">
        <w:t xml:space="preserve"> Further, there was no evidence of Dr </w:t>
      </w:r>
      <w:proofErr w:type="spellStart"/>
      <w:r w:rsidR="00F461BA">
        <w:t>Marnickavasagar’s</w:t>
      </w:r>
      <w:proofErr w:type="spellEnd"/>
      <w:r w:rsidR="00F461BA">
        <w:t xml:space="preserve"> subjective state of mind at the relevant time which</w:t>
      </w:r>
      <w:r w:rsidR="00520B77">
        <w:t xml:space="preserve"> explained the conduct in which he chose to engage.</w:t>
      </w:r>
    </w:p>
    <w:p w14:paraId="38E6F708" w14:textId="6E40D671" w:rsidR="00334B19" w:rsidRDefault="00334B19" w:rsidP="00334B19">
      <w:pPr>
        <w:pStyle w:val="Heading4"/>
      </w:pPr>
      <w:r>
        <w:t>No prior contraventions</w:t>
      </w:r>
    </w:p>
    <w:p w14:paraId="73450EF1" w14:textId="1FE7DBFE" w:rsidR="00281828" w:rsidRDefault="00520B77" w:rsidP="000D6D80">
      <w:pPr>
        <w:pStyle w:val="ParaNumbering"/>
      </w:pPr>
      <w:r>
        <w:t xml:space="preserve">It is accepted that </w:t>
      </w:r>
      <w:r w:rsidR="00606C4C">
        <w:t xml:space="preserve">Dr </w:t>
      </w:r>
      <w:proofErr w:type="spellStart"/>
      <w:r w:rsidR="00606C4C">
        <w:t>Marnickavasagar</w:t>
      </w:r>
      <w:proofErr w:type="spellEnd"/>
      <w:r w:rsidR="00606C4C">
        <w:t xml:space="preserve"> has no prior convictions involving contraventions of the </w:t>
      </w:r>
      <w:r w:rsidR="00606C4C" w:rsidRPr="00606C4C">
        <w:rPr>
          <w:i/>
          <w:iCs/>
        </w:rPr>
        <w:t>Corporations Act</w:t>
      </w:r>
      <w:r w:rsidR="00281828">
        <w:t>: SAFA [</w:t>
      </w:r>
      <w:r w:rsidR="00606C4C">
        <w:t>111</w:t>
      </w:r>
      <w:r w:rsidR="00281828">
        <w:t>].</w:t>
      </w:r>
    </w:p>
    <w:p w14:paraId="43A94993" w14:textId="2702C80D" w:rsidR="00614D73" w:rsidRDefault="00450AD5" w:rsidP="000D6D80">
      <w:pPr>
        <w:pStyle w:val="ParaNumbering"/>
      </w:pPr>
      <w:r>
        <w:t>In addition to these mandatory considerations,</w:t>
      </w:r>
      <w:r w:rsidR="00E32777">
        <w:t xml:space="preserve"> I </w:t>
      </w:r>
      <w:proofErr w:type="gramStart"/>
      <w:r w:rsidR="00E32777">
        <w:t>take into account</w:t>
      </w:r>
      <w:proofErr w:type="gramEnd"/>
      <w:r w:rsidR="00E32777">
        <w:t xml:space="preserve"> that the disqualification period of four years is a significant </w:t>
      </w:r>
      <w:r w:rsidR="00AA0625">
        <w:t xml:space="preserve">penalty, particularly for a person in the position of Dr </w:t>
      </w:r>
      <w:proofErr w:type="spellStart"/>
      <w:r w:rsidR="00AA0625">
        <w:t>Marnickavasagar</w:t>
      </w:r>
      <w:proofErr w:type="spellEnd"/>
      <w:r w:rsidR="004B2C66">
        <w:t>,</w:t>
      </w:r>
      <w:r w:rsidR="005C5B5A">
        <w:t xml:space="preserve"> who has been a director of several Australian companies for over a decade.</w:t>
      </w:r>
      <w:r w:rsidR="0004742B">
        <w:t xml:space="preserve"> </w:t>
      </w:r>
      <w:r w:rsidR="00072005">
        <w:t xml:space="preserve">I </w:t>
      </w:r>
      <w:proofErr w:type="gramStart"/>
      <w:r w:rsidR="00072005">
        <w:t>take into account</w:t>
      </w:r>
      <w:proofErr w:type="gramEnd"/>
      <w:r w:rsidR="00072005">
        <w:t xml:space="preserve"> his cooperation, albeit belated, with ASIC</w:t>
      </w:r>
      <w:r w:rsidR="004B2C66">
        <w:t>,</w:t>
      </w:r>
      <w:r w:rsidR="00072005">
        <w:t xml:space="preserve"> and the significant admissions he has made. That demonstrates a degree of contrition.</w:t>
      </w:r>
      <w:r w:rsidR="00F54A72" w:rsidRPr="00F54A72">
        <w:t xml:space="preserve"> </w:t>
      </w:r>
      <w:r w:rsidR="00F54A72">
        <w:t xml:space="preserve">I also </w:t>
      </w:r>
      <w:proofErr w:type="gramStart"/>
      <w:r w:rsidR="00F54A72">
        <w:t>take into account</w:t>
      </w:r>
      <w:proofErr w:type="gramEnd"/>
      <w:r w:rsidR="00F54A72">
        <w:t xml:space="preserve"> that Dr </w:t>
      </w:r>
      <w:proofErr w:type="spellStart"/>
      <w:r w:rsidR="00F54A72">
        <w:t>Marnickavasagar</w:t>
      </w:r>
      <w:proofErr w:type="spellEnd"/>
      <w:r w:rsidR="00F54A72">
        <w:t xml:space="preserve"> has agreed to pay ASIC’s </w:t>
      </w:r>
      <w:r w:rsidR="00557278">
        <w:t xml:space="preserve">legal </w:t>
      </w:r>
      <w:r w:rsidR="00F54A72">
        <w:t>costs fixed in the sum of $200,000.</w:t>
      </w:r>
    </w:p>
    <w:p w14:paraId="6BADE436" w14:textId="1CEDCF2E" w:rsidR="0038339D" w:rsidRDefault="00643A7E" w:rsidP="000D6D80">
      <w:pPr>
        <w:pStyle w:val="ParaNumbering"/>
      </w:pPr>
      <w:r>
        <w:t>Although I consider the</w:t>
      </w:r>
      <w:r w:rsidR="00574EE7">
        <w:t xml:space="preserve"> amount of the</w:t>
      </w:r>
      <w:r>
        <w:t xml:space="preserve"> </w:t>
      </w:r>
      <w:r w:rsidR="00574EE7">
        <w:t xml:space="preserve">proposed </w:t>
      </w:r>
      <w:r>
        <w:t xml:space="preserve">penalty to be low, I </w:t>
      </w:r>
      <w:proofErr w:type="gramStart"/>
      <w:r>
        <w:t>take into account</w:t>
      </w:r>
      <w:proofErr w:type="gramEnd"/>
      <w:r>
        <w:t xml:space="preserve"> the regulator’s </w:t>
      </w:r>
      <w:r w:rsidR="009F7E50">
        <w:t xml:space="preserve">apparent confidence that, coupled with the disqualification period, </w:t>
      </w:r>
      <w:r w:rsidR="00557278">
        <w:t xml:space="preserve">the total penalty </w:t>
      </w:r>
      <w:r w:rsidR="009F7E50">
        <w:t>is appropriate</w:t>
      </w:r>
      <w:r w:rsidR="007D526E">
        <w:t xml:space="preserve"> in all the circumstances.</w:t>
      </w:r>
    </w:p>
    <w:p w14:paraId="69511B51" w14:textId="11CC96DB" w:rsidR="00670708" w:rsidRDefault="00670708" w:rsidP="00670708">
      <w:pPr>
        <w:pStyle w:val="Heading1"/>
      </w:pPr>
      <w:bookmarkStart w:id="62" w:name="_Ref161757969"/>
      <w:r>
        <w:lastRenderedPageBreak/>
        <w:t>DISPOSITION</w:t>
      </w:r>
      <w:bookmarkEnd w:id="62"/>
    </w:p>
    <w:p w14:paraId="2E6B76DE" w14:textId="77777777" w:rsidR="00557278" w:rsidRDefault="00F54A72" w:rsidP="000D6D80">
      <w:pPr>
        <w:pStyle w:val="ParaNumbering"/>
      </w:pPr>
      <w:r>
        <w:t>There will be declarations and orders accordingly.</w:t>
      </w:r>
    </w:p>
    <w:p w14:paraId="7C50AF51" w14:textId="5A3E7A54" w:rsidR="0038339D" w:rsidRDefault="00F54A72" w:rsidP="000D6D80">
      <w:pPr>
        <w:pStyle w:val="ParaNumbering"/>
      </w:pPr>
      <w:r>
        <w:t xml:space="preserve">As agreed, Dr </w:t>
      </w:r>
      <w:proofErr w:type="spellStart"/>
      <w:r>
        <w:t>Marnickavasagar</w:t>
      </w:r>
      <w:proofErr w:type="spellEnd"/>
      <w:r>
        <w:t xml:space="preserve"> must pay ASIC’s investigative and legal costs, fixed in the amount of $200,000.</w:t>
      </w:r>
      <w:r w:rsidR="009A4C96">
        <w:t xml:space="preserve"> </w:t>
      </w:r>
      <w:proofErr w:type="spellStart"/>
      <w:r w:rsidR="009A4C96">
        <w:t>Holista</w:t>
      </w:r>
      <w:proofErr w:type="spellEnd"/>
      <w:r w:rsidR="009A4C96">
        <w:t xml:space="preserve"> must </w:t>
      </w:r>
      <w:r w:rsidR="009A4C96" w:rsidRPr="009A4C96">
        <w:t>pay</w:t>
      </w:r>
      <w:r w:rsidR="00AB4BCF">
        <w:t xml:space="preserve"> </w:t>
      </w:r>
      <w:proofErr w:type="gramStart"/>
      <w:r w:rsidR="00AB4BCF">
        <w:t>ASIC</w:t>
      </w:r>
      <w:r w:rsidR="009A4C96" w:rsidRPr="009A4C96">
        <w:t>’s</w:t>
      </w:r>
      <w:proofErr w:type="gramEnd"/>
      <w:r w:rsidR="009A4C96" w:rsidRPr="009A4C96">
        <w:t xml:space="preserve"> </w:t>
      </w:r>
      <w:r w:rsidR="00AB4BCF">
        <w:t xml:space="preserve">investigate and legal </w:t>
      </w:r>
      <w:r w:rsidR="009A4C96" w:rsidRPr="009A4C96">
        <w:t>costs of the proceedings in so far as they exceed $200,000 to be taxed, if not agreed.</w:t>
      </w:r>
    </w:p>
    <w:p w14:paraId="5B291D82" w14:textId="77777777" w:rsidR="009A689C" w:rsidRDefault="009A689C" w:rsidP="00DC3599">
      <w:pPr>
        <w:pStyle w:val="BodyText"/>
      </w:pPr>
      <w:bookmarkStart w:id="63" w:name="Certification"/>
    </w:p>
    <w:tbl>
      <w:tblPr>
        <w:tblW w:w="0" w:type="auto"/>
        <w:tblLook w:val="04A0" w:firstRow="1" w:lastRow="0" w:firstColumn="1" w:lastColumn="0" w:noHBand="0" w:noVBand="1"/>
      </w:tblPr>
      <w:tblGrid>
        <w:gridCol w:w="3794"/>
      </w:tblGrid>
      <w:tr w:rsidR="009A689C" w:rsidRPr="009A689C" w14:paraId="56C8F98F" w14:textId="77777777">
        <w:tc>
          <w:tcPr>
            <w:tcW w:w="3794" w:type="dxa"/>
            <w:shd w:val="clear" w:color="auto" w:fill="auto"/>
          </w:tcPr>
          <w:p w14:paraId="535DF691" w14:textId="77B35873" w:rsidR="009A689C" w:rsidRPr="009A689C" w:rsidRDefault="009A689C" w:rsidP="009A689C">
            <w:pPr>
              <w:pStyle w:val="Normal1linespace"/>
            </w:pPr>
            <w:r w:rsidRPr="009A689C">
              <w:t xml:space="preserve">I certify that the preceding </w:t>
            </w:r>
            <w:bookmarkStart w:id="64" w:name="NumberWord"/>
            <w:r w:rsidR="005B2993">
              <w:t>one hundred and ninety-one</w:t>
            </w:r>
            <w:bookmarkEnd w:id="64"/>
            <w:r w:rsidRPr="009A689C">
              <w:t xml:space="preserve"> (</w:t>
            </w:r>
            <w:bookmarkStart w:id="65" w:name="NumberNumeral"/>
            <w:r w:rsidR="005B2993">
              <w:t>191</w:t>
            </w:r>
            <w:bookmarkEnd w:id="65"/>
            <w:r w:rsidRPr="009A689C">
              <w:t xml:space="preserve">) numbered </w:t>
            </w:r>
            <w:bookmarkStart w:id="66" w:name="CertPara"/>
            <w:r w:rsidR="005B2993">
              <w:t>paragraphs are</w:t>
            </w:r>
            <w:bookmarkEnd w:id="66"/>
            <w:r w:rsidRPr="009A689C">
              <w:t xml:space="preserve"> a true copy of the Reasons for Judgment of </w:t>
            </w:r>
            <w:bookmarkStart w:id="67" w:name="bkHonourable"/>
            <w:r w:rsidRPr="009A689C">
              <w:t xml:space="preserve">the Honourable </w:t>
            </w:r>
            <w:bookmarkStart w:id="68" w:name="Justice"/>
            <w:bookmarkEnd w:id="67"/>
            <w:r>
              <w:t>Justice Sarah C Derrington</w:t>
            </w:r>
            <w:bookmarkEnd w:id="68"/>
            <w:r w:rsidRPr="009A689C">
              <w:t>.</w:t>
            </w:r>
          </w:p>
        </w:tc>
      </w:tr>
    </w:tbl>
    <w:p w14:paraId="2666DB80" w14:textId="6F528AA5" w:rsidR="009A689C" w:rsidRDefault="009A689C" w:rsidP="00DC3599">
      <w:pPr>
        <w:pStyle w:val="BodyText"/>
      </w:pPr>
    </w:p>
    <w:p w14:paraId="35875D05" w14:textId="26709141" w:rsidR="009A689C" w:rsidRDefault="009A689C" w:rsidP="00DC3599">
      <w:pPr>
        <w:pStyle w:val="BodyText"/>
      </w:pPr>
      <w:r>
        <w:t>Associate:</w:t>
      </w:r>
      <w:r>
        <w:tab/>
      </w:r>
    </w:p>
    <w:p w14:paraId="2508644E" w14:textId="77777777" w:rsidR="009A689C" w:rsidRDefault="009A689C" w:rsidP="00DC3599">
      <w:pPr>
        <w:pStyle w:val="BodyText"/>
      </w:pPr>
    </w:p>
    <w:p w14:paraId="4DFCD5DB" w14:textId="1BA13A64" w:rsidR="009A689C" w:rsidRDefault="009A689C" w:rsidP="00DC3599">
      <w:pPr>
        <w:pStyle w:val="BodyText"/>
        <w:tabs>
          <w:tab w:val="left" w:pos="1134"/>
        </w:tabs>
      </w:pPr>
      <w:r>
        <w:t>Dated:</w:t>
      </w:r>
      <w:r>
        <w:tab/>
      </w:r>
      <w:bookmarkStart w:id="69" w:name="CertifyDated"/>
      <w:bookmarkEnd w:id="69"/>
      <w:r>
        <w:tab/>
        <w:t>19 March 2024</w:t>
      </w:r>
    </w:p>
    <w:p w14:paraId="77A5245F" w14:textId="77777777" w:rsidR="009A689C" w:rsidRDefault="009A689C" w:rsidP="00DC3599">
      <w:pPr>
        <w:pStyle w:val="BodyText"/>
      </w:pPr>
    </w:p>
    <w:bookmarkEnd w:id="63"/>
    <w:p w14:paraId="0F30B8AA" w14:textId="77777777" w:rsidR="009A689C" w:rsidRDefault="009A689C" w:rsidP="009A689C">
      <w:pPr>
        <w:pStyle w:val="BodyText"/>
      </w:pPr>
    </w:p>
    <w:sectPr w:rsidR="009A689C" w:rsidSect="002104C2">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DF3D1" w14:textId="77777777" w:rsidR="002104C2" w:rsidRDefault="002104C2">
      <w:pPr>
        <w:spacing w:line="20" w:lineRule="exact"/>
      </w:pPr>
    </w:p>
    <w:p w14:paraId="33AF6222" w14:textId="77777777" w:rsidR="002104C2" w:rsidRDefault="002104C2"/>
    <w:p w14:paraId="6A547795" w14:textId="77777777" w:rsidR="002104C2" w:rsidRDefault="002104C2"/>
  </w:endnote>
  <w:endnote w:type="continuationSeparator" w:id="0">
    <w:p w14:paraId="55A20C6A" w14:textId="77777777" w:rsidR="002104C2" w:rsidRDefault="002104C2">
      <w:r>
        <w:t xml:space="preserve"> </w:t>
      </w:r>
    </w:p>
    <w:p w14:paraId="44C318CC" w14:textId="77777777" w:rsidR="002104C2" w:rsidRDefault="002104C2"/>
    <w:p w14:paraId="0B9B1F3B" w14:textId="77777777" w:rsidR="002104C2" w:rsidRDefault="002104C2"/>
  </w:endnote>
  <w:endnote w:type="continuationNotice" w:id="1">
    <w:p w14:paraId="6A271E8E" w14:textId="77777777" w:rsidR="002104C2" w:rsidRDefault="002104C2">
      <w:r>
        <w:t xml:space="preserve"> </w:t>
      </w:r>
    </w:p>
    <w:p w14:paraId="79CC0A92" w14:textId="77777777" w:rsidR="002104C2" w:rsidRDefault="002104C2"/>
    <w:p w14:paraId="23BE6CD7" w14:textId="77777777" w:rsidR="002104C2" w:rsidRDefault="002104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E600" w14:textId="4F06531E"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707F636A" wp14:editId="6215C1BB">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7A0AF652">
            <v:line id="Straight Connector 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05pt" to="229.5pt,-.05pt" w14:anchorId="22CC9D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3503EC">
          <w:rPr>
            <w:bCs/>
            <w:sz w:val="18"/>
            <w:szCs w:val="18"/>
          </w:rPr>
          <w:t xml:space="preserve">Australian Securities and Investments Commission v </w:t>
        </w:r>
        <w:proofErr w:type="spellStart"/>
        <w:r w:rsidR="003503EC">
          <w:rPr>
            <w:bCs/>
            <w:sz w:val="18"/>
            <w:szCs w:val="18"/>
          </w:rPr>
          <w:t>Holista</w:t>
        </w:r>
        <w:proofErr w:type="spellEnd"/>
        <w:r w:rsidR="003503EC">
          <w:rPr>
            <w:bCs/>
            <w:sz w:val="18"/>
            <w:szCs w:val="18"/>
          </w:rPr>
          <w:t xml:space="preserve"> </w:t>
        </w:r>
        <w:proofErr w:type="spellStart"/>
        <w:r w:rsidR="003503EC">
          <w:rPr>
            <w:bCs/>
            <w:sz w:val="18"/>
            <w:szCs w:val="18"/>
          </w:rPr>
          <w:t>Colltech</w:t>
        </w:r>
        <w:proofErr w:type="spellEnd"/>
        <w:r w:rsidR="003503EC">
          <w:rPr>
            <w:bCs/>
            <w:sz w:val="18"/>
            <w:szCs w:val="18"/>
          </w:rPr>
          <w:t xml:space="preserve"> Ltd [2024] FCA 244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6743" w14:textId="284B6141"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77B6163F" wp14:editId="1F805DA2">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7AC52E21">
            <v:line id="Straight Connector 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4E634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831216538"/>
        <w:placeholder>
          <w:docPart w:val="DE21D76FF185461E8D9CD8E41BA47C8B"/>
        </w:placeholder>
        <w:dataBinding w:prefixMappings="xmlns:ns0='http://schemas.globalmacros.com/FCA'" w:xpath="/ns0:root[1]/ns0:Name[1]" w:storeItemID="{687E7CCB-4AA5-44E7-B148-17BA2B6F57C0}"/>
        <w:text w:multiLine="1"/>
      </w:sdtPr>
      <w:sdtEndPr/>
      <w:sdtContent>
        <w:r w:rsidR="003503EC">
          <w:rPr>
            <w:bCs/>
            <w:sz w:val="18"/>
            <w:szCs w:val="18"/>
          </w:rPr>
          <w:t xml:space="preserve">Australian Securities and Investments Commission v </w:t>
        </w:r>
        <w:proofErr w:type="spellStart"/>
        <w:r w:rsidR="003503EC">
          <w:rPr>
            <w:bCs/>
            <w:sz w:val="18"/>
            <w:szCs w:val="18"/>
          </w:rPr>
          <w:t>Holista</w:t>
        </w:r>
        <w:proofErr w:type="spellEnd"/>
        <w:r w:rsidR="003503EC">
          <w:rPr>
            <w:bCs/>
            <w:sz w:val="18"/>
            <w:szCs w:val="18"/>
          </w:rPr>
          <w:t xml:space="preserve"> </w:t>
        </w:r>
        <w:proofErr w:type="spellStart"/>
        <w:r w:rsidR="003503EC">
          <w:rPr>
            <w:bCs/>
            <w:sz w:val="18"/>
            <w:szCs w:val="18"/>
          </w:rPr>
          <w:t>Colltech</w:t>
        </w:r>
        <w:proofErr w:type="spellEnd"/>
        <w:r w:rsidR="003503EC">
          <w:rPr>
            <w:bCs/>
            <w:sz w:val="18"/>
            <w:szCs w:val="18"/>
          </w:rPr>
          <w:t xml:space="preserve"> Ltd [2024] FCA 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proofErr w:type="spellStart"/>
    <w:r>
      <w:rPr>
        <w:bCs/>
        <w:sz w:val="20"/>
      </w:rPr>
      <w:t>i</w:t>
    </w:r>
    <w:proofErr w:type="spellEnd"/>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A6C1" w14:textId="75301BD2"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1A94D550" wp14:editId="5AC8202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43EFBF5F">
            <v:line id="Straight Connector 2"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1CD509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510263260"/>
        <w:placeholder>
          <w:docPart w:val="35AE4ED706D34F6E9A164D3FCA4ABF44"/>
        </w:placeholder>
        <w:dataBinding w:prefixMappings="xmlns:ns0='http://schemas.globalmacros.com/FCA'" w:xpath="/ns0:root[1]/ns0:Name[1]" w:storeItemID="{687E7CCB-4AA5-44E7-B148-17BA2B6F57C0}"/>
        <w:text w:multiLine="1"/>
      </w:sdtPr>
      <w:sdtEndPr/>
      <w:sdtContent>
        <w:r w:rsidR="003503EC">
          <w:rPr>
            <w:bCs/>
            <w:sz w:val="18"/>
            <w:szCs w:val="18"/>
          </w:rPr>
          <w:t xml:space="preserve">Australian Securities and Investments Commission v </w:t>
        </w:r>
        <w:proofErr w:type="spellStart"/>
        <w:r w:rsidR="003503EC">
          <w:rPr>
            <w:bCs/>
            <w:sz w:val="18"/>
            <w:szCs w:val="18"/>
          </w:rPr>
          <w:t>Holista</w:t>
        </w:r>
        <w:proofErr w:type="spellEnd"/>
        <w:r w:rsidR="003503EC">
          <w:rPr>
            <w:bCs/>
            <w:sz w:val="18"/>
            <w:szCs w:val="18"/>
          </w:rPr>
          <w:t xml:space="preserve"> </w:t>
        </w:r>
        <w:proofErr w:type="spellStart"/>
        <w:r w:rsidR="003503EC">
          <w:rPr>
            <w:bCs/>
            <w:sz w:val="18"/>
            <w:szCs w:val="18"/>
          </w:rPr>
          <w:t>Colltech</w:t>
        </w:r>
        <w:proofErr w:type="spellEnd"/>
        <w:r w:rsidR="003503EC">
          <w:rPr>
            <w:bCs/>
            <w:sz w:val="18"/>
            <w:szCs w:val="18"/>
          </w:rPr>
          <w:t xml:space="preserve"> Ltd [2024] FCA 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proofErr w:type="spellStart"/>
    <w:r>
      <w:rPr>
        <w:bCs/>
        <w:sz w:val="20"/>
      </w:rPr>
      <w:t>i</w:t>
    </w:r>
    <w:proofErr w:type="spellEnd"/>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0449F" w14:textId="3BE32B87"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4A863396" wp14:editId="1975DCE8">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7C34783E">
            <v:line id="Straight Connector 7" style="position:absolute;z-index:25166745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74C5F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1095746746"/>
        <w:placeholder>
          <w:docPart w:val="88AB1FE82936432DA7789CC43CA87D7C"/>
        </w:placeholder>
        <w:dataBinding w:prefixMappings="xmlns:ns0='http://schemas.globalmacros.com/FCA'" w:xpath="/ns0:root[1]/ns0:Name[1]" w:storeItemID="{687E7CCB-4AA5-44E7-B148-17BA2B6F57C0}"/>
        <w:text w:multiLine="1"/>
      </w:sdtPr>
      <w:sdtEndPr/>
      <w:sdtContent>
        <w:r w:rsidR="003503EC">
          <w:rPr>
            <w:bCs/>
            <w:sz w:val="18"/>
            <w:szCs w:val="18"/>
          </w:rPr>
          <w:t xml:space="preserve">Australian Securities and Investments Commission v </w:t>
        </w:r>
        <w:proofErr w:type="spellStart"/>
        <w:r w:rsidR="003503EC">
          <w:rPr>
            <w:bCs/>
            <w:sz w:val="18"/>
            <w:szCs w:val="18"/>
          </w:rPr>
          <w:t>Holista</w:t>
        </w:r>
        <w:proofErr w:type="spellEnd"/>
        <w:r w:rsidR="003503EC">
          <w:rPr>
            <w:bCs/>
            <w:sz w:val="18"/>
            <w:szCs w:val="18"/>
          </w:rPr>
          <w:t xml:space="preserve"> </w:t>
        </w:r>
        <w:proofErr w:type="spellStart"/>
        <w:r w:rsidR="003503EC">
          <w:rPr>
            <w:bCs/>
            <w:sz w:val="18"/>
            <w:szCs w:val="18"/>
          </w:rPr>
          <w:t>Colltech</w:t>
        </w:r>
        <w:proofErr w:type="spellEnd"/>
        <w:r w:rsidR="003503EC">
          <w:rPr>
            <w:bCs/>
            <w:sz w:val="18"/>
            <w:szCs w:val="18"/>
          </w:rPr>
          <w:t xml:space="preserve"> Ltd [2024] FCA 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4DA7" w14:textId="2DB47464"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59A87AD5" wp14:editId="2F7D3351">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a="http://schemas.openxmlformats.org/drawingml/2006/main" xmlns:w16du="http://schemas.microsoft.com/office/word/2023/wordml/word16du">
          <w:pict w14:anchorId="4F5F4166">
            <v:line id="Straight Connector 3" style="position:absolute;z-index:25166540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from="-2.25pt,1.7pt" to="229.5pt,1.7pt" w14:anchorId="0B69D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w:pict>
        </mc:Fallback>
      </mc:AlternateContent>
    </w:r>
    <w:sdt>
      <w:sdtPr>
        <w:rPr>
          <w:bCs/>
          <w:sz w:val="18"/>
          <w:szCs w:val="18"/>
        </w:rPr>
        <w:tag w:val="MNC"/>
        <w:id w:val="-1532949365"/>
        <w:placeholder>
          <w:docPart w:val="5513DB6D046D4931931B045CAE3E56C1"/>
        </w:placeholder>
        <w:dataBinding w:prefixMappings="xmlns:ns0='http://schemas.globalmacros.com/FCA'" w:xpath="/ns0:root[1]/ns0:Name[1]" w:storeItemID="{687E7CCB-4AA5-44E7-B148-17BA2B6F57C0}"/>
        <w:text w:multiLine="1"/>
      </w:sdtPr>
      <w:sdtEndPr/>
      <w:sdtContent>
        <w:r w:rsidR="003503EC">
          <w:rPr>
            <w:bCs/>
            <w:sz w:val="18"/>
            <w:szCs w:val="18"/>
          </w:rPr>
          <w:t xml:space="preserve">Australian Securities and Investments Commission v </w:t>
        </w:r>
        <w:proofErr w:type="spellStart"/>
        <w:r w:rsidR="003503EC">
          <w:rPr>
            <w:bCs/>
            <w:sz w:val="18"/>
            <w:szCs w:val="18"/>
          </w:rPr>
          <w:t>Holista</w:t>
        </w:r>
        <w:proofErr w:type="spellEnd"/>
        <w:r w:rsidR="003503EC">
          <w:rPr>
            <w:bCs/>
            <w:sz w:val="18"/>
            <w:szCs w:val="18"/>
          </w:rPr>
          <w:t xml:space="preserve"> </w:t>
        </w:r>
        <w:proofErr w:type="spellStart"/>
        <w:r w:rsidR="003503EC">
          <w:rPr>
            <w:bCs/>
            <w:sz w:val="18"/>
            <w:szCs w:val="18"/>
          </w:rPr>
          <w:t>Colltech</w:t>
        </w:r>
        <w:proofErr w:type="spellEnd"/>
        <w:r w:rsidR="003503EC">
          <w:rPr>
            <w:bCs/>
            <w:sz w:val="18"/>
            <w:szCs w:val="18"/>
          </w:rPr>
          <w:t xml:space="preserve"> Ltd [2024] FCA 244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9250" w14:textId="77777777" w:rsidR="002104C2" w:rsidRDefault="002104C2"/>
  </w:footnote>
  <w:footnote w:type="continuationSeparator" w:id="0">
    <w:p w14:paraId="16D9B8C6" w14:textId="77777777" w:rsidR="002104C2" w:rsidRDefault="002104C2">
      <w:r>
        <w:continuationSeparator/>
      </w:r>
    </w:p>
    <w:p w14:paraId="39924F02" w14:textId="77777777" w:rsidR="002104C2" w:rsidRDefault="002104C2"/>
    <w:p w14:paraId="3CEDD9B7" w14:textId="77777777" w:rsidR="002104C2" w:rsidRDefault="002104C2"/>
  </w:footnote>
  <w:footnote w:type="continuationNotice" w:id="1">
    <w:p w14:paraId="4AF04081" w14:textId="77777777" w:rsidR="002104C2" w:rsidRDefault="002104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9A13" w14:textId="78387982" w:rsidR="00AD715D" w:rsidRDefault="00AD71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06AA" w14:textId="3B0CE1A0" w:rsidR="00395B24" w:rsidRDefault="00395B24">
    <w:pPr>
      <w:tabs>
        <w:tab w:val="center" w:pos="4512"/>
      </w:tabs>
      <w:suppressAutoHyphen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B996" w14:textId="23FCF9EE" w:rsidR="00395B24" w:rsidRDefault="00395B24">
    <w:pPr>
      <w:pStyle w:val="Header"/>
      <w:tabs>
        <w:tab w:val="clear" w:pos="4320"/>
        <w:tab w:val="clear" w:pos="8640"/>
      </w:tabs>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0D33" w14:textId="67D2D8D4" w:rsidR="00395B24" w:rsidRDefault="00395B2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4A73" w14:textId="2476421B" w:rsidR="00395B24" w:rsidRDefault="00395B24">
    <w:pPr>
      <w:tabs>
        <w:tab w:val="center" w:pos="4512"/>
      </w:tabs>
      <w:suppressAutoHyphen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919C" w14:textId="299A6DE2"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6879"/>
        </w:tabs>
        <w:ind w:left="6879"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6768D"/>
    <w:multiLevelType w:val="hybridMultilevel"/>
    <w:tmpl w:val="6F50EB6C"/>
    <w:lvl w:ilvl="0" w:tplc="7DF6D88E">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1440"/>
        </w:tabs>
        <w:ind w:left="1440" w:hanging="720"/>
      </w:pPr>
      <w:rPr>
        <w:rFonts w:ascii="Times New Roman" w:hAnsi="Times New Roman" w:hint="default"/>
      </w:rPr>
    </w:lvl>
    <w:lvl w:ilvl="1">
      <w:start w:val="1"/>
      <w:numFmt w:val="lowerRoman"/>
      <w:pStyle w:val="ListNo2alt"/>
      <w:lvlText w:val="(%2)"/>
      <w:lvlJc w:val="left"/>
      <w:pPr>
        <w:tabs>
          <w:tab w:val="num" w:pos="2160"/>
        </w:tabs>
        <w:ind w:left="2160" w:hanging="720"/>
      </w:pPr>
      <w:rPr>
        <w:rFonts w:hint="default"/>
      </w:rPr>
    </w:lvl>
    <w:lvl w:ilvl="2">
      <w:start w:val="1"/>
      <w:numFmt w:val="upperLetter"/>
      <w:pStyle w:val="ListNo3alt"/>
      <w:lvlText w:val="(%3)"/>
      <w:lvlJc w:val="left"/>
      <w:pPr>
        <w:tabs>
          <w:tab w:val="num" w:pos="2880"/>
        </w:tabs>
        <w:ind w:left="2880" w:hanging="720"/>
      </w:pPr>
      <w:rPr>
        <w:rFonts w:hint="default"/>
      </w:rPr>
    </w:lvl>
    <w:lvl w:ilvl="3">
      <w:numFmt w:val="none"/>
      <w:lvlRestart w:val="0"/>
      <w:suff w:val="nothing"/>
      <w:lvlText w:val=""/>
      <w:lvlJc w:val="left"/>
      <w:pPr>
        <w:ind w:left="-32047" w:firstLine="0"/>
      </w:pPr>
      <w:rPr>
        <w:rFonts w:hint="default"/>
      </w:rPr>
    </w:lvl>
    <w:lvl w:ilvl="4">
      <w:start w:val="1"/>
      <w:numFmt w:val="none"/>
      <w:lvlRestart w:val="0"/>
      <w:suff w:val="nothing"/>
      <w:lvlText w:val=""/>
      <w:lvlJc w:val="left"/>
      <w:pPr>
        <w:ind w:left="-32047" w:firstLine="0"/>
      </w:pPr>
      <w:rPr>
        <w:rFonts w:hint="default"/>
      </w:rPr>
    </w:lvl>
    <w:lvl w:ilvl="5">
      <w:start w:val="1"/>
      <w:numFmt w:val="none"/>
      <w:lvlRestart w:val="0"/>
      <w:suff w:val="nothing"/>
      <w:lvlText w:val=""/>
      <w:lvlJc w:val="left"/>
      <w:pPr>
        <w:ind w:left="-32047" w:firstLine="0"/>
      </w:pPr>
      <w:rPr>
        <w:rFonts w:hint="default"/>
      </w:rPr>
    </w:lvl>
    <w:lvl w:ilvl="6">
      <w:start w:val="1"/>
      <w:numFmt w:val="none"/>
      <w:lvlRestart w:val="0"/>
      <w:suff w:val="nothing"/>
      <w:lvlText w:val=""/>
      <w:lvlJc w:val="left"/>
      <w:pPr>
        <w:ind w:left="-32047" w:firstLine="0"/>
      </w:pPr>
      <w:rPr>
        <w:rFonts w:hint="default"/>
      </w:rPr>
    </w:lvl>
    <w:lvl w:ilvl="7">
      <w:start w:val="1"/>
      <w:numFmt w:val="none"/>
      <w:lvlRestart w:val="0"/>
      <w:suff w:val="nothing"/>
      <w:lvlText w:val=""/>
      <w:lvlJc w:val="left"/>
      <w:pPr>
        <w:ind w:left="-32047" w:firstLine="0"/>
      </w:pPr>
      <w:rPr>
        <w:rFonts w:hint="default"/>
      </w:rPr>
    </w:lvl>
    <w:lvl w:ilvl="8">
      <w:start w:val="1"/>
      <w:numFmt w:val="none"/>
      <w:lvlRestart w:val="0"/>
      <w:suff w:val="nothing"/>
      <w:lvlText w:val=""/>
      <w:lvlJc w:val="left"/>
      <w:pPr>
        <w:ind w:left="-32047" w:firstLine="0"/>
      </w:pPr>
      <w:rPr>
        <w:rFonts w:hint="default"/>
      </w:rPr>
    </w:lvl>
  </w:abstractNum>
  <w:abstractNum w:abstractNumId="12" w15:restartNumberingAfterBreak="0">
    <w:nsid w:val="0A2F557F"/>
    <w:multiLevelType w:val="hybridMultilevel"/>
    <w:tmpl w:val="55E2319A"/>
    <w:lvl w:ilvl="0" w:tplc="38C2CC02">
      <w:start w:val="4"/>
      <w:numFmt w:val="decimal"/>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12513F"/>
    <w:multiLevelType w:val="hybridMultilevel"/>
    <w:tmpl w:val="457AD04C"/>
    <w:lvl w:ilvl="0" w:tplc="0DC6C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5"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6" w15:restartNumberingAfterBreak="0">
    <w:nsid w:val="1865077B"/>
    <w:multiLevelType w:val="hybridMultilevel"/>
    <w:tmpl w:val="41083CB6"/>
    <w:lvl w:ilvl="0" w:tplc="0C090001">
      <w:start w:val="1"/>
      <w:numFmt w:val="bullet"/>
      <w:lvlText w:val=""/>
      <w:lvlJc w:val="left"/>
      <w:pPr>
        <w:ind w:left="1919" w:hanging="360"/>
      </w:pPr>
      <w:rPr>
        <w:rFonts w:ascii="Symbol" w:hAnsi="Symbol" w:hint="default"/>
      </w:rPr>
    </w:lvl>
    <w:lvl w:ilvl="1" w:tplc="0C090003" w:tentative="1">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17" w15:restartNumberingAfterBreak="0">
    <w:nsid w:val="196C6EC5"/>
    <w:multiLevelType w:val="hybridMultilevel"/>
    <w:tmpl w:val="385EC960"/>
    <w:lvl w:ilvl="0" w:tplc="C86688A8">
      <w:start w:val="1"/>
      <w:numFmt w:val="decimal"/>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1B0E268A"/>
    <w:multiLevelType w:val="hybridMultilevel"/>
    <w:tmpl w:val="8C16C282"/>
    <w:lvl w:ilvl="0" w:tplc="0DC6C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0" w15:restartNumberingAfterBreak="0">
    <w:nsid w:val="220C4F80"/>
    <w:multiLevelType w:val="hybridMultilevel"/>
    <w:tmpl w:val="537E5EA8"/>
    <w:lvl w:ilvl="0" w:tplc="C824A0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9100017"/>
    <w:multiLevelType w:val="hybridMultilevel"/>
    <w:tmpl w:val="2534A580"/>
    <w:lvl w:ilvl="0" w:tplc="0DC6C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2940327D"/>
    <w:multiLevelType w:val="hybridMultilevel"/>
    <w:tmpl w:val="A8D8EAD2"/>
    <w:lvl w:ilvl="0" w:tplc="AF82BAA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3"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4"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5" w15:restartNumberingAfterBreak="0">
    <w:nsid w:val="2B2A187A"/>
    <w:multiLevelType w:val="hybridMultilevel"/>
    <w:tmpl w:val="55AE4768"/>
    <w:lvl w:ilvl="0" w:tplc="2248AE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8" w15:restartNumberingAfterBreak="0">
    <w:nsid w:val="494817A7"/>
    <w:multiLevelType w:val="multilevel"/>
    <w:tmpl w:val="0F0EC90E"/>
    <w:numStyleLink w:val="FCListNo"/>
  </w:abstractNum>
  <w:abstractNum w:abstractNumId="2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3936D5D"/>
    <w:multiLevelType w:val="hybridMultilevel"/>
    <w:tmpl w:val="B4BAE9A4"/>
    <w:lvl w:ilvl="0" w:tplc="0DC6C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CAD2BFE"/>
    <w:multiLevelType w:val="multilevel"/>
    <w:tmpl w:val="DEF63F30"/>
    <w:lvl w:ilvl="0">
      <w:start w:val="1"/>
      <w:numFmt w:val="decimal"/>
      <w:lvlRestart w:val="0"/>
      <w:lvlText w:val="(%1)"/>
      <w:lvlJc w:val="left"/>
      <w:pPr>
        <w:tabs>
          <w:tab w:val="num" w:pos="720"/>
        </w:tabs>
        <w:ind w:left="720" w:hanging="720"/>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3"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6F9B6398"/>
    <w:multiLevelType w:val="hybridMultilevel"/>
    <w:tmpl w:val="0E4CBD92"/>
    <w:lvl w:ilvl="0" w:tplc="907C4790">
      <w:start w:val="1"/>
      <w:numFmt w:val="bullet"/>
      <w:pStyle w:val="Quote1Bullet"/>
      <w:lvlText w:val=""/>
      <w:lvlJc w:val="left"/>
      <w:pPr>
        <w:ind w:left="4439" w:hanging="360"/>
      </w:pPr>
      <w:rPr>
        <w:rFonts w:ascii="Wingdings" w:hAnsi="Wingdings" w:hint="default"/>
      </w:rPr>
    </w:lvl>
    <w:lvl w:ilvl="1" w:tplc="0C090003" w:tentative="1">
      <w:start w:val="1"/>
      <w:numFmt w:val="bullet"/>
      <w:lvlText w:val="o"/>
      <w:lvlJc w:val="left"/>
      <w:pPr>
        <w:ind w:left="5159" w:hanging="360"/>
      </w:pPr>
      <w:rPr>
        <w:rFonts w:ascii="Courier New" w:hAnsi="Courier New" w:cs="Courier New" w:hint="default"/>
      </w:rPr>
    </w:lvl>
    <w:lvl w:ilvl="2" w:tplc="0C090005" w:tentative="1">
      <w:start w:val="1"/>
      <w:numFmt w:val="bullet"/>
      <w:lvlText w:val=""/>
      <w:lvlJc w:val="left"/>
      <w:pPr>
        <w:ind w:left="5879" w:hanging="360"/>
      </w:pPr>
      <w:rPr>
        <w:rFonts w:ascii="Wingdings" w:hAnsi="Wingdings" w:hint="default"/>
      </w:rPr>
    </w:lvl>
    <w:lvl w:ilvl="3" w:tplc="0C090001" w:tentative="1">
      <w:start w:val="1"/>
      <w:numFmt w:val="bullet"/>
      <w:lvlText w:val=""/>
      <w:lvlJc w:val="left"/>
      <w:pPr>
        <w:ind w:left="6599" w:hanging="360"/>
      </w:pPr>
      <w:rPr>
        <w:rFonts w:ascii="Symbol" w:hAnsi="Symbol" w:hint="default"/>
      </w:rPr>
    </w:lvl>
    <w:lvl w:ilvl="4" w:tplc="0C090003" w:tentative="1">
      <w:start w:val="1"/>
      <w:numFmt w:val="bullet"/>
      <w:lvlText w:val="o"/>
      <w:lvlJc w:val="left"/>
      <w:pPr>
        <w:ind w:left="7319" w:hanging="360"/>
      </w:pPr>
      <w:rPr>
        <w:rFonts w:ascii="Courier New" w:hAnsi="Courier New" w:cs="Courier New" w:hint="default"/>
      </w:rPr>
    </w:lvl>
    <w:lvl w:ilvl="5" w:tplc="0C090005" w:tentative="1">
      <w:start w:val="1"/>
      <w:numFmt w:val="bullet"/>
      <w:lvlText w:val=""/>
      <w:lvlJc w:val="left"/>
      <w:pPr>
        <w:ind w:left="8039" w:hanging="360"/>
      </w:pPr>
      <w:rPr>
        <w:rFonts w:ascii="Wingdings" w:hAnsi="Wingdings" w:hint="default"/>
      </w:rPr>
    </w:lvl>
    <w:lvl w:ilvl="6" w:tplc="0C090001" w:tentative="1">
      <w:start w:val="1"/>
      <w:numFmt w:val="bullet"/>
      <w:lvlText w:val=""/>
      <w:lvlJc w:val="left"/>
      <w:pPr>
        <w:ind w:left="8759" w:hanging="360"/>
      </w:pPr>
      <w:rPr>
        <w:rFonts w:ascii="Symbol" w:hAnsi="Symbol" w:hint="default"/>
      </w:rPr>
    </w:lvl>
    <w:lvl w:ilvl="7" w:tplc="0C090003" w:tentative="1">
      <w:start w:val="1"/>
      <w:numFmt w:val="bullet"/>
      <w:lvlText w:val="o"/>
      <w:lvlJc w:val="left"/>
      <w:pPr>
        <w:ind w:left="9479" w:hanging="360"/>
      </w:pPr>
      <w:rPr>
        <w:rFonts w:ascii="Courier New" w:hAnsi="Courier New" w:cs="Courier New" w:hint="default"/>
      </w:rPr>
    </w:lvl>
    <w:lvl w:ilvl="8" w:tplc="0C090005" w:tentative="1">
      <w:start w:val="1"/>
      <w:numFmt w:val="bullet"/>
      <w:lvlText w:val=""/>
      <w:lvlJc w:val="left"/>
      <w:pPr>
        <w:ind w:left="10199" w:hanging="360"/>
      </w:pPr>
      <w:rPr>
        <w:rFonts w:ascii="Wingdings" w:hAnsi="Wingdings" w:hint="default"/>
      </w:rPr>
    </w:lvl>
  </w:abstractNum>
  <w:abstractNum w:abstractNumId="35" w15:restartNumberingAfterBreak="0">
    <w:nsid w:val="6FA5513E"/>
    <w:multiLevelType w:val="hybridMultilevel"/>
    <w:tmpl w:val="0650A77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6" w15:restartNumberingAfterBreak="0">
    <w:nsid w:val="70F81FC6"/>
    <w:multiLevelType w:val="multilevel"/>
    <w:tmpl w:val="1264D1F8"/>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720"/>
      </w:pPr>
      <w:rPr>
        <w:rFonts w:hint="default"/>
      </w:rPr>
    </w:lvl>
    <w:lvl w:ilvl="2">
      <w:start w:val="1"/>
      <w:numFmt w:val="lowerRoman"/>
      <w:lvlText w:val="(%3)"/>
      <w:lvlJc w:val="left"/>
      <w:pPr>
        <w:tabs>
          <w:tab w:val="num" w:pos="2880"/>
        </w:tabs>
        <w:ind w:left="2880" w:hanging="720"/>
      </w:pPr>
      <w:rPr>
        <w:rFonts w:hint="default"/>
      </w:rPr>
    </w:lvl>
    <w:lvl w:ilvl="3">
      <w:numFmt w:val="none"/>
      <w:lvlRestart w:val="0"/>
      <w:suff w:val="nothing"/>
      <w:lvlText w:val=""/>
      <w:lvlJc w:val="left"/>
      <w:pPr>
        <w:ind w:left="-32047" w:firstLine="0"/>
      </w:pPr>
      <w:rPr>
        <w:rFonts w:hint="default"/>
      </w:rPr>
    </w:lvl>
    <w:lvl w:ilvl="4">
      <w:start w:val="1"/>
      <w:numFmt w:val="none"/>
      <w:lvlRestart w:val="0"/>
      <w:suff w:val="nothing"/>
      <w:lvlText w:val=""/>
      <w:lvlJc w:val="left"/>
      <w:pPr>
        <w:ind w:left="-32047" w:firstLine="0"/>
      </w:pPr>
      <w:rPr>
        <w:rFonts w:hint="default"/>
      </w:rPr>
    </w:lvl>
    <w:lvl w:ilvl="5">
      <w:start w:val="1"/>
      <w:numFmt w:val="none"/>
      <w:lvlRestart w:val="0"/>
      <w:suff w:val="nothing"/>
      <w:lvlText w:val=""/>
      <w:lvlJc w:val="left"/>
      <w:pPr>
        <w:ind w:left="-32047" w:firstLine="0"/>
      </w:pPr>
      <w:rPr>
        <w:rFonts w:hint="default"/>
      </w:rPr>
    </w:lvl>
    <w:lvl w:ilvl="6">
      <w:start w:val="1"/>
      <w:numFmt w:val="none"/>
      <w:lvlRestart w:val="0"/>
      <w:suff w:val="nothing"/>
      <w:lvlText w:val=""/>
      <w:lvlJc w:val="left"/>
      <w:pPr>
        <w:ind w:left="-32047" w:firstLine="0"/>
      </w:pPr>
      <w:rPr>
        <w:rFonts w:hint="default"/>
      </w:rPr>
    </w:lvl>
    <w:lvl w:ilvl="7">
      <w:start w:val="1"/>
      <w:numFmt w:val="none"/>
      <w:lvlRestart w:val="0"/>
      <w:suff w:val="nothing"/>
      <w:lvlText w:val=""/>
      <w:lvlJc w:val="left"/>
      <w:pPr>
        <w:ind w:left="-32047" w:firstLine="0"/>
      </w:pPr>
      <w:rPr>
        <w:rFonts w:hint="default"/>
      </w:rPr>
    </w:lvl>
    <w:lvl w:ilvl="8">
      <w:start w:val="1"/>
      <w:numFmt w:val="none"/>
      <w:lvlRestart w:val="0"/>
      <w:suff w:val="nothing"/>
      <w:lvlText w:val=""/>
      <w:lvlJc w:val="left"/>
      <w:pPr>
        <w:ind w:left="-32047" w:firstLine="0"/>
      </w:pPr>
      <w:rPr>
        <w:rFonts w:hint="default"/>
      </w:rPr>
    </w:lvl>
  </w:abstractNum>
  <w:abstractNum w:abstractNumId="37" w15:restartNumberingAfterBreak="0">
    <w:nsid w:val="76364B7D"/>
    <w:multiLevelType w:val="hybridMultilevel"/>
    <w:tmpl w:val="78EC746E"/>
    <w:lvl w:ilvl="0" w:tplc="0DC6C02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7AA13FB0"/>
    <w:multiLevelType w:val="hybridMultilevel"/>
    <w:tmpl w:val="65FCD6B2"/>
    <w:lvl w:ilvl="0" w:tplc="C824A0C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40" w15:restartNumberingAfterBreak="0">
    <w:nsid w:val="7DE34146"/>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num w:numId="1" w16cid:durableId="1951619749">
    <w:abstractNumId w:val="23"/>
  </w:num>
  <w:num w:numId="2" w16cid:durableId="709695909">
    <w:abstractNumId w:val="9"/>
  </w:num>
  <w:num w:numId="3" w16cid:durableId="1651978432">
    <w:abstractNumId w:val="7"/>
  </w:num>
  <w:num w:numId="4" w16cid:durableId="541094498">
    <w:abstractNumId w:val="6"/>
  </w:num>
  <w:num w:numId="5" w16cid:durableId="1609391357">
    <w:abstractNumId w:val="5"/>
  </w:num>
  <w:num w:numId="6" w16cid:durableId="1600024619">
    <w:abstractNumId w:val="4"/>
  </w:num>
  <w:num w:numId="7" w16cid:durableId="1049380888">
    <w:abstractNumId w:val="8"/>
  </w:num>
  <w:num w:numId="8" w16cid:durableId="50271638">
    <w:abstractNumId w:val="3"/>
  </w:num>
  <w:num w:numId="9" w16cid:durableId="1040130346">
    <w:abstractNumId w:val="2"/>
  </w:num>
  <w:num w:numId="10" w16cid:durableId="1256867613">
    <w:abstractNumId w:val="1"/>
  </w:num>
  <w:num w:numId="11" w16cid:durableId="146439486">
    <w:abstractNumId w:val="0"/>
  </w:num>
  <w:num w:numId="12" w16cid:durableId="994381113">
    <w:abstractNumId w:val="33"/>
  </w:num>
  <w:num w:numId="13" w16cid:durableId="1956447956">
    <w:abstractNumId w:val="29"/>
  </w:num>
  <w:num w:numId="14" w16cid:durableId="1987776567">
    <w:abstractNumId w:val="30"/>
  </w:num>
  <w:num w:numId="15" w16cid:durableId="1595089954">
    <w:abstractNumId w:val="39"/>
  </w:num>
  <w:num w:numId="16" w16cid:durableId="1821727160">
    <w:abstractNumId w:val="19"/>
  </w:num>
  <w:num w:numId="17" w16cid:durableId="1118717312">
    <w:abstractNumId w:val="34"/>
  </w:num>
  <w:num w:numId="18" w16cid:durableId="2058120245">
    <w:abstractNumId w:val="14"/>
  </w:num>
  <w:num w:numId="19" w16cid:durableId="1290894064">
    <w:abstractNumId w:val="27"/>
  </w:num>
  <w:num w:numId="20" w16cid:durableId="132408278">
    <w:abstractNumId w:val="24"/>
  </w:num>
  <w:num w:numId="21" w16cid:durableId="592979737">
    <w:abstractNumId w:val="28"/>
    <w:lvlOverride w:ilvl="0">
      <w:lvl w:ilvl="0">
        <w:start w:val="1"/>
        <w:numFmt w:val="decimal"/>
        <w:lvlRestart w:val="0"/>
        <w:pStyle w:val="ListNo1"/>
        <w:lvlText w:val="(%1)"/>
        <w:lvlJc w:val="left"/>
        <w:pPr>
          <w:tabs>
            <w:tab w:val="num" w:pos="720"/>
          </w:tabs>
          <w:ind w:left="720" w:hanging="720"/>
        </w:pPr>
        <w:rPr>
          <w:rFonts w:ascii="Times New Roman" w:hAnsi="Times New Roman" w:hint="default"/>
        </w:rPr>
      </w:lvl>
    </w:lvlOverride>
  </w:num>
  <w:num w:numId="22" w16cid:durableId="857742451">
    <w:abstractNumId w:val="15"/>
  </w:num>
  <w:num w:numId="23" w16cid:durableId="1282806129">
    <w:abstractNumId w:val="26"/>
  </w:num>
  <w:num w:numId="24" w16cid:durableId="623536427">
    <w:abstractNumId w:val="38"/>
  </w:num>
  <w:num w:numId="25" w16cid:durableId="698551128">
    <w:abstractNumId w:val="17"/>
  </w:num>
  <w:num w:numId="26" w16cid:durableId="512039955">
    <w:abstractNumId w:val="10"/>
  </w:num>
  <w:num w:numId="27" w16cid:durableId="41684747">
    <w:abstractNumId w:val="22"/>
  </w:num>
  <w:num w:numId="28" w16cid:durableId="1021275627">
    <w:abstractNumId w:val="25"/>
  </w:num>
  <w:num w:numId="29" w16cid:durableId="1771774778">
    <w:abstractNumId w:val="18"/>
  </w:num>
  <w:num w:numId="30" w16cid:durableId="1359500792">
    <w:abstractNumId w:val="31"/>
  </w:num>
  <w:num w:numId="31" w16cid:durableId="1936861966">
    <w:abstractNumId w:val="32"/>
  </w:num>
  <w:num w:numId="32" w16cid:durableId="1505124157">
    <w:abstractNumId w:val="37"/>
  </w:num>
  <w:num w:numId="33" w16cid:durableId="1000306295">
    <w:abstractNumId w:val="13"/>
  </w:num>
  <w:num w:numId="34" w16cid:durableId="1997222962">
    <w:abstractNumId w:val="21"/>
  </w:num>
  <w:num w:numId="35" w16cid:durableId="501048850">
    <w:abstractNumId w:val="36"/>
  </w:num>
  <w:num w:numId="36" w16cid:durableId="198277249">
    <w:abstractNumId w:val="11"/>
  </w:num>
  <w:num w:numId="37" w16cid:durableId="328212358">
    <w:abstractNumId w:val="12"/>
  </w:num>
  <w:num w:numId="38" w16cid:durableId="1494108130">
    <w:abstractNumId w:val="23"/>
  </w:num>
  <w:num w:numId="39" w16cid:durableId="453132538">
    <w:abstractNumId w:val="40"/>
  </w:num>
  <w:num w:numId="40" w16cid:durableId="538206820">
    <w:abstractNumId w:val="35"/>
  </w:num>
  <w:num w:numId="41" w16cid:durableId="1521970370">
    <w:abstractNumId w:val="20"/>
  </w:num>
  <w:num w:numId="42" w16cid:durableId="243539389">
    <w:abstractNumId w:val="16"/>
  </w:num>
  <w:num w:numId="43" w16cid:durableId="1901359982">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8950">
    <w:abstractNumId w:val="0"/>
    <w:lvlOverride w:ilvl="0">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ant" w:val="Holista Colltech Ltd ACN 094 515 992|Dr Rajendran Marnickavasagar"/>
    <w:docVar w:name="Defenders" w:val="(and another named in the Schedule)"/>
    <w:docVar w:name="Division" w:val="FCA General Division"/>
    <w:docVar w:name="DocCreated" w:val="True"/>
    <w:docVar w:name="FileNumbers" w:val="WAD 177 of 2021"/>
    <w:docVar w:name="Initiators" w:val="(and another named in the Schedule)"/>
    <w:docVar w:name="Judge" w:val="Sarah C Derrington"/>
    <w:docVar w:name="JudgeType" w:val="Justice"/>
    <w:docVar w:name="lstEntryList" w:val="-1"/>
    <w:docVar w:name="NSD" w:val="NSD "/>
    <w:docVar w:name="NumApps" w:val="1"/>
    <w:docVar w:name="NumApps_" w:val="0"/>
    <w:docVar w:name="NumCrossResps" w:val="0"/>
    <w:docVar w:name="NumDefs" w:val="2"/>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Australian Securities and Investments Commission"/>
    <w:docVar w:name="PracticeArea" w:val="Commercial and Corporations"/>
    <w:docVar w:name="RESAndAnother" w:val="True"/>
    <w:docVar w:name="RESAndOthers" w:val="False"/>
    <w:docVar w:name="ResState" w:val="Western Australia"/>
    <w:docVar w:name="SubArea" w:val="Regulator and Consumer Protection (C &amp; C)"/>
  </w:docVars>
  <w:rsids>
    <w:rsidRoot w:val="00E72A90"/>
    <w:rsid w:val="00000051"/>
    <w:rsid w:val="00000747"/>
    <w:rsid w:val="0000097C"/>
    <w:rsid w:val="00000BDA"/>
    <w:rsid w:val="00000C9A"/>
    <w:rsid w:val="00000C9F"/>
    <w:rsid w:val="00001E57"/>
    <w:rsid w:val="00002862"/>
    <w:rsid w:val="00003521"/>
    <w:rsid w:val="00004405"/>
    <w:rsid w:val="00004467"/>
    <w:rsid w:val="00004BDE"/>
    <w:rsid w:val="00004D2C"/>
    <w:rsid w:val="000056C7"/>
    <w:rsid w:val="00005AD7"/>
    <w:rsid w:val="000065DC"/>
    <w:rsid w:val="00006F67"/>
    <w:rsid w:val="00007A97"/>
    <w:rsid w:val="00007DCB"/>
    <w:rsid w:val="00010226"/>
    <w:rsid w:val="00010798"/>
    <w:rsid w:val="00010AA7"/>
    <w:rsid w:val="00010DB7"/>
    <w:rsid w:val="000115C5"/>
    <w:rsid w:val="00011872"/>
    <w:rsid w:val="0001282B"/>
    <w:rsid w:val="000128D1"/>
    <w:rsid w:val="00012EC0"/>
    <w:rsid w:val="00013A5E"/>
    <w:rsid w:val="00014174"/>
    <w:rsid w:val="000144F5"/>
    <w:rsid w:val="0001469E"/>
    <w:rsid w:val="000146DE"/>
    <w:rsid w:val="0001481C"/>
    <w:rsid w:val="00015274"/>
    <w:rsid w:val="00015993"/>
    <w:rsid w:val="0001701E"/>
    <w:rsid w:val="00020027"/>
    <w:rsid w:val="00020402"/>
    <w:rsid w:val="0002134C"/>
    <w:rsid w:val="00021CCB"/>
    <w:rsid w:val="00022157"/>
    <w:rsid w:val="00022289"/>
    <w:rsid w:val="00022AEA"/>
    <w:rsid w:val="00023263"/>
    <w:rsid w:val="00023651"/>
    <w:rsid w:val="000237E9"/>
    <w:rsid w:val="00024F6F"/>
    <w:rsid w:val="000260C9"/>
    <w:rsid w:val="0002718D"/>
    <w:rsid w:val="00027398"/>
    <w:rsid w:val="0002787D"/>
    <w:rsid w:val="0003056B"/>
    <w:rsid w:val="00030D2D"/>
    <w:rsid w:val="00031035"/>
    <w:rsid w:val="00031875"/>
    <w:rsid w:val="0003201A"/>
    <w:rsid w:val="0003207A"/>
    <w:rsid w:val="000321AD"/>
    <w:rsid w:val="0003236A"/>
    <w:rsid w:val="0003250F"/>
    <w:rsid w:val="000325EF"/>
    <w:rsid w:val="00032810"/>
    <w:rsid w:val="00032967"/>
    <w:rsid w:val="00032B53"/>
    <w:rsid w:val="00032E3B"/>
    <w:rsid w:val="00032F9F"/>
    <w:rsid w:val="0003312E"/>
    <w:rsid w:val="00033810"/>
    <w:rsid w:val="00033DDA"/>
    <w:rsid w:val="00034AAA"/>
    <w:rsid w:val="0003509E"/>
    <w:rsid w:val="00035217"/>
    <w:rsid w:val="000358F1"/>
    <w:rsid w:val="00035C55"/>
    <w:rsid w:val="00035DB5"/>
    <w:rsid w:val="00035DD1"/>
    <w:rsid w:val="000363B0"/>
    <w:rsid w:val="00037600"/>
    <w:rsid w:val="00037A63"/>
    <w:rsid w:val="0004001C"/>
    <w:rsid w:val="00040172"/>
    <w:rsid w:val="00040227"/>
    <w:rsid w:val="00040673"/>
    <w:rsid w:val="000406B7"/>
    <w:rsid w:val="0004094C"/>
    <w:rsid w:val="00040B78"/>
    <w:rsid w:val="00040C4A"/>
    <w:rsid w:val="00041C07"/>
    <w:rsid w:val="00041E4D"/>
    <w:rsid w:val="00042541"/>
    <w:rsid w:val="000433E6"/>
    <w:rsid w:val="0004494F"/>
    <w:rsid w:val="00045BB7"/>
    <w:rsid w:val="0004742B"/>
    <w:rsid w:val="00047569"/>
    <w:rsid w:val="00047775"/>
    <w:rsid w:val="00050BC7"/>
    <w:rsid w:val="000512CB"/>
    <w:rsid w:val="0005169E"/>
    <w:rsid w:val="00052308"/>
    <w:rsid w:val="0005232B"/>
    <w:rsid w:val="00052A39"/>
    <w:rsid w:val="000531D8"/>
    <w:rsid w:val="00053282"/>
    <w:rsid w:val="00053643"/>
    <w:rsid w:val="00053D72"/>
    <w:rsid w:val="00055719"/>
    <w:rsid w:val="0005641B"/>
    <w:rsid w:val="000568B6"/>
    <w:rsid w:val="00057287"/>
    <w:rsid w:val="00057C77"/>
    <w:rsid w:val="00060135"/>
    <w:rsid w:val="0006032B"/>
    <w:rsid w:val="0006106D"/>
    <w:rsid w:val="00061772"/>
    <w:rsid w:val="0006196A"/>
    <w:rsid w:val="000626A4"/>
    <w:rsid w:val="00062C28"/>
    <w:rsid w:val="000631AE"/>
    <w:rsid w:val="000636AA"/>
    <w:rsid w:val="00064552"/>
    <w:rsid w:val="0006470A"/>
    <w:rsid w:val="0006471F"/>
    <w:rsid w:val="00064FE3"/>
    <w:rsid w:val="000650F0"/>
    <w:rsid w:val="00065594"/>
    <w:rsid w:val="0006576E"/>
    <w:rsid w:val="00067781"/>
    <w:rsid w:val="00067AC6"/>
    <w:rsid w:val="00067BFE"/>
    <w:rsid w:val="000710B8"/>
    <w:rsid w:val="00071547"/>
    <w:rsid w:val="000718A6"/>
    <w:rsid w:val="00071FB3"/>
    <w:rsid w:val="00072005"/>
    <w:rsid w:val="000720A8"/>
    <w:rsid w:val="000722B2"/>
    <w:rsid w:val="00072DFD"/>
    <w:rsid w:val="000736AD"/>
    <w:rsid w:val="000736ED"/>
    <w:rsid w:val="00073793"/>
    <w:rsid w:val="0007383C"/>
    <w:rsid w:val="00073DF8"/>
    <w:rsid w:val="000740D3"/>
    <w:rsid w:val="00074B9B"/>
    <w:rsid w:val="00075270"/>
    <w:rsid w:val="0007535D"/>
    <w:rsid w:val="00075509"/>
    <w:rsid w:val="00076902"/>
    <w:rsid w:val="00076A62"/>
    <w:rsid w:val="00077768"/>
    <w:rsid w:val="00077C37"/>
    <w:rsid w:val="0008092F"/>
    <w:rsid w:val="00080DC0"/>
    <w:rsid w:val="00080E23"/>
    <w:rsid w:val="00081041"/>
    <w:rsid w:val="000810AA"/>
    <w:rsid w:val="000811A4"/>
    <w:rsid w:val="000811BE"/>
    <w:rsid w:val="00081262"/>
    <w:rsid w:val="00081497"/>
    <w:rsid w:val="00081546"/>
    <w:rsid w:val="0008170F"/>
    <w:rsid w:val="00081BA4"/>
    <w:rsid w:val="00082051"/>
    <w:rsid w:val="00082384"/>
    <w:rsid w:val="000827D7"/>
    <w:rsid w:val="00082B56"/>
    <w:rsid w:val="000831EC"/>
    <w:rsid w:val="000840BB"/>
    <w:rsid w:val="00084126"/>
    <w:rsid w:val="0008428D"/>
    <w:rsid w:val="00084EA9"/>
    <w:rsid w:val="00085255"/>
    <w:rsid w:val="000855BC"/>
    <w:rsid w:val="0008593B"/>
    <w:rsid w:val="000859FB"/>
    <w:rsid w:val="00086304"/>
    <w:rsid w:val="0008691C"/>
    <w:rsid w:val="00086DC3"/>
    <w:rsid w:val="000870CA"/>
    <w:rsid w:val="000872D5"/>
    <w:rsid w:val="00087598"/>
    <w:rsid w:val="00087A9E"/>
    <w:rsid w:val="000908BC"/>
    <w:rsid w:val="00090931"/>
    <w:rsid w:val="00090D3B"/>
    <w:rsid w:val="0009149C"/>
    <w:rsid w:val="00091847"/>
    <w:rsid w:val="00092532"/>
    <w:rsid w:val="00092AC5"/>
    <w:rsid w:val="00092D8D"/>
    <w:rsid w:val="000935D0"/>
    <w:rsid w:val="00093676"/>
    <w:rsid w:val="00093767"/>
    <w:rsid w:val="00093799"/>
    <w:rsid w:val="0009404E"/>
    <w:rsid w:val="0009422D"/>
    <w:rsid w:val="00095334"/>
    <w:rsid w:val="000953FE"/>
    <w:rsid w:val="0009564C"/>
    <w:rsid w:val="00095A90"/>
    <w:rsid w:val="00095B06"/>
    <w:rsid w:val="0009624B"/>
    <w:rsid w:val="00096ED1"/>
    <w:rsid w:val="00096F9A"/>
    <w:rsid w:val="00097074"/>
    <w:rsid w:val="00097642"/>
    <w:rsid w:val="00097CDE"/>
    <w:rsid w:val="00097E98"/>
    <w:rsid w:val="000A15EC"/>
    <w:rsid w:val="000A2E76"/>
    <w:rsid w:val="000A31C6"/>
    <w:rsid w:val="000A3FB1"/>
    <w:rsid w:val="000A41ED"/>
    <w:rsid w:val="000A430D"/>
    <w:rsid w:val="000A444F"/>
    <w:rsid w:val="000A4807"/>
    <w:rsid w:val="000A4BE4"/>
    <w:rsid w:val="000A6F10"/>
    <w:rsid w:val="000B0445"/>
    <w:rsid w:val="000B0B29"/>
    <w:rsid w:val="000B0E52"/>
    <w:rsid w:val="000B2243"/>
    <w:rsid w:val="000B2575"/>
    <w:rsid w:val="000B3025"/>
    <w:rsid w:val="000B3386"/>
    <w:rsid w:val="000B3B19"/>
    <w:rsid w:val="000B3E01"/>
    <w:rsid w:val="000B41DD"/>
    <w:rsid w:val="000B5868"/>
    <w:rsid w:val="000B5B3D"/>
    <w:rsid w:val="000B60FB"/>
    <w:rsid w:val="000B610E"/>
    <w:rsid w:val="000B63AF"/>
    <w:rsid w:val="000B6594"/>
    <w:rsid w:val="000B6B91"/>
    <w:rsid w:val="000B79A4"/>
    <w:rsid w:val="000C023E"/>
    <w:rsid w:val="000C0E3B"/>
    <w:rsid w:val="000C21F6"/>
    <w:rsid w:val="000C27E3"/>
    <w:rsid w:val="000C2E30"/>
    <w:rsid w:val="000C3068"/>
    <w:rsid w:val="000C32B1"/>
    <w:rsid w:val="000C32D4"/>
    <w:rsid w:val="000C3B3B"/>
    <w:rsid w:val="000C3FA0"/>
    <w:rsid w:val="000C3FAA"/>
    <w:rsid w:val="000C405D"/>
    <w:rsid w:val="000C45C6"/>
    <w:rsid w:val="000C4A37"/>
    <w:rsid w:val="000C503C"/>
    <w:rsid w:val="000C5195"/>
    <w:rsid w:val="000C53D4"/>
    <w:rsid w:val="000C5696"/>
    <w:rsid w:val="000C5785"/>
    <w:rsid w:val="000C5CEE"/>
    <w:rsid w:val="000C5F85"/>
    <w:rsid w:val="000C62EF"/>
    <w:rsid w:val="000C67FE"/>
    <w:rsid w:val="000C6D44"/>
    <w:rsid w:val="000C7242"/>
    <w:rsid w:val="000D05B0"/>
    <w:rsid w:val="000D0656"/>
    <w:rsid w:val="000D0A85"/>
    <w:rsid w:val="000D0AE2"/>
    <w:rsid w:val="000D11DB"/>
    <w:rsid w:val="000D2137"/>
    <w:rsid w:val="000D2F64"/>
    <w:rsid w:val="000D3FD2"/>
    <w:rsid w:val="000D4A28"/>
    <w:rsid w:val="000D4A64"/>
    <w:rsid w:val="000D4B2E"/>
    <w:rsid w:val="000D4C2D"/>
    <w:rsid w:val="000D4F19"/>
    <w:rsid w:val="000D6886"/>
    <w:rsid w:val="000D6C09"/>
    <w:rsid w:val="000D6D80"/>
    <w:rsid w:val="000D76E9"/>
    <w:rsid w:val="000E00E1"/>
    <w:rsid w:val="000E051D"/>
    <w:rsid w:val="000E1343"/>
    <w:rsid w:val="000E152C"/>
    <w:rsid w:val="000E15A8"/>
    <w:rsid w:val="000E166A"/>
    <w:rsid w:val="000E1870"/>
    <w:rsid w:val="000E31E7"/>
    <w:rsid w:val="000E3FC8"/>
    <w:rsid w:val="000E41B2"/>
    <w:rsid w:val="000E5083"/>
    <w:rsid w:val="000E5258"/>
    <w:rsid w:val="000E533B"/>
    <w:rsid w:val="000E57CB"/>
    <w:rsid w:val="000E5E8A"/>
    <w:rsid w:val="000E6A23"/>
    <w:rsid w:val="000E75D8"/>
    <w:rsid w:val="000E7BAE"/>
    <w:rsid w:val="000E7F2B"/>
    <w:rsid w:val="000F06D7"/>
    <w:rsid w:val="000F0CE7"/>
    <w:rsid w:val="000F0F8C"/>
    <w:rsid w:val="000F1166"/>
    <w:rsid w:val="000F11D3"/>
    <w:rsid w:val="000F133D"/>
    <w:rsid w:val="000F197F"/>
    <w:rsid w:val="000F1A5C"/>
    <w:rsid w:val="000F2AD8"/>
    <w:rsid w:val="000F36C1"/>
    <w:rsid w:val="000F3706"/>
    <w:rsid w:val="000F3C02"/>
    <w:rsid w:val="000F3FE6"/>
    <w:rsid w:val="000F40D3"/>
    <w:rsid w:val="000F48AA"/>
    <w:rsid w:val="000F52E5"/>
    <w:rsid w:val="000F5CA4"/>
    <w:rsid w:val="000F6986"/>
    <w:rsid w:val="000F69F5"/>
    <w:rsid w:val="000F6FC2"/>
    <w:rsid w:val="000F778B"/>
    <w:rsid w:val="000F7D64"/>
    <w:rsid w:val="00100840"/>
    <w:rsid w:val="00100C82"/>
    <w:rsid w:val="00101025"/>
    <w:rsid w:val="00101362"/>
    <w:rsid w:val="00102311"/>
    <w:rsid w:val="00102748"/>
    <w:rsid w:val="00102C04"/>
    <w:rsid w:val="0010353A"/>
    <w:rsid w:val="00103684"/>
    <w:rsid w:val="00103820"/>
    <w:rsid w:val="0010393F"/>
    <w:rsid w:val="001039E5"/>
    <w:rsid w:val="00103EE1"/>
    <w:rsid w:val="0010407C"/>
    <w:rsid w:val="001040AA"/>
    <w:rsid w:val="0010417A"/>
    <w:rsid w:val="00105285"/>
    <w:rsid w:val="0010536B"/>
    <w:rsid w:val="00105B76"/>
    <w:rsid w:val="001066EC"/>
    <w:rsid w:val="00106752"/>
    <w:rsid w:val="00107059"/>
    <w:rsid w:val="00110E06"/>
    <w:rsid w:val="0011145C"/>
    <w:rsid w:val="00111ED1"/>
    <w:rsid w:val="0011263B"/>
    <w:rsid w:val="001128BD"/>
    <w:rsid w:val="00112F7C"/>
    <w:rsid w:val="00113EDA"/>
    <w:rsid w:val="00113FA2"/>
    <w:rsid w:val="0011419D"/>
    <w:rsid w:val="0011467E"/>
    <w:rsid w:val="00114B02"/>
    <w:rsid w:val="00114DC5"/>
    <w:rsid w:val="001151FC"/>
    <w:rsid w:val="001157C5"/>
    <w:rsid w:val="00115A41"/>
    <w:rsid w:val="001170E1"/>
    <w:rsid w:val="0011771D"/>
    <w:rsid w:val="00120C9A"/>
    <w:rsid w:val="00120DA1"/>
    <w:rsid w:val="0012180C"/>
    <w:rsid w:val="001218BA"/>
    <w:rsid w:val="001224D2"/>
    <w:rsid w:val="001226C0"/>
    <w:rsid w:val="00123DD0"/>
    <w:rsid w:val="00123FE4"/>
    <w:rsid w:val="00124064"/>
    <w:rsid w:val="0012416D"/>
    <w:rsid w:val="0012428D"/>
    <w:rsid w:val="001242EA"/>
    <w:rsid w:val="00124B05"/>
    <w:rsid w:val="00124F74"/>
    <w:rsid w:val="00125865"/>
    <w:rsid w:val="001259C1"/>
    <w:rsid w:val="001265A9"/>
    <w:rsid w:val="00126EC8"/>
    <w:rsid w:val="0012731C"/>
    <w:rsid w:val="0012780B"/>
    <w:rsid w:val="00127B3E"/>
    <w:rsid w:val="00127F23"/>
    <w:rsid w:val="001308F6"/>
    <w:rsid w:val="00130BAF"/>
    <w:rsid w:val="001318AD"/>
    <w:rsid w:val="00131ACA"/>
    <w:rsid w:val="00132054"/>
    <w:rsid w:val="001323A9"/>
    <w:rsid w:val="001331B2"/>
    <w:rsid w:val="00133290"/>
    <w:rsid w:val="0013347B"/>
    <w:rsid w:val="0013348B"/>
    <w:rsid w:val="00133CD7"/>
    <w:rsid w:val="00134964"/>
    <w:rsid w:val="00134CA5"/>
    <w:rsid w:val="001350F8"/>
    <w:rsid w:val="00135175"/>
    <w:rsid w:val="001351B9"/>
    <w:rsid w:val="001353F2"/>
    <w:rsid w:val="0013677F"/>
    <w:rsid w:val="001368AB"/>
    <w:rsid w:val="00136B83"/>
    <w:rsid w:val="00137238"/>
    <w:rsid w:val="00137358"/>
    <w:rsid w:val="00137369"/>
    <w:rsid w:val="00137D2A"/>
    <w:rsid w:val="00137F58"/>
    <w:rsid w:val="00140568"/>
    <w:rsid w:val="001407B7"/>
    <w:rsid w:val="0014110A"/>
    <w:rsid w:val="00141964"/>
    <w:rsid w:val="00142AC8"/>
    <w:rsid w:val="0014311C"/>
    <w:rsid w:val="00143346"/>
    <w:rsid w:val="001434AA"/>
    <w:rsid w:val="00143603"/>
    <w:rsid w:val="0014408D"/>
    <w:rsid w:val="001451B6"/>
    <w:rsid w:val="0014587B"/>
    <w:rsid w:val="00145B42"/>
    <w:rsid w:val="00145DA3"/>
    <w:rsid w:val="00145F3D"/>
    <w:rsid w:val="001473C0"/>
    <w:rsid w:val="00147DB3"/>
    <w:rsid w:val="00150102"/>
    <w:rsid w:val="00150237"/>
    <w:rsid w:val="00150313"/>
    <w:rsid w:val="00150377"/>
    <w:rsid w:val="00150C8B"/>
    <w:rsid w:val="001518C8"/>
    <w:rsid w:val="00151D38"/>
    <w:rsid w:val="00153094"/>
    <w:rsid w:val="00154E6B"/>
    <w:rsid w:val="00154EDB"/>
    <w:rsid w:val="00154F61"/>
    <w:rsid w:val="00155CD2"/>
    <w:rsid w:val="00156125"/>
    <w:rsid w:val="0015625F"/>
    <w:rsid w:val="001566EC"/>
    <w:rsid w:val="00156F04"/>
    <w:rsid w:val="001573B1"/>
    <w:rsid w:val="00157926"/>
    <w:rsid w:val="00157F75"/>
    <w:rsid w:val="00157FF6"/>
    <w:rsid w:val="0016027B"/>
    <w:rsid w:val="00160477"/>
    <w:rsid w:val="001604F8"/>
    <w:rsid w:val="0016152A"/>
    <w:rsid w:val="00161732"/>
    <w:rsid w:val="00161D28"/>
    <w:rsid w:val="00161D80"/>
    <w:rsid w:val="00161EE0"/>
    <w:rsid w:val="00161F88"/>
    <w:rsid w:val="001633F5"/>
    <w:rsid w:val="001641B1"/>
    <w:rsid w:val="001652E5"/>
    <w:rsid w:val="00165828"/>
    <w:rsid w:val="00165AA7"/>
    <w:rsid w:val="00165F9E"/>
    <w:rsid w:val="00167EE0"/>
    <w:rsid w:val="001700C7"/>
    <w:rsid w:val="0017029D"/>
    <w:rsid w:val="001705C6"/>
    <w:rsid w:val="00170C79"/>
    <w:rsid w:val="00170FD9"/>
    <w:rsid w:val="00171173"/>
    <w:rsid w:val="00171883"/>
    <w:rsid w:val="00171911"/>
    <w:rsid w:val="0017228B"/>
    <w:rsid w:val="00172296"/>
    <w:rsid w:val="001727A4"/>
    <w:rsid w:val="0017324C"/>
    <w:rsid w:val="0017376C"/>
    <w:rsid w:val="001738AB"/>
    <w:rsid w:val="00173951"/>
    <w:rsid w:val="00173969"/>
    <w:rsid w:val="00173B2E"/>
    <w:rsid w:val="00173D3C"/>
    <w:rsid w:val="00174796"/>
    <w:rsid w:val="001765E0"/>
    <w:rsid w:val="001770AE"/>
    <w:rsid w:val="00177311"/>
    <w:rsid w:val="00177759"/>
    <w:rsid w:val="00180480"/>
    <w:rsid w:val="00180706"/>
    <w:rsid w:val="00180BB3"/>
    <w:rsid w:val="00180C51"/>
    <w:rsid w:val="00181324"/>
    <w:rsid w:val="001814A6"/>
    <w:rsid w:val="00181D26"/>
    <w:rsid w:val="00183339"/>
    <w:rsid w:val="00183944"/>
    <w:rsid w:val="00183E16"/>
    <w:rsid w:val="00184695"/>
    <w:rsid w:val="00184837"/>
    <w:rsid w:val="001856F0"/>
    <w:rsid w:val="00185CAD"/>
    <w:rsid w:val="00185DD6"/>
    <w:rsid w:val="00185E6B"/>
    <w:rsid w:val="001866FB"/>
    <w:rsid w:val="00187A71"/>
    <w:rsid w:val="00187AB4"/>
    <w:rsid w:val="00187BBC"/>
    <w:rsid w:val="00187FBE"/>
    <w:rsid w:val="00190142"/>
    <w:rsid w:val="00190A80"/>
    <w:rsid w:val="00191844"/>
    <w:rsid w:val="001918F1"/>
    <w:rsid w:val="00191E54"/>
    <w:rsid w:val="00192076"/>
    <w:rsid w:val="00192967"/>
    <w:rsid w:val="00192ACB"/>
    <w:rsid w:val="001932F3"/>
    <w:rsid w:val="00193A8C"/>
    <w:rsid w:val="001947EE"/>
    <w:rsid w:val="00195321"/>
    <w:rsid w:val="001953F9"/>
    <w:rsid w:val="001954CF"/>
    <w:rsid w:val="0019594D"/>
    <w:rsid w:val="0019670E"/>
    <w:rsid w:val="001969C8"/>
    <w:rsid w:val="00196A1B"/>
    <w:rsid w:val="00196B88"/>
    <w:rsid w:val="001972E6"/>
    <w:rsid w:val="00197641"/>
    <w:rsid w:val="00197742"/>
    <w:rsid w:val="001A0134"/>
    <w:rsid w:val="001A0399"/>
    <w:rsid w:val="001A070E"/>
    <w:rsid w:val="001A0DD2"/>
    <w:rsid w:val="001A16D1"/>
    <w:rsid w:val="001A1F2F"/>
    <w:rsid w:val="001A2578"/>
    <w:rsid w:val="001A2991"/>
    <w:rsid w:val="001A2A76"/>
    <w:rsid w:val="001A2B40"/>
    <w:rsid w:val="001A328A"/>
    <w:rsid w:val="001A32B8"/>
    <w:rsid w:val="001A3594"/>
    <w:rsid w:val="001A35FB"/>
    <w:rsid w:val="001A3780"/>
    <w:rsid w:val="001A3A4A"/>
    <w:rsid w:val="001A4309"/>
    <w:rsid w:val="001A46AE"/>
    <w:rsid w:val="001A63DB"/>
    <w:rsid w:val="001A6C52"/>
    <w:rsid w:val="001A7243"/>
    <w:rsid w:val="001A7823"/>
    <w:rsid w:val="001B1053"/>
    <w:rsid w:val="001B1290"/>
    <w:rsid w:val="001B14AC"/>
    <w:rsid w:val="001B1F80"/>
    <w:rsid w:val="001B2A0E"/>
    <w:rsid w:val="001B338F"/>
    <w:rsid w:val="001B3531"/>
    <w:rsid w:val="001B35AC"/>
    <w:rsid w:val="001B4303"/>
    <w:rsid w:val="001B433D"/>
    <w:rsid w:val="001B49DC"/>
    <w:rsid w:val="001B4A3F"/>
    <w:rsid w:val="001B4FC8"/>
    <w:rsid w:val="001B503B"/>
    <w:rsid w:val="001B5145"/>
    <w:rsid w:val="001B59F8"/>
    <w:rsid w:val="001B5E5C"/>
    <w:rsid w:val="001B62CD"/>
    <w:rsid w:val="001B6980"/>
    <w:rsid w:val="001B73B0"/>
    <w:rsid w:val="001B7404"/>
    <w:rsid w:val="001B7940"/>
    <w:rsid w:val="001C0F87"/>
    <w:rsid w:val="001C1086"/>
    <w:rsid w:val="001C171A"/>
    <w:rsid w:val="001C1E1D"/>
    <w:rsid w:val="001C2551"/>
    <w:rsid w:val="001C2C5E"/>
    <w:rsid w:val="001C2FE0"/>
    <w:rsid w:val="001C2FF8"/>
    <w:rsid w:val="001C3110"/>
    <w:rsid w:val="001C3703"/>
    <w:rsid w:val="001C37CA"/>
    <w:rsid w:val="001C3B9C"/>
    <w:rsid w:val="001C3E58"/>
    <w:rsid w:val="001C4085"/>
    <w:rsid w:val="001C4258"/>
    <w:rsid w:val="001C4299"/>
    <w:rsid w:val="001C4684"/>
    <w:rsid w:val="001C4898"/>
    <w:rsid w:val="001C4961"/>
    <w:rsid w:val="001C4E9B"/>
    <w:rsid w:val="001C50DB"/>
    <w:rsid w:val="001C5E66"/>
    <w:rsid w:val="001C64D6"/>
    <w:rsid w:val="001C68E6"/>
    <w:rsid w:val="001C7863"/>
    <w:rsid w:val="001C78A8"/>
    <w:rsid w:val="001C79A9"/>
    <w:rsid w:val="001C7B6F"/>
    <w:rsid w:val="001D01E5"/>
    <w:rsid w:val="001D0912"/>
    <w:rsid w:val="001D0A2D"/>
    <w:rsid w:val="001D0C45"/>
    <w:rsid w:val="001D0E58"/>
    <w:rsid w:val="001D1FCB"/>
    <w:rsid w:val="001D24B8"/>
    <w:rsid w:val="001D2A2C"/>
    <w:rsid w:val="001D2A6F"/>
    <w:rsid w:val="001D3125"/>
    <w:rsid w:val="001D32B7"/>
    <w:rsid w:val="001D3B50"/>
    <w:rsid w:val="001D4086"/>
    <w:rsid w:val="001D40CB"/>
    <w:rsid w:val="001D413A"/>
    <w:rsid w:val="001D4303"/>
    <w:rsid w:val="001D45AA"/>
    <w:rsid w:val="001D4FC9"/>
    <w:rsid w:val="001D6746"/>
    <w:rsid w:val="001D68CD"/>
    <w:rsid w:val="001D6973"/>
    <w:rsid w:val="001D6CC6"/>
    <w:rsid w:val="001D6FDE"/>
    <w:rsid w:val="001D74B2"/>
    <w:rsid w:val="001D7900"/>
    <w:rsid w:val="001D7A67"/>
    <w:rsid w:val="001D7D25"/>
    <w:rsid w:val="001D7D5E"/>
    <w:rsid w:val="001E01D9"/>
    <w:rsid w:val="001E0A98"/>
    <w:rsid w:val="001E0AA7"/>
    <w:rsid w:val="001E0C61"/>
    <w:rsid w:val="001E0DD5"/>
    <w:rsid w:val="001E0E79"/>
    <w:rsid w:val="001E1012"/>
    <w:rsid w:val="001E155F"/>
    <w:rsid w:val="001E1632"/>
    <w:rsid w:val="001E1805"/>
    <w:rsid w:val="001E2865"/>
    <w:rsid w:val="001E28E4"/>
    <w:rsid w:val="001E29B2"/>
    <w:rsid w:val="001E3B49"/>
    <w:rsid w:val="001E40C5"/>
    <w:rsid w:val="001E498C"/>
    <w:rsid w:val="001E4A05"/>
    <w:rsid w:val="001E4FEC"/>
    <w:rsid w:val="001E5F1E"/>
    <w:rsid w:val="001E5FB0"/>
    <w:rsid w:val="001E611F"/>
    <w:rsid w:val="001E65F5"/>
    <w:rsid w:val="001E6A19"/>
    <w:rsid w:val="001E6A79"/>
    <w:rsid w:val="001E6DAD"/>
    <w:rsid w:val="001E7388"/>
    <w:rsid w:val="001E7E01"/>
    <w:rsid w:val="001E7E81"/>
    <w:rsid w:val="001F00A0"/>
    <w:rsid w:val="001F13DD"/>
    <w:rsid w:val="001F1A32"/>
    <w:rsid w:val="001F1A89"/>
    <w:rsid w:val="001F2473"/>
    <w:rsid w:val="001F27C1"/>
    <w:rsid w:val="001F2DBC"/>
    <w:rsid w:val="001F3EAB"/>
    <w:rsid w:val="001F4A47"/>
    <w:rsid w:val="001F4E4E"/>
    <w:rsid w:val="001F56ED"/>
    <w:rsid w:val="001F5787"/>
    <w:rsid w:val="001F5840"/>
    <w:rsid w:val="001F5C0A"/>
    <w:rsid w:val="001F60D2"/>
    <w:rsid w:val="001F69D3"/>
    <w:rsid w:val="001F7126"/>
    <w:rsid w:val="001F73DE"/>
    <w:rsid w:val="001F73E8"/>
    <w:rsid w:val="001F7CE1"/>
    <w:rsid w:val="001F7F0E"/>
    <w:rsid w:val="0020011A"/>
    <w:rsid w:val="002005D6"/>
    <w:rsid w:val="0020066C"/>
    <w:rsid w:val="00200C87"/>
    <w:rsid w:val="0020113E"/>
    <w:rsid w:val="002017C0"/>
    <w:rsid w:val="0020198C"/>
    <w:rsid w:val="0020262C"/>
    <w:rsid w:val="00202723"/>
    <w:rsid w:val="00202917"/>
    <w:rsid w:val="00203755"/>
    <w:rsid w:val="002046D6"/>
    <w:rsid w:val="00205352"/>
    <w:rsid w:val="00205AB7"/>
    <w:rsid w:val="00205C0E"/>
    <w:rsid w:val="00205D42"/>
    <w:rsid w:val="00205DCF"/>
    <w:rsid w:val="0020603D"/>
    <w:rsid w:val="00206159"/>
    <w:rsid w:val="00206F23"/>
    <w:rsid w:val="00207C6C"/>
    <w:rsid w:val="00207DCF"/>
    <w:rsid w:val="002104C2"/>
    <w:rsid w:val="00210D41"/>
    <w:rsid w:val="0021114A"/>
    <w:rsid w:val="002113A3"/>
    <w:rsid w:val="00211437"/>
    <w:rsid w:val="00211A3E"/>
    <w:rsid w:val="00211D98"/>
    <w:rsid w:val="00212807"/>
    <w:rsid w:val="00212998"/>
    <w:rsid w:val="0021327B"/>
    <w:rsid w:val="00213308"/>
    <w:rsid w:val="002138C1"/>
    <w:rsid w:val="002138F0"/>
    <w:rsid w:val="00213905"/>
    <w:rsid w:val="0021396C"/>
    <w:rsid w:val="00213AED"/>
    <w:rsid w:val="00213F20"/>
    <w:rsid w:val="00213F2D"/>
    <w:rsid w:val="00214055"/>
    <w:rsid w:val="002144FD"/>
    <w:rsid w:val="00214AFB"/>
    <w:rsid w:val="00214C0A"/>
    <w:rsid w:val="00215100"/>
    <w:rsid w:val="002156A1"/>
    <w:rsid w:val="00215768"/>
    <w:rsid w:val="00215BCA"/>
    <w:rsid w:val="002160F5"/>
    <w:rsid w:val="00216A01"/>
    <w:rsid w:val="002171F7"/>
    <w:rsid w:val="00217AC4"/>
    <w:rsid w:val="00217D2C"/>
    <w:rsid w:val="002203B8"/>
    <w:rsid w:val="00220E00"/>
    <w:rsid w:val="002213F9"/>
    <w:rsid w:val="00221461"/>
    <w:rsid w:val="0022190A"/>
    <w:rsid w:val="00221BB2"/>
    <w:rsid w:val="00222051"/>
    <w:rsid w:val="00222353"/>
    <w:rsid w:val="00222465"/>
    <w:rsid w:val="00222ACA"/>
    <w:rsid w:val="00223436"/>
    <w:rsid w:val="002236AC"/>
    <w:rsid w:val="00223AAA"/>
    <w:rsid w:val="00223D25"/>
    <w:rsid w:val="00224537"/>
    <w:rsid w:val="00224C73"/>
    <w:rsid w:val="00225166"/>
    <w:rsid w:val="002254CF"/>
    <w:rsid w:val="00226C1B"/>
    <w:rsid w:val="00227087"/>
    <w:rsid w:val="0022710A"/>
    <w:rsid w:val="002273C4"/>
    <w:rsid w:val="00230B8F"/>
    <w:rsid w:val="00231A56"/>
    <w:rsid w:val="00232862"/>
    <w:rsid w:val="00232AE3"/>
    <w:rsid w:val="0023336F"/>
    <w:rsid w:val="002337EB"/>
    <w:rsid w:val="00233E13"/>
    <w:rsid w:val="0023413A"/>
    <w:rsid w:val="002348F5"/>
    <w:rsid w:val="0023579C"/>
    <w:rsid w:val="00235956"/>
    <w:rsid w:val="002359E2"/>
    <w:rsid w:val="00235EFA"/>
    <w:rsid w:val="00236732"/>
    <w:rsid w:val="00236738"/>
    <w:rsid w:val="00236B72"/>
    <w:rsid w:val="00236BBD"/>
    <w:rsid w:val="00236F3B"/>
    <w:rsid w:val="002371AF"/>
    <w:rsid w:val="002372ED"/>
    <w:rsid w:val="00237486"/>
    <w:rsid w:val="002415D4"/>
    <w:rsid w:val="00241957"/>
    <w:rsid w:val="002419B4"/>
    <w:rsid w:val="00242806"/>
    <w:rsid w:val="00243871"/>
    <w:rsid w:val="00243E5E"/>
    <w:rsid w:val="00243EA9"/>
    <w:rsid w:val="00244729"/>
    <w:rsid w:val="00244D31"/>
    <w:rsid w:val="00244D6C"/>
    <w:rsid w:val="00244D9E"/>
    <w:rsid w:val="00245002"/>
    <w:rsid w:val="00245EA5"/>
    <w:rsid w:val="00245F99"/>
    <w:rsid w:val="002467A6"/>
    <w:rsid w:val="00246D93"/>
    <w:rsid w:val="00247491"/>
    <w:rsid w:val="00247C9A"/>
    <w:rsid w:val="002507E2"/>
    <w:rsid w:val="0025160C"/>
    <w:rsid w:val="002535D0"/>
    <w:rsid w:val="002539B3"/>
    <w:rsid w:val="00253CFC"/>
    <w:rsid w:val="00254203"/>
    <w:rsid w:val="00254449"/>
    <w:rsid w:val="00254550"/>
    <w:rsid w:val="00254B1F"/>
    <w:rsid w:val="00256336"/>
    <w:rsid w:val="002571C4"/>
    <w:rsid w:val="00257926"/>
    <w:rsid w:val="00257941"/>
    <w:rsid w:val="00257C18"/>
    <w:rsid w:val="00257C3E"/>
    <w:rsid w:val="002602C2"/>
    <w:rsid w:val="002605BE"/>
    <w:rsid w:val="00260D6A"/>
    <w:rsid w:val="002616AE"/>
    <w:rsid w:val="00261744"/>
    <w:rsid w:val="002619DA"/>
    <w:rsid w:val="00262359"/>
    <w:rsid w:val="00262C49"/>
    <w:rsid w:val="00262D56"/>
    <w:rsid w:val="00264B18"/>
    <w:rsid w:val="00264F2A"/>
    <w:rsid w:val="00264FC3"/>
    <w:rsid w:val="00265276"/>
    <w:rsid w:val="0026537B"/>
    <w:rsid w:val="00265C37"/>
    <w:rsid w:val="00265D1E"/>
    <w:rsid w:val="002666C9"/>
    <w:rsid w:val="0026671A"/>
    <w:rsid w:val="002667F3"/>
    <w:rsid w:val="00266A53"/>
    <w:rsid w:val="00266B5E"/>
    <w:rsid w:val="00270136"/>
    <w:rsid w:val="002702AE"/>
    <w:rsid w:val="00270FD7"/>
    <w:rsid w:val="00271B81"/>
    <w:rsid w:val="00273075"/>
    <w:rsid w:val="00273415"/>
    <w:rsid w:val="00273A38"/>
    <w:rsid w:val="002740B6"/>
    <w:rsid w:val="00274D0D"/>
    <w:rsid w:val="00274D5C"/>
    <w:rsid w:val="00274F5B"/>
    <w:rsid w:val="0027526C"/>
    <w:rsid w:val="00276347"/>
    <w:rsid w:val="002768B3"/>
    <w:rsid w:val="00276DAB"/>
    <w:rsid w:val="00277527"/>
    <w:rsid w:val="00280557"/>
    <w:rsid w:val="00280836"/>
    <w:rsid w:val="00280B88"/>
    <w:rsid w:val="0028143E"/>
    <w:rsid w:val="00281828"/>
    <w:rsid w:val="00281A13"/>
    <w:rsid w:val="00282213"/>
    <w:rsid w:val="00282290"/>
    <w:rsid w:val="00282412"/>
    <w:rsid w:val="00282603"/>
    <w:rsid w:val="00282A8D"/>
    <w:rsid w:val="00282E1A"/>
    <w:rsid w:val="0028319D"/>
    <w:rsid w:val="002833E5"/>
    <w:rsid w:val="002837A1"/>
    <w:rsid w:val="00283827"/>
    <w:rsid w:val="002840F1"/>
    <w:rsid w:val="00284884"/>
    <w:rsid w:val="00284AA2"/>
    <w:rsid w:val="00284D87"/>
    <w:rsid w:val="00284DA9"/>
    <w:rsid w:val="0028562D"/>
    <w:rsid w:val="00285922"/>
    <w:rsid w:val="00285B63"/>
    <w:rsid w:val="002866D2"/>
    <w:rsid w:val="002873A0"/>
    <w:rsid w:val="002875B0"/>
    <w:rsid w:val="00287CAC"/>
    <w:rsid w:val="0029113B"/>
    <w:rsid w:val="00291619"/>
    <w:rsid w:val="00291972"/>
    <w:rsid w:val="00292A96"/>
    <w:rsid w:val="00292D82"/>
    <w:rsid w:val="002934C0"/>
    <w:rsid w:val="00293747"/>
    <w:rsid w:val="00293E1F"/>
    <w:rsid w:val="002942A4"/>
    <w:rsid w:val="002942DB"/>
    <w:rsid w:val="00294A7B"/>
    <w:rsid w:val="00294B2F"/>
    <w:rsid w:val="00294C88"/>
    <w:rsid w:val="00294CC9"/>
    <w:rsid w:val="002956FC"/>
    <w:rsid w:val="00295D60"/>
    <w:rsid w:val="002960B2"/>
    <w:rsid w:val="002962D6"/>
    <w:rsid w:val="0029661B"/>
    <w:rsid w:val="00296B6C"/>
    <w:rsid w:val="00296DB4"/>
    <w:rsid w:val="0029764C"/>
    <w:rsid w:val="002976BC"/>
    <w:rsid w:val="00297CD1"/>
    <w:rsid w:val="002A0412"/>
    <w:rsid w:val="002A07E9"/>
    <w:rsid w:val="002A1B50"/>
    <w:rsid w:val="002A1C55"/>
    <w:rsid w:val="002A242E"/>
    <w:rsid w:val="002A2505"/>
    <w:rsid w:val="002A2686"/>
    <w:rsid w:val="002A2A51"/>
    <w:rsid w:val="002A2A7B"/>
    <w:rsid w:val="002A3247"/>
    <w:rsid w:val="002A3E86"/>
    <w:rsid w:val="002A40E9"/>
    <w:rsid w:val="002A4434"/>
    <w:rsid w:val="002A4B7A"/>
    <w:rsid w:val="002A4DAF"/>
    <w:rsid w:val="002A5051"/>
    <w:rsid w:val="002A5858"/>
    <w:rsid w:val="002A587C"/>
    <w:rsid w:val="002A5C38"/>
    <w:rsid w:val="002A6041"/>
    <w:rsid w:val="002A655D"/>
    <w:rsid w:val="002A7C19"/>
    <w:rsid w:val="002B005E"/>
    <w:rsid w:val="002B098D"/>
    <w:rsid w:val="002B0C69"/>
    <w:rsid w:val="002B0E91"/>
    <w:rsid w:val="002B0F1C"/>
    <w:rsid w:val="002B0F1D"/>
    <w:rsid w:val="002B132C"/>
    <w:rsid w:val="002B287F"/>
    <w:rsid w:val="002B355E"/>
    <w:rsid w:val="002B3634"/>
    <w:rsid w:val="002B3BDC"/>
    <w:rsid w:val="002B3F23"/>
    <w:rsid w:val="002B4EB5"/>
    <w:rsid w:val="002B5AF5"/>
    <w:rsid w:val="002B5CEA"/>
    <w:rsid w:val="002B6444"/>
    <w:rsid w:val="002B6779"/>
    <w:rsid w:val="002B71C0"/>
    <w:rsid w:val="002B767F"/>
    <w:rsid w:val="002B7A34"/>
    <w:rsid w:val="002B7BC2"/>
    <w:rsid w:val="002C00AA"/>
    <w:rsid w:val="002C0529"/>
    <w:rsid w:val="002C0874"/>
    <w:rsid w:val="002C08AB"/>
    <w:rsid w:val="002C232C"/>
    <w:rsid w:val="002C233A"/>
    <w:rsid w:val="002C2AA8"/>
    <w:rsid w:val="002C2C59"/>
    <w:rsid w:val="002C2F87"/>
    <w:rsid w:val="002C31AD"/>
    <w:rsid w:val="002C31BC"/>
    <w:rsid w:val="002C482A"/>
    <w:rsid w:val="002C4B65"/>
    <w:rsid w:val="002C5164"/>
    <w:rsid w:val="002C6604"/>
    <w:rsid w:val="002C67A1"/>
    <w:rsid w:val="002C7385"/>
    <w:rsid w:val="002C73E1"/>
    <w:rsid w:val="002C77F3"/>
    <w:rsid w:val="002C7C60"/>
    <w:rsid w:val="002C7C7A"/>
    <w:rsid w:val="002D01BB"/>
    <w:rsid w:val="002D07B8"/>
    <w:rsid w:val="002D1FE6"/>
    <w:rsid w:val="002D2DBB"/>
    <w:rsid w:val="002D33BB"/>
    <w:rsid w:val="002D34DD"/>
    <w:rsid w:val="002D3727"/>
    <w:rsid w:val="002D37D8"/>
    <w:rsid w:val="002D3883"/>
    <w:rsid w:val="002D3D31"/>
    <w:rsid w:val="002D3D62"/>
    <w:rsid w:val="002D3F2A"/>
    <w:rsid w:val="002D3F62"/>
    <w:rsid w:val="002D410B"/>
    <w:rsid w:val="002D46DE"/>
    <w:rsid w:val="002D4F42"/>
    <w:rsid w:val="002D4F94"/>
    <w:rsid w:val="002D51F7"/>
    <w:rsid w:val="002D52B7"/>
    <w:rsid w:val="002D54A6"/>
    <w:rsid w:val="002D5F18"/>
    <w:rsid w:val="002D6166"/>
    <w:rsid w:val="002D65AF"/>
    <w:rsid w:val="002D6697"/>
    <w:rsid w:val="002D6757"/>
    <w:rsid w:val="002D6890"/>
    <w:rsid w:val="002D68C4"/>
    <w:rsid w:val="002D6FD2"/>
    <w:rsid w:val="002E03C5"/>
    <w:rsid w:val="002E0870"/>
    <w:rsid w:val="002E0BA0"/>
    <w:rsid w:val="002E2D3D"/>
    <w:rsid w:val="002E3372"/>
    <w:rsid w:val="002E36A7"/>
    <w:rsid w:val="002E3779"/>
    <w:rsid w:val="002E3D0B"/>
    <w:rsid w:val="002E44BA"/>
    <w:rsid w:val="002E4C5C"/>
    <w:rsid w:val="002E5363"/>
    <w:rsid w:val="002E5BF9"/>
    <w:rsid w:val="002E6A7A"/>
    <w:rsid w:val="002E7146"/>
    <w:rsid w:val="002E74E6"/>
    <w:rsid w:val="002F046D"/>
    <w:rsid w:val="002F1697"/>
    <w:rsid w:val="002F1E49"/>
    <w:rsid w:val="002F20D8"/>
    <w:rsid w:val="002F2584"/>
    <w:rsid w:val="002F2DDA"/>
    <w:rsid w:val="002F338B"/>
    <w:rsid w:val="002F3BA8"/>
    <w:rsid w:val="002F41FF"/>
    <w:rsid w:val="002F43D5"/>
    <w:rsid w:val="002F4544"/>
    <w:rsid w:val="002F4DA6"/>
    <w:rsid w:val="002F4E9C"/>
    <w:rsid w:val="002F5B50"/>
    <w:rsid w:val="002F633B"/>
    <w:rsid w:val="002F647A"/>
    <w:rsid w:val="002F69F9"/>
    <w:rsid w:val="002F6C57"/>
    <w:rsid w:val="002F6E15"/>
    <w:rsid w:val="00300968"/>
    <w:rsid w:val="00301046"/>
    <w:rsid w:val="003014FB"/>
    <w:rsid w:val="003015C3"/>
    <w:rsid w:val="00301642"/>
    <w:rsid w:val="0030190F"/>
    <w:rsid w:val="00301C25"/>
    <w:rsid w:val="00302A71"/>
    <w:rsid w:val="00302B63"/>
    <w:rsid w:val="00302F4E"/>
    <w:rsid w:val="00303A4B"/>
    <w:rsid w:val="00303E6B"/>
    <w:rsid w:val="003048B4"/>
    <w:rsid w:val="0030529E"/>
    <w:rsid w:val="0030567C"/>
    <w:rsid w:val="0030581A"/>
    <w:rsid w:val="00305932"/>
    <w:rsid w:val="00305FCD"/>
    <w:rsid w:val="00306107"/>
    <w:rsid w:val="00306667"/>
    <w:rsid w:val="003077A9"/>
    <w:rsid w:val="003116C4"/>
    <w:rsid w:val="00311F43"/>
    <w:rsid w:val="0031201B"/>
    <w:rsid w:val="00312155"/>
    <w:rsid w:val="0031256C"/>
    <w:rsid w:val="0031267D"/>
    <w:rsid w:val="00312D36"/>
    <w:rsid w:val="00313030"/>
    <w:rsid w:val="003132DC"/>
    <w:rsid w:val="003139CC"/>
    <w:rsid w:val="00314AE3"/>
    <w:rsid w:val="00314D6C"/>
    <w:rsid w:val="00315022"/>
    <w:rsid w:val="0031592A"/>
    <w:rsid w:val="00315FEB"/>
    <w:rsid w:val="00315FFF"/>
    <w:rsid w:val="00316D2A"/>
    <w:rsid w:val="0031768F"/>
    <w:rsid w:val="00317A60"/>
    <w:rsid w:val="00320123"/>
    <w:rsid w:val="00320126"/>
    <w:rsid w:val="00320598"/>
    <w:rsid w:val="0032112F"/>
    <w:rsid w:val="003221C2"/>
    <w:rsid w:val="003224CE"/>
    <w:rsid w:val="00322594"/>
    <w:rsid w:val="003228D3"/>
    <w:rsid w:val="00322918"/>
    <w:rsid w:val="00322A7C"/>
    <w:rsid w:val="00322EB4"/>
    <w:rsid w:val="00322EEC"/>
    <w:rsid w:val="00323061"/>
    <w:rsid w:val="00324158"/>
    <w:rsid w:val="003242C4"/>
    <w:rsid w:val="00324A3D"/>
    <w:rsid w:val="003251FF"/>
    <w:rsid w:val="003253ED"/>
    <w:rsid w:val="003259C2"/>
    <w:rsid w:val="00326471"/>
    <w:rsid w:val="00326516"/>
    <w:rsid w:val="00326B83"/>
    <w:rsid w:val="0032793C"/>
    <w:rsid w:val="00327B2B"/>
    <w:rsid w:val="00327D86"/>
    <w:rsid w:val="00330846"/>
    <w:rsid w:val="00331742"/>
    <w:rsid w:val="00331FAB"/>
    <w:rsid w:val="003323CE"/>
    <w:rsid w:val="003323EB"/>
    <w:rsid w:val="0033249B"/>
    <w:rsid w:val="00332872"/>
    <w:rsid w:val="003334BE"/>
    <w:rsid w:val="0033399F"/>
    <w:rsid w:val="00333A89"/>
    <w:rsid w:val="00334B19"/>
    <w:rsid w:val="003353F0"/>
    <w:rsid w:val="00335412"/>
    <w:rsid w:val="0033593F"/>
    <w:rsid w:val="00335CE0"/>
    <w:rsid w:val="003361B2"/>
    <w:rsid w:val="003362A6"/>
    <w:rsid w:val="00336771"/>
    <w:rsid w:val="00336C89"/>
    <w:rsid w:val="003375AB"/>
    <w:rsid w:val="003402D3"/>
    <w:rsid w:val="0034068E"/>
    <w:rsid w:val="00341E40"/>
    <w:rsid w:val="00342B19"/>
    <w:rsid w:val="00342F9C"/>
    <w:rsid w:val="00343ABC"/>
    <w:rsid w:val="003440D1"/>
    <w:rsid w:val="00344B8D"/>
    <w:rsid w:val="003453F2"/>
    <w:rsid w:val="00345687"/>
    <w:rsid w:val="00345821"/>
    <w:rsid w:val="003463FE"/>
    <w:rsid w:val="003468D4"/>
    <w:rsid w:val="00346C5C"/>
    <w:rsid w:val="00346F58"/>
    <w:rsid w:val="003472FC"/>
    <w:rsid w:val="0034750E"/>
    <w:rsid w:val="003478F1"/>
    <w:rsid w:val="00347D40"/>
    <w:rsid w:val="00347D41"/>
    <w:rsid w:val="00347E5D"/>
    <w:rsid w:val="003503EC"/>
    <w:rsid w:val="00350F16"/>
    <w:rsid w:val="003525E8"/>
    <w:rsid w:val="00352A89"/>
    <w:rsid w:val="00352D99"/>
    <w:rsid w:val="00353E12"/>
    <w:rsid w:val="003544B8"/>
    <w:rsid w:val="00354BAD"/>
    <w:rsid w:val="003554B3"/>
    <w:rsid w:val="0035590F"/>
    <w:rsid w:val="0035596E"/>
    <w:rsid w:val="00356607"/>
    <w:rsid w:val="00356632"/>
    <w:rsid w:val="0035724B"/>
    <w:rsid w:val="003576BE"/>
    <w:rsid w:val="0035783D"/>
    <w:rsid w:val="00357C7E"/>
    <w:rsid w:val="00357EC8"/>
    <w:rsid w:val="003617DB"/>
    <w:rsid w:val="00361C7E"/>
    <w:rsid w:val="00361E7A"/>
    <w:rsid w:val="0036212A"/>
    <w:rsid w:val="00362AF7"/>
    <w:rsid w:val="00362E5C"/>
    <w:rsid w:val="003638CC"/>
    <w:rsid w:val="00364309"/>
    <w:rsid w:val="00364D65"/>
    <w:rsid w:val="003650BA"/>
    <w:rsid w:val="003653B6"/>
    <w:rsid w:val="003655E8"/>
    <w:rsid w:val="00365764"/>
    <w:rsid w:val="00365BBE"/>
    <w:rsid w:val="00366299"/>
    <w:rsid w:val="00366D2D"/>
    <w:rsid w:val="00367EEB"/>
    <w:rsid w:val="00370327"/>
    <w:rsid w:val="003708A7"/>
    <w:rsid w:val="00370AC7"/>
    <w:rsid w:val="003712A5"/>
    <w:rsid w:val="0037169D"/>
    <w:rsid w:val="00371AE2"/>
    <w:rsid w:val="003726A1"/>
    <w:rsid w:val="003728FA"/>
    <w:rsid w:val="00372D66"/>
    <w:rsid w:val="00373A32"/>
    <w:rsid w:val="00374CC4"/>
    <w:rsid w:val="00374CE0"/>
    <w:rsid w:val="00375216"/>
    <w:rsid w:val="00375B05"/>
    <w:rsid w:val="0037625C"/>
    <w:rsid w:val="00376879"/>
    <w:rsid w:val="00376D8E"/>
    <w:rsid w:val="00377328"/>
    <w:rsid w:val="003774B2"/>
    <w:rsid w:val="003776F3"/>
    <w:rsid w:val="00380678"/>
    <w:rsid w:val="00380F2D"/>
    <w:rsid w:val="00381362"/>
    <w:rsid w:val="003819A2"/>
    <w:rsid w:val="003823BB"/>
    <w:rsid w:val="003824C4"/>
    <w:rsid w:val="0038339D"/>
    <w:rsid w:val="00383CD6"/>
    <w:rsid w:val="00383FAC"/>
    <w:rsid w:val="00384014"/>
    <w:rsid w:val="00384170"/>
    <w:rsid w:val="003844DE"/>
    <w:rsid w:val="0038452F"/>
    <w:rsid w:val="003845A9"/>
    <w:rsid w:val="00384923"/>
    <w:rsid w:val="003849DC"/>
    <w:rsid w:val="003850C9"/>
    <w:rsid w:val="0038525A"/>
    <w:rsid w:val="003852B2"/>
    <w:rsid w:val="003855BF"/>
    <w:rsid w:val="00385B7C"/>
    <w:rsid w:val="003873C0"/>
    <w:rsid w:val="0038752B"/>
    <w:rsid w:val="0038774F"/>
    <w:rsid w:val="003878E2"/>
    <w:rsid w:val="00387FE6"/>
    <w:rsid w:val="0039056F"/>
    <w:rsid w:val="003906E9"/>
    <w:rsid w:val="00390883"/>
    <w:rsid w:val="0039118F"/>
    <w:rsid w:val="00391513"/>
    <w:rsid w:val="0039183D"/>
    <w:rsid w:val="003918EA"/>
    <w:rsid w:val="00391BD1"/>
    <w:rsid w:val="003922F8"/>
    <w:rsid w:val="00392487"/>
    <w:rsid w:val="00392973"/>
    <w:rsid w:val="003931DC"/>
    <w:rsid w:val="003931FF"/>
    <w:rsid w:val="003937FA"/>
    <w:rsid w:val="003938FE"/>
    <w:rsid w:val="00393ABC"/>
    <w:rsid w:val="00393ED5"/>
    <w:rsid w:val="00394313"/>
    <w:rsid w:val="00394523"/>
    <w:rsid w:val="00394C7A"/>
    <w:rsid w:val="00395622"/>
    <w:rsid w:val="00395B24"/>
    <w:rsid w:val="00395C04"/>
    <w:rsid w:val="00396D39"/>
    <w:rsid w:val="00396E98"/>
    <w:rsid w:val="00397013"/>
    <w:rsid w:val="0039741C"/>
    <w:rsid w:val="003A0471"/>
    <w:rsid w:val="003A13B8"/>
    <w:rsid w:val="003A18AB"/>
    <w:rsid w:val="003A2BD8"/>
    <w:rsid w:val="003A2D38"/>
    <w:rsid w:val="003A3784"/>
    <w:rsid w:val="003A38CD"/>
    <w:rsid w:val="003A6417"/>
    <w:rsid w:val="003A78C2"/>
    <w:rsid w:val="003A7B5E"/>
    <w:rsid w:val="003A7BD3"/>
    <w:rsid w:val="003A7ECC"/>
    <w:rsid w:val="003B0939"/>
    <w:rsid w:val="003B12E8"/>
    <w:rsid w:val="003B1D1B"/>
    <w:rsid w:val="003B1D63"/>
    <w:rsid w:val="003B26BC"/>
    <w:rsid w:val="003B294C"/>
    <w:rsid w:val="003B2C72"/>
    <w:rsid w:val="003B32FA"/>
    <w:rsid w:val="003B40CA"/>
    <w:rsid w:val="003B4F87"/>
    <w:rsid w:val="003B500E"/>
    <w:rsid w:val="003B57AA"/>
    <w:rsid w:val="003B58B4"/>
    <w:rsid w:val="003B604E"/>
    <w:rsid w:val="003B60F2"/>
    <w:rsid w:val="003B611A"/>
    <w:rsid w:val="003B665F"/>
    <w:rsid w:val="003B74D2"/>
    <w:rsid w:val="003B75E0"/>
    <w:rsid w:val="003B766D"/>
    <w:rsid w:val="003C003E"/>
    <w:rsid w:val="003C02A8"/>
    <w:rsid w:val="003C043E"/>
    <w:rsid w:val="003C0682"/>
    <w:rsid w:val="003C1333"/>
    <w:rsid w:val="003C18A9"/>
    <w:rsid w:val="003C1C7B"/>
    <w:rsid w:val="003C1E16"/>
    <w:rsid w:val="003C1E98"/>
    <w:rsid w:val="003C20FF"/>
    <w:rsid w:val="003C21C1"/>
    <w:rsid w:val="003C23E4"/>
    <w:rsid w:val="003C26F9"/>
    <w:rsid w:val="003C28B7"/>
    <w:rsid w:val="003C2DD0"/>
    <w:rsid w:val="003C3422"/>
    <w:rsid w:val="003C4CC6"/>
    <w:rsid w:val="003C518B"/>
    <w:rsid w:val="003C53AC"/>
    <w:rsid w:val="003C53F9"/>
    <w:rsid w:val="003C550A"/>
    <w:rsid w:val="003C6055"/>
    <w:rsid w:val="003C61FC"/>
    <w:rsid w:val="003C63AE"/>
    <w:rsid w:val="003C6EA7"/>
    <w:rsid w:val="003C7A09"/>
    <w:rsid w:val="003C7B7B"/>
    <w:rsid w:val="003C7D9B"/>
    <w:rsid w:val="003C7EF5"/>
    <w:rsid w:val="003D08F1"/>
    <w:rsid w:val="003D104D"/>
    <w:rsid w:val="003D242E"/>
    <w:rsid w:val="003D2650"/>
    <w:rsid w:val="003D2706"/>
    <w:rsid w:val="003D2C70"/>
    <w:rsid w:val="003D3EA8"/>
    <w:rsid w:val="003D402E"/>
    <w:rsid w:val="003D44C6"/>
    <w:rsid w:val="003D560C"/>
    <w:rsid w:val="003D5C00"/>
    <w:rsid w:val="003D5F5A"/>
    <w:rsid w:val="003D5FE8"/>
    <w:rsid w:val="003D662B"/>
    <w:rsid w:val="003D7EB0"/>
    <w:rsid w:val="003E02AD"/>
    <w:rsid w:val="003E0E17"/>
    <w:rsid w:val="003E0F34"/>
    <w:rsid w:val="003E1340"/>
    <w:rsid w:val="003E13DC"/>
    <w:rsid w:val="003E150D"/>
    <w:rsid w:val="003E2239"/>
    <w:rsid w:val="003E226A"/>
    <w:rsid w:val="003E2FD8"/>
    <w:rsid w:val="003E30E0"/>
    <w:rsid w:val="003E3154"/>
    <w:rsid w:val="003E31AD"/>
    <w:rsid w:val="003E3560"/>
    <w:rsid w:val="003E3678"/>
    <w:rsid w:val="003E47A0"/>
    <w:rsid w:val="003E5874"/>
    <w:rsid w:val="003E6D92"/>
    <w:rsid w:val="003E7089"/>
    <w:rsid w:val="003E72D3"/>
    <w:rsid w:val="003E7370"/>
    <w:rsid w:val="003F00D2"/>
    <w:rsid w:val="003F0182"/>
    <w:rsid w:val="003F021C"/>
    <w:rsid w:val="003F0BB4"/>
    <w:rsid w:val="003F153A"/>
    <w:rsid w:val="003F193E"/>
    <w:rsid w:val="003F198E"/>
    <w:rsid w:val="003F1DD0"/>
    <w:rsid w:val="003F242C"/>
    <w:rsid w:val="003F3486"/>
    <w:rsid w:val="003F34F1"/>
    <w:rsid w:val="003F38AF"/>
    <w:rsid w:val="003F3970"/>
    <w:rsid w:val="003F4121"/>
    <w:rsid w:val="003F433C"/>
    <w:rsid w:val="003F4A77"/>
    <w:rsid w:val="003F5578"/>
    <w:rsid w:val="003F5E88"/>
    <w:rsid w:val="003F6259"/>
    <w:rsid w:val="003F64AB"/>
    <w:rsid w:val="003F732F"/>
    <w:rsid w:val="00401303"/>
    <w:rsid w:val="00401818"/>
    <w:rsid w:val="00401D91"/>
    <w:rsid w:val="00402028"/>
    <w:rsid w:val="00402875"/>
    <w:rsid w:val="00402F73"/>
    <w:rsid w:val="004031D8"/>
    <w:rsid w:val="00403856"/>
    <w:rsid w:val="00403D1F"/>
    <w:rsid w:val="004049EB"/>
    <w:rsid w:val="00405E19"/>
    <w:rsid w:val="00405E98"/>
    <w:rsid w:val="00406C3C"/>
    <w:rsid w:val="004070F0"/>
    <w:rsid w:val="004076FF"/>
    <w:rsid w:val="004102B1"/>
    <w:rsid w:val="00410384"/>
    <w:rsid w:val="004104B6"/>
    <w:rsid w:val="0041068C"/>
    <w:rsid w:val="00410A9C"/>
    <w:rsid w:val="004114DA"/>
    <w:rsid w:val="0041154A"/>
    <w:rsid w:val="00411AE8"/>
    <w:rsid w:val="004121B3"/>
    <w:rsid w:val="00412306"/>
    <w:rsid w:val="004123BD"/>
    <w:rsid w:val="00412756"/>
    <w:rsid w:val="0041336F"/>
    <w:rsid w:val="004135B4"/>
    <w:rsid w:val="00413B74"/>
    <w:rsid w:val="00413D43"/>
    <w:rsid w:val="00413DAA"/>
    <w:rsid w:val="00414131"/>
    <w:rsid w:val="0041439D"/>
    <w:rsid w:val="00414706"/>
    <w:rsid w:val="00414CE6"/>
    <w:rsid w:val="00414D56"/>
    <w:rsid w:val="00414DB7"/>
    <w:rsid w:val="00414E62"/>
    <w:rsid w:val="00415816"/>
    <w:rsid w:val="00415FF5"/>
    <w:rsid w:val="00416FB3"/>
    <w:rsid w:val="00417AE9"/>
    <w:rsid w:val="00417EE6"/>
    <w:rsid w:val="00417F18"/>
    <w:rsid w:val="00420148"/>
    <w:rsid w:val="004201DE"/>
    <w:rsid w:val="0042039D"/>
    <w:rsid w:val="004207BF"/>
    <w:rsid w:val="00420879"/>
    <w:rsid w:val="00420E23"/>
    <w:rsid w:val="00421460"/>
    <w:rsid w:val="00421932"/>
    <w:rsid w:val="00422419"/>
    <w:rsid w:val="004226AD"/>
    <w:rsid w:val="00422963"/>
    <w:rsid w:val="00422F76"/>
    <w:rsid w:val="00423727"/>
    <w:rsid w:val="00423AC5"/>
    <w:rsid w:val="004245FE"/>
    <w:rsid w:val="0042491A"/>
    <w:rsid w:val="00424DD8"/>
    <w:rsid w:val="0042506F"/>
    <w:rsid w:val="004252A8"/>
    <w:rsid w:val="004253FF"/>
    <w:rsid w:val="004255CA"/>
    <w:rsid w:val="00425686"/>
    <w:rsid w:val="00425FDF"/>
    <w:rsid w:val="004262ED"/>
    <w:rsid w:val="0042656A"/>
    <w:rsid w:val="00426A43"/>
    <w:rsid w:val="00426F3B"/>
    <w:rsid w:val="0042730F"/>
    <w:rsid w:val="004278F8"/>
    <w:rsid w:val="00427BF1"/>
    <w:rsid w:val="00430A33"/>
    <w:rsid w:val="0043119F"/>
    <w:rsid w:val="00431C27"/>
    <w:rsid w:val="004336D2"/>
    <w:rsid w:val="0043377A"/>
    <w:rsid w:val="00433944"/>
    <w:rsid w:val="00433A06"/>
    <w:rsid w:val="004342F3"/>
    <w:rsid w:val="00434303"/>
    <w:rsid w:val="004345BA"/>
    <w:rsid w:val="00434E41"/>
    <w:rsid w:val="00435662"/>
    <w:rsid w:val="00435C5F"/>
    <w:rsid w:val="00436155"/>
    <w:rsid w:val="00436460"/>
    <w:rsid w:val="004367C1"/>
    <w:rsid w:val="00436A63"/>
    <w:rsid w:val="00436D26"/>
    <w:rsid w:val="00437F65"/>
    <w:rsid w:val="00440460"/>
    <w:rsid w:val="00440478"/>
    <w:rsid w:val="00440CCB"/>
    <w:rsid w:val="00440D44"/>
    <w:rsid w:val="00441156"/>
    <w:rsid w:val="00441E98"/>
    <w:rsid w:val="004425AB"/>
    <w:rsid w:val="00442ED2"/>
    <w:rsid w:val="0044321C"/>
    <w:rsid w:val="004439F3"/>
    <w:rsid w:val="00443D16"/>
    <w:rsid w:val="00444031"/>
    <w:rsid w:val="00444643"/>
    <w:rsid w:val="004455FC"/>
    <w:rsid w:val="00445613"/>
    <w:rsid w:val="00445D0B"/>
    <w:rsid w:val="00445F77"/>
    <w:rsid w:val="00447268"/>
    <w:rsid w:val="004472C2"/>
    <w:rsid w:val="00450553"/>
    <w:rsid w:val="004505B9"/>
    <w:rsid w:val="0045063D"/>
    <w:rsid w:val="00450AD5"/>
    <w:rsid w:val="00450D2C"/>
    <w:rsid w:val="00450F3A"/>
    <w:rsid w:val="004523C1"/>
    <w:rsid w:val="00452653"/>
    <w:rsid w:val="0045282B"/>
    <w:rsid w:val="004532F7"/>
    <w:rsid w:val="00453741"/>
    <w:rsid w:val="004563F9"/>
    <w:rsid w:val="004564BF"/>
    <w:rsid w:val="00457A6E"/>
    <w:rsid w:val="004607AD"/>
    <w:rsid w:val="0046180C"/>
    <w:rsid w:val="00461922"/>
    <w:rsid w:val="00461FF5"/>
    <w:rsid w:val="004629BE"/>
    <w:rsid w:val="00463CDE"/>
    <w:rsid w:val="00463EA2"/>
    <w:rsid w:val="00463EC3"/>
    <w:rsid w:val="004640B6"/>
    <w:rsid w:val="00464737"/>
    <w:rsid w:val="00464894"/>
    <w:rsid w:val="004648E6"/>
    <w:rsid w:val="00464D51"/>
    <w:rsid w:val="0046566B"/>
    <w:rsid w:val="00465815"/>
    <w:rsid w:val="004660F1"/>
    <w:rsid w:val="00466B3E"/>
    <w:rsid w:val="00466FF0"/>
    <w:rsid w:val="004672CA"/>
    <w:rsid w:val="004677DF"/>
    <w:rsid w:val="0046780C"/>
    <w:rsid w:val="00467A7E"/>
    <w:rsid w:val="004700CF"/>
    <w:rsid w:val="00470201"/>
    <w:rsid w:val="00470572"/>
    <w:rsid w:val="004708F8"/>
    <w:rsid w:val="004713AC"/>
    <w:rsid w:val="0047170F"/>
    <w:rsid w:val="00472027"/>
    <w:rsid w:val="0047214B"/>
    <w:rsid w:val="00472898"/>
    <w:rsid w:val="00472E78"/>
    <w:rsid w:val="00472EC6"/>
    <w:rsid w:val="00473293"/>
    <w:rsid w:val="00473738"/>
    <w:rsid w:val="00473A9F"/>
    <w:rsid w:val="0047431B"/>
    <w:rsid w:val="0047451E"/>
    <w:rsid w:val="00474632"/>
    <w:rsid w:val="00474B6B"/>
    <w:rsid w:val="004752C0"/>
    <w:rsid w:val="00475635"/>
    <w:rsid w:val="00476614"/>
    <w:rsid w:val="00476EC8"/>
    <w:rsid w:val="00476FFF"/>
    <w:rsid w:val="00477708"/>
    <w:rsid w:val="00477AFA"/>
    <w:rsid w:val="00477D22"/>
    <w:rsid w:val="00477EDE"/>
    <w:rsid w:val="00480142"/>
    <w:rsid w:val="00480188"/>
    <w:rsid w:val="004804CF"/>
    <w:rsid w:val="00480D11"/>
    <w:rsid w:val="00481227"/>
    <w:rsid w:val="004818B2"/>
    <w:rsid w:val="00481BDF"/>
    <w:rsid w:val="00482135"/>
    <w:rsid w:val="00482875"/>
    <w:rsid w:val="00483314"/>
    <w:rsid w:val="00483400"/>
    <w:rsid w:val="00483B68"/>
    <w:rsid w:val="00483DF6"/>
    <w:rsid w:val="00484026"/>
    <w:rsid w:val="00484612"/>
    <w:rsid w:val="00484962"/>
    <w:rsid w:val="00484DF5"/>
    <w:rsid w:val="00484F6D"/>
    <w:rsid w:val="00484FB7"/>
    <w:rsid w:val="00484FBA"/>
    <w:rsid w:val="0048552F"/>
    <w:rsid w:val="0048554D"/>
    <w:rsid w:val="00485A12"/>
    <w:rsid w:val="00485C0A"/>
    <w:rsid w:val="0048637E"/>
    <w:rsid w:val="004868D6"/>
    <w:rsid w:val="0048693E"/>
    <w:rsid w:val="00486E53"/>
    <w:rsid w:val="004879CB"/>
    <w:rsid w:val="00487C85"/>
    <w:rsid w:val="00487E8B"/>
    <w:rsid w:val="004901A3"/>
    <w:rsid w:val="004904CD"/>
    <w:rsid w:val="00490546"/>
    <w:rsid w:val="00490A7C"/>
    <w:rsid w:val="0049200F"/>
    <w:rsid w:val="00492582"/>
    <w:rsid w:val="0049338A"/>
    <w:rsid w:val="004933FA"/>
    <w:rsid w:val="00493883"/>
    <w:rsid w:val="00493E78"/>
    <w:rsid w:val="0049417F"/>
    <w:rsid w:val="004946E8"/>
    <w:rsid w:val="00494703"/>
    <w:rsid w:val="00494E96"/>
    <w:rsid w:val="004958AC"/>
    <w:rsid w:val="00495BB2"/>
    <w:rsid w:val="004963E7"/>
    <w:rsid w:val="00496BCE"/>
    <w:rsid w:val="00496D41"/>
    <w:rsid w:val="004973E1"/>
    <w:rsid w:val="0049745B"/>
    <w:rsid w:val="0049753D"/>
    <w:rsid w:val="00497BD7"/>
    <w:rsid w:val="00497EA8"/>
    <w:rsid w:val="004A0061"/>
    <w:rsid w:val="004A20DE"/>
    <w:rsid w:val="004A235E"/>
    <w:rsid w:val="004A29EF"/>
    <w:rsid w:val="004A2B48"/>
    <w:rsid w:val="004A339B"/>
    <w:rsid w:val="004A3701"/>
    <w:rsid w:val="004A384D"/>
    <w:rsid w:val="004A3857"/>
    <w:rsid w:val="004A38C9"/>
    <w:rsid w:val="004A3B25"/>
    <w:rsid w:val="004A3B8C"/>
    <w:rsid w:val="004A3BD3"/>
    <w:rsid w:val="004A3E0B"/>
    <w:rsid w:val="004A3EDF"/>
    <w:rsid w:val="004A428B"/>
    <w:rsid w:val="004A5160"/>
    <w:rsid w:val="004A5A96"/>
    <w:rsid w:val="004A6295"/>
    <w:rsid w:val="004A65FA"/>
    <w:rsid w:val="004A6602"/>
    <w:rsid w:val="004A6702"/>
    <w:rsid w:val="004A6C56"/>
    <w:rsid w:val="004A770F"/>
    <w:rsid w:val="004A7DAA"/>
    <w:rsid w:val="004B1CA8"/>
    <w:rsid w:val="004B295D"/>
    <w:rsid w:val="004B2B58"/>
    <w:rsid w:val="004B2C5B"/>
    <w:rsid w:val="004B2C66"/>
    <w:rsid w:val="004B2EF0"/>
    <w:rsid w:val="004B3575"/>
    <w:rsid w:val="004B36C5"/>
    <w:rsid w:val="004B3A47"/>
    <w:rsid w:val="004B3EFA"/>
    <w:rsid w:val="004B40AE"/>
    <w:rsid w:val="004B41AA"/>
    <w:rsid w:val="004B49DB"/>
    <w:rsid w:val="004B4AE0"/>
    <w:rsid w:val="004B4EEC"/>
    <w:rsid w:val="004B517A"/>
    <w:rsid w:val="004B558B"/>
    <w:rsid w:val="004B5858"/>
    <w:rsid w:val="004B5A3B"/>
    <w:rsid w:val="004B6C4F"/>
    <w:rsid w:val="004B6D2D"/>
    <w:rsid w:val="004C0351"/>
    <w:rsid w:val="004C06C5"/>
    <w:rsid w:val="004C0EE8"/>
    <w:rsid w:val="004C0FA7"/>
    <w:rsid w:val="004C183F"/>
    <w:rsid w:val="004C24CD"/>
    <w:rsid w:val="004C262B"/>
    <w:rsid w:val="004C2A87"/>
    <w:rsid w:val="004C3177"/>
    <w:rsid w:val="004C39E5"/>
    <w:rsid w:val="004C400F"/>
    <w:rsid w:val="004C4C0F"/>
    <w:rsid w:val="004C4CDD"/>
    <w:rsid w:val="004C4D7B"/>
    <w:rsid w:val="004C4ED3"/>
    <w:rsid w:val="004C5D4E"/>
    <w:rsid w:val="004C60DE"/>
    <w:rsid w:val="004C6166"/>
    <w:rsid w:val="004C667B"/>
    <w:rsid w:val="004C676F"/>
    <w:rsid w:val="004C6CDA"/>
    <w:rsid w:val="004C732E"/>
    <w:rsid w:val="004C79F5"/>
    <w:rsid w:val="004C7BAF"/>
    <w:rsid w:val="004C7ECD"/>
    <w:rsid w:val="004D2E10"/>
    <w:rsid w:val="004D2EA5"/>
    <w:rsid w:val="004D32A6"/>
    <w:rsid w:val="004D3D7A"/>
    <w:rsid w:val="004D3EC8"/>
    <w:rsid w:val="004D4331"/>
    <w:rsid w:val="004D44C0"/>
    <w:rsid w:val="004D496C"/>
    <w:rsid w:val="004D4BA2"/>
    <w:rsid w:val="004D4EF7"/>
    <w:rsid w:val="004D4F78"/>
    <w:rsid w:val="004D525C"/>
    <w:rsid w:val="004D53E5"/>
    <w:rsid w:val="004D6147"/>
    <w:rsid w:val="004D6D51"/>
    <w:rsid w:val="004D7950"/>
    <w:rsid w:val="004D7AC0"/>
    <w:rsid w:val="004E1195"/>
    <w:rsid w:val="004E19DF"/>
    <w:rsid w:val="004E25AF"/>
    <w:rsid w:val="004E292D"/>
    <w:rsid w:val="004E55A0"/>
    <w:rsid w:val="004E5770"/>
    <w:rsid w:val="004E629C"/>
    <w:rsid w:val="004E64C5"/>
    <w:rsid w:val="004E6DC4"/>
    <w:rsid w:val="004E736D"/>
    <w:rsid w:val="004E73B9"/>
    <w:rsid w:val="004F000B"/>
    <w:rsid w:val="004F0362"/>
    <w:rsid w:val="004F03DA"/>
    <w:rsid w:val="004F11B5"/>
    <w:rsid w:val="004F196A"/>
    <w:rsid w:val="004F21C1"/>
    <w:rsid w:val="004F2A70"/>
    <w:rsid w:val="004F4766"/>
    <w:rsid w:val="004F4B9C"/>
    <w:rsid w:val="004F4E13"/>
    <w:rsid w:val="004F52C9"/>
    <w:rsid w:val="004F5E58"/>
    <w:rsid w:val="004F5E78"/>
    <w:rsid w:val="004F5F0F"/>
    <w:rsid w:val="004F65E4"/>
    <w:rsid w:val="004F6E43"/>
    <w:rsid w:val="004F6EF0"/>
    <w:rsid w:val="005006E8"/>
    <w:rsid w:val="005009BD"/>
    <w:rsid w:val="00500B92"/>
    <w:rsid w:val="00500D99"/>
    <w:rsid w:val="00500E09"/>
    <w:rsid w:val="00500F05"/>
    <w:rsid w:val="00501A12"/>
    <w:rsid w:val="00502408"/>
    <w:rsid w:val="00502802"/>
    <w:rsid w:val="00502B84"/>
    <w:rsid w:val="00502D51"/>
    <w:rsid w:val="0050309C"/>
    <w:rsid w:val="00503354"/>
    <w:rsid w:val="00503470"/>
    <w:rsid w:val="00503984"/>
    <w:rsid w:val="00504851"/>
    <w:rsid w:val="0050488A"/>
    <w:rsid w:val="00504B51"/>
    <w:rsid w:val="00504CFF"/>
    <w:rsid w:val="00505220"/>
    <w:rsid w:val="00505800"/>
    <w:rsid w:val="00505D29"/>
    <w:rsid w:val="00506D77"/>
    <w:rsid w:val="00507AB7"/>
    <w:rsid w:val="00510339"/>
    <w:rsid w:val="005114E2"/>
    <w:rsid w:val="005118F3"/>
    <w:rsid w:val="005119C8"/>
    <w:rsid w:val="00512317"/>
    <w:rsid w:val="005129F6"/>
    <w:rsid w:val="0051327C"/>
    <w:rsid w:val="00513359"/>
    <w:rsid w:val="0051346D"/>
    <w:rsid w:val="005139C6"/>
    <w:rsid w:val="00513EAE"/>
    <w:rsid w:val="0051434F"/>
    <w:rsid w:val="00514558"/>
    <w:rsid w:val="00514992"/>
    <w:rsid w:val="00514B9B"/>
    <w:rsid w:val="00516806"/>
    <w:rsid w:val="00516E51"/>
    <w:rsid w:val="00516F6C"/>
    <w:rsid w:val="00517684"/>
    <w:rsid w:val="005177D1"/>
    <w:rsid w:val="00520965"/>
    <w:rsid w:val="0052098C"/>
    <w:rsid w:val="00520B77"/>
    <w:rsid w:val="0052108D"/>
    <w:rsid w:val="0052158C"/>
    <w:rsid w:val="0052169A"/>
    <w:rsid w:val="0052277B"/>
    <w:rsid w:val="005231FA"/>
    <w:rsid w:val="005234F6"/>
    <w:rsid w:val="00523515"/>
    <w:rsid w:val="00523762"/>
    <w:rsid w:val="0052445A"/>
    <w:rsid w:val="00524615"/>
    <w:rsid w:val="00524D2F"/>
    <w:rsid w:val="0052533A"/>
    <w:rsid w:val="0052534E"/>
    <w:rsid w:val="00525A49"/>
    <w:rsid w:val="0052605C"/>
    <w:rsid w:val="005261F3"/>
    <w:rsid w:val="005262D1"/>
    <w:rsid w:val="0052797F"/>
    <w:rsid w:val="00530876"/>
    <w:rsid w:val="00530C20"/>
    <w:rsid w:val="005313A5"/>
    <w:rsid w:val="00531738"/>
    <w:rsid w:val="00531B15"/>
    <w:rsid w:val="00531DFB"/>
    <w:rsid w:val="00531EDC"/>
    <w:rsid w:val="0053210D"/>
    <w:rsid w:val="005333EE"/>
    <w:rsid w:val="005335EB"/>
    <w:rsid w:val="00533826"/>
    <w:rsid w:val="005346D7"/>
    <w:rsid w:val="005352E4"/>
    <w:rsid w:val="00535613"/>
    <w:rsid w:val="005359EB"/>
    <w:rsid w:val="00535A10"/>
    <w:rsid w:val="00535D2C"/>
    <w:rsid w:val="0053613D"/>
    <w:rsid w:val="00536B90"/>
    <w:rsid w:val="00537055"/>
    <w:rsid w:val="00537A0E"/>
    <w:rsid w:val="005400A9"/>
    <w:rsid w:val="00540537"/>
    <w:rsid w:val="00540C3F"/>
    <w:rsid w:val="00540F01"/>
    <w:rsid w:val="00541E49"/>
    <w:rsid w:val="00541F7A"/>
    <w:rsid w:val="00542390"/>
    <w:rsid w:val="0054254A"/>
    <w:rsid w:val="005426E7"/>
    <w:rsid w:val="0054388A"/>
    <w:rsid w:val="005442DF"/>
    <w:rsid w:val="0054500B"/>
    <w:rsid w:val="005451AE"/>
    <w:rsid w:val="00545857"/>
    <w:rsid w:val="00545A4F"/>
    <w:rsid w:val="005463CC"/>
    <w:rsid w:val="005466B5"/>
    <w:rsid w:val="00546A19"/>
    <w:rsid w:val="005478EF"/>
    <w:rsid w:val="00547D8B"/>
    <w:rsid w:val="00547FBA"/>
    <w:rsid w:val="00550B18"/>
    <w:rsid w:val="00551798"/>
    <w:rsid w:val="00551921"/>
    <w:rsid w:val="005519AA"/>
    <w:rsid w:val="005528CB"/>
    <w:rsid w:val="00552D53"/>
    <w:rsid w:val="00553197"/>
    <w:rsid w:val="00553AAA"/>
    <w:rsid w:val="00553CDE"/>
    <w:rsid w:val="00554314"/>
    <w:rsid w:val="0055468C"/>
    <w:rsid w:val="00554FE8"/>
    <w:rsid w:val="00555216"/>
    <w:rsid w:val="005555AA"/>
    <w:rsid w:val="005555AC"/>
    <w:rsid w:val="00555924"/>
    <w:rsid w:val="00555953"/>
    <w:rsid w:val="0055668F"/>
    <w:rsid w:val="005569AC"/>
    <w:rsid w:val="00557278"/>
    <w:rsid w:val="005578BC"/>
    <w:rsid w:val="00557FD7"/>
    <w:rsid w:val="00560552"/>
    <w:rsid w:val="005605A4"/>
    <w:rsid w:val="0056105A"/>
    <w:rsid w:val="005618E1"/>
    <w:rsid w:val="0056262D"/>
    <w:rsid w:val="00562829"/>
    <w:rsid w:val="005629B3"/>
    <w:rsid w:val="00562C5C"/>
    <w:rsid w:val="00564395"/>
    <w:rsid w:val="0056478A"/>
    <w:rsid w:val="00565235"/>
    <w:rsid w:val="005656F7"/>
    <w:rsid w:val="0056570A"/>
    <w:rsid w:val="00566E45"/>
    <w:rsid w:val="005704DE"/>
    <w:rsid w:val="00570A4A"/>
    <w:rsid w:val="0057128A"/>
    <w:rsid w:val="005713B9"/>
    <w:rsid w:val="005716A1"/>
    <w:rsid w:val="00571CC3"/>
    <w:rsid w:val="00572168"/>
    <w:rsid w:val="005724F6"/>
    <w:rsid w:val="005726A5"/>
    <w:rsid w:val="005729E0"/>
    <w:rsid w:val="00573AC4"/>
    <w:rsid w:val="00574080"/>
    <w:rsid w:val="00574DA2"/>
    <w:rsid w:val="00574EE7"/>
    <w:rsid w:val="00575B01"/>
    <w:rsid w:val="00575EBA"/>
    <w:rsid w:val="00576182"/>
    <w:rsid w:val="005766E2"/>
    <w:rsid w:val="00577025"/>
    <w:rsid w:val="00577236"/>
    <w:rsid w:val="00577A16"/>
    <w:rsid w:val="00577D69"/>
    <w:rsid w:val="00577F5D"/>
    <w:rsid w:val="005801FC"/>
    <w:rsid w:val="00580E8B"/>
    <w:rsid w:val="00580EA3"/>
    <w:rsid w:val="00580ED6"/>
    <w:rsid w:val="00581197"/>
    <w:rsid w:val="00581388"/>
    <w:rsid w:val="0058183C"/>
    <w:rsid w:val="005828DA"/>
    <w:rsid w:val="005830BA"/>
    <w:rsid w:val="005839E6"/>
    <w:rsid w:val="00583D4E"/>
    <w:rsid w:val="00583D66"/>
    <w:rsid w:val="00584F81"/>
    <w:rsid w:val="0058538F"/>
    <w:rsid w:val="00585821"/>
    <w:rsid w:val="00585BA9"/>
    <w:rsid w:val="00585C08"/>
    <w:rsid w:val="00585DC1"/>
    <w:rsid w:val="0058712C"/>
    <w:rsid w:val="00587359"/>
    <w:rsid w:val="00587886"/>
    <w:rsid w:val="00587A18"/>
    <w:rsid w:val="00587B2D"/>
    <w:rsid w:val="00587CF2"/>
    <w:rsid w:val="00590807"/>
    <w:rsid w:val="00591122"/>
    <w:rsid w:val="00591D01"/>
    <w:rsid w:val="00592352"/>
    <w:rsid w:val="00592B7F"/>
    <w:rsid w:val="00592D79"/>
    <w:rsid w:val="00593A0D"/>
    <w:rsid w:val="00593AB5"/>
    <w:rsid w:val="00593BEC"/>
    <w:rsid w:val="00593D11"/>
    <w:rsid w:val="0059454B"/>
    <w:rsid w:val="005945E6"/>
    <w:rsid w:val="00594D96"/>
    <w:rsid w:val="00595016"/>
    <w:rsid w:val="00595300"/>
    <w:rsid w:val="00595B29"/>
    <w:rsid w:val="00596AC0"/>
    <w:rsid w:val="00596BD7"/>
    <w:rsid w:val="00596D5D"/>
    <w:rsid w:val="005970B3"/>
    <w:rsid w:val="00597AAE"/>
    <w:rsid w:val="005A19C2"/>
    <w:rsid w:val="005A1BE2"/>
    <w:rsid w:val="005A1F2F"/>
    <w:rsid w:val="005A1FCA"/>
    <w:rsid w:val="005A222C"/>
    <w:rsid w:val="005A31CF"/>
    <w:rsid w:val="005A3627"/>
    <w:rsid w:val="005A492C"/>
    <w:rsid w:val="005A4DF8"/>
    <w:rsid w:val="005A5E60"/>
    <w:rsid w:val="005A60D5"/>
    <w:rsid w:val="005A6193"/>
    <w:rsid w:val="005A62D9"/>
    <w:rsid w:val="005A635C"/>
    <w:rsid w:val="005A72ED"/>
    <w:rsid w:val="005A743A"/>
    <w:rsid w:val="005A78C8"/>
    <w:rsid w:val="005A7A30"/>
    <w:rsid w:val="005A7CC0"/>
    <w:rsid w:val="005B0A13"/>
    <w:rsid w:val="005B0B01"/>
    <w:rsid w:val="005B1006"/>
    <w:rsid w:val="005B1384"/>
    <w:rsid w:val="005B1426"/>
    <w:rsid w:val="005B1AED"/>
    <w:rsid w:val="005B278C"/>
    <w:rsid w:val="005B2993"/>
    <w:rsid w:val="005B2F00"/>
    <w:rsid w:val="005B30DF"/>
    <w:rsid w:val="005B3376"/>
    <w:rsid w:val="005B339E"/>
    <w:rsid w:val="005B376B"/>
    <w:rsid w:val="005B3FBF"/>
    <w:rsid w:val="005B61F4"/>
    <w:rsid w:val="005B64C6"/>
    <w:rsid w:val="005B65CE"/>
    <w:rsid w:val="005B7439"/>
    <w:rsid w:val="005C0117"/>
    <w:rsid w:val="005C0A8E"/>
    <w:rsid w:val="005C0D76"/>
    <w:rsid w:val="005C0EE4"/>
    <w:rsid w:val="005C130C"/>
    <w:rsid w:val="005C1767"/>
    <w:rsid w:val="005C185C"/>
    <w:rsid w:val="005C1EDE"/>
    <w:rsid w:val="005C200D"/>
    <w:rsid w:val="005C2543"/>
    <w:rsid w:val="005C2E73"/>
    <w:rsid w:val="005C38DA"/>
    <w:rsid w:val="005C3B37"/>
    <w:rsid w:val="005C3CFE"/>
    <w:rsid w:val="005C42EF"/>
    <w:rsid w:val="005C548E"/>
    <w:rsid w:val="005C551F"/>
    <w:rsid w:val="005C56A2"/>
    <w:rsid w:val="005C5ADB"/>
    <w:rsid w:val="005C5B3B"/>
    <w:rsid w:val="005C5B5A"/>
    <w:rsid w:val="005C5BF3"/>
    <w:rsid w:val="005C5C16"/>
    <w:rsid w:val="005C62AC"/>
    <w:rsid w:val="005C63A7"/>
    <w:rsid w:val="005C77D8"/>
    <w:rsid w:val="005C7DD4"/>
    <w:rsid w:val="005D0213"/>
    <w:rsid w:val="005D07F9"/>
    <w:rsid w:val="005D0892"/>
    <w:rsid w:val="005D0D65"/>
    <w:rsid w:val="005D132B"/>
    <w:rsid w:val="005D2515"/>
    <w:rsid w:val="005D29F4"/>
    <w:rsid w:val="005D2D8C"/>
    <w:rsid w:val="005D31B6"/>
    <w:rsid w:val="005D31CF"/>
    <w:rsid w:val="005D34CF"/>
    <w:rsid w:val="005D3C2B"/>
    <w:rsid w:val="005D4715"/>
    <w:rsid w:val="005D5045"/>
    <w:rsid w:val="005D525C"/>
    <w:rsid w:val="005D56D8"/>
    <w:rsid w:val="005D676F"/>
    <w:rsid w:val="005D6975"/>
    <w:rsid w:val="005D6A70"/>
    <w:rsid w:val="005D6DDD"/>
    <w:rsid w:val="005D7713"/>
    <w:rsid w:val="005E018D"/>
    <w:rsid w:val="005E02F5"/>
    <w:rsid w:val="005E050F"/>
    <w:rsid w:val="005E0510"/>
    <w:rsid w:val="005E0844"/>
    <w:rsid w:val="005E09A5"/>
    <w:rsid w:val="005E0D76"/>
    <w:rsid w:val="005E1384"/>
    <w:rsid w:val="005E15FC"/>
    <w:rsid w:val="005E176E"/>
    <w:rsid w:val="005E17ED"/>
    <w:rsid w:val="005E1E5A"/>
    <w:rsid w:val="005E1EFD"/>
    <w:rsid w:val="005E218E"/>
    <w:rsid w:val="005E3464"/>
    <w:rsid w:val="005E35A0"/>
    <w:rsid w:val="005E39CD"/>
    <w:rsid w:val="005E41B5"/>
    <w:rsid w:val="005E434A"/>
    <w:rsid w:val="005E49F7"/>
    <w:rsid w:val="005E5870"/>
    <w:rsid w:val="005E5B8D"/>
    <w:rsid w:val="005E6026"/>
    <w:rsid w:val="005E6112"/>
    <w:rsid w:val="005E6927"/>
    <w:rsid w:val="005E7FF1"/>
    <w:rsid w:val="005F03BB"/>
    <w:rsid w:val="005F07B9"/>
    <w:rsid w:val="005F0D1B"/>
    <w:rsid w:val="005F0E9D"/>
    <w:rsid w:val="005F1865"/>
    <w:rsid w:val="005F2056"/>
    <w:rsid w:val="005F240B"/>
    <w:rsid w:val="005F2439"/>
    <w:rsid w:val="005F4482"/>
    <w:rsid w:val="005F4690"/>
    <w:rsid w:val="005F4B65"/>
    <w:rsid w:val="005F4EF1"/>
    <w:rsid w:val="005F599D"/>
    <w:rsid w:val="005F679A"/>
    <w:rsid w:val="005F697F"/>
    <w:rsid w:val="005F7C1D"/>
    <w:rsid w:val="00600209"/>
    <w:rsid w:val="006007BD"/>
    <w:rsid w:val="006013C8"/>
    <w:rsid w:val="00601FC9"/>
    <w:rsid w:val="006023E7"/>
    <w:rsid w:val="00602625"/>
    <w:rsid w:val="0060263C"/>
    <w:rsid w:val="0060270D"/>
    <w:rsid w:val="00604342"/>
    <w:rsid w:val="006044AB"/>
    <w:rsid w:val="00604611"/>
    <w:rsid w:val="00604E69"/>
    <w:rsid w:val="00605ADF"/>
    <w:rsid w:val="00605AED"/>
    <w:rsid w:val="00605D0E"/>
    <w:rsid w:val="00606510"/>
    <w:rsid w:val="006066BA"/>
    <w:rsid w:val="0060682D"/>
    <w:rsid w:val="0060687F"/>
    <w:rsid w:val="00606C4C"/>
    <w:rsid w:val="0060718B"/>
    <w:rsid w:val="006073C3"/>
    <w:rsid w:val="0060753E"/>
    <w:rsid w:val="0060770A"/>
    <w:rsid w:val="00607F96"/>
    <w:rsid w:val="006103E9"/>
    <w:rsid w:val="00610560"/>
    <w:rsid w:val="00610A1F"/>
    <w:rsid w:val="00610AB3"/>
    <w:rsid w:val="00610BAD"/>
    <w:rsid w:val="00611586"/>
    <w:rsid w:val="00611E8A"/>
    <w:rsid w:val="00612092"/>
    <w:rsid w:val="00612641"/>
    <w:rsid w:val="0061297E"/>
    <w:rsid w:val="00612D26"/>
    <w:rsid w:val="00613D4D"/>
    <w:rsid w:val="0061409A"/>
    <w:rsid w:val="0061478C"/>
    <w:rsid w:val="00614D73"/>
    <w:rsid w:val="0061536B"/>
    <w:rsid w:val="00615449"/>
    <w:rsid w:val="00615855"/>
    <w:rsid w:val="00615EA5"/>
    <w:rsid w:val="006160DE"/>
    <w:rsid w:val="00616467"/>
    <w:rsid w:val="00616962"/>
    <w:rsid w:val="00616C0E"/>
    <w:rsid w:val="00616CA3"/>
    <w:rsid w:val="0061702B"/>
    <w:rsid w:val="006172F8"/>
    <w:rsid w:val="00620155"/>
    <w:rsid w:val="006207CA"/>
    <w:rsid w:val="00620DA8"/>
    <w:rsid w:val="006211FF"/>
    <w:rsid w:val="0062147D"/>
    <w:rsid w:val="00621815"/>
    <w:rsid w:val="00621887"/>
    <w:rsid w:val="0062199B"/>
    <w:rsid w:val="0062205C"/>
    <w:rsid w:val="006220BE"/>
    <w:rsid w:val="00622561"/>
    <w:rsid w:val="00622BEF"/>
    <w:rsid w:val="00623C18"/>
    <w:rsid w:val="00623D42"/>
    <w:rsid w:val="0062434D"/>
    <w:rsid w:val="00624520"/>
    <w:rsid w:val="006250D7"/>
    <w:rsid w:val="00625526"/>
    <w:rsid w:val="006259A2"/>
    <w:rsid w:val="00626AF0"/>
    <w:rsid w:val="006271F5"/>
    <w:rsid w:val="006274BE"/>
    <w:rsid w:val="00627DD0"/>
    <w:rsid w:val="00630B0F"/>
    <w:rsid w:val="00631401"/>
    <w:rsid w:val="006317EE"/>
    <w:rsid w:val="0063186A"/>
    <w:rsid w:val="00631A18"/>
    <w:rsid w:val="0063213B"/>
    <w:rsid w:val="00632300"/>
    <w:rsid w:val="00632610"/>
    <w:rsid w:val="00632BB7"/>
    <w:rsid w:val="00632E91"/>
    <w:rsid w:val="00633179"/>
    <w:rsid w:val="006343D9"/>
    <w:rsid w:val="00634556"/>
    <w:rsid w:val="00635479"/>
    <w:rsid w:val="00635B36"/>
    <w:rsid w:val="0063666D"/>
    <w:rsid w:val="00636871"/>
    <w:rsid w:val="006375D6"/>
    <w:rsid w:val="00640746"/>
    <w:rsid w:val="00640EE1"/>
    <w:rsid w:val="00640F4E"/>
    <w:rsid w:val="00640FE6"/>
    <w:rsid w:val="0064171A"/>
    <w:rsid w:val="00641971"/>
    <w:rsid w:val="006419DC"/>
    <w:rsid w:val="00641F19"/>
    <w:rsid w:val="00641FD4"/>
    <w:rsid w:val="00641FEA"/>
    <w:rsid w:val="0064383D"/>
    <w:rsid w:val="00643A7E"/>
    <w:rsid w:val="00643DE0"/>
    <w:rsid w:val="00643F7B"/>
    <w:rsid w:val="0064437D"/>
    <w:rsid w:val="00644E85"/>
    <w:rsid w:val="006460AA"/>
    <w:rsid w:val="006463BB"/>
    <w:rsid w:val="006464C7"/>
    <w:rsid w:val="00646AB6"/>
    <w:rsid w:val="00647610"/>
    <w:rsid w:val="00647778"/>
    <w:rsid w:val="00647866"/>
    <w:rsid w:val="006506E0"/>
    <w:rsid w:val="00650D72"/>
    <w:rsid w:val="006515E6"/>
    <w:rsid w:val="006516D8"/>
    <w:rsid w:val="00652183"/>
    <w:rsid w:val="00652355"/>
    <w:rsid w:val="00652C52"/>
    <w:rsid w:val="00653CD8"/>
    <w:rsid w:val="0065449B"/>
    <w:rsid w:val="006546DA"/>
    <w:rsid w:val="00655457"/>
    <w:rsid w:val="00655CA3"/>
    <w:rsid w:val="00655F67"/>
    <w:rsid w:val="00656B65"/>
    <w:rsid w:val="00656DBE"/>
    <w:rsid w:val="00656E36"/>
    <w:rsid w:val="00656FD9"/>
    <w:rsid w:val="00660050"/>
    <w:rsid w:val="0066063F"/>
    <w:rsid w:val="0066106C"/>
    <w:rsid w:val="00661230"/>
    <w:rsid w:val="00661309"/>
    <w:rsid w:val="00661893"/>
    <w:rsid w:val="00661DF8"/>
    <w:rsid w:val="00662106"/>
    <w:rsid w:val="00662BB0"/>
    <w:rsid w:val="00662C6F"/>
    <w:rsid w:val="006631C9"/>
    <w:rsid w:val="00663878"/>
    <w:rsid w:val="0066466C"/>
    <w:rsid w:val="00664CA3"/>
    <w:rsid w:val="00665973"/>
    <w:rsid w:val="0066629D"/>
    <w:rsid w:val="006662EF"/>
    <w:rsid w:val="00666645"/>
    <w:rsid w:val="0066706C"/>
    <w:rsid w:val="00667773"/>
    <w:rsid w:val="0067000B"/>
    <w:rsid w:val="00670708"/>
    <w:rsid w:val="00670743"/>
    <w:rsid w:val="00670991"/>
    <w:rsid w:val="00670A71"/>
    <w:rsid w:val="00671426"/>
    <w:rsid w:val="00672437"/>
    <w:rsid w:val="00672D99"/>
    <w:rsid w:val="00672F78"/>
    <w:rsid w:val="00674A3C"/>
    <w:rsid w:val="00674D2B"/>
    <w:rsid w:val="00674E61"/>
    <w:rsid w:val="00675EEB"/>
    <w:rsid w:val="006766F3"/>
    <w:rsid w:val="00677476"/>
    <w:rsid w:val="006774DC"/>
    <w:rsid w:val="00677B3E"/>
    <w:rsid w:val="00677C8B"/>
    <w:rsid w:val="00677F67"/>
    <w:rsid w:val="00680A85"/>
    <w:rsid w:val="00680C55"/>
    <w:rsid w:val="006811D8"/>
    <w:rsid w:val="00681A51"/>
    <w:rsid w:val="00681ADF"/>
    <w:rsid w:val="00682082"/>
    <w:rsid w:val="0068213E"/>
    <w:rsid w:val="00682211"/>
    <w:rsid w:val="006823ED"/>
    <w:rsid w:val="00682FB3"/>
    <w:rsid w:val="006835A7"/>
    <w:rsid w:val="006836BA"/>
    <w:rsid w:val="006838BE"/>
    <w:rsid w:val="00684058"/>
    <w:rsid w:val="00684663"/>
    <w:rsid w:val="006854EB"/>
    <w:rsid w:val="00685854"/>
    <w:rsid w:val="0068590F"/>
    <w:rsid w:val="00685BEE"/>
    <w:rsid w:val="006861C4"/>
    <w:rsid w:val="00686540"/>
    <w:rsid w:val="00686648"/>
    <w:rsid w:val="00686D0B"/>
    <w:rsid w:val="006871C4"/>
    <w:rsid w:val="0068748C"/>
    <w:rsid w:val="006905DA"/>
    <w:rsid w:val="00690AA6"/>
    <w:rsid w:val="00690EE2"/>
    <w:rsid w:val="00690FEC"/>
    <w:rsid w:val="0069170E"/>
    <w:rsid w:val="00691F9D"/>
    <w:rsid w:val="00692070"/>
    <w:rsid w:val="006922AE"/>
    <w:rsid w:val="006925A8"/>
    <w:rsid w:val="00692DDB"/>
    <w:rsid w:val="00692E5C"/>
    <w:rsid w:val="00692FBE"/>
    <w:rsid w:val="006937EE"/>
    <w:rsid w:val="00693854"/>
    <w:rsid w:val="006941F0"/>
    <w:rsid w:val="0069463D"/>
    <w:rsid w:val="00694BEB"/>
    <w:rsid w:val="00695EED"/>
    <w:rsid w:val="00696913"/>
    <w:rsid w:val="0069733F"/>
    <w:rsid w:val="0069772E"/>
    <w:rsid w:val="00697D39"/>
    <w:rsid w:val="006A0E20"/>
    <w:rsid w:val="006A24E3"/>
    <w:rsid w:val="006A254E"/>
    <w:rsid w:val="006A26E3"/>
    <w:rsid w:val="006A3F8E"/>
    <w:rsid w:val="006A463E"/>
    <w:rsid w:val="006A473A"/>
    <w:rsid w:val="006A4CC3"/>
    <w:rsid w:val="006A4EA2"/>
    <w:rsid w:val="006A4FFA"/>
    <w:rsid w:val="006A5695"/>
    <w:rsid w:val="006A5AD7"/>
    <w:rsid w:val="006A5B03"/>
    <w:rsid w:val="006A5EA3"/>
    <w:rsid w:val="006A636E"/>
    <w:rsid w:val="006A64C5"/>
    <w:rsid w:val="006A6C6D"/>
    <w:rsid w:val="006A71BE"/>
    <w:rsid w:val="006B006A"/>
    <w:rsid w:val="006B0439"/>
    <w:rsid w:val="006B0514"/>
    <w:rsid w:val="006B130A"/>
    <w:rsid w:val="006B1563"/>
    <w:rsid w:val="006B2507"/>
    <w:rsid w:val="006B2A14"/>
    <w:rsid w:val="006B3904"/>
    <w:rsid w:val="006B3BD2"/>
    <w:rsid w:val="006B4ACD"/>
    <w:rsid w:val="006B4BDD"/>
    <w:rsid w:val="006B4BE3"/>
    <w:rsid w:val="006B5A63"/>
    <w:rsid w:val="006B5B7D"/>
    <w:rsid w:val="006B5FBA"/>
    <w:rsid w:val="006B6C99"/>
    <w:rsid w:val="006B6D7E"/>
    <w:rsid w:val="006B74B5"/>
    <w:rsid w:val="006B762B"/>
    <w:rsid w:val="006C0232"/>
    <w:rsid w:val="006C0620"/>
    <w:rsid w:val="006C1014"/>
    <w:rsid w:val="006C23E8"/>
    <w:rsid w:val="006C384A"/>
    <w:rsid w:val="006C3972"/>
    <w:rsid w:val="006C3B63"/>
    <w:rsid w:val="006C3C12"/>
    <w:rsid w:val="006C3F40"/>
    <w:rsid w:val="006C413E"/>
    <w:rsid w:val="006C4CD0"/>
    <w:rsid w:val="006C5B46"/>
    <w:rsid w:val="006C6068"/>
    <w:rsid w:val="006C6264"/>
    <w:rsid w:val="006C66D4"/>
    <w:rsid w:val="006C6A65"/>
    <w:rsid w:val="006C6BF7"/>
    <w:rsid w:val="006C6E39"/>
    <w:rsid w:val="006C6F07"/>
    <w:rsid w:val="006C701A"/>
    <w:rsid w:val="006C790B"/>
    <w:rsid w:val="006D0CF6"/>
    <w:rsid w:val="006D0EC5"/>
    <w:rsid w:val="006D0ECF"/>
    <w:rsid w:val="006D0F80"/>
    <w:rsid w:val="006D0FC9"/>
    <w:rsid w:val="006D16BF"/>
    <w:rsid w:val="006D1B67"/>
    <w:rsid w:val="006D230D"/>
    <w:rsid w:val="006D24C6"/>
    <w:rsid w:val="006D289A"/>
    <w:rsid w:val="006D3561"/>
    <w:rsid w:val="006D3B53"/>
    <w:rsid w:val="006D3D5B"/>
    <w:rsid w:val="006D4672"/>
    <w:rsid w:val="006D467F"/>
    <w:rsid w:val="006D4C92"/>
    <w:rsid w:val="006D4EB6"/>
    <w:rsid w:val="006D5118"/>
    <w:rsid w:val="006D53DB"/>
    <w:rsid w:val="006D542F"/>
    <w:rsid w:val="006D5E67"/>
    <w:rsid w:val="006D6BD8"/>
    <w:rsid w:val="006D712F"/>
    <w:rsid w:val="006D77AB"/>
    <w:rsid w:val="006D7B7D"/>
    <w:rsid w:val="006D7D97"/>
    <w:rsid w:val="006D7FBC"/>
    <w:rsid w:val="006E013A"/>
    <w:rsid w:val="006E1104"/>
    <w:rsid w:val="006E1445"/>
    <w:rsid w:val="006E19AC"/>
    <w:rsid w:val="006E1B1B"/>
    <w:rsid w:val="006E1B27"/>
    <w:rsid w:val="006E35BF"/>
    <w:rsid w:val="006E361F"/>
    <w:rsid w:val="006E43A6"/>
    <w:rsid w:val="006E4E9A"/>
    <w:rsid w:val="006E4FB9"/>
    <w:rsid w:val="006E630C"/>
    <w:rsid w:val="006E6D19"/>
    <w:rsid w:val="006E71BE"/>
    <w:rsid w:val="006E7850"/>
    <w:rsid w:val="006F0067"/>
    <w:rsid w:val="006F02D7"/>
    <w:rsid w:val="006F0365"/>
    <w:rsid w:val="006F0873"/>
    <w:rsid w:val="006F141D"/>
    <w:rsid w:val="006F174A"/>
    <w:rsid w:val="006F1835"/>
    <w:rsid w:val="006F19D8"/>
    <w:rsid w:val="006F1BB5"/>
    <w:rsid w:val="006F1DA3"/>
    <w:rsid w:val="006F2C0F"/>
    <w:rsid w:val="006F37AF"/>
    <w:rsid w:val="006F40FD"/>
    <w:rsid w:val="006F41AA"/>
    <w:rsid w:val="006F425C"/>
    <w:rsid w:val="006F46B8"/>
    <w:rsid w:val="006F46D6"/>
    <w:rsid w:val="006F4BBB"/>
    <w:rsid w:val="006F4E8D"/>
    <w:rsid w:val="006F55C2"/>
    <w:rsid w:val="006F6026"/>
    <w:rsid w:val="006F67C9"/>
    <w:rsid w:val="006F753F"/>
    <w:rsid w:val="006F7574"/>
    <w:rsid w:val="00700269"/>
    <w:rsid w:val="00700605"/>
    <w:rsid w:val="007008AB"/>
    <w:rsid w:val="00701272"/>
    <w:rsid w:val="007017F9"/>
    <w:rsid w:val="0070243E"/>
    <w:rsid w:val="0070283B"/>
    <w:rsid w:val="007028D9"/>
    <w:rsid w:val="00703289"/>
    <w:rsid w:val="00703779"/>
    <w:rsid w:val="007038DF"/>
    <w:rsid w:val="00703D50"/>
    <w:rsid w:val="007043BB"/>
    <w:rsid w:val="00704765"/>
    <w:rsid w:val="00704A93"/>
    <w:rsid w:val="00705146"/>
    <w:rsid w:val="00705EA1"/>
    <w:rsid w:val="007062FC"/>
    <w:rsid w:val="00706354"/>
    <w:rsid w:val="00706623"/>
    <w:rsid w:val="00706C64"/>
    <w:rsid w:val="00707218"/>
    <w:rsid w:val="0070739E"/>
    <w:rsid w:val="00707A8B"/>
    <w:rsid w:val="007103C4"/>
    <w:rsid w:val="00710A87"/>
    <w:rsid w:val="00710AA5"/>
    <w:rsid w:val="00710D04"/>
    <w:rsid w:val="007114B5"/>
    <w:rsid w:val="007120F8"/>
    <w:rsid w:val="00712447"/>
    <w:rsid w:val="0071253E"/>
    <w:rsid w:val="00712552"/>
    <w:rsid w:val="00712891"/>
    <w:rsid w:val="00712B1D"/>
    <w:rsid w:val="00713945"/>
    <w:rsid w:val="00713BBF"/>
    <w:rsid w:val="00713CD3"/>
    <w:rsid w:val="00713E47"/>
    <w:rsid w:val="00714075"/>
    <w:rsid w:val="007143D3"/>
    <w:rsid w:val="00714515"/>
    <w:rsid w:val="00714B9D"/>
    <w:rsid w:val="007155BA"/>
    <w:rsid w:val="00715751"/>
    <w:rsid w:val="00716D78"/>
    <w:rsid w:val="007171BA"/>
    <w:rsid w:val="00717616"/>
    <w:rsid w:val="007177DF"/>
    <w:rsid w:val="00717AAE"/>
    <w:rsid w:val="00717C92"/>
    <w:rsid w:val="0072027D"/>
    <w:rsid w:val="00720441"/>
    <w:rsid w:val="00720671"/>
    <w:rsid w:val="0072092D"/>
    <w:rsid w:val="0072092E"/>
    <w:rsid w:val="00720A37"/>
    <w:rsid w:val="00720A92"/>
    <w:rsid w:val="00721060"/>
    <w:rsid w:val="00721436"/>
    <w:rsid w:val="007215E1"/>
    <w:rsid w:val="00721A3E"/>
    <w:rsid w:val="00721D0B"/>
    <w:rsid w:val="00721DC4"/>
    <w:rsid w:val="00723F5B"/>
    <w:rsid w:val="00725110"/>
    <w:rsid w:val="00725D47"/>
    <w:rsid w:val="00726884"/>
    <w:rsid w:val="00727501"/>
    <w:rsid w:val="007301C5"/>
    <w:rsid w:val="007301CF"/>
    <w:rsid w:val="00730881"/>
    <w:rsid w:val="00730A71"/>
    <w:rsid w:val="00730C34"/>
    <w:rsid w:val="0073110E"/>
    <w:rsid w:val="0073202D"/>
    <w:rsid w:val="00732443"/>
    <w:rsid w:val="007325D9"/>
    <w:rsid w:val="00732DEA"/>
    <w:rsid w:val="007333DF"/>
    <w:rsid w:val="007334DF"/>
    <w:rsid w:val="0073359F"/>
    <w:rsid w:val="007335D3"/>
    <w:rsid w:val="00733FD8"/>
    <w:rsid w:val="0073413F"/>
    <w:rsid w:val="007347D1"/>
    <w:rsid w:val="00734AC3"/>
    <w:rsid w:val="00734C10"/>
    <w:rsid w:val="0073583B"/>
    <w:rsid w:val="007360CA"/>
    <w:rsid w:val="00736202"/>
    <w:rsid w:val="00736A45"/>
    <w:rsid w:val="007376B7"/>
    <w:rsid w:val="00740153"/>
    <w:rsid w:val="00740E20"/>
    <w:rsid w:val="00740FB4"/>
    <w:rsid w:val="0074109A"/>
    <w:rsid w:val="00741744"/>
    <w:rsid w:val="00741903"/>
    <w:rsid w:val="007421EA"/>
    <w:rsid w:val="00742B25"/>
    <w:rsid w:val="0074313C"/>
    <w:rsid w:val="0074331E"/>
    <w:rsid w:val="00743D4D"/>
    <w:rsid w:val="00743F5A"/>
    <w:rsid w:val="00744182"/>
    <w:rsid w:val="007441CE"/>
    <w:rsid w:val="00744209"/>
    <w:rsid w:val="007448B5"/>
    <w:rsid w:val="00744EBB"/>
    <w:rsid w:val="0074573F"/>
    <w:rsid w:val="0074574D"/>
    <w:rsid w:val="0074667B"/>
    <w:rsid w:val="007470BD"/>
    <w:rsid w:val="00747427"/>
    <w:rsid w:val="00747D73"/>
    <w:rsid w:val="00747DE4"/>
    <w:rsid w:val="00750086"/>
    <w:rsid w:val="00750A02"/>
    <w:rsid w:val="00750EF4"/>
    <w:rsid w:val="007517DD"/>
    <w:rsid w:val="00752C9D"/>
    <w:rsid w:val="007546B6"/>
    <w:rsid w:val="007560E4"/>
    <w:rsid w:val="00756981"/>
    <w:rsid w:val="00757960"/>
    <w:rsid w:val="0076006F"/>
    <w:rsid w:val="00760777"/>
    <w:rsid w:val="00760EC0"/>
    <w:rsid w:val="0076106B"/>
    <w:rsid w:val="00761286"/>
    <w:rsid w:val="007615C7"/>
    <w:rsid w:val="00761894"/>
    <w:rsid w:val="00762017"/>
    <w:rsid w:val="0076227A"/>
    <w:rsid w:val="00762381"/>
    <w:rsid w:val="00763AB2"/>
    <w:rsid w:val="00763F41"/>
    <w:rsid w:val="0076405E"/>
    <w:rsid w:val="007641E7"/>
    <w:rsid w:val="0076424C"/>
    <w:rsid w:val="00764259"/>
    <w:rsid w:val="00764431"/>
    <w:rsid w:val="007653CF"/>
    <w:rsid w:val="00765F17"/>
    <w:rsid w:val="00766834"/>
    <w:rsid w:val="00766A3C"/>
    <w:rsid w:val="00767130"/>
    <w:rsid w:val="0077065F"/>
    <w:rsid w:val="00770A45"/>
    <w:rsid w:val="007711B6"/>
    <w:rsid w:val="007711BD"/>
    <w:rsid w:val="00771784"/>
    <w:rsid w:val="00771EEB"/>
    <w:rsid w:val="00773151"/>
    <w:rsid w:val="007733BA"/>
    <w:rsid w:val="00773DA9"/>
    <w:rsid w:val="00774027"/>
    <w:rsid w:val="00774447"/>
    <w:rsid w:val="00774615"/>
    <w:rsid w:val="00775661"/>
    <w:rsid w:val="00775E37"/>
    <w:rsid w:val="00776137"/>
    <w:rsid w:val="00776168"/>
    <w:rsid w:val="0077684B"/>
    <w:rsid w:val="0077692A"/>
    <w:rsid w:val="00776C5C"/>
    <w:rsid w:val="00776E90"/>
    <w:rsid w:val="00776EB2"/>
    <w:rsid w:val="007771C2"/>
    <w:rsid w:val="007777B2"/>
    <w:rsid w:val="00777DD1"/>
    <w:rsid w:val="00780032"/>
    <w:rsid w:val="0078003A"/>
    <w:rsid w:val="00780594"/>
    <w:rsid w:val="00780771"/>
    <w:rsid w:val="0078079E"/>
    <w:rsid w:val="00780A94"/>
    <w:rsid w:val="00780F55"/>
    <w:rsid w:val="00781FCB"/>
    <w:rsid w:val="007820DD"/>
    <w:rsid w:val="00782186"/>
    <w:rsid w:val="0078256E"/>
    <w:rsid w:val="00782D68"/>
    <w:rsid w:val="00782DA8"/>
    <w:rsid w:val="0078357E"/>
    <w:rsid w:val="00783CB2"/>
    <w:rsid w:val="007857BC"/>
    <w:rsid w:val="00785E5B"/>
    <w:rsid w:val="0078606D"/>
    <w:rsid w:val="007865E0"/>
    <w:rsid w:val="00786FAF"/>
    <w:rsid w:val="007873E8"/>
    <w:rsid w:val="00787D21"/>
    <w:rsid w:val="00787D82"/>
    <w:rsid w:val="00790021"/>
    <w:rsid w:val="0079080A"/>
    <w:rsid w:val="00790B8F"/>
    <w:rsid w:val="00790E4C"/>
    <w:rsid w:val="007919F0"/>
    <w:rsid w:val="00791F7F"/>
    <w:rsid w:val="007929CF"/>
    <w:rsid w:val="00792AAA"/>
    <w:rsid w:val="00793FA6"/>
    <w:rsid w:val="00793FED"/>
    <w:rsid w:val="00794795"/>
    <w:rsid w:val="007951DC"/>
    <w:rsid w:val="00795AF5"/>
    <w:rsid w:val="00796AF2"/>
    <w:rsid w:val="00796BAC"/>
    <w:rsid w:val="00797A72"/>
    <w:rsid w:val="00797BA8"/>
    <w:rsid w:val="00797F8B"/>
    <w:rsid w:val="007A081D"/>
    <w:rsid w:val="007A0AC6"/>
    <w:rsid w:val="007A14D5"/>
    <w:rsid w:val="007A23E6"/>
    <w:rsid w:val="007A2607"/>
    <w:rsid w:val="007A36C2"/>
    <w:rsid w:val="007A39D1"/>
    <w:rsid w:val="007A3A5B"/>
    <w:rsid w:val="007A3D2C"/>
    <w:rsid w:val="007A3E86"/>
    <w:rsid w:val="007A4423"/>
    <w:rsid w:val="007A49E7"/>
    <w:rsid w:val="007A4C08"/>
    <w:rsid w:val="007A4DD2"/>
    <w:rsid w:val="007A554D"/>
    <w:rsid w:val="007A5966"/>
    <w:rsid w:val="007A5B17"/>
    <w:rsid w:val="007A5E48"/>
    <w:rsid w:val="007A6059"/>
    <w:rsid w:val="007A6076"/>
    <w:rsid w:val="007A63AB"/>
    <w:rsid w:val="007A6504"/>
    <w:rsid w:val="007A6AAC"/>
    <w:rsid w:val="007A6BD6"/>
    <w:rsid w:val="007A6F28"/>
    <w:rsid w:val="007A6FF4"/>
    <w:rsid w:val="007A7B91"/>
    <w:rsid w:val="007A7E57"/>
    <w:rsid w:val="007B03C6"/>
    <w:rsid w:val="007B0565"/>
    <w:rsid w:val="007B0798"/>
    <w:rsid w:val="007B0A19"/>
    <w:rsid w:val="007B0CFE"/>
    <w:rsid w:val="007B0DB1"/>
    <w:rsid w:val="007B2291"/>
    <w:rsid w:val="007B26A4"/>
    <w:rsid w:val="007B2757"/>
    <w:rsid w:val="007B2C97"/>
    <w:rsid w:val="007B3EB6"/>
    <w:rsid w:val="007B3EE1"/>
    <w:rsid w:val="007B4413"/>
    <w:rsid w:val="007B542E"/>
    <w:rsid w:val="007B5673"/>
    <w:rsid w:val="007B5A4A"/>
    <w:rsid w:val="007B6194"/>
    <w:rsid w:val="007B6911"/>
    <w:rsid w:val="007B7238"/>
    <w:rsid w:val="007B751A"/>
    <w:rsid w:val="007B7570"/>
    <w:rsid w:val="007B76FF"/>
    <w:rsid w:val="007B7706"/>
    <w:rsid w:val="007B794C"/>
    <w:rsid w:val="007C0237"/>
    <w:rsid w:val="007C0FF6"/>
    <w:rsid w:val="007C1139"/>
    <w:rsid w:val="007C1254"/>
    <w:rsid w:val="007C20A8"/>
    <w:rsid w:val="007C21CD"/>
    <w:rsid w:val="007C27CA"/>
    <w:rsid w:val="007C2A5E"/>
    <w:rsid w:val="007C3090"/>
    <w:rsid w:val="007C350B"/>
    <w:rsid w:val="007C3751"/>
    <w:rsid w:val="007C3BF6"/>
    <w:rsid w:val="007C402A"/>
    <w:rsid w:val="007C4382"/>
    <w:rsid w:val="007C4A77"/>
    <w:rsid w:val="007C5061"/>
    <w:rsid w:val="007C5348"/>
    <w:rsid w:val="007C576B"/>
    <w:rsid w:val="007C66CD"/>
    <w:rsid w:val="007C67B3"/>
    <w:rsid w:val="007C6978"/>
    <w:rsid w:val="007C6C17"/>
    <w:rsid w:val="007C7481"/>
    <w:rsid w:val="007C7787"/>
    <w:rsid w:val="007D0FB1"/>
    <w:rsid w:val="007D0FD2"/>
    <w:rsid w:val="007D1FDE"/>
    <w:rsid w:val="007D21B4"/>
    <w:rsid w:val="007D256B"/>
    <w:rsid w:val="007D292E"/>
    <w:rsid w:val="007D2B1B"/>
    <w:rsid w:val="007D2EF8"/>
    <w:rsid w:val="007D3196"/>
    <w:rsid w:val="007D3809"/>
    <w:rsid w:val="007D3BF8"/>
    <w:rsid w:val="007D3E04"/>
    <w:rsid w:val="007D440F"/>
    <w:rsid w:val="007D49EF"/>
    <w:rsid w:val="007D526E"/>
    <w:rsid w:val="007D561F"/>
    <w:rsid w:val="007D67DD"/>
    <w:rsid w:val="007D69C2"/>
    <w:rsid w:val="007D6DEC"/>
    <w:rsid w:val="007D72C9"/>
    <w:rsid w:val="007D768E"/>
    <w:rsid w:val="007D7961"/>
    <w:rsid w:val="007D7EA8"/>
    <w:rsid w:val="007D7FD2"/>
    <w:rsid w:val="007E010B"/>
    <w:rsid w:val="007E0759"/>
    <w:rsid w:val="007E0CB5"/>
    <w:rsid w:val="007E0D92"/>
    <w:rsid w:val="007E1062"/>
    <w:rsid w:val="007E13D9"/>
    <w:rsid w:val="007E19D1"/>
    <w:rsid w:val="007E2AEC"/>
    <w:rsid w:val="007E375F"/>
    <w:rsid w:val="007E39AB"/>
    <w:rsid w:val="007E41BE"/>
    <w:rsid w:val="007E46B7"/>
    <w:rsid w:val="007E4909"/>
    <w:rsid w:val="007E4DB6"/>
    <w:rsid w:val="007E6111"/>
    <w:rsid w:val="007E6122"/>
    <w:rsid w:val="007E62AA"/>
    <w:rsid w:val="007E6653"/>
    <w:rsid w:val="007E6733"/>
    <w:rsid w:val="007E6BA6"/>
    <w:rsid w:val="007E70E1"/>
    <w:rsid w:val="007E78CC"/>
    <w:rsid w:val="007E7CD4"/>
    <w:rsid w:val="007F037F"/>
    <w:rsid w:val="007F056B"/>
    <w:rsid w:val="007F1238"/>
    <w:rsid w:val="007F12AC"/>
    <w:rsid w:val="007F14E1"/>
    <w:rsid w:val="007F1721"/>
    <w:rsid w:val="007F1B32"/>
    <w:rsid w:val="007F20FF"/>
    <w:rsid w:val="007F2AE8"/>
    <w:rsid w:val="007F3242"/>
    <w:rsid w:val="007F3709"/>
    <w:rsid w:val="007F4501"/>
    <w:rsid w:val="007F48AE"/>
    <w:rsid w:val="007F4941"/>
    <w:rsid w:val="007F4DE5"/>
    <w:rsid w:val="007F60DF"/>
    <w:rsid w:val="007F6481"/>
    <w:rsid w:val="007F6D32"/>
    <w:rsid w:val="007F6E36"/>
    <w:rsid w:val="007F6FCC"/>
    <w:rsid w:val="007F70ED"/>
    <w:rsid w:val="007F7459"/>
    <w:rsid w:val="00800F88"/>
    <w:rsid w:val="00801800"/>
    <w:rsid w:val="00801861"/>
    <w:rsid w:val="0080197F"/>
    <w:rsid w:val="00801B5B"/>
    <w:rsid w:val="008021BC"/>
    <w:rsid w:val="0080241E"/>
    <w:rsid w:val="00802563"/>
    <w:rsid w:val="0080281D"/>
    <w:rsid w:val="008030A3"/>
    <w:rsid w:val="008034EF"/>
    <w:rsid w:val="00803AAF"/>
    <w:rsid w:val="00804731"/>
    <w:rsid w:val="008048AD"/>
    <w:rsid w:val="00804A6C"/>
    <w:rsid w:val="00804A8E"/>
    <w:rsid w:val="00805A30"/>
    <w:rsid w:val="00805A5D"/>
    <w:rsid w:val="00805BA9"/>
    <w:rsid w:val="00805DC4"/>
    <w:rsid w:val="00805EB0"/>
    <w:rsid w:val="00807901"/>
    <w:rsid w:val="008112B1"/>
    <w:rsid w:val="00811AE5"/>
    <w:rsid w:val="00811E74"/>
    <w:rsid w:val="00812E7E"/>
    <w:rsid w:val="008138FB"/>
    <w:rsid w:val="00813A64"/>
    <w:rsid w:val="008145E1"/>
    <w:rsid w:val="0081465F"/>
    <w:rsid w:val="008146D2"/>
    <w:rsid w:val="00814908"/>
    <w:rsid w:val="00814D02"/>
    <w:rsid w:val="00815534"/>
    <w:rsid w:val="00815CE4"/>
    <w:rsid w:val="008160AE"/>
    <w:rsid w:val="00816455"/>
    <w:rsid w:val="008169D9"/>
    <w:rsid w:val="00816D5D"/>
    <w:rsid w:val="00816DF9"/>
    <w:rsid w:val="00817A77"/>
    <w:rsid w:val="00820241"/>
    <w:rsid w:val="0082052C"/>
    <w:rsid w:val="00821067"/>
    <w:rsid w:val="008216E7"/>
    <w:rsid w:val="00821760"/>
    <w:rsid w:val="0082198C"/>
    <w:rsid w:val="00821EB1"/>
    <w:rsid w:val="008220F5"/>
    <w:rsid w:val="008224F5"/>
    <w:rsid w:val="00823766"/>
    <w:rsid w:val="008237B8"/>
    <w:rsid w:val="008247C8"/>
    <w:rsid w:val="00825A7B"/>
    <w:rsid w:val="00825A9A"/>
    <w:rsid w:val="00825BE6"/>
    <w:rsid w:val="0082611D"/>
    <w:rsid w:val="008264A8"/>
    <w:rsid w:val="008276B4"/>
    <w:rsid w:val="00827BE9"/>
    <w:rsid w:val="0083013D"/>
    <w:rsid w:val="0083084B"/>
    <w:rsid w:val="0083090C"/>
    <w:rsid w:val="008309F7"/>
    <w:rsid w:val="00830A91"/>
    <w:rsid w:val="00831927"/>
    <w:rsid w:val="008331DA"/>
    <w:rsid w:val="0083369E"/>
    <w:rsid w:val="008339AC"/>
    <w:rsid w:val="00834607"/>
    <w:rsid w:val="00835191"/>
    <w:rsid w:val="0083573F"/>
    <w:rsid w:val="00835808"/>
    <w:rsid w:val="00836169"/>
    <w:rsid w:val="00836812"/>
    <w:rsid w:val="00836CAE"/>
    <w:rsid w:val="00837288"/>
    <w:rsid w:val="008373E8"/>
    <w:rsid w:val="00840310"/>
    <w:rsid w:val="008416EE"/>
    <w:rsid w:val="00841BD3"/>
    <w:rsid w:val="00842344"/>
    <w:rsid w:val="0084273D"/>
    <w:rsid w:val="00842E6D"/>
    <w:rsid w:val="0084329D"/>
    <w:rsid w:val="00843D90"/>
    <w:rsid w:val="008443C0"/>
    <w:rsid w:val="00844E3F"/>
    <w:rsid w:val="00844FA7"/>
    <w:rsid w:val="00845125"/>
    <w:rsid w:val="00845A83"/>
    <w:rsid w:val="00846459"/>
    <w:rsid w:val="008465FE"/>
    <w:rsid w:val="00846984"/>
    <w:rsid w:val="00846BB9"/>
    <w:rsid w:val="00851815"/>
    <w:rsid w:val="00852D06"/>
    <w:rsid w:val="00852F56"/>
    <w:rsid w:val="00854E79"/>
    <w:rsid w:val="00855084"/>
    <w:rsid w:val="00855111"/>
    <w:rsid w:val="0085630F"/>
    <w:rsid w:val="00857E42"/>
    <w:rsid w:val="00860C60"/>
    <w:rsid w:val="00860DED"/>
    <w:rsid w:val="00861413"/>
    <w:rsid w:val="00862B4D"/>
    <w:rsid w:val="00863816"/>
    <w:rsid w:val="0086397E"/>
    <w:rsid w:val="00863AEA"/>
    <w:rsid w:val="00864474"/>
    <w:rsid w:val="008648C9"/>
    <w:rsid w:val="008649D5"/>
    <w:rsid w:val="00865BCA"/>
    <w:rsid w:val="008660AB"/>
    <w:rsid w:val="008661E4"/>
    <w:rsid w:val="008668C0"/>
    <w:rsid w:val="0086776D"/>
    <w:rsid w:val="00867778"/>
    <w:rsid w:val="008678FA"/>
    <w:rsid w:val="00870756"/>
    <w:rsid w:val="008708B3"/>
    <w:rsid w:val="008712BB"/>
    <w:rsid w:val="008718C2"/>
    <w:rsid w:val="00871A55"/>
    <w:rsid w:val="00871EA1"/>
    <w:rsid w:val="0087277C"/>
    <w:rsid w:val="008728D6"/>
    <w:rsid w:val="00873407"/>
    <w:rsid w:val="00873FA2"/>
    <w:rsid w:val="0087430E"/>
    <w:rsid w:val="008745E2"/>
    <w:rsid w:val="00874DE8"/>
    <w:rsid w:val="0087528C"/>
    <w:rsid w:val="00875BF2"/>
    <w:rsid w:val="00875F88"/>
    <w:rsid w:val="00876715"/>
    <w:rsid w:val="00876D1B"/>
    <w:rsid w:val="00876E46"/>
    <w:rsid w:val="00877013"/>
    <w:rsid w:val="0087711D"/>
    <w:rsid w:val="008777F6"/>
    <w:rsid w:val="00877AD4"/>
    <w:rsid w:val="00877E81"/>
    <w:rsid w:val="008805A0"/>
    <w:rsid w:val="0088081E"/>
    <w:rsid w:val="00880A24"/>
    <w:rsid w:val="00880C4D"/>
    <w:rsid w:val="00880EB9"/>
    <w:rsid w:val="0088141B"/>
    <w:rsid w:val="00881440"/>
    <w:rsid w:val="00881840"/>
    <w:rsid w:val="00881C6E"/>
    <w:rsid w:val="0088224A"/>
    <w:rsid w:val="00882C13"/>
    <w:rsid w:val="008830E7"/>
    <w:rsid w:val="008836AD"/>
    <w:rsid w:val="00883925"/>
    <w:rsid w:val="00883B45"/>
    <w:rsid w:val="00883CF9"/>
    <w:rsid w:val="00883D98"/>
    <w:rsid w:val="00884173"/>
    <w:rsid w:val="008843B7"/>
    <w:rsid w:val="00884B8D"/>
    <w:rsid w:val="00884C25"/>
    <w:rsid w:val="00886405"/>
    <w:rsid w:val="008903C5"/>
    <w:rsid w:val="008909EE"/>
    <w:rsid w:val="00890EDE"/>
    <w:rsid w:val="00891B3A"/>
    <w:rsid w:val="00892098"/>
    <w:rsid w:val="00892887"/>
    <w:rsid w:val="00892A9E"/>
    <w:rsid w:val="00892B38"/>
    <w:rsid w:val="00892B9F"/>
    <w:rsid w:val="008931C5"/>
    <w:rsid w:val="00893A4C"/>
    <w:rsid w:val="00893D7F"/>
    <w:rsid w:val="00893ED3"/>
    <w:rsid w:val="00893EFD"/>
    <w:rsid w:val="008947DE"/>
    <w:rsid w:val="00895CD9"/>
    <w:rsid w:val="008962DD"/>
    <w:rsid w:val="0089683F"/>
    <w:rsid w:val="008969DE"/>
    <w:rsid w:val="00896CA6"/>
    <w:rsid w:val="00896E68"/>
    <w:rsid w:val="00896EB3"/>
    <w:rsid w:val="00896FF6"/>
    <w:rsid w:val="008979D5"/>
    <w:rsid w:val="008A0148"/>
    <w:rsid w:val="008A0169"/>
    <w:rsid w:val="008A0DE3"/>
    <w:rsid w:val="008A165D"/>
    <w:rsid w:val="008A1741"/>
    <w:rsid w:val="008A1772"/>
    <w:rsid w:val="008A2484"/>
    <w:rsid w:val="008A3A1A"/>
    <w:rsid w:val="008A3EA3"/>
    <w:rsid w:val="008A3F3F"/>
    <w:rsid w:val="008A4205"/>
    <w:rsid w:val="008A43E5"/>
    <w:rsid w:val="008A464A"/>
    <w:rsid w:val="008A4CE3"/>
    <w:rsid w:val="008A4DD9"/>
    <w:rsid w:val="008A52F3"/>
    <w:rsid w:val="008A5545"/>
    <w:rsid w:val="008A5825"/>
    <w:rsid w:val="008A5849"/>
    <w:rsid w:val="008A5A5D"/>
    <w:rsid w:val="008B0B27"/>
    <w:rsid w:val="008B1EA8"/>
    <w:rsid w:val="008B1FF3"/>
    <w:rsid w:val="008B20B8"/>
    <w:rsid w:val="008B28CA"/>
    <w:rsid w:val="008B298A"/>
    <w:rsid w:val="008B2DAC"/>
    <w:rsid w:val="008B3DE3"/>
    <w:rsid w:val="008B3E91"/>
    <w:rsid w:val="008B461E"/>
    <w:rsid w:val="008B471D"/>
    <w:rsid w:val="008B4821"/>
    <w:rsid w:val="008B4C9E"/>
    <w:rsid w:val="008B57E5"/>
    <w:rsid w:val="008B60A4"/>
    <w:rsid w:val="008B6116"/>
    <w:rsid w:val="008B6582"/>
    <w:rsid w:val="008B7174"/>
    <w:rsid w:val="008B7268"/>
    <w:rsid w:val="008B752F"/>
    <w:rsid w:val="008B7A49"/>
    <w:rsid w:val="008B7CC0"/>
    <w:rsid w:val="008B7D15"/>
    <w:rsid w:val="008C099E"/>
    <w:rsid w:val="008C0CAE"/>
    <w:rsid w:val="008C0D1C"/>
    <w:rsid w:val="008C0FCB"/>
    <w:rsid w:val="008C1741"/>
    <w:rsid w:val="008C1A69"/>
    <w:rsid w:val="008C23B9"/>
    <w:rsid w:val="008C2589"/>
    <w:rsid w:val="008C26D9"/>
    <w:rsid w:val="008C2D45"/>
    <w:rsid w:val="008C2EF8"/>
    <w:rsid w:val="008C3341"/>
    <w:rsid w:val="008C39EB"/>
    <w:rsid w:val="008C403A"/>
    <w:rsid w:val="008C43C3"/>
    <w:rsid w:val="008C46C4"/>
    <w:rsid w:val="008C5092"/>
    <w:rsid w:val="008C5378"/>
    <w:rsid w:val="008C5F65"/>
    <w:rsid w:val="008C64B4"/>
    <w:rsid w:val="008C6D50"/>
    <w:rsid w:val="008C6ECB"/>
    <w:rsid w:val="008C7167"/>
    <w:rsid w:val="008C7503"/>
    <w:rsid w:val="008C7787"/>
    <w:rsid w:val="008C790E"/>
    <w:rsid w:val="008C7B37"/>
    <w:rsid w:val="008C7D71"/>
    <w:rsid w:val="008D0582"/>
    <w:rsid w:val="008D1617"/>
    <w:rsid w:val="008D19B3"/>
    <w:rsid w:val="008D2C24"/>
    <w:rsid w:val="008D2D37"/>
    <w:rsid w:val="008D2E92"/>
    <w:rsid w:val="008D301C"/>
    <w:rsid w:val="008D3033"/>
    <w:rsid w:val="008D330F"/>
    <w:rsid w:val="008D3631"/>
    <w:rsid w:val="008D3727"/>
    <w:rsid w:val="008D3CAF"/>
    <w:rsid w:val="008D3DAB"/>
    <w:rsid w:val="008D40C0"/>
    <w:rsid w:val="008D48C1"/>
    <w:rsid w:val="008D4E9D"/>
    <w:rsid w:val="008D56D3"/>
    <w:rsid w:val="008D6787"/>
    <w:rsid w:val="008D6A87"/>
    <w:rsid w:val="008D6D7B"/>
    <w:rsid w:val="008D7771"/>
    <w:rsid w:val="008E02A1"/>
    <w:rsid w:val="008E0CE2"/>
    <w:rsid w:val="008E0D72"/>
    <w:rsid w:val="008E20A4"/>
    <w:rsid w:val="008E231E"/>
    <w:rsid w:val="008E2F0F"/>
    <w:rsid w:val="008E302E"/>
    <w:rsid w:val="008E34A0"/>
    <w:rsid w:val="008E3D40"/>
    <w:rsid w:val="008E4185"/>
    <w:rsid w:val="008E4ADD"/>
    <w:rsid w:val="008E5849"/>
    <w:rsid w:val="008E6315"/>
    <w:rsid w:val="008E63C3"/>
    <w:rsid w:val="008E63D2"/>
    <w:rsid w:val="008E74D8"/>
    <w:rsid w:val="008E7561"/>
    <w:rsid w:val="008E7582"/>
    <w:rsid w:val="008E79B0"/>
    <w:rsid w:val="008E7EB0"/>
    <w:rsid w:val="008F011C"/>
    <w:rsid w:val="008F0480"/>
    <w:rsid w:val="008F07FC"/>
    <w:rsid w:val="008F11E0"/>
    <w:rsid w:val="008F12DF"/>
    <w:rsid w:val="008F14E9"/>
    <w:rsid w:val="008F1768"/>
    <w:rsid w:val="008F239D"/>
    <w:rsid w:val="008F23FF"/>
    <w:rsid w:val="008F29C5"/>
    <w:rsid w:val="008F3D7E"/>
    <w:rsid w:val="008F3EA7"/>
    <w:rsid w:val="008F4123"/>
    <w:rsid w:val="008F41AD"/>
    <w:rsid w:val="008F4CFD"/>
    <w:rsid w:val="008F52CD"/>
    <w:rsid w:val="008F52D8"/>
    <w:rsid w:val="008F6DDF"/>
    <w:rsid w:val="008F7687"/>
    <w:rsid w:val="008F784D"/>
    <w:rsid w:val="008F78BC"/>
    <w:rsid w:val="008F7B63"/>
    <w:rsid w:val="008F7D6A"/>
    <w:rsid w:val="009011DD"/>
    <w:rsid w:val="00901BF4"/>
    <w:rsid w:val="00901C86"/>
    <w:rsid w:val="00901EE1"/>
    <w:rsid w:val="0090212A"/>
    <w:rsid w:val="00902224"/>
    <w:rsid w:val="0090326E"/>
    <w:rsid w:val="00903603"/>
    <w:rsid w:val="00904EFA"/>
    <w:rsid w:val="00905248"/>
    <w:rsid w:val="009054CB"/>
    <w:rsid w:val="00905702"/>
    <w:rsid w:val="009060B3"/>
    <w:rsid w:val="00906411"/>
    <w:rsid w:val="00906649"/>
    <w:rsid w:val="0090726F"/>
    <w:rsid w:val="009076D2"/>
    <w:rsid w:val="009079C5"/>
    <w:rsid w:val="00907B04"/>
    <w:rsid w:val="0091032A"/>
    <w:rsid w:val="0091126A"/>
    <w:rsid w:val="00911F8D"/>
    <w:rsid w:val="00912F94"/>
    <w:rsid w:val="009134FA"/>
    <w:rsid w:val="00913A51"/>
    <w:rsid w:val="00913CF0"/>
    <w:rsid w:val="00914C54"/>
    <w:rsid w:val="00915C81"/>
    <w:rsid w:val="00916A9D"/>
    <w:rsid w:val="00916CD8"/>
    <w:rsid w:val="00916FD3"/>
    <w:rsid w:val="009171BC"/>
    <w:rsid w:val="009175C6"/>
    <w:rsid w:val="009176AB"/>
    <w:rsid w:val="00917B35"/>
    <w:rsid w:val="009202E4"/>
    <w:rsid w:val="00920A29"/>
    <w:rsid w:val="00920DF5"/>
    <w:rsid w:val="009222D7"/>
    <w:rsid w:val="00922A09"/>
    <w:rsid w:val="00923947"/>
    <w:rsid w:val="00923A6A"/>
    <w:rsid w:val="00923BA3"/>
    <w:rsid w:val="00923C77"/>
    <w:rsid w:val="00923CA1"/>
    <w:rsid w:val="00923CC4"/>
    <w:rsid w:val="0092497E"/>
    <w:rsid w:val="009251E4"/>
    <w:rsid w:val="009253AA"/>
    <w:rsid w:val="009257EE"/>
    <w:rsid w:val="0092590B"/>
    <w:rsid w:val="00925BF3"/>
    <w:rsid w:val="00925E60"/>
    <w:rsid w:val="00926185"/>
    <w:rsid w:val="009264B3"/>
    <w:rsid w:val="00926D1F"/>
    <w:rsid w:val="00927721"/>
    <w:rsid w:val="00927EEA"/>
    <w:rsid w:val="009300E4"/>
    <w:rsid w:val="009305C7"/>
    <w:rsid w:val="00930770"/>
    <w:rsid w:val="00930803"/>
    <w:rsid w:val="00930B1B"/>
    <w:rsid w:val="00930BFB"/>
    <w:rsid w:val="0093108F"/>
    <w:rsid w:val="00931BEF"/>
    <w:rsid w:val="00931E4C"/>
    <w:rsid w:val="00931F84"/>
    <w:rsid w:val="0093206C"/>
    <w:rsid w:val="009324ED"/>
    <w:rsid w:val="00932562"/>
    <w:rsid w:val="009328DA"/>
    <w:rsid w:val="00932993"/>
    <w:rsid w:val="0093310D"/>
    <w:rsid w:val="009337E9"/>
    <w:rsid w:val="0093398C"/>
    <w:rsid w:val="00934A61"/>
    <w:rsid w:val="00934BDF"/>
    <w:rsid w:val="00934E15"/>
    <w:rsid w:val="00934F50"/>
    <w:rsid w:val="00934F64"/>
    <w:rsid w:val="00935A58"/>
    <w:rsid w:val="00935E89"/>
    <w:rsid w:val="009360E9"/>
    <w:rsid w:val="0093621D"/>
    <w:rsid w:val="00936493"/>
    <w:rsid w:val="009365E0"/>
    <w:rsid w:val="00936FBA"/>
    <w:rsid w:val="009371D9"/>
    <w:rsid w:val="00937B29"/>
    <w:rsid w:val="00937DD9"/>
    <w:rsid w:val="009405C1"/>
    <w:rsid w:val="009406E0"/>
    <w:rsid w:val="00941155"/>
    <w:rsid w:val="00941E75"/>
    <w:rsid w:val="00942028"/>
    <w:rsid w:val="0094237F"/>
    <w:rsid w:val="00942AF6"/>
    <w:rsid w:val="00942BA2"/>
    <w:rsid w:val="00942D23"/>
    <w:rsid w:val="00942F10"/>
    <w:rsid w:val="009432B7"/>
    <w:rsid w:val="009436FD"/>
    <w:rsid w:val="00944AE4"/>
    <w:rsid w:val="00944C86"/>
    <w:rsid w:val="0094502E"/>
    <w:rsid w:val="009451EA"/>
    <w:rsid w:val="00945E1E"/>
    <w:rsid w:val="00946935"/>
    <w:rsid w:val="00946985"/>
    <w:rsid w:val="00946B20"/>
    <w:rsid w:val="00946B6C"/>
    <w:rsid w:val="00946D9D"/>
    <w:rsid w:val="00946DD6"/>
    <w:rsid w:val="00947A7B"/>
    <w:rsid w:val="00947C02"/>
    <w:rsid w:val="00950BE6"/>
    <w:rsid w:val="00950D14"/>
    <w:rsid w:val="00951323"/>
    <w:rsid w:val="009514B7"/>
    <w:rsid w:val="0095175A"/>
    <w:rsid w:val="00951DBD"/>
    <w:rsid w:val="00952216"/>
    <w:rsid w:val="00952559"/>
    <w:rsid w:val="00952AE5"/>
    <w:rsid w:val="00953618"/>
    <w:rsid w:val="009536C5"/>
    <w:rsid w:val="00953C5A"/>
    <w:rsid w:val="009540CF"/>
    <w:rsid w:val="00954DF2"/>
    <w:rsid w:val="00955CC9"/>
    <w:rsid w:val="00956442"/>
    <w:rsid w:val="00956C9C"/>
    <w:rsid w:val="009574A6"/>
    <w:rsid w:val="00957DE8"/>
    <w:rsid w:val="00960ECB"/>
    <w:rsid w:val="009615D6"/>
    <w:rsid w:val="00961A7B"/>
    <w:rsid w:val="00961C5A"/>
    <w:rsid w:val="00961CCB"/>
    <w:rsid w:val="009621B9"/>
    <w:rsid w:val="0096222F"/>
    <w:rsid w:val="00962BE6"/>
    <w:rsid w:val="00963AE4"/>
    <w:rsid w:val="00964DC2"/>
    <w:rsid w:val="009650AA"/>
    <w:rsid w:val="00965354"/>
    <w:rsid w:val="00965E05"/>
    <w:rsid w:val="00965E11"/>
    <w:rsid w:val="00965F51"/>
    <w:rsid w:val="009668D4"/>
    <w:rsid w:val="00966996"/>
    <w:rsid w:val="00966E8A"/>
    <w:rsid w:val="00967394"/>
    <w:rsid w:val="00967855"/>
    <w:rsid w:val="009703D4"/>
    <w:rsid w:val="00970B57"/>
    <w:rsid w:val="009717F0"/>
    <w:rsid w:val="00971CD1"/>
    <w:rsid w:val="00972080"/>
    <w:rsid w:val="00972AFD"/>
    <w:rsid w:val="009746B8"/>
    <w:rsid w:val="00974709"/>
    <w:rsid w:val="00974DD4"/>
    <w:rsid w:val="00974E02"/>
    <w:rsid w:val="00974EAA"/>
    <w:rsid w:val="00974EFD"/>
    <w:rsid w:val="0097536D"/>
    <w:rsid w:val="00975F75"/>
    <w:rsid w:val="00976A10"/>
    <w:rsid w:val="00976F55"/>
    <w:rsid w:val="009778EF"/>
    <w:rsid w:val="009801AE"/>
    <w:rsid w:val="00980553"/>
    <w:rsid w:val="00980736"/>
    <w:rsid w:val="00980894"/>
    <w:rsid w:val="00981741"/>
    <w:rsid w:val="00981A39"/>
    <w:rsid w:val="00981D4B"/>
    <w:rsid w:val="00981FA0"/>
    <w:rsid w:val="009825A6"/>
    <w:rsid w:val="00982ACF"/>
    <w:rsid w:val="00982D56"/>
    <w:rsid w:val="00983BCB"/>
    <w:rsid w:val="00983DBF"/>
    <w:rsid w:val="00983F38"/>
    <w:rsid w:val="009840B7"/>
    <w:rsid w:val="009845CE"/>
    <w:rsid w:val="009845F8"/>
    <w:rsid w:val="00984677"/>
    <w:rsid w:val="009846F3"/>
    <w:rsid w:val="009847C9"/>
    <w:rsid w:val="00985247"/>
    <w:rsid w:val="009853EE"/>
    <w:rsid w:val="00985753"/>
    <w:rsid w:val="00985AA5"/>
    <w:rsid w:val="00985CF5"/>
    <w:rsid w:val="009860E9"/>
    <w:rsid w:val="009868C6"/>
    <w:rsid w:val="00986B76"/>
    <w:rsid w:val="00986D0B"/>
    <w:rsid w:val="00987013"/>
    <w:rsid w:val="00987097"/>
    <w:rsid w:val="009873A5"/>
    <w:rsid w:val="00987490"/>
    <w:rsid w:val="00987FBC"/>
    <w:rsid w:val="00991123"/>
    <w:rsid w:val="0099114F"/>
    <w:rsid w:val="00991CAB"/>
    <w:rsid w:val="00991CEE"/>
    <w:rsid w:val="00991D2F"/>
    <w:rsid w:val="00992C32"/>
    <w:rsid w:val="00992E0B"/>
    <w:rsid w:val="00993365"/>
    <w:rsid w:val="009935FA"/>
    <w:rsid w:val="009944B7"/>
    <w:rsid w:val="00994BE2"/>
    <w:rsid w:val="00994C2D"/>
    <w:rsid w:val="009953B2"/>
    <w:rsid w:val="009955FE"/>
    <w:rsid w:val="00995D86"/>
    <w:rsid w:val="00996376"/>
    <w:rsid w:val="0099662F"/>
    <w:rsid w:val="009A035B"/>
    <w:rsid w:val="009A1FF3"/>
    <w:rsid w:val="009A23C4"/>
    <w:rsid w:val="009A284D"/>
    <w:rsid w:val="009A34AB"/>
    <w:rsid w:val="009A3A9C"/>
    <w:rsid w:val="009A3B4F"/>
    <w:rsid w:val="009A4C96"/>
    <w:rsid w:val="009A51BB"/>
    <w:rsid w:val="009A5242"/>
    <w:rsid w:val="009A6448"/>
    <w:rsid w:val="009A6847"/>
    <w:rsid w:val="009A689C"/>
    <w:rsid w:val="009A6AE1"/>
    <w:rsid w:val="009B046C"/>
    <w:rsid w:val="009B13FA"/>
    <w:rsid w:val="009B1E2D"/>
    <w:rsid w:val="009B2228"/>
    <w:rsid w:val="009B2310"/>
    <w:rsid w:val="009B2AD7"/>
    <w:rsid w:val="009B2DCB"/>
    <w:rsid w:val="009B345B"/>
    <w:rsid w:val="009B38FF"/>
    <w:rsid w:val="009B48A0"/>
    <w:rsid w:val="009B523A"/>
    <w:rsid w:val="009B5C0A"/>
    <w:rsid w:val="009B69DF"/>
    <w:rsid w:val="009B6E12"/>
    <w:rsid w:val="009B731F"/>
    <w:rsid w:val="009B744B"/>
    <w:rsid w:val="009C067F"/>
    <w:rsid w:val="009C0934"/>
    <w:rsid w:val="009C213D"/>
    <w:rsid w:val="009C2C65"/>
    <w:rsid w:val="009C33C5"/>
    <w:rsid w:val="009C357E"/>
    <w:rsid w:val="009C54C9"/>
    <w:rsid w:val="009C59FB"/>
    <w:rsid w:val="009C5B3E"/>
    <w:rsid w:val="009C5F17"/>
    <w:rsid w:val="009C6109"/>
    <w:rsid w:val="009C6C56"/>
    <w:rsid w:val="009C6F3B"/>
    <w:rsid w:val="009C7380"/>
    <w:rsid w:val="009C7C5F"/>
    <w:rsid w:val="009D0105"/>
    <w:rsid w:val="009D0C56"/>
    <w:rsid w:val="009D1467"/>
    <w:rsid w:val="009D1B38"/>
    <w:rsid w:val="009D1B4B"/>
    <w:rsid w:val="009D1C06"/>
    <w:rsid w:val="009D2710"/>
    <w:rsid w:val="009D2AAD"/>
    <w:rsid w:val="009D328D"/>
    <w:rsid w:val="009D37E9"/>
    <w:rsid w:val="009D3AE9"/>
    <w:rsid w:val="009D3B99"/>
    <w:rsid w:val="009D3BA1"/>
    <w:rsid w:val="009D3D7E"/>
    <w:rsid w:val="009D485D"/>
    <w:rsid w:val="009D7587"/>
    <w:rsid w:val="009D7D39"/>
    <w:rsid w:val="009E0A24"/>
    <w:rsid w:val="009E19A5"/>
    <w:rsid w:val="009E2C03"/>
    <w:rsid w:val="009E3053"/>
    <w:rsid w:val="009E393B"/>
    <w:rsid w:val="009E3EBF"/>
    <w:rsid w:val="009E44FF"/>
    <w:rsid w:val="009E474C"/>
    <w:rsid w:val="009E4FA6"/>
    <w:rsid w:val="009E52A9"/>
    <w:rsid w:val="009E54ED"/>
    <w:rsid w:val="009E5BFF"/>
    <w:rsid w:val="009E5F85"/>
    <w:rsid w:val="009E6103"/>
    <w:rsid w:val="009E6272"/>
    <w:rsid w:val="009E66D8"/>
    <w:rsid w:val="009E68FA"/>
    <w:rsid w:val="009E6B87"/>
    <w:rsid w:val="009E76BC"/>
    <w:rsid w:val="009E76E5"/>
    <w:rsid w:val="009E77FF"/>
    <w:rsid w:val="009E7D4B"/>
    <w:rsid w:val="009E7D93"/>
    <w:rsid w:val="009F0B06"/>
    <w:rsid w:val="009F0B50"/>
    <w:rsid w:val="009F18C0"/>
    <w:rsid w:val="009F2BAD"/>
    <w:rsid w:val="009F3792"/>
    <w:rsid w:val="009F3A41"/>
    <w:rsid w:val="009F3C34"/>
    <w:rsid w:val="009F42D1"/>
    <w:rsid w:val="009F462C"/>
    <w:rsid w:val="009F5C33"/>
    <w:rsid w:val="009F5E3D"/>
    <w:rsid w:val="009F6290"/>
    <w:rsid w:val="009F72CC"/>
    <w:rsid w:val="009F7393"/>
    <w:rsid w:val="009F7539"/>
    <w:rsid w:val="009F757A"/>
    <w:rsid w:val="009F7648"/>
    <w:rsid w:val="009F7A40"/>
    <w:rsid w:val="009F7E50"/>
    <w:rsid w:val="00A011C3"/>
    <w:rsid w:val="00A01BC6"/>
    <w:rsid w:val="00A01FAF"/>
    <w:rsid w:val="00A026F0"/>
    <w:rsid w:val="00A02747"/>
    <w:rsid w:val="00A028A9"/>
    <w:rsid w:val="00A02E0E"/>
    <w:rsid w:val="00A03480"/>
    <w:rsid w:val="00A0387F"/>
    <w:rsid w:val="00A03EAC"/>
    <w:rsid w:val="00A04368"/>
    <w:rsid w:val="00A04D70"/>
    <w:rsid w:val="00A04DBB"/>
    <w:rsid w:val="00A04E91"/>
    <w:rsid w:val="00A05272"/>
    <w:rsid w:val="00A0551F"/>
    <w:rsid w:val="00A05655"/>
    <w:rsid w:val="00A057AA"/>
    <w:rsid w:val="00A05DE0"/>
    <w:rsid w:val="00A069EB"/>
    <w:rsid w:val="00A06D12"/>
    <w:rsid w:val="00A07384"/>
    <w:rsid w:val="00A074C1"/>
    <w:rsid w:val="00A07885"/>
    <w:rsid w:val="00A0798C"/>
    <w:rsid w:val="00A07E2C"/>
    <w:rsid w:val="00A07EA0"/>
    <w:rsid w:val="00A07F08"/>
    <w:rsid w:val="00A11CA6"/>
    <w:rsid w:val="00A11D93"/>
    <w:rsid w:val="00A11FBB"/>
    <w:rsid w:val="00A12A95"/>
    <w:rsid w:val="00A12CC5"/>
    <w:rsid w:val="00A138F6"/>
    <w:rsid w:val="00A13AF5"/>
    <w:rsid w:val="00A13CF0"/>
    <w:rsid w:val="00A13D0A"/>
    <w:rsid w:val="00A14D2F"/>
    <w:rsid w:val="00A16197"/>
    <w:rsid w:val="00A1626A"/>
    <w:rsid w:val="00A167AA"/>
    <w:rsid w:val="00A167AE"/>
    <w:rsid w:val="00A169AA"/>
    <w:rsid w:val="00A16AEF"/>
    <w:rsid w:val="00A173C6"/>
    <w:rsid w:val="00A200A2"/>
    <w:rsid w:val="00A20C49"/>
    <w:rsid w:val="00A21030"/>
    <w:rsid w:val="00A213EC"/>
    <w:rsid w:val="00A2189B"/>
    <w:rsid w:val="00A21C50"/>
    <w:rsid w:val="00A21E81"/>
    <w:rsid w:val="00A22777"/>
    <w:rsid w:val="00A22932"/>
    <w:rsid w:val="00A22946"/>
    <w:rsid w:val="00A2355E"/>
    <w:rsid w:val="00A2396C"/>
    <w:rsid w:val="00A23AD1"/>
    <w:rsid w:val="00A24CDF"/>
    <w:rsid w:val="00A24E01"/>
    <w:rsid w:val="00A24E93"/>
    <w:rsid w:val="00A257BB"/>
    <w:rsid w:val="00A25C3A"/>
    <w:rsid w:val="00A25D22"/>
    <w:rsid w:val="00A25E59"/>
    <w:rsid w:val="00A25E89"/>
    <w:rsid w:val="00A25EB7"/>
    <w:rsid w:val="00A25F2C"/>
    <w:rsid w:val="00A260A2"/>
    <w:rsid w:val="00A269CA"/>
    <w:rsid w:val="00A26AA0"/>
    <w:rsid w:val="00A27285"/>
    <w:rsid w:val="00A27AC5"/>
    <w:rsid w:val="00A302EB"/>
    <w:rsid w:val="00A30628"/>
    <w:rsid w:val="00A307A3"/>
    <w:rsid w:val="00A30943"/>
    <w:rsid w:val="00A3191C"/>
    <w:rsid w:val="00A3195F"/>
    <w:rsid w:val="00A32DD4"/>
    <w:rsid w:val="00A33366"/>
    <w:rsid w:val="00A336EE"/>
    <w:rsid w:val="00A33F46"/>
    <w:rsid w:val="00A3427E"/>
    <w:rsid w:val="00A346CF"/>
    <w:rsid w:val="00A34FD4"/>
    <w:rsid w:val="00A354E8"/>
    <w:rsid w:val="00A359AC"/>
    <w:rsid w:val="00A35D1A"/>
    <w:rsid w:val="00A37055"/>
    <w:rsid w:val="00A371BB"/>
    <w:rsid w:val="00A375C8"/>
    <w:rsid w:val="00A379D1"/>
    <w:rsid w:val="00A4069C"/>
    <w:rsid w:val="00A40F83"/>
    <w:rsid w:val="00A410FB"/>
    <w:rsid w:val="00A413F5"/>
    <w:rsid w:val="00A41413"/>
    <w:rsid w:val="00A418C7"/>
    <w:rsid w:val="00A41A42"/>
    <w:rsid w:val="00A42511"/>
    <w:rsid w:val="00A428E3"/>
    <w:rsid w:val="00A431E6"/>
    <w:rsid w:val="00A436E8"/>
    <w:rsid w:val="00A43EB1"/>
    <w:rsid w:val="00A43EC3"/>
    <w:rsid w:val="00A43FFF"/>
    <w:rsid w:val="00A446D1"/>
    <w:rsid w:val="00A447D9"/>
    <w:rsid w:val="00A45086"/>
    <w:rsid w:val="00A45FB1"/>
    <w:rsid w:val="00A46A0F"/>
    <w:rsid w:val="00A46CCC"/>
    <w:rsid w:val="00A46F2D"/>
    <w:rsid w:val="00A4777A"/>
    <w:rsid w:val="00A47996"/>
    <w:rsid w:val="00A50597"/>
    <w:rsid w:val="00A5120B"/>
    <w:rsid w:val="00A517BE"/>
    <w:rsid w:val="00A51CFE"/>
    <w:rsid w:val="00A51F33"/>
    <w:rsid w:val="00A5204D"/>
    <w:rsid w:val="00A52478"/>
    <w:rsid w:val="00A540EB"/>
    <w:rsid w:val="00A548BB"/>
    <w:rsid w:val="00A55172"/>
    <w:rsid w:val="00A55174"/>
    <w:rsid w:val="00A55A59"/>
    <w:rsid w:val="00A55CD7"/>
    <w:rsid w:val="00A55D29"/>
    <w:rsid w:val="00A56E77"/>
    <w:rsid w:val="00A57249"/>
    <w:rsid w:val="00A575BF"/>
    <w:rsid w:val="00A5782C"/>
    <w:rsid w:val="00A60471"/>
    <w:rsid w:val="00A60E1F"/>
    <w:rsid w:val="00A61222"/>
    <w:rsid w:val="00A61411"/>
    <w:rsid w:val="00A61605"/>
    <w:rsid w:val="00A61C72"/>
    <w:rsid w:val="00A61CC8"/>
    <w:rsid w:val="00A62223"/>
    <w:rsid w:val="00A6261B"/>
    <w:rsid w:val="00A62EA2"/>
    <w:rsid w:val="00A63056"/>
    <w:rsid w:val="00A63892"/>
    <w:rsid w:val="00A644A6"/>
    <w:rsid w:val="00A6460D"/>
    <w:rsid w:val="00A64FD3"/>
    <w:rsid w:val="00A65AF3"/>
    <w:rsid w:val="00A65B24"/>
    <w:rsid w:val="00A65CD7"/>
    <w:rsid w:val="00A65EE3"/>
    <w:rsid w:val="00A65F97"/>
    <w:rsid w:val="00A6684D"/>
    <w:rsid w:val="00A67066"/>
    <w:rsid w:val="00A67795"/>
    <w:rsid w:val="00A67AAC"/>
    <w:rsid w:val="00A67EB5"/>
    <w:rsid w:val="00A70AF9"/>
    <w:rsid w:val="00A70E4D"/>
    <w:rsid w:val="00A71444"/>
    <w:rsid w:val="00A71614"/>
    <w:rsid w:val="00A7182A"/>
    <w:rsid w:val="00A723BC"/>
    <w:rsid w:val="00A72CD8"/>
    <w:rsid w:val="00A733EE"/>
    <w:rsid w:val="00A73514"/>
    <w:rsid w:val="00A735DD"/>
    <w:rsid w:val="00A73B04"/>
    <w:rsid w:val="00A743D7"/>
    <w:rsid w:val="00A74AD0"/>
    <w:rsid w:val="00A74E1E"/>
    <w:rsid w:val="00A75001"/>
    <w:rsid w:val="00A75121"/>
    <w:rsid w:val="00A75C27"/>
    <w:rsid w:val="00A75DDD"/>
    <w:rsid w:val="00A76C13"/>
    <w:rsid w:val="00A76FF1"/>
    <w:rsid w:val="00A7728B"/>
    <w:rsid w:val="00A77346"/>
    <w:rsid w:val="00A801DC"/>
    <w:rsid w:val="00A8053D"/>
    <w:rsid w:val="00A8067D"/>
    <w:rsid w:val="00A80BCF"/>
    <w:rsid w:val="00A80DA8"/>
    <w:rsid w:val="00A812DE"/>
    <w:rsid w:val="00A8197A"/>
    <w:rsid w:val="00A8206D"/>
    <w:rsid w:val="00A8244B"/>
    <w:rsid w:val="00A82A86"/>
    <w:rsid w:val="00A83E7A"/>
    <w:rsid w:val="00A83EE9"/>
    <w:rsid w:val="00A83FC4"/>
    <w:rsid w:val="00A841F4"/>
    <w:rsid w:val="00A84D7F"/>
    <w:rsid w:val="00A84F60"/>
    <w:rsid w:val="00A84FD0"/>
    <w:rsid w:val="00A85130"/>
    <w:rsid w:val="00A85218"/>
    <w:rsid w:val="00A858BC"/>
    <w:rsid w:val="00A86162"/>
    <w:rsid w:val="00A865F0"/>
    <w:rsid w:val="00A86A1A"/>
    <w:rsid w:val="00A87099"/>
    <w:rsid w:val="00A90164"/>
    <w:rsid w:val="00A92A6B"/>
    <w:rsid w:val="00A92B08"/>
    <w:rsid w:val="00A92C41"/>
    <w:rsid w:val="00A92E79"/>
    <w:rsid w:val="00A9344F"/>
    <w:rsid w:val="00A943EC"/>
    <w:rsid w:val="00A94893"/>
    <w:rsid w:val="00A948D3"/>
    <w:rsid w:val="00A949BA"/>
    <w:rsid w:val="00A950B6"/>
    <w:rsid w:val="00A95D45"/>
    <w:rsid w:val="00A95E01"/>
    <w:rsid w:val="00A9659F"/>
    <w:rsid w:val="00A968CD"/>
    <w:rsid w:val="00A96A24"/>
    <w:rsid w:val="00A96CFD"/>
    <w:rsid w:val="00AA0625"/>
    <w:rsid w:val="00AA0745"/>
    <w:rsid w:val="00AA0840"/>
    <w:rsid w:val="00AA09A7"/>
    <w:rsid w:val="00AA0ADA"/>
    <w:rsid w:val="00AA0ED1"/>
    <w:rsid w:val="00AA19D4"/>
    <w:rsid w:val="00AA1BAB"/>
    <w:rsid w:val="00AA2757"/>
    <w:rsid w:val="00AA3C85"/>
    <w:rsid w:val="00AA3EA8"/>
    <w:rsid w:val="00AA426F"/>
    <w:rsid w:val="00AA494C"/>
    <w:rsid w:val="00AA56E5"/>
    <w:rsid w:val="00AA62AA"/>
    <w:rsid w:val="00AA63A3"/>
    <w:rsid w:val="00AA6659"/>
    <w:rsid w:val="00AB0241"/>
    <w:rsid w:val="00AB1004"/>
    <w:rsid w:val="00AB1189"/>
    <w:rsid w:val="00AB14EF"/>
    <w:rsid w:val="00AB1A48"/>
    <w:rsid w:val="00AB2112"/>
    <w:rsid w:val="00AB25CF"/>
    <w:rsid w:val="00AB29B9"/>
    <w:rsid w:val="00AB41C1"/>
    <w:rsid w:val="00AB4452"/>
    <w:rsid w:val="00AB4AD3"/>
    <w:rsid w:val="00AB4BCF"/>
    <w:rsid w:val="00AB4BFF"/>
    <w:rsid w:val="00AB4CF2"/>
    <w:rsid w:val="00AB4E37"/>
    <w:rsid w:val="00AB5355"/>
    <w:rsid w:val="00AB53A2"/>
    <w:rsid w:val="00AB556E"/>
    <w:rsid w:val="00AB5C0E"/>
    <w:rsid w:val="00AB67A6"/>
    <w:rsid w:val="00AB693F"/>
    <w:rsid w:val="00AB6CCA"/>
    <w:rsid w:val="00AB7C37"/>
    <w:rsid w:val="00AC0129"/>
    <w:rsid w:val="00AC0F40"/>
    <w:rsid w:val="00AC16A6"/>
    <w:rsid w:val="00AC223F"/>
    <w:rsid w:val="00AC23BB"/>
    <w:rsid w:val="00AC2A1E"/>
    <w:rsid w:val="00AC2F7C"/>
    <w:rsid w:val="00AC33B1"/>
    <w:rsid w:val="00AC37A1"/>
    <w:rsid w:val="00AC424C"/>
    <w:rsid w:val="00AC4BC8"/>
    <w:rsid w:val="00AC4F1D"/>
    <w:rsid w:val="00AC533A"/>
    <w:rsid w:val="00AC5D0D"/>
    <w:rsid w:val="00AC6E71"/>
    <w:rsid w:val="00AC7ACF"/>
    <w:rsid w:val="00AC7D76"/>
    <w:rsid w:val="00AD0BC4"/>
    <w:rsid w:val="00AD109C"/>
    <w:rsid w:val="00AD12A8"/>
    <w:rsid w:val="00AD1A5F"/>
    <w:rsid w:val="00AD2078"/>
    <w:rsid w:val="00AD27FF"/>
    <w:rsid w:val="00AD2ACF"/>
    <w:rsid w:val="00AD2C13"/>
    <w:rsid w:val="00AD320A"/>
    <w:rsid w:val="00AD41C8"/>
    <w:rsid w:val="00AD41E3"/>
    <w:rsid w:val="00AD48F3"/>
    <w:rsid w:val="00AD4C26"/>
    <w:rsid w:val="00AD4DEB"/>
    <w:rsid w:val="00AD4F5C"/>
    <w:rsid w:val="00AD59F5"/>
    <w:rsid w:val="00AD715D"/>
    <w:rsid w:val="00AD727B"/>
    <w:rsid w:val="00AD75AB"/>
    <w:rsid w:val="00AD771D"/>
    <w:rsid w:val="00AD7D0B"/>
    <w:rsid w:val="00AE023F"/>
    <w:rsid w:val="00AE13E7"/>
    <w:rsid w:val="00AE21A1"/>
    <w:rsid w:val="00AE22F3"/>
    <w:rsid w:val="00AE27D0"/>
    <w:rsid w:val="00AE2863"/>
    <w:rsid w:val="00AE2B69"/>
    <w:rsid w:val="00AE2FBD"/>
    <w:rsid w:val="00AE325D"/>
    <w:rsid w:val="00AE3665"/>
    <w:rsid w:val="00AE3C28"/>
    <w:rsid w:val="00AE4CF3"/>
    <w:rsid w:val="00AE4D18"/>
    <w:rsid w:val="00AE4F71"/>
    <w:rsid w:val="00AE54F4"/>
    <w:rsid w:val="00AE5B9A"/>
    <w:rsid w:val="00AE6127"/>
    <w:rsid w:val="00AE6309"/>
    <w:rsid w:val="00AE69B0"/>
    <w:rsid w:val="00AE69B3"/>
    <w:rsid w:val="00AE6A41"/>
    <w:rsid w:val="00AE78D1"/>
    <w:rsid w:val="00AF2790"/>
    <w:rsid w:val="00AF3577"/>
    <w:rsid w:val="00AF35F9"/>
    <w:rsid w:val="00AF3951"/>
    <w:rsid w:val="00AF3F44"/>
    <w:rsid w:val="00AF4633"/>
    <w:rsid w:val="00AF53B3"/>
    <w:rsid w:val="00AF564D"/>
    <w:rsid w:val="00AF6427"/>
    <w:rsid w:val="00AF7968"/>
    <w:rsid w:val="00AF7A60"/>
    <w:rsid w:val="00AF7DD8"/>
    <w:rsid w:val="00AF7E88"/>
    <w:rsid w:val="00AF7F4D"/>
    <w:rsid w:val="00B005E0"/>
    <w:rsid w:val="00B01659"/>
    <w:rsid w:val="00B019A6"/>
    <w:rsid w:val="00B02020"/>
    <w:rsid w:val="00B02914"/>
    <w:rsid w:val="00B03963"/>
    <w:rsid w:val="00B0424C"/>
    <w:rsid w:val="00B059FB"/>
    <w:rsid w:val="00B05AC3"/>
    <w:rsid w:val="00B05C7D"/>
    <w:rsid w:val="00B066B8"/>
    <w:rsid w:val="00B06A5A"/>
    <w:rsid w:val="00B0708E"/>
    <w:rsid w:val="00B0712B"/>
    <w:rsid w:val="00B0752C"/>
    <w:rsid w:val="00B07AD8"/>
    <w:rsid w:val="00B07CD4"/>
    <w:rsid w:val="00B07DA3"/>
    <w:rsid w:val="00B101C0"/>
    <w:rsid w:val="00B10284"/>
    <w:rsid w:val="00B102E1"/>
    <w:rsid w:val="00B10A58"/>
    <w:rsid w:val="00B1116F"/>
    <w:rsid w:val="00B1123F"/>
    <w:rsid w:val="00B112CF"/>
    <w:rsid w:val="00B1165F"/>
    <w:rsid w:val="00B11A42"/>
    <w:rsid w:val="00B11B83"/>
    <w:rsid w:val="00B11E90"/>
    <w:rsid w:val="00B120FB"/>
    <w:rsid w:val="00B12235"/>
    <w:rsid w:val="00B128BB"/>
    <w:rsid w:val="00B12949"/>
    <w:rsid w:val="00B12DAA"/>
    <w:rsid w:val="00B13CE1"/>
    <w:rsid w:val="00B141C1"/>
    <w:rsid w:val="00B152B2"/>
    <w:rsid w:val="00B1548F"/>
    <w:rsid w:val="00B159A4"/>
    <w:rsid w:val="00B15A7F"/>
    <w:rsid w:val="00B15D57"/>
    <w:rsid w:val="00B15F86"/>
    <w:rsid w:val="00B16347"/>
    <w:rsid w:val="00B168C6"/>
    <w:rsid w:val="00B16ABA"/>
    <w:rsid w:val="00B17B12"/>
    <w:rsid w:val="00B17D6E"/>
    <w:rsid w:val="00B200A9"/>
    <w:rsid w:val="00B2018E"/>
    <w:rsid w:val="00B20E2B"/>
    <w:rsid w:val="00B20F09"/>
    <w:rsid w:val="00B21135"/>
    <w:rsid w:val="00B21AAB"/>
    <w:rsid w:val="00B22284"/>
    <w:rsid w:val="00B2435E"/>
    <w:rsid w:val="00B2449B"/>
    <w:rsid w:val="00B25062"/>
    <w:rsid w:val="00B2506C"/>
    <w:rsid w:val="00B258A4"/>
    <w:rsid w:val="00B26A09"/>
    <w:rsid w:val="00B26ECA"/>
    <w:rsid w:val="00B26FB2"/>
    <w:rsid w:val="00B27457"/>
    <w:rsid w:val="00B276E5"/>
    <w:rsid w:val="00B27CE9"/>
    <w:rsid w:val="00B27DA8"/>
    <w:rsid w:val="00B3084B"/>
    <w:rsid w:val="00B30E78"/>
    <w:rsid w:val="00B315B0"/>
    <w:rsid w:val="00B316C1"/>
    <w:rsid w:val="00B3226F"/>
    <w:rsid w:val="00B32860"/>
    <w:rsid w:val="00B32D27"/>
    <w:rsid w:val="00B346C3"/>
    <w:rsid w:val="00B34992"/>
    <w:rsid w:val="00B34F23"/>
    <w:rsid w:val="00B35CC2"/>
    <w:rsid w:val="00B36464"/>
    <w:rsid w:val="00B36B00"/>
    <w:rsid w:val="00B36D28"/>
    <w:rsid w:val="00B36D33"/>
    <w:rsid w:val="00B36DDD"/>
    <w:rsid w:val="00B375DB"/>
    <w:rsid w:val="00B37C14"/>
    <w:rsid w:val="00B4005C"/>
    <w:rsid w:val="00B40A4E"/>
    <w:rsid w:val="00B4227E"/>
    <w:rsid w:val="00B42D6E"/>
    <w:rsid w:val="00B42E7C"/>
    <w:rsid w:val="00B439FA"/>
    <w:rsid w:val="00B441A0"/>
    <w:rsid w:val="00B4471C"/>
    <w:rsid w:val="00B449BA"/>
    <w:rsid w:val="00B451A6"/>
    <w:rsid w:val="00B453E4"/>
    <w:rsid w:val="00B4613B"/>
    <w:rsid w:val="00B462CB"/>
    <w:rsid w:val="00B46A57"/>
    <w:rsid w:val="00B46B15"/>
    <w:rsid w:val="00B47227"/>
    <w:rsid w:val="00B472B7"/>
    <w:rsid w:val="00B474E9"/>
    <w:rsid w:val="00B47A41"/>
    <w:rsid w:val="00B47FFD"/>
    <w:rsid w:val="00B50112"/>
    <w:rsid w:val="00B502EB"/>
    <w:rsid w:val="00B50637"/>
    <w:rsid w:val="00B525BD"/>
    <w:rsid w:val="00B529D3"/>
    <w:rsid w:val="00B535D5"/>
    <w:rsid w:val="00B53862"/>
    <w:rsid w:val="00B53AD7"/>
    <w:rsid w:val="00B53E2F"/>
    <w:rsid w:val="00B54368"/>
    <w:rsid w:val="00B54C28"/>
    <w:rsid w:val="00B556D9"/>
    <w:rsid w:val="00B55E11"/>
    <w:rsid w:val="00B55F7D"/>
    <w:rsid w:val="00B5610F"/>
    <w:rsid w:val="00B56D6E"/>
    <w:rsid w:val="00B57259"/>
    <w:rsid w:val="00B6186F"/>
    <w:rsid w:val="00B63FE6"/>
    <w:rsid w:val="00B64347"/>
    <w:rsid w:val="00B64388"/>
    <w:rsid w:val="00B65102"/>
    <w:rsid w:val="00B659FF"/>
    <w:rsid w:val="00B65DC6"/>
    <w:rsid w:val="00B65DD6"/>
    <w:rsid w:val="00B6604C"/>
    <w:rsid w:val="00B66939"/>
    <w:rsid w:val="00B67AC2"/>
    <w:rsid w:val="00B67C97"/>
    <w:rsid w:val="00B704A4"/>
    <w:rsid w:val="00B70589"/>
    <w:rsid w:val="00B70B14"/>
    <w:rsid w:val="00B70E0D"/>
    <w:rsid w:val="00B71CB1"/>
    <w:rsid w:val="00B721B7"/>
    <w:rsid w:val="00B722DE"/>
    <w:rsid w:val="00B7233C"/>
    <w:rsid w:val="00B72C63"/>
    <w:rsid w:val="00B730AD"/>
    <w:rsid w:val="00B73363"/>
    <w:rsid w:val="00B73D7A"/>
    <w:rsid w:val="00B74613"/>
    <w:rsid w:val="00B7476B"/>
    <w:rsid w:val="00B747C0"/>
    <w:rsid w:val="00B74BDA"/>
    <w:rsid w:val="00B751E3"/>
    <w:rsid w:val="00B756CE"/>
    <w:rsid w:val="00B75BA6"/>
    <w:rsid w:val="00B76389"/>
    <w:rsid w:val="00B767D9"/>
    <w:rsid w:val="00B76C44"/>
    <w:rsid w:val="00B76D83"/>
    <w:rsid w:val="00B76E1A"/>
    <w:rsid w:val="00B7768C"/>
    <w:rsid w:val="00B77705"/>
    <w:rsid w:val="00B77A1F"/>
    <w:rsid w:val="00B77BDE"/>
    <w:rsid w:val="00B81408"/>
    <w:rsid w:val="00B8170F"/>
    <w:rsid w:val="00B8184A"/>
    <w:rsid w:val="00B82283"/>
    <w:rsid w:val="00B822DF"/>
    <w:rsid w:val="00B823E8"/>
    <w:rsid w:val="00B82688"/>
    <w:rsid w:val="00B828D8"/>
    <w:rsid w:val="00B82C98"/>
    <w:rsid w:val="00B82F92"/>
    <w:rsid w:val="00B838E0"/>
    <w:rsid w:val="00B83F2B"/>
    <w:rsid w:val="00B83F87"/>
    <w:rsid w:val="00B8427A"/>
    <w:rsid w:val="00B84430"/>
    <w:rsid w:val="00B84A10"/>
    <w:rsid w:val="00B84D71"/>
    <w:rsid w:val="00B850A8"/>
    <w:rsid w:val="00B852B9"/>
    <w:rsid w:val="00B8559B"/>
    <w:rsid w:val="00B85CC5"/>
    <w:rsid w:val="00B87215"/>
    <w:rsid w:val="00B87357"/>
    <w:rsid w:val="00B876A6"/>
    <w:rsid w:val="00B8787D"/>
    <w:rsid w:val="00B87CDC"/>
    <w:rsid w:val="00B910C1"/>
    <w:rsid w:val="00B91428"/>
    <w:rsid w:val="00B9261D"/>
    <w:rsid w:val="00B94252"/>
    <w:rsid w:val="00B9427F"/>
    <w:rsid w:val="00B94D8E"/>
    <w:rsid w:val="00B94F8B"/>
    <w:rsid w:val="00B95445"/>
    <w:rsid w:val="00B954D8"/>
    <w:rsid w:val="00B9647D"/>
    <w:rsid w:val="00B9650B"/>
    <w:rsid w:val="00B9653F"/>
    <w:rsid w:val="00B967E4"/>
    <w:rsid w:val="00B975BF"/>
    <w:rsid w:val="00BA0AA8"/>
    <w:rsid w:val="00BA0BE3"/>
    <w:rsid w:val="00BA0E05"/>
    <w:rsid w:val="00BA19CC"/>
    <w:rsid w:val="00BA1AE3"/>
    <w:rsid w:val="00BA1D82"/>
    <w:rsid w:val="00BA1D9D"/>
    <w:rsid w:val="00BA2C64"/>
    <w:rsid w:val="00BA2CA4"/>
    <w:rsid w:val="00BA2DBB"/>
    <w:rsid w:val="00BA2EFA"/>
    <w:rsid w:val="00BA31DB"/>
    <w:rsid w:val="00BA364D"/>
    <w:rsid w:val="00BA3CC4"/>
    <w:rsid w:val="00BA3DBC"/>
    <w:rsid w:val="00BA4290"/>
    <w:rsid w:val="00BA4487"/>
    <w:rsid w:val="00BA4E9E"/>
    <w:rsid w:val="00BA5790"/>
    <w:rsid w:val="00BA5A56"/>
    <w:rsid w:val="00BA61BD"/>
    <w:rsid w:val="00BA6E53"/>
    <w:rsid w:val="00BA6FE9"/>
    <w:rsid w:val="00BA707A"/>
    <w:rsid w:val="00BA709C"/>
    <w:rsid w:val="00BA76FB"/>
    <w:rsid w:val="00BA7FDD"/>
    <w:rsid w:val="00BB0937"/>
    <w:rsid w:val="00BB0D61"/>
    <w:rsid w:val="00BB18B1"/>
    <w:rsid w:val="00BB191A"/>
    <w:rsid w:val="00BB19D9"/>
    <w:rsid w:val="00BB1AFB"/>
    <w:rsid w:val="00BB2275"/>
    <w:rsid w:val="00BB27AE"/>
    <w:rsid w:val="00BB2DA2"/>
    <w:rsid w:val="00BB3C4D"/>
    <w:rsid w:val="00BB40A6"/>
    <w:rsid w:val="00BB5138"/>
    <w:rsid w:val="00BB56DC"/>
    <w:rsid w:val="00BB6274"/>
    <w:rsid w:val="00BB6A2A"/>
    <w:rsid w:val="00BB6CCA"/>
    <w:rsid w:val="00BB761C"/>
    <w:rsid w:val="00BB791D"/>
    <w:rsid w:val="00BC02F0"/>
    <w:rsid w:val="00BC1074"/>
    <w:rsid w:val="00BC13A5"/>
    <w:rsid w:val="00BC149F"/>
    <w:rsid w:val="00BC1F5B"/>
    <w:rsid w:val="00BC2254"/>
    <w:rsid w:val="00BC2E5D"/>
    <w:rsid w:val="00BC3D44"/>
    <w:rsid w:val="00BC45C6"/>
    <w:rsid w:val="00BC54C2"/>
    <w:rsid w:val="00BC5EDB"/>
    <w:rsid w:val="00BC6352"/>
    <w:rsid w:val="00BC69C2"/>
    <w:rsid w:val="00BC6A8E"/>
    <w:rsid w:val="00BC714B"/>
    <w:rsid w:val="00BC75EB"/>
    <w:rsid w:val="00BC75F4"/>
    <w:rsid w:val="00BC7C70"/>
    <w:rsid w:val="00BD047E"/>
    <w:rsid w:val="00BD05CA"/>
    <w:rsid w:val="00BD0848"/>
    <w:rsid w:val="00BD1386"/>
    <w:rsid w:val="00BD15CD"/>
    <w:rsid w:val="00BD20F9"/>
    <w:rsid w:val="00BD301C"/>
    <w:rsid w:val="00BD3D43"/>
    <w:rsid w:val="00BD407E"/>
    <w:rsid w:val="00BD4272"/>
    <w:rsid w:val="00BD4555"/>
    <w:rsid w:val="00BD51FC"/>
    <w:rsid w:val="00BD5A5A"/>
    <w:rsid w:val="00BD5ADF"/>
    <w:rsid w:val="00BD5C1E"/>
    <w:rsid w:val="00BD6118"/>
    <w:rsid w:val="00BE019D"/>
    <w:rsid w:val="00BE03A7"/>
    <w:rsid w:val="00BE08B5"/>
    <w:rsid w:val="00BE183D"/>
    <w:rsid w:val="00BE1C7E"/>
    <w:rsid w:val="00BE1DC5"/>
    <w:rsid w:val="00BE21FD"/>
    <w:rsid w:val="00BE2654"/>
    <w:rsid w:val="00BE2933"/>
    <w:rsid w:val="00BE2C46"/>
    <w:rsid w:val="00BE2EC8"/>
    <w:rsid w:val="00BE33BF"/>
    <w:rsid w:val="00BE3F86"/>
    <w:rsid w:val="00BE480D"/>
    <w:rsid w:val="00BE4B26"/>
    <w:rsid w:val="00BE58F5"/>
    <w:rsid w:val="00BE5BE0"/>
    <w:rsid w:val="00BE646F"/>
    <w:rsid w:val="00BE69E4"/>
    <w:rsid w:val="00BE703C"/>
    <w:rsid w:val="00BE777C"/>
    <w:rsid w:val="00BF0647"/>
    <w:rsid w:val="00BF08A7"/>
    <w:rsid w:val="00BF1548"/>
    <w:rsid w:val="00BF16FB"/>
    <w:rsid w:val="00BF218D"/>
    <w:rsid w:val="00BF23E6"/>
    <w:rsid w:val="00BF24C2"/>
    <w:rsid w:val="00BF2922"/>
    <w:rsid w:val="00BF2B29"/>
    <w:rsid w:val="00BF2C25"/>
    <w:rsid w:val="00BF2F69"/>
    <w:rsid w:val="00BF3295"/>
    <w:rsid w:val="00BF34AC"/>
    <w:rsid w:val="00BF37F7"/>
    <w:rsid w:val="00BF3BCD"/>
    <w:rsid w:val="00BF3C6F"/>
    <w:rsid w:val="00BF3DAD"/>
    <w:rsid w:val="00BF4211"/>
    <w:rsid w:val="00BF4C60"/>
    <w:rsid w:val="00BF5B1F"/>
    <w:rsid w:val="00BF5C1C"/>
    <w:rsid w:val="00BF5D7A"/>
    <w:rsid w:val="00BF6A62"/>
    <w:rsid w:val="00BF6D7E"/>
    <w:rsid w:val="00BF6F76"/>
    <w:rsid w:val="00BF7A51"/>
    <w:rsid w:val="00C007A6"/>
    <w:rsid w:val="00C00A5F"/>
    <w:rsid w:val="00C00F13"/>
    <w:rsid w:val="00C0124A"/>
    <w:rsid w:val="00C01470"/>
    <w:rsid w:val="00C0160D"/>
    <w:rsid w:val="00C0172C"/>
    <w:rsid w:val="00C0177B"/>
    <w:rsid w:val="00C01C2E"/>
    <w:rsid w:val="00C0299B"/>
    <w:rsid w:val="00C02A2F"/>
    <w:rsid w:val="00C02D33"/>
    <w:rsid w:val="00C03058"/>
    <w:rsid w:val="00C0378E"/>
    <w:rsid w:val="00C04A5B"/>
    <w:rsid w:val="00C04B53"/>
    <w:rsid w:val="00C051DE"/>
    <w:rsid w:val="00C05453"/>
    <w:rsid w:val="00C05BA7"/>
    <w:rsid w:val="00C06093"/>
    <w:rsid w:val="00C063B4"/>
    <w:rsid w:val="00C06694"/>
    <w:rsid w:val="00C06849"/>
    <w:rsid w:val="00C06866"/>
    <w:rsid w:val="00C069CA"/>
    <w:rsid w:val="00C06BF3"/>
    <w:rsid w:val="00C07552"/>
    <w:rsid w:val="00C07640"/>
    <w:rsid w:val="00C07DC8"/>
    <w:rsid w:val="00C102D8"/>
    <w:rsid w:val="00C1053A"/>
    <w:rsid w:val="00C10E1A"/>
    <w:rsid w:val="00C1232C"/>
    <w:rsid w:val="00C134DF"/>
    <w:rsid w:val="00C13C52"/>
    <w:rsid w:val="00C13CAA"/>
    <w:rsid w:val="00C14625"/>
    <w:rsid w:val="00C14845"/>
    <w:rsid w:val="00C14C7D"/>
    <w:rsid w:val="00C15363"/>
    <w:rsid w:val="00C1656E"/>
    <w:rsid w:val="00C1724A"/>
    <w:rsid w:val="00C17844"/>
    <w:rsid w:val="00C17E0E"/>
    <w:rsid w:val="00C17F42"/>
    <w:rsid w:val="00C2165A"/>
    <w:rsid w:val="00C222EB"/>
    <w:rsid w:val="00C22840"/>
    <w:rsid w:val="00C22A1C"/>
    <w:rsid w:val="00C22B2C"/>
    <w:rsid w:val="00C22C23"/>
    <w:rsid w:val="00C237C3"/>
    <w:rsid w:val="00C23DDC"/>
    <w:rsid w:val="00C2408B"/>
    <w:rsid w:val="00C24419"/>
    <w:rsid w:val="00C245A9"/>
    <w:rsid w:val="00C25B2D"/>
    <w:rsid w:val="00C26143"/>
    <w:rsid w:val="00C26B6D"/>
    <w:rsid w:val="00C274B9"/>
    <w:rsid w:val="00C27528"/>
    <w:rsid w:val="00C27C6B"/>
    <w:rsid w:val="00C3026C"/>
    <w:rsid w:val="00C3070C"/>
    <w:rsid w:val="00C30971"/>
    <w:rsid w:val="00C315D7"/>
    <w:rsid w:val="00C32CDD"/>
    <w:rsid w:val="00C332A5"/>
    <w:rsid w:val="00C33756"/>
    <w:rsid w:val="00C33B17"/>
    <w:rsid w:val="00C34A81"/>
    <w:rsid w:val="00C35339"/>
    <w:rsid w:val="00C355C2"/>
    <w:rsid w:val="00C358AC"/>
    <w:rsid w:val="00C3594D"/>
    <w:rsid w:val="00C35B61"/>
    <w:rsid w:val="00C36170"/>
    <w:rsid w:val="00C36442"/>
    <w:rsid w:val="00C3644E"/>
    <w:rsid w:val="00C36D10"/>
    <w:rsid w:val="00C36FEC"/>
    <w:rsid w:val="00C37E2F"/>
    <w:rsid w:val="00C37FE5"/>
    <w:rsid w:val="00C400CE"/>
    <w:rsid w:val="00C40332"/>
    <w:rsid w:val="00C40596"/>
    <w:rsid w:val="00C405D3"/>
    <w:rsid w:val="00C407DA"/>
    <w:rsid w:val="00C40CD7"/>
    <w:rsid w:val="00C410FD"/>
    <w:rsid w:val="00C41957"/>
    <w:rsid w:val="00C427CB"/>
    <w:rsid w:val="00C42B47"/>
    <w:rsid w:val="00C42CD8"/>
    <w:rsid w:val="00C4333A"/>
    <w:rsid w:val="00C444F1"/>
    <w:rsid w:val="00C44970"/>
    <w:rsid w:val="00C449CA"/>
    <w:rsid w:val="00C457DE"/>
    <w:rsid w:val="00C45878"/>
    <w:rsid w:val="00C459AA"/>
    <w:rsid w:val="00C45D9C"/>
    <w:rsid w:val="00C45F38"/>
    <w:rsid w:val="00C46219"/>
    <w:rsid w:val="00C46DF6"/>
    <w:rsid w:val="00C46FEE"/>
    <w:rsid w:val="00C47DD3"/>
    <w:rsid w:val="00C50396"/>
    <w:rsid w:val="00C50608"/>
    <w:rsid w:val="00C50971"/>
    <w:rsid w:val="00C50A59"/>
    <w:rsid w:val="00C51A8D"/>
    <w:rsid w:val="00C51AF8"/>
    <w:rsid w:val="00C51BD2"/>
    <w:rsid w:val="00C52CF3"/>
    <w:rsid w:val="00C5316F"/>
    <w:rsid w:val="00C53418"/>
    <w:rsid w:val="00C53503"/>
    <w:rsid w:val="00C53562"/>
    <w:rsid w:val="00C539FB"/>
    <w:rsid w:val="00C546F8"/>
    <w:rsid w:val="00C5655E"/>
    <w:rsid w:val="00C565EF"/>
    <w:rsid w:val="00C56F3F"/>
    <w:rsid w:val="00C57F20"/>
    <w:rsid w:val="00C6028E"/>
    <w:rsid w:val="00C60D3A"/>
    <w:rsid w:val="00C61138"/>
    <w:rsid w:val="00C61EA6"/>
    <w:rsid w:val="00C624D7"/>
    <w:rsid w:val="00C62BC0"/>
    <w:rsid w:val="00C630D5"/>
    <w:rsid w:val="00C63DDA"/>
    <w:rsid w:val="00C63EBB"/>
    <w:rsid w:val="00C64F17"/>
    <w:rsid w:val="00C652A3"/>
    <w:rsid w:val="00C65465"/>
    <w:rsid w:val="00C657CE"/>
    <w:rsid w:val="00C65C0E"/>
    <w:rsid w:val="00C6620E"/>
    <w:rsid w:val="00C666EA"/>
    <w:rsid w:val="00C66AA3"/>
    <w:rsid w:val="00C66E57"/>
    <w:rsid w:val="00C67C52"/>
    <w:rsid w:val="00C67E52"/>
    <w:rsid w:val="00C7036A"/>
    <w:rsid w:val="00C70746"/>
    <w:rsid w:val="00C70898"/>
    <w:rsid w:val="00C71AF8"/>
    <w:rsid w:val="00C724D7"/>
    <w:rsid w:val="00C735E6"/>
    <w:rsid w:val="00C74150"/>
    <w:rsid w:val="00C75594"/>
    <w:rsid w:val="00C756CA"/>
    <w:rsid w:val="00C757B6"/>
    <w:rsid w:val="00C75BB1"/>
    <w:rsid w:val="00C75EB2"/>
    <w:rsid w:val="00C762CF"/>
    <w:rsid w:val="00C76D2A"/>
    <w:rsid w:val="00C77197"/>
    <w:rsid w:val="00C80084"/>
    <w:rsid w:val="00C809A4"/>
    <w:rsid w:val="00C8196A"/>
    <w:rsid w:val="00C8256C"/>
    <w:rsid w:val="00C82D18"/>
    <w:rsid w:val="00C82D68"/>
    <w:rsid w:val="00C83733"/>
    <w:rsid w:val="00C839C2"/>
    <w:rsid w:val="00C83CFC"/>
    <w:rsid w:val="00C844D1"/>
    <w:rsid w:val="00C844EC"/>
    <w:rsid w:val="00C85982"/>
    <w:rsid w:val="00C85DC2"/>
    <w:rsid w:val="00C864BA"/>
    <w:rsid w:val="00C8651A"/>
    <w:rsid w:val="00C8667F"/>
    <w:rsid w:val="00C86864"/>
    <w:rsid w:val="00C86E1D"/>
    <w:rsid w:val="00C86F2D"/>
    <w:rsid w:val="00C8739D"/>
    <w:rsid w:val="00C87C98"/>
    <w:rsid w:val="00C90181"/>
    <w:rsid w:val="00C90C0F"/>
    <w:rsid w:val="00C91B68"/>
    <w:rsid w:val="00C91CBE"/>
    <w:rsid w:val="00C91E43"/>
    <w:rsid w:val="00C92BB0"/>
    <w:rsid w:val="00C92E53"/>
    <w:rsid w:val="00C932EC"/>
    <w:rsid w:val="00C93761"/>
    <w:rsid w:val="00C93DA7"/>
    <w:rsid w:val="00C94A12"/>
    <w:rsid w:val="00C94C54"/>
    <w:rsid w:val="00C95964"/>
    <w:rsid w:val="00C95B63"/>
    <w:rsid w:val="00C96224"/>
    <w:rsid w:val="00C9673B"/>
    <w:rsid w:val="00C96CCB"/>
    <w:rsid w:val="00C9757C"/>
    <w:rsid w:val="00CA0234"/>
    <w:rsid w:val="00CA037E"/>
    <w:rsid w:val="00CA0466"/>
    <w:rsid w:val="00CA246D"/>
    <w:rsid w:val="00CA2ED6"/>
    <w:rsid w:val="00CA38AA"/>
    <w:rsid w:val="00CA3984"/>
    <w:rsid w:val="00CA3ED9"/>
    <w:rsid w:val="00CA42BB"/>
    <w:rsid w:val="00CA469B"/>
    <w:rsid w:val="00CA4D85"/>
    <w:rsid w:val="00CA50D9"/>
    <w:rsid w:val="00CA6321"/>
    <w:rsid w:val="00CA720A"/>
    <w:rsid w:val="00CA7B3C"/>
    <w:rsid w:val="00CB0568"/>
    <w:rsid w:val="00CB0F55"/>
    <w:rsid w:val="00CB113D"/>
    <w:rsid w:val="00CB1646"/>
    <w:rsid w:val="00CB16C9"/>
    <w:rsid w:val="00CB1AD8"/>
    <w:rsid w:val="00CB23FB"/>
    <w:rsid w:val="00CB274B"/>
    <w:rsid w:val="00CB2956"/>
    <w:rsid w:val="00CB3054"/>
    <w:rsid w:val="00CB3549"/>
    <w:rsid w:val="00CB4FB4"/>
    <w:rsid w:val="00CB5636"/>
    <w:rsid w:val="00CB5F30"/>
    <w:rsid w:val="00CB6296"/>
    <w:rsid w:val="00CB73A3"/>
    <w:rsid w:val="00CB76FB"/>
    <w:rsid w:val="00CB78DB"/>
    <w:rsid w:val="00CB7993"/>
    <w:rsid w:val="00CB7CBE"/>
    <w:rsid w:val="00CC0B7F"/>
    <w:rsid w:val="00CC235C"/>
    <w:rsid w:val="00CC2530"/>
    <w:rsid w:val="00CC2C8C"/>
    <w:rsid w:val="00CC2CDD"/>
    <w:rsid w:val="00CC2DEB"/>
    <w:rsid w:val="00CC3EE5"/>
    <w:rsid w:val="00CC434A"/>
    <w:rsid w:val="00CC5601"/>
    <w:rsid w:val="00CC5757"/>
    <w:rsid w:val="00CC605A"/>
    <w:rsid w:val="00CC60E5"/>
    <w:rsid w:val="00CC63D6"/>
    <w:rsid w:val="00CC6E3A"/>
    <w:rsid w:val="00CC6E47"/>
    <w:rsid w:val="00CC72CD"/>
    <w:rsid w:val="00CC75DA"/>
    <w:rsid w:val="00CD041F"/>
    <w:rsid w:val="00CD063D"/>
    <w:rsid w:val="00CD11B7"/>
    <w:rsid w:val="00CD1346"/>
    <w:rsid w:val="00CD147B"/>
    <w:rsid w:val="00CD1654"/>
    <w:rsid w:val="00CD1B3F"/>
    <w:rsid w:val="00CD2352"/>
    <w:rsid w:val="00CD2A7C"/>
    <w:rsid w:val="00CD48AC"/>
    <w:rsid w:val="00CD5448"/>
    <w:rsid w:val="00CD5D93"/>
    <w:rsid w:val="00CD5E44"/>
    <w:rsid w:val="00CD6A80"/>
    <w:rsid w:val="00CD6B3A"/>
    <w:rsid w:val="00CD6BA2"/>
    <w:rsid w:val="00CD7E8A"/>
    <w:rsid w:val="00CE1F83"/>
    <w:rsid w:val="00CE2134"/>
    <w:rsid w:val="00CE270D"/>
    <w:rsid w:val="00CE2874"/>
    <w:rsid w:val="00CE2B9F"/>
    <w:rsid w:val="00CE325B"/>
    <w:rsid w:val="00CE3272"/>
    <w:rsid w:val="00CE425C"/>
    <w:rsid w:val="00CE4582"/>
    <w:rsid w:val="00CE4715"/>
    <w:rsid w:val="00CE5054"/>
    <w:rsid w:val="00CE58AC"/>
    <w:rsid w:val="00CE68B4"/>
    <w:rsid w:val="00CE6A0A"/>
    <w:rsid w:val="00CE6A55"/>
    <w:rsid w:val="00CE7C06"/>
    <w:rsid w:val="00CF00B2"/>
    <w:rsid w:val="00CF07C0"/>
    <w:rsid w:val="00CF1E31"/>
    <w:rsid w:val="00CF27B0"/>
    <w:rsid w:val="00CF28B1"/>
    <w:rsid w:val="00CF28F3"/>
    <w:rsid w:val="00CF2C48"/>
    <w:rsid w:val="00CF2E7E"/>
    <w:rsid w:val="00CF2E93"/>
    <w:rsid w:val="00CF2FE9"/>
    <w:rsid w:val="00CF311A"/>
    <w:rsid w:val="00CF3455"/>
    <w:rsid w:val="00CF3852"/>
    <w:rsid w:val="00CF3A90"/>
    <w:rsid w:val="00CF4A54"/>
    <w:rsid w:val="00CF4EDC"/>
    <w:rsid w:val="00CF5A80"/>
    <w:rsid w:val="00CF6A37"/>
    <w:rsid w:val="00CF7146"/>
    <w:rsid w:val="00CF719A"/>
    <w:rsid w:val="00CF71DC"/>
    <w:rsid w:val="00CF74FC"/>
    <w:rsid w:val="00CF77A0"/>
    <w:rsid w:val="00D00944"/>
    <w:rsid w:val="00D013C3"/>
    <w:rsid w:val="00D025BE"/>
    <w:rsid w:val="00D032EF"/>
    <w:rsid w:val="00D03589"/>
    <w:rsid w:val="00D04290"/>
    <w:rsid w:val="00D045EE"/>
    <w:rsid w:val="00D04729"/>
    <w:rsid w:val="00D04A37"/>
    <w:rsid w:val="00D04CA5"/>
    <w:rsid w:val="00D05091"/>
    <w:rsid w:val="00D057B4"/>
    <w:rsid w:val="00D05CA5"/>
    <w:rsid w:val="00D06069"/>
    <w:rsid w:val="00D06279"/>
    <w:rsid w:val="00D0632A"/>
    <w:rsid w:val="00D06775"/>
    <w:rsid w:val="00D0739E"/>
    <w:rsid w:val="00D0778E"/>
    <w:rsid w:val="00D10CA6"/>
    <w:rsid w:val="00D10E21"/>
    <w:rsid w:val="00D10F21"/>
    <w:rsid w:val="00D111CB"/>
    <w:rsid w:val="00D12727"/>
    <w:rsid w:val="00D134CF"/>
    <w:rsid w:val="00D13B5A"/>
    <w:rsid w:val="00D14965"/>
    <w:rsid w:val="00D15173"/>
    <w:rsid w:val="00D1573B"/>
    <w:rsid w:val="00D160E8"/>
    <w:rsid w:val="00D1790F"/>
    <w:rsid w:val="00D179E1"/>
    <w:rsid w:val="00D20220"/>
    <w:rsid w:val="00D20E43"/>
    <w:rsid w:val="00D21AB0"/>
    <w:rsid w:val="00D224C4"/>
    <w:rsid w:val="00D2387C"/>
    <w:rsid w:val="00D24806"/>
    <w:rsid w:val="00D257BC"/>
    <w:rsid w:val="00D26449"/>
    <w:rsid w:val="00D265D8"/>
    <w:rsid w:val="00D30029"/>
    <w:rsid w:val="00D30802"/>
    <w:rsid w:val="00D30F79"/>
    <w:rsid w:val="00D31122"/>
    <w:rsid w:val="00D32469"/>
    <w:rsid w:val="00D324FE"/>
    <w:rsid w:val="00D32A41"/>
    <w:rsid w:val="00D33190"/>
    <w:rsid w:val="00D33223"/>
    <w:rsid w:val="00D33B9E"/>
    <w:rsid w:val="00D33C58"/>
    <w:rsid w:val="00D34040"/>
    <w:rsid w:val="00D34CBB"/>
    <w:rsid w:val="00D34E69"/>
    <w:rsid w:val="00D35844"/>
    <w:rsid w:val="00D35943"/>
    <w:rsid w:val="00D35DC5"/>
    <w:rsid w:val="00D36021"/>
    <w:rsid w:val="00D360B7"/>
    <w:rsid w:val="00D364C1"/>
    <w:rsid w:val="00D367BD"/>
    <w:rsid w:val="00D3695A"/>
    <w:rsid w:val="00D36C78"/>
    <w:rsid w:val="00D375EE"/>
    <w:rsid w:val="00D4016E"/>
    <w:rsid w:val="00D40C5C"/>
    <w:rsid w:val="00D4163C"/>
    <w:rsid w:val="00D42C3D"/>
    <w:rsid w:val="00D42F4C"/>
    <w:rsid w:val="00D43036"/>
    <w:rsid w:val="00D43144"/>
    <w:rsid w:val="00D432C3"/>
    <w:rsid w:val="00D43917"/>
    <w:rsid w:val="00D452BA"/>
    <w:rsid w:val="00D45CEF"/>
    <w:rsid w:val="00D50133"/>
    <w:rsid w:val="00D50276"/>
    <w:rsid w:val="00D51261"/>
    <w:rsid w:val="00D513C7"/>
    <w:rsid w:val="00D515E7"/>
    <w:rsid w:val="00D52341"/>
    <w:rsid w:val="00D533BC"/>
    <w:rsid w:val="00D53E68"/>
    <w:rsid w:val="00D5400A"/>
    <w:rsid w:val="00D541F8"/>
    <w:rsid w:val="00D55575"/>
    <w:rsid w:val="00D55779"/>
    <w:rsid w:val="00D55AE8"/>
    <w:rsid w:val="00D55BBD"/>
    <w:rsid w:val="00D55CA3"/>
    <w:rsid w:val="00D56056"/>
    <w:rsid w:val="00D575C9"/>
    <w:rsid w:val="00D57A48"/>
    <w:rsid w:val="00D57E21"/>
    <w:rsid w:val="00D60286"/>
    <w:rsid w:val="00D6085F"/>
    <w:rsid w:val="00D60893"/>
    <w:rsid w:val="00D608AA"/>
    <w:rsid w:val="00D61E7C"/>
    <w:rsid w:val="00D62699"/>
    <w:rsid w:val="00D629F3"/>
    <w:rsid w:val="00D63081"/>
    <w:rsid w:val="00D633A1"/>
    <w:rsid w:val="00D6413F"/>
    <w:rsid w:val="00D646AB"/>
    <w:rsid w:val="00D65235"/>
    <w:rsid w:val="00D6568C"/>
    <w:rsid w:val="00D66BA0"/>
    <w:rsid w:val="00D66EEC"/>
    <w:rsid w:val="00D6709A"/>
    <w:rsid w:val="00D67449"/>
    <w:rsid w:val="00D67797"/>
    <w:rsid w:val="00D678C7"/>
    <w:rsid w:val="00D7036F"/>
    <w:rsid w:val="00D71BA3"/>
    <w:rsid w:val="00D71EC6"/>
    <w:rsid w:val="00D71FAE"/>
    <w:rsid w:val="00D72411"/>
    <w:rsid w:val="00D72858"/>
    <w:rsid w:val="00D72CF3"/>
    <w:rsid w:val="00D72DEA"/>
    <w:rsid w:val="00D72E43"/>
    <w:rsid w:val="00D73EDC"/>
    <w:rsid w:val="00D747FB"/>
    <w:rsid w:val="00D74E41"/>
    <w:rsid w:val="00D76DC8"/>
    <w:rsid w:val="00D76E8A"/>
    <w:rsid w:val="00D76EFF"/>
    <w:rsid w:val="00D7755B"/>
    <w:rsid w:val="00D775CF"/>
    <w:rsid w:val="00D7774C"/>
    <w:rsid w:val="00D778E9"/>
    <w:rsid w:val="00D80225"/>
    <w:rsid w:val="00D804AF"/>
    <w:rsid w:val="00D8066F"/>
    <w:rsid w:val="00D809C2"/>
    <w:rsid w:val="00D80E05"/>
    <w:rsid w:val="00D80F00"/>
    <w:rsid w:val="00D812BF"/>
    <w:rsid w:val="00D81EF0"/>
    <w:rsid w:val="00D821C2"/>
    <w:rsid w:val="00D82267"/>
    <w:rsid w:val="00D82620"/>
    <w:rsid w:val="00D83AB1"/>
    <w:rsid w:val="00D83BB2"/>
    <w:rsid w:val="00D83C40"/>
    <w:rsid w:val="00D84F1F"/>
    <w:rsid w:val="00D856D9"/>
    <w:rsid w:val="00D85707"/>
    <w:rsid w:val="00D85B52"/>
    <w:rsid w:val="00D86331"/>
    <w:rsid w:val="00D86CDB"/>
    <w:rsid w:val="00D86D77"/>
    <w:rsid w:val="00D873BC"/>
    <w:rsid w:val="00D878AA"/>
    <w:rsid w:val="00D878F0"/>
    <w:rsid w:val="00D87992"/>
    <w:rsid w:val="00D900E8"/>
    <w:rsid w:val="00D90729"/>
    <w:rsid w:val="00D90E1F"/>
    <w:rsid w:val="00D91236"/>
    <w:rsid w:val="00D913DD"/>
    <w:rsid w:val="00D914D3"/>
    <w:rsid w:val="00D919FD"/>
    <w:rsid w:val="00D9209D"/>
    <w:rsid w:val="00D923D8"/>
    <w:rsid w:val="00D93BCD"/>
    <w:rsid w:val="00D94F29"/>
    <w:rsid w:val="00D9543C"/>
    <w:rsid w:val="00D95785"/>
    <w:rsid w:val="00D958F6"/>
    <w:rsid w:val="00D95A2F"/>
    <w:rsid w:val="00D95A6A"/>
    <w:rsid w:val="00D95F28"/>
    <w:rsid w:val="00D9635B"/>
    <w:rsid w:val="00D9640F"/>
    <w:rsid w:val="00D96DED"/>
    <w:rsid w:val="00D9725F"/>
    <w:rsid w:val="00DA01B1"/>
    <w:rsid w:val="00DA05F9"/>
    <w:rsid w:val="00DA0A25"/>
    <w:rsid w:val="00DA0D67"/>
    <w:rsid w:val="00DA0E77"/>
    <w:rsid w:val="00DA0E87"/>
    <w:rsid w:val="00DA11A2"/>
    <w:rsid w:val="00DA14ED"/>
    <w:rsid w:val="00DA1FD5"/>
    <w:rsid w:val="00DA26D6"/>
    <w:rsid w:val="00DA2EF1"/>
    <w:rsid w:val="00DA46BB"/>
    <w:rsid w:val="00DA4B24"/>
    <w:rsid w:val="00DA5D44"/>
    <w:rsid w:val="00DA5DFF"/>
    <w:rsid w:val="00DA6039"/>
    <w:rsid w:val="00DA6677"/>
    <w:rsid w:val="00DA6F86"/>
    <w:rsid w:val="00DA7191"/>
    <w:rsid w:val="00DA7718"/>
    <w:rsid w:val="00DA7C2D"/>
    <w:rsid w:val="00DA7CB9"/>
    <w:rsid w:val="00DB0571"/>
    <w:rsid w:val="00DB062C"/>
    <w:rsid w:val="00DB06DF"/>
    <w:rsid w:val="00DB06EA"/>
    <w:rsid w:val="00DB0807"/>
    <w:rsid w:val="00DB0E42"/>
    <w:rsid w:val="00DB12C2"/>
    <w:rsid w:val="00DB25A4"/>
    <w:rsid w:val="00DB2818"/>
    <w:rsid w:val="00DB2EF1"/>
    <w:rsid w:val="00DB3C4F"/>
    <w:rsid w:val="00DB3D35"/>
    <w:rsid w:val="00DB3DE1"/>
    <w:rsid w:val="00DB3F83"/>
    <w:rsid w:val="00DB482D"/>
    <w:rsid w:val="00DB4990"/>
    <w:rsid w:val="00DB4A3C"/>
    <w:rsid w:val="00DB4DF5"/>
    <w:rsid w:val="00DB501D"/>
    <w:rsid w:val="00DB5693"/>
    <w:rsid w:val="00DB5DA0"/>
    <w:rsid w:val="00DB5FA3"/>
    <w:rsid w:val="00DB6093"/>
    <w:rsid w:val="00DB60B0"/>
    <w:rsid w:val="00DB644F"/>
    <w:rsid w:val="00DB6843"/>
    <w:rsid w:val="00DB6BBC"/>
    <w:rsid w:val="00DB6FEF"/>
    <w:rsid w:val="00DB7069"/>
    <w:rsid w:val="00DB716C"/>
    <w:rsid w:val="00DB7A5F"/>
    <w:rsid w:val="00DB7B7D"/>
    <w:rsid w:val="00DC0BF3"/>
    <w:rsid w:val="00DC14CE"/>
    <w:rsid w:val="00DC1689"/>
    <w:rsid w:val="00DC1F16"/>
    <w:rsid w:val="00DC2734"/>
    <w:rsid w:val="00DC348C"/>
    <w:rsid w:val="00DC3599"/>
    <w:rsid w:val="00DC3DDF"/>
    <w:rsid w:val="00DC491A"/>
    <w:rsid w:val="00DC4CBB"/>
    <w:rsid w:val="00DC5928"/>
    <w:rsid w:val="00DC5C85"/>
    <w:rsid w:val="00DC6478"/>
    <w:rsid w:val="00DC68EA"/>
    <w:rsid w:val="00DC6B8F"/>
    <w:rsid w:val="00DC6BD1"/>
    <w:rsid w:val="00DC6BE8"/>
    <w:rsid w:val="00DC6D84"/>
    <w:rsid w:val="00DC700E"/>
    <w:rsid w:val="00DC73FB"/>
    <w:rsid w:val="00DC785C"/>
    <w:rsid w:val="00DC7C5D"/>
    <w:rsid w:val="00DC7F65"/>
    <w:rsid w:val="00DD1595"/>
    <w:rsid w:val="00DD166E"/>
    <w:rsid w:val="00DD1F00"/>
    <w:rsid w:val="00DD206E"/>
    <w:rsid w:val="00DD36F1"/>
    <w:rsid w:val="00DD4236"/>
    <w:rsid w:val="00DD44F1"/>
    <w:rsid w:val="00DD4C16"/>
    <w:rsid w:val="00DD5154"/>
    <w:rsid w:val="00DD51B7"/>
    <w:rsid w:val="00DD5678"/>
    <w:rsid w:val="00DD56CC"/>
    <w:rsid w:val="00DD592D"/>
    <w:rsid w:val="00DD5AAB"/>
    <w:rsid w:val="00DD5B25"/>
    <w:rsid w:val="00DD6131"/>
    <w:rsid w:val="00DD6957"/>
    <w:rsid w:val="00DD6AEF"/>
    <w:rsid w:val="00DD6E7A"/>
    <w:rsid w:val="00DD7258"/>
    <w:rsid w:val="00DD750D"/>
    <w:rsid w:val="00DD7E96"/>
    <w:rsid w:val="00DE1074"/>
    <w:rsid w:val="00DE20C4"/>
    <w:rsid w:val="00DE245A"/>
    <w:rsid w:val="00DE3067"/>
    <w:rsid w:val="00DE37BB"/>
    <w:rsid w:val="00DE43EA"/>
    <w:rsid w:val="00DE5272"/>
    <w:rsid w:val="00DE57C5"/>
    <w:rsid w:val="00DE5B62"/>
    <w:rsid w:val="00DE6475"/>
    <w:rsid w:val="00DE6501"/>
    <w:rsid w:val="00DE6CE8"/>
    <w:rsid w:val="00DE6E2C"/>
    <w:rsid w:val="00DE7D99"/>
    <w:rsid w:val="00DE7E92"/>
    <w:rsid w:val="00DF01D3"/>
    <w:rsid w:val="00DF0FDB"/>
    <w:rsid w:val="00DF1003"/>
    <w:rsid w:val="00DF114F"/>
    <w:rsid w:val="00DF1CEC"/>
    <w:rsid w:val="00DF2F55"/>
    <w:rsid w:val="00DF39AC"/>
    <w:rsid w:val="00DF39B1"/>
    <w:rsid w:val="00DF3EEE"/>
    <w:rsid w:val="00DF3F25"/>
    <w:rsid w:val="00DF449C"/>
    <w:rsid w:val="00DF501B"/>
    <w:rsid w:val="00DF50D4"/>
    <w:rsid w:val="00DF55F4"/>
    <w:rsid w:val="00DF5733"/>
    <w:rsid w:val="00DF6096"/>
    <w:rsid w:val="00DF612F"/>
    <w:rsid w:val="00DF68E7"/>
    <w:rsid w:val="00DF690A"/>
    <w:rsid w:val="00DF7060"/>
    <w:rsid w:val="00DF75E1"/>
    <w:rsid w:val="00DF78FB"/>
    <w:rsid w:val="00DF7DC7"/>
    <w:rsid w:val="00E0201A"/>
    <w:rsid w:val="00E027BC"/>
    <w:rsid w:val="00E0288D"/>
    <w:rsid w:val="00E02E62"/>
    <w:rsid w:val="00E03359"/>
    <w:rsid w:val="00E04032"/>
    <w:rsid w:val="00E04226"/>
    <w:rsid w:val="00E045BE"/>
    <w:rsid w:val="00E04837"/>
    <w:rsid w:val="00E04AAE"/>
    <w:rsid w:val="00E05530"/>
    <w:rsid w:val="00E061A4"/>
    <w:rsid w:val="00E067F4"/>
    <w:rsid w:val="00E0750F"/>
    <w:rsid w:val="00E10F0D"/>
    <w:rsid w:val="00E1135A"/>
    <w:rsid w:val="00E11AD3"/>
    <w:rsid w:val="00E11F25"/>
    <w:rsid w:val="00E122DC"/>
    <w:rsid w:val="00E12F72"/>
    <w:rsid w:val="00E130D5"/>
    <w:rsid w:val="00E1315A"/>
    <w:rsid w:val="00E133F6"/>
    <w:rsid w:val="00E14093"/>
    <w:rsid w:val="00E14E91"/>
    <w:rsid w:val="00E14EA5"/>
    <w:rsid w:val="00E15BE3"/>
    <w:rsid w:val="00E15E37"/>
    <w:rsid w:val="00E15FEC"/>
    <w:rsid w:val="00E16A2C"/>
    <w:rsid w:val="00E177DC"/>
    <w:rsid w:val="00E17F9C"/>
    <w:rsid w:val="00E203C1"/>
    <w:rsid w:val="00E205AB"/>
    <w:rsid w:val="00E2070E"/>
    <w:rsid w:val="00E20C37"/>
    <w:rsid w:val="00E20E5C"/>
    <w:rsid w:val="00E21133"/>
    <w:rsid w:val="00E21D19"/>
    <w:rsid w:val="00E22CDE"/>
    <w:rsid w:val="00E2327E"/>
    <w:rsid w:val="00E23577"/>
    <w:rsid w:val="00E24130"/>
    <w:rsid w:val="00E243BB"/>
    <w:rsid w:val="00E25143"/>
    <w:rsid w:val="00E2535C"/>
    <w:rsid w:val="00E257F2"/>
    <w:rsid w:val="00E266EF"/>
    <w:rsid w:val="00E26C90"/>
    <w:rsid w:val="00E27CEE"/>
    <w:rsid w:val="00E301FF"/>
    <w:rsid w:val="00E30353"/>
    <w:rsid w:val="00E30EAA"/>
    <w:rsid w:val="00E311F1"/>
    <w:rsid w:val="00E3168C"/>
    <w:rsid w:val="00E326A8"/>
    <w:rsid w:val="00E32762"/>
    <w:rsid w:val="00E32777"/>
    <w:rsid w:val="00E33A7B"/>
    <w:rsid w:val="00E33B8C"/>
    <w:rsid w:val="00E33D82"/>
    <w:rsid w:val="00E34D59"/>
    <w:rsid w:val="00E3526F"/>
    <w:rsid w:val="00E35CF8"/>
    <w:rsid w:val="00E3662A"/>
    <w:rsid w:val="00E373D7"/>
    <w:rsid w:val="00E378CB"/>
    <w:rsid w:val="00E379C0"/>
    <w:rsid w:val="00E40338"/>
    <w:rsid w:val="00E40894"/>
    <w:rsid w:val="00E4091E"/>
    <w:rsid w:val="00E40D72"/>
    <w:rsid w:val="00E40F7C"/>
    <w:rsid w:val="00E41131"/>
    <w:rsid w:val="00E4136F"/>
    <w:rsid w:val="00E4162C"/>
    <w:rsid w:val="00E418F1"/>
    <w:rsid w:val="00E42657"/>
    <w:rsid w:val="00E430F8"/>
    <w:rsid w:val="00E437F7"/>
    <w:rsid w:val="00E43D3E"/>
    <w:rsid w:val="00E444BE"/>
    <w:rsid w:val="00E44FE0"/>
    <w:rsid w:val="00E456AA"/>
    <w:rsid w:val="00E46FC2"/>
    <w:rsid w:val="00E472A8"/>
    <w:rsid w:val="00E47428"/>
    <w:rsid w:val="00E47BCE"/>
    <w:rsid w:val="00E5041F"/>
    <w:rsid w:val="00E509EF"/>
    <w:rsid w:val="00E50A37"/>
    <w:rsid w:val="00E50BEE"/>
    <w:rsid w:val="00E5107E"/>
    <w:rsid w:val="00E51522"/>
    <w:rsid w:val="00E518BB"/>
    <w:rsid w:val="00E5194B"/>
    <w:rsid w:val="00E51A73"/>
    <w:rsid w:val="00E51CB7"/>
    <w:rsid w:val="00E51EE1"/>
    <w:rsid w:val="00E53739"/>
    <w:rsid w:val="00E5394F"/>
    <w:rsid w:val="00E53ED6"/>
    <w:rsid w:val="00E5405D"/>
    <w:rsid w:val="00E54B95"/>
    <w:rsid w:val="00E54DE0"/>
    <w:rsid w:val="00E54F1E"/>
    <w:rsid w:val="00E555E9"/>
    <w:rsid w:val="00E558D5"/>
    <w:rsid w:val="00E55A16"/>
    <w:rsid w:val="00E55C21"/>
    <w:rsid w:val="00E56005"/>
    <w:rsid w:val="00E56195"/>
    <w:rsid w:val="00E56C8E"/>
    <w:rsid w:val="00E56EE1"/>
    <w:rsid w:val="00E57157"/>
    <w:rsid w:val="00E5716B"/>
    <w:rsid w:val="00E57532"/>
    <w:rsid w:val="00E57AFA"/>
    <w:rsid w:val="00E57D7E"/>
    <w:rsid w:val="00E57DAD"/>
    <w:rsid w:val="00E57F1F"/>
    <w:rsid w:val="00E61367"/>
    <w:rsid w:val="00E62B5C"/>
    <w:rsid w:val="00E63895"/>
    <w:rsid w:val="00E64902"/>
    <w:rsid w:val="00E64AA2"/>
    <w:rsid w:val="00E64CFA"/>
    <w:rsid w:val="00E651DA"/>
    <w:rsid w:val="00E65EF2"/>
    <w:rsid w:val="00E66973"/>
    <w:rsid w:val="00E66B9F"/>
    <w:rsid w:val="00E671F0"/>
    <w:rsid w:val="00E7014A"/>
    <w:rsid w:val="00E702D9"/>
    <w:rsid w:val="00E70458"/>
    <w:rsid w:val="00E70A6A"/>
    <w:rsid w:val="00E710D6"/>
    <w:rsid w:val="00E716E7"/>
    <w:rsid w:val="00E71BD7"/>
    <w:rsid w:val="00E71E11"/>
    <w:rsid w:val="00E72691"/>
    <w:rsid w:val="00E72A32"/>
    <w:rsid w:val="00E72A90"/>
    <w:rsid w:val="00E72FD1"/>
    <w:rsid w:val="00E73DA4"/>
    <w:rsid w:val="00E7423D"/>
    <w:rsid w:val="00E7650D"/>
    <w:rsid w:val="00E765B6"/>
    <w:rsid w:val="00E76623"/>
    <w:rsid w:val="00E76E45"/>
    <w:rsid w:val="00E770D7"/>
    <w:rsid w:val="00E777C9"/>
    <w:rsid w:val="00E80330"/>
    <w:rsid w:val="00E8090D"/>
    <w:rsid w:val="00E81DA6"/>
    <w:rsid w:val="00E82253"/>
    <w:rsid w:val="00E82DB0"/>
    <w:rsid w:val="00E84212"/>
    <w:rsid w:val="00E842CA"/>
    <w:rsid w:val="00E8521A"/>
    <w:rsid w:val="00E856A3"/>
    <w:rsid w:val="00E8658C"/>
    <w:rsid w:val="00E86649"/>
    <w:rsid w:val="00E86762"/>
    <w:rsid w:val="00E86A78"/>
    <w:rsid w:val="00E86EA2"/>
    <w:rsid w:val="00E9086C"/>
    <w:rsid w:val="00E90AAA"/>
    <w:rsid w:val="00E91A0F"/>
    <w:rsid w:val="00E9225A"/>
    <w:rsid w:val="00E9242A"/>
    <w:rsid w:val="00E92AB0"/>
    <w:rsid w:val="00E94645"/>
    <w:rsid w:val="00E94719"/>
    <w:rsid w:val="00E94A71"/>
    <w:rsid w:val="00E94BA9"/>
    <w:rsid w:val="00E94CBF"/>
    <w:rsid w:val="00E9564F"/>
    <w:rsid w:val="00E962F7"/>
    <w:rsid w:val="00E96980"/>
    <w:rsid w:val="00E96B7D"/>
    <w:rsid w:val="00E96CCA"/>
    <w:rsid w:val="00E96DE3"/>
    <w:rsid w:val="00E97194"/>
    <w:rsid w:val="00E97711"/>
    <w:rsid w:val="00E9776C"/>
    <w:rsid w:val="00E97E4F"/>
    <w:rsid w:val="00EA007C"/>
    <w:rsid w:val="00EA03CE"/>
    <w:rsid w:val="00EA087E"/>
    <w:rsid w:val="00EA1D4F"/>
    <w:rsid w:val="00EA21A0"/>
    <w:rsid w:val="00EA23E5"/>
    <w:rsid w:val="00EA4392"/>
    <w:rsid w:val="00EA4848"/>
    <w:rsid w:val="00EA4CF7"/>
    <w:rsid w:val="00EA4E2E"/>
    <w:rsid w:val="00EA5078"/>
    <w:rsid w:val="00EA5DD5"/>
    <w:rsid w:val="00EA6062"/>
    <w:rsid w:val="00EA6112"/>
    <w:rsid w:val="00EA65CC"/>
    <w:rsid w:val="00EB015E"/>
    <w:rsid w:val="00EB04B6"/>
    <w:rsid w:val="00EB0533"/>
    <w:rsid w:val="00EB1492"/>
    <w:rsid w:val="00EB1D38"/>
    <w:rsid w:val="00EB1E47"/>
    <w:rsid w:val="00EB1E5F"/>
    <w:rsid w:val="00EB2417"/>
    <w:rsid w:val="00EB253E"/>
    <w:rsid w:val="00EB2CCB"/>
    <w:rsid w:val="00EB2D02"/>
    <w:rsid w:val="00EB310D"/>
    <w:rsid w:val="00EB4881"/>
    <w:rsid w:val="00EB4976"/>
    <w:rsid w:val="00EB50AA"/>
    <w:rsid w:val="00EB5685"/>
    <w:rsid w:val="00EB5766"/>
    <w:rsid w:val="00EB5ACA"/>
    <w:rsid w:val="00EB5C41"/>
    <w:rsid w:val="00EB5F85"/>
    <w:rsid w:val="00EB6CB8"/>
    <w:rsid w:val="00EB75C7"/>
    <w:rsid w:val="00EB7A25"/>
    <w:rsid w:val="00EB7EF5"/>
    <w:rsid w:val="00EC03EC"/>
    <w:rsid w:val="00EC07BF"/>
    <w:rsid w:val="00EC0B1B"/>
    <w:rsid w:val="00EC0F3E"/>
    <w:rsid w:val="00EC1D7C"/>
    <w:rsid w:val="00EC1FC8"/>
    <w:rsid w:val="00EC3075"/>
    <w:rsid w:val="00EC332A"/>
    <w:rsid w:val="00EC43EF"/>
    <w:rsid w:val="00EC47D3"/>
    <w:rsid w:val="00EC5631"/>
    <w:rsid w:val="00EC57A7"/>
    <w:rsid w:val="00EC5D0F"/>
    <w:rsid w:val="00EC6D7B"/>
    <w:rsid w:val="00EC74A6"/>
    <w:rsid w:val="00EC7E8F"/>
    <w:rsid w:val="00EC7FA2"/>
    <w:rsid w:val="00ED0817"/>
    <w:rsid w:val="00ED171D"/>
    <w:rsid w:val="00ED18BE"/>
    <w:rsid w:val="00ED1DDB"/>
    <w:rsid w:val="00ED2E4C"/>
    <w:rsid w:val="00ED3166"/>
    <w:rsid w:val="00ED3B13"/>
    <w:rsid w:val="00ED43F9"/>
    <w:rsid w:val="00ED517D"/>
    <w:rsid w:val="00ED5B1F"/>
    <w:rsid w:val="00ED5D48"/>
    <w:rsid w:val="00ED68D6"/>
    <w:rsid w:val="00ED69F7"/>
    <w:rsid w:val="00ED6AFC"/>
    <w:rsid w:val="00ED6E15"/>
    <w:rsid w:val="00ED7D5F"/>
    <w:rsid w:val="00ED7DD9"/>
    <w:rsid w:val="00ED7E74"/>
    <w:rsid w:val="00ED7EC1"/>
    <w:rsid w:val="00EE02CB"/>
    <w:rsid w:val="00EE0551"/>
    <w:rsid w:val="00EE0C3F"/>
    <w:rsid w:val="00EE12B3"/>
    <w:rsid w:val="00EE15A5"/>
    <w:rsid w:val="00EE2119"/>
    <w:rsid w:val="00EE24E7"/>
    <w:rsid w:val="00EE2528"/>
    <w:rsid w:val="00EE2583"/>
    <w:rsid w:val="00EE28DF"/>
    <w:rsid w:val="00EE3AFC"/>
    <w:rsid w:val="00EE3D43"/>
    <w:rsid w:val="00EE3F57"/>
    <w:rsid w:val="00EE4258"/>
    <w:rsid w:val="00EE445B"/>
    <w:rsid w:val="00EE58E3"/>
    <w:rsid w:val="00EE5E25"/>
    <w:rsid w:val="00EE60BC"/>
    <w:rsid w:val="00EE6458"/>
    <w:rsid w:val="00EE6E61"/>
    <w:rsid w:val="00EE6EF8"/>
    <w:rsid w:val="00EE7A12"/>
    <w:rsid w:val="00EF01CF"/>
    <w:rsid w:val="00EF02A2"/>
    <w:rsid w:val="00EF0322"/>
    <w:rsid w:val="00EF0805"/>
    <w:rsid w:val="00EF088B"/>
    <w:rsid w:val="00EF133B"/>
    <w:rsid w:val="00EF154D"/>
    <w:rsid w:val="00EF1B6E"/>
    <w:rsid w:val="00EF1C78"/>
    <w:rsid w:val="00EF208D"/>
    <w:rsid w:val="00EF27B7"/>
    <w:rsid w:val="00EF2E61"/>
    <w:rsid w:val="00EF3113"/>
    <w:rsid w:val="00EF321D"/>
    <w:rsid w:val="00EF35B9"/>
    <w:rsid w:val="00EF3663"/>
    <w:rsid w:val="00EF3864"/>
    <w:rsid w:val="00EF3A8B"/>
    <w:rsid w:val="00EF3DDF"/>
    <w:rsid w:val="00EF3F84"/>
    <w:rsid w:val="00EF4409"/>
    <w:rsid w:val="00EF455F"/>
    <w:rsid w:val="00EF574A"/>
    <w:rsid w:val="00EF5A2B"/>
    <w:rsid w:val="00EF5BD3"/>
    <w:rsid w:val="00EF5DD8"/>
    <w:rsid w:val="00EF685E"/>
    <w:rsid w:val="00EF7085"/>
    <w:rsid w:val="00EF759B"/>
    <w:rsid w:val="00EF76A0"/>
    <w:rsid w:val="00EF77F0"/>
    <w:rsid w:val="00F011B1"/>
    <w:rsid w:val="00F0236A"/>
    <w:rsid w:val="00F023B1"/>
    <w:rsid w:val="00F02457"/>
    <w:rsid w:val="00F02752"/>
    <w:rsid w:val="00F02B62"/>
    <w:rsid w:val="00F02F06"/>
    <w:rsid w:val="00F04170"/>
    <w:rsid w:val="00F05F3A"/>
    <w:rsid w:val="00F0602B"/>
    <w:rsid w:val="00F06857"/>
    <w:rsid w:val="00F06E63"/>
    <w:rsid w:val="00F06F61"/>
    <w:rsid w:val="00F07C07"/>
    <w:rsid w:val="00F104B4"/>
    <w:rsid w:val="00F10B52"/>
    <w:rsid w:val="00F10BBE"/>
    <w:rsid w:val="00F10D10"/>
    <w:rsid w:val="00F10EFB"/>
    <w:rsid w:val="00F10F09"/>
    <w:rsid w:val="00F10F7E"/>
    <w:rsid w:val="00F11237"/>
    <w:rsid w:val="00F112F9"/>
    <w:rsid w:val="00F11C4A"/>
    <w:rsid w:val="00F11F63"/>
    <w:rsid w:val="00F13313"/>
    <w:rsid w:val="00F133DC"/>
    <w:rsid w:val="00F14EA2"/>
    <w:rsid w:val="00F15687"/>
    <w:rsid w:val="00F15779"/>
    <w:rsid w:val="00F15A3B"/>
    <w:rsid w:val="00F15ABA"/>
    <w:rsid w:val="00F16BEE"/>
    <w:rsid w:val="00F1763A"/>
    <w:rsid w:val="00F176AC"/>
    <w:rsid w:val="00F178B2"/>
    <w:rsid w:val="00F17E5B"/>
    <w:rsid w:val="00F17E64"/>
    <w:rsid w:val="00F204B9"/>
    <w:rsid w:val="00F21A43"/>
    <w:rsid w:val="00F21B71"/>
    <w:rsid w:val="00F21C6F"/>
    <w:rsid w:val="00F22217"/>
    <w:rsid w:val="00F22D07"/>
    <w:rsid w:val="00F233DD"/>
    <w:rsid w:val="00F24CD2"/>
    <w:rsid w:val="00F25884"/>
    <w:rsid w:val="00F25967"/>
    <w:rsid w:val="00F26BCE"/>
    <w:rsid w:val="00F26F28"/>
    <w:rsid w:val="00F274CD"/>
    <w:rsid w:val="00F27677"/>
    <w:rsid w:val="00F27714"/>
    <w:rsid w:val="00F27B24"/>
    <w:rsid w:val="00F30210"/>
    <w:rsid w:val="00F305BC"/>
    <w:rsid w:val="00F309B6"/>
    <w:rsid w:val="00F310EC"/>
    <w:rsid w:val="00F311F5"/>
    <w:rsid w:val="00F31557"/>
    <w:rsid w:val="00F3161D"/>
    <w:rsid w:val="00F31D52"/>
    <w:rsid w:val="00F32748"/>
    <w:rsid w:val="00F3276E"/>
    <w:rsid w:val="00F32806"/>
    <w:rsid w:val="00F328D1"/>
    <w:rsid w:val="00F32CC5"/>
    <w:rsid w:val="00F33912"/>
    <w:rsid w:val="00F33B82"/>
    <w:rsid w:val="00F33D3C"/>
    <w:rsid w:val="00F34137"/>
    <w:rsid w:val="00F34249"/>
    <w:rsid w:val="00F34738"/>
    <w:rsid w:val="00F34AA0"/>
    <w:rsid w:val="00F34B79"/>
    <w:rsid w:val="00F34CE3"/>
    <w:rsid w:val="00F35B85"/>
    <w:rsid w:val="00F35E9E"/>
    <w:rsid w:val="00F3607D"/>
    <w:rsid w:val="00F362DB"/>
    <w:rsid w:val="00F37A91"/>
    <w:rsid w:val="00F37B24"/>
    <w:rsid w:val="00F37D4F"/>
    <w:rsid w:val="00F37FED"/>
    <w:rsid w:val="00F40734"/>
    <w:rsid w:val="00F408A0"/>
    <w:rsid w:val="00F40E49"/>
    <w:rsid w:val="00F40EA4"/>
    <w:rsid w:val="00F40EC6"/>
    <w:rsid w:val="00F419E5"/>
    <w:rsid w:val="00F42A03"/>
    <w:rsid w:val="00F431E8"/>
    <w:rsid w:val="00F43736"/>
    <w:rsid w:val="00F43B0E"/>
    <w:rsid w:val="00F43CAD"/>
    <w:rsid w:val="00F44F1D"/>
    <w:rsid w:val="00F44F23"/>
    <w:rsid w:val="00F44FDC"/>
    <w:rsid w:val="00F4501B"/>
    <w:rsid w:val="00F450E7"/>
    <w:rsid w:val="00F45CF5"/>
    <w:rsid w:val="00F461BA"/>
    <w:rsid w:val="00F4657D"/>
    <w:rsid w:val="00F467A7"/>
    <w:rsid w:val="00F467AA"/>
    <w:rsid w:val="00F46FA3"/>
    <w:rsid w:val="00F47DB0"/>
    <w:rsid w:val="00F500F9"/>
    <w:rsid w:val="00F504A6"/>
    <w:rsid w:val="00F50A6C"/>
    <w:rsid w:val="00F50C3F"/>
    <w:rsid w:val="00F50E34"/>
    <w:rsid w:val="00F51AFB"/>
    <w:rsid w:val="00F51B00"/>
    <w:rsid w:val="00F51CE6"/>
    <w:rsid w:val="00F5235E"/>
    <w:rsid w:val="00F52686"/>
    <w:rsid w:val="00F52B65"/>
    <w:rsid w:val="00F52CA2"/>
    <w:rsid w:val="00F53A47"/>
    <w:rsid w:val="00F53EF7"/>
    <w:rsid w:val="00F54A72"/>
    <w:rsid w:val="00F54BF2"/>
    <w:rsid w:val="00F54C89"/>
    <w:rsid w:val="00F5501F"/>
    <w:rsid w:val="00F564ED"/>
    <w:rsid w:val="00F573D8"/>
    <w:rsid w:val="00F57BB9"/>
    <w:rsid w:val="00F60FD5"/>
    <w:rsid w:val="00F616D5"/>
    <w:rsid w:val="00F61743"/>
    <w:rsid w:val="00F61B70"/>
    <w:rsid w:val="00F61C6E"/>
    <w:rsid w:val="00F61CFB"/>
    <w:rsid w:val="00F62415"/>
    <w:rsid w:val="00F626A1"/>
    <w:rsid w:val="00F628D2"/>
    <w:rsid w:val="00F6291D"/>
    <w:rsid w:val="00F6319D"/>
    <w:rsid w:val="00F6348E"/>
    <w:rsid w:val="00F63C4F"/>
    <w:rsid w:val="00F641C5"/>
    <w:rsid w:val="00F647B9"/>
    <w:rsid w:val="00F6488F"/>
    <w:rsid w:val="00F64BC7"/>
    <w:rsid w:val="00F65C8B"/>
    <w:rsid w:val="00F66B01"/>
    <w:rsid w:val="00F66C44"/>
    <w:rsid w:val="00F66D8D"/>
    <w:rsid w:val="00F66DC4"/>
    <w:rsid w:val="00F66F14"/>
    <w:rsid w:val="00F7016D"/>
    <w:rsid w:val="00F70615"/>
    <w:rsid w:val="00F708BD"/>
    <w:rsid w:val="00F709FC"/>
    <w:rsid w:val="00F70C37"/>
    <w:rsid w:val="00F70E38"/>
    <w:rsid w:val="00F70EB3"/>
    <w:rsid w:val="00F719C7"/>
    <w:rsid w:val="00F71ACC"/>
    <w:rsid w:val="00F72336"/>
    <w:rsid w:val="00F723A7"/>
    <w:rsid w:val="00F72CF0"/>
    <w:rsid w:val="00F72E0A"/>
    <w:rsid w:val="00F732BB"/>
    <w:rsid w:val="00F7390B"/>
    <w:rsid w:val="00F73CD9"/>
    <w:rsid w:val="00F742A9"/>
    <w:rsid w:val="00F74B33"/>
    <w:rsid w:val="00F74BAE"/>
    <w:rsid w:val="00F74F7A"/>
    <w:rsid w:val="00F7528F"/>
    <w:rsid w:val="00F754F1"/>
    <w:rsid w:val="00F75A4E"/>
    <w:rsid w:val="00F75E6E"/>
    <w:rsid w:val="00F76741"/>
    <w:rsid w:val="00F76AD4"/>
    <w:rsid w:val="00F771EF"/>
    <w:rsid w:val="00F775AC"/>
    <w:rsid w:val="00F776DF"/>
    <w:rsid w:val="00F779E0"/>
    <w:rsid w:val="00F80F0F"/>
    <w:rsid w:val="00F81587"/>
    <w:rsid w:val="00F81630"/>
    <w:rsid w:val="00F81AAB"/>
    <w:rsid w:val="00F81D52"/>
    <w:rsid w:val="00F822A2"/>
    <w:rsid w:val="00F82511"/>
    <w:rsid w:val="00F825D0"/>
    <w:rsid w:val="00F829F9"/>
    <w:rsid w:val="00F82D1D"/>
    <w:rsid w:val="00F831A5"/>
    <w:rsid w:val="00F83532"/>
    <w:rsid w:val="00F83982"/>
    <w:rsid w:val="00F83A28"/>
    <w:rsid w:val="00F84442"/>
    <w:rsid w:val="00F8480F"/>
    <w:rsid w:val="00F84C54"/>
    <w:rsid w:val="00F850A1"/>
    <w:rsid w:val="00F8545D"/>
    <w:rsid w:val="00F8549C"/>
    <w:rsid w:val="00F856D8"/>
    <w:rsid w:val="00F85B9D"/>
    <w:rsid w:val="00F85F48"/>
    <w:rsid w:val="00F86673"/>
    <w:rsid w:val="00F86723"/>
    <w:rsid w:val="00F86D2D"/>
    <w:rsid w:val="00F871AF"/>
    <w:rsid w:val="00F8792F"/>
    <w:rsid w:val="00F9071D"/>
    <w:rsid w:val="00F908AA"/>
    <w:rsid w:val="00F908D6"/>
    <w:rsid w:val="00F90CCF"/>
    <w:rsid w:val="00F9114C"/>
    <w:rsid w:val="00F91171"/>
    <w:rsid w:val="00F9214D"/>
    <w:rsid w:val="00F9223D"/>
    <w:rsid w:val="00F92355"/>
    <w:rsid w:val="00F92857"/>
    <w:rsid w:val="00F928CD"/>
    <w:rsid w:val="00F92ABA"/>
    <w:rsid w:val="00F92E4E"/>
    <w:rsid w:val="00F9360D"/>
    <w:rsid w:val="00F93963"/>
    <w:rsid w:val="00F93A9E"/>
    <w:rsid w:val="00F94291"/>
    <w:rsid w:val="00F94921"/>
    <w:rsid w:val="00F951FA"/>
    <w:rsid w:val="00F95206"/>
    <w:rsid w:val="00F953D6"/>
    <w:rsid w:val="00F97125"/>
    <w:rsid w:val="00F97220"/>
    <w:rsid w:val="00F973D1"/>
    <w:rsid w:val="00F976A0"/>
    <w:rsid w:val="00F978C7"/>
    <w:rsid w:val="00F97FAD"/>
    <w:rsid w:val="00FA00AF"/>
    <w:rsid w:val="00FA1259"/>
    <w:rsid w:val="00FA131E"/>
    <w:rsid w:val="00FA1A74"/>
    <w:rsid w:val="00FA298A"/>
    <w:rsid w:val="00FA34A8"/>
    <w:rsid w:val="00FA34E9"/>
    <w:rsid w:val="00FA3E8B"/>
    <w:rsid w:val="00FA4C94"/>
    <w:rsid w:val="00FA4ECB"/>
    <w:rsid w:val="00FA5292"/>
    <w:rsid w:val="00FA5700"/>
    <w:rsid w:val="00FA5A39"/>
    <w:rsid w:val="00FA5AD5"/>
    <w:rsid w:val="00FA5B66"/>
    <w:rsid w:val="00FA61F6"/>
    <w:rsid w:val="00FA66E9"/>
    <w:rsid w:val="00FA6826"/>
    <w:rsid w:val="00FA7000"/>
    <w:rsid w:val="00FA76B3"/>
    <w:rsid w:val="00FA7F5C"/>
    <w:rsid w:val="00FB0B9C"/>
    <w:rsid w:val="00FB0C02"/>
    <w:rsid w:val="00FB0F47"/>
    <w:rsid w:val="00FB102A"/>
    <w:rsid w:val="00FB15CC"/>
    <w:rsid w:val="00FB2253"/>
    <w:rsid w:val="00FB250A"/>
    <w:rsid w:val="00FB29DB"/>
    <w:rsid w:val="00FB2E7D"/>
    <w:rsid w:val="00FB2ECA"/>
    <w:rsid w:val="00FB30EB"/>
    <w:rsid w:val="00FB312D"/>
    <w:rsid w:val="00FB3D2E"/>
    <w:rsid w:val="00FB4369"/>
    <w:rsid w:val="00FB44C9"/>
    <w:rsid w:val="00FB45DE"/>
    <w:rsid w:val="00FB473B"/>
    <w:rsid w:val="00FB500E"/>
    <w:rsid w:val="00FB587A"/>
    <w:rsid w:val="00FB63D6"/>
    <w:rsid w:val="00FB6ED8"/>
    <w:rsid w:val="00FB72F2"/>
    <w:rsid w:val="00FB7982"/>
    <w:rsid w:val="00FB7B9F"/>
    <w:rsid w:val="00FB7C87"/>
    <w:rsid w:val="00FC03E9"/>
    <w:rsid w:val="00FC0734"/>
    <w:rsid w:val="00FC0FC5"/>
    <w:rsid w:val="00FC11A2"/>
    <w:rsid w:val="00FC12CE"/>
    <w:rsid w:val="00FC1321"/>
    <w:rsid w:val="00FC137A"/>
    <w:rsid w:val="00FC1666"/>
    <w:rsid w:val="00FC220C"/>
    <w:rsid w:val="00FC241C"/>
    <w:rsid w:val="00FC24E4"/>
    <w:rsid w:val="00FC2794"/>
    <w:rsid w:val="00FC2D64"/>
    <w:rsid w:val="00FC2FEF"/>
    <w:rsid w:val="00FC3CD5"/>
    <w:rsid w:val="00FC3F47"/>
    <w:rsid w:val="00FC432E"/>
    <w:rsid w:val="00FC588F"/>
    <w:rsid w:val="00FC6395"/>
    <w:rsid w:val="00FC65A1"/>
    <w:rsid w:val="00FC67CA"/>
    <w:rsid w:val="00FC6879"/>
    <w:rsid w:val="00FC6E13"/>
    <w:rsid w:val="00FC7981"/>
    <w:rsid w:val="00FC79AD"/>
    <w:rsid w:val="00FC7EC7"/>
    <w:rsid w:val="00FD031E"/>
    <w:rsid w:val="00FD05DC"/>
    <w:rsid w:val="00FD0C6A"/>
    <w:rsid w:val="00FD11AA"/>
    <w:rsid w:val="00FD1489"/>
    <w:rsid w:val="00FD2211"/>
    <w:rsid w:val="00FD2667"/>
    <w:rsid w:val="00FD2967"/>
    <w:rsid w:val="00FD2A48"/>
    <w:rsid w:val="00FD3281"/>
    <w:rsid w:val="00FD43C2"/>
    <w:rsid w:val="00FD519E"/>
    <w:rsid w:val="00FD57CC"/>
    <w:rsid w:val="00FD5FB3"/>
    <w:rsid w:val="00FD7979"/>
    <w:rsid w:val="00FD7989"/>
    <w:rsid w:val="00FD7DB3"/>
    <w:rsid w:val="00FD7E7E"/>
    <w:rsid w:val="00FE0C42"/>
    <w:rsid w:val="00FE113D"/>
    <w:rsid w:val="00FE1B30"/>
    <w:rsid w:val="00FE247F"/>
    <w:rsid w:val="00FE24AB"/>
    <w:rsid w:val="00FE43BF"/>
    <w:rsid w:val="00FE4B9E"/>
    <w:rsid w:val="00FE50BB"/>
    <w:rsid w:val="00FE520B"/>
    <w:rsid w:val="00FE55E5"/>
    <w:rsid w:val="00FE55FB"/>
    <w:rsid w:val="00FE573B"/>
    <w:rsid w:val="00FE6CF9"/>
    <w:rsid w:val="00FE6E27"/>
    <w:rsid w:val="00FE6F9D"/>
    <w:rsid w:val="00FE7193"/>
    <w:rsid w:val="00FE7B44"/>
    <w:rsid w:val="00FF1017"/>
    <w:rsid w:val="00FF2304"/>
    <w:rsid w:val="00FF24D7"/>
    <w:rsid w:val="00FF28DE"/>
    <w:rsid w:val="00FF302E"/>
    <w:rsid w:val="00FF32D7"/>
    <w:rsid w:val="00FF34D7"/>
    <w:rsid w:val="00FF38C4"/>
    <w:rsid w:val="00FF3CE3"/>
    <w:rsid w:val="00FF418D"/>
    <w:rsid w:val="00FF45A3"/>
    <w:rsid w:val="00FF54D5"/>
    <w:rsid w:val="00FF6F9B"/>
    <w:rsid w:val="00FF7081"/>
    <w:rsid w:val="00FF718D"/>
    <w:rsid w:val="00FF7952"/>
    <w:rsid w:val="00FF7A1A"/>
    <w:rsid w:val="00FF7CF2"/>
    <w:rsid w:val="01B80F28"/>
    <w:rsid w:val="02ED8B7A"/>
    <w:rsid w:val="04219566"/>
    <w:rsid w:val="0459B5A9"/>
    <w:rsid w:val="054BC701"/>
    <w:rsid w:val="07C118C5"/>
    <w:rsid w:val="0854EEAF"/>
    <w:rsid w:val="0C01E1FE"/>
    <w:rsid w:val="0CEA5D96"/>
    <w:rsid w:val="133352DE"/>
    <w:rsid w:val="15551FA6"/>
    <w:rsid w:val="165827C0"/>
    <w:rsid w:val="172C306D"/>
    <w:rsid w:val="175AB989"/>
    <w:rsid w:val="1AE4B4A9"/>
    <w:rsid w:val="1D7D8A5B"/>
    <w:rsid w:val="1E19B5AA"/>
    <w:rsid w:val="1F2D7C65"/>
    <w:rsid w:val="20CA1870"/>
    <w:rsid w:val="21995FED"/>
    <w:rsid w:val="22E37569"/>
    <w:rsid w:val="245EA9C9"/>
    <w:rsid w:val="25436FF2"/>
    <w:rsid w:val="274D5B02"/>
    <w:rsid w:val="27746B71"/>
    <w:rsid w:val="2D2EDB6F"/>
    <w:rsid w:val="2E0B5ABD"/>
    <w:rsid w:val="2F1DFED0"/>
    <w:rsid w:val="2F2A1F33"/>
    <w:rsid w:val="2FE57C28"/>
    <w:rsid w:val="32F161D2"/>
    <w:rsid w:val="3301B88F"/>
    <w:rsid w:val="3909196E"/>
    <w:rsid w:val="39213868"/>
    <w:rsid w:val="3C96D337"/>
    <w:rsid w:val="3DA8FD0E"/>
    <w:rsid w:val="3F38DF8B"/>
    <w:rsid w:val="3F469590"/>
    <w:rsid w:val="3F8281ED"/>
    <w:rsid w:val="3FF04879"/>
    <w:rsid w:val="436C48B2"/>
    <w:rsid w:val="442BC477"/>
    <w:rsid w:val="451AC74E"/>
    <w:rsid w:val="45D3CB1F"/>
    <w:rsid w:val="4707C941"/>
    <w:rsid w:val="4970218A"/>
    <w:rsid w:val="49A4E343"/>
    <w:rsid w:val="4C2CBB93"/>
    <w:rsid w:val="4F667D36"/>
    <w:rsid w:val="502302D4"/>
    <w:rsid w:val="50781E56"/>
    <w:rsid w:val="53C441E1"/>
    <w:rsid w:val="547784A2"/>
    <w:rsid w:val="54D8C49E"/>
    <w:rsid w:val="5695702D"/>
    <w:rsid w:val="5698C585"/>
    <w:rsid w:val="57EC1DBA"/>
    <w:rsid w:val="58ACAC3E"/>
    <w:rsid w:val="59D4EE3B"/>
    <w:rsid w:val="59DBD69D"/>
    <w:rsid w:val="5A793ED1"/>
    <w:rsid w:val="5B02DAEC"/>
    <w:rsid w:val="5D11872B"/>
    <w:rsid w:val="5E88C170"/>
    <w:rsid w:val="5EE4E793"/>
    <w:rsid w:val="61DD7BFD"/>
    <w:rsid w:val="633E3A38"/>
    <w:rsid w:val="63FAB83D"/>
    <w:rsid w:val="6AB8826F"/>
    <w:rsid w:val="6D5240FA"/>
    <w:rsid w:val="6E8C0E44"/>
    <w:rsid w:val="7033763B"/>
    <w:rsid w:val="70F0175F"/>
    <w:rsid w:val="7174FA86"/>
    <w:rsid w:val="728A1C6F"/>
    <w:rsid w:val="780E53B7"/>
    <w:rsid w:val="787E75A3"/>
    <w:rsid w:val="78F9F1AB"/>
    <w:rsid w:val="7966996D"/>
    <w:rsid w:val="7CCD5B0C"/>
    <w:rsid w:val="7EEB2EDA"/>
    <w:rsid w:val="7FEF95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D3CD7"/>
  <w15:docId w15:val="{45D3760D-F253-4176-AB2E-F53206E5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565EF"/>
    <w:pPr>
      <w:spacing w:line="360" w:lineRule="auto"/>
      <w:jc w:val="both"/>
    </w:pPr>
    <w:rPr>
      <w:sz w:val="24"/>
      <w:lang w:eastAsia="en-US"/>
    </w:rPr>
  </w:style>
  <w:style w:type="paragraph" w:styleId="Heading1">
    <w:name w:val="heading 1"/>
    <w:basedOn w:val="Normal"/>
    <w:next w:val="ParaNumbering"/>
    <w:link w:val="Heading1Char"/>
    <w:qFormat/>
    <w:rsid w:val="00C565EF"/>
    <w:pPr>
      <w:keepNext/>
      <w:spacing w:before="240" w:after="60" w:line="240" w:lineRule="auto"/>
      <w:outlineLvl w:val="0"/>
    </w:pPr>
    <w:rPr>
      <w:b/>
      <w:caps/>
      <w:kern w:val="28"/>
    </w:rPr>
  </w:style>
  <w:style w:type="paragraph" w:styleId="Heading2">
    <w:name w:val="heading 2"/>
    <w:basedOn w:val="Normal"/>
    <w:next w:val="ParaNumbering"/>
    <w:qFormat/>
    <w:rsid w:val="00C565EF"/>
    <w:pPr>
      <w:keepNext/>
      <w:spacing w:before="240" w:after="60" w:line="240" w:lineRule="auto"/>
      <w:outlineLvl w:val="1"/>
    </w:pPr>
    <w:rPr>
      <w:b/>
      <w:szCs w:val="24"/>
    </w:rPr>
  </w:style>
  <w:style w:type="paragraph" w:styleId="Heading3">
    <w:name w:val="heading 3"/>
    <w:basedOn w:val="Normal"/>
    <w:next w:val="ParaNumbering"/>
    <w:link w:val="Heading3Char"/>
    <w:qFormat/>
    <w:rsid w:val="00C565EF"/>
    <w:pPr>
      <w:keepNext/>
      <w:spacing w:before="240" w:after="60" w:line="240" w:lineRule="auto"/>
      <w:outlineLvl w:val="2"/>
    </w:pPr>
    <w:rPr>
      <w:b/>
      <w:i/>
    </w:rPr>
  </w:style>
  <w:style w:type="paragraph" w:styleId="Heading4">
    <w:name w:val="heading 4"/>
    <w:basedOn w:val="Normal"/>
    <w:next w:val="ParaNumbering"/>
    <w:link w:val="Heading4Char"/>
    <w:qFormat/>
    <w:rsid w:val="00C565EF"/>
    <w:pPr>
      <w:keepNext/>
      <w:spacing w:before="240" w:after="60" w:line="240" w:lineRule="auto"/>
      <w:jc w:val="left"/>
      <w:outlineLvl w:val="3"/>
    </w:pPr>
    <w:rPr>
      <w:i/>
      <w:szCs w:val="24"/>
    </w:rPr>
  </w:style>
  <w:style w:type="paragraph" w:styleId="Heading5">
    <w:name w:val="heading 5"/>
    <w:basedOn w:val="fcHeading1"/>
    <w:next w:val="ParaNumbering"/>
    <w:qFormat/>
    <w:rsid w:val="00C565EF"/>
    <w:pPr>
      <w:outlineLvl w:val="4"/>
    </w:pPr>
    <w:rPr>
      <w:caps w:val="0"/>
    </w:rPr>
  </w:style>
  <w:style w:type="paragraph" w:styleId="Heading6">
    <w:name w:val="heading 6"/>
    <w:basedOn w:val="fcHeading2"/>
    <w:next w:val="ParaNumbering"/>
    <w:qFormat/>
    <w:rsid w:val="00C565EF"/>
    <w:pPr>
      <w:outlineLvl w:val="5"/>
    </w:pPr>
  </w:style>
  <w:style w:type="paragraph" w:styleId="Heading7">
    <w:name w:val="heading 7"/>
    <w:basedOn w:val="fcHeading3"/>
    <w:next w:val="ParaNumbering"/>
    <w:qFormat/>
    <w:rsid w:val="00C565EF"/>
    <w:pPr>
      <w:outlineLvl w:val="6"/>
    </w:pPr>
    <w:rPr>
      <w:i w:val="0"/>
    </w:rPr>
  </w:style>
  <w:style w:type="paragraph" w:styleId="Heading8">
    <w:name w:val="heading 8"/>
    <w:basedOn w:val="fcHeading4"/>
    <w:next w:val="ParaNumbering"/>
    <w:rsid w:val="00C565EF"/>
    <w:pPr>
      <w:outlineLvl w:val="7"/>
    </w:pPr>
    <w:rPr>
      <w:smallCaps w:val="0"/>
    </w:rPr>
  </w:style>
  <w:style w:type="paragraph" w:styleId="Heading9">
    <w:name w:val="heading 9"/>
    <w:basedOn w:val="fcHeading5"/>
    <w:next w:val="ParaNumbering"/>
    <w:rsid w:val="00C565EF"/>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rsid w:val="00C565EF"/>
    <w:pPr>
      <w:spacing w:line="240" w:lineRule="auto"/>
    </w:pPr>
  </w:style>
  <w:style w:type="paragraph" w:styleId="Header">
    <w:name w:val="header"/>
    <w:basedOn w:val="Normal"/>
    <w:semiHidden/>
    <w:rsid w:val="00C565EF"/>
    <w:pPr>
      <w:tabs>
        <w:tab w:val="center" w:pos="4320"/>
        <w:tab w:val="right" w:pos="8640"/>
      </w:tabs>
    </w:pPr>
  </w:style>
  <w:style w:type="paragraph" w:styleId="Footer">
    <w:name w:val="footer"/>
    <w:basedOn w:val="Normal"/>
    <w:semiHidden/>
    <w:rsid w:val="00C565EF"/>
    <w:pPr>
      <w:tabs>
        <w:tab w:val="center" w:pos="4320"/>
        <w:tab w:val="right" w:pos="8640"/>
      </w:tabs>
    </w:pPr>
  </w:style>
  <w:style w:type="paragraph" w:customStyle="1" w:styleId="ParaNumbering">
    <w:name w:val="ParaNumbering"/>
    <w:basedOn w:val="Normal"/>
    <w:rsid w:val="00C565EF"/>
    <w:pPr>
      <w:numPr>
        <w:numId w:val="38"/>
      </w:numPr>
      <w:spacing w:before="180" w:after="180"/>
    </w:pPr>
  </w:style>
  <w:style w:type="paragraph" w:customStyle="1" w:styleId="Quote1">
    <w:name w:val="Quote1"/>
    <w:rsid w:val="00C565EF"/>
    <w:pPr>
      <w:widowControl w:val="0"/>
      <w:spacing w:after="180"/>
      <w:ind w:left="737" w:right="737"/>
      <w:jc w:val="both"/>
    </w:pPr>
    <w:rPr>
      <w:sz w:val="22"/>
      <w:lang w:eastAsia="en-US"/>
    </w:rPr>
  </w:style>
  <w:style w:type="paragraph" w:customStyle="1" w:styleId="NormalHeadings">
    <w:name w:val="Normal Headings"/>
    <w:link w:val="NormalHeadingsChar"/>
    <w:rsid w:val="00C565EF"/>
    <w:pPr>
      <w:widowControl w:val="0"/>
      <w:jc w:val="both"/>
    </w:pPr>
    <w:rPr>
      <w:b/>
      <w:sz w:val="24"/>
      <w:lang w:eastAsia="en-US"/>
    </w:rPr>
  </w:style>
  <w:style w:type="table" w:styleId="TableGrid">
    <w:name w:val="Table Grid"/>
    <w:basedOn w:val="TableNormal"/>
    <w:semiHidden/>
    <w:rsid w:val="00C565EF"/>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rsid w:val="00C565EF"/>
    <w:pPr>
      <w:spacing w:before="20" w:after="20"/>
      <w:jc w:val="center"/>
    </w:pPr>
    <w:rPr>
      <w:b/>
      <w:sz w:val="26"/>
    </w:rPr>
  </w:style>
  <w:style w:type="paragraph" w:customStyle="1" w:styleId="Normal1linespace">
    <w:name w:val="Normal1linespace"/>
    <w:basedOn w:val="Normal"/>
    <w:rsid w:val="00C565EF"/>
    <w:pPr>
      <w:spacing w:line="240" w:lineRule="auto"/>
    </w:pPr>
  </w:style>
  <w:style w:type="paragraph" w:styleId="BalloonText">
    <w:name w:val="Balloon Text"/>
    <w:basedOn w:val="Normal"/>
    <w:semiHidden/>
    <w:rsid w:val="00C565EF"/>
    <w:rPr>
      <w:rFonts w:ascii="Tahoma" w:hAnsi="Tahoma" w:cs="Tahoma"/>
      <w:sz w:val="16"/>
      <w:szCs w:val="16"/>
    </w:rPr>
  </w:style>
  <w:style w:type="paragraph" w:customStyle="1" w:styleId="StyleBold">
    <w:name w:val="Style Bold"/>
    <w:basedOn w:val="Normal"/>
    <w:next w:val="BodyText"/>
    <w:semiHidden/>
    <w:rsid w:val="00C565EF"/>
    <w:rPr>
      <w:szCs w:val="24"/>
    </w:rPr>
  </w:style>
  <w:style w:type="paragraph" w:customStyle="1" w:styleId="Bold">
    <w:name w:val="Bold"/>
    <w:basedOn w:val="Normal"/>
    <w:next w:val="Normal"/>
    <w:semiHidden/>
    <w:rsid w:val="00C565EF"/>
    <w:pPr>
      <w:suppressAutoHyphens/>
      <w:jc w:val="left"/>
    </w:pPr>
    <w:rPr>
      <w:b/>
      <w:szCs w:val="24"/>
    </w:rPr>
  </w:style>
  <w:style w:type="paragraph" w:customStyle="1" w:styleId="Certify">
    <w:name w:val="Certify"/>
    <w:basedOn w:val="Normal"/>
    <w:link w:val="CertifyChar"/>
    <w:semiHidden/>
    <w:rsid w:val="00C565EF"/>
    <w:pPr>
      <w:spacing w:line="240" w:lineRule="auto"/>
    </w:pPr>
    <w:rPr>
      <w:szCs w:val="24"/>
    </w:rPr>
  </w:style>
  <w:style w:type="character" w:styleId="CommentReference">
    <w:name w:val="annotation reference"/>
    <w:semiHidden/>
    <w:rsid w:val="00C565EF"/>
    <w:rPr>
      <w:sz w:val="16"/>
      <w:szCs w:val="16"/>
    </w:rPr>
  </w:style>
  <w:style w:type="paragraph" w:styleId="CommentText">
    <w:name w:val="annotation text"/>
    <w:basedOn w:val="Normal"/>
    <w:semiHidden/>
    <w:rsid w:val="00C565EF"/>
    <w:rPr>
      <w:sz w:val="20"/>
    </w:rPr>
  </w:style>
  <w:style w:type="paragraph" w:styleId="CommentSubject">
    <w:name w:val="annotation subject"/>
    <w:basedOn w:val="CommentText"/>
    <w:next w:val="CommentText"/>
    <w:semiHidden/>
    <w:rsid w:val="00C565EF"/>
    <w:rPr>
      <w:b/>
      <w:bCs/>
    </w:rPr>
  </w:style>
  <w:style w:type="paragraph" w:customStyle="1" w:styleId="FCBullets">
    <w:name w:val="FCBullets"/>
    <w:basedOn w:val="Normal"/>
    <w:rsid w:val="00C565EF"/>
    <w:pPr>
      <w:numPr>
        <w:numId w:val="22"/>
      </w:numPr>
      <w:spacing w:before="60" w:after="60"/>
    </w:pPr>
  </w:style>
  <w:style w:type="paragraph" w:customStyle="1" w:styleId="JudgeStyle">
    <w:name w:val="JudgeStyle"/>
    <w:basedOn w:val="Heading1"/>
    <w:next w:val="ParaNumbering"/>
    <w:semiHidden/>
    <w:rsid w:val="00C565EF"/>
  </w:style>
  <w:style w:type="paragraph" w:styleId="TOC1">
    <w:name w:val="toc 1"/>
    <w:basedOn w:val="Normal"/>
    <w:next w:val="Normal"/>
    <w:autoRedefine/>
    <w:semiHidden/>
    <w:rsid w:val="00C565EF"/>
    <w:pPr>
      <w:tabs>
        <w:tab w:val="right" w:leader="dot" w:pos="9071"/>
      </w:tabs>
    </w:pPr>
  </w:style>
  <w:style w:type="paragraph" w:styleId="TOC2">
    <w:name w:val="toc 2"/>
    <w:basedOn w:val="Normal"/>
    <w:next w:val="Normal"/>
    <w:autoRedefine/>
    <w:semiHidden/>
    <w:rsid w:val="00C565EF"/>
    <w:pPr>
      <w:tabs>
        <w:tab w:val="right" w:leader="dot" w:pos="9071"/>
      </w:tabs>
      <w:ind w:left="240"/>
    </w:pPr>
  </w:style>
  <w:style w:type="paragraph" w:styleId="TOC3">
    <w:name w:val="toc 3"/>
    <w:basedOn w:val="Normal"/>
    <w:next w:val="Normal"/>
    <w:autoRedefine/>
    <w:semiHidden/>
    <w:rsid w:val="00C565EF"/>
    <w:pPr>
      <w:tabs>
        <w:tab w:val="right" w:leader="dot" w:pos="9071"/>
      </w:tabs>
      <w:ind w:left="480"/>
    </w:pPr>
  </w:style>
  <w:style w:type="paragraph" w:styleId="TOC4">
    <w:name w:val="toc 4"/>
    <w:basedOn w:val="Normal"/>
    <w:next w:val="Normal"/>
    <w:autoRedefine/>
    <w:semiHidden/>
    <w:rsid w:val="00C565EF"/>
    <w:pPr>
      <w:tabs>
        <w:tab w:val="right" w:leader="dot" w:pos="9071"/>
      </w:tabs>
      <w:ind w:left="720"/>
    </w:pPr>
  </w:style>
  <w:style w:type="paragraph" w:customStyle="1" w:styleId="NoNum">
    <w:name w:val="No Num"/>
    <w:basedOn w:val="Normal1linespace"/>
    <w:rsid w:val="00C565EF"/>
    <w:pPr>
      <w:spacing w:before="120" w:after="180" w:line="360" w:lineRule="auto"/>
    </w:pPr>
  </w:style>
  <w:style w:type="paragraph" w:customStyle="1" w:styleId="AppealTable">
    <w:name w:val="AppealTable"/>
    <w:basedOn w:val="Normal"/>
    <w:unhideWhenUsed/>
    <w:rsid w:val="00C565EF"/>
    <w:pPr>
      <w:spacing w:line="240" w:lineRule="auto"/>
      <w:jc w:val="left"/>
    </w:pPr>
    <w:rPr>
      <w:b/>
      <w:caps/>
      <w:sz w:val="22"/>
      <w:szCs w:val="22"/>
    </w:rPr>
  </w:style>
  <w:style w:type="paragraph" w:customStyle="1" w:styleId="Quote3">
    <w:name w:val="Quote3"/>
    <w:basedOn w:val="Quote1"/>
    <w:rsid w:val="00C565EF"/>
    <w:pPr>
      <w:ind w:left="2160"/>
    </w:pPr>
  </w:style>
  <w:style w:type="paragraph" w:customStyle="1" w:styleId="Quote2">
    <w:name w:val="Quote2"/>
    <w:basedOn w:val="Quote1"/>
    <w:rsid w:val="00C565EF"/>
    <w:pPr>
      <w:ind w:left="1440"/>
    </w:pPr>
  </w:style>
  <w:style w:type="paragraph" w:customStyle="1" w:styleId="FTOC1">
    <w:name w:val="FTOC 1"/>
    <w:basedOn w:val="Normal"/>
    <w:semiHidden/>
    <w:rsid w:val="00C565EF"/>
    <w:pPr>
      <w:tabs>
        <w:tab w:val="right" w:leader="dot" w:pos="9072"/>
      </w:tabs>
      <w:spacing w:before="120" w:after="60" w:line="240" w:lineRule="auto"/>
      <w:jc w:val="left"/>
    </w:pPr>
    <w:rPr>
      <w:b/>
      <w:caps/>
      <w:kern w:val="28"/>
    </w:rPr>
  </w:style>
  <w:style w:type="paragraph" w:customStyle="1" w:styleId="ListNo1">
    <w:name w:val="List No 1"/>
    <w:basedOn w:val="Normal"/>
    <w:rsid w:val="00C565EF"/>
    <w:pPr>
      <w:numPr>
        <w:numId w:val="21"/>
      </w:numPr>
      <w:spacing w:before="60" w:after="60"/>
    </w:pPr>
  </w:style>
  <w:style w:type="paragraph" w:customStyle="1" w:styleId="FTOC2">
    <w:name w:val="FTOC 2"/>
    <w:basedOn w:val="Normal"/>
    <w:semiHidden/>
    <w:rsid w:val="00C565EF"/>
    <w:pPr>
      <w:tabs>
        <w:tab w:val="right" w:leader="dot" w:pos="9072"/>
      </w:tabs>
      <w:spacing w:before="120" w:after="60" w:line="240" w:lineRule="auto"/>
      <w:ind w:left="238"/>
      <w:jc w:val="left"/>
    </w:pPr>
    <w:rPr>
      <w:b/>
    </w:rPr>
  </w:style>
  <w:style w:type="paragraph" w:customStyle="1" w:styleId="FTOC3">
    <w:name w:val="FTOC 3"/>
    <w:basedOn w:val="Normal"/>
    <w:semiHidden/>
    <w:rsid w:val="00C565EF"/>
    <w:pPr>
      <w:tabs>
        <w:tab w:val="right" w:leader="dot" w:pos="9072"/>
      </w:tabs>
      <w:spacing w:before="120" w:after="60" w:line="240" w:lineRule="auto"/>
      <w:ind w:left="482"/>
      <w:jc w:val="left"/>
    </w:pPr>
    <w:rPr>
      <w:b/>
      <w:i/>
    </w:rPr>
  </w:style>
  <w:style w:type="paragraph" w:customStyle="1" w:styleId="FTOC4">
    <w:name w:val="FTOC 4"/>
    <w:basedOn w:val="Normal"/>
    <w:semiHidden/>
    <w:rsid w:val="00C565EF"/>
    <w:pPr>
      <w:tabs>
        <w:tab w:val="right" w:leader="dot" w:pos="9072"/>
      </w:tabs>
      <w:spacing w:before="120" w:after="60" w:line="240" w:lineRule="auto"/>
      <w:ind w:left="720"/>
      <w:jc w:val="left"/>
    </w:pPr>
    <w:rPr>
      <w:i/>
    </w:rPr>
  </w:style>
  <w:style w:type="paragraph" w:styleId="TOC5">
    <w:name w:val="toc 5"/>
    <w:basedOn w:val="Normal"/>
    <w:next w:val="Normal"/>
    <w:autoRedefine/>
    <w:semiHidden/>
    <w:rsid w:val="00C565EF"/>
    <w:pPr>
      <w:tabs>
        <w:tab w:val="right" w:leader="dot" w:pos="9072"/>
      </w:tabs>
      <w:ind w:left="960"/>
    </w:pPr>
  </w:style>
  <w:style w:type="numbering" w:styleId="111111">
    <w:name w:val="Outline List 2"/>
    <w:basedOn w:val="NoList"/>
    <w:semiHidden/>
    <w:rsid w:val="00C565EF"/>
    <w:pPr>
      <w:numPr>
        <w:numId w:val="12"/>
      </w:numPr>
    </w:pPr>
  </w:style>
  <w:style w:type="numbering" w:styleId="1ai">
    <w:name w:val="Outline List 1"/>
    <w:basedOn w:val="NoList"/>
    <w:semiHidden/>
    <w:rsid w:val="00C565EF"/>
    <w:pPr>
      <w:numPr>
        <w:numId w:val="13"/>
      </w:numPr>
    </w:pPr>
  </w:style>
  <w:style w:type="numbering" w:styleId="ArticleSection">
    <w:name w:val="Outline List 3"/>
    <w:basedOn w:val="NoList"/>
    <w:semiHidden/>
    <w:rsid w:val="00C565EF"/>
    <w:pPr>
      <w:numPr>
        <w:numId w:val="14"/>
      </w:numPr>
    </w:pPr>
  </w:style>
  <w:style w:type="paragraph" w:styleId="BodyText">
    <w:name w:val="Body Text"/>
    <w:basedOn w:val="Normal"/>
    <w:link w:val="BodyTextChar"/>
    <w:qFormat/>
    <w:rsid w:val="00C565EF"/>
  </w:style>
  <w:style w:type="paragraph" w:styleId="BodyText2">
    <w:name w:val="Body Text 2"/>
    <w:basedOn w:val="Normal"/>
    <w:semiHidden/>
    <w:rsid w:val="00C565EF"/>
    <w:pPr>
      <w:spacing w:after="120" w:line="480" w:lineRule="auto"/>
    </w:pPr>
  </w:style>
  <w:style w:type="paragraph" w:styleId="BodyText3">
    <w:name w:val="Body Text 3"/>
    <w:basedOn w:val="Normal"/>
    <w:semiHidden/>
    <w:rsid w:val="00C565EF"/>
    <w:pPr>
      <w:spacing w:after="120"/>
    </w:pPr>
    <w:rPr>
      <w:sz w:val="16"/>
      <w:szCs w:val="16"/>
    </w:rPr>
  </w:style>
  <w:style w:type="paragraph" w:styleId="BodyTextFirstIndent">
    <w:name w:val="Body Text First Indent"/>
    <w:basedOn w:val="BodyText"/>
    <w:semiHidden/>
    <w:rsid w:val="00C565EF"/>
    <w:pPr>
      <w:ind w:firstLine="210"/>
    </w:pPr>
  </w:style>
  <w:style w:type="paragraph" w:styleId="BodyTextIndent">
    <w:name w:val="Body Text Indent"/>
    <w:basedOn w:val="Normal"/>
    <w:semiHidden/>
    <w:rsid w:val="00C565EF"/>
    <w:pPr>
      <w:spacing w:after="120"/>
      <w:ind w:left="283"/>
    </w:pPr>
  </w:style>
  <w:style w:type="paragraph" w:styleId="BodyTextFirstIndent2">
    <w:name w:val="Body Text First Indent 2"/>
    <w:basedOn w:val="BodyTextIndent"/>
    <w:semiHidden/>
    <w:rsid w:val="00C565EF"/>
    <w:pPr>
      <w:ind w:firstLine="210"/>
    </w:pPr>
  </w:style>
  <w:style w:type="paragraph" w:styleId="BodyTextIndent2">
    <w:name w:val="Body Text Indent 2"/>
    <w:basedOn w:val="Normal"/>
    <w:semiHidden/>
    <w:rsid w:val="00C565EF"/>
    <w:pPr>
      <w:spacing w:after="120" w:line="480" w:lineRule="auto"/>
      <w:ind w:left="283"/>
    </w:pPr>
  </w:style>
  <w:style w:type="paragraph" w:styleId="BodyTextIndent3">
    <w:name w:val="Body Text Indent 3"/>
    <w:basedOn w:val="Normal"/>
    <w:semiHidden/>
    <w:rsid w:val="00C565EF"/>
    <w:pPr>
      <w:spacing w:after="120"/>
      <w:ind w:left="283"/>
    </w:pPr>
    <w:rPr>
      <w:sz w:val="16"/>
      <w:szCs w:val="16"/>
    </w:rPr>
  </w:style>
  <w:style w:type="paragraph" w:styleId="Closing">
    <w:name w:val="Closing"/>
    <w:basedOn w:val="Normal"/>
    <w:semiHidden/>
    <w:rsid w:val="00C565EF"/>
    <w:pPr>
      <w:ind w:left="4252"/>
    </w:pPr>
  </w:style>
  <w:style w:type="paragraph" w:styleId="Date">
    <w:name w:val="Date"/>
    <w:basedOn w:val="Normal"/>
    <w:next w:val="Normal"/>
    <w:semiHidden/>
    <w:rsid w:val="00C565EF"/>
  </w:style>
  <w:style w:type="paragraph" w:styleId="E-mailSignature">
    <w:name w:val="E-mail Signature"/>
    <w:basedOn w:val="Normal"/>
    <w:semiHidden/>
    <w:rsid w:val="00C565EF"/>
  </w:style>
  <w:style w:type="character" w:styleId="Emphasis">
    <w:name w:val="Emphasis"/>
    <w:semiHidden/>
    <w:rsid w:val="00C565EF"/>
    <w:rPr>
      <w:i/>
      <w:iCs/>
    </w:rPr>
  </w:style>
  <w:style w:type="paragraph" w:styleId="EnvelopeAddress">
    <w:name w:val="envelope address"/>
    <w:basedOn w:val="Normal"/>
    <w:semiHidden/>
    <w:rsid w:val="00C565E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C565EF"/>
    <w:rPr>
      <w:rFonts w:ascii="Arial" w:hAnsi="Arial" w:cs="Arial"/>
      <w:sz w:val="20"/>
    </w:rPr>
  </w:style>
  <w:style w:type="character" w:styleId="FollowedHyperlink">
    <w:name w:val="FollowedHyperlink"/>
    <w:semiHidden/>
    <w:rsid w:val="00C565EF"/>
    <w:rPr>
      <w:color w:val="800080"/>
      <w:u w:val="single"/>
    </w:rPr>
  </w:style>
  <w:style w:type="character" w:styleId="HTMLAcronym">
    <w:name w:val="HTML Acronym"/>
    <w:basedOn w:val="DefaultParagraphFont"/>
    <w:semiHidden/>
    <w:rsid w:val="00C565EF"/>
  </w:style>
  <w:style w:type="paragraph" w:styleId="HTMLAddress">
    <w:name w:val="HTML Address"/>
    <w:basedOn w:val="Normal"/>
    <w:semiHidden/>
    <w:rsid w:val="00C565EF"/>
    <w:rPr>
      <w:i/>
      <w:iCs/>
    </w:rPr>
  </w:style>
  <w:style w:type="character" w:styleId="HTMLCite">
    <w:name w:val="HTML Cite"/>
    <w:semiHidden/>
    <w:rsid w:val="00C565EF"/>
    <w:rPr>
      <w:i/>
      <w:iCs/>
    </w:rPr>
  </w:style>
  <w:style w:type="character" w:styleId="HTMLCode">
    <w:name w:val="HTML Code"/>
    <w:semiHidden/>
    <w:rsid w:val="00C565EF"/>
    <w:rPr>
      <w:rFonts w:ascii="Courier New" w:hAnsi="Courier New" w:cs="Courier New"/>
      <w:sz w:val="20"/>
      <w:szCs w:val="20"/>
    </w:rPr>
  </w:style>
  <w:style w:type="character" w:styleId="HTMLDefinition">
    <w:name w:val="HTML Definition"/>
    <w:semiHidden/>
    <w:rsid w:val="00C565EF"/>
    <w:rPr>
      <w:i/>
      <w:iCs/>
    </w:rPr>
  </w:style>
  <w:style w:type="character" w:styleId="HTMLKeyboard">
    <w:name w:val="HTML Keyboard"/>
    <w:semiHidden/>
    <w:rsid w:val="00C565EF"/>
    <w:rPr>
      <w:rFonts w:ascii="Courier New" w:hAnsi="Courier New" w:cs="Courier New"/>
      <w:sz w:val="20"/>
      <w:szCs w:val="20"/>
    </w:rPr>
  </w:style>
  <w:style w:type="paragraph" w:styleId="HTMLPreformatted">
    <w:name w:val="HTML Preformatted"/>
    <w:basedOn w:val="Normal"/>
    <w:semiHidden/>
    <w:rsid w:val="00C565EF"/>
    <w:rPr>
      <w:rFonts w:ascii="Courier New" w:hAnsi="Courier New" w:cs="Courier New"/>
      <w:sz w:val="20"/>
    </w:rPr>
  </w:style>
  <w:style w:type="character" w:styleId="HTMLSample">
    <w:name w:val="HTML Sample"/>
    <w:semiHidden/>
    <w:rsid w:val="00C565EF"/>
    <w:rPr>
      <w:rFonts w:ascii="Courier New" w:hAnsi="Courier New" w:cs="Courier New"/>
    </w:rPr>
  </w:style>
  <w:style w:type="character" w:styleId="HTMLTypewriter">
    <w:name w:val="HTML Typewriter"/>
    <w:semiHidden/>
    <w:rsid w:val="00C565EF"/>
    <w:rPr>
      <w:rFonts w:ascii="Courier New" w:hAnsi="Courier New" w:cs="Courier New"/>
      <w:sz w:val="20"/>
      <w:szCs w:val="20"/>
    </w:rPr>
  </w:style>
  <w:style w:type="character" w:styleId="HTMLVariable">
    <w:name w:val="HTML Variable"/>
    <w:semiHidden/>
    <w:rsid w:val="00C565EF"/>
    <w:rPr>
      <w:i/>
      <w:iCs/>
    </w:rPr>
  </w:style>
  <w:style w:type="character" w:styleId="Hyperlink">
    <w:name w:val="Hyperlink"/>
    <w:semiHidden/>
    <w:rsid w:val="00C565EF"/>
    <w:rPr>
      <w:color w:val="0000FF"/>
      <w:u w:val="single"/>
    </w:rPr>
  </w:style>
  <w:style w:type="character" w:styleId="LineNumber">
    <w:name w:val="line number"/>
    <w:basedOn w:val="DefaultParagraphFont"/>
    <w:semiHidden/>
    <w:rsid w:val="00C565EF"/>
  </w:style>
  <w:style w:type="paragraph" w:styleId="List">
    <w:name w:val="List"/>
    <w:basedOn w:val="Normal"/>
    <w:semiHidden/>
    <w:rsid w:val="00C565EF"/>
    <w:pPr>
      <w:ind w:left="283" w:hanging="283"/>
    </w:pPr>
  </w:style>
  <w:style w:type="paragraph" w:styleId="List2">
    <w:name w:val="List 2"/>
    <w:basedOn w:val="Normal"/>
    <w:semiHidden/>
    <w:rsid w:val="00C565EF"/>
    <w:pPr>
      <w:ind w:left="566" w:hanging="283"/>
    </w:pPr>
  </w:style>
  <w:style w:type="paragraph" w:styleId="List3">
    <w:name w:val="List 3"/>
    <w:basedOn w:val="Normal"/>
    <w:semiHidden/>
    <w:rsid w:val="00C565EF"/>
    <w:pPr>
      <w:ind w:left="849" w:hanging="283"/>
    </w:pPr>
  </w:style>
  <w:style w:type="paragraph" w:styleId="List4">
    <w:name w:val="List 4"/>
    <w:basedOn w:val="Normal"/>
    <w:semiHidden/>
    <w:rsid w:val="00C565EF"/>
    <w:pPr>
      <w:ind w:left="1132" w:hanging="283"/>
    </w:pPr>
  </w:style>
  <w:style w:type="paragraph" w:styleId="List5">
    <w:name w:val="List 5"/>
    <w:basedOn w:val="Normal"/>
    <w:semiHidden/>
    <w:rsid w:val="00C565EF"/>
    <w:pPr>
      <w:ind w:left="1415" w:hanging="283"/>
    </w:pPr>
  </w:style>
  <w:style w:type="paragraph" w:styleId="ListBullet">
    <w:name w:val="List Bullet"/>
    <w:basedOn w:val="Normal"/>
    <w:semiHidden/>
    <w:rsid w:val="00C565EF"/>
    <w:pPr>
      <w:numPr>
        <w:numId w:val="2"/>
      </w:numPr>
    </w:pPr>
  </w:style>
  <w:style w:type="paragraph" w:styleId="ListBullet2">
    <w:name w:val="List Bullet 2"/>
    <w:basedOn w:val="Normal"/>
    <w:semiHidden/>
    <w:rsid w:val="00C565EF"/>
    <w:pPr>
      <w:numPr>
        <w:numId w:val="3"/>
      </w:numPr>
    </w:pPr>
  </w:style>
  <w:style w:type="paragraph" w:styleId="ListBullet3">
    <w:name w:val="List Bullet 3"/>
    <w:basedOn w:val="Normal"/>
    <w:semiHidden/>
    <w:rsid w:val="00C565EF"/>
    <w:pPr>
      <w:numPr>
        <w:numId w:val="4"/>
      </w:numPr>
    </w:pPr>
  </w:style>
  <w:style w:type="paragraph" w:styleId="ListBullet4">
    <w:name w:val="List Bullet 4"/>
    <w:basedOn w:val="Normal"/>
    <w:semiHidden/>
    <w:rsid w:val="00C565EF"/>
    <w:pPr>
      <w:numPr>
        <w:numId w:val="5"/>
      </w:numPr>
    </w:pPr>
  </w:style>
  <w:style w:type="paragraph" w:styleId="ListBullet5">
    <w:name w:val="List Bullet 5"/>
    <w:basedOn w:val="Normal"/>
    <w:semiHidden/>
    <w:rsid w:val="00C565EF"/>
    <w:pPr>
      <w:numPr>
        <w:numId w:val="6"/>
      </w:numPr>
    </w:pPr>
  </w:style>
  <w:style w:type="paragraph" w:styleId="ListContinue">
    <w:name w:val="List Continue"/>
    <w:basedOn w:val="Normal"/>
    <w:semiHidden/>
    <w:rsid w:val="00C565EF"/>
    <w:pPr>
      <w:spacing w:after="120"/>
      <w:ind w:left="283"/>
    </w:pPr>
  </w:style>
  <w:style w:type="paragraph" w:styleId="ListContinue2">
    <w:name w:val="List Continue 2"/>
    <w:basedOn w:val="Normal"/>
    <w:semiHidden/>
    <w:rsid w:val="00C565EF"/>
    <w:pPr>
      <w:spacing w:after="120"/>
      <w:ind w:left="566"/>
    </w:pPr>
  </w:style>
  <w:style w:type="paragraph" w:styleId="ListContinue3">
    <w:name w:val="List Continue 3"/>
    <w:basedOn w:val="Normal"/>
    <w:semiHidden/>
    <w:rsid w:val="00C565EF"/>
    <w:pPr>
      <w:spacing w:after="120"/>
      <w:ind w:left="849"/>
    </w:pPr>
  </w:style>
  <w:style w:type="paragraph" w:styleId="ListContinue4">
    <w:name w:val="List Continue 4"/>
    <w:basedOn w:val="Normal"/>
    <w:semiHidden/>
    <w:rsid w:val="00C565EF"/>
    <w:pPr>
      <w:spacing w:after="120"/>
      <w:ind w:left="1132"/>
    </w:pPr>
  </w:style>
  <w:style w:type="paragraph" w:styleId="ListContinue5">
    <w:name w:val="List Continue 5"/>
    <w:basedOn w:val="Normal"/>
    <w:semiHidden/>
    <w:rsid w:val="00C565EF"/>
    <w:pPr>
      <w:spacing w:after="120"/>
      <w:ind w:left="1415"/>
    </w:pPr>
  </w:style>
  <w:style w:type="paragraph" w:styleId="ListNumber">
    <w:name w:val="List Number"/>
    <w:basedOn w:val="Normal"/>
    <w:semiHidden/>
    <w:rsid w:val="00C565EF"/>
    <w:pPr>
      <w:numPr>
        <w:numId w:val="7"/>
      </w:numPr>
    </w:pPr>
  </w:style>
  <w:style w:type="paragraph" w:styleId="ListNumber2">
    <w:name w:val="List Number 2"/>
    <w:basedOn w:val="Normal"/>
    <w:semiHidden/>
    <w:rsid w:val="00C565EF"/>
    <w:pPr>
      <w:numPr>
        <w:numId w:val="8"/>
      </w:numPr>
    </w:pPr>
  </w:style>
  <w:style w:type="paragraph" w:styleId="ListNumber3">
    <w:name w:val="List Number 3"/>
    <w:basedOn w:val="Normal"/>
    <w:semiHidden/>
    <w:rsid w:val="00C565EF"/>
    <w:pPr>
      <w:numPr>
        <w:numId w:val="9"/>
      </w:numPr>
    </w:pPr>
  </w:style>
  <w:style w:type="paragraph" w:styleId="ListNumber4">
    <w:name w:val="List Number 4"/>
    <w:basedOn w:val="Normal"/>
    <w:semiHidden/>
    <w:rsid w:val="00C565EF"/>
    <w:pPr>
      <w:numPr>
        <w:numId w:val="10"/>
      </w:numPr>
    </w:pPr>
  </w:style>
  <w:style w:type="paragraph" w:styleId="ListNumber5">
    <w:name w:val="List Number 5"/>
    <w:basedOn w:val="Normal"/>
    <w:semiHidden/>
    <w:rsid w:val="00C565EF"/>
    <w:pPr>
      <w:numPr>
        <w:numId w:val="11"/>
      </w:numPr>
    </w:pPr>
  </w:style>
  <w:style w:type="paragraph" w:styleId="MessageHeader">
    <w:name w:val="Message Header"/>
    <w:basedOn w:val="Normal"/>
    <w:semiHidden/>
    <w:rsid w:val="00C565E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sid w:val="00C565EF"/>
    <w:rPr>
      <w:szCs w:val="24"/>
    </w:rPr>
  </w:style>
  <w:style w:type="paragraph" w:styleId="NormalIndent">
    <w:name w:val="Normal Indent"/>
    <w:basedOn w:val="Normal"/>
    <w:semiHidden/>
    <w:rsid w:val="00C565EF"/>
    <w:pPr>
      <w:ind w:left="720"/>
    </w:pPr>
  </w:style>
  <w:style w:type="paragraph" w:styleId="NoteHeading">
    <w:name w:val="Note Heading"/>
    <w:basedOn w:val="Normal"/>
    <w:next w:val="Normal"/>
    <w:semiHidden/>
    <w:rsid w:val="00C565EF"/>
  </w:style>
  <w:style w:type="character" w:styleId="PageNumber">
    <w:name w:val="page number"/>
    <w:basedOn w:val="DefaultParagraphFont"/>
    <w:semiHidden/>
    <w:rsid w:val="00C565EF"/>
  </w:style>
  <w:style w:type="paragraph" w:styleId="PlainText">
    <w:name w:val="Plain Text"/>
    <w:basedOn w:val="Normal"/>
    <w:semiHidden/>
    <w:rsid w:val="00C565EF"/>
    <w:rPr>
      <w:rFonts w:ascii="Courier New" w:hAnsi="Courier New" w:cs="Courier New"/>
      <w:sz w:val="20"/>
    </w:rPr>
  </w:style>
  <w:style w:type="paragraph" w:styleId="Salutation">
    <w:name w:val="Salutation"/>
    <w:basedOn w:val="Normal"/>
    <w:next w:val="Normal"/>
    <w:semiHidden/>
    <w:rsid w:val="00C565EF"/>
  </w:style>
  <w:style w:type="paragraph" w:styleId="Signature">
    <w:name w:val="Signature"/>
    <w:basedOn w:val="Normal"/>
    <w:semiHidden/>
    <w:rsid w:val="00C565EF"/>
    <w:pPr>
      <w:ind w:left="4252"/>
    </w:pPr>
  </w:style>
  <w:style w:type="character" w:styleId="Strong">
    <w:name w:val="Strong"/>
    <w:semiHidden/>
    <w:rsid w:val="00C565EF"/>
    <w:rPr>
      <w:b/>
      <w:bCs/>
    </w:rPr>
  </w:style>
  <w:style w:type="paragraph" w:styleId="Subtitle">
    <w:name w:val="Subtitle"/>
    <w:basedOn w:val="Normal"/>
    <w:semiHidden/>
    <w:rsid w:val="00C565EF"/>
    <w:pPr>
      <w:spacing w:after="60"/>
      <w:jc w:val="center"/>
      <w:outlineLvl w:val="1"/>
    </w:pPr>
    <w:rPr>
      <w:rFonts w:ascii="Arial" w:hAnsi="Arial" w:cs="Arial"/>
      <w:szCs w:val="24"/>
    </w:rPr>
  </w:style>
  <w:style w:type="table" w:styleId="Table3Deffects1">
    <w:name w:val="Table 3D effects 1"/>
    <w:basedOn w:val="TableNormal"/>
    <w:semiHidden/>
    <w:rsid w:val="00C565EF"/>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565EF"/>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565EF"/>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565EF"/>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565EF"/>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565EF"/>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565EF"/>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565EF"/>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565EF"/>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565EF"/>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565EF"/>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565EF"/>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565EF"/>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565EF"/>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565EF"/>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565EF"/>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565EF"/>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565E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565EF"/>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565EF"/>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565EF"/>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565EF"/>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565EF"/>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565EF"/>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565EF"/>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565EF"/>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565EF"/>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565EF"/>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565EF"/>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565E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565EF"/>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565EF"/>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565EF"/>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565EF"/>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565EF"/>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565EF"/>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565EF"/>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565EF"/>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565EF"/>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565EF"/>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565EF"/>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565EF"/>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565EF"/>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C565EF"/>
    <w:pPr>
      <w:spacing w:before="120" w:after="60" w:line="240" w:lineRule="auto"/>
      <w:jc w:val="left"/>
    </w:pPr>
  </w:style>
  <w:style w:type="paragraph" w:customStyle="1" w:styleId="bTOC2">
    <w:name w:val="bTOC 2"/>
    <w:basedOn w:val="TOC2"/>
    <w:semiHidden/>
    <w:rsid w:val="00C565EF"/>
    <w:pPr>
      <w:spacing w:before="120" w:after="60" w:line="240" w:lineRule="auto"/>
      <w:ind w:left="238"/>
      <w:jc w:val="left"/>
    </w:pPr>
  </w:style>
  <w:style w:type="paragraph" w:customStyle="1" w:styleId="bTOC3">
    <w:name w:val="bTOC 3"/>
    <w:basedOn w:val="TOC3"/>
    <w:semiHidden/>
    <w:rsid w:val="00C565EF"/>
    <w:pPr>
      <w:spacing w:before="120" w:after="60" w:line="240" w:lineRule="auto"/>
      <w:ind w:left="482"/>
      <w:jc w:val="left"/>
    </w:pPr>
  </w:style>
  <w:style w:type="paragraph" w:customStyle="1" w:styleId="bTOC4">
    <w:name w:val="bTOC 4"/>
    <w:basedOn w:val="TOC4"/>
    <w:semiHidden/>
    <w:rsid w:val="00C565EF"/>
    <w:pPr>
      <w:spacing w:before="120" w:after="60" w:line="240" w:lineRule="auto"/>
      <w:jc w:val="left"/>
    </w:pPr>
  </w:style>
  <w:style w:type="paragraph" w:customStyle="1" w:styleId="Counsel">
    <w:name w:val="Counsel"/>
    <w:basedOn w:val="Normal"/>
    <w:unhideWhenUsed/>
    <w:rsid w:val="00C565EF"/>
    <w:pPr>
      <w:widowControl w:val="0"/>
      <w:suppressAutoHyphens/>
      <w:spacing w:line="240" w:lineRule="auto"/>
    </w:pPr>
  </w:style>
  <w:style w:type="character" w:customStyle="1" w:styleId="CertifyChar">
    <w:name w:val="Certify Char"/>
    <w:link w:val="Certify"/>
    <w:semiHidden/>
    <w:rsid w:val="00C565EF"/>
    <w:rPr>
      <w:sz w:val="24"/>
      <w:szCs w:val="24"/>
      <w:lang w:eastAsia="en-US"/>
    </w:rPr>
  </w:style>
  <w:style w:type="paragraph" w:customStyle="1" w:styleId="fcHeading1">
    <w:name w:val="fcHeading 1"/>
    <w:basedOn w:val="Normal"/>
    <w:next w:val="ParaNumbering"/>
    <w:semiHidden/>
    <w:rsid w:val="00C565EF"/>
    <w:pPr>
      <w:keepNext/>
      <w:numPr>
        <w:numId w:val="15"/>
      </w:numPr>
      <w:spacing w:before="240" w:after="60" w:line="240" w:lineRule="auto"/>
    </w:pPr>
    <w:rPr>
      <w:b/>
      <w:caps/>
      <w:kern w:val="28"/>
    </w:rPr>
  </w:style>
  <w:style w:type="paragraph" w:customStyle="1" w:styleId="fcHeading2">
    <w:name w:val="fcHeading 2"/>
    <w:basedOn w:val="Normal"/>
    <w:next w:val="ParaNumbering"/>
    <w:semiHidden/>
    <w:rsid w:val="00C565EF"/>
    <w:pPr>
      <w:keepNext/>
      <w:numPr>
        <w:ilvl w:val="1"/>
        <w:numId w:val="15"/>
      </w:numPr>
      <w:spacing w:before="240" w:after="60" w:line="240" w:lineRule="auto"/>
    </w:pPr>
    <w:rPr>
      <w:b/>
    </w:rPr>
  </w:style>
  <w:style w:type="paragraph" w:customStyle="1" w:styleId="fcHeading3">
    <w:name w:val="fcHeading 3"/>
    <w:basedOn w:val="Normal"/>
    <w:next w:val="ParaNumbering"/>
    <w:semiHidden/>
    <w:rsid w:val="00C565EF"/>
    <w:pPr>
      <w:keepNext/>
      <w:numPr>
        <w:ilvl w:val="2"/>
        <w:numId w:val="15"/>
      </w:numPr>
      <w:spacing w:before="240" w:after="60" w:line="240" w:lineRule="auto"/>
    </w:pPr>
    <w:rPr>
      <w:b/>
      <w:i/>
    </w:rPr>
  </w:style>
  <w:style w:type="paragraph" w:customStyle="1" w:styleId="fcHeading4">
    <w:name w:val="fcHeading 4"/>
    <w:basedOn w:val="Normal"/>
    <w:next w:val="ParaNumbering"/>
    <w:semiHidden/>
    <w:rsid w:val="00C565EF"/>
    <w:pPr>
      <w:keepNext/>
      <w:numPr>
        <w:ilvl w:val="3"/>
        <w:numId w:val="15"/>
      </w:numPr>
      <w:spacing w:before="240" w:after="60" w:line="240" w:lineRule="auto"/>
    </w:pPr>
    <w:rPr>
      <w:b/>
      <w:smallCaps/>
    </w:rPr>
  </w:style>
  <w:style w:type="paragraph" w:customStyle="1" w:styleId="fcHeading5">
    <w:name w:val="fcHeading 5"/>
    <w:basedOn w:val="Normal"/>
    <w:next w:val="ParaNumbering"/>
    <w:semiHidden/>
    <w:rsid w:val="00C565EF"/>
    <w:pPr>
      <w:keepNext/>
      <w:numPr>
        <w:ilvl w:val="4"/>
        <w:numId w:val="15"/>
      </w:numPr>
      <w:spacing w:before="240" w:after="60" w:line="240" w:lineRule="auto"/>
    </w:pPr>
    <w:rPr>
      <w:b/>
      <w:caps/>
    </w:rPr>
  </w:style>
  <w:style w:type="paragraph" w:customStyle="1" w:styleId="FTOC5">
    <w:name w:val="FTOC 5"/>
    <w:basedOn w:val="Normal"/>
    <w:semiHidden/>
    <w:rsid w:val="00C565EF"/>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C565EF"/>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C565EF"/>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C565EF"/>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C565EF"/>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C565EF"/>
    <w:pPr>
      <w:tabs>
        <w:tab w:val="right" w:leader="dot" w:pos="9072"/>
      </w:tabs>
      <w:spacing w:before="120" w:after="60" w:line="240" w:lineRule="auto"/>
      <w:ind w:left="709" w:hanging="709"/>
      <w:jc w:val="left"/>
    </w:pPr>
  </w:style>
  <w:style w:type="paragraph" w:customStyle="1" w:styleId="bTOC6">
    <w:name w:val="bTOC 6"/>
    <w:basedOn w:val="Normal"/>
    <w:semiHidden/>
    <w:rsid w:val="00C565EF"/>
    <w:pPr>
      <w:tabs>
        <w:tab w:val="right" w:leader="dot" w:pos="9072"/>
      </w:tabs>
      <w:spacing w:before="120" w:after="60" w:line="240" w:lineRule="auto"/>
      <w:ind w:left="1418" w:hanging="709"/>
      <w:jc w:val="left"/>
    </w:pPr>
  </w:style>
  <w:style w:type="paragraph" w:customStyle="1" w:styleId="bTOC7">
    <w:name w:val="bTOC 7"/>
    <w:basedOn w:val="Normal"/>
    <w:semiHidden/>
    <w:rsid w:val="00C565EF"/>
    <w:pPr>
      <w:tabs>
        <w:tab w:val="right" w:leader="dot" w:pos="9072"/>
      </w:tabs>
      <w:spacing w:before="120" w:after="60" w:line="240" w:lineRule="auto"/>
      <w:ind w:left="2240" w:hanging="822"/>
      <w:jc w:val="left"/>
    </w:pPr>
  </w:style>
  <w:style w:type="paragraph" w:customStyle="1" w:styleId="bTOC8">
    <w:name w:val="bTOC 8"/>
    <w:basedOn w:val="Normal"/>
    <w:semiHidden/>
    <w:rsid w:val="00C565EF"/>
    <w:pPr>
      <w:keepNext/>
      <w:tabs>
        <w:tab w:val="right" w:leader="dot" w:pos="9072"/>
      </w:tabs>
      <w:spacing w:before="120" w:after="60" w:line="240" w:lineRule="auto"/>
      <w:ind w:left="3373" w:hanging="1247"/>
      <w:jc w:val="left"/>
    </w:pPr>
  </w:style>
  <w:style w:type="paragraph" w:customStyle="1" w:styleId="bTOC9">
    <w:name w:val="bTOC 9"/>
    <w:basedOn w:val="Normal"/>
    <w:semiHidden/>
    <w:rsid w:val="00C565EF"/>
    <w:pPr>
      <w:keepNext/>
      <w:tabs>
        <w:tab w:val="right" w:leader="dot" w:pos="9072"/>
      </w:tabs>
      <w:spacing w:before="120" w:after="60" w:line="240" w:lineRule="auto"/>
      <w:ind w:left="4082" w:hanging="1247"/>
      <w:jc w:val="left"/>
    </w:pPr>
  </w:style>
  <w:style w:type="paragraph" w:customStyle="1" w:styleId="ListNo2">
    <w:name w:val="List No 2"/>
    <w:basedOn w:val="ListNo1"/>
    <w:rsid w:val="00C565EF"/>
    <w:pPr>
      <w:numPr>
        <w:ilvl w:val="1"/>
      </w:numPr>
    </w:pPr>
  </w:style>
  <w:style w:type="paragraph" w:customStyle="1" w:styleId="ListNo3">
    <w:name w:val="List No 3"/>
    <w:basedOn w:val="ListNo2"/>
    <w:rsid w:val="00C565EF"/>
    <w:pPr>
      <w:numPr>
        <w:ilvl w:val="2"/>
      </w:numPr>
    </w:pPr>
  </w:style>
  <w:style w:type="numbering" w:customStyle="1" w:styleId="FCListNo">
    <w:name w:val="FCListNo"/>
    <w:uiPriority w:val="99"/>
    <w:rsid w:val="00C565EF"/>
    <w:pPr>
      <w:numPr>
        <w:numId w:val="16"/>
      </w:numPr>
    </w:pPr>
  </w:style>
  <w:style w:type="paragraph" w:customStyle="1" w:styleId="SingleSpace">
    <w:name w:val="SingleSpace"/>
    <w:basedOn w:val="Normal"/>
    <w:rsid w:val="00C565EF"/>
    <w:pPr>
      <w:spacing w:line="240" w:lineRule="auto"/>
    </w:pPr>
    <w:rPr>
      <w:szCs w:val="22"/>
    </w:rPr>
  </w:style>
  <w:style w:type="paragraph" w:customStyle="1" w:styleId="Quote1Bullet">
    <w:name w:val="Quote1 Bullet"/>
    <w:basedOn w:val="Quote1"/>
    <w:rsid w:val="00C565EF"/>
    <w:pPr>
      <w:numPr>
        <w:numId w:val="17"/>
      </w:numPr>
      <w:ind w:left="1440" w:hanging="720"/>
    </w:pPr>
  </w:style>
  <w:style w:type="paragraph" w:customStyle="1" w:styleId="Quote2Bullet">
    <w:name w:val="Quote2 Bullet"/>
    <w:basedOn w:val="Quote2"/>
    <w:rsid w:val="00C565EF"/>
    <w:pPr>
      <w:numPr>
        <w:numId w:val="18"/>
      </w:numPr>
      <w:ind w:hanging="720"/>
    </w:pPr>
  </w:style>
  <w:style w:type="paragraph" w:customStyle="1" w:styleId="Quote3Bullet">
    <w:name w:val="Quote3 Bullet"/>
    <w:basedOn w:val="Quote3"/>
    <w:rsid w:val="00C565EF"/>
    <w:pPr>
      <w:numPr>
        <w:numId w:val="19"/>
      </w:numPr>
      <w:ind w:hanging="720"/>
    </w:pPr>
  </w:style>
  <w:style w:type="paragraph" w:customStyle="1" w:styleId="Order1">
    <w:name w:val="Order 1"/>
    <w:basedOn w:val="Normal"/>
    <w:rsid w:val="00C565EF"/>
    <w:pPr>
      <w:numPr>
        <w:numId w:val="39"/>
      </w:numPr>
      <w:spacing w:before="60" w:after="60"/>
    </w:pPr>
  </w:style>
  <w:style w:type="numbering" w:customStyle="1" w:styleId="FCOrders">
    <w:name w:val="FCOrders"/>
    <w:uiPriority w:val="99"/>
    <w:rsid w:val="00C565EF"/>
    <w:pPr>
      <w:numPr>
        <w:numId w:val="39"/>
      </w:numPr>
    </w:pPr>
  </w:style>
  <w:style w:type="paragraph" w:customStyle="1" w:styleId="BodyTextBold">
    <w:name w:val="Body Text Bold"/>
    <w:basedOn w:val="BodyText"/>
    <w:rsid w:val="00C565EF"/>
    <w:rPr>
      <w:b/>
    </w:rPr>
  </w:style>
  <w:style w:type="paragraph" w:customStyle="1" w:styleId="GeneralHeading">
    <w:name w:val="General Heading"/>
    <w:basedOn w:val="BodyTextBold"/>
    <w:next w:val="BodyText"/>
    <w:rsid w:val="00C565EF"/>
    <w:pPr>
      <w:spacing w:line="480" w:lineRule="auto"/>
      <w:jc w:val="center"/>
    </w:pPr>
    <w:rPr>
      <w:sz w:val="28"/>
    </w:rPr>
  </w:style>
  <w:style w:type="paragraph" w:customStyle="1" w:styleId="ReasonJudge">
    <w:name w:val="Reason Judge"/>
    <w:basedOn w:val="BodyText"/>
    <w:next w:val="BodyText"/>
    <w:rsid w:val="00C565EF"/>
    <w:pPr>
      <w:jc w:val="left"/>
    </w:pPr>
    <w:rPr>
      <w:b/>
      <w:sz w:val="26"/>
    </w:rPr>
  </w:style>
  <w:style w:type="paragraph" w:customStyle="1" w:styleId="FileNo">
    <w:name w:val="FileNo"/>
    <w:basedOn w:val="NormalHeadings"/>
    <w:rsid w:val="00C565EF"/>
    <w:pPr>
      <w:tabs>
        <w:tab w:val="right" w:pos="3609"/>
      </w:tabs>
      <w:spacing w:line="276" w:lineRule="auto"/>
      <w:jc w:val="right"/>
    </w:pPr>
    <w:rPr>
      <w:szCs w:val="24"/>
    </w:rPr>
  </w:style>
  <w:style w:type="paragraph" w:customStyle="1" w:styleId="CasesLegislationAppealFrom">
    <w:name w:val="Cases Legislation Appeal From"/>
    <w:basedOn w:val="Normal1linespace"/>
    <w:rsid w:val="00C565EF"/>
    <w:pPr>
      <w:widowControl w:val="0"/>
      <w:spacing w:after="100"/>
      <w:jc w:val="left"/>
    </w:pPr>
  </w:style>
  <w:style w:type="paragraph" w:customStyle="1" w:styleId="PartyName">
    <w:name w:val="Party Name"/>
    <w:basedOn w:val="NormalHeadings"/>
    <w:rsid w:val="00C565EF"/>
    <w:pPr>
      <w:jc w:val="left"/>
    </w:pPr>
    <w:rPr>
      <w:szCs w:val="24"/>
    </w:rPr>
  </w:style>
  <w:style w:type="paragraph" w:customStyle="1" w:styleId="PartyType">
    <w:name w:val="Party Type"/>
    <w:basedOn w:val="PartyName"/>
    <w:rsid w:val="00C565EF"/>
    <w:rPr>
      <w:b w:val="0"/>
    </w:rPr>
  </w:style>
  <w:style w:type="paragraph" w:customStyle="1" w:styleId="Small-TableswithinQuotes">
    <w:name w:val="Small - Tables within Quotes"/>
    <w:basedOn w:val="BodyText"/>
    <w:rsid w:val="00C565EF"/>
    <w:pPr>
      <w:spacing w:line="240" w:lineRule="auto"/>
      <w:jc w:val="left"/>
    </w:pPr>
    <w:rPr>
      <w:sz w:val="22"/>
    </w:rPr>
  </w:style>
  <w:style w:type="character" w:customStyle="1" w:styleId="BodyTextChar">
    <w:name w:val="Body Text Char"/>
    <w:basedOn w:val="DefaultParagraphFont"/>
    <w:link w:val="BodyText"/>
    <w:rsid w:val="00C565EF"/>
    <w:rPr>
      <w:sz w:val="24"/>
      <w:lang w:eastAsia="en-US"/>
    </w:rPr>
  </w:style>
  <w:style w:type="character" w:customStyle="1" w:styleId="NormalHeadingsChar">
    <w:name w:val="Normal Headings Char"/>
    <w:basedOn w:val="DefaultParagraphFont"/>
    <w:link w:val="NormalHeadings"/>
    <w:rsid w:val="00C565EF"/>
    <w:rPr>
      <w:b/>
      <w:sz w:val="24"/>
      <w:lang w:eastAsia="en-US"/>
    </w:rPr>
  </w:style>
  <w:style w:type="paragraph" w:customStyle="1" w:styleId="CourtTitle">
    <w:name w:val="CourtTitle"/>
    <w:basedOn w:val="NormalHeadings"/>
    <w:rsid w:val="00C565EF"/>
    <w:pPr>
      <w:jc w:val="center"/>
    </w:pPr>
    <w:rPr>
      <w:caps/>
      <w:sz w:val="32"/>
    </w:rPr>
  </w:style>
  <w:style w:type="paragraph" w:customStyle="1" w:styleId="MNC">
    <w:name w:val="MNC"/>
    <w:basedOn w:val="MediaNeutralStyle"/>
    <w:rsid w:val="00C565EF"/>
    <w:pPr>
      <w:spacing w:after="240"/>
    </w:pPr>
    <w:rPr>
      <w:sz w:val="28"/>
    </w:rPr>
  </w:style>
  <w:style w:type="paragraph" w:customStyle="1" w:styleId="Quote4">
    <w:name w:val="Quote4"/>
    <w:basedOn w:val="Quote1"/>
    <w:rsid w:val="00C565EF"/>
    <w:pPr>
      <w:ind w:left="2880"/>
    </w:pPr>
  </w:style>
  <w:style w:type="paragraph" w:customStyle="1" w:styleId="Quote4Bullet">
    <w:name w:val="Quote4 Bullet"/>
    <w:basedOn w:val="Quote4"/>
    <w:rsid w:val="00C565EF"/>
    <w:pPr>
      <w:numPr>
        <w:numId w:val="20"/>
      </w:numPr>
      <w:ind w:hanging="720"/>
    </w:pPr>
  </w:style>
  <w:style w:type="character" w:styleId="PlaceholderText">
    <w:name w:val="Placeholder Text"/>
    <w:basedOn w:val="DefaultParagraphFont"/>
    <w:uiPriority w:val="99"/>
    <w:semiHidden/>
    <w:rsid w:val="00C565EF"/>
    <w:rPr>
      <w:color w:val="808080"/>
    </w:rPr>
  </w:style>
  <w:style w:type="paragraph" w:customStyle="1" w:styleId="Order2">
    <w:name w:val="Order 2"/>
    <w:basedOn w:val="Order1"/>
    <w:rsid w:val="00C565EF"/>
    <w:pPr>
      <w:numPr>
        <w:ilvl w:val="1"/>
      </w:numPr>
    </w:pPr>
  </w:style>
  <w:style w:type="paragraph" w:customStyle="1" w:styleId="Order3">
    <w:name w:val="Order 3"/>
    <w:basedOn w:val="Order2"/>
    <w:rsid w:val="00C565EF"/>
    <w:pPr>
      <w:numPr>
        <w:ilvl w:val="2"/>
      </w:numPr>
    </w:pPr>
  </w:style>
  <w:style w:type="paragraph" w:customStyle="1" w:styleId="ListNo1alt">
    <w:name w:val="List No 1 (alt)"/>
    <w:basedOn w:val="Normal"/>
    <w:rsid w:val="00C565EF"/>
    <w:pPr>
      <w:numPr>
        <w:numId w:val="36"/>
      </w:numPr>
      <w:spacing w:before="60" w:after="60"/>
    </w:pPr>
  </w:style>
  <w:style w:type="paragraph" w:customStyle="1" w:styleId="ListNo2alt">
    <w:name w:val="List No 2 (alt)"/>
    <w:basedOn w:val="ListNo1alt"/>
    <w:rsid w:val="00C565EF"/>
    <w:pPr>
      <w:numPr>
        <w:ilvl w:val="1"/>
      </w:numPr>
    </w:pPr>
  </w:style>
  <w:style w:type="paragraph" w:customStyle="1" w:styleId="ListNo3alt">
    <w:name w:val="List No 3 (alt)"/>
    <w:basedOn w:val="ListNo2alt"/>
    <w:rsid w:val="00C565EF"/>
    <w:pPr>
      <w:numPr>
        <w:ilvl w:val="2"/>
      </w:numPr>
    </w:pPr>
  </w:style>
  <w:style w:type="numbering" w:customStyle="1" w:styleId="FCListNoalt">
    <w:name w:val="FC List No (alt)"/>
    <w:uiPriority w:val="99"/>
    <w:rsid w:val="00C565EF"/>
    <w:pPr>
      <w:numPr>
        <w:numId w:val="36"/>
      </w:numPr>
    </w:pPr>
  </w:style>
  <w:style w:type="paragraph" w:customStyle="1" w:styleId="Order4">
    <w:name w:val="Order 4"/>
    <w:basedOn w:val="Order3"/>
    <w:rsid w:val="00C565EF"/>
    <w:pPr>
      <w:numPr>
        <w:ilvl w:val="3"/>
      </w:numPr>
    </w:pPr>
  </w:style>
  <w:style w:type="paragraph" w:styleId="FootnoteText">
    <w:name w:val="footnote text"/>
    <w:basedOn w:val="Normal"/>
    <w:link w:val="FootnoteTextChar"/>
    <w:semiHidden/>
    <w:unhideWhenUsed/>
    <w:rsid w:val="00C565EF"/>
    <w:pPr>
      <w:spacing w:line="240" w:lineRule="auto"/>
    </w:pPr>
    <w:rPr>
      <w:sz w:val="20"/>
    </w:rPr>
  </w:style>
  <w:style w:type="character" w:customStyle="1" w:styleId="FootnoteTextChar">
    <w:name w:val="Footnote Text Char"/>
    <w:basedOn w:val="DefaultParagraphFont"/>
    <w:link w:val="FootnoteText"/>
    <w:semiHidden/>
    <w:rsid w:val="00C565EF"/>
    <w:rPr>
      <w:lang w:eastAsia="en-US"/>
    </w:rPr>
  </w:style>
  <w:style w:type="character" w:styleId="FootnoteReference">
    <w:name w:val="footnote reference"/>
    <w:basedOn w:val="DefaultParagraphFont"/>
    <w:semiHidden/>
    <w:unhideWhenUsed/>
    <w:rsid w:val="00C565EF"/>
    <w:rPr>
      <w:vertAlign w:val="superscript"/>
    </w:rPr>
  </w:style>
  <w:style w:type="paragraph" w:customStyle="1" w:styleId="FCBullets2">
    <w:name w:val="FCBullets2"/>
    <w:basedOn w:val="FCBullets"/>
    <w:rsid w:val="00C565EF"/>
    <w:pPr>
      <w:numPr>
        <w:ilvl w:val="1"/>
      </w:numPr>
    </w:pPr>
  </w:style>
  <w:style w:type="numbering" w:customStyle="1" w:styleId="FCNotes">
    <w:name w:val="FCNotes"/>
    <w:uiPriority w:val="99"/>
    <w:rsid w:val="00C565EF"/>
    <w:pPr>
      <w:numPr>
        <w:numId w:val="23"/>
      </w:numPr>
    </w:pPr>
  </w:style>
  <w:style w:type="paragraph" w:customStyle="1" w:styleId="Notes">
    <w:name w:val="Notes"/>
    <w:basedOn w:val="Normal"/>
    <w:rsid w:val="00C565EF"/>
    <w:pPr>
      <w:numPr>
        <w:numId w:val="23"/>
      </w:numPr>
      <w:spacing w:before="60" w:after="60"/>
    </w:pPr>
  </w:style>
  <w:style w:type="paragraph" w:customStyle="1" w:styleId="OrdersHeading1">
    <w:name w:val="Orders Heading 1"/>
    <w:basedOn w:val="Normal"/>
    <w:next w:val="BodyText"/>
    <w:rsid w:val="00C565EF"/>
    <w:pPr>
      <w:keepNext/>
      <w:spacing w:before="240" w:after="180" w:line="240" w:lineRule="auto"/>
    </w:pPr>
    <w:rPr>
      <w:b/>
      <w:caps/>
    </w:rPr>
  </w:style>
  <w:style w:type="paragraph" w:customStyle="1" w:styleId="OrdersHeading2">
    <w:name w:val="Orders Heading 2"/>
    <w:basedOn w:val="Normal"/>
    <w:next w:val="BodyText"/>
    <w:rsid w:val="00C565EF"/>
    <w:pPr>
      <w:keepNext/>
      <w:spacing w:before="240" w:after="180" w:line="240" w:lineRule="auto"/>
    </w:pPr>
    <w:rPr>
      <w:b/>
    </w:rPr>
  </w:style>
  <w:style w:type="paragraph" w:styleId="Revision">
    <w:name w:val="Revision"/>
    <w:hidden/>
    <w:uiPriority w:val="99"/>
    <w:semiHidden/>
    <w:rsid w:val="00773DA9"/>
    <w:rPr>
      <w:sz w:val="24"/>
      <w:lang w:eastAsia="en-US"/>
    </w:rPr>
  </w:style>
  <w:style w:type="character" w:customStyle="1" w:styleId="Heading3Char">
    <w:name w:val="Heading 3 Char"/>
    <w:basedOn w:val="DefaultParagraphFont"/>
    <w:link w:val="Heading3"/>
    <w:rsid w:val="0058183C"/>
    <w:rPr>
      <w:b/>
      <w:i/>
      <w:sz w:val="24"/>
      <w:lang w:eastAsia="en-US"/>
    </w:rPr>
  </w:style>
  <w:style w:type="paragraph" w:styleId="ListParagraph">
    <w:name w:val="List Paragraph"/>
    <w:basedOn w:val="Normal"/>
    <w:uiPriority w:val="34"/>
    <w:rsid w:val="00A447D9"/>
    <w:pPr>
      <w:ind w:left="720"/>
      <w:contextualSpacing/>
    </w:pPr>
  </w:style>
  <w:style w:type="character" w:customStyle="1" w:styleId="Heading1Char">
    <w:name w:val="Heading 1 Char"/>
    <w:basedOn w:val="DefaultParagraphFont"/>
    <w:link w:val="Heading1"/>
    <w:rsid w:val="003A18AB"/>
    <w:rPr>
      <w:b/>
      <w:caps/>
      <w:kern w:val="28"/>
      <w:sz w:val="24"/>
      <w:lang w:eastAsia="en-US"/>
    </w:rPr>
  </w:style>
  <w:style w:type="character" w:customStyle="1" w:styleId="colabel">
    <w:name w:val="co_label"/>
    <w:basedOn w:val="DefaultParagraphFont"/>
    <w:rsid w:val="00131ACA"/>
  </w:style>
  <w:style w:type="character" w:customStyle="1" w:styleId="Heading4Char">
    <w:name w:val="Heading 4 Char"/>
    <w:basedOn w:val="DefaultParagraphFont"/>
    <w:link w:val="Heading4"/>
    <w:rsid w:val="00281828"/>
    <w:rPr>
      <w: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1472">
      <w:bodyDiv w:val="1"/>
      <w:marLeft w:val="0"/>
      <w:marRight w:val="0"/>
      <w:marTop w:val="0"/>
      <w:marBottom w:val="0"/>
      <w:divBdr>
        <w:top w:val="none" w:sz="0" w:space="0" w:color="auto"/>
        <w:left w:val="none" w:sz="0" w:space="0" w:color="auto"/>
        <w:bottom w:val="none" w:sz="0" w:space="0" w:color="auto"/>
        <w:right w:val="none" w:sz="0" w:space="0" w:color="auto"/>
      </w:divBdr>
      <w:divsChild>
        <w:div w:id="327289777">
          <w:marLeft w:val="0"/>
          <w:marRight w:val="0"/>
          <w:marTop w:val="0"/>
          <w:marBottom w:val="0"/>
          <w:divBdr>
            <w:top w:val="none" w:sz="0" w:space="0" w:color="auto"/>
            <w:left w:val="none" w:sz="0" w:space="0" w:color="auto"/>
            <w:bottom w:val="none" w:sz="0" w:space="0" w:color="auto"/>
            <w:right w:val="none" w:sz="0" w:space="0" w:color="auto"/>
          </w:divBdr>
          <w:divsChild>
            <w:div w:id="1753969783">
              <w:marLeft w:val="0"/>
              <w:marRight w:val="0"/>
              <w:marTop w:val="0"/>
              <w:marBottom w:val="0"/>
              <w:divBdr>
                <w:top w:val="none" w:sz="0" w:space="0" w:color="auto"/>
                <w:left w:val="none" w:sz="0" w:space="0" w:color="auto"/>
                <w:bottom w:val="none" w:sz="0" w:space="0" w:color="auto"/>
                <w:right w:val="none" w:sz="0" w:space="0" w:color="auto"/>
              </w:divBdr>
            </w:div>
          </w:divsChild>
        </w:div>
        <w:div w:id="554662296">
          <w:marLeft w:val="0"/>
          <w:marRight w:val="0"/>
          <w:marTop w:val="0"/>
          <w:marBottom w:val="0"/>
          <w:divBdr>
            <w:top w:val="none" w:sz="0" w:space="0" w:color="auto"/>
            <w:left w:val="none" w:sz="0" w:space="0" w:color="auto"/>
            <w:bottom w:val="none" w:sz="0" w:space="0" w:color="auto"/>
            <w:right w:val="none" w:sz="0" w:space="0" w:color="auto"/>
          </w:divBdr>
          <w:divsChild>
            <w:div w:id="1427850993">
              <w:marLeft w:val="0"/>
              <w:marRight w:val="0"/>
              <w:marTop w:val="0"/>
              <w:marBottom w:val="0"/>
              <w:divBdr>
                <w:top w:val="none" w:sz="0" w:space="0" w:color="auto"/>
                <w:left w:val="none" w:sz="0" w:space="0" w:color="auto"/>
                <w:bottom w:val="none" w:sz="0" w:space="0" w:color="auto"/>
                <w:right w:val="none" w:sz="0" w:space="0" w:color="auto"/>
              </w:divBdr>
            </w:div>
          </w:divsChild>
        </w:div>
        <w:div w:id="592737973">
          <w:marLeft w:val="0"/>
          <w:marRight w:val="0"/>
          <w:marTop w:val="0"/>
          <w:marBottom w:val="0"/>
          <w:divBdr>
            <w:top w:val="none" w:sz="0" w:space="0" w:color="auto"/>
            <w:left w:val="none" w:sz="0" w:space="0" w:color="auto"/>
            <w:bottom w:val="none" w:sz="0" w:space="0" w:color="auto"/>
            <w:right w:val="none" w:sz="0" w:space="0" w:color="auto"/>
          </w:divBdr>
          <w:divsChild>
            <w:div w:id="1857187004">
              <w:marLeft w:val="0"/>
              <w:marRight w:val="0"/>
              <w:marTop w:val="0"/>
              <w:marBottom w:val="0"/>
              <w:divBdr>
                <w:top w:val="none" w:sz="0" w:space="0" w:color="auto"/>
                <w:left w:val="none" w:sz="0" w:space="0" w:color="auto"/>
                <w:bottom w:val="none" w:sz="0" w:space="0" w:color="auto"/>
                <w:right w:val="none" w:sz="0" w:space="0" w:color="auto"/>
              </w:divBdr>
            </w:div>
          </w:divsChild>
        </w:div>
        <w:div w:id="723332654">
          <w:marLeft w:val="0"/>
          <w:marRight w:val="0"/>
          <w:marTop w:val="0"/>
          <w:marBottom w:val="0"/>
          <w:divBdr>
            <w:top w:val="none" w:sz="0" w:space="0" w:color="auto"/>
            <w:left w:val="none" w:sz="0" w:space="0" w:color="auto"/>
            <w:bottom w:val="none" w:sz="0" w:space="0" w:color="auto"/>
            <w:right w:val="none" w:sz="0" w:space="0" w:color="auto"/>
          </w:divBdr>
          <w:divsChild>
            <w:div w:id="1819030279">
              <w:marLeft w:val="0"/>
              <w:marRight w:val="0"/>
              <w:marTop w:val="0"/>
              <w:marBottom w:val="0"/>
              <w:divBdr>
                <w:top w:val="none" w:sz="0" w:space="0" w:color="auto"/>
                <w:left w:val="none" w:sz="0" w:space="0" w:color="auto"/>
                <w:bottom w:val="none" w:sz="0" w:space="0" w:color="auto"/>
                <w:right w:val="none" w:sz="0" w:space="0" w:color="auto"/>
              </w:divBdr>
            </w:div>
          </w:divsChild>
        </w:div>
        <w:div w:id="1223325724">
          <w:marLeft w:val="0"/>
          <w:marRight w:val="0"/>
          <w:marTop w:val="0"/>
          <w:marBottom w:val="0"/>
          <w:divBdr>
            <w:top w:val="none" w:sz="0" w:space="0" w:color="auto"/>
            <w:left w:val="none" w:sz="0" w:space="0" w:color="auto"/>
            <w:bottom w:val="none" w:sz="0" w:space="0" w:color="auto"/>
            <w:right w:val="none" w:sz="0" w:space="0" w:color="auto"/>
          </w:divBdr>
          <w:divsChild>
            <w:div w:id="297229787">
              <w:marLeft w:val="0"/>
              <w:marRight w:val="0"/>
              <w:marTop w:val="0"/>
              <w:marBottom w:val="0"/>
              <w:divBdr>
                <w:top w:val="none" w:sz="0" w:space="0" w:color="auto"/>
                <w:left w:val="none" w:sz="0" w:space="0" w:color="auto"/>
                <w:bottom w:val="none" w:sz="0" w:space="0" w:color="auto"/>
                <w:right w:val="none" w:sz="0" w:space="0" w:color="auto"/>
              </w:divBdr>
            </w:div>
          </w:divsChild>
        </w:div>
        <w:div w:id="1289584345">
          <w:marLeft w:val="0"/>
          <w:marRight w:val="0"/>
          <w:marTop w:val="0"/>
          <w:marBottom w:val="0"/>
          <w:divBdr>
            <w:top w:val="none" w:sz="0" w:space="0" w:color="auto"/>
            <w:left w:val="none" w:sz="0" w:space="0" w:color="auto"/>
            <w:bottom w:val="none" w:sz="0" w:space="0" w:color="auto"/>
            <w:right w:val="none" w:sz="0" w:space="0" w:color="auto"/>
          </w:divBdr>
          <w:divsChild>
            <w:div w:id="696153221">
              <w:marLeft w:val="0"/>
              <w:marRight w:val="0"/>
              <w:marTop w:val="0"/>
              <w:marBottom w:val="0"/>
              <w:divBdr>
                <w:top w:val="none" w:sz="0" w:space="0" w:color="auto"/>
                <w:left w:val="none" w:sz="0" w:space="0" w:color="auto"/>
                <w:bottom w:val="none" w:sz="0" w:space="0" w:color="auto"/>
                <w:right w:val="none" w:sz="0" w:space="0" w:color="auto"/>
              </w:divBdr>
            </w:div>
          </w:divsChild>
        </w:div>
        <w:div w:id="1369644880">
          <w:marLeft w:val="0"/>
          <w:marRight w:val="0"/>
          <w:marTop w:val="0"/>
          <w:marBottom w:val="0"/>
          <w:divBdr>
            <w:top w:val="none" w:sz="0" w:space="0" w:color="auto"/>
            <w:left w:val="none" w:sz="0" w:space="0" w:color="auto"/>
            <w:bottom w:val="none" w:sz="0" w:space="0" w:color="auto"/>
            <w:right w:val="none" w:sz="0" w:space="0" w:color="auto"/>
          </w:divBdr>
          <w:divsChild>
            <w:div w:id="819157023">
              <w:marLeft w:val="0"/>
              <w:marRight w:val="0"/>
              <w:marTop w:val="0"/>
              <w:marBottom w:val="0"/>
              <w:divBdr>
                <w:top w:val="none" w:sz="0" w:space="0" w:color="auto"/>
                <w:left w:val="none" w:sz="0" w:space="0" w:color="auto"/>
                <w:bottom w:val="none" w:sz="0" w:space="0" w:color="auto"/>
                <w:right w:val="none" w:sz="0" w:space="0" w:color="auto"/>
              </w:divBdr>
            </w:div>
          </w:divsChild>
        </w:div>
        <w:div w:id="1573155045">
          <w:marLeft w:val="0"/>
          <w:marRight w:val="0"/>
          <w:marTop w:val="0"/>
          <w:marBottom w:val="0"/>
          <w:divBdr>
            <w:top w:val="none" w:sz="0" w:space="0" w:color="auto"/>
            <w:left w:val="none" w:sz="0" w:space="0" w:color="auto"/>
            <w:bottom w:val="none" w:sz="0" w:space="0" w:color="auto"/>
            <w:right w:val="none" w:sz="0" w:space="0" w:color="auto"/>
          </w:divBdr>
          <w:divsChild>
            <w:div w:id="1181701405">
              <w:marLeft w:val="0"/>
              <w:marRight w:val="0"/>
              <w:marTop w:val="0"/>
              <w:marBottom w:val="0"/>
              <w:divBdr>
                <w:top w:val="none" w:sz="0" w:space="0" w:color="auto"/>
                <w:left w:val="none" w:sz="0" w:space="0" w:color="auto"/>
                <w:bottom w:val="none" w:sz="0" w:space="0" w:color="auto"/>
                <w:right w:val="none" w:sz="0" w:space="0" w:color="auto"/>
              </w:divBdr>
            </w:div>
          </w:divsChild>
        </w:div>
        <w:div w:id="1817915856">
          <w:marLeft w:val="0"/>
          <w:marRight w:val="0"/>
          <w:marTop w:val="0"/>
          <w:marBottom w:val="0"/>
          <w:divBdr>
            <w:top w:val="none" w:sz="0" w:space="0" w:color="auto"/>
            <w:left w:val="none" w:sz="0" w:space="0" w:color="auto"/>
            <w:bottom w:val="none" w:sz="0" w:space="0" w:color="auto"/>
            <w:right w:val="none" w:sz="0" w:space="0" w:color="auto"/>
          </w:divBdr>
          <w:divsChild>
            <w:div w:id="31660359">
              <w:marLeft w:val="0"/>
              <w:marRight w:val="0"/>
              <w:marTop w:val="0"/>
              <w:marBottom w:val="0"/>
              <w:divBdr>
                <w:top w:val="none" w:sz="0" w:space="0" w:color="auto"/>
                <w:left w:val="none" w:sz="0" w:space="0" w:color="auto"/>
                <w:bottom w:val="none" w:sz="0" w:space="0" w:color="auto"/>
                <w:right w:val="none" w:sz="0" w:space="0" w:color="auto"/>
              </w:divBdr>
              <w:divsChild>
                <w:div w:id="1012418148">
                  <w:marLeft w:val="0"/>
                  <w:marRight w:val="0"/>
                  <w:marTop w:val="0"/>
                  <w:marBottom w:val="0"/>
                  <w:divBdr>
                    <w:top w:val="none" w:sz="0" w:space="0" w:color="auto"/>
                    <w:left w:val="none" w:sz="0" w:space="0" w:color="auto"/>
                    <w:bottom w:val="none" w:sz="0" w:space="0" w:color="auto"/>
                    <w:right w:val="none" w:sz="0" w:space="0" w:color="auto"/>
                  </w:divBdr>
                </w:div>
              </w:divsChild>
            </w:div>
            <w:div w:id="62338611">
              <w:marLeft w:val="0"/>
              <w:marRight w:val="0"/>
              <w:marTop w:val="0"/>
              <w:marBottom w:val="0"/>
              <w:divBdr>
                <w:top w:val="none" w:sz="0" w:space="0" w:color="auto"/>
                <w:left w:val="none" w:sz="0" w:space="0" w:color="auto"/>
                <w:bottom w:val="none" w:sz="0" w:space="0" w:color="auto"/>
                <w:right w:val="none" w:sz="0" w:space="0" w:color="auto"/>
              </w:divBdr>
              <w:divsChild>
                <w:div w:id="1322856341">
                  <w:marLeft w:val="0"/>
                  <w:marRight w:val="0"/>
                  <w:marTop w:val="0"/>
                  <w:marBottom w:val="0"/>
                  <w:divBdr>
                    <w:top w:val="none" w:sz="0" w:space="0" w:color="auto"/>
                    <w:left w:val="none" w:sz="0" w:space="0" w:color="auto"/>
                    <w:bottom w:val="none" w:sz="0" w:space="0" w:color="auto"/>
                    <w:right w:val="none" w:sz="0" w:space="0" w:color="auto"/>
                  </w:divBdr>
                </w:div>
              </w:divsChild>
            </w:div>
            <w:div w:id="66928169">
              <w:marLeft w:val="0"/>
              <w:marRight w:val="0"/>
              <w:marTop w:val="0"/>
              <w:marBottom w:val="0"/>
              <w:divBdr>
                <w:top w:val="none" w:sz="0" w:space="0" w:color="auto"/>
                <w:left w:val="none" w:sz="0" w:space="0" w:color="auto"/>
                <w:bottom w:val="none" w:sz="0" w:space="0" w:color="auto"/>
                <w:right w:val="none" w:sz="0" w:space="0" w:color="auto"/>
              </w:divBdr>
              <w:divsChild>
                <w:div w:id="1154831292">
                  <w:marLeft w:val="0"/>
                  <w:marRight w:val="0"/>
                  <w:marTop w:val="0"/>
                  <w:marBottom w:val="0"/>
                  <w:divBdr>
                    <w:top w:val="none" w:sz="0" w:space="0" w:color="auto"/>
                    <w:left w:val="none" w:sz="0" w:space="0" w:color="auto"/>
                    <w:bottom w:val="none" w:sz="0" w:space="0" w:color="auto"/>
                    <w:right w:val="none" w:sz="0" w:space="0" w:color="auto"/>
                  </w:divBdr>
                </w:div>
              </w:divsChild>
            </w:div>
            <w:div w:id="838928430">
              <w:marLeft w:val="0"/>
              <w:marRight w:val="0"/>
              <w:marTop w:val="0"/>
              <w:marBottom w:val="0"/>
              <w:divBdr>
                <w:top w:val="none" w:sz="0" w:space="0" w:color="auto"/>
                <w:left w:val="none" w:sz="0" w:space="0" w:color="auto"/>
                <w:bottom w:val="none" w:sz="0" w:space="0" w:color="auto"/>
                <w:right w:val="none" w:sz="0" w:space="0" w:color="auto"/>
              </w:divBdr>
              <w:divsChild>
                <w:div w:id="609512810">
                  <w:marLeft w:val="0"/>
                  <w:marRight w:val="0"/>
                  <w:marTop w:val="0"/>
                  <w:marBottom w:val="0"/>
                  <w:divBdr>
                    <w:top w:val="none" w:sz="0" w:space="0" w:color="auto"/>
                    <w:left w:val="none" w:sz="0" w:space="0" w:color="auto"/>
                    <w:bottom w:val="none" w:sz="0" w:space="0" w:color="auto"/>
                    <w:right w:val="none" w:sz="0" w:space="0" w:color="auto"/>
                  </w:divBdr>
                </w:div>
              </w:divsChild>
            </w:div>
            <w:div w:id="1503275015">
              <w:marLeft w:val="0"/>
              <w:marRight w:val="0"/>
              <w:marTop w:val="0"/>
              <w:marBottom w:val="0"/>
              <w:divBdr>
                <w:top w:val="none" w:sz="0" w:space="0" w:color="auto"/>
                <w:left w:val="none" w:sz="0" w:space="0" w:color="auto"/>
                <w:bottom w:val="none" w:sz="0" w:space="0" w:color="auto"/>
                <w:right w:val="none" w:sz="0" w:space="0" w:color="auto"/>
              </w:divBdr>
              <w:divsChild>
                <w:div w:id="1131746034">
                  <w:marLeft w:val="0"/>
                  <w:marRight w:val="0"/>
                  <w:marTop w:val="0"/>
                  <w:marBottom w:val="0"/>
                  <w:divBdr>
                    <w:top w:val="none" w:sz="0" w:space="0" w:color="auto"/>
                    <w:left w:val="none" w:sz="0" w:space="0" w:color="auto"/>
                    <w:bottom w:val="none" w:sz="0" w:space="0" w:color="auto"/>
                    <w:right w:val="none" w:sz="0" w:space="0" w:color="auto"/>
                  </w:divBdr>
                </w:div>
              </w:divsChild>
            </w:div>
            <w:div w:id="1645157554">
              <w:marLeft w:val="0"/>
              <w:marRight w:val="0"/>
              <w:marTop w:val="0"/>
              <w:marBottom w:val="0"/>
              <w:divBdr>
                <w:top w:val="none" w:sz="0" w:space="0" w:color="auto"/>
                <w:left w:val="none" w:sz="0" w:space="0" w:color="auto"/>
                <w:bottom w:val="none" w:sz="0" w:space="0" w:color="auto"/>
                <w:right w:val="none" w:sz="0" w:space="0" w:color="auto"/>
              </w:divBdr>
              <w:divsChild>
                <w:div w:id="1316953856">
                  <w:marLeft w:val="0"/>
                  <w:marRight w:val="0"/>
                  <w:marTop w:val="0"/>
                  <w:marBottom w:val="0"/>
                  <w:divBdr>
                    <w:top w:val="none" w:sz="0" w:space="0" w:color="auto"/>
                    <w:left w:val="none" w:sz="0" w:space="0" w:color="auto"/>
                    <w:bottom w:val="none" w:sz="0" w:space="0" w:color="auto"/>
                    <w:right w:val="none" w:sz="0" w:space="0" w:color="auto"/>
                  </w:divBdr>
                </w:div>
              </w:divsChild>
            </w:div>
            <w:div w:id="1929651961">
              <w:marLeft w:val="0"/>
              <w:marRight w:val="0"/>
              <w:marTop w:val="0"/>
              <w:marBottom w:val="0"/>
              <w:divBdr>
                <w:top w:val="none" w:sz="0" w:space="0" w:color="auto"/>
                <w:left w:val="none" w:sz="0" w:space="0" w:color="auto"/>
                <w:bottom w:val="none" w:sz="0" w:space="0" w:color="auto"/>
                <w:right w:val="none" w:sz="0" w:space="0" w:color="auto"/>
              </w:divBdr>
              <w:divsChild>
                <w:div w:id="179636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9912">
          <w:marLeft w:val="0"/>
          <w:marRight w:val="0"/>
          <w:marTop w:val="0"/>
          <w:marBottom w:val="0"/>
          <w:divBdr>
            <w:top w:val="none" w:sz="0" w:space="0" w:color="auto"/>
            <w:left w:val="none" w:sz="0" w:space="0" w:color="auto"/>
            <w:bottom w:val="none" w:sz="0" w:space="0" w:color="auto"/>
            <w:right w:val="none" w:sz="0" w:space="0" w:color="auto"/>
          </w:divBdr>
          <w:divsChild>
            <w:div w:id="276257951">
              <w:marLeft w:val="0"/>
              <w:marRight w:val="0"/>
              <w:marTop w:val="0"/>
              <w:marBottom w:val="0"/>
              <w:divBdr>
                <w:top w:val="none" w:sz="0" w:space="0" w:color="auto"/>
                <w:left w:val="none" w:sz="0" w:space="0" w:color="auto"/>
                <w:bottom w:val="none" w:sz="0" w:space="0" w:color="auto"/>
                <w:right w:val="none" w:sz="0" w:space="0" w:color="auto"/>
              </w:divBdr>
              <w:divsChild>
                <w:div w:id="1678381691">
                  <w:marLeft w:val="0"/>
                  <w:marRight w:val="0"/>
                  <w:marTop w:val="0"/>
                  <w:marBottom w:val="0"/>
                  <w:divBdr>
                    <w:top w:val="none" w:sz="0" w:space="0" w:color="auto"/>
                    <w:left w:val="none" w:sz="0" w:space="0" w:color="auto"/>
                    <w:bottom w:val="none" w:sz="0" w:space="0" w:color="auto"/>
                    <w:right w:val="none" w:sz="0" w:space="0" w:color="auto"/>
                  </w:divBdr>
                </w:div>
              </w:divsChild>
            </w:div>
            <w:div w:id="1750343020">
              <w:marLeft w:val="0"/>
              <w:marRight w:val="0"/>
              <w:marTop w:val="0"/>
              <w:marBottom w:val="0"/>
              <w:divBdr>
                <w:top w:val="none" w:sz="0" w:space="0" w:color="auto"/>
                <w:left w:val="none" w:sz="0" w:space="0" w:color="auto"/>
                <w:bottom w:val="none" w:sz="0" w:space="0" w:color="auto"/>
                <w:right w:val="none" w:sz="0" w:space="0" w:color="auto"/>
              </w:divBdr>
              <w:divsChild>
                <w:div w:id="196359368">
                  <w:marLeft w:val="0"/>
                  <w:marRight w:val="0"/>
                  <w:marTop w:val="0"/>
                  <w:marBottom w:val="0"/>
                  <w:divBdr>
                    <w:top w:val="none" w:sz="0" w:space="0" w:color="auto"/>
                    <w:left w:val="none" w:sz="0" w:space="0" w:color="auto"/>
                    <w:bottom w:val="none" w:sz="0" w:space="0" w:color="auto"/>
                    <w:right w:val="none" w:sz="0" w:space="0" w:color="auto"/>
                  </w:divBdr>
                </w:div>
              </w:divsChild>
            </w:div>
            <w:div w:id="1754819734">
              <w:marLeft w:val="0"/>
              <w:marRight w:val="0"/>
              <w:marTop w:val="0"/>
              <w:marBottom w:val="0"/>
              <w:divBdr>
                <w:top w:val="none" w:sz="0" w:space="0" w:color="auto"/>
                <w:left w:val="none" w:sz="0" w:space="0" w:color="auto"/>
                <w:bottom w:val="none" w:sz="0" w:space="0" w:color="auto"/>
                <w:right w:val="none" w:sz="0" w:space="0" w:color="auto"/>
              </w:divBdr>
              <w:divsChild>
                <w:div w:id="616761634">
                  <w:marLeft w:val="0"/>
                  <w:marRight w:val="0"/>
                  <w:marTop w:val="0"/>
                  <w:marBottom w:val="0"/>
                  <w:divBdr>
                    <w:top w:val="none" w:sz="0" w:space="0" w:color="auto"/>
                    <w:left w:val="none" w:sz="0" w:space="0" w:color="auto"/>
                    <w:bottom w:val="none" w:sz="0" w:space="0" w:color="auto"/>
                    <w:right w:val="none" w:sz="0" w:space="0" w:color="auto"/>
                  </w:divBdr>
                </w:div>
              </w:divsChild>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1312514698">
                  <w:marLeft w:val="0"/>
                  <w:marRight w:val="0"/>
                  <w:marTop w:val="0"/>
                  <w:marBottom w:val="0"/>
                  <w:divBdr>
                    <w:top w:val="none" w:sz="0" w:space="0" w:color="auto"/>
                    <w:left w:val="none" w:sz="0" w:space="0" w:color="auto"/>
                    <w:bottom w:val="none" w:sz="0" w:space="0" w:color="auto"/>
                    <w:right w:val="none" w:sz="0" w:space="0" w:color="auto"/>
                  </w:divBdr>
                </w:div>
              </w:divsChild>
            </w:div>
            <w:div w:id="1921598223">
              <w:marLeft w:val="0"/>
              <w:marRight w:val="0"/>
              <w:marTop w:val="0"/>
              <w:marBottom w:val="0"/>
              <w:divBdr>
                <w:top w:val="none" w:sz="0" w:space="0" w:color="auto"/>
                <w:left w:val="none" w:sz="0" w:space="0" w:color="auto"/>
                <w:bottom w:val="none" w:sz="0" w:space="0" w:color="auto"/>
                <w:right w:val="none" w:sz="0" w:space="0" w:color="auto"/>
              </w:divBdr>
              <w:divsChild>
                <w:div w:id="735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8986">
          <w:marLeft w:val="0"/>
          <w:marRight w:val="0"/>
          <w:marTop w:val="0"/>
          <w:marBottom w:val="0"/>
          <w:divBdr>
            <w:top w:val="none" w:sz="0" w:space="0" w:color="auto"/>
            <w:left w:val="none" w:sz="0" w:space="0" w:color="auto"/>
            <w:bottom w:val="none" w:sz="0" w:space="0" w:color="auto"/>
            <w:right w:val="none" w:sz="0" w:space="0" w:color="auto"/>
          </w:divBdr>
          <w:divsChild>
            <w:div w:id="1052004434">
              <w:marLeft w:val="0"/>
              <w:marRight w:val="0"/>
              <w:marTop w:val="0"/>
              <w:marBottom w:val="0"/>
              <w:divBdr>
                <w:top w:val="none" w:sz="0" w:space="0" w:color="auto"/>
                <w:left w:val="none" w:sz="0" w:space="0" w:color="auto"/>
                <w:bottom w:val="none" w:sz="0" w:space="0" w:color="auto"/>
                <w:right w:val="none" w:sz="0" w:space="0" w:color="auto"/>
              </w:divBdr>
            </w:div>
          </w:divsChild>
        </w:div>
        <w:div w:id="2082095407">
          <w:marLeft w:val="0"/>
          <w:marRight w:val="0"/>
          <w:marTop w:val="0"/>
          <w:marBottom w:val="0"/>
          <w:divBdr>
            <w:top w:val="none" w:sz="0" w:space="0" w:color="auto"/>
            <w:left w:val="none" w:sz="0" w:space="0" w:color="auto"/>
            <w:bottom w:val="none" w:sz="0" w:space="0" w:color="auto"/>
            <w:right w:val="none" w:sz="0" w:space="0" w:color="auto"/>
          </w:divBdr>
          <w:divsChild>
            <w:div w:id="900871969">
              <w:marLeft w:val="0"/>
              <w:marRight w:val="0"/>
              <w:marTop w:val="0"/>
              <w:marBottom w:val="0"/>
              <w:divBdr>
                <w:top w:val="none" w:sz="0" w:space="0" w:color="auto"/>
                <w:left w:val="none" w:sz="0" w:space="0" w:color="auto"/>
                <w:bottom w:val="none" w:sz="0" w:space="0" w:color="auto"/>
                <w:right w:val="none" w:sz="0" w:space="0" w:color="auto"/>
              </w:divBdr>
            </w:div>
          </w:divsChild>
        </w:div>
        <w:div w:id="2126650693">
          <w:marLeft w:val="0"/>
          <w:marRight w:val="0"/>
          <w:marTop w:val="0"/>
          <w:marBottom w:val="0"/>
          <w:divBdr>
            <w:top w:val="none" w:sz="0" w:space="0" w:color="auto"/>
            <w:left w:val="none" w:sz="0" w:space="0" w:color="auto"/>
            <w:bottom w:val="none" w:sz="0" w:space="0" w:color="auto"/>
            <w:right w:val="none" w:sz="0" w:space="0" w:color="auto"/>
          </w:divBdr>
          <w:divsChild>
            <w:div w:id="11320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4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0F6909A8914B898AFE42EA400578D1"/>
        <w:category>
          <w:name w:val="General"/>
          <w:gallery w:val="placeholder"/>
        </w:category>
        <w:types>
          <w:type w:val="bbPlcHdr"/>
        </w:types>
        <w:behaviors>
          <w:behavior w:val="content"/>
        </w:behaviors>
        <w:guid w:val="{979BE214-69E3-42EA-A53B-51C3A4819AFB}"/>
      </w:docPartPr>
      <w:docPartBody>
        <w:p w:rsidR="002200A7" w:rsidRDefault="002200A7">
          <w:pPr>
            <w:pStyle w:val="990F6909A8914B898AFE42EA400578D1"/>
          </w:pPr>
          <w:r>
            <w:rPr>
              <w:rStyle w:val="PlaceholderText"/>
            </w:rPr>
            <w:t>MNC Text</w:t>
          </w:r>
        </w:p>
      </w:docPartBody>
    </w:docPart>
    <w:docPart>
      <w:docPartPr>
        <w:name w:val="DE21D76FF185461E8D9CD8E41BA47C8B"/>
        <w:category>
          <w:name w:val="General"/>
          <w:gallery w:val="placeholder"/>
        </w:category>
        <w:types>
          <w:type w:val="bbPlcHdr"/>
        </w:types>
        <w:behaviors>
          <w:behavior w:val="content"/>
        </w:behaviors>
        <w:guid w:val="{ED1BD190-91A1-43B8-966A-49FF88705666}"/>
      </w:docPartPr>
      <w:docPartBody>
        <w:p w:rsidR="002200A7" w:rsidRDefault="002200A7">
          <w:pPr>
            <w:pStyle w:val="DE21D76FF185461E8D9CD8E41BA47C8B"/>
          </w:pPr>
          <w:r w:rsidRPr="005C44BE">
            <w:rPr>
              <w:rStyle w:val="PlaceholderText"/>
            </w:rPr>
            <w:t>Click or tap here to enter text.</w:t>
          </w:r>
        </w:p>
      </w:docPartBody>
    </w:docPart>
    <w:docPart>
      <w:docPartPr>
        <w:name w:val="35AE4ED706D34F6E9A164D3FCA4ABF44"/>
        <w:category>
          <w:name w:val="General"/>
          <w:gallery w:val="placeholder"/>
        </w:category>
        <w:types>
          <w:type w:val="bbPlcHdr"/>
        </w:types>
        <w:behaviors>
          <w:behavior w:val="content"/>
        </w:behaviors>
        <w:guid w:val="{805344B1-06A1-4248-A588-6347F2E5DE8D}"/>
      </w:docPartPr>
      <w:docPartBody>
        <w:p w:rsidR="002200A7" w:rsidRDefault="002200A7">
          <w:pPr>
            <w:pStyle w:val="35AE4ED706D34F6E9A164D3FCA4ABF44"/>
          </w:pPr>
          <w:r w:rsidRPr="005C44BE">
            <w:rPr>
              <w:rStyle w:val="PlaceholderText"/>
            </w:rPr>
            <w:t>Click or tap here to enter text.</w:t>
          </w:r>
        </w:p>
      </w:docPartBody>
    </w:docPart>
    <w:docPart>
      <w:docPartPr>
        <w:name w:val="88AB1FE82936432DA7789CC43CA87D7C"/>
        <w:category>
          <w:name w:val="General"/>
          <w:gallery w:val="placeholder"/>
        </w:category>
        <w:types>
          <w:type w:val="bbPlcHdr"/>
        </w:types>
        <w:behaviors>
          <w:behavior w:val="content"/>
        </w:behaviors>
        <w:guid w:val="{61B141CD-C495-4738-A8A4-47234096AEF7}"/>
      </w:docPartPr>
      <w:docPartBody>
        <w:p w:rsidR="002200A7" w:rsidRDefault="002200A7">
          <w:pPr>
            <w:pStyle w:val="88AB1FE82936432DA7789CC43CA87D7C"/>
          </w:pPr>
          <w:r w:rsidRPr="005C44BE">
            <w:rPr>
              <w:rStyle w:val="PlaceholderText"/>
            </w:rPr>
            <w:t>Click or tap here to enter text.</w:t>
          </w:r>
        </w:p>
      </w:docPartBody>
    </w:docPart>
    <w:docPart>
      <w:docPartPr>
        <w:name w:val="5513DB6D046D4931931B045CAE3E56C1"/>
        <w:category>
          <w:name w:val="General"/>
          <w:gallery w:val="placeholder"/>
        </w:category>
        <w:types>
          <w:type w:val="bbPlcHdr"/>
        </w:types>
        <w:behaviors>
          <w:behavior w:val="content"/>
        </w:behaviors>
        <w:guid w:val="{C3D58421-5E54-4887-84F7-BB1A79B3725C}"/>
      </w:docPartPr>
      <w:docPartBody>
        <w:p w:rsidR="002200A7" w:rsidRDefault="002200A7">
          <w:pPr>
            <w:pStyle w:val="5513DB6D046D4931931B045CAE3E56C1"/>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swiss"/>
    <w:notTrueType/>
    <w:pitch w:val="default"/>
    <w:sig w:usb0="00000003" w:usb1="00000000" w:usb2="00000000" w:usb3="00000000" w:csb0="00000001" w:csb1="00000000"/>
  </w:font>
  <w:font w:name="MS Gothic">
    <w:altName w:val="‚l‚r ƒSƒVƒbƒ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396"/>
    <w:rsid w:val="00003647"/>
    <w:rsid w:val="00014FCC"/>
    <w:rsid w:val="00063F9D"/>
    <w:rsid w:val="000A00D0"/>
    <w:rsid w:val="001134DB"/>
    <w:rsid w:val="001E4CCB"/>
    <w:rsid w:val="002200A7"/>
    <w:rsid w:val="002E42B1"/>
    <w:rsid w:val="00317EE2"/>
    <w:rsid w:val="00380B9A"/>
    <w:rsid w:val="003E06CA"/>
    <w:rsid w:val="0046678A"/>
    <w:rsid w:val="004D5F86"/>
    <w:rsid w:val="004E0F12"/>
    <w:rsid w:val="004E304D"/>
    <w:rsid w:val="004E455B"/>
    <w:rsid w:val="0050686D"/>
    <w:rsid w:val="00547396"/>
    <w:rsid w:val="00592A71"/>
    <w:rsid w:val="006C7A51"/>
    <w:rsid w:val="006D6E51"/>
    <w:rsid w:val="00753F18"/>
    <w:rsid w:val="00780828"/>
    <w:rsid w:val="007D1DA4"/>
    <w:rsid w:val="008322FF"/>
    <w:rsid w:val="00870FB5"/>
    <w:rsid w:val="00881872"/>
    <w:rsid w:val="00A123CD"/>
    <w:rsid w:val="00A30C3F"/>
    <w:rsid w:val="00A60052"/>
    <w:rsid w:val="00A7045A"/>
    <w:rsid w:val="00B51965"/>
    <w:rsid w:val="00B953EA"/>
    <w:rsid w:val="00C00D60"/>
    <w:rsid w:val="00CA574D"/>
    <w:rsid w:val="00CC2B6E"/>
    <w:rsid w:val="00D56C76"/>
    <w:rsid w:val="00E04EB3"/>
    <w:rsid w:val="00E561A6"/>
    <w:rsid w:val="00E73AD8"/>
    <w:rsid w:val="00FF38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90F6909A8914B898AFE42EA400578D1">
    <w:name w:val="990F6909A8914B898AFE42EA400578D1"/>
  </w:style>
  <w:style w:type="paragraph" w:customStyle="1" w:styleId="DE21D76FF185461E8D9CD8E41BA47C8B">
    <w:name w:val="DE21D76FF185461E8D9CD8E41BA47C8B"/>
  </w:style>
  <w:style w:type="paragraph" w:customStyle="1" w:styleId="35AE4ED706D34F6E9A164D3FCA4ABF44">
    <w:name w:val="35AE4ED706D34F6E9A164D3FCA4ABF44"/>
  </w:style>
  <w:style w:type="paragraph" w:customStyle="1" w:styleId="88AB1FE82936432DA7789CC43CA87D7C">
    <w:name w:val="88AB1FE82936432DA7789CC43CA87D7C"/>
  </w:style>
  <w:style w:type="paragraph" w:customStyle="1" w:styleId="5513DB6D046D4931931B045CAE3E56C1">
    <w:name w:val="5513DB6D046D4931931B045CAE3E56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Australian Securities and Investments Commission v Holista Colltech Ltd [2024] FCA 244 </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61</Pages>
  <Words>22684</Words>
  <Characters>118601</Characters>
  <Application>Microsoft Office Word</Application>
  <DocSecurity>0</DocSecurity>
  <Lines>2758</Lines>
  <Paragraphs>1207</Paragraphs>
  <ScaleCrop>false</ScaleCrop>
  <HeadingPairs>
    <vt:vector size="2" baseType="variant">
      <vt:variant>
        <vt:lpstr>Title</vt:lpstr>
      </vt:variant>
      <vt:variant>
        <vt:i4>1</vt:i4>
      </vt:variant>
    </vt:vector>
  </HeadingPairs>
  <TitlesOfParts>
    <vt:vector size="1" baseType="lpstr">
      <vt:lpstr>Australian Securities and Investments Commission v Holista Colltech Ltd [2024] FCA 244</vt:lpstr>
    </vt:vector>
  </TitlesOfParts>
  <Company>Federal Court of Australia</Company>
  <LinksUpToDate>false</LinksUpToDate>
  <CharactersWithSpaces>140078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Holista Colltech Ltd [2024] FCA 244</dc:title>
  <dc:subject/>
  <dc:creator>Justice SC Derrington (FCA)</dc:creator>
  <cp:keywords/>
  <dc:description>v1.3</dc:description>
  <cp:lastModifiedBy>Federal Court of Australia</cp:lastModifiedBy>
  <cp:revision>2</cp:revision>
  <cp:lastPrinted>2024-03-21T06:20:00Z</cp:lastPrinted>
  <dcterms:created xsi:type="dcterms:W3CDTF">2024-04-02T04:31:00Z</dcterms:created>
  <dcterms:modified xsi:type="dcterms:W3CDTF">2024-04-02T04:31:00Z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Regulator and Consumer Protection</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