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AE4C6" w14:textId="177F588E" w:rsidR="00395B24" w:rsidRDefault="008535AB" w:rsidP="00A22932">
      <w:pPr>
        <w:pStyle w:val="CourtTitle"/>
      </w:pPr>
      <w:r>
        <w:fldChar w:fldCharType="begin"/>
      </w:r>
      <w:r>
        <w:instrText xml:space="preserve"> DOCPROPERTY  Court  \* MERGEFORMAT </w:instrText>
      </w:r>
      <w:r>
        <w:fldChar w:fldCharType="separate"/>
      </w:r>
      <w:r w:rsidR="00AF5E2E">
        <w:t>Federal Court of Australia</w:t>
      </w:r>
      <w:r>
        <w:fldChar w:fldCharType="end"/>
      </w:r>
    </w:p>
    <w:p w14:paraId="600F4AB3" w14:textId="77777777" w:rsidR="004D7950" w:rsidRDefault="004D7950">
      <w:pPr>
        <w:pStyle w:val="NormalHeadings"/>
        <w:jc w:val="center"/>
        <w:rPr>
          <w:sz w:val="32"/>
        </w:rPr>
      </w:pPr>
    </w:p>
    <w:bookmarkStart w:id="0" w:name="MNC"/>
    <w:p w14:paraId="45B1B05C" w14:textId="02DFE7DD" w:rsidR="00374CC4" w:rsidRDefault="001332E1" w:rsidP="001A2B40">
      <w:pPr>
        <w:pStyle w:val="MNC"/>
      </w:pPr>
      <w:sdt>
        <w:sdtPr>
          <w:alias w:val="MNC"/>
          <w:tag w:val="MNC"/>
          <w:id w:val="343289786"/>
          <w:lock w:val="sdtLocked"/>
          <w:placeholder>
            <w:docPart w:val="A5C286D06A124E0D82ADA196A93D7C2F"/>
          </w:placeholder>
          <w:dataBinding w:prefixMappings="xmlns:ns0='http://schemas.globalmacros.com/FCA'" w:xpath="/ns0:root[1]/ns0:Name[1]" w:storeItemID="{687E7CCB-4AA5-44E7-B148-17BA2B6F57C0}"/>
          <w:text w:multiLine="1"/>
        </w:sdtPr>
        <w:sdtEndPr/>
        <w:sdtContent>
          <w:r w:rsidR="001F002B" w:rsidRPr="00AF5E2E">
            <w:t xml:space="preserve"> </w:t>
          </w:r>
          <w:proofErr w:type="spellStart"/>
          <w:r w:rsidR="001F002B" w:rsidRPr="00AF5E2E">
            <w:t>AustCorp</w:t>
          </w:r>
          <w:proofErr w:type="spellEnd"/>
          <w:r w:rsidR="001F002B" w:rsidRPr="00AF5E2E">
            <w:t xml:space="preserve"> Consulting Pty Limited v Callaghan </w:t>
          </w:r>
          <w:r w:rsidR="001F002B">
            <w:t xml:space="preserve">(No 2) </w:t>
          </w:r>
          <w:r w:rsidR="001F002B" w:rsidRPr="00AF5E2E">
            <w:t>[202</w:t>
          </w:r>
          <w:r w:rsidR="001F002B">
            <w:t>4</w:t>
          </w:r>
          <w:r w:rsidR="001F002B" w:rsidRPr="00AF5E2E">
            <w:t>] FCA</w:t>
          </w:r>
          <w:r w:rsidR="001F002B">
            <w:t xml:space="preserve"> </w:t>
          </w:r>
          <w:r w:rsidR="000B70E0">
            <w:t>367</w:t>
          </w:r>
          <w:r w:rsidR="001F002B" w:rsidRPr="00AF5E2E">
            <w:t xml:space="preserve"> </w:t>
          </w:r>
        </w:sdtContent>
      </w:sdt>
      <w:bookmarkEnd w:id="0"/>
    </w:p>
    <w:tbl>
      <w:tblPr>
        <w:tblW w:w="9073" w:type="dxa"/>
        <w:tblLayout w:type="fixed"/>
        <w:tblLook w:val="01E0" w:firstRow="1" w:lastRow="1" w:firstColumn="1" w:lastColumn="1" w:noHBand="0" w:noVBand="0"/>
        <w:tblCaption w:val="Cover Table"/>
        <w:tblDescription w:val="Cover Table"/>
      </w:tblPr>
      <w:tblGrid>
        <w:gridCol w:w="3083"/>
        <w:gridCol w:w="5990"/>
      </w:tblGrid>
      <w:tr w:rsidR="00395B24" w14:paraId="50188D79" w14:textId="77777777" w:rsidTr="002A2B62">
        <w:tc>
          <w:tcPr>
            <w:tcW w:w="3083" w:type="dxa"/>
            <w:shd w:val="clear" w:color="auto" w:fill="auto"/>
          </w:tcPr>
          <w:p w14:paraId="149DC25D" w14:textId="05B146EA" w:rsidR="00395B24" w:rsidRDefault="002C7385" w:rsidP="00663878">
            <w:pPr>
              <w:pStyle w:val="Normal1linespace"/>
              <w:widowControl w:val="0"/>
              <w:jc w:val="left"/>
            </w:pPr>
            <w:r>
              <w:t>File number:</w:t>
            </w:r>
          </w:p>
        </w:tc>
        <w:tc>
          <w:tcPr>
            <w:tcW w:w="5990" w:type="dxa"/>
            <w:shd w:val="clear" w:color="auto" w:fill="auto"/>
          </w:tcPr>
          <w:p w14:paraId="03362AE7" w14:textId="1035CB6F" w:rsidR="00395B24" w:rsidRPr="00AF5E2E" w:rsidRDefault="001332E1" w:rsidP="00AF5E2E">
            <w:pPr>
              <w:pStyle w:val="Normal1linespace"/>
              <w:jc w:val="left"/>
            </w:pPr>
            <w:r>
              <w:fldChar w:fldCharType="begin" w:fldLock="1"/>
            </w:r>
            <w:r>
              <w:instrText xml:space="preserve"> REF  FileNo  \* MERGEFORMAT </w:instrText>
            </w:r>
            <w:r>
              <w:fldChar w:fldCharType="separate"/>
            </w:r>
            <w:r w:rsidR="00AF5E2E" w:rsidRPr="00AF5E2E">
              <w:t>NSD 139 of 2023</w:t>
            </w:r>
            <w:r>
              <w:fldChar w:fldCharType="end"/>
            </w:r>
          </w:p>
        </w:tc>
      </w:tr>
      <w:tr w:rsidR="00395B24" w14:paraId="50F3BCDA" w14:textId="77777777" w:rsidTr="002A2B62">
        <w:tc>
          <w:tcPr>
            <w:tcW w:w="3083" w:type="dxa"/>
            <w:shd w:val="clear" w:color="auto" w:fill="auto"/>
          </w:tcPr>
          <w:p w14:paraId="58F84595" w14:textId="77777777" w:rsidR="00395B24" w:rsidRDefault="00395B24" w:rsidP="00663878">
            <w:pPr>
              <w:pStyle w:val="Normal1linespace"/>
              <w:widowControl w:val="0"/>
              <w:jc w:val="left"/>
            </w:pPr>
          </w:p>
        </w:tc>
        <w:tc>
          <w:tcPr>
            <w:tcW w:w="5990" w:type="dxa"/>
            <w:shd w:val="clear" w:color="auto" w:fill="auto"/>
          </w:tcPr>
          <w:p w14:paraId="479241D1" w14:textId="77777777" w:rsidR="00395B24" w:rsidRDefault="00395B24" w:rsidP="00663878">
            <w:pPr>
              <w:pStyle w:val="Normal1linespace"/>
              <w:widowControl w:val="0"/>
              <w:jc w:val="left"/>
            </w:pPr>
          </w:p>
        </w:tc>
      </w:tr>
      <w:tr w:rsidR="00395B24" w14:paraId="7CEF772F" w14:textId="77777777" w:rsidTr="002A2B62">
        <w:tc>
          <w:tcPr>
            <w:tcW w:w="3083" w:type="dxa"/>
            <w:shd w:val="clear" w:color="auto" w:fill="auto"/>
          </w:tcPr>
          <w:p w14:paraId="31A0CD70" w14:textId="77777777" w:rsidR="00395B24" w:rsidRDefault="002C7385" w:rsidP="00663878">
            <w:pPr>
              <w:pStyle w:val="Normal1linespace"/>
              <w:widowControl w:val="0"/>
              <w:jc w:val="left"/>
            </w:pPr>
            <w:r>
              <w:t>Judg</w:t>
            </w:r>
            <w:r w:rsidR="005724F6">
              <w:t>ment of</w:t>
            </w:r>
            <w:r>
              <w:t>:</w:t>
            </w:r>
          </w:p>
        </w:tc>
        <w:tc>
          <w:tcPr>
            <w:tcW w:w="5990" w:type="dxa"/>
            <w:shd w:val="clear" w:color="auto" w:fill="auto"/>
          </w:tcPr>
          <w:p w14:paraId="00F61E27" w14:textId="655B147D" w:rsidR="00395B24" w:rsidRDefault="002C7385" w:rsidP="00663878">
            <w:pPr>
              <w:pStyle w:val="Normal1linespace"/>
              <w:widowControl w:val="0"/>
              <w:jc w:val="left"/>
              <w:rPr>
                <w:b/>
              </w:rPr>
            </w:pPr>
            <w:r w:rsidRPr="00AF5E2E">
              <w:rPr>
                <w:b/>
              </w:rPr>
              <w:fldChar w:fldCharType="begin" w:fldLock="1"/>
            </w:r>
            <w:r w:rsidRPr="00AF5E2E">
              <w:rPr>
                <w:b/>
              </w:rPr>
              <w:instrText xml:space="preserve"> REF  Judge  \* MERGEFORMAT </w:instrText>
            </w:r>
            <w:r w:rsidRPr="00AF5E2E">
              <w:rPr>
                <w:b/>
              </w:rPr>
              <w:fldChar w:fldCharType="separate"/>
            </w:r>
            <w:r w:rsidR="00AF5E2E" w:rsidRPr="00AF5E2E">
              <w:rPr>
                <w:b/>
                <w:caps/>
                <w:szCs w:val="24"/>
              </w:rPr>
              <w:t>YATES J</w:t>
            </w:r>
            <w:r w:rsidRPr="00AF5E2E">
              <w:rPr>
                <w:b/>
              </w:rPr>
              <w:fldChar w:fldCharType="end"/>
            </w:r>
          </w:p>
        </w:tc>
      </w:tr>
      <w:tr w:rsidR="00395B24" w14:paraId="346C36EA" w14:textId="77777777" w:rsidTr="002A2B62">
        <w:tc>
          <w:tcPr>
            <w:tcW w:w="3083" w:type="dxa"/>
            <w:shd w:val="clear" w:color="auto" w:fill="auto"/>
          </w:tcPr>
          <w:p w14:paraId="09BC4F0C" w14:textId="77777777" w:rsidR="00395B24" w:rsidRDefault="00395B24" w:rsidP="00663878">
            <w:pPr>
              <w:pStyle w:val="Normal1linespace"/>
              <w:widowControl w:val="0"/>
              <w:jc w:val="left"/>
            </w:pPr>
          </w:p>
        </w:tc>
        <w:tc>
          <w:tcPr>
            <w:tcW w:w="5990" w:type="dxa"/>
            <w:shd w:val="clear" w:color="auto" w:fill="auto"/>
          </w:tcPr>
          <w:p w14:paraId="18313FE0" w14:textId="77777777" w:rsidR="00395B24" w:rsidRDefault="00395B24" w:rsidP="00663878">
            <w:pPr>
              <w:pStyle w:val="Normal1linespace"/>
              <w:widowControl w:val="0"/>
              <w:jc w:val="left"/>
            </w:pPr>
          </w:p>
        </w:tc>
      </w:tr>
      <w:tr w:rsidR="00395B24" w14:paraId="03054B9E" w14:textId="77777777" w:rsidTr="002A2B62">
        <w:tc>
          <w:tcPr>
            <w:tcW w:w="3083" w:type="dxa"/>
            <w:shd w:val="clear" w:color="auto" w:fill="auto"/>
          </w:tcPr>
          <w:p w14:paraId="36836DE0" w14:textId="77777777" w:rsidR="00395B24" w:rsidRDefault="002C7385" w:rsidP="00663878">
            <w:pPr>
              <w:pStyle w:val="Normal1linespace"/>
              <w:widowControl w:val="0"/>
              <w:jc w:val="left"/>
            </w:pPr>
            <w:r>
              <w:t>Date of judgment:</w:t>
            </w:r>
          </w:p>
        </w:tc>
        <w:tc>
          <w:tcPr>
            <w:tcW w:w="5990" w:type="dxa"/>
            <w:shd w:val="clear" w:color="auto" w:fill="auto"/>
          </w:tcPr>
          <w:p w14:paraId="6B1AED0F" w14:textId="46040017" w:rsidR="00395B24" w:rsidRDefault="005327DB" w:rsidP="00663878">
            <w:pPr>
              <w:pStyle w:val="Normal1linespace"/>
              <w:widowControl w:val="0"/>
              <w:jc w:val="left"/>
            </w:pPr>
            <w:bookmarkStart w:id="1" w:name="JudgmentDate"/>
            <w:r>
              <w:t>15</w:t>
            </w:r>
            <w:r w:rsidR="00AF5E2E">
              <w:t xml:space="preserve"> April 2024</w:t>
            </w:r>
            <w:bookmarkEnd w:id="1"/>
          </w:p>
        </w:tc>
      </w:tr>
      <w:tr w:rsidR="00395B24" w14:paraId="28976C8D" w14:textId="77777777" w:rsidTr="002A2B62">
        <w:tc>
          <w:tcPr>
            <w:tcW w:w="3083" w:type="dxa"/>
            <w:shd w:val="clear" w:color="auto" w:fill="auto"/>
          </w:tcPr>
          <w:p w14:paraId="7D32A6EA" w14:textId="77777777" w:rsidR="00395B24" w:rsidRDefault="00395B24" w:rsidP="00663878">
            <w:pPr>
              <w:pStyle w:val="Normal1linespace"/>
              <w:widowControl w:val="0"/>
              <w:jc w:val="left"/>
            </w:pPr>
          </w:p>
        </w:tc>
        <w:tc>
          <w:tcPr>
            <w:tcW w:w="5990" w:type="dxa"/>
            <w:shd w:val="clear" w:color="auto" w:fill="auto"/>
          </w:tcPr>
          <w:p w14:paraId="1B3A59E5" w14:textId="77777777" w:rsidR="00395B24" w:rsidRDefault="00395B24" w:rsidP="00663878">
            <w:pPr>
              <w:pStyle w:val="Normal1linespace"/>
              <w:widowControl w:val="0"/>
              <w:jc w:val="left"/>
            </w:pPr>
          </w:p>
        </w:tc>
      </w:tr>
      <w:tr w:rsidR="00395B24" w14:paraId="0A3F870A" w14:textId="77777777" w:rsidTr="002A2B62">
        <w:tc>
          <w:tcPr>
            <w:tcW w:w="3083" w:type="dxa"/>
            <w:shd w:val="clear" w:color="auto" w:fill="auto"/>
          </w:tcPr>
          <w:p w14:paraId="542C2634" w14:textId="77777777" w:rsidR="00395B24" w:rsidRDefault="002C7385" w:rsidP="00663878">
            <w:pPr>
              <w:pStyle w:val="Normal1linespace"/>
              <w:widowControl w:val="0"/>
              <w:jc w:val="left"/>
            </w:pPr>
            <w:r>
              <w:t>Catchwords:</w:t>
            </w:r>
          </w:p>
        </w:tc>
        <w:tc>
          <w:tcPr>
            <w:tcW w:w="5990" w:type="dxa"/>
            <w:shd w:val="clear" w:color="auto" w:fill="auto"/>
          </w:tcPr>
          <w:p w14:paraId="3CC26F95" w14:textId="66C317DA" w:rsidR="00395B24" w:rsidRDefault="005327DB" w:rsidP="00663878">
            <w:pPr>
              <w:pStyle w:val="Normal1linespace"/>
              <w:widowControl w:val="0"/>
              <w:jc w:val="left"/>
            </w:pPr>
            <w:bookmarkStart w:id="2" w:name="Catchwords"/>
            <w:r w:rsidRPr="00B66454">
              <w:rPr>
                <w:b/>
                <w:bCs/>
              </w:rPr>
              <w:t>COSTS</w:t>
            </w:r>
            <w:r>
              <w:t xml:space="preserve"> –</w:t>
            </w:r>
            <w:r w:rsidR="00693B49">
              <w:t xml:space="preserve"> </w:t>
            </w:r>
            <w:r w:rsidR="000B70E0">
              <w:t>determination of appropriate costs order –</w:t>
            </w:r>
            <w:r w:rsidR="00693B49">
              <w:t xml:space="preserve"> </w:t>
            </w:r>
            <w:r w:rsidR="00187114">
              <w:t xml:space="preserve">review of Registrar’s decision to grant preliminary discovery – where on review prospective respondents unsuccessfully opposed preliminary discovery being granted – where </w:t>
            </w:r>
            <w:r w:rsidR="000B70E0">
              <w:t>prospective respondents</w:t>
            </w:r>
            <w:r w:rsidR="00187114">
              <w:t xml:space="preserve"> </w:t>
            </w:r>
            <w:r w:rsidR="000B70E0">
              <w:t xml:space="preserve">achieved partial success in limiting the scope of some categories of documents </w:t>
            </w:r>
            <w:r w:rsidR="00187114">
              <w:t>to be discovered</w:t>
            </w:r>
            <w:r w:rsidR="000B70E0">
              <w:t xml:space="preserve"> </w:t>
            </w:r>
            <w:bookmarkEnd w:id="2"/>
          </w:p>
        </w:tc>
      </w:tr>
      <w:tr w:rsidR="00395B24" w14:paraId="1DB9E0DF" w14:textId="77777777" w:rsidTr="002A2B62">
        <w:tc>
          <w:tcPr>
            <w:tcW w:w="3083" w:type="dxa"/>
            <w:shd w:val="clear" w:color="auto" w:fill="auto"/>
          </w:tcPr>
          <w:p w14:paraId="422C514A" w14:textId="77777777" w:rsidR="00395B24" w:rsidRDefault="00395B24" w:rsidP="00663878">
            <w:pPr>
              <w:pStyle w:val="Normal1linespace"/>
              <w:widowControl w:val="0"/>
              <w:jc w:val="left"/>
            </w:pPr>
          </w:p>
        </w:tc>
        <w:tc>
          <w:tcPr>
            <w:tcW w:w="5990" w:type="dxa"/>
            <w:shd w:val="clear" w:color="auto" w:fill="auto"/>
          </w:tcPr>
          <w:p w14:paraId="393768BD" w14:textId="77777777" w:rsidR="00395B24" w:rsidRDefault="00395B24" w:rsidP="00663878">
            <w:pPr>
              <w:pStyle w:val="Normal1linespace"/>
              <w:widowControl w:val="0"/>
              <w:jc w:val="left"/>
            </w:pPr>
          </w:p>
        </w:tc>
      </w:tr>
      <w:tr w:rsidR="00395B24" w14:paraId="5738ED0D" w14:textId="77777777" w:rsidTr="002A2B62">
        <w:tc>
          <w:tcPr>
            <w:tcW w:w="3083" w:type="dxa"/>
            <w:shd w:val="clear" w:color="auto" w:fill="auto"/>
          </w:tcPr>
          <w:p w14:paraId="7EF4860D" w14:textId="77777777" w:rsidR="00395B24" w:rsidRDefault="002C7385" w:rsidP="00663878">
            <w:pPr>
              <w:pStyle w:val="Normal1linespace"/>
              <w:widowControl w:val="0"/>
              <w:jc w:val="left"/>
            </w:pPr>
            <w:r>
              <w:t>Legislation:</w:t>
            </w:r>
          </w:p>
        </w:tc>
        <w:tc>
          <w:tcPr>
            <w:tcW w:w="5990" w:type="dxa"/>
            <w:shd w:val="clear" w:color="auto" w:fill="auto"/>
          </w:tcPr>
          <w:p w14:paraId="05C7A606" w14:textId="5F7BA51F" w:rsidR="00395B24" w:rsidRPr="00FE2002" w:rsidRDefault="00FE2002" w:rsidP="00FE2002">
            <w:pPr>
              <w:pStyle w:val="CasesLegislationAppealFrom"/>
              <w:spacing w:after="60"/>
            </w:pPr>
            <w:bookmarkStart w:id="3" w:name="Legislation"/>
            <w:r w:rsidRPr="00FE2002">
              <w:rPr>
                <w:i/>
              </w:rPr>
              <w:t xml:space="preserve">Federal Court Rules 2011 </w:t>
            </w:r>
            <w:r w:rsidRPr="00FE2002">
              <w:t>(</w:t>
            </w:r>
            <w:proofErr w:type="spellStart"/>
            <w:r w:rsidRPr="00FE2002">
              <w:t>Cth</w:t>
            </w:r>
            <w:proofErr w:type="spellEnd"/>
            <w:r>
              <w:t>) r 7.23</w:t>
            </w:r>
            <w:bookmarkEnd w:id="3"/>
          </w:p>
        </w:tc>
      </w:tr>
      <w:tr w:rsidR="00395B24" w14:paraId="3C33907B" w14:textId="77777777" w:rsidTr="002A2B62">
        <w:tc>
          <w:tcPr>
            <w:tcW w:w="3083" w:type="dxa"/>
            <w:shd w:val="clear" w:color="auto" w:fill="auto"/>
          </w:tcPr>
          <w:p w14:paraId="3DEAE064" w14:textId="77777777" w:rsidR="00395B24" w:rsidRDefault="00395B24" w:rsidP="00663878">
            <w:pPr>
              <w:pStyle w:val="Normal1linespace"/>
              <w:widowControl w:val="0"/>
              <w:jc w:val="left"/>
            </w:pPr>
          </w:p>
        </w:tc>
        <w:tc>
          <w:tcPr>
            <w:tcW w:w="5990" w:type="dxa"/>
            <w:shd w:val="clear" w:color="auto" w:fill="auto"/>
          </w:tcPr>
          <w:p w14:paraId="76AF3FE8" w14:textId="77777777" w:rsidR="00395B24" w:rsidRDefault="00395B24" w:rsidP="00663878">
            <w:pPr>
              <w:pStyle w:val="Normal1linespace"/>
              <w:widowControl w:val="0"/>
              <w:jc w:val="left"/>
            </w:pPr>
          </w:p>
        </w:tc>
      </w:tr>
      <w:tr w:rsidR="00395B24" w14:paraId="44B832C6" w14:textId="77777777" w:rsidTr="002A2B62">
        <w:tc>
          <w:tcPr>
            <w:tcW w:w="3083" w:type="dxa"/>
            <w:shd w:val="clear" w:color="auto" w:fill="auto"/>
          </w:tcPr>
          <w:p w14:paraId="213A996D" w14:textId="77777777" w:rsidR="00395B24" w:rsidRDefault="002C7385" w:rsidP="00663878">
            <w:pPr>
              <w:pStyle w:val="Normal1linespace"/>
              <w:widowControl w:val="0"/>
              <w:jc w:val="left"/>
            </w:pPr>
            <w:r>
              <w:t>Cases cited:</w:t>
            </w:r>
          </w:p>
        </w:tc>
        <w:tc>
          <w:tcPr>
            <w:tcW w:w="5990" w:type="dxa"/>
            <w:shd w:val="clear" w:color="auto" w:fill="auto"/>
          </w:tcPr>
          <w:p w14:paraId="601C9CCC" w14:textId="14580F69" w:rsidR="00395B24" w:rsidRPr="00FE2002" w:rsidRDefault="00FE2002" w:rsidP="00FE2002">
            <w:pPr>
              <w:pStyle w:val="CasesLegislationAppealFrom"/>
              <w:spacing w:after="60"/>
            </w:pPr>
            <w:bookmarkStart w:id="4" w:name="Cases_Cited"/>
            <w:proofErr w:type="spellStart"/>
            <w:r w:rsidRPr="00FE2002">
              <w:rPr>
                <w:i/>
                <w:iCs/>
              </w:rPr>
              <w:t>AustCorp</w:t>
            </w:r>
            <w:proofErr w:type="spellEnd"/>
            <w:r w:rsidRPr="00FE2002">
              <w:rPr>
                <w:i/>
                <w:iCs/>
              </w:rPr>
              <w:t xml:space="preserve"> Consulting Pty Limited v Callaghan</w:t>
            </w:r>
            <w:r w:rsidRPr="00FE2002">
              <w:t xml:space="preserve"> [2023] FCA 1228</w:t>
            </w:r>
            <w:bookmarkEnd w:id="4"/>
          </w:p>
        </w:tc>
      </w:tr>
      <w:tr w:rsidR="00AF5E2E" w14:paraId="4B8CA035" w14:textId="77777777" w:rsidTr="002A2B62">
        <w:tc>
          <w:tcPr>
            <w:tcW w:w="3083" w:type="dxa"/>
            <w:shd w:val="clear" w:color="auto" w:fill="auto"/>
          </w:tcPr>
          <w:p w14:paraId="6E9359C5" w14:textId="77777777" w:rsidR="00AF5E2E" w:rsidRDefault="00AF5E2E" w:rsidP="002F7154">
            <w:pPr>
              <w:pStyle w:val="Normal1linespace"/>
              <w:widowControl w:val="0"/>
            </w:pPr>
          </w:p>
        </w:tc>
        <w:tc>
          <w:tcPr>
            <w:tcW w:w="5990" w:type="dxa"/>
            <w:shd w:val="clear" w:color="auto" w:fill="auto"/>
          </w:tcPr>
          <w:p w14:paraId="25E7E017" w14:textId="77777777" w:rsidR="00AF5E2E" w:rsidRDefault="00AF5E2E" w:rsidP="002F7154">
            <w:pPr>
              <w:pStyle w:val="Normal1linespace"/>
              <w:widowControl w:val="0"/>
              <w:jc w:val="left"/>
            </w:pPr>
          </w:p>
        </w:tc>
      </w:tr>
      <w:tr w:rsidR="00AF5E2E" w14:paraId="6BF78835" w14:textId="77777777" w:rsidTr="002A2B62">
        <w:tc>
          <w:tcPr>
            <w:tcW w:w="3083" w:type="dxa"/>
            <w:shd w:val="clear" w:color="auto" w:fill="auto"/>
          </w:tcPr>
          <w:p w14:paraId="6CEAE087" w14:textId="77777777" w:rsidR="00AF5E2E" w:rsidRDefault="00AF5E2E" w:rsidP="00501A12">
            <w:pPr>
              <w:pStyle w:val="Normal1linespace"/>
              <w:widowControl w:val="0"/>
            </w:pPr>
            <w:r>
              <w:t>Division:</w:t>
            </w:r>
          </w:p>
        </w:tc>
        <w:tc>
          <w:tcPr>
            <w:tcW w:w="5990" w:type="dxa"/>
            <w:shd w:val="clear" w:color="auto" w:fill="auto"/>
          </w:tcPr>
          <w:p w14:paraId="09B47BA1" w14:textId="6483F774" w:rsidR="00AF5E2E" w:rsidRPr="00F17599" w:rsidRDefault="001332E1" w:rsidP="00501A12">
            <w:pPr>
              <w:pStyle w:val="Normal1linespace"/>
              <w:widowControl w:val="0"/>
              <w:jc w:val="left"/>
            </w:pPr>
            <w:r>
              <w:fldChar w:fldCharType="begin"/>
            </w:r>
            <w:r>
              <w:instrText xml:space="preserve"> DOCPROPERTY  Division </w:instrText>
            </w:r>
            <w:r>
              <w:fldChar w:fldCharType="separate"/>
            </w:r>
            <w:r w:rsidR="00AF5E2E">
              <w:t>General Division</w:t>
            </w:r>
            <w:r>
              <w:fldChar w:fldCharType="end"/>
            </w:r>
          </w:p>
        </w:tc>
      </w:tr>
      <w:tr w:rsidR="00AF5E2E" w14:paraId="3CC6B09E" w14:textId="77777777" w:rsidTr="002A2B62">
        <w:tc>
          <w:tcPr>
            <w:tcW w:w="3083" w:type="dxa"/>
            <w:shd w:val="clear" w:color="auto" w:fill="auto"/>
          </w:tcPr>
          <w:p w14:paraId="1231465A" w14:textId="77777777" w:rsidR="00AF5E2E" w:rsidRDefault="00AF5E2E" w:rsidP="00501A12">
            <w:pPr>
              <w:pStyle w:val="Normal1linespace"/>
              <w:widowControl w:val="0"/>
            </w:pPr>
            <w:bookmarkStart w:id="5" w:name="Registry_rows" w:colFirst="0" w:colLast="1"/>
          </w:p>
        </w:tc>
        <w:tc>
          <w:tcPr>
            <w:tcW w:w="5990" w:type="dxa"/>
            <w:shd w:val="clear" w:color="auto" w:fill="auto"/>
          </w:tcPr>
          <w:p w14:paraId="0764B028" w14:textId="77777777" w:rsidR="00AF5E2E" w:rsidRDefault="00AF5E2E" w:rsidP="00501A12">
            <w:pPr>
              <w:pStyle w:val="Normal1linespace"/>
              <w:widowControl w:val="0"/>
              <w:jc w:val="left"/>
            </w:pPr>
          </w:p>
        </w:tc>
      </w:tr>
      <w:tr w:rsidR="00AF5E2E" w14:paraId="57670D2D" w14:textId="77777777" w:rsidTr="002A2B62">
        <w:tc>
          <w:tcPr>
            <w:tcW w:w="3083" w:type="dxa"/>
            <w:shd w:val="clear" w:color="auto" w:fill="auto"/>
          </w:tcPr>
          <w:p w14:paraId="2D727F2E" w14:textId="77777777" w:rsidR="00AF5E2E" w:rsidRDefault="00AF5E2E" w:rsidP="00501A12">
            <w:pPr>
              <w:pStyle w:val="Normal1linespace"/>
              <w:widowControl w:val="0"/>
            </w:pPr>
            <w:r>
              <w:t>Registry:</w:t>
            </w:r>
          </w:p>
        </w:tc>
        <w:tc>
          <w:tcPr>
            <w:tcW w:w="5990" w:type="dxa"/>
            <w:shd w:val="clear" w:color="auto" w:fill="auto"/>
          </w:tcPr>
          <w:p w14:paraId="1C85E320" w14:textId="177423FE" w:rsidR="00AF5E2E" w:rsidRPr="00F17599" w:rsidRDefault="001332E1" w:rsidP="00501A12">
            <w:pPr>
              <w:pStyle w:val="Normal1linespace"/>
              <w:widowControl w:val="0"/>
              <w:jc w:val="left"/>
            </w:pPr>
            <w:r>
              <w:fldChar w:fldCharType="begin"/>
            </w:r>
            <w:r>
              <w:instrText xml:space="preserve"> DOCPROPERTY  Registry </w:instrText>
            </w:r>
            <w:r>
              <w:fldChar w:fldCharType="separate"/>
            </w:r>
            <w:r w:rsidR="00AF5E2E">
              <w:t>New South Wales</w:t>
            </w:r>
            <w:r>
              <w:fldChar w:fldCharType="end"/>
            </w:r>
          </w:p>
        </w:tc>
      </w:tr>
      <w:tr w:rsidR="00AF5E2E" w14:paraId="4006CD14" w14:textId="77777777" w:rsidTr="002A2B62">
        <w:tc>
          <w:tcPr>
            <w:tcW w:w="3083" w:type="dxa"/>
            <w:shd w:val="clear" w:color="auto" w:fill="auto"/>
          </w:tcPr>
          <w:p w14:paraId="3BFE5F75" w14:textId="77777777" w:rsidR="00AF5E2E" w:rsidRDefault="00AF5E2E" w:rsidP="00501A12">
            <w:pPr>
              <w:pStyle w:val="Normal1linespace"/>
              <w:widowControl w:val="0"/>
            </w:pPr>
            <w:bookmarkStart w:id="6" w:name="NPARow" w:colFirst="0" w:colLast="1"/>
            <w:bookmarkEnd w:id="5"/>
          </w:p>
        </w:tc>
        <w:tc>
          <w:tcPr>
            <w:tcW w:w="5990" w:type="dxa"/>
            <w:shd w:val="clear" w:color="auto" w:fill="auto"/>
          </w:tcPr>
          <w:p w14:paraId="28A0E891" w14:textId="77777777" w:rsidR="00AF5E2E" w:rsidRPr="00F17599" w:rsidRDefault="00AF5E2E" w:rsidP="00501A12">
            <w:pPr>
              <w:pStyle w:val="Normal1linespace"/>
              <w:widowControl w:val="0"/>
              <w:jc w:val="left"/>
              <w:rPr>
                <w:b/>
              </w:rPr>
            </w:pPr>
          </w:p>
        </w:tc>
      </w:tr>
      <w:tr w:rsidR="00AF5E2E" w14:paraId="3BFA2069" w14:textId="77777777" w:rsidTr="002A2B62">
        <w:tc>
          <w:tcPr>
            <w:tcW w:w="3083" w:type="dxa"/>
            <w:shd w:val="clear" w:color="auto" w:fill="auto"/>
          </w:tcPr>
          <w:p w14:paraId="5FF66044" w14:textId="77777777" w:rsidR="00AF5E2E" w:rsidRDefault="00AF5E2E" w:rsidP="00501A12">
            <w:pPr>
              <w:pStyle w:val="Normal1linespace"/>
              <w:widowControl w:val="0"/>
            </w:pPr>
            <w:r>
              <w:t>National Practice Area:</w:t>
            </w:r>
          </w:p>
        </w:tc>
        <w:tc>
          <w:tcPr>
            <w:tcW w:w="5990" w:type="dxa"/>
            <w:shd w:val="clear" w:color="auto" w:fill="auto"/>
          </w:tcPr>
          <w:p w14:paraId="09D7EF0B" w14:textId="4AD22694" w:rsidR="00AF5E2E" w:rsidRPr="00F17599" w:rsidRDefault="001332E1" w:rsidP="00171DBB">
            <w:pPr>
              <w:pStyle w:val="Normal1linespace"/>
              <w:widowControl w:val="0"/>
              <w:jc w:val="left"/>
              <w:rPr>
                <w:b/>
              </w:rPr>
            </w:pPr>
            <w:r>
              <w:fldChar w:fldCharType="begin"/>
            </w:r>
            <w:r>
              <w:instrText xml:space="preserve"> DOCPROPERTY  "Practice Area"  \* MERGEFORMAT </w:instrText>
            </w:r>
            <w:r>
              <w:fldChar w:fldCharType="separate"/>
            </w:r>
            <w:r w:rsidR="00AF5E2E">
              <w:t>Commercial and Corporations</w:t>
            </w:r>
            <w:r>
              <w:fldChar w:fldCharType="end"/>
            </w:r>
          </w:p>
        </w:tc>
      </w:tr>
      <w:tr w:rsidR="00AF5E2E" w14:paraId="358B3152" w14:textId="77777777" w:rsidTr="002A2B62">
        <w:tc>
          <w:tcPr>
            <w:tcW w:w="3083" w:type="dxa"/>
            <w:shd w:val="clear" w:color="auto" w:fill="auto"/>
          </w:tcPr>
          <w:p w14:paraId="05BA2474" w14:textId="77777777" w:rsidR="00AF5E2E" w:rsidRDefault="00AF5E2E" w:rsidP="00501A12">
            <w:pPr>
              <w:pStyle w:val="Normal1linespace"/>
              <w:widowControl w:val="0"/>
            </w:pPr>
            <w:bookmarkStart w:id="7" w:name="SubAreaRow" w:colFirst="0" w:colLast="1"/>
            <w:bookmarkEnd w:id="6"/>
          </w:p>
        </w:tc>
        <w:tc>
          <w:tcPr>
            <w:tcW w:w="5990" w:type="dxa"/>
            <w:shd w:val="clear" w:color="auto" w:fill="auto"/>
          </w:tcPr>
          <w:p w14:paraId="5115347B" w14:textId="77777777" w:rsidR="00AF5E2E" w:rsidRDefault="00AF5E2E" w:rsidP="00171DBB">
            <w:pPr>
              <w:pStyle w:val="Normal1linespace"/>
              <w:widowControl w:val="0"/>
              <w:jc w:val="left"/>
            </w:pPr>
          </w:p>
        </w:tc>
      </w:tr>
      <w:tr w:rsidR="00AF5E2E" w14:paraId="6A33D731" w14:textId="77777777" w:rsidTr="002A2B62">
        <w:tc>
          <w:tcPr>
            <w:tcW w:w="3083" w:type="dxa"/>
            <w:shd w:val="clear" w:color="auto" w:fill="auto"/>
          </w:tcPr>
          <w:p w14:paraId="37EFDA13" w14:textId="77777777" w:rsidR="00AF5E2E" w:rsidRDefault="00AF5E2E" w:rsidP="00501A12">
            <w:pPr>
              <w:pStyle w:val="Normal1linespace"/>
              <w:widowControl w:val="0"/>
            </w:pPr>
            <w:r>
              <w:t>Sub-area:</w:t>
            </w:r>
          </w:p>
        </w:tc>
        <w:tc>
          <w:tcPr>
            <w:tcW w:w="5990" w:type="dxa"/>
            <w:shd w:val="clear" w:color="auto" w:fill="auto"/>
          </w:tcPr>
          <w:p w14:paraId="078DE917" w14:textId="66CD85CF" w:rsidR="00AF5E2E" w:rsidRPr="00837288" w:rsidRDefault="008535AB" w:rsidP="00435936">
            <w:pPr>
              <w:pStyle w:val="Normal1linespace"/>
              <w:widowControl w:val="0"/>
              <w:jc w:val="left"/>
            </w:pPr>
            <w:fldSimple w:instr=" DOCPROPERTY  &quot;Sub Area&quot;  \* MERGEFORMAT ">
              <w:r w:rsidR="00AF5E2E" w:rsidRPr="00AF5E2E">
                <w:rPr>
                  <w:lang w:val="en-US"/>
                </w:rPr>
                <w:t xml:space="preserve">Commercial Contracts, </w:t>
              </w:r>
              <w:r w:rsidR="00AF5E2E">
                <w:t>Banking, Finance and Insurance</w:t>
              </w:r>
            </w:fldSimple>
          </w:p>
        </w:tc>
      </w:tr>
      <w:bookmarkEnd w:id="7"/>
      <w:tr w:rsidR="00AF5E2E" w14:paraId="354DDD66" w14:textId="77777777" w:rsidTr="002A2B62">
        <w:tc>
          <w:tcPr>
            <w:tcW w:w="3083" w:type="dxa"/>
            <w:shd w:val="clear" w:color="auto" w:fill="auto"/>
          </w:tcPr>
          <w:p w14:paraId="58F63B1F" w14:textId="77777777" w:rsidR="00AF5E2E" w:rsidRDefault="00AF5E2E" w:rsidP="00501A12">
            <w:pPr>
              <w:pStyle w:val="Normal1linespace"/>
              <w:widowControl w:val="0"/>
            </w:pPr>
          </w:p>
        </w:tc>
        <w:tc>
          <w:tcPr>
            <w:tcW w:w="5990" w:type="dxa"/>
            <w:shd w:val="clear" w:color="auto" w:fill="auto"/>
          </w:tcPr>
          <w:p w14:paraId="794709BF" w14:textId="77777777" w:rsidR="00AF5E2E" w:rsidRDefault="00AF5E2E" w:rsidP="00501A12">
            <w:pPr>
              <w:pStyle w:val="Normal1linespace"/>
              <w:widowControl w:val="0"/>
              <w:jc w:val="left"/>
            </w:pPr>
          </w:p>
        </w:tc>
      </w:tr>
      <w:tr w:rsidR="00AF5E2E" w14:paraId="696600F9" w14:textId="77777777" w:rsidTr="002A2B62">
        <w:tc>
          <w:tcPr>
            <w:tcW w:w="3083" w:type="dxa"/>
            <w:shd w:val="clear" w:color="auto" w:fill="auto"/>
          </w:tcPr>
          <w:p w14:paraId="07335305" w14:textId="77777777" w:rsidR="00AF5E2E" w:rsidRDefault="00AF5E2E" w:rsidP="00501A12">
            <w:pPr>
              <w:pStyle w:val="Normal1linespace"/>
              <w:widowControl w:val="0"/>
            </w:pPr>
            <w:r>
              <w:t>Number of paragraphs:</w:t>
            </w:r>
          </w:p>
        </w:tc>
        <w:tc>
          <w:tcPr>
            <w:tcW w:w="5990" w:type="dxa"/>
            <w:shd w:val="clear" w:color="auto" w:fill="auto"/>
          </w:tcPr>
          <w:p w14:paraId="5704ACCC" w14:textId="2A9A01EF" w:rsidR="00AF5E2E" w:rsidRDefault="002A2B62" w:rsidP="00501A12">
            <w:pPr>
              <w:pStyle w:val="Normal1linespace"/>
              <w:widowControl w:val="0"/>
              <w:jc w:val="left"/>
            </w:pPr>
            <w:bookmarkStart w:id="8" w:name="PlaceCategoryParagraphs"/>
            <w:r>
              <w:t>23</w:t>
            </w:r>
            <w:bookmarkEnd w:id="8"/>
          </w:p>
        </w:tc>
      </w:tr>
      <w:tr w:rsidR="00AF5E2E" w14:paraId="05F00D03" w14:textId="77777777" w:rsidTr="002A2B62">
        <w:tc>
          <w:tcPr>
            <w:tcW w:w="3083" w:type="dxa"/>
            <w:shd w:val="clear" w:color="auto" w:fill="auto"/>
          </w:tcPr>
          <w:p w14:paraId="511325A8" w14:textId="77777777" w:rsidR="00AF5E2E" w:rsidRDefault="00AF5E2E" w:rsidP="00AF5E2E">
            <w:pPr>
              <w:pStyle w:val="Normal1linespace"/>
              <w:widowControl w:val="0"/>
              <w:jc w:val="left"/>
            </w:pPr>
          </w:p>
        </w:tc>
        <w:tc>
          <w:tcPr>
            <w:tcW w:w="5990" w:type="dxa"/>
            <w:shd w:val="clear" w:color="auto" w:fill="auto"/>
          </w:tcPr>
          <w:p w14:paraId="66989098" w14:textId="77777777" w:rsidR="00AF5E2E" w:rsidRDefault="00AF5E2E" w:rsidP="00AF5E2E">
            <w:pPr>
              <w:pStyle w:val="Normal1linespace"/>
              <w:widowControl w:val="0"/>
              <w:jc w:val="left"/>
            </w:pPr>
          </w:p>
        </w:tc>
      </w:tr>
      <w:tr w:rsidR="00AF5E2E" w14:paraId="19BE8487" w14:textId="77777777" w:rsidTr="002A2B62">
        <w:tc>
          <w:tcPr>
            <w:tcW w:w="3083" w:type="dxa"/>
            <w:shd w:val="clear" w:color="auto" w:fill="auto"/>
          </w:tcPr>
          <w:p w14:paraId="652FCDE1" w14:textId="77777777" w:rsidR="00AF5E2E" w:rsidRDefault="00AF5E2E" w:rsidP="00AF5E2E">
            <w:pPr>
              <w:pStyle w:val="Normal1linespace"/>
              <w:widowControl w:val="0"/>
              <w:jc w:val="left"/>
            </w:pPr>
            <w:r>
              <w:t>Date of last submission/s:</w:t>
            </w:r>
          </w:p>
        </w:tc>
        <w:tc>
          <w:tcPr>
            <w:tcW w:w="5990" w:type="dxa"/>
            <w:shd w:val="clear" w:color="auto" w:fill="auto"/>
          </w:tcPr>
          <w:p w14:paraId="75FA2DDE" w14:textId="51E4F622" w:rsidR="00AF5E2E" w:rsidRDefault="005327DB" w:rsidP="00AF5E2E">
            <w:pPr>
              <w:pStyle w:val="Normal1linespace"/>
              <w:widowControl w:val="0"/>
              <w:jc w:val="left"/>
            </w:pPr>
            <w:r>
              <w:t>20 December 2023</w:t>
            </w:r>
          </w:p>
        </w:tc>
      </w:tr>
      <w:tr w:rsidR="00AF5E2E" w14:paraId="286B2637" w14:textId="77777777" w:rsidTr="002A2B62">
        <w:tc>
          <w:tcPr>
            <w:tcW w:w="3083" w:type="dxa"/>
            <w:shd w:val="clear" w:color="auto" w:fill="auto"/>
          </w:tcPr>
          <w:p w14:paraId="3CEEF1A8" w14:textId="77777777" w:rsidR="00AF5E2E" w:rsidRDefault="00AF5E2E" w:rsidP="00AF5E2E">
            <w:pPr>
              <w:pStyle w:val="Normal1linespace"/>
              <w:widowControl w:val="0"/>
              <w:jc w:val="left"/>
            </w:pPr>
          </w:p>
        </w:tc>
        <w:tc>
          <w:tcPr>
            <w:tcW w:w="5990" w:type="dxa"/>
            <w:shd w:val="clear" w:color="auto" w:fill="auto"/>
          </w:tcPr>
          <w:p w14:paraId="35B97FDE" w14:textId="77777777" w:rsidR="00AF5E2E" w:rsidRDefault="00AF5E2E" w:rsidP="00AF5E2E">
            <w:pPr>
              <w:pStyle w:val="Normal1linespace"/>
              <w:widowControl w:val="0"/>
              <w:jc w:val="left"/>
            </w:pPr>
          </w:p>
        </w:tc>
      </w:tr>
      <w:tr w:rsidR="00AF5E2E" w14:paraId="10F4213D" w14:textId="77777777" w:rsidTr="002A2B62">
        <w:tc>
          <w:tcPr>
            <w:tcW w:w="3083" w:type="dxa"/>
            <w:shd w:val="clear" w:color="auto" w:fill="auto"/>
          </w:tcPr>
          <w:p w14:paraId="31A5D928" w14:textId="77777777" w:rsidR="00AF5E2E" w:rsidRDefault="00AF5E2E" w:rsidP="00AF5E2E">
            <w:pPr>
              <w:pStyle w:val="Normal1linespace"/>
              <w:widowControl w:val="0"/>
              <w:jc w:val="left"/>
            </w:pPr>
            <w:bookmarkStart w:id="9" w:name="CounselDate" w:colFirst="0" w:colLast="2"/>
            <w:r w:rsidRPr="006A24E3">
              <w:t>Date of hearing:</w:t>
            </w:r>
          </w:p>
        </w:tc>
        <w:tc>
          <w:tcPr>
            <w:tcW w:w="5990" w:type="dxa"/>
            <w:shd w:val="clear" w:color="auto" w:fill="auto"/>
          </w:tcPr>
          <w:p w14:paraId="4288B0D1" w14:textId="123CA1AB" w:rsidR="00AF5E2E" w:rsidRDefault="005327DB" w:rsidP="00AF5E2E">
            <w:pPr>
              <w:pStyle w:val="Normal1linespace"/>
              <w:widowControl w:val="0"/>
              <w:jc w:val="left"/>
            </w:pPr>
            <w:bookmarkStart w:id="10" w:name="HearingDate"/>
            <w:r>
              <w:t>Determined on the papers</w:t>
            </w:r>
            <w:r w:rsidR="00AF5E2E">
              <w:t xml:space="preserve"> </w:t>
            </w:r>
            <w:bookmarkEnd w:id="10"/>
          </w:p>
        </w:tc>
      </w:tr>
      <w:tr w:rsidR="00AF5E2E" w14:paraId="63F1C53B" w14:textId="77777777" w:rsidTr="002A2B62">
        <w:tc>
          <w:tcPr>
            <w:tcW w:w="3083" w:type="dxa"/>
            <w:shd w:val="clear" w:color="auto" w:fill="auto"/>
          </w:tcPr>
          <w:p w14:paraId="00ABD670" w14:textId="77777777" w:rsidR="00AF5E2E" w:rsidRDefault="00AF5E2E" w:rsidP="00AF5E2E">
            <w:pPr>
              <w:pStyle w:val="Normal1linespace"/>
              <w:widowControl w:val="0"/>
              <w:jc w:val="left"/>
            </w:pPr>
          </w:p>
        </w:tc>
        <w:tc>
          <w:tcPr>
            <w:tcW w:w="5990" w:type="dxa"/>
            <w:shd w:val="clear" w:color="auto" w:fill="auto"/>
          </w:tcPr>
          <w:p w14:paraId="5B4E3FC8" w14:textId="77777777" w:rsidR="00AF5E2E" w:rsidRDefault="00AF5E2E" w:rsidP="00AF5E2E">
            <w:pPr>
              <w:pStyle w:val="Normal1linespace"/>
              <w:widowControl w:val="0"/>
              <w:jc w:val="left"/>
            </w:pPr>
          </w:p>
        </w:tc>
      </w:tr>
      <w:tr w:rsidR="002A2B62" w14:paraId="2D921006" w14:textId="77777777" w:rsidTr="002A2B62">
        <w:tc>
          <w:tcPr>
            <w:tcW w:w="3083" w:type="dxa"/>
            <w:shd w:val="clear" w:color="auto" w:fill="auto"/>
          </w:tcPr>
          <w:p w14:paraId="7148ED36" w14:textId="4B807764" w:rsidR="002A2B62" w:rsidRDefault="002A2B62" w:rsidP="002A2B62">
            <w:pPr>
              <w:pStyle w:val="Normal1linespace"/>
              <w:widowControl w:val="0"/>
              <w:jc w:val="left"/>
            </w:pPr>
            <w:bookmarkStart w:id="11" w:name="Counsel" w:colFirst="0" w:colLast="2"/>
            <w:bookmarkEnd w:id="9"/>
            <w:r>
              <w:t>Counsel for the Prospective Applicant:</w:t>
            </w:r>
          </w:p>
        </w:tc>
        <w:tc>
          <w:tcPr>
            <w:tcW w:w="5990" w:type="dxa"/>
            <w:shd w:val="clear" w:color="auto" w:fill="auto"/>
          </w:tcPr>
          <w:p w14:paraId="15C12416" w14:textId="1B50D3D7" w:rsidR="002A2B62" w:rsidRDefault="002A2B62" w:rsidP="002A2B62">
            <w:pPr>
              <w:pStyle w:val="Normal1linespace"/>
              <w:widowControl w:val="0"/>
              <w:jc w:val="left"/>
            </w:pPr>
            <w:bookmarkStart w:id="12" w:name="AppCounsel"/>
            <w:bookmarkEnd w:id="12"/>
            <w:r>
              <w:t>Mr S Meehan SC</w:t>
            </w:r>
          </w:p>
        </w:tc>
      </w:tr>
      <w:tr w:rsidR="002A2B62" w14:paraId="0DA6967A" w14:textId="77777777" w:rsidTr="002A2B62">
        <w:tc>
          <w:tcPr>
            <w:tcW w:w="3083" w:type="dxa"/>
            <w:shd w:val="clear" w:color="auto" w:fill="auto"/>
          </w:tcPr>
          <w:p w14:paraId="5F8D1BEF" w14:textId="77777777" w:rsidR="002A2B62" w:rsidRDefault="002A2B62" w:rsidP="002A2B62">
            <w:pPr>
              <w:pStyle w:val="Normal1linespace"/>
              <w:widowControl w:val="0"/>
              <w:jc w:val="left"/>
            </w:pPr>
          </w:p>
        </w:tc>
        <w:tc>
          <w:tcPr>
            <w:tcW w:w="5989" w:type="dxa"/>
            <w:shd w:val="clear" w:color="auto" w:fill="auto"/>
          </w:tcPr>
          <w:p w14:paraId="43757F6F" w14:textId="77777777" w:rsidR="002A2B62" w:rsidRDefault="002A2B62" w:rsidP="002A2B62">
            <w:pPr>
              <w:pStyle w:val="Normal1linespace"/>
              <w:widowControl w:val="0"/>
              <w:jc w:val="left"/>
            </w:pPr>
          </w:p>
        </w:tc>
      </w:tr>
      <w:tr w:rsidR="002A2B62" w14:paraId="67B5D5D0" w14:textId="77777777" w:rsidTr="002A2B62">
        <w:tc>
          <w:tcPr>
            <w:tcW w:w="3083" w:type="dxa"/>
            <w:shd w:val="clear" w:color="auto" w:fill="auto"/>
          </w:tcPr>
          <w:p w14:paraId="6FD0CFE6" w14:textId="2E1CA724" w:rsidR="002A2B62" w:rsidRDefault="002A2B62" w:rsidP="002A2B62">
            <w:pPr>
              <w:pStyle w:val="Normal1linespace"/>
              <w:widowControl w:val="0"/>
              <w:jc w:val="left"/>
            </w:pPr>
            <w:r>
              <w:t>Solicitor for the Prospective Applicant:</w:t>
            </w:r>
          </w:p>
        </w:tc>
        <w:tc>
          <w:tcPr>
            <w:tcW w:w="5989" w:type="dxa"/>
            <w:shd w:val="clear" w:color="auto" w:fill="auto"/>
          </w:tcPr>
          <w:p w14:paraId="38C48F2F" w14:textId="5AF6806F" w:rsidR="002A2B62" w:rsidRDefault="002A2B62" w:rsidP="002A2B62">
            <w:pPr>
              <w:pStyle w:val="Normal1linespace"/>
              <w:widowControl w:val="0"/>
              <w:jc w:val="left"/>
            </w:pPr>
            <w:r>
              <w:t>Gadens Lawyers</w:t>
            </w:r>
          </w:p>
        </w:tc>
      </w:tr>
      <w:tr w:rsidR="002A2B62" w14:paraId="210B99A6" w14:textId="77777777" w:rsidTr="002A2B62">
        <w:tc>
          <w:tcPr>
            <w:tcW w:w="3083" w:type="dxa"/>
            <w:shd w:val="clear" w:color="auto" w:fill="auto"/>
          </w:tcPr>
          <w:p w14:paraId="2B215F55" w14:textId="77777777" w:rsidR="002A2B62" w:rsidRDefault="002A2B62" w:rsidP="002A2B62">
            <w:pPr>
              <w:pStyle w:val="Normal1linespace"/>
              <w:widowControl w:val="0"/>
              <w:jc w:val="left"/>
            </w:pPr>
          </w:p>
        </w:tc>
        <w:tc>
          <w:tcPr>
            <w:tcW w:w="5989" w:type="dxa"/>
            <w:shd w:val="clear" w:color="auto" w:fill="auto"/>
          </w:tcPr>
          <w:p w14:paraId="3A5319A5" w14:textId="77777777" w:rsidR="002A2B62" w:rsidRDefault="002A2B62" w:rsidP="002A2B62">
            <w:pPr>
              <w:pStyle w:val="Normal1linespace"/>
              <w:widowControl w:val="0"/>
              <w:jc w:val="left"/>
            </w:pPr>
          </w:p>
        </w:tc>
      </w:tr>
      <w:tr w:rsidR="002A2B62" w14:paraId="64594B22" w14:textId="77777777" w:rsidTr="002A2B62">
        <w:tc>
          <w:tcPr>
            <w:tcW w:w="3083" w:type="dxa"/>
            <w:shd w:val="clear" w:color="auto" w:fill="auto"/>
          </w:tcPr>
          <w:p w14:paraId="79E47E8B" w14:textId="145FF7CC" w:rsidR="002A2B62" w:rsidRDefault="002A2B62" w:rsidP="002A2B62">
            <w:pPr>
              <w:pStyle w:val="Normal1linespace"/>
              <w:widowControl w:val="0"/>
              <w:jc w:val="left"/>
            </w:pPr>
            <w:r>
              <w:t>Counsel for the Prospective Respondents:</w:t>
            </w:r>
          </w:p>
        </w:tc>
        <w:tc>
          <w:tcPr>
            <w:tcW w:w="5989" w:type="dxa"/>
            <w:shd w:val="clear" w:color="auto" w:fill="auto"/>
          </w:tcPr>
          <w:p w14:paraId="4DD7A171" w14:textId="48E2B53C" w:rsidR="002A2B62" w:rsidRDefault="002A2B62" w:rsidP="002A2B62">
            <w:pPr>
              <w:pStyle w:val="Normal1linespace"/>
              <w:widowControl w:val="0"/>
              <w:jc w:val="left"/>
            </w:pPr>
            <w:r>
              <w:t xml:space="preserve">Mr P </w:t>
            </w:r>
            <w:proofErr w:type="spellStart"/>
            <w:r>
              <w:t>Boncardo</w:t>
            </w:r>
            <w:proofErr w:type="spellEnd"/>
          </w:p>
        </w:tc>
      </w:tr>
      <w:tr w:rsidR="002A2B62" w14:paraId="1E1D8DBB" w14:textId="77777777" w:rsidTr="002A2B62">
        <w:tc>
          <w:tcPr>
            <w:tcW w:w="3083" w:type="dxa"/>
            <w:shd w:val="clear" w:color="auto" w:fill="auto"/>
          </w:tcPr>
          <w:p w14:paraId="0443648A" w14:textId="77777777" w:rsidR="002A2B62" w:rsidRDefault="002A2B62" w:rsidP="002A2B62">
            <w:pPr>
              <w:pStyle w:val="Normal1linespace"/>
              <w:widowControl w:val="0"/>
              <w:jc w:val="left"/>
            </w:pPr>
          </w:p>
        </w:tc>
        <w:tc>
          <w:tcPr>
            <w:tcW w:w="5989" w:type="dxa"/>
            <w:shd w:val="clear" w:color="auto" w:fill="auto"/>
          </w:tcPr>
          <w:p w14:paraId="2874A653" w14:textId="77777777" w:rsidR="002A2B62" w:rsidRDefault="002A2B62" w:rsidP="002A2B62">
            <w:pPr>
              <w:pStyle w:val="Normal1linespace"/>
              <w:widowControl w:val="0"/>
              <w:jc w:val="left"/>
            </w:pPr>
          </w:p>
        </w:tc>
      </w:tr>
      <w:tr w:rsidR="002A2B62" w14:paraId="084A6520" w14:textId="77777777" w:rsidTr="002A2B62">
        <w:tc>
          <w:tcPr>
            <w:tcW w:w="3083" w:type="dxa"/>
            <w:shd w:val="clear" w:color="auto" w:fill="auto"/>
          </w:tcPr>
          <w:p w14:paraId="7602B7C7" w14:textId="719C3E8A" w:rsidR="002A2B62" w:rsidRDefault="002A2B62" w:rsidP="002A2B62">
            <w:pPr>
              <w:pStyle w:val="Normal1linespace"/>
              <w:widowControl w:val="0"/>
              <w:jc w:val="left"/>
            </w:pPr>
            <w:r>
              <w:t>Solicitor for the Prospective Respondents:</w:t>
            </w:r>
          </w:p>
        </w:tc>
        <w:tc>
          <w:tcPr>
            <w:tcW w:w="5989" w:type="dxa"/>
            <w:shd w:val="clear" w:color="auto" w:fill="auto"/>
          </w:tcPr>
          <w:p w14:paraId="61515583" w14:textId="526E508F" w:rsidR="002A2B62" w:rsidRDefault="002A2B62" w:rsidP="002A2B62">
            <w:pPr>
              <w:pStyle w:val="Normal1linespace"/>
              <w:widowControl w:val="0"/>
              <w:jc w:val="left"/>
            </w:pPr>
            <w:proofErr w:type="spellStart"/>
            <w:r>
              <w:t>Segelov</w:t>
            </w:r>
            <w:proofErr w:type="spellEnd"/>
            <w:r>
              <w:t xml:space="preserve"> Taylor Lawyers</w:t>
            </w:r>
          </w:p>
        </w:tc>
      </w:tr>
      <w:bookmarkEnd w:id="11"/>
    </w:tbl>
    <w:p w14:paraId="29868646" w14:textId="77777777" w:rsidR="007470BD" w:rsidRDefault="007470BD">
      <w:pPr>
        <w:pStyle w:val="Normal1linespace"/>
      </w:pPr>
    </w:p>
    <w:p w14:paraId="4C6B37DF" w14:textId="77777777" w:rsidR="00395B24" w:rsidRDefault="00395B24">
      <w:pPr>
        <w:pStyle w:val="Normal1linespace"/>
        <w:sectPr w:rsidR="00395B24" w:rsidSect="001F2473">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7" w:h="16840" w:code="9"/>
          <w:pgMar w:top="1440" w:right="1440" w:bottom="1440" w:left="1440" w:header="851" w:footer="768" w:gutter="0"/>
          <w:pgNumType w:start="1"/>
          <w:cols w:space="720"/>
          <w:noEndnote/>
          <w:titlePg/>
        </w:sectPr>
      </w:pPr>
    </w:p>
    <w:p w14:paraId="484B4086"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14:paraId="005BB813" w14:textId="77777777" w:rsidTr="00E81DA6">
        <w:tc>
          <w:tcPr>
            <w:tcW w:w="6912" w:type="dxa"/>
            <w:gridSpan w:val="2"/>
          </w:tcPr>
          <w:p w14:paraId="09F73EB5" w14:textId="77777777" w:rsidR="00A46CCC" w:rsidRPr="001765E0" w:rsidRDefault="00A46CCC" w:rsidP="00525A49">
            <w:pPr>
              <w:pStyle w:val="NormalHeadings"/>
            </w:pPr>
          </w:p>
        </w:tc>
        <w:tc>
          <w:tcPr>
            <w:tcW w:w="2330" w:type="dxa"/>
          </w:tcPr>
          <w:p w14:paraId="7FE49CAE" w14:textId="5D82732C" w:rsidR="00A46CCC" w:rsidRDefault="00AF5E2E" w:rsidP="00F92355">
            <w:pPr>
              <w:pStyle w:val="NormalHeadings"/>
              <w:jc w:val="right"/>
            </w:pPr>
            <w:bookmarkStart w:id="13" w:name="FileNo"/>
            <w:r>
              <w:t>NSD 139 of 2023</w:t>
            </w:r>
            <w:bookmarkEnd w:id="13"/>
          </w:p>
        </w:tc>
      </w:tr>
      <w:tr w:rsidR="00A76C13" w14:paraId="05536FB1" w14:textId="77777777" w:rsidTr="00F461A4">
        <w:tc>
          <w:tcPr>
            <w:tcW w:w="9242" w:type="dxa"/>
            <w:gridSpan w:val="3"/>
          </w:tcPr>
          <w:p w14:paraId="59B163ED" w14:textId="69551C54" w:rsidR="00A76C13" w:rsidRPr="00A76C13" w:rsidRDefault="00AF5E2E" w:rsidP="00AF5E2E">
            <w:pPr>
              <w:pStyle w:val="NormalHeadings"/>
              <w:jc w:val="left"/>
            </w:pPr>
            <w:bookmarkStart w:id="14" w:name="InTheMatterOf"/>
            <w:r>
              <w:t xml:space="preserve"> </w:t>
            </w:r>
            <w:bookmarkEnd w:id="14"/>
          </w:p>
        </w:tc>
      </w:tr>
      <w:tr w:rsidR="00A46CCC" w14:paraId="1B34A7D6" w14:textId="77777777" w:rsidTr="005041F0">
        <w:trPr>
          <w:trHeight w:val="386"/>
        </w:trPr>
        <w:tc>
          <w:tcPr>
            <w:tcW w:w="2376" w:type="dxa"/>
          </w:tcPr>
          <w:p w14:paraId="6CF08D13" w14:textId="77777777" w:rsidR="00A46CCC" w:rsidRDefault="00A46CCC" w:rsidP="005041F0">
            <w:pPr>
              <w:pStyle w:val="NormalHeadings"/>
              <w:jc w:val="left"/>
              <w:rPr>
                <w:caps/>
                <w:szCs w:val="24"/>
              </w:rPr>
            </w:pPr>
            <w:bookmarkStart w:id="15" w:name="Parties"/>
            <w:r>
              <w:rPr>
                <w:caps/>
                <w:szCs w:val="24"/>
              </w:rPr>
              <w:t>BETWEEN:</w:t>
            </w:r>
          </w:p>
        </w:tc>
        <w:tc>
          <w:tcPr>
            <w:tcW w:w="6866" w:type="dxa"/>
            <w:gridSpan w:val="2"/>
          </w:tcPr>
          <w:p w14:paraId="764CF845" w14:textId="77777777" w:rsidR="00AF5E2E" w:rsidRDefault="00AF5E2E" w:rsidP="00AF5E2E">
            <w:pPr>
              <w:pStyle w:val="NormalHeadings"/>
              <w:jc w:val="left"/>
            </w:pPr>
            <w:bookmarkStart w:id="16" w:name="Applicant"/>
            <w:r>
              <w:t>AUSTCORP CONSULTING PTY LIMITED</w:t>
            </w:r>
          </w:p>
          <w:p w14:paraId="25B0BAF9" w14:textId="789045DA" w:rsidR="00AF5E2E" w:rsidRDefault="00693B49" w:rsidP="00AF5E2E">
            <w:pPr>
              <w:pStyle w:val="PartyType"/>
            </w:pPr>
            <w:r>
              <w:t xml:space="preserve">Prospective </w:t>
            </w:r>
            <w:r w:rsidR="00AF5E2E">
              <w:t>Applicant</w:t>
            </w:r>
          </w:p>
          <w:bookmarkEnd w:id="16"/>
          <w:p w14:paraId="6360FF72" w14:textId="01DD6678" w:rsidR="00A46CCC" w:rsidRPr="006555B4" w:rsidRDefault="00A46CCC" w:rsidP="005041F0">
            <w:pPr>
              <w:pStyle w:val="NormalHeadings"/>
              <w:jc w:val="left"/>
            </w:pPr>
          </w:p>
        </w:tc>
      </w:tr>
      <w:tr w:rsidR="00A46CCC" w14:paraId="3DE41944" w14:textId="77777777" w:rsidTr="005041F0">
        <w:trPr>
          <w:trHeight w:val="386"/>
        </w:trPr>
        <w:tc>
          <w:tcPr>
            <w:tcW w:w="2376" w:type="dxa"/>
          </w:tcPr>
          <w:p w14:paraId="4E17740A" w14:textId="77777777" w:rsidR="00A46CCC" w:rsidRDefault="00A46CCC" w:rsidP="005041F0">
            <w:pPr>
              <w:pStyle w:val="NormalHeadings"/>
              <w:jc w:val="left"/>
              <w:rPr>
                <w:caps/>
                <w:szCs w:val="24"/>
              </w:rPr>
            </w:pPr>
            <w:r>
              <w:rPr>
                <w:caps/>
                <w:szCs w:val="24"/>
              </w:rPr>
              <w:t>AND:</w:t>
            </w:r>
          </w:p>
        </w:tc>
        <w:tc>
          <w:tcPr>
            <w:tcW w:w="6866" w:type="dxa"/>
            <w:gridSpan w:val="2"/>
          </w:tcPr>
          <w:p w14:paraId="7B46AF91" w14:textId="77777777" w:rsidR="00AF5E2E" w:rsidRDefault="00AF5E2E" w:rsidP="00AF5E2E">
            <w:pPr>
              <w:pStyle w:val="NormalHeadings"/>
              <w:jc w:val="left"/>
            </w:pPr>
            <w:bookmarkStart w:id="17" w:name="Respondent"/>
            <w:r>
              <w:t>MEGAN CALLAGHAN</w:t>
            </w:r>
          </w:p>
          <w:p w14:paraId="2A6513B0" w14:textId="1EE5132A" w:rsidR="00AF5E2E" w:rsidRDefault="00AF5E2E" w:rsidP="00AF5E2E">
            <w:pPr>
              <w:pStyle w:val="PartyType"/>
            </w:pPr>
            <w:r>
              <w:t>First Prospective Respondent</w:t>
            </w:r>
          </w:p>
          <w:p w14:paraId="60406418" w14:textId="77777777" w:rsidR="00AF5E2E" w:rsidRDefault="00AF5E2E" w:rsidP="005041F0">
            <w:pPr>
              <w:pStyle w:val="NormalHeadings"/>
              <w:jc w:val="left"/>
              <w:rPr>
                <w:szCs w:val="24"/>
              </w:rPr>
            </w:pPr>
          </w:p>
          <w:p w14:paraId="19F71E4A" w14:textId="77777777" w:rsidR="00AF5E2E" w:rsidRDefault="00AF5E2E" w:rsidP="00AF5E2E">
            <w:pPr>
              <w:pStyle w:val="NormalHeadings"/>
              <w:jc w:val="left"/>
            </w:pPr>
            <w:r>
              <w:t>LEAD GROUP CONSULTING PTY LTD (ACN 632 022 274)</w:t>
            </w:r>
          </w:p>
          <w:p w14:paraId="33B62AC3" w14:textId="1A6FC7D1" w:rsidR="00AF5E2E" w:rsidRDefault="00AF5E2E" w:rsidP="00AF5E2E">
            <w:pPr>
              <w:pStyle w:val="PartyType"/>
            </w:pPr>
            <w:r>
              <w:t>Second Prospective Respondent</w:t>
            </w:r>
          </w:p>
          <w:bookmarkEnd w:id="17"/>
          <w:p w14:paraId="74CB7F6B" w14:textId="3851C317" w:rsidR="00A46CCC" w:rsidRPr="006555B4" w:rsidRDefault="00A46CCC" w:rsidP="005041F0">
            <w:pPr>
              <w:pStyle w:val="NormalHeadings"/>
              <w:jc w:val="left"/>
            </w:pPr>
          </w:p>
        </w:tc>
      </w:tr>
    </w:tbl>
    <w:p w14:paraId="72AA2708" w14:textId="77777777" w:rsidR="00395B24" w:rsidRDefault="00395B24">
      <w:pPr>
        <w:pStyle w:val="NormalHeadings"/>
      </w:pPr>
      <w:bookmarkStart w:id="18" w:name="CrossClaimPosition"/>
      <w:bookmarkEnd w:id="15"/>
      <w:bookmarkEnd w:id="18"/>
    </w:p>
    <w:tbl>
      <w:tblPr>
        <w:tblW w:w="0" w:type="auto"/>
        <w:tblLayout w:type="fixed"/>
        <w:tblLook w:val="0000" w:firstRow="0" w:lastRow="0" w:firstColumn="0" w:lastColumn="0" w:noHBand="0" w:noVBand="0"/>
        <w:tblCaption w:val="Judge"/>
        <w:tblDescription w:val="Judge"/>
      </w:tblPr>
      <w:tblGrid>
        <w:gridCol w:w="2376"/>
        <w:gridCol w:w="6866"/>
      </w:tblGrid>
      <w:tr w:rsidR="00395B24" w14:paraId="498A8555" w14:textId="77777777">
        <w:tc>
          <w:tcPr>
            <w:tcW w:w="2376" w:type="dxa"/>
          </w:tcPr>
          <w:p w14:paraId="04A85C3D" w14:textId="77777777" w:rsidR="00395B24" w:rsidRDefault="00974709">
            <w:pPr>
              <w:pStyle w:val="NormalHeadings"/>
              <w:spacing w:after="120"/>
              <w:jc w:val="left"/>
              <w:rPr>
                <w:caps/>
                <w:szCs w:val="24"/>
              </w:rPr>
            </w:pPr>
            <w:bookmarkStart w:id="19" w:name="JudgeText"/>
            <w:r>
              <w:rPr>
                <w:caps/>
                <w:szCs w:val="24"/>
              </w:rPr>
              <w:t>order made by</w:t>
            </w:r>
            <w:bookmarkEnd w:id="19"/>
            <w:r w:rsidR="002C7385">
              <w:rPr>
                <w:caps/>
                <w:szCs w:val="24"/>
              </w:rPr>
              <w:t>:</w:t>
            </w:r>
          </w:p>
        </w:tc>
        <w:tc>
          <w:tcPr>
            <w:tcW w:w="6866" w:type="dxa"/>
          </w:tcPr>
          <w:p w14:paraId="49E74D3A" w14:textId="5B8985FF" w:rsidR="00395B24" w:rsidRDefault="00AF5E2E">
            <w:pPr>
              <w:pStyle w:val="NormalHeadings"/>
              <w:jc w:val="left"/>
              <w:rPr>
                <w:caps/>
                <w:szCs w:val="24"/>
              </w:rPr>
            </w:pPr>
            <w:bookmarkStart w:id="20" w:name="Judge"/>
            <w:r>
              <w:rPr>
                <w:caps/>
                <w:szCs w:val="24"/>
              </w:rPr>
              <w:t>YATES J</w:t>
            </w:r>
            <w:bookmarkEnd w:id="20"/>
          </w:p>
        </w:tc>
      </w:tr>
      <w:tr w:rsidR="00395B24" w14:paraId="60A4CB00" w14:textId="77777777">
        <w:tc>
          <w:tcPr>
            <w:tcW w:w="2376" w:type="dxa"/>
          </w:tcPr>
          <w:p w14:paraId="6229F0DB" w14:textId="77777777" w:rsidR="00395B24" w:rsidRDefault="002C7385">
            <w:pPr>
              <w:pStyle w:val="NormalHeadings"/>
              <w:spacing w:after="120"/>
              <w:jc w:val="left"/>
              <w:rPr>
                <w:caps/>
                <w:szCs w:val="24"/>
              </w:rPr>
            </w:pPr>
            <w:r>
              <w:rPr>
                <w:caps/>
                <w:szCs w:val="24"/>
              </w:rPr>
              <w:t>DATE OF ORDER:</w:t>
            </w:r>
          </w:p>
        </w:tc>
        <w:tc>
          <w:tcPr>
            <w:tcW w:w="6866" w:type="dxa"/>
          </w:tcPr>
          <w:p w14:paraId="7E09FFBC" w14:textId="14B6BD2C" w:rsidR="00395B24" w:rsidRDefault="005327DB">
            <w:pPr>
              <w:pStyle w:val="NormalHeadings"/>
              <w:jc w:val="left"/>
              <w:rPr>
                <w:caps/>
                <w:szCs w:val="24"/>
              </w:rPr>
            </w:pPr>
            <w:bookmarkStart w:id="21" w:name="Judgment_Dated"/>
            <w:r>
              <w:rPr>
                <w:caps/>
                <w:szCs w:val="24"/>
              </w:rPr>
              <w:t>15</w:t>
            </w:r>
            <w:r w:rsidR="00AF5E2E">
              <w:rPr>
                <w:caps/>
                <w:szCs w:val="24"/>
              </w:rPr>
              <w:t xml:space="preserve"> APRIL 2024</w:t>
            </w:r>
            <w:bookmarkEnd w:id="21"/>
          </w:p>
        </w:tc>
      </w:tr>
    </w:tbl>
    <w:p w14:paraId="2D0CBB02" w14:textId="77777777" w:rsidR="00395B24" w:rsidRDefault="00395B24">
      <w:pPr>
        <w:pStyle w:val="NormalHeadings"/>
        <w:rPr>
          <w:b w:val="0"/>
        </w:rPr>
      </w:pPr>
    </w:p>
    <w:p w14:paraId="5C6F06CE" w14:textId="77777777" w:rsidR="008D1617" w:rsidRDefault="008D1617">
      <w:pPr>
        <w:pStyle w:val="NormalHeadings"/>
        <w:rPr>
          <w:b w:val="0"/>
        </w:rPr>
      </w:pPr>
    </w:p>
    <w:p w14:paraId="2A64E6D4" w14:textId="77777777" w:rsidR="00395B24" w:rsidRDefault="002C7385">
      <w:pPr>
        <w:pStyle w:val="NormalHeadings"/>
      </w:pPr>
      <w:r>
        <w:t>THE COURT ORDERS THAT:</w:t>
      </w:r>
    </w:p>
    <w:p w14:paraId="7BF80C42" w14:textId="77777777" w:rsidR="007F60DF" w:rsidRDefault="007F60DF" w:rsidP="00243E5E">
      <w:pPr>
        <w:pStyle w:val="NormalHeadings"/>
      </w:pPr>
    </w:p>
    <w:p w14:paraId="75FB377C" w14:textId="344CB2EA" w:rsidR="001A6C52" w:rsidRDefault="00252F35" w:rsidP="001A6C52">
      <w:pPr>
        <w:pStyle w:val="Order1"/>
      </w:pPr>
      <w:r>
        <w:t xml:space="preserve">The orders made on </w:t>
      </w:r>
      <w:r w:rsidR="001F002B">
        <w:t>1</w:t>
      </w:r>
      <w:r>
        <w:t>5 May</w:t>
      </w:r>
      <w:r w:rsidR="001F002B">
        <w:t xml:space="preserve"> 2023 </w:t>
      </w:r>
      <w:r>
        <w:t>be discharged.</w:t>
      </w:r>
    </w:p>
    <w:p w14:paraId="75F7D17F" w14:textId="630F6A4E" w:rsidR="00252F35" w:rsidRDefault="00252F35" w:rsidP="001A6C52">
      <w:pPr>
        <w:pStyle w:val="Order1"/>
      </w:pPr>
      <w:r>
        <w:t xml:space="preserve">The prospective respondents pay the prospective applicant’s costs of the </w:t>
      </w:r>
      <w:r w:rsidRPr="00AF5E2E">
        <w:t>application for preliminary discovery, including in relation to the costs of the proceeding before the Registrar</w:t>
      </w:r>
      <w:r>
        <w:t>.</w:t>
      </w:r>
    </w:p>
    <w:p w14:paraId="3A5B712B" w14:textId="77777777" w:rsidR="001F002B" w:rsidRDefault="00252F35" w:rsidP="001A6C52">
      <w:pPr>
        <w:pStyle w:val="Order1"/>
      </w:pPr>
      <w:r>
        <w:t>If</w:t>
      </w:r>
      <w:r w:rsidR="001F002B">
        <w:t>:</w:t>
      </w:r>
      <w:r w:rsidRPr="00AF5E2E">
        <w:t xml:space="preserve"> </w:t>
      </w:r>
    </w:p>
    <w:p w14:paraId="7D7E4A15" w14:textId="060593B1" w:rsidR="001F002B" w:rsidRDefault="008E46BD" w:rsidP="001F002B">
      <w:pPr>
        <w:pStyle w:val="Order2"/>
      </w:pPr>
      <w:r>
        <w:t>the prospective applicant</w:t>
      </w:r>
      <w:r w:rsidRPr="00AF5E2E">
        <w:t xml:space="preserve"> </w:t>
      </w:r>
      <w:r w:rsidR="00252F35" w:rsidRPr="00AF5E2E">
        <w:t xml:space="preserve">commences a substantive proceeding against </w:t>
      </w:r>
      <w:r>
        <w:t>the prospective respondents</w:t>
      </w:r>
      <w:r w:rsidRPr="00AF5E2E">
        <w:t xml:space="preserve"> </w:t>
      </w:r>
      <w:r w:rsidR="00252F35" w:rsidRPr="00AF5E2E">
        <w:t>within 90 days of their compliance with the preliminary discovery orders</w:t>
      </w:r>
      <w:r w:rsidR="00187114">
        <w:t xml:space="preserve"> made on 13 November 2023</w:t>
      </w:r>
      <w:r w:rsidR="00252F35" w:rsidRPr="00AF5E2E">
        <w:t xml:space="preserve">, </w:t>
      </w:r>
      <w:r w:rsidR="00187114">
        <w:t>the prospective respondents’</w:t>
      </w:r>
      <w:r w:rsidR="00252F35" w:rsidRPr="00AF5E2E">
        <w:t xml:space="preserve"> costs of compliance with those orders be costs in the cause of that proceeding; or</w:t>
      </w:r>
      <w:r w:rsidR="00187114">
        <w:t xml:space="preserve"> if</w:t>
      </w:r>
      <w:r w:rsidR="00252F35" w:rsidRPr="00AF5E2E">
        <w:t xml:space="preserve"> </w:t>
      </w:r>
    </w:p>
    <w:p w14:paraId="58D8495C" w14:textId="3227B139" w:rsidR="00252F35" w:rsidRDefault="001F002B" w:rsidP="00187114">
      <w:pPr>
        <w:pStyle w:val="Order2"/>
      </w:pPr>
      <w:r>
        <w:t>the prospective applicant</w:t>
      </w:r>
      <w:r w:rsidRPr="00AF5E2E">
        <w:t xml:space="preserve"> </w:t>
      </w:r>
      <w:r w:rsidR="00252F35" w:rsidRPr="00AF5E2E">
        <w:t xml:space="preserve">does not commence such a proceeding, </w:t>
      </w:r>
      <w:r w:rsidR="00187114">
        <w:t>the prospective applicant</w:t>
      </w:r>
      <w:r w:rsidR="00252F35" w:rsidRPr="00AF5E2E">
        <w:t xml:space="preserve"> pay the prospective respondents’ costs of compliance</w:t>
      </w:r>
      <w:r w:rsidR="00187114">
        <w:t>.</w:t>
      </w:r>
    </w:p>
    <w:p w14:paraId="418C8576" w14:textId="77777777" w:rsidR="001A6C52" w:rsidRDefault="001A6C52" w:rsidP="001A6C52">
      <w:pPr>
        <w:pStyle w:val="BodyText"/>
      </w:pPr>
    </w:p>
    <w:p w14:paraId="46E8CB9F" w14:textId="77777777" w:rsidR="00A431E6" w:rsidRDefault="00A431E6" w:rsidP="001A6C52">
      <w:pPr>
        <w:pStyle w:val="BodyText"/>
      </w:pPr>
    </w:p>
    <w:p w14:paraId="6BD85EBD" w14:textId="2A514155" w:rsidR="0050309C" w:rsidRDefault="00AF5E2E" w:rsidP="004D53E5">
      <w:pPr>
        <w:pStyle w:val="SingleSpace"/>
      </w:pPr>
      <w:bookmarkStart w:id="22" w:name="OrdersStatement"/>
      <w:r>
        <w:t>Note:</w:t>
      </w:r>
      <w:r>
        <w:tab/>
        <w:t xml:space="preserve">Entry of orders is dealt with in Rule 39.32 of the </w:t>
      </w:r>
      <w:r>
        <w:rPr>
          <w:i/>
        </w:rPr>
        <w:t>Federal Court Rules 2011</w:t>
      </w:r>
      <w:r>
        <w:t>.</w:t>
      </w:r>
      <w:bookmarkEnd w:id="22"/>
    </w:p>
    <w:p w14:paraId="66B7598A" w14:textId="77777777" w:rsidR="00E23577" w:rsidRDefault="00E23577" w:rsidP="002B0E91">
      <w:pPr>
        <w:pStyle w:val="BodyText"/>
      </w:pPr>
    </w:p>
    <w:p w14:paraId="22F2FE18" w14:textId="77777777" w:rsidR="00395B24" w:rsidRDefault="00395B24">
      <w:pPr>
        <w:pStyle w:val="NormalHeadings"/>
        <w:spacing w:before="240" w:after="120"/>
        <w:rPr>
          <w:b w:val="0"/>
        </w:rPr>
        <w:sectPr w:rsidR="00395B24" w:rsidSect="0092590B">
          <w:headerReference w:type="default" r:id="rId15"/>
          <w:footerReference w:type="default" r:id="rId16"/>
          <w:headerReference w:type="first" r:id="rId17"/>
          <w:footerReference w:type="first" r:id="rId18"/>
          <w:endnotePr>
            <w:numFmt w:val="decimal"/>
          </w:endnotePr>
          <w:pgSz w:w="11907" w:h="16840" w:code="9"/>
          <w:pgMar w:top="1440" w:right="1440" w:bottom="1440" w:left="1440" w:header="851" w:footer="851" w:gutter="0"/>
          <w:pgNumType w:fmt="lowerRoman" w:start="1"/>
          <w:cols w:space="720"/>
          <w:noEndnote/>
          <w:titlePg/>
        </w:sectPr>
      </w:pPr>
    </w:p>
    <w:p w14:paraId="5F0A94F7" w14:textId="77777777" w:rsidR="00484F6D" w:rsidRPr="00045BB7" w:rsidRDefault="00484F6D" w:rsidP="00045BB7">
      <w:pPr>
        <w:pStyle w:val="NormalHeadings"/>
        <w:spacing w:line="480" w:lineRule="auto"/>
        <w:jc w:val="center"/>
        <w:rPr>
          <w:sz w:val="28"/>
          <w:szCs w:val="28"/>
        </w:rPr>
      </w:pPr>
      <w:bookmarkStart w:id="23" w:name="ReasonsPage"/>
      <w:bookmarkEnd w:id="23"/>
      <w:r w:rsidRPr="00045BB7">
        <w:rPr>
          <w:sz w:val="28"/>
          <w:szCs w:val="28"/>
        </w:rPr>
        <w:lastRenderedPageBreak/>
        <w:t>REASONS FOR JUDGMENT</w:t>
      </w:r>
    </w:p>
    <w:p w14:paraId="3401B50D" w14:textId="6F9D8B0E" w:rsidR="00694BEB" w:rsidRDefault="00AF5E2E" w:rsidP="005E0510">
      <w:pPr>
        <w:pStyle w:val="NormalHeadings"/>
        <w:spacing w:line="360" w:lineRule="auto"/>
        <w:jc w:val="left"/>
        <w:rPr>
          <w:sz w:val="26"/>
          <w:szCs w:val="26"/>
        </w:rPr>
      </w:pPr>
      <w:r>
        <w:rPr>
          <w:sz w:val="26"/>
          <w:szCs w:val="26"/>
        </w:rPr>
        <w:t>YATES J:</w:t>
      </w:r>
    </w:p>
    <w:p w14:paraId="39DAB808" w14:textId="77777777" w:rsidR="00E06312" w:rsidRDefault="00E06312" w:rsidP="00E06312">
      <w:pPr>
        <w:pStyle w:val="Heading1"/>
      </w:pPr>
      <w:r>
        <w:t>Introduction</w:t>
      </w:r>
    </w:p>
    <w:p w14:paraId="12C876A3" w14:textId="77777777" w:rsidR="00F67509" w:rsidRPr="002A2B62" w:rsidRDefault="00AF5E2E" w:rsidP="00F67509">
      <w:pPr>
        <w:pStyle w:val="ParaNumbering"/>
      </w:pPr>
      <w:r w:rsidRPr="002A2B62">
        <w:t>On 13 November 2023, I made orders for preliminary discovery against the first prospective respondent, Ms Callaghan, and the second prospective respondent, Lead Group Consulting Pty Ltd (</w:t>
      </w:r>
      <w:r w:rsidRPr="002A2B62">
        <w:rPr>
          <w:b/>
          <w:bCs/>
        </w:rPr>
        <w:t>Lead Group</w:t>
      </w:r>
      <w:r w:rsidRPr="002A2B62">
        <w:t>).</w:t>
      </w:r>
      <w:r w:rsidR="00F67509" w:rsidRPr="002A2B62">
        <w:t xml:space="preserve">  </w:t>
      </w:r>
      <w:r w:rsidRPr="002A2B62">
        <w:t xml:space="preserve">The background to the making of those orders is explained in </w:t>
      </w:r>
      <w:proofErr w:type="spellStart"/>
      <w:r w:rsidRPr="00FE2002">
        <w:rPr>
          <w:i/>
          <w:iCs/>
        </w:rPr>
        <w:t>AustCorp</w:t>
      </w:r>
      <w:proofErr w:type="spellEnd"/>
      <w:r w:rsidRPr="00FE2002">
        <w:rPr>
          <w:i/>
          <w:iCs/>
        </w:rPr>
        <w:t xml:space="preserve"> Consulting Pty Limited v Callaghan</w:t>
      </w:r>
      <w:r w:rsidRPr="00FE2002">
        <w:t xml:space="preserve"> [2023] FCA 1228</w:t>
      </w:r>
      <w:r w:rsidRPr="002A2B62">
        <w:t xml:space="preserve">.  </w:t>
      </w:r>
    </w:p>
    <w:p w14:paraId="349579F0" w14:textId="34ECD4CB" w:rsidR="00E06312" w:rsidRDefault="00AF5E2E" w:rsidP="00F67509">
      <w:pPr>
        <w:pStyle w:val="ParaNumbering"/>
      </w:pPr>
      <w:r w:rsidRPr="00AF5E2E">
        <w:t xml:space="preserve">The application before me </w:t>
      </w:r>
      <w:r w:rsidR="00FE2002" w:rsidRPr="00AF5E2E">
        <w:t xml:space="preserve">(which I will call the </w:t>
      </w:r>
      <w:r w:rsidR="00FE2002" w:rsidRPr="00F67509">
        <w:rPr>
          <w:b/>
          <w:bCs/>
        </w:rPr>
        <w:t>review hearing</w:t>
      </w:r>
      <w:r w:rsidR="00FE2002" w:rsidRPr="00AF5E2E">
        <w:t xml:space="preserve">), </w:t>
      </w:r>
      <w:r w:rsidRPr="00AF5E2E">
        <w:t xml:space="preserve">was a review of an earlier decision of a Registrar of the Court to </w:t>
      </w:r>
      <w:r w:rsidR="00F67509">
        <w:t>order</w:t>
      </w:r>
      <w:r w:rsidR="00244F1E">
        <w:t xml:space="preserve">, on </w:t>
      </w:r>
      <w:r w:rsidR="00DF0D53">
        <w:t>1</w:t>
      </w:r>
      <w:r w:rsidR="00244F1E">
        <w:t>5 May 2023, that</w:t>
      </w:r>
      <w:r w:rsidR="00F67509">
        <w:t xml:space="preserve"> the</w:t>
      </w:r>
      <w:r w:rsidR="00693B49">
        <w:t xml:space="preserve"> prospective</w:t>
      </w:r>
      <w:r w:rsidR="00F67509">
        <w:t xml:space="preserve"> respondents give</w:t>
      </w:r>
      <w:r w:rsidRPr="00AF5E2E">
        <w:t xml:space="preserve"> preliminary discovery </w:t>
      </w:r>
      <w:r w:rsidR="00F67509">
        <w:t xml:space="preserve">in favour of the prospective applicant, </w:t>
      </w:r>
      <w:proofErr w:type="spellStart"/>
      <w:r w:rsidR="00F67509">
        <w:t>AustCorp</w:t>
      </w:r>
      <w:proofErr w:type="spellEnd"/>
      <w:r w:rsidR="00F67509">
        <w:t xml:space="preserve"> Consulting Pty Limited (</w:t>
      </w:r>
      <w:proofErr w:type="spellStart"/>
      <w:r w:rsidR="00F67509" w:rsidRPr="00F67509">
        <w:rPr>
          <w:b/>
          <w:bCs/>
        </w:rPr>
        <w:t>AustCorp</w:t>
      </w:r>
      <w:proofErr w:type="spellEnd"/>
      <w:r w:rsidR="00F67509">
        <w:t>)</w:t>
      </w:r>
      <w:r w:rsidRPr="00AF5E2E">
        <w:t xml:space="preserve">.  In the </w:t>
      </w:r>
      <w:r w:rsidR="00FE2002">
        <w:t>review hearing,</w:t>
      </w:r>
      <w:r w:rsidRPr="00AF5E2E">
        <w:t xml:space="preserve"> the prospective respondents achieved a degree of success in limiting the scope of </w:t>
      </w:r>
      <w:r w:rsidR="00FE2002">
        <w:t xml:space="preserve">some of </w:t>
      </w:r>
      <w:r w:rsidRPr="00AF5E2E">
        <w:t xml:space="preserve">the categories of documents </w:t>
      </w:r>
      <w:r w:rsidR="00244F1E">
        <w:t xml:space="preserve">that the Registrar ordered </w:t>
      </w:r>
      <w:r w:rsidRPr="00AF5E2E">
        <w:t xml:space="preserve">to be discovered.  </w:t>
      </w:r>
    </w:p>
    <w:p w14:paraId="453BF49E" w14:textId="16D2EB31" w:rsidR="00AF5E2E" w:rsidRPr="00AF5E2E" w:rsidRDefault="00AF5E2E" w:rsidP="00AF5E2E">
      <w:pPr>
        <w:pStyle w:val="ParaNumbering"/>
      </w:pPr>
      <w:r w:rsidRPr="00AF5E2E">
        <w:t xml:space="preserve">Notwithstanding that success, I expressed the conclusion that, as the substantial part of the review hearing had been about whether an order for preliminary discovery should be made at all, and as </w:t>
      </w:r>
      <w:proofErr w:type="spellStart"/>
      <w:r w:rsidRPr="00AF5E2E">
        <w:t>AustCorp</w:t>
      </w:r>
      <w:proofErr w:type="spellEnd"/>
      <w:r w:rsidRPr="00AF5E2E">
        <w:t xml:space="preserve"> had succeeded on that question, the appropriate order for costs was that the prospective respondents pay </w:t>
      </w:r>
      <w:proofErr w:type="spellStart"/>
      <w:r w:rsidRPr="00AF5E2E">
        <w:t>AustCorp’s</w:t>
      </w:r>
      <w:proofErr w:type="spellEnd"/>
      <w:r w:rsidRPr="00AF5E2E">
        <w:t xml:space="preserve"> costs of its </w:t>
      </w:r>
      <w:bookmarkStart w:id="24" w:name="_Hlk163804073"/>
      <w:r w:rsidRPr="00AF5E2E">
        <w:t>application for preliminary discovery, including in relation to the costs of the proceeding before the Registrar</w:t>
      </w:r>
      <w:bookmarkEnd w:id="24"/>
      <w:r w:rsidRPr="00AF5E2E">
        <w:t>.  However, at that time, I did not make an order to that effect.</w:t>
      </w:r>
    </w:p>
    <w:p w14:paraId="28242206" w14:textId="77777777" w:rsidR="00AF5E2E" w:rsidRDefault="00AF5E2E" w:rsidP="00AF5E2E">
      <w:pPr>
        <w:pStyle w:val="ParaNumbering"/>
      </w:pPr>
      <w:r w:rsidRPr="00AF5E2E">
        <w:t>When bringing in draft orders to give effect to my reasons, the parties sought to be heard on the question of costs, including in relation to the giving of preliminary discovery—a matter which, as I noted at the time I published my reasons, the parties had not addressed at the review hearing.</w:t>
      </w:r>
    </w:p>
    <w:p w14:paraId="2410DCC5" w14:textId="3555DE7E" w:rsidR="00E06312" w:rsidRPr="00AF5E2E" w:rsidRDefault="00E06312" w:rsidP="00E06312">
      <w:pPr>
        <w:pStyle w:val="Heading1"/>
      </w:pPr>
      <w:r>
        <w:t>Costs of the application for preliminary discovery</w:t>
      </w:r>
    </w:p>
    <w:p w14:paraId="0D3A04BE" w14:textId="12FA188E" w:rsidR="00AF5E2E" w:rsidRPr="002A2B62" w:rsidRDefault="00AF5E2E" w:rsidP="00AF5E2E">
      <w:pPr>
        <w:pStyle w:val="ParaNumbering"/>
      </w:pPr>
      <w:r w:rsidRPr="002A2B62">
        <w:t xml:space="preserve">The prospective respondents accept that the bulk of the review hearing was occupied by argument about whether the preconditions to exercising the power under </w:t>
      </w:r>
      <w:r w:rsidRPr="00FE2002">
        <w:t xml:space="preserve">r 7.23 of the </w:t>
      </w:r>
      <w:r w:rsidRPr="00FE2002">
        <w:rPr>
          <w:i/>
        </w:rPr>
        <w:t xml:space="preserve">Federal Court Rules 2011 </w:t>
      </w:r>
      <w:r w:rsidRPr="00FE2002">
        <w:t>(</w:t>
      </w:r>
      <w:proofErr w:type="spellStart"/>
      <w:r w:rsidRPr="00FE2002">
        <w:t>Cth</w:t>
      </w:r>
      <w:proofErr w:type="spellEnd"/>
      <w:r w:rsidRPr="00FE2002">
        <w:t xml:space="preserve">) </w:t>
      </w:r>
      <w:r w:rsidRPr="002A2B62">
        <w:t xml:space="preserve">had been established.  They contend, however, that they had offered to resolve the application for preliminary discovery, before the review hearing, by agreeing to orders for discovery which, they say, were in terms equivalent to those ultimately ordered on 13 November 2023.  They </w:t>
      </w:r>
      <w:bookmarkStart w:id="25" w:name="_Hlk163116454"/>
      <w:r w:rsidRPr="002A2B62">
        <w:t xml:space="preserve">contend that, had their offer been accepted, the costs and expense </w:t>
      </w:r>
      <w:r w:rsidRPr="002A2B62">
        <w:lastRenderedPageBreak/>
        <w:t>of the review hearing would have been avoided</w:t>
      </w:r>
      <w:bookmarkEnd w:id="25"/>
      <w:r w:rsidRPr="002A2B62">
        <w:t xml:space="preserve">.  </w:t>
      </w:r>
      <w:r w:rsidR="00FE2002">
        <w:t xml:space="preserve">Further, they submit that the categories of discovery ordered by the Court were narrower than those ordered by the Registrar. </w:t>
      </w:r>
      <w:r w:rsidRPr="002A2B62">
        <w:t>For th</w:t>
      </w:r>
      <w:r w:rsidR="00FE2002">
        <w:t>ose</w:t>
      </w:r>
      <w:r w:rsidRPr="002A2B62">
        <w:t xml:space="preserve"> reason</w:t>
      </w:r>
      <w:r w:rsidR="00FE2002">
        <w:t>s</w:t>
      </w:r>
      <w:r w:rsidRPr="002A2B62">
        <w:t xml:space="preserve">, they contend that the Court should, in the exercise of its broad discretion on costs, make no order as to the costs of the application for preliminary discovery.  Alternatively, the prospective respondents contend that (a) if </w:t>
      </w:r>
      <w:proofErr w:type="spellStart"/>
      <w:r w:rsidRPr="002A2B62">
        <w:t>AustCorp</w:t>
      </w:r>
      <w:proofErr w:type="spellEnd"/>
      <w:r w:rsidRPr="002A2B62">
        <w:t xml:space="preserve"> commences a substantive proceeding against them within 90 days of their compliance with the discovery orders, the costs of the preliminary discovery application be costs in that proceeding; or (b) if </w:t>
      </w:r>
      <w:proofErr w:type="spellStart"/>
      <w:r w:rsidRPr="002A2B62">
        <w:t>AustCorp</w:t>
      </w:r>
      <w:proofErr w:type="spellEnd"/>
      <w:r w:rsidRPr="002A2B62">
        <w:t xml:space="preserve"> does not commence such a proceeding, there be no order as to costs.  </w:t>
      </w:r>
    </w:p>
    <w:p w14:paraId="05D4A838" w14:textId="77777777" w:rsidR="00AF5E2E" w:rsidRPr="00AF5E2E" w:rsidRDefault="00AF5E2E" w:rsidP="00AF5E2E">
      <w:pPr>
        <w:pStyle w:val="ParaNumbering"/>
      </w:pPr>
      <w:proofErr w:type="spellStart"/>
      <w:r w:rsidRPr="00AF5E2E">
        <w:t>AustCorp</w:t>
      </w:r>
      <w:proofErr w:type="spellEnd"/>
      <w:r w:rsidRPr="00AF5E2E">
        <w:t xml:space="preserve"> contends that I should adhere to my initial conclusion and make the order I had contemplated in my reasons.  </w:t>
      </w:r>
      <w:proofErr w:type="spellStart"/>
      <w:r w:rsidRPr="00AF5E2E">
        <w:t>AustCorp</w:t>
      </w:r>
      <w:proofErr w:type="spellEnd"/>
      <w:r w:rsidRPr="00AF5E2E">
        <w:t xml:space="preserve"> contends that the alternative contingent costs order proposed by the prospective respondents is not appropriate because their response to the preliminary discovery application was to act in an adversarial manner.  For that reason, costs should follow the event.</w:t>
      </w:r>
    </w:p>
    <w:p w14:paraId="4A4632DA" w14:textId="77777777" w:rsidR="00AF5E2E" w:rsidRPr="00AF5E2E" w:rsidRDefault="00AF5E2E" w:rsidP="00AF5E2E">
      <w:pPr>
        <w:pStyle w:val="ParaNumbering"/>
      </w:pPr>
      <w:r w:rsidRPr="00AF5E2E">
        <w:t>In order to consider these submissions, it is necessary to say something more about the background circumstances.</w:t>
      </w:r>
    </w:p>
    <w:p w14:paraId="0219AC1E" w14:textId="6D59FC75" w:rsidR="00AF5E2E" w:rsidRPr="00AF5E2E" w:rsidRDefault="00AF5E2E" w:rsidP="00AF5E2E">
      <w:pPr>
        <w:pStyle w:val="ParaNumbering"/>
      </w:pPr>
      <w:r w:rsidRPr="00AF5E2E">
        <w:t>The preliminary discovery application that was heard by the Registrar was fully contested (i.e.,</w:t>
      </w:r>
      <w:r w:rsidR="00FE2002">
        <w:t> </w:t>
      </w:r>
      <w:r w:rsidRPr="00AF5E2E">
        <w:t xml:space="preserve">including as to </w:t>
      </w:r>
      <w:proofErr w:type="spellStart"/>
      <w:r w:rsidRPr="00AF5E2E">
        <w:t>AustCorp’s</w:t>
      </w:r>
      <w:proofErr w:type="spellEnd"/>
      <w:r w:rsidRPr="00AF5E2E">
        <w:t xml:space="preserve"> entitlement to preliminary discovery).  </w:t>
      </w:r>
      <w:proofErr w:type="spellStart"/>
      <w:r w:rsidRPr="00AF5E2E">
        <w:t>AustCorp</w:t>
      </w:r>
      <w:proofErr w:type="spellEnd"/>
      <w:r w:rsidRPr="00AF5E2E">
        <w:t xml:space="preserve"> was successful, although the Registrar placed some limitations on the documents to be discovered.  In light of that fact, the Registrar ordered the parties to bear their own costs of the application.  </w:t>
      </w:r>
    </w:p>
    <w:p w14:paraId="2DECA2FD" w14:textId="77777777" w:rsidR="00AF5E2E" w:rsidRPr="00AF5E2E" w:rsidRDefault="00AF5E2E" w:rsidP="00AF5E2E">
      <w:pPr>
        <w:pStyle w:val="ParaNumbering"/>
      </w:pPr>
      <w:r w:rsidRPr="00AF5E2E">
        <w:t xml:space="preserve">The prospective respondents elected to challenge the Registrar’s decision, as they were entitled to do.  However, the consequence of that decision was that a hearing de novo was required.  The review hearing was conducted accordingly, with the prospective respondents once again challenging </w:t>
      </w:r>
      <w:proofErr w:type="spellStart"/>
      <w:r w:rsidRPr="00AF5E2E">
        <w:t>AustCorp’s</w:t>
      </w:r>
      <w:proofErr w:type="spellEnd"/>
      <w:r w:rsidRPr="00AF5E2E">
        <w:t xml:space="preserve"> entitlement to preliminary discovery.</w:t>
      </w:r>
    </w:p>
    <w:p w14:paraId="6A357E34" w14:textId="6020B4C2" w:rsidR="00AF5E2E" w:rsidRPr="00AF5E2E" w:rsidRDefault="00AF5E2E" w:rsidP="00AF5E2E">
      <w:pPr>
        <w:pStyle w:val="ParaNumbering"/>
      </w:pPr>
      <w:r w:rsidRPr="00AF5E2E">
        <w:t xml:space="preserve">On 21 August 2023, one week before the review hearing, the prospective respondents made a settlement offer to the effect that they would provide preliminary discovery of certain documents.  On 23 August 2023, </w:t>
      </w:r>
      <w:proofErr w:type="spellStart"/>
      <w:r w:rsidRPr="00AF5E2E">
        <w:t>AustCorp</w:t>
      </w:r>
      <w:proofErr w:type="spellEnd"/>
      <w:r w:rsidRPr="00AF5E2E">
        <w:t xml:space="preserve"> rejected that offer and made a counter-offer.  The prospective respondents did not accept this counter-offer.  However, on 25 August 2023, the last business day before the review hearing, they made a further offer to produce certain documents.  The offer remained open for </w:t>
      </w:r>
      <w:r w:rsidR="00E75E17">
        <w:t xml:space="preserve">less than </w:t>
      </w:r>
      <w:r w:rsidRPr="00AF5E2E">
        <w:t xml:space="preserve">one day.  </w:t>
      </w:r>
      <w:proofErr w:type="spellStart"/>
      <w:r w:rsidRPr="00AF5E2E">
        <w:t>AustCorp</w:t>
      </w:r>
      <w:proofErr w:type="spellEnd"/>
      <w:r w:rsidRPr="00AF5E2E">
        <w:t xml:space="preserve"> did not accept it.</w:t>
      </w:r>
    </w:p>
    <w:p w14:paraId="21378DE0" w14:textId="44D48469" w:rsidR="00AF5E2E" w:rsidRPr="00AF5E2E" w:rsidRDefault="00AF5E2E" w:rsidP="00AF5E2E">
      <w:pPr>
        <w:pStyle w:val="ParaNumbering"/>
      </w:pPr>
      <w:r w:rsidRPr="00AF5E2E">
        <w:t>As events transpired, the orders for preliminary discovery I made in relation to Ms Callaghan were:  (a) broader in scope than one category of documents in</w:t>
      </w:r>
      <w:r w:rsidR="00FE2002">
        <w:t xml:space="preserve"> </w:t>
      </w:r>
      <w:r w:rsidRPr="00AF5E2E">
        <w:t xml:space="preserve">the prospective respondents’ </w:t>
      </w:r>
      <w:r w:rsidRPr="00AF5E2E">
        <w:lastRenderedPageBreak/>
        <w:t>offer of 25 August 2023</w:t>
      </w:r>
      <w:r w:rsidR="00FE2002">
        <w:t>,</w:t>
      </w:r>
      <w:r w:rsidRPr="00AF5E2E">
        <w:t xml:space="preserve"> even though, at the review hearing, Ms Callaghan accepted that this category was “within the discretion conferred by r 7.23(2)”; (b) included one category of documents in the prospective respondents’ offer of 25 August 2023 but whose production was nevertheless resisted at the review hearing by Ms Callaghan on the ground of undue breadth;  and (c) included one category of documents substantially in accordance with the corresponding category proposed in the prospective respondents’ offer of 25 August 2023.</w:t>
      </w:r>
    </w:p>
    <w:p w14:paraId="6B4A7CF3" w14:textId="4273F779" w:rsidR="00AF5E2E" w:rsidRPr="00AF5E2E" w:rsidRDefault="00AF5E2E" w:rsidP="00AF5E2E">
      <w:pPr>
        <w:pStyle w:val="ParaNumbering"/>
      </w:pPr>
      <w:r w:rsidRPr="00AF5E2E">
        <w:t xml:space="preserve">The orders for preliminary discovery I made in relation to Lead Group:  (a) did not include two categories of documents sought by </w:t>
      </w:r>
      <w:proofErr w:type="spellStart"/>
      <w:r w:rsidRPr="00AF5E2E">
        <w:t>AustCorp</w:t>
      </w:r>
      <w:proofErr w:type="spellEnd"/>
      <w:r w:rsidRPr="00AF5E2E">
        <w:t>; (b) include</w:t>
      </w:r>
      <w:r w:rsidR="00BB6CBF">
        <w:t>d</w:t>
      </w:r>
      <w:r w:rsidRPr="00AF5E2E">
        <w:t xml:space="preserve"> one category of documents sought by </w:t>
      </w:r>
      <w:proofErr w:type="spellStart"/>
      <w:r w:rsidRPr="00AF5E2E">
        <w:t>AustCorp</w:t>
      </w:r>
      <w:proofErr w:type="spellEnd"/>
      <w:r w:rsidRPr="00AF5E2E">
        <w:t xml:space="preserve"> which was included in </w:t>
      </w:r>
      <w:proofErr w:type="spellStart"/>
      <w:r w:rsidRPr="00AF5E2E">
        <w:t>AustCorp’s</w:t>
      </w:r>
      <w:proofErr w:type="spellEnd"/>
      <w:r w:rsidRPr="00AF5E2E">
        <w:t xml:space="preserve"> offer of 23 August 2023 and, subsequently, the prospective respondents’ offer of 25 August 2023; (c) included one category of documents in the prospective respondents’ offer of 25 August 2023; and (d) included one category of documents in the prospective respondents’ offer of 25 August 2023 but whose production was nevertheless resisted at the review hearing by Lead Group on the ground of undue breadth.</w:t>
      </w:r>
    </w:p>
    <w:p w14:paraId="23A8676C" w14:textId="77777777" w:rsidR="00AF5E2E" w:rsidRPr="00AF5E2E" w:rsidRDefault="00AF5E2E" w:rsidP="00AF5E2E">
      <w:pPr>
        <w:pStyle w:val="ParaNumbering"/>
      </w:pPr>
      <w:r w:rsidRPr="00AF5E2E">
        <w:t xml:space="preserve">It can be seen that, although </w:t>
      </w:r>
      <w:proofErr w:type="spellStart"/>
      <w:r w:rsidRPr="00AF5E2E">
        <w:t>AustCorp</w:t>
      </w:r>
      <w:proofErr w:type="spellEnd"/>
      <w:r w:rsidRPr="00AF5E2E">
        <w:t xml:space="preserve"> had mixed success in obtaining preliminary discovery according to the categories of documents it sought, and although preliminary discovery was ordered in respect of some of the categories of documents that the prospective respondents had proposed in their offer of 25 August 2023, the prospective respondents nevertheless resisted giving preliminary discovery in respect of some categories even though they, themselves, had proposed those categories in their offer of 25 August 2023.</w:t>
      </w:r>
    </w:p>
    <w:p w14:paraId="0E945881" w14:textId="4B2AA170" w:rsidR="00AF5E2E" w:rsidRPr="00AF5E2E" w:rsidRDefault="00AF5E2E" w:rsidP="00AF5E2E">
      <w:pPr>
        <w:pStyle w:val="ParaNumbering"/>
      </w:pPr>
      <w:r w:rsidRPr="00AF5E2E">
        <w:t xml:space="preserve">And, of course, it is not to be forgotten that, at the review hearing, the prospective respondents objected to giving any preliminary discovery on the ground that </w:t>
      </w:r>
      <w:proofErr w:type="spellStart"/>
      <w:r w:rsidRPr="00AF5E2E">
        <w:t>AustCorp</w:t>
      </w:r>
      <w:proofErr w:type="spellEnd"/>
      <w:r w:rsidRPr="00AF5E2E">
        <w:t xml:space="preserve"> had not established </w:t>
      </w:r>
      <w:r w:rsidR="00F67509">
        <w:t>its</w:t>
      </w:r>
      <w:r w:rsidRPr="00AF5E2E">
        <w:t xml:space="preserve"> entitlement to that relief</w:t>
      </w:r>
      <w:r w:rsidR="00E06312">
        <w:t>.  As</w:t>
      </w:r>
      <w:r w:rsidRPr="00AF5E2E">
        <w:t xml:space="preserve"> I have said, </w:t>
      </w:r>
      <w:r w:rsidR="00E06312">
        <w:t xml:space="preserve">the question of </w:t>
      </w:r>
      <w:proofErr w:type="spellStart"/>
      <w:r w:rsidR="00E06312">
        <w:t>AustCorp’s</w:t>
      </w:r>
      <w:proofErr w:type="spellEnd"/>
      <w:r w:rsidR="00E06312">
        <w:t xml:space="preserve"> entitlement to preliminary discovery </w:t>
      </w:r>
      <w:r w:rsidRPr="00AF5E2E">
        <w:t>was the substantial part of the review hearing.</w:t>
      </w:r>
    </w:p>
    <w:p w14:paraId="7A96498F" w14:textId="5FC15A06" w:rsidR="00F67509" w:rsidRDefault="00AF5E2E" w:rsidP="00AF5E2E">
      <w:pPr>
        <w:pStyle w:val="ParaNumbering"/>
      </w:pPr>
      <w:r w:rsidRPr="00AF5E2E">
        <w:t xml:space="preserve">Having considered the parties’ submissions on this topic, I remain of the view that I initially expressed.  It was always open to the prospective respondents to contest </w:t>
      </w:r>
      <w:proofErr w:type="spellStart"/>
      <w:r w:rsidRPr="00AF5E2E">
        <w:t>AustCorp’s</w:t>
      </w:r>
      <w:proofErr w:type="spellEnd"/>
      <w:r w:rsidRPr="00AF5E2E">
        <w:t xml:space="preserve"> application for preliminary discovery on the basis that some of the categories that </w:t>
      </w:r>
      <w:proofErr w:type="spellStart"/>
      <w:r w:rsidRPr="00AF5E2E">
        <w:t>AustCorp</w:t>
      </w:r>
      <w:proofErr w:type="spellEnd"/>
      <w:r w:rsidRPr="00AF5E2E">
        <w:t xml:space="preserve"> sought were</w:t>
      </w:r>
      <w:r w:rsidR="00E06312">
        <w:t xml:space="preserve"> unnecessary or</w:t>
      </w:r>
      <w:r w:rsidRPr="00AF5E2E">
        <w:t xml:space="preserve"> too broad</w:t>
      </w:r>
      <w:r w:rsidR="00E06312">
        <w:t>,</w:t>
      </w:r>
      <w:r w:rsidRPr="00AF5E2E">
        <w:t xml:space="preserve"> and that the categories they had proposed in their offer of 25 August</w:t>
      </w:r>
      <w:r w:rsidR="00FE2002">
        <w:t> </w:t>
      </w:r>
      <w:r w:rsidRPr="00AF5E2E">
        <w:t xml:space="preserve">2023 provided appropriate and adequate discovery in </w:t>
      </w:r>
      <w:r w:rsidR="00E06312">
        <w:t xml:space="preserve">all </w:t>
      </w:r>
      <w:r w:rsidRPr="00AF5E2E">
        <w:t xml:space="preserve">the circumstances.  Had the prospective respondents adopted that course, there would be some merit in their contention that, had </w:t>
      </w:r>
      <w:proofErr w:type="spellStart"/>
      <w:r w:rsidRPr="00AF5E2E">
        <w:t>AustCorp</w:t>
      </w:r>
      <w:proofErr w:type="spellEnd"/>
      <w:r w:rsidRPr="00AF5E2E">
        <w:t xml:space="preserve"> accepted their offer of 25 August 2023, the costs and expense of the review hearing would have been avoided, or at least substantially avoided.  </w:t>
      </w:r>
    </w:p>
    <w:p w14:paraId="6C13FE2A" w14:textId="06FCCE21" w:rsidR="00AF5E2E" w:rsidRPr="00AF5E2E" w:rsidRDefault="00AF5E2E" w:rsidP="00AF5E2E">
      <w:pPr>
        <w:pStyle w:val="ParaNumbering"/>
      </w:pPr>
      <w:r w:rsidRPr="00AF5E2E">
        <w:lastRenderedPageBreak/>
        <w:t xml:space="preserve">However, </w:t>
      </w:r>
      <w:r w:rsidR="00E75E17">
        <w:t xml:space="preserve">at the review hearing </w:t>
      </w:r>
      <w:r w:rsidRPr="00AF5E2E">
        <w:t xml:space="preserve">the prospective respondents charted a different forensic course by challenging </w:t>
      </w:r>
      <w:proofErr w:type="spellStart"/>
      <w:r w:rsidRPr="00AF5E2E">
        <w:t>AustCorp’s</w:t>
      </w:r>
      <w:proofErr w:type="spellEnd"/>
      <w:r w:rsidRPr="00AF5E2E">
        <w:t xml:space="preserve"> entitlement to preliminary discovery which, it seems to me, was completely unnecessary in light of the offer that the prospective respondents had made.  The course</w:t>
      </w:r>
      <w:r w:rsidR="00E06312">
        <w:t xml:space="preserve"> they adopted</w:t>
      </w:r>
      <w:r w:rsidR="00F67509">
        <w:t xml:space="preserve"> at the review hearing</w:t>
      </w:r>
      <w:r w:rsidRPr="00AF5E2E">
        <w:t xml:space="preserve"> shifted the focus from the adequacy of the categories of documents they had offered to a fully contested application as to whether </w:t>
      </w:r>
      <w:proofErr w:type="spellStart"/>
      <w:r w:rsidRPr="00AF5E2E">
        <w:t>AustCorp</w:t>
      </w:r>
      <w:proofErr w:type="spellEnd"/>
      <w:r w:rsidRPr="00AF5E2E">
        <w:t xml:space="preserve"> was entitled to preliminary discovery at all</w:t>
      </w:r>
      <w:r w:rsidR="00E06312">
        <w:t>.  This shift</w:t>
      </w:r>
      <w:r w:rsidRPr="00AF5E2E">
        <w:t xml:space="preserve"> exposed them to </w:t>
      </w:r>
      <w:r w:rsidR="00E06312">
        <w:t>a significantly greater</w:t>
      </w:r>
      <w:r w:rsidRPr="00AF5E2E">
        <w:t xml:space="preserve"> risk of an adverse costs order.  </w:t>
      </w:r>
    </w:p>
    <w:p w14:paraId="560A7F07" w14:textId="77777777" w:rsidR="00AF5E2E" w:rsidRPr="00AF5E2E" w:rsidRDefault="00AF5E2E" w:rsidP="00AF5E2E">
      <w:pPr>
        <w:pStyle w:val="ParaNumbering"/>
      </w:pPr>
      <w:r w:rsidRPr="00AF5E2E">
        <w:t xml:space="preserve">In the circumstances, the appropriate costs order is that the prospective respondents pay </w:t>
      </w:r>
      <w:proofErr w:type="spellStart"/>
      <w:r w:rsidRPr="00AF5E2E">
        <w:t>AustCorp’s</w:t>
      </w:r>
      <w:proofErr w:type="spellEnd"/>
      <w:r w:rsidRPr="00AF5E2E">
        <w:t xml:space="preserve"> costs of its application for preliminary discovery, including in relation to the costs before the Registrar.</w:t>
      </w:r>
    </w:p>
    <w:p w14:paraId="1006F502" w14:textId="5E06EC86" w:rsidR="00E06312" w:rsidRDefault="00E06312" w:rsidP="00E06312">
      <w:pPr>
        <w:pStyle w:val="Heading1"/>
      </w:pPr>
      <w:r>
        <w:t>Compliance costs</w:t>
      </w:r>
    </w:p>
    <w:p w14:paraId="3BA3910F" w14:textId="3A454F7B" w:rsidR="00E06312" w:rsidRDefault="00AF5E2E" w:rsidP="00AF5E2E">
      <w:pPr>
        <w:pStyle w:val="ParaNumbering"/>
      </w:pPr>
      <w:r w:rsidRPr="00AF5E2E">
        <w:t xml:space="preserve">The prospective respondents contend that </w:t>
      </w:r>
      <w:proofErr w:type="spellStart"/>
      <w:r w:rsidRPr="00AF5E2E">
        <w:t>AustCorp</w:t>
      </w:r>
      <w:proofErr w:type="spellEnd"/>
      <w:r w:rsidRPr="00AF5E2E">
        <w:t xml:space="preserve"> should pay their costs of complying with the preliminary discovery orders that have been made.  They submit that these costs are “likely to be not insubstantial”.  The evidence before me supports that submission.  </w:t>
      </w:r>
    </w:p>
    <w:p w14:paraId="6BB80D6D" w14:textId="4E8767BD" w:rsidR="00AF5E2E" w:rsidRPr="00AF5E2E" w:rsidRDefault="00AF5E2E" w:rsidP="00AF5E2E">
      <w:pPr>
        <w:pStyle w:val="ParaNumbering"/>
      </w:pPr>
      <w:r w:rsidRPr="00AF5E2E">
        <w:t xml:space="preserve">Alternatively, </w:t>
      </w:r>
      <w:bookmarkStart w:id="26" w:name="_Hlk163804353"/>
      <w:r w:rsidRPr="00AF5E2E">
        <w:t xml:space="preserve">the prospective respondents contend that (a) if </w:t>
      </w:r>
      <w:proofErr w:type="spellStart"/>
      <w:r w:rsidRPr="00AF5E2E">
        <w:t>AustCorp</w:t>
      </w:r>
      <w:proofErr w:type="spellEnd"/>
      <w:r w:rsidRPr="00AF5E2E">
        <w:t xml:space="preserve"> commences a substantive proceeding against them within 90 days of their compliance with the preliminary discovery orders, their costs of compliance with those orders be costs in the cause of that proceeding; or (b) if </w:t>
      </w:r>
      <w:proofErr w:type="spellStart"/>
      <w:r w:rsidRPr="00AF5E2E">
        <w:t>AustCorp</w:t>
      </w:r>
      <w:proofErr w:type="spellEnd"/>
      <w:r w:rsidRPr="00AF5E2E">
        <w:t xml:space="preserve"> does not commence such a proceeding, it be ordered to pay the prospective respondents’ costs of compliance</w:t>
      </w:r>
      <w:bookmarkEnd w:id="26"/>
      <w:r w:rsidRPr="00AF5E2E">
        <w:t>.</w:t>
      </w:r>
    </w:p>
    <w:p w14:paraId="0EE7FF4B" w14:textId="2391F0B6" w:rsidR="00AF5E2E" w:rsidRPr="00AF5E2E" w:rsidRDefault="00AF5E2E" w:rsidP="00AF5E2E">
      <w:pPr>
        <w:pStyle w:val="ParaNumbering"/>
      </w:pPr>
      <w:proofErr w:type="spellStart"/>
      <w:r w:rsidRPr="00AF5E2E">
        <w:t>AustCorp</w:t>
      </w:r>
      <w:proofErr w:type="spellEnd"/>
      <w:r w:rsidRPr="00AF5E2E">
        <w:t xml:space="preserve"> proposes a similar order to the prospective respondents’</w:t>
      </w:r>
      <w:r w:rsidR="00BB6CBF">
        <w:t xml:space="preserve"> </w:t>
      </w:r>
      <w:r w:rsidRPr="00AF5E2E">
        <w:t xml:space="preserve">proposed alternative.  </w:t>
      </w:r>
      <w:proofErr w:type="spellStart"/>
      <w:r w:rsidRPr="00AF5E2E">
        <w:t>AustCorp</w:t>
      </w:r>
      <w:proofErr w:type="spellEnd"/>
      <w:r w:rsidRPr="00AF5E2E">
        <w:t xml:space="preserve"> contends that (a) if it commences a substantive proceeding against the prospective respondents within 90 days of their compliance with the preliminary discovery orders, the prospective respondents’ costs of compliance be their costs in that proceeding; or (b) if it does not commence such a proceeding, it be ordered to pay the prospective respondents’ costs of compliance.</w:t>
      </w:r>
    </w:p>
    <w:p w14:paraId="75399AE9" w14:textId="070A59E4" w:rsidR="00AF5E2E" w:rsidRPr="00AF5E2E" w:rsidRDefault="00AF5E2E" w:rsidP="00AF5E2E">
      <w:pPr>
        <w:pStyle w:val="ParaNumbering"/>
      </w:pPr>
      <w:r w:rsidRPr="00AF5E2E">
        <w:t>It does not seem to me that</w:t>
      </w:r>
      <w:r w:rsidR="002B2521">
        <w:t xml:space="preserve"> </w:t>
      </w:r>
      <w:proofErr w:type="spellStart"/>
      <w:r w:rsidR="002B2521">
        <w:t>AustCorp’s</w:t>
      </w:r>
      <w:proofErr w:type="spellEnd"/>
      <w:r w:rsidR="002B2521">
        <w:t xml:space="preserve"> proposed order is appropriate as a matter of form.  As </w:t>
      </w:r>
      <w:r w:rsidR="002B2521" w:rsidRPr="00AF5E2E">
        <w:t xml:space="preserve">it is the prospective respondents’ obligation to comply with the preliminary discovery orders, not </w:t>
      </w:r>
      <w:proofErr w:type="spellStart"/>
      <w:r w:rsidR="002B2521" w:rsidRPr="00AF5E2E">
        <w:t>AustCorp’s</w:t>
      </w:r>
      <w:proofErr w:type="spellEnd"/>
      <w:r w:rsidR="002B2521" w:rsidRPr="00AF5E2E">
        <w:t xml:space="preserve"> obligation</w:t>
      </w:r>
      <w:r w:rsidRPr="00AF5E2E">
        <w:t xml:space="preserve">, </w:t>
      </w:r>
      <w:proofErr w:type="spellStart"/>
      <w:r w:rsidR="002B2521" w:rsidRPr="00AF5E2E">
        <w:t>AustCorp</w:t>
      </w:r>
      <w:proofErr w:type="spellEnd"/>
      <w:r w:rsidR="002B2521" w:rsidRPr="00AF5E2E">
        <w:t>, itself, does not have any preliminary discovery compliance costs</w:t>
      </w:r>
      <w:r w:rsidR="00FB1BF7">
        <w:t xml:space="preserve"> whose burden can be carried into the contemplated substantive proceeding</w:t>
      </w:r>
      <w:r w:rsidR="002B2521">
        <w:t>.  Therefore,</w:t>
      </w:r>
      <w:r w:rsidR="002B2521" w:rsidRPr="00AF5E2E">
        <w:t xml:space="preserve"> </w:t>
      </w:r>
      <w:r w:rsidR="002B2521">
        <w:t>an order for compliance costs conditioned as “the prospective respondents’ costs in the cause</w:t>
      </w:r>
      <w:r w:rsidR="007B5108">
        <w:t>”</w:t>
      </w:r>
      <w:r w:rsidR="00FB1BF7">
        <w:t xml:space="preserve"> </w:t>
      </w:r>
      <w:r w:rsidR="007B5108">
        <w:t>(</w:t>
      </w:r>
      <w:r w:rsidR="00FB1BF7">
        <w:t>of the contemplated substantive proceeding</w:t>
      </w:r>
      <w:r w:rsidR="007B5108">
        <w:t>)</w:t>
      </w:r>
      <w:r w:rsidR="00FB1BF7">
        <w:t xml:space="preserve"> </w:t>
      </w:r>
      <w:r w:rsidR="002B2521">
        <w:t>is illusory</w:t>
      </w:r>
      <w:r w:rsidR="007B5108">
        <w:t xml:space="preserve">.  </w:t>
      </w:r>
      <w:r w:rsidR="008247F6">
        <w:t xml:space="preserve">There are no compliance </w:t>
      </w:r>
      <w:r w:rsidR="008247F6">
        <w:lastRenderedPageBreak/>
        <w:t xml:space="preserve">costs incurred by </w:t>
      </w:r>
      <w:proofErr w:type="spellStart"/>
      <w:r w:rsidR="008247F6">
        <w:t>AustCorp</w:t>
      </w:r>
      <w:proofErr w:type="spellEnd"/>
      <w:r w:rsidR="008247F6">
        <w:t xml:space="preserve"> whose burden can be lifted from the prospective respondents in the event that </w:t>
      </w:r>
      <w:r w:rsidR="00FB1BF7">
        <w:t>the prospective respondents</w:t>
      </w:r>
      <w:r w:rsidR="008247F6">
        <w:t xml:space="preserve"> are unsuccessful in the contemplated substantive proceeding.</w:t>
      </w:r>
      <w:r w:rsidR="009F29C2">
        <w:t xml:space="preserve">  In short, </w:t>
      </w:r>
      <w:proofErr w:type="spellStart"/>
      <w:r w:rsidR="009F29C2">
        <w:t>AustCorp’s</w:t>
      </w:r>
      <w:proofErr w:type="spellEnd"/>
      <w:r w:rsidR="009F29C2">
        <w:t xml:space="preserve"> proposed order cannot have any practical operation.  </w:t>
      </w:r>
      <w:r w:rsidR="00D12169">
        <w:t>I say this even though, in reply submissions, the prospective respondents accepted that an order in this form would be appropriate.</w:t>
      </w:r>
    </w:p>
    <w:p w14:paraId="2192F483" w14:textId="7C42A609" w:rsidR="009F29C2" w:rsidRDefault="00F67509" w:rsidP="009F29C2">
      <w:pPr>
        <w:pStyle w:val="ParaNumbering"/>
      </w:pPr>
      <w:r>
        <w:t>The</w:t>
      </w:r>
      <w:r w:rsidR="00AF5E2E" w:rsidRPr="00AF5E2E">
        <w:t xml:space="preserve"> appropriate order in respect of compliance costs is the alternative order </w:t>
      </w:r>
      <w:r w:rsidR="00DF30B4">
        <w:t xml:space="preserve">originally </w:t>
      </w:r>
      <w:r w:rsidR="00AF5E2E" w:rsidRPr="00AF5E2E">
        <w:t xml:space="preserve">proposed by the prospective respondents.  I am not persuaded </w:t>
      </w:r>
      <w:r w:rsidR="00E06312">
        <w:t>by the prospective respondents’</w:t>
      </w:r>
      <w:r>
        <w:t xml:space="preserve"> </w:t>
      </w:r>
      <w:r w:rsidR="00E06312">
        <w:t xml:space="preserve">principal submission </w:t>
      </w:r>
      <w:r w:rsidR="00AF5E2E" w:rsidRPr="00AF5E2E">
        <w:t xml:space="preserve">that their costs of compliance should be </w:t>
      </w:r>
      <w:proofErr w:type="spellStart"/>
      <w:r w:rsidR="00AF5E2E" w:rsidRPr="00AF5E2E">
        <w:t>AustCorp’s</w:t>
      </w:r>
      <w:proofErr w:type="spellEnd"/>
      <w:r w:rsidR="00AF5E2E" w:rsidRPr="00AF5E2E">
        <w:t xml:space="preserve"> costs in any event.</w:t>
      </w:r>
      <w:r>
        <w:t xml:space="preserve">  </w:t>
      </w:r>
      <w:r w:rsidR="009F29C2">
        <w:t>In this connection, I accept</w:t>
      </w:r>
      <w:r w:rsidR="009F29C2" w:rsidRPr="00AF5E2E">
        <w:t xml:space="preserve"> </w:t>
      </w:r>
      <w:proofErr w:type="spellStart"/>
      <w:r w:rsidR="009F29C2" w:rsidRPr="00AF5E2E">
        <w:t>AustCorp’s</w:t>
      </w:r>
      <w:proofErr w:type="spellEnd"/>
      <w:r w:rsidR="009F29C2" w:rsidRPr="00AF5E2E">
        <w:t xml:space="preserve"> submission that it seems highly likely that the documents captured by the orders for preliminary discovery would be </w:t>
      </w:r>
      <w:r w:rsidR="009F29C2">
        <w:t xml:space="preserve">the </w:t>
      </w:r>
      <w:r w:rsidR="009F29C2" w:rsidRPr="00AF5E2E">
        <w:t>subject</w:t>
      </w:r>
      <w:r w:rsidR="009F29C2">
        <w:t xml:space="preserve"> of</w:t>
      </w:r>
      <w:r w:rsidR="009F29C2" w:rsidRPr="00AF5E2E">
        <w:t xml:space="preserve"> orders for discovery in </w:t>
      </w:r>
      <w:r w:rsidR="009F29C2">
        <w:t>the substantive proceeding</w:t>
      </w:r>
      <w:r w:rsidR="009F29C2" w:rsidRPr="00AF5E2E">
        <w:t>.</w:t>
      </w:r>
    </w:p>
    <w:p w14:paraId="76D158FC" w14:textId="1DBAFF49" w:rsidR="00E06312" w:rsidRDefault="00E06312" w:rsidP="009F29C2">
      <w:pPr>
        <w:pStyle w:val="Heading1"/>
      </w:pPr>
      <w:r>
        <w:t>Disposition</w:t>
      </w:r>
    </w:p>
    <w:p w14:paraId="408B8E16" w14:textId="3F008BA5" w:rsidR="00CD1346" w:rsidRDefault="00E06312" w:rsidP="004438CA">
      <w:pPr>
        <w:pStyle w:val="ParaNumbering"/>
      </w:pPr>
      <w:r>
        <w:t>Orders will be made accordingly.</w:t>
      </w:r>
      <w:r w:rsidR="00244F1E">
        <w:t xml:space="preserve">  For the sake of good order, I will also discharge the orders made by the Registrar on</w:t>
      </w:r>
      <w:r w:rsidR="00BB6CBF">
        <w:t xml:space="preserve"> 1</w:t>
      </w:r>
      <w:r w:rsidR="00244F1E">
        <w:t>5 May 2023.</w:t>
      </w:r>
      <w:r w:rsidR="004438CA">
        <w:t xml:space="preserve">  </w:t>
      </w:r>
    </w:p>
    <w:p w14:paraId="60C8121E" w14:textId="77777777" w:rsidR="002A2B62" w:rsidRDefault="002A2B62" w:rsidP="00815065">
      <w:pPr>
        <w:pStyle w:val="BodyText"/>
      </w:pPr>
      <w:bookmarkStart w:id="27" w:name="Certification"/>
    </w:p>
    <w:tbl>
      <w:tblPr>
        <w:tblW w:w="0" w:type="auto"/>
        <w:tblLook w:val="04A0" w:firstRow="1" w:lastRow="0" w:firstColumn="1" w:lastColumn="0" w:noHBand="0" w:noVBand="1"/>
      </w:tblPr>
      <w:tblGrid>
        <w:gridCol w:w="3794"/>
      </w:tblGrid>
      <w:tr w:rsidR="002A2B62" w:rsidRPr="002A2B62" w14:paraId="2827AD52" w14:textId="77777777">
        <w:tc>
          <w:tcPr>
            <w:tcW w:w="3794" w:type="dxa"/>
            <w:shd w:val="clear" w:color="auto" w:fill="auto"/>
          </w:tcPr>
          <w:p w14:paraId="766BFF22" w14:textId="200DB425" w:rsidR="002A2B62" w:rsidRPr="002A2B62" w:rsidRDefault="002A2B62" w:rsidP="002A2B62">
            <w:pPr>
              <w:pStyle w:val="Normal1linespace"/>
            </w:pPr>
            <w:r w:rsidRPr="002A2B62">
              <w:t xml:space="preserve">I certify that the preceding </w:t>
            </w:r>
            <w:bookmarkStart w:id="28" w:name="NumberWord"/>
            <w:r>
              <w:t>twenty-three</w:t>
            </w:r>
            <w:bookmarkEnd w:id="28"/>
            <w:r w:rsidRPr="002A2B62">
              <w:t xml:space="preserve"> (</w:t>
            </w:r>
            <w:bookmarkStart w:id="29" w:name="NumberNumeral"/>
            <w:r>
              <w:t>23</w:t>
            </w:r>
            <w:bookmarkEnd w:id="29"/>
            <w:r w:rsidRPr="002A2B62">
              <w:t xml:space="preserve">) numbered </w:t>
            </w:r>
            <w:bookmarkStart w:id="30" w:name="CertPara"/>
            <w:r>
              <w:t>paragraphs are</w:t>
            </w:r>
            <w:bookmarkEnd w:id="30"/>
            <w:r w:rsidRPr="002A2B62">
              <w:t xml:space="preserve"> a true copy of the Reasons for Judgment of </w:t>
            </w:r>
            <w:bookmarkStart w:id="31" w:name="bkHonourable"/>
            <w:r w:rsidRPr="002A2B62">
              <w:t xml:space="preserve">the Honourable </w:t>
            </w:r>
            <w:bookmarkStart w:id="32" w:name="Justice"/>
            <w:bookmarkEnd w:id="31"/>
            <w:r>
              <w:t>Justice Yates</w:t>
            </w:r>
            <w:bookmarkEnd w:id="32"/>
            <w:r w:rsidRPr="002A2B62">
              <w:t>.</w:t>
            </w:r>
          </w:p>
        </w:tc>
      </w:tr>
    </w:tbl>
    <w:p w14:paraId="1530E0E8" w14:textId="77777777" w:rsidR="002A2B62" w:rsidRDefault="002A2B62" w:rsidP="00815065">
      <w:pPr>
        <w:pStyle w:val="BodyText"/>
      </w:pPr>
    </w:p>
    <w:p w14:paraId="0F30EE04" w14:textId="061D2027" w:rsidR="002A2B62" w:rsidRDefault="002A2B62" w:rsidP="00815065">
      <w:pPr>
        <w:pStyle w:val="BodyText"/>
      </w:pPr>
    </w:p>
    <w:p w14:paraId="6327B8BD" w14:textId="5B99263F" w:rsidR="002A2B62" w:rsidRDefault="002A2B62" w:rsidP="00815065">
      <w:pPr>
        <w:pStyle w:val="BodyText"/>
      </w:pPr>
    </w:p>
    <w:p w14:paraId="05E707BA" w14:textId="384EE7CF" w:rsidR="002A2B62" w:rsidRDefault="002A2B62" w:rsidP="00815065">
      <w:pPr>
        <w:pStyle w:val="BodyText"/>
      </w:pPr>
      <w:r>
        <w:t>Associate:</w:t>
      </w:r>
    </w:p>
    <w:p w14:paraId="0B200E9D" w14:textId="77777777" w:rsidR="002A2B62" w:rsidRDefault="002A2B62" w:rsidP="00815065">
      <w:pPr>
        <w:pStyle w:val="BodyText"/>
      </w:pPr>
    </w:p>
    <w:p w14:paraId="67DD5EAC" w14:textId="5A5FCD2C" w:rsidR="002A2B62" w:rsidRDefault="002A2B62" w:rsidP="00815065">
      <w:pPr>
        <w:pStyle w:val="BodyText"/>
        <w:tabs>
          <w:tab w:val="left" w:pos="1134"/>
        </w:tabs>
      </w:pPr>
      <w:r>
        <w:t>Dated:</w:t>
      </w:r>
      <w:r>
        <w:tab/>
      </w:r>
      <w:bookmarkStart w:id="33" w:name="CertifyDated"/>
      <w:r>
        <w:t>1</w:t>
      </w:r>
      <w:r w:rsidR="002817DC">
        <w:t>5</w:t>
      </w:r>
      <w:r>
        <w:t xml:space="preserve"> April 2024</w:t>
      </w:r>
      <w:bookmarkEnd w:id="33"/>
    </w:p>
    <w:p w14:paraId="3285CAD2" w14:textId="77777777" w:rsidR="002A2B62" w:rsidRDefault="002A2B62" w:rsidP="00815065">
      <w:pPr>
        <w:pStyle w:val="BodyText"/>
      </w:pPr>
    </w:p>
    <w:bookmarkEnd w:id="27"/>
    <w:p w14:paraId="5F1C6E80" w14:textId="2EF0F3A8" w:rsidR="002A2B62" w:rsidRDefault="002A2B62" w:rsidP="002A2B62">
      <w:pPr>
        <w:pStyle w:val="BodyText"/>
      </w:pPr>
    </w:p>
    <w:sectPr w:rsidR="002A2B62" w:rsidSect="00A84FD0">
      <w:headerReference w:type="even" r:id="rId19"/>
      <w:headerReference w:type="default" r:id="rId20"/>
      <w:footerReference w:type="default" r:id="rId21"/>
      <w:headerReference w:type="first" r:id="rId22"/>
      <w:footerReference w:type="first" r:id="rId23"/>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C44E3" w14:textId="77777777" w:rsidR="00AF5E2E" w:rsidRDefault="00AF5E2E">
      <w:pPr>
        <w:spacing w:line="20" w:lineRule="exact"/>
      </w:pPr>
    </w:p>
    <w:p w14:paraId="1D7B6BF1" w14:textId="77777777" w:rsidR="00AF5E2E" w:rsidRDefault="00AF5E2E"/>
    <w:p w14:paraId="22E8CE3A" w14:textId="77777777" w:rsidR="00AF5E2E" w:rsidRDefault="00AF5E2E"/>
  </w:endnote>
  <w:endnote w:type="continuationSeparator" w:id="0">
    <w:p w14:paraId="198D9F4F" w14:textId="77777777" w:rsidR="00AF5E2E" w:rsidRDefault="00AF5E2E">
      <w:r>
        <w:t xml:space="preserve"> </w:t>
      </w:r>
    </w:p>
    <w:p w14:paraId="69256573" w14:textId="77777777" w:rsidR="00AF5E2E" w:rsidRDefault="00AF5E2E"/>
    <w:p w14:paraId="5AB1DF1E" w14:textId="77777777" w:rsidR="00AF5E2E" w:rsidRDefault="00AF5E2E"/>
  </w:endnote>
  <w:endnote w:type="continuationNotice" w:id="1">
    <w:p w14:paraId="6CDF672C" w14:textId="77777777" w:rsidR="00AF5E2E" w:rsidRDefault="00AF5E2E">
      <w:r>
        <w:t xml:space="preserve"> </w:t>
      </w:r>
    </w:p>
    <w:p w14:paraId="5185FEFD" w14:textId="77777777" w:rsidR="00AF5E2E" w:rsidRDefault="00AF5E2E"/>
    <w:p w14:paraId="1C94216E" w14:textId="77777777" w:rsidR="00AF5E2E" w:rsidRDefault="00AF5E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69241" w14:textId="77777777" w:rsidR="00D66938" w:rsidRDefault="00D669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DAA13" w14:textId="6AE3E28F"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9264" behindDoc="0" locked="0" layoutInCell="1" allowOverlap="1" wp14:anchorId="67EB8120" wp14:editId="50C58516">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67B4B3"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0B70E0">
          <w:rPr>
            <w:bCs/>
            <w:sz w:val="18"/>
            <w:szCs w:val="18"/>
          </w:rPr>
          <w:t xml:space="preserve"> </w:t>
        </w:r>
        <w:proofErr w:type="spellStart"/>
        <w:r w:rsidR="000B70E0">
          <w:rPr>
            <w:bCs/>
            <w:sz w:val="18"/>
            <w:szCs w:val="18"/>
          </w:rPr>
          <w:t>AustCorp</w:t>
        </w:r>
        <w:proofErr w:type="spellEnd"/>
        <w:r w:rsidR="000B70E0">
          <w:rPr>
            <w:bCs/>
            <w:sz w:val="18"/>
            <w:szCs w:val="18"/>
          </w:rPr>
          <w:t xml:space="preserve"> Consulting Pty Limited v Callaghan (No 2) [2024] FCA 367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2FC15" w14:textId="46C9A544" w:rsidR="00395B24" w:rsidRPr="00D66938" w:rsidRDefault="00395B24" w:rsidP="00D6693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63DCF" w14:textId="54BE44F2" w:rsidR="00A84FD0" w:rsidRPr="00C47B9D" w:rsidRDefault="00A84FD0"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63360" behindDoc="0" locked="0" layoutInCell="1" allowOverlap="1" wp14:anchorId="448F7C60" wp14:editId="4FA3517B">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007E56"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831216538"/>
        <w:placeholder>
          <w:docPart w:val="22B379D0E4314015BC4BE44466D6C5F6"/>
        </w:placeholder>
        <w:dataBinding w:prefixMappings="xmlns:ns0='http://schemas.globalmacros.com/FCA'" w:xpath="/ns0:root[1]/ns0:Name[1]" w:storeItemID="{687E7CCB-4AA5-44E7-B148-17BA2B6F57C0}"/>
        <w:text w:multiLine="1"/>
      </w:sdtPr>
      <w:sdtEndPr/>
      <w:sdtContent>
        <w:r w:rsidR="000B70E0">
          <w:rPr>
            <w:bCs/>
            <w:sz w:val="18"/>
            <w:szCs w:val="18"/>
          </w:rPr>
          <w:t xml:space="preserve"> </w:t>
        </w:r>
        <w:proofErr w:type="spellStart"/>
        <w:r w:rsidR="000B70E0">
          <w:rPr>
            <w:bCs/>
            <w:sz w:val="18"/>
            <w:szCs w:val="18"/>
          </w:rPr>
          <w:t>AustCorp</w:t>
        </w:r>
        <w:proofErr w:type="spellEnd"/>
        <w:r w:rsidR="000B70E0">
          <w:rPr>
            <w:bCs/>
            <w:sz w:val="18"/>
            <w:szCs w:val="18"/>
          </w:rPr>
          <w:t xml:space="preserve"> Consulting Pty Limited v Callaghan (No 2) [2024] FCA 367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ii</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B7BEA" w14:textId="2E61AE37"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61312" behindDoc="0" locked="0" layoutInCell="1" allowOverlap="1" wp14:anchorId="4779B705" wp14:editId="236F24C4">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B5AAB4"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510263260"/>
        <w:placeholder>
          <w:docPart w:val="A9DF7A70A082460ABEA5918C48EE9E28"/>
        </w:placeholder>
        <w:dataBinding w:prefixMappings="xmlns:ns0='http://schemas.globalmacros.com/FCA'" w:xpath="/ns0:root[1]/ns0:Name[1]" w:storeItemID="{687E7CCB-4AA5-44E7-B148-17BA2B6F57C0}"/>
        <w:text w:multiLine="1"/>
      </w:sdtPr>
      <w:sdtEndPr/>
      <w:sdtContent>
        <w:r w:rsidR="000B70E0">
          <w:rPr>
            <w:bCs/>
            <w:sz w:val="18"/>
            <w:szCs w:val="18"/>
          </w:rPr>
          <w:t xml:space="preserve"> </w:t>
        </w:r>
        <w:proofErr w:type="spellStart"/>
        <w:r w:rsidR="000B70E0">
          <w:rPr>
            <w:bCs/>
            <w:sz w:val="18"/>
            <w:szCs w:val="18"/>
          </w:rPr>
          <w:t>AustCorp</w:t>
        </w:r>
        <w:proofErr w:type="spellEnd"/>
        <w:r w:rsidR="000B70E0">
          <w:rPr>
            <w:bCs/>
            <w:sz w:val="18"/>
            <w:szCs w:val="18"/>
          </w:rPr>
          <w:t xml:space="preserve"> Consulting Pty Limited v Callaghan (No 2) [2024] FCA 367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w:t>
    </w:r>
    <w:r w:rsidRPr="00EA7F6D">
      <w:rPr>
        <w:bCs/>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AB697" w14:textId="4D182249"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67456" behindDoc="0" locked="0" layoutInCell="1" allowOverlap="1" wp14:anchorId="79E246E5" wp14:editId="78C6BB45">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7C4E9C"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1095746746"/>
        <w:placeholder>
          <w:docPart w:val="146FD8E74D3E468598619456F8518AF7"/>
        </w:placeholder>
        <w:dataBinding w:prefixMappings="xmlns:ns0='http://schemas.globalmacros.com/FCA'" w:xpath="/ns0:root[1]/ns0:Name[1]" w:storeItemID="{687E7CCB-4AA5-44E7-B148-17BA2B6F57C0}"/>
        <w:text w:multiLine="1"/>
      </w:sdtPr>
      <w:sdtEndPr/>
      <w:sdtContent>
        <w:r w:rsidR="000B70E0">
          <w:rPr>
            <w:bCs/>
            <w:sz w:val="18"/>
            <w:szCs w:val="18"/>
          </w:rPr>
          <w:t xml:space="preserve"> </w:t>
        </w:r>
        <w:proofErr w:type="spellStart"/>
        <w:r w:rsidR="000B70E0">
          <w:rPr>
            <w:bCs/>
            <w:sz w:val="18"/>
            <w:szCs w:val="18"/>
          </w:rPr>
          <w:t>AustCorp</w:t>
        </w:r>
        <w:proofErr w:type="spellEnd"/>
        <w:r w:rsidR="000B70E0">
          <w:rPr>
            <w:bCs/>
            <w:sz w:val="18"/>
            <w:szCs w:val="18"/>
          </w:rPr>
          <w:t xml:space="preserve"> Consulting Pty Limited v Callaghan (No 2) [2024] FCA 367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2</w:t>
    </w:r>
    <w:r w:rsidRPr="00EA7F6D">
      <w:rPr>
        <w:bCs/>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B90C0" w14:textId="7507088C"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65408" behindDoc="0" locked="0" layoutInCell="1" allowOverlap="1" wp14:anchorId="7B0B3E79" wp14:editId="7968A443">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ED58DE"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1532949365"/>
        <w:placeholder>
          <w:docPart w:val="8D2EF04D65D54525BCC1334F5FE85FCA"/>
        </w:placeholder>
        <w:dataBinding w:prefixMappings="xmlns:ns0='http://schemas.globalmacros.com/FCA'" w:xpath="/ns0:root[1]/ns0:Name[1]" w:storeItemID="{687E7CCB-4AA5-44E7-B148-17BA2B6F57C0}"/>
        <w:text w:multiLine="1"/>
      </w:sdtPr>
      <w:sdtEndPr/>
      <w:sdtContent>
        <w:r w:rsidR="000B70E0">
          <w:rPr>
            <w:bCs/>
            <w:sz w:val="18"/>
            <w:szCs w:val="18"/>
          </w:rPr>
          <w:t xml:space="preserve"> </w:t>
        </w:r>
        <w:proofErr w:type="spellStart"/>
        <w:r w:rsidR="000B70E0">
          <w:rPr>
            <w:bCs/>
            <w:sz w:val="18"/>
            <w:szCs w:val="18"/>
          </w:rPr>
          <w:t>AustCorp</w:t>
        </w:r>
        <w:proofErr w:type="spellEnd"/>
        <w:r w:rsidR="000B70E0">
          <w:rPr>
            <w:bCs/>
            <w:sz w:val="18"/>
            <w:szCs w:val="18"/>
          </w:rPr>
          <w:t xml:space="preserve"> Consulting Pty Limited v Callaghan (No 2) [2024] FCA 367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6BE14" w14:textId="77777777" w:rsidR="00AF5E2E" w:rsidRDefault="00AF5E2E"/>
  </w:footnote>
  <w:footnote w:type="continuationSeparator" w:id="0">
    <w:p w14:paraId="2445B0D6" w14:textId="77777777" w:rsidR="00AF5E2E" w:rsidRDefault="00AF5E2E">
      <w:r>
        <w:continuationSeparator/>
      </w:r>
    </w:p>
    <w:p w14:paraId="209DB4EC" w14:textId="77777777" w:rsidR="00AF5E2E" w:rsidRDefault="00AF5E2E"/>
    <w:p w14:paraId="5D327788" w14:textId="77777777" w:rsidR="00AF5E2E" w:rsidRDefault="00AF5E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C9CDD" w14:textId="77777777" w:rsidR="00D66938" w:rsidRDefault="00D669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3F000" w14:textId="77777777" w:rsidR="00D66938" w:rsidRDefault="00D669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1C36F" w14:textId="77777777" w:rsidR="00D66938" w:rsidRDefault="00D6693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1853A" w14:textId="77777777" w:rsidR="00395B24" w:rsidRDefault="00395B24">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A4928" w14:textId="77777777" w:rsidR="00395B24" w:rsidRDefault="00395B24">
    <w:pPr>
      <w:pStyle w:val="Header"/>
      <w:tabs>
        <w:tab w:val="clear" w:pos="4320"/>
        <w:tab w:val="clear" w:pos="8640"/>
      </w:tabs>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7D577" w14:textId="77777777" w:rsidR="00395B24" w:rsidRDefault="00395B24"/>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C2AA8" w14:textId="77777777" w:rsidR="00395B24" w:rsidRDefault="00395B24">
    <w:pPr>
      <w:tabs>
        <w:tab w:val="center" w:pos="4512"/>
      </w:tabs>
      <w:suppressAutoHyphens/>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A390E" w14:textId="77777777" w:rsidR="00395B24" w:rsidRDefault="00395B24"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5"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6"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7"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9" w15:restartNumberingAfterBreak="0">
    <w:nsid w:val="494817A7"/>
    <w:multiLevelType w:val="multilevel"/>
    <w:tmpl w:val="0F0EC90E"/>
    <w:numStyleLink w:val="FCListNo"/>
  </w:abstractNum>
  <w:abstractNum w:abstractNumId="20"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4"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16cid:durableId="988435598">
    <w:abstractNumId w:val="14"/>
  </w:num>
  <w:num w:numId="2" w16cid:durableId="1094672753">
    <w:abstractNumId w:val="9"/>
  </w:num>
  <w:num w:numId="3" w16cid:durableId="1398089779">
    <w:abstractNumId w:val="7"/>
  </w:num>
  <w:num w:numId="4" w16cid:durableId="1263763340">
    <w:abstractNumId w:val="6"/>
  </w:num>
  <w:num w:numId="5" w16cid:durableId="136804557">
    <w:abstractNumId w:val="5"/>
  </w:num>
  <w:num w:numId="6" w16cid:durableId="1260261871">
    <w:abstractNumId w:val="4"/>
  </w:num>
  <w:num w:numId="7" w16cid:durableId="2068456336">
    <w:abstractNumId w:val="8"/>
  </w:num>
  <w:num w:numId="8" w16cid:durableId="1122844814">
    <w:abstractNumId w:val="3"/>
  </w:num>
  <w:num w:numId="9" w16cid:durableId="934291682">
    <w:abstractNumId w:val="2"/>
  </w:num>
  <w:num w:numId="10" w16cid:durableId="784233537">
    <w:abstractNumId w:val="1"/>
  </w:num>
  <w:num w:numId="11" w16cid:durableId="1488938815">
    <w:abstractNumId w:val="0"/>
  </w:num>
  <w:num w:numId="12" w16cid:durableId="364411648">
    <w:abstractNumId w:val="22"/>
  </w:num>
  <w:num w:numId="13" w16cid:durableId="1015694965">
    <w:abstractNumId w:val="20"/>
  </w:num>
  <w:num w:numId="14" w16cid:durableId="111366111">
    <w:abstractNumId w:val="21"/>
  </w:num>
  <w:num w:numId="15" w16cid:durableId="1405570576">
    <w:abstractNumId w:val="24"/>
  </w:num>
  <w:num w:numId="16" w16cid:durableId="1830750286">
    <w:abstractNumId w:val="13"/>
  </w:num>
  <w:num w:numId="17" w16cid:durableId="1528442604">
    <w:abstractNumId w:val="23"/>
  </w:num>
  <w:num w:numId="18" w16cid:durableId="738749722">
    <w:abstractNumId w:val="11"/>
  </w:num>
  <w:num w:numId="19" w16cid:durableId="1646353936">
    <w:abstractNumId w:val="18"/>
  </w:num>
  <w:num w:numId="20" w16cid:durableId="1701779989">
    <w:abstractNumId w:val="15"/>
  </w:num>
  <w:num w:numId="21" w16cid:durableId="351735414">
    <w:abstractNumId w:val="16"/>
  </w:num>
  <w:num w:numId="22" w16cid:durableId="1336496791">
    <w:abstractNumId w:val="19"/>
  </w:num>
  <w:num w:numId="23" w16cid:durableId="453408216">
    <w:abstractNumId w:val="10"/>
  </w:num>
  <w:num w:numId="24" w16cid:durableId="113913586">
    <w:abstractNumId w:val="10"/>
  </w:num>
  <w:num w:numId="25" w16cid:durableId="368652778">
    <w:abstractNumId w:val="12"/>
  </w:num>
  <w:num w:numId="26" w16cid:durableId="1725180246">
    <w:abstractNumId w:val="17"/>
  </w:num>
  <w:num w:numId="27" w16cid:durableId="1831604164">
    <w:abstractNumId w:val="17"/>
  </w:num>
  <w:num w:numId="28" w16cid:durableId="1826507577">
    <w:abstractNumId w:val="17"/>
  </w:num>
  <w:num w:numId="29" w16cid:durableId="361633355">
    <w:abstractNumId w:val="1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AU" w:vendorID="8" w:dllVersion="513"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PAndAnother" w:val="True"/>
    <w:docVar w:name="APPAndOthers" w:val="False"/>
    <w:docVar w:name="Applicant" w:val="Austcorp Consulting Pty Limited"/>
    <w:docVar w:name="CounselParties" w:val="Respondent"/>
    <w:docVar w:name="CounselType" w:val="Solicitor for the "/>
    <w:docVar w:name="Court" w:val="Federal Court of Australia (FCA)"/>
    <w:docVar w:name="Cross1AndAnother" w:val="True"/>
    <w:docVar w:name="Cross1AndOthers" w:val="False"/>
    <w:docVar w:name="Cross2AndAnother" w:val="True"/>
    <w:docVar w:name="Cross2AndOthers" w:val="False"/>
    <w:docVar w:name="Defenders" w:val="(and another named in the Schedule)"/>
    <w:docVar w:name="Division" w:val="FCA General Division"/>
    <w:docVar w:name="DocCreated" w:val="True"/>
    <w:docVar w:name="FileNumbers" w:val="NSD 139 of 2023"/>
    <w:docVar w:name="Initiators" w:val="(and another named in the Schedule)"/>
    <w:docVar w:name="Judgdate" w:val="12 April 2024"/>
    <w:docVar w:name="Judge" w:val="Yates"/>
    <w:docVar w:name="JudgeType" w:val="Justice"/>
    <w:docVar w:name="lstEntryList" w:val="-1"/>
    <w:docVar w:name="myEntryList" w:val="Counsel for the Applicant=Mr S Meehan SC|Solicitor for the Applicant=Gardens Lawyers|Counsel for the Respondents=Mr P Boncardo|Solicitor for the Respondents=Segelov Taylor Lawyers"/>
    <w:docVar w:name="NSD" w:val="NSD "/>
    <w:docVar w:name="NumApps" w:val="1"/>
    <w:docVar w:name="NumApps_" w:val="2"/>
    <w:docVar w:name="NumCrossResps" w:val="0"/>
    <w:docVar w:name="NumDefs" w:val="2"/>
    <w:docVar w:name="NumOthers" w:val="0"/>
    <w:docVar w:name="OtherNum" w:val="0"/>
    <w:docVar w:name="Parties1" w:val="Applicant"/>
    <w:docVar w:name="Parties2" w:val="Respondent"/>
    <w:docVar w:name="Parties3" w:val="Cross-Appellant"/>
    <w:docVar w:name="Parties4" w:val="Cross-Defendant"/>
    <w:docVar w:name="Parties5" w:val="Intervener"/>
    <w:docVar w:name="Place" w:val="N/A FCA"/>
    <w:docVar w:name="PracticeArea" w:val="Commercial and Corporations"/>
    <w:docVar w:name="RESAndAnother" w:val="True"/>
    <w:docVar w:name="RESAndOthers" w:val="False"/>
    <w:docVar w:name="Respondent" w:val="Megan Callaghan|Lead Group Consulting Pty Ltd (ACN 632 022 274)"/>
    <w:docVar w:name="ResState" w:val="New South Wales"/>
    <w:docVar w:name="SubArea" w:val="Commercial Contracts, Banking, Finance and Insurance (C &amp; C)"/>
  </w:docVars>
  <w:rsids>
    <w:rsidRoot w:val="00AF5E2E"/>
    <w:rsid w:val="00000747"/>
    <w:rsid w:val="000115C5"/>
    <w:rsid w:val="0001469E"/>
    <w:rsid w:val="00015993"/>
    <w:rsid w:val="00021CCB"/>
    <w:rsid w:val="00022289"/>
    <w:rsid w:val="000237E9"/>
    <w:rsid w:val="00027398"/>
    <w:rsid w:val="0003201A"/>
    <w:rsid w:val="0003207A"/>
    <w:rsid w:val="00032F9F"/>
    <w:rsid w:val="00041C07"/>
    <w:rsid w:val="00045BB7"/>
    <w:rsid w:val="00055719"/>
    <w:rsid w:val="0005641B"/>
    <w:rsid w:val="0006196A"/>
    <w:rsid w:val="000650F0"/>
    <w:rsid w:val="00071FB3"/>
    <w:rsid w:val="00077768"/>
    <w:rsid w:val="00081497"/>
    <w:rsid w:val="000831EC"/>
    <w:rsid w:val="00084126"/>
    <w:rsid w:val="00085255"/>
    <w:rsid w:val="000A2E76"/>
    <w:rsid w:val="000A4807"/>
    <w:rsid w:val="000A4BE4"/>
    <w:rsid w:val="000B70E0"/>
    <w:rsid w:val="000C023E"/>
    <w:rsid w:val="000C405D"/>
    <w:rsid w:val="000C5195"/>
    <w:rsid w:val="000C62EF"/>
    <w:rsid w:val="000D2137"/>
    <w:rsid w:val="000D3FD2"/>
    <w:rsid w:val="000D4B2E"/>
    <w:rsid w:val="000E3FC8"/>
    <w:rsid w:val="000E7BAE"/>
    <w:rsid w:val="000F133D"/>
    <w:rsid w:val="0010536B"/>
    <w:rsid w:val="0011145C"/>
    <w:rsid w:val="001128BD"/>
    <w:rsid w:val="0011419D"/>
    <w:rsid w:val="00114B02"/>
    <w:rsid w:val="001226C0"/>
    <w:rsid w:val="00126EC8"/>
    <w:rsid w:val="0012731C"/>
    <w:rsid w:val="00132054"/>
    <w:rsid w:val="001332E1"/>
    <w:rsid w:val="00134964"/>
    <w:rsid w:val="001351B9"/>
    <w:rsid w:val="00155CD2"/>
    <w:rsid w:val="001727A4"/>
    <w:rsid w:val="0017376C"/>
    <w:rsid w:val="001738AB"/>
    <w:rsid w:val="001765E0"/>
    <w:rsid w:val="00177759"/>
    <w:rsid w:val="00180BB3"/>
    <w:rsid w:val="00185DD6"/>
    <w:rsid w:val="00185E6B"/>
    <w:rsid w:val="00187114"/>
    <w:rsid w:val="00187BBC"/>
    <w:rsid w:val="001932F3"/>
    <w:rsid w:val="001A2B40"/>
    <w:rsid w:val="001A4309"/>
    <w:rsid w:val="001A46AE"/>
    <w:rsid w:val="001A6C52"/>
    <w:rsid w:val="001B1053"/>
    <w:rsid w:val="001B14AC"/>
    <w:rsid w:val="001B7940"/>
    <w:rsid w:val="001C171A"/>
    <w:rsid w:val="001C2FE0"/>
    <w:rsid w:val="001C37CA"/>
    <w:rsid w:val="001C4085"/>
    <w:rsid w:val="001D4303"/>
    <w:rsid w:val="001D6746"/>
    <w:rsid w:val="001E0C61"/>
    <w:rsid w:val="001E3B49"/>
    <w:rsid w:val="001E4A05"/>
    <w:rsid w:val="001E6A19"/>
    <w:rsid w:val="001E7388"/>
    <w:rsid w:val="001F002B"/>
    <w:rsid w:val="001F13DD"/>
    <w:rsid w:val="001F2473"/>
    <w:rsid w:val="001F2DBC"/>
    <w:rsid w:val="001F73E8"/>
    <w:rsid w:val="0020262C"/>
    <w:rsid w:val="00202723"/>
    <w:rsid w:val="00211A3E"/>
    <w:rsid w:val="00213F20"/>
    <w:rsid w:val="00214055"/>
    <w:rsid w:val="00215BCA"/>
    <w:rsid w:val="002160F5"/>
    <w:rsid w:val="00217AC4"/>
    <w:rsid w:val="00221461"/>
    <w:rsid w:val="00224537"/>
    <w:rsid w:val="00235956"/>
    <w:rsid w:val="00243E5E"/>
    <w:rsid w:val="00244F1E"/>
    <w:rsid w:val="002467A6"/>
    <w:rsid w:val="00247C9A"/>
    <w:rsid w:val="0025160C"/>
    <w:rsid w:val="00252F35"/>
    <w:rsid w:val="002535D0"/>
    <w:rsid w:val="002539B3"/>
    <w:rsid w:val="00256336"/>
    <w:rsid w:val="00257C3E"/>
    <w:rsid w:val="002602C2"/>
    <w:rsid w:val="002666C9"/>
    <w:rsid w:val="00270136"/>
    <w:rsid w:val="00270FD7"/>
    <w:rsid w:val="00274F5B"/>
    <w:rsid w:val="00280836"/>
    <w:rsid w:val="002817DC"/>
    <w:rsid w:val="00282E1A"/>
    <w:rsid w:val="002840F1"/>
    <w:rsid w:val="00285922"/>
    <w:rsid w:val="0029113B"/>
    <w:rsid w:val="002934C0"/>
    <w:rsid w:val="00293E1F"/>
    <w:rsid w:val="0029764C"/>
    <w:rsid w:val="002A1B50"/>
    <w:rsid w:val="002A2B62"/>
    <w:rsid w:val="002B0E91"/>
    <w:rsid w:val="002B132C"/>
    <w:rsid w:val="002B2521"/>
    <w:rsid w:val="002B3F23"/>
    <w:rsid w:val="002B4EB5"/>
    <w:rsid w:val="002B5AF5"/>
    <w:rsid w:val="002B6779"/>
    <w:rsid w:val="002B71C0"/>
    <w:rsid w:val="002B7A34"/>
    <w:rsid w:val="002C31AD"/>
    <w:rsid w:val="002C7385"/>
    <w:rsid w:val="002D2DBB"/>
    <w:rsid w:val="002D37D8"/>
    <w:rsid w:val="002D54A6"/>
    <w:rsid w:val="002E3779"/>
    <w:rsid w:val="002E5BF9"/>
    <w:rsid w:val="002E6A7A"/>
    <w:rsid w:val="002F1E49"/>
    <w:rsid w:val="002F4E9C"/>
    <w:rsid w:val="002F6E15"/>
    <w:rsid w:val="00302F4E"/>
    <w:rsid w:val="0031256C"/>
    <w:rsid w:val="00314D6C"/>
    <w:rsid w:val="00316D2A"/>
    <w:rsid w:val="00322A7C"/>
    <w:rsid w:val="00322EEC"/>
    <w:rsid w:val="00323061"/>
    <w:rsid w:val="003402D3"/>
    <w:rsid w:val="0034068E"/>
    <w:rsid w:val="00343ABC"/>
    <w:rsid w:val="003463FE"/>
    <w:rsid w:val="003472FC"/>
    <w:rsid w:val="003473C9"/>
    <w:rsid w:val="00347D41"/>
    <w:rsid w:val="003554B3"/>
    <w:rsid w:val="00356632"/>
    <w:rsid w:val="00357C7E"/>
    <w:rsid w:val="003653B6"/>
    <w:rsid w:val="00370327"/>
    <w:rsid w:val="00374CC4"/>
    <w:rsid w:val="003774B2"/>
    <w:rsid w:val="00380F2D"/>
    <w:rsid w:val="003845A9"/>
    <w:rsid w:val="003850C9"/>
    <w:rsid w:val="00390883"/>
    <w:rsid w:val="003922F8"/>
    <w:rsid w:val="00395B24"/>
    <w:rsid w:val="003A2D38"/>
    <w:rsid w:val="003A7ECC"/>
    <w:rsid w:val="003B2C72"/>
    <w:rsid w:val="003B58B4"/>
    <w:rsid w:val="003C1333"/>
    <w:rsid w:val="003C20FF"/>
    <w:rsid w:val="003C550A"/>
    <w:rsid w:val="003C6055"/>
    <w:rsid w:val="003D2650"/>
    <w:rsid w:val="003D560C"/>
    <w:rsid w:val="003D5C00"/>
    <w:rsid w:val="003E3154"/>
    <w:rsid w:val="003E5874"/>
    <w:rsid w:val="003E72D3"/>
    <w:rsid w:val="003F193E"/>
    <w:rsid w:val="003F242C"/>
    <w:rsid w:val="003F34F1"/>
    <w:rsid w:val="004031D8"/>
    <w:rsid w:val="004104B6"/>
    <w:rsid w:val="00411AE8"/>
    <w:rsid w:val="00413B74"/>
    <w:rsid w:val="004342F3"/>
    <w:rsid w:val="00435C5F"/>
    <w:rsid w:val="00436155"/>
    <w:rsid w:val="00436460"/>
    <w:rsid w:val="00441E98"/>
    <w:rsid w:val="004438CA"/>
    <w:rsid w:val="00450F3A"/>
    <w:rsid w:val="004532F7"/>
    <w:rsid w:val="00464D51"/>
    <w:rsid w:val="00472027"/>
    <w:rsid w:val="004804CF"/>
    <w:rsid w:val="00483314"/>
    <w:rsid w:val="00484962"/>
    <w:rsid w:val="00484F6D"/>
    <w:rsid w:val="00484FB7"/>
    <w:rsid w:val="0048554D"/>
    <w:rsid w:val="0049338A"/>
    <w:rsid w:val="0049417F"/>
    <w:rsid w:val="00496D41"/>
    <w:rsid w:val="004A6602"/>
    <w:rsid w:val="004B3EFA"/>
    <w:rsid w:val="004C2A87"/>
    <w:rsid w:val="004C4D7B"/>
    <w:rsid w:val="004C4ED3"/>
    <w:rsid w:val="004C667B"/>
    <w:rsid w:val="004C7ECD"/>
    <w:rsid w:val="004D2EA5"/>
    <w:rsid w:val="004D32A6"/>
    <w:rsid w:val="004D53E5"/>
    <w:rsid w:val="004D7950"/>
    <w:rsid w:val="004E6DC4"/>
    <w:rsid w:val="004F21C1"/>
    <w:rsid w:val="00501A12"/>
    <w:rsid w:val="0050309C"/>
    <w:rsid w:val="0051327C"/>
    <w:rsid w:val="0051346D"/>
    <w:rsid w:val="00513EAE"/>
    <w:rsid w:val="0051434F"/>
    <w:rsid w:val="00516806"/>
    <w:rsid w:val="0052098C"/>
    <w:rsid w:val="00525A49"/>
    <w:rsid w:val="005262D1"/>
    <w:rsid w:val="00530876"/>
    <w:rsid w:val="005327DB"/>
    <w:rsid w:val="00535613"/>
    <w:rsid w:val="005359EB"/>
    <w:rsid w:val="0054254A"/>
    <w:rsid w:val="0054500B"/>
    <w:rsid w:val="005466B5"/>
    <w:rsid w:val="00554314"/>
    <w:rsid w:val="00562829"/>
    <w:rsid w:val="005629B3"/>
    <w:rsid w:val="0057128A"/>
    <w:rsid w:val="005724F6"/>
    <w:rsid w:val="00573AC4"/>
    <w:rsid w:val="005801FC"/>
    <w:rsid w:val="00585BA9"/>
    <w:rsid w:val="00587359"/>
    <w:rsid w:val="00595016"/>
    <w:rsid w:val="00597AAE"/>
    <w:rsid w:val="005A222C"/>
    <w:rsid w:val="005A4DF8"/>
    <w:rsid w:val="005A78C8"/>
    <w:rsid w:val="005B1426"/>
    <w:rsid w:val="005C0A8E"/>
    <w:rsid w:val="005C1767"/>
    <w:rsid w:val="005C185C"/>
    <w:rsid w:val="005C42EF"/>
    <w:rsid w:val="005E02F5"/>
    <w:rsid w:val="005E0510"/>
    <w:rsid w:val="005E176E"/>
    <w:rsid w:val="005E218E"/>
    <w:rsid w:val="005E35A0"/>
    <w:rsid w:val="005F0D1B"/>
    <w:rsid w:val="005F1865"/>
    <w:rsid w:val="006007BD"/>
    <w:rsid w:val="006013C8"/>
    <w:rsid w:val="0060270D"/>
    <w:rsid w:val="00604342"/>
    <w:rsid w:val="00604611"/>
    <w:rsid w:val="00611586"/>
    <w:rsid w:val="00612D26"/>
    <w:rsid w:val="00615855"/>
    <w:rsid w:val="00620DA8"/>
    <w:rsid w:val="00621887"/>
    <w:rsid w:val="00624520"/>
    <w:rsid w:val="006271F5"/>
    <w:rsid w:val="00632300"/>
    <w:rsid w:val="00632BB7"/>
    <w:rsid w:val="00635B36"/>
    <w:rsid w:val="00636871"/>
    <w:rsid w:val="00640EE1"/>
    <w:rsid w:val="00640F4E"/>
    <w:rsid w:val="00643DE0"/>
    <w:rsid w:val="0064437D"/>
    <w:rsid w:val="00644E85"/>
    <w:rsid w:val="006516D8"/>
    <w:rsid w:val="00652C52"/>
    <w:rsid w:val="0066063F"/>
    <w:rsid w:val="00662BB0"/>
    <w:rsid w:val="00663878"/>
    <w:rsid w:val="00667773"/>
    <w:rsid w:val="00670743"/>
    <w:rsid w:val="00680A85"/>
    <w:rsid w:val="00681ADF"/>
    <w:rsid w:val="00690EE2"/>
    <w:rsid w:val="00693854"/>
    <w:rsid w:val="00693B49"/>
    <w:rsid w:val="00694BEB"/>
    <w:rsid w:val="006A0E20"/>
    <w:rsid w:val="006A24E3"/>
    <w:rsid w:val="006A5695"/>
    <w:rsid w:val="006B0439"/>
    <w:rsid w:val="006B3904"/>
    <w:rsid w:val="006B5B7D"/>
    <w:rsid w:val="006C5B46"/>
    <w:rsid w:val="006C6E39"/>
    <w:rsid w:val="006D0ECF"/>
    <w:rsid w:val="006D3D5B"/>
    <w:rsid w:val="006D4C92"/>
    <w:rsid w:val="006D4EB6"/>
    <w:rsid w:val="006D7FBC"/>
    <w:rsid w:val="006E35BF"/>
    <w:rsid w:val="006E7850"/>
    <w:rsid w:val="006F19D8"/>
    <w:rsid w:val="006F46D6"/>
    <w:rsid w:val="006F4BBB"/>
    <w:rsid w:val="007028D9"/>
    <w:rsid w:val="00707218"/>
    <w:rsid w:val="00710D04"/>
    <w:rsid w:val="00712B1D"/>
    <w:rsid w:val="00715751"/>
    <w:rsid w:val="007171BA"/>
    <w:rsid w:val="00717616"/>
    <w:rsid w:val="007325D9"/>
    <w:rsid w:val="0073413F"/>
    <w:rsid w:val="0073583B"/>
    <w:rsid w:val="007360CA"/>
    <w:rsid w:val="0074667B"/>
    <w:rsid w:val="007470BD"/>
    <w:rsid w:val="00760EC0"/>
    <w:rsid w:val="007711BD"/>
    <w:rsid w:val="0078003A"/>
    <w:rsid w:val="00780771"/>
    <w:rsid w:val="007929CF"/>
    <w:rsid w:val="00797BA8"/>
    <w:rsid w:val="007A081D"/>
    <w:rsid w:val="007A49E7"/>
    <w:rsid w:val="007A6F28"/>
    <w:rsid w:val="007B03C6"/>
    <w:rsid w:val="007B0DB1"/>
    <w:rsid w:val="007B5108"/>
    <w:rsid w:val="007B5673"/>
    <w:rsid w:val="007B7238"/>
    <w:rsid w:val="007B76FF"/>
    <w:rsid w:val="007C3BF6"/>
    <w:rsid w:val="007C67B3"/>
    <w:rsid w:val="007D0FD2"/>
    <w:rsid w:val="007D2EF8"/>
    <w:rsid w:val="007D561F"/>
    <w:rsid w:val="007D7FD2"/>
    <w:rsid w:val="007E13D9"/>
    <w:rsid w:val="007E2AEC"/>
    <w:rsid w:val="007E41BE"/>
    <w:rsid w:val="007E4DB6"/>
    <w:rsid w:val="007E6733"/>
    <w:rsid w:val="007E7CD4"/>
    <w:rsid w:val="007F12AC"/>
    <w:rsid w:val="007F4501"/>
    <w:rsid w:val="007F60DF"/>
    <w:rsid w:val="00801800"/>
    <w:rsid w:val="00801861"/>
    <w:rsid w:val="00801B5B"/>
    <w:rsid w:val="00805A30"/>
    <w:rsid w:val="008216E7"/>
    <w:rsid w:val="008247F6"/>
    <w:rsid w:val="00825BE6"/>
    <w:rsid w:val="008276B4"/>
    <w:rsid w:val="00831927"/>
    <w:rsid w:val="00837288"/>
    <w:rsid w:val="00841BD3"/>
    <w:rsid w:val="0084273D"/>
    <w:rsid w:val="00844E3F"/>
    <w:rsid w:val="00845A83"/>
    <w:rsid w:val="00846BB9"/>
    <w:rsid w:val="008535AB"/>
    <w:rsid w:val="008649D5"/>
    <w:rsid w:val="008712BB"/>
    <w:rsid w:val="008830E7"/>
    <w:rsid w:val="00890EDE"/>
    <w:rsid w:val="00892B38"/>
    <w:rsid w:val="008A1741"/>
    <w:rsid w:val="008A2484"/>
    <w:rsid w:val="008A52F3"/>
    <w:rsid w:val="008C26D9"/>
    <w:rsid w:val="008C6D50"/>
    <w:rsid w:val="008C7167"/>
    <w:rsid w:val="008C7503"/>
    <w:rsid w:val="008D1617"/>
    <w:rsid w:val="008D330F"/>
    <w:rsid w:val="008D48C1"/>
    <w:rsid w:val="008E46BD"/>
    <w:rsid w:val="008E6315"/>
    <w:rsid w:val="008F0480"/>
    <w:rsid w:val="008F07FC"/>
    <w:rsid w:val="008F11E0"/>
    <w:rsid w:val="008F3EA7"/>
    <w:rsid w:val="008F6EF2"/>
    <w:rsid w:val="008F78BC"/>
    <w:rsid w:val="008F7B63"/>
    <w:rsid w:val="008F7D6A"/>
    <w:rsid w:val="00901C86"/>
    <w:rsid w:val="00903603"/>
    <w:rsid w:val="009054CB"/>
    <w:rsid w:val="00911F8D"/>
    <w:rsid w:val="00912F94"/>
    <w:rsid w:val="009171BC"/>
    <w:rsid w:val="0092497E"/>
    <w:rsid w:val="0092590B"/>
    <w:rsid w:val="00925BF3"/>
    <w:rsid w:val="00925E60"/>
    <w:rsid w:val="009264B3"/>
    <w:rsid w:val="00931E4C"/>
    <w:rsid w:val="009365E0"/>
    <w:rsid w:val="00942BA2"/>
    <w:rsid w:val="009432B7"/>
    <w:rsid w:val="00944C86"/>
    <w:rsid w:val="00947C02"/>
    <w:rsid w:val="00950BE6"/>
    <w:rsid w:val="00957DE8"/>
    <w:rsid w:val="00960ECB"/>
    <w:rsid w:val="009615D6"/>
    <w:rsid w:val="00967855"/>
    <w:rsid w:val="00971CD1"/>
    <w:rsid w:val="00974709"/>
    <w:rsid w:val="009801AE"/>
    <w:rsid w:val="00980736"/>
    <w:rsid w:val="00981A39"/>
    <w:rsid w:val="00982D56"/>
    <w:rsid w:val="00983C22"/>
    <w:rsid w:val="00983DBF"/>
    <w:rsid w:val="00987097"/>
    <w:rsid w:val="00991123"/>
    <w:rsid w:val="00991CAB"/>
    <w:rsid w:val="009A3A9C"/>
    <w:rsid w:val="009B046C"/>
    <w:rsid w:val="009B13FA"/>
    <w:rsid w:val="009B1E2D"/>
    <w:rsid w:val="009C59FB"/>
    <w:rsid w:val="009C6F3B"/>
    <w:rsid w:val="009D1467"/>
    <w:rsid w:val="009D328D"/>
    <w:rsid w:val="009E4FA6"/>
    <w:rsid w:val="009E7D93"/>
    <w:rsid w:val="009F29C2"/>
    <w:rsid w:val="009F3C34"/>
    <w:rsid w:val="009F462C"/>
    <w:rsid w:val="009F5C33"/>
    <w:rsid w:val="00A026F0"/>
    <w:rsid w:val="00A03EAC"/>
    <w:rsid w:val="00A04DBB"/>
    <w:rsid w:val="00A07EA0"/>
    <w:rsid w:val="00A11CA6"/>
    <w:rsid w:val="00A20C49"/>
    <w:rsid w:val="00A22932"/>
    <w:rsid w:val="00A269CA"/>
    <w:rsid w:val="00A336EE"/>
    <w:rsid w:val="00A33F46"/>
    <w:rsid w:val="00A3427E"/>
    <w:rsid w:val="00A359AC"/>
    <w:rsid w:val="00A40F83"/>
    <w:rsid w:val="00A410FB"/>
    <w:rsid w:val="00A41413"/>
    <w:rsid w:val="00A431E6"/>
    <w:rsid w:val="00A436E8"/>
    <w:rsid w:val="00A45FB1"/>
    <w:rsid w:val="00A46A0F"/>
    <w:rsid w:val="00A46CCC"/>
    <w:rsid w:val="00A47996"/>
    <w:rsid w:val="00A51CFE"/>
    <w:rsid w:val="00A5204D"/>
    <w:rsid w:val="00A56E77"/>
    <w:rsid w:val="00A61605"/>
    <w:rsid w:val="00A65F97"/>
    <w:rsid w:val="00A73B04"/>
    <w:rsid w:val="00A76C13"/>
    <w:rsid w:val="00A84FD0"/>
    <w:rsid w:val="00A92E79"/>
    <w:rsid w:val="00A950B6"/>
    <w:rsid w:val="00A95D45"/>
    <w:rsid w:val="00AA3EA8"/>
    <w:rsid w:val="00AB41C1"/>
    <w:rsid w:val="00AB4CF2"/>
    <w:rsid w:val="00AB6CCA"/>
    <w:rsid w:val="00AC223F"/>
    <w:rsid w:val="00AC33B1"/>
    <w:rsid w:val="00AD12A8"/>
    <w:rsid w:val="00AE023F"/>
    <w:rsid w:val="00AF3577"/>
    <w:rsid w:val="00AF35F9"/>
    <w:rsid w:val="00AF5E2E"/>
    <w:rsid w:val="00B0424C"/>
    <w:rsid w:val="00B05C7D"/>
    <w:rsid w:val="00B15D57"/>
    <w:rsid w:val="00B16347"/>
    <w:rsid w:val="00B17D6E"/>
    <w:rsid w:val="00B2435E"/>
    <w:rsid w:val="00B346C3"/>
    <w:rsid w:val="00B4005C"/>
    <w:rsid w:val="00B4227E"/>
    <w:rsid w:val="00B4471C"/>
    <w:rsid w:val="00B451A6"/>
    <w:rsid w:val="00B56D6E"/>
    <w:rsid w:val="00B64347"/>
    <w:rsid w:val="00B65DC6"/>
    <w:rsid w:val="00B67AC2"/>
    <w:rsid w:val="00B722DE"/>
    <w:rsid w:val="00B751E3"/>
    <w:rsid w:val="00B75BA6"/>
    <w:rsid w:val="00B76C44"/>
    <w:rsid w:val="00B8184A"/>
    <w:rsid w:val="00B82283"/>
    <w:rsid w:val="00B828D8"/>
    <w:rsid w:val="00B83F87"/>
    <w:rsid w:val="00B87CDC"/>
    <w:rsid w:val="00B910C1"/>
    <w:rsid w:val="00BA2CA4"/>
    <w:rsid w:val="00BA2EFA"/>
    <w:rsid w:val="00BA3DBC"/>
    <w:rsid w:val="00BA707A"/>
    <w:rsid w:val="00BB1AFB"/>
    <w:rsid w:val="00BB27AE"/>
    <w:rsid w:val="00BB2DA2"/>
    <w:rsid w:val="00BB56DC"/>
    <w:rsid w:val="00BB6CBF"/>
    <w:rsid w:val="00BD7E42"/>
    <w:rsid w:val="00BE183D"/>
    <w:rsid w:val="00BF24C2"/>
    <w:rsid w:val="00BF2922"/>
    <w:rsid w:val="00BF5D7A"/>
    <w:rsid w:val="00C01C2E"/>
    <w:rsid w:val="00C02D33"/>
    <w:rsid w:val="00C04B53"/>
    <w:rsid w:val="00C1232C"/>
    <w:rsid w:val="00C27C6B"/>
    <w:rsid w:val="00C3594D"/>
    <w:rsid w:val="00C36442"/>
    <w:rsid w:val="00C400CE"/>
    <w:rsid w:val="00C410FD"/>
    <w:rsid w:val="00C457DE"/>
    <w:rsid w:val="00C47DD3"/>
    <w:rsid w:val="00C5316F"/>
    <w:rsid w:val="00C53562"/>
    <w:rsid w:val="00C539FB"/>
    <w:rsid w:val="00C66AA3"/>
    <w:rsid w:val="00C66E57"/>
    <w:rsid w:val="00C724D7"/>
    <w:rsid w:val="00C74150"/>
    <w:rsid w:val="00C75594"/>
    <w:rsid w:val="00C85982"/>
    <w:rsid w:val="00CA0466"/>
    <w:rsid w:val="00CA246D"/>
    <w:rsid w:val="00CA50D9"/>
    <w:rsid w:val="00CB3054"/>
    <w:rsid w:val="00CB5636"/>
    <w:rsid w:val="00CB5F30"/>
    <w:rsid w:val="00CC3EE5"/>
    <w:rsid w:val="00CC6E47"/>
    <w:rsid w:val="00CD1346"/>
    <w:rsid w:val="00CE425C"/>
    <w:rsid w:val="00CE58AC"/>
    <w:rsid w:val="00CF5A80"/>
    <w:rsid w:val="00D045EE"/>
    <w:rsid w:val="00D05091"/>
    <w:rsid w:val="00D10CA6"/>
    <w:rsid w:val="00D10F21"/>
    <w:rsid w:val="00D12169"/>
    <w:rsid w:val="00D134CF"/>
    <w:rsid w:val="00D1573B"/>
    <w:rsid w:val="00D24806"/>
    <w:rsid w:val="00D34040"/>
    <w:rsid w:val="00D34E69"/>
    <w:rsid w:val="00D36C78"/>
    <w:rsid w:val="00D375EE"/>
    <w:rsid w:val="00D55AE8"/>
    <w:rsid w:val="00D56056"/>
    <w:rsid w:val="00D6085F"/>
    <w:rsid w:val="00D62699"/>
    <w:rsid w:val="00D66938"/>
    <w:rsid w:val="00D778E9"/>
    <w:rsid w:val="00D812BF"/>
    <w:rsid w:val="00D82620"/>
    <w:rsid w:val="00D85707"/>
    <w:rsid w:val="00D9725F"/>
    <w:rsid w:val="00DA01B1"/>
    <w:rsid w:val="00DA11A2"/>
    <w:rsid w:val="00DA14ED"/>
    <w:rsid w:val="00DA26D6"/>
    <w:rsid w:val="00DB2EF1"/>
    <w:rsid w:val="00DB3DE1"/>
    <w:rsid w:val="00DB5DA0"/>
    <w:rsid w:val="00DB716C"/>
    <w:rsid w:val="00DC5C85"/>
    <w:rsid w:val="00DC7C5D"/>
    <w:rsid w:val="00DD4236"/>
    <w:rsid w:val="00DD44F1"/>
    <w:rsid w:val="00DD6957"/>
    <w:rsid w:val="00DD6E7A"/>
    <w:rsid w:val="00DE3067"/>
    <w:rsid w:val="00DF0D53"/>
    <w:rsid w:val="00DF30B4"/>
    <w:rsid w:val="00DF3EEE"/>
    <w:rsid w:val="00DF75E1"/>
    <w:rsid w:val="00E027BC"/>
    <w:rsid w:val="00E045BE"/>
    <w:rsid w:val="00E06312"/>
    <w:rsid w:val="00E10F0D"/>
    <w:rsid w:val="00E14EA5"/>
    <w:rsid w:val="00E2070E"/>
    <w:rsid w:val="00E21133"/>
    <w:rsid w:val="00E2327E"/>
    <w:rsid w:val="00E23577"/>
    <w:rsid w:val="00E266EF"/>
    <w:rsid w:val="00E326A8"/>
    <w:rsid w:val="00E47428"/>
    <w:rsid w:val="00E56C8E"/>
    <w:rsid w:val="00E5716B"/>
    <w:rsid w:val="00E57F1F"/>
    <w:rsid w:val="00E62828"/>
    <w:rsid w:val="00E66B9F"/>
    <w:rsid w:val="00E70A6A"/>
    <w:rsid w:val="00E710D6"/>
    <w:rsid w:val="00E73DA4"/>
    <w:rsid w:val="00E75E17"/>
    <w:rsid w:val="00E76E45"/>
    <w:rsid w:val="00E777C9"/>
    <w:rsid w:val="00E81DA6"/>
    <w:rsid w:val="00E84212"/>
    <w:rsid w:val="00E9086C"/>
    <w:rsid w:val="00E90AAA"/>
    <w:rsid w:val="00E91A0F"/>
    <w:rsid w:val="00E94A71"/>
    <w:rsid w:val="00E94CBF"/>
    <w:rsid w:val="00EA03CE"/>
    <w:rsid w:val="00EA23E5"/>
    <w:rsid w:val="00EA4E2E"/>
    <w:rsid w:val="00EB2417"/>
    <w:rsid w:val="00EB2CCB"/>
    <w:rsid w:val="00EB7A25"/>
    <w:rsid w:val="00EC0F3E"/>
    <w:rsid w:val="00EC3E01"/>
    <w:rsid w:val="00EC57A7"/>
    <w:rsid w:val="00ED0817"/>
    <w:rsid w:val="00ED7DD9"/>
    <w:rsid w:val="00EE445B"/>
    <w:rsid w:val="00EF3113"/>
    <w:rsid w:val="00EF3F84"/>
    <w:rsid w:val="00F176AC"/>
    <w:rsid w:val="00F26F28"/>
    <w:rsid w:val="00F27714"/>
    <w:rsid w:val="00F3276E"/>
    <w:rsid w:val="00F33D3C"/>
    <w:rsid w:val="00F37A91"/>
    <w:rsid w:val="00F408A0"/>
    <w:rsid w:val="00F45CF5"/>
    <w:rsid w:val="00F47DB0"/>
    <w:rsid w:val="00F50C3F"/>
    <w:rsid w:val="00F50E34"/>
    <w:rsid w:val="00F51AFB"/>
    <w:rsid w:val="00F53EF7"/>
    <w:rsid w:val="00F54BF2"/>
    <w:rsid w:val="00F67509"/>
    <w:rsid w:val="00F775AC"/>
    <w:rsid w:val="00F8792F"/>
    <w:rsid w:val="00F9214D"/>
    <w:rsid w:val="00F92355"/>
    <w:rsid w:val="00F93963"/>
    <w:rsid w:val="00F94291"/>
    <w:rsid w:val="00FA298A"/>
    <w:rsid w:val="00FA5B66"/>
    <w:rsid w:val="00FB0B9C"/>
    <w:rsid w:val="00FB1BF7"/>
    <w:rsid w:val="00FB30EB"/>
    <w:rsid w:val="00FB7982"/>
    <w:rsid w:val="00FC0734"/>
    <w:rsid w:val="00FC0FC5"/>
    <w:rsid w:val="00FC588F"/>
    <w:rsid w:val="00FC6879"/>
    <w:rsid w:val="00FD43C2"/>
    <w:rsid w:val="00FD57CC"/>
    <w:rsid w:val="00FE1B30"/>
    <w:rsid w:val="00FE2002"/>
    <w:rsid w:val="00FE7B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7337B2"/>
  <w15:docId w15:val="{6D68AA29-7052-4919-A536-DC8C8C16E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28592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8"/>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 w:type="paragraph" w:styleId="Revision">
    <w:name w:val="Revision"/>
    <w:hidden/>
    <w:uiPriority w:val="99"/>
    <w:semiHidden/>
    <w:rsid w:val="008E46BD"/>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asey\AppData\Roaming\Microsoft\Template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C286D06A124E0D82ADA196A93D7C2F"/>
        <w:category>
          <w:name w:val="General"/>
          <w:gallery w:val="placeholder"/>
        </w:category>
        <w:types>
          <w:type w:val="bbPlcHdr"/>
        </w:types>
        <w:behaviors>
          <w:behavior w:val="content"/>
        </w:behaviors>
        <w:guid w:val="{16B87314-C14A-400E-931F-A71CEF6F76B1}"/>
      </w:docPartPr>
      <w:docPartBody>
        <w:p w:rsidR="008A7F2A" w:rsidRDefault="008A7F2A">
          <w:pPr>
            <w:pStyle w:val="A5C286D06A124E0D82ADA196A93D7C2F"/>
          </w:pPr>
          <w:r>
            <w:rPr>
              <w:rStyle w:val="PlaceholderText"/>
            </w:rPr>
            <w:t>MNC Text</w:t>
          </w:r>
        </w:p>
      </w:docPartBody>
    </w:docPart>
    <w:docPart>
      <w:docPartPr>
        <w:name w:val="22B379D0E4314015BC4BE44466D6C5F6"/>
        <w:category>
          <w:name w:val="General"/>
          <w:gallery w:val="placeholder"/>
        </w:category>
        <w:types>
          <w:type w:val="bbPlcHdr"/>
        </w:types>
        <w:behaviors>
          <w:behavior w:val="content"/>
        </w:behaviors>
        <w:guid w:val="{BD21FE04-CEC0-4D28-BB5F-546B863ADBF9}"/>
      </w:docPartPr>
      <w:docPartBody>
        <w:p w:rsidR="008A7F2A" w:rsidRDefault="008A7F2A">
          <w:pPr>
            <w:pStyle w:val="22B379D0E4314015BC4BE44466D6C5F6"/>
          </w:pPr>
          <w:r w:rsidRPr="005C44BE">
            <w:rPr>
              <w:rStyle w:val="PlaceholderText"/>
            </w:rPr>
            <w:t>Click or tap here to enter text.</w:t>
          </w:r>
        </w:p>
      </w:docPartBody>
    </w:docPart>
    <w:docPart>
      <w:docPartPr>
        <w:name w:val="A9DF7A70A082460ABEA5918C48EE9E28"/>
        <w:category>
          <w:name w:val="General"/>
          <w:gallery w:val="placeholder"/>
        </w:category>
        <w:types>
          <w:type w:val="bbPlcHdr"/>
        </w:types>
        <w:behaviors>
          <w:behavior w:val="content"/>
        </w:behaviors>
        <w:guid w:val="{38148F7E-12CD-4636-83F0-9A84650A6C8C}"/>
      </w:docPartPr>
      <w:docPartBody>
        <w:p w:rsidR="008A7F2A" w:rsidRDefault="008A7F2A">
          <w:pPr>
            <w:pStyle w:val="A9DF7A70A082460ABEA5918C48EE9E28"/>
          </w:pPr>
          <w:r w:rsidRPr="005C44BE">
            <w:rPr>
              <w:rStyle w:val="PlaceholderText"/>
            </w:rPr>
            <w:t>Click or tap here to enter text.</w:t>
          </w:r>
        </w:p>
      </w:docPartBody>
    </w:docPart>
    <w:docPart>
      <w:docPartPr>
        <w:name w:val="146FD8E74D3E468598619456F8518AF7"/>
        <w:category>
          <w:name w:val="General"/>
          <w:gallery w:val="placeholder"/>
        </w:category>
        <w:types>
          <w:type w:val="bbPlcHdr"/>
        </w:types>
        <w:behaviors>
          <w:behavior w:val="content"/>
        </w:behaviors>
        <w:guid w:val="{2BD242DD-4FFA-43B7-B3C3-B0E01A2CBB4B}"/>
      </w:docPartPr>
      <w:docPartBody>
        <w:p w:rsidR="008A7F2A" w:rsidRDefault="008A7F2A">
          <w:pPr>
            <w:pStyle w:val="146FD8E74D3E468598619456F8518AF7"/>
          </w:pPr>
          <w:r w:rsidRPr="005C44BE">
            <w:rPr>
              <w:rStyle w:val="PlaceholderText"/>
            </w:rPr>
            <w:t>Click or tap here to enter text.</w:t>
          </w:r>
        </w:p>
      </w:docPartBody>
    </w:docPart>
    <w:docPart>
      <w:docPartPr>
        <w:name w:val="8D2EF04D65D54525BCC1334F5FE85FCA"/>
        <w:category>
          <w:name w:val="General"/>
          <w:gallery w:val="placeholder"/>
        </w:category>
        <w:types>
          <w:type w:val="bbPlcHdr"/>
        </w:types>
        <w:behaviors>
          <w:behavior w:val="content"/>
        </w:behaviors>
        <w:guid w:val="{40A440EA-559A-4E75-B86E-C9166DDB48D4}"/>
      </w:docPartPr>
      <w:docPartBody>
        <w:p w:rsidR="008A7F2A" w:rsidRDefault="008A7F2A">
          <w:pPr>
            <w:pStyle w:val="8D2EF04D65D54525BCC1334F5FE85FCA"/>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F2A"/>
    <w:rsid w:val="008A7F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5C286D06A124E0D82ADA196A93D7C2F">
    <w:name w:val="A5C286D06A124E0D82ADA196A93D7C2F"/>
  </w:style>
  <w:style w:type="paragraph" w:customStyle="1" w:styleId="22B379D0E4314015BC4BE44466D6C5F6">
    <w:name w:val="22B379D0E4314015BC4BE44466D6C5F6"/>
  </w:style>
  <w:style w:type="paragraph" w:customStyle="1" w:styleId="A9DF7A70A082460ABEA5918C48EE9E28">
    <w:name w:val="A9DF7A70A082460ABEA5918C48EE9E28"/>
  </w:style>
  <w:style w:type="paragraph" w:customStyle="1" w:styleId="146FD8E74D3E468598619456F8518AF7">
    <w:name w:val="146FD8E74D3E468598619456F8518AF7"/>
  </w:style>
  <w:style w:type="paragraph" w:customStyle="1" w:styleId="8D2EF04D65D54525BCC1334F5FE85FCA">
    <w:name w:val="8D2EF04D65D54525BCC1334F5FE85F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root xmlns="http://schemas.globalmacros.com/FCA">
  <Name> AustCorp Consulting Pty Limited v Callaghan (No 2) [2024] FCA 367 </Name>
</root>
</file>

<file path=customXml/itemProps1.xml><?xml version="1.0" encoding="utf-8"?>
<ds:datastoreItem xmlns:ds="http://schemas.openxmlformats.org/officeDocument/2006/customXml" ds:itemID="{D2491BDD-2516-4911-AD38-40105538EAAB}">
  <ds:schemaRefs>
    <ds:schemaRef ds:uri="http://schemas.openxmlformats.org/officeDocument/2006/bibliography"/>
  </ds:schemaRefs>
</ds:datastoreItem>
</file>

<file path=customXml/itemProps2.xml><?xml version="1.0" encoding="utf-8"?>
<ds:datastoreItem xmlns:ds="http://schemas.openxmlformats.org/officeDocument/2006/customXml" ds:itemID="{687E7CCB-4AA5-44E7-B148-17BA2B6F57C0}">
  <ds:schemaRefs>
    <ds:schemaRef ds:uri="http://schemas.globalmacros.com/FCA"/>
  </ds:schemaRefs>
</ds:datastoreItem>
</file>

<file path=docProps/app.xml><?xml version="1.0" encoding="utf-8"?>
<Properties xmlns="http://schemas.openxmlformats.org/officeDocument/2006/extended-properties" xmlns:vt="http://schemas.openxmlformats.org/officeDocument/2006/docPropsVTypes">
  <Template>Judgment.dotx</Template>
  <TotalTime>1</TotalTime>
  <Pages>7</Pages>
  <Words>2112</Words>
  <Characters>11894</Characters>
  <Application>Microsoft Office Word</Application>
  <DocSecurity>0</DocSecurity>
  <Lines>283</Lines>
  <Paragraphs>107</Paragraphs>
  <ScaleCrop>false</ScaleCrop>
  <HeadingPairs>
    <vt:vector size="2" baseType="variant">
      <vt:variant>
        <vt:lpstr>Title</vt:lpstr>
      </vt:variant>
      <vt:variant>
        <vt:i4>1</vt:i4>
      </vt:variant>
    </vt:vector>
  </HeadingPairs>
  <TitlesOfParts>
    <vt:vector size="1" baseType="lpstr">
      <vt:lpstr>AustCorp Consulting Pty Limited v Callaghan (No 2) [2024] FCA 367</vt:lpstr>
    </vt:vector>
  </TitlesOfParts>
  <Company>Federal Court of Australia</Company>
  <LinksUpToDate>false</LinksUpToDate>
  <CharactersWithSpaces>13899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AustCorp Consulting Pty Limited v Callaghan (No 2) [2024] FCA 367</dc:title>
  <dc:creator>Sandra Casey</dc:creator>
  <dc:description>v1.3</dc:description>
  <cp:lastModifiedBy>Sandra Casey</cp:lastModifiedBy>
  <cp:revision>3</cp:revision>
  <cp:lastPrinted>2024-04-15T04:10:00Z</cp:lastPrinted>
  <dcterms:created xsi:type="dcterms:W3CDTF">2024-04-15T22:15:00Z</dcterms:created>
  <dcterms:modified xsi:type="dcterms:W3CDTF">2024-04-15T22:16:00Z</dcterms:modified>
  <cp:version>v1.2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3</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New South Wales</vt:lpwstr>
  </property>
  <property fmtid="{D5CDD505-2E9C-101B-9397-08002B2CF9AE}" pid="13" name="Division">
    <vt:lpwstr>General Division</vt:lpwstr>
  </property>
  <property fmtid="{D5CDD505-2E9C-101B-9397-08002B2CF9AE}" pid="14" name="FileNo">
    <vt:lpwstr>&lt;FILE NO&gt;</vt:lpwstr>
  </property>
  <property fmtid="{D5CDD505-2E9C-101B-9397-08002B2CF9AE}" pid="15" name="Practice Area">
    <vt:lpwstr>Commercial and Corporations</vt:lpwstr>
  </property>
  <property fmtid="{D5CDD505-2E9C-101B-9397-08002B2CF9AE}" pid="16" name="Court">
    <vt:lpwstr>Federal Court of Australia</vt:lpwstr>
  </property>
  <property fmtid="{D5CDD505-2E9C-101B-9397-08002B2CF9AE}" pid="17" name="Sub Area">
    <vt:lpwstr>Commercial Contracts, Banking, Finance and Insurance</vt:lpwstr>
  </property>
  <property fmtid="{D5CDD505-2E9C-101B-9397-08002B2CF9AE}" pid="18" name="AppealFrom">
    <vt:lpwstr>&lt;AppealFrom&gt;</vt:lpwstr>
  </property>
  <property fmtid="{D5CDD505-2E9C-101B-9397-08002B2CF9AE}" pid="19" name="DivisionTitle">
    <vt:lpwstr>none</vt:lpwstr>
  </property>
  <property fmtid="{D5CDD505-2E9C-101B-9397-08002B2CF9AE}" pid="20" name="Judge">
    <vt:lpwstr>Judge</vt:lpwstr>
  </property>
  <property fmtid="{D5CDD505-2E9C-101B-9397-08002B2CF9AE}" pid="21" name="Judgment_dated">
    <vt:lpwstr>Judgment_dated</vt:lpwstr>
  </property>
  <property fmtid="{D5CDD505-2E9C-101B-9397-08002B2CF9AE}" pid="22" name="Legislation">
    <vt:lpwstr>Legislation</vt:lpwstr>
  </property>
  <property fmtid="{D5CDD505-2E9C-101B-9397-08002B2CF9AE}" pid="23" name="Catchwords">
    <vt:lpwstr>Catchwords</vt:lpwstr>
  </property>
  <property fmtid="{D5CDD505-2E9C-101B-9397-08002B2CF9AE}" pid="24" name="Words_Phrases">
    <vt:lpwstr>WordsPhrases</vt:lpwstr>
  </property>
  <property fmtid="{D5CDD505-2E9C-101B-9397-08002B2CF9AE}" pid="25" name="Cases_Cited">
    <vt:lpwstr>CasesCited</vt:lpwstr>
  </property>
  <property fmtid="{D5CDD505-2E9C-101B-9397-08002B2CF9AE}" pid="26" name="File_Number">
    <vt:lpwstr>Num</vt:lpwstr>
  </property>
  <property fmtid="{D5CDD505-2E9C-101B-9397-08002B2CF9AE}" pid="27" name="State">
    <vt:lpwstr>State</vt:lpwstr>
  </property>
</Properties>
</file>