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8037" w14:textId="2E9B6B77" w:rsidR="00395B24" w:rsidRDefault="00F122B2" w:rsidP="00A22932">
      <w:pPr>
        <w:pStyle w:val="CourtTitle"/>
      </w:pPr>
      <w:r>
        <w:rPr>
          <w:caps w:val="0"/>
        </w:rPr>
        <w:t>FEDERAL COURT OF AUSTRALIA</w:t>
      </w:r>
    </w:p>
    <w:p w14:paraId="7367F964" w14:textId="77777777" w:rsidR="004D7950" w:rsidRDefault="004D7950">
      <w:pPr>
        <w:pStyle w:val="NormalHeadings"/>
        <w:jc w:val="center"/>
        <w:rPr>
          <w:sz w:val="32"/>
        </w:rPr>
      </w:pPr>
    </w:p>
    <w:bookmarkStart w:id="0" w:name="MNC"/>
    <w:p w14:paraId="76D77007" w14:textId="16DE4317" w:rsidR="00374CC4" w:rsidRDefault="00F122B2" w:rsidP="001A2B40">
      <w:pPr>
        <w:pStyle w:val="MNC"/>
      </w:pPr>
      <w:sdt>
        <w:sdtPr>
          <w:alias w:val="MNC"/>
          <w:tag w:val="MNC"/>
          <w:id w:val="343289786"/>
          <w:lock w:val="sdtLocked"/>
          <w:placeholder>
            <w:docPart w:val="1E1AB90906B645DCAF01121C5FB4839E"/>
          </w:placeholder>
          <w:dataBinding w:prefixMappings="xmlns:ns0='http://schemas.globalmacros.com/FCA'" w:xpath="/ns0:root[1]/ns0:Name[1]" w:storeItemID="{687E7CCB-4AA5-44E7-B148-17BA2B6F57C0}"/>
          <w:text w:multiLine="1"/>
        </w:sdtPr>
        <w:sdtEndPr/>
        <w:sdtContent>
          <w:r w:rsidR="00160260" w:rsidRPr="004B77B8">
            <w:t>Patrick v Australian Information Commissioner [2024] FCAFC</w:t>
          </w:r>
          <w:r w:rsidR="004B77B8" w:rsidRPr="004B77B8">
            <w:t xml:space="preserve"> 93</w:t>
          </w:r>
          <w:r w:rsidR="00693854" w:rsidRPr="004B77B8">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221B7B" w14:paraId="79CACE34" w14:textId="77777777" w:rsidTr="00F935B7">
        <w:tc>
          <w:tcPr>
            <w:tcW w:w="3083" w:type="dxa"/>
            <w:shd w:val="clear" w:color="auto" w:fill="auto"/>
          </w:tcPr>
          <w:p w14:paraId="32B33063" w14:textId="77777777" w:rsidR="00221B7B" w:rsidRDefault="00221B7B" w:rsidP="002539B3">
            <w:pPr>
              <w:pStyle w:val="Normal1linespace"/>
              <w:widowControl w:val="0"/>
              <w:spacing w:after="60"/>
              <w:jc w:val="left"/>
            </w:pPr>
            <w:bookmarkStart w:id="1" w:name="AppealFrom_row" w:colFirst="0" w:colLast="1"/>
            <w:r>
              <w:t>Appeal from:</w:t>
            </w:r>
          </w:p>
        </w:tc>
        <w:tc>
          <w:tcPr>
            <w:tcW w:w="5990" w:type="dxa"/>
            <w:shd w:val="clear" w:color="auto" w:fill="auto"/>
          </w:tcPr>
          <w:p w14:paraId="1F5422E1" w14:textId="31A30814" w:rsidR="00221B7B" w:rsidRDefault="00221B7B" w:rsidP="002539B3">
            <w:pPr>
              <w:pStyle w:val="CasesLegislationAppealFrom"/>
              <w:spacing w:after="60"/>
            </w:pPr>
            <w:r w:rsidRPr="007C2528">
              <w:rPr>
                <w:i/>
                <w:iCs/>
              </w:rPr>
              <w:t>Patrick v Australian Information Commissioner (No 2)</w:t>
            </w:r>
            <w:r>
              <w:t xml:space="preserve"> [2023] FCA 530</w:t>
            </w:r>
          </w:p>
        </w:tc>
      </w:tr>
      <w:tr w:rsidR="00221B7B" w14:paraId="4D5665D2" w14:textId="77777777" w:rsidTr="00F935B7">
        <w:tc>
          <w:tcPr>
            <w:tcW w:w="3083" w:type="dxa"/>
            <w:shd w:val="clear" w:color="auto" w:fill="auto"/>
          </w:tcPr>
          <w:p w14:paraId="74559121" w14:textId="77777777" w:rsidR="00221B7B" w:rsidRDefault="00221B7B" w:rsidP="00663878">
            <w:pPr>
              <w:pStyle w:val="Normal1linespace"/>
              <w:widowControl w:val="0"/>
              <w:jc w:val="left"/>
            </w:pPr>
          </w:p>
        </w:tc>
        <w:tc>
          <w:tcPr>
            <w:tcW w:w="5990" w:type="dxa"/>
            <w:shd w:val="clear" w:color="auto" w:fill="auto"/>
          </w:tcPr>
          <w:p w14:paraId="11ADA317" w14:textId="77777777" w:rsidR="00221B7B" w:rsidRDefault="00221B7B" w:rsidP="00663878">
            <w:pPr>
              <w:pStyle w:val="Normal1linespace"/>
              <w:widowControl w:val="0"/>
              <w:jc w:val="left"/>
            </w:pPr>
          </w:p>
        </w:tc>
      </w:tr>
      <w:bookmarkEnd w:id="1"/>
      <w:tr w:rsidR="00395B24" w14:paraId="0AF75B49" w14:textId="77777777" w:rsidTr="00F935B7">
        <w:tc>
          <w:tcPr>
            <w:tcW w:w="3083" w:type="dxa"/>
            <w:shd w:val="clear" w:color="auto" w:fill="auto"/>
          </w:tcPr>
          <w:p w14:paraId="113C2E6D" w14:textId="77777777" w:rsidR="00395B24" w:rsidRDefault="002C7385" w:rsidP="00663878">
            <w:pPr>
              <w:pStyle w:val="Normal1linespace"/>
              <w:widowControl w:val="0"/>
              <w:jc w:val="left"/>
            </w:pPr>
            <w:r>
              <w:t>File number(s):</w:t>
            </w:r>
          </w:p>
        </w:tc>
        <w:tc>
          <w:tcPr>
            <w:tcW w:w="5990" w:type="dxa"/>
            <w:shd w:val="clear" w:color="auto" w:fill="auto"/>
          </w:tcPr>
          <w:p w14:paraId="4CCDB721" w14:textId="3A06797B" w:rsidR="00395B24" w:rsidRPr="00221B7B" w:rsidRDefault="00464DE6" w:rsidP="00221B7B">
            <w:pPr>
              <w:pStyle w:val="Normal1linespace"/>
              <w:jc w:val="left"/>
            </w:pPr>
            <w:fldSimple w:instr=" REF  FileNo  \* MERGEFORMAT " w:fldLock="1">
              <w:r w:rsidR="004D10DF">
                <w:t>VID 765 of 2023</w:t>
              </w:r>
            </w:fldSimple>
          </w:p>
        </w:tc>
      </w:tr>
      <w:tr w:rsidR="00395B24" w14:paraId="1174C519" w14:textId="77777777" w:rsidTr="00F935B7">
        <w:tc>
          <w:tcPr>
            <w:tcW w:w="3083" w:type="dxa"/>
            <w:shd w:val="clear" w:color="auto" w:fill="auto"/>
          </w:tcPr>
          <w:p w14:paraId="4E75C162" w14:textId="77777777" w:rsidR="00395B24" w:rsidRDefault="00395B24" w:rsidP="00663878">
            <w:pPr>
              <w:pStyle w:val="Normal1linespace"/>
              <w:widowControl w:val="0"/>
              <w:jc w:val="left"/>
            </w:pPr>
          </w:p>
        </w:tc>
        <w:tc>
          <w:tcPr>
            <w:tcW w:w="5990" w:type="dxa"/>
            <w:shd w:val="clear" w:color="auto" w:fill="auto"/>
          </w:tcPr>
          <w:p w14:paraId="1688997B" w14:textId="77777777" w:rsidR="00395B24" w:rsidRDefault="00395B24" w:rsidP="00663878">
            <w:pPr>
              <w:pStyle w:val="Normal1linespace"/>
              <w:widowControl w:val="0"/>
              <w:jc w:val="left"/>
            </w:pPr>
          </w:p>
        </w:tc>
      </w:tr>
      <w:tr w:rsidR="00395B24" w14:paraId="24CA1D1E" w14:textId="77777777" w:rsidTr="00F935B7">
        <w:tc>
          <w:tcPr>
            <w:tcW w:w="3083" w:type="dxa"/>
            <w:shd w:val="clear" w:color="auto" w:fill="auto"/>
          </w:tcPr>
          <w:p w14:paraId="47BA1983"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497190BA" w14:textId="14FEE65C" w:rsidR="00395B24" w:rsidRDefault="002C7385" w:rsidP="00663878">
            <w:pPr>
              <w:pStyle w:val="Normal1linespace"/>
              <w:widowControl w:val="0"/>
              <w:jc w:val="left"/>
              <w:rPr>
                <w:b/>
              </w:rPr>
            </w:pPr>
            <w:r w:rsidRPr="00221B7B">
              <w:rPr>
                <w:b/>
              </w:rPr>
              <w:fldChar w:fldCharType="begin" w:fldLock="1"/>
            </w:r>
            <w:r w:rsidRPr="00221B7B">
              <w:rPr>
                <w:b/>
              </w:rPr>
              <w:instrText xml:space="preserve"> REF  Judge  \* MERGEFORMAT </w:instrText>
            </w:r>
            <w:r w:rsidRPr="00221B7B">
              <w:rPr>
                <w:b/>
              </w:rPr>
              <w:fldChar w:fldCharType="separate"/>
            </w:r>
            <w:r w:rsidR="00221B7B" w:rsidRPr="00221B7B">
              <w:rPr>
                <w:b/>
                <w:caps/>
                <w:szCs w:val="24"/>
              </w:rPr>
              <w:t>BROMWICH, ABRAHAM AND MCEVOY JJ</w:t>
            </w:r>
            <w:r w:rsidRPr="00221B7B">
              <w:rPr>
                <w:b/>
              </w:rPr>
              <w:fldChar w:fldCharType="end"/>
            </w:r>
          </w:p>
        </w:tc>
      </w:tr>
      <w:tr w:rsidR="00395B24" w14:paraId="766AD7FA" w14:textId="77777777" w:rsidTr="00F935B7">
        <w:tc>
          <w:tcPr>
            <w:tcW w:w="3083" w:type="dxa"/>
            <w:shd w:val="clear" w:color="auto" w:fill="auto"/>
          </w:tcPr>
          <w:p w14:paraId="78CBD0CD" w14:textId="77777777" w:rsidR="00395B24" w:rsidRDefault="00395B24" w:rsidP="00663878">
            <w:pPr>
              <w:pStyle w:val="Normal1linespace"/>
              <w:widowControl w:val="0"/>
              <w:jc w:val="left"/>
            </w:pPr>
          </w:p>
        </w:tc>
        <w:tc>
          <w:tcPr>
            <w:tcW w:w="5990" w:type="dxa"/>
            <w:shd w:val="clear" w:color="auto" w:fill="auto"/>
          </w:tcPr>
          <w:p w14:paraId="3E163E8F" w14:textId="77777777" w:rsidR="00395B24" w:rsidRDefault="00395B24" w:rsidP="00663878">
            <w:pPr>
              <w:pStyle w:val="Normal1linespace"/>
              <w:widowControl w:val="0"/>
              <w:jc w:val="left"/>
            </w:pPr>
          </w:p>
        </w:tc>
      </w:tr>
      <w:tr w:rsidR="00395B24" w14:paraId="6D176BEF" w14:textId="77777777" w:rsidTr="00F935B7">
        <w:tc>
          <w:tcPr>
            <w:tcW w:w="3083" w:type="dxa"/>
            <w:shd w:val="clear" w:color="auto" w:fill="auto"/>
          </w:tcPr>
          <w:p w14:paraId="7BEC7E77" w14:textId="77777777" w:rsidR="00395B24" w:rsidRDefault="002C7385" w:rsidP="00663878">
            <w:pPr>
              <w:pStyle w:val="Normal1linespace"/>
              <w:widowControl w:val="0"/>
              <w:jc w:val="left"/>
            </w:pPr>
            <w:r>
              <w:t>Date of judgment:</w:t>
            </w:r>
          </w:p>
        </w:tc>
        <w:tc>
          <w:tcPr>
            <w:tcW w:w="5990" w:type="dxa"/>
            <w:shd w:val="clear" w:color="auto" w:fill="auto"/>
          </w:tcPr>
          <w:p w14:paraId="3ABC83C2" w14:textId="603C4D06" w:rsidR="00395B24" w:rsidRDefault="004D10DF" w:rsidP="00663878">
            <w:pPr>
              <w:pStyle w:val="Normal1linespace"/>
              <w:widowControl w:val="0"/>
              <w:jc w:val="left"/>
            </w:pPr>
            <w:r>
              <w:t>11 July 2024</w:t>
            </w:r>
          </w:p>
        </w:tc>
      </w:tr>
      <w:tr w:rsidR="00395B24" w14:paraId="590114A9" w14:textId="77777777" w:rsidTr="00F935B7">
        <w:tc>
          <w:tcPr>
            <w:tcW w:w="3083" w:type="dxa"/>
            <w:shd w:val="clear" w:color="auto" w:fill="auto"/>
          </w:tcPr>
          <w:p w14:paraId="3694B473" w14:textId="77777777" w:rsidR="00395B24" w:rsidRDefault="00395B24" w:rsidP="00663878">
            <w:pPr>
              <w:pStyle w:val="Normal1linespace"/>
              <w:widowControl w:val="0"/>
              <w:jc w:val="left"/>
            </w:pPr>
          </w:p>
        </w:tc>
        <w:tc>
          <w:tcPr>
            <w:tcW w:w="5990" w:type="dxa"/>
            <w:shd w:val="clear" w:color="auto" w:fill="auto"/>
          </w:tcPr>
          <w:p w14:paraId="01DB66BD" w14:textId="77777777" w:rsidR="00395B24" w:rsidRDefault="00395B24" w:rsidP="00663878">
            <w:pPr>
              <w:pStyle w:val="Normal1linespace"/>
              <w:widowControl w:val="0"/>
              <w:jc w:val="left"/>
            </w:pPr>
          </w:p>
        </w:tc>
      </w:tr>
      <w:tr w:rsidR="00395B24" w14:paraId="424FA200" w14:textId="77777777" w:rsidTr="00F935B7">
        <w:tc>
          <w:tcPr>
            <w:tcW w:w="3083" w:type="dxa"/>
            <w:shd w:val="clear" w:color="auto" w:fill="auto"/>
          </w:tcPr>
          <w:p w14:paraId="1982737D" w14:textId="77777777" w:rsidR="00395B24" w:rsidRDefault="002C7385" w:rsidP="00663878">
            <w:pPr>
              <w:pStyle w:val="Normal1linespace"/>
              <w:widowControl w:val="0"/>
              <w:jc w:val="left"/>
            </w:pPr>
            <w:r>
              <w:t>Catchwords:</w:t>
            </w:r>
          </w:p>
        </w:tc>
        <w:tc>
          <w:tcPr>
            <w:tcW w:w="5990" w:type="dxa"/>
            <w:shd w:val="clear" w:color="auto" w:fill="auto"/>
          </w:tcPr>
          <w:p w14:paraId="5F76168A" w14:textId="77777777" w:rsidR="003A3A75" w:rsidRDefault="003A3A75" w:rsidP="003A3A75">
            <w:pPr>
              <w:pStyle w:val="Normal1linespace"/>
              <w:widowControl w:val="0"/>
              <w:jc w:val="left"/>
            </w:pPr>
            <w:r>
              <w:rPr>
                <w:b/>
              </w:rPr>
              <w:t xml:space="preserve">ADMINISTRATIVE LAW </w:t>
            </w:r>
            <w:r>
              <w:t xml:space="preserve">— the appellant sought a declaration that the legal limits of the Australian Information Commissioner’s authority have been exceeded and his right to an Information Commissioner review unlawfully delayed — where the appellant had several ongoing applications before the Commissioner for review of decisions made by Commonwealth agencies — where there were very significant delays in undertaking the reviews — whether there had been unreasonable delay by the Commissioner in making a decision in the sense required by s 7(1) of the ADJR Act — whether appellant would have been entitled to declaratory relief if he was prima facie entitled to that relief </w:t>
            </w:r>
          </w:p>
          <w:p w14:paraId="504B84FF" w14:textId="77777777" w:rsidR="003A3A75" w:rsidRDefault="003A3A75" w:rsidP="003A3A75">
            <w:pPr>
              <w:pStyle w:val="Normal1linespace"/>
              <w:widowControl w:val="0"/>
              <w:jc w:val="left"/>
            </w:pPr>
          </w:p>
          <w:p w14:paraId="3C952F98" w14:textId="1EBB47F1" w:rsidR="00395B24" w:rsidRDefault="003A3A75" w:rsidP="003A3A75">
            <w:pPr>
              <w:pStyle w:val="Normal1linespace"/>
              <w:widowControl w:val="0"/>
              <w:jc w:val="left"/>
            </w:pPr>
            <w:r>
              <w:rPr>
                <w:b/>
                <w:bCs/>
              </w:rPr>
              <w:t xml:space="preserve">HELD </w:t>
            </w:r>
            <w:r>
              <w:t>— no unreasonable delay for the purposes of s 7(1) of the ADJR Act</w:t>
            </w:r>
            <w:r w:rsidR="007F7D2E">
              <w:t xml:space="preserve"> </w:t>
            </w:r>
            <w:r>
              <w:t>— appeal dismissed</w:t>
            </w:r>
          </w:p>
        </w:tc>
      </w:tr>
      <w:tr w:rsidR="00395B24" w14:paraId="67ECF706" w14:textId="77777777" w:rsidTr="00F935B7">
        <w:tc>
          <w:tcPr>
            <w:tcW w:w="3083" w:type="dxa"/>
            <w:shd w:val="clear" w:color="auto" w:fill="auto"/>
          </w:tcPr>
          <w:p w14:paraId="0406B44B" w14:textId="77777777" w:rsidR="00395B24" w:rsidRDefault="00395B24" w:rsidP="00663878">
            <w:pPr>
              <w:pStyle w:val="Normal1linespace"/>
              <w:widowControl w:val="0"/>
              <w:jc w:val="left"/>
            </w:pPr>
          </w:p>
        </w:tc>
        <w:tc>
          <w:tcPr>
            <w:tcW w:w="5990" w:type="dxa"/>
            <w:shd w:val="clear" w:color="auto" w:fill="auto"/>
          </w:tcPr>
          <w:p w14:paraId="103F5001" w14:textId="77777777" w:rsidR="00395B24" w:rsidRDefault="00395B24" w:rsidP="00663878">
            <w:pPr>
              <w:pStyle w:val="Normal1linespace"/>
              <w:widowControl w:val="0"/>
              <w:jc w:val="left"/>
            </w:pPr>
          </w:p>
        </w:tc>
      </w:tr>
      <w:tr w:rsidR="00395B24" w14:paraId="0929E87D" w14:textId="77777777" w:rsidTr="00F935B7">
        <w:tc>
          <w:tcPr>
            <w:tcW w:w="3083" w:type="dxa"/>
            <w:shd w:val="clear" w:color="auto" w:fill="auto"/>
          </w:tcPr>
          <w:p w14:paraId="08CD9805" w14:textId="77777777" w:rsidR="00395B24" w:rsidRDefault="002C7385" w:rsidP="00663878">
            <w:pPr>
              <w:pStyle w:val="Normal1linespace"/>
              <w:widowControl w:val="0"/>
              <w:jc w:val="left"/>
            </w:pPr>
            <w:r>
              <w:t>Legislation:</w:t>
            </w:r>
          </w:p>
        </w:tc>
        <w:tc>
          <w:tcPr>
            <w:tcW w:w="5990" w:type="dxa"/>
            <w:shd w:val="clear" w:color="auto" w:fill="auto"/>
          </w:tcPr>
          <w:p w14:paraId="23665114" w14:textId="5E01AEC8" w:rsidR="005C0185" w:rsidRDefault="005C0185" w:rsidP="005C0185">
            <w:pPr>
              <w:spacing w:line="240" w:lineRule="auto"/>
            </w:pPr>
            <w:bookmarkStart w:id="2" w:name="Legislation"/>
            <w:r w:rsidRPr="00C9615A">
              <w:rPr>
                <w:i/>
              </w:rPr>
              <w:t xml:space="preserve">Acts Interpretation Act 1901 </w:t>
            </w:r>
            <w:r w:rsidRPr="00C9615A">
              <w:t>(Cth) s 2B</w:t>
            </w:r>
            <w:r>
              <w:t xml:space="preserve"> and </w:t>
            </w:r>
            <w:r w:rsidR="00BB37CC">
              <w:t xml:space="preserve">s </w:t>
            </w:r>
            <w:r>
              <w:t>25D</w:t>
            </w:r>
          </w:p>
          <w:p w14:paraId="274142E2" w14:textId="77777777" w:rsidR="005C0185" w:rsidRDefault="005C0185" w:rsidP="005C0185">
            <w:pPr>
              <w:spacing w:line="240" w:lineRule="auto"/>
            </w:pPr>
            <w:r w:rsidRPr="008C2AB1">
              <w:rPr>
                <w:i/>
                <w:iCs/>
              </w:rPr>
              <w:t>Administrative Decisions (Judicial Review) Act 1977</w:t>
            </w:r>
            <w:r w:rsidRPr="008C2AB1">
              <w:t xml:space="preserve"> (Cth)</w:t>
            </w:r>
            <w:r>
              <w:t xml:space="preserve"> s 7 and </w:t>
            </w:r>
            <w:r w:rsidRPr="00C9615A">
              <w:t>s 16</w:t>
            </w:r>
          </w:p>
          <w:p w14:paraId="0DAFB10B" w14:textId="77777777" w:rsidR="005C0185" w:rsidRPr="00ED5750" w:rsidRDefault="005C0185" w:rsidP="005C0185">
            <w:pPr>
              <w:spacing w:line="240" w:lineRule="auto"/>
              <w:rPr>
                <w:iCs/>
              </w:rPr>
            </w:pPr>
            <w:r w:rsidRPr="00C9615A">
              <w:rPr>
                <w:i/>
              </w:rPr>
              <w:t>Australian Information Commissioner Act 2010</w:t>
            </w:r>
            <w:r>
              <w:rPr>
                <w:i/>
              </w:rPr>
              <w:t xml:space="preserve"> </w:t>
            </w:r>
            <w:r>
              <w:rPr>
                <w:iCs/>
              </w:rPr>
              <w:t>(Cth) ss 5-9, 25</w:t>
            </w:r>
          </w:p>
          <w:p w14:paraId="2827BDC7" w14:textId="77777777" w:rsidR="005C0185" w:rsidRDefault="005C0185" w:rsidP="005C0185">
            <w:pPr>
              <w:spacing w:line="240" w:lineRule="auto"/>
            </w:pPr>
            <w:r w:rsidRPr="00C9615A">
              <w:rPr>
                <w:i/>
                <w:iCs/>
              </w:rPr>
              <w:t>Australian Security Intelligence Organisation Act 1979</w:t>
            </w:r>
            <w:r w:rsidRPr="00C9615A">
              <w:t xml:space="preserve"> (Cth) ss 82L(1), 83ED(2)</w:t>
            </w:r>
            <w:r>
              <w:t xml:space="preserve">, </w:t>
            </w:r>
            <w:r w:rsidRPr="00C9615A">
              <w:t>83EE(1)</w:t>
            </w:r>
          </w:p>
          <w:p w14:paraId="17A83969" w14:textId="77777777" w:rsidR="005C0185" w:rsidRDefault="005C0185" w:rsidP="005C0185">
            <w:pPr>
              <w:spacing w:line="240" w:lineRule="auto"/>
            </w:pPr>
            <w:r w:rsidRPr="00C9615A">
              <w:rPr>
                <w:i/>
                <w:iCs/>
              </w:rPr>
              <w:t>Federal Court of Australia Act 1976</w:t>
            </w:r>
            <w:r w:rsidRPr="00C9615A">
              <w:t xml:space="preserve"> (Cth)</w:t>
            </w:r>
            <w:r w:rsidRPr="00A424F1">
              <w:t xml:space="preserve"> </w:t>
            </w:r>
            <w:r>
              <w:t xml:space="preserve">s </w:t>
            </w:r>
            <w:r w:rsidRPr="00C9615A">
              <w:t xml:space="preserve">21 </w:t>
            </w:r>
          </w:p>
          <w:p w14:paraId="524DAE70" w14:textId="6C81EE60" w:rsidR="00395B24" w:rsidRDefault="005C0185" w:rsidP="005C0185">
            <w:pPr>
              <w:pStyle w:val="CasesLegislationAppealFrom"/>
              <w:spacing w:after="60"/>
            </w:pPr>
            <w:r w:rsidRPr="008C2AB1">
              <w:rPr>
                <w:i/>
                <w:iCs/>
              </w:rPr>
              <w:t>Freedom of Information Act 1982</w:t>
            </w:r>
            <w:r w:rsidRPr="008C2AB1">
              <w:t xml:space="preserve"> (Cth)</w:t>
            </w:r>
            <w:r>
              <w:t xml:space="preserve"> ss 3, 11, 11A, 15, 15AA, </w:t>
            </w:r>
            <w:r w:rsidR="00B113C7">
              <w:t xml:space="preserve">33, </w:t>
            </w:r>
            <w:r w:rsidR="00E66ED0">
              <w:t xml:space="preserve">38, 45, 47, </w:t>
            </w:r>
            <w:r>
              <w:t xml:space="preserve">47B-47J, 52-54E, 54W, 54Z, 55, 55G, 55K, 55T, 55U, 56, 57A  </w:t>
            </w:r>
            <w:r w:rsidR="00715751">
              <w:t xml:space="preserve"> </w:t>
            </w:r>
            <w:r w:rsidR="002C7385">
              <w:t xml:space="preserve"> </w:t>
            </w:r>
            <w:bookmarkEnd w:id="2"/>
          </w:p>
        </w:tc>
      </w:tr>
      <w:tr w:rsidR="00395B24" w14:paraId="3EEBA96D" w14:textId="77777777" w:rsidTr="00F935B7">
        <w:tc>
          <w:tcPr>
            <w:tcW w:w="3083" w:type="dxa"/>
            <w:shd w:val="clear" w:color="auto" w:fill="auto"/>
          </w:tcPr>
          <w:p w14:paraId="27C8C92C" w14:textId="77777777" w:rsidR="00395B24" w:rsidRDefault="00395B24" w:rsidP="00663878">
            <w:pPr>
              <w:pStyle w:val="Normal1linespace"/>
              <w:widowControl w:val="0"/>
              <w:jc w:val="left"/>
            </w:pPr>
          </w:p>
        </w:tc>
        <w:tc>
          <w:tcPr>
            <w:tcW w:w="5990" w:type="dxa"/>
            <w:shd w:val="clear" w:color="auto" w:fill="auto"/>
          </w:tcPr>
          <w:p w14:paraId="5CDA5494" w14:textId="77777777" w:rsidR="00395B24" w:rsidRDefault="00395B24" w:rsidP="00663878">
            <w:pPr>
              <w:pStyle w:val="Normal1linespace"/>
              <w:widowControl w:val="0"/>
              <w:jc w:val="left"/>
            </w:pPr>
          </w:p>
        </w:tc>
      </w:tr>
      <w:tr w:rsidR="00B23DA3" w14:paraId="0B3DBE68" w14:textId="77777777" w:rsidTr="00F935B7">
        <w:tc>
          <w:tcPr>
            <w:tcW w:w="3083" w:type="dxa"/>
            <w:shd w:val="clear" w:color="auto" w:fill="auto"/>
          </w:tcPr>
          <w:p w14:paraId="71CF9782" w14:textId="77777777" w:rsidR="00B23DA3" w:rsidRDefault="00B23DA3" w:rsidP="00B23DA3">
            <w:pPr>
              <w:pStyle w:val="Normal1linespace"/>
              <w:widowControl w:val="0"/>
              <w:jc w:val="left"/>
            </w:pPr>
            <w:r>
              <w:t>Cases cited:</w:t>
            </w:r>
          </w:p>
        </w:tc>
        <w:tc>
          <w:tcPr>
            <w:tcW w:w="5990" w:type="dxa"/>
            <w:shd w:val="clear" w:color="auto" w:fill="auto"/>
          </w:tcPr>
          <w:p w14:paraId="43C0E2A9" w14:textId="77777777" w:rsidR="00B23DA3" w:rsidRDefault="00B23DA3" w:rsidP="00B23DA3">
            <w:pPr>
              <w:spacing w:line="240" w:lineRule="auto"/>
            </w:pPr>
            <w:bookmarkStart w:id="3" w:name="Cases_Cited"/>
            <w:r w:rsidRPr="00C9615A">
              <w:rPr>
                <w:i/>
                <w:iCs/>
              </w:rPr>
              <w:t>ASP v Commonwealth</w:t>
            </w:r>
            <w:r w:rsidRPr="00C9615A">
              <w:t xml:space="preserve"> [2016] FCAFC 145; (2016) 248 FCR 372</w:t>
            </w:r>
          </w:p>
          <w:p w14:paraId="59C43ACB" w14:textId="77777777" w:rsidR="00B23DA3" w:rsidRDefault="00B23DA3" w:rsidP="00B23DA3">
            <w:pPr>
              <w:spacing w:line="240" w:lineRule="auto"/>
            </w:pPr>
            <w:r w:rsidRPr="00C9615A">
              <w:rPr>
                <w:i/>
                <w:iCs/>
              </w:rPr>
              <w:t>Australian Competition and Consumer Commission v MSY Technology Pty Ltd</w:t>
            </w:r>
            <w:r w:rsidRPr="00C9615A">
              <w:t xml:space="preserve"> [2012] FCAFC 56; (2012) 201 FCR 378</w:t>
            </w:r>
          </w:p>
          <w:p w14:paraId="58106FF0" w14:textId="77777777" w:rsidR="00B23DA3" w:rsidRDefault="00B23DA3" w:rsidP="00B23DA3">
            <w:pPr>
              <w:spacing w:line="240" w:lineRule="auto"/>
            </w:pPr>
            <w:r w:rsidRPr="00C9615A">
              <w:rPr>
                <w:i/>
                <w:iCs/>
              </w:rPr>
              <w:t>BMF16 v Minister for Immigration and Border Protection</w:t>
            </w:r>
            <w:r w:rsidRPr="00C9615A">
              <w:t xml:space="preserve"> [2016] FCA 1530</w:t>
            </w:r>
          </w:p>
          <w:p w14:paraId="09A31D23" w14:textId="77777777" w:rsidR="00B23DA3" w:rsidRDefault="00B23DA3" w:rsidP="00B23DA3">
            <w:pPr>
              <w:spacing w:line="240" w:lineRule="auto"/>
              <w:rPr>
                <w:i/>
                <w:iCs/>
              </w:rPr>
            </w:pPr>
            <w:r w:rsidRPr="00C9615A">
              <w:rPr>
                <w:i/>
                <w:iCs/>
              </w:rPr>
              <w:lastRenderedPageBreak/>
              <w:t xml:space="preserve">Davis v Military Rehabilitation and Compensation Commission </w:t>
            </w:r>
            <w:r w:rsidRPr="00C9615A">
              <w:t>[2021] FCA 1446; (2021) 174 ALD 166</w:t>
            </w:r>
          </w:p>
          <w:p w14:paraId="51A17E1D" w14:textId="77777777" w:rsidR="00B23DA3" w:rsidRDefault="00B23DA3" w:rsidP="00B23DA3">
            <w:pPr>
              <w:spacing w:line="240" w:lineRule="auto"/>
            </w:pPr>
            <w:r>
              <w:rPr>
                <w:i/>
                <w:iCs/>
                <w:szCs w:val="24"/>
                <w:shd w:val="clear" w:color="auto" w:fill="FFFFFF"/>
              </w:rPr>
              <w:t>Is</w:t>
            </w:r>
            <w:r w:rsidRPr="00C9615A">
              <w:rPr>
                <w:i/>
                <w:iCs/>
                <w:szCs w:val="24"/>
                <w:shd w:val="clear" w:color="auto" w:fill="FFFFFF"/>
              </w:rPr>
              <w:t>mail v Minister for Immigration, Citizenship and Multicultural Affairs</w:t>
            </w:r>
            <w:r w:rsidRPr="00C9615A">
              <w:rPr>
                <w:szCs w:val="24"/>
                <w:shd w:val="clear" w:color="auto" w:fill="FFFFFF"/>
              </w:rPr>
              <w:t xml:space="preserve"> [2024] HCA 2; (2024) 98 ALJR 196</w:t>
            </w:r>
          </w:p>
          <w:p w14:paraId="3B6FF36E" w14:textId="77777777" w:rsidR="00B23DA3" w:rsidRDefault="00B23DA3" w:rsidP="00B23DA3">
            <w:pPr>
              <w:spacing w:line="240" w:lineRule="auto"/>
            </w:pPr>
            <w:r w:rsidRPr="00C9615A">
              <w:rPr>
                <w:i/>
                <w:iCs/>
              </w:rPr>
              <w:t xml:space="preserve">Kable v Director of Public Prosecutions (NSW) </w:t>
            </w:r>
            <w:r w:rsidRPr="00C9615A">
              <w:t>[1996] HCA 24; (1996) 189 CLR 51</w:t>
            </w:r>
          </w:p>
          <w:p w14:paraId="50DA9515" w14:textId="77777777" w:rsidR="00B23DA3" w:rsidRDefault="00B23DA3" w:rsidP="00B23DA3">
            <w:pPr>
              <w:spacing w:line="240" w:lineRule="auto"/>
              <w:rPr>
                <w:shd w:val="clear" w:color="auto" w:fill="FFFFFF"/>
              </w:rPr>
            </w:pPr>
            <w:r w:rsidRPr="00C9615A">
              <w:rPr>
                <w:i/>
                <w:iCs/>
                <w:shd w:val="clear" w:color="auto" w:fill="FFFFFF"/>
              </w:rPr>
              <w:t>Minister for Home Affairs v DUA16</w:t>
            </w:r>
            <w:r w:rsidRPr="00C9615A">
              <w:rPr>
                <w:shd w:val="clear" w:color="auto" w:fill="FFFFFF"/>
              </w:rPr>
              <w:t> [2020] HCA 46; (2020) 271 CLR 550 </w:t>
            </w:r>
          </w:p>
          <w:p w14:paraId="6C962376" w14:textId="77777777" w:rsidR="00B23DA3" w:rsidRDefault="00B23DA3" w:rsidP="00B23DA3">
            <w:pPr>
              <w:spacing w:line="240" w:lineRule="auto"/>
            </w:pPr>
            <w:r w:rsidRPr="00C9615A">
              <w:rPr>
                <w:i/>
              </w:rPr>
              <w:t>Minister for Immigration and Border Protection v SZVFW</w:t>
            </w:r>
            <w:r w:rsidRPr="00C9615A">
              <w:t xml:space="preserve"> [2018] HCA 30; (2018) 264 CLR 541</w:t>
            </w:r>
          </w:p>
          <w:p w14:paraId="56DB6817" w14:textId="77777777" w:rsidR="00B23DA3" w:rsidRDefault="00B23DA3" w:rsidP="00B23DA3">
            <w:pPr>
              <w:spacing w:line="240" w:lineRule="auto"/>
            </w:pPr>
            <w:r w:rsidRPr="00C9615A">
              <w:rPr>
                <w:i/>
                <w:iCs/>
              </w:rPr>
              <w:t>Minister for Immigration and Citizenship v Li</w:t>
            </w:r>
            <w:r w:rsidRPr="00C9615A">
              <w:t xml:space="preserve"> [2013] HCA 18; (2013) 249 CLR 332</w:t>
            </w:r>
          </w:p>
          <w:p w14:paraId="3A352EDF" w14:textId="77777777" w:rsidR="00B23DA3" w:rsidRDefault="00B23DA3" w:rsidP="00B23DA3">
            <w:pPr>
              <w:spacing w:line="240" w:lineRule="auto"/>
            </w:pPr>
            <w:r w:rsidRPr="00C9615A">
              <w:rPr>
                <w:i/>
                <w:iCs/>
              </w:rPr>
              <w:t>Plaintiff</w:t>
            </w:r>
            <w:r w:rsidRPr="009308CD">
              <w:rPr>
                <w:i/>
                <w:iCs/>
              </w:rPr>
              <w:t xml:space="preserve"> S297/2013</w:t>
            </w:r>
            <w:r>
              <w:rPr>
                <w:i/>
                <w:iCs/>
              </w:rPr>
              <w:t xml:space="preserve"> v Minister for Immigration and Border Protection </w:t>
            </w:r>
            <w:r>
              <w:t xml:space="preserve">[2014] HCA 24; (2014) 255 CLR </w:t>
            </w:r>
            <w:r w:rsidRPr="00C9615A">
              <w:t>179</w:t>
            </w:r>
          </w:p>
          <w:p w14:paraId="2553E5CC" w14:textId="77777777" w:rsidR="00B23DA3" w:rsidRPr="00C102A9" w:rsidRDefault="00B23DA3" w:rsidP="00B23DA3">
            <w:pPr>
              <w:spacing w:line="240" w:lineRule="auto"/>
            </w:pPr>
            <w:r w:rsidRPr="00C9615A">
              <w:rPr>
                <w:i/>
                <w:iCs/>
                <w:szCs w:val="24"/>
                <w:lang w:eastAsia="en-AU"/>
              </w:rPr>
              <w:t xml:space="preserve">Rural Press Ltd v Australian Competition and Consumer Commission </w:t>
            </w:r>
            <w:r w:rsidRPr="00C9615A">
              <w:rPr>
                <w:szCs w:val="24"/>
                <w:lang w:eastAsia="en-AU"/>
              </w:rPr>
              <w:t>[2003] HCA 75; (2003) 216 CLR 53</w:t>
            </w:r>
          </w:p>
          <w:p w14:paraId="1EA39336" w14:textId="77777777" w:rsidR="00B23DA3" w:rsidRDefault="00B23DA3" w:rsidP="00B23DA3">
            <w:pPr>
              <w:spacing w:line="240" w:lineRule="auto"/>
            </w:pPr>
            <w:r w:rsidRPr="00C9615A">
              <w:rPr>
                <w:i/>
                <w:iCs/>
              </w:rPr>
              <w:t>Thornton v Reparation Commission</w:t>
            </w:r>
            <w:r w:rsidRPr="00C9615A">
              <w:t xml:space="preserve"> [1981] FCA 71; (1981) 35 ALR 485</w:t>
            </w:r>
          </w:p>
          <w:p w14:paraId="045338C4" w14:textId="77777777" w:rsidR="00B23DA3" w:rsidRDefault="00B23DA3" w:rsidP="00B23DA3">
            <w:pPr>
              <w:spacing w:line="240" w:lineRule="auto"/>
            </w:pPr>
            <w:r w:rsidRPr="00C9615A">
              <w:rPr>
                <w:i/>
                <w:iCs/>
              </w:rPr>
              <w:t>Warramunda Village Inc v Pryde</w:t>
            </w:r>
            <w:r w:rsidRPr="00C9615A">
              <w:t xml:space="preserve"> [2001] FCA 61; (2001) 105 FCR 437</w:t>
            </w:r>
          </w:p>
          <w:p w14:paraId="43F4390F" w14:textId="07B568E2" w:rsidR="00B23DA3" w:rsidRDefault="00B23DA3" w:rsidP="00B23DA3">
            <w:pPr>
              <w:pStyle w:val="CasesLegislationAppealFrom"/>
              <w:spacing w:after="60"/>
            </w:pPr>
            <w:r w:rsidRPr="00C9615A">
              <w:rPr>
                <w:i/>
                <w:iCs/>
              </w:rPr>
              <w:t>Wei v Minister for Immigration, Local Government and Ethnic Affairs</w:t>
            </w:r>
            <w:r w:rsidRPr="00C9615A">
              <w:t xml:space="preserve"> [1991] FCA 268; (1991) 29 FCR 455</w:t>
            </w:r>
            <w:r>
              <w:t xml:space="preserve">  </w:t>
            </w:r>
            <w:bookmarkEnd w:id="3"/>
          </w:p>
        </w:tc>
      </w:tr>
      <w:tr w:rsidR="00B23DA3" w14:paraId="617F825F" w14:textId="77777777" w:rsidTr="00F935B7">
        <w:tc>
          <w:tcPr>
            <w:tcW w:w="3083" w:type="dxa"/>
            <w:shd w:val="clear" w:color="auto" w:fill="auto"/>
          </w:tcPr>
          <w:p w14:paraId="6DC48CA8" w14:textId="77777777" w:rsidR="00B23DA3" w:rsidRDefault="00B23DA3" w:rsidP="00B23DA3">
            <w:pPr>
              <w:pStyle w:val="Normal1linespace"/>
              <w:widowControl w:val="0"/>
            </w:pPr>
          </w:p>
        </w:tc>
        <w:tc>
          <w:tcPr>
            <w:tcW w:w="5990" w:type="dxa"/>
            <w:shd w:val="clear" w:color="auto" w:fill="auto"/>
          </w:tcPr>
          <w:p w14:paraId="28550A79" w14:textId="77777777" w:rsidR="00B23DA3" w:rsidRDefault="00B23DA3" w:rsidP="00B23DA3">
            <w:pPr>
              <w:pStyle w:val="Normal1linespace"/>
              <w:widowControl w:val="0"/>
              <w:jc w:val="left"/>
            </w:pPr>
          </w:p>
        </w:tc>
      </w:tr>
      <w:tr w:rsidR="00B23DA3" w14:paraId="58FC0672" w14:textId="77777777" w:rsidTr="00F935B7">
        <w:tc>
          <w:tcPr>
            <w:tcW w:w="3083" w:type="dxa"/>
            <w:shd w:val="clear" w:color="auto" w:fill="auto"/>
          </w:tcPr>
          <w:p w14:paraId="73B95C1D" w14:textId="77777777" w:rsidR="00B23DA3" w:rsidRDefault="00B23DA3" w:rsidP="00B23DA3">
            <w:pPr>
              <w:pStyle w:val="Normal1linespace"/>
              <w:widowControl w:val="0"/>
            </w:pPr>
            <w:r>
              <w:t>Division:</w:t>
            </w:r>
          </w:p>
        </w:tc>
        <w:tc>
          <w:tcPr>
            <w:tcW w:w="5990" w:type="dxa"/>
            <w:shd w:val="clear" w:color="auto" w:fill="auto"/>
          </w:tcPr>
          <w:p w14:paraId="290FAA11" w14:textId="157C76CE" w:rsidR="00B23DA3" w:rsidRPr="00F17599" w:rsidRDefault="00B23DA3" w:rsidP="00B23DA3">
            <w:pPr>
              <w:pStyle w:val="Normal1linespace"/>
              <w:widowControl w:val="0"/>
              <w:jc w:val="left"/>
            </w:pPr>
            <w:r>
              <w:t>General Division</w:t>
            </w:r>
          </w:p>
        </w:tc>
      </w:tr>
      <w:tr w:rsidR="00B23DA3" w14:paraId="781CC8D6" w14:textId="77777777" w:rsidTr="00F935B7">
        <w:tc>
          <w:tcPr>
            <w:tcW w:w="3083" w:type="dxa"/>
            <w:shd w:val="clear" w:color="auto" w:fill="auto"/>
          </w:tcPr>
          <w:p w14:paraId="57902D10" w14:textId="77777777" w:rsidR="00B23DA3" w:rsidRDefault="00B23DA3" w:rsidP="00B23DA3">
            <w:pPr>
              <w:pStyle w:val="Normal1linespace"/>
              <w:widowControl w:val="0"/>
            </w:pPr>
            <w:bookmarkStart w:id="4" w:name="Registry_rows" w:colFirst="0" w:colLast="1"/>
          </w:p>
        </w:tc>
        <w:tc>
          <w:tcPr>
            <w:tcW w:w="5990" w:type="dxa"/>
            <w:shd w:val="clear" w:color="auto" w:fill="auto"/>
          </w:tcPr>
          <w:p w14:paraId="511D9CFF" w14:textId="77777777" w:rsidR="00B23DA3" w:rsidRDefault="00B23DA3" w:rsidP="00B23DA3">
            <w:pPr>
              <w:pStyle w:val="Normal1linespace"/>
              <w:widowControl w:val="0"/>
              <w:jc w:val="left"/>
            </w:pPr>
          </w:p>
        </w:tc>
      </w:tr>
      <w:tr w:rsidR="00B23DA3" w14:paraId="52BCCB50" w14:textId="77777777" w:rsidTr="00F935B7">
        <w:tc>
          <w:tcPr>
            <w:tcW w:w="3083" w:type="dxa"/>
            <w:shd w:val="clear" w:color="auto" w:fill="auto"/>
          </w:tcPr>
          <w:p w14:paraId="0351B0A8" w14:textId="77777777" w:rsidR="00B23DA3" w:rsidRDefault="00B23DA3" w:rsidP="00B23DA3">
            <w:pPr>
              <w:pStyle w:val="Normal1linespace"/>
              <w:widowControl w:val="0"/>
            </w:pPr>
            <w:r>
              <w:t>Registry:</w:t>
            </w:r>
          </w:p>
        </w:tc>
        <w:tc>
          <w:tcPr>
            <w:tcW w:w="5990" w:type="dxa"/>
            <w:shd w:val="clear" w:color="auto" w:fill="auto"/>
          </w:tcPr>
          <w:p w14:paraId="6FF2DAB2" w14:textId="40637CB9" w:rsidR="00B23DA3" w:rsidRPr="00F17599" w:rsidRDefault="00B23DA3" w:rsidP="00B23DA3">
            <w:pPr>
              <w:pStyle w:val="Normal1linespace"/>
              <w:widowControl w:val="0"/>
              <w:jc w:val="left"/>
            </w:pPr>
            <w:r>
              <w:t>Victoria</w:t>
            </w:r>
          </w:p>
        </w:tc>
      </w:tr>
      <w:tr w:rsidR="00B23DA3" w14:paraId="0B709CC1" w14:textId="77777777" w:rsidTr="00F935B7">
        <w:tc>
          <w:tcPr>
            <w:tcW w:w="3083" w:type="dxa"/>
            <w:shd w:val="clear" w:color="auto" w:fill="auto"/>
          </w:tcPr>
          <w:p w14:paraId="246C8C17" w14:textId="77777777" w:rsidR="00B23DA3" w:rsidRDefault="00B23DA3" w:rsidP="00B23DA3">
            <w:pPr>
              <w:pStyle w:val="Normal1linespace"/>
              <w:widowControl w:val="0"/>
            </w:pPr>
            <w:bookmarkStart w:id="5" w:name="NPARow" w:colFirst="0" w:colLast="1"/>
            <w:bookmarkEnd w:id="4"/>
          </w:p>
        </w:tc>
        <w:tc>
          <w:tcPr>
            <w:tcW w:w="5990" w:type="dxa"/>
            <w:shd w:val="clear" w:color="auto" w:fill="auto"/>
          </w:tcPr>
          <w:p w14:paraId="73472558" w14:textId="77777777" w:rsidR="00B23DA3" w:rsidRPr="00F17599" w:rsidRDefault="00B23DA3" w:rsidP="00B23DA3">
            <w:pPr>
              <w:pStyle w:val="Normal1linespace"/>
              <w:widowControl w:val="0"/>
              <w:jc w:val="left"/>
              <w:rPr>
                <w:b/>
              </w:rPr>
            </w:pPr>
          </w:p>
        </w:tc>
      </w:tr>
      <w:tr w:rsidR="00B23DA3" w14:paraId="31F845A6" w14:textId="77777777" w:rsidTr="00F935B7">
        <w:tc>
          <w:tcPr>
            <w:tcW w:w="3083" w:type="dxa"/>
            <w:shd w:val="clear" w:color="auto" w:fill="auto"/>
          </w:tcPr>
          <w:p w14:paraId="7A3A4E49" w14:textId="77777777" w:rsidR="00B23DA3" w:rsidRDefault="00B23DA3" w:rsidP="00B23DA3">
            <w:pPr>
              <w:pStyle w:val="Normal1linespace"/>
              <w:widowControl w:val="0"/>
            </w:pPr>
            <w:r>
              <w:t>National Practice Area:</w:t>
            </w:r>
          </w:p>
        </w:tc>
        <w:tc>
          <w:tcPr>
            <w:tcW w:w="5990" w:type="dxa"/>
            <w:shd w:val="clear" w:color="auto" w:fill="auto"/>
          </w:tcPr>
          <w:p w14:paraId="29DA2CE0" w14:textId="01C2527F" w:rsidR="00B23DA3" w:rsidRPr="00F17599" w:rsidRDefault="00B23DA3" w:rsidP="00B23DA3">
            <w:pPr>
              <w:pStyle w:val="Normal1linespace"/>
              <w:widowControl w:val="0"/>
              <w:jc w:val="left"/>
              <w:rPr>
                <w:b/>
              </w:rPr>
            </w:pPr>
            <w:r>
              <w:t>Administrative and Constitutional Law and Human Rights</w:t>
            </w:r>
          </w:p>
        </w:tc>
      </w:tr>
      <w:bookmarkEnd w:id="5"/>
      <w:tr w:rsidR="00B23DA3" w14:paraId="0AF2444E" w14:textId="77777777" w:rsidTr="00F935B7">
        <w:tc>
          <w:tcPr>
            <w:tcW w:w="3083" w:type="dxa"/>
            <w:shd w:val="clear" w:color="auto" w:fill="auto"/>
          </w:tcPr>
          <w:p w14:paraId="3A5FD2DC" w14:textId="77777777" w:rsidR="00B23DA3" w:rsidRDefault="00B23DA3" w:rsidP="00B23DA3">
            <w:pPr>
              <w:pStyle w:val="Normal1linespace"/>
              <w:widowControl w:val="0"/>
            </w:pPr>
          </w:p>
        </w:tc>
        <w:tc>
          <w:tcPr>
            <w:tcW w:w="5990" w:type="dxa"/>
            <w:shd w:val="clear" w:color="auto" w:fill="auto"/>
          </w:tcPr>
          <w:p w14:paraId="0929280E" w14:textId="77777777" w:rsidR="00B23DA3" w:rsidRDefault="00B23DA3" w:rsidP="00B23DA3">
            <w:pPr>
              <w:pStyle w:val="Normal1linespace"/>
              <w:widowControl w:val="0"/>
              <w:jc w:val="left"/>
            </w:pPr>
          </w:p>
        </w:tc>
      </w:tr>
      <w:tr w:rsidR="00B23DA3" w14:paraId="05F9666B" w14:textId="77777777" w:rsidTr="00F935B7">
        <w:tc>
          <w:tcPr>
            <w:tcW w:w="3083" w:type="dxa"/>
            <w:shd w:val="clear" w:color="auto" w:fill="auto"/>
          </w:tcPr>
          <w:p w14:paraId="0B33260D" w14:textId="77777777" w:rsidR="00B23DA3" w:rsidRDefault="00B23DA3" w:rsidP="00B23DA3">
            <w:pPr>
              <w:pStyle w:val="Normal1linespace"/>
              <w:widowControl w:val="0"/>
            </w:pPr>
            <w:r>
              <w:t>Number of paragraphs:</w:t>
            </w:r>
          </w:p>
        </w:tc>
        <w:tc>
          <w:tcPr>
            <w:tcW w:w="5990" w:type="dxa"/>
            <w:shd w:val="clear" w:color="auto" w:fill="auto"/>
          </w:tcPr>
          <w:p w14:paraId="44477FAA" w14:textId="447EE443" w:rsidR="00B23DA3" w:rsidRDefault="00F935B7" w:rsidP="00B23DA3">
            <w:pPr>
              <w:pStyle w:val="Normal1linespace"/>
              <w:widowControl w:val="0"/>
              <w:jc w:val="left"/>
            </w:pPr>
            <w:bookmarkStart w:id="6" w:name="PlaceCategoryParagraphs"/>
            <w:r>
              <w:t>78</w:t>
            </w:r>
            <w:bookmarkEnd w:id="6"/>
          </w:p>
        </w:tc>
      </w:tr>
      <w:tr w:rsidR="00B23DA3" w14:paraId="3EFD08AA" w14:textId="77777777" w:rsidTr="00F935B7">
        <w:tc>
          <w:tcPr>
            <w:tcW w:w="3083" w:type="dxa"/>
            <w:shd w:val="clear" w:color="auto" w:fill="auto"/>
          </w:tcPr>
          <w:p w14:paraId="08B5A2CE" w14:textId="77777777" w:rsidR="00B23DA3" w:rsidRDefault="00B23DA3" w:rsidP="00B23DA3">
            <w:pPr>
              <w:pStyle w:val="Normal1linespace"/>
              <w:widowControl w:val="0"/>
              <w:jc w:val="left"/>
            </w:pPr>
          </w:p>
        </w:tc>
        <w:tc>
          <w:tcPr>
            <w:tcW w:w="5990" w:type="dxa"/>
            <w:shd w:val="clear" w:color="auto" w:fill="auto"/>
          </w:tcPr>
          <w:p w14:paraId="3B336D83" w14:textId="77777777" w:rsidR="00B23DA3" w:rsidRDefault="00B23DA3" w:rsidP="00B23DA3">
            <w:pPr>
              <w:pStyle w:val="Normal1linespace"/>
              <w:widowControl w:val="0"/>
              <w:jc w:val="left"/>
            </w:pPr>
          </w:p>
        </w:tc>
      </w:tr>
      <w:tr w:rsidR="00B23DA3" w14:paraId="674037BF" w14:textId="77777777" w:rsidTr="00F935B7">
        <w:tc>
          <w:tcPr>
            <w:tcW w:w="3083" w:type="dxa"/>
            <w:shd w:val="clear" w:color="auto" w:fill="auto"/>
          </w:tcPr>
          <w:p w14:paraId="6A63BF80" w14:textId="77777777" w:rsidR="00B23DA3" w:rsidRDefault="00B23DA3" w:rsidP="00B23DA3">
            <w:pPr>
              <w:pStyle w:val="Normal1linespace"/>
              <w:widowControl w:val="0"/>
              <w:jc w:val="left"/>
            </w:pPr>
            <w:bookmarkStart w:id="7" w:name="CounselDate" w:colFirst="0" w:colLast="2"/>
            <w:r w:rsidRPr="006A24E3">
              <w:t>Date of hearing:</w:t>
            </w:r>
          </w:p>
        </w:tc>
        <w:tc>
          <w:tcPr>
            <w:tcW w:w="5990" w:type="dxa"/>
            <w:shd w:val="clear" w:color="auto" w:fill="auto"/>
          </w:tcPr>
          <w:p w14:paraId="0FB67F59" w14:textId="1674FE23" w:rsidR="00B23DA3" w:rsidRDefault="00104009" w:rsidP="00B23DA3">
            <w:pPr>
              <w:pStyle w:val="Normal1linespace"/>
              <w:widowControl w:val="0"/>
              <w:jc w:val="left"/>
            </w:pPr>
            <w:bookmarkStart w:id="8" w:name="HearingDate"/>
            <w:r>
              <w:t>26 February 2024</w:t>
            </w:r>
            <w:r w:rsidR="00B23DA3">
              <w:t xml:space="preserve"> </w:t>
            </w:r>
            <w:bookmarkEnd w:id="8"/>
          </w:p>
        </w:tc>
      </w:tr>
      <w:tr w:rsidR="00B23DA3" w14:paraId="01929140" w14:textId="77777777" w:rsidTr="00F935B7">
        <w:tc>
          <w:tcPr>
            <w:tcW w:w="3083" w:type="dxa"/>
            <w:shd w:val="clear" w:color="auto" w:fill="auto"/>
          </w:tcPr>
          <w:p w14:paraId="25A77FFE" w14:textId="77777777" w:rsidR="00B23DA3" w:rsidRDefault="00B23DA3" w:rsidP="00B23DA3">
            <w:pPr>
              <w:pStyle w:val="Normal1linespace"/>
              <w:widowControl w:val="0"/>
              <w:jc w:val="left"/>
            </w:pPr>
          </w:p>
        </w:tc>
        <w:tc>
          <w:tcPr>
            <w:tcW w:w="5990" w:type="dxa"/>
            <w:shd w:val="clear" w:color="auto" w:fill="auto"/>
          </w:tcPr>
          <w:p w14:paraId="25E5F271" w14:textId="77777777" w:rsidR="00B23DA3" w:rsidRDefault="00B23DA3" w:rsidP="00B23DA3">
            <w:pPr>
              <w:pStyle w:val="Normal1linespace"/>
              <w:widowControl w:val="0"/>
              <w:jc w:val="left"/>
            </w:pPr>
          </w:p>
        </w:tc>
      </w:tr>
      <w:tr w:rsidR="00F935B7" w14:paraId="657D56A8" w14:textId="77777777" w:rsidTr="00F935B7">
        <w:tc>
          <w:tcPr>
            <w:tcW w:w="3083" w:type="dxa"/>
            <w:shd w:val="clear" w:color="auto" w:fill="auto"/>
          </w:tcPr>
          <w:p w14:paraId="78E26A54" w14:textId="411304EE" w:rsidR="00F935B7" w:rsidRDefault="00F935B7" w:rsidP="00F935B7">
            <w:pPr>
              <w:pStyle w:val="Normal1linespace"/>
              <w:widowControl w:val="0"/>
              <w:jc w:val="left"/>
            </w:pPr>
            <w:bookmarkStart w:id="9" w:name="Counsel" w:colFirst="0" w:colLast="2"/>
            <w:bookmarkEnd w:id="7"/>
            <w:r>
              <w:t>Counsel for the Appellant:</w:t>
            </w:r>
          </w:p>
        </w:tc>
        <w:tc>
          <w:tcPr>
            <w:tcW w:w="5990" w:type="dxa"/>
            <w:shd w:val="clear" w:color="auto" w:fill="auto"/>
          </w:tcPr>
          <w:p w14:paraId="211609A9" w14:textId="11B10245" w:rsidR="00F935B7" w:rsidRDefault="00F935B7" w:rsidP="00F935B7">
            <w:pPr>
              <w:pStyle w:val="Normal1linespace"/>
              <w:widowControl w:val="0"/>
              <w:jc w:val="left"/>
            </w:pPr>
            <w:bookmarkStart w:id="10" w:name="AppCounsel"/>
            <w:bookmarkEnd w:id="10"/>
            <w:r>
              <w:t>Mr McDonald SC and Ms Acreman</w:t>
            </w:r>
          </w:p>
        </w:tc>
      </w:tr>
      <w:tr w:rsidR="00F935B7" w14:paraId="230402B8" w14:textId="77777777" w:rsidTr="00F935B7">
        <w:tc>
          <w:tcPr>
            <w:tcW w:w="3083" w:type="dxa"/>
            <w:shd w:val="clear" w:color="auto" w:fill="auto"/>
          </w:tcPr>
          <w:p w14:paraId="6ABAE812" w14:textId="77777777" w:rsidR="00F935B7" w:rsidRDefault="00F935B7" w:rsidP="00F935B7">
            <w:pPr>
              <w:pStyle w:val="Normal1linespace"/>
              <w:widowControl w:val="0"/>
              <w:jc w:val="left"/>
            </w:pPr>
          </w:p>
        </w:tc>
        <w:tc>
          <w:tcPr>
            <w:tcW w:w="5989" w:type="dxa"/>
            <w:shd w:val="clear" w:color="auto" w:fill="auto"/>
          </w:tcPr>
          <w:p w14:paraId="1F65E4B7" w14:textId="77777777" w:rsidR="00F935B7" w:rsidRDefault="00F935B7" w:rsidP="00F935B7">
            <w:pPr>
              <w:pStyle w:val="Normal1linespace"/>
              <w:widowControl w:val="0"/>
              <w:jc w:val="left"/>
            </w:pPr>
          </w:p>
        </w:tc>
      </w:tr>
      <w:tr w:rsidR="00F935B7" w14:paraId="47F10B2C" w14:textId="77777777" w:rsidTr="00F935B7">
        <w:tc>
          <w:tcPr>
            <w:tcW w:w="3083" w:type="dxa"/>
            <w:shd w:val="clear" w:color="auto" w:fill="auto"/>
          </w:tcPr>
          <w:p w14:paraId="34811F7B" w14:textId="05466A02" w:rsidR="00F935B7" w:rsidRDefault="00F935B7" w:rsidP="00F935B7">
            <w:pPr>
              <w:pStyle w:val="Normal1linespace"/>
              <w:widowControl w:val="0"/>
              <w:jc w:val="left"/>
            </w:pPr>
            <w:r>
              <w:t>Solicitor for the Appellant:</w:t>
            </w:r>
          </w:p>
        </w:tc>
        <w:tc>
          <w:tcPr>
            <w:tcW w:w="5989" w:type="dxa"/>
            <w:shd w:val="clear" w:color="auto" w:fill="auto"/>
          </w:tcPr>
          <w:p w14:paraId="58A18826" w14:textId="795D8C17" w:rsidR="00F935B7" w:rsidRDefault="00F935B7" w:rsidP="00F935B7">
            <w:pPr>
              <w:pStyle w:val="Normal1linespace"/>
              <w:widowControl w:val="0"/>
              <w:jc w:val="left"/>
            </w:pPr>
            <w:r>
              <w:t>MSM Legal</w:t>
            </w:r>
          </w:p>
        </w:tc>
      </w:tr>
      <w:tr w:rsidR="00F935B7" w14:paraId="7336CF33" w14:textId="77777777" w:rsidTr="00F935B7">
        <w:tc>
          <w:tcPr>
            <w:tcW w:w="3083" w:type="dxa"/>
            <w:shd w:val="clear" w:color="auto" w:fill="auto"/>
          </w:tcPr>
          <w:p w14:paraId="36F48120" w14:textId="77777777" w:rsidR="00F935B7" w:rsidRDefault="00F935B7" w:rsidP="00F935B7">
            <w:pPr>
              <w:pStyle w:val="Normal1linespace"/>
              <w:widowControl w:val="0"/>
              <w:jc w:val="left"/>
            </w:pPr>
          </w:p>
        </w:tc>
        <w:tc>
          <w:tcPr>
            <w:tcW w:w="5989" w:type="dxa"/>
            <w:shd w:val="clear" w:color="auto" w:fill="auto"/>
          </w:tcPr>
          <w:p w14:paraId="5D0A67A3" w14:textId="77777777" w:rsidR="00F935B7" w:rsidRDefault="00F935B7" w:rsidP="00F935B7">
            <w:pPr>
              <w:pStyle w:val="Normal1linespace"/>
              <w:widowControl w:val="0"/>
              <w:jc w:val="left"/>
            </w:pPr>
          </w:p>
        </w:tc>
      </w:tr>
      <w:tr w:rsidR="00F935B7" w14:paraId="4BF50EC6" w14:textId="77777777" w:rsidTr="00F935B7">
        <w:tc>
          <w:tcPr>
            <w:tcW w:w="3083" w:type="dxa"/>
            <w:shd w:val="clear" w:color="auto" w:fill="auto"/>
          </w:tcPr>
          <w:p w14:paraId="3DDC649F" w14:textId="398ED9B2" w:rsidR="00F935B7" w:rsidRDefault="00F935B7" w:rsidP="00F935B7">
            <w:pPr>
              <w:pStyle w:val="Normal1linespace"/>
              <w:widowControl w:val="0"/>
              <w:jc w:val="left"/>
            </w:pPr>
            <w:r>
              <w:t xml:space="preserve">Counsel for the </w:t>
            </w:r>
            <w:r w:rsidR="00866FA8">
              <w:t>Respondent</w:t>
            </w:r>
            <w:r>
              <w:t>:</w:t>
            </w:r>
          </w:p>
        </w:tc>
        <w:tc>
          <w:tcPr>
            <w:tcW w:w="5989" w:type="dxa"/>
            <w:shd w:val="clear" w:color="auto" w:fill="auto"/>
          </w:tcPr>
          <w:p w14:paraId="4B0CFA8F" w14:textId="4A97208C" w:rsidR="00F935B7" w:rsidRDefault="00F935B7" w:rsidP="00F935B7">
            <w:pPr>
              <w:pStyle w:val="Normal1linespace"/>
              <w:widowControl w:val="0"/>
              <w:jc w:val="left"/>
            </w:pPr>
            <w:r>
              <w:t xml:space="preserve">Ms Maud SC and Mr Kugananthan </w:t>
            </w:r>
          </w:p>
        </w:tc>
      </w:tr>
      <w:tr w:rsidR="00F935B7" w14:paraId="5D0060D1" w14:textId="77777777" w:rsidTr="00F935B7">
        <w:tc>
          <w:tcPr>
            <w:tcW w:w="3083" w:type="dxa"/>
            <w:shd w:val="clear" w:color="auto" w:fill="auto"/>
          </w:tcPr>
          <w:p w14:paraId="6CC8C1C3" w14:textId="77777777" w:rsidR="00F935B7" w:rsidRDefault="00F935B7" w:rsidP="00F935B7">
            <w:pPr>
              <w:pStyle w:val="Normal1linespace"/>
              <w:widowControl w:val="0"/>
              <w:jc w:val="left"/>
            </w:pPr>
          </w:p>
        </w:tc>
        <w:tc>
          <w:tcPr>
            <w:tcW w:w="5989" w:type="dxa"/>
            <w:shd w:val="clear" w:color="auto" w:fill="auto"/>
          </w:tcPr>
          <w:p w14:paraId="6CBE5644" w14:textId="77777777" w:rsidR="00F935B7" w:rsidRDefault="00F935B7" w:rsidP="00F935B7">
            <w:pPr>
              <w:pStyle w:val="Normal1linespace"/>
              <w:widowControl w:val="0"/>
              <w:jc w:val="left"/>
            </w:pPr>
          </w:p>
        </w:tc>
      </w:tr>
      <w:tr w:rsidR="00F935B7" w14:paraId="49FC6A65" w14:textId="77777777" w:rsidTr="00F935B7">
        <w:tc>
          <w:tcPr>
            <w:tcW w:w="3083" w:type="dxa"/>
            <w:shd w:val="clear" w:color="auto" w:fill="auto"/>
          </w:tcPr>
          <w:p w14:paraId="49482A0D" w14:textId="24515279" w:rsidR="00F935B7" w:rsidRDefault="00F935B7" w:rsidP="00F935B7">
            <w:pPr>
              <w:pStyle w:val="Normal1linespace"/>
              <w:widowControl w:val="0"/>
              <w:jc w:val="left"/>
            </w:pPr>
            <w:r>
              <w:t xml:space="preserve">Solicitor for the </w:t>
            </w:r>
            <w:r w:rsidR="00866FA8">
              <w:t>Respondent</w:t>
            </w:r>
            <w:r>
              <w:t>:</w:t>
            </w:r>
          </w:p>
        </w:tc>
        <w:tc>
          <w:tcPr>
            <w:tcW w:w="5989" w:type="dxa"/>
            <w:shd w:val="clear" w:color="auto" w:fill="auto"/>
          </w:tcPr>
          <w:p w14:paraId="708218C0" w14:textId="25585FBB" w:rsidR="00F935B7" w:rsidRDefault="00F935B7" w:rsidP="00F935B7">
            <w:pPr>
              <w:pStyle w:val="Normal1linespace"/>
              <w:widowControl w:val="0"/>
              <w:jc w:val="left"/>
            </w:pPr>
            <w:r>
              <w:t>Norton Rose Fulbright</w:t>
            </w:r>
          </w:p>
        </w:tc>
      </w:tr>
      <w:bookmarkEnd w:id="9"/>
    </w:tbl>
    <w:p w14:paraId="33BB2CBA" w14:textId="77777777" w:rsidR="007470BD" w:rsidRDefault="007470BD">
      <w:pPr>
        <w:pStyle w:val="Normal1linespace"/>
      </w:pPr>
    </w:p>
    <w:p w14:paraId="2EAFBBC8" w14:textId="77777777" w:rsidR="00E94CBF" w:rsidRDefault="00E94CBF">
      <w:pPr>
        <w:pStyle w:val="Normal1linespace"/>
      </w:pPr>
    </w:p>
    <w:p w14:paraId="26C3A3D3" w14:textId="77777777" w:rsidR="00395B24" w:rsidRDefault="00395B24">
      <w:pPr>
        <w:pStyle w:val="Normal1linespace"/>
        <w:sectPr w:rsidR="00395B24" w:rsidSect="00605DAD">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3A70AA06"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47D1DCA1" w14:textId="77777777" w:rsidTr="00E81DA6">
        <w:tc>
          <w:tcPr>
            <w:tcW w:w="6912" w:type="dxa"/>
            <w:gridSpan w:val="2"/>
          </w:tcPr>
          <w:p w14:paraId="0F376FE4" w14:textId="77777777" w:rsidR="00A46CCC" w:rsidRPr="001765E0" w:rsidRDefault="00A46CCC" w:rsidP="00525A49">
            <w:pPr>
              <w:pStyle w:val="NormalHeadings"/>
            </w:pPr>
          </w:p>
        </w:tc>
        <w:tc>
          <w:tcPr>
            <w:tcW w:w="2330" w:type="dxa"/>
          </w:tcPr>
          <w:p w14:paraId="1F923A43" w14:textId="5959EA2F" w:rsidR="00A46CCC" w:rsidRDefault="003621BF" w:rsidP="00F92355">
            <w:pPr>
              <w:pStyle w:val="NormalHeadings"/>
              <w:jc w:val="right"/>
            </w:pPr>
            <w:r>
              <w:t>VID 765 of 2023</w:t>
            </w:r>
          </w:p>
        </w:tc>
      </w:tr>
      <w:tr w:rsidR="00A76C13" w14:paraId="6AF5C046" w14:textId="77777777" w:rsidTr="00F461A4">
        <w:tc>
          <w:tcPr>
            <w:tcW w:w="9242" w:type="dxa"/>
            <w:gridSpan w:val="3"/>
          </w:tcPr>
          <w:p w14:paraId="5909E07B" w14:textId="2A9F036C" w:rsidR="00A76C13" w:rsidRPr="00A76C13" w:rsidRDefault="00221B7B" w:rsidP="00221B7B">
            <w:pPr>
              <w:pStyle w:val="NormalHeadings"/>
              <w:jc w:val="left"/>
            </w:pPr>
            <w:bookmarkStart w:id="11" w:name="InTheMatterOf"/>
            <w:r>
              <w:t xml:space="preserve"> </w:t>
            </w:r>
            <w:bookmarkEnd w:id="11"/>
          </w:p>
        </w:tc>
      </w:tr>
      <w:tr w:rsidR="00A46CCC" w14:paraId="1C966671" w14:textId="77777777" w:rsidTr="005041F0">
        <w:trPr>
          <w:trHeight w:val="386"/>
        </w:trPr>
        <w:tc>
          <w:tcPr>
            <w:tcW w:w="2376" w:type="dxa"/>
          </w:tcPr>
          <w:p w14:paraId="70DE255A" w14:textId="77777777" w:rsidR="00A46CCC" w:rsidRDefault="00A46CCC" w:rsidP="005041F0">
            <w:pPr>
              <w:pStyle w:val="NormalHeadings"/>
              <w:jc w:val="left"/>
              <w:rPr>
                <w:caps/>
                <w:szCs w:val="24"/>
              </w:rPr>
            </w:pPr>
            <w:bookmarkStart w:id="12" w:name="Parties"/>
            <w:r>
              <w:rPr>
                <w:caps/>
                <w:szCs w:val="24"/>
              </w:rPr>
              <w:t>BETWEEN:</w:t>
            </w:r>
          </w:p>
        </w:tc>
        <w:tc>
          <w:tcPr>
            <w:tcW w:w="6866" w:type="dxa"/>
            <w:gridSpan w:val="2"/>
          </w:tcPr>
          <w:p w14:paraId="2C7E6812" w14:textId="77777777" w:rsidR="00221B7B" w:rsidRDefault="00221B7B" w:rsidP="00221B7B">
            <w:pPr>
              <w:pStyle w:val="NormalHeadings"/>
              <w:jc w:val="left"/>
            </w:pPr>
            <w:bookmarkStart w:id="13" w:name="Applicant"/>
            <w:r>
              <w:t>REX PATRICK</w:t>
            </w:r>
          </w:p>
          <w:p w14:paraId="13B436E9" w14:textId="77777777" w:rsidR="00221B7B" w:rsidRDefault="00221B7B" w:rsidP="00221B7B">
            <w:pPr>
              <w:pStyle w:val="PartyType"/>
            </w:pPr>
            <w:r>
              <w:t>Appellant</w:t>
            </w:r>
          </w:p>
          <w:bookmarkEnd w:id="13"/>
          <w:p w14:paraId="154BEB81" w14:textId="086B33F0" w:rsidR="00A46CCC" w:rsidRPr="006555B4" w:rsidRDefault="00A46CCC" w:rsidP="005041F0">
            <w:pPr>
              <w:pStyle w:val="NormalHeadings"/>
              <w:jc w:val="left"/>
            </w:pPr>
          </w:p>
        </w:tc>
      </w:tr>
      <w:tr w:rsidR="00A46CCC" w14:paraId="7EFA75DD" w14:textId="77777777" w:rsidTr="005041F0">
        <w:trPr>
          <w:trHeight w:val="386"/>
        </w:trPr>
        <w:tc>
          <w:tcPr>
            <w:tcW w:w="2376" w:type="dxa"/>
          </w:tcPr>
          <w:p w14:paraId="50E4C7D4" w14:textId="77777777" w:rsidR="00A46CCC" w:rsidRDefault="00A46CCC" w:rsidP="005041F0">
            <w:pPr>
              <w:pStyle w:val="NormalHeadings"/>
              <w:jc w:val="left"/>
              <w:rPr>
                <w:caps/>
                <w:szCs w:val="24"/>
              </w:rPr>
            </w:pPr>
            <w:r>
              <w:rPr>
                <w:caps/>
                <w:szCs w:val="24"/>
              </w:rPr>
              <w:t>AND:</w:t>
            </w:r>
          </w:p>
        </w:tc>
        <w:tc>
          <w:tcPr>
            <w:tcW w:w="6866" w:type="dxa"/>
            <w:gridSpan w:val="2"/>
          </w:tcPr>
          <w:p w14:paraId="4D7AF21D" w14:textId="77777777" w:rsidR="00221B7B" w:rsidRDefault="00221B7B" w:rsidP="00221B7B">
            <w:pPr>
              <w:pStyle w:val="NormalHeadings"/>
              <w:jc w:val="left"/>
            </w:pPr>
            <w:bookmarkStart w:id="14" w:name="Respondent"/>
            <w:r>
              <w:t>AUSTRALIAN INFORMATION COMMISSIONER</w:t>
            </w:r>
          </w:p>
          <w:p w14:paraId="272912D7" w14:textId="77777777" w:rsidR="00221B7B" w:rsidRDefault="00221B7B" w:rsidP="00221B7B">
            <w:pPr>
              <w:pStyle w:val="PartyType"/>
            </w:pPr>
            <w:r>
              <w:t>Respondent</w:t>
            </w:r>
          </w:p>
          <w:bookmarkEnd w:id="14"/>
          <w:p w14:paraId="73D2F47E" w14:textId="00A72452" w:rsidR="00A46CCC" w:rsidRPr="006555B4" w:rsidRDefault="00A46CCC" w:rsidP="005041F0">
            <w:pPr>
              <w:pStyle w:val="NormalHeadings"/>
              <w:jc w:val="left"/>
            </w:pPr>
          </w:p>
        </w:tc>
      </w:tr>
    </w:tbl>
    <w:p w14:paraId="6988954C" w14:textId="77777777"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14:paraId="2034CF5C" w14:textId="77777777">
        <w:tc>
          <w:tcPr>
            <w:tcW w:w="2376" w:type="dxa"/>
          </w:tcPr>
          <w:p w14:paraId="37D461BF" w14:textId="77777777" w:rsidR="00395B24" w:rsidRDefault="00974709">
            <w:pPr>
              <w:pStyle w:val="NormalHeadings"/>
              <w:spacing w:after="120"/>
              <w:jc w:val="left"/>
              <w:rPr>
                <w:caps/>
                <w:szCs w:val="24"/>
              </w:rPr>
            </w:pPr>
            <w:bookmarkStart w:id="16" w:name="JudgeText"/>
            <w:r>
              <w:rPr>
                <w:caps/>
                <w:szCs w:val="24"/>
              </w:rPr>
              <w:t>order made by</w:t>
            </w:r>
            <w:bookmarkEnd w:id="16"/>
            <w:r w:rsidR="002C7385">
              <w:rPr>
                <w:caps/>
                <w:szCs w:val="24"/>
              </w:rPr>
              <w:t>:</w:t>
            </w:r>
          </w:p>
        </w:tc>
        <w:tc>
          <w:tcPr>
            <w:tcW w:w="6866" w:type="dxa"/>
          </w:tcPr>
          <w:p w14:paraId="69B6ADC2" w14:textId="7F97BEAD" w:rsidR="00395B24" w:rsidRDefault="00221B7B">
            <w:pPr>
              <w:pStyle w:val="NormalHeadings"/>
              <w:jc w:val="left"/>
              <w:rPr>
                <w:caps/>
                <w:szCs w:val="24"/>
              </w:rPr>
            </w:pPr>
            <w:bookmarkStart w:id="17" w:name="Judge"/>
            <w:r>
              <w:rPr>
                <w:caps/>
                <w:szCs w:val="24"/>
              </w:rPr>
              <w:t>BROMWICH, ABRAHAM AND MCEVOY JJ</w:t>
            </w:r>
            <w:bookmarkEnd w:id="17"/>
          </w:p>
        </w:tc>
      </w:tr>
      <w:tr w:rsidR="00395B24" w14:paraId="5911595A" w14:textId="77777777">
        <w:tc>
          <w:tcPr>
            <w:tcW w:w="2376" w:type="dxa"/>
          </w:tcPr>
          <w:p w14:paraId="2503B4C5" w14:textId="77777777" w:rsidR="00395B24" w:rsidRDefault="002C7385">
            <w:pPr>
              <w:pStyle w:val="NormalHeadings"/>
              <w:spacing w:after="120"/>
              <w:jc w:val="left"/>
              <w:rPr>
                <w:caps/>
                <w:szCs w:val="24"/>
              </w:rPr>
            </w:pPr>
            <w:r>
              <w:rPr>
                <w:caps/>
                <w:szCs w:val="24"/>
              </w:rPr>
              <w:t>DATE OF ORDER:</w:t>
            </w:r>
          </w:p>
        </w:tc>
        <w:tc>
          <w:tcPr>
            <w:tcW w:w="6866" w:type="dxa"/>
          </w:tcPr>
          <w:p w14:paraId="1A3AB3D3" w14:textId="1A859092" w:rsidR="00395B24" w:rsidRDefault="003621BF">
            <w:pPr>
              <w:pStyle w:val="NormalHeadings"/>
              <w:jc w:val="left"/>
              <w:rPr>
                <w:caps/>
                <w:szCs w:val="24"/>
              </w:rPr>
            </w:pPr>
            <w:r>
              <w:rPr>
                <w:caps/>
                <w:szCs w:val="24"/>
              </w:rPr>
              <w:t>11 July 2024</w:t>
            </w:r>
          </w:p>
        </w:tc>
      </w:tr>
    </w:tbl>
    <w:p w14:paraId="099DB847" w14:textId="77777777" w:rsidR="00395B24" w:rsidRDefault="00395B24">
      <w:pPr>
        <w:pStyle w:val="NormalHeadings"/>
        <w:rPr>
          <w:b w:val="0"/>
        </w:rPr>
      </w:pPr>
    </w:p>
    <w:p w14:paraId="02B32276" w14:textId="77777777" w:rsidR="008D1617" w:rsidRDefault="008D1617">
      <w:pPr>
        <w:pStyle w:val="NormalHeadings"/>
        <w:rPr>
          <w:b w:val="0"/>
        </w:rPr>
      </w:pPr>
    </w:p>
    <w:p w14:paraId="2D3DB1DB" w14:textId="77777777" w:rsidR="00395B24" w:rsidRDefault="002C7385">
      <w:pPr>
        <w:pStyle w:val="NormalHeadings"/>
      </w:pPr>
      <w:r>
        <w:t>THE COURT ORDERS THAT:</w:t>
      </w:r>
    </w:p>
    <w:p w14:paraId="32DCDFC0" w14:textId="77777777" w:rsidR="007F60DF" w:rsidRDefault="007F60DF" w:rsidP="00243E5E">
      <w:pPr>
        <w:pStyle w:val="NormalHeadings"/>
      </w:pPr>
    </w:p>
    <w:p w14:paraId="5E809447" w14:textId="5EDCD34A" w:rsidR="001A6C52" w:rsidRPr="008C2AB1" w:rsidRDefault="00F122B2" w:rsidP="00F122B2">
      <w:pPr>
        <w:pStyle w:val="Order1"/>
        <w:numPr>
          <w:ilvl w:val="0"/>
          <w:numId w:val="0"/>
        </w:numPr>
        <w:tabs>
          <w:tab w:val="left" w:pos="720"/>
        </w:tabs>
        <w:ind w:left="720" w:hanging="720"/>
      </w:pPr>
      <w:r w:rsidRPr="008C2AB1">
        <w:t>1.</w:t>
      </w:r>
      <w:r w:rsidRPr="008C2AB1">
        <w:tab/>
      </w:r>
      <w:r w:rsidR="001C5AE3" w:rsidRPr="008C2AB1">
        <w:t>The appeal is dismissed.</w:t>
      </w:r>
    </w:p>
    <w:p w14:paraId="1A32AC63" w14:textId="4774974A" w:rsidR="001C5AE3" w:rsidRPr="008C2AB1" w:rsidRDefault="00F122B2" w:rsidP="00F122B2">
      <w:pPr>
        <w:pStyle w:val="Order1"/>
        <w:numPr>
          <w:ilvl w:val="0"/>
          <w:numId w:val="0"/>
        </w:numPr>
        <w:tabs>
          <w:tab w:val="left" w:pos="720"/>
        </w:tabs>
        <w:ind w:left="720" w:hanging="720"/>
      </w:pPr>
      <w:r w:rsidRPr="008C2AB1">
        <w:t>2.</w:t>
      </w:r>
      <w:r w:rsidRPr="008C2AB1">
        <w:tab/>
      </w:r>
      <w:r w:rsidR="001C5AE3" w:rsidRPr="008C2AB1">
        <w:t xml:space="preserve">The appellant is to pay the respondent’s costs to be agreed or assessed. </w:t>
      </w:r>
    </w:p>
    <w:p w14:paraId="05C5453C" w14:textId="77777777" w:rsidR="001A6C52" w:rsidRPr="008C2AB1" w:rsidRDefault="001A6C52" w:rsidP="001A6C52">
      <w:pPr>
        <w:pStyle w:val="BodyText"/>
      </w:pPr>
    </w:p>
    <w:p w14:paraId="7BFDAF50" w14:textId="77777777" w:rsidR="00A431E6" w:rsidRPr="008C2AB1" w:rsidRDefault="00A431E6" w:rsidP="001A6C52">
      <w:pPr>
        <w:pStyle w:val="BodyText"/>
      </w:pPr>
    </w:p>
    <w:p w14:paraId="4E3B89D2" w14:textId="01FBC847" w:rsidR="0050309C" w:rsidRPr="008C2AB1" w:rsidRDefault="00221B7B" w:rsidP="004D53E5">
      <w:pPr>
        <w:pStyle w:val="SingleSpace"/>
      </w:pPr>
      <w:bookmarkStart w:id="18" w:name="OrdersStatement"/>
      <w:r w:rsidRPr="008C2AB1">
        <w:t>Note:</w:t>
      </w:r>
      <w:r w:rsidRPr="008C2AB1">
        <w:tab/>
        <w:t xml:space="preserve">Entry of orders is dealt with in Rule 39.32 of the </w:t>
      </w:r>
      <w:r w:rsidRPr="008C2AB1">
        <w:rPr>
          <w:i/>
        </w:rPr>
        <w:t>Federal Court Rules 2011</w:t>
      </w:r>
      <w:r w:rsidRPr="008C2AB1">
        <w:t>.</w:t>
      </w:r>
      <w:bookmarkEnd w:id="18"/>
    </w:p>
    <w:p w14:paraId="5D231D92" w14:textId="77777777" w:rsidR="00E23577" w:rsidRPr="008C2AB1" w:rsidRDefault="00E23577" w:rsidP="002B0E91">
      <w:pPr>
        <w:pStyle w:val="BodyText"/>
      </w:pPr>
    </w:p>
    <w:p w14:paraId="2732538A" w14:textId="77777777" w:rsidR="00395B24" w:rsidRPr="008C2AB1" w:rsidRDefault="00395B24">
      <w:pPr>
        <w:pStyle w:val="NormalHeadings"/>
        <w:spacing w:before="240" w:after="120"/>
        <w:rPr>
          <w:b w:val="0"/>
        </w:rPr>
        <w:sectPr w:rsidR="00395B24" w:rsidRPr="008C2AB1" w:rsidSect="00605DAD">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50BBA561" w14:textId="77777777" w:rsidR="00484F6D" w:rsidRPr="008C2AB1" w:rsidRDefault="00484F6D" w:rsidP="00045BB7">
      <w:pPr>
        <w:pStyle w:val="NormalHeadings"/>
        <w:spacing w:line="480" w:lineRule="auto"/>
        <w:jc w:val="center"/>
        <w:rPr>
          <w:sz w:val="28"/>
          <w:szCs w:val="28"/>
        </w:rPr>
      </w:pPr>
      <w:bookmarkStart w:id="19" w:name="ReasonsPage"/>
      <w:bookmarkEnd w:id="19"/>
      <w:r w:rsidRPr="008C2AB1">
        <w:rPr>
          <w:sz w:val="28"/>
          <w:szCs w:val="28"/>
        </w:rPr>
        <w:lastRenderedPageBreak/>
        <w:t>REASONS FOR JUDGMENT</w:t>
      </w:r>
    </w:p>
    <w:p w14:paraId="0EF0D160" w14:textId="24FAE05F" w:rsidR="00CD1346" w:rsidRPr="008C2AB1" w:rsidRDefault="004C0DD8" w:rsidP="00440C12">
      <w:pPr>
        <w:pStyle w:val="NormalHeadings"/>
        <w:spacing w:line="360" w:lineRule="auto"/>
        <w:jc w:val="left"/>
        <w:rPr>
          <w:sz w:val="26"/>
          <w:szCs w:val="26"/>
        </w:rPr>
      </w:pPr>
      <w:r w:rsidRPr="008C2AB1">
        <w:rPr>
          <w:sz w:val="26"/>
          <w:szCs w:val="26"/>
        </w:rPr>
        <w:t>THE COURT</w:t>
      </w:r>
      <w:r w:rsidR="00726C4E" w:rsidRPr="008C2AB1">
        <w:rPr>
          <w:sz w:val="26"/>
          <w:szCs w:val="26"/>
        </w:rPr>
        <w:t>:</w:t>
      </w:r>
    </w:p>
    <w:p w14:paraId="341AD185" w14:textId="16901A57" w:rsidR="00B85AF4" w:rsidRPr="001655FD" w:rsidRDefault="00F122B2" w:rsidP="00F122B2">
      <w:pPr>
        <w:pStyle w:val="ParaNumbering"/>
        <w:numPr>
          <w:ilvl w:val="0"/>
          <w:numId w:val="0"/>
        </w:numPr>
        <w:tabs>
          <w:tab w:val="left" w:pos="720"/>
        </w:tabs>
        <w:ind w:hanging="720"/>
      </w:pPr>
      <w:r w:rsidRPr="001655FD">
        <w:rPr>
          <w:sz w:val="20"/>
        </w:rPr>
        <w:t>1</w:t>
      </w:r>
      <w:r w:rsidRPr="001655FD">
        <w:rPr>
          <w:sz w:val="20"/>
        </w:rPr>
        <w:tab/>
      </w:r>
      <w:r w:rsidR="002A04E2" w:rsidRPr="008C2AB1">
        <w:t xml:space="preserve">The </w:t>
      </w:r>
      <w:r w:rsidR="00447CF0" w:rsidRPr="008C2AB1">
        <w:t>a</w:t>
      </w:r>
      <w:r w:rsidR="002A04E2" w:rsidRPr="008C2AB1">
        <w:t>ppellant</w:t>
      </w:r>
      <w:r w:rsidR="007B0871">
        <w:t>, Mr Rex Patrick,</w:t>
      </w:r>
      <w:r w:rsidR="002A04E2" w:rsidRPr="008C2AB1">
        <w:t xml:space="preserve"> made </w:t>
      </w:r>
      <w:r w:rsidR="00447CF0" w:rsidRPr="008C2AB1">
        <w:t xml:space="preserve">several </w:t>
      </w:r>
      <w:r w:rsidR="002A04E2" w:rsidRPr="008C2AB1">
        <w:t>applications</w:t>
      </w:r>
      <w:r w:rsidR="0008361C" w:rsidRPr="008C2AB1">
        <w:t xml:space="preserve"> to the </w:t>
      </w:r>
      <w:r w:rsidR="007B0871">
        <w:t xml:space="preserve">respondent, the </w:t>
      </w:r>
      <w:r w:rsidR="0008361C" w:rsidRPr="008C2AB1">
        <w:t>Austral</w:t>
      </w:r>
      <w:r w:rsidR="0008361C" w:rsidRPr="001655FD">
        <w:t>ian Information Commissioner</w:t>
      </w:r>
      <w:r w:rsidR="002A04E2" w:rsidRPr="001655FD">
        <w:t xml:space="preserve"> </w:t>
      </w:r>
      <w:r w:rsidR="007A2FDD" w:rsidRPr="001655FD">
        <w:t>(AIC)</w:t>
      </w:r>
      <w:r w:rsidR="00A67350">
        <w:t>,</w:t>
      </w:r>
      <w:r w:rsidR="007A2FDD" w:rsidRPr="001655FD">
        <w:t xml:space="preserve"> </w:t>
      </w:r>
      <w:r w:rsidR="002A04E2" w:rsidRPr="001655FD">
        <w:t xml:space="preserve">for access to documents under the </w:t>
      </w:r>
      <w:r w:rsidR="002A04E2" w:rsidRPr="001655FD">
        <w:rPr>
          <w:i/>
          <w:iCs/>
        </w:rPr>
        <w:t>Freedom of Information Act 1982</w:t>
      </w:r>
      <w:r w:rsidR="002A04E2" w:rsidRPr="001655FD">
        <w:t xml:space="preserve"> (Cth) (FOI Act)</w:t>
      </w:r>
      <w:r w:rsidR="00447CF0" w:rsidRPr="001655FD">
        <w:t>,</w:t>
      </w:r>
      <w:r w:rsidR="002A04E2" w:rsidRPr="001655FD">
        <w:t xml:space="preserve"> which were refused. Pursuant to Pt VII of the FOI Act, </w:t>
      </w:r>
      <w:r w:rsidR="003076F7">
        <w:t>the appellant</w:t>
      </w:r>
      <w:r w:rsidR="003076F7" w:rsidRPr="001655FD">
        <w:t xml:space="preserve"> </w:t>
      </w:r>
      <w:r w:rsidR="002A04E2" w:rsidRPr="001655FD">
        <w:t xml:space="preserve">sought review by the </w:t>
      </w:r>
      <w:r w:rsidR="003076F7">
        <w:t>AIC</w:t>
      </w:r>
      <w:r w:rsidR="00311004" w:rsidRPr="001655FD">
        <w:t xml:space="preserve">, </w:t>
      </w:r>
      <w:r w:rsidR="00DD3296" w:rsidRPr="001655FD">
        <w:t>described in</w:t>
      </w:r>
      <w:r w:rsidR="00154E39" w:rsidRPr="001655FD">
        <w:t xml:space="preserve"> the</w:t>
      </w:r>
      <w:r w:rsidR="00DD3296" w:rsidRPr="001655FD">
        <w:t xml:space="preserve"> FOI Act </w:t>
      </w:r>
      <w:r w:rsidR="00311004" w:rsidRPr="001655FD">
        <w:t xml:space="preserve">as </w:t>
      </w:r>
      <w:r w:rsidR="00B85AF4" w:rsidRPr="001655FD">
        <w:t xml:space="preserve">an </w:t>
      </w:r>
      <w:r w:rsidR="005B494D" w:rsidRPr="001655FD">
        <w:t>“</w:t>
      </w:r>
      <w:r w:rsidR="002A04E2" w:rsidRPr="001655FD">
        <w:t>IC review</w:t>
      </w:r>
      <w:r w:rsidR="005B494D" w:rsidRPr="001655FD">
        <w:t>”</w:t>
      </w:r>
      <w:r w:rsidR="00DD3296" w:rsidRPr="001655FD">
        <w:t xml:space="preserve"> (Information Commissioner review)</w:t>
      </w:r>
      <w:r w:rsidR="00311004" w:rsidRPr="001655FD">
        <w:t>,</w:t>
      </w:r>
      <w:r w:rsidR="002A04E2" w:rsidRPr="001655FD">
        <w:t xml:space="preserve"> of the decisions to refuse access.</w:t>
      </w:r>
      <w:r w:rsidR="00447CF0" w:rsidRPr="001655FD">
        <w:t xml:space="preserve"> </w:t>
      </w:r>
    </w:p>
    <w:p w14:paraId="0559CF63" w14:textId="09DA4B86" w:rsidR="00D144D4" w:rsidRPr="001655FD" w:rsidRDefault="00F122B2" w:rsidP="00F122B2">
      <w:pPr>
        <w:pStyle w:val="ParaNumbering"/>
        <w:numPr>
          <w:ilvl w:val="0"/>
          <w:numId w:val="0"/>
        </w:numPr>
        <w:tabs>
          <w:tab w:val="left" w:pos="720"/>
        </w:tabs>
        <w:ind w:hanging="720"/>
      </w:pPr>
      <w:r w:rsidRPr="001655FD">
        <w:rPr>
          <w:sz w:val="20"/>
        </w:rPr>
        <w:t>2</w:t>
      </w:r>
      <w:r w:rsidRPr="001655FD">
        <w:rPr>
          <w:sz w:val="20"/>
        </w:rPr>
        <w:tab/>
      </w:r>
      <w:r w:rsidR="002A04E2" w:rsidRPr="001655FD">
        <w:t xml:space="preserve">In 2021, </w:t>
      </w:r>
      <w:r w:rsidR="000110F4" w:rsidRPr="001655FD">
        <w:t>the appellant</w:t>
      </w:r>
      <w:r w:rsidR="00027F07" w:rsidRPr="001655FD">
        <w:t xml:space="preserve"> </w:t>
      </w:r>
      <w:r w:rsidR="002A04E2" w:rsidRPr="001655FD">
        <w:t xml:space="preserve">applied </w:t>
      </w:r>
      <w:r w:rsidR="00447CF0" w:rsidRPr="001655FD">
        <w:t xml:space="preserve">to this Court </w:t>
      </w:r>
      <w:r w:rsidR="002A04E2" w:rsidRPr="001655FD">
        <w:t>for declarations and other relief</w:t>
      </w:r>
      <w:r w:rsidR="004F1731" w:rsidRPr="001655FD">
        <w:t>, alleging that there had been “unreasonable delay” in making the IC review decisions</w:t>
      </w:r>
      <w:r w:rsidR="002A04E2" w:rsidRPr="001655FD">
        <w:t xml:space="preserve"> </w:t>
      </w:r>
      <w:r w:rsidR="00542893" w:rsidRPr="001655FD">
        <w:t xml:space="preserve">for the purposes of </w:t>
      </w:r>
      <w:r w:rsidR="00816B77" w:rsidRPr="001655FD">
        <w:t>s 7</w:t>
      </w:r>
      <w:r w:rsidR="004F1731" w:rsidRPr="001655FD">
        <w:t>(1)</w:t>
      </w:r>
      <w:r w:rsidR="00816B77" w:rsidRPr="001655FD">
        <w:t xml:space="preserve"> </w:t>
      </w:r>
      <w:r w:rsidR="003B41B8" w:rsidRPr="001655FD">
        <w:t xml:space="preserve">of </w:t>
      </w:r>
      <w:r w:rsidR="002A04E2" w:rsidRPr="001655FD">
        <w:t xml:space="preserve">the </w:t>
      </w:r>
      <w:r w:rsidR="002A04E2" w:rsidRPr="001655FD">
        <w:rPr>
          <w:i/>
          <w:iCs/>
        </w:rPr>
        <w:t>Administrative Decisions (Judicial Review) Act 1977</w:t>
      </w:r>
      <w:r w:rsidR="002A04E2" w:rsidRPr="001655FD">
        <w:t xml:space="preserve"> (Cth) (ADJR Act)</w:t>
      </w:r>
      <w:r w:rsidR="009E5B9F" w:rsidRPr="001655FD">
        <w:t>.</w:t>
      </w:r>
      <w:r w:rsidR="002A04E2" w:rsidRPr="001655FD">
        <w:t xml:space="preserve"> </w:t>
      </w:r>
      <w:r w:rsidR="009E5B9F" w:rsidRPr="001655FD">
        <w:t xml:space="preserve">The primary judge ordered that the claim for relief in relation to nine of the IC reviews be heard as a </w:t>
      </w:r>
      <w:r w:rsidR="00BA281B" w:rsidRPr="001655FD">
        <w:t xml:space="preserve">separate </w:t>
      </w:r>
      <w:r w:rsidR="009E5B9F" w:rsidRPr="001655FD">
        <w:t xml:space="preserve">preliminary question, which was subsequently reduced to </w:t>
      </w:r>
      <w:r w:rsidR="00BA281B" w:rsidRPr="001655FD">
        <w:t>seven</w:t>
      </w:r>
      <w:r w:rsidR="000752D1" w:rsidRPr="001655FD">
        <w:t xml:space="preserve">. </w:t>
      </w:r>
    </w:p>
    <w:p w14:paraId="1B0EA9D8" w14:textId="497931A0" w:rsidR="00816B77" w:rsidRPr="001655FD" w:rsidRDefault="00F122B2" w:rsidP="00F122B2">
      <w:pPr>
        <w:pStyle w:val="ParaNumbering"/>
        <w:numPr>
          <w:ilvl w:val="0"/>
          <w:numId w:val="0"/>
        </w:numPr>
        <w:tabs>
          <w:tab w:val="left" w:pos="720"/>
        </w:tabs>
        <w:ind w:hanging="720"/>
      </w:pPr>
      <w:bookmarkStart w:id="20" w:name="_Ref168669113"/>
      <w:r w:rsidRPr="001655FD">
        <w:rPr>
          <w:sz w:val="20"/>
        </w:rPr>
        <w:t>3</w:t>
      </w:r>
      <w:r w:rsidRPr="001655FD">
        <w:rPr>
          <w:sz w:val="20"/>
        </w:rPr>
        <w:tab/>
      </w:r>
      <w:r w:rsidR="000752D1" w:rsidRPr="001655FD">
        <w:t xml:space="preserve">The primary judge refused the application, concluding that </w:t>
      </w:r>
      <w:r w:rsidR="0077462D" w:rsidRPr="001655FD">
        <w:t xml:space="preserve">there had not been unreasonable delay. Although this appeal initially related to those seven </w:t>
      </w:r>
      <w:r w:rsidR="004F1731" w:rsidRPr="001655FD">
        <w:t>reviews</w:t>
      </w:r>
      <w:r w:rsidR="0077462D" w:rsidRPr="001655FD">
        <w:t xml:space="preserve">, </w:t>
      </w:r>
      <w:r w:rsidR="00440C12" w:rsidRPr="001655FD">
        <w:t xml:space="preserve">the Court </w:t>
      </w:r>
      <w:r w:rsidR="00DB2C14" w:rsidRPr="001655FD">
        <w:t xml:space="preserve">was </w:t>
      </w:r>
      <w:r w:rsidR="00440C12" w:rsidRPr="001655FD">
        <w:t xml:space="preserve">informed </w:t>
      </w:r>
      <w:r w:rsidR="00C873A0" w:rsidRPr="001655FD">
        <w:t xml:space="preserve">since hearing </w:t>
      </w:r>
      <w:r w:rsidR="00440C12" w:rsidRPr="001655FD">
        <w:t xml:space="preserve">that one of </w:t>
      </w:r>
      <w:r w:rsidR="004F1731" w:rsidRPr="001655FD">
        <w:t>them</w:t>
      </w:r>
      <w:r w:rsidR="00440C12" w:rsidRPr="001655FD">
        <w:t xml:space="preserve"> </w:t>
      </w:r>
      <w:r w:rsidR="00992CDE" w:rsidRPr="001655FD">
        <w:t xml:space="preserve">(the “seventh IC Review”) </w:t>
      </w:r>
      <w:r w:rsidR="00F356CC" w:rsidRPr="001655FD">
        <w:t xml:space="preserve">had </w:t>
      </w:r>
      <w:r w:rsidR="00440C12" w:rsidRPr="001655FD">
        <w:t>been determined.</w:t>
      </w:r>
      <w:r w:rsidR="002267B2" w:rsidRPr="001655FD">
        <w:t xml:space="preserve"> </w:t>
      </w:r>
      <w:r w:rsidR="0069025F">
        <w:t>T</w:t>
      </w:r>
      <w:r w:rsidR="002D2BE5">
        <w:t xml:space="preserve">he appellant </w:t>
      </w:r>
      <w:r w:rsidR="00F02D7F">
        <w:t xml:space="preserve">did not press for declaratory relief in relation to that IC review. </w:t>
      </w:r>
      <w:r w:rsidR="00EB403B" w:rsidRPr="001655FD">
        <w:t>W</w:t>
      </w:r>
      <w:r w:rsidR="00440C12" w:rsidRPr="001655FD">
        <w:t>e address the grounds</w:t>
      </w:r>
      <w:r w:rsidR="00F02D7F">
        <w:t xml:space="preserve"> only</w:t>
      </w:r>
      <w:r w:rsidR="00440C12" w:rsidRPr="001655FD">
        <w:t xml:space="preserve"> in respect </w:t>
      </w:r>
      <w:r w:rsidR="003C7322">
        <w:t>of</w:t>
      </w:r>
      <w:r w:rsidR="003C7322" w:rsidRPr="001655FD">
        <w:t xml:space="preserve"> </w:t>
      </w:r>
      <w:r w:rsidR="00440C12" w:rsidRPr="001655FD">
        <w:t xml:space="preserve">the remaining </w:t>
      </w:r>
      <w:r w:rsidR="00CA73F5" w:rsidRPr="001655FD">
        <w:t xml:space="preserve">six IC </w:t>
      </w:r>
      <w:r w:rsidR="00816B77" w:rsidRPr="001655FD">
        <w:t>review applications.</w:t>
      </w:r>
      <w:bookmarkEnd w:id="20"/>
      <w:r w:rsidR="00816B77" w:rsidRPr="001655FD">
        <w:t xml:space="preserve"> </w:t>
      </w:r>
    </w:p>
    <w:p w14:paraId="14B91D29" w14:textId="5900C129" w:rsidR="001F6CA9" w:rsidRPr="008C2AB1" w:rsidRDefault="00F122B2" w:rsidP="00F122B2">
      <w:pPr>
        <w:pStyle w:val="ParaNumbering"/>
        <w:numPr>
          <w:ilvl w:val="0"/>
          <w:numId w:val="0"/>
        </w:numPr>
        <w:tabs>
          <w:tab w:val="left" w:pos="720"/>
        </w:tabs>
        <w:ind w:hanging="720"/>
      </w:pPr>
      <w:bookmarkStart w:id="21" w:name="_Ref169000214"/>
      <w:r w:rsidRPr="008C2AB1">
        <w:rPr>
          <w:sz w:val="20"/>
        </w:rPr>
        <w:t>4</w:t>
      </w:r>
      <w:r w:rsidRPr="008C2AB1">
        <w:rPr>
          <w:sz w:val="20"/>
        </w:rPr>
        <w:tab/>
      </w:r>
      <w:r w:rsidR="00816B77" w:rsidRPr="001655FD">
        <w:t>The issue on this appeal is whether the appellant has established that the primary judge erred in concluding</w:t>
      </w:r>
      <w:r w:rsidR="004364E6" w:rsidRPr="00E8195F">
        <w:t xml:space="preserve"> </w:t>
      </w:r>
      <w:r w:rsidR="004364E6" w:rsidRPr="001655FD">
        <w:t>that,</w:t>
      </w:r>
      <w:r w:rsidR="00816B77" w:rsidRPr="001655FD">
        <w:t xml:space="preserve"> in relation to the six </w:t>
      </w:r>
      <w:r w:rsidR="004364E6" w:rsidRPr="001655FD">
        <w:t xml:space="preserve">IC </w:t>
      </w:r>
      <w:r w:rsidR="00816B77" w:rsidRPr="001655FD">
        <w:t xml:space="preserve">reviews, it had not been established that the delay in consideration of </w:t>
      </w:r>
      <w:r w:rsidR="00F356CC" w:rsidRPr="001655FD">
        <w:t xml:space="preserve">those </w:t>
      </w:r>
      <w:r w:rsidR="00816B77" w:rsidRPr="001655FD">
        <w:t>applications was unreasonable.</w:t>
      </w:r>
      <w:r w:rsidR="00164056" w:rsidRPr="008C2AB1">
        <w:t xml:space="preserve"> </w:t>
      </w:r>
      <w:r w:rsidR="00C44274" w:rsidRPr="008C2AB1">
        <w:t>T</w:t>
      </w:r>
      <w:r w:rsidR="002C330D" w:rsidRPr="008C2AB1">
        <w:t xml:space="preserve">he </w:t>
      </w:r>
      <w:r w:rsidR="00C44274" w:rsidRPr="008C2AB1">
        <w:t xml:space="preserve">appellant presses for </w:t>
      </w:r>
      <w:r w:rsidR="00A44631" w:rsidRPr="008C2AB1">
        <w:t xml:space="preserve">declarations </w:t>
      </w:r>
      <w:r w:rsidR="001854A4" w:rsidRPr="008C2AB1">
        <w:t xml:space="preserve">to be made to </w:t>
      </w:r>
      <w:r w:rsidR="00A44631" w:rsidRPr="008C2AB1">
        <w:t>vindicate his contention that the legal limits on the AIC’s authority have been exceeded and his right to IC review unlawfully delayed.</w:t>
      </w:r>
      <w:bookmarkEnd w:id="21"/>
      <w:r w:rsidR="00F356CC" w:rsidRPr="008C2AB1">
        <w:t xml:space="preserve"> He expressl</w:t>
      </w:r>
      <w:r w:rsidR="00E34BB6" w:rsidRPr="008C2AB1">
        <w:t xml:space="preserve">y stated </w:t>
      </w:r>
      <w:r w:rsidR="00815110">
        <w:t xml:space="preserve">that </w:t>
      </w:r>
      <w:r w:rsidR="00E34BB6" w:rsidRPr="008C2AB1">
        <w:t>he</w:t>
      </w:r>
      <w:r w:rsidR="00F356CC" w:rsidRPr="008C2AB1">
        <w:t xml:space="preserve"> does not seek any order compelling their determination.</w:t>
      </w:r>
    </w:p>
    <w:p w14:paraId="762723E4" w14:textId="68387581" w:rsidR="00BC47C3" w:rsidRPr="008C2AB1" w:rsidRDefault="00F122B2" w:rsidP="00F122B2">
      <w:pPr>
        <w:pStyle w:val="ParaNumbering"/>
        <w:numPr>
          <w:ilvl w:val="0"/>
          <w:numId w:val="0"/>
        </w:numPr>
        <w:tabs>
          <w:tab w:val="left" w:pos="720"/>
        </w:tabs>
        <w:ind w:hanging="720"/>
      </w:pPr>
      <w:r w:rsidRPr="008C2AB1">
        <w:rPr>
          <w:sz w:val="20"/>
        </w:rPr>
        <w:t>5</w:t>
      </w:r>
      <w:r w:rsidRPr="008C2AB1">
        <w:rPr>
          <w:sz w:val="20"/>
        </w:rPr>
        <w:tab/>
      </w:r>
      <w:r w:rsidR="004F1731" w:rsidRPr="008C2AB1">
        <w:t>As it transpired, the appeal was able to be addressed by reference to the IC review for which the appellant had the strongest case</w:t>
      </w:r>
      <w:r w:rsidR="00207989" w:rsidRPr="008C2AB1">
        <w:t>, being the “</w:t>
      </w:r>
      <w:r w:rsidR="00092413" w:rsidRPr="008C2AB1">
        <w:t>sixth</w:t>
      </w:r>
      <w:r w:rsidR="00207989" w:rsidRPr="008C2AB1">
        <w:t xml:space="preserve"> IC Review”</w:t>
      </w:r>
      <w:r w:rsidR="004F1731" w:rsidRPr="008C2AB1">
        <w:t xml:space="preserve">. If he could not succeed on that IC review, he could not succeed on the </w:t>
      </w:r>
      <w:r w:rsidR="00DF253B" w:rsidRPr="008C2AB1">
        <w:t>other five</w:t>
      </w:r>
      <w:r w:rsidR="004F1731" w:rsidRPr="008C2AB1">
        <w:t xml:space="preserve">. </w:t>
      </w:r>
    </w:p>
    <w:p w14:paraId="40D82CA3" w14:textId="688F9AF4" w:rsidR="003F61F3" w:rsidRPr="00CD23E3" w:rsidRDefault="00F122B2" w:rsidP="00F122B2">
      <w:pPr>
        <w:pStyle w:val="ParaNumbering"/>
        <w:numPr>
          <w:ilvl w:val="0"/>
          <w:numId w:val="0"/>
        </w:numPr>
        <w:tabs>
          <w:tab w:val="left" w:pos="720"/>
        </w:tabs>
        <w:ind w:hanging="720"/>
      </w:pPr>
      <w:r w:rsidRPr="00CD23E3">
        <w:rPr>
          <w:sz w:val="20"/>
        </w:rPr>
        <w:t>6</w:t>
      </w:r>
      <w:r w:rsidRPr="00CD23E3">
        <w:rPr>
          <w:sz w:val="20"/>
        </w:rPr>
        <w:tab/>
      </w:r>
      <w:r w:rsidR="00C12BA6" w:rsidRPr="008C2AB1">
        <w:t xml:space="preserve">For the reasons below, </w:t>
      </w:r>
      <w:r w:rsidR="00370A76" w:rsidRPr="008C2AB1">
        <w:t xml:space="preserve">the appellant </w:t>
      </w:r>
      <w:r w:rsidR="00207989" w:rsidRPr="008C2AB1">
        <w:t>failed in that endeavour. Accordingly</w:t>
      </w:r>
      <w:r w:rsidR="00207989">
        <w:t xml:space="preserve">, he </w:t>
      </w:r>
      <w:r w:rsidR="00370A76" w:rsidRPr="00CD23E3">
        <w:t>has not established tha</w:t>
      </w:r>
      <w:r w:rsidR="00336C77" w:rsidRPr="00CD23E3">
        <w:t xml:space="preserve">t </w:t>
      </w:r>
      <w:r w:rsidR="0036161F" w:rsidRPr="00CD23E3">
        <w:t>he is</w:t>
      </w:r>
      <w:r w:rsidR="00336C77" w:rsidRPr="00CD23E3">
        <w:t xml:space="preserve"> </w:t>
      </w:r>
      <w:r w:rsidR="00207989">
        <w:t xml:space="preserve">prima facie </w:t>
      </w:r>
      <w:r w:rsidR="00336C77" w:rsidRPr="00CD23E3">
        <w:t>entitled to</w:t>
      </w:r>
      <w:r w:rsidR="0036161F" w:rsidRPr="00CD23E3">
        <w:t xml:space="preserve"> the</w:t>
      </w:r>
      <w:r w:rsidR="00336C77" w:rsidRPr="00CD23E3">
        <w:t xml:space="preserve"> </w:t>
      </w:r>
      <w:r w:rsidR="0036161F" w:rsidRPr="00CD23E3">
        <w:t xml:space="preserve">declaratory </w:t>
      </w:r>
      <w:r w:rsidR="00336C77" w:rsidRPr="00CD23E3">
        <w:t xml:space="preserve">relief </w:t>
      </w:r>
      <w:r w:rsidR="0036161F" w:rsidRPr="00CD23E3">
        <w:t>sought</w:t>
      </w:r>
      <w:r w:rsidR="00EA074D" w:rsidRPr="00CD23E3">
        <w:t>.</w:t>
      </w:r>
      <w:r w:rsidR="0036161F" w:rsidRPr="00CD23E3">
        <w:t xml:space="preserve"> </w:t>
      </w:r>
      <w:r w:rsidR="00207989">
        <w:t xml:space="preserve">Even if he had been </w:t>
      </w:r>
      <w:r w:rsidR="00DF253B">
        <w:t xml:space="preserve">prima facie </w:t>
      </w:r>
      <w:r w:rsidR="00207989">
        <w:t xml:space="preserve">entitled to that relief, we would not have granted it in the </w:t>
      </w:r>
      <w:r w:rsidR="00DF253B">
        <w:t xml:space="preserve">exercise of discretion, applying well-established principles as to </w:t>
      </w:r>
      <w:r w:rsidR="00CA5CFA">
        <w:t xml:space="preserve">when </w:t>
      </w:r>
      <w:r w:rsidR="00DF253B">
        <w:t>declaratory relief</w:t>
      </w:r>
      <w:r w:rsidR="00CA5CFA">
        <w:t xml:space="preserve"> may be withheld</w:t>
      </w:r>
      <w:r w:rsidR="00DF253B">
        <w:t>.</w:t>
      </w:r>
    </w:p>
    <w:p w14:paraId="76B9CE5C" w14:textId="7832684C" w:rsidR="0082488C" w:rsidRPr="00CD23E3" w:rsidRDefault="0082488C" w:rsidP="00CD23E3">
      <w:pPr>
        <w:pStyle w:val="Heading2"/>
      </w:pPr>
      <w:r w:rsidRPr="00CD23E3">
        <w:lastRenderedPageBreak/>
        <w:t>Statutory framework</w:t>
      </w:r>
    </w:p>
    <w:p w14:paraId="08D6C9CF" w14:textId="09E9C74D" w:rsidR="008E2765" w:rsidRPr="00C9615A" w:rsidRDefault="00F122B2" w:rsidP="00F122B2">
      <w:pPr>
        <w:pStyle w:val="ParaNumbering"/>
        <w:numPr>
          <w:ilvl w:val="0"/>
          <w:numId w:val="0"/>
        </w:numPr>
        <w:tabs>
          <w:tab w:val="left" w:pos="720"/>
        </w:tabs>
        <w:ind w:hanging="720"/>
      </w:pPr>
      <w:r w:rsidRPr="00C9615A">
        <w:rPr>
          <w:sz w:val="20"/>
        </w:rPr>
        <w:t>7</w:t>
      </w:r>
      <w:r w:rsidRPr="00C9615A">
        <w:rPr>
          <w:sz w:val="20"/>
        </w:rPr>
        <w:tab/>
      </w:r>
      <w:r w:rsidR="00971891" w:rsidRPr="00CD23E3">
        <w:t xml:space="preserve">Before addressing the issues in more detail, it is appropriate to commence with a consideration of the statutory scheme, as both parties properly accept that any question of unreasonable delay </w:t>
      </w:r>
      <w:r w:rsidR="00971891" w:rsidRPr="00C9615A">
        <w:t xml:space="preserve">must be in the context of the relevant statutory framework and the specific facts of the case. The primary judge at [8]-[31] </w:t>
      </w:r>
      <w:r w:rsidR="00CA5CFA" w:rsidRPr="00C9615A">
        <w:t xml:space="preserve">outlined </w:t>
      </w:r>
      <w:r w:rsidR="00971891" w:rsidRPr="00C9615A">
        <w:t xml:space="preserve">the statutory framework relevant to assessing unreasonable delay. The analysis is not challenged, and we </w:t>
      </w:r>
      <w:r w:rsidR="00CA5CFA" w:rsidRPr="00C9615A">
        <w:t xml:space="preserve">adopt and </w:t>
      </w:r>
      <w:r w:rsidR="00971891" w:rsidRPr="00C9615A">
        <w:t>endorse the descriptions</w:t>
      </w:r>
      <w:r w:rsidR="00CA5CFA" w:rsidRPr="00C9615A">
        <w:t xml:space="preserve"> his Honour gave</w:t>
      </w:r>
      <w:r w:rsidR="00971891" w:rsidRPr="00C9615A">
        <w:t xml:space="preserve">. The applicable </w:t>
      </w:r>
      <w:r w:rsidR="00160260" w:rsidRPr="00C9615A">
        <w:t xml:space="preserve">Acts </w:t>
      </w:r>
      <w:r w:rsidR="00971891" w:rsidRPr="00C9615A">
        <w:t>are:</w:t>
      </w:r>
      <w:r w:rsidR="0072792D" w:rsidRPr="00C9615A">
        <w:t xml:space="preserve"> </w:t>
      </w:r>
    </w:p>
    <w:p w14:paraId="12178333" w14:textId="5B954E4D" w:rsidR="00A35E29" w:rsidRPr="00C9615A" w:rsidRDefault="00F122B2" w:rsidP="00F122B2">
      <w:pPr>
        <w:pStyle w:val="ListNo1"/>
        <w:numPr>
          <w:ilvl w:val="0"/>
          <w:numId w:val="0"/>
        </w:numPr>
        <w:tabs>
          <w:tab w:val="left" w:pos="720"/>
        </w:tabs>
        <w:ind w:left="720" w:hanging="720"/>
      </w:pPr>
      <w:r w:rsidRPr="00C9615A">
        <w:t>(1)</w:t>
      </w:r>
      <w:r w:rsidRPr="00C9615A">
        <w:tab/>
      </w:r>
      <w:r w:rsidR="00971891" w:rsidRPr="00C9615A">
        <w:t>the Australian Information Commissioner Act 2010 (Cth) (</w:t>
      </w:r>
      <w:r w:rsidR="00971891" w:rsidRPr="00C9615A">
        <w:rPr>
          <w:bCs/>
        </w:rPr>
        <w:t>AIC Act</w:t>
      </w:r>
      <w:r w:rsidR="00971891" w:rsidRPr="00C9615A">
        <w:t xml:space="preserve">); </w:t>
      </w:r>
    </w:p>
    <w:p w14:paraId="6750287B" w14:textId="5F3050B6" w:rsidR="00A35E29" w:rsidRPr="00C9615A" w:rsidRDefault="00F122B2" w:rsidP="00F122B2">
      <w:pPr>
        <w:pStyle w:val="ListNo1"/>
        <w:numPr>
          <w:ilvl w:val="0"/>
          <w:numId w:val="0"/>
        </w:numPr>
        <w:tabs>
          <w:tab w:val="left" w:pos="720"/>
        </w:tabs>
        <w:ind w:left="720" w:hanging="720"/>
      </w:pPr>
      <w:r w:rsidRPr="00C9615A">
        <w:t>(2)</w:t>
      </w:r>
      <w:r w:rsidRPr="00C9615A">
        <w:tab/>
      </w:r>
      <w:r w:rsidR="00971891" w:rsidRPr="00C9615A">
        <w:t xml:space="preserve">the FOI Act; and </w:t>
      </w:r>
    </w:p>
    <w:p w14:paraId="28BB17C6" w14:textId="34C4063E" w:rsidR="008E2765" w:rsidRPr="001655FD" w:rsidRDefault="00F122B2" w:rsidP="00F122B2">
      <w:pPr>
        <w:pStyle w:val="ListNo1"/>
        <w:numPr>
          <w:ilvl w:val="0"/>
          <w:numId w:val="0"/>
        </w:numPr>
        <w:tabs>
          <w:tab w:val="left" w:pos="720"/>
        </w:tabs>
        <w:ind w:left="720" w:hanging="720"/>
      </w:pPr>
      <w:r w:rsidRPr="001655FD">
        <w:t>(3)</w:t>
      </w:r>
      <w:r w:rsidRPr="001655FD">
        <w:tab/>
      </w:r>
      <w:r w:rsidR="00971891" w:rsidRPr="001655FD">
        <w:t>the ADJR Act.</w:t>
      </w:r>
      <w:r w:rsidR="003C2A5F" w:rsidRPr="001655FD">
        <w:t xml:space="preserve"> </w:t>
      </w:r>
    </w:p>
    <w:p w14:paraId="385E157F" w14:textId="1C6A4ACB" w:rsidR="008548FD" w:rsidRPr="001655FD" w:rsidRDefault="00F122B2" w:rsidP="00F122B2">
      <w:pPr>
        <w:pStyle w:val="ParaNumbering"/>
        <w:numPr>
          <w:ilvl w:val="0"/>
          <w:numId w:val="0"/>
        </w:numPr>
        <w:tabs>
          <w:tab w:val="left" w:pos="720"/>
        </w:tabs>
        <w:ind w:hanging="720"/>
      </w:pPr>
      <w:r w:rsidRPr="001655FD">
        <w:rPr>
          <w:sz w:val="20"/>
        </w:rPr>
        <w:t>8</w:t>
      </w:r>
      <w:r w:rsidRPr="001655FD">
        <w:rPr>
          <w:sz w:val="20"/>
        </w:rPr>
        <w:tab/>
      </w:r>
      <w:r w:rsidR="003C2A5F" w:rsidRPr="001655FD">
        <w:t>It is unnecessary to re</w:t>
      </w:r>
      <w:r w:rsidR="008548FD" w:rsidRPr="001655FD">
        <w:t xml:space="preserve">peat </w:t>
      </w:r>
      <w:r w:rsidR="00160260" w:rsidRPr="001655FD">
        <w:t xml:space="preserve">his Honour’s </w:t>
      </w:r>
      <w:r w:rsidR="008548FD" w:rsidRPr="001655FD">
        <w:t xml:space="preserve">description </w:t>
      </w:r>
      <w:r w:rsidR="00CA5CFA" w:rsidRPr="001655FD">
        <w:t>and summary of the effect of that leg</w:t>
      </w:r>
      <w:r w:rsidR="0019060D" w:rsidRPr="001655FD">
        <w:t>isl</w:t>
      </w:r>
      <w:r w:rsidR="00CA5CFA" w:rsidRPr="001655FD">
        <w:t xml:space="preserve">ation </w:t>
      </w:r>
      <w:r w:rsidR="008548FD" w:rsidRPr="001655FD">
        <w:t xml:space="preserve">in its entirety, although </w:t>
      </w:r>
      <w:r w:rsidR="003C2A5F" w:rsidRPr="001655FD">
        <w:t>it is convenient to recite some aspects of it.</w:t>
      </w:r>
      <w:bookmarkStart w:id="22" w:name="_Ref135929685"/>
      <w:bookmarkStart w:id="23" w:name="_Ref135988138"/>
    </w:p>
    <w:p w14:paraId="5C8887CF" w14:textId="0219F1CE" w:rsidR="00FA4D97" w:rsidRPr="001655FD" w:rsidRDefault="00FA4D97" w:rsidP="00CD23E3">
      <w:pPr>
        <w:pStyle w:val="Heading3"/>
      </w:pPr>
      <w:r w:rsidRPr="001655FD">
        <w:t>Australian Information Commissioner Act 2010 (Cth)</w:t>
      </w:r>
      <w:bookmarkEnd w:id="22"/>
      <w:bookmarkEnd w:id="23"/>
      <w:r w:rsidRPr="001655FD">
        <w:t xml:space="preserve"> </w:t>
      </w:r>
    </w:p>
    <w:p w14:paraId="789B53FB" w14:textId="345783DB" w:rsidR="00FA4D97" w:rsidRPr="001655FD" w:rsidRDefault="00F122B2" w:rsidP="00F122B2">
      <w:pPr>
        <w:pStyle w:val="ParaNumbering"/>
        <w:numPr>
          <w:ilvl w:val="0"/>
          <w:numId w:val="0"/>
        </w:numPr>
        <w:tabs>
          <w:tab w:val="left" w:pos="720"/>
        </w:tabs>
        <w:ind w:hanging="720"/>
      </w:pPr>
      <w:r w:rsidRPr="001655FD">
        <w:rPr>
          <w:sz w:val="20"/>
        </w:rPr>
        <w:t>9</w:t>
      </w:r>
      <w:r w:rsidRPr="001655FD">
        <w:rPr>
          <w:sz w:val="20"/>
        </w:rPr>
        <w:tab/>
      </w:r>
      <w:r w:rsidR="00FA4D97" w:rsidRPr="001655FD">
        <w:t xml:space="preserve">Section 5 of the AIC Act establishes the Office of the Australian Information Commissioner (the </w:t>
      </w:r>
      <w:r w:rsidR="00FA4D97" w:rsidRPr="001655FD">
        <w:rPr>
          <w:bCs/>
        </w:rPr>
        <w:t>Office</w:t>
      </w:r>
      <w:r w:rsidR="00FA4D97" w:rsidRPr="001655FD">
        <w:t>)</w:t>
      </w:r>
      <w:r w:rsidR="00A57F99" w:rsidRPr="001655FD">
        <w:t xml:space="preserve"> which </w:t>
      </w:r>
      <w:r w:rsidR="00FA4D97" w:rsidRPr="001655FD">
        <w:t xml:space="preserve">consists of </w:t>
      </w:r>
      <w:r w:rsidR="00FA4D97" w:rsidRPr="001655FD">
        <w:rPr>
          <w:i/>
        </w:rPr>
        <w:t xml:space="preserve">information officers </w:t>
      </w:r>
      <w:r w:rsidR="007F0F66" w:rsidRPr="001655FD">
        <w:rPr>
          <w:iCs/>
        </w:rPr>
        <w:t>(relevantly includ</w:t>
      </w:r>
      <w:r w:rsidR="0094753E" w:rsidRPr="001655FD">
        <w:rPr>
          <w:iCs/>
        </w:rPr>
        <w:t>ing</w:t>
      </w:r>
      <w:r w:rsidR="007F0F66" w:rsidRPr="001655FD">
        <w:rPr>
          <w:iCs/>
        </w:rPr>
        <w:t xml:space="preserve"> the </w:t>
      </w:r>
      <w:r w:rsidR="00F17E63">
        <w:rPr>
          <w:iCs/>
        </w:rPr>
        <w:t>AIC, referred to as the “Information Commissioner” throughout the Act</w:t>
      </w:r>
      <w:r w:rsidR="0094753E" w:rsidRPr="001655FD">
        <w:rPr>
          <w:iCs/>
        </w:rPr>
        <w:t xml:space="preserve">: s 6) </w:t>
      </w:r>
      <w:r w:rsidR="00FA4D97" w:rsidRPr="001655FD">
        <w:t>and staff</w:t>
      </w:r>
      <w:r w:rsidR="00A57F99" w:rsidRPr="001655FD">
        <w:t xml:space="preserve">. </w:t>
      </w:r>
      <w:r w:rsidR="00FA4D97" w:rsidRPr="001655FD">
        <w:t xml:space="preserve">The Information Commissioner has </w:t>
      </w:r>
      <w:r w:rsidR="008A3F9F" w:rsidRPr="001655FD">
        <w:t>the following</w:t>
      </w:r>
      <w:r w:rsidR="00514597" w:rsidRPr="001655FD">
        <w:t xml:space="preserve"> </w:t>
      </w:r>
      <w:r w:rsidR="00FA4D97" w:rsidRPr="001655FD">
        <w:t xml:space="preserve">functions and powers under the AIC Act, namely the </w:t>
      </w:r>
      <w:r w:rsidR="00FA4D97" w:rsidRPr="001655FD">
        <w:rPr>
          <w:i/>
        </w:rPr>
        <w:t xml:space="preserve">information commissioner functions </w:t>
      </w:r>
      <w:r w:rsidR="00FA4D97" w:rsidRPr="001655FD">
        <w:t>defined by s 7;</w:t>
      </w:r>
      <w:r w:rsidR="002F4677" w:rsidRPr="001655FD">
        <w:t xml:space="preserve"> </w:t>
      </w:r>
      <w:r w:rsidR="00FA4D97" w:rsidRPr="001655FD">
        <w:t xml:space="preserve">the </w:t>
      </w:r>
      <w:r w:rsidR="00FA4D97" w:rsidRPr="001655FD">
        <w:rPr>
          <w:i/>
        </w:rPr>
        <w:t xml:space="preserve">freedom of information functions </w:t>
      </w:r>
      <w:r w:rsidR="00FA4D97" w:rsidRPr="001655FD">
        <w:t>defined by s 8; and</w:t>
      </w:r>
      <w:r w:rsidR="00432F5F" w:rsidRPr="001655FD">
        <w:t xml:space="preserve"> </w:t>
      </w:r>
      <w:r w:rsidR="00FA4D97" w:rsidRPr="001655FD">
        <w:t xml:space="preserve">the </w:t>
      </w:r>
      <w:r w:rsidR="00FA4D97" w:rsidRPr="001655FD">
        <w:rPr>
          <w:i/>
        </w:rPr>
        <w:t>privacy functions</w:t>
      </w:r>
      <w:r w:rsidR="00FA4D97" w:rsidRPr="001655FD">
        <w:t xml:space="preserve">, defined by s 9. </w:t>
      </w:r>
    </w:p>
    <w:p w14:paraId="7073CA91" w14:textId="779F4644" w:rsidR="00FA4D97" w:rsidRPr="001655FD" w:rsidRDefault="00F122B2" w:rsidP="00F122B2">
      <w:pPr>
        <w:pStyle w:val="ParaNumbering"/>
        <w:numPr>
          <w:ilvl w:val="0"/>
          <w:numId w:val="0"/>
        </w:numPr>
        <w:tabs>
          <w:tab w:val="left" w:pos="720"/>
        </w:tabs>
        <w:ind w:hanging="720"/>
      </w:pPr>
      <w:r w:rsidRPr="001655FD">
        <w:rPr>
          <w:sz w:val="20"/>
        </w:rPr>
        <w:t>10</w:t>
      </w:r>
      <w:r w:rsidRPr="001655FD">
        <w:rPr>
          <w:sz w:val="20"/>
        </w:rPr>
        <w:tab/>
      </w:r>
      <w:r w:rsidR="00FA4D97" w:rsidRPr="001655FD">
        <w:t>The Information Commissioner has powers of delegation</w:t>
      </w:r>
      <w:r w:rsidR="003817A8" w:rsidRPr="001655FD">
        <w:t xml:space="preserve">: s 25 </w:t>
      </w:r>
      <w:r w:rsidR="00FA4D97" w:rsidRPr="001655FD">
        <w:t>of the AIC Act. Prior to the commencement of amendments to s 25</w:t>
      </w:r>
      <w:r w:rsidR="00CA5CFA" w:rsidRPr="001655FD">
        <w:t xml:space="preserve"> on 13 December 2022</w:t>
      </w:r>
      <w:r w:rsidR="00FA4D97" w:rsidRPr="001655FD">
        <w:t xml:space="preserve">, the function conferred by s 55K </w:t>
      </w:r>
      <w:r w:rsidR="00B74A46">
        <w:t xml:space="preserve">of the FOI Act </w:t>
      </w:r>
      <w:r w:rsidR="0043079B" w:rsidRPr="001655FD">
        <w:t>(</w:t>
      </w:r>
      <w:r w:rsidR="00FA4D97" w:rsidRPr="001655FD">
        <w:t>making a decision on an IC review</w:t>
      </w:r>
      <w:r w:rsidR="0043079B" w:rsidRPr="001655FD">
        <w:t>)</w:t>
      </w:r>
      <w:r w:rsidR="00FA4D97" w:rsidRPr="001655FD">
        <w:t xml:space="preserve"> was excluded from the power of delegation</w:t>
      </w:r>
      <w:r w:rsidR="003817A8" w:rsidRPr="001655FD">
        <w:t xml:space="preserve">: s </w:t>
      </w:r>
      <w:r w:rsidR="004E17E6" w:rsidRPr="001655FD">
        <w:t>2</w:t>
      </w:r>
      <w:r w:rsidR="00FA4D97" w:rsidRPr="001655FD">
        <w:t>5(</w:t>
      </w:r>
      <w:r w:rsidR="004E17E6" w:rsidRPr="001655FD">
        <w:t xml:space="preserve">e). </w:t>
      </w:r>
      <w:r w:rsidR="00FA4D97" w:rsidRPr="001655FD">
        <w:t>Following th</w:t>
      </w:r>
      <w:r w:rsidR="00CA5CFA" w:rsidRPr="001655FD">
        <w:t>os</w:t>
      </w:r>
      <w:r w:rsidR="00FA4D97" w:rsidRPr="001655FD">
        <w:t xml:space="preserve">e amendments, the Information Commissioner may delegate the decision-making function under s 55K to a member of staff of the Office who is an </w:t>
      </w:r>
      <w:r w:rsidR="00FA4D97" w:rsidRPr="001655FD">
        <w:rPr>
          <w:i/>
        </w:rPr>
        <w:t>SES employee</w:t>
      </w:r>
      <w:r w:rsidR="0021406F">
        <w:rPr>
          <w:i/>
        </w:rPr>
        <w:t xml:space="preserve"> </w:t>
      </w:r>
      <w:r w:rsidR="0021406F">
        <w:rPr>
          <w:iCs/>
        </w:rPr>
        <w:t>(that is, a Senior Executive Service employee)</w:t>
      </w:r>
      <w:r w:rsidR="00FA4D97" w:rsidRPr="001655FD">
        <w:t xml:space="preserve">, or </w:t>
      </w:r>
      <w:r w:rsidR="00FA4D97" w:rsidRPr="001655FD">
        <w:rPr>
          <w:i/>
        </w:rPr>
        <w:t>acting SES employee</w:t>
      </w:r>
      <w:r w:rsidR="00FA4D97" w:rsidRPr="001655FD">
        <w:t xml:space="preserve">: </w:t>
      </w:r>
      <w:r w:rsidR="006A4D6A" w:rsidRPr="001655FD">
        <w:t>s 25(2)(a). S</w:t>
      </w:r>
      <w:r w:rsidR="00FA4D97" w:rsidRPr="001655FD">
        <w:t xml:space="preserve">ee </w:t>
      </w:r>
      <w:r w:rsidR="006A4D6A" w:rsidRPr="001655FD">
        <w:t xml:space="preserve">also </w:t>
      </w:r>
      <w:r w:rsidR="00FA4D97" w:rsidRPr="001655FD">
        <w:rPr>
          <w:i/>
        </w:rPr>
        <w:t xml:space="preserve">Acts Interpretation Act 1901 </w:t>
      </w:r>
      <w:r w:rsidR="00FA4D97" w:rsidRPr="001655FD">
        <w:t>(Cth) s 2B.</w:t>
      </w:r>
    </w:p>
    <w:p w14:paraId="1A6E212E" w14:textId="77777777" w:rsidR="00FA4D97" w:rsidRPr="001655FD" w:rsidRDefault="00FA4D97" w:rsidP="007875DF">
      <w:pPr>
        <w:pStyle w:val="Heading3"/>
      </w:pPr>
      <w:bookmarkStart w:id="24" w:name="_Ref135929686"/>
      <w:bookmarkStart w:id="25" w:name="_Ref135988139"/>
      <w:r w:rsidRPr="001655FD">
        <w:t>Freedom of Information Act</w:t>
      </w:r>
      <w:bookmarkEnd w:id="24"/>
      <w:r w:rsidRPr="001655FD">
        <w:t xml:space="preserve"> 1982 (Cth)</w:t>
      </w:r>
      <w:bookmarkEnd w:id="25"/>
    </w:p>
    <w:p w14:paraId="392C804B" w14:textId="59219007" w:rsidR="00EB2600" w:rsidRPr="001655FD" w:rsidRDefault="00F122B2" w:rsidP="00F122B2">
      <w:pPr>
        <w:pStyle w:val="ParaNumbering"/>
        <w:numPr>
          <w:ilvl w:val="0"/>
          <w:numId w:val="0"/>
        </w:numPr>
        <w:tabs>
          <w:tab w:val="left" w:pos="720"/>
        </w:tabs>
        <w:ind w:hanging="720"/>
      </w:pPr>
      <w:r w:rsidRPr="001655FD">
        <w:rPr>
          <w:sz w:val="20"/>
        </w:rPr>
        <w:t>11</w:t>
      </w:r>
      <w:r w:rsidRPr="001655FD">
        <w:rPr>
          <w:sz w:val="20"/>
        </w:rPr>
        <w:tab/>
      </w:r>
      <w:r w:rsidR="0073396C" w:rsidRPr="001655FD">
        <w:t xml:space="preserve">The relevant objects of the FOI Act are identified in s 3. </w:t>
      </w:r>
      <w:r w:rsidR="00CA5CFA" w:rsidRPr="001655FD">
        <w:t xml:space="preserve">That </w:t>
      </w:r>
      <w:r w:rsidR="0073396C" w:rsidRPr="001655FD">
        <w:t xml:space="preserve">Act seeks to increase public participation in government processes, and </w:t>
      </w:r>
      <w:r w:rsidR="00CA5CFA" w:rsidRPr="001655FD">
        <w:t xml:space="preserve">the </w:t>
      </w:r>
      <w:r w:rsidR="0073396C" w:rsidRPr="001655FD">
        <w:t xml:space="preserve">scrutiny, discussion, comment and review of government activities: s 3(2). Section 3(4) states an intention that “functions and powers given </w:t>
      </w:r>
      <w:r w:rsidR="0073396C" w:rsidRPr="001655FD">
        <w:lastRenderedPageBreak/>
        <w:t>by this Act are to be performed and exercised, as far as possible, to facilitate and promote public access to information, promptly and at the lowest reasonable cost”.</w:t>
      </w:r>
    </w:p>
    <w:p w14:paraId="2CD0556B" w14:textId="11046A12" w:rsidR="002637D4" w:rsidRPr="001655FD" w:rsidRDefault="00F122B2" w:rsidP="00F122B2">
      <w:pPr>
        <w:pStyle w:val="ParaNumbering"/>
        <w:numPr>
          <w:ilvl w:val="0"/>
          <w:numId w:val="0"/>
        </w:numPr>
        <w:tabs>
          <w:tab w:val="left" w:pos="720"/>
        </w:tabs>
        <w:ind w:hanging="720"/>
      </w:pPr>
      <w:bookmarkStart w:id="26" w:name="_Ref168649960"/>
      <w:r w:rsidRPr="001655FD">
        <w:rPr>
          <w:sz w:val="20"/>
        </w:rPr>
        <w:t>12</w:t>
      </w:r>
      <w:r w:rsidRPr="001655FD">
        <w:rPr>
          <w:sz w:val="20"/>
        </w:rPr>
        <w:tab/>
      </w:r>
      <w:r w:rsidR="00FA4D97" w:rsidRPr="001655FD">
        <w:t xml:space="preserve">Section 11 of the FOI Act provides that, subject to </w:t>
      </w:r>
      <w:r w:rsidR="008F5F8F" w:rsidRPr="001655FD">
        <w:t xml:space="preserve">that </w:t>
      </w:r>
      <w:r w:rsidR="00FA4D97" w:rsidRPr="001655FD">
        <w:t xml:space="preserve">Act, every person has a legally enforceable right to obtain access to documents of an agency and official documents of a Minister. </w:t>
      </w:r>
      <w:r w:rsidR="00E26D2F" w:rsidRPr="001655FD">
        <w:t>T</w:t>
      </w:r>
      <w:r w:rsidR="00FA4D97" w:rsidRPr="001655FD">
        <w:t>here is an array of exceptions to th</w:t>
      </w:r>
      <w:r w:rsidR="004A50DE" w:rsidRPr="001655FD">
        <w:t>at</w:t>
      </w:r>
      <w:r w:rsidR="00FA4D97" w:rsidRPr="001655FD">
        <w:t xml:space="preserve"> right. Certain agencies are excluded from the operation of the FOI Act altogether. Further, </w:t>
      </w:r>
      <w:r w:rsidR="00CE731F" w:rsidRPr="001655FD">
        <w:t xml:space="preserve">Div 2 of Pt IV of the FOI Act </w:t>
      </w:r>
      <w:r w:rsidR="008909E8" w:rsidRPr="001655FD">
        <w:t>contains</w:t>
      </w:r>
      <w:r w:rsidR="00CE731F" w:rsidRPr="001655FD">
        <w:t xml:space="preserve"> </w:t>
      </w:r>
      <w:r w:rsidR="00FA4D97" w:rsidRPr="001655FD">
        <w:t>a range of exempt</w:t>
      </w:r>
      <w:r w:rsidR="008909E8" w:rsidRPr="001655FD">
        <w:t>ions</w:t>
      </w:r>
      <w:r w:rsidR="00FA4D97" w:rsidRPr="001655FD">
        <w:t xml:space="preserve">, such as: </w:t>
      </w:r>
    </w:p>
    <w:p w14:paraId="78FE9727" w14:textId="778A55A4" w:rsidR="00A35E29" w:rsidRPr="001655FD" w:rsidRDefault="00F122B2" w:rsidP="00F122B2">
      <w:pPr>
        <w:pStyle w:val="ListNo1"/>
        <w:numPr>
          <w:ilvl w:val="0"/>
          <w:numId w:val="0"/>
        </w:numPr>
        <w:tabs>
          <w:tab w:val="left" w:pos="720"/>
        </w:tabs>
        <w:ind w:left="720" w:hanging="720"/>
      </w:pPr>
      <w:r w:rsidRPr="001655FD">
        <w:t>(1)</w:t>
      </w:r>
      <w:r w:rsidRPr="001655FD">
        <w:tab/>
      </w:r>
      <w:r w:rsidR="00FA4D97" w:rsidRPr="001655FD">
        <w:t>documents affecting national security, defence</w:t>
      </w:r>
      <w:r w:rsidR="00BD7420">
        <w:t xml:space="preserve"> or</w:t>
      </w:r>
      <w:r w:rsidR="00FA4D97" w:rsidRPr="001655FD">
        <w:t xml:space="preserve"> international relations</w:t>
      </w:r>
      <w:r w:rsidR="00697964" w:rsidRPr="001655FD">
        <w:t xml:space="preserve"> (s 33)</w:t>
      </w:r>
      <w:r w:rsidR="00FA4D97" w:rsidRPr="001655FD">
        <w:t>;</w:t>
      </w:r>
    </w:p>
    <w:p w14:paraId="3ED0D929" w14:textId="46745269" w:rsidR="00A35E29" w:rsidRPr="001655FD" w:rsidRDefault="00F122B2" w:rsidP="00F122B2">
      <w:pPr>
        <w:pStyle w:val="ListNo1"/>
        <w:numPr>
          <w:ilvl w:val="0"/>
          <w:numId w:val="0"/>
        </w:numPr>
        <w:tabs>
          <w:tab w:val="left" w:pos="720"/>
        </w:tabs>
        <w:ind w:left="720" w:hanging="720"/>
      </w:pPr>
      <w:r w:rsidRPr="001655FD">
        <w:t>(2)</w:t>
      </w:r>
      <w:r w:rsidRPr="001655FD">
        <w:tab/>
      </w:r>
      <w:r w:rsidR="00FA4D97" w:rsidRPr="001655FD">
        <w:t>documents containing material obtained in confidence</w:t>
      </w:r>
      <w:r w:rsidR="000676E7" w:rsidRPr="001655FD">
        <w:t xml:space="preserve"> (s 45)</w:t>
      </w:r>
      <w:r w:rsidR="00FA4D97" w:rsidRPr="001655FD">
        <w:t xml:space="preserve">; </w:t>
      </w:r>
    </w:p>
    <w:p w14:paraId="7A5790EE" w14:textId="2FAE22A8" w:rsidR="00A35E29" w:rsidRPr="001655FD" w:rsidRDefault="00F122B2" w:rsidP="00F122B2">
      <w:pPr>
        <w:pStyle w:val="ListNo1"/>
        <w:numPr>
          <w:ilvl w:val="0"/>
          <w:numId w:val="0"/>
        </w:numPr>
        <w:tabs>
          <w:tab w:val="left" w:pos="720"/>
        </w:tabs>
        <w:ind w:left="720" w:hanging="720"/>
      </w:pPr>
      <w:r w:rsidRPr="001655FD">
        <w:t>(3)</w:t>
      </w:r>
      <w:r w:rsidRPr="001655FD">
        <w:tab/>
      </w:r>
      <w:r w:rsidR="00FA4D97" w:rsidRPr="001655FD">
        <w:t>documents disclosing trade secrets or commercially valuable information</w:t>
      </w:r>
      <w:r w:rsidR="000676E7" w:rsidRPr="001655FD">
        <w:t xml:space="preserve"> (s 47)</w:t>
      </w:r>
      <w:r w:rsidR="00FA4D97" w:rsidRPr="001655FD">
        <w:t xml:space="preserve">; and </w:t>
      </w:r>
    </w:p>
    <w:p w14:paraId="469CEC93" w14:textId="33250E9B" w:rsidR="00CA5CFA" w:rsidRPr="001655FD" w:rsidRDefault="00F122B2" w:rsidP="00F122B2">
      <w:pPr>
        <w:pStyle w:val="ListNo1"/>
        <w:numPr>
          <w:ilvl w:val="0"/>
          <w:numId w:val="0"/>
        </w:numPr>
        <w:tabs>
          <w:tab w:val="left" w:pos="720"/>
        </w:tabs>
        <w:ind w:left="720" w:hanging="720"/>
      </w:pPr>
      <w:r w:rsidRPr="001655FD">
        <w:t>(4)</w:t>
      </w:r>
      <w:r w:rsidRPr="001655FD">
        <w:tab/>
      </w:r>
      <w:r w:rsidR="00FA4D97" w:rsidRPr="001655FD">
        <w:t>documents to which secrecy provisions of enactments apply</w:t>
      </w:r>
      <w:r w:rsidR="00697964" w:rsidRPr="001655FD">
        <w:t xml:space="preserve"> (s 38)</w:t>
      </w:r>
      <w:r w:rsidR="00FA4D97" w:rsidRPr="001655FD">
        <w:t xml:space="preserve">. </w:t>
      </w:r>
    </w:p>
    <w:p w14:paraId="0DFBB27D" w14:textId="1D752BFB" w:rsidR="00FA4D97" w:rsidRPr="001655FD" w:rsidRDefault="00F122B2" w:rsidP="00F122B2">
      <w:pPr>
        <w:pStyle w:val="ParaNumbering"/>
        <w:numPr>
          <w:ilvl w:val="0"/>
          <w:numId w:val="0"/>
        </w:numPr>
        <w:tabs>
          <w:tab w:val="left" w:pos="720"/>
        </w:tabs>
        <w:ind w:hanging="720"/>
      </w:pPr>
      <w:r w:rsidRPr="001655FD">
        <w:rPr>
          <w:sz w:val="20"/>
        </w:rPr>
        <w:t>13</w:t>
      </w:r>
      <w:r w:rsidRPr="001655FD">
        <w:rPr>
          <w:sz w:val="20"/>
        </w:rPr>
        <w:tab/>
      </w:r>
      <w:r w:rsidR="00FA4D97" w:rsidRPr="001655FD">
        <w:t xml:space="preserve">There are other categories of documents that are conditionally exempt if </w:t>
      </w:r>
      <w:r w:rsidR="0037701E" w:rsidRPr="001655FD">
        <w:t xml:space="preserve">disclosure </w:t>
      </w:r>
      <w:r w:rsidR="00FA4D97" w:rsidRPr="001655FD">
        <w:t>would not be in the public interest</w:t>
      </w:r>
      <w:r w:rsidR="005D170C" w:rsidRPr="001655FD">
        <w:t>;</w:t>
      </w:r>
      <w:r w:rsidR="00FA4D97" w:rsidRPr="001655FD">
        <w:t xml:space="preserve"> </w:t>
      </w:r>
      <w:r w:rsidR="00CA5CFA" w:rsidRPr="001655FD">
        <w:t xml:space="preserve">a </w:t>
      </w:r>
      <w:r w:rsidR="00FA4D97" w:rsidRPr="001655FD">
        <w:t xml:space="preserve">concept </w:t>
      </w:r>
      <w:r w:rsidR="00CA5CFA" w:rsidRPr="001655FD">
        <w:t xml:space="preserve">that </w:t>
      </w:r>
      <w:r w:rsidR="00FA4D97" w:rsidRPr="001655FD">
        <w:t xml:space="preserve">is developed through several provisions of </w:t>
      </w:r>
      <w:r w:rsidR="00CA5CFA" w:rsidRPr="001655FD">
        <w:t>Div </w:t>
      </w:r>
      <w:r w:rsidR="00FA4D97" w:rsidRPr="001655FD">
        <w:t xml:space="preserve">3 of </w:t>
      </w:r>
      <w:r w:rsidR="00CA5CFA" w:rsidRPr="001655FD">
        <w:t xml:space="preserve">Pt </w:t>
      </w:r>
      <w:r w:rsidR="00FA4D97" w:rsidRPr="001655FD">
        <w:t>IV of the FOI Act. There are also provisions of the FOI Act that require consultation with various parties before a decision to give access to documents can be made.</w:t>
      </w:r>
      <w:bookmarkEnd w:id="26"/>
    </w:p>
    <w:p w14:paraId="024F4121" w14:textId="1A0719CA" w:rsidR="000C0C96" w:rsidRPr="001655FD" w:rsidRDefault="00F122B2" w:rsidP="00F122B2">
      <w:pPr>
        <w:pStyle w:val="ParaNumbering"/>
        <w:numPr>
          <w:ilvl w:val="0"/>
          <w:numId w:val="0"/>
        </w:numPr>
        <w:tabs>
          <w:tab w:val="left" w:pos="720"/>
        </w:tabs>
        <w:ind w:hanging="720"/>
      </w:pPr>
      <w:r w:rsidRPr="001655FD">
        <w:rPr>
          <w:sz w:val="20"/>
        </w:rPr>
        <w:t>14</w:t>
      </w:r>
      <w:r w:rsidRPr="001655FD">
        <w:rPr>
          <w:sz w:val="20"/>
        </w:rPr>
        <w:tab/>
      </w:r>
      <w:r w:rsidR="00947F63">
        <w:t xml:space="preserve">The FOI Act sets out the process by which a person can seek access to </w:t>
      </w:r>
      <w:r w:rsidR="00FD6BF1">
        <w:t xml:space="preserve">government documents. </w:t>
      </w:r>
      <w:r w:rsidR="007F64E5" w:rsidRPr="001655FD">
        <w:t>A</w:t>
      </w:r>
      <w:r w:rsidR="00D24D80" w:rsidRPr="001655FD">
        <w:t xml:space="preserve"> person who wishes to obtain access to a document of an agency </w:t>
      </w:r>
      <w:r w:rsidR="00654ED5" w:rsidRPr="001655FD">
        <w:t xml:space="preserve">or a Minister </w:t>
      </w:r>
      <w:r w:rsidR="00EA38A6" w:rsidRPr="001655FD">
        <w:t xml:space="preserve">may </w:t>
      </w:r>
      <w:r w:rsidR="00D24D80" w:rsidRPr="001655FD">
        <w:t>request access to the document</w:t>
      </w:r>
      <w:r w:rsidR="007F64E5" w:rsidRPr="001655FD">
        <w:t>: s 15(1)</w:t>
      </w:r>
      <w:r w:rsidR="00D24D80" w:rsidRPr="001655FD">
        <w:t xml:space="preserve">. The manner </w:t>
      </w:r>
      <w:r w:rsidR="00896AE3" w:rsidRPr="001655FD">
        <w:t>for doing so</w:t>
      </w:r>
      <w:r w:rsidR="00D24D80" w:rsidRPr="001655FD">
        <w:t xml:space="preserve"> is prescribed by s 15(2). </w:t>
      </w:r>
      <w:r w:rsidR="00207989" w:rsidRPr="001655FD">
        <w:t>Section </w:t>
      </w:r>
      <w:r w:rsidR="00D24D80" w:rsidRPr="001655FD">
        <w:t xml:space="preserve">11A(3) requires an agency or Minister to give access to documents of the agency or official documents of the Minister </w:t>
      </w:r>
      <w:r w:rsidR="00FD6BF1">
        <w:t xml:space="preserve">that are </w:t>
      </w:r>
      <w:r w:rsidR="00D24D80" w:rsidRPr="001655FD">
        <w:t>the subject of a request. Relatively tight timeframes (albeit extendable if the applicant agrees: s 15AA) are imposed for steps which agencies are required to undertake: see s 15(5).</w:t>
      </w:r>
    </w:p>
    <w:p w14:paraId="0BFB118C" w14:textId="691D099F" w:rsidR="00FA4D97" w:rsidRPr="001655FD" w:rsidRDefault="00F122B2" w:rsidP="00F122B2">
      <w:pPr>
        <w:pStyle w:val="ParaNumbering"/>
        <w:numPr>
          <w:ilvl w:val="0"/>
          <w:numId w:val="0"/>
        </w:numPr>
        <w:tabs>
          <w:tab w:val="left" w:pos="720"/>
        </w:tabs>
        <w:ind w:hanging="720"/>
      </w:pPr>
      <w:r w:rsidRPr="001655FD">
        <w:rPr>
          <w:sz w:val="20"/>
        </w:rPr>
        <w:t>15</w:t>
      </w:r>
      <w:r w:rsidRPr="001655FD">
        <w:rPr>
          <w:sz w:val="20"/>
        </w:rPr>
        <w:tab/>
      </w:r>
      <w:r w:rsidR="00FA4D97" w:rsidRPr="001655FD">
        <w:t xml:space="preserve">Part VII of the FOI Act provides for the review </w:t>
      </w:r>
      <w:r w:rsidR="007852D5" w:rsidRPr="001655FD">
        <w:t xml:space="preserve">of decisions </w:t>
      </w:r>
      <w:r w:rsidR="00FA4D97" w:rsidRPr="001655FD">
        <w:t xml:space="preserve">by the Information Commissioner. Part VII of the FOI Act and the AIC Act commenced on the same day, 1 November 2010. The effect of the addition of </w:t>
      </w:r>
      <w:r w:rsidR="00207989" w:rsidRPr="001655FD">
        <w:t xml:space="preserve">Pt </w:t>
      </w:r>
      <w:r w:rsidR="00FA4D97" w:rsidRPr="001655FD">
        <w:t>VII was to introduce a new process for external review of decisions relating to access to documents under the FOI Act. Two consequential changes were brought about. First, it was no longer necessary to request an internal review of a decision as a precursor to seeking external review</w:t>
      </w:r>
      <w:r w:rsidR="00EF04BF" w:rsidRPr="001655FD">
        <w:t>,</w:t>
      </w:r>
      <w:r w:rsidR="005E3361" w:rsidRPr="001655FD">
        <w:t xml:space="preserve"> although</w:t>
      </w:r>
      <w:r w:rsidR="00FA4D97" w:rsidRPr="001655FD">
        <w:t xml:space="preserve"> </w:t>
      </w:r>
      <w:r w:rsidR="00207989" w:rsidRPr="001655FD">
        <w:t xml:space="preserve">Pt </w:t>
      </w:r>
      <w:r w:rsidR="00FA4D97" w:rsidRPr="001655FD">
        <w:t xml:space="preserve">VI of the FOI Act, which was also added </w:t>
      </w:r>
      <w:r w:rsidR="001258D3" w:rsidRPr="001655FD">
        <w:t>at that time</w:t>
      </w:r>
      <w:r w:rsidR="00FA4D97" w:rsidRPr="001655FD">
        <w:t>, maintains the ability to apply to an agency for internal review</w:t>
      </w:r>
      <w:r w:rsidR="00AA0F48" w:rsidRPr="001655FD">
        <w:t>.</w:t>
      </w:r>
      <w:r w:rsidR="00FA4D97" w:rsidRPr="001655FD">
        <w:t xml:space="preserve"> </w:t>
      </w:r>
      <w:r w:rsidR="00581A97" w:rsidRPr="001655FD">
        <w:t>S</w:t>
      </w:r>
      <w:r w:rsidR="00FA4D97" w:rsidRPr="001655FD">
        <w:t>econd</w:t>
      </w:r>
      <w:r w:rsidR="00581A97" w:rsidRPr="001655FD">
        <w:t>,</w:t>
      </w:r>
      <w:r w:rsidR="00FA4D97" w:rsidRPr="001655FD">
        <w:t xml:space="preserve"> access decisions by agencies are no longer amenable to review by the Administrative Appeals Tribunal</w:t>
      </w:r>
      <w:r w:rsidR="00CA5CFA" w:rsidRPr="001655FD">
        <w:t xml:space="preserve"> (now the Administrative Review Tribunal)</w:t>
      </w:r>
      <w:r w:rsidR="00FA4D97" w:rsidRPr="001655FD">
        <w:t xml:space="preserve">. Instead, any application for external review is to be made </w:t>
      </w:r>
      <w:r w:rsidR="00FA4D97" w:rsidRPr="001655FD">
        <w:lastRenderedPageBreak/>
        <w:t>first to the Information Commissioner. In turn, decisions of the Information Commissioner may then be the subject of an application for review by the Tribunal: s 57A. In addition, a review party may “appeal” to the Federal Court of Australia on a question of law from a decision of the Information Commissioner: s 56.</w:t>
      </w:r>
    </w:p>
    <w:p w14:paraId="295FE658" w14:textId="7E911882" w:rsidR="00FA4D97" w:rsidRPr="001655FD" w:rsidRDefault="00F122B2" w:rsidP="00F122B2">
      <w:pPr>
        <w:pStyle w:val="ParaNumbering"/>
        <w:numPr>
          <w:ilvl w:val="0"/>
          <w:numId w:val="0"/>
        </w:numPr>
        <w:tabs>
          <w:tab w:val="left" w:pos="720"/>
        </w:tabs>
        <w:ind w:hanging="720"/>
      </w:pPr>
      <w:bookmarkStart w:id="27" w:name="_Ref130722042"/>
      <w:r w:rsidRPr="001655FD">
        <w:rPr>
          <w:sz w:val="20"/>
        </w:rPr>
        <w:t>16</w:t>
      </w:r>
      <w:r w:rsidRPr="001655FD">
        <w:rPr>
          <w:sz w:val="20"/>
        </w:rPr>
        <w:tab/>
      </w:r>
      <w:r w:rsidR="00FA4D97" w:rsidRPr="001655FD">
        <w:t xml:space="preserve">The text of the provisions of </w:t>
      </w:r>
      <w:r w:rsidR="00CA5CFA" w:rsidRPr="001655FD">
        <w:t xml:space="preserve">Pt </w:t>
      </w:r>
      <w:r w:rsidR="00FA4D97" w:rsidRPr="001655FD">
        <w:t xml:space="preserve">VII of the FOI Act provide for a process of review and resolution with the following </w:t>
      </w:r>
      <w:r w:rsidR="00D0718F" w:rsidRPr="001655FD">
        <w:t xml:space="preserve">relevant </w:t>
      </w:r>
      <w:r w:rsidR="00FA4D97" w:rsidRPr="001655FD">
        <w:t>features</w:t>
      </w:r>
      <w:bookmarkEnd w:id="27"/>
      <w:r w:rsidR="00CA14B2" w:rsidRPr="001655FD">
        <w:t>:</w:t>
      </w:r>
    </w:p>
    <w:p w14:paraId="0651438F" w14:textId="3B531D20" w:rsidR="00FA4D97" w:rsidRPr="001655FD" w:rsidRDefault="00F122B2" w:rsidP="00F122B2">
      <w:pPr>
        <w:pStyle w:val="ListNo1"/>
        <w:numPr>
          <w:ilvl w:val="0"/>
          <w:numId w:val="0"/>
        </w:numPr>
        <w:tabs>
          <w:tab w:val="left" w:pos="720"/>
        </w:tabs>
        <w:ind w:left="720" w:hanging="720"/>
      </w:pPr>
      <w:r w:rsidRPr="001655FD">
        <w:t>(1)</w:t>
      </w:r>
      <w:r w:rsidRPr="001655FD">
        <w:tab/>
      </w:r>
      <w:r w:rsidR="00FA4D97" w:rsidRPr="001655FD">
        <w:t>The Information Commissioner may refer a reviewable decision to the Administrative Appeals Tribunal if satisfied that it is in the interests of justice to do so: s 54W(b), s 57A(1)(b).</w:t>
      </w:r>
      <w:r w:rsidR="00F42308" w:rsidRPr="001655FD">
        <w:t xml:space="preserve"> </w:t>
      </w:r>
    </w:p>
    <w:p w14:paraId="769979EC" w14:textId="13583E1A" w:rsidR="00FA4D97" w:rsidRPr="001655FD" w:rsidRDefault="00F122B2" w:rsidP="00F122B2">
      <w:pPr>
        <w:pStyle w:val="ListNo1"/>
        <w:numPr>
          <w:ilvl w:val="0"/>
          <w:numId w:val="0"/>
        </w:numPr>
        <w:tabs>
          <w:tab w:val="left" w:pos="720"/>
        </w:tabs>
        <w:ind w:left="720" w:hanging="720"/>
      </w:pPr>
      <w:r w:rsidRPr="001655FD">
        <w:t>(2)</w:t>
      </w:r>
      <w:r w:rsidRPr="001655FD">
        <w:tab/>
      </w:r>
      <w:r w:rsidR="00FA4D97" w:rsidRPr="001655FD">
        <w:t>Before undertaking an IC review, the Information Commissioner must inform the person, agency, or Minister who made the decision, or in the case of a review of a decision to grant access, the person who made the request: s 54Z.</w:t>
      </w:r>
    </w:p>
    <w:p w14:paraId="00E1F34C" w14:textId="66A2EC83" w:rsidR="00D77F1E" w:rsidRPr="001655FD" w:rsidRDefault="00F122B2" w:rsidP="00F122B2">
      <w:pPr>
        <w:pStyle w:val="ListNo1"/>
        <w:numPr>
          <w:ilvl w:val="0"/>
          <w:numId w:val="0"/>
        </w:numPr>
        <w:tabs>
          <w:tab w:val="left" w:pos="720"/>
        </w:tabs>
        <w:ind w:left="720" w:hanging="720"/>
      </w:pPr>
      <w:r w:rsidRPr="001655FD">
        <w:t>(3)</w:t>
      </w:r>
      <w:r w:rsidRPr="001655FD">
        <w:tab/>
      </w:r>
      <w:r w:rsidR="00FA4D97" w:rsidRPr="001655FD">
        <w:t>Section 55</w:t>
      </w:r>
      <w:r w:rsidR="00E37CFE" w:rsidRPr="001655FD">
        <w:t xml:space="preserve"> </w:t>
      </w:r>
      <w:r w:rsidR="00FA4D97" w:rsidRPr="001655FD">
        <w:t>provides</w:t>
      </w:r>
      <w:r w:rsidR="00A6376B" w:rsidRPr="001655FD">
        <w:t>,</w:t>
      </w:r>
      <w:r w:rsidR="00FA4D97" w:rsidRPr="001655FD">
        <w:t xml:space="preserve"> in wide terms</w:t>
      </w:r>
      <w:r w:rsidR="00743B69" w:rsidRPr="001655FD">
        <w:t>,</w:t>
      </w:r>
      <w:r w:rsidR="00FA4D97" w:rsidRPr="001655FD">
        <w:t xml:space="preserve"> </w:t>
      </w:r>
      <w:r w:rsidR="008F5982" w:rsidRPr="001655FD">
        <w:t xml:space="preserve">for the </w:t>
      </w:r>
      <w:r w:rsidR="00FA4D97" w:rsidRPr="001655FD">
        <w:t>manner in which an IC review is to be undertaken</w:t>
      </w:r>
      <w:r w:rsidR="006F4CF1" w:rsidRPr="001655FD">
        <w:t xml:space="preserve"> that is flexible in nature. The Information Commissioner </w:t>
      </w:r>
      <w:r w:rsidR="004B4C1B" w:rsidRPr="001655FD">
        <w:t>may</w:t>
      </w:r>
      <w:r w:rsidR="008A7065" w:rsidRPr="001655FD">
        <w:t xml:space="preserve">, </w:t>
      </w:r>
      <w:r w:rsidR="008A7065" w:rsidRPr="001655FD">
        <w:rPr>
          <w:i/>
          <w:iCs/>
        </w:rPr>
        <w:t>inter alia</w:t>
      </w:r>
      <w:r w:rsidR="00D77F1E" w:rsidRPr="001655FD">
        <w:t>:</w:t>
      </w:r>
      <w:r w:rsidR="004B4C1B" w:rsidRPr="001655FD">
        <w:t xml:space="preserve"> </w:t>
      </w:r>
    </w:p>
    <w:p w14:paraId="2B3075D4" w14:textId="445AB372" w:rsidR="00D77F1E" w:rsidRPr="001655FD" w:rsidRDefault="00F122B2" w:rsidP="00F122B2">
      <w:pPr>
        <w:pStyle w:val="ListNo2"/>
        <w:numPr>
          <w:ilvl w:val="0"/>
          <w:numId w:val="0"/>
        </w:numPr>
        <w:tabs>
          <w:tab w:val="left" w:pos="1440"/>
        </w:tabs>
        <w:ind w:left="1440" w:hanging="720"/>
      </w:pPr>
      <w:r w:rsidRPr="001655FD">
        <w:t>(a)</w:t>
      </w:r>
      <w:r w:rsidRPr="001655FD">
        <w:tab/>
      </w:r>
      <w:r w:rsidR="004B4C1B" w:rsidRPr="001655FD">
        <w:t xml:space="preserve">review the decision the subject of the application by considering documents provided to the </w:t>
      </w:r>
      <w:r w:rsidR="00456766">
        <w:t xml:space="preserve">Information </w:t>
      </w:r>
      <w:r w:rsidR="004B4C1B" w:rsidRPr="001655FD">
        <w:t>Commissioner</w:t>
      </w:r>
      <w:r w:rsidR="0074579A" w:rsidRPr="001655FD">
        <w:t>;</w:t>
      </w:r>
      <w:r w:rsidR="00D77F1E" w:rsidRPr="001655FD">
        <w:t xml:space="preserve"> </w:t>
      </w:r>
    </w:p>
    <w:p w14:paraId="1D448A87" w14:textId="5C264CBC" w:rsidR="00D77F1E" w:rsidRPr="001655FD" w:rsidRDefault="00F122B2" w:rsidP="00F122B2">
      <w:pPr>
        <w:pStyle w:val="ListNo2"/>
        <w:numPr>
          <w:ilvl w:val="0"/>
          <w:numId w:val="0"/>
        </w:numPr>
        <w:tabs>
          <w:tab w:val="left" w:pos="1440"/>
        </w:tabs>
        <w:ind w:left="1440" w:hanging="720"/>
      </w:pPr>
      <w:r w:rsidRPr="001655FD">
        <w:t>(b)</w:t>
      </w:r>
      <w:r w:rsidRPr="001655FD">
        <w:tab/>
      </w:r>
      <w:r w:rsidR="006F4CF1" w:rsidRPr="001655FD">
        <w:t>conduct a review without holding a hearing</w:t>
      </w:r>
      <w:r w:rsidR="0074579A" w:rsidRPr="001655FD">
        <w:t>;</w:t>
      </w:r>
      <w:r w:rsidR="006F4CF1" w:rsidRPr="001655FD">
        <w:t xml:space="preserve"> </w:t>
      </w:r>
    </w:p>
    <w:p w14:paraId="01047C32" w14:textId="3383A38E" w:rsidR="00D77F1E" w:rsidRPr="001655FD" w:rsidRDefault="00F122B2" w:rsidP="00F122B2">
      <w:pPr>
        <w:pStyle w:val="ListNo2"/>
        <w:numPr>
          <w:ilvl w:val="0"/>
          <w:numId w:val="0"/>
        </w:numPr>
        <w:tabs>
          <w:tab w:val="left" w:pos="1440"/>
        </w:tabs>
        <w:ind w:left="1440" w:hanging="720"/>
      </w:pPr>
      <w:r w:rsidRPr="001655FD">
        <w:t>(c)</w:t>
      </w:r>
      <w:r w:rsidRPr="001655FD">
        <w:tab/>
      </w:r>
      <w:r w:rsidR="006F4CF1" w:rsidRPr="001655FD">
        <w:t>conduct a review in whatever way is considered appropriate</w:t>
      </w:r>
      <w:r w:rsidR="00391897" w:rsidRPr="001655FD">
        <w:t xml:space="preserve">; </w:t>
      </w:r>
      <w:r w:rsidR="006F4CF1" w:rsidRPr="001655FD">
        <w:t xml:space="preserve">and </w:t>
      </w:r>
    </w:p>
    <w:p w14:paraId="2A035BB4" w14:textId="1FF5CB44" w:rsidR="00D77F1E" w:rsidRPr="001655FD" w:rsidRDefault="00F122B2" w:rsidP="00F122B2">
      <w:pPr>
        <w:pStyle w:val="ListNo2"/>
        <w:numPr>
          <w:ilvl w:val="0"/>
          <w:numId w:val="0"/>
        </w:numPr>
        <w:tabs>
          <w:tab w:val="left" w:pos="1440"/>
        </w:tabs>
        <w:ind w:left="1440" w:hanging="720"/>
      </w:pPr>
      <w:r w:rsidRPr="001655FD">
        <w:t>(d)</w:t>
      </w:r>
      <w:r w:rsidRPr="001655FD">
        <w:tab/>
      </w:r>
      <w:r w:rsidR="006F4CF1" w:rsidRPr="001655FD">
        <w:t xml:space="preserve">use techniques to facilitate an agreed resolution of the matters in issue. </w:t>
      </w:r>
      <w:r w:rsidR="00FA4D97" w:rsidRPr="001655FD">
        <w:t xml:space="preserve"> </w:t>
      </w:r>
    </w:p>
    <w:p w14:paraId="78E73CAE" w14:textId="27F292C8" w:rsidR="00FA4D97" w:rsidRPr="001655FD" w:rsidRDefault="00F122B2" w:rsidP="00F122B2">
      <w:pPr>
        <w:pStyle w:val="ListNo1"/>
        <w:numPr>
          <w:ilvl w:val="0"/>
          <w:numId w:val="0"/>
        </w:numPr>
        <w:tabs>
          <w:tab w:val="left" w:pos="720"/>
        </w:tabs>
        <w:ind w:left="720" w:hanging="720"/>
      </w:pPr>
      <w:r w:rsidRPr="001655FD">
        <w:t>(4)</w:t>
      </w:r>
      <w:r w:rsidRPr="001655FD">
        <w:tab/>
      </w:r>
      <w:r w:rsidR="004776B0" w:rsidRPr="001655FD">
        <w:t xml:space="preserve">Section 55 is complemented by the powers to gather information conferred on the Information Commissioner by </w:t>
      </w:r>
      <w:r w:rsidR="00CA5CFA" w:rsidRPr="001655FD">
        <w:t xml:space="preserve">Div </w:t>
      </w:r>
      <w:r w:rsidR="004776B0" w:rsidRPr="001655FD">
        <w:t xml:space="preserve">8 of </w:t>
      </w:r>
      <w:r w:rsidR="00CA5CFA" w:rsidRPr="001655FD">
        <w:t>Pt </w:t>
      </w:r>
      <w:r w:rsidR="004776B0" w:rsidRPr="001655FD">
        <w:t xml:space="preserve">VII of the </w:t>
      </w:r>
      <w:r w:rsidR="00CA5CFA" w:rsidRPr="001655FD">
        <w:t>FOI </w:t>
      </w:r>
      <w:r w:rsidR="004776B0" w:rsidRPr="001655FD">
        <w:t>Act.</w:t>
      </w:r>
    </w:p>
    <w:p w14:paraId="2D14C19A" w14:textId="38802AB1" w:rsidR="00FA4D97" w:rsidRPr="001655FD" w:rsidRDefault="00F122B2" w:rsidP="00F122B2">
      <w:pPr>
        <w:pStyle w:val="ListNo1"/>
        <w:numPr>
          <w:ilvl w:val="0"/>
          <w:numId w:val="0"/>
        </w:numPr>
        <w:tabs>
          <w:tab w:val="left" w:pos="720"/>
        </w:tabs>
        <w:ind w:left="720" w:hanging="720"/>
      </w:pPr>
      <w:r w:rsidRPr="001655FD">
        <w:t>(5)</w:t>
      </w:r>
      <w:r w:rsidRPr="001655FD">
        <w:tab/>
      </w:r>
      <w:r w:rsidR="00FA4D97" w:rsidRPr="001655FD">
        <w:t xml:space="preserve">There are special provisions of the FOI Act in relation to the production of documents that are claimed to be exempt documents. The Information Commissioner may require production of a document for the purposes of deciding whether the document is an exempt document: s 55T(2). In relation to national security documents, Cabinet documents, and Parliamentary Budget Office documents, the Information Commissioner may require production of a document for inspection only if </w:t>
      </w:r>
      <w:r w:rsidR="00FA4D97" w:rsidRPr="001655FD">
        <w:rPr>
          <w:i/>
          <w:iCs/>
        </w:rPr>
        <w:t>not</w:t>
      </w:r>
      <w:r w:rsidR="00FA4D97" w:rsidRPr="001655FD">
        <w:t xml:space="preserve"> satisfied by evidence on affidavit or otherwise that the document is an exempt document: s 55U(3).</w:t>
      </w:r>
    </w:p>
    <w:p w14:paraId="370EEEAB" w14:textId="4A083904" w:rsidR="00632BE4" w:rsidRPr="001655FD" w:rsidRDefault="00F122B2" w:rsidP="00F122B2">
      <w:pPr>
        <w:pStyle w:val="ListNo1"/>
        <w:numPr>
          <w:ilvl w:val="0"/>
          <w:numId w:val="0"/>
        </w:numPr>
        <w:tabs>
          <w:tab w:val="left" w:pos="720"/>
        </w:tabs>
        <w:ind w:left="720" w:hanging="720"/>
      </w:pPr>
      <w:r w:rsidRPr="001655FD">
        <w:t>(6)</w:t>
      </w:r>
      <w:r w:rsidRPr="001655FD">
        <w:tab/>
      </w:r>
      <w:r w:rsidR="00FA4D97" w:rsidRPr="001655FD">
        <w:t xml:space="preserve">The broad discretion given to the Information Commissioner in relation to the manner in which an IC review is to be conducted is subject to the exhortations in s 55(4), which </w:t>
      </w:r>
      <w:r w:rsidR="00FA4D97" w:rsidRPr="001655FD">
        <w:lastRenderedPageBreak/>
        <w:t xml:space="preserve">include that the IC review is to be conducted with as little formality and technicality as possible and </w:t>
      </w:r>
      <w:r w:rsidR="00452CB4" w:rsidRPr="001655FD">
        <w:t>“</w:t>
      </w:r>
      <w:r w:rsidR="00FA4D97" w:rsidRPr="001655FD">
        <w:t xml:space="preserve">in </w:t>
      </w:r>
      <w:r w:rsidR="00C16ACC" w:rsidRPr="001655FD">
        <w:t xml:space="preserve">as </w:t>
      </w:r>
      <w:r w:rsidR="00FA4D97" w:rsidRPr="001655FD">
        <w:t xml:space="preserve">timely </w:t>
      </w:r>
      <w:r w:rsidR="00C16ACC" w:rsidRPr="001655FD">
        <w:t xml:space="preserve">a </w:t>
      </w:r>
      <w:r w:rsidR="00FA4D97" w:rsidRPr="001655FD">
        <w:t>manner</w:t>
      </w:r>
      <w:r w:rsidR="00C16ACC" w:rsidRPr="001655FD">
        <w:t xml:space="preserve"> as is possible given” specified matters: the requirements of the FOI Act and any other law and the proper consideration of the matters before the </w:t>
      </w:r>
      <w:r w:rsidR="00AD41B0" w:rsidRPr="001655FD">
        <w:t>Information Commissioner</w:t>
      </w:r>
      <w:r w:rsidR="00FA4D97" w:rsidRPr="001655FD">
        <w:t>.</w:t>
      </w:r>
      <w:r w:rsidR="001F17BF" w:rsidRPr="001655FD">
        <w:t xml:space="preserve"> </w:t>
      </w:r>
      <w:r w:rsidR="00BC7418" w:rsidRPr="001655FD">
        <w:t xml:space="preserve">See </w:t>
      </w:r>
      <w:r w:rsidR="00D91CB4" w:rsidRPr="001655FD">
        <w:t>[</w:t>
      </w:r>
      <w:r w:rsidR="00D91CB4" w:rsidRPr="001655FD">
        <w:fldChar w:fldCharType="begin"/>
      </w:r>
      <w:r w:rsidR="00D91CB4" w:rsidRPr="001655FD">
        <w:instrText xml:space="preserve"> REF _Ref168999742 \r \h </w:instrText>
      </w:r>
      <w:r w:rsidR="00DA6D00" w:rsidRPr="001655FD">
        <w:instrText xml:space="preserve"> \* MERGEFORMAT </w:instrText>
      </w:r>
      <w:r w:rsidR="00D91CB4" w:rsidRPr="001655FD">
        <w:fldChar w:fldCharType="separate"/>
      </w:r>
      <w:r w:rsidR="009F3992">
        <w:t>47</w:t>
      </w:r>
      <w:r w:rsidR="00D91CB4" w:rsidRPr="001655FD">
        <w:fldChar w:fldCharType="end"/>
      </w:r>
      <w:r w:rsidR="00D91CB4" w:rsidRPr="001655FD">
        <w:t>]-[</w:t>
      </w:r>
      <w:r w:rsidR="00D91CB4" w:rsidRPr="001655FD">
        <w:fldChar w:fldCharType="begin"/>
      </w:r>
      <w:r w:rsidR="00D91CB4" w:rsidRPr="001655FD">
        <w:instrText xml:space="preserve"> REF _Ref168999750 \r \h </w:instrText>
      </w:r>
      <w:r w:rsidR="00DA6D00" w:rsidRPr="001655FD">
        <w:instrText xml:space="preserve"> \* MERGEFORMAT </w:instrText>
      </w:r>
      <w:r w:rsidR="00D91CB4" w:rsidRPr="001655FD">
        <w:fldChar w:fldCharType="separate"/>
      </w:r>
      <w:r w:rsidR="009F3992">
        <w:t>52</w:t>
      </w:r>
      <w:r w:rsidR="00D91CB4" w:rsidRPr="001655FD">
        <w:fldChar w:fldCharType="end"/>
      </w:r>
      <w:r w:rsidR="00D91CB4" w:rsidRPr="001655FD">
        <w:t>] below.</w:t>
      </w:r>
    </w:p>
    <w:p w14:paraId="01D2C258" w14:textId="1362A2B2" w:rsidR="00FA4D97" w:rsidRPr="001655FD" w:rsidRDefault="00F122B2" w:rsidP="00F122B2">
      <w:pPr>
        <w:pStyle w:val="ListNo1"/>
        <w:numPr>
          <w:ilvl w:val="0"/>
          <w:numId w:val="0"/>
        </w:numPr>
        <w:tabs>
          <w:tab w:val="left" w:pos="720"/>
        </w:tabs>
        <w:ind w:left="720" w:hanging="720"/>
      </w:pPr>
      <w:r w:rsidRPr="001655FD">
        <w:t>(7)</w:t>
      </w:r>
      <w:r w:rsidRPr="001655FD">
        <w:tab/>
      </w:r>
      <w:r w:rsidR="00FA4D97" w:rsidRPr="001655FD">
        <w:t>The Information Commissioner is authorised by s 55(2)(e) to give written directions in relation to the procedure to be followed in relation to IC reviews generally, or in relation to a particular IC review. Such a direction is not a legislative instrument: s 55(3). The Information Commissioner has published directions in relation to reviews generally</w:t>
      </w:r>
      <w:r w:rsidR="00367D12" w:rsidRPr="001655FD">
        <w:t>.</w:t>
      </w:r>
    </w:p>
    <w:p w14:paraId="64DA8F9E" w14:textId="577DE262" w:rsidR="00FA4D97" w:rsidRPr="001655FD" w:rsidRDefault="00F122B2" w:rsidP="00F122B2">
      <w:pPr>
        <w:pStyle w:val="ListNo1"/>
        <w:numPr>
          <w:ilvl w:val="0"/>
          <w:numId w:val="0"/>
        </w:numPr>
        <w:tabs>
          <w:tab w:val="left" w:pos="720"/>
        </w:tabs>
        <w:ind w:left="720" w:hanging="720"/>
      </w:pPr>
      <w:r w:rsidRPr="001655FD">
        <w:t>(8)</w:t>
      </w:r>
      <w:r w:rsidRPr="001655FD">
        <w:tab/>
      </w:r>
      <w:r w:rsidR="00FA4D97" w:rsidRPr="001655FD">
        <w:t xml:space="preserve">At any time while an IC review is on foot, an agency or a Minister may vary, or set aside and substitute, an access refusal decision if, </w:t>
      </w:r>
      <w:r w:rsidR="00FA4D97" w:rsidRPr="001655FD">
        <w:rPr>
          <w:i/>
          <w:iCs/>
        </w:rPr>
        <w:t>inter alia</w:t>
      </w:r>
      <w:r w:rsidR="00FA4D97" w:rsidRPr="001655FD">
        <w:t>, it would have the effect of giving access to a document in accordance with the subject request. Where there is a variation or substitution of a decision, the Information Commissioner must deal with the IC review application as if it were an application to review the varied or substituted decision: s 55G.</w:t>
      </w:r>
    </w:p>
    <w:p w14:paraId="21D9CD95" w14:textId="6014C416" w:rsidR="00FA4D97" w:rsidRPr="001655FD" w:rsidRDefault="00F122B2" w:rsidP="00F122B2">
      <w:pPr>
        <w:pStyle w:val="ListNo1"/>
        <w:numPr>
          <w:ilvl w:val="0"/>
          <w:numId w:val="0"/>
        </w:numPr>
        <w:tabs>
          <w:tab w:val="left" w:pos="720"/>
        </w:tabs>
        <w:ind w:left="720" w:hanging="720"/>
      </w:pPr>
      <w:bookmarkStart w:id="28" w:name="_Ref130722049"/>
      <w:r w:rsidRPr="001655FD">
        <w:t>(9)</w:t>
      </w:r>
      <w:r w:rsidRPr="001655FD">
        <w:tab/>
      </w:r>
      <w:r w:rsidR="00FA4D97" w:rsidRPr="001655FD">
        <w:t>An important provision is s 55K</w:t>
      </w:r>
      <w:bookmarkEnd w:id="28"/>
      <w:r w:rsidR="00DB6D7B" w:rsidRPr="001655FD">
        <w:t>:</w:t>
      </w:r>
    </w:p>
    <w:p w14:paraId="3BB08793" w14:textId="77777777" w:rsidR="00FA4D97" w:rsidRPr="001655FD" w:rsidRDefault="00FA4D97" w:rsidP="00FA4D97">
      <w:pPr>
        <w:pStyle w:val="Quote1"/>
        <w:rPr>
          <w:b/>
        </w:rPr>
      </w:pPr>
      <w:r w:rsidRPr="001655FD">
        <w:rPr>
          <w:b/>
        </w:rPr>
        <w:t>55K</w:t>
      </w:r>
      <w:r w:rsidRPr="001655FD">
        <w:rPr>
          <w:b/>
        </w:rPr>
        <w:tab/>
        <w:t>Decision on IC review—decision of Information Commissioner</w:t>
      </w:r>
    </w:p>
    <w:p w14:paraId="7E4DDFF3" w14:textId="77777777" w:rsidR="00FA4D97" w:rsidRPr="001655FD" w:rsidRDefault="00FA4D97" w:rsidP="00FA4D97">
      <w:pPr>
        <w:pStyle w:val="Quote2"/>
        <w:ind w:left="2160" w:hanging="720"/>
      </w:pPr>
      <w:r w:rsidRPr="001655FD">
        <w:t>(1)</w:t>
      </w:r>
      <w:r w:rsidRPr="001655FD">
        <w:tab/>
        <w:t xml:space="preserve">After undertaking an IC review, the Information Commissioner must make a decision in writing: </w:t>
      </w:r>
    </w:p>
    <w:p w14:paraId="0C956D68" w14:textId="77777777" w:rsidR="00FA4D97" w:rsidRPr="001655FD" w:rsidRDefault="00FA4D97" w:rsidP="00FA4D97">
      <w:pPr>
        <w:pStyle w:val="Quote3"/>
        <w:ind w:left="2880" w:hanging="720"/>
      </w:pPr>
      <w:r w:rsidRPr="001655FD">
        <w:t>(a)</w:t>
      </w:r>
      <w:r w:rsidRPr="001655FD">
        <w:tab/>
        <w:t xml:space="preserve">affirming the IC reviewable decision; or </w:t>
      </w:r>
    </w:p>
    <w:p w14:paraId="5B92F9A2" w14:textId="77777777" w:rsidR="00FA4D97" w:rsidRPr="001655FD" w:rsidRDefault="00FA4D97" w:rsidP="00FA4D97">
      <w:pPr>
        <w:pStyle w:val="Quote3"/>
        <w:ind w:left="2880" w:hanging="720"/>
      </w:pPr>
      <w:r w:rsidRPr="001655FD">
        <w:t>(b)</w:t>
      </w:r>
      <w:r w:rsidRPr="001655FD">
        <w:tab/>
        <w:t xml:space="preserve">varying the IC reviewable decision; or </w:t>
      </w:r>
    </w:p>
    <w:p w14:paraId="307FA74D" w14:textId="77777777" w:rsidR="00FA4D97" w:rsidRPr="001655FD" w:rsidRDefault="00FA4D97" w:rsidP="00FA4D97">
      <w:pPr>
        <w:pStyle w:val="Quote3"/>
        <w:ind w:left="2880" w:hanging="720"/>
      </w:pPr>
      <w:r w:rsidRPr="001655FD">
        <w:t>(c)</w:t>
      </w:r>
      <w:r w:rsidRPr="001655FD">
        <w:tab/>
        <w:t>setting aside the IC reviewable decision and making a decision in substitution for that decision.</w:t>
      </w:r>
    </w:p>
    <w:p w14:paraId="30956221" w14:textId="14E2E917" w:rsidR="003817A8" w:rsidRPr="001655FD" w:rsidRDefault="00F122B2" w:rsidP="00F122B2">
      <w:pPr>
        <w:pStyle w:val="ListNo1"/>
        <w:numPr>
          <w:ilvl w:val="0"/>
          <w:numId w:val="0"/>
        </w:numPr>
        <w:tabs>
          <w:tab w:val="left" w:pos="720"/>
        </w:tabs>
        <w:ind w:left="720" w:hanging="720"/>
      </w:pPr>
      <w:r w:rsidRPr="001655FD">
        <w:t>(10)</w:t>
      </w:r>
      <w:r w:rsidRPr="001655FD">
        <w:tab/>
      </w:r>
      <w:r w:rsidR="00FA4D97" w:rsidRPr="001655FD">
        <w:t xml:space="preserve">Under s 55K(4), a decision on an IC review must include a statement of reasons for the decision. This obligation attracts the requirements of s 25D of the </w:t>
      </w:r>
      <w:r w:rsidR="00FA4D97" w:rsidRPr="001655FD">
        <w:rPr>
          <w:i/>
        </w:rPr>
        <w:t xml:space="preserve">Acts Interpretation Act </w:t>
      </w:r>
      <w:r w:rsidR="00FA4D97" w:rsidRPr="001655FD">
        <w:t>to set out in the statement the findings on material questions of fact and to refer to the evidence or other material on which those findings were based.</w:t>
      </w:r>
    </w:p>
    <w:p w14:paraId="7199FC62" w14:textId="5D2B8723" w:rsidR="001349C1" w:rsidRPr="001655FD" w:rsidRDefault="00407EB6" w:rsidP="00FC057C">
      <w:pPr>
        <w:pStyle w:val="Heading3"/>
      </w:pPr>
      <w:bookmarkStart w:id="29" w:name="_Ref135929687"/>
      <w:bookmarkStart w:id="30" w:name="_Ref135988140"/>
      <w:r w:rsidRPr="001655FD">
        <w:t>Administrative Decisions (Judicial Review) Act 1977 (Cth)</w:t>
      </w:r>
      <w:bookmarkEnd w:id="29"/>
      <w:bookmarkEnd w:id="30"/>
    </w:p>
    <w:p w14:paraId="1A45DFE4" w14:textId="5481DC07" w:rsidR="00A74482" w:rsidRPr="001655FD" w:rsidRDefault="00F122B2" w:rsidP="00F122B2">
      <w:pPr>
        <w:pStyle w:val="ParaNumbering"/>
        <w:numPr>
          <w:ilvl w:val="0"/>
          <w:numId w:val="0"/>
        </w:numPr>
        <w:tabs>
          <w:tab w:val="left" w:pos="720"/>
        </w:tabs>
        <w:ind w:hanging="720"/>
      </w:pPr>
      <w:r w:rsidRPr="001655FD">
        <w:rPr>
          <w:sz w:val="20"/>
        </w:rPr>
        <w:t>17</w:t>
      </w:r>
      <w:r w:rsidRPr="001655FD">
        <w:rPr>
          <w:sz w:val="20"/>
        </w:rPr>
        <w:tab/>
      </w:r>
      <w:r w:rsidR="00F3481D" w:rsidRPr="001655FD">
        <w:t>As explained above at [</w:t>
      </w:r>
      <w:r w:rsidR="00F3481D" w:rsidRPr="001655FD">
        <w:fldChar w:fldCharType="begin"/>
      </w:r>
      <w:r w:rsidR="00F3481D" w:rsidRPr="001655FD">
        <w:instrText xml:space="preserve"> REF _Ref169000214 \r \h </w:instrText>
      </w:r>
      <w:r w:rsidR="00AE1C91" w:rsidRPr="001655FD">
        <w:instrText xml:space="preserve"> \* MERGEFORMAT </w:instrText>
      </w:r>
      <w:r w:rsidR="00F3481D" w:rsidRPr="001655FD">
        <w:fldChar w:fldCharType="separate"/>
      </w:r>
      <w:r w:rsidR="009F3992">
        <w:t>4</w:t>
      </w:r>
      <w:r w:rsidR="00F3481D" w:rsidRPr="001655FD">
        <w:fldChar w:fldCharType="end"/>
      </w:r>
      <w:r w:rsidR="00F3481D" w:rsidRPr="001655FD">
        <w:t>], t</w:t>
      </w:r>
      <w:r w:rsidR="00DE5891" w:rsidRPr="001655FD">
        <w:t>he appellant</w:t>
      </w:r>
      <w:r w:rsidR="00803B30" w:rsidRPr="001655FD">
        <w:t>,</w:t>
      </w:r>
      <w:r w:rsidR="00F3481D" w:rsidRPr="001655FD">
        <w:t xml:space="preserve"> </w:t>
      </w:r>
      <w:r w:rsidR="00803B30" w:rsidRPr="001655FD">
        <w:t xml:space="preserve">by bringing a review pursuant to s 7(1) of the ADJR Act, </w:t>
      </w:r>
      <w:r w:rsidR="00F3481D" w:rsidRPr="001655FD">
        <w:t>presses for declarations to be made to vindicate his contention that the legal limits on the AIC’s authority</w:t>
      </w:r>
      <w:r w:rsidR="00AE1C91" w:rsidRPr="001655FD">
        <w:t xml:space="preserve"> </w:t>
      </w:r>
      <w:r w:rsidR="00F3481D" w:rsidRPr="001655FD">
        <w:t xml:space="preserve">have been exceeded </w:t>
      </w:r>
      <w:r w:rsidR="00A6376B" w:rsidRPr="001655FD">
        <w:t xml:space="preserve">because </w:t>
      </w:r>
      <w:r w:rsidR="00F3481D" w:rsidRPr="001655FD">
        <w:t xml:space="preserve">his right to IC review </w:t>
      </w:r>
      <w:r w:rsidR="00A6376B" w:rsidRPr="001655FD">
        <w:t xml:space="preserve">has been </w:t>
      </w:r>
      <w:r w:rsidR="00F3481D" w:rsidRPr="001655FD">
        <w:t>unlawfully delayed</w:t>
      </w:r>
      <w:r w:rsidR="00AE1C91" w:rsidRPr="001655FD">
        <w:t>.</w:t>
      </w:r>
    </w:p>
    <w:p w14:paraId="3BF86295" w14:textId="138E488C" w:rsidR="00DE5891" w:rsidRPr="001655FD" w:rsidRDefault="00F122B2" w:rsidP="00F122B2">
      <w:pPr>
        <w:pStyle w:val="ParaNumbering"/>
        <w:numPr>
          <w:ilvl w:val="0"/>
          <w:numId w:val="0"/>
        </w:numPr>
        <w:tabs>
          <w:tab w:val="left" w:pos="720"/>
        </w:tabs>
        <w:ind w:hanging="720"/>
      </w:pPr>
      <w:r w:rsidRPr="001655FD">
        <w:rPr>
          <w:sz w:val="20"/>
        </w:rPr>
        <w:lastRenderedPageBreak/>
        <w:t>18</w:t>
      </w:r>
      <w:r w:rsidRPr="001655FD">
        <w:rPr>
          <w:sz w:val="20"/>
        </w:rPr>
        <w:tab/>
      </w:r>
      <w:r w:rsidR="00DF20A8" w:rsidRPr="001655FD">
        <w:t xml:space="preserve">Section </w:t>
      </w:r>
      <w:r w:rsidR="00DE5891" w:rsidRPr="001655FD">
        <w:t>7(1) of the ADJR Act provides that a person aggrieved by a failure to make a decision may apply to the Court for an order of review on the ground that there has been unreasonable delay in making the decision</w:t>
      </w:r>
      <w:r w:rsidR="007B4A75" w:rsidRPr="001655FD">
        <w:t>:</w:t>
      </w:r>
    </w:p>
    <w:p w14:paraId="42EAD36F" w14:textId="77777777" w:rsidR="00DE5891" w:rsidRPr="001655FD" w:rsidRDefault="00DE5891" w:rsidP="00DE5891">
      <w:pPr>
        <w:pStyle w:val="Quote1"/>
        <w:rPr>
          <w:b/>
        </w:rPr>
      </w:pPr>
      <w:r w:rsidRPr="001655FD">
        <w:rPr>
          <w:b/>
        </w:rPr>
        <w:t>7</w:t>
      </w:r>
      <w:r w:rsidRPr="001655FD">
        <w:rPr>
          <w:b/>
        </w:rPr>
        <w:tab/>
        <w:t>Applications in respect of failures to make decisions</w:t>
      </w:r>
    </w:p>
    <w:p w14:paraId="45BE12FB" w14:textId="77777777" w:rsidR="00DE5891" w:rsidRPr="001655FD" w:rsidRDefault="00DE5891" w:rsidP="00DE5891">
      <w:pPr>
        <w:pStyle w:val="Quote2"/>
      </w:pPr>
      <w:r w:rsidRPr="001655FD">
        <w:t>(1)</w:t>
      </w:r>
      <w:r w:rsidRPr="001655FD">
        <w:tab/>
        <w:t>Where:</w:t>
      </w:r>
    </w:p>
    <w:p w14:paraId="27EAEFDE" w14:textId="77777777" w:rsidR="00DE5891" w:rsidRPr="001655FD" w:rsidRDefault="00DE5891" w:rsidP="00DE5891">
      <w:pPr>
        <w:pStyle w:val="Quote3"/>
        <w:ind w:left="2880" w:hanging="720"/>
      </w:pPr>
      <w:r w:rsidRPr="001655FD">
        <w:t>(a)</w:t>
      </w:r>
      <w:r w:rsidRPr="001655FD">
        <w:tab/>
        <w:t>a person has a duty to make a decision to which this Act applies;</w:t>
      </w:r>
    </w:p>
    <w:p w14:paraId="7B00D277" w14:textId="77777777" w:rsidR="00DE5891" w:rsidRPr="001655FD" w:rsidRDefault="00DE5891" w:rsidP="00DE5891">
      <w:pPr>
        <w:pStyle w:val="Quote3"/>
        <w:ind w:left="2880" w:hanging="720"/>
      </w:pPr>
      <w:r w:rsidRPr="001655FD">
        <w:t>(b)</w:t>
      </w:r>
      <w:r w:rsidRPr="001655FD">
        <w:tab/>
        <w:t>there is no law that prescribes a period within which the person is required to make that decision; and</w:t>
      </w:r>
    </w:p>
    <w:p w14:paraId="69970F9F" w14:textId="77777777" w:rsidR="00DE5891" w:rsidRPr="001655FD" w:rsidRDefault="00DE5891" w:rsidP="00DE5891">
      <w:pPr>
        <w:pStyle w:val="Quote3"/>
        <w:ind w:left="2880" w:hanging="720"/>
      </w:pPr>
      <w:r w:rsidRPr="001655FD">
        <w:t>(c)</w:t>
      </w:r>
      <w:r w:rsidRPr="001655FD">
        <w:tab/>
        <w:t>the person has failed to make that decision;</w:t>
      </w:r>
    </w:p>
    <w:p w14:paraId="2DD6BC09" w14:textId="0A20A9D3" w:rsidR="00FE52DF" w:rsidRPr="001655FD" w:rsidRDefault="00DE5891" w:rsidP="00843194">
      <w:pPr>
        <w:pStyle w:val="Quote3"/>
      </w:pPr>
      <w:r w:rsidRPr="001655FD">
        <w:t>a person who is aggrieved by the failure of the first-mentioned person to make the decision may apply to the Federal Court or the Federal Circuit and Family Court of Australia (Division 2) for an order of review in respect of the failure to make the decision on the ground that there has been unreasonable delay in making the decision.</w:t>
      </w:r>
    </w:p>
    <w:p w14:paraId="4123153E" w14:textId="0F0A2A7D" w:rsidR="00874F16" w:rsidRPr="001655FD" w:rsidRDefault="00874F16" w:rsidP="00E306FB">
      <w:pPr>
        <w:pStyle w:val="Heading2"/>
      </w:pPr>
      <w:r w:rsidRPr="001655FD">
        <w:t xml:space="preserve">Primary Judgment </w:t>
      </w:r>
    </w:p>
    <w:p w14:paraId="03E22294" w14:textId="5E31D992" w:rsidR="009D5535" w:rsidRPr="001655FD" w:rsidRDefault="00F122B2" w:rsidP="00F122B2">
      <w:pPr>
        <w:pStyle w:val="ParaNumbering"/>
        <w:numPr>
          <w:ilvl w:val="0"/>
          <w:numId w:val="0"/>
        </w:numPr>
        <w:tabs>
          <w:tab w:val="left" w:pos="720"/>
        </w:tabs>
        <w:ind w:hanging="720"/>
      </w:pPr>
      <w:bookmarkStart w:id="31" w:name="_Ref168664949"/>
      <w:r w:rsidRPr="001655FD">
        <w:rPr>
          <w:sz w:val="20"/>
        </w:rPr>
        <w:t>19</w:t>
      </w:r>
      <w:r w:rsidRPr="001655FD">
        <w:rPr>
          <w:sz w:val="20"/>
        </w:rPr>
        <w:tab/>
      </w:r>
      <w:r w:rsidR="00011536" w:rsidRPr="001655FD">
        <w:t xml:space="preserve">The primary judgment at [5]-[7] </w:t>
      </w:r>
      <w:r w:rsidR="00874F16" w:rsidRPr="001655FD">
        <w:t xml:space="preserve">accurately summarises </w:t>
      </w:r>
      <w:r w:rsidR="00011536" w:rsidRPr="001655FD">
        <w:t xml:space="preserve">his Honour’s </w:t>
      </w:r>
      <w:r w:rsidR="009D5535" w:rsidRPr="001655FD">
        <w:t>conclusions</w:t>
      </w:r>
      <w:r w:rsidR="00011536" w:rsidRPr="001655FD">
        <w:t xml:space="preserve"> (emphasis in original)</w:t>
      </w:r>
      <w:r w:rsidR="00740ACB" w:rsidRPr="001655FD">
        <w:t>:</w:t>
      </w:r>
      <w:r w:rsidR="00011536" w:rsidRPr="001655FD" w:rsidDel="00011536">
        <w:t xml:space="preserve"> </w:t>
      </w:r>
      <w:bookmarkEnd w:id="31"/>
    </w:p>
    <w:p w14:paraId="2E4547C7" w14:textId="009A64DC" w:rsidR="00F869DA" w:rsidRPr="001655FD" w:rsidRDefault="00AE0E2A" w:rsidP="00FC057C">
      <w:pPr>
        <w:pStyle w:val="Quote1"/>
        <w:ind w:left="1440" w:hanging="703"/>
      </w:pPr>
      <w:r w:rsidRPr="001655FD">
        <w:t>[</w:t>
      </w:r>
      <w:r w:rsidR="00A559B4" w:rsidRPr="001655FD">
        <w:t>5</w:t>
      </w:r>
      <w:r w:rsidRPr="001655FD">
        <w:t>]</w:t>
      </w:r>
      <w:r w:rsidR="000D0022" w:rsidRPr="001655FD">
        <w:tab/>
      </w:r>
      <w:r w:rsidR="00F869DA" w:rsidRPr="001655FD">
        <w:t xml:space="preserve">The main question in this proceeding is whether, within the framework of the applicable legislation, there have been </w:t>
      </w:r>
      <w:r w:rsidR="00F869DA" w:rsidRPr="001655FD">
        <w:rPr>
          <w:i/>
        </w:rPr>
        <w:t>unreasonable</w:t>
      </w:r>
      <w:r w:rsidR="00F869DA" w:rsidRPr="001655FD">
        <w:t xml:space="preserve"> delays in the sense </w:t>
      </w:r>
      <w:r w:rsidR="00BD4AA0" w:rsidRPr="001655FD">
        <w:t>[</w:t>
      </w:r>
      <w:r w:rsidR="00BD4AA0" w:rsidRPr="001655FD">
        <w:rPr>
          <w:szCs w:val="22"/>
        </w:rPr>
        <w:t>required to engage s 7(1) of the ADJR Act</w:t>
      </w:r>
      <w:r w:rsidR="00BD4AA0" w:rsidRPr="001655FD">
        <w:t>]</w:t>
      </w:r>
      <w:r w:rsidR="00F869DA" w:rsidRPr="001655FD">
        <w:t>. The question raised is not whether there have been significant delays by the Information Commissioner, or whether by reference to the standards of some objective hypothetical applicant for IC review the delays have been unacceptable. A claim that the Information Commissioner has engaged in unreasonable delays in completing the applicant’s applications for IC review must take account of the resources that are available to the Commissioner and the competing demands on those resources. It is for the Commissioner to determine the best and most efficient way to use the resources that are available. The Commissioner must do this having regard to the totality of the Commissioner’s statutory functions, and the need to address the caseload of all applications for IC review, and not only those made by the applicant.</w:t>
      </w:r>
    </w:p>
    <w:p w14:paraId="32DF6945" w14:textId="2CEEEF11" w:rsidR="00F869DA" w:rsidRPr="001655FD" w:rsidRDefault="00AE0E2A" w:rsidP="00FC057C">
      <w:pPr>
        <w:pStyle w:val="Quote1"/>
        <w:ind w:left="1440" w:hanging="703"/>
        <w:rPr>
          <w:szCs w:val="22"/>
        </w:rPr>
      </w:pPr>
      <w:r w:rsidRPr="001655FD">
        <w:rPr>
          <w:szCs w:val="22"/>
        </w:rPr>
        <w:t>[</w:t>
      </w:r>
      <w:r w:rsidR="000D0022" w:rsidRPr="001655FD">
        <w:rPr>
          <w:szCs w:val="22"/>
        </w:rPr>
        <w:t>6</w:t>
      </w:r>
      <w:r w:rsidRPr="001655FD">
        <w:rPr>
          <w:szCs w:val="22"/>
        </w:rPr>
        <w:t>]</w:t>
      </w:r>
      <w:r w:rsidR="000D0022" w:rsidRPr="001655FD">
        <w:rPr>
          <w:szCs w:val="22"/>
        </w:rPr>
        <w:tab/>
      </w:r>
      <w:r w:rsidR="0027735C" w:rsidRPr="001655FD">
        <w:rPr>
          <w:szCs w:val="22"/>
        </w:rPr>
        <w:t>…</w:t>
      </w:r>
      <w:r w:rsidR="00F869DA" w:rsidRPr="001655FD">
        <w:rPr>
          <w:szCs w:val="22"/>
        </w:rPr>
        <w:t xml:space="preserve"> The picture that is painted by the evidence is that the Australian Information Commissioner has limited resources to undertake, in accordance with the applicable statutory requirements, the volume of IC reviews that are before her. The evidence supports a conclusion that the Information Commissioner takes account of the interests of all applicants for IC review in managing the best use of those limited resources. It appears that the general position is that IC reviews take a course that involves very significant delays where IC reviews may lie dormant for long periods and take years to complete. That picture was painted with great clarity as a consequence of the fact that the applicant sought relief in respect of seven IC review applications, where the causes of the lengthy delays were common and the combined force of the evidence pointed to an unquestionable shortage of resources. Whether that situation is </w:t>
      </w:r>
      <w:r w:rsidR="00F869DA" w:rsidRPr="001655FD">
        <w:rPr>
          <w:szCs w:val="22"/>
        </w:rPr>
        <w:lastRenderedPageBreak/>
        <w:t>acceptable is not a question for the Court to decide. It is commonplace that resources available for government institutions and services such as public hospitals, other care facilities, public transport, government schools, administrative decision-makers, and courts, are finite. The failure to meet the expectations of some users of government services does not, without more, have the consequence that those responsible for the discharge of the relevant public function have acted unreasonably in the eyes of the law. It is ultimately for the Commonwealth Parliament to legislate so as to appropriate monies to the Office of the Australian Information Commissioner in order to enable the discharge of the Commissioner’s statutory functions. Any legislative decision no doubt needs to balance competing budgetary demands, which are for the Parliament to consider.</w:t>
      </w:r>
    </w:p>
    <w:p w14:paraId="3E0C40A8" w14:textId="38743903" w:rsidR="00C13964" w:rsidRPr="001655FD" w:rsidRDefault="00AE0E2A" w:rsidP="00FC057C">
      <w:pPr>
        <w:pStyle w:val="Quote1"/>
        <w:ind w:left="1440" w:hanging="703"/>
        <w:rPr>
          <w:szCs w:val="22"/>
        </w:rPr>
      </w:pPr>
      <w:r w:rsidRPr="001655FD">
        <w:rPr>
          <w:szCs w:val="22"/>
        </w:rPr>
        <w:t>[</w:t>
      </w:r>
      <w:r w:rsidR="000D0022" w:rsidRPr="001655FD">
        <w:rPr>
          <w:szCs w:val="22"/>
        </w:rPr>
        <w:t>7</w:t>
      </w:r>
      <w:r w:rsidRPr="001655FD">
        <w:rPr>
          <w:szCs w:val="22"/>
        </w:rPr>
        <w:t>]</w:t>
      </w:r>
      <w:r w:rsidR="000D0022" w:rsidRPr="001655FD">
        <w:rPr>
          <w:szCs w:val="22"/>
        </w:rPr>
        <w:tab/>
      </w:r>
      <w:r w:rsidR="00F869DA" w:rsidRPr="001655FD">
        <w:rPr>
          <w:szCs w:val="22"/>
        </w:rPr>
        <w:t xml:space="preserve">For the reasons that follow, the applicant has not established that there has been unreasonable delay in the sense required to engage s 7(1) of the ADJR Act. </w:t>
      </w:r>
      <w:r w:rsidR="00BD73F2" w:rsidRPr="001655FD">
        <w:rPr>
          <w:szCs w:val="22"/>
        </w:rPr>
        <w:t xml:space="preserve">… </w:t>
      </w:r>
    </w:p>
    <w:p w14:paraId="7A4DC97F" w14:textId="2D9592EA" w:rsidR="00A51A9C" w:rsidRPr="001655FD" w:rsidRDefault="00F122B2" w:rsidP="00F122B2">
      <w:pPr>
        <w:pStyle w:val="ParaNumbering"/>
        <w:numPr>
          <w:ilvl w:val="0"/>
          <w:numId w:val="0"/>
        </w:numPr>
        <w:tabs>
          <w:tab w:val="left" w:pos="720"/>
        </w:tabs>
        <w:ind w:hanging="720"/>
      </w:pPr>
      <w:r w:rsidRPr="001655FD">
        <w:rPr>
          <w:sz w:val="20"/>
        </w:rPr>
        <w:t>20</w:t>
      </w:r>
      <w:r w:rsidRPr="001655FD">
        <w:rPr>
          <w:sz w:val="20"/>
        </w:rPr>
        <w:tab/>
      </w:r>
      <w:r w:rsidR="009C7334" w:rsidRPr="001655FD">
        <w:t>As noted above, t</w:t>
      </w:r>
      <w:r w:rsidR="00A51A9C" w:rsidRPr="001655FD">
        <w:t xml:space="preserve">he primary judge provided a detailed analysis of the </w:t>
      </w:r>
      <w:r w:rsidR="00E70670" w:rsidRPr="001655FD">
        <w:t>legislative scheme at [8]</w:t>
      </w:r>
      <w:r w:rsidR="003D69B1" w:rsidRPr="001655FD">
        <w:t>-[</w:t>
      </w:r>
      <w:r w:rsidR="00EE6FED" w:rsidRPr="001655FD">
        <w:t>31</w:t>
      </w:r>
      <w:r w:rsidR="00811219" w:rsidRPr="001655FD">
        <w:t>]</w:t>
      </w:r>
      <w:r w:rsidR="00440EA8" w:rsidRPr="001655FD">
        <w:t>.</w:t>
      </w:r>
      <w:r w:rsidR="00CA5AA6" w:rsidRPr="001655FD">
        <w:t xml:space="preserve"> </w:t>
      </w:r>
    </w:p>
    <w:p w14:paraId="16E626CF" w14:textId="6D609734" w:rsidR="009C4331" w:rsidRPr="001655FD" w:rsidRDefault="00F122B2" w:rsidP="00F122B2">
      <w:pPr>
        <w:pStyle w:val="ParaNumbering"/>
        <w:numPr>
          <w:ilvl w:val="0"/>
          <w:numId w:val="0"/>
        </w:numPr>
        <w:tabs>
          <w:tab w:val="left" w:pos="720"/>
        </w:tabs>
        <w:ind w:hanging="720"/>
      </w:pPr>
      <w:r w:rsidRPr="001655FD">
        <w:rPr>
          <w:sz w:val="20"/>
        </w:rPr>
        <w:t>21</w:t>
      </w:r>
      <w:r w:rsidRPr="001655FD">
        <w:rPr>
          <w:sz w:val="20"/>
        </w:rPr>
        <w:tab/>
      </w:r>
      <w:r w:rsidR="00697CA4" w:rsidRPr="001655FD">
        <w:t xml:space="preserve">The </w:t>
      </w:r>
      <w:r w:rsidR="007556A0" w:rsidRPr="001655FD">
        <w:t xml:space="preserve">primary judge made numerous </w:t>
      </w:r>
      <w:r w:rsidR="002E1C6E" w:rsidRPr="001655FD">
        <w:t xml:space="preserve">factual </w:t>
      </w:r>
      <w:r w:rsidR="007556A0" w:rsidRPr="001655FD">
        <w:t>findings in respect to the resources and pro</w:t>
      </w:r>
      <w:r w:rsidR="00CA5AA6" w:rsidRPr="001655FD">
        <w:t>ce</w:t>
      </w:r>
      <w:r w:rsidR="007556A0" w:rsidRPr="001655FD">
        <w:t>du</w:t>
      </w:r>
      <w:r w:rsidR="00CA5AA6" w:rsidRPr="001655FD">
        <w:t>r</w:t>
      </w:r>
      <w:r w:rsidR="007556A0" w:rsidRPr="001655FD">
        <w:t xml:space="preserve">es of the Information Commissioner at </w:t>
      </w:r>
      <w:r w:rsidR="00FF24B7" w:rsidRPr="001655FD">
        <w:t>[6</w:t>
      </w:r>
      <w:r w:rsidR="0033160B" w:rsidRPr="001655FD">
        <w:t>4</w:t>
      </w:r>
      <w:r w:rsidR="00FF24B7" w:rsidRPr="001655FD">
        <w:t>]-</w:t>
      </w:r>
      <w:r w:rsidR="009C4331" w:rsidRPr="001655FD">
        <w:t>[92]</w:t>
      </w:r>
      <w:r w:rsidR="00CA5AA6" w:rsidRPr="001655FD">
        <w:t xml:space="preserve">. </w:t>
      </w:r>
      <w:r w:rsidR="009754BC" w:rsidRPr="001655FD">
        <w:t>These were not challenged</w:t>
      </w:r>
      <w:r w:rsidR="004E3E24" w:rsidRPr="001655FD">
        <w:t xml:space="preserve"> on appeal</w:t>
      </w:r>
      <w:r w:rsidR="009754BC" w:rsidRPr="001655FD">
        <w:t xml:space="preserve">. </w:t>
      </w:r>
    </w:p>
    <w:p w14:paraId="04384E27" w14:textId="4D2707BC" w:rsidR="00BE2FDB" w:rsidRPr="001655FD" w:rsidRDefault="00F122B2" w:rsidP="00F122B2">
      <w:pPr>
        <w:pStyle w:val="ParaNumbering"/>
        <w:numPr>
          <w:ilvl w:val="0"/>
          <w:numId w:val="0"/>
        </w:numPr>
        <w:tabs>
          <w:tab w:val="left" w:pos="720"/>
        </w:tabs>
        <w:ind w:hanging="720"/>
      </w:pPr>
      <w:r w:rsidRPr="001655FD">
        <w:rPr>
          <w:sz w:val="20"/>
        </w:rPr>
        <w:t>22</w:t>
      </w:r>
      <w:r w:rsidRPr="001655FD">
        <w:rPr>
          <w:sz w:val="20"/>
        </w:rPr>
        <w:tab/>
      </w:r>
      <w:r w:rsidR="005F396A" w:rsidRPr="001655FD">
        <w:t xml:space="preserve">The primary judge then addressed the </w:t>
      </w:r>
      <w:r w:rsidR="0069795C" w:rsidRPr="001655FD">
        <w:t>seven</w:t>
      </w:r>
      <w:r w:rsidR="00624896" w:rsidRPr="001655FD">
        <w:t xml:space="preserve"> IC reviews in issue</w:t>
      </w:r>
      <w:r w:rsidR="008B575B" w:rsidRPr="001655FD">
        <w:t xml:space="preserve"> </w:t>
      </w:r>
      <w:r w:rsidR="00624896" w:rsidRPr="001655FD">
        <w:t xml:space="preserve">and made factual findings as to the conduct of the review before making the assessment as to whether unreasonable delay had been established. </w:t>
      </w:r>
      <w:r w:rsidR="00B83AF2" w:rsidRPr="001655FD">
        <w:t>Suffice to say that the primary judge was not satisfied in respect to any of the reviews that unreasonable delay had been established. R</w:t>
      </w:r>
      <w:r w:rsidR="00FA4AEF" w:rsidRPr="001655FD">
        <w:t xml:space="preserve">elevantly, </w:t>
      </w:r>
      <w:r w:rsidR="00796E6A" w:rsidRPr="001655FD">
        <w:t xml:space="preserve">the reviews </w:t>
      </w:r>
      <w:r w:rsidR="00D427F4" w:rsidRPr="001655FD">
        <w:t xml:space="preserve">were </w:t>
      </w:r>
      <w:r w:rsidR="00FA4AEF" w:rsidRPr="001655FD">
        <w:t>addressed as follows: first IC review at PJ [</w:t>
      </w:r>
      <w:r w:rsidR="00DE47AB" w:rsidRPr="001655FD">
        <w:t>95</w:t>
      </w:r>
      <w:r w:rsidR="00FA4AEF" w:rsidRPr="001655FD">
        <w:t>]-[</w:t>
      </w:r>
      <w:r w:rsidR="005305B8" w:rsidRPr="001655FD">
        <w:t>115</w:t>
      </w:r>
      <w:r w:rsidR="00FA4AEF" w:rsidRPr="001655FD">
        <w:t>], second IC review at PJ [</w:t>
      </w:r>
      <w:r w:rsidR="005305B8" w:rsidRPr="001655FD">
        <w:t>116</w:t>
      </w:r>
      <w:r w:rsidR="00FA4AEF" w:rsidRPr="001655FD">
        <w:t>]-[</w:t>
      </w:r>
      <w:r w:rsidR="007E6772" w:rsidRPr="001655FD">
        <w:t>133</w:t>
      </w:r>
      <w:r w:rsidR="00FA4AEF" w:rsidRPr="001655FD">
        <w:t xml:space="preserve">], third IC review </w:t>
      </w:r>
      <w:r w:rsidR="00B9128E" w:rsidRPr="001655FD">
        <w:t>at PJ [</w:t>
      </w:r>
      <w:r w:rsidR="007E6772" w:rsidRPr="001655FD">
        <w:t>134</w:t>
      </w:r>
      <w:r w:rsidR="00B9128E" w:rsidRPr="001655FD">
        <w:t>]-[</w:t>
      </w:r>
      <w:r w:rsidR="00507081" w:rsidRPr="001655FD">
        <w:t>147</w:t>
      </w:r>
      <w:r w:rsidR="00B9128E" w:rsidRPr="001655FD">
        <w:t xml:space="preserve">], </w:t>
      </w:r>
      <w:r w:rsidR="00630076" w:rsidRPr="001655FD">
        <w:t>fourth IC review at PJ [</w:t>
      </w:r>
      <w:r w:rsidR="00E266AC" w:rsidRPr="001655FD">
        <w:t>148</w:t>
      </w:r>
      <w:r w:rsidR="00630076" w:rsidRPr="001655FD">
        <w:t>]-[</w:t>
      </w:r>
      <w:r w:rsidR="00C501C2" w:rsidRPr="001655FD">
        <w:t>162</w:t>
      </w:r>
      <w:r w:rsidR="00630076" w:rsidRPr="001655FD">
        <w:t>], fifth IC review at PJ [</w:t>
      </w:r>
      <w:r w:rsidR="008C3586" w:rsidRPr="001655FD">
        <w:t>163</w:t>
      </w:r>
      <w:r w:rsidR="00630076" w:rsidRPr="001655FD">
        <w:t>]-[</w:t>
      </w:r>
      <w:r w:rsidR="004E295A" w:rsidRPr="001655FD">
        <w:t>179</w:t>
      </w:r>
      <w:r w:rsidR="00630076" w:rsidRPr="001655FD">
        <w:t>], and sixth IC review at PJ [</w:t>
      </w:r>
      <w:r w:rsidR="004E295A" w:rsidRPr="001655FD">
        <w:t>180</w:t>
      </w:r>
      <w:r w:rsidR="00630076" w:rsidRPr="001655FD">
        <w:t>]-[</w:t>
      </w:r>
      <w:r w:rsidR="00C16134" w:rsidRPr="001655FD">
        <w:t>183</w:t>
      </w:r>
      <w:r w:rsidR="00630076" w:rsidRPr="001655FD">
        <w:t xml:space="preserve">]. </w:t>
      </w:r>
      <w:r w:rsidR="00497AC0" w:rsidRPr="001655FD">
        <w:t>The seventh IC review is no longer in issue</w:t>
      </w:r>
      <w:r w:rsidR="00C16134" w:rsidRPr="001655FD">
        <w:t xml:space="preserve"> (see [</w:t>
      </w:r>
      <w:r w:rsidR="00C16134" w:rsidRPr="001655FD">
        <w:fldChar w:fldCharType="begin"/>
      </w:r>
      <w:r w:rsidR="00C16134" w:rsidRPr="001655FD">
        <w:instrText xml:space="preserve"> REF _Ref168669113 \r \h </w:instrText>
      </w:r>
      <w:r w:rsidR="009D582C" w:rsidRPr="001655FD">
        <w:instrText xml:space="preserve"> \* MERGEFORMAT </w:instrText>
      </w:r>
      <w:r w:rsidR="00C16134" w:rsidRPr="001655FD">
        <w:fldChar w:fldCharType="separate"/>
      </w:r>
      <w:r w:rsidR="009F3992">
        <w:t>3</w:t>
      </w:r>
      <w:r w:rsidR="00C16134" w:rsidRPr="001655FD">
        <w:fldChar w:fldCharType="end"/>
      </w:r>
      <w:r w:rsidR="00C16134" w:rsidRPr="001655FD">
        <w:t>], above)</w:t>
      </w:r>
      <w:r w:rsidR="00497AC0" w:rsidRPr="001655FD">
        <w:t xml:space="preserve">. </w:t>
      </w:r>
    </w:p>
    <w:p w14:paraId="7293F454" w14:textId="06C437D9" w:rsidR="00641277" w:rsidRPr="001655FD" w:rsidRDefault="00641277" w:rsidP="0098537B">
      <w:pPr>
        <w:pStyle w:val="Heading3"/>
      </w:pPr>
      <w:r w:rsidRPr="001655FD">
        <w:t>Consideration</w:t>
      </w:r>
    </w:p>
    <w:p w14:paraId="25C3BB5E" w14:textId="3B126E87" w:rsidR="00C23F81" w:rsidRPr="001655FD" w:rsidRDefault="00F122B2" w:rsidP="00F122B2">
      <w:pPr>
        <w:pStyle w:val="ParaNumbering"/>
        <w:numPr>
          <w:ilvl w:val="0"/>
          <w:numId w:val="0"/>
        </w:numPr>
        <w:tabs>
          <w:tab w:val="left" w:pos="720"/>
        </w:tabs>
        <w:ind w:hanging="720"/>
      </w:pPr>
      <w:r w:rsidRPr="001655FD">
        <w:rPr>
          <w:sz w:val="20"/>
        </w:rPr>
        <w:t>23</w:t>
      </w:r>
      <w:r w:rsidRPr="001655FD">
        <w:rPr>
          <w:sz w:val="20"/>
        </w:rPr>
        <w:tab/>
      </w:r>
      <w:r w:rsidR="00A132A4" w:rsidRPr="001655FD">
        <w:t xml:space="preserve">Before addressing the six reviews, it is appropriate to make some general comments. </w:t>
      </w:r>
      <w:r w:rsidR="00C23F81" w:rsidRPr="001655FD">
        <w:t xml:space="preserve"> </w:t>
      </w:r>
    </w:p>
    <w:p w14:paraId="7CDE8F5E" w14:textId="15BA98C2" w:rsidR="002D65F7" w:rsidRPr="001655FD" w:rsidRDefault="00F122B2" w:rsidP="00F122B2">
      <w:pPr>
        <w:pStyle w:val="ParaNumbering"/>
        <w:numPr>
          <w:ilvl w:val="0"/>
          <w:numId w:val="0"/>
        </w:numPr>
        <w:tabs>
          <w:tab w:val="left" w:pos="720"/>
        </w:tabs>
        <w:ind w:hanging="720"/>
      </w:pPr>
      <w:bookmarkStart w:id="32" w:name="_Ref169877871"/>
      <w:r w:rsidRPr="001655FD">
        <w:rPr>
          <w:sz w:val="20"/>
        </w:rPr>
        <w:t>24</w:t>
      </w:r>
      <w:r w:rsidRPr="001655FD">
        <w:rPr>
          <w:sz w:val="20"/>
        </w:rPr>
        <w:tab/>
      </w:r>
      <w:r w:rsidR="002D65F7" w:rsidRPr="001655FD">
        <w:rPr>
          <w:i/>
          <w:iCs/>
        </w:rPr>
        <w:t>First</w:t>
      </w:r>
      <w:r w:rsidR="002D65F7" w:rsidRPr="001655FD">
        <w:t>, a preliminary</w:t>
      </w:r>
      <w:r w:rsidR="009D582C" w:rsidRPr="001655FD">
        <w:t>,</w:t>
      </w:r>
      <w:r w:rsidR="002D65F7" w:rsidRPr="001655FD">
        <w:t xml:space="preserve"> but not necessarily decisive</w:t>
      </w:r>
      <w:r w:rsidR="00FE328B">
        <w:t>,</w:t>
      </w:r>
      <w:r w:rsidR="002D65F7" w:rsidRPr="001655FD">
        <w:t xml:space="preserve"> issue </w:t>
      </w:r>
      <w:r w:rsidR="009D582C" w:rsidRPr="001655FD">
        <w:t>is</w:t>
      </w:r>
      <w:r w:rsidR="002D65F7" w:rsidRPr="001655FD">
        <w:t xml:space="preserve"> whether the primary judge misinterpreted </w:t>
      </w:r>
      <w:r w:rsidR="002D65F7" w:rsidRPr="001655FD">
        <w:rPr>
          <w:i/>
          <w:iCs/>
        </w:rPr>
        <w:t>Wei v Minister for Immigration, Local Government and Ethnic Affairs</w:t>
      </w:r>
      <w:r w:rsidR="002D65F7" w:rsidRPr="001655FD">
        <w:t xml:space="preserve"> </w:t>
      </w:r>
      <w:r w:rsidR="00660E42" w:rsidRPr="001655FD">
        <w:t>[1991] FCA 2</w:t>
      </w:r>
      <w:r w:rsidR="00DA4EFD" w:rsidRPr="001655FD">
        <w:t>6</w:t>
      </w:r>
      <w:r w:rsidR="00660E42" w:rsidRPr="001655FD">
        <w:t xml:space="preserve">8; </w:t>
      </w:r>
      <w:r w:rsidR="006D3737" w:rsidRPr="001655FD">
        <w:t xml:space="preserve">(1991) </w:t>
      </w:r>
      <w:r w:rsidR="002D65F7" w:rsidRPr="001655FD">
        <w:t>29 FCR 455</w:t>
      </w:r>
      <w:r w:rsidR="00A240FA" w:rsidRPr="001655FD">
        <w:t xml:space="preserve"> (</w:t>
      </w:r>
      <w:r w:rsidR="00A240FA" w:rsidRPr="001655FD">
        <w:rPr>
          <w:i/>
          <w:iCs/>
        </w:rPr>
        <w:t>Wei</w:t>
      </w:r>
      <w:r w:rsidR="00A240FA" w:rsidRPr="001655FD">
        <w:t>)</w:t>
      </w:r>
      <w:r w:rsidR="002D65F7" w:rsidRPr="001655FD">
        <w:t>, with the result that his Honour approached the question of whether the delay was unreasonable in each instance on the basis that, if</w:t>
      </w:r>
      <w:r w:rsidR="00375C10" w:rsidRPr="001655FD">
        <w:t xml:space="preserve"> resourc</w:t>
      </w:r>
      <w:r w:rsidR="00B66B4D" w:rsidRPr="001655FD">
        <w:t>ing</w:t>
      </w:r>
      <w:r w:rsidR="00375C10" w:rsidRPr="001655FD">
        <w:t xml:space="preserve"> </w:t>
      </w:r>
      <w:r w:rsidR="002D65F7" w:rsidRPr="001655FD">
        <w:t xml:space="preserve">was </w:t>
      </w:r>
      <w:r w:rsidR="00EC3698" w:rsidRPr="001655FD">
        <w:t>an</w:t>
      </w:r>
      <w:r w:rsidR="00DE469D" w:rsidRPr="001655FD">
        <w:t xml:space="preserve"> </w:t>
      </w:r>
      <w:r w:rsidR="002D65F7" w:rsidRPr="001655FD">
        <w:t>explanation for the delay, it could not be said to be unreasonable. The appellant pointed to</w:t>
      </w:r>
      <w:r w:rsidR="00D15B91" w:rsidRPr="001655FD">
        <w:t xml:space="preserve"> </w:t>
      </w:r>
      <w:r w:rsidR="005F2E76" w:rsidRPr="001655FD">
        <w:t xml:space="preserve">PJ </w:t>
      </w:r>
      <w:r w:rsidR="00D15B91" w:rsidRPr="001655FD">
        <w:t>[6] and</w:t>
      </w:r>
      <w:r w:rsidR="002D65F7" w:rsidRPr="001655FD">
        <w:t xml:space="preserve"> [200] to illustrate the point.</w:t>
      </w:r>
      <w:bookmarkEnd w:id="32"/>
      <w:r w:rsidR="002D65F7" w:rsidRPr="001655FD">
        <w:t xml:space="preserve"> </w:t>
      </w:r>
    </w:p>
    <w:p w14:paraId="012F0A1B" w14:textId="79282FB1" w:rsidR="002D65F7" w:rsidRPr="001655FD" w:rsidRDefault="00F122B2" w:rsidP="00F122B2">
      <w:pPr>
        <w:pStyle w:val="ParaNumbering"/>
        <w:numPr>
          <w:ilvl w:val="0"/>
          <w:numId w:val="0"/>
        </w:numPr>
        <w:tabs>
          <w:tab w:val="left" w:pos="720"/>
        </w:tabs>
        <w:ind w:hanging="720"/>
      </w:pPr>
      <w:r w:rsidRPr="001655FD">
        <w:rPr>
          <w:sz w:val="20"/>
        </w:rPr>
        <w:t>25</w:t>
      </w:r>
      <w:r w:rsidRPr="001655FD">
        <w:rPr>
          <w:sz w:val="20"/>
        </w:rPr>
        <w:tab/>
      </w:r>
      <w:r w:rsidR="002D65F7" w:rsidRPr="001655FD">
        <w:t xml:space="preserve">The appellant </w:t>
      </w:r>
      <w:r w:rsidR="00A6376B" w:rsidRPr="001655FD">
        <w:t>frame</w:t>
      </w:r>
      <w:r w:rsidR="005F2E76" w:rsidRPr="001655FD">
        <w:t xml:space="preserve">d </w:t>
      </w:r>
      <w:r w:rsidR="002D65F7" w:rsidRPr="001655FD">
        <w:t>the issue as follows (emphasis in original):</w:t>
      </w:r>
    </w:p>
    <w:p w14:paraId="04A35227" w14:textId="77777777" w:rsidR="002D65F7" w:rsidRPr="001655FD" w:rsidRDefault="002D65F7" w:rsidP="00B619E5">
      <w:pPr>
        <w:pStyle w:val="Quote1"/>
      </w:pPr>
      <w:r w:rsidRPr="001655FD">
        <w:lastRenderedPageBreak/>
        <w:t xml:space="preserve">Does under-resourcing of an agency (whether due to decisions beyond the agency’s control or decisions as to the allocation of resources between its functions), with the consequence that it is unable to fulfil its statutory functions within what would otherwise be a reasonable time, mean that such delay is </w:t>
      </w:r>
      <w:r w:rsidRPr="001655FD">
        <w:rPr>
          <w:i/>
          <w:iCs/>
        </w:rPr>
        <w:t>lawfully authorised</w:t>
      </w:r>
      <w:r w:rsidRPr="001655FD">
        <w:t xml:space="preserve">? The appellant contends that, while a lack of adequate resources may be a </w:t>
      </w:r>
      <w:r w:rsidRPr="001655FD">
        <w:rPr>
          <w:i/>
          <w:iCs/>
        </w:rPr>
        <w:t>cause</w:t>
      </w:r>
      <w:r w:rsidRPr="001655FD">
        <w:t xml:space="preserve"> of unreasonable delay – it may explain </w:t>
      </w:r>
      <w:r w:rsidRPr="001655FD">
        <w:rPr>
          <w:i/>
          <w:iCs/>
        </w:rPr>
        <w:t>why</w:t>
      </w:r>
      <w:r w:rsidRPr="001655FD">
        <w:t xml:space="preserve"> an agency has failed to discharge its statutory function in accordance with law – it should not lead to the conclusion that an otherwise-unreasonable delay is legislatively authorised.</w:t>
      </w:r>
    </w:p>
    <w:p w14:paraId="08935952" w14:textId="38FA6602" w:rsidR="002D65F7" w:rsidRPr="001655FD" w:rsidRDefault="00F122B2" w:rsidP="00F122B2">
      <w:pPr>
        <w:pStyle w:val="ParaNumbering"/>
        <w:numPr>
          <w:ilvl w:val="0"/>
          <w:numId w:val="0"/>
        </w:numPr>
        <w:tabs>
          <w:tab w:val="left" w:pos="720"/>
        </w:tabs>
        <w:ind w:hanging="720"/>
      </w:pPr>
      <w:r w:rsidRPr="001655FD">
        <w:rPr>
          <w:sz w:val="20"/>
        </w:rPr>
        <w:t>26</w:t>
      </w:r>
      <w:r w:rsidRPr="001655FD">
        <w:rPr>
          <w:sz w:val="20"/>
        </w:rPr>
        <w:tab/>
      </w:r>
      <w:r w:rsidR="002D65F7" w:rsidRPr="001655FD">
        <w:t xml:space="preserve">The appellant and respondent take fundamentally different approaches to assessing whether a delay is unreasonable. </w:t>
      </w:r>
    </w:p>
    <w:p w14:paraId="43A3C6B8" w14:textId="36543C27" w:rsidR="00595098" w:rsidRPr="001655FD" w:rsidRDefault="00F122B2" w:rsidP="00F122B2">
      <w:pPr>
        <w:pStyle w:val="ParaNumbering"/>
        <w:numPr>
          <w:ilvl w:val="0"/>
          <w:numId w:val="0"/>
        </w:numPr>
        <w:tabs>
          <w:tab w:val="left" w:pos="720"/>
        </w:tabs>
        <w:ind w:hanging="720"/>
      </w:pPr>
      <w:bookmarkStart w:id="33" w:name="_Ref169001265"/>
      <w:bookmarkStart w:id="34" w:name="_Ref170142996"/>
      <w:r w:rsidRPr="001655FD">
        <w:rPr>
          <w:sz w:val="20"/>
        </w:rPr>
        <w:t>27</w:t>
      </w:r>
      <w:r w:rsidRPr="001655FD">
        <w:rPr>
          <w:sz w:val="20"/>
        </w:rPr>
        <w:tab/>
      </w:r>
      <w:r w:rsidR="002D65F7" w:rsidRPr="001655FD">
        <w:t xml:space="preserve">As reflected by the passage just recited, the appellant’s approach treats as axiomatic that an agency is adequately resourced. He submits it is a basic legislative assumption that the AIC would be adequately resourced to perform its functions, and the reasonableness of any delay is to be assessed on that basis. That approach necessarily requires </w:t>
      </w:r>
      <w:r w:rsidR="00B5159C" w:rsidRPr="001655FD">
        <w:t xml:space="preserve">a </w:t>
      </w:r>
      <w:r w:rsidR="002D65F7" w:rsidRPr="001655FD">
        <w:t xml:space="preserve">prior </w:t>
      </w:r>
      <w:r w:rsidR="00B5159C" w:rsidRPr="001655FD">
        <w:t xml:space="preserve">assessment </w:t>
      </w:r>
      <w:r w:rsidR="002D65F7" w:rsidRPr="001655FD">
        <w:t xml:space="preserve">of </w:t>
      </w:r>
      <w:r w:rsidR="002D65F7" w:rsidRPr="001655FD">
        <w:rPr>
          <w:i/>
          <w:iCs/>
        </w:rPr>
        <w:t>what</w:t>
      </w:r>
      <w:r w:rsidR="002D65F7" w:rsidRPr="001655FD">
        <w:t xml:space="preserve"> amounts to adequate resourcing and </w:t>
      </w:r>
      <w:r w:rsidR="002D65F7" w:rsidRPr="001655FD">
        <w:rPr>
          <w:i/>
          <w:iCs/>
        </w:rPr>
        <w:t>whether</w:t>
      </w:r>
      <w:r w:rsidR="002D65F7" w:rsidRPr="001655FD">
        <w:t xml:space="preserve"> an agency is adequately resourced.</w:t>
      </w:r>
      <w:bookmarkEnd w:id="33"/>
      <w:r w:rsidR="002D65F7" w:rsidRPr="001655FD">
        <w:t xml:space="preserve"> </w:t>
      </w:r>
      <w:r w:rsidR="00314521" w:rsidRPr="001655FD">
        <w:t xml:space="preserve">An assessment of that sort sits uncomfortably with the </w:t>
      </w:r>
      <w:r w:rsidR="00E13EE3" w:rsidRPr="001655FD">
        <w:t xml:space="preserve">bedrock </w:t>
      </w:r>
      <w:r w:rsidR="00A6376B" w:rsidRPr="001655FD">
        <w:t xml:space="preserve">separation of powers </w:t>
      </w:r>
      <w:r w:rsidR="00314521" w:rsidRPr="001655FD">
        <w:t xml:space="preserve">principle </w:t>
      </w:r>
      <w:r w:rsidR="00E13EE3" w:rsidRPr="001655FD">
        <w:t xml:space="preserve">reflected in </w:t>
      </w:r>
      <w:r w:rsidR="00E13EE3" w:rsidRPr="001655FD">
        <w:rPr>
          <w:i/>
          <w:iCs/>
        </w:rPr>
        <w:t>Wei</w:t>
      </w:r>
      <w:r w:rsidR="001C6917" w:rsidRPr="001655FD">
        <w:t>:</w:t>
      </w:r>
      <w:r w:rsidR="00E13EE3" w:rsidRPr="001655FD">
        <w:t xml:space="preserve"> </w:t>
      </w:r>
      <w:r w:rsidR="00314521" w:rsidRPr="001655FD">
        <w:t>“it is not for the court to dictate to the Parliament or the Executive what resources are to be made available in order to properly carry out administrative functions under legislative provisions.”: at 477.</w:t>
      </w:r>
      <w:r w:rsidR="005A2143" w:rsidRPr="001655FD">
        <w:t xml:space="preserve"> S</w:t>
      </w:r>
      <w:r w:rsidR="004801F5" w:rsidRPr="001655FD">
        <w:t xml:space="preserve">ee also </w:t>
      </w:r>
      <w:r w:rsidR="007478C3" w:rsidRPr="001655FD">
        <w:rPr>
          <w:i/>
          <w:iCs/>
        </w:rPr>
        <w:t>Davis</w:t>
      </w:r>
      <w:r w:rsidR="00A44A98" w:rsidRPr="001655FD">
        <w:rPr>
          <w:i/>
          <w:iCs/>
        </w:rPr>
        <w:t xml:space="preserve"> v Military Rehabilitation and Compensation Commission </w:t>
      </w:r>
      <w:r w:rsidR="00A44A98" w:rsidRPr="001655FD">
        <w:t xml:space="preserve">[2021] FCA 1446; </w:t>
      </w:r>
      <w:r w:rsidR="00330E4C" w:rsidRPr="001655FD">
        <w:t>(2021) 174 ALD 166</w:t>
      </w:r>
      <w:r w:rsidR="00E8675C" w:rsidRPr="001655FD">
        <w:t xml:space="preserve"> (</w:t>
      </w:r>
      <w:r w:rsidR="00E8675C" w:rsidRPr="001655FD">
        <w:rPr>
          <w:i/>
          <w:iCs/>
        </w:rPr>
        <w:t>Davis</w:t>
      </w:r>
      <w:r w:rsidR="00E8675C" w:rsidRPr="001655FD">
        <w:t>)</w:t>
      </w:r>
      <w:r w:rsidR="007478C3" w:rsidRPr="001655FD">
        <w:t xml:space="preserve"> at [21]</w:t>
      </w:r>
      <w:r w:rsidR="00D74A57" w:rsidRPr="001655FD">
        <w:t xml:space="preserve">; </w:t>
      </w:r>
      <w:r w:rsidR="007D1B5D" w:rsidRPr="001655FD">
        <w:rPr>
          <w:i/>
          <w:iCs/>
        </w:rPr>
        <w:t>Kable v Director of Public Prosecutions (</w:t>
      </w:r>
      <w:r w:rsidR="00C12CF3" w:rsidRPr="001655FD">
        <w:rPr>
          <w:i/>
          <w:iCs/>
        </w:rPr>
        <w:t xml:space="preserve">NSW) </w:t>
      </w:r>
      <w:r w:rsidR="000502B1" w:rsidRPr="001655FD">
        <w:t xml:space="preserve">[1996] HCA 24; </w:t>
      </w:r>
      <w:r w:rsidR="00C12CF3" w:rsidRPr="001655FD">
        <w:t>(1996) 189 CLR 51 at 117</w:t>
      </w:r>
      <w:r w:rsidR="001E6B0F" w:rsidRPr="001655FD">
        <w:t>.</w:t>
      </w:r>
      <w:r w:rsidR="00DB58E4" w:rsidRPr="001655FD">
        <w:t xml:space="preserve"> That the appellant invites the Court to </w:t>
      </w:r>
      <w:r w:rsidR="007D62E0" w:rsidRPr="001655FD">
        <w:t>undertake such an assessment without maki</w:t>
      </w:r>
      <w:r w:rsidR="00597E3B" w:rsidRPr="001655FD">
        <w:t xml:space="preserve">ng any overt judgment as to </w:t>
      </w:r>
      <w:r w:rsidR="001D6272" w:rsidRPr="001655FD">
        <w:t xml:space="preserve">whether </w:t>
      </w:r>
      <w:r w:rsidR="00D732E9" w:rsidRPr="001655FD">
        <w:t>an agency is adequately resourced</w:t>
      </w:r>
      <w:r w:rsidR="006E2305" w:rsidRPr="001655FD">
        <w:t xml:space="preserve"> does not assist</w:t>
      </w:r>
      <w:r w:rsidR="002B4D91" w:rsidRPr="001655FD">
        <w:t>.</w:t>
      </w:r>
      <w:bookmarkEnd w:id="34"/>
      <w:r w:rsidR="002B4D91" w:rsidRPr="001655FD">
        <w:t xml:space="preserve"> </w:t>
      </w:r>
    </w:p>
    <w:p w14:paraId="652A5E02" w14:textId="503FB01E" w:rsidR="00A174FD" w:rsidRPr="001655FD" w:rsidRDefault="00F122B2" w:rsidP="00F122B2">
      <w:pPr>
        <w:pStyle w:val="ParaNumbering"/>
        <w:numPr>
          <w:ilvl w:val="0"/>
          <w:numId w:val="0"/>
        </w:numPr>
        <w:tabs>
          <w:tab w:val="left" w:pos="720"/>
        </w:tabs>
        <w:ind w:hanging="720"/>
      </w:pPr>
      <w:r w:rsidRPr="001655FD">
        <w:rPr>
          <w:sz w:val="20"/>
        </w:rPr>
        <w:t>28</w:t>
      </w:r>
      <w:r w:rsidRPr="001655FD">
        <w:rPr>
          <w:sz w:val="20"/>
        </w:rPr>
        <w:tab/>
      </w:r>
      <w:r w:rsidR="00E870A9" w:rsidRPr="001655FD">
        <w:t xml:space="preserve">The approach is also premised on a timeframe for a decision being otherwise unreasonable if it is presumed that an agency is adequately resourced, such that resourcing </w:t>
      </w:r>
      <w:r w:rsidR="00300823" w:rsidRPr="001655FD">
        <w:t>is not a relevant consideration</w:t>
      </w:r>
      <w:r w:rsidR="00320B0B" w:rsidRPr="001655FD">
        <w:t xml:space="preserve"> in this case</w:t>
      </w:r>
      <w:r w:rsidR="00300823" w:rsidRPr="001655FD">
        <w:t xml:space="preserve">. </w:t>
      </w:r>
      <w:r w:rsidR="001A519E" w:rsidRPr="001655FD">
        <w:t xml:space="preserve">That said, the appellant submitted that he did not want to be too absolute about that as a general proposition, recognising there may be some circumstances (for example, where delay </w:t>
      </w:r>
      <w:r w:rsidR="00893971" w:rsidRPr="001655FD">
        <w:t xml:space="preserve">occurred </w:t>
      </w:r>
      <w:r w:rsidR="00957704">
        <w:t>because</w:t>
      </w:r>
      <w:r w:rsidR="00957704" w:rsidRPr="001655FD">
        <w:t xml:space="preserve"> </w:t>
      </w:r>
      <w:r w:rsidR="001A519E" w:rsidRPr="001655FD">
        <w:t>unexpected circumstances impacted the resources provided</w:t>
      </w:r>
      <w:r w:rsidR="00893971" w:rsidRPr="001655FD">
        <w:t xml:space="preserve"> to an agency</w:t>
      </w:r>
      <w:r w:rsidR="001A519E" w:rsidRPr="001655FD">
        <w:t>) where resourcing may be considered.</w:t>
      </w:r>
      <w:r w:rsidR="00F05181" w:rsidRPr="001655FD">
        <w:t xml:space="preserve"> That approach limits an assessment that, according to the weight of authority, should be made in “all” the circumstances (see [</w:t>
      </w:r>
      <w:r w:rsidR="00F05181" w:rsidRPr="001655FD">
        <w:fldChar w:fldCharType="begin"/>
      </w:r>
      <w:r w:rsidR="00F05181" w:rsidRPr="001655FD">
        <w:instrText xml:space="preserve"> REF _Ref169080208 \r \h </w:instrText>
      </w:r>
      <w:r w:rsidR="00B749B8" w:rsidRPr="001655FD">
        <w:instrText xml:space="preserve"> \* MERGEFORMAT </w:instrText>
      </w:r>
      <w:r w:rsidR="00F05181" w:rsidRPr="001655FD">
        <w:fldChar w:fldCharType="separate"/>
      </w:r>
      <w:r w:rsidR="009F3992">
        <w:t>36</w:t>
      </w:r>
      <w:r w:rsidR="00F05181" w:rsidRPr="001655FD">
        <w:fldChar w:fldCharType="end"/>
      </w:r>
      <w:r w:rsidR="00F05181" w:rsidRPr="001655FD">
        <w:t>]-[</w:t>
      </w:r>
      <w:r w:rsidR="00F05181" w:rsidRPr="001655FD">
        <w:fldChar w:fldCharType="begin"/>
      </w:r>
      <w:r w:rsidR="00F05181" w:rsidRPr="001655FD">
        <w:instrText xml:space="preserve"> REF _Ref169009787 \r \h </w:instrText>
      </w:r>
      <w:r w:rsidR="00B749B8" w:rsidRPr="001655FD">
        <w:instrText xml:space="preserve"> \* MERGEFORMAT </w:instrText>
      </w:r>
      <w:r w:rsidR="00F05181" w:rsidRPr="001655FD">
        <w:fldChar w:fldCharType="separate"/>
      </w:r>
      <w:r w:rsidR="009F3992">
        <w:t>37</w:t>
      </w:r>
      <w:r w:rsidR="00F05181" w:rsidRPr="001655FD">
        <w:fldChar w:fldCharType="end"/>
      </w:r>
      <w:r w:rsidR="00F05181" w:rsidRPr="001655FD">
        <w:t>] below).</w:t>
      </w:r>
    </w:p>
    <w:p w14:paraId="140BEF3B" w14:textId="0B5ED5E0" w:rsidR="002D65F7" w:rsidRPr="001655FD" w:rsidRDefault="00F122B2" w:rsidP="00F122B2">
      <w:pPr>
        <w:pStyle w:val="ParaNumbering"/>
        <w:numPr>
          <w:ilvl w:val="0"/>
          <w:numId w:val="0"/>
        </w:numPr>
        <w:tabs>
          <w:tab w:val="left" w:pos="720"/>
        </w:tabs>
        <w:ind w:hanging="720"/>
      </w:pPr>
      <w:r w:rsidRPr="001655FD">
        <w:rPr>
          <w:sz w:val="20"/>
        </w:rPr>
        <w:t>29</w:t>
      </w:r>
      <w:r w:rsidRPr="001655FD">
        <w:rPr>
          <w:sz w:val="20"/>
        </w:rPr>
        <w:tab/>
      </w:r>
      <w:r w:rsidR="002D65F7" w:rsidRPr="001655FD">
        <w:t>On the other hand, the respondent contended that the better approach is, as part of the usual process of determining whether any particular delay is unreasonable, to treat resourcing as one relevant consideration in that process (provided that resourcing is an, or th</w:t>
      </w:r>
      <w:r w:rsidR="00260909" w:rsidRPr="001655FD">
        <w:t>e</w:t>
      </w:r>
      <w:r w:rsidR="00A6376B" w:rsidRPr="001655FD">
        <w:t>,</w:t>
      </w:r>
      <w:r w:rsidR="002D65F7" w:rsidRPr="001655FD">
        <w:t xml:space="preserve"> explanation for </w:t>
      </w:r>
      <w:r w:rsidR="002D65F7" w:rsidRPr="001655FD">
        <w:lastRenderedPageBreak/>
        <w:t xml:space="preserve">the delay). That is, there is no special approach to determining an issue of unreasonableness simply because the delay is explained, in part or in whole, by resourcing. </w:t>
      </w:r>
    </w:p>
    <w:p w14:paraId="2470223F" w14:textId="2A5EA14D" w:rsidR="002D65F7" w:rsidRPr="001655FD" w:rsidRDefault="00F122B2" w:rsidP="00F122B2">
      <w:pPr>
        <w:pStyle w:val="ParaNumbering"/>
        <w:numPr>
          <w:ilvl w:val="0"/>
          <w:numId w:val="0"/>
        </w:numPr>
        <w:tabs>
          <w:tab w:val="left" w:pos="720"/>
        </w:tabs>
        <w:ind w:hanging="720"/>
      </w:pPr>
      <w:r w:rsidRPr="001655FD">
        <w:rPr>
          <w:sz w:val="20"/>
        </w:rPr>
        <w:t>30</w:t>
      </w:r>
      <w:r w:rsidRPr="001655FD">
        <w:rPr>
          <w:sz w:val="20"/>
        </w:rPr>
        <w:tab/>
      </w:r>
      <w:r w:rsidR="002D65F7" w:rsidRPr="001655FD">
        <w:t xml:space="preserve">In our view, the respondent’s approach is correct. </w:t>
      </w:r>
    </w:p>
    <w:p w14:paraId="5B8F5AE1" w14:textId="3E1AEF64" w:rsidR="00B768AA" w:rsidRPr="001655FD" w:rsidRDefault="00F122B2" w:rsidP="00F122B2">
      <w:pPr>
        <w:pStyle w:val="ParaNumbering"/>
        <w:numPr>
          <w:ilvl w:val="0"/>
          <w:numId w:val="0"/>
        </w:numPr>
        <w:tabs>
          <w:tab w:val="left" w:pos="720"/>
        </w:tabs>
        <w:ind w:hanging="720"/>
      </w:pPr>
      <w:r w:rsidRPr="001655FD">
        <w:rPr>
          <w:sz w:val="20"/>
        </w:rPr>
        <w:t>31</w:t>
      </w:r>
      <w:r w:rsidRPr="001655FD">
        <w:rPr>
          <w:sz w:val="20"/>
        </w:rPr>
        <w:tab/>
      </w:r>
      <w:r w:rsidR="008B7A2B" w:rsidRPr="001655FD">
        <w:rPr>
          <w:i/>
          <w:iCs/>
        </w:rPr>
        <w:t>Second</w:t>
      </w:r>
      <w:r w:rsidR="00C23F81" w:rsidRPr="001655FD">
        <w:t>,</w:t>
      </w:r>
      <w:r w:rsidR="00FC3BED" w:rsidRPr="001655FD">
        <w:t xml:space="preserve"> a proper reading of the </w:t>
      </w:r>
      <w:r w:rsidR="00A6376B" w:rsidRPr="001655FD">
        <w:t xml:space="preserve">primary </w:t>
      </w:r>
      <w:r w:rsidR="00FC3BED" w:rsidRPr="001655FD">
        <w:t xml:space="preserve">judgment, </w:t>
      </w:r>
      <w:r w:rsidR="00FC3CCB">
        <w:t>viewed</w:t>
      </w:r>
      <w:r w:rsidR="00FC3CCB" w:rsidRPr="001655FD">
        <w:t xml:space="preserve"> </w:t>
      </w:r>
      <w:r w:rsidR="00FC3BED" w:rsidRPr="001655FD">
        <w:t xml:space="preserve">as a whole, reflects that the primary judge did not approach the question of unreasonableness on the basis that </w:t>
      </w:r>
      <w:r w:rsidR="00715568" w:rsidRPr="001655FD">
        <w:t>a</w:t>
      </w:r>
      <w:r w:rsidR="00DC6EB3" w:rsidRPr="001655FD">
        <w:t xml:space="preserve"> delay is not unreasonable </w:t>
      </w:r>
      <w:r w:rsidR="00FC3BED" w:rsidRPr="001655FD">
        <w:t xml:space="preserve">provided there was an explanation for the delay </w:t>
      </w:r>
      <w:r w:rsidR="006D09AD" w:rsidRPr="001655FD">
        <w:t>(</w:t>
      </w:r>
      <w:r w:rsidR="00BB589D" w:rsidRPr="001655FD">
        <w:t xml:space="preserve">including </w:t>
      </w:r>
      <w:r w:rsidR="00FC3BED" w:rsidRPr="001655FD">
        <w:t xml:space="preserve">if </w:t>
      </w:r>
      <w:r w:rsidR="00DD4571" w:rsidRPr="001655FD">
        <w:t>resourcing</w:t>
      </w:r>
      <w:r w:rsidR="00FB37C9" w:rsidRPr="001655FD">
        <w:t xml:space="preserve"> </w:t>
      </w:r>
      <w:r w:rsidR="00E8127C" w:rsidRPr="001655FD">
        <w:t>was the</w:t>
      </w:r>
      <w:r w:rsidR="00C031B6" w:rsidRPr="001655FD">
        <w:t>,</w:t>
      </w:r>
      <w:r w:rsidR="00E8127C" w:rsidRPr="001655FD">
        <w:t xml:space="preserve"> or a part of </w:t>
      </w:r>
      <w:r w:rsidR="00191D2C" w:rsidRPr="001655FD">
        <w:t>th</w:t>
      </w:r>
      <w:r w:rsidR="00352615" w:rsidRPr="001655FD">
        <w:t>e</w:t>
      </w:r>
      <w:r w:rsidR="00DA2FEA" w:rsidRPr="001655FD">
        <w:t>,</w:t>
      </w:r>
      <w:r w:rsidR="00DD4571" w:rsidRPr="001655FD">
        <w:t xml:space="preserve"> </w:t>
      </w:r>
      <w:r w:rsidR="00FC3BED" w:rsidRPr="001655FD">
        <w:t>explanation</w:t>
      </w:r>
      <w:r w:rsidR="00AA0A6F" w:rsidRPr="001655FD">
        <w:t>)</w:t>
      </w:r>
      <w:r w:rsidR="00FC3BED" w:rsidRPr="001655FD">
        <w:t xml:space="preserve">. </w:t>
      </w:r>
      <w:bookmarkStart w:id="35" w:name="_Ref169877758"/>
    </w:p>
    <w:p w14:paraId="7065877D" w14:textId="07184791" w:rsidR="009C58E4" w:rsidRPr="001655FD" w:rsidRDefault="00F122B2" w:rsidP="00F122B2">
      <w:pPr>
        <w:pStyle w:val="ParaNumbering"/>
        <w:numPr>
          <w:ilvl w:val="0"/>
          <w:numId w:val="0"/>
        </w:numPr>
        <w:tabs>
          <w:tab w:val="left" w:pos="720"/>
        </w:tabs>
        <w:ind w:hanging="720"/>
      </w:pPr>
      <w:r w:rsidRPr="001655FD">
        <w:rPr>
          <w:sz w:val="20"/>
        </w:rPr>
        <w:t>32</w:t>
      </w:r>
      <w:r w:rsidRPr="001655FD">
        <w:rPr>
          <w:sz w:val="20"/>
        </w:rPr>
        <w:tab/>
      </w:r>
      <w:r w:rsidR="00CD34F9" w:rsidRPr="001655FD">
        <w:t>T</w:t>
      </w:r>
      <w:r w:rsidR="00FC3BED" w:rsidRPr="001655FD">
        <w:t xml:space="preserve">he primary judge did not misapply </w:t>
      </w:r>
      <w:r w:rsidR="00FC3BED" w:rsidRPr="001655FD">
        <w:rPr>
          <w:i/>
          <w:iCs/>
        </w:rPr>
        <w:t>Wei</w:t>
      </w:r>
      <w:r w:rsidR="00CD34F9" w:rsidRPr="001655FD">
        <w:rPr>
          <w:i/>
          <w:iCs/>
        </w:rPr>
        <w:t xml:space="preserve">. </w:t>
      </w:r>
      <w:r w:rsidR="00B61B66" w:rsidRPr="001655FD">
        <w:t xml:space="preserve">To the contrary, the </w:t>
      </w:r>
      <w:r w:rsidR="00592135" w:rsidRPr="001655FD">
        <w:t>appellant’s reliance</w:t>
      </w:r>
      <w:r w:rsidR="00B61B66" w:rsidRPr="001655FD">
        <w:t xml:space="preserve"> on [200]</w:t>
      </w:r>
      <w:r w:rsidR="00592135" w:rsidRPr="001655FD">
        <w:t xml:space="preserve"> of the primary judgment</w:t>
      </w:r>
      <w:r w:rsidR="00812C69" w:rsidRPr="001655FD">
        <w:t>,</w:t>
      </w:r>
      <w:r w:rsidR="00B61B66" w:rsidRPr="001655FD">
        <w:t xml:space="preserve"> the high point of </w:t>
      </w:r>
      <w:r w:rsidR="00620BE7">
        <w:t xml:space="preserve">his </w:t>
      </w:r>
      <w:r w:rsidR="00EA01B2" w:rsidRPr="001655FD">
        <w:t>case</w:t>
      </w:r>
      <w:r w:rsidR="00812C69" w:rsidRPr="001655FD">
        <w:t>,</w:t>
      </w:r>
      <w:r w:rsidR="00EA01B2" w:rsidRPr="001655FD">
        <w:t xml:space="preserve"> does no more than reflect an acceptance that </w:t>
      </w:r>
      <w:r w:rsidR="008A2D08" w:rsidRPr="001655FD">
        <w:rPr>
          <w:i/>
          <w:iCs/>
        </w:rPr>
        <w:t xml:space="preserve">Wei </w:t>
      </w:r>
      <w:r w:rsidR="00C62A6F" w:rsidRPr="001655FD">
        <w:t xml:space="preserve">explains that </w:t>
      </w:r>
      <w:r w:rsidR="00FD0AE6" w:rsidRPr="001655FD">
        <w:t>a</w:t>
      </w:r>
      <w:r w:rsidR="00C62A6F" w:rsidRPr="001655FD">
        <w:t xml:space="preserve"> Court can </w:t>
      </w:r>
      <w:r w:rsidR="00726EAB" w:rsidRPr="001655FD">
        <w:t>have regard to</w:t>
      </w:r>
      <w:r w:rsidR="00C62A6F" w:rsidRPr="001655FD">
        <w:t xml:space="preserve"> the lack of resources</w:t>
      </w:r>
      <w:r w:rsidR="00C37319" w:rsidRPr="001655FD">
        <w:t xml:space="preserve"> when considering a question of unreasonable delay, but there is a limit</w:t>
      </w:r>
      <w:r w:rsidR="0026343B" w:rsidRPr="001655FD">
        <w:t xml:space="preserve"> beyond</w:t>
      </w:r>
      <w:r w:rsidR="00AF69D1" w:rsidRPr="001655FD">
        <w:t xml:space="preserve"> which </w:t>
      </w:r>
      <w:r w:rsidR="00FD0AE6" w:rsidRPr="001655FD">
        <w:t xml:space="preserve">a delay is unreasonable regardless of </w:t>
      </w:r>
      <w:r w:rsidR="00C152CC" w:rsidRPr="001655FD">
        <w:t>resourcing</w:t>
      </w:r>
      <w:r w:rsidR="00FD0AE6" w:rsidRPr="001655FD">
        <w:t xml:space="preserve"> being the explanation for it</w:t>
      </w:r>
      <w:r w:rsidR="00AF69D1" w:rsidRPr="001655FD">
        <w:t xml:space="preserve">. </w:t>
      </w:r>
      <w:r w:rsidR="00BA398D" w:rsidRPr="001655FD">
        <w:t xml:space="preserve">The primary judge at </w:t>
      </w:r>
      <w:r w:rsidR="00357AD8" w:rsidRPr="001655FD">
        <w:t xml:space="preserve">[200] refers to </w:t>
      </w:r>
      <w:r w:rsidR="00357AD8" w:rsidRPr="001655FD">
        <w:rPr>
          <w:i/>
          <w:iCs/>
        </w:rPr>
        <w:t xml:space="preserve">Wei </w:t>
      </w:r>
      <w:r w:rsidR="00357AD8" w:rsidRPr="001655FD">
        <w:t>at 477:</w:t>
      </w:r>
    </w:p>
    <w:p w14:paraId="4A098A9A" w14:textId="2A1F27B5" w:rsidR="009C58E4" w:rsidRPr="001655FD" w:rsidRDefault="002945B3" w:rsidP="00A50645">
      <w:pPr>
        <w:pStyle w:val="Quote1"/>
      </w:pPr>
      <w:r w:rsidRPr="001655FD">
        <w:t>Clearly, it is not for the court to dictate to the Parliament or the Executive what resources are to be made available in order properly to carry out administrative functions under legislative provisions. Equally clearly, however, the situation cannot be accepted in which the existence of a right created by the Parliament is negatived, or its value set at nought, by a failure to provide the resources necessary to make the right effective.</w:t>
      </w:r>
    </w:p>
    <w:p w14:paraId="4E720007" w14:textId="564DF0B6" w:rsidR="00AF69D1" w:rsidRPr="001655FD" w:rsidRDefault="00F122B2" w:rsidP="00F122B2">
      <w:pPr>
        <w:pStyle w:val="ParaNumbering"/>
        <w:numPr>
          <w:ilvl w:val="0"/>
          <w:numId w:val="0"/>
        </w:numPr>
        <w:tabs>
          <w:tab w:val="left" w:pos="720"/>
        </w:tabs>
        <w:ind w:hanging="720"/>
      </w:pPr>
      <w:r w:rsidRPr="001655FD">
        <w:rPr>
          <w:sz w:val="20"/>
        </w:rPr>
        <w:t>33</w:t>
      </w:r>
      <w:r w:rsidRPr="001655FD">
        <w:rPr>
          <w:sz w:val="20"/>
        </w:rPr>
        <w:tab/>
      </w:r>
      <w:r w:rsidR="003C1F46" w:rsidRPr="001655FD">
        <w:t>It is plain from the primary judge’s detailed an</w:t>
      </w:r>
      <w:r w:rsidR="00FE6911" w:rsidRPr="001655FD">
        <w:t xml:space="preserve">alysis of each </w:t>
      </w:r>
      <w:r w:rsidR="00A25D03">
        <w:t xml:space="preserve">IC </w:t>
      </w:r>
      <w:r w:rsidR="002C7F1A" w:rsidRPr="001655FD">
        <w:t>review application</w:t>
      </w:r>
      <w:r w:rsidR="00FE6911" w:rsidRPr="001655FD">
        <w:t xml:space="preserve"> that his Honour considered each delay in the context in which i</w:t>
      </w:r>
      <w:r w:rsidR="007F6809" w:rsidRPr="001655FD">
        <w:t>t</w:t>
      </w:r>
      <w:r w:rsidR="00FE6911" w:rsidRPr="001655FD">
        <w:t xml:space="preserve"> occurred. An individual assessment was undertaken in rel</w:t>
      </w:r>
      <w:r w:rsidR="008E1E5F" w:rsidRPr="001655FD">
        <w:t xml:space="preserve">ation to each, which turned on the facts of the </w:t>
      </w:r>
      <w:r w:rsidR="00BC5B87" w:rsidRPr="001655FD">
        <w:t>specific</w:t>
      </w:r>
      <w:r w:rsidR="00D82C8C" w:rsidRPr="001655FD">
        <w:t xml:space="preserve"> revie</w:t>
      </w:r>
      <w:r w:rsidR="00BC5B87" w:rsidRPr="001655FD">
        <w:t>w</w:t>
      </w:r>
      <w:r w:rsidR="00D82C8C" w:rsidRPr="001655FD">
        <w:t xml:space="preserve"> application.</w:t>
      </w:r>
      <w:bookmarkEnd w:id="35"/>
      <w:r w:rsidR="00D82C8C" w:rsidRPr="001655FD">
        <w:t xml:space="preserve"> </w:t>
      </w:r>
    </w:p>
    <w:p w14:paraId="244F9FF9" w14:textId="638A939E" w:rsidR="005F2E76" w:rsidRPr="001655FD" w:rsidRDefault="00F122B2" w:rsidP="00F122B2">
      <w:pPr>
        <w:pStyle w:val="ParaNumbering"/>
        <w:numPr>
          <w:ilvl w:val="0"/>
          <w:numId w:val="0"/>
        </w:numPr>
        <w:tabs>
          <w:tab w:val="left" w:pos="720"/>
        </w:tabs>
        <w:ind w:hanging="720"/>
      </w:pPr>
      <w:r w:rsidRPr="001655FD">
        <w:rPr>
          <w:sz w:val="20"/>
        </w:rPr>
        <w:t>34</w:t>
      </w:r>
      <w:r w:rsidRPr="001655FD">
        <w:rPr>
          <w:sz w:val="20"/>
        </w:rPr>
        <w:tab/>
      </w:r>
      <w:r w:rsidR="00764424" w:rsidRPr="001655FD">
        <w:t xml:space="preserve">In so doing it is apparent, as the respondent submitted, that </w:t>
      </w:r>
      <w:r w:rsidR="003A139B" w:rsidRPr="001655FD">
        <w:t xml:space="preserve">the primary judge considered the resources available </w:t>
      </w:r>
      <w:r w:rsidR="004E4C26" w:rsidRPr="001655FD">
        <w:t xml:space="preserve">to the respondent and the </w:t>
      </w:r>
      <w:r w:rsidR="00C63E6C" w:rsidRPr="001655FD">
        <w:t xml:space="preserve">workload of the respondent’s office </w:t>
      </w:r>
      <w:r w:rsidR="003A139B" w:rsidRPr="001655FD">
        <w:t xml:space="preserve">in </w:t>
      </w:r>
      <w:r w:rsidR="0058214C" w:rsidRPr="001655FD">
        <w:t xml:space="preserve">several </w:t>
      </w:r>
      <w:r w:rsidR="003A139B" w:rsidRPr="001655FD">
        <w:t xml:space="preserve">different ways. </w:t>
      </w:r>
      <w:r w:rsidR="00E9409B" w:rsidRPr="001655FD">
        <w:t>The respondent identifie</w:t>
      </w:r>
      <w:r w:rsidR="00884F4A" w:rsidRPr="001655FD">
        <w:t>d</w:t>
      </w:r>
      <w:r w:rsidR="00E9409B" w:rsidRPr="001655FD">
        <w:t xml:space="preserve"> four ways</w:t>
      </w:r>
      <w:r w:rsidR="00884F4A" w:rsidRPr="001655FD">
        <w:t>.</w:t>
      </w:r>
      <w:r w:rsidR="00B065C6" w:rsidRPr="001655FD">
        <w:t xml:space="preserve"> </w:t>
      </w:r>
      <w:r w:rsidR="00884F4A" w:rsidRPr="001655FD">
        <w:t>H</w:t>
      </w:r>
      <w:r w:rsidR="00B065C6" w:rsidRPr="001655FD">
        <w:t>is Honour</w:t>
      </w:r>
      <w:r w:rsidR="005F2E76" w:rsidRPr="001655FD">
        <w:t xml:space="preserve">: </w:t>
      </w:r>
    </w:p>
    <w:p w14:paraId="15F6413B" w14:textId="37DE3B02" w:rsidR="00A35E29" w:rsidRPr="001655FD" w:rsidRDefault="00F122B2" w:rsidP="00F122B2">
      <w:pPr>
        <w:pStyle w:val="ListNo1"/>
        <w:numPr>
          <w:ilvl w:val="0"/>
          <w:numId w:val="0"/>
        </w:numPr>
        <w:tabs>
          <w:tab w:val="left" w:pos="720"/>
        </w:tabs>
        <w:ind w:left="720" w:hanging="720"/>
      </w:pPr>
      <w:r w:rsidRPr="001655FD">
        <w:t>(1)</w:t>
      </w:r>
      <w:r w:rsidRPr="001655FD">
        <w:tab/>
      </w:r>
      <w:r w:rsidR="005E1D51" w:rsidRPr="001655FD">
        <w:t>r</w:t>
      </w:r>
      <w:r w:rsidR="00B065C6" w:rsidRPr="001655FD">
        <w:t xml:space="preserve">eferred to the resource constraints of the </w:t>
      </w:r>
      <w:r w:rsidR="00A25D03">
        <w:t>O</w:t>
      </w:r>
      <w:r w:rsidR="00B065C6" w:rsidRPr="001655FD">
        <w:t xml:space="preserve">ffice </w:t>
      </w:r>
      <w:r w:rsidR="00E9409B" w:rsidRPr="001655FD">
        <w:t xml:space="preserve">as part of the context in which the reasonableness of particular case management decisions </w:t>
      </w:r>
      <w:r w:rsidR="0061040E" w:rsidRPr="001655FD">
        <w:t>(</w:t>
      </w:r>
      <w:r w:rsidR="00E9409B" w:rsidRPr="001655FD">
        <w:t>such as decisions to allow extensions of time to agencies to provide information to the Office</w:t>
      </w:r>
      <w:r w:rsidR="0061040E" w:rsidRPr="001655FD">
        <w:t>)</w:t>
      </w:r>
      <w:r w:rsidR="00E9409B" w:rsidRPr="001655FD">
        <w:t xml:space="preserve"> were to be assessed: PJ [111], [112], </w:t>
      </w:r>
      <w:r w:rsidR="007D3900" w:rsidRPr="001655FD">
        <w:t>[</w:t>
      </w:r>
      <w:r w:rsidR="00E9409B" w:rsidRPr="001655FD">
        <w:t>126], [160], [175]-[176]</w:t>
      </w:r>
      <w:r w:rsidR="00BC79E0" w:rsidRPr="001655FD">
        <w:t>;</w:t>
      </w:r>
    </w:p>
    <w:p w14:paraId="03037CB3" w14:textId="707E49B3" w:rsidR="00A35E29" w:rsidRPr="001655FD" w:rsidRDefault="00F122B2" w:rsidP="00F122B2">
      <w:pPr>
        <w:pStyle w:val="ListNo1"/>
        <w:numPr>
          <w:ilvl w:val="0"/>
          <w:numId w:val="0"/>
        </w:numPr>
        <w:tabs>
          <w:tab w:val="left" w:pos="720"/>
        </w:tabs>
        <w:ind w:left="720" w:hanging="720"/>
      </w:pPr>
      <w:r w:rsidRPr="001655FD">
        <w:t>(2)</w:t>
      </w:r>
      <w:r w:rsidRPr="001655FD">
        <w:tab/>
      </w:r>
      <w:r w:rsidR="005E1D51" w:rsidRPr="001655FD">
        <w:t>c</w:t>
      </w:r>
      <w:r w:rsidR="00B065C6" w:rsidRPr="001655FD">
        <w:t>onsidered that staffing constraints were</w:t>
      </w:r>
      <w:r w:rsidR="00E9409B" w:rsidRPr="001655FD">
        <w:t xml:space="preserve"> relevant to the assessment of whether </w:t>
      </w:r>
      <w:r w:rsidR="00C3602D" w:rsidRPr="001655FD">
        <w:t xml:space="preserve">particular </w:t>
      </w:r>
      <w:r w:rsidR="00E9409B" w:rsidRPr="001655FD">
        <w:t>alleged failures of process had materially contributed to the delay in determining particular IC reviews: PJ [131]-[133], [146], [160]</w:t>
      </w:r>
      <w:r w:rsidR="00BC79E0" w:rsidRPr="001655FD">
        <w:t>;</w:t>
      </w:r>
    </w:p>
    <w:p w14:paraId="027BA668" w14:textId="12556131" w:rsidR="00A35E29" w:rsidRPr="001655FD" w:rsidRDefault="00F122B2" w:rsidP="00F122B2">
      <w:pPr>
        <w:pStyle w:val="ListNo1"/>
        <w:numPr>
          <w:ilvl w:val="0"/>
          <w:numId w:val="0"/>
        </w:numPr>
        <w:tabs>
          <w:tab w:val="left" w:pos="720"/>
        </w:tabs>
        <w:ind w:left="720" w:hanging="720"/>
      </w:pPr>
      <w:r w:rsidRPr="001655FD">
        <w:lastRenderedPageBreak/>
        <w:t>(3)</w:t>
      </w:r>
      <w:r w:rsidRPr="001655FD">
        <w:tab/>
      </w:r>
      <w:r w:rsidR="005E1D51" w:rsidRPr="001655FD">
        <w:t>c</w:t>
      </w:r>
      <w:r w:rsidR="00B065C6" w:rsidRPr="001655FD">
        <w:t xml:space="preserve">onsidered </w:t>
      </w:r>
      <w:r w:rsidR="00E9409B" w:rsidRPr="001655FD">
        <w:t>the respondent’s workload and competing priorities as part of the context for assessment of whether relatively short periods of inactivity indicated unreasonable delay: PJ [</w:t>
      </w:r>
      <w:r w:rsidR="00C3602D" w:rsidRPr="001655FD">
        <w:t>142</w:t>
      </w:r>
      <w:r w:rsidR="00E9409B" w:rsidRPr="001655FD">
        <w:t>]</w:t>
      </w:r>
      <w:r w:rsidR="00C3602D" w:rsidRPr="001655FD">
        <w:t>, [157]-[158],</w:t>
      </w:r>
      <w:r w:rsidR="00794DC2" w:rsidRPr="001655FD">
        <w:t xml:space="preserve"> [174], [192]</w:t>
      </w:r>
      <w:r w:rsidR="00BC79E0" w:rsidRPr="001655FD">
        <w:t xml:space="preserve">; </w:t>
      </w:r>
      <w:r w:rsidR="007F762C" w:rsidRPr="001655FD">
        <w:t>and</w:t>
      </w:r>
      <w:r w:rsidR="00E9409B" w:rsidRPr="001655FD">
        <w:t xml:space="preserve"> </w:t>
      </w:r>
    </w:p>
    <w:p w14:paraId="2DD12274" w14:textId="2A72D4AB" w:rsidR="00936CB2" w:rsidRPr="001655FD" w:rsidRDefault="00F122B2" w:rsidP="00F122B2">
      <w:pPr>
        <w:pStyle w:val="ListNo1"/>
        <w:numPr>
          <w:ilvl w:val="0"/>
          <w:numId w:val="0"/>
        </w:numPr>
        <w:tabs>
          <w:tab w:val="left" w:pos="720"/>
        </w:tabs>
        <w:ind w:left="720" w:hanging="720"/>
      </w:pPr>
      <w:r w:rsidRPr="001655FD">
        <w:t>(4)</w:t>
      </w:r>
      <w:r w:rsidRPr="001655FD">
        <w:tab/>
      </w:r>
      <w:r w:rsidR="005E1D51" w:rsidRPr="001655FD">
        <w:t xml:space="preserve">considered the </w:t>
      </w:r>
      <w:r w:rsidR="00B85C35" w:rsidRPr="001655FD">
        <w:t xml:space="preserve">resourcing constraints and volume of IC reviews before the </w:t>
      </w:r>
      <w:r w:rsidR="007922BC" w:rsidRPr="001655FD">
        <w:t>r</w:t>
      </w:r>
      <w:r w:rsidR="00B85C35" w:rsidRPr="001655FD">
        <w:t>espondent as part of the circumstances for considering whether longer periods of inactivity</w:t>
      </w:r>
      <w:r w:rsidR="003320B0" w:rsidRPr="001655FD">
        <w:t xml:space="preserve"> </w:t>
      </w:r>
      <w:r w:rsidR="00B85C35" w:rsidRPr="001655FD">
        <w:t>indicated unreasonable delay</w:t>
      </w:r>
      <w:r w:rsidR="003320B0" w:rsidRPr="001655FD">
        <w:t xml:space="preserve">: PJ </w:t>
      </w:r>
      <w:r w:rsidR="009F4850" w:rsidRPr="001655FD">
        <w:t>[1</w:t>
      </w:r>
      <w:r w:rsidR="00D418A6" w:rsidRPr="001655FD">
        <w:t xml:space="preserve">45], [183], </w:t>
      </w:r>
      <w:r w:rsidR="00321F9C" w:rsidRPr="001655FD">
        <w:t>[194]</w:t>
      </w:r>
      <w:r w:rsidR="00C3602D" w:rsidRPr="001655FD">
        <w:t>, [197], [198]</w:t>
      </w:r>
      <w:r w:rsidR="00B85C35" w:rsidRPr="001655FD">
        <w:t xml:space="preserve">. </w:t>
      </w:r>
    </w:p>
    <w:p w14:paraId="621C2584" w14:textId="3068402D" w:rsidR="00AD6AC7" w:rsidRPr="001655FD" w:rsidRDefault="00F122B2" w:rsidP="00F122B2">
      <w:pPr>
        <w:pStyle w:val="ParaNumbering"/>
        <w:numPr>
          <w:ilvl w:val="0"/>
          <w:numId w:val="0"/>
        </w:numPr>
        <w:tabs>
          <w:tab w:val="left" w:pos="720"/>
        </w:tabs>
        <w:ind w:hanging="720"/>
      </w:pPr>
      <w:r w:rsidRPr="001655FD">
        <w:rPr>
          <w:sz w:val="20"/>
        </w:rPr>
        <w:t>35</w:t>
      </w:r>
      <w:r w:rsidRPr="001655FD">
        <w:rPr>
          <w:sz w:val="20"/>
        </w:rPr>
        <w:tab/>
      </w:r>
      <w:r w:rsidR="008E3FFE" w:rsidRPr="001655FD">
        <w:t>Th</w:t>
      </w:r>
      <w:r w:rsidR="00794DC2" w:rsidRPr="001655FD">
        <w:t>is</w:t>
      </w:r>
      <w:r w:rsidR="008E3FFE" w:rsidRPr="001655FD">
        <w:t xml:space="preserve"> </w:t>
      </w:r>
      <w:r w:rsidR="00CE7AC1" w:rsidRPr="001655FD">
        <w:t xml:space="preserve">approach </w:t>
      </w:r>
      <w:r w:rsidR="008E3FFE" w:rsidRPr="001655FD">
        <w:t>illustrate</w:t>
      </w:r>
      <w:r w:rsidR="00872879" w:rsidRPr="001655FD">
        <w:t>s</w:t>
      </w:r>
      <w:r w:rsidR="008E3FFE" w:rsidRPr="001655FD">
        <w:t xml:space="preserve"> that </w:t>
      </w:r>
      <w:r w:rsidR="004929AC" w:rsidRPr="001655FD">
        <w:t xml:space="preserve">his Honour undertook </w:t>
      </w:r>
      <w:r w:rsidR="008E3FFE" w:rsidRPr="001655FD">
        <w:t xml:space="preserve">a more </w:t>
      </w:r>
      <w:r w:rsidR="008325CE" w:rsidRPr="001655FD">
        <w:t>nuanced consideration of resources</w:t>
      </w:r>
      <w:r w:rsidR="00872879" w:rsidRPr="001655FD">
        <w:t xml:space="preserve"> in each assessment</w:t>
      </w:r>
      <w:r w:rsidR="008E3FFE" w:rsidRPr="001655FD">
        <w:t xml:space="preserve"> than </w:t>
      </w:r>
      <w:r w:rsidR="008325CE" w:rsidRPr="008133AB">
        <w:t xml:space="preserve">that </w:t>
      </w:r>
      <w:r w:rsidR="0058214C" w:rsidRPr="001655FD">
        <w:t xml:space="preserve">alleged by the appellant. </w:t>
      </w:r>
      <w:r w:rsidR="008C6276" w:rsidRPr="001655FD">
        <w:t>His Honour</w:t>
      </w:r>
      <w:r w:rsidR="002005F9" w:rsidRPr="001655FD">
        <w:t xml:space="preserve"> did not merely identify </w:t>
      </w:r>
      <w:r w:rsidR="0051711A" w:rsidRPr="001655FD">
        <w:t xml:space="preserve">that the AIC was </w:t>
      </w:r>
      <w:r w:rsidR="002005F9" w:rsidRPr="001655FD">
        <w:t>inadequate</w:t>
      </w:r>
      <w:r w:rsidR="0051711A" w:rsidRPr="001655FD">
        <w:t>ly</w:t>
      </w:r>
      <w:r w:rsidR="002005F9" w:rsidRPr="001655FD">
        <w:t xml:space="preserve"> resourc</w:t>
      </w:r>
      <w:r w:rsidR="0051711A" w:rsidRPr="001655FD">
        <w:t>ed</w:t>
      </w:r>
      <w:r w:rsidR="002005F9" w:rsidRPr="001655FD">
        <w:t xml:space="preserve"> </w:t>
      </w:r>
      <w:r w:rsidR="009D64A0" w:rsidRPr="001655FD">
        <w:t xml:space="preserve">and hold it out as </w:t>
      </w:r>
      <w:r w:rsidR="00A37E05" w:rsidRPr="001655FD">
        <w:t xml:space="preserve">the </w:t>
      </w:r>
      <w:r w:rsidR="009D64A0" w:rsidRPr="001655FD">
        <w:t>justification</w:t>
      </w:r>
      <w:r w:rsidR="001F45A4" w:rsidRPr="001655FD">
        <w:t xml:space="preserve"> in turn</w:t>
      </w:r>
      <w:r w:rsidR="009D64A0" w:rsidRPr="001655FD">
        <w:t xml:space="preserve">. His approach, as reflected in the above outline, </w:t>
      </w:r>
      <w:r w:rsidR="0071771C" w:rsidRPr="001655FD">
        <w:t xml:space="preserve">was </w:t>
      </w:r>
      <w:r w:rsidR="00AF526C" w:rsidRPr="001655FD">
        <w:t>care</w:t>
      </w:r>
      <w:r w:rsidR="00062B8C" w:rsidRPr="001655FD">
        <w:t>ful and considered</w:t>
      </w:r>
      <w:r w:rsidR="0071771C" w:rsidRPr="001655FD">
        <w:t xml:space="preserve">, </w:t>
      </w:r>
      <w:r w:rsidR="009D64A0" w:rsidRPr="001655FD">
        <w:t>m</w:t>
      </w:r>
      <w:r w:rsidR="0071771C" w:rsidRPr="001655FD">
        <w:t>e</w:t>
      </w:r>
      <w:r w:rsidR="009D64A0" w:rsidRPr="001655FD">
        <w:t>et</w:t>
      </w:r>
      <w:r w:rsidR="0071771C" w:rsidRPr="001655FD">
        <w:t>ing</w:t>
      </w:r>
      <w:r w:rsidR="009D64A0" w:rsidRPr="001655FD">
        <w:t xml:space="preserve"> the practical demands of assessing </w:t>
      </w:r>
      <w:r w:rsidR="00C1112E" w:rsidRPr="001655FD">
        <w:t xml:space="preserve">whether the </w:t>
      </w:r>
      <w:r w:rsidR="00AC3EB3" w:rsidRPr="001655FD">
        <w:t xml:space="preserve">delay </w:t>
      </w:r>
      <w:r w:rsidR="005F2951" w:rsidRPr="001655FD">
        <w:t xml:space="preserve">was unreasonable </w:t>
      </w:r>
      <w:r w:rsidR="00746902" w:rsidRPr="001655FD">
        <w:t>in all</w:t>
      </w:r>
      <w:r w:rsidR="0055375F" w:rsidRPr="001655FD">
        <w:t xml:space="preserve"> of</w:t>
      </w:r>
      <w:r w:rsidR="00746902" w:rsidRPr="001655FD">
        <w:t xml:space="preserve"> the circumstances</w:t>
      </w:r>
      <w:r w:rsidR="009D64A0" w:rsidRPr="001655FD">
        <w:t xml:space="preserve">. </w:t>
      </w:r>
      <w:r w:rsidR="00B72EE3" w:rsidRPr="001655FD">
        <w:t>T</w:t>
      </w:r>
      <w:r w:rsidR="006E2993" w:rsidRPr="001655FD">
        <w:t xml:space="preserve">hat </w:t>
      </w:r>
      <w:r w:rsidR="002A3F9B" w:rsidRPr="001655FD">
        <w:t xml:space="preserve">his </w:t>
      </w:r>
      <w:r w:rsidR="00285CC7" w:rsidRPr="001655FD">
        <w:t>assessment</w:t>
      </w:r>
      <w:r w:rsidR="00A2024E" w:rsidRPr="001655FD">
        <w:t xml:space="preserve">s </w:t>
      </w:r>
      <w:r w:rsidR="006A3441" w:rsidRPr="001655FD">
        <w:t xml:space="preserve">mainly </w:t>
      </w:r>
      <w:r w:rsidR="005C5BDD" w:rsidRPr="001655FD">
        <w:t xml:space="preserve">(or wholly) </w:t>
      </w:r>
      <w:r w:rsidR="006A3441" w:rsidRPr="001655FD">
        <w:t xml:space="preserve">concerned </w:t>
      </w:r>
      <w:r w:rsidR="00A2024E" w:rsidRPr="001655FD">
        <w:t>considerations of resourcin</w:t>
      </w:r>
      <w:r w:rsidR="001F23D3" w:rsidRPr="001655FD">
        <w:t>g</w:t>
      </w:r>
      <w:r w:rsidR="00A2024E" w:rsidRPr="001655FD">
        <w:t xml:space="preserve"> </w:t>
      </w:r>
      <w:r w:rsidR="008B3425" w:rsidRPr="001655FD">
        <w:t xml:space="preserve">is </w:t>
      </w:r>
      <w:r w:rsidR="00A2024E" w:rsidRPr="001655FD">
        <w:t>of no moment</w:t>
      </w:r>
      <w:r w:rsidR="00DF14E8" w:rsidRPr="001655FD">
        <w:t xml:space="preserve">. </w:t>
      </w:r>
      <w:r w:rsidR="003C5D78" w:rsidRPr="001655FD">
        <w:t>See: [</w:t>
      </w:r>
      <w:r w:rsidR="003C5D78" w:rsidRPr="001655FD">
        <w:fldChar w:fldCharType="begin"/>
      </w:r>
      <w:r w:rsidR="003C5D78" w:rsidRPr="001655FD">
        <w:instrText xml:space="preserve"> REF _Ref169080208 \r \h </w:instrText>
      </w:r>
      <w:r w:rsidR="009A3157" w:rsidRPr="001655FD">
        <w:instrText xml:space="preserve"> \* MERGEFORMAT </w:instrText>
      </w:r>
      <w:r w:rsidR="003C5D78" w:rsidRPr="001655FD">
        <w:fldChar w:fldCharType="separate"/>
      </w:r>
      <w:r w:rsidR="009F3992">
        <w:t>36</w:t>
      </w:r>
      <w:r w:rsidR="003C5D78" w:rsidRPr="001655FD">
        <w:fldChar w:fldCharType="end"/>
      </w:r>
      <w:r w:rsidR="003C5D78" w:rsidRPr="001655FD">
        <w:t>]-[</w:t>
      </w:r>
      <w:r w:rsidR="003C5D78" w:rsidRPr="001655FD">
        <w:fldChar w:fldCharType="begin"/>
      </w:r>
      <w:r w:rsidR="003C5D78" w:rsidRPr="001655FD">
        <w:instrText xml:space="preserve"> REF _Ref169009787 \r \h </w:instrText>
      </w:r>
      <w:r w:rsidR="009A3157" w:rsidRPr="001655FD">
        <w:instrText xml:space="preserve"> \* MERGEFORMAT </w:instrText>
      </w:r>
      <w:r w:rsidR="003C5D78" w:rsidRPr="001655FD">
        <w:fldChar w:fldCharType="separate"/>
      </w:r>
      <w:r w:rsidR="009F3992">
        <w:t>37</w:t>
      </w:r>
      <w:r w:rsidR="003C5D78" w:rsidRPr="001655FD">
        <w:fldChar w:fldCharType="end"/>
      </w:r>
      <w:r w:rsidR="003C5D78" w:rsidRPr="001655FD">
        <w:t xml:space="preserve">] below; PJ at [45]-[47]. </w:t>
      </w:r>
    </w:p>
    <w:p w14:paraId="05D42035" w14:textId="2EECB73C" w:rsidR="00CF436A" w:rsidRPr="001655FD" w:rsidRDefault="00F122B2" w:rsidP="00F122B2">
      <w:pPr>
        <w:pStyle w:val="ParaNumbering"/>
        <w:numPr>
          <w:ilvl w:val="0"/>
          <w:numId w:val="0"/>
        </w:numPr>
        <w:tabs>
          <w:tab w:val="left" w:pos="720"/>
        </w:tabs>
        <w:ind w:hanging="720"/>
      </w:pPr>
      <w:bookmarkStart w:id="36" w:name="_Ref169080208"/>
      <w:r w:rsidRPr="001655FD">
        <w:rPr>
          <w:sz w:val="20"/>
        </w:rPr>
        <w:t>36</w:t>
      </w:r>
      <w:r w:rsidRPr="001655FD">
        <w:rPr>
          <w:sz w:val="20"/>
        </w:rPr>
        <w:tab/>
      </w:r>
      <w:r w:rsidR="00094450" w:rsidRPr="001655FD">
        <w:rPr>
          <w:i/>
          <w:iCs/>
        </w:rPr>
        <w:t>Third</w:t>
      </w:r>
      <w:r w:rsidR="00CF436A" w:rsidRPr="001655FD">
        <w:t>,</w:t>
      </w:r>
      <w:r w:rsidR="00F259B7" w:rsidRPr="001655FD">
        <w:t xml:space="preserve"> </w:t>
      </w:r>
      <w:r w:rsidR="00CF436A" w:rsidRPr="001655FD">
        <w:t xml:space="preserve">the approach to the assessment of whether </w:t>
      </w:r>
      <w:r w:rsidR="0084302B" w:rsidRPr="001655FD">
        <w:t xml:space="preserve">it has been established that </w:t>
      </w:r>
      <w:r w:rsidR="00DA5423" w:rsidRPr="001655FD">
        <w:t>any of the delays were unreasonable is</w:t>
      </w:r>
      <w:r w:rsidR="0049633B" w:rsidRPr="001655FD">
        <w:t>,</w:t>
      </w:r>
      <w:r w:rsidR="00DA5423" w:rsidRPr="001655FD">
        <w:t xml:space="preserve"> as the respondent contends, to be considered like any other matter. That the explanation for the delay is in whole or part due to resourcing is one factor in the assessment. </w:t>
      </w:r>
      <w:r w:rsidR="00D470FA" w:rsidRPr="001655FD">
        <w:t xml:space="preserve">That </w:t>
      </w:r>
      <w:r w:rsidR="00930F4E" w:rsidRPr="001655FD">
        <w:t xml:space="preserve">resourcing </w:t>
      </w:r>
      <w:r w:rsidR="00D470FA" w:rsidRPr="001655FD">
        <w:t xml:space="preserve">may </w:t>
      </w:r>
      <w:r w:rsidR="00930F4E" w:rsidRPr="001655FD">
        <w:t>wholly explain the delay</w:t>
      </w:r>
      <w:r w:rsidR="00D470FA" w:rsidRPr="001655FD">
        <w:t xml:space="preserve"> </w:t>
      </w:r>
      <w:r w:rsidR="00994FCA" w:rsidRPr="001655FD">
        <w:t xml:space="preserve">does not alter the approach. </w:t>
      </w:r>
      <w:r w:rsidR="00B46868" w:rsidRPr="001655FD">
        <w:t>It does not require a</w:t>
      </w:r>
      <w:r w:rsidR="00B34A94" w:rsidRPr="001655FD">
        <w:t xml:space="preserve"> prior</w:t>
      </w:r>
      <w:r w:rsidR="00B46868" w:rsidRPr="001655FD">
        <w:t xml:space="preserve"> assessment of</w:t>
      </w:r>
      <w:r w:rsidR="00C06EC4" w:rsidRPr="001655FD">
        <w:t xml:space="preserve"> the agency</w:t>
      </w:r>
      <w:r w:rsidR="00354456" w:rsidRPr="001655FD">
        <w:t>’s</w:t>
      </w:r>
      <w:r w:rsidR="00C41F3F" w:rsidRPr="001655FD">
        <w:t xml:space="preserve"> </w:t>
      </w:r>
      <w:r w:rsidR="00B97953" w:rsidRPr="001655FD">
        <w:t>resources</w:t>
      </w:r>
      <w:r w:rsidR="003058DC" w:rsidRPr="001655FD">
        <w:t xml:space="preserve"> (see [</w:t>
      </w:r>
      <w:r w:rsidR="003058DC" w:rsidRPr="001655FD">
        <w:fldChar w:fldCharType="begin"/>
      </w:r>
      <w:r w:rsidR="003058DC" w:rsidRPr="001655FD">
        <w:instrText xml:space="preserve"> REF _Ref169001265 \r \h </w:instrText>
      </w:r>
      <w:r w:rsidR="00C9615A" w:rsidRPr="001655FD">
        <w:instrText xml:space="preserve"> \* MERGEFORMAT </w:instrText>
      </w:r>
      <w:r w:rsidR="003058DC" w:rsidRPr="001655FD">
        <w:fldChar w:fldCharType="separate"/>
      </w:r>
      <w:r w:rsidR="009F3992">
        <w:t>27</w:t>
      </w:r>
      <w:r w:rsidR="003058DC" w:rsidRPr="001655FD">
        <w:fldChar w:fldCharType="end"/>
      </w:r>
      <w:r w:rsidR="003058DC" w:rsidRPr="001655FD">
        <w:t>] above)</w:t>
      </w:r>
      <w:r w:rsidR="00C06EC4" w:rsidRPr="001655FD">
        <w:t>.</w:t>
      </w:r>
      <w:bookmarkEnd w:id="36"/>
      <w:r w:rsidR="00C06EC4" w:rsidRPr="001655FD">
        <w:t xml:space="preserve"> </w:t>
      </w:r>
    </w:p>
    <w:p w14:paraId="1620D03E" w14:textId="6A368915" w:rsidR="00620FAE" w:rsidRPr="001655FD" w:rsidRDefault="00F122B2" w:rsidP="00F122B2">
      <w:pPr>
        <w:pStyle w:val="ParaNumbering"/>
        <w:numPr>
          <w:ilvl w:val="0"/>
          <w:numId w:val="0"/>
        </w:numPr>
        <w:tabs>
          <w:tab w:val="left" w:pos="720"/>
        </w:tabs>
        <w:ind w:hanging="720"/>
      </w:pPr>
      <w:bookmarkStart w:id="37" w:name="_Ref169009787"/>
      <w:r w:rsidRPr="001655FD">
        <w:rPr>
          <w:sz w:val="20"/>
        </w:rPr>
        <w:t>37</w:t>
      </w:r>
      <w:r w:rsidRPr="001655FD">
        <w:rPr>
          <w:sz w:val="20"/>
        </w:rPr>
        <w:tab/>
      </w:r>
      <w:r w:rsidR="00382353" w:rsidRPr="001655FD">
        <w:t xml:space="preserve">The primary judge </w:t>
      </w:r>
      <w:r w:rsidR="00855ACE" w:rsidRPr="001655FD">
        <w:t>correctly identified the principles relevant to the assessment of unreasonable delay: PJ [</w:t>
      </w:r>
      <w:r w:rsidR="00D70740" w:rsidRPr="001655FD">
        <w:t>45]-[57].</w:t>
      </w:r>
      <w:r w:rsidR="00D640E9" w:rsidRPr="001655FD">
        <w:t xml:space="preserve"> </w:t>
      </w:r>
      <w:r w:rsidR="0039256A" w:rsidRPr="001655FD">
        <w:t>It may be accepted that</w:t>
      </w:r>
      <w:r w:rsidR="00D701E7" w:rsidRPr="001655FD">
        <w:t>,</w:t>
      </w:r>
      <w:r w:rsidR="0039256A" w:rsidRPr="001655FD">
        <w:t xml:space="preserve"> in t</w:t>
      </w:r>
      <w:r w:rsidR="00972E82" w:rsidRPr="001655FD">
        <w:t>he absence of specified time limits</w:t>
      </w:r>
      <w:r w:rsidR="003D05E1" w:rsidRPr="001655FD">
        <w:t>,</w:t>
      </w:r>
      <w:r w:rsidR="00972E82" w:rsidRPr="001655FD">
        <w:t xml:space="preserve"> decisions required by statute are to be made within a reasonable time</w:t>
      </w:r>
      <w:r w:rsidR="0039256A" w:rsidRPr="001655FD">
        <w:t xml:space="preserve">: </w:t>
      </w:r>
      <w:r w:rsidR="009539B6" w:rsidRPr="001655FD">
        <w:rPr>
          <w:i/>
          <w:iCs/>
        </w:rPr>
        <w:t>Minister for Immigration and Citizenship v Li</w:t>
      </w:r>
      <w:r w:rsidR="009539B6" w:rsidRPr="001655FD">
        <w:t xml:space="preserve"> </w:t>
      </w:r>
      <w:r w:rsidR="00990577" w:rsidRPr="001655FD">
        <w:t xml:space="preserve">[2013] HCA </w:t>
      </w:r>
      <w:r w:rsidR="009875D8" w:rsidRPr="001655FD">
        <w:t xml:space="preserve">18; </w:t>
      </w:r>
      <w:r w:rsidR="009539B6" w:rsidRPr="001655FD">
        <w:t>(2013) 249 CLR 332</w:t>
      </w:r>
      <w:r w:rsidR="009875D8" w:rsidRPr="001655FD">
        <w:t xml:space="preserve"> (</w:t>
      </w:r>
      <w:r w:rsidR="009875D8" w:rsidRPr="001655FD">
        <w:rPr>
          <w:i/>
          <w:iCs/>
        </w:rPr>
        <w:t>Li</w:t>
      </w:r>
      <w:r w:rsidR="009875D8" w:rsidRPr="001655FD">
        <w:t>)</w:t>
      </w:r>
      <w:r w:rsidR="009539B6" w:rsidRPr="001655FD">
        <w:t xml:space="preserve"> at [102]</w:t>
      </w:r>
      <w:r w:rsidR="005439B2" w:rsidRPr="001655FD">
        <w:t xml:space="preserve">. The </w:t>
      </w:r>
      <w:r w:rsidR="00B36D20" w:rsidRPr="001655FD">
        <w:t>standard of reasonableness is a matter of statutory construction</w:t>
      </w:r>
      <w:r w:rsidR="00092F56" w:rsidRPr="001655FD">
        <w:t xml:space="preserve">: </w:t>
      </w:r>
      <w:r w:rsidR="0070160D" w:rsidRPr="001655FD">
        <w:rPr>
          <w:i/>
          <w:iCs/>
        </w:rPr>
        <w:t>Li</w:t>
      </w:r>
      <w:r w:rsidR="0070160D" w:rsidRPr="001655FD">
        <w:t xml:space="preserve"> at [67]</w:t>
      </w:r>
      <w:r w:rsidR="00432814" w:rsidRPr="001655FD">
        <w:t>.</w:t>
      </w:r>
      <w:r w:rsidR="008C7D1D" w:rsidRPr="001655FD">
        <w:t xml:space="preserve"> It is to be assessed objectively: </w:t>
      </w:r>
      <w:r w:rsidR="008C7D1D" w:rsidRPr="001655FD">
        <w:rPr>
          <w:i/>
          <w:iCs/>
        </w:rPr>
        <w:t>Thornton</w:t>
      </w:r>
      <w:r w:rsidR="0005753E" w:rsidRPr="001655FD">
        <w:rPr>
          <w:i/>
          <w:iCs/>
        </w:rPr>
        <w:t xml:space="preserve"> v Reparation Commission</w:t>
      </w:r>
      <w:r w:rsidR="00481ECF" w:rsidRPr="001655FD">
        <w:t xml:space="preserve"> [1981] FCA 71;</w:t>
      </w:r>
      <w:r w:rsidR="0021623B" w:rsidRPr="001655FD">
        <w:t xml:space="preserve"> (1981) 35 ALR 485 (</w:t>
      </w:r>
      <w:r w:rsidR="0021623B" w:rsidRPr="001655FD">
        <w:rPr>
          <w:i/>
          <w:iCs/>
        </w:rPr>
        <w:t>Thornton</w:t>
      </w:r>
      <w:r w:rsidR="0021623B" w:rsidRPr="001655FD">
        <w:t>)</w:t>
      </w:r>
      <w:r w:rsidR="008C7D1D" w:rsidRPr="001655FD">
        <w:t xml:space="preserve"> at </w:t>
      </w:r>
      <w:r w:rsidR="00991879" w:rsidRPr="001655FD">
        <w:t xml:space="preserve">490-491. </w:t>
      </w:r>
      <w:r w:rsidR="002F5319" w:rsidRPr="001655FD">
        <w:t xml:space="preserve">Whether a delay is unreasonable, or whether a decision has been made within a reasonable time, is to be assessed </w:t>
      </w:r>
      <w:r w:rsidR="009D5AC6" w:rsidRPr="001655FD">
        <w:t>“in all the circumstances”</w:t>
      </w:r>
      <w:r w:rsidR="00C268AB" w:rsidRPr="001655FD">
        <w:t xml:space="preserve">: </w:t>
      </w:r>
      <w:r w:rsidR="00C268AB" w:rsidRPr="001655FD">
        <w:rPr>
          <w:i/>
          <w:iCs/>
        </w:rPr>
        <w:t>Thornton</w:t>
      </w:r>
      <w:r w:rsidR="00C268AB" w:rsidRPr="001655FD">
        <w:t xml:space="preserve"> at </w:t>
      </w:r>
      <w:r w:rsidR="00587527" w:rsidRPr="001655FD">
        <w:t>493</w:t>
      </w:r>
      <w:r w:rsidR="006C01CC" w:rsidRPr="001655FD">
        <w:t>. See also</w:t>
      </w:r>
      <w:r w:rsidR="00E44B4A" w:rsidRPr="001655FD">
        <w:t xml:space="preserve"> </w:t>
      </w:r>
      <w:r w:rsidR="002771AD" w:rsidRPr="001655FD">
        <w:rPr>
          <w:i/>
          <w:iCs/>
        </w:rPr>
        <w:t>BMF16</w:t>
      </w:r>
      <w:r w:rsidR="00AB07E0" w:rsidRPr="001655FD">
        <w:rPr>
          <w:i/>
          <w:iCs/>
        </w:rPr>
        <w:t xml:space="preserve"> v Minister for Immigration and Border Protection</w:t>
      </w:r>
      <w:r w:rsidR="00AB07E0" w:rsidRPr="001655FD">
        <w:t xml:space="preserve"> [2016] FCA 1530</w:t>
      </w:r>
      <w:r w:rsidR="00A27208" w:rsidRPr="001655FD">
        <w:t xml:space="preserve"> (</w:t>
      </w:r>
      <w:r w:rsidR="00A27208" w:rsidRPr="001655FD">
        <w:rPr>
          <w:i/>
          <w:iCs/>
        </w:rPr>
        <w:t>BMF16</w:t>
      </w:r>
      <w:r w:rsidR="00A27208" w:rsidRPr="001655FD">
        <w:t>) at [26]</w:t>
      </w:r>
      <w:r w:rsidR="00C268AB" w:rsidRPr="001655FD">
        <w:t xml:space="preserve">. It is to be determined by the </w:t>
      </w:r>
      <w:r w:rsidR="00315E1C" w:rsidRPr="001655FD">
        <w:t>Court</w:t>
      </w:r>
      <w:r w:rsidR="00372B8C" w:rsidRPr="001655FD">
        <w:t>, “</w:t>
      </w:r>
      <w:r w:rsidR="00B75822" w:rsidRPr="001655FD">
        <w:t xml:space="preserve">having regard to the circumstances of the particular case within the context of the decision-making framework established by the </w:t>
      </w:r>
      <w:r w:rsidR="00D64070" w:rsidRPr="001655FD">
        <w:t>[relevant Act]</w:t>
      </w:r>
      <w:r w:rsidR="00372B8C" w:rsidRPr="001655FD">
        <w:t xml:space="preserve">”: </w:t>
      </w:r>
      <w:r w:rsidR="00372B8C" w:rsidRPr="001655FD">
        <w:rPr>
          <w:i/>
          <w:iCs/>
        </w:rPr>
        <w:t>Plaintiff S297/2013</w:t>
      </w:r>
      <w:r w:rsidR="00C7061F" w:rsidRPr="001655FD">
        <w:rPr>
          <w:i/>
          <w:iCs/>
        </w:rPr>
        <w:t xml:space="preserve"> v Minister for Immigration and Border Protection </w:t>
      </w:r>
      <w:r w:rsidR="00C7061F" w:rsidRPr="001655FD">
        <w:t>[2014]</w:t>
      </w:r>
      <w:r w:rsidR="00EB32E5" w:rsidRPr="001655FD">
        <w:t xml:space="preserve"> HCA 24; (2014) 255 CLR 179</w:t>
      </w:r>
      <w:r w:rsidR="00372B8C" w:rsidRPr="001655FD">
        <w:t xml:space="preserve"> at [37]. </w:t>
      </w:r>
      <w:r w:rsidR="00CF6933" w:rsidRPr="001655FD">
        <w:t xml:space="preserve">An explanation for any delay is </w:t>
      </w:r>
      <w:r w:rsidR="00F20FCF" w:rsidRPr="001655FD">
        <w:t xml:space="preserve">always a </w:t>
      </w:r>
      <w:r w:rsidR="00CF6933" w:rsidRPr="001655FD">
        <w:t>relevant</w:t>
      </w:r>
      <w:r w:rsidR="00F20FCF" w:rsidRPr="001655FD">
        <w:t xml:space="preserve"> consideration</w:t>
      </w:r>
      <w:r w:rsidR="00CF6933" w:rsidRPr="001655FD">
        <w:t>.</w:t>
      </w:r>
      <w:r w:rsidR="00891CE3" w:rsidRPr="001655FD">
        <w:t xml:space="preserve"> </w:t>
      </w:r>
      <w:r w:rsidR="00F20FCF" w:rsidRPr="001655FD">
        <w:t xml:space="preserve">In </w:t>
      </w:r>
      <w:r w:rsidR="00F20FCF" w:rsidRPr="001655FD">
        <w:rPr>
          <w:i/>
          <w:iCs/>
        </w:rPr>
        <w:t>Thornton</w:t>
      </w:r>
      <w:r w:rsidR="00F20FCF" w:rsidRPr="001655FD">
        <w:t xml:space="preserve"> at </w:t>
      </w:r>
      <w:r w:rsidR="00BC7937" w:rsidRPr="001655FD">
        <w:t>492</w:t>
      </w:r>
      <w:r w:rsidR="00F20FCF" w:rsidRPr="001655FD">
        <w:t xml:space="preserve">, in a statement frequently cited with approval, </w:t>
      </w:r>
      <w:r w:rsidR="00FF6E52" w:rsidRPr="001655FD">
        <w:t xml:space="preserve">Fisher J </w:t>
      </w:r>
      <w:r w:rsidR="00F20FCF" w:rsidRPr="001655FD">
        <w:t>said:</w:t>
      </w:r>
      <w:bookmarkEnd w:id="37"/>
      <w:r w:rsidR="00F20FCF" w:rsidRPr="001655FD">
        <w:t xml:space="preserve"> </w:t>
      </w:r>
    </w:p>
    <w:p w14:paraId="6CA66A0D" w14:textId="569BFD85" w:rsidR="002F5319" w:rsidRPr="001655FD" w:rsidRDefault="00253579" w:rsidP="00C45E3F">
      <w:pPr>
        <w:pStyle w:val="Quote1"/>
      </w:pPr>
      <w:r w:rsidRPr="001655FD">
        <w:lastRenderedPageBreak/>
        <w:t xml:space="preserve">The question is </w:t>
      </w:r>
      <w:r w:rsidR="00620FAE" w:rsidRPr="001655FD">
        <w:t>whether there are circumstances which a reasonable man might consider render this delay justified and not capricious. In the first instance it is, on the evidence, a delay for a considered reason and not in consequence of neglect, oversight or perversity</w:t>
      </w:r>
      <w:r w:rsidRPr="001655FD">
        <w:t>.</w:t>
      </w:r>
      <w:r w:rsidR="00620FAE" w:rsidRPr="001655FD">
        <w:t xml:space="preserve"> </w:t>
      </w:r>
      <w:r w:rsidR="00FC4C98" w:rsidRPr="001655FD">
        <w:t>…</w:t>
      </w:r>
    </w:p>
    <w:p w14:paraId="46B46EB8" w14:textId="43BAA41B" w:rsidR="00E6482D" w:rsidRPr="001655FD" w:rsidRDefault="00F122B2" w:rsidP="00F122B2">
      <w:pPr>
        <w:pStyle w:val="ParaNumbering"/>
        <w:numPr>
          <w:ilvl w:val="0"/>
          <w:numId w:val="0"/>
        </w:numPr>
        <w:tabs>
          <w:tab w:val="left" w:pos="720"/>
        </w:tabs>
        <w:ind w:hanging="720"/>
      </w:pPr>
      <w:r w:rsidRPr="001655FD">
        <w:rPr>
          <w:sz w:val="20"/>
        </w:rPr>
        <w:t>38</w:t>
      </w:r>
      <w:r w:rsidRPr="001655FD">
        <w:rPr>
          <w:sz w:val="20"/>
        </w:rPr>
        <w:tab/>
      </w:r>
      <w:r w:rsidR="00F46359" w:rsidRPr="001655FD">
        <w:t xml:space="preserve">See also </w:t>
      </w:r>
      <w:r w:rsidR="001A1AEB" w:rsidRPr="001655FD">
        <w:rPr>
          <w:i/>
          <w:iCs/>
        </w:rPr>
        <w:t>ASP v Commonwealth</w:t>
      </w:r>
      <w:r w:rsidR="001A1AEB" w:rsidRPr="001655FD">
        <w:t xml:space="preserve"> </w:t>
      </w:r>
      <w:r w:rsidR="00E506C5" w:rsidRPr="001655FD">
        <w:t xml:space="preserve">[2016] FCAFC 145; </w:t>
      </w:r>
      <w:r w:rsidR="001A1AEB" w:rsidRPr="001655FD">
        <w:t>(2016) 248</w:t>
      </w:r>
      <w:r w:rsidR="00E6482D" w:rsidRPr="001655FD">
        <w:t xml:space="preserve"> FCR 37</w:t>
      </w:r>
      <w:r w:rsidR="00E6482D" w:rsidRPr="008133AB">
        <w:t xml:space="preserve">2 at </w:t>
      </w:r>
      <w:r w:rsidR="00E6482D" w:rsidRPr="001655FD">
        <w:t>[21]-[23].</w:t>
      </w:r>
    </w:p>
    <w:p w14:paraId="45184142" w14:textId="0C4EBD23" w:rsidR="00253579" w:rsidRPr="001655FD" w:rsidRDefault="00F122B2" w:rsidP="00F122B2">
      <w:pPr>
        <w:pStyle w:val="ParaNumbering"/>
        <w:numPr>
          <w:ilvl w:val="0"/>
          <w:numId w:val="0"/>
        </w:numPr>
        <w:tabs>
          <w:tab w:val="left" w:pos="720"/>
        </w:tabs>
        <w:ind w:hanging="720"/>
      </w:pPr>
      <w:r w:rsidRPr="001655FD">
        <w:rPr>
          <w:sz w:val="20"/>
        </w:rPr>
        <w:t>39</w:t>
      </w:r>
      <w:r w:rsidRPr="001655FD">
        <w:rPr>
          <w:sz w:val="20"/>
        </w:rPr>
        <w:tab/>
      </w:r>
      <w:r w:rsidR="00794B66" w:rsidRPr="001655FD">
        <w:t xml:space="preserve">In </w:t>
      </w:r>
      <w:r w:rsidR="00794B66" w:rsidRPr="001655FD">
        <w:rPr>
          <w:i/>
          <w:iCs/>
        </w:rPr>
        <w:t>BMF16</w:t>
      </w:r>
      <w:r w:rsidR="00794B66" w:rsidRPr="001655FD">
        <w:t xml:space="preserve"> at [25]-[26], Bromberg J succinctly describes the assessment as follow</w:t>
      </w:r>
      <w:r w:rsidR="002D25F8" w:rsidRPr="001655FD">
        <w:t>s</w:t>
      </w:r>
      <w:r w:rsidR="00777F3D" w:rsidRPr="001655FD">
        <w:t xml:space="preserve"> </w:t>
      </w:r>
      <w:r w:rsidR="00030539" w:rsidRPr="001655FD">
        <w:t>(</w:t>
      </w:r>
      <w:r w:rsidR="0047598B" w:rsidRPr="001655FD">
        <w:t xml:space="preserve">the </w:t>
      </w:r>
      <w:r w:rsidR="00777F3D" w:rsidRPr="001655FD">
        <w:t xml:space="preserve">passage </w:t>
      </w:r>
      <w:r w:rsidR="0047598B" w:rsidRPr="001655FD">
        <w:t xml:space="preserve">was </w:t>
      </w:r>
      <w:r w:rsidR="00777F3D" w:rsidRPr="001655FD">
        <w:t xml:space="preserve">recited by the primary judge at </w:t>
      </w:r>
      <w:r w:rsidR="00EB6876" w:rsidRPr="001655FD">
        <w:t>[51])</w:t>
      </w:r>
      <w:r w:rsidR="002D25F8" w:rsidRPr="001655FD">
        <w:t>:</w:t>
      </w:r>
    </w:p>
    <w:p w14:paraId="147E33A4" w14:textId="2FE13392" w:rsidR="00253579" w:rsidRPr="001655FD" w:rsidRDefault="009D3079" w:rsidP="00C45E3F">
      <w:pPr>
        <w:pStyle w:val="Quote1"/>
      </w:pPr>
      <w:r w:rsidRPr="001655FD">
        <w:t>Whilst a legislative scheme may not specify a time limit, it may nevertheless throw light on what was intended as a reasonable time for the performance of the statutory duty in question. The subject matter of the power, its statutory purpose, the importance of its exercise both to the public and to the interests of the persons it is directed to address, the nature of those interests and the likely prejudicial impact upon interest-holders of any delay,</w:t>
      </w:r>
      <w:r w:rsidR="0065312B" w:rsidRPr="001655FD">
        <w:t xml:space="preserve"> </w:t>
      </w:r>
      <w:r w:rsidRPr="001655FD">
        <w:t xml:space="preserve">as well as the practical limitations which attend the particular exercise of the power by reason </w:t>
      </w:r>
      <w:r w:rsidR="0065312B" w:rsidRPr="001655FD">
        <w:t xml:space="preserve">of the nature of the decision required and the preparation, investigation and considerations called for, are all likely to be relevant to what, in the context of the particular legislative scheme, was intended as a reasonable time for the performance of the duty. </w:t>
      </w:r>
    </w:p>
    <w:p w14:paraId="099509BD" w14:textId="75BCDF2E" w:rsidR="006D7435" w:rsidRPr="001655FD" w:rsidRDefault="006D7435" w:rsidP="00C45E3F">
      <w:pPr>
        <w:pStyle w:val="Quote1"/>
      </w:pPr>
      <w:r w:rsidRPr="001655FD">
        <w:t>To my mind, the question that s 7(1) poses is really this: by reference to the statutory scheme in which the decision-making power is found, has there, in all of the circumstances, been an unreasonable delay in the making of that decision…</w:t>
      </w:r>
    </w:p>
    <w:p w14:paraId="23C8B0AC" w14:textId="2C8BDA9E" w:rsidR="000903E3" w:rsidRPr="001655FD" w:rsidRDefault="00F122B2" w:rsidP="00F122B2">
      <w:pPr>
        <w:pStyle w:val="ParaNumbering"/>
        <w:numPr>
          <w:ilvl w:val="0"/>
          <w:numId w:val="0"/>
        </w:numPr>
        <w:tabs>
          <w:tab w:val="left" w:pos="720"/>
        </w:tabs>
        <w:ind w:hanging="720"/>
      </w:pPr>
      <w:r w:rsidRPr="001655FD">
        <w:rPr>
          <w:sz w:val="20"/>
        </w:rPr>
        <w:t>40</w:t>
      </w:r>
      <w:r w:rsidRPr="001655FD">
        <w:rPr>
          <w:sz w:val="20"/>
        </w:rPr>
        <w:tab/>
      </w:r>
      <w:r w:rsidR="00562C70" w:rsidRPr="001655FD">
        <w:rPr>
          <w:szCs w:val="24"/>
        </w:rPr>
        <w:t>T</w:t>
      </w:r>
      <w:r w:rsidR="007C5FAF" w:rsidRPr="001655FD">
        <w:rPr>
          <w:szCs w:val="24"/>
        </w:rPr>
        <w:t xml:space="preserve">he </w:t>
      </w:r>
      <w:r w:rsidR="00682FAC" w:rsidRPr="001655FD">
        <w:rPr>
          <w:szCs w:val="24"/>
        </w:rPr>
        <w:t>“</w:t>
      </w:r>
      <w:r w:rsidR="007C5FAF" w:rsidRPr="001655FD">
        <w:rPr>
          <w:szCs w:val="24"/>
          <w:shd w:val="clear" w:color="auto" w:fill="FFFFFF"/>
        </w:rPr>
        <w:t>usually high threshold for a conclusion that a power has been unreasonably exercised as a matter of law</w:t>
      </w:r>
      <w:r w:rsidR="00682FAC" w:rsidRPr="001655FD">
        <w:rPr>
          <w:szCs w:val="24"/>
          <w:shd w:val="clear" w:color="auto" w:fill="FFFFFF"/>
        </w:rPr>
        <w:t xml:space="preserve">”, was recently reiterated by the High Court in </w:t>
      </w:r>
      <w:r w:rsidR="00682FAC" w:rsidRPr="001655FD">
        <w:rPr>
          <w:i/>
          <w:iCs/>
          <w:szCs w:val="24"/>
          <w:shd w:val="clear" w:color="auto" w:fill="FFFFFF"/>
        </w:rPr>
        <w:t>Ismail v Minister for Immigration, Citizenship and Multicult</w:t>
      </w:r>
      <w:r w:rsidR="000903E3" w:rsidRPr="001655FD">
        <w:rPr>
          <w:i/>
          <w:iCs/>
          <w:szCs w:val="24"/>
          <w:shd w:val="clear" w:color="auto" w:fill="FFFFFF"/>
        </w:rPr>
        <w:t>u</w:t>
      </w:r>
      <w:r w:rsidR="00682FAC" w:rsidRPr="001655FD">
        <w:rPr>
          <w:i/>
          <w:iCs/>
          <w:szCs w:val="24"/>
          <w:shd w:val="clear" w:color="auto" w:fill="FFFFFF"/>
        </w:rPr>
        <w:t>ral Affairs</w:t>
      </w:r>
      <w:r w:rsidR="00682FAC" w:rsidRPr="001655FD">
        <w:rPr>
          <w:szCs w:val="24"/>
          <w:shd w:val="clear" w:color="auto" w:fill="FFFFFF"/>
        </w:rPr>
        <w:t xml:space="preserve"> </w:t>
      </w:r>
      <w:r w:rsidR="000903E3" w:rsidRPr="001655FD">
        <w:rPr>
          <w:szCs w:val="24"/>
          <w:shd w:val="clear" w:color="auto" w:fill="FFFFFF"/>
        </w:rPr>
        <w:t>[2024] HCA 2</w:t>
      </w:r>
      <w:r w:rsidR="00CE7AC1" w:rsidRPr="001655FD">
        <w:rPr>
          <w:szCs w:val="24"/>
          <w:shd w:val="clear" w:color="auto" w:fill="FFFFFF"/>
        </w:rPr>
        <w:t>; (2024) 98 ALJR 196</w:t>
      </w:r>
      <w:r w:rsidR="000903E3" w:rsidRPr="001655FD">
        <w:rPr>
          <w:szCs w:val="24"/>
          <w:shd w:val="clear" w:color="auto" w:fill="FFFFFF"/>
        </w:rPr>
        <w:t xml:space="preserve"> at [25]</w:t>
      </w:r>
      <w:r w:rsidR="005B1993" w:rsidRPr="001655FD">
        <w:rPr>
          <w:szCs w:val="24"/>
          <w:shd w:val="clear" w:color="auto" w:fill="FFFFFF"/>
        </w:rPr>
        <w:t>.</w:t>
      </w:r>
      <w:r w:rsidR="000903E3" w:rsidRPr="001655FD">
        <w:rPr>
          <w:szCs w:val="24"/>
          <w:shd w:val="clear" w:color="auto" w:fill="FFFFFF"/>
        </w:rPr>
        <w:t xml:space="preserve"> </w:t>
      </w:r>
      <w:r w:rsidR="005B1993" w:rsidRPr="001655FD">
        <w:rPr>
          <w:szCs w:val="24"/>
          <w:shd w:val="clear" w:color="auto" w:fill="FFFFFF"/>
        </w:rPr>
        <w:t>S</w:t>
      </w:r>
      <w:r w:rsidR="000903E3" w:rsidRPr="001655FD">
        <w:rPr>
          <w:szCs w:val="24"/>
          <w:shd w:val="clear" w:color="auto" w:fill="FFFFFF"/>
        </w:rPr>
        <w:t xml:space="preserve">ee </w:t>
      </w:r>
      <w:r w:rsidR="005B1993" w:rsidRPr="001655FD">
        <w:rPr>
          <w:szCs w:val="24"/>
          <w:shd w:val="clear" w:color="auto" w:fill="FFFFFF"/>
        </w:rPr>
        <w:t xml:space="preserve">also </w:t>
      </w:r>
      <w:r w:rsidR="000903E3" w:rsidRPr="001655FD">
        <w:rPr>
          <w:i/>
          <w:iCs/>
          <w:shd w:val="clear" w:color="auto" w:fill="FFFFFF"/>
        </w:rPr>
        <w:t>Minister for Home Affairs v DUA16</w:t>
      </w:r>
      <w:r w:rsidR="000903E3" w:rsidRPr="001655FD">
        <w:rPr>
          <w:shd w:val="clear" w:color="auto" w:fill="FFFFFF"/>
        </w:rPr>
        <w:t> [2020] HCA 46; (2020) 271 CLR 550 </w:t>
      </w:r>
      <w:r w:rsidR="009604DF" w:rsidRPr="001655FD">
        <w:rPr>
          <w:shd w:val="clear" w:color="auto" w:fill="FFFFFF"/>
        </w:rPr>
        <w:t>(</w:t>
      </w:r>
      <w:r w:rsidR="009604DF" w:rsidRPr="001655FD">
        <w:rPr>
          <w:i/>
          <w:iCs/>
          <w:shd w:val="clear" w:color="auto" w:fill="FFFFFF"/>
        </w:rPr>
        <w:t>DUA16</w:t>
      </w:r>
      <w:r w:rsidR="009604DF" w:rsidRPr="001655FD">
        <w:rPr>
          <w:shd w:val="clear" w:color="auto" w:fill="FFFFFF"/>
        </w:rPr>
        <w:t xml:space="preserve">) </w:t>
      </w:r>
      <w:r w:rsidR="000903E3" w:rsidRPr="001655FD">
        <w:rPr>
          <w:shd w:val="clear" w:color="auto" w:fill="FFFFFF"/>
        </w:rPr>
        <w:t>at </w:t>
      </w:r>
      <w:hyperlink r:id="rId19" w:anchor="para26" w:history="1">
        <w:r w:rsidR="000903E3" w:rsidRPr="001655FD">
          <w:rPr>
            <w:shd w:val="clear" w:color="auto" w:fill="FFFFFF"/>
          </w:rPr>
          <w:t>[26]</w:t>
        </w:r>
      </w:hyperlink>
      <w:r w:rsidR="000903E3" w:rsidRPr="001655FD">
        <w:rPr>
          <w:shd w:val="clear" w:color="auto" w:fill="FFFFFF"/>
        </w:rPr>
        <w:t xml:space="preserve"> citing</w:t>
      </w:r>
      <w:r w:rsidR="000903E3" w:rsidRPr="001655FD">
        <w:t xml:space="preserve"> </w:t>
      </w:r>
      <w:r w:rsidR="000903E3" w:rsidRPr="001655FD">
        <w:rPr>
          <w:i/>
        </w:rPr>
        <w:t>Minister for Immigration and Border Protection v SZVFW</w:t>
      </w:r>
      <w:r w:rsidR="000903E3" w:rsidRPr="001655FD">
        <w:t xml:space="preserve"> [2018] HCA 30; (2018) 264 CLR 541 </w:t>
      </w:r>
      <w:r w:rsidR="009D6E9B" w:rsidRPr="001655FD">
        <w:t>(</w:t>
      </w:r>
      <w:r w:rsidR="009D6E9B" w:rsidRPr="001655FD">
        <w:rPr>
          <w:i/>
          <w:iCs/>
        </w:rPr>
        <w:t>SZVFW</w:t>
      </w:r>
      <w:r w:rsidR="009D6E9B" w:rsidRPr="001655FD">
        <w:t xml:space="preserve">) </w:t>
      </w:r>
      <w:r w:rsidR="000903E3" w:rsidRPr="001655FD">
        <w:t>at [11], [52], [89] and [135]</w:t>
      </w:r>
      <w:r w:rsidR="000903E3" w:rsidRPr="001655FD">
        <w:rPr>
          <w:shd w:val="clear" w:color="auto" w:fill="FFFFFF"/>
        </w:rPr>
        <w:t>.</w:t>
      </w:r>
      <w:r w:rsidR="005C5B49" w:rsidRPr="001655FD">
        <w:rPr>
          <w:shd w:val="clear" w:color="auto" w:fill="FFFFFF"/>
        </w:rPr>
        <w:t xml:space="preserve"> </w:t>
      </w:r>
    </w:p>
    <w:p w14:paraId="7185595C" w14:textId="129F28C0" w:rsidR="00B66109" w:rsidRPr="001655FD" w:rsidRDefault="00F122B2" w:rsidP="00F122B2">
      <w:pPr>
        <w:pStyle w:val="ParaNumbering"/>
        <w:numPr>
          <w:ilvl w:val="0"/>
          <w:numId w:val="0"/>
        </w:numPr>
        <w:tabs>
          <w:tab w:val="left" w:pos="720"/>
        </w:tabs>
        <w:ind w:hanging="720"/>
      </w:pPr>
      <w:bookmarkStart w:id="38" w:name="_Ref168992577"/>
      <w:r w:rsidRPr="001655FD">
        <w:rPr>
          <w:sz w:val="20"/>
        </w:rPr>
        <w:t>41</w:t>
      </w:r>
      <w:r w:rsidRPr="001655FD">
        <w:rPr>
          <w:sz w:val="20"/>
        </w:rPr>
        <w:tab/>
      </w:r>
      <w:r w:rsidR="00615B1F" w:rsidRPr="001655FD">
        <w:t xml:space="preserve">In this regard the primary judge </w:t>
      </w:r>
      <w:r w:rsidR="00EC3E19" w:rsidRPr="001655FD">
        <w:t xml:space="preserve">at [52] </w:t>
      </w:r>
      <w:r w:rsidR="00187740" w:rsidRPr="001655FD">
        <w:t>quoted</w:t>
      </w:r>
      <w:r w:rsidR="00615B1F" w:rsidRPr="001655FD">
        <w:t xml:space="preserve"> </w:t>
      </w:r>
      <w:r w:rsidR="00B66109" w:rsidRPr="001655FD">
        <w:rPr>
          <w:i/>
        </w:rPr>
        <w:t xml:space="preserve">DUA16 </w:t>
      </w:r>
      <w:r w:rsidR="00B66109" w:rsidRPr="001655FD">
        <w:t>at [26]</w:t>
      </w:r>
      <w:r w:rsidR="00205BD2" w:rsidRPr="001655FD">
        <w:t>:</w:t>
      </w:r>
      <w:bookmarkEnd w:id="38"/>
    </w:p>
    <w:p w14:paraId="61A1139A" w14:textId="2961AA3E" w:rsidR="00E51689" w:rsidRPr="001655FD" w:rsidRDefault="00B66109" w:rsidP="00205BD2">
      <w:pPr>
        <w:pStyle w:val="Quote1"/>
      </w:pPr>
      <w:r w:rsidRPr="001655FD">
        <w:t>A requirement of legal reasonableness in the exercise of a decision-maker’s power is derived by implication from the statute, including an implication of the required threshold of unreasonableness, which is usually high. Any legal unreasonableness is to be judged at the time the power is exercised or should have been exercised. It is not to be assessed through the lens of procedural fairness to the applicant. Instead, whether the implied requirements of legal reasonableness have been satisfied requires a close focus upon the particular circumstances of exercise of the statutory power: the conclusion is drawn “from the facts and from the matters falling for consideration in the exercise of the statutory power”.</w:t>
      </w:r>
    </w:p>
    <w:p w14:paraId="50383B95" w14:textId="1F3A175E" w:rsidR="00234F7F" w:rsidRPr="001655FD" w:rsidRDefault="00F122B2" w:rsidP="00F122B2">
      <w:pPr>
        <w:pStyle w:val="ParaNumbering"/>
        <w:numPr>
          <w:ilvl w:val="0"/>
          <w:numId w:val="0"/>
        </w:numPr>
        <w:tabs>
          <w:tab w:val="left" w:pos="720"/>
        </w:tabs>
        <w:ind w:hanging="720"/>
        <w:rPr>
          <w:szCs w:val="24"/>
        </w:rPr>
      </w:pPr>
      <w:r w:rsidRPr="001655FD">
        <w:rPr>
          <w:sz w:val="20"/>
          <w:szCs w:val="24"/>
        </w:rPr>
        <w:t>42</w:t>
      </w:r>
      <w:r w:rsidRPr="001655FD">
        <w:rPr>
          <w:sz w:val="20"/>
          <w:szCs w:val="24"/>
        </w:rPr>
        <w:tab/>
      </w:r>
      <w:r w:rsidR="00F0559E" w:rsidRPr="001655FD">
        <w:rPr>
          <w:szCs w:val="24"/>
          <w:shd w:val="clear" w:color="auto" w:fill="FFFFFF"/>
        </w:rPr>
        <w:t>The appellant pointed to n</w:t>
      </w:r>
      <w:r w:rsidR="00A238AA" w:rsidRPr="001655FD">
        <w:rPr>
          <w:szCs w:val="24"/>
          <w:shd w:val="clear" w:color="auto" w:fill="FFFFFF"/>
        </w:rPr>
        <w:t xml:space="preserve">o authority to support the proposition that the consideration of whether a delay is unreasonable starts </w:t>
      </w:r>
      <w:r w:rsidR="00AE0DE6" w:rsidRPr="001655FD">
        <w:rPr>
          <w:szCs w:val="24"/>
          <w:shd w:val="clear" w:color="auto" w:fill="FFFFFF"/>
        </w:rPr>
        <w:t>with an assumption</w:t>
      </w:r>
      <w:r w:rsidR="00A238AA" w:rsidRPr="001655FD">
        <w:rPr>
          <w:szCs w:val="24"/>
          <w:shd w:val="clear" w:color="auto" w:fill="FFFFFF"/>
        </w:rPr>
        <w:t xml:space="preserve"> that an agency is </w:t>
      </w:r>
      <w:r w:rsidR="00396BD6" w:rsidRPr="001655FD">
        <w:rPr>
          <w:szCs w:val="24"/>
          <w:shd w:val="clear" w:color="auto" w:fill="FFFFFF"/>
        </w:rPr>
        <w:t>adequately resourced</w:t>
      </w:r>
      <w:r w:rsidR="00A238AA" w:rsidRPr="001655FD">
        <w:rPr>
          <w:szCs w:val="24"/>
          <w:shd w:val="clear" w:color="auto" w:fill="FFFFFF"/>
        </w:rPr>
        <w:t xml:space="preserve">, such that </w:t>
      </w:r>
      <w:r w:rsidR="00B6294A" w:rsidRPr="001655FD">
        <w:rPr>
          <w:szCs w:val="24"/>
          <w:shd w:val="clear" w:color="auto" w:fill="FFFFFF"/>
        </w:rPr>
        <w:t xml:space="preserve">the lack of </w:t>
      </w:r>
      <w:r w:rsidR="00A238AA" w:rsidRPr="001655FD">
        <w:rPr>
          <w:szCs w:val="24"/>
          <w:shd w:val="clear" w:color="auto" w:fill="FFFFFF"/>
        </w:rPr>
        <w:t xml:space="preserve">resourcing is </w:t>
      </w:r>
      <w:r w:rsidR="00065B9C" w:rsidRPr="001655FD">
        <w:rPr>
          <w:szCs w:val="24"/>
          <w:shd w:val="clear" w:color="auto" w:fill="FFFFFF"/>
        </w:rPr>
        <w:t xml:space="preserve">a </w:t>
      </w:r>
      <w:r w:rsidR="00A238AA" w:rsidRPr="001655FD">
        <w:rPr>
          <w:szCs w:val="24"/>
          <w:shd w:val="clear" w:color="auto" w:fill="FFFFFF"/>
        </w:rPr>
        <w:t>consideratio</w:t>
      </w:r>
      <w:r w:rsidR="00B43C12" w:rsidRPr="001655FD">
        <w:rPr>
          <w:szCs w:val="24"/>
          <w:shd w:val="clear" w:color="auto" w:fill="FFFFFF"/>
        </w:rPr>
        <w:t xml:space="preserve">n </w:t>
      </w:r>
      <w:r w:rsidR="00B23CCB" w:rsidRPr="001655FD">
        <w:rPr>
          <w:szCs w:val="24"/>
          <w:shd w:val="clear" w:color="auto" w:fill="FFFFFF"/>
        </w:rPr>
        <w:t xml:space="preserve">(except in limited circumstances) </w:t>
      </w:r>
      <w:r w:rsidR="001E1751" w:rsidRPr="001655FD">
        <w:rPr>
          <w:szCs w:val="24"/>
          <w:shd w:val="clear" w:color="auto" w:fill="FFFFFF"/>
        </w:rPr>
        <w:t xml:space="preserve">that </w:t>
      </w:r>
      <w:r w:rsidR="00B23CCB" w:rsidRPr="001655FD">
        <w:rPr>
          <w:szCs w:val="24"/>
          <w:shd w:val="clear" w:color="auto" w:fill="FFFFFF"/>
        </w:rPr>
        <w:t xml:space="preserve">is </w:t>
      </w:r>
      <w:r w:rsidR="008A3A03" w:rsidRPr="001655FD">
        <w:rPr>
          <w:szCs w:val="24"/>
          <w:shd w:val="clear" w:color="auto" w:fill="FFFFFF"/>
        </w:rPr>
        <w:t xml:space="preserve">not </w:t>
      </w:r>
      <w:r w:rsidR="00065B9C" w:rsidRPr="001655FD">
        <w:rPr>
          <w:szCs w:val="24"/>
          <w:shd w:val="clear" w:color="auto" w:fill="FFFFFF"/>
        </w:rPr>
        <w:t>relevan</w:t>
      </w:r>
      <w:r w:rsidR="00B23CCB" w:rsidRPr="001655FD">
        <w:rPr>
          <w:szCs w:val="24"/>
          <w:shd w:val="clear" w:color="auto" w:fill="FFFFFF"/>
        </w:rPr>
        <w:t>t</w:t>
      </w:r>
      <w:r w:rsidR="00065B9C" w:rsidRPr="001655FD">
        <w:rPr>
          <w:szCs w:val="24"/>
          <w:shd w:val="clear" w:color="auto" w:fill="FFFFFF"/>
        </w:rPr>
        <w:t xml:space="preserve"> </w:t>
      </w:r>
      <w:r w:rsidR="00B43C12" w:rsidRPr="001655FD">
        <w:rPr>
          <w:szCs w:val="24"/>
          <w:shd w:val="clear" w:color="auto" w:fill="FFFFFF"/>
        </w:rPr>
        <w:t>thereafter.</w:t>
      </w:r>
      <w:r w:rsidR="008A13A2" w:rsidRPr="001655FD">
        <w:rPr>
          <w:szCs w:val="24"/>
          <w:shd w:val="clear" w:color="auto" w:fill="FFFFFF"/>
        </w:rPr>
        <w:t xml:space="preserve"> </w:t>
      </w:r>
      <w:r w:rsidR="00B33970" w:rsidRPr="001655FD">
        <w:rPr>
          <w:szCs w:val="24"/>
          <w:shd w:val="clear" w:color="auto" w:fill="FFFFFF"/>
        </w:rPr>
        <w:t xml:space="preserve">Nor </w:t>
      </w:r>
      <w:r w:rsidR="00A9104B" w:rsidRPr="001655FD">
        <w:rPr>
          <w:szCs w:val="24"/>
          <w:shd w:val="clear" w:color="auto" w:fill="FFFFFF"/>
        </w:rPr>
        <w:t>did he point to any</w:t>
      </w:r>
      <w:r w:rsidR="00B33970" w:rsidRPr="001655FD">
        <w:rPr>
          <w:szCs w:val="24"/>
          <w:shd w:val="clear" w:color="auto" w:fill="FFFFFF"/>
        </w:rPr>
        <w:t xml:space="preserve"> authority which </w:t>
      </w:r>
      <w:r w:rsidR="00C05083" w:rsidRPr="001655FD">
        <w:rPr>
          <w:szCs w:val="24"/>
          <w:shd w:val="clear" w:color="auto" w:fill="FFFFFF"/>
        </w:rPr>
        <w:t xml:space="preserve">suggests that </w:t>
      </w:r>
      <w:r w:rsidR="00C70704" w:rsidRPr="001655FD">
        <w:rPr>
          <w:szCs w:val="24"/>
          <w:shd w:val="clear" w:color="auto" w:fill="FFFFFF"/>
        </w:rPr>
        <w:t xml:space="preserve">any </w:t>
      </w:r>
      <w:r w:rsidR="00C70704" w:rsidRPr="001655FD">
        <w:rPr>
          <w:szCs w:val="24"/>
          <w:shd w:val="clear" w:color="auto" w:fill="FFFFFF"/>
        </w:rPr>
        <w:lastRenderedPageBreak/>
        <w:t>explanation</w:t>
      </w:r>
      <w:r w:rsidR="00934582" w:rsidRPr="001655FD">
        <w:rPr>
          <w:szCs w:val="24"/>
          <w:shd w:val="clear" w:color="auto" w:fill="FFFFFF"/>
        </w:rPr>
        <w:t xml:space="preserve"> for </w:t>
      </w:r>
      <w:r w:rsidR="00E60B59" w:rsidRPr="001655FD">
        <w:rPr>
          <w:szCs w:val="24"/>
          <w:shd w:val="clear" w:color="auto" w:fill="FFFFFF"/>
        </w:rPr>
        <w:t xml:space="preserve">a </w:t>
      </w:r>
      <w:r w:rsidR="00AC1AE7" w:rsidRPr="001655FD">
        <w:rPr>
          <w:szCs w:val="24"/>
          <w:shd w:val="clear" w:color="auto" w:fill="FFFFFF"/>
        </w:rPr>
        <w:t xml:space="preserve">delay that </w:t>
      </w:r>
      <w:r w:rsidR="00C70704" w:rsidRPr="001655FD">
        <w:rPr>
          <w:szCs w:val="24"/>
          <w:shd w:val="clear" w:color="auto" w:fill="FFFFFF"/>
        </w:rPr>
        <w:t xml:space="preserve">refers to resourcing is not </w:t>
      </w:r>
      <w:r w:rsidR="00934582" w:rsidRPr="001655FD">
        <w:rPr>
          <w:szCs w:val="24"/>
          <w:shd w:val="clear" w:color="auto" w:fill="FFFFFF"/>
        </w:rPr>
        <w:t>a relevant consideration</w:t>
      </w:r>
      <w:r w:rsidR="007D7566" w:rsidRPr="001655FD">
        <w:rPr>
          <w:szCs w:val="24"/>
          <w:shd w:val="clear" w:color="auto" w:fill="FFFFFF"/>
        </w:rPr>
        <w:t xml:space="preserve"> </w:t>
      </w:r>
      <w:r w:rsidR="00477671" w:rsidRPr="001655FD">
        <w:rPr>
          <w:szCs w:val="24"/>
          <w:shd w:val="clear" w:color="auto" w:fill="FFFFFF"/>
        </w:rPr>
        <w:t xml:space="preserve">(or </w:t>
      </w:r>
      <w:r w:rsidR="005D14D9" w:rsidRPr="001655FD">
        <w:rPr>
          <w:szCs w:val="24"/>
          <w:shd w:val="clear" w:color="auto" w:fill="FFFFFF"/>
        </w:rPr>
        <w:t xml:space="preserve">is </w:t>
      </w:r>
      <w:r w:rsidR="00477671" w:rsidRPr="001655FD">
        <w:rPr>
          <w:szCs w:val="24"/>
          <w:shd w:val="clear" w:color="auto" w:fill="FFFFFF"/>
        </w:rPr>
        <w:t xml:space="preserve">of limited relevance) </w:t>
      </w:r>
      <w:r w:rsidR="007D7566" w:rsidRPr="001655FD">
        <w:rPr>
          <w:szCs w:val="24"/>
          <w:shd w:val="clear" w:color="auto" w:fill="FFFFFF"/>
        </w:rPr>
        <w:t xml:space="preserve">in assessing whether </w:t>
      </w:r>
      <w:r w:rsidR="00863D0A" w:rsidRPr="001655FD">
        <w:rPr>
          <w:szCs w:val="24"/>
          <w:shd w:val="clear" w:color="auto" w:fill="FFFFFF"/>
        </w:rPr>
        <w:t xml:space="preserve">it has been established that the </w:t>
      </w:r>
      <w:r w:rsidR="007D7566" w:rsidRPr="001655FD">
        <w:rPr>
          <w:szCs w:val="24"/>
          <w:shd w:val="clear" w:color="auto" w:fill="FFFFFF"/>
        </w:rPr>
        <w:t xml:space="preserve">delay is unreasonable. </w:t>
      </w:r>
    </w:p>
    <w:p w14:paraId="253B710A" w14:textId="190CE857" w:rsidR="007836CA" w:rsidRPr="001655FD" w:rsidRDefault="00F122B2" w:rsidP="00F122B2">
      <w:pPr>
        <w:pStyle w:val="ParaNumbering"/>
        <w:numPr>
          <w:ilvl w:val="0"/>
          <w:numId w:val="0"/>
        </w:numPr>
        <w:tabs>
          <w:tab w:val="left" w:pos="720"/>
        </w:tabs>
        <w:ind w:hanging="720"/>
        <w:rPr>
          <w:szCs w:val="24"/>
        </w:rPr>
      </w:pPr>
      <w:r w:rsidRPr="001655FD">
        <w:rPr>
          <w:sz w:val="20"/>
          <w:szCs w:val="24"/>
        </w:rPr>
        <w:t>43</w:t>
      </w:r>
      <w:r w:rsidRPr="001655FD">
        <w:rPr>
          <w:sz w:val="20"/>
          <w:szCs w:val="24"/>
        </w:rPr>
        <w:tab/>
      </w:r>
      <w:r w:rsidR="007713B1" w:rsidRPr="001655FD">
        <w:rPr>
          <w:szCs w:val="24"/>
        </w:rPr>
        <w:t xml:space="preserve">Certainly, none of the </w:t>
      </w:r>
      <w:r w:rsidR="00AE60D6" w:rsidRPr="001655FD">
        <w:rPr>
          <w:szCs w:val="24"/>
        </w:rPr>
        <w:t xml:space="preserve">judgments to which </w:t>
      </w:r>
      <w:r w:rsidR="00FC433D" w:rsidRPr="001655FD">
        <w:rPr>
          <w:szCs w:val="24"/>
        </w:rPr>
        <w:t xml:space="preserve">the appellant drew </w:t>
      </w:r>
      <w:r w:rsidR="00AE60D6" w:rsidRPr="001655FD">
        <w:rPr>
          <w:szCs w:val="24"/>
        </w:rPr>
        <w:t xml:space="preserve">specific attention, being </w:t>
      </w:r>
      <w:r w:rsidR="00AE60D6" w:rsidRPr="001655FD">
        <w:rPr>
          <w:i/>
          <w:iCs/>
          <w:szCs w:val="24"/>
        </w:rPr>
        <w:t>Wei</w:t>
      </w:r>
      <w:r w:rsidR="00AE60D6" w:rsidRPr="001655FD">
        <w:rPr>
          <w:szCs w:val="24"/>
        </w:rPr>
        <w:t xml:space="preserve">, </w:t>
      </w:r>
      <w:r w:rsidR="00AE60D6" w:rsidRPr="001655FD">
        <w:rPr>
          <w:i/>
          <w:iCs/>
          <w:szCs w:val="24"/>
        </w:rPr>
        <w:t>BMF16</w:t>
      </w:r>
      <w:r w:rsidR="00AE60D6" w:rsidRPr="001655FD">
        <w:rPr>
          <w:szCs w:val="24"/>
        </w:rPr>
        <w:t xml:space="preserve"> and </w:t>
      </w:r>
      <w:r w:rsidR="00AE60D6" w:rsidRPr="001655FD">
        <w:rPr>
          <w:i/>
          <w:iCs/>
          <w:szCs w:val="24"/>
        </w:rPr>
        <w:t>Davis</w:t>
      </w:r>
      <w:r w:rsidR="00255581" w:rsidRPr="001655FD">
        <w:rPr>
          <w:szCs w:val="24"/>
        </w:rPr>
        <w:t>,</w:t>
      </w:r>
      <w:r w:rsidR="00F7138E" w:rsidRPr="001655FD">
        <w:rPr>
          <w:szCs w:val="24"/>
        </w:rPr>
        <w:t xml:space="preserve"> </w:t>
      </w:r>
      <w:r w:rsidR="00C539F2" w:rsidRPr="001655FD">
        <w:rPr>
          <w:szCs w:val="24"/>
        </w:rPr>
        <w:t>in which</w:t>
      </w:r>
      <w:r w:rsidR="00E94F87" w:rsidRPr="001655FD">
        <w:rPr>
          <w:szCs w:val="24"/>
        </w:rPr>
        <w:t xml:space="preserve"> </w:t>
      </w:r>
      <w:r w:rsidR="00772E87" w:rsidRPr="001655FD">
        <w:rPr>
          <w:szCs w:val="24"/>
        </w:rPr>
        <w:t>application</w:t>
      </w:r>
      <w:r w:rsidR="00E94F87" w:rsidRPr="001655FD">
        <w:rPr>
          <w:szCs w:val="24"/>
        </w:rPr>
        <w:t>s</w:t>
      </w:r>
      <w:r w:rsidR="00C516A6" w:rsidRPr="001655FD">
        <w:rPr>
          <w:szCs w:val="24"/>
        </w:rPr>
        <w:t xml:space="preserve"> for relief based on </w:t>
      </w:r>
      <w:r w:rsidR="00772E87" w:rsidRPr="001655FD">
        <w:rPr>
          <w:szCs w:val="24"/>
        </w:rPr>
        <w:t xml:space="preserve">unreasonable delay </w:t>
      </w:r>
      <w:r w:rsidR="00AE07B9" w:rsidRPr="001655FD">
        <w:rPr>
          <w:szCs w:val="24"/>
        </w:rPr>
        <w:t xml:space="preserve">were </w:t>
      </w:r>
      <w:r w:rsidR="00772E87" w:rsidRPr="001655FD">
        <w:rPr>
          <w:szCs w:val="24"/>
        </w:rPr>
        <w:t>a least part</w:t>
      </w:r>
      <w:r w:rsidR="00AE07B9" w:rsidRPr="001655FD">
        <w:rPr>
          <w:szCs w:val="24"/>
        </w:rPr>
        <w:t>ly</w:t>
      </w:r>
      <w:r w:rsidR="00F8242B" w:rsidRPr="001655FD">
        <w:rPr>
          <w:szCs w:val="24"/>
        </w:rPr>
        <w:t xml:space="preserve"> </w:t>
      </w:r>
      <w:r w:rsidR="0017192C" w:rsidRPr="001655FD">
        <w:rPr>
          <w:szCs w:val="24"/>
        </w:rPr>
        <w:t xml:space="preserve">sought to be explained by </w:t>
      </w:r>
      <w:r w:rsidR="0016671F" w:rsidRPr="001655FD">
        <w:rPr>
          <w:szCs w:val="24"/>
        </w:rPr>
        <w:t>a lack of resources</w:t>
      </w:r>
      <w:r w:rsidR="00F8242B" w:rsidRPr="001655FD">
        <w:rPr>
          <w:szCs w:val="24"/>
        </w:rPr>
        <w:t xml:space="preserve"> in the relevant agency</w:t>
      </w:r>
      <w:r w:rsidR="0016671F" w:rsidRPr="001655FD">
        <w:rPr>
          <w:szCs w:val="24"/>
        </w:rPr>
        <w:t>, adopt that approach. Rather, each</w:t>
      </w:r>
      <w:r w:rsidR="00DA1A44" w:rsidRPr="001655FD">
        <w:rPr>
          <w:szCs w:val="24"/>
        </w:rPr>
        <w:t xml:space="preserve"> of those</w:t>
      </w:r>
      <w:r w:rsidR="0016671F" w:rsidRPr="001655FD">
        <w:rPr>
          <w:szCs w:val="24"/>
        </w:rPr>
        <w:t xml:space="preserve"> </w:t>
      </w:r>
      <w:r w:rsidR="007C5067" w:rsidRPr="001655FD">
        <w:rPr>
          <w:szCs w:val="24"/>
        </w:rPr>
        <w:t>judgment</w:t>
      </w:r>
      <w:r w:rsidR="00DA1A44" w:rsidRPr="001655FD">
        <w:rPr>
          <w:szCs w:val="24"/>
        </w:rPr>
        <w:t>s</w:t>
      </w:r>
      <w:r w:rsidR="00C539F2" w:rsidRPr="001655FD">
        <w:rPr>
          <w:szCs w:val="24"/>
        </w:rPr>
        <w:t>,</w:t>
      </w:r>
      <w:r w:rsidR="007C5067" w:rsidRPr="001655FD">
        <w:rPr>
          <w:szCs w:val="24"/>
        </w:rPr>
        <w:t xml:space="preserve"> </w:t>
      </w:r>
      <w:r w:rsidR="006E1883" w:rsidRPr="001655FD">
        <w:rPr>
          <w:szCs w:val="24"/>
        </w:rPr>
        <w:t xml:space="preserve">as </w:t>
      </w:r>
      <w:r w:rsidR="00A83FAC" w:rsidRPr="001655FD">
        <w:rPr>
          <w:szCs w:val="24"/>
        </w:rPr>
        <w:t xml:space="preserve">with </w:t>
      </w:r>
      <w:r w:rsidR="0019369E" w:rsidRPr="001655FD">
        <w:rPr>
          <w:szCs w:val="24"/>
        </w:rPr>
        <w:t xml:space="preserve">the primary judgment, </w:t>
      </w:r>
      <w:r w:rsidR="0016671F" w:rsidRPr="001655FD">
        <w:rPr>
          <w:szCs w:val="24"/>
        </w:rPr>
        <w:t xml:space="preserve">considered evidence of the explanation </w:t>
      </w:r>
      <w:r w:rsidR="00063884" w:rsidRPr="001655FD">
        <w:rPr>
          <w:szCs w:val="24"/>
        </w:rPr>
        <w:t xml:space="preserve">for </w:t>
      </w:r>
      <w:r w:rsidR="00776754" w:rsidRPr="001655FD">
        <w:rPr>
          <w:szCs w:val="24"/>
        </w:rPr>
        <w:t xml:space="preserve">the delay </w:t>
      </w:r>
      <w:r w:rsidR="0016671F" w:rsidRPr="001655FD">
        <w:rPr>
          <w:szCs w:val="24"/>
        </w:rPr>
        <w:t xml:space="preserve">as a relevant consideration, together with others, in reaching </w:t>
      </w:r>
      <w:r w:rsidR="00C22B6C" w:rsidRPr="001655FD">
        <w:rPr>
          <w:szCs w:val="24"/>
        </w:rPr>
        <w:t xml:space="preserve">a </w:t>
      </w:r>
      <w:r w:rsidR="0016671F" w:rsidRPr="001655FD">
        <w:rPr>
          <w:szCs w:val="24"/>
        </w:rPr>
        <w:t>conclusion</w:t>
      </w:r>
      <w:r w:rsidR="00C539F2" w:rsidRPr="001655FD">
        <w:rPr>
          <w:szCs w:val="24"/>
        </w:rPr>
        <w:t>. Further, it may be noted</w:t>
      </w:r>
      <w:r w:rsidR="00776754" w:rsidRPr="001655FD">
        <w:rPr>
          <w:szCs w:val="24"/>
        </w:rPr>
        <w:t xml:space="preserve"> that</w:t>
      </w:r>
      <w:r w:rsidR="0058145A">
        <w:rPr>
          <w:szCs w:val="24"/>
        </w:rPr>
        <w:t>,</w:t>
      </w:r>
      <w:r w:rsidR="00776754" w:rsidRPr="001655FD">
        <w:rPr>
          <w:szCs w:val="24"/>
        </w:rPr>
        <w:t xml:space="preserve"> in </w:t>
      </w:r>
      <w:r w:rsidR="00776754" w:rsidRPr="001655FD">
        <w:rPr>
          <w:i/>
          <w:iCs/>
          <w:szCs w:val="24"/>
        </w:rPr>
        <w:t>B</w:t>
      </w:r>
      <w:r w:rsidR="00C71539" w:rsidRPr="001655FD">
        <w:rPr>
          <w:i/>
          <w:iCs/>
          <w:szCs w:val="24"/>
        </w:rPr>
        <w:t>MF16</w:t>
      </w:r>
      <w:r w:rsidR="0058145A">
        <w:rPr>
          <w:szCs w:val="24"/>
        </w:rPr>
        <w:t>,</w:t>
      </w:r>
      <w:r w:rsidR="00C71539" w:rsidRPr="001655FD">
        <w:rPr>
          <w:szCs w:val="24"/>
        </w:rPr>
        <w:t xml:space="preserve"> the Court ultimately concluded </w:t>
      </w:r>
      <w:r w:rsidR="00D4034B">
        <w:rPr>
          <w:szCs w:val="24"/>
        </w:rPr>
        <w:t xml:space="preserve">that </w:t>
      </w:r>
      <w:r w:rsidR="00C71539" w:rsidRPr="001655FD">
        <w:rPr>
          <w:szCs w:val="24"/>
        </w:rPr>
        <w:t>the</w:t>
      </w:r>
      <w:r w:rsidR="00B72D4C" w:rsidRPr="001655FD">
        <w:rPr>
          <w:szCs w:val="24"/>
        </w:rPr>
        <w:t xml:space="preserve"> evidence failed to </w:t>
      </w:r>
      <w:r w:rsidR="00936CB2" w:rsidRPr="001655FD">
        <w:rPr>
          <w:szCs w:val="24"/>
        </w:rPr>
        <w:t xml:space="preserve">establish </w:t>
      </w:r>
      <w:r w:rsidR="00B72D4C" w:rsidRPr="001655FD">
        <w:rPr>
          <w:szCs w:val="24"/>
        </w:rPr>
        <w:t>that resourcing was a significant cause of delay</w:t>
      </w:r>
      <w:r w:rsidR="00017CC5" w:rsidRPr="001655FD">
        <w:rPr>
          <w:szCs w:val="24"/>
        </w:rPr>
        <w:t>: at [10</w:t>
      </w:r>
      <w:r w:rsidR="00576A25" w:rsidRPr="001655FD">
        <w:rPr>
          <w:szCs w:val="24"/>
        </w:rPr>
        <w:t>4</w:t>
      </w:r>
      <w:r w:rsidR="00017CC5" w:rsidRPr="001655FD">
        <w:rPr>
          <w:szCs w:val="24"/>
        </w:rPr>
        <w:t>]-[105]</w:t>
      </w:r>
      <w:r w:rsidR="0016671F" w:rsidRPr="001655FD">
        <w:rPr>
          <w:szCs w:val="24"/>
        </w:rPr>
        <w:t xml:space="preserve">. </w:t>
      </w:r>
      <w:r w:rsidR="00E0670A" w:rsidRPr="001655FD">
        <w:rPr>
          <w:szCs w:val="24"/>
        </w:rPr>
        <w:t>I</w:t>
      </w:r>
      <w:r w:rsidR="009C3495" w:rsidRPr="001655FD">
        <w:rPr>
          <w:szCs w:val="24"/>
        </w:rPr>
        <w:t xml:space="preserve">n </w:t>
      </w:r>
      <w:r w:rsidR="009C3495" w:rsidRPr="001655FD">
        <w:rPr>
          <w:i/>
          <w:iCs/>
          <w:szCs w:val="24"/>
        </w:rPr>
        <w:t>Wei</w:t>
      </w:r>
      <w:r w:rsidR="009C3495" w:rsidRPr="001655FD">
        <w:rPr>
          <w:szCs w:val="24"/>
        </w:rPr>
        <w:t xml:space="preserve">, </w:t>
      </w:r>
      <w:r w:rsidR="00E0670A" w:rsidRPr="001655FD">
        <w:rPr>
          <w:szCs w:val="24"/>
        </w:rPr>
        <w:t xml:space="preserve">in the context of evidence being adduced </w:t>
      </w:r>
      <w:r w:rsidR="0080661A" w:rsidRPr="001655FD">
        <w:rPr>
          <w:szCs w:val="24"/>
        </w:rPr>
        <w:t xml:space="preserve">suggesting inadequate resources, </w:t>
      </w:r>
      <w:r w:rsidR="009C3495" w:rsidRPr="001655FD">
        <w:rPr>
          <w:szCs w:val="24"/>
        </w:rPr>
        <w:t xml:space="preserve">the Court </w:t>
      </w:r>
      <w:r w:rsidR="00777F31" w:rsidRPr="001655FD">
        <w:rPr>
          <w:szCs w:val="24"/>
        </w:rPr>
        <w:t>rejected the submission</w:t>
      </w:r>
      <w:r w:rsidR="0080661A" w:rsidRPr="001655FD">
        <w:rPr>
          <w:szCs w:val="24"/>
        </w:rPr>
        <w:t xml:space="preserve"> that the reasons were for delay were not relevant</w:t>
      </w:r>
      <w:r w:rsidR="00345381" w:rsidRPr="001655FD">
        <w:rPr>
          <w:szCs w:val="24"/>
        </w:rPr>
        <w:t xml:space="preserve">: at </w:t>
      </w:r>
      <w:r w:rsidR="008B392F" w:rsidRPr="001655FD">
        <w:rPr>
          <w:szCs w:val="24"/>
        </w:rPr>
        <w:t>475</w:t>
      </w:r>
      <w:r w:rsidR="0080661A" w:rsidRPr="001655FD">
        <w:rPr>
          <w:szCs w:val="24"/>
        </w:rPr>
        <w:t xml:space="preserve">. </w:t>
      </w:r>
    </w:p>
    <w:p w14:paraId="0459CEEC" w14:textId="0A05BC13" w:rsidR="00536834" w:rsidRPr="001655FD" w:rsidRDefault="00F122B2" w:rsidP="00F122B2">
      <w:pPr>
        <w:pStyle w:val="ParaNumbering"/>
        <w:numPr>
          <w:ilvl w:val="0"/>
          <w:numId w:val="0"/>
        </w:numPr>
        <w:tabs>
          <w:tab w:val="left" w:pos="720"/>
        </w:tabs>
        <w:ind w:hanging="720"/>
        <w:rPr>
          <w:szCs w:val="24"/>
        </w:rPr>
      </w:pPr>
      <w:r w:rsidRPr="001655FD">
        <w:rPr>
          <w:sz w:val="20"/>
          <w:szCs w:val="24"/>
        </w:rPr>
        <w:t>44</w:t>
      </w:r>
      <w:r w:rsidRPr="001655FD">
        <w:rPr>
          <w:sz w:val="20"/>
          <w:szCs w:val="24"/>
        </w:rPr>
        <w:tab/>
      </w:r>
      <w:r w:rsidR="00016568" w:rsidRPr="001655FD">
        <w:rPr>
          <w:szCs w:val="24"/>
        </w:rPr>
        <w:t xml:space="preserve">As the primary judge correctly observed, </w:t>
      </w:r>
      <w:r w:rsidR="00016568" w:rsidRPr="001655FD">
        <w:rPr>
          <w:i/>
          <w:iCs/>
          <w:szCs w:val="24"/>
        </w:rPr>
        <w:t>Thornton</w:t>
      </w:r>
      <w:r w:rsidR="00016568" w:rsidRPr="001655FD">
        <w:rPr>
          <w:szCs w:val="24"/>
        </w:rPr>
        <w:t xml:space="preserve"> </w:t>
      </w:r>
      <w:r w:rsidR="00FA0E3F" w:rsidRPr="001655FD">
        <w:rPr>
          <w:szCs w:val="24"/>
        </w:rPr>
        <w:t xml:space="preserve">— </w:t>
      </w:r>
      <w:r w:rsidR="00075543" w:rsidRPr="001655FD">
        <w:rPr>
          <w:szCs w:val="24"/>
        </w:rPr>
        <w:t xml:space="preserve">where Fisher J </w:t>
      </w:r>
      <w:r w:rsidR="00E00BAC" w:rsidRPr="001655FD">
        <w:rPr>
          <w:szCs w:val="24"/>
        </w:rPr>
        <w:t xml:space="preserve">considered the factors relevant </w:t>
      </w:r>
      <w:r w:rsidR="00B53D9D" w:rsidRPr="001655FD">
        <w:rPr>
          <w:szCs w:val="24"/>
        </w:rPr>
        <w:t xml:space="preserve">to assessing whether a delay may be unreasonable for the purposes of </w:t>
      </w:r>
      <w:r w:rsidR="00D25A83" w:rsidRPr="001655FD">
        <w:rPr>
          <w:szCs w:val="24"/>
        </w:rPr>
        <w:t>the</w:t>
      </w:r>
      <w:r w:rsidR="00B53D9D" w:rsidRPr="001655FD">
        <w:rPr>
          <w:szCs w:val="24"/>
        </w:rPr>
        <w:t xml:space="preserve"> ADJR Act</w:t>
      </w:r>
      <w:r w:rsidR="001D1DE2" w:rsidRPr="001655FD">
        <w:rPr>
          <w:szCs w:val="24"/>
        </w:rPr>
        <w:t xml:space="preserve"> s</w:t>
      </w:r>
      <w:r w:rsidR="00A2453E" w:rsidRPr="001655FD">
        <w:rPr>
          <w:szCs w:val="24"/>
        </w:rPr>
        <w:t> </w:t>
      </w:r>
      <w:r w:rsidR="001D1DE2" w:rsidRPr="001655FD">
        <w:rPr>
          <w:szCs w:val="24"/>
        </w:rPr>
        <w:t>7(1)</w:t>
      </w:r>
      <w:r w:rsidR="00FA0E3F" w:rsidRPr="001655FD">
        <w:rPr>
          <w:szCs w:val="24"/>
        </w:rPr>
        <w:t xml:space="preserve"> —</w:t>
      </w:r>
      <w:r w:rsidR="00075543" w:rsidRPr="001655FD">
        <w:rPr>
          <w:szCs w:val="24"/>
        </w:rPr>
        <w:t xml:space="preserve"> has been </w:t>
      </w:r>
      <w:r w:rsidR="00BA1733" w:rsidRPr="001655FD">
        <w:rPr>
          <w:szCs w:val="24"/>
        </w:rPr>
        <w:t>repeated</w:t>
      </w:r>
      <w:r w:rsidR="00A41949" w:rsidRPr="001655FD">
        <w:rPr>
          <w:szCs w:val="24"/>
        </w:rPr>
        <w:t>ly</w:t>
      </w:r>
      <w:r w:rsidR="00BA1733" w:rsidRPr="001655FD">
        <w:rPr>
          <w:szCs w:val="24"/>
        </w:rPr>
        <w:t xml:space="preserve"> </w:t>
      </w:r>
      <w:r w:rsidR="00ED0F84" w:rsidRPr="001655FD">
        <w:rPr>
          <w:szCs w:val="24"/>
        </w:rPr>
        <w:t>applied</w:t>
      </w:r>
      <w:r w:rsidR="00C539F2" w:rsidRPr="001655FD">
        <w:rPr>
          <w:szCs w:val="24"/>
        </w:rPr>
        <w:t>,</w:t>
      </w:r>
      <w:r w:rsidR="00891096" w:rsidRPr="001655FD">
        <w:rPr>
          <w:szCs w:val="24"/>
        </w:rPr>
        <w:t xml:space="preserve"> including in </w:t>
      </w:r>
      <w:r w:rsidR="00891096" w:rsidRPr="001655FD">
        <w:rPr>
          <w:i/>
          <w:iCs/>
          <w:szCs w:val="24"/>
        </w:rPr>
        <w:t>Wei</w:t>
      </w:r>
      <w:r w:rsidR="00891096" w:rsidRPr="001655FD">
        <w:rPr>
          <w:szCs w:val="24"/>
        </w:rPr>
        <w:t xml:space="preserve">, </w:t>
      </w:r>
      <w:r w:rsidR="00891096" w:rsidRPr="001655FD">
        <w:rPr>
          <w:i/>
          <w:iCs/>
          <w:szCs w:val="24"/>
        </w:rPr>
        <w:t>BMF</w:t>
      </w:r>
      <w:r w:rsidR="00FA0E3F" w:rsidRPr="001655FD">
        <w:rPr>
          <w:i/>
          <w:iCs/>
          <w:szCs w:val="24"/>
        </w:rPr>
        <w:t>16</w:t>
      </w:r>
      <w:r w:rsidR="00891096" w:rsidRPr="001655FD">
        <w:rPr>
          <w:szCs w:val="24"/>
        </w:rPr>
        <w:t xml:space="preserve"> and </w:t>
      </w:r>
      <w:r w:rsidR="00891096" w:rsidRPr="001655FD">
        <w:rPr>
          <w:i/>
          <w:iCs/>
          <w:szCs w:val="24"/>
        </w:rPr>
        <w:t>Davis</w:t>
      </w:r>
      <w:r w:rsidR="00891096" w:rsidRPr="001655FD">
        <w:rPr>
          <w:szCs w:val="24"/>
        </w:rPr>
        <w:t>: PJ [4</w:t>
      </w:r>
      <w:r w:rsidR="00474055" w:rsidRPr="001655FD">
        <w:rPr>
          <w:szCs w:val="24"/>
        </w:rPr>
        <w:t>7</w:t>
      </w:r>
      <w:r w:rsidR="00891096" w:rsidRPr="001655FD">
        <w:rPr>
          <w:szCs w:val="24"/>
        </w:rPr>
        <w:t>]-[5</w:t>
      </w:r>
      <w:r w:rsidR="00C43A2A" w:rsidRPr="001655FD">
        <w:rPr>
          <w:szCs w:val="24"/>
        </w:rPr>
        <w:t>2</w:t>
      </w:r>
      <w:r w:rsidR="00891096" w:rsidRPr="001655FD">
        <w:rPr>
          <w:szCs w:val="24"/>
        </w:rPr>
        <w:t xml:space="preserve">]. </w:t>
      </w:r>
      <w:r w:rsidR="002623FF" w:rsidRPr="001655FD">
        <w:rPr>
          <w:szCs w:val="24"/>
        </w:rPr>
        <w:t xml:space="preserve">In doing so the primary judge </w:t>
      </w:r>
      <w:r w:rsidR="000E7E72" w:rsidRPr="001655FD">
        <w:rPr>
          <w:szCs w:val="24"/>
        </w:rPr>
        <w:t xml:space="preserve">at </w:t>
      </w:r>
      <w:r w:rsidR="00C539F2" w:rsidRPr="001655FD">
        <w:rPr>
          <w:szCs w:val="24"/>
        </w:rPr>
        <w:t>PJ </w:t>
      </w:r>
      <w:r w:rsidR="000E7E72" w:rsidRPr="001655FD">
        <w:rPr>
          <w:szCs w:val="24"/>
        </w:rPr>
        <w:t xml:space="preserve">[52] </w:t>
      </w:r>
      <w:r w:rsidR="002623FF" w:rsidRPr="001655FD">
        <w:rPr>
          <w:szCs w:val="24"/>
        </w:rPr>
        <w:t>also</w:t>
      </w:r>
      <w:r w:rsidR="009D1641" w:rsidRPr="001655FD">
        <w:rPr>
          <w:szCs w:val="24"/>
        </w:rPr>
        <w:t xml:space="preserve"> r</w:t>
      </w:r>
      <w:r w:rsidR="00644194" w:rsidRPr="001655FD">
        <w:rPr>
          <w:szCs w:val="24"/>
        </w:rPr>
        <w:t xml:space="preserve">eferred to the comments in </w:t>
      </w:r>
      <w:r w:rsidR="00644194" w:rsidRPr="001655FD">
        <w:rPr>
          <w:i/>
          <w:iCs/>
          <w:szCs w:val="24"/>
        </w:rPr>
        <w:t>Davis</w:t>
      </w:r>
      <w:r w:rsidR="00644194" w:rsidRPr="001655FD">
        <w:rPr>
          <w:szCs w:val="24"/>
        </w:rPr>
        <w:t xml:space="preserve">, </w:t>
      </w:r>
      <w:r w:rsidR="00216CAC" w:rsidRPr="001655FD">
        <w:rPr>
          <w:szCs w:val="24"/>
        </w:rPr>
        <w:t>where Logan J</w:t>
      </w:r>
      <w:r w:rsidR="001218F0" w:rsidRPr="001655FD">
        <w:rPr>
          <w:szCs w:val="24"/>
        </w:rPr>
        <w:t xml:space="preserve"> held </w:t>
      </w:r>
      <w:r w:rsidR="00DE21C2" w:rsidRPr="001655FD">
        <w:rPr>
          <w:szCs w:val="24"/>
        </w:rPr>
        <w:t>that</w:t>
      </w:r>
      <w:r w:rsidR="00216CAC" w:rsidRPr="001655FD">
        <w:rPr>
          <w:szCs w:val="24"/>
        </w:rPr>
        <w:t xml:space="preserve"> </w:t>
      </w:r>
      <w:r w:rsidR="00007192" w:rsidRPr="001655FD">
        <w:rPr>
          <w:szCs w:val="24"/>
        </w:rPr>
        <w:t>the considerations</w:t>
      </w:r>
      <w:r w:rsidR="006C5DD8" w:rsidRPr="001655FD">
        <w:rPr>
          <w:szCs w:val="24"/>
        </w:rPr>
        <w:t xml:space="preserve"> </w:t>
      </w:r>
      <w:r w:rsidR="00007192" w:rsidRPr="001655FD">
        <w:rPr>
          <w:szCs w:val="24"/>
        </w:rPr>
        <w:t xml:space="preserve">referred to in </w:t>
      </w:r>
      <w:r w:rsidR="00007192" w:rsidRPr="001655FD">
        <w:rPr>
          <w:i/>
          <w:iCs/>
          <w:szCs w:val="24"/>
        </w:rPr>
        <w:t xml:space="preserve">Thornton </w:t>
      </w:r>
      <w:r w:rsidR="00007192" w:rsidRPr="001655FD">
        <w:rPr>
          <w:szCs w:val="24"/>
        </w:rPr>
        <w:t>sat well wi</w:t>
      </w:r>
      <w:r w:rsidR="000073B1" w:rsidRPr="001655FD">
        <w:rPr>
          <w:szCs w:val="24"/>
        </w:rPr>
        <w:t>th</w:t>
      </w:r>
      <w:r w:rsidR="00644194" w:rsidRPr="001655FD">
        <w:rPr>
          <w:szCs w:val="24"/>
        </w:rPr>
        <w:t xml:space="preserve"> contemporary expositions of legal unreasonableness, </w:t>
      </w:r>
      <w:r w:rsidR="00B84160" w:rsidRPr="001655FD">
        <w:rPr>
          <w:szCs w:val="24"/>
        </w:rPr>
        <w:t>such as that found</w:t>
      </w:r>
      <w:r w:rsidR="007909A0" w:rsidRPr="001655FD">
        <w:rPr>
          <w:szCs w:val="24"/>
        </w:rPr>
        <w:t xml:space="preserve"> in</w:t>
      </w:r>
      <w:r w:rsidR="00B84160" w:rsidRPr="001655FD">
        <w:rPr>
          <w:szCs w:val="24"/>
        </w:rPr>
        <w:t xml:space="preserve"> </w:t>
      </w:r>
      <w:r w:rsidR="00644194" w:rsidRPr="001655FD">
        <w:rPr>
          <w:i/>
          <w:iCs/>
          <w:szCs w:val="24"/>
        </w:rPr>
        <w:t>DUA16</w:t>
      </w:r>
      <w:r w:rsidR="00644194" w:rsidRPr="001655FD">
        <w:rPr>
          <w:szCs w:val="24"/>
        </w:rPr>
        <w:t xml:space="preserve"> at [26]</w:t>
      </w:r>
      <w:r w:rsidR="002C56D2" w:rsidRPr="001655FD">
        <w:rPr>
          <w:szCs w:val="24"/>
        </w:rPr>
        <w:t xml:space="preserve"> (recited above at [</w:t>
      </w:r>
      <w:r w:rsidR="002C56D2" w:rsidRPr="001655FD">
        <w:rPr>
          <w:szCs w:val="24"/>
        </w:rPr>
        <w:fldChar w:fldCharType="begin"/>
      </w:r>
      <w:r w:rsidR="002C56D2" w:rsidRPr="001655FD">
        <w:rPr>
          <w:szCs w:val="24"/>
        </w:rPr>
        <w:instrText xml:space="preserve"> REF _Ref168992577 \r \h </w:instrText>
      </w:r>
      <w:r w:rsidR="00CA0169" w:rsidRPr="001655FD">
        <w:rPr>
          <w:szCs w:val="24"/>
        </w:rPr>
        <w:instrText xml:space="preserve"> \* MERGEFORMAT </w:instrText>
      </w:r>
      <w:r w:rsidR="002C56D2" w:rsidRPr="001655FD">
        <w:rPr>
          <w:szCs w:val="24"/>
        </w:rPr>
      </w:r>
      <w:r w:rsidR="002C56D2" w:rsidRPr="001655FD">
        <w:rPr>
          <w:szCs w:val="24"/>
        </w:rPr>
        <w:fldChar w:fldCharType="separate"/>
      </w:r>
      <w:r w:rsidR="009F3992">
        <w:rPr>
          <w:szCs w:val="24"/>
        </w:rPr>
        <w:t>41</w:t>
      </w:r>
      <w:r w:rsidR="002C56D2" w:rsidRPr="001655FD">
        <w:rPr>
          <w:szCs w:val="24"/>
        </w:rPr>
        <w:fldChar w:fldCharType="end"/>
      </w:r>
      <w:r w:rsidR="002C56D2" w:rsidRPr="001655FD">
        <w:rPr>
          <w:szCs w:val="24"/>
        </w:rPr>
        <w:t>]).</w:t>
      </w:r>
      <w:r w:rsidR="00644194" w:rsidRPr="001655FD">
        <w:rPr>
          <w:szCs w:val="24"/>
        </w:rPr>
        <w:t xml:space="preserve"> </w:t>
      </w:r>
    </w:p>
    <w:p w14:paraId="79635227" w14:textId="41197E0E" w:rsidR="00CA37A8" w:rsidRPr="001655FD" w:rsidRDefault="00F122B2" w:rsidP="00F122B2">
      <w:pPr>
        <w:pStyle w:val="ParaNumbering"/>
        <w:numPr>
          <w:ilvl w:val="0"/>
          <w:numId w:val="0"/>
        </w:numPr>
        <w:tabs>
          <w:tab w:val="left" w:pos="720"/>
        </w:tabs>
        <w:ind w:hanging="720"/>
        <w:rPr>
          <w:szCs w:val="24"/>
        </w:rPr>
      </w:pPr>
      <w:r w:rsidRPr="001655FD">
        <w:rPr>
          <w:sz w:val="20"/>
          <w:szCs w:val="24"/>
        </w:rPr>
        <w:t>45</w:t>
      </w:r>
      <w:r w:rsidRPr="001655FD">
        <w:rPr>
          <w:sz w:val="20"/>
          <w:szCs w:val="24"/>
        </w:rPr>
        <w:tab/>
      </w:r>
      <w:r w:rsidR="00062517" w:rsidRPr="001655FD">
        <w:rPr>
          <w:szCs w:val="24"/>
        </w:rPr>
        <w:t xml:space="preserve">That said, </w:t>
      </w:r>
      <w:r w:rsidR="009C3495" w:rsidRPr="001655FD">
        <w:rPr>
          <w:szCs w:val="24"/>
        </w:rPr>
        <w:t>c</w:t>
      </w:r>
      <w:r w:rsidR="00A27DC1" w:rsidRPr="001655FD">
        <w:rPr>
          <w:szCs w:val="24"/>
        </w:rPr>
        <w:t xml:space="preserve">are must be taken </w:t>
      </w:r>
      <w:r w:rsidR="002A1857" w:rsidRPr="001655FD">
        <w:rPr>
          <w:szCs w:val="24"/>
        </w:rPr>
        <w:t>in considering those</w:t>
      </w:r>
      <w:r w:rsidR="0087622C" w:rsidRPr="001655FD">
        <w:rPr>
          <w:szCs w:val="24"/>
        </w:rPr>
        <w:t xml:space="preserve"> cases</w:t>
      </w:r>
      <w:r w:rsidR="002A1857" w:rsidRPr="001655FD">
        <w:rPr>
          <w:szCs w:val="24"/>
        </w:rPr>
        <w:t>, and other</w:t>
      </w:r>
      <w:r w:rsidR="0087622C" w:rsidRPr="001655FD">
        <w:rPr>
          <w:szCs w:val="24"/>
        </w:rPr>
        <w:t>s</w:t>
      </w:r>
      <w:r w:rsidR="002A1857" w:rsidRPr="001655FD">
        <w:rPr>
          <w:szCs w:val="24"/>
        </w:rPr>
        <w:t xml:space="preserve">, in what was said as to the </w:t>
      </w:r>
      <w:r w:rsidR="007836CA" w:rsidRPr="001655FD">
        <w:rPr>
          <w:szCs w:val="24"/>
        </w:rPr>
        <w:t xml:space="preserve">lengths of </w:t>
      </w:r>
      <w:r w:rsidR="002A1857" w:rsidRPr="001655FD">
        <w:rPr>
          <w:szCs w:val="24"/>
        </w:rPr>
        <w:t>de</w:t>
      </w:r>
      <w:r w:rsidR="006B2DAF" w:rsidRPr="001655FD">
        <w:rPr>
          <w:szCs w:val="24"/>
        </w:rPr>
        <w:t>lays under consideration. Each conclusion is case specific</w:t>
      </w:r>
      <w:r w:rsidR="00953273" w:rsidRPr="001655FD">
        <w:rPr>
          <w:szCs w:val="24"/>
        </w:rPr>
        <w:t>:</w:t>
      </w:r>
      <w:r w:rsidR="0032428B" w:rsidRPr="001655FD">
        <w:rPr>
          <w:szCs w:val="24"/>
        </w:rPr>
        <w:t xml:space="preserve"> whether a delay is unreasonable is to be assess</w:t>
      </w:r>
      <w:r w:rsidR="00953273" w:rsidRPr="001655FD">
        <w:rPr>
          <w:szCs w:val="24"/>
        </w:rPr>
        <w:t>ed</w:t>
      </w:r>
      <w:r w:rsidR="0032428B" w:rsidRPr="001655FD">
        <w:rPr>
          <w:szCs w:val="24"/>
        </w:rPr>
        <w:t xml:space="preserve"> in all the circumstances</w:t>
      </w:r>
      <w:r w:rsidR="006B2DAF" w:rsidRPr="001655FD">
        <w:rPr>
          <w:szCs w:val="24"/>
        </w:rPr>
        <w:t xml:space="preserve">. Significantly, each </w:t>
      </w:r>
      <w:r w:rsidR="006D53A7" w:rsidRPr="001655FD">
        <w:rPr>
          <w:szCs w:val="24"/>
        </w:rPr>
        <w:t xml:space="preserve">case will be considered </w:t>
      </w:r>
      <w:r w:rsidR="006B2DAF" w:rsidRPr="001655FD">
        <w:rPr>
          <w:szCs w:val="24"/>
        </w:rPr>
        <w:t xml:space="preserve">in the context of the </w:t>
      </w:r>
      <w:r w:rsidR="00CA564C" w:rsidRPr="001655FD">
        <w:rPr>
          <w:szCs w:val="24"/>
        </w:rPr>
        <w:t xml:space="preserve">relevant </w:t>
      </w:r>
      <w:r w:rsidR="006B2DAF" w:rsidRPr="001655FD">
        <w:rPr>
          <w:szCs w:val="24"/>
        </w:rPr>
        <w:t>stat</w:t>
      </w:r>
      <w:r w:rsidR="00E24B05" w:rsidRPr="001655FD">
        <w:rPr>
          <w:szCs w:val="24"/>
        </w:rPr>
        <w:t xml:space="preserve">utory scheme. </w:t>
      </w:r>
      <w:r w:rsidR="004A3DC8" w:rsidRPr="001655FD">
        <w:rPr>
          <w:szCs w:val="24"/>
        </w:rPr>
        <w:t>F</w:t>
      </w:r>
      <w:r w:rsidR="00E737A5" w:rsidRPr="001655FD">
        <w:rPr>
          <w:szCs w:val="24"/>
        </w:rPr>
        <w:t>or example,</w:t>
      </w:r>
      <w:r w:rsidR="001F114B" w:rsidRPr="001655FD">
        <w:rPr>
          <w:szCs w:val="24"/>
        </w:rPr>
        <w:t xml:space="preserve"> the FOI Act is </w:t>
      </w:r>
      <w:r w:rsidR="00E737A5" w:rsidRPr="001655FD">
        <w:t>not directly concerned with matters affecting the liberty of a person</w:t>
      </w:r>
      <w:r w:rsidR="0075156F" w:rsidRPr="001655FD">
        <w:t xml:space="preserve">, unlike </w:t>
      </w:r>
      <w:r w:rsidR="00990729" w:rsidRPr="001655FD">
        <w:rPr>
          <w:szCs w:val="24"/>
        </w:rPr>
        <w:t xml:space="preserve">a migration context where </w:t>
      </w:r>
      <w:r w:rsidR="00CA37A8" w:rsidRPr="001655FD">
        <w:rPr>
          <w:szCs w:val="22"/>
        </w:rPr>
        <w:t>detention may be in issue</w:t>
      </w:r>
      <w:r w:rsidR="007A1923" w:rsidRPr="001655FD">
        <w:rPr>
          <w:szCs w:val="22"/>
        </w:rPr>
        <w:t xml:space="preserve">, which may impact on any assessment of whether a delay is unreasonable: cf </w:t>
      </w:r>
      <w:r w:rsidR="007A1923" w:rsidRPr="001655FD">
        <w:rPr>
          <w:i/>
          <w:iCs/>
          <w:szCs w:val="22"/>
        </w:rPr>
        <w:t>BMF16</w:t>
      </w:r>
      <w:r w:rsidR="007A1923" w:rsidRPr="001655FD">
        <w:rPr>
          <w:szCs w:val="22"/>
        </w:rPr>
        <w:t xml:space="preserve">. </w:t>
      </w:r>
    </w:p>
    <w:p w14:paraId="181E1E8C" w14:textId="3AF0C099" w:rsidR="00947844" w:rsidRPr="001655FD" w:rsidRDefault="00F122B2" w:rsidP="00F122B2">
      <w:pPr>
        <w:pStyle w:val="ParaNumbering"/>
        <w:numPr>
          <w:ilvl w:val="0"/>
          <w:numId w:val="0"/>
        </w:numPr>
        <w:tabs>
          <w:tab w:val="left" w:pos="720"/>
        </w:tabs>
        <w:ind w:hanging="720"/>
        <w:rPr>
          <w:szCs w:val="24"/>
        </w:rPr>
      </w:pPr>
      <w:r w:rsidRPr="001655FD">
        <w:rPr>
          <w:sz w:val="20"/>
          <w:szCs w:val="24"/>
        </w:rPr>
        <w:t>46</w:t>
      </w:r>
      <w:r w:rsidRPr="001655FD">
        <w:rPr>
          <w:sz w:val="20"/>
          <w:szCs w:val="24"/>
        </w:rPr>
        <w:tab/>
      </w:r>
      <w:r w:rsidR="0092179B" w:rsidRPr="001655FD">
        <w:rPr>
          <w:szCs w:val="24"/>
        </w:rPr>
        <w:t xml:space="preserve">An assessment in all the circumstances </w:t>
      </w:r>
      <w:r w:rsidR="00542279" w:rsidRPr="001655FD">
        <w:rPr>
          <w:szCs w:val="24"/>
        </w:rPr>
        <w:t xml:space="preserve">does </w:t>
      </w:r>
      <w:r w:rsidR="00D33024" w:rsidRPr="001655FD">
        <w:rPr>
          <w:szCs w:val="24"/>
        </w:rPr>
        <w:t xml:space="preserve">not preclude </w:t>
      </w:r>
      <w:r w:rsidR="00B53A33" w:rsidRPr="001655FD">
        <w:rPr>
          <w:szCs w:val="24"/>
        </w:rPr>
        <w:t>a finding</w:t>
      </w:r>
      <w:r w:rsidR="00323DF0" w:rsidRPr="001655FD">
        <w:rPr>
          <w:szCs w:val="24"/>
        </w:rPr>
        <w:t xml:space="preserve"> that a delay is unreasonable in circumstances where the explanation provided </w:t>
      </w:r>
      <w:r w:rsidR="005E649C" w:rsidRPr="001655FD">
        <w:rPr>
          <w:szCs w:val="24"/>
        </w:rPr>
        <w:t xml:space="preserve">refers to </w:t>
      </w:r>
      <w:r w:rsidR="00323DF0" w:rsidRPr="001655FD">
        <w:rPr>
          <w:szCs w:val="24"/>
        </w:rPr>
        <w:t xml:space="preserve">resourcing of the agency. </w:t>
      </w:r>
      <w:r w:rsidR="00F21DE9" w:rsidRPr="001655FD">
        <w:rPr>
          <w:szCs w:val="24"/>
        </w:rPr>
        <w:t xml:space="preserve">Nor </w:t>
      </w:r>
      <w:r w:rsidR="0056716C" w:rsidRPr="001655FD">
        <w:rPr>
          <w:szCs w:val="24"/>
        </w:rPr>
        <w:t>i</w:t>
      </w:r>
      <w:r w:rsidR="00017EBB" w:rsidRPr="001655FD">
        <w:rPr>
          <w:szCs w:val="24"/>
        </w:rPr>
        <w:t>s</w:t>
      </w:r>
      <w:r w:rsidR="0056716C" w:rsidRPr="001655FD">
        <w:rPr>
          <w:szCs w:val="24"/>
        </w:rPr>
        <w:t xml:space="preserve"> </w:t>
      </w:r>
      <w:r w:rsidR="00017EBB" w:rsidRPr="001655FD">
        <w:rPr>
          <w:szCs w:val="24"/>
        </w:rPr>
        <w:t xml:space="preserve">that finding precluded by the </w:t>
      </w:r>
      <w:r w:rsidR="000C5E82" w:rsidRPr="001655FD">
        <w:rPr>
          <w:szCs w:val="24"/>
        </w:rPr>
        <w:t>principle</w:t>
      </w:r>
      <w:r w:rsidR="00AA4144" w:rsidRPr="001655FD">
        <w:rPr>
          <w:szCs w:val="24"/>
        </w:rPr>
        <w:t xml:space="preserve"> </w:t>
      </w:r>
      <w:r w:rsidR="00D33024" w:rsidRPr="001655FD">
        <w:rPr>
          <w:szCs w:val="24"/>
        </w:rPr>
        <w:t xml:space="preserve">reflected </w:t>
      </w:r>
      <w:r w:rsidR="00F21DE9" w:rsidRPr="001655FD">
        <w:rPr>
          <w:szCs w:val="24"/>
        </w:rPr>
        <w:t xml:space="preserve">in </w:t>
      </w:r>
      <w:r w:rsidR="00947844" w:rsidRPr="001655FD">
        <w:rPr>
          <w:i/>
          <w:iCs/>
          <w:szCs w:val="24"/>
        </w:rPr>
        <w:t>Wei</w:t>
      </w:r>
      <w:r w:rsidR="00150AB2" w:rsidRPr="001655FD">
        <w:rPr>
          <w:i/>
          <w:iCs/>
          <w:szCs w:val="24"/>
        </w:rPr>
        <w:t xml:space="preserve"> </w:t>
      </w:r>
      <w:r w:rsidR="00150AB2" w:rsidRPr="001655FD">
        <w:rPr>
          <w:szCs w:val="24"/>
        </w:rPr>
        <w:t>at 477</w:t>
      </w:r>
      <w:r w:rsidR="001C6917" w:rsidRPr="001655FD">
        <w:rPr>
          <w:szCs w:val="24"/>
        </w:rPr>
        <w:t>:</w:t>
      </w:r>
      <w:r w:rsidR="00074012" w:rsidRPr="001655FD">
        <w:rPr>
          <w:szCs w:val="24"/>
        </w:rPr>
        <w:t xml:space="preserve"> </w:t>
      </w:r>
      <w:r w:rsidR="00947844" w:rsidRPr="001655FD">
        <w:rPr>
          <w:szCs w:val="24"/>
        </w:rPr>
        <w:t>“it is not for the Court to dictate to the Parliament or the Executive what resources are to be made available in order to properly carry out its administrative functions under the legislative provisions”</w:t>
      </w:r>
      <w:r w:rsidR="00F671DA" w:rsidRPr="001655FD">
        <w:rPr>
          <w:szCs w:val="24"/>
        </w:rPr>
        <w:t xml:space="preserve"> (see [</w:t>
      </w:r>
      <w:r w:rsidR="00F671DA" w:rsidRPr="001655FD">
        <w:rPr>
          <w:szCs w:val="24"/>
        </w:rPr>
        <w:fldChar w:fldCharType="begin"/>
      </w:r>
      <w:r w:rsidR="00F671DA" w:rsidRPr="001655FD">
        <w:rPr>
          <w:szCs w:val="24"/>
        </w:rPr>
        <w:instrText xml:space="preserve"> REF _Ref170142996 \r \h </w:instrText>
      </w:r>
      <w:r w:rsidR="00C9615A" w:rsidRPr="001655FD">
        <w:rPr>
          <w:szCs w:val="24"/>
        </w:rPr>
        <w:instrText xml:space="preserve"> \* MERGEFORMAT </w:instrText>
      </w:r>
      <w:r w:rsidR="00F671DA" w:rsidRPr="001655FD">
        <w:rPr>
          <w:szCs w:val="24"/>
        </w:rPr>
      </w:r>
      <w:r w:rsidR="00F671DA" w:rsidRPr="001655FD">
        <w:rPr>
          <w:szCs w:val="24"/>
        </w:rPr>
        <w:fldChar w:fldCharType="separate"/>
      </w:r>
      <w:r w:rsidR="009F3992">
        <w:rPr>
          <w:szCs w:val="24"/>
        </w:rPr>
        <w:t>27</w:t>
      </w:r>
      <w:r w:rsidR="00F671DA" w:rsidRPr="001655FD">
        <w:rPr>
          <w:szCs w:val="24"/>
        </w:rPr>
        <w:fldChar w:fldCharType="end"/>
      </w:r>
      <w:r w:rsidR="00F671DA" w:rsidRPr="001655FD">
        <w:rPr>
          <w:szCs w:val="24"/>
        </w:rPr>
        <w:t>] above)</w:t>
      </w:r>
      <w:r w:rsidR="00947844" w:rsidRPr="001655FD">
        <w:rPr>
          <w:szCs w:val="24"/>
        </w:rPr>
        <w:t xml:space="preserve">. </w:t>
      </w:r>
    </w:p>
    <w:p w14:paraId="1A383AB8" w14:textId="45EFB4C5" w:rsidR="00A15E88" w:rsidRPr="001655FD" w:rsidRDefault="00F122B2" w:rsidP="00F122B2">
      <w:pPr>
        <w:pStyle w:val="ParaNumbering"/>
        <w:numPr>
          <w:ilvl w:val="0"/>
          <w:numId w:val="0"/>
        </w:numPr>
        <w:tabs>
          <w:tab w:val="left" w:pos="720"/>
        </w:tabs>
        <w:ind w:hanging="720"/>
      </w:pPr>
      <w:bookmarkStart w:id="39" w:name="_Ref168999742"/>
      <w:r w:rsidRPr="001655FD">
        <w:rPr>
          <w:sz w:val="20"/>
        </w:rPr>
        <w:t>47</w:t>
      </w:r>
      <w:r w:rsidRPr="001655FD">
        <w:rPr>
          <w:sz w:val="20"/>
        </w:rPr>
        <w:tab/>
      </w:r>
      <w:r w:rsidR="004923BA" w:rsidRPr="001655FD">
        <w:rPr>
          <w:i/>
          <w:iCs/>
        </w:rPr>
        <w:t>Fourth</w:t>
      </w:r>
      <w:r w:rsidR="004923BA" w:rsidRPr="001655FD">
        <w:t>, the broad discretion given to the Information Commissioner in relation to the manner in which an IC review is to be conducted is subject to the exhortations in s 55(4)</w:t>
      </w:r>
      <w:r w:rsidR="0071410E" w:rsidRPr="001655FD">
        <w:t xml:space="preserve"> of the FOI </w:t>
      </w:r>
      <w:r w:rsidR="0071410E" w:rsidRPr="001655FD">
        <w:lastRenderedPageBreak/>
        <w:t>Act</w:t>
      </w:r>
      <w:r w:rsidR="005A2603" w:rsidRPr="001655FD">
        <w:t>. The exhortations</w:t>
      </w:r>
      <w:r w:rsidR="004923BA" w:rsidRPr="001655FD">
        <w:t xml:space="preserve"> include that the IC review is to be conducted with as little formality and technicality as possible and </w:t>
      </w:r>
      <w:r w:rsidR="00452CB4" w:rsidRPr="001655FD">
        <w:t>“</w:t>
      </w:r>
      <w:r w:rsidR="004923BA" w:rsidRPr="001655FD">
        <w:t>in as timely a manner as is possible given” specified matters</w:t>
      </w:r>
      <w:r w:rsidR="00276503" w:rsidRPr="001655FD">
        <w:t xml:space="preserve"> (</w:t>
      </w:r>
      <w:r w:rsidR="00C539F2" w:rsidRPr="001655FD">
        <w:t>s</w:t>
      </w:r>
      <w:r w:rsidR="003B1211" w:rsidRPr="001655FD">
        <w:t>s</w:t>
      </w:r>
      <w:r w:rsidR="00C539F2" w:rsidRPr="001655FD">
        <w:t> </w:t>
      </w:r>
      <w:r w:rsidR="00276503" w:rsidRPr="001655FD">
        <w:t>55(4)</w:t>
      </w:r>
      <w:r w:rsidR="00AD5880" w:rsidRPr="001655FD">
        <w:t xml:space="preserve">(a), </w:t>
      </w:r>
      <w:r w:rsidR="00276503" w:rsidRPr="001655FD">
        <w:t>(c))</w:t>
      </w:r>
      <w:r w:rsidR="004923BA" w:rsidRPr="001655FD">
        <w:t>.</w:t>
      </w:r>
      <w:bookmarkEnd w:id="39"/>
    </w:p>
    <w:p w14:paraId="5F80957A" w14:textId="585EBFC4" w:rsidR="0096568A" w:rsidRPr="001655FD" w:rsidRDefault="00F122B2" w:rsidP="00F122B2">
      <w:pPr>
        <w:pStyle w:val="ParaNumbering"/>
        <w:numPr>
          <w:ilvl w:val="0"/>
          <w:numId w:val="0"/>
        </w:numPr>
        <w:tabs>
          <w:tab w:val="left" w:pos="720"/>
        </w:tabs>
        <w:ind w:hanging="720"/>
      </w:pPr>
      <w:r w:rsidRPr="001655FD">
        <w:rPr>
          <w:sz w:val="20"/>
        </w:rPr>
        <w:t>48</w:t>
      </w:r>
      <w:r w:rsidRPr="001655FD">
        <w:rPr>
          <w:sz w:val="20"/>
        </w:rPr>
        <w:tab/>
      </w:r>
      <w:r w:rsidR="004923BA" w:rsidRPr="001655FD">
        <w:t>The appellant contended that the express statutory exhortation to a decision</w:t>
      </w:r>
      <w:r w:rsidR="00C539F2" w:rsidRPr="001655FD">
        <w:t>-</w:t>
      </w:r>
      <w:r w:rsidR="004923BA" w:rsidRPr="001655FD">
        <w:t xml:space="preserve">maker to perform a function “in as timely </w:t>
      </w:r>
      <w:r w:rsidR="006514FA" w:rsidRPr="001655FD">
        <w:t xml:space="preserve">a </w:t>
      </w:r>
      <w:r w:rsidR="004923BA" w:rsidRPr="001655FD">
        <w:t xml:space="preserve">manner as </w:t>
      </w:r>
      <w:r w:rsidR="00006761" w:rsidRPr="001655FD">
        <w:t xml:space="preserve">is </w:t>
      </w:r>
      <w:r w:rsidR="004923BA" w:rsidRPr="001655FD">
        <w:t xml:space="preserve">possible” is exceptional and emphasises the legislative intention that reviews should be completed without undue delay. </w:t>
      </w:r>
      <w:r w:rsidR="00074A11" w:rsidRPr="001655FD">
        <w:t xml:space="preserve">He submitted that </w:t>
      </w:r>
      <w:r w:rsidR="0005256E" w:rsidRPr="001655FD">
        <w:t xml:space="preserve">the language is only used when the Parliament wishes to place emphasis on expedition. </w:t>
      </w:r>
    </w:p>
    <w:p w14:paraId="50DF010B" w14:textId="78EDDDB1" w:rsidR="00E570AC" w:rsidRPr="001655FD" w:rsidRDefault="00F122B2" w:rsidP="00F122B2">
      <w:pPr>
        <w:pStyle w:val="ParaNumbering"/>
        <w:numPr>
          <w:ilvl w:val="0"/>
          <w:numId w:val="0"/>
        </w:numPr>
        <w:tabs>
          <w:tab w:val="left" w:pos="720"/>
        </w:tabs>
        <w:ind w:hanging="720"/>
      </w:pPr>
      <w:r w:rsidRPr="001655FD">
        <w:rPr>
          <w:sz w:val="20"/>
        </w:rPr>
        <w:t>49</w:t>
      </w:r>
      <w:r w:rsidRPr="001655FD">
        <w:rPr>
          <w:sz w:val="20"/>
        </w:rPr>
        <w:tab/>
      </w:r>
      <w:r w:rsidR="004923BA" w:rsidRPr="001655FD">
        <w:t xml:space="preserve">The respondent submitted that, to the contrary, the exhortation to conduct an IC review </w:t>
      </w:r>
      <w:r w:rsidR="001F7D4D" w:rsidRPr="001655FD">
        <w:t>“</w:t>
      </w:r>
      <w:r w:rsidR="004923BA" w:rsidRPr="001655FD">
        <w:t xml:space="preserve">in as timely a manner as is possible” does not require the pursuit of timeliness at the expense of the proper administration of the FOI Act or the proper consideration of the issues arising in a particular IC review. </w:t>
      </w:r>
      <w:r w:rsidR="009E2E39" w:rsidRPr="001655FD">
        <w:t>It was</w:t>
      </w:r>
      <w:r w:rsidR="004923BA" w:rsidRPr="001655FD">
        <w:t xml:space="preserve"> submit</w:t>
      </w:r>
      <w:r w:rsidR="00454177" w:rsidRPr="001655FD">
        <w:t>ted</w:t>
      </w:r>
      <w:r w:rsidR="004923BA" w:rsidRPr="001655FD">
        <w:t xml:space="preserve"> </w:t>
      </w:r>
      <w:r w:rsidR="00EC4ABC">
        <w:t xml:space="preserve">that </w:t>
      </w:r>
      <w:r w:rsidR="004923BA" w:rsidRPr="001655FD">
        <w:t xml:space="preserve">those issues include the application of exemptions directed to protection of important public interests. </w:t>
      </w:r>
      <w:r w:rsidR="00454177" w:rsidRPr="001655FD">
        <w:t xml:space="preserve">It was </w:t>
      </w:r>
      <w:r w:rsidR="004923BA" w:rsidRPr="001655FD">
        <w:t>note</w:t>
      </w:r>
      <w:r w:rsidR="00880E29" w:rsidRPr="001655FD">
        <w:t>d</w:t>
      </w:r>
      <w:r w:rsidR="004923BA" w:rsidRPr="001655FD">
        <w:t xml:space="preserve"> </w:t>
      </w:r>
      <w:r w:rsidR="00EC4ABC">
        <w:t xml:space="preserve">that </w:t>
      </w:r>
      <w:r w:rsidR="004923BA" w:rsidRPr="001655FD">
        <w:t xml:space="preserve">the expression used in </w:t>
      </w:r>
      <w:r w:rsidR="009D6E9B" w:rsidRPr="001655FD">
        <w:t>s </w:t>
      </w:r>
      <w:r w:rsidR="004923BA" w:rsidRPr="001655FD">
        <w:t xml:space="preserve">55(4)(c) is “in as timely a manner as is possible given the matters mentioned in subparagraphs (a)(i) to (iii)”, which contemplates consideration of what is practical having regard to </w:t>
      </w:r>
      <w:r w:rsidR="004E549A" w:rsidRPr="001655FD">
        <w:t xml:space="preserve">those </w:t>
      </w:r>
      <w:r w:rsidR="004923BA" w:rsidRPr="001655FD">
        <w:t>specified matters</w:t>
      </w:r>
      <w:r w:rsidR="00716294" w:rsidRPr="001655FD">
        <w:t xml:space="preserve"> (being the </w:t>
      </w:r>
      <w:r w:rsidR="00F46B99" w:rsidRPr="001655FD">
        <w:t>requirements of the Act, the requirements of any other law, and a proper consideration of the ma</w:t>
      </w:r>
      <w:r w:rsidR="00D061D1" w:rsidRPr="001655FD">
        <w:t xml:space="preserve">tters before the </w:t>
      </w:r>
      <w:r w:rsidR="00F80062" w:rsidRPr="001655FD">
        <w:t>I</w:t>
      </w:r>
      <w:r w:rsidR="00D061D1" w:rsidRPr="001655FD">
        <w:t xml:space="preserve">nformation Commissioner). </w:t>
      </w:r>
    </w:p>
    <w:p w14:paraId="005660B0" w14:textId="7A71C05E" w:rsidR="00B16341" w:rsidRPr="001655FD" w:rsidRDefault="00F122B2" w:rsidP="00F122B2">
      <w:pPr>
        <w:pStyle w:val="ParaNumbering"/>
        <w:numPr>
          <w:ilvl w:val="0"/>
          <w:numId w:val="0"/>
        </w:numPr>
        <w:tabs>
          <w:tab w:val="left" w:pos="720"/>
        </w:tabs>
        <w:ind w:hanging="720"/>
      </w:pPr>
      <w:r w:rsidRPr="001655FD">
        <w:rPr>
          <w:sz w:val="20"/>
        </w:rPr>
        <w:t>50</w:t>
      </w:r>
      <w:r w:rsidRPr="001655FD">
        <w:rPr>
          <w:sz w:val="20"/>
        </w:rPr>
        <w:tab/>
      </w:r>
      <w:r w:rsidR="00472D8F" w:rsidRPr="001655FD">
        <w:t xml:space="preserve">So much may readily be accepted. </w:t>
      </w:r>
      <w:r w:rsidR="00252E05" w:rsidRPr="001655FD">
        <w:t>Contrary to the appellant’s submission, the terms of s</w:t>
      </w:r>
      <w:r w:rsidR="00E45F01" w:rsidRPr="001655FD">
        <w:t> </w:t>
      </w:r>
      <w:r w:rsidR="00252E05" w:rsidRPr="001655FD">
        <w:t>55(4)(c)</w:t>
      </w:r>
      <w:r w:rsidR="00F80062" w:rsidRPr="001655FD">
        <w:t>,</w:t>
      </w:r>
      <w:r w:rsidR="00252E05" w:rsidRPr="001655FD">
        <w:t xml:space="preserve"> read in context, </w:t>
      </w:r>
      <w:r w:rsidR="00E53185" w:rsidRPr="001655FD">
        <w:t>are not</w:t>
      </w:r>
      <w:r w:rsidR="00252E05" w:rsidRPr="001655FD">
        <w:t xml:space="preserve"> properly characterised as emphasising </w:t>
      </w:r>
      <w:r w:rsidR="0083146E" w:rsidRPr="001655FD">
        <w:t>“</w:t>
      </w:r>
      <w:r w:rsidR="00252E05" w:rsidRPr="001655FD">
        <w:t>expedition</w:t>
      </w:r>
      <w:r w:rsidR="0083146E" w:rsidRPr="001655FD">
        <w:t>”</w:t>
      </w:r>
      <w:r w:rsidR="00C47431" w:rsidRPr="001655FD">
        <w:t xml:space="preserve"> in the sense </w:t>
      </w:r>
      <w:r w:rsidR="00D4452F" w:rsidRPr="001655FD">
        <w:t>the appellant contends</w:t>
      </w:r>
      <w:r w:rsidR="009D6E9B" w:rsidRPr="001655FD">
        <w:t>, namely</w:t>
      </w:r>
      <w:r w:rsidR="00D4452F" w:rsidRPr="001655FD">
        <w:t xml:space="preserve"> </w:t>
      </w:r>
      <w:r w:rsidR="005951A4" w:rsidRPr="001655FD">
        <w:t xml:space="preserve">that the reviews </w:t>
      </w:r>
      <w:r w:rsidR="004140F5" w:rsidRPr="001655FD">
        <w:t xml:space="preserve">must </w:t>
      </w:r>
      <w:r w:rsidR="005951A4" w:rsidRPr="001655FD">
        <w:t>be completed without undue delay</w:t>
      </w:r>
      <w:r w:rsidR="00252E05" w:rsidRPr="001655FD">
        <w:t>.</w:t>
      </w:r>
      <w:r w:rsidR="00060BB3" w:rsidRPr="001655FD">
        <w:t xml:space="preserve"> </w:t>
      </w:r>
      <w:r w:rsidR="00A410BB" w:rsidRPr="001655FD">
        <w:t xml:space="preserve">No </w:t>
      </w:r>
      <w:r w:rsidR="0081228A" w:rsidRPr="001655FD">
        <w:t>time limit has been imposed</w:t>
      </w:r>
      <w:r w:rsidR="009D6E9B" w:rsidRPr="001655FD">
        <w:t xml:space="preserve">, in contrast to </w:t>
      </w:r>
      <w:r w:rsidR="00516CFA" w:rsidRPr="001655FD">
        <w:t xml:space="preserve">an FOI application: </w:t>
      </w:r>
      <w:r w:rsidR="009D6E9B" w:rsidRPr="001655FD">
        <w:t>s </w:t>
      </w:r>
      <w:r w:rsidR="00516CFA" w:rsidRPr="001655FD">
        <w:t>15(5)(b) of the FOI Act</w:t>
      </w:r>
      <w:r w:rsidR="001A0EA1" w:rsidRPr="001655FD">
        <w:t>.</w:t>
      </w:r>
      <w:r w:rsidR="00516CFA" w:rsidRPr="001655FD">
        <w:t xml:space="preserve"> </w:t>
      </w:r>
      <w:r w:rsidR="001A0EA1" w:rsidRPr="001655FD">
        <w:t>Rather,</w:t>
      </w:r>
      <w:r w:rsidR="00E004B8" w:rsidRPr="001655FD">
        <w:t xml:space="preserve"> </w:t>
      </w:r>
      <w:r w:rsidR="00F50C86" w:rsidRPr="001655FD">
        <w:t>P</w:t>
      </w:r>
      <w:r w:rsidR="00E004B8" w:rsidRPr="001655FD">
        <w:t>arliament cho</w:t>
      </w:r>
      <w:r w:rsidR="004A3B1B" w:rsidRPr="001655FD">
        <w:t>se</w:t>
      </w:r>
      <w:r w:rsidR="00E004B8" w:rsidRPr="001655FD">
        <w:t xml:space="preserve"> aspirational </w:t>
      </w:r>
      <w:r w:rsidR="004A3B1B" w:rsidRPr="001655FD">
        <w:t xml:space="preserve">language in the </w:t>
      </w:r>
      <w:r w:rsidR="009B6EB3" w:rsidRPr="001655FD">
        <w:t>provision</w:t>
      </w:r>
      <w:r w:rsidR="004A3B1B" w:rsidRPr="001655FD">
        <w:t xml:space="preserve"> to be</w:t>
      </w:r>
      <w:r w:rsidR="00970818" w:rsidRPr="001655FD">
        <w:t xml:space="preserve"> considered</w:t>
      </w:r>
      <w:r w:rsidR="009B6EB3" w:rsidRPr="001655FD">
        <w:t xml:space="preserve"> </w:t>
      </w:r>
      <w:r w:rsidR="0013212E" w:rsidRPr="001655FD">
        <w:t>within a broad framework</w:t>
      </w:r>
      <w:r w:rsidR="001A0EA1" w:rsidRPr="001655FD">
        <w:t>.</w:t>
      </w:r>
      <w:r w:rsidR="00D9502C" w:rsidRPr="001655FD">
        <w:t xml:space="preserve"> </w:t>
      </w:r>
      <w:r w:rsidR="008D4A61" w:rsidRPr="001655FD">
        <w:t>Th</w:t>
      </w:r>
      <w:r w:rsidR="008D4A61">
        <w:t>is</w:t>
      </w:r>
      <w:r w:rsidR="008D4A61" w:rsidRPr="001655FD">
        <w:t xml:space="preserve"> </w:t>
      </w:r>
      <w:r w:rsidR="001011B1" w:rsidRPr="001655FD">
        <w:t xml:space="preserve">approach </w:t>
      </w:r>
      <w:r w:rsidR="00E86497" w:rsidRPr="001655FD">
        <w:t xml:space="preserve">recognises </w:t>
      </w:r>
      <w:r w:rsidR="00E6213E" w:rsidRPr="001655FD">
        <w:t xml:space="preserve">that </w:t>
      </w:r>
      <w:r w:rsidR="00435C1A" w:rsidRPr="001655FD">
        <w:t xml:space="preserve">the practical application of the </w:t>
      </w:r>
      <w:r w:rsidR="004703C2">
        <w:t xml:space="preserve">IC </w:t>
      </w:r>
      <w:r w:rsidR="00435C1A" w:rsidRPr="001655FD">
        <w:t xml:space="preserve">review process and need for </w:t>
      </w:r>
      <w:r w:rsidR="00BF6E87" w:rsidRPr="001655FD">
        <w:t>a proper consideration</w:t>
      </w:r>
      <w:r w:rsidR="00D92924" w:rsidRPr="001655FD">
        <w:t xml:space="preserve"> of </w:t>
      </w:r>
      <w:r w:rsidR="003C77D2" w:rsidRPr="001655FD">
        <w:t xml:space="preserve">the specific matter </w:t>
      </w:r>
      <w:r w:rsidR="001554E1" w:rsidRPr="006E04F7">
        <w:t xml:space="preserve">exist </w:t>
      </w:r>
      <w:r w:rsidR="003668F9" w:rsidRPr="006E04F7">
        <w:t>together</w:t>
      </w:r>
      <w:r w:rsidR="003668F9" w:rsidRPr="001655FD">
        <w:t xml:space="preserve"> </w:t>
      </w:r>
      <w:r w:rsidR="003C77D2" w:rsidRPr="001655FD">
        <w:t>with</w:t>
      </w:r>
      <w:r w:rsidR="00BA6F08" w:rsidRPr="001655FD">
        <w:t xml:space="preserve"> an applicant</w:t>
      </w:r>
      <w:r w:rsidR="00425689" w:rsidRPr="001655FD">
        <w:t>’s interest</w:t>
      </w:r>
      <w:r w:rsidR="00BA6F08" w:rsidRPr="001655FD">
        <w:t xml:space="preserve"> in the timely outcome of the process</w:t>
      </w:r>
      <w:r w:rsidR="00F61C18" w:rsidRPr="001655FD">
        <w:t>.</w:t>
      </w:r>
      <w:r w:rsidR="00C556E4" w:rsidRPr="001655FD">
        <w:t xml:space="preserve"> </w:t>
      </w:r>
    </w:p>
    <w:p w14:paraId="12A00091" w14:textId="0B05D965" w:rsidR="00B16776" w:rsidRPr="001655FD" w:rsidRDefault="00F122B2" w:rsidP="00F122B2">
      <w:pPr>
        <w:pStyle w:val="ParaNumbering"/>
        <w:numPr>
          <w:ilvl w:val="0"/>
          <w:numId w:val="0"/>
        </w:numPr>
        <w:tabs>
          <w:tab w:val="left" w:pos="720"/>
        </w:tabs>
        <w:ind w:hanging="720"/>
      </w:pPr>
      <w:r w:rsidRPr="001655FD">
        <w:rPr>
          <w:sz w:val="20"/>
        </w:rPr>
        <w:t>51</w:t>
      </w:r>
      <w:r w:rsidRPr="001655FD">
        <w:rPr>
          <w:sz w:val="20"/>
        </w:rPr>
        <w:tab/>
      </w:r>
      <w:r w:rsidR="00D12360" w:rsidRPr="001655FD">
        <w:t>T</w:t>
      </w:r>
      <w:r w:rsidR="00350CCA" w:rsidRPr="001655FD">
        <w:t xml:space="preserve">he appellant was at pains to stress that s 55(4)(c) is “exceptional”, despite the respondent pointing to </w:t>
      </w:r>
      <w:r w:rsidR="00084430" w:rsidRPr="001655FD">
        <w:t xml:space="preserve">provisions in similar terms in other </w:t>
      </w:r>
      <w:r w:rsidR="00E3274D" w:rsidRPr="001655FD">
        <w:t>statutes</w:t>
      </w:r>
      <w:r w:rsidR="00D82BA4" w:rsidRPr="001655FD">
        <w:t>: see</w:t>
      </w:r>
      <w:r w:rsidR="007B3378" w:rsidRPr="001655FD">
        <w:t>,</w:t>
      </w:r>
      <w:r w:rsidR="00D82BA4" w:rsidRPr="001655FD">
        <w:t xml:space="preserve"> </w:t>
      </w:r>
      <w:r w:rsidR="007B3378" w:rsidRPr="001655FD">
        <w:t>e.g.</w:t>
      </w:r>
      <w:r w:rsidR="00D82BA4" w:rsidRPr="001655FD">
        <w:t>,</w:t>
      </w:r>
      <w:r w:rsidR="009D6E9B" w:rsidRPr="001655FD">
        <w:t xml:space="preserve"> </w:t>
      </w:r>
      <w:r w:rsidR="00527F1C" w:rsidRPr="001655FD">
        <w:rPr>
          <w:i/>
          <w:iCs/>
        </w:rPr>
        <w:t xml:space="preserve">Australian Security </w:t>
      </w:r>
      <w:r w:rsidR="005A2779" w:rsidRPr="001655FD">
        <w:rPr>
          <w:i/>
          <w:iCs/>
        </w:rPr>
        <w:t>Intelligence Organisation Act 1979</w:t>
      </w:r>
      <w:r w:rsidR="005A2779" w:rsidRPr="001655FD">
        <w:t xml:space="preserve"> (Cth) </w:t>
      </w:r>
      <w:r w:rsidR="009D6E9B" w:rsidRPr="001655FD">
        <w:t xml:space="preserve">at </w:t>
      </w:r>
      <w:r w:rsidR="005A2779" w:rsidRPr="001655FD">
        <w:t>ss 82L(1), 83</w:t>
      </w:r>
      <w:r w:rsidR="002F1FB0" w:rsidRPr="001655FD">
        <w:t>ED(2) and 83EE(1)</w:t>
      </w:r>
      <w:r w:rsidR="00CE3190" w:rsidRPr="001655FD">
        <w:t>.</w:t>
      </w:r>
      <w:r w:rsidR="00B16776" w:rsidRPr="001655FD">
        <w:t xml:space="preserve"> </w:t>
      </w:r>
      <w:r w:rsidR="007F681B" w:rsidRPr="001655FD">
        <w:t>I</w:t>
      </w:r>
      <w:r w:rsidR="00374E74" w:rsidRPr="001655FD">
        <w:t>n any event</w:t>
      </w:r>
      <w:r w:rsidR="007925B8" w:rsidRPr="001655FD">
        <w:t>,</w:t>
      </w:r>
      <w:r w:rsidR="00374E74" w:rsidRPr="001655FD">
        <w:t xml:space="preserve"> </w:t>
      </w:r>
      <w:r w:rsidR="00F327A5" w:rsidRPr="001655FD">
        <w:t xml:space="preserve">the statutory context </w:t>
      </w:r>
      <w:r w:rsidR="0095282B" w:rsidRPr="001655FD">
        <w:t>highlighted by the</w:t>
      </w:r>
      <w:r w:rsidR="00905E67" w:rsidRPr="001655FD">
        <w:t xml:space="preserve"> respondent </w:t>
      </w:r>
      <w:r w:rsidR="00D72D0F" w:rsidRPr="001655FD">
        <w:t xml:space="preserve">demonstrates </w:t>
      </w:r>
      <w:r w:rsidR="008217C3" w:rsidRPr="001655FD">
        <w:t xml:space="preserve">that timeliness is a competing, rather than </w:t>
      </w:r>
      <w:r w:rsidR="006F0CCA" w:rsidRPr="001655FD">
        <w:t>an</w:t>
      </w:r>
      <w:r w:rsidR="00886446" w:rsidRPr="001655FD">
        <w:t xml:space="preserve"> </w:t>
      </w:r>
      <w:r w:rsidR="00905E67" w:rsidRPr="001655FD">
        <w:t>overriding</w:t>
      </w:r>
      <w:r w:rsidR="008217C3" w:rsidRPr="001655FD">
        <w:t xml:space="preserve">, priority. </w:t>
      </w:r>
    </w:p>
    <w:p w14:paraId="76FD3DF2" w14:textId="44DD9518" w:rsidR="00EB5C2D" w:rsidRPr="001655FD" w:rsidRDefault="00F122B2" w:rsidP="00F122B2">
      <w:pPr>
        <w:pStyle w:val="ParaNumbering"/>
        <w:numPr>
          <w:ilvl w:val="0"/>
          <w:numId w:val="0"/>
        </w:numPr>
        <w:tabs>
          <w:tab w:val="left" w:pos="720"/>
        </w:tabs>
        <w:ind w:hanging="720"/>
      </w:pPr>
      <w:bookmarkStart w:id="40" w:name="_Ref168999750"/>
      <w:r w:rsidRPr="001655FD">
        <w:rPr>
          <w:sz w:val="20"/>
        </w:rPr>
        <w:t>52</w:t>
      </w:r>
      <w:r w:rsidRPr="001655FD">
        <w:rPr>
          <w:sz w:val="20"/>
        </w:rPr>
        <w:tab/>
      </w:r>
      <w:r w:rsidR="0052345A" w:rsidRPr="001655FD">
        <w:t xml:space="preserve">We </w:t>
      </w:r>
      <w:r w:rsidR="00D061D1" w:rsidRPr="001655FD">
        <w:t xml:space="preserve">also note that </w:t>
      </w:r>
      <w:r w:rsidR="00F55CC1" w:rsidRPr="001655FD">
        <w:t xml:space="preserve">s 55(4) is not intended to limit s 55(2), which </w:t>
      </w:r>
      <w:r w:rsidR="0033077E" w:rsidRPr="001655FD">
        <w:t xml:space="preserve">provides that the Information Commissioner may conduct the IC review in whatever way </w:t>
      </w:r>
      <w:r w:rsidR="00EF348F" w:rsidRPr="001655FD">
        <w:t xml:space="preserve">they consider appropriate, use any </w:t>
      </w:r>
      <w:r w:rsidR="00EF348F" w:rsidRPr="001655FD">
        <w:lastRenderedPageBreak/>
        <w:t>technique they consider appropriate to faci</w:t>
      </w:r>
      <w:r w:rsidR="00E41CD2" w:rsidRPr="001655FD">
        <w:t xml:space="preserve">litate an agreed resolution, allow a person to participate in </w:t>
      </w:r>
      <w:r w:rsidR="00777569" w:rsidRPr="001655FD">
        <w:t>a review</w:t>
      </w:r>
      <w:r w:rsidR="00F93F91" w:rsidRPr="001655FD">
        <w:t xml:space="preserve"> by any means of communication</w:t>
      </w:r>
      <w:r w:rsidR="00777569" w:rsidRPr="001655FD">
        <w:t xml:space="preserve">, obtain any information from any person and make any inquiries considered </w:t>
      </w:r>
      <w:r w:rsidR="001E1200" w:rsidRPr="001655FD">
        <w:t xml:space="preserve">appropriate, and to give </w:t>
      </w:r>
      <w:r w:rsidR="007B1E82" w:rsidRPr="001655FD">
        <w:t xml:space="preserve">written </w:t>
      </w:r>
      <w:r w:rsidR="001E1200" w:rsidRPr="001655FD">
        <w:t>directions as to the conduct of reviews.</w:t>
      </w:r>
      <w:bookmarkEnd w:id="40"/>
      <w:r w:rsidR="001E1200" w:rsidRPr="001655FD">
        <w:t xml:space="preserve"> </w:t>
      </w:r>
    </w:p>
    <w:p w14:paraId="20DD3F7D" w14:textId="15AB3942" w:rsidR="00EB5C2D" w:rsidRPr="001655FD" w:rsidRDefault="00F122B2" w:rsidP="00F122B2">
      <w:pPr>
        <w:pStyle w:val="ParaNumbering"/>
        <w:numPr>
          <w:ilvl w:val="0"/>
          <w:numId w:val="0"/>
        </w:numPr>
        <w:tabs>
          <w:tab w:val="left" w:pos="720"/>
        </w:tabs>
        <w:ind w:hanging="720"/>
      </w:pPr>
      <w:bookmarkStart w:id="41" w:name="_Ref169017939"/>
      <w:r w:rsidRPr="001655FD">
        <w:rPr>
          <w:sz w:val="20"/>
        </w:rPr>
        <w:t>53</w:t>
      </w:r>
      <w:r w:rsidRPr="001655FD">
        <w:rPr>
          <w:sz w:val="20"/>
        </w:rPr>
        <w:tab/>
      </w:r>
      <w:r w:rsidR="00EB5C2D" w:rsidRPr="001655FD">
        <w:rPr>
          <w:i/>
          <w:iCs/>
        </w:rPr>
        <w:t>Fifth</w:t>
      </w:r>
      <w:r w:rsidR="00EB5C2D" w:rsidRPr="001655FD">
        <w:t xml:space="preserve">, </w:t>
      </w:r>
      <w:r w:rsidR="00284005" w:rsidRPr="001655FD">
        <w:t xml:space="preserve">and relatedly, </w:t>
      </w:r>
      <w:r w:rsidR="00EB5C2D" w:rsidRPr="001655FD">
        <w:t xml:space="preserve">the appellant’s submission is that even the shortest of the delays relied on, being three months, is unreasonable. It was submitted that the importance of timeliness is reflected in the fact that the applicant is required to be notified of the decision of their initial FOI request within 30 days: FOI Act s 15(5)(b). </w:t>
      </w:r>
      <w:r w:rsidR="00EB5C2D" w:rsidRPr="00E725C5">
        <w:t>He submitted that where</w:t>
      </w:r>
      <w:r w:rsidR="00EB5C2D" w:rsidRPr="001655FD">
        <w:t xml:space="preserve"> decisions are required to be made at first instance in 30 days, regardless of the complexity of the review process, at no point in the process should there be a delay of three times the original timeframe to undertake any one step in the review process.</w:t>
      </w:r>
      <w:bookmarkEnd w:id="41"/>
      <w:r w:rsidR="00EB5C2D" w:rsidRPr="001655FD">
        <w:t xml:space="preserve"> </w:t>
      </w:r>
    </w:p>
    <w:p w14:paraId="77C76ADC" w14:textId="6A9D6D58" w:rsidR="00E87859" w:rsidRPr="001655FD" w:rsidRDefault="00F122B2" w:rsidP="00F122B2">
      <w:pPr>
        <w:pStyle w:val="ParaNumbering"/>
        <w:numPr>
          <w:ilvl w:val="0"/>
          <w:numId w:val="0"/>
        </w:numPr>
        <w:tabs>
          <w:tab w:val="left" w:pos="720"/>
        </w:tabs>
        <w:ind w:hanging="720"/>
      </w:pPr>
      <w:bookmarkStart w:id="42" w:name="_Ref169017949"/>
      <w:r w:rsidRPr="001655FD">
        <w:rPr>
          <w:sz w:val="20"/>
        </w:rPr>
        <w:t>54</w:t>
      </w:r>
      <w:r w:rsidRPr="001655FD">
        <w:rPr>
          <w:sz w:val="20"/>
        </w:rPr>
        <w:tab/>
      </w:r>
      <w:r w:rsidR="00EB5C2D" w:rsidRPr="001655FD">
        <w:t>In effect</w:t>
      </w:r>
      <w:r w:rsidR="009D6E9B" w:rsidRPr="001655FD">
        <w:t>,</w:t>
      </w:r>
      <w:r w:rsidR="00EB5C2D" w:rsidRPr="001655FD">
        <w:t xml:space="preserve"> </w:t>
      </w:r>
      <w:r w:rsidR="000410F5" w:rsidRPr="001655FD">
        <w:t xml:space="preserve">the appellant characterised </w:t>
      </w:r>
      <w:r w:rsidR="00EB5C2D" w:rsidRPr="001655FD">
        <w:t xml:space="preserve">three months as the outer limit </w:t>
      </w:r>
      <w:r w:rsidR="0018420B" w:rsidRPr="001655FD">
        <w:t>as a reasonable time in which to conduct an IC review</w:t>
      </w:r>
      <w:r w:rsidR="00EB5C2D" w:rsidRPr="001655FD">
        <w:t>. However, that approach is flawed. The relevant application being decided is a</w:t>
      </w:r>
      <w:r w:rsidR="00925DDC">
        <w:t>n IC</w:t>
      </w:r>
      <w:r w:rsidR="00EB5C2D" w:rsidRPr="001655FD">
        <w:t xml:space="preserve"> review application</w:t>
      </w:r>
      <w:r w:rsidR="00CA1306" w:rsidRPr="001655FD">
        <w:t xml:space="preserve">, </w:t>
      </w:r>
      <w:r w:rsidR="00835C47" w:rsidRPr="001655FD">
        <w:t xml:space="preserve">not </w:t>
      </w:r>
      <w:r w:rsidR="00111301" w:rsidRPr="001655FD">
        <w:t xml:space="preserve">a </w:t>
      </w:r>
      <w:r w:rsidR="00835C47" w:rsidRPr="001655FD">
        <w:t xml:space="preserve">decision </w:t>
      </w:r>
      <w:r w:rsidR="0054019D" w:rsidRPr="001655FD">
        <w:t xml:space="preserve">of </w:t>
      </w:r>
      <w:r w:rsidR="00835C47" w:rsidRPr="001655FD">
        <w:t>an applicant’s initial FOI request</w:t>
      </w:r>
      <w:r w:rsidR="00EB5C2D" w:rsidRPr="001655FD">
        <w:t xml:space="preserve">. </w:t>
      </w:r>
    </w:p>
    <w:p w14:paraId="62D963F1" w14:textId="15A80A3C" w:rsidR="00EB5C2D" w:rsidRPr="001655FD" w:rsidRDefault="00F122B2" w:rsidP="00F122B2">
      <w:pPr>
        <w:pStyle w:val="ParaNumbering"/>
        <w:numPr>
          <w:ilvl w:val="0"/>
          <w:numId w:val="0"/>
        </w:numPr>
        <w:tabs>
          <w:tab w:val="left" w:pos="720"/>
        </w:tabs>
        <w:ind w:hanging="720"/>
      </w:pPr>
      <w:r w:rsidRPr="001655FD">
        <w:rPr>
          <w:sz w:val="20"/>
        </w:rPr>
        <w:t>55</w:t>
      </w:r>
      <w:r w:rsidRPr="001655FD">
        <w:rPr>
          <w:sz w:val="20"/>
        </w:rPr>
        <w:tab/>
      </w:r>
      <w:r w:rsidR="00EB5C2D" w:rsidRPr="001655FD">
        <w:t>By its nature, given the procedures set out in the FOI Act, as explained above, there are steps to be undertaken before the review can even take place (and steps not necessary in relation to the initial decision given that is made by the department holding the documents sought). For example, the reviewing body must obtain the material to conduct a merits review, which is always held by another department</w:t>
      </w:r>
      <w:r w:rsidR="009D6E9B" w:rsidRPr="001655FD">
        <w:t xml:space="preserve"> or agency</w:t>
      </w:r>
      <w:r w:rsidR="00EB5C2D" w:rsidRPr="001655FD">
        <w:t xml:space="preserve">. How quickly that is complied with depends on the type of material sought. The type of request dictates the procedure that must be followed (for example, </w:t>
      </w:r>
      <w:r w:rsidR="001D16BC" w:rsidRPr="001655FD">
        <w:t>exempt or conditional</w:t>
      </w:r>
      <w:r w:rsidR="00BF3BE2" w:rsidRPr="001655FD">
        <w:t>ly</w:t>
      </w:r>
      <w:r w:rsidR="001D16BC" w:rsidRPr="001655FD">
        <w:t xml:space="preserve"> </w:t>
      </w:r>
      <w:r w:rsidR="008A597D" w:rsidRPr="001655FD">
        <w:t>exempt</w:t>
      </w:r>
      <w:r w:rsidR="00EB5C2D" w:rsidRPr="001655FD">
        <w:t xml:space="preserve"> material</w:t>
      </w:r>
      <w:r w:rsidR="008A597D" w:rsidRPr="001655FD">
        <w:t>, see [</w:t>
      </w:r>
      <w:r w:rsidR="00C814A7" w:rsidRPr="001655FD">
        <w:fldChar w:fldCharType="begin"/>
      </w:r>
      <w:r w:rsidR="00C814A7" w:rsidRPr="001655FD">
        <w:instrText xml:space="preserve"> REF _Ref168649960 \r \h </w:instrText>
      </w:r>
      <w:r w:rsidR="00451162" w:rsidRPr="001655FD">
        <w:instrText xml:space="preserve"> \* MERGEFORMAT </w:instrText>
      </w:r>
      <w:r w:rsidR="00C814A7" w:rsidRPr="001655FD">
        <w:fldChar w:fldCharType="separate"/>
      </w:r>
      <w:r w:rsidR="009F3992">
        <w:t>12</w:t>
      </w:r>
      <w:r w:rsidR="00C814A7" w:rsidRPr="001655FD">
        <w:fldChar w:fldCharType="end"/>
      </w:r>
      <w:r w:rsidR="008A597D" w:rsidRPr="001655FD">
        <w:t>] above</w:t>
      </w:r>
      <w:r w:rsidR="00EB5C2D" w:rsidRPr="001655FD">
        <w:t xml:space="preserve">). The steps to be undertaken, and by implication the complexity of the process, depends on the nature of the information sought under the FOI Act.  </w:t>
      </w:r>
      <w:r w:rsidR="00852AA6" w:rsidRPr="001655FD">
        <w:t>E</w:t>
      </w:r>
      <w:r w:rsidR="00EB5C2D" w:rsidRPr="001655FD">
        <w:t>xamples in this case include requests for extensions to the provision of information, or that the agency notified the applicant that it intended to reconsider the original decisions. This highlights</w:t>
      </w:r>
      <w:r w:rsidR="005B2222">
        <w:t xml:space="preserve"> that</w:t>
      </w:r>
      <w:r w:rsidR="00EB5C2D" w:rsidRPr="001655FD">
        <w:t xml:space="preserve"> there is no one size fits all approach, such that it would be incorrect to approach the assessment of whether a delay is unreasonable in any application by considering any nominated time frame as an outer limit, let alone one of three months.</w:t>
      </w:r>
      <w:bookmarkEnd w:id="42"/>
      <w:r w:rsidR="00EB5C2D" w:rsidRPr="001655FD">
        <w:t xml:space="preserve"> </w:t>
      </w:r>
    </w:p>
    <w:p w14:paraId="08308AEE" w14:textId="090EBE52" w:rsidR="00AA1600" w:rsidRPr="001655FD" w:rsidRDefault="00F122B2" w:rsidP="00F122B2">
      <w:pPr>
        <w:pStyle w:val="ParaNumbering"/>
        <w:numPr>
          <w:ilvl w:val="0"/>
          <w:numId w:val="0"/>
        </w:numPr>
        <w:tabs>
          <w:tab w:val="left" w:pos="720"/>
        </w:tabs>
        <w:ind w:hanging="720"/>
      </w:pPr>
      <w:r w:rsidRPr="001655FD">
        <w:rPr>
          <w:sz w:val="20"/>
        </w:rPr>
        <w:t>56</w:t>
      </w:r>
      <w:r w:rsidRPr="001655FD">
        <w:rPr>
          <w:sz w:val="20"/>
        </w:rPr>
        <w:tab/>
      </w:r>
      <w:r w:rsidR="00C9119D" w:rsidRPr="001655FD">
        <w:rPr>
          <w:i/>
          <w:iCs/>
        </w:rPr>
        <w:t>Sixth,</w:t>
      </w:r>
      <w:r w:rsidR="00C9119D" w:rsidRPr="001655FD">
        <w:t xml:space="preserve"> there is a difference between the parties as to their characterisation of the right in question. The appellant contends that it is the right to access information in accordance with the FOI Act, and not simply the right to seek a review under s 55K. It was contended that it is incorrect to separate the review process from the underlying general right. On the other hand, </w:t>
      </w:r>
      <w:r w:rsidR="00C9119D" w:rsidRPr="001655FD">
        <w:lastRenderedPageBreak/>
        <w:t xml:space="preserve">the respondent submitted that the relevant right is the review application, because that is a particular step in the process which is not necessarily undertaken and has its own procedures. </w:t>
      </w:r>
    </w:p>
    <w:p w14:paraId="04248872" w14:textId="065F1755" w:rsidR="005268B7" w:rsidRPr="001655FD" w:rsidRDefault="00F122B2" w:rsidP="00F122B2">
      <w:pPr>
        <w:pStyle w:val="ParaNumbering"/>
        <w:numPr>
          <w:ilvl w:val="0"/>
          <w:numId w:val="0"/>
        </w:numPr>
        <w:tabs>
          <w:tab w:val="left" w:pos="720"/>
        </w:tabs>
        <w:ind w:hanging="720"/>
      </w:pPr>
      <w:r w:rsidRPr="001655FD">
        <w:rPr>
          <w:sz w:val="20"/>
        </w:rPr>
        <w:t>57</w:t>
      </w:r>
      <w:r w:rsidRPr="001655FD">
        <w:rPr>
          <w:sz w:val="20"/>
        </w:rPr>
        <w:tab/>
      </w:r>
      <w:r w:rsidR="00AA1600" w:rsidRPr="001655FD">
        <w:t>It should be noted that</w:t>
      </w:r>
      <w:r w:rsidR="00F83F83" w:rsidRPr="001655FD">
        <w:t>,</w:t>
      </w:r>
      <w:r w:rsidR="00AA1600" w:rsidRPr="001655FD">
        <w:t xml:space="preserve"> </w:t>
      </w:r>
      <w:r w:rsidR="008123E3" w:rsidRPr="001655FD">
        <w:t xml:space="preserve">as the respondent submitted, </w:t>
      </w:r>
      <w:r w:rsidR="00AA1600" w:rsidRPr="001655FD">
        <w:t xml:space="preserve">the right to access material </w:t>
      </w:r>
      <w:r w:rsidR="00B13F02" w:rsidRPr="001655FD">
        <w:t xml:space="preserve">of an agency </w:t>
      </w:r>
      <w:r w:rsidR="00AA1600" w:rsidRPr="001655FD">
        <w:t xml:space="preserve">is </w:t>
      </w:r>
      <w:r w:rsidR="00C21E75" w:rsidRPr="001655FD">
        <w:t xml:space="preserve">not unqualified. </w:t>
      </w:r>
      <w:r w:rsidR="00565E94" w:rsidRPr="001655FD">
        <w:t xml:space="preserve">The right </w:t>
      </w:r>
      <w:r w:rsidR="00C21E75" w:rsidRPr="001655FD">
        <w:t>is qualified</w:t>
      </w:r>
      <w:r w:rsidR="00D77506" w:rsidRPr="001655FD">
        <w:t xml:space="preserve"> in at least two</w:t>
      </w:r>
      <w:r w:rsidR="00052577" w:rsidRPr="001655FD">
        <w:t xml:space="preserve"> ways</w:t>
      </w:r>
      <w:r w:rsidR="00426DBA" w:rsidRPr="001655FD">
        <w:t xml:space="preserve">: </w:t>
      </w:r>
      <w:r w:rsidR="00565E94" w:rsidRPr="001655FD">
        <w:t>it is</w:t>
      </w:r>
      <w:r w:rsidR="00426DBA" w:rsidRPr="001655FD">
        <w:t xml:space="preserve"> </w:t>
      </w:r>
      <w:r w:rsidR="00AA1600" w:rsidRPr="001655FD">
        <w:t>“subject to th</w:t>
      </w:r>
      <w:r w:rsidR="008A797D" w:rsidRPr="001655FD">
        <w:t>is</w:t>
      </w:r>
      <w:r w:rsidR="00AA1600" w:rsidRPr="001655FD">
        <w:t xml:space="preserve"> Act”, </w:t>
      </w:r>
      <w:r w:rsidR="008A797D" w:rsidRPr="001655FD">
        <w:t xml:space="preserve">and the right does not extend to </w:t>
      </w:r>
      <w:r w:rsidR="00B56E93" w:rsidRPr="001655FD">
        <w:t>exempt</w:t>
      </w:r>
      <w:r w:rsidR="005B5E6A" w:rsidRPr="001655FD">
        <w:t xml:space="preserve"> documents</w:t>
      </w:r>
      <w:r w:rsidR="00AA1600" w:rsidRPr="001655FD">
        <w:t>:</w:t>
      </w:r>
      <w:r w:rsidR="00F83F83" w:rsidRPr="001655FD">
        <w:t xml:space="preserve"> FOI Act</w:t>
      </w:r>
      <w:r w:rsidR="00AA1600" w:rsidRPr="001655FD">
        <w:t xml:space="preserve"> s 11</w:t>
      </w:r>
      <w:r w:rsidR="005B5E6A" w:rsidRPr="001655FD">
        <w:t>(</w:t>
      </w:r>
      <w:r w:rsidR="00B56E93" w:rsidRPr="001655FD">
        <w:t>1</w:t>
      </w:r>
      <w:r w:rsidR="005B5E6A" w:rsidRPr="001655FD">
        <w:t>)(a)</w:t>
      </w:r>
      <w:r w:rsidR="00AA1600" w:rsidRPr="001655FD">
        <w:t>.</w:t>
      </w:r>
    </w:p>
    <w:p w14:paraId="0D718B05" w14:textId="590094F3" w:rsidR="004923BA" w:rsidRPr="001655FD" w:rsidRDefault="00F122B2" w:rsidP="00F122B2">
      <w:pPr>
        <w:pStyle w:val="ParaNumbering"/>
        <w:numPr>
          <w:ilvl w:val="0"/>
          <w:numId w:val="0"/>
        </w:numPr>
        <w:tabs>
          <w:tab w:val="left" w:pos="720"/>
        </w:tabs>
        <w:ind w:hanging="720"/>
      </w:pPr>
      <w:r w:rsidRPr="001655FD">
        <w:rPr>
          <w:sz w:val="20"/>
        </w:rPr>
        <w:t>58</w:t>
      </w:r>
      <w:r w:rsidRPr="001655FD">
        <w:rPr>
          <w:sz w:val="20"/>
        </w:rPr>
        <w:tab/>
      </w:r>
      <w:r w:rsidR="00426DBA" w:rsidRPr="001655FD">
        <w:t>That said, t</w:t>
      </w:r>
      <w:r w:rsidR="00C9119D" w:rsidRPr="001655FD">
        <w:t xml:space="preserve">he </w:t>
      </w:r>
      <w:r w:rsidR="009D6E9B" w:rsidRPr="001655FD">
        <w:t xml:space="preserve">precise </w:t>
      </w:r>
      <w:r w:rsidR="00C9119D" w:rsidRPr="001655FD">
        <w:t xml:space="preserve">description of the right </w:t>
      </w:r>
      <w:r w:rsidR="009D6E9B" w:rsidRPr="001655FD">
        <w:t xml:space="preserve">reflects </w:t>
      </w:r>
      <w:r w:rsidR="00C9119D" w:rsidRPr="001655FD">
        <w:t>a difference without a distinction. Although there must be a focus on the application in question, being the review application, the focus must be against the background of the scheme of the FOI Act which includes the (</w:t>
      </w:r>
      <w:r w:rsidR="000222D4" w:rsidRPr="001655FD">
        <w:t>qualified</w:t>
      </w:r>
      <w:r w:rsidR="00C9119D" w:rsidRPr="001655FD">
        <w:t>) right to documents.</w:t>
      </w:r>
    </w:p>
    <w:p w14:paraId="0D3B7CD5" w14:textId="1582E10E" w:rsidR="00562930" w:rsidRPr="001655FD" w:rsidRDefault="00F122B2" w:rsidP="00F122B2">
      <w:pPr>
        <w:pStyle w:val="ParaNumbering"/>
        <w:numPr>
          <w:ilvl w:val="0"/>
          <w:numId w:val="0"/>
        </w:numPr>
        <w:tabs>
          <w:tab w:val="left" w:pos="720"/>
        </w:tabs>
        <w:ind w:hanging="720"/>
      </w:pPr>
      <w:r w:rsidRPr="001655FD">
        <w:rPr>
          <w:sz w:val="20"/>
        </w:rPr>
        <w:t>59</w:t>
      </w:r>
      <w:r w:rsidRPr="001655FD">
        <w:rPr>
          <w:sz w:val="20"/>
        </w:rPr>
        <w:tab/>
      </w:r>
      <w:r w:rsidR="00D6422A" w:rsidRPr="001655FD">
        <w:rPr>
          <w:i/>
          <w:iCs/>
        </w:rPr>
        <w:t>F</w:t>
      </w:r>
      <w:r w:rsidR="005A4CCD" w:rsidRPr="001655FD">
        <w:rPr>
          <w:i/>
          <w:iCs/>
        </w:rPr>
        <w:t>i</w:t>
      </w:r>
      <w:r w:rsidR="00973F36" w:rsidRPr="001655FD">
        <w:rPr>
          <w:i/>
          <w:iCs/>
        </w:rPr>
        <w:t>nally</w:t>
      </w:r>
      <w:r w:rsidR="000B0B17" w:rsidRPr="001655FD">
        <w:rPr>
          <w:i/>
          <w:iCs/>
        </w:rPr>
        <w:t>,</w:t>
      </w:r>
      <w:r w:rsidR="000B0B17" w:rsidRPr="001655FD">
        <w:t xml:space="preserve"> </w:t>
      </w:r>
      <w:r w:rsidR="00B43C12" w:rsidRPr="001655FD">
        <w:t xml:space="preserve">whether a delay is unreasonable </w:t>
      </w:r>
      <w:r w:rsidR="000B0B17" w:rsidRPr="001655FD">
        <w:t xml:space="preserve">is a binary </w:t>
      </w:r>
      <w:r w:rsidR="00603275" w:rsidRPr="001655FD">
        <w:t>de</w:t>
      </w:r>
      <w:r w:rsidR="00C86A48" w:rsidRPr="001655FD">
        <w:t>cision</w:t>
      </w:r>
      <w:r w:rsidR="00780298" w:rsidRPr="001655FD">
        <w:t xml:space="preserve">; the assessment admits of only one right answer. </w:t>
      </w:r>
      <w:r w:rsidR="006F08EE" w:rsidRPr="001655FD">
        <w:t xml:space="preserve">It is accepted </w:t>
      </w:r>
      <w:r w:rsidR="003C0C5D" w:rsidRPr="001655FD">
        <w:t xml:space="preserve">by the parties </w:t>
      </w:r>
      <w:r w:rsidR="006F08EE" w:rsidRPr="001655FD">
        <w:t xml:space="preserve">that it is necessary for this Court to </w:t>
      </w:r>
      <w:r w:rsidR="00434EF8" w:rsidRPr="001655FD">
        <w:t>decide whether delay was unreasonabl</w:t>
      </w:r>
      <w:r w:rsidR="00F03B3D" w:rsidRPr="001655FD">
        <w:t>e</w:t>
      </w:r>
      <w:r w:rsidR="00276706" w:rsidRPr="001655FD">
        <w:t xml:space="preserve"> </w:t>
      </w:r>
      <w:r w:rsidR="001173A8" w:rsidRPr="001655FD">
        <w:t xml:space="preserve">and whether the primary judge’s reasoning is in that regard correct: </w:t>
      </w:r>
      <w:r w:rsidR="00312C82" w:rsidRPr="001655FD">
        <w:rPr>
          <w:i/>
          <w:iCs/>
        </w:rPr>
        <w:t>SZVFW</w:t>
      </w:r>
      <w:r w:rsidR="00312C82" w:rsidRPr="001655FD">
        <w:t xml:space="preserve"> at [18</w:t>
      </w:r>
      <w:r w:rsidR="00276706" w:rsidRPr="001655FD">
        <w:t>], [20]</w:t>
      </w:r>
      <w:r w:rsidR="00BD7453" w:rsidRPr="001655FD">
        <w:t xml:space="preserve">, [56]-[57]. </w:t>
      </w:r>
      <w:r w:rsidR="00652503" w:rsidRPr="001655FD">
        <w:t xml:space="preserve">It is </w:t>
      </w:r>
      <w:r w:rsidR="003C0C5D" w:rsidRPr="001655FD">
        <w:t xml:space="preserve">also </w:t>
      </w:r>
      <w:r w:rsidR="00652503" w:rsidRPr="001655FD">
        <w:t xml:space="preserve">accepted that </w:t>
      </w:r>
      <w:r w:rsidR="00120D78" w:rsidRPr="001655FD">
        <w:t xml:space="preserve">in this case </w:t>
      </w:r>
      <w:r w:rsidR="00652503" w:rsidRPr="001655FD">
        <w:t>t</w:t>
      </w:r>
      <w:r w:rsidR="00780298" w:rsidRPr="001655FD">
        <w:t>he assessment is to be done based on the fact finding of the primary judge, as no</w:t>
      </w:r>
      <w:r w:rsidR="006F2FC4" w:rsidRPr="001655FD">
        <w:t xml:space="preserve"> factual findings </w:t>
      </w:r>
      <w:r w:rsidR="001830B6" w:rsidRPr="001655FD">
        <w:t xml:space="preserve">are </w:t>
      </w:r>
      <w:r w:rsidR="006F2FC4" w:rsidRPr="001655FD">
        <w:t xml:space="preserve">challenged. </w:t>
      </w:r>
      <w:r w:rsidR="00652503" w:rsidRPr="001655FD">
        <w:t xml:space="preserve">Moreover, </w:t>
      </w:r>
      <w:r w:rsidR="00120D78" w:rsidRPr="001655FD">
        <w:t xml:space="preserve">it is also to be conducted </w:t>
      </w:r>
      <w:r w:rsidR="00652503" w:rsidRPr="001655FD">
        <w:t xml:space="preserve">in a context where the only basis for unreasonableness </w:t>
      </w:r>
      <w:r w:rsidR="00113C39" w:rsidRPr="001655FD">
        <w:t xml:space="preserve">relied on in the </w:t>
      </w:r>
      <w:r w:rsidR="00F8475F" w:rsidRPr="001655FD">
        <w:t xml:space="preserve">appeal are various periods of time </w:t>
      </w:r>
      <w:r w:rsidR="004A577D" w:rsidRPr="001655FD">
        <w:t xml:space="preserve">where </w:t>
      </w:r>
      <w:r w:rsidR="00F8475F" w:rsidRPr="001655FD">
        <w:t>there is said to be a lack of activity</w:t>
      </w:r>
      <w:r w:rsidR="005C71E6" w:rsidRPr="001655FD">
        <w:t xml:space="preserve"> in the conduct of the review</w:t>
      </w:r>
      <w:r w:rsidR="00F8475F" w:rsidRPr="001655FD">
        <w:t xml:space="preserve">. </w:t>
      </w:r>
      <w:r w:rsidR="005C71E6" w:rsidRPr="001655FD">
        <w:t>The corollary of that is that there is no suggestion that there is any unreasonableness based on decisions made</w:t>
      </w:r>
      <w:r w:rsidR="004F51C5" w:rsidRPr="001655FD">
        <w:t xml:space="preserve"> during the </w:t>
      </w:r>
      <w:r w:rsidR="002F3522">
        <w:t xml:space="preserve">IC </w:t>
      </w:r>
      <w:r w:rsidR="004F51C5" w:rsidRPr="001655FD">
        <w:t>review process</w:t>
      </w:r>
      <w:r w:rsidR="005C71E6" w:rsidRPr="001655FD">
        <w:t>, nor any sugg</w:t>
      </w:r>
      <w:r w:rsidR="0079199D" w:rsidRPr="001655FD">
        <w:t xml:space="preserve">estion of irrationality in those decisions. </w:t>
      </w:r>
      <w:r w:rsidR="00956A99" w:rsidRPr="001655FD">
        <w:t xml:space="preserve">For example, there are instances where in a review time is taken because the agency informed </w:t>
      </w:r>
      <w:r w:rsidR="001E3F47" w:rsidRPr="001655FD">
        <w:t xml:space="preserve">the Office of Information Commissioner that </w:t>
      </w:r>
      <w:r w:rsidR="0054657A" w:rsidRPr="001655FD">
        <w:t>it intended to issue a revised decision (</w:t>
      </w:r>
      <w:r w:rsidR="000C62D4" w:rsidRPr="001655FD">
        <w:t xml:space="preserve">see, e.g., </w:t>
      </w:r>
      <w:r w:rsidR="007E0638" w:rsidRPr="001655FD">
        <w:t xml:space="preserve">PJ </w:t>
      </w:r>
      <w:r w:rsidR="00B720B3" w:rsidRPr="001655FD">
        <w:t>[</w:t>
      </w:r>
      <w:r w:rsidR="007E2880" w:rsidRPr="001655FD">
        <w:t xml:space="preserve">100], </w:t>
      </w:r>
      <w:r w:rsidR="007E0638" w:rsidRPr="001655FD">
        <w:t>[112]</w:t>
      </w:r>
      <w:r w:rsidR="0054387C" w:rsidRPr="001655FD">
        <w:t>, [</w:t>
      </w:r>
      <w:r w:rsidR="001669BF" w:rsidRPr="001655FD">
        <w:t>119</w:t>
      </w:r>
      <w:r w:rsidR="0054387C" w:rsidRPr="001655FD">
        <w:t>]</w:t>
      </w:r>
      <w:r w:rsidR="00BC035F" w:rsidRPr="001655FD">
        <w:t>, [166]</w:t>
      </w:r>
      <w:r w:rsidR="0016617A" w:rsidRPr="001655FD">
        <w:t>, [169]-</w:t>
      </w:r>
      <w:r w:rsidR="000409AB" w:rsidRPr="001655FD">
        <w:t>[</w:t>
      </w:r>
      <w:r w:rsidR="0016617A" w:rsidRPr="001655FD">
        <w:t>170], [177]</w:t>
      </w:r>
      <w:r w:rsidR="007E0638" w:rsidRPr="001655FD">
        <w:t>)</w:t>
      </w:r>
      <w:r w:rsidR="00B81CD8" w:rsidRPr="001655FD">
        <w:t>, that agencies requested extensions of time to provide material (</w:t>
      </w:r>
      <w:r w:rsidR="009C0905" w:rsidRPr="001655FD">
        <w:t xml:space="preserve">see, e.g., </w:t>
      </w:r>
      <w:r w:rsidR="0054387C" w:rsidRPr="001655FD">
        <w:t>PJ [</w:t>
      </w:r>
      <w:r w:rsidR="00080007" w:rsidRPr="001655FD">
        <w:t>98</w:t>
      </w:r>
      <w:r w:rsidR="0054387C" w:rsidRPr="001655FD">
        <w:t>]</w:t>
      </w:r>
      <w:r w:rsidR="002570F1" w:rsidRPr="001655FD">
        <w:t>, [111]</w:t>
      </w:r>
      <w:r w:rsidR="007C212C" w:rsidRPr="001655FD">
        <w:t>, [119], [122]-[123]</w:t>
      </w:r>
      <w:r w:rsidR="005868CB" w:rsidRPr="001655FD">
        <w:t>, [126]</w:t>
      </w:r>
      <w:r w:rsidR="00AE40F3" w:rsidRPr="001655FD">
        <w:t>, [136], [153], [160]</w:t>
      </w:r>
      <w:r w:rsidR="005A1AC5" w:rsidRPr="001655FD">
        <w:t>, [165]-[171]</w:t>
      </w:r>
      <w:r w:rsidR="007C0789" w:rsidRPr="001655FD">
        <w:t>, [177]-[178]) and arrangements needed to be made to enable secure material to be appropriately handled (for example, P</w:t>
      </w:r>
      <w:r w:rsidR="00607EB6" w:rsidRPr="001655FD">
        <w:t>J [</w:t>
      </w:r>
      <w:r w:rsidR="00C07360" w:rsidRPr="001655FD">
        <w:t>121</w:t>
      </w:r>
      <w:r w:rsidR="00607EB6" w:rsidRPr="001655FD">
        <w:t>], [</w:t>
      </w:r>
      <w:r w:rsidR="00610201" w:rsidRPr="001655FD">
        <w:t>138</w:t>
      </w:r>
      <w:r w:rsidR="00607EB6" w:rsidRPr="001655FD">
        <w:t>]</w:t>
      </w:r>
      <w:r w:rsidR="005A6C2D" w:rsidRPr="001655FD">
        <w:t>-[139]</w:t>
      </w:r>
      <w:r w:rsidR="00607EB6" w:rsidRPr="001655FD">
        <w:t xml:space="preserve">). </w:t>
      </w:r>
    </w:p>
    <w:p w14:paraId="7A04DD6B" w14:textId="10712C2B" w:rsidR="00883FF5" w:rsidRPr="001655FD" w:rsidRDefault="00F122B2" w:rsidP="00F122B2">
      <w:pPr>
        <w:pStyle w:val="ParaNumbering"/>
        <w:numPr>
          <w:ilvl w:val="0"/>
          <w:numId w:val="0"/>
        </w:numPr>
        <w:tabs>
          <w:tab w:val="left" w:pos="720"/>
        </w:tabs>
        <w:ind w:hanging="720"/>
      </w:pPr>
      <w:bookmarkStart w:id="43" w:name="_Ref168665154"/>
      <w:r w:rsidRPr="001655FD">
        <w:rPr>
          <w:sz w:val="20"/>
        </w:rPr>
        <w:t>60</w:t>
      </w:r>
      <w:r w:rsidRPr="001655FD">
        <w:rPr>
          <w:sz w:val="20"/>
        </w:rPr>
        <w:tab/>
      </w:r>
      <w:r w:rsidR="00AE2A4E" w:rsidRPr="001655FD">
        <w:t xml:space="preserve">Although the appellant </w:t>
      </w:r>
      <w:r w:rsidR="000260A4" w:rsidRPr="001655FD">
        <w:t>submit</w:t>
      </w:r>
      <w:r w:rsidR="00AA3F76" w:rsidRPr="001655FD">
        <w:t>ted</w:t>
      </w:r>
      <w:r w:rsidR="000260A4" w:rsidRPr="001655FD">
        <w:t xml:space="preserve"> in relation to some</w:t>
      </w:r>
      <w:r w:rsidR="00F66CC6" w:rsidRPr="001655FD">
        <w:t xml:space="preserve"> IC</w:t>
      </w:r>
      <w:r w:rsidR="002A597E" w:rsidRPr="001655FD">
        <w:t xml:space="preserve"> reviews</w:t>
      </w:r>
      <w:r w:rsidR="000260A4" w:rsidRPr="001655FD">
        <w:t xml:space="preserve"> that</w:t>
      </w:r>
      <w:r w:rsidR="00AA3F76" w:rsidRPr="001655FD">
        <w:t xml:space="preserve"> the </w:t>
      </w:r>
      <w:r w:rsidR="002D51EA" w:rsidRPr="001655FD">
        <w:t>A</w:t>
      </w:r>
      <w:r w:rsidR="00AA3F76" w:rsidRPr="001655FD">
        <w:t xml:space="preserve">IC </w:t>
      </w:r>
      <w:r w:rsidR="004964AC" w:rsidRPr="001655FD">
        <w:t>fail</w:t>
      </w:r>
      <w:r w:rsidR="001B5E46" w:rsidRPr="001655FD">
        <w:t>ed</w:t>
      </w:r>
      <w:r w:rsidR="004964AC" w:rsidRPr="001655FD">
        <w:t xml:space="preserve"> to progress the matter</w:t>
      </w:r>
      <w:r w:rsidR="001B5E46" w:rsidRPr="001655FD">
        <w:t xml:space="preserve"> such that it</w:t>
      </w:r>
      <w:r w:rsidR="00734EC9" w:rsidRPr="001655FD">
        <w:t xml:space="preserve"> resulted in unreasonable delay, there is n</w:t>
      </w:r>
      <w:r w:rsidR="00607EB6" w:rsidRPr="001655FD">
        <w:t>o challenge to the</w:t>
      </w:r>
      <w:r w:rsidR="001157EE" w:rsidRPr="001655FD">
        <w:t xml:space="preserve"> primary judge’s conclusions as t</w:t>
      </w:r>
      <w:r w:rsidR="007731EC" w:rsidRPr="001655FD">
        <w:t xml:space="preserve">o how the </w:t>
      </w:r>
      <w:r w:rsidR="002D51EA" w:rsidRPr="001655FD">
        <w:t>A</w:t>
      </w:r>
      <w:r w:rsidR="007731EC" w:rsidRPr="001655FD">
        <w:t xml:space="preserve">IC </w:t>
      </w:r>
      <w:r w:rsidR="0010357D" w:rsidRPr="001655FD">
        <w:t xml:space="preserve">handled such issues. </w:t>
      </w:r>
      <w:r w:rsidR="006F2083" w:rsidRPr="001655FD">
        <w:t xml:space="preserve">Similarly, </w:t>
      </w:r>
      <w:r w:rsidR="00D7795E" w:rsidRPr="001655FD">
        <w:t>but importantly</w:t>
      </w:r>
      <w:r w:rsidR="00667154" w:rsidRPr="001655FD">
        <w:t>,</w:t>
      </w:r>
      <w:r w:rsidR="00D7795E" w:rsidRPr="001655FD">
        <w:t xml:space="preserve"> </w:t>
      </w:r>
      <w:r w:rsidR="006F2083" w:rsidRPr="001655FD">
        <w:t xml:space="preserve">there is no challenge to the decisions made by the </w:t>
      </w:r>
      <w:r w:rsidR="00C13DD3">
        <w:t xml:space="preserve">Information </w:t>
      </w:r>
      <w:r w:rsidR="006F2083" w:rsidRPr="001655FD">
        <w:t>Commissioner</w:t>
      </w:r>
      <w:r w:rsidR="00ED7F6F" w:rsidRPr="001655FD">
        <w:t xml:space="preserve"> as to the allocation of resources. </w:t>
      </w:r>
      <w:r w:rsidR="005B69AA" w:rsidRPr="001655FD">
        <w:t xml:space="preserve">There is no suggestion that those decisions </w:t>
      </w:r>
      <w:r w:rsidR="009D6E9B" w:rsidRPr="001655FD">
        <w:t xml:space="preserve">were </w:t>
      </w:r>
      <w:r w:rsidR="005B69AA" w:rsidRPr="001655FD">
        <w:t>unreasonable or irrational.</w:t>
      </w:r>
      <w:bookmarkEnd w:id="43"/>
      <w:r w:rsidR="005B69AA" w:rsidRPr="001655FD">
        <w:t xml:space="preserve"> </w:t>
      </w:r>
      <w:r w:rsidR="006F2083" w:rsidRPr="001655FD">
        <w:t xml:space="preserve"> </w:t>
      </w:r>
    </w:p>
    <w:p w14:paraId="6D835085" w14:textId="76F0D6E6" w:rsidR="009C08AC" w:rsidRPr="001655FD" w:rsidRDefault="00F122B2" w:rsidP="00F122B2">
      <w:pPr>
        <w:pStyle w:val="ParaNumbering"/>
        <w:numPr>
          <w:ilvl w:val="0"/>
          <w:numId w:val="0"/>
        </w:numPr>
        <w:tabs>
          <w:tab w:val="left" w:pos="720"/>
        </w:tabs>
        <w:ind w:hanging="720"/>
      </w:pPr>
      <w:r w:rsidRPr="001655FD">
        <w:rPr>
          <w:sz w:val="20"/>
        </w:rPr>
        <w:lastRenderedPageBreak/>
        <w:t>61</w:t>
      </w:r>
      <w:r w:rsidRPr="001655FD">
        <w:rPr>
          <w:sz w:val="20"/>
        </w:rPr>
        <w:tab/>
      </w:r>
      <w:r w:rsidR="00DE54B3" w:rsidRPr="001655FD">
        <w:t>In this context it is also appropriate to recognise that it is the overall delay in the co</w:t>
      </w:r>
      <w:r w:rsidR="009C08AC" w:rsidRPr="001655FD">
        <w:t xml:space="preserve">nduct of the review that is in issue, not the individual delays. That is because, as accepted by the appellant, </w:t>
      </w:r>
      <w:r w:rsidR="002A5228" w:rsidRPr="001655FD">
        <w:t xml:space="preserve">the </w:t>
      </w:r>
      <w:r w:rsidR="009C08AC" w:rsidRPr="001655FD">
        <w:t>issue to which s 7(1) of the ADJR Act directs attention is whether there has been unreasonable delay in making a decision, not whether there have been particular delays in components of the review processes.</w:t>
      </w:r>
    </w:p>
    <w:p w14:paraId="56FB43AE" w14:textId="5DD8B3FF" w:rsidR="0082488C" w:rsidRPr="001655FD" w:rsidRDefault="00135E8D" w:rsidP="00E306FB">
      <w:pPr>
        <w:pStyle w:val="Heading2"/>
      </w:pPr>
      <w:r>
        <w:t xml:space="preserve">The </w:t>
      </w:r>
      <w:r w:rsidR="00AA2425" w:rsidRPr="001655FD">
        <w:t>IC reviews</w:t>
      </w:r>
    </w:p>
    <w:p w14:paraId="387F905D" w14:textId="7B473CB5" w:rsidR="00AA2425" w:rsidRPr="001655FD" w:rsidRDefault="00F122B2" w:rsidP="00F122B2">
      <w:pPr>
        <w:pStyle w:val="ParaNumbering"/>
        <w:numPr>
          <w:ilvl w:val="0"/>
          <w:numId w:val="0"/>
        </w:numPr>
        <w:tabs>
          <w:tab w:val="left" w:pos="720"/>
        </w:tabs>
        <w:ind w:hanging="720"/>
      </w:pPr>
      <w:r w:rsidRPr="001655FD">
        <w:rPr>
          <w:sz w:val="20"/>
        </w:rPr>
        <w:t>62</w:t>
      </w:r>
      <w:r w:rsidRPr="001655FD">
        <w:rPr>
          <w:sz w:val="20"/>
        </w:rPr>
        <w:tab/>
      </w:r>
      <w:r w:rsidR="00AA2425" w:rsidRPr="001655FD">
        <w:t xml:space="preserve">Apart from the approach to the assessment of unreasonableness, referred to above, the error </w:t>
      </w:r>
      <w:r w:rsidR="000D2D3B" w:rsidRPr="001655FD">
        <w:t xml:space="preserve">the appellant </w:t>
      </w:r>
      <w:r w:rsidR="00AA2425" w:rsidRPr="001655FD">
        <w:t>pointed</w:t>
      </w:r>
      <w:r w:rsidR="00743C54" w:rsidRPr="001655FD">
        <w:t xml:space="preserve"> to</w:t>
      </w:r>
      <w:r w:rsidR="00AA2425" w:rsidRPr="001655FD">
        <w:t xml:space="preserve"> </w:t>
      </w:r>
      <w:r w:rsidR="00B4340E" w:rsidRPr="001655FD">
        <w:t xml:space="preserve">in </w:t>
      </w:r>
      <w:r w:rsidR="00AA2425" w:rsidRPr="001655FD">
        <w:t xml:space="preserve">each IC review is not in the </w:t>
      </w:r>
      <w:r w:rsidR="00B4340E" w:rsidRPr="001655FD">
        <w:t xml:space="preserve">primary judge’s </w:t>
      </w:r>
      <w:r w:rsidR="00AA2425" w:rsidRPr="001655FD">
        <w:t>reasoning</w:t>
      </w:r>
      <w:r w:rsidR="0095285C" w:rsidRPr="001655FD">
        <w:t>,</w:t>
      </w:r>
      <w:r w:rsidR="00AA2425" w:rsidRPr="001655FD">
        <w:t xml:space="preserve"> but </w:t>
      </w:r>
      <w:r w:rsidR="0095285C" w:rsidRPr="001655FD">
        <w:t xml:space="preserve">in </w:t>
      </w:r>
      <w:r w:rsidR="00AA2425" w:rsidRPr="001655FD">
        <w:t xml:space="preserve">each of </w:t>
      </w:r>
      <w:r w:rsidR="0095285C" w:rsidRPr="001655FD">
        <w:t>his</w:t>
      </w:r>
      <w:r w:rsidR="00AA2425" w:rsidRPr="001655FD">
        <w:t xml:space="preserve"> conclusions</w:t>
      </w:r>
      <w:r w:rsidR="0095285C" w:rsidRPr="001655FD">
        <w:t xml:space="preserve"> that unreasonableness had not been established.</w:t>
      </w:r>
      <w:r w:rsidR="00AA2425" w:rsidRPr="001655FD">
        <w:t xml:space="preserve"> That is, if this Court were to come to a different conclusion in relation to any of the IC reviews, an error </w:t>
      </w:r>
      <w:r w:rsidR="009D6E9B" w:rsidRPr="001655FD">
        <w:t xml:space="preserve">would have </w:t>
      </w:r>
      <w:r w:rsidR="00AA2425" w:rsidRPr="001655FD">
        <w:t xml:space="preserve">been established in relation to the primary judge’s conclusion on that review. </w:t>
      </w:r>
    </w:p>
    <w:p w14:paraId="53AAD3BE" w14:textId="120C41DB" w:rsidR="00AA2425" w:rsidRPr="001655FD" w:rsidRDefault="00F122B2" w:rsidP="00F122B2">
      <w:pPr>
        <w:pStyle w:val="ParaNumbering"/>
        <w:numPr>
          <w:ilvl w:val="0"/>
          <w:numId w:val="0"/>
        </w:numPr>
        <w:tabs>
          <w:tab w:val="left" w:pos="720"/>
        </w:tabs>
        <w:ind w:hanging="720"/>
      </w:pPr>
      <w:r w:rsidRPr="001655FD">
        <w:rPr>
          <w:sz w:val="20"/>
        </w:rPr>
        <w:t>63</w:t>
      </w:r>
      <w:r w:rsidRPr="001655FD">
        <w:rPr>
          <w:sz w:val="20"/>
        </w:rPr>
        <w:tab/>
      </w:r>
      <w:r w:rsidR="00AA2425" w:rsidRPr="001655FD">
        <w:t xml:space="preserve">The </w:t>
      </w:r>
      <w:r w:rsidR="00F91372" w:rsidRPr="001655FD">
        <w:t xml:space="preserve">delays </w:t>
      </w:r>
      <w:r w:rsidR="00135E8D">
        <w:t xml:space="preserve">at the time of the </w:t>
      </w:r>
      <w:r w:rsidR="009A0A44">
        <w:t xml:space="preserve">hearing before the primary judge </w:t>
      </w:r>
      <w:r w:rsidR="00AA2425" w:rsidRPr="001655FD">
        <w:t>range</w:t>
      </w:r>
      <w:r w:rsidR="009A0A44">
        <w:t>d</w:t>
      </w:r>
      <w:r w:rsidR="00AA2425" w:rsidRPr="001655FD">
        <w:t xml:space="preserve"> from </w:t>
      </w:r>
      <w:r w:rsidR="002E2527" w:rsidRPr="001655FD">
        <w:t>three</w:t>
      </w:r>
      <w:r w:rsidR="002C6B63" w:rsidRPr="001655FD">
        <w:t xml:space="preserve"> </w:t>
      </w:r>
      <w:r w:rsidR="00FA3049" w:rsidRPr="001655FD">
        <w:t xml:space="preserve">and a half </w:t>
      </w:r>
      <w:r w:rsidR="002C6B63" w:rsidRPr="001655FD">
        <w:t xml:space="preserve">months </w:t>
      </w:r>
      <w:r w:rsidR="00AA2425" w:rsidRPr="001655FD">
        <w:t xml:space="preserve">in </w:t>
      </w:r>
      <w:r w:rsidR="002D3EBA" w:rsidRPr="001655FD">
        <w:t xml:space="preserve">the </w:t>
      </w:r>
      <w:r w:rsidR="00FA3049" w:rsidRPr="001655FD">
        <w:t xml:space="preserve">fourth </w:t>
      </w:r>
      <w:r w:rsidR="002D3EBA" w:rsidRPr="001655FD">
        <w:t>IC review</w:t>
      </w:r>
      <w:r w:rsidR="00AA2425" w:rsidRPr="001655FD">
        <w:t xml:space="preserve">, through to </w:t>
      </w:r>
      <w:r w:rsidR="002E2527" w:rsidRPr="001655FD">
        <w:t>two</w:t>
      </w:r>
      <w:r w:rsidR="00AA2425" w:rsidRPr="001655FD">
        <w:t xml:space="preserve"> years and </w:t>
      </w:r>
      <w:r w:rsidR="002E2527" w:rsidRPr="001655FD">
        <w:t>six</w:t>
      </w:r>
      <w:r w:rsidR="00AA2425" w:rsidRPr="001655FD">
        <w:t xml:space="preserve"> months delay in </w:t>
      </w:r>
      <w:r w:rsidR="00CE4435" w:rsidRPr="001655FD">
        <w:t>the</w:t>
      </w:r>
      <w:r w:rsidR="00782533" w:rsidRPr="001655FD">
        <w:t xml:space="preserve"> </w:t>
      </w:r>
      <w:r w:rsidR="00E76990" w:rsidRPr="001655FD">
        <w:t>sixth IC review</w:t>
      </w:r>
      <w:r w:rsidR="00AA2425" w:rsidRPr="001655FD">
        <w:t xml:space="preserve">. </w:t>
      </w:r>
      <w:r w:rsidR="00E47330" w:rsidRPr="001655FD">
        <w:t>We note t</w:t>
      </w:r>
      <w:r w:rsidR="00716217" w:rsidRPr="001655FD">
        <w:t xml:space="preserve">he seventh IC review had a </w:t>
      </w:r>
      <w:r w:rsidR="00A858C2" w:rsidRPr="001655FD">
        <w:t>three-month</w:t>
      </w:r>
      <w:r w:rsidR="00716217" w:rsidRPr="001655FD">
        <w:t xml:space="preserve"> </w:t>
      </w:r>
      <w:r w:rsidR="00B863B2" w:rsidRPr="001655FD">
        <w:t>delay</w:t>
      </w:r>
      <w:r w:rsidR="000C2FAE" w:rsidRPr="001655FD">
        <w:t>;</w:t>
      </w:r>
      <w:r w:rsidR="00A858C2" w:rsidRPr="001655FD">
        <w:t xml:space="preserve"> the appellant made</w:t>
      </w:r>
      <w:r w:rsidR="00C02868" w:rsidRPr="001655FD">
        <w:t xml:space="preserve"> the</w:t>
      </w:r>
      <w:r w:rsidR="00A858C2" w:rsidRPr="001655FD">
        <w:t xml:space="preserve"> submission</w:t>
      </w:r>
      <w:r w:rsidR="00E66085" w:rsidRPr="001655FD">
        <w:t>s</w:t>
      </w:r>
      <w:r w:rsidR="000C2FAE" w:rsidRPr="001655FD">
        <w:t xml:space="preserve"> </w:t>
      </w:r>
      <w:r w:rsidR="00E66085" w:rsidRPr="001655FD">
        <w:t>summarised at [</w:t>
      </w:r>
      <w:r w:rsidR="0089775C" w:rsidRPr="001655FD">
        <w:fldChar w:fldCharType="begin"/>
      </w:r>
      <w:r w:rsidR="0089775C" w:rsidRPr="001655FD">
        <w:instrText xml:space="preserve"> REF _Ref169017939 \r \h </w:instrText>
      </w:r>
      <w:r w:rsidR="00930B56" w:rsidRPr="001655FD">
        <w:instrText xml:space="preserve"> \* MERGEFORMAT </w:instrText>
      </w:r>
      <w:r w:rsidR="0089775C" w:rsidRPr="001655FD">
        <w:fldChar w:fldCharType="separate"/>
      </w:r>
      <w:r w:rsidR="009F3992">
        <w:t>53</w:t>
      </w:r>
      <w:r w:rsidR="0089775C" w:rsidRPr="001655FD">
        <w:fldChar w:fldCharType="end"/>
      </w:r>
      <w:r w:rsidR="00E66085" w:rsidRPr="001655FD">
        <w:t>]</w:t>
      </w:r>
      <w:r w:rsidR="0089775C" w:rsidRPr="001655FD">
        <w:t>-[</w:t>
      </w:r>
      <w:r w:rsidR="0089775C" w:rsidRPr="001655FD">
        <w:fldChar w:fldCharType="begin"/>
      </w:r>
      <w:r w:rsidR="0089775C" w:rsidRPr="001655FD">
        <w:instrText xml:space="preserve"> REF _Ref169017949 \r \h </w:instrText>
      </w:r>
      <w:r w:rsidR="00930B56" w:rsidRPr="001655FD">
        <w:instrText xml:space="preserve"> \* MERGEFORMAT </w:instrText>
      </w:r>
      <w:r w:rsidR="0089775C" w:rsidRPr="001655FD">
        <w:fldChar w:fldCharType="separate"/>
      </w:r>
      <w:r w:rsidR="009F3992">
        <w:t>54</w:t>
      </w:r>
      <w:r w:rsidR="0089775C" w:rsidRPr="001655FD">
        <w:fldChar w:fldCharType="end"/>
      </w:r>
      <w:r w:rsidR="0089775C" w:rsidRPr="001655FD">
        <w:t>]</w:t>
      </w:r>
      <w:r w:rsidR="000C2FAE" w:rsidRPr="001655FD">
        <w:t xml:space="preserve"> </w:t>
      </w:r>
      <w:r w:rsidR="00E66085" w:rsidRPr="001655FD">
        <w:t>prior to</w:t>
      </w:r>
      <w:r w:rsidR="0089775C" w:rsidRPr="001655FD">
        <w:t xml:space="preserve"> that review’s determination (see [</w:t>
      </w:r>
      <w:r w:rsidR="0089775C" w:rsidRPr="001655FD">
        <w:fldChar w:fldCharType="begin"/>
      </w:r>
      <w:r w:rsidR="0089775C" w:rsidRPr="001655FD">
        <w:instrText xml:space="preserve"> REF _Ref168669113 \r \h </w:instrText>
      </w:r>
      <w:r w:rsidR="00930B56" w:rsidRPr="001655FD">
        <w:instrText xml:space="preserve"> \* MERGEFORMAT </w:instrText>
      </w:r>
      <w:r w:rsidR="0089775C" w:rsidRPr="001655FD">
        <w:fldChar w:fldCharType="separate"/>
      </w:r>
      <w:r w:rsidR="009F3992">
        <w:t>3</w:t>
      </w:r>
      <w:r w:rsidR="0089775C" w:rsidRPr="001655FD">
        <w:fldChar w:fldCharType="end"/>
      </w:r>
      <w:r w:rsidR="0089775C" w:rsidRPr="001655FD">
        <w:t xml:space="preserve">]). </w:t>
      </w:r>
    </w:p>
    <w:p w14:paraId="5631FA71" w14:textId="220AC3F5" w:rsidR="002963C6" w:rsidRPr="001655FD" w:rsidRDefault="00F122B2" w:rsidP="00F122B2">
      <w:pPr>
        <w:pStyle w:val="ParaNumbering"/>
        <w:numPr>
          <w:ilvl w:val="0"/>
          <w:numId w:val="0"/>
        </w:numPr>
        <w:tabs>
          <w:tab w:val="left" w:pos="720"/>
        </w:tabs>
        <w:ind w:hanging="720"/>
      </w:pPr>
      <w:r w:rsidRPr="001655FD">
        <w:rPr>
          <w:sz w:val="20"/>
        </w:rPr>
        <w:t>64</w:t>
      </w:r>
      <w:r w:rsidRPr="001655FD">
        <w:rPr>
          <w:sz w:val="20"/>
        </w:rPr>
        <w:tab/>
      </w:r>
      <w:r w:rsidR="002C6B63" w:rsidRPr="001655FD">
        <w:t xml:space="preserve">The appellant candidly </w:t>
      </w:r>
      <w:r w:rsidR="0079199E" w:rsidRPr="001655FD">
        <w:t xml:space="preserve">submitted that the sixth IC review was the high point of his case. </w:t>
      </w:r>
      <w:r w:rsidR="00092413" w:rsidRPr="001655FD">
        <w:t>I</w:t>
      </w:r>
      <w:r w:rsidR="00CD2CD1" w:rsidRPr="001655FD">
        <w:t>t</w:t>
      </w:r>
      <w:r w:rsidR="00092413" w:rsidRPr="001655FD">
        <w:t xml:space="preserve"> follows that if the appellant did not succeed with this review, he could not succeed on the remaining five reviews where the facts were not as favourable to his case</w:t>
      </w:r>
      <w:r w:rsidR="006926A5" w:rsidRPr="001655FD">
        <w:t xml:space="preserve"> on delay</w:t>
      </w:r>
      <w:r w:rsidR="00092413" w:rsidRPr="001655FD">
        <w:t xml:space="preserve">. </w:t>
      </w:r>
    </w:p>
    <w:p w14:paraId="57EE0C2D" w14:textId="3746612D" w:rsidR="00551EAB" w:rsidRPr="001655FD" w:rsidRDefault="00F122B2" w:rsidP="00F122B2">
      <w:pPr>
        <w:pStyle w:val="ParaNumbering"/>
        <w:numPr>
          <w:ilvl w:val="0"/>
          <w:numId w:val="0"/>
        </w:numPr>
        <w:tabs>
          <w:tab w:val="left" w:pos="720"/>
        </w:tabs>
        <w:ind w:hanging="720"/>
      </w:pPr>
      <w:r w:rsidRPr="001655FD">
        <w:rPr>
          <w:sz w:val="20"/>
        </w:rPr>
        <w:t>65</w:t>
      </w:r>
      <w:r w:rsidRPr="001655FD">
        <w:rPr>
          <w:sz w:val="20"/>
        </w:rPr>
        <w:tab/>
      </w:r>
      <w:r w:rsidR="00045830" w:rsidRPr="001655FD">
        <w:t>T</w:t>
      </w:r>
      <w:r w:rsidR="004C3110" w:rsidRPr="001655FD">
        <w:t xml:space="preserve">he primary judge </w:t>
      </w:r>
      <w:r w:rsidR="007A2BEB" w:rsidRPr="001655FD">
        <w:t xml:space="preserve">addressed </w:t>
      </w:r>
      <w:r w:rsidR="00092413" w:rsidRPr="001655FD">
        <w:t>the sixth IC</w:t>
      </w:r>
      <w:r w:rsidR="00092413" w:rsidRPr="001655FD" w:rsidDel="00092413">
        <w:t xml:space="preserve"> </w:t>
      </w:r>
      <w:r w:rsidR="007A2BEB" w:rsidRPr="001655FD">
        <w:t xml:space="preserve">review at </w:t>
      </w:r>
      <w:r w:rsidR="009D6E9B" w:rsidRPr="001655FD">
        <w:t>PJ </w:t>
      </w:r>
      <w:r w:rsidR="007A2BEB" w:rsidRPr="001655FD">
        <w:t xml:space="preserve">[180]-[183]. </w:t>
      </w:r>
      <w:r w:rsidR="00092413" w:rsidRPr="001655FD">
        <w:t xml:space="preserve">This </w:t>
      </w:r>
      <w:r w:rsidR="00F72462" w:rsidRPr="001655FD">
        <w:t>review arose from a request to the Department of Health to access documents related to meetings of the Australian Health Protection Principal Committee since 29 May 2020 on the topic of State border closures.</w:t>
      </w:r>
      <w:r w:rsidR="002753A7" w:rsidRPr="001655FD">
        <w:t xml:space="preserve"> T</w:t>
      </w:r>
      <w:r w:rsidR="002F131C" w:rsidRPr="001655FD">
        <w:t>en documents fell with</w:t>
      </w:r>
      <w:r w:rsidR="008A2E25" w:rsidRPr="001655FD">
        <w:t>in</w:t>
      </w:r>
      <w:r w:rsidR="002F131C" w:rsidRPr="001655FD">
        <w:t xml:space="preserve"> the request. </w:t>
      </w:r>
      <w:r w:rsidR="003F0E66" w:rsidRPr="001655FD">
        <w:t xml:space="preserve">The Department refused access to </w:t>
      </w:r>
      <w:r w:rsidR="004B5BD9" w:rsidRPr="001655FD">
        <w:t xml:space="preserve">all </w:t>
      </w:r>
      <w:r w:rsidR="003F0E66" w:rsidRPr="001655FD">
        <w:t>of th</w:t>
      </w:r>
      <w:r w:rsidR="002F131C" w:rsidRPr="001655FD">
        <w:t xml:space="preserve">ose </w:t>
      </w:r>
      <w:r w:rsidR="003F0E66" w:rsidRPr="001655FD">
        <w:t>documents</w:t>
      </w:r>
      <w:r w:rsidR="00AF73D7" w:rsidRPr="001655FD">
        <w:t xml:space="preserve"> </w:t>
      </w:r>
      <w:r w:rsidR="003F0E66" w:rsidRPr="001655FD">
        <w:t>based on the exemption in s 47B of the FOI Act</w:t>
      </w:r>
      <w:r w:rsidR="00AF73D7" w:rsidRPr="001655FD">
        <w:t xml:space="preserve">, which </w:t>
      </w:r>
      <w:r w:rsidR="003F0E66" w:rsidRPr="001655FD">
        <w:t>establishes a conditional public interest exemption in relation to documents if, amongst other things, disclosure of the document would, or could reasonably be expected to, cause damage to relations between the Commonwealth and a State</w:t>
      </w:r>
      <w:r w:rsidR="00AF73D7" w:rsidRPr="001655FD">
        <w:t>: PJ [180].</w:t>
      </w:r>
      <w:r w:rsidR="00330A75" w:rsidRPr="001655FD">
        <w:t xml:space="preserve"> As at the </w:t>
      </w:r>
      <w:r w:rsidR="009C117E">
        <w:t xml:space="preserve">time of </w:t>
      </w:r>
      <w:r w:rsidR="00B7469D">
        <w:t xml:space="preserve">the </w:t>
      </w:r>
      <w:r w:rsidR="00330A75" w:rsidRPr="001655FD">
        <w:t>hearing</w:t>
      </w:r>
      <w:r w:rsidR="00B7469D">
        <w:t xml:space="preserve"> before the primary judge</w:t>
      </w:r>
      <w:r w:rsidR="00330A75" w:rsidRPr="001655FD">
        <w:t xml:space="preserve">, the </w:t>
      </w:r>
      <w:r w:rsidR="00692EC4" w:rsidRPr="001655FD">
        <w:t xml:space="preserve">IC review was awaiting allocation to a review adviser </w:t>
      </w:r>
      <w:r w:rsidR="00551EAB" w:rsidRPr="001655FD">
        <w:t>in the Reviews and Investigations Team</w:t>
      </w:r>
      <w:r w:rsidR="001234F5">
        <w:t xml:space="preserve">, a team </w:t>
      </w:r>
      <w:r w:rsidR="00550A6A">
        <w:t xml:space="preserve">within the Office </w:t>
      </w:r>
      <w:r w:rsidR="006F2303">
        <w:t>tasked with</w:t>
      </w:r>
      <w:r w:rsidR="001234F5" w:rsidRPr="001234F5">
        <w:t xml:space="preserve"> case manag</w:t>
      </w:r>
      <w:r w:rsidR="006F2303">
        <w:t>ing</w:t>
      </w:r>
      <w:r w:rsidR="001234F5" w:rsidRPr="001234F5">
        <w:t xml:space="preserve"> IC reviews with a view to resolving </w:t>
      </w:r>
      <w:r w:rsidR="006F2303">
        <w:t>those matters for which</w:t>
      </w:r>
      <w:r w:rsidR="001234F5" w:rsidRPr="001234F5">
        <w:t xml:space="preserve"> a decision </w:t>
      </w:r>
      <w:r w:rsidR="001608A3">
        <w:t>is</w:t>
      </w:r>
      <w:r w:rsidR="006F2303">
        <w:t xml:space="preserve"> not</w:t>
      </w:r>
      <w:r w:rsidR="001234F5" w:rsidRPr="001234F5">
        <w:t xml:space="preserve"> required</w:t>
      </w:r>
      <w:r w:rsidR="001608A3">
        <w:t>: PJ [82].</w:t>
      </w:r>
      <w:r w:rsidR="00BB201C" w:rsidRPr="001655FD">
        <w:t xml:space="preserve"> </w:t>
      </w:r>
      <w:r w:rsidR="009F3992">
        <w:t xml:space="preserve">At that </w:t>
      </w:r>
      <w:r w:rsidR="00BB201C" w:rsidRPr="001655FD">
        <w:t xml:space="preserve">time there </w:t>
      </w:r>
      <w:r w:rsidR="00DC6000" w:rsidRPr="001655FD">
        <w:t xml:space="preserve">were </w:t>
      </w:r>
      <w:r w:rsidR="0020780A" w:rsidRPr="001655FD">
        <w:t xml:space="preserve">approximately 193 </w:t>
      </w:r>
      <w:r w:rsidR="00271414">
        <w:t xml:space="preserve">other IC </w:t>
      </w:r>
      <w:r w:rsidR="004461FA" w:rsidRPr="001655FD">
        <w:t>review application</w:t>
      </w:r>
      <w:r w:rsidR="00DC6000" w:rsidRPr="001655FD">
        <w:t>s</w:t>
      </w:r>
      <w:r w:rsidR="00551EAB" w:rsidRPr="001655FD">
        <w:t xml:space="preserve"> </w:t>
      </w:r>
      <w:r w:rsidR="00271414" w:rsidRPr="001655FD">
        <w:t>also awaiting allocation to a review adviser</w:t>
      </w:r>
      <w:r w:rsidR="00271414">
        <w:t xml:space="preserve"> that had been </w:t>
      </w:r>
      <w:r w:rsidR="00551EAB" w:rsidRPr="001655FD">
        <w:t>lodged earlier in time than the sixth IC review</w:t>
      </w:r>
      <w:r w:rsidR="004461FA" w:rsidRPr="001655FD">
        <w:t>: PJ [182]</w:t>
      </w:r>
      <w:r w:rsidR="007633EA" w:rsidRPr="001655FD">
        <w:t>.</w:t>
      </w:r>
    </w:p>
    <w:p w14:paraId="63AE9610" w14:textId="62A6E259" w:rsidR="00DD28F8" w:rsidRPr="001655FD" w:rsidRDefault="00F122B2" w:rsidP="00F122B2">
      <w:pPr>
        <w:pStyle w:val="ParaNumbering"/>
        <w:numPr>
          <w:ilvl w:val="0"/>
          <w:numId w:val="0"/>
        </w:numPr>
        <w:tabs>
          <w:tab w:val="left" w:pos="720"/>
        </w:tabs>
        <w:ind w:hanging="720"/>
      </w:pPr>
      <w:r w:rsidRPr="001655FD">
        <w:rPr>
          <w:sz w:val="20"/>
        </w:rPr>
        <w:lastRenderedPageBreak/>
        <w:t>66</w:t>
      </w:r>
      <w:r w:rsidRPr="001655FD">
        <w:rPr>
          <w:sz w:val="20"/>
        </w:rPr>
        <w:tab/>
      </w:r>
      <w:r w:rsidR="007633EA" w:rsidRPr="001655FD">
        <w:t xml:space="preserve">The length of the delay </w:t>
      </w:r>
      <w:r w:rsidR="00FF64E8" w:rsidRPr="001655FD">
        <w:t xml:space="preserve">awaiting allocation </w:t>
      </w:r>
      <w:r w:rsidR="00F00EC3" w:rsidRPr="001655FD">
        <w:t xml:space="preserve">(with the matter being untouched during this time) </w:t>
      </w:r>
      <w:r w:rsidR="007633EA" w:rsidRPr="001655FD">
        <w:t xml:space="preserve">was approximately </w:t>
      </w:r>
      <w:r w:rsidR="00B00ACA" w:rsidRPr="001655FD">
        <w:t>two</w:t>
      </w:r>
      <w:r w:rsidR="00FF64E8" w:rsidRPr="001655FD">
        <w:t xml:space="preserve"> and a half years</w:t>
      </w:r>
      <w:r w:rsidR="00A06AAA" w:rsidRPr="001655FD">
        <w:t xml:space="preserve">. The primary judge recognised that </w:t>
      </w:r>
      <w:r w:rsidR="00F00EC3" w:rsidRPr="001655FD">
        <w:t>was a very long period</w:t>
      </w:r>
      <w:r w:rsidR="00092413" w:rsidRPr="001655FD">
        <w:t xml:space="preserve"> of time</w:t>
      </w:r>
      <w:r w:rsidR="00F00EC3" w:rsidRPr="001655FD">
        <w:t xml:space="preserve">. </w:t>
      </w:r>
      <w:r w:rsidR="001C7B32" w:rsidRPr="001655FD">
        <w:t>H</w:t>
      </w:r>
      <w:r w:rsidR="00171C65" w:rsidRPr="001655FD">
        <w:t>is Honour</w:t>
      </w:r>
      <w:r w:rsidR="001C7B32" w:rsidRPr="001655FD">
        <w:t xml:space="preserve"> concluded at [183]</w:t>
      </w:r>
      <w:r w:rsidR="00DD28F8" w:rsidRPr="001655FD">
        <w:t>:</w:t>
      </w:r>
    </w:p>
    <w:p w14:paraId="606A3607" w14:textId="24B01317" w:rsidR="007633EA" w:rsidRPr="001655FD" w:rsidRDefault="00DD28F8" w:rsidP="00C45E3F">
      <w:pPr>
        <w:pStyle w:val="Quote1"/>
      </w:pPr>
      <w:r w:rsidRPr="001655FD">
        <w:t xml:space="preserve">…the cause of </w:t>
      </w:r>
      <w:r w:rsidR="001C7B32" w:rsidRPr="001655FD">
        <w:t>th</w:t>
      </w:r>
      <w:r w:rsidRPr="001655FD">
        <w:t>at</w:t>
      </w:r>
      <w:r w:rsidR="001C7B32" w:rsidRPr="001655FD">
        <w:t xml:space="preserve"> delay </w:t>
      </w:r>
      <w:r w:rsidR="007633EA" w:rsidRPr="001655FD">
        <w:t>appears primarily to be the significant volume of review applications which must be dealt with, together with the resourcing constraints within the Office. I therefore do not consider that the delay has been unreasonable within the meaning of s 7(1) of the ADJR Act</w:t>
      </w:r>
      <w:r w:rsidRPr="001655FD">
        <w:t>.</w:t>
      </w:r>
    </w:p>
    <w:p w14:paraId="71A3FC06" w14:textId="442BE2C1" w:rsidR="00214051" w:rsidRPr="001655FD" w:rsidRDefault="00F122B2" w:rsidP="00F122B2">
      <w:pPr>
        <w:pStyle w:val="ParaNumbering"/>
        <w:numPr>
          <w:ilvl w:val="0"/>
          <w:numId w:val="0"/>
        </w:numPr>
        <w:tabs>
          <w:tab w:val="left" w:pos="720"/>
        </w:tabs>
        <w:ind w:hanging="720"/>
      </w:pPr>
      <w:r w:rsidRPr="001655FD">
        <w:rPr>
          <w:sz w:val="20"/>
        </w:rPr>
        <w:t>67</w:t>
      </w:r>
      <w:r w:rsidRPr="001655FD">
        <w:rPr>
          <w:sz w:val="20"/>
        </w:rPr>
        <w:tab/>
      </w:r>
      <w:r w:rsidR="00214051" w:rsidRPr="001655FD">
        <w:t>At [201]</w:t>
      </w:r>
      <w:r w:rsidR="00F309A9" w:rsidRPr="001655FD">
        <w:t>,</w:t>
      </w:r>
      <w:r w:rsidR="00262A7B" w:rsidRPr="001655FD">
        <w:t xml:space="preserve"> under the heading </w:t>
      </w:r>
      <w:r w:rsidR="002522BF" w:rsidRPr="001655FD">
        <w:t>Remedies</w:t>
      </w:r>
      <w:r w:rsidR="00262A7B" w:rsidRPr="001655FD">
        <w:t xml:space="preserve">, his Honour concluded: </w:t>
      </w:r>
    </w:p>
    <w:p w14:paraId="7EF55573" w14:textId="75FA2329" w:rsidR="00214051" w:rsidRPr="001655FD" w:rsidRDefault="00092413" w:rsidP="00C45E3F">
      <w:pPr>
        <w:pStyle w:val="Quote1"/>
      </w:pPr>
      <w:r w:rsidRPr="001655FD">
        <w:tab/>
      </w:r>
      <w:r w:rsidR="00214051" w:rsidRPr="001655FD">
        <w:t xml:space="preserve">It has not been shown that the applicant has been singled out for delay. It has not been shown that the Information Commissioner has acted unreasonably in the way that the resources available for the discharge of her statutory functions have been allocated. In any event, in light of the usually high threshold to show legal unreasonableness referred to by the High Court in </w:t>
      </w:r>
      <w:r w:rsidR="00214051" w:rsidRPr="001655FD">
        <w:rPr>
          <w:i/>
        </w:rPr>
        <w:t xml:space="preserve">Minister for Home Affairs v DUA16 </w:t>
      </w:r>
      <w:r w:rsidR="00214051" w:rsidRPr="001655FD">
        <w:t>at [26], the Court would be very slow to judge such a question. For similar reasons, the Court should not normally interfere with the decisional freedom of the Information Commissioner to decide how to allocate resources, and how to balance competing priorities amongst the heavy caseload of IC reviews. There are no circumstances of this case which make it appropriate for the Court to make orders that interfere with the Information Commissioner’s conduct of her Office and the procedures for the orderly handling of the large backlog of applications for IC review.</w:t>
      </w:r>
    </w:p>
    <w:p w14:paraId="66388B86" w14:textId="70D55BB3" w:rsidR="00841B52" w:rsidRPr="001655FD" w:rsidRDefault="00F122B2" w:rsidP="00F122B2">
      <w:pPr>
        <w:pStyle w:val="ParaNumbering"/>
        <w:numPr>
          <w:ilvl w:val="0"/>
          <w:numId w:val="0"/>
        </w:numPr>
        <w:tabs>
          <w:tab w:val="left" w:pos="720"/>
        </w:tabs>
        <w:ind w:hanging="720"/>
      </w:pPr>
      <w:r w:rsidRPr="001655FD">
        <w:rPr>
          <w:sz w:val="20"/>
        </w:rPr>
        <w:t>68</w:t>
      </w:r>
      <w:r w:rsidRPr="001655FD">
        <w:rPr>
          <w:sz w:val="20"/>
        </w:rPr>
        <w:tab/>
      </w:r>
      <w:r w:rsidR="00841B52" w:rsidRPr="001655FD">
        <w:t>We refer also</w:t>
      </w:r>
      <w:r w:rsidR="00350679" w:rsidRPr="001655FD">
        <w:t xml:space="preserve"> to </w:t>
      </w:r>
      <w:r w:rsidR="00171C65" w:rsidRPr="001655FD">
        <w:t>his Honour’s</w:t>
      </w:r>
      <w:r w:rsidR="00350679" w:rsidRPr="001655FD">
        <w:t xml:space="preserve"> conclusions</w:t>
      </w:r>
      <w:r w:rsidR="000673C9" w:rsidRPr="001655FD">
        <w:t>, recited above at [</w:t>
      </w:r>
      <w:r w:rsidR="00926DBC" w:rsidRPr="001655FD">
        <w:fldChar w:fldCharType="begin"/>
      </w:r>
      <w:r w:rsidR="00926DBC" w:rsidRPr="001655FD">
        <w:instrText xml:space="preserve"> REF _Ref168664949 \r \h </w:instrText>
      </w:r>
      <w:r w:rsidR="006F4B8A" w:rsidRPr="001655FD">
        <w:instrText xml:space="preserve"> \* MERGEFORMAT </w:instrText>
      </w:r>
      <w:r w:rsidR="00926DBC" w:rsidRPr="001655FD">
        <w:fldChar w:fldCharType="separate"/>
      </w:r>
      <w:r w:rsidR="009F3992">
        <w:t>19</w:t>
      </w:r>
      <w:r w:rsidR="00926DBC" w:rsidRPr="001655FD">
        <w:fldChar w:fldCharType="end"/>
      </w:r>
      <w:r w:rsidR="000673C9" w:rsidRPr="001655FD">
        <w:t xml:space="preserve">]. </w:t>
      </w:r>
    </w:p>
    <w:p w14:paraId="2A60E755" w14:textId="6A3E3DCA" w:rsidR="00214051" w:rsidRPr="001655FD" w:rsidRDefault="00F122B2" w:rsidP="00F122B2">
      <w:pPr>
        <w:pStyle w:val="ParaNumbering"/>
        <w:numPr>
          <w:ilvl w:val="0"/>
          <w:numId w:val="0"/>
        </w:numPr>
        <w:tabs>
          <w:tab w:val="left" w:pos="720"/>
        </w:tabs>
        <w:ind w:hanging="720"/>
      </w:pPr>
      <w:r w:rsidRPr="001655FD">
        <w:rPr>
          <w:sz w:val="20"/>
        </w:rPr>
        <w:t>69</w:t>
      </w:r>
      <w:r w:rsidRPr="001655FD">
        <w:rPr>
          <w:sz w:val="20"/>
        </w:rPr>
        <w:tab/>
      </w:r>
      <w:r w:rsidR="00764FE1" w:rsidRPr="001655FD">
        <w:t xml:space="preserve">We observe </w:t>
      </w:r>
      <w:r w:rsidR="00830CD8" w:rsidRPr="001655FD">
        <w:t xml:space="preserve">also </w:t>
      </w:r>
      <w:r w:rsidR="002712DB" w:rsidRPr="001655FD">
        <w:t>that this appeal is in a context where</w:t>
      </w:r>
      <w:r w:rsidR="00092413" w:rsidRPr="001655FD">
        <w:t>, importantly,</w:t>
      </w:r>
      <w:r w:rsidR="002712DB" w:rsidRPr="001655FD">
        <w:t xml:space="preserve"> </w:t>
      </w:r>
      <w:r w:rsidR="00830CD8" w:rsidRPr="001655FD">
        <w:t xml:space="preserve">the appellant </w:t>
      </w:r>
      <w:r w:rsidR="003F3F7F" w:rsidRPr="001655FD">
        <w:t xml:space="preserve">does not seek </w:t>
      </w:r>
      <w:r w:rsidR="008708CB" w:rsidRPr="001655FD">
        <w:t xml:space="preserve">any order to compel the </w:t>
      </w:r>
      <w:r w:rsidR="0037244A" w:rsidRPr="001655FD">
        <w:t xml:space="preserve">respondent </w:t>
      </w:r>
      <w:r w:rsidR="003F3F7F" w:rsidRPr="001655FD">
        <w:t xml:space="preserve">to have </w:t>
      </w:r>
      <w:r w:rsidR="006175C0" w:rsidRPr="001655FD">
        <w:t xml:space="preserve">this, or any of </w:t>
      </w:r>
      <w:r w:rsidR="003F3F7F" w:rsidRPr="001655FD">
        <w:t xml:space="preserve">his </w:t>
      </w:r>
      <w:r w:rsidR="006175C0" w:rsidRPr="001655FD">
        <w:t xml:space="preserve">other </w:t>
      </w:r>
      <w:r w:rsidR="00C45433" w:rsidRPr="001655FD">
        <w:t xml:space="preserve">IC </w:t>
      </w:r>
      <w:r w:rsidR="003F3F7F" w:rsidRPr="001655FD">
        <w:t>review</w:t>
      </w:r>
      <w:r w:rsidR="00C45433" w:rsidRPr="001655FD">
        <w:t>s</w:t>
      </w:r>
      <w:r w:rsidR="003F3F7F" w:rsidRPr="001655FD">
        <w:t xml:space="preserve"> determined</w:t>
      </w:r>
      <w:r w:rsidR="00C45433" w:rsidRPr="001655FD">
        <w:t xml:space="preserve">. </w:t>
      </w:r>
    </w:p>
    <w:p w14:paraId="514B9ACE" w14:textId="7840D527" w:rsidR="009B22DE" w:rsidRPr="001655FD" w:rsidRDefault="00F122B2" w:rsidP="00F122B2">
      <w:pPr>
        <w:pStyle w:val="ParaNumbering"/>
        <w:numPr>
          <w:ilvl w:val="0"/>
          <w:numId w:val="0"/>
        </w:numPr>
        <w:tabs>
          <w:tab w:val="left" w:pos="720"/>
        </w:tabs>
        <w:ind w:hanging="720"/>
      </w:pPr>
      <w:r w:rsidRPr="001655FD">
        <w:rPr>
          <w:sz w:val="20"/>
        </w:rPr>
        <w:t>70</w:t>
      </w:r>
      <w:r w:rsidRPr="001655FD">
        <w:rPr>
          <w:sz w:val="20"/>
        </w:rPr>
        <w:tab/>
      </w:r>
      <w:r w:rsidR="00C013D8" w:rsidRPr="001655FD">
        <w:t>As explained above</w:t>
      </w:r>
      <w:r w:rsidR="00081DD6" w:rsidRPr="001655FD">
        <w:t xml:space="preserve"> at [</w:t>
      </w:r>
      <w:r w:rsidR="00081DD6" w:rsidRPr="001655FD">
        <w:fldChar w:fldCharType="begin"/>
      </w:r>
      <w:r w:rsidR="00081DD6" w:rsidRPr="001655FD">
        <w:instrText xml:space="preserve"> REF _Ref168665154 \r \h </w:instrText>
      </w:r>
      <w:r w:rsidR="006F4B8A" w:rsidRPr="001655FD">
        <w:instrText xml:space="preserve"> \* MERGEFORMAT </w:instrText>
      </w:r>
      <w:r w:rsidR="00081DD6" w:rsidRPr="001655FD">
        <w:fldChar w:fldCharType="separate"/>
      </w:r>
      <w:r w:rsidR="009F3992">
        <w:t>60</w:t>
      </w:r>
      <w:r w:rsidR="00081DD6" w:rsidRPr="001655FD">
        <w:fldChar w:fldCharType="end"/>
      </w:r>
      <w:r w:rsidR="00081DD6" w:rsidRPr="001655FD">
        <w:t>]</w:t>
      </w:r>
      <w:r w:rsidR="00C013D8" w:rsidRPr="001655FD">
        <w:t xml:space="preserve">, there is no challenge to the </w:t>
      </w:r>
      <w:r w:rsidR="007041C9" w:rsidRPr="001655FD">
        <w:t xml:space="preserve">primary judge’s conclusions as to the </w:t>
      </w:r>
      <w:r w:rsidR="00AE164B" w:rsidRPr="001655FD">
        <w:t xml:space="preserve">management </w:t>
      </w:r>
      <w:r w:rsidR="0063212D" w:rsidRPr="001655FD">
        <w:t>of IC reviews</w:t>
      </w:r>
      <w:r w:rsidR="008B6B47" w:rsidRPr="001655FD">
        <w:t>: see PJ [64]-</w:t>
      </w:r>
      <w:r w:rsidR="00EE7F06" w:rsidRPr="001655FD">
        <w:t xml:space="preserve">[92] for </w:t>
      </w:r>
      <w:r w:rsidR="00532E72" w:rsidRPr="001655FD">
        <w:t>a summary of the evidence accepted by the primary judge</w:t>
      </w:r>
      <w:r w:rsidR="00B62D02" w:rsidRPr="001655FD">
        <w:t>. Nor</w:t>
      </w:r>
      <w:r w:rsidR="00044315" w:rsidRPr="001655FD">
        <w:t xml:space="preserve"> is there any challenge to</w:t>
      </w:r>
      <w:r w:rsidR="00B62D02" w:rsidRPr="001655FD">
        <w:t xml:space="preserve"> his Honour’s conclusion that it had not been shown that the Information Commissioner</w:t>
      </w:r>
      <w:r w:rsidR="00F14514" w:rsidRPr="001655FD">
        <w:t xml:space="preserve"> had acted unreasonably in the way </w:t>
      </w:r>
      <w:r w:rsidR="00075B2B" w:rsidRPr="001655FD">
        <w:t>“</w:t>
      </w:r>
      <w:r w:rsidR="00F14514" w:rsidRPr="001655FD">
        <w:t xml:space="preserve">that the resources </w:t>
      </w:r>
      <w:r w:rsidR="00075B2B" w:rsidRPr="001655FD">
        <w:t>available for the discharge of her statutory function</w:t>
      </w:r>
      <w:r w:rsidR="00A16CC9" w:rsidRPr="001655FD">
        <w:t xml:space="preserve">s have been allocated”: </w:t>
      </w:r>
      <w:r w:rsidR="00ED4AF3" w:rsidRPr="001655FD">
        <w:t xml:space="preserve"> </w:t>
      </w:r>
      <w:r w:rsidR="00C02BDE" w:rsidRPr="001655FD">
        <w:t>PJ [201]</w:t>
      </w:r>
      <w:r w:rsidR="009B22DE" w:rsidRPr="001655FD">
        <w:t>.</w:t>
      </w:r>
    </w:p>
    <w:p w14:paraId="4F649D9F" w14:textId="4B6B8E59" w:rsidR="008E3C17" w:rsidRPr="001655FD" w:rsidRDefault="00F122B2" w:rsidP="00F122B2">
      <w:pPr>
        <w:pStyle w:val="ParaNumbering"/>
        <w:numPr>
          <w:ilvl w:val="0"/>
          <w:numId w:val="0"/>
        </w:numPr>
        <w:tabs>
          <w:tab w:val="left" w:pos="720"/>
        </w:tabs>
        <w:ind w:hanging="720"/>
      </w:pPr>
      <w:r w:rsidRPr="001655FD">
        <w:rPr>
          <w:sz w:val="20"/>
        </w:rPr>
        <w:t>71</w:t>
      </w:r>
      <w:r w:rsidRPr="001655FD">
        <w:rPr>
          <w:sz w:val="20"/>
        </w:rPr>
        <w:tab/>
      </w:r>
      <w:r w:rsidR="00741507" w:rsidRPr="001655FD">
        <w:t xml:space="preserve">Given that, the </w:t>
      </w:r>
      <w:r w:rsidR="00B21CB9" w:rsidRPr="001655FD">
        <w:t xml:space="preserve">explanation </w:t>
      </w:r>
      <w:r w:rsidR="00741507" w:rsidRPr="001655FD">
        <w:t xml:space="preserve">for the delay in this case </w:t>
      </w:r>
      <w:r w:rsidR="00FC4A56" w:rsidRPr="001655FD">
        <w:t>relat</w:t>
      </w:r>
      <w:r w:rsidR="00B21CB9" w:rsidRPr="001655FD">
        <w:t>es</w:t>
      </w:r>
      <w:r w:rsidR="00FC4A56" w:rsidRPr="001655FD">
        <w:t xml:space="preserve"> to resourcing. The procedures in place for the management </w:t>
      </w:r>
      <w:r w:rsidR="008E12D0" w:rsidRPr="001655FD">
        <w:t>of this IC Review (the reasonableness of which is not challenged) have th</w:t>
      </w:r>
      <w:r w:rsidR="009A4EB2" w:rsidRPr="001655FD">
        <w:t>e</w:t>
      </w:r>
      <w:r w:rsidR="008E12D0" w:rsidRPr="001655FD">
        <w:t xml:space="preserve"> </w:t>
      </w:r>
      <w:r w:rsidR="009A4EB2" w:rsidRPr="001655FD">
        <w:t xml:space="preserve">sixth IC </w:t>
      </w:r>
      <w:r w:rsidR="008E12D0" w:rsidRPr="001655FD">
        <w:t xml:space="preserve">review awaiting allocation, in its turn. </w:t>
      </w:r>
      <w:r w:rsidR="00346A6A" w:rsidRPr="001655FD">
        <w:t>The delay has not occurred</w:t>
      </w:r>
      <w:r w:rsidR="00DA2149" w:rsidRPr="001655FD">
        <w:t xml:space="preserve"> because of any act of </w:t>
      </w:r>
      <w:r w:rsidR="00346A6A" w:rsidRPr="001655FD">
        <w:t xml:space="preserve">capriciousness, negligence </w:t>
      </w:r>
      <w:r w:rsidR="00DF499E" w:rsidRPr="001655FD">
        <w:t xml:space="preserve">or oversight. </w:t>
      </w:r>
      <w:r w:rsidR="00DA2149" w:rsidRPr="001655FD">
        <w:t xml:space="preserve">There is nothing illogical or irrational about </w:t>
      </w:r>
      <w:r w:rsidR="00735A37" w:rsidRPr="001655FD">
        <w:t xml:space="preserve">the actions which have resulted in the sixth IC review </w:t>
      </w:r>
      <w:r w:rsidR="0046023D" w:rsidRPr="001655FD">
        <w:t>being delayed.</w:t>
      </w:r>
      <w:r w:rsidR="00514220" w:rsidRPr="001655FD">
        <w:t xml:space="preserve"> </w:t>
      </w:r>
    </w:p>
    <w:p w14:paraId="586836BB" w14:textId="4A58CADE" w:rsidR="008321F3" w:rsidRPr="001655FD" w:rsidRDefault="00F122B2" w:rsidP="00F122B2">
      <w:pPr>
        <w:pStyle w:val="ParaNumbering"/>
        <w:numPr>
          <w:ilvl w:val="0"/>
          <w:numId w:val="0"/>
        </w:numPr>
        <w:tabs>
          <w:tab w:val="left" w:pos="720"/>
        </w:tabs>
        <w:ind w:hanging="720"/>
      </w:pPr>
      <w:r w:rsidRPr="001655FD">
        <w:rPr>
          <w:sz w:val="20"/>
        </w:rPr>
        <w:t>72</w:t>
      </w:r>
      <w:r w:rsidRPr="001655FD">
        <w:rPr>
          <w:sz w:val="20"/>
        </w:rPr>
        <w:tab/>
      </w:r>
      <w:r w:rsidR="000D3FF0" w:rsidRPr="001655FD">
        <w:t>The structure of the FOI Act is described above</w:t>
      </w:r>
      <w:r w:rsidR="0046023D" w:rsidRPr="001655FD">
        <w:t xml:space="preserve"> and is unnecessary to repeat</w:t>
      </w:r>
      <w:r w:rsidR="000D3FF0" w:rsidRPr="001655FD">
        <w:t>. Although</w:t>
      </w:r>
      <w:r w:rsidR="008E79AC" w:rsidRPr="001655FD">
        <w:t>,</w:t>
      </w:r>
      <w:r w:rsidR="000D3FF0" w:rsidRPr="001655FD">
        <w:t xml:space="preserve"> </w:t>
      </w:r>
      <w:r w:rsidR="0046023D" w:rsidRPr="001655FD">
        <w:t xml:space="preserve">as the appellant contends, </w:t>
      </w:r>
      <w:r w:rsidR="000D3FF0" w:rsidRPr="001655FD">
        <w:t xml:space="preserve">the review is to be conducted in a manner as timely as possible, </w:t>
      </w:r>
      <w:r w:rsidR="00DF499E" w:rsidRPr="001655FD">
        <w:t xml:space="preserve">the FOI </w:t>
      </w:r>
      <w:r w:rsidR="00DF499E" w:rsidRPr="001655FD">
        <w:lastRenderedPageBreak/>
        <w:t xml:space="preserve">Act provides </w:t>
      </w:r>
      <w:r w:rsidR="009721DE" w:rsidRPr="001655FD">
        <w:t xml:space="preserve">no time limits and entrusts the Commissioner </w:t>
      </w:r>
      <w:r w:rsidR="00A62CFF" w:rsidRPr="001655FD">
        <w:t xml:space="preserve">with </w:t>
      </w:r>
      <w:r w:rsidR="009721DE" w:rsidRPr="001655FD">
        <w:t>the freedom of designing the process and allocating the resources</w:t>
      </w:r>
      <w:r w:rsidR="004A4FE8" w:rsidRPr="001655FD">
        <w:t>,</w:t>
      </w:r>
      <w:r w:rsidR="00C703D7" w:rsidRPr="001655FD">
        <w:t xml:space="preserve"> which</w:t>
      </w:r>
      <w:r w:rsidR="0046023D" w:rsidRPr="001655FD">
        <w:t xml:space="preserve"> are finite. </w:t>
      </w:r>
    </w:p>
    <w:p w14:paraId="1D5F3BE1" w14:textId="51126927" w:rsidR="00A91A80" w:rsidRPr="001655FD" w:rsidRDefault="00F122B2" w:rsidP="00F122B2">
      <w:pPr>
        <w:pStyle w:val="ParaNumbering"/>
        <w:numPr>
          <w:ilvl w:val="0"/>
          <w:numId w:val="0"/>
        </w:numPr>
        <w:tabs>
          <w:tab w:val="left" w:pos="720"/>
        </w:tabs>
        <w:ind w:hanging="720"/>
      </w:pPr>
      <w:r w:rsidRPr="001655FD">
        <w:rPr>
          <w:sz w:val="20"/>
        </w:rPr>
        <w:t>73</w:t>
      </w:r>
      <w:r w:rsidRPr="001655FD">
        <w:rPr>
          <w:sz w:val="20"/>
        </w:rPr>
        <w:tab/>
      </w:r>
      <w:r w:rsidR="00350860" w:rsidRPr="001655FD">
        <w:t xml:space="preserve">Recognising the delay is very lengthy, we nonetheless are not satisfied that </w:t>
      </w:r>
      <w:r w:rsidR="00CD469D" w:rsidRPr="001655FD">
        <w:t>this delay</w:t>
      </w:r>
      <w:r w:rsidR="00F222D4" w:rsidRPr="001655FD">
        <w:t>,</w:t>
      </w:r>
      <w:r w:rsidR="00CD469D" w:rsidRPr="001655FD">
        <w:t xml:space="preserve"> althou</w:t>
      </w:r>
      <w:r w:rsidR="00B86E30" w:rsidRPr="001655FD">
        <w:t>gh unfortunate,</w:t>
      </w:r>
      <w:r w:rsidR="00350860" w:rsidRPr="001655FD">
        <w:t xml:space="preserve"> is unreasonable in the </w:t>
      </w:r>
      <w:r w:rsidR="00923D81" w:rsidRPr="001655FD">
        <w:t xml:space="preserve">vitiating </w:t>
      </w:r>
      <w:r w:rsidR="00B454AD" w:rsidRPr="001655FD">
        <w:t>sense</w:t>
      </w:r>
      <w:r w:rsidR="00092413" w:rsidRPr="001655FD">
        <w:t xml:space="preserve"> </w:t>
      </w:r>
      <w:r w:rsidR="004D6045" w:rsidRPr="001655FD">
        <w:t xml:space="preserve">required to engage </w:t>
      </w:r>
      <w:r w:rsidR="00092413" w:rsidRPr="001655FD">
        <w:t>s 7(1) of the ADJR Act</w:t>
      </w:r>
      <w:r w:rsidR="00B454AD" w:rsidRPr="001655FD">
        <w:t xml:space="preserve">. </w:t>
      </w:r>
      <w:r w:rsidR="00190C7A" w:rsidRPr="001655FD">
        <w:t xml:space="preserve">The usually high threshold </w:t>
      </w:r>
      <w:r w:rsidR="00AC1D65" w:rsidRPr="001655FD">
        <w:t xml:space="preserve">for a conclusion of </w:t>
      </w:r>
      <w:r w:rsidR="00190C7A" w:rsidRPr="001655FD">
        <w:t xml:space="preserve">unreasonableness </w:t>
      </w:r>
      <w:r w:rsidR="00923D81" w:rsidRPr="001655FD">
        <w:t xml:space="preserve">of that kind </w:t>
      </w:r>
      <w:r w:rsidR="00190C7A" w:rsidRPr="001655FD">
        <w:t xml:space="preserve">has not been met. </w:t>
      </w:r>
      <w:r w:rsidR="007C09F1" w:rsidRPr="001655FD">
        <w:t xml:space="preserve">The question is not whether it should be expected that </w:t>
      </w:r>
      <w:r w:rsidR="008708CB" w:rsidRPr="001655FD">
        <w:t>such</w:t>
      </w:r>
      <w:r w:rsidR="007C09F1" w:rsidRPr="001655FD">
        <w:t xml:space="preserve"> process</w:t>
      </w:r>
      <w:r w:rsidR="00D01ED6" w:rsidRPr="001655FD">
        <w:t>es</w:t>
      </w:r>
      <w:r w:rsidR="007C09F1" w:rsidRPr="001655FD">
        <w:t xml:space="preserve"> would have been quicker</w:t>
      </w:r>
      <w:r w:rsidR="00094E97" w:rsidRPr="001655FD">
        <w:t xml:space="preserve">, but whether, considering the circumstances of this review, in the context of the statutory scheme, this delay </w:t>
      </w:r>
      <w:r w:rsidR="005E5E5C" w:rsidRPr="001655FD">
        <w:t xml:space="preserve">is </w:t>
      </w:r>
      <w:r w:rsidR="00833E6A" w:rsidRPr="001655FD">
        <w:t>u</w:t>
      </w:r>
      <w:r w:rsidR="005E5E5C" w:rsidRPr="001655FD">
        <w:t>nreasonable</w:t>
      </w:r>
      <w:r w:rsidR="00092413" w:rsidRPr="001655FD">
        <w:t xml:space="preserve"> in that sense</w:t>
      </w:r>
      <w:r w:rsidR="005E5E5C" w:rsidRPr="001655FD">
        <w:t>.</w:t>
      </w:r>
      <w:r w:rsidR="00094E97" w:rsidRPr="001655FD">
        <w:t xml:space="preserve"> </w:t>
      </w:r>
      <w:r w:rsidR="00092413" w:rsidRPr="001655FD">
        <w:t>The concept is not absolute or abstract, but rather contextual both in relation to the statute in question and the particular facts of the case at hand.</w:t>
      </w:r>
      <w:r w:rsidR="008203B4" w:rsidRPr="001655FD">
        <w:t xml:space="preserve"> </w:t>
      </w:r>
    </w:p>
    <w:p w14:paraId="0DA6DF9A" w14:textId="7A816526" w:rsidR="0063212D" w:rsidRPr="001655FD" w:rsidRDefault="00F122B2" w:rsidP="00F122B2">
      <w:pPr>
        <w:pStyle w:val="ParaNumbering"/>
        <w:numPr>
          <w:ilvl w:val="0"/>
          <w:numId w:val="0"/>
        </w:numPr>
        <w:tabs>
          <w:tab w:val="left" w:pos="720"/>
        </w:tabs>
        <w:ind w:hanging="720"/>
      </w:pPr>
      <w:r w:rsidRPr="001655FD">
        <w:rPr>
          <w:sz w:val="20"/>
        </w:rPr>
        <w:t>74</w:t>
      </w:r>
      <w:r w:rsidRPr="001655FD">
        <w:rPr>
          <w:sz w:val="20"/>
        </w:rPr>
        <w:tab/>
      </w:r>
      <w:r w:rsidR="00076A72" w:rsidRPr="001655FD">
        <w:t>In our view the primary judge was correct to conclude that</w:t>
      </w:r>
      <w:r w:rsidR="0002498C" w:rsidRPr="001655FD">
        <w:t>,</w:t>
      </w:r>
      <w:r w:rsidR="00076A72" w:rsidRPr="001655FD">
        <w:t xml:space="preserve"> in respect to the sixth </w:t>
      </w:r>
      <w:r w:rsidR="00B34B57" w:rsidRPr="001655FD">
        <w:t xml:space="preserve">IC review, the appellant had not established the delay was unreasonable. </w:t>
      </w:r>
      <w:r w:rsidR="002112B9" w:rsidRPr="001655FD">
        <w:t xml:space="preserve">Nor has any error otherwise been established </w:t>
      </w:r>
      <w:r w:rsidR="0024768A" w:rsidRPr="001655FD">
        <w:t xml:space="preserve">in the </w:t>
      </w:r>
      <w:r w:rsidR="000F301B" w:rsidRPr="001655FD">
        <w:t>primary judge</w:t>
      </w:r>
      <w:r w:rsidR="00971453" w:rsidRPr="001655FD">
        <w:t>’s approach</w:t>
      </w:r>
      <w:r w:rsidR="000F301B" w:rsidRPr="001655FD">
        <w:t xml:space="preserve">. </w:t>
      </w:r>
    </w:p>
    <w:p w14:paraId="55E81E67" w14:textId="146825DE" w:rsidR="00BD2752" w:rsidRPr="001655FD" w:rsidRDefault="00F122B2" w:rsidP="00F122B2">
      <w:pPr>
        <w:pStyle w:val="ParaNumbering"/>
        <w:numPr>
          <w:ilvl w:val="0"/>
          <w:numId w:val="0"/>
        </w:numPr>
        <w:tabs>
          <w:tab w:val="left" w:pos="720"/>
        </w:tabs>
        <w:ind w:hanging="720"/>
      </w:pPr>
      <w:r w:rsidRPr="001655FD">
        <w:rPr>
          <w:sz w:val="20"/>
        </w:rPr>
        <w:t>75</w:t>
      </w:r>
      <w:r w:rsidRPr="001655FD">
        <w:rPr>
          <w:sz w:val="20"/>
        </w:rPr>
        <w:tab/>
      </w:r>
      <w:r w:rsidR="00BD2752" w:rsidRPr="001655FD">
        <w:t xml:space="preserve">As this </w:t>
      </w:r>
      <w:r w:rsidR="003A6D8B" w:rsidRPr="001655FD">
        <w:t xml:space="preserve">review </w:t>
      </w:r>
      <w:r w:rsidR="00BD2752" w:rsidRPr="001655FD">
        <w:t xml:space="preserve">is the high point of the appellant’s case, </w:t>
      </w:r>
      <w:r w:rsidR="00323B8E" w:rsidRPr="001655FD">
        <w:t xml:space="preserve">having considered the material </w:t>
      </w:r>
      <w:r w:rsidR="00346C48" w:rsidRPr="001655FD">
        <w:t>in relation to the other reviews</w:t>
      </w:r>
      <w:r w:rsidR="00971453" w:rsidRPr="001655FD">
        <w:t>,</w:t>
      </w:r>
      <w:r w:rsidR="00346C48" w:rsidRPr="001655FD">
        <w:t xml:space="preserve"> </w:t>
      </w:r>
      <w:r w:rsidR="008D0631" w:rsidRPr="001655FD">
        <w:t xml:space="preserve">we are also not persuaded that </w:t>
      </w:r>
      <w:r w:rsidR="00BD2752" w:rsidRPr="001655FD">
        <w:t>the lesser period</w:t>
      </w:r>
      <w:r w:rsidR="00A97FC7" w:rsidRPr="001655FD">
        <w:t>s</w:t>
      </w:r>
      <w:r w:rsidR="00BD2752" w:rsidRPr="001655FD">
        <w:t xml:space="preserve"> of time in the remaining reviews </w:t>
      </w:r>
      <w:r w:rsidR="008D0631" w:rsidRPr="001655FD">
        <w:t>are unreasonable</w:t>
      </w:r>
      <w:r w:rsidR="00D9399A" w:rsidRPr="001655FD">
        <w:t>,</w:t>
      </w:r>
      <w:r w:rsidR="001A0F61" w:rsidRPr="001655FD">
        <w:t xml:space="preserve"> having regard also to the </w:t>
      </w:r>
      <w:r w:rsidR="00FC358E" w:rsidRPr="001655FD">
        <w:t xml:space="preserve">fact that a number of </w:t>
      </w:r>
      <w:r w:rsidR="00BF036E" w:rsidRPr="001655FD">
        <w:t xml:space="preserve">the </w:t>
      </w:r>
      <w:r w:rsidR="00FC358E" w:rsidRPr="001655FD">
        <w:t xml:space="preserve">other reviews have additional complexity because of the nature of the documents sought and various </w:t>
      </w:r>
      <w:r w:rsidR="00D9399A" w:rsidRPr="001655FD">
        <w:t xml:space="preserve">procedural steps (for example, applications for </w:t>
      </w:r>
      <w:r w:rsidR="00FC358E" w:rsidRPr="001655FD">
        <w:t>extensions, notification of a revised decision</w:t>
      </w:r>
      <w:r w:rsidR="00B026B5" w:rsidRPr="001655FD">
        <w:t>,</w:t>
      </w:r>
      <w:r w:rsidR="00D9399A" w:rsidRPr="001655FD">
        <w:t xml:space="preserve"> etc</w:t>
      </w:r>
      <w:r w:rsidR="00B026B5" w:rsidRPr="001655FD">
        <w:t>.</w:t>
      </w:r>
      <w:r w:rsidR="00FC358E" w:rsidRPr="001655FD">
        <w:t>)</w:t>
      </w:r>
      <w:r w:rsidR="00D9399A" w:rsidRPr="001655FD">
        <w:t>.</w:t>
      </w:r>
      <w:r w:rsidR="009A52D9" w:rsidRPr="001655FD">
        <w:t xml:space="preserve"> We note also, as the respondent demonstrated, that in some of those reviews </w:t>
      </w:r>
      <w:r w:rsidR="00654DD1" w:rsidRPr="001655FD">
        <w:t>there was activity in the periods described by the appellant as one</w:t>
      </w:r>
      <w:r w:rsidR="008C3845" w:rsidRPr="001655FD">
        <w:t>s</w:t>
      </w:r>
      <w:r w:rsidR="00654DD1" w:rsidRPr="001655FD">
        <w:t xml:space="preserve"> of inactivity.</w:t>
      </w:r>
      <w:r w:rsidR="00921404" w:rsidRPr="001655FD">
        <w:t xml:space="preserve"> No error has been establishe</w:t>
      </w:r>
      <w:r w:rsidR="002112B9" w:rsidRPr="001655FD">
        <w:t>d</w:t>
      </w:r>
      <w:r w:rsidR="000F301B" w:rsidRPr="001655FD">
        <w:t xml:space="preserve"> in relation to the remaining reviews.</w:t>
      </w:r>
    </w:p>
    <w:p w14:paraId="4E45998F" w14:textId="75FDB617" w:rsidR="008D0631" w:rsidRPr="001655FD" w:rsidRDefault="00167113" w:rsidP="00167113">
      <w:pPr>
        <w:pStyle w:val="Heading2"/>
      </w:pPr>
      <w:r w:rsidRPr="001655FD">
        <w:t>Discretion</w:t>
      </w:r>
    </w:p>
    <w:p w14:paraId="1914513A" w14:textId="6973A404" w:rsidR="00FF52C7" w:rsidRPr="001655FD" w:rsidRDefault="00F122B2" w:rsidP="00F122B2">
      <w:pPr>
        <w:pStyle w:val="ParaNumbering"/>
        <w:numPr>
          <w:ilvl w:val="0"/>
          <w:numId w:val="0"/>
        </w:numPr>
        <w:ind w:hanging="720"/>
      </w:pPr>
      <w:r w:rsidRPr="001655FD">
        <w:rPr>
          <w:sz w:val="20"/>
        </w:rPr>
        <w:t>76</w:t>
      </w:r>
      <w:r w:rsidRPr="001655FD">
        <w:rPr>
          <w:sz w:val="20"/>
        </w:rPr>
        <w:tab/>
      </w:r>
      <w:r w:rsidR="00C62EC0" w:rsidRPr="001655FD">
        <w:t>Declarations are necessarily a form of discretionary relief</w:t>
      </w:r>
      <w:r w:rsidR="00AB532B" w:rsidRPr="001655FD">
        <w:t xml:space="preserve"> obtainable under s 21 of the </w:t>
      </w:r>
      <w:r w:rsidR="00AB532B" w:rsidRPr="001655FD">
        <w:rPr>
          <w:i/>
          <w:iCs/>
        </w:rPr>
        <w:t>Federal Court of Australia Act 1976</w:t>
      </w:r>
      <w:r w:rsidR="00AB532B" w:rsidRPr="001655FD">
        <w:t xml:space="preserve"> (Cth)</w:t>
      </w:r>
      <w:r w:rsidR="00B91EA9" w:rsidRPr="001655FD">
        <w:t xml:space="preserve"> </w:t>
      </w:r>
      <w:r w:rsidR="00005104" w:rsidRPr="001655FD">
        <w:t>and</w:t>
      </w:r>
      <w:r w:rsidR="00B91EA9" w:rsidRPr="001655FD">
        <w:t xml:space="preserve"> s 16(3)(b) of the ADJR Act</w:t>
      </w:r>
      <w:r w:rsidR="00C62EC0" w:rsidRPr="001655FD">
        <w:t xml:space="preserve">. The appellant seeks no other relief. Rather, </w:t>
      </w:r>
      <w:r w:rsidR="005B5615" w:rsidRPr="001655FD">
        <w:t xml:space="preserve">in substance </w:t>
      </w:r>
      <w:r w:rsidR="00C62EC0" w:rsidRPr="001655FD">
        <w:t xml:space="preserve">he seeks </w:t>
      </w:r>
      <w:r w:rsidR="00AB532B" w:rsidRPr="001655FD">
        <w:t xml:space="preserve">no more than the convenience of </w:t>
      </w:r>
      <w:r w:rsidR="00C62EC0" w:rsidRPr="001655FD">
        <w:t xml:space="preserve">a public statement of what he asserts is a failure </w:t>
      </w:r>
      <w:r w:rsidR="00AB532B" w:rsidRPr="001655FD">
        <w:t xml:space="preserve">by the respondent </w:t>
      </w:r>
      <w:r w:rsidR="00C62EC0" w:rsidRPr="001655FD">
        <w:t xml:space="preserve">to comply with a statutory duty. He does not explain why, if that had been established, an adjudication on that issue and the recording </w:t>
      </w:r>
      <w:r w:rsidR="00AB532B" w:rsidRPr="001655FD">
        <w:t xml:space="preserve">in a judgment of this Court </w:t>
      </w:r>
      <w:r w:rsidR="00C62EC0" w:rsidRPr="001655FD">
        <w:t xml:space="preserve">of a finding to that effect would not suffice. As the Full Court pointed out in </w:t>
      </w:r>
      <w:r w:rsidR="00C62EC0" w:rsidRPr="001655FD">
        <w:rPr>
          <w:i/>
          <w:iCs/>
        </w:rPr>
        <w:t>Warramunda Village Inc v Pryde</w:t>
      </w:r>
      <w:r w:rsidR="00C62EC0" w:rsidRPr="001655FD">
        <w:t xml:space="preserve"> [2001] FCA 61; (2001) 105 FCR 437 at [8], </w:t>
      </w:r>
      <w:r w:rsidR="00FF52C7" w:rsidRPr="001655FD">
        <w:t xml:space="preserve">endorsed in </w:t>
      </w:r>
      <w:r w:rsidR="00FF52C7" w:rsidRPr="001655FD">
        <w:rPr>
          <w:i/>
          <w:iCs/>
        </w:rPr>
        <w:t xml:space="preserve">Australian Competition and Consumer </w:t>
      </w:r>
      <w:r w:rsidR="00FF52C7" w:rsidRPr="00FC3F15">
        <w:rPr>
          <w:i/>
          <w:iCs/>
        </w:rPr>
        <w:t>Commission v MSY Technology Pty Ltd</w:t>
      </w:r>
      <w:r w:rsidR="00FF52C7" w:rsidRPr="00FC3F15">
        <w:t xml:space="preserve"> [2012] FCAFC 56; (2012) 201 FCR 378 </w:t>
      </w:r>
      <w:r w:rsidR="00AB532B" w:rsidRPr="00FC3F15">
        <w:t>(</w:t>
      </w:r>
      <w:r w:rsidR="00AB532B" w:rsidRPr="00FC3F15">
        <w:rPr>
          <w:i/>
          <w:iCs/>
        </w:rPr>
        <w:t>MSY Technology</w:t>
      </w:r>
      <w:r w:rsidR="00AB532B" w:rsidRPr="00FC3F15">
        <w:t xml:space="preserve">) </w:t>
      </w:r>
      <w:r w:rsidR="00FF52C7" w:rsidRPr="00FC3F15">
        <w:t xml:space="preserve">at [35], </w:t>
      </w:r>
      <w:r w:rsidR="00C62EC0" w:rsidRPr="00FC3F15">
        <w:t xml:space="preserve">it is not appropriate to use the remedy of declaration merely </w:t>
      </w:r>
      <w:r w:rsidR="00B6240B" w:rsidRPr="00FC3F15">
        <w:t>as</w:t>
      </w:r>
      <w:r w:rsidR="00C62EC0" w:rsidRPr="00FC3F15">
        <w:t xml:space="preserve"> a summary recording of conclusions reached in reasons for </w:t>
      </w:r>
      <w:r w:rsidR="00C62EC0" w:rsidRPr="00FC3F15">
        <w:lastRenderedPageBreak/>
        <w:t>judgment</w:t>
      </w:r>
      <w:r w:rsidR="00FF52C7" w:rsidRPr="00FC3F15">
        <w:t xml:space="preserve">, especially when this is not relied upon to advance any right or liability, </w:t>
      </w:r>
      <w:r w:rsidR="00C42133" w:rsidRPr="00FC3F15">
        <w:t xml:space="preserve">as would be achieved </w:t>
      </w:r>
      <w:r w:rsidR="00AB362E" w:rsidRPr="00FC3F15">
        <w:t xml:space="preserve">by an order </w:t>
      </w:r>
      <w:r w:rsidR="00FF52C7" w:rsidRPr="00FC3F15">
        <w:t xml:space="preserve">to comply with the duty, which is eschewed by the </w:t>
      </w:r>
      <w:r w:rsidR="00AB532B" w:rsidRPr="00FC3F15">
        <w:t>appellant. Se</w:t>
      </w:r>
      <w:r w:rsidR="00C62EC0" w:rsidRPr="00FC3F15">
        <w:t xml:space="preserve">e also </w:t>
      </w:r>
      <w:r w:rsidR="00FF52C7" w:rsidRPr="00FC3F15">
        <w:rPr>
          <w:i/>
          <w:iCs/>
          <w:szCs w:val="24"/>
          <w:lang w:eastAsia="en-AU"/>
        </w:rPr>
        <w:t xml:space="preserve">Rural Press Ltd v Australian Competition and Consumer Commission </w:t>
      </w:r>
      <w:r w:rsidR="00AB532B" w:rsidRPr="00FC3F15">
        <w:rPr>
          <w:szCs w:val="24"/>
          <w:lang w:eastAsia="en-AU"/>
        </w:rPr>
        <w:t xml:space="preserve">[2003] HCA 75; </w:t>
      </w:r>
      <w:r w:rsidR="00FF52C7" w:rsidRPr="00FC3F15">
        <w:rPr>
          <w:szCs w:val="24"/>
          <w:lang w:eastAsia="en-AU"/>
        </w:rPr>
        <w:t>(2003) 216 CLR 53 at [95]</w:t>
      </w:r>
      <w:r w:rsidR="00AB532B" w:rsidRPr="00FC3F15">
        <w:rPr>
          <w:szCs w:val="24"/>
          <w:lang w:eastAsia="en-AU"/>
        </w:rPr>
        <w:t xml:space="preserve">, in which the High Court emphasised the need for utility in making declarations, in that case, as described in </w:t>
      </w:r>
      <w:r w:rsidR="00AB532B" w:rsidRPr="00FC3F15">
        <w:rPr>
          <w:i/>
          <w:iCs/>
          <w:szCs w:val="24"/>
        </w:rPr>
        <w:t>MSY Technology</w:t>
      </w:r>
      <w:r w:rsidR="00601DF8" w:rsidRPr="00FC3F15">
        <w:rPr>
          <w:i/>
          <w:iCs/>
          <w:szCs w:val="24"/>
        </w:rPr>
        <w:t xml:space="preserve"> </w:t>
      </w:r>
      <w:r w:rsidR="00601DF8" w:rsidRPr="00FC3F15">
        <w:rPr>
          <w:szCs w:val="24"/>
        </w:rPr>
        <w:t>at [</w:t>
      </w:r>
      <w:r w:rsidR="00601DF8" w:rsidRPr="001655FD">
        <w:rPr>
          <w:szCs w:val="24"/>
        </w:rPr>
        <w:t>35]</w:t>
      </w:r>
      <w:r w:rsidR="00AF7BAA" w:rsidRPr="001655FD">
        <w:rPr>
          <w:szCs w:val="24"/>
        </w:rPr>
        <w:t xml:space="preserve"> as</w:t>
      </w:r>
      <w:r w:rsidR="00AB532B" w:rsidRPr="001655FD">
        <w:rPr>
          <w:szCs w:val="24"/>
          <w:lang w:eastAsia="en-AU"/>
        </w:rPr>
        <w:t xml:space="preserve"> “setting out of the basis of the liability found and, in turn, in the basis for the penalties imposed”.</w:t>
      </w:r>
    </w:p>
    <w:p w14:paraId="3231A9CE" w14:textId="6DFEF7C1" w:rsidR="00AB532B" w:rsidRPr="00C9615A" w:rsidRDefault="00F122B2" w:rsidP="00F122B2">
      <w:pPr>
        <w:pStyle w:val="ParaNumbering"/>
        <w:numPr>
          <w:ilvl w:val="0"/>
          <w:numId w:val="0"/>
        </w:numPr>
        <w:ind w:hanging="720"/>
      </w:pPr>
      <w:r w:rsidRPr="00C9615A">
        <w:rPr>
          <w:sz w:val="20"/>
        </w:rPr>
        <w:t>77</w:t>
      </w:r>
      <w:r w:rsidRPr="00C9615A">
        <w:rPr>
          <w:sz w:val="20"/>
        </w:rPr>
        <w:tab/>
      </w:r>
      <w:r w:rsidR="00AB532B" w:rsidRPr="001655FD">
        <w:rPr>
          <w:szCs w:val="24"/>
          <w:lang w:eastAsia="en-AU"/>
        </w:rPr>
        <w:t>It follows that even if the breach of statutory duty alleged by the appellant</w:t>
      </w:r>
      <w:r w:rsidR="00AB532B" w:rsidRPr="00C9615A">
        <w:rPr>
          <w:szCs w:val="24"/>
          <w:lang w:eastAsia="en-AU"/>
        </w:rPr>
        <w:t xml:space="preserve"> had been established, it would not have been appropriate to grant the declaratory relief sought.</w:t>
      </w:r>
    </w:p>
    <w:p w14:paraId="7B3A60AF" w14:textId="028AFA66" w:rsidR="00167113" w:rsidRPr="00C9615A" w:rsidRDefault="00167113" w:rsidP="00167113">
      <w:pPr>
        <w:pStyle w:val="Heading2"/>
      </w:pPr>
      <w:r w:rsidRPr="00C9615A">
        <w:t>Conclusion</w:t>
      </w:r>
    </w:p>
    <w:p w14:paraId="41E2D6E0" w14:textId="4FBBAD94" w:rsidR="00E15EC4" w:rsidRDefault="00F122B2" w:rsidP="00F122B2">
      <w:pPr>
        <w:pStyle w:val="ParaNumbering"/>
        <w:numPr>
          <w:ilvl w:val="0"/>
          <w:numId w:val="0"/>
        </w:numPr>
        <w:tabs>
          <w:tab w:val="left" w:pos="720"/>
        </w:tabs>
        <w:ind w:hanging="720"/>
      </w:pPr>
      <w:r>
        <w:rPr>
          <w:sz w:val="20"/>
        </w:rPr>
        <w:t>78</w:t>
      </w:r>
      <w:r>
        <w:rPr>
          <w:sz w:val="20"/>
        </w:rPr>
        <w:tab/>
      </w:r>
      <w:r w:rsidR="00167113" w:rsidRPr="00C9615A">
        <w:t>As the appellant has failed to establish any error on the part of the primary judge, the appeal must be dismissed. Even if error had been established, that the appellant did not seek the most appropriate remedy</w:t>
      </w:r>
      <w:r w:rsidR="00746A28" w:rsidRPr="00C9615A">
        <w:t xml:space="preserve"> in these circumstances</w:t>
      </w:r>
      <w:r w:rsidR="00EE496B" w:rsidRPr="00C9615A">
        <w:t>,</w:t>
      </w:r>
      <w:r w:rsidR="00167113" w:rsidRPr="00C9615A">
        <w:t xml:space="preserve"> </w:t>
      </w:r>
      <w:r w:rsidR="006C153C" w:rsidRPr="00C9615A">
        <w:t xml:space="preserve">being </w:t>
      </w:r>
      <w:r w:rsidR="00DE735D" w:rsidRPr="00C9615A">
        <w:t xml:space="preserve">an order </w:t>
      </w:r>
      <w:r w:rsidR="00AB532B" w:rsidRPr="00C9615A">
        <w:t xml:space="preserve">requiring that </w:t>
      </w:r>
      <w:r w:rsidR="00DE735D" w:rsidRPr="00C9615A">
        <w:t xml:space="preserve">the relevant statutory </w:t>
      </w:r>
      <w:r w:rsidR="00AB532B" w:rsidRPr="00C9615A">
        <w:t>duty be complied with</w:t>
      </w:r>
      <w:r w:rsidR="00167113" w:rsidRPr="00C9615A">
        <w:t>, we would not, in the exercise of our discretion, have made the declarations sought.</w:t>
      </w:r>
      <w:r w:rsidR="005046D2">
        <w:t xml:space="preserve"> </w:t>
      </w:r>
      <w:r w:rsidR="00E15EC4" w:rsidRPr="00FC3F15">
        <w:t>It follows that the respondent should have her costs of the appeal.</w:t>
      </w:r>
    </w:p>
    <w:p w14:paraId="4AF6C42D" w14:textId="77777777" w:rsidR="00F935B7" w:rsidRDefault="00F935B7" w:rsidP="00815065">
      <w:pPr>
        <w:pStyle w:val="BodyText"/>
      </w:pPr>
      <w:bookmarkStart w:id="44" w:name="Certification"/>
    </w:p>
    <w:tbl>
      <w:tblPr>
        <w:tblW w:w="0" w:type="auto"/>
        <w:tblLook w:val="04A0" w:firstRow="1" w:lastRow="0" w:firstColumn="1" w:lastColumn="0" w:noHBand="0" w:noVBand="1"/>
      </w:tblPr>
      <w:tblGrid>
        <w:gridCol w:w="3794"/>
      </w:tblGrid>
      <w:tr w:rsidR="00F935B7" w:rsidRPr="00F935B7" w14:paraId="1FEB6279" w14:textId="77777777">
        <w:tc>
          <w:tcPr>
            <w:tcW w:w="3794" w:type="dxa"/>
            <w:shd w:val="clear" w:color="auto" w:fill="auto"/>
          </w:tcPr>
          <w:p w14:paraId="77D0CA3C" w14:textId="680C6F8A" w:rsidR="00F935B7" w:rsidRPr="00F935B7" w:rsidRDefault="00F935B7" w:rsidP="00F935B7">
            <w:pPr>
              <w:pStyle w:val="Normal1linespace"/>
            </w:pPr>
            <w:r w:rsidRPr="00F935B7">
              <w:t xml:space="preserve">I certify that the preceding </w:t>
            </w:r>
            <w:bookmarkStart w:id="45" w:name="NumberWord"/>
            <w:r>
              <w:t>seventy-eight</w:t>
            </w:r>
            <w:bookmarkEnd w:id="45"/>
            <w:r w:rsidRPr="00F935B7">
              <w:t xml:space="preserve"> (</w:t>
            </w:r>
            <w:bookmarkStart w:id="46" w:name="NumberNumeral"/>
            <w:r>
              <w:t>78</w:t>
            </w:r>
            <w:bookmarkEnd w:id="46"/>
            <w:r w:rsidRPr="00F935B7">
              <w:t xml:space="preserve">) numbered </w:t>
            </w:r>
            <w:bookmarkStart w:id="47" w:name="CertPara"/>
            <w:r>
              <w:t>paragraphs are</w:t>
            </w:r>
            <w:bookmarkEnd w:id="47"/>
            <w:r w:rsidRPr="00F935B7">
              <w:t xml:space="preserve"> a true copy of the Reasons for Judgment of </w:t>
            </w:r>
            <w:bookmarkStart w:id="48" w:name="bkHonourable"/>
            <w:r w:rsidRPr="00F935B7">
              <w:t xml:space="preserve">the Honourable </w:t>
            </w:r>
            <w:bookmarkStart w:id="49" w:name="Justice"/>
            <w:bookmarkEnd w:id="48"/>
            <w:r>
              <w:t>Justices Bromwich, Abraham and McEvoy</w:t>
            </w:r>
            <w:bookmarkEnd w:id="49"/>
            <w:r w:rsidRPr="00F935B7">
              <w:t>.</w:t>
            </w:r>
          </w:p>
        </w:tc>
      </w:tr>
    </w:tbl>
    <w:p w14:paraId="242D8D68" w14:textId="77777777" w:rsidR="00F935B7" w:rsidRDefault="00F935B7" w:rsidP="00815065">
      <w:pPr>
        <w:pStyle w:val="BodyText"/>
      </w:pPr>
    </w:p>
    <w:p w14:paraId="659C724A" w14:textId="77777777" w:rsidR="00F935B7" w:rsidRDefault="00F935B7" w:rsidP="00815065">
      <w:pPr>
        <w:pStyle w:val="BodyText"/>
      </w:pPr>
    </w:p>
    <w:p w14:paraId="3DD971E1" w14:textId="76C78D79" w:rsidR="00F935B7" w:rsidRDefault="00F935B7" w:rsidP="00815065">
      <w:pPr>
        <w:pStyle w:val="BodyText"/>
      </w:pPr>
      <w:r>
        <w:t>Associate:</w:t>
      </w:r>
      <w:r w:rsidR="00EF7B01" w:rsidRPr="00EF7B01">
        <w:t xml:space="preserve"> </w:t>
      </w:r>
    </w:p>
    <w:p w14:paraId="59F28BEB" w14:textId="77777777" w:rsidR="00F935B7" w:rsidRDefault="00F935B7" w:rsidP="00815065">
      <w:pPr>
        <w:pStyle w:val="BodyText"/>
      </w:pPr>
    </w:p>
    <w:p w14:paraId="48EEA5A4" w14:textId="0DD968BE" w:rsidR="00F935B7" w:rsidRDefault="00F935B7" w:rsidP="00815065">
      <w:pPr>
        <w:pStyle w:val="BodyText"/>
        <w:tabs>
          <w:tab w:val="left" w:pos="1134"/>
        </w:tabs>
      </w:pPr>
      <w:r>
        <w:t>Dated:</w:t>
      </w:r>
      <w:r>
        <w:tab/>
      </w:r>
      <w:bookmarkStart w:id="50" w:name="CertifyDated"/>
      <w:r w:rsidR="00AE1BC1">
        <w:t>11 July 2024</w:t>
      </w:r>
      <w:bookmarkEnd w:id="50"/>
    </w:p>
    <w:p w14:paraId="0655544E" w14:textId="77777777" w:rsidR="00F935B7" w:rsidRDefault="00F935B7" w:rsidP="00815065">
      <w:pPr>
        <w:pStyle w:val="BodyText"/>
      </w:pPr>
    </w:p>
    <w:bookmarkEnd w:id="44"/>
    <w:p w14:paraId="08589FCA" w14:textId="77777777" w:rsidR="00F935B7" w:rsidRPr="005046D2" w:rsidRDefault="00F935B7" w:rsidP="00F935B7">
      <w:pPr>
        <w:pStyle w:val="BodyText"/>
      </w:pPr>
    </w:p>
    <w:sectPr w:rsidR="00F935B7" w:rsidRPr="005046D2" w:rsidSect="00605DAD">
      <w:headerReference w:type="even" r:id="rId20"/>
      <w:headerReference w:type="default" r:id="rId21"/>
      <w:footerReference w:type="default" r:id="rId22"/>
      <w:headerReference w:type="first" r:id="rId23"/>
      <w:footerReference w:type="first" r:id="rId2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17E1C" w14:textId="77777777" w:rsidR="008041D8" w:rsidRDefault="008041D8">
      <w:pPr>
        <w:spacing w:line="20" w:lineRule="exact"/>
      </w:pPr>
    </w:p>
    <w:p w14:paraId="3FAFC0B4" w14:textId="77777777" w:rsidR="008041D8" w:rsidRDefault="008041D8"/>
    <w:p w14:paraId="54808CA3" w14:textId="77777777" w:rsidR="008041D8" w:rsidRDefault="008041D8"/>
  </w:endnote>
  <w:endnote w:type="continuationSeparator" w:id="0">
    <w:p w14:paraId="334B4ED2" w14:textId="77777777" w:rsidR="008041D8" w:rsidRDefault="008041D8">
      <w:r>
        <w:t xml:space="preserve"> </w:t>
      </w:r>
    </w:p>
    <w:p w14:paraId="6B1BA1E8" w14:textId="77777777" w:rsidR="008041D8" w:rsidRDefault="008041D8"/>
    <w:p w14:paraId="1E1F3666" w14:textId="77777777" w:rsidR="008041D8" w:rsidRDefault="008041D8"/>
  </w:endnote>
  <w:endnote w:type="continuationNotice" w:id="1">
    <w:p w14:paraId="16892B4A" w14:textId="77777777" w:rsidR="008041D8" w:rsidRDefault="008041D8">
      <w:r>
        <w:t xml:space="preserve"> </w:t>
      </w:r>
    </w:p>
    <w:p w14:paraId="274E6EE8" w14:textId="77777777" w:rsidR="008041D8" w:rsidRDefault="008041D8"/>
    <w:p w14:paraId="07017687" w14:textId="77777777" w:rsidR="008041D8" w:rsidRDefault="00804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238B" w14:textId="77777777" w:rsidR="00F935B7" w:rsidRDefault="00F93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A2B5" w14:textId="4F5E6373"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6B3601CD" wp14:editId="11F00F62">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FACE9"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4B77B8">
          <w:rPr>
            <w:bCs/>
            <w:sz w:val="18"/>
            <w:szCs w:val="18"/>
          </w:rPr>
          <w:t xml:space="preserve">Patrick v Australian Information Commissioner [2024] FCAFC 93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24F1" w14:textId="17A41DA9" w:rsidR="00395B24" w:rsidRPr="00F935B7" w:rsidRDefault="00395B24" w:rsidP="00F935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5092" w14:textId="4D22EFE0"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418AEA75" wp14:editId="09516BC4">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84526F"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A60E0DF6C27E479DBCDF6C1C9173B01D"/>
        </w:placeholder>
        <w:dataBinding w:prefixMappings="xmlns:ns0='http://schemas.globalmacros.com/FCA'" w:xpath="/ns0:root[1]/ns0:Name[1]" w:storeItemID="{687E7CCB-4AA5-44E7-B148-17BA2B6F57C0}"/>
        <w:text w:multiLine="1"/>
      </w:sdtPr>
      <w:sdtEndPr/>
      <w:sdtContent>
        <w:r w:rsidR="004B77B8">
          <w:rPr>
            <w:bCs/>
            <w:sz w:val="18"/>
            <w:szCs w:val="18"/>
          </w:rPr>
          <w:t xml:space="preserve">Patrick v Australian Information Commissioner [2024] FCAFC 93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52AC" w14:textId="0B558E6A"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312" behindDoc="0" locked="0" layoutInCell="1" allowOverlap="1" wp14:anchorId="139FE8D7" wp14:editId="78B44124">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BDA78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87BAF846F7154CAD930D4B910FF8A95A"/>
        </w:placeholder>
        <w:dataBinding w:prefixMappings="xmlns:ns0='http://schemas.globalmacros.com/FCA'" w:xpath="/ns0:root[1]/ns0:Name[1]" w:storeItemID="{687E7CCB-4AA5-44E7-B148-17BA2B6F57C0}"/>
        <w:text w:multiLine="1"/>
      </w:sdtPr>
      <w:sdtEndPr/>
      <w:sdtContent>
        <w:r w:rsidR="004B77B8">
          <w:rPr>
            <w:bCs/>
            <w:sz w:val="18"/>
            <w:szCs w:val="18"/>
          </w:rPr>
          <w:t xml:space="preserve">Patrick v Australian Information Commissioner [2024] FCAFC 93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18C0" w14:textId="348CF608"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7456" behindDoc="0" locked="0" layoutInCell="1" allowOverlap="1" wp14:anchorId="3633F565" wp14:editId="0259EC2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5FF8DF"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22F8FF30819B4736AE26C2F5AD3A2685"/>
        </w:placeholder>
        <w:dataBinding w:prefixMappings="xmlns:ns0='http://schemas.globalmacros.com/FCA'" w:xpath="/ns0:root[1]/ns0:Name[1]" w:storeItemID="{687E7CCB-4AA5-44E7-B148-17BA2B6F57C0}"/>
        <w:text w:multiLine="1"/>
      </w:sdtPr>
      <w:sdtEndPr/>
      <w:sdtContent>
        <w:r w:rsidR="004B77B8">
          <w:rPr>
            <w:bCs/>
            <w:sz w:val="18"/>
            <w:szCs w:val="18"/>
          </w:rPr>
          <w:t xml:space="preserve">Patrick v Australian Information Commissioner [2024] FCAFC 93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55E5" w14:textId="606B94AE"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5408" behindDoc="0" locked="0" layoutInCell="1" allowOverlap="1" wp14:anchorId="4EC53A15" wp14:editId="7F520E05">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63A7B4"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E6A4DE43133844F598A1E68C3F20D401"/>
        </w:placeholder>
        <w:dataBinding w:prefixMappings="xmlns:ns0='http://schemas.globalmacros.com/FCA'" w:xpath="/ns0:root[1]/ns0:Name[1]" w:storeItemID="{687E7CCB-4AA5-44E7-B148-17BA2B6F57C0}"/>
        <w:text w:multiLine="1"/>
      </w:sdtPr>
      <w:sdtEndPr/>
      <w:sdtContent>
        <w:r w:rsidR="004B77B8">
          <w:rPr>
            <w:bCs/>
            <w:sz w:val="18"/>
            <w:szCs w:val="18"/>
          </w:rPr>
          <w:t xml:space="preserve">Patrick v Australian Information Commissioner [2024] FCAFC 93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8A240" w14:textId="77777777" w:rsidR="008041D8" w:rsidRDefault="008041D8"/>
  </w:footnote>
  <w:footnote w:type="continuationSeparator" w:id="0">
    <w:p w14:paraId="7E000EDE" w14:textId="77777777" w:rsidR="008041D8" w:rsidRDefault="008041D8">
      <w:r>
        <w:continuationSeparator/>
      </w:r>
    </w:p>
    <w:p w14:paraId="63474412" w14:textId="77777777" w:rsidR="008041D8" w:rsidRDefault="008041D8"/>
    <w:p w14:paraId="400B5642" w14:textId="77777777" w:rsidR="008041D8" w:rsidRDefault="008041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8B51" w14:textId="77777777" w:rsidR="00F935B7" w:rsidRDefault="00F93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CF0B" w14:textId="77777777" w:rsidR="00F935B7" w:rsidRDefault="00F935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42BE" w14:textId="77777777" w:rsidR="00F935B7" w:rsidRDefault="00F935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A6B9"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729A"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6ADF"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6288"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A129"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7DA62A8"/>
    <w:multiLevelType w:val="hybridMultilevel"/>
    <w:tmpl w:val="23CE0DC0"/>
    <w:lvl w:ilvl="0" w:tplc="C9101F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15:restartNumberingAfterBreak="0">
    <w:nsid w:val="1B414A5D"/>
    <w:multiLevelType w:val="multilevel"/>
    <w:tmpl w:val="49522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7" w15:restartNumberingAfterBreak="0">
    <w:nsid w:val="231359FC"/>
    <w:multiLevelType w:val="hybridMultilevel"/>
    <w:tmpl w:val="A4DE47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9" w15:restartNumberingAfterBreak="0">
    <w:nsid w:val="2A1C3333"/>
    <w:multiLevelType w:val="hybridMultilevel"/>
    <w:tmpl w:val="AE92C5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0"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2"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4" w15:restartNumberingAfterBreak="0">
    <w:nsid w:val="494817A7"/>
    <w:multiLevelType w:val="multilevel"/>
    <w:tmpl w:val="0F0EC90E"/>
    <w:numStyleLink w:val="FCListNo"/>
  </w:abstractNum>
  <w:abstractNum w:abstractNumId="25"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560843FB"/>
    <w:multiLevelType w:val="hybridMultilevel"/>
    <w:tmpl w:val="DC1494D2"/>
    <w:lvl w:ilvl="0" w:tplc="4064CD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69EB38E6"/>
    <w:multiLevelType w:val="hybridMultilevel"/>
    <w:tmpl w:val="E8A0FF9C"/>
    <w:lvl w:ilvl="0" w:tplc="2048BA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1"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460611743">
    <w:abstractNumId w:val="18"/>
  </w:num>
  <w:num w:numId="2" w16cid:durableId="1977566547">
    <w:abstractNumId w:val="9"/>
  </w:num>
  <w:num w:numId="3" w16cid:durableId="47651328">
    <w:abstractNumId w:val="7"/>
  </w:num>
  <w:num w:numId="4" w16cid:durableId="94175433">
    <w:abstractNumId w:val="6"/>
  </w:num>
  <w:num w:numId="5" w16cid:durableId="1289552150">
    <w:abstractNumId w:val="5"/>
  </w:num>
  <w:num w:numId="6" w16cid:durableId="394592886">
    <w:abstractNumId w:val="4"/>
  </w:num>
  <w:num w:numId="7" w16cid:durableId="207958744">
    <w:abstractNumId w:val="8"/>
  </w:num>
  <w:num w:numId="8" w16cid:durableId="1742825558">
    <w:abstractNumId w:val="3"/>
  </w:num>
  <w:num w:numId="9" w16cid:durableId="1541555454">
    <w:abstractNumId w:val="2"/>
  </w:num>
  <w:num w:numId="10" w16cid:durableId="2119985490">
    <w:abstractNumId w:val="1"/>
  </w:num>
  <w:num w:numId="11" w16cid:durableId="377975934">
    <w:abstractNumId w:val="0"/>
  </w:num>
  <w:num w:numId="12" w16cid:durableId="1820001777">
    <w:abstractNumId w:val="28"/>
  </w:num>
  <w:num w:numId="13" w16cid:durableId="204216455">
    <w:abstractNumId w:val="25"/>
  </w:num>
  <w:num w:numId="14" w16cid:durableId="1448307552">
    <w:abstractNumId w:val="26"/>
  </w:num>
  <w:num w:numId="15" w16cid:durableId="1337153104">
    <w:abstractNumId w:val="31"/>
  </w:num>
  <w:num w:numId="16" w16cid:durableId="1376347911">
    <w:abstractNumId w:val="16"/>
  </w:num>
  <w:num w:numId="17" w16cid:durableId="1918057352">
    <w:abstractNumId w:val="30"/>
  </w:num>
  <w:num w:numId="18" w16cid:durableId="1974290623">
    <w:abstractNumId w:val="13"/>
  </w:num>
  <w:num w:numId="19" w16cid:durableId="623847136">
    <w:abstractNumId w:val="23"/>
  </w:num>
  <w:num w:numId="20" w16cid:durableId="21789801">
    <w:abstractNumId w:val="20"/>
  </w:num>
  <w:num w:numId="21" w16cid:durableId="1447308630">
    <w:abstractNumId w:val="21"/>
  </w:num>
  <w:num w:numId="22" w16cid:durableId="276718819">
    <w:abstractNumId w:val="24"/>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3" w16cid:durableId="2033653141">
    <w:abstractNumId w:val="11"/>
  </w:num>
  <w:num w:numId="24" w16cid:durableId="1282685603">
    <w:abstractNumId w:val="11"/>
  </w:num>
  <w:num w:numId="25" w16cid:durableId="32047476">
    <w:abstractNumId w:val="14"/>
  </w:num>
  <w:num w:numId="26" w16cid:durableId="273707887">
    <w:abstractNumId w:val="22"/>
  </w:num>
  <w:num w:numId="27" w16cid:durableId="488254766">
    <w:abstractNumId w:val="22"/>
  </w:num>
  <w:num w:numId="28" w16cid:durableId="561016397">
    <w:abstractNumId w:val="22"/>
  </w:num>
  <w:num w:numId="29" w16cid:durableId="1061706823">
    <w:abstractNumId w:val="24"/>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30" w16cid:durableId="1779913608">
    <w:abstractNumId w:val="11"/>
    <w:lvlOverride w:ilvl="0">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lvl w:ilvl="1">
        <w:start w:val="1"/>
        <w:numFmt w:val="lowerRoman"/>
        <w:pStyle w:val="ListNo2alt"/>
        <w:lvlText w:val="(%2)"/>
        <w:lvlJc w:val="left"/>
        <w:pPr>
          <w:tabs>
            <w:tab w:val="num" w:pos="1440"/>
          </w:tabs>
          <w:ind w:left="1440" w:hanging="720"/>
        </w:pPr>
        <w:rPr>
          <w:rFonts w:hint="default"/>
        </w:rPr>
      </w:lvl>
    </w:lvlOverride>
    <w:lvlOverride w:ilvl="2">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31" w16cid:durableId="972636049">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0996702">
    <w:abstractNumId w:val="10"/>
  </w:num>
  <w:num w:numId="33" w16cid:durableId="653073998">
    <w:abstractNumId w:val="15"/>
    <w:lvlOverride w:ilvl="0">
      <w:startOverride w:val="1"/>
    </w:lvlOverride>
  </w:num>
  <w:num w:numId="34" w16cid:durableId="1583491466">
    <w:abstractNumId w:val="18"/>
  </w:num>
  <w:num w:numId="35" w16cid:durableId="1832745510">
    <w:abstractNumId w:val="12"/>
  </w:num>
  <w:num w:numId="36" w16cid:durableId="211698869">
    <w:abstractNumId w:val="29"/>
  </w:num>
  <w:num w:numId="37" w16cid:durableId="562722070">
    <w:abstractNumId w:val="27"/>
  </w:num>
  <w:num w:numId="38" w16cid:durableId="1528134839">
    <w:abstractNumId w:val="18"/>
    <w:lvlOverride w:ilvl="0">
      <w:startOverride w:val="64"/>
    </w:lvlOverride>
  </w:num>
  <w:num w:numId="39" w16cid:durableId="28579127">
    <w:abstractNumId w:val="17"/>
  </w:num>
  <w:num w:numId="40" w16cid:durableId="1839685125">
    <w:abstractNumId w:val="19"/>
  </w:num>
  <w:num w:numId="41" w16cid:durableId="106615236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64793275">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7687194">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51334660">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29656842">
    <w:abstractNumId w:val="24"/>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6" w16cid:durableId="804353954">
    <w:abstractNumId w:val="24"/>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7" w16cid:durableId="1300569417">
    <w:abstractNumId w:val="20"/>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7B"/>
    <w:rsid w:val="00000747"/>
    <w:rsid w:val="0000077F"/>
    <w:rsid w:val="000009E2"/>
    <w:rsid w:val="00002939"/>
    <w:rsid w:val="00002B1E"/>
    <w:rsid w:val="00003200"/>
    <w:rsid w:val="000033FC"/>
    <w:rsid w:val="0000354A"/>
    <w:rsid w:val="00003B78"/>
    <w:rsid w:val="00004E26"/>
    <w:rsid w:val="00005104"/>
    <w:rsid w:val="00006761"/>
    <w:rsid w:val="00007192"/>
    <w:rsid w:val="000073B1"/>
    <w:rsid w:val="0000743C"/>
    <w:rsid w:val="00010823"/>
    <w:rsid w:val="000110F4"/>
    <w:rsid w:val="00011536"/>
    <w:rsid w:val="000115C5"/>
    <w:rsid w:val="000119E2"/>
    <w:rsid w:val="0001277F"/>
    <w:rsid w:val="00013D97"/>
    <w:rsid w:val="00014069"/>
    <w:rsid w:val="0001469E"/>
    <w:rsid w:val="00015993"/>
    <w:rsid w:val="0001609A"/>
    <w:rsid w:val="000161CC"/>
    <w:rsid w:val="00016568"/>
    <w:rsid w:val="00016A1B"/>
    <w:rsid w:val="00016A84"/>
    <w:rsid w:val="00017CC5"/>
    <w:rsid w:val="00017EBB"/>
    <w:rsid w:val="00020208"/>
    <w:rsid w:val="000204DA"/>
    <w:rsid w:val="00021490"/>
    <w:rsid w:val="000216E3"/>
    <w:rsid w:val="00021CCB"/>
    <w:rsid w:val="00022289"/>
    <w:rsid w:val="000222D4"/>
    <w:rsid w:val="00023743"/>
    <w:rsid w:val="000237E9"/>
    <w:rsid w:val="0002498C"/>
    <w:rsid w:val="00024BA7"/>
    <w:rsid w:val="00024DA5"/>
    <w:rsid w:val="00026036"/>
    <w:rsid w:val="000260A4"/>
    <w:rsid w:val="000266FD"/>
    <w:rsid w:val="000270F1"/>
    <w:rsid w:val="00027398"/>
    <w:rsid w:val="00027F07"/>
    <w:rsid w:val="00030539"/>
    <w:rsid w:val="00030FD6"/>
    <w:rsid w:val="0003117E"/>
    <w:rsid w:val="0003201A"/>
    <w:rsid w:val="0003207A"/>
    <w:rsid w:val="000323B7"/>
    <w:rsid w:val="00032F9F"/>
    <w:rsid w:val="00033491"/>
    <w:rsid w:val="0003357C"/>
    <w:rsid w:val="00034FBF"/>
    <w:rsid w:val="00035502"/>
    <w:rsid w:val="000409AB"/>
    <w:rsid w:val="00040E88"/>
    <w:rsid w:val="000410F5"/>
    <w:rsid w:val="00041C07"/>
    <w:rsid w:val="0004204E"/>
    <w:rsid w:val="00042F17"/>
    <w:rsid w:val="00043A16"/>
    <w:rsid w:val="00044315"/>
    <w:rsid w:val="00044AFF"/>
    <w:rsid w:val="00044CF2"/>
    <w:rsid w:val="00045830"/>
    <w:rsid w:val="00045BB7"/>
    <w:rsid w:val="00045F4C"/>
    <w:rsid w:val="00047A69"/>
    <w:rsid w:val="00047BDF"/>
    <w:rsid w:val="000502B1"/>
    <w:rsid w:val="00051CF6"/>
    <w:rsid w:val="000523BC"/>
    <w:rsid w:val="0005256E"/>
    <w:rsid w:val="00052577"/>
    <w:rsid w:val="00052FA1"/>
    <w:rsid w:val="00054DFF"/>
    <w:rsid w:val="0005529F"/>
    <w:rsid w:val="00055719"/>
    <w:rsid w:val="000562F9"/>
    <w:rsid w:val="0005641B"/>
    <w:rsid w:val="00056B0E"/>
    <w:rsid w:val="0005753E"/>
    <w:rsid w:val="00057B2D"/>
    <w:rsid w:val="00057D3F"/>
    <w:rsid w:val="00060BB3"/>
    <w:rsid w:val="00061512"/>
    <w:rsid w:val="0006196A"/>
    <w:rsid w:val="00062517"/>
    <w:rsid w:val="00062B8C"/>
    <w:rsid w:val="00063884"/>
    <w:rsid w:val="00064907"/>
    <w:rsid w:val="000650F0"/>
    <w:rsid w:val="00065B9C"/>
    <w:rsid w:val="00065D14"/>
    <w:rsid w:val="0006600C"/>
    <w:rsid w:val="000673C9"/>
    <w:rsid w:val="000676E7"/>
    <w:rsid w:val="00067FC3"/>
    <w:rsid w:val="000708C3"/>
    <w:rsid w:val="00071032"/>
    <w:rsid w:val="00071FB3"/>
    <w:rsid w:val="000721D1"/>
    <w:rsid w:val="00074012"/>
    <w:rsid w:val="00074678"/>
    <w:rsid w:val="00074A11"/>
    <w:rsid w:val="000752D1"/>
    <w:rsid w:val="00075543"/>
    <w:rsid w:val="00075B2B"/>
    <w:rsid w:val="000767C1"/>
    <w:rsid w:val="00076A72"/>
    <w:rsid w:val="00077768"/>
    <w:rsid w:val="00077A0D"/>
    <w:rsid w:val="00077B17"/>
    <w:rsid w:val="00080007"/>
    <w:rsid w:val="00081497"/>
    <w:rsid w:val="00081BAD"/>
    <w:rsid w:val="00081DD6"/>
    <w:rsid w:val="000831EC"/>
    <w:rsid w:val="000831F1"/>
    <w:rsid w:val="0008361C"/>
    <w:rsid w:val="00083B78"/>
    <w:rsid w:val="00084126"/>
    <w:rsid w:val="00084430"/>
    <w:rsid w:val="0008497B"/>
    <w:rsid w:val="00084D82"/>
    <w:rsid w:val="00084DFE"/>
    <w:rsid w:val="00085092"/>
    <w:rsid w:val="00085255"/>
    <w:rsid w:val="00085314"/>
    <w:rsid w:val="000872F8"/>
    <w:rsid w:val="000903E3"/>
    <w:rsid w:val="000908AC"/>
    <w:rsid w:val="000908DD"/>
    <w:rsid w:val="00090FBF"/>
    <w:rsid w:val="00092413"/>
    <w:rsid w:val="00092F56"/>
    <w:rsid w:val="000930F7"/>
    <w:rsid w:val="000942B5"/>
    <w:rsid w:val="00094450"/>
    <w:rsid w:val="000946A6"/>
    <w:rsid w:val="00094E97"/>
    <w:rsid w:val="00096AB9"/>
    <w:rsid w:val="00097CF1"/>
    <w:rsid w:val="000A011B"/>
    <w:rsid w:val="000A18AA"/>
    <w:rsid w:val="000A2A39"/>
    <w:rsid w:val="000A2E76"/>
    <w:rsid w:val="000A4807"/>
    <w:rsid w:val="000A4BE4"/>
    <w:rsid w:val="000A5D25"/>
    <w:rsid w:val="000A5E1A"/>
    <w:rsid w:val="000B0B17"/>
    <w:rsid w:val="000B1BBA"/>
    <w:rsid w:val="000B2F58"/>
    <w:rsid w:val="000B4688"/>
    <w:rsid w:val="000B7855"/>
    <w:rsid w:val="000B79B6"/>
    <w:rsid w:val="000C023E"/>
    <w:rsid w:val="000C0C96"/>
    <w:rsid w:val="000C1A05"/>
    <w:rsid w:val="000C1A8E"/>
    <w:rsid w:val="000C1AAD"/>
    <w:rsid w:val="000C2B10"/>
    <w:rsid w:val="000C2FAE"/>
    <w:rsid w:val="000C3889"/>
    <w:rsid w:val="000C405D"/>
    <w:rsid w:val="000C5195"/>
    <w:rsid w:val="000C5E82"/>
    <w:rsid w:val="000C62D4"/>
    <w:rsid w:val="000C62EF"/>
    <w:rsid w:val="000C7193"/>
    <w:rsid w:val="000D0022"/>
    <w:rsid w:val="000D04D0"/>
    <w:rsid w:val="000D08D7"/>
    <w:rsid w:val="000D19B6"/>
    <w:rsid w:val="000D1B5E"/>
    <w:rsid w:val="000D2137"/>
    <w:rsid w:val="000D2ACF"/>
    <w:rsid w:val="000D2D3B"/>
    <w:rsid w:val="000D2DB1"/>
    <w:rsid w:val="000D3FD2"/>
    <w:rsid w:val="000D3FF0"/>
    <w:rsid w:val="000D4B2E"/>
    <w:rsid w:val="000E0E5F"/>
    <w:rsid w:val="000E1B29"/>
    <w:rsid w:val="000E1C01"/>
    <w:rsid w:val="000E323C"/>
    <w:rsid w:val="000E3723"/>
    <w:rsid w:val="000E38FB"/>
    <w:rsid w:val="000E3FC8"/>
    <w:rsid w:val="000E4DBC"/>
    <w:rsid w:val="000E5177"/>
    <w:rsid w:val="000E545D"/>
    <w:rsid w:val="000E573B"/>
    <w:rsid w:val="000E643B"/>
    <w:rsid w:val="000E73B1"/>
    <w:rsid w:val="000E76CE"/>
    <w:rsid w:val="000E7AA2"/>
    <w:rsid w:val="000E7BAE"/>
    <w:rsid w:val="000E7E72"/>
    <w:rsid w:val="000F133D"/>
    <w:rsid w:val="000F2894"/>
    <w:rsid w:val="000F2E86"/>
    <w:rsid w:val="000F301B"/>
    <w:rsid w:val="000F3560"/>
    <w:rsid w:val="000F3FBE"/>
    <w:rsid w:val="001006BA"/>
    <w:rsid w:val="00100D25"/>
    <w:rsid w:val="001011B1"/>
    <w:rsid w:val="0010357D"/>
    <w:rsid w:val="00104009"/>
    <w:rsid w:val="0010536B"/>
    <w:rsid w:val="00106357"/>
    <w:rsid w:val="001067BF"/>
    <w:rsid w:val="0010740A"/>
    <w:rsid w:val="00110D29"/>
    <w:rsid w:val="00110D50"/>
    <w:rsid w:val="00111301"/>
    <w:rsid w:val="0011145C"/>
    <w:rsid w:val="00111DC6"/>
    <w:rsid w:val="001128BD"/>
    <w:rsid w:val="00113C39"/>
    <w:rsid w:val="0011419D"/>
    <w:rsid w:val="001142AB"/>
    <w:rsid w:val="00114B02"/>
    <w:rsid w:val="001157EE"/>
    <w:rsid w:val="00117198"/>
    <w:rsid w:val="001173A8"/>
    <w:rsid w:val="00120D78"/>
    <w:rsid w:val="001218F0"/>
    <w:rsid w:val="001226C0"/>
    <w:rsid w:val="001234F5"/>
    <w:rsid w:val="00123DCA"/>
    <w:rsid w:val="001258D3"/>
    <w:rsid w:val="00125CED"/>
    <w:rsid w:val="00126815"/>
    <w:rsid w:val="00126EC8"/>
    <w:rsid w:val="0012731C"/>
    <w:rsid w:val="00132054"/>
    <w:rsid w:val="0013212E"/>
    <w:rsid w:val="001336BA"/>
    <w:rsid w:val="00133DAB"/>
    <w:rsid w:val="00133F84"/>
    <w:rsid w:val="00134964"/>
    <w:rsid w:val="001349C1"/>
    <w:rsid w:val="001351B9"/>
    <w:rsid w:val="00135E8D"/>
    <w:rsid w:val="0013620C"/>
    <w:rsid w:val="0013685F"/>
    <w:rsid w:val="001404ED"/>
    <w:rsid w:val="00140504"/>
    <w:rsid w:val="001415F8"/>
    <w:rsid w:val="00143C8E"/>
    <w:rsid w:val="00144424"/>
    <w:rsid w:val="00145D86"/>
    <w:rsid w:val="00150AB2"/>
    <w:rsid w:val="00151E91"/>
    <w:rsid w:val="0015241F"/>
    <w:rsid w:val="00152596"/>
    <w:rsid w:val="00152635"/>
    <w:rsid w:val="00152704"/>
    <w:rsid w:val="0015308B"/>
    <w:rsid w:val="00154E39"/>
    <w:rsid w:val="001554E1"/>
    <w:rsid w:val="00155CD2"/>
    <w:rsid w:val="00155F4A"/>
    <w:rsid w:val="00156E68"/>
    <w:rsid w:val="001601F3"/>
    <w:rsid w:val="00160260"/>
    <w:rsid w:val="001608A3"/>
    <w:rsid w:val="001618F5"/>
    <w:rsid w:val="0016218C"/>
    <w:rsid w:val="001628CC"/>
    <w:rsid w:val="0016294F"/>
    <w:rsid w:val="00163139"/>
    <w:rsid w:val="00164056"/>
    <w:rsid w:val="00164486"/>
    <w:rsid w:val="001653ED"/>
    <w:rsid w:val="0016559C"/>
    <w:rsid w:val="001655FD"/>
    <w:rsid w:val="00165C09"/>
    <w:rsid w:val="00165E17"/>
    <w:rsid w:val="0016617A"/>
    <w:rsid w:val="0016671F"/>
    <w:rsid w:val="001669BF"/>
    <w:rsid w:val="00166DCB"/>
    <w:rsid w:val="00167113"/>
    <w:rsid w:val="0016732F"/>
    <w:rsid w:val="0017098B"/>
    <w:rsid w:val="00170DCF"/>
    <w:rsid w:val="0017192C"/>
    <w:rsid w:val="00171C65"/>
    <w:rsid w:val="001727A4"/>
    <w:rsid w:val="00173552"/>
    <w:rsid w:val="0017376C"/>
    <w:rsid w:val="001738AB"/>
    <w:rsid w:val="0017414C"/>
    <w:rsid w:val="001765E0"/>
    <w:rsid w:val="00177759"/>
    <w:rsid w:val="001778B2"/>
    <w:rsid w:val="00180BB3"/>
    <w:rsid w:val="00182A49"/>
    <w:rsid w:val="001830B6"/>
    <w:rsid w:val="00183274"/>
    <w:rsid w:val="0018420B"/>
    <w:rsid w:val="00184F6E"/>
    <w:rsid w:val="001851EC"/>
    <w:rsid w:val="001853CC"/>
    <w:rsid w:val="001854A4"/>
    <w:rsid w:val="00185955"/>
    <w:rsid w:val="00185DD6"/>
    <w:rsid w:val="00185E6B"/>
    <w:rsid w:val="00187714"/>
    <w:rsid w:val="00187740"/>
    <w:rsid w:val="00187BBC"/>
    <w:rsid w:val="0019060D"/>
    <w:rsid w:val="00190C7A"/>
    <w:rsid w:val="00191CA6"/>
    <w:rsid w:val="00191D2C"/>
    <w:rsid w:val="001932F3"/>
    <w:rsid w:val="0019369E"/>
    <w:rsid w:val="00193C26"/>
    <w:rsid w:val="0019402A"/>
    <w:rsid w:val="001947CF"/>
    <w:rsid w:val="001948FA"/>
    <w:rsid w:val="001950C9"/>
    <w:rsid w:val="001957CF"/>
    <w:rsid w:val="00196426"/>
    <w:rsid w:val="001971E9"/>
    <w:rsid w:val="001A01BA"/>
    <w:rsid w:val="001A0289"/>
    <w:rsid w:val="001A0785"/>
    <w:rsid w:val="001A083A"/>
    <w:rsid w:val="001A0EA1"/>
    <w:rsid w:val="001A0F61"/>
    <w:rsid w:val="001A1AEB"/>
    <w:rsid w:val="001A2B40"/>
    <w:rsid w:val="001A2D1B"/>
    <w:rsid w:val="001A3EB4"/>
    <w:rsid w:val="001A4309"/>
    <w:rsid w:val="001A43B1"/>
    <w:rsid w:val="001A46AE"/>
    <w:rsid w:val="001A4DFD"/>
    <w:rsid w:val="001A519E"/>
    <w:rsid w:val="001A5A3D"/>
    <w:rsid w:val="001A5C95"/>
    <w:rsid w:val="001A6C52"/>
    <w:rsid w:val="001B0CF6"/>
    <w:rsid w:val="001B1053"/>
    <w:rsid w:val="001B10E7"/>
    <w:rsid w:val="001B14AC"/>
    <w:rsid w:val="001B2557"/>
    <w:rsid w:val="001B2B47"/>
    <w:rsid w:val="001B350D"/>
    <w:rsid w:val="001B4557"/>
    <w:rsid w:val="001B4F37"/>
    <w:rsid w:val="001B503A"/>
    <w:rsid w:val="001B5E46"/>
    <w:rsid w:val="001B6FE4"/>
    <w:rsid w:val="001B7940"/>
    <w:rsid w:val="001C0463"/>
    <w:rsid w:val="001C0A63"/>
    <w:rsid w:val="001C171A"/>
    <w:rsid w:val="001C2FE0"/>
    <w:rsid w:val="001C37CA"/>
    <w:rsid w:val="001C4085"/>
    <w:rsid w:val="001C42A2"/>
    <w:rsid w:val="001C55E6"/>
    <w:rsid w:val="001C5AE3"/>
    <w:rsid w:val="001C5FC5"/>
    <w:rsid w:val="001C6433"/>
    <w:rsid w:val="001C6917"/>
    <w:rsid w:val="001C6B3F"/>
    <w:rsid w:val="001C7B32"/>
    <w:rsid w:val="001D14D2"/>
    <w:rsid w:val="001D160D"/>
    <w:rsid w:val="001D16BC"/>
    <w:rsid w:val="001D1DE2"/>
    <w:rsid w:val="001D3170"/>
    <w:rsid w:val="001D36DD"/>
    <w:rsid w:val="001D3799"/>
    <w:rsid w:val="001D4303"/>
    <w:rsid w:val="001D4E37"/>
    <w:rsid w:val="001D6272"/>
    <w:rsid w:val="001D6589"/>
    <w:rsid w:val="001D6746"/>
    <w:rsid w:val="001D7415"/>
    <w:rsid w:val="001D7721"/>
    <w:rsid w:val="001E0ABC"/>
    <w:rsid w:val="001E0C61"/>
    <w:rsid w:val="001E1200"/>
    <w:rsid w:val="001E1751"/>
    <w:rsid w:val="001E1BE5"/>
    <w:rsid w:val="001E2D73"/>
    <w:rsid w:val="001E3B49"/>
    <w:rsid w:val="001E3F47"/>
    <w:rsid w:val="001E4102"/>
    <w:rsid w:val="001E4A05"/>
    <w:rsid w:val="001E53AF"/>
    <w:rsid w:val="001E5501"/>
    <w:rsid w:val="001E6A19"/>
    <w:rsid w:val="001E6B0F"/>
    <w:rsid w:val="001E7388"/>
    <w:rsid w:val="001F114B"/>
    <w:rsid w:val="001F13DD"/>
    <w:rsid w:val="001F166C"/>
    <w:rsid w:val="001F17BF"/>
    <w:rsid w:val="001F23D3"/>
    <w:rsid w:val="001F2473"/>
    <w:rsid w:val="001F2C34"/>
    <w:rsid w:val="001F2DBC"/>
    <w:rsid w:val="001F3E5D"/>
    <w:rsid w:val="001F4132"/>
    <w:rsid w:val="001F45A4"/>
    <w:rsid w:val="001F4DF8"/>
    <w:rsid w:val="001F6066"/>
    <w:rsid w:val="001F6BBC"/>
    <w:rsid w:val="001F6CA9"/>
    <w:rsid w:val="001F6DD1"/>
    <w:rsid w:val="001F73E8"/>
    <w:rsid w:val="001F7D4D"/>
    <w:rsid w:val="002005F9"/>
    <w:rsid w:val="00201954"/>
    <w:rsid w:val="002025DA"/>
    <w:rsid w:val="0020262C"/>
    <w:rsid w:val="00202723"/>
    <w:rsid w:val="0020332C"/>
    <w:rsid w:val="002035B5"/>
    <w:rsid w:val="00203B7C"/>
    <w:rsid w:val="00204D14"/>
    <w:rsid w:val="00205A30"/>
    <w:rsid w:val="00205BD2"/>
    <w:rsid w:val="00205C19"/>
    <w:rsid w:val="0020691A"/>
    <w:rsid w:val="0020780A"/>
    <w:rsid w:val="00207989"/>
    <w:rsid w:val="002112B9"/>
    <w:rsid w:val="002115F5"/>
    <w:rsid w:val="00211A3E"/>
    <w:rsid w:val="00211D62"/>
    <w:rsid w:val="00211FC1"/>
    <w:rsid w:val="00212D43"/>
    <w:rsid w:val="00213D72"/>
    <w:rsid w:val="00213F20"/>
    <w:rsid w:val="00214051"/>
    <w:rsid w:val="00214055"/>
    <w:rsid w:val="0021406F"/>
    <w:rsid w:val="00215BCA"/>
    <w:rsid w:val="002160F5"/>
    <w:rsid w:val="0021623B"/>
    <w:rsid w:val="00216850"/>
    <w:rsid w:val="00216CAC"/>
    <w:rsid w:val="00217AC4"/>
    <w:rsid w:val="00221461"/>
    <w:rsid w:val="00221B7B"/>
    <w:rsid w:val="00222342"/>
    <w:rsid w:val="00224537"/>
    <w:rsid w:val="002248F8"/>
    <w:rsid w:val="00224F1A"/>
    <w:rsid w:val="002267B2"/>
    <w:rsid w:val="0023087E"/>
    <w:rsid w:val="002308EB"/>
    <w:rsid w:val="0023247A"/>
    <w:rsid w:val="00233274"/>
    <w:rsid w:val="00234F7F"/>
    <w:rsid w:val="00235956"/>
    <w:rsid w:val="002362C3"/>
    <w:rsid w:val="0023633E"/>
    <w:rsid w:val="00240869"/>
    <w:rsid w:val="002414F9"/>
    <w:rsid w:val="00241923"/>
    <w:rsid w:val="00241B52"/>
    <w:rsid w:val="00242FA8"/>
    <w:rsid w:val="00243E5E"/>
    <w:rsid w:val="00245655"/>
    <w:rsid w:val="002467A6"/>
    <w:rsid w:val="0024768A"/>
    <w:rsid w:val="00247C9A"/>
    <w:rsid w:val="0025160C"/>
    <w:rsid w:val="00252248"/>
    <w:rsid w:val="002522BF"/>
    <w:rsid w:val="00252E05"/>
    <w:rsid w:val="00253165"/>
    <w:rsid w:val="00253298"/>
    <w:rsid w:val="00253579"/>
    <w:rsid w:val="002535D0"/>
    <w:rsid w:val="0025378B"/>
    <w:rsid w:val="002539B3"/>
    <w:rsid w:val="00254F1E"/>
    <w:rsid w:val="00255581"/>
    <w:rsid w:val="00255A11"/>
    <w:rsid w:val="00256336"/>
    <w:rsid w:val="002570F1"/>
    <w:rsid w:val="00257159"/>
    <w:rsid w:val="00257C3E"/>
    <w:rsid w:val="002602C2"/>
    <w:rsid w:val="00260909"/>
    <w:rsid w:val="0026239E"/>
    <w:rsid w:val="002623FF"/>
    <w:rsid w:val="00262A7B"/>
    <w:rsid w:val="0026343B"/>
    <w:rsid w:val="002637D4"/>
    <w:rsid w:val="002666C9"/>
    <w:rsid w:val="00270136"/>
    <w:rsid w:val="00270FD7"/>
    <w:rsid w:val="002712DB"/>
    <w:rsid w:val="00271414"/>
    <w:rsid w:val="00273BF3"/>
    <w:rsid w:val="00273F3F"/>
    <w:rsid w:val="00274F5B"/>
    <w:rsid w:val="002753A7"/>
    <w:rsid w:val="00275621"/>
    <w:rsid w:val="00276503"/>
    <w:rsid w:val="00276706"/>
    <w:rsid w:val="002771AD"/>
    <w:rsid w:val="0027735C"/>
    <w:rsid w:val="00280836"/>
    <w:rsid w:val="00280A86"/>
    <w:rsid w:val="00281210"/>
    <w:rsid w:val="002819D0"/>
    <w:rsid w:val="002821AF"/>
    <w:rsid w:val="00282E1A"/>
    <w:rsid w:val="00283BE8"/>
    <w:rsid w:val="00284005"/>
    <w:rsid w:val="002840F1"/>
    <w:rsid w:val="00284F7A"/>
    <w:rsid w:val="00285922"/>
    <w:rsid w:val="00285CC7"/>
    <w:rsid w:val="002864FC"/>
    <w:rsid w:val="00287EBB"/>
    <w:rsid w:val="0029010F"/>
    <w:rsid w:val="0029113B"/>
    <w:rsid w:val="0029163A"/>
    <w:rsid w:val="002929F0"/>
    <w:rsid w:val="00293049"/>
    <w:rsid w:val="002932EA"/>
    <w:rsid w:val="002934C0"/>
    <w:rsid w:val="002935DB"/>
    <w:rsid w:val="00293E1F"/>
    <w:rsid w:val="002945B3"/>
    <w:rsid w:val="00295BB9"/>
    <w:rsid w:val="00296278"/>
    <w:rsid w:val="002963C6"/>
    <w:rsid w:val="0029764C"/>
    <w:rsid w:val="0029777C"/>
    <w:rsid w:val="002A04E2"/>
    <w:rsid w:val="002A08A3"/>
    <w:rsid w:val="002A1002"/>
    <w:rsid w:val="002A1857"/>
    <w:rsid w:val="002A1AEE"/>
    <w:rsid w:val="002A1B50"/>
    <w:rsid w:val="002A21F0"/>
    <w:rsid w:val="002A39EB"/>
    <w:rsid w:val="002A3F9B"/>
    <w:rsid w:val="002A43E0"/>
    <w:rsid w:val="002A5228"/>
    <w:rsid w:val="002A5331"/>
    <w:rsid w:val="002A597E"/>
    <w:rsid w:val="002A7513"/>
    <w:rsid w:val="002A7AA1"/>
    <w:rsid w:val="002B0D30"/>
    <w:rsid w:val="002B0E91"/>
    <w:rsid w:val="002B132C"/>
    <w:rsid w:val="002B2D30"/>
    <w:rsid w:val="002B2D78"/>
    <w:rsid w:val="002B3F23"/>
    <w:rsid w:val="002B47F9"/>
    <w:rsid w:val="002B4D91"/>
    <w:rsid w:val="002B4EB5"/>
    <w:rsid w:val="002B5AF5"/>
    <w:rsid w:val="002B6651"/>
    <w:rsid w:val="002B6779"/>
    <w:rsid w:val="002B6FE6"/>
    <w:rsid w:val="002B71C0"/>
    <w:rsid w:val="002B7336"/>
    <w:rsid w:val="002B747E"/>
    <w:rsid w:val="002B79B4"/>
    <w:rsid w:val="002B7A34"/>
    <w:rsid w:val="002B7CAF"/>
    <w:rsid w:val="002C31AD"/>
    <w:rsid w:val="002C330D"/>
    <w:rsid w:val="002C4B98"/>
    <w:rsid w:val="002C56D2"/>
    <w:rsid w:val="002C6B63"/>
    <w:rsid w:val="002C7127"/>
    <w:rsid w:val="002C7385"/>
    <w:rsid w:val="002C7F1A"/>
    <w:rsid w:val="002C7FA5"/>
    <w:rsid w:val="002D04D2"/>
    <w:rsid w:val="002D0F78"/>
    <w:rsid w:val="002D1EC6"/>
    <w:rsid w:val="002D2184"/>
    <w:rsid w:val="002D25F8"/>
    <w:rsid w:val="002D2BE5"/>
    <w:rsid w:val="002D2DBB"/>
    <w:rsid w:val="002D37D8"/>
    <w:rsid w:val="002D3EBA"/>
    <w:rsid w:val="002D4AD7"/>
    <w:rsid w:val="002D51EA"/>
    <w:rsid w:val="002D54A6"/>
    <w:rsid w:val="002D65F7"/>
    <w:rsid w:val="002E0F44"/>
    <w:rsid w:val="002E1C6E"/>
    <w:rsid w:val="002E2527"/>
    <w:rsid w:val="002E2627"/>
    <w:rsid w:val="002E3779"/>
    <w:rsid w:val="002E4299"/>
    <w:rsid w:val="002E43E2"/>
    <w:rsid w:val="002E5723"/>
    <w:rsid w:val="002E5895"/>
    <w:rsid w:val="002E59C2"/>
    <w:rsid w:val="002E5BF9"/>
    <w:rsid w:val="002E6368"/>
    <w:rsid w:val="002E6A7A"/>
    <w:rsid w:val="002F1223"/>
    <w:rsid w:val="002F131C"/>
    <w:rsid w:val="002F1426"/>
    <w:rsid w:val="002F1945"/>
    <w:rsid w:val="002F1E49"/>
    <w:rsid w:val="002F1FB0"/>
    <w:rsid w:val="002F3522"/>
    <w:rsid w:val="002F3709"/>
    <w:rsid w:val="002F3C42"/>
    <w:rsid w:val="002F4677"/>
    <w:rsid w:val="002F4CDA"/>
    <w:rsid w:val="002F4E9C"/>
    <w:rsid w:val="002F5319"/>
    <w:rsid w:val="002F54C2"/>
    <w:rsid w:val="002F5FD7"/>
    <w:rsid w:val="002F6E15"/>
    <w:rsid w:val="002F7143"/>
    <w:rsid w:val="00300507"/>
    <w:rsid w:val="00300823"/>
    <w:rsid w:val="00301DDE"/>
    <w:rsid w:val="00301E13"/>
    <w:rsid w:val="00302088"/>
    <w:rsid w:val="003026F8"/>
    <w:rsid w:val="00302718"/>
    <w:rsid w:val="00302F4E"/>
    <w:rsid w:val="003058DC"/>
    <w:rsid w:val="00306BCB"/>
    <w:rsid w:val="003074E3"/>
    <w:rsid w:val="003076F7"/>
    <w:rsid w:val="00307C93"/>
    <w:rsid w:val="00311004"/>
    <w:rsid w:val="003117D4"/>
    <w:rsid w:val="00311D5F"/>
    <w:rsid w:val="003122B2"/>
    <w:rsid w:val="0031256C"/>
    <w:rsid w:val="00312C82"/>
    <w:rsid w:val="003130E7"/>
    <w:rsid w:val="0031329A"/>
    <w:rsid w:val="00313A51"/>
    <w:rsid w:val="003141F5"/>
    <w:rsid w:val="00314521"/>
    <w:rsid w:val="003148FD"/>
    <w:rsid w:val="00314D6C"/>
    <w:rsid w:val="00315214"/>
    <w:rsid w:val="00315DA7"/>
    <w:rsid w:val="00315E1C"/>
    <w:rsid w:val="00315ECC"/>
    <w:rsid w:val="00315F76"/>
    <w:rsid w:val="00316D2A"/>
    <w:rsid w:val="00320B0B"/>
    <w:rsid w:val="00321F18"/>
    <w:rsid w:val="00321F9C"/>
    <w:rsid w:val="00322847"/>
    <w:rsid w:val="00322A7C"/>
    <w:rsid w:val="00322EEC"/>
    <w:rsid w:val="00323061"/>
    <w:rsid w:val="00323B8E"/>
    <w:rsid w:val="00323DF0"/>
    <w:rsid w:val="0032428B"/>
    <w:rsid w:val="00324CE2"/>
    <w:rsid w:val="00326B06"/>
    <w:rsid w:val="003302F2"/>
    <w:rsid w:val="00330381"/>
    <w:rsid w:val="0033077E"/>
    <w:rsid w:val="00330A75"/>
    <w:rsid w:val="00330CF2"/>
    <w:rsid w:val="00330E4C"/>
    <w:rsid w:val="00331414"/>
    <w:rsid w:val="0033152D"/>
    <w:rsid w:val="0033160B"/>
    <w:rsid w:val="00331978"/>
    <w:rsid w:val="003320B0"/>
    <w:rsid w:val="00332D17"/>
    <w:rsid w:val="003345DE"/>
    <w:rsid w:val="00335CC3"/>
    <w:rsid w:val="00336C77"/>
    <w:rsid w:val="003402D3"/>
    <w:rsid w:val="0034068E"/>
    <w:rsid w:val="003428C2"/>
    <w:rsid w:val="0034326A"/>
    <w:rsid w:val="003436F1"/>
    <w:rsid w:val="00343ABC"/>
    <w:rsid w:val="00344939"/>
    <w:rsid w:val="0034500C"/>
    <w:rsid w:val="00345381"/>
    <w:rsid w:val="003463FE"/>
    <w:rsid w:val="003468FB"/>
    <w:rsid w:val="00346A6A"/>
    <w:rsid w:val="00346C48"/>
    <w:rsid w:val="003472FC"/>
    <w:rsid w:val="003477EE"/>
    <w:rsid w:val="00347A75"/>
    <w:rsid w:val="00347D41"/>
    <w:rsid w:val="00350679"/>
    <w:rsid w:val="00350860"/>
    <w:rsid w:val="00350CCA"/>
    <w:rsid w:val="00351CF6"/>
    <w:rsid w:val="00351D74"/>
    <w:rsid w:val="00352615"/>
    <w:rsid w:val="0035287C"/>
    <w:rsid w:val="00352D57"/>
    <w:rsid w:val="00353FF6"/>
    <w:rsid w:val="00354456"/>
    <w:rsid w:val="003554B3"/>
    <w:rsid w:val="003556D4"/>
    <w:rsid w:val="00356632"/>
    <w:rsid w:val="00357AD8"/>
    <w:rsid w:val="00357C7E"/>
    <w:rsid w:val="00360BD6"/>
    <w:rsid w:val="0036161F"/>
    <w:rsid w:val="00361943"/>
    <w:rsid w:val="003621BF"/>
    <w:rsid w:val="003625C5"/>
    <w:rsid w:val="0036351E"/>
    <w:rsid w:val="00364CBB"/>
    <w:rsid w:val="003653B6"/>
    <w:rsid w:val="003664AF"/>
    <w:rsid w:val="003668F9"/>
    <w:rsid w:val="00367488"/>
    <w:rsid w:val="00367D12"/>
    <w:rsid w:val="00370327"/>
    <w:rsid w:val="00370A76"/>
    <w:rsid w:val="00371A59"/>
    <w:rsid w:val="0037244A"/>
    <w:rsid w:val="00372B8C"/>
    <w:rsid w:val="00372C6F"/>
    <w:rsid w:val="00374CC4"/>
    <w:rsid w:val="00374E74"/>
    <w:rsid w:val="00375C10"/>
    <w:rsid w:val="0037701E"/>
    <w:rsid w:val="00377354"/>
    <w:rsid w:val="003774B2"/>
    <w:rsid w:val="0037764B"/>
    <w:rsid w:val="00380F2D"/>
    <w:rsid w:val="00381790"/>
    <w:rsid w:val="003817A8"/>
    <w:rsid w:val="00381C5B"/>
    <w:rsid w:val="00382353"/>
    <w:rsid w:val="0038295D"/>
    <w:rsid w:val="003845A9"/>
    <w:rsid w:val="00384DF9"/>
    <w:rsid w:val="003850C9"/>
    <w:rsid w:val="00385F16"/>
    <w:rsid w:val="00386D13"/>
    <w:rsid w:val="00386D65"/>
    <w:rsid w:val="00390664"/>
    <w:rsid w:val="00390883"/>
    <w:rsid w:val="00391897"/>
    <w:rsid w:val="003922F8"/>
    <w:rsid w:val="0039256A"/>
    <w:rsid w:val="00394A8B"/>
    <w:rsid w:val="00395541"/>
    <w:rsid w:val="003956C4"/>
    <w:rsid w:val="00395B24"/>
    <w:rsid w:val="00395E28"/>
    <w:rsid w:val="00396BD6"/>
    <w:rsid w:val="003A139B"/>
    <w:rsid w:val="003A1A33"/>
    <w:rsid w:val="003A2A16"/>
    <w:rsid w:val="003A2D38"/>
    <w:rsid w:val="003A3A75"/>
    <w:rsid w:val="003A4B84"/>
    <w:rsid w:val="003A5055"/>
    <w:rsid w:val="003A52F0"/>
    <w:rsid w:val="003A63EE"/>
    <w:rsid w:val="003A6D8B"/>
    <w:rsid w:val="003A7166"/>
    <w:rsid w:val="003A7ECC"/>
    <w:rsid w:val="003B1211"/>
    <w:rsid w:val="003B2C72"/>
    <w:rsid w:val="003B3D18"/>
    <w:rsid w:val="003B41B8"/>
    <w:rsid w:val="003B58B4"/>
    <w:rsid w:val="003B699F"/>
    <w:rsid w:val="003B7D07"/>
    <w:rsid w:val="003C0A3C"/>
    <w:rsid w:val="003C0C5D"/>
    <w:rsid w:val="003C1333"/>
    <w:rsid w:val="003C1F46"/>
    <w:rsid w:val="003C20FF"/>
    <w:rsid w:val="003C2A5F"/>
    <w:rsid w:val="003C4FAC"/>
    <w:rsid w:val="003C550A"/>
    <w:rsid w:val="003C5C70"/>
    <w:rsid w:val="003C5D78"/>
    <w:rsid w:val="003C6055"/>
    <w:rsid w:val="003C6214"/>
    <w:rsid w:val="003C7244"/>
    <w:rsid w:val="003C7322"/>
    <w:rsid w:val="003C77D2"/>
    <w:rsid w:val="003C7942"/>
    <w:rsid w:val="003C7A18"/>
    <w:rsid w:val="003D05E1"/>
    <w:rsid w:val="003D2650"/>
    <w:rsid w:val="003D2792"/>
    <w:rsid w:val="003D4166"/>
    <w:rsid w:val="003D4F77"/>
    <w:rsid w:val="003D560C"/>
    <w:rsid w:val="003D5C00"/>
    <w:rsid w:val="003D5DCD"/>
    <w:rsid w:val="003D69B1"/>
    <w:rsid w:val="003D6E4E"/>
    <w:rsid w:val="003D71B8"/>
    <w:rsid w:val="003E1875"/>
    <w:rsid w:val="003E20CC"/>
    <w:rsid w:val="003E2E2A"/>
    <w:rsid w:val="003E3154"/>
    <w:rsid w:val="003E34A6"/>
    <w:rsid w:val="003E3CBF"/>
    <w:rsid w:val="003E4961"/>
    <w:rsid w:val="003E53A6"/>
    <w:rsid w:val="003E5874"/>
    <w:rsid w:val="003E5B50"/>
    <w:rsid w:val="003E5E63"/>
    <w:rsid w:val="003E5E74"/>
    <w:rsid w:val="003E64A5"/>
    <w:rsid w:val="003E72D3"/>
    <w:rsid w:val="003E791A"/>
    <w:rsid w:val="003F0981"/>
    <w:rsid w:val="003F0E66"/>
    <w:rsid w:val="003F193E"/>
    <w:rsid w:val="003F242C"/>
    <w:rsid w:val="003F2519"/>
    <w:rsid w:val="003F280B"/>
    <w:rsid w:val="003F28C0"/>
    <w:rsid w:val="003F34F1"/>
    <w:rsid w:val="003F3F7F"/>
    <w:rsid w:val="003F483F"/>
    <w:rsid w:val="003F4BC0"/>
    <w:rsid w:val="003F5A4F"/>
    <w:rsid w:val="003F61F3"/>
    <w:rsid w:val="003F6B7C"/>
    <w:rsid w:val="00400F43"/>
    <w:rsid w:val="004022EC"/>
    <w:rsid w:val="00402CEF"/>
    <w:rsid w:val="004031D8"/>
    <w:rsid w:val="00404D0D"/>
    <w:rsid w:val="004064B5"/>
    <w:rsid w:val="00406638"/>
    <w:rsid w:val="00406E64"/>
    <w:rsid w:val="00407EB6"/>
    <w:rsid w:val="004104B6"/>
    <w:rsid w:val="00410877"/>
    <w:rsid w:val="00411AE8"/>
    <w:rsid w:val="00412022"/>
    <w:rsid w:val="004137B1"/>
    <w:rsid w:val="00413B74"/>
    <w:rsid w:val="004140F5"/>
    <w:rsid w:val="00414EF2"/>
    <w:rsid w:val="00415244"/>
    <w:rsid w:val="0041592B"/>
    <w:rsid w:val="00416363"/>
    <w:rsid w:val="00416917"/>
    <w:rsid w:val="004210BC"/>
    <w:rsid w:val="00422141"/>
    <w:rsid w:val="00422EDB"/>
    <w:rsid w:val="00422EE6"/>
    <w:rsid w:val="00423317"/>
    <w:rsid w:val="00425689"/>
    <w:rsid w:val="00426DBA"/>
    <w:rsid w:val="00430524"/>
    <w:rsid w:val="0043079B"/>
    <w:rsid w:val="00430E6F"/>
    <w:rsid w:val="00430E9E"/>
    <w:rsid w:val="004315C0"/>
    <w:rsid w:val="00432814"/>
    <w:rsid w:val="00432F5F"/>
    <w:rsid w:val="004340AC"/>
    <w:rsid w:val="004342F3"/>
    <w:rsid w:val="00434EF8"/>
    <w:rsid w:val="0043548E"/>
    <w:rsid w:val="00435C1A"/>
    <w:rsid w:val="00435C5F"/>
    <w:rsid w:val="00436155"/>
    <w:rsid w:val="00436460"/>
    <w:rsid w:val="004364E6"/>
    <w:rsid w:val="00437849"/>
    <w:rsid w:val="0044002B"/>
    <w:rsid w:val="00440C12"/>
    <w:rsid w:val="00440EA8"/>
    <w:rsid w:val="00441E98"/>
    <w:rsid w:val="00444E05"/>
    <w:rsid w:val="004455B0"/>
    <w:rsid w:val="004461FA"/>
    <w:rsid w:val="00446BEA"/>
    <w:rsid w:val="00447CF0"/>
    <w:rsid w:val="00450721"/>
    <w:rsid w:val="00450AE9"/>
    <w:rsid w:val="00450F3A"/>
    <w:rsid w:val="00451162"/>
    <w:rsid w:val="00451B70"/>
    <w:rsid w:val="00452014"/>
    <w:rsid w:val="00452CB4"/>
    <w:rsid w:val="004532F7"/>
    <w:rsid w:val="00454177"/>
    <w:rsid w:val="00454988"/>
    <w:rsid w:val="00455920"/>
    <w:rsid w:val="00456766"/>
    <w:rsid w:val="00456B62"/>
    <w:rsid w:val="0046023D"/>
    <w:rsid w:val="00460716"/>
    <w:rsid w:val="004617A4"/>
    <w:rsid w:val="00461CF2"/>
    <w:rsid w:val="00462CD4"/>
    <w:rsid w:val="004632C6"/>
    <w:rsid w:val="00463D94"/>
    <w:rsid w:val="00464D51"/>
    <w:rsid w:val="00464DE6"/>
    <w:rsid w:val="004653C4"/>
    <w:rsid w:val="00465C2E"/>
    <w:rsid w:val="00467670"/>
    <w:rsid w:val="004703C2"/>
    <w:rsid w:val="00470623"/>
    <w:rsid w:val="004718A7"/>
    <w:rsid w:val="00471E54"/>
    <w:rsid w:val="00472027"/>
    <w:rsid w:val="00472D8F"/>
    <w:rsid w:val="004735C1"/>
    <w:rsid w:val="004737F4"/>
    <w:rsid w:val="00474055"/>
    <w:rsid w:val="004740DC"/>
    <w:rsid w:val="00474995"/>
    <w:rsid w:val="0047598B"/>
    <w:rsid w:val="00477671"/>
    <w:rsid w:val="004776B0"/>
    <w:rsid w:val="00477DD3"/>
    <w:rsid w:val="004801F5"/>
    <w:rsid w:val="004804CF"/>
    <w:rsid w:val="00481ECF"/>
    <w:rsid w:val="00482B47"/>
    <w:rsid w:val="00483314"/>
    <w:rsid w:val="0048352C"/>
    <w:rsid w:val="00484035"/>
    <w:rsid w:val="004847CD"/>
    <w:rsid w:val="00484962"/>
    <w:rsid w:val="00484999"/>
    <w:rsid w:val="00484F6D"/>
    <w:rsid w:val="00484FB7"/>
    <w:rsid w:val="0048554D"/>
    <w:rsid w:val="00486FAF"/>
    <w:rsid w:val="00487117"/>
    <w:rsid w:val="00487262"/>
    <w:rsid w:val="004872A9"/>
    <w:rsid w:val="00487F20"/>
    <w:rsid w:val="00491454"/>
    <w:rsid w:val="004915B4"/>
    <w:rsid w:val="004923BA"/>
    <w:rsid w:val="004929AC"/>
    <w:rsid w:val="0049338A"/>
    <w:rsid w:val="004938B4"/>
    <w:rsid w:val="0049417F"/>
    <w:rsid w:val="00494962"/>
    <w:rsid w:val="00494EDD"/>
    <w:rsid w:val="0049633B"/>
    <w:rsid w:val="00496475"/>
    <w:rsid w:val="004964AC"/>
    <w:rsid w:val="00496D41"/>
    <w:rsid w:val="00496E31"/>
    <w:rsid w:val="00496F10"/>
    <w:rsid w:val="00497AC0"/>
    <w:rsid w:val="00497E54"/>
    <w:rsid w:val="00497FD3"/>
    <w:rsid w:val="004A1E26"/>
    <w:rsid w:val="004A3B1B"/>
    <w:rsid w:val="004A3DC8"/>
    <w:rsid w:val="004A43C8"/>
    <w:rsid w:val="004A49FC"/>
    <w:rsid w:val="004A4EDB"/>
    <w:rsid w:val="004A4FE8"/>
    <w:rsid w:val="004A50DE"/>
    <w:rsid w:val="004A5722"/>
    <w:rsid w:val="004A577D"/>
    <w:rsid w:val="004A6602"/>
    <w:rsid w:val="004A75B8"/>
    <w:rsid w:val="004B04CE"/>
    <w:rsid w:val="004B0BA2"/>
    <w:rsid w:val="004B2141"/>
    <w:rsid w:val="004B3EFA"/>
    <w:rsid w:val="004B4C1B"/>
    <w:rsid w:val="004B4D08"/>
    <w:rsid w:val="004B4ED6"/>
    <w:rsid w:val="004B51A4"/>
    <w:rsid w:val="004B5283"/>
    <w:rsid w:val="004B5BD9"/>
    <w:rsid w:val="004B7295"/>
    <w:rsid w:val="004B77B8"/>
    <w:rsid w:val="004B7BB5"/>
    <w:rsid w:val="004C077F"/>
    <w:rsid w:val="004C09FD"/>
    <w:rsid w:val="004C0DD8"/>
    <w:rsid w:val="004C1ECD"/>
    <w:rsid w:val="004C2A87"/>
    <w:rsid w:val="004C3110"/>
    <w:rsid w:val="004C3E71"/>
    <w:rsid w:val="004C4146"/>
    <w:rsid w:val="004C4D7B"/>
    <w:rsid w:val="004C4ED3"/>
    <w:rsid w:val="004C667B"/>
    <w:rsid w:val="004C6AA9"/>
    <w:rsid w:val="004C6F39"/>
    <w:rsid w:val="004C782A"/>
    <w:rsid w:val="004C7ECD"/>
    <w:rsid w:val="004D04F7"/>
    <w:rsid w:val="004D0561"/>
    <w:rsid w:val="004D0E80"/>
    <w:rsid w:val="004D10DF"/>
    <w:rsid w:val="004D16E8"/>
    <w:rsid w:val="004D1EF7"/>
    <w:rsid w:val="004D2EA5"/>
    <w:rsid w:val="004D32A6"/>
    <w:rsid w:val="004D38E4"/>
    <w:rsid w:val="004D53E5"/>
    <w:rsid w:val="004D6045"/>
    <w:rsid w:val="004D626E"/>
    <w:rsid w:val="004D74DF"/>
    <w:rsid w:val="004D7950"/>
    <w:rsid w:val="004E0D33"/>
    <w:rsid w:val="004E0D4A"/>
    <w:rsid w:val="004E170D"/>
    <w:rsid w:val="004E17E6"/>
    <w:rsid w:val="004E295A"/>
    <w:rsid w:val="004E2D3D"/>
    <w:rsid w:val="004E3E24"/>
    <w:rsid w:val="004E45B8"/>
    <w:rsid w:val="004E4C26"/>
    <w:rsid w:val="004E549A"/>
    <w:rsid w:val="004E64B3"/>
    <w:rsid w:val="004E6DC4"/>
    <w:rsid w:val="004E6EB0"/>
    <w:rsid w:val="004F1731"/>
    <w:rsid w:val="004F21C1"/>
    <w:rsid w:val="004F4088"/>
    <w:rsid w:val="004F47EE"/>
    <w:rsid w:val="004F51C5"/>
    <w:rsid w:val="004F65A0"/>
    <w:rsid w:val="004F6E6A"/>
    <w:rsid w:val="004F7BD3"/>
    <w:rsid w:val="0050028B"/>
    <w:rsid w:val="00501A12"/>
    <w:rsid w:val="00501C4A"/>
    <w:rsid w:val="00502455"/>
    <w:rsid w:val="005026B3"/>
    <w:rsid w:val="0050309C"/>
    <w:rsid w:val="005033F3"/>
    <w:rsid w:val="005046D2"/>
    <w:rsid w:val="005053C1"/>
    <w:rsid w:val="00505AE8"/>
    <w:rsid w:val="00506309"/>
    <w:rsid w:val="00507081"/>
    <w:rsid w:val="00507381"/>
    <w:rsid w:val="00510874"/>
    <w:rsid w:val="005122DA"/>
    <w:rsid w:val="0051233A"/>
    <w:rsid w:val="00512592"/>
    <w:rsid w:val="0051327C"/>
    <w:rsid w:val="0051346D"/>
    <w:rsid w:val="005135E6"/>
    <w:rsid w:val="00513A69"/>
    <w:rsid w:val="00513BCC"/>
    <w:rsid w:val="00513EAE"/>
    <w:rsid w:val="00514220"/>
    <w:rsid w:val="0051434F"/>
    <w:rsid w:val="00514597"/>
    <w:rsid w:val="00516685"/>
    <w:rsid w:val="00516806"/>
    <w:rsid w:val="00516CFA"/>
    <w:rsid w:val="0051711A"/>
    <w:rsid w:val="00517939"/>
    <w:rsid w:val="005201FD"/>
    <w:rsid w:val="005204BB"/>
    <w:rsid w:val="0052098C"/>
    <w:rsid w:val="00522CCE"/>
    <w:rsid w:val="0052345A"/>
    <w:rsid w:val="00523A29"/>
    <w:rsid w:val="0052405A"/>
    <w:rsid w:val="0052462B"/>
    <w:rsid w:val="00524DC3"/>
    <w:rsid w:val="0052505A"/>
    <w:rsid w:val="005251AB"/>
    <w:rsid w:val="00525A49"/>
    <w:rsid w:val="00525CB3"/>
    <w:rsid w:val="005262D1"/>
    <w:rsid w:val="0052673C"/>
    <w:rsid w:val="005268B7"/>
    <w:rsid w:val="005268C8"/>
    <w:rsid w:val="00527F1C"/>
    <w:rsid w:val="005305B8"/>
    <w:rsid w:val="00530876"/>
    <w:rsid w:val="00531E9B"/>
    <w:rsid w:val="0053242C"/>
    <w:rsid w:val="00532D4D"/>
    <w:rsid w:val="00532E72"/>
    <w:rsid w:val="00532EEA"/>
    <w:rsid w:val="00535277"/>
    <w:rsid w:val="00535613"/>
    <w:rsid w:val="005359EB"/>
    <w:rsid w:val="00536242"/>
    <w:rsid w:val="005367F9"/>
    <w:rsid w:val="00536834"/>
    <w:rsid w:val="0054019D"/>
    <w:rsid w:val="00542279"/>
    <w:rsid w:val="0054254A"/>
    <w:rsid w:val="00542893"/>
    <w:rsid w:val="005430CA"/>
    <w:rsid w:val="0054387C"/>
    <w:rsid w:val="005439B2"/>
    <w:rsid w:val="00543E36"/>
    <w:rsid w:val="0054470A"/>
    <w:rsid w:val="0054500B"/>
    <w:rsid w:val="0054657A"/>
    <w:rsid w:val="005466B5"/>
    <w:rsid w:val="00547E20"/>
    <w:rsid w:val="00550A6A"/>
    <w:rsid w:val="00551C5B"/>
    <w:rsid w:val="00551EAB"/>
    <w:rsid w:val="0055375F"/>
    <w:rsid w:val="00554314"/>
    <w:rsid w:val="0055495A"/>
    <w:rsid w:val="00554AA6"/>
    <w:rsid w:val="00556B7C"/>
    <w:rsid w:val="005626B3"/>
    <w:rsid w:val="00562829"/>
    <w:rsid w:val="00562930"/>
    <w:rsid w:val="005629B3"/>
    <w:rsid w:val="00562C70"/>
    <w:rsid w:val="0056401D"/>
    <w:rsid w:val="00565E94"/>
    <w:rsid w:val="0056716C"/>
    <w:rsid w:val="00567B21"/>
    <w:rsid w:val="00567D1B"/>
    <w:rsid w:val="00570410"/>
    <w:rsid w:val="00570459"/>
    <w:rsid w:val="00570CAF"/>
    <w:rsid w:val="0057128A"/>
    <w:rsid w:val="005724F6"/>
    <w:rsid w:val="00573AC4"/>
    <w:rsid w:val="00574728"/>
    <w:rsid w:val="00574960"/>
    <w:rsid w:val="005758BB"/>
    <w:rsid w:val="00575C86"/>
    <w:rsid w:val="00576554"/>
    <w:rsid w:val="00576A25"/>
    <w:rsid w:val="0057729F"/>
    <w:rsid w:val="005801FC"/>
    <w:rsid w:val="005809B0"/>
    <w:rsid w:val="0058145A"/>
    <w:rsid w:val="00581A97"/>
    <w:rsid w:val="0058214C"/>
    <w:rsid w:val="005848C4"/>
    <w:rsid w:val="00585403"/>
    <w:rsid w:val="00585BA9"/>
    <w:rsid w:val="005864D5"/>
    <w:rsid w:val="005868CB"/>
    <w:rsid w:val="00587359"/>
    <w:rsid w:val="00587527"/>
    <w:rsid w:val="005877D4"/>
    <w:rsid w:val="00590FE3"/>
    <w:rsid w:val="0059169D"/>
    <w:rsid w:val="00592135"/>
    <w:rsid w:val="005936EE"/>
    <w:rsid w:val="00595016"/>
    <w:rsid w:val="00595098"/>
    <w:rsid w:val="005951A4"/>
    <w:rsid w:val="0059638F"/>
    <w:rsid w:val="00596428"/>
    <w:rsid w:val="00597AAE"/>
    <w:rsid w:val="00597E3B"/>
    <w:rsid w:val="00597F3D"/>
    <w:rsid w:val="005A002B"/>
    <w:rsid w:val="005A11EF"/>
    <w:rsid w:val="005A11F9"/>
    <w:rsid w:val="005A1AC5"/>
    <w:rsid w:val="005A1E9A"/>
    <w:rsid w:val="005A1F0E"/>
    <w:rsid w:val="005A2143"/>
    <w:rsid w:val="005A222C"/>
    <w:rsid w:val="005A2603"/>
    <w:rsid w:val="005A2779"/>
    <w:rsid w:val="005A303B"/>
    <w:rsid w:val="005A323F"/>
    <w:rsid w:val="005A4CCD"/>
    <w:rsid w:val="005A4DF8"/>
    <w:rsid w:val="005A657A"/>
    <w:rsid w:val="005A69E3"/>
    <w:rsid w:val="005A6C2D"/>
    <w:rsid w:val="005A78C8"/>
    <w:rsid w:val="005B070A"/>
    <w:rsid w:val="005B1426"/>
    <w:rsid w:val="005B1993"/>
    <w:rsid w:val="005B1FEC"/>
    <w:rsid w:val="005B2222"/>
    <w:rsid w:val="005B2840"/>
    <w:rsid w:val="005B41C2"/>
    <w:rsid w:val="005B494D"/>
    <w:rsid w:val="005B5615"/>
    <w:rsid w:val="005B5D30"/>
    <w:rsid w:val="005B5E6A"/>
    <w:rsid w:val="005B69AA"/>
    <w:rsid w:val="005C0185"/>
    <w:rsid w:val="005C0904"/>
    <w:rsid w:val="005C0A8E"/>
    <w:rsid w:val="005C1767"/>
    <w:rsid w:val="005C185C"/>
    <w:rsid w:val="005C1D38"/>
    <w:rsid w:val="005C1FB9"/>
    <w:rsid w:val="005C2496"/>
    <w:rsid w:val="005C345A"/>
    <w:rsid w:val="005C42EF"/>
    <w:rsid w:val="005C52BE"/>
    <w:rsid w:val="005C578D"/>
    <w:rsid w:val="005C5B49"/>
    <w:rsid w:val="005C5BDD"/>
    <w:rsid w:val="005C6CB7"/>
    <w:rsid w:val="005C7076"/>
    <w:rsid w:val="005C71E6"/>
    <w:rsid w:val="005C794C"/>
    <w:rsid w:val="005D13CC"/>
    <w:rsid w:val="005D14D9"/>
    <w:rsid w:val="005D170C"/>
    <w:rsid w:val="005D1EE8"/>
    <w:rsid w:val="005D28B6"/>
    <w:rsid w:val="005D2B50"/>
    <w:rsid w:val="005D3245"/>
    <w:rsid w:val="005D4139"/>
    <w:rsid w:val="005D53AA"/>
    <w:rsid w:val="005D5801"/>
    <w:rsid w:val="005E02F5"/>
    <w:rsid w:val="005E0510"/>
    <w:rsid w:val="005E0768"/>
    <w:rsid w:val="005E176E"/>
    <w:rsid w:val="005E1D51"/>
    <w:rsid w:val="005E1DF2"/>
    <w:rsid w:val="005E218E"/>
    <w:rsid w:val="005E3361"/>
    <w:rsid w:val="005E35A0"/>
    <w:rsid w:val="005E5551"/>
    <w:rsid w:val="005E5E5C"/>
    <w:rsid w:val="005E649C"/>
    <w:rsid w:val="005E64BE"/>
    <w:rsid w:val="005E7F49"/>
    <w:rsid w:val="005F0C6D"/>
    <w:rsid w:val="005F0D1B"/>
    <w:rsid w:val="005F1865"/>
    <w:rsid w:val="005F18B2"/>
    <w:rsid w:val="005F2951"/>
    <w:rsid w:val="005F2E76"/>
    <w:rsid w:val="005F396A"/>
    <w:rsid w:val="005F4E1B"/>
    <w:rsid w:val="006007BD"/>
    <w:rsid w:val="006013C8"/>
    <w:rsid w:val="00601DF8"/>
    <w:rsid w:val="0060270D"/>
    <w:rsid w:val="00602913"/>
    <w:rsid w:val="00602979"/>
    <w:rsid w:val="00603275"/>
    <w:rsid w:val="0060360A"/>
    <w:rsid w:val="00603BA9"/>
    <w:rsid w:val="00604342"/>
    <w:rsid w:val="00604611"/>
    <w:rsid w:val="00605DAD"/>
    <w:rsid w:val="006064A0"/>
    <w:rsid w:val="006064E2"/>
    <w:rsid w:val="0060665A"/>
    <w:rsid w:val="00606B17"/>
    <w:rsid w:val="00607985"/>
    <w:rsid w:val="00607EB6"/>
    <w:rsid w:val="00610201"/>
    <w:rsid w:val="0061040E"/>
    <w:rsid w:val="00611586"/>
    <w:rsid w:val="00611EE4"/>
    <w:rsid w:val="00612D26"/>
    <w:rsid w:val="00613C27"/>
    <w:rsid w:val="00613FE6"/>
    <w:rsid w:val="00614C1A"/>
    <w:rsid w:val="00614FF7"/>
    <w:rsid w:val="00615022"/>
    <w:rsid w:val="00615855"/>
    <w:rsid w:val="006158D0"/>
    <w:rsid w:val="00615B1F"/>
    <w:rsid w:val="00616344"/>
    <w:rsid w:val="0061640A"/>
    <w:rsid w:val="00616908"/>
    <w:rsid w:val="006175C0"/>
    <w:rsid w:val="0062005F"/>
    <w:rsid w:val="00620BE7"/>
    <w:rsid w:val="00620DA8"/>
    <w:rsid w:val="00620FAE"/>
    <w:rsid w:val="0062113E"/>
    <w:rsid w:val="0062173E"/>
    <w:rsid w:val="00621887"/>
    <w:rsid w:val="00621D6F"/>
    <w:rsid w:val="006235A0"/>
    <w:rsid w:val="00624520"/>
    <w:rsid w:val="00624896"/>
    <w:rsid w:val="0062492B"/>
    <w:rsid w:val="0062603C"/>
    <w:rsid w:val="006271F5"/>
    <w:rsid w:val="00630076"/>
    <w:rsid w:val="00630767"/>
    <w:rsid w:val="00630DB3"/>
    <w:rsid w:val="0063212D"/>
    <w:rsid w:val="00632300"/>
    <w:rsid w:val="00632BB7"/>
    <w:rsid w:val="00632BE4"/>
    <w:rsid w:val="00632FE3"/>
    <w:rsid w:val="006340CF"/>
    <w:rsid w:val="00634326"/>
    <w:rsid w:val="00635583"/>
    <w:rsid w:val="00635B36"/>
    <w:rsid w:val="00636189"/>
    <w:rsid w:val="00636871"/>
    <w:rsid w:val="00640E4E"/>
    <w:rsid w:val="00640EE1"/>
    <w:rsid w:val="00640F4E"/>
    <w:rsid w:val="00641277"/>
    <w:rsid w:val="00642B9F"/>
    <w:rsid w:val="00642CD9"/>
    <w:rsid w:val="00643CFA"/>
    <w:rsid w:val="00643DE0"/>
    <w:rsid w:val="00644194"/>
    <w:rsid w:val="0064437D"/>
    <w:rsid w:val="0064444C"/>
    <w:rsid w:val="006448CC"/>
    <w:rsid w:val="00644E85"/>
    <w:rsid w:val="006475B2"/>
    <w:rsid w:val="00647A5B"/>
    <w:rsid w:val="00650928"/>
    <w:rsid w:val="006514FA"/>
    <w:rsid w:val="006516D8"/>
    <w:rsid w:val="00652149"/>
    <w:rsid w:val="00652503"/>
    <w:rsid w:val="00652C52"/>
    <w:rsid w:val="0065312B"/>
    <w:rsid w:val="00653C61"/>
    <w:rsid w:val="00654832"/>
    <w:rsid w:val="00654CDB"/>
    <w:rsid w:val="00654DD1"/>
    <w:rsid w:val="00654ED5"/>
    <w:rsid w:val="0066063F"/>
    <w:rsid w:val="00660E42"/>
    <w:rsid w:val="00661013"/>
    <w:rsid w:val="00661770"/>
    <w:rsid w:val="006619AF"/>
    <w:rsid w:val="00662BB0"/>
    <w:rsid w:val="0066307B"/>
    <w:rsid w:val="00663878"/>
    <w:rsid w:val="00663D42"/>
    <w:rsid w:val="00664E1A"/>
    <w:rsid w:val="00667154"/>
    <w:rsid w:val="00667773"/>
    <w:rsid w:val="00670743"/>
    <w:rsid w:val="0067099B"/>
    <w:rsid w:val="00671CF3"/>
    <w:rsid w:val="00671E9C"/>
    <w:rsid w:val="006747E9"/>
    <w:rsid w:val="00676984"/>
    <w:rsid w:val="0068097A"/>
    <w:rsid w:val="00680A85"/>
    <w:rsid w:val="00680AC7"/>
    <w:rsid w:val="00681887"/>
    <w:rsid w:val="00681ADF"/>
    <w:rsid w:val="00682FAC"/>
    <w:rsid w:val="0068364D"/>
    <w:rsid w:val="00683EDB"/>
    <w:rsid w:val="00684384"/>
    <w:rsid w:val="0069025F"/>
    <w:rsid w:val="00690EE2"/>
    <w:rsid w:val="00690F42"/>
    <w:rsid w:val="00691338"/>
    <w:rsid w:val="00691FA0"/>
    <w:rsid w:val="006926A5"/>
    <w:rsid w:val="00692D10"/>
    <w:rsid w:val="00692EC4"/>
    <w:rsid w:val="0069372B"/>
    <w:rsid w:val="00693854"/>
    <w:rsid w:val="00693E40"/>
    <w:rsid w:val="006940DE"/>
    <w:rsid w:val="00694A71"/>
    <w:rsid w:val="00694BEB"/>
    <w:rsid w:val="00695563"/>
    <w:rsid w:val="0069795C"/>
    <w:rsid w:val="00697964"/>
    <w:rsid w:val="00697CA4"/>
    <w:rsid w:val="006A0CF1"/>
    <w:rsid w:val="006A0E20"/>
    <w:rsid w:val="006A1A06"/>
    <w:rsid w:val="006A244B"/>
    <w:rsid w:val="006A24E3"/>
    <w:rsid w:val="006A2F93"/>
    <w:rsid w:val="006A3441"/>
    <w:rsid w:val="006A3D65"/>
    <w:rsid w:val="006A4D6A"/>
    <w:rsid w:val="006A5695"/>
    <w:rsid w:val="006A5A1E"/>
    <w:rsid w:val="006A6953"/>
    <w:rsid w:val="006A6EAF"/>
    <w:rsid w:val="006A6F6B"/>
    <w:rsid w:val="006B01A2"/>
    <w:rsid w:val="006B03A3"/>
    <w:rsid w:val="006B0439"/>
    <w:rsid w:val="006B06F9"/>
    <w:rsid w:val="006B186C"/>
    <w:rsid w:val="006B2DAF"/>
    <w:rsid w:val="006B3321"/>
    <w:rsid w:val="006B3904"/>
    <w:rsid w:val="006B3D8B"/>
    <w:rsid w:val="006B5567"/>
    <w:rsid w:val="006B5B7D"/>
    <w:rsid w:val="006B6B69"/>
    <w:rsid w:val="006B6B6D"/>
    <w:rsid w:val="006C01CC"/>
    <w:rsid w:val="006C153C"/>
    <w:rsid w:val="006C15D9"/>
    <w:rsid w:val="006C1EAB"/>
    <w:rsid w:val="006C24B2"/>
    <w:rsid w:val="006C3400"/>
    <w:rsid w:val="006C5B46"/>
    <w:rsid w:val="006C5DD8"/>
    <w:rsid w:val="006C6E39"/>
    <w:rsid w:val="006C7998"/>
    <w:rsid w:val="006D09AD"/>
    <w:rsid w:val="006D0ECF"/>
    <w:rsid w:val="006D32A7"/>
    <w:rsid w:val="006D34B6"/>
    <w:rsid w:val="006D3737"/>
    <w:rsid w:val="006D3C26"/>
    <w:rsid w:val="006D3D5B"/>
    <w:rsid w:val="006D4C92"/>
    <w:rsid w:val="006D4EB6"/>
    <w:rsid w:val="006D53A7"/>
    <w:rsid w:val="006D63B3"/>
    <w:rsid w:val="006D6FB9"/>
    <w:rsid w:val="006D7435"/>
    <w:rsid w:val="006D7FBC"/>
    <w:rsid w:val="006E04F7"/>
    <w:rsid w:val="006E1883"/>
    <w:rsid w:val="006E2020"/>
    <w:rsid w:val="006E2305"/>
    <w:rsid w:val="006E239B"/>
    <w:rsid w:val="006E26FB"/>
    <w:rsid w:val="006E2993"/>
    <w:rsid w:val="006E31E3"/>
    <w:rsid w:val="006E35BF"/>
    <w:rsid w:val="006E3E63"/>
    <w:rsid w:val="006E433A"/>
    <w:rsid w:val="006E47B2"/>
    <w:rsid w:val="006E549B"/>
    <w:rsid w:val="006E6EA4"/>
    <w:rsid w:val="006E6F24"/>
    <w:rsid w:val="006E7850"/>
    <w:rsid w:val="006E7A6A"/>
    <w:rsid w:val="006F08EE"/>
    <w:rsid w:val="006F0CCA"/>
    <w:rsid w:val="006F19D8"/>
    <w:rsid w:val="006F2083"/>
    <w:rsid w:val="006F2303"/>
    <w:rsid w:val="006F25F7"/>
    <w:rsid w:val="006F2FC4"/>
    <w:rsid w:val="006F46D6"/>
    <w:rsid w:val="006F4B8A"/>
    <w:rsid w:val="006F4BBB"/>
    <w:rsid w:val="006F4CF1"/>
    <w:rsid w:val="00700249"/>
    <w:rsid w:val="0070122F"/>
    <w:rsid w:val="0070160D"/>
    <w:rsid w:val="007028D9"/>
    <w:rsid w:val="00703ABE"/>
    <w:rsid w:val="007041C9"/>
    <w:rsid w:val="00704A60"/>
    <w:rsid w:val="00705175"/>
    <w:rsid w:val="00707218"/>
    <w:rsid w:val="00710D04"/>
    <w:rsid w:val="00711574"/>
    <w:rsid w:val="00712B1D"/>
    <w:rsid w:val="00713719"/>
    <w:rsid w:val="00713C39"/>
    <w:rsid w:val="0071410E"/>
    <w:rsid w:val="007142F7"/>
    <w:rsid w:val="00715568"/>
    <w:rsid w:val="00715751"/>
    <w:rsid w:val="00716217"/>
    <w:rsid w:val="00716294"/>
    <w:rsid w:val="007171BA"/>
    <w:rsid w:val="00717616"/>
    <w:rsid w:val="0071771C"/>
    <w:rsid w:val="00721093"/>
    <w:rsid w:val="007217B9"/>
    <w:rsid w:val="00721EA8"/>
    <w:rsid w:val="00722203"/>
    <w:rsid w:val="00724075"/>
    <w:rsid w:val="00724CD5"/>
    <w:rsid w:val="0072596E"/>
    <w:rsid w:val="00726C4E"/>
    <w:rsid w:val="00726EAB"/>
    <w:rsid w:val="0072792D"/>
    <w:rsid w:val="007300A4"/>
    <w:rsid w:val="00730227"/>
    <w:rsid w:val="007317AD"/>
    <w:rsid w:val="007325D9"/>
    <w:rsid w:val="0073396C"/>
    <w:rsid w:val="007339AD"/>
    <w:rsid w:val="00733C75"/>
    <w:rsid w:val="0073413F"/>
    <w:rsid w:val="00734EC9"/>
    <w:rsid w:val="0073583B"/>
    <w:rsid w:val="00735A37"/>
    <w:rsid w:val="00735A4B"/>
    <w:rsid w:val="007360CA"/>
    <w:rsid w:val="00740061"/>
    <w:rsid w:val="0074012D"/>
    <w:rsid w:val="00740333"/>
    <w:rsid w:val="00740346"/>
    <w:rsid w:val="00740A86"/>
    <w:rsid w:val="00740ACB"/>
    <w:rsid w:val="00741507"/>
    <w:rsid w:val="00741858"/>
    <w:rsid w:val="00742681"/>
    <w:rsid w:val="0074306C"/>
    <w:rsid w:val="00743B69"/>
    <w:rsid w:val="00743C54"/>
    <w:rsid w:val="007445E0"/>
    <w:rsid w:val="0074579A"/>
    <w:rsid w:val="00745982"/>
    <w:rsid w:val="0074667B"/>
    <w:rsid w:val="00746902"/>
    <w:rsid w:val="00746A28"/>
    <w:rsid w:val="007470BD"/>
    <w:rsid w:val="007478C3"/>
    <w:rsid w:val="00750B9D"/>
    <w:rsid w:val="0075156F"/>
    <w:rsid w:val="00751D10"/>
    <w:rsid w:val="0075379E"/>
    <w:rsid w:val="00753D93"/>
    <w:rsid w:val="007556A0"/>
    <w:rsid w:val="00757172"/>
    <w:rsid w:val="00757C5C"/>
    <w:rsid w:val="007607DA"/>
    <w:rsid w:val="00760A70"/>
    <w:rsid w:val="00760EC0"/>
    <w:rsid w:val="00761A17"/>
    <w:rsid w:val="00761D18"/>
    <w:rsid w:val="00761F53"/>
    <w:rsid w:val="00763377"/>
    <w:rsid w:val="007633EA"/>
    <w:rsid w:val="00763AB6"/>
    <w:rsid w:val="00763FE9"/>
    <w:rsid w:val="00764424"/>
    <w:rsid w:val="00764457"/>
    <w:rsid w:val="00764FE1"/>
    <w:rsid w:val="00765124"/>
    <w:rsid w:val="0076599F"/>
    <w:rsid w:val="007669A3"/>
    <w:rsid w:val="007711BD"/>
    <w:rsid w:val="007713B1"/>
    <w:rsid w:val="00771EC6"/>
    <w:rsid w:val="00772E87"/>
    <w:rsid w:val="007731EC"/>
    <w:rsid w:val="0077325F"/>
    <w:rsid w:val="0077449F"/>
    <w:rsid w:val="0077462D"/>
    <w:rsid w:val="007748BD"/>
    <w:rsid w:val="00776754"/>
    <w:rsid w:val="00777569"/>
    <w:rsid w:val="00777F31"/>
    <w:rsid w:val="00777F3D"/>
    <w:rsid w:val="0078003A"/>
    <w:rsid w:val="00780298"/>
    <w:rsid w:val="00780322"/>
    <w:rsid w:val="00780771"/>
    <w:rsid w:val="00782533"/>
    <w:rsid w:val="007836CA"/>
    <w:rsid w:val="0078440B"/>
    <w:rsid w:val="007852D5"/>
    <w:rsid w:val="00785709"/>
    <w:rsid w:val="00785749"/>
    <w:rsid w:val="007875DF"/>
    <w:rsid w:val="00787F52"/>
    <w:rsid w:val="007902EE"/>
    <w:rsid w:val="007909A0"/>
    <w:rsid w:val="0079136F"/>
    <w:rsid w:val="0079199D"/>
    <w:rsid w:val="0079199E"/>
    <w:rsid w:val="007922BC"/>
    <w:rsid w:val="007925B8"/>
    <w:rsid w:val="007929CF"/>
    <w:rsid w:val="00792AE7"/>
    <w:rsid w:val="00792EC8"/>
    <w:rsid w:val="00792F74"/>
    <w:rsid w:val="00794814"/>
    <w:rsid w:val="00794B65"/>
    <w:rsid w:val="00794B66"/>
    <w:rsid w:val="00794DC2"/>
    <w:rsid w:val="0079675B"/>
    <w:rsid w:val="00796C74"/>
    <w:rsid w:val="00796E6A"/>
    <w:rsid w:val="00797BA8"/>
    <w:rsid w:val="007A081D"/>
    <w:rsid w:val="007A1923"/>
    <w:rsid w:val="007A1E39"/>
    <w:rsid w:val="007A240A"/>
    <w:rsid w:val="007A2BEB"/>
    <w:rsid w:val="007A2FBF"/>
    <w:rsid w:val="007A2FDD"/>
    <w:rsid w:val="007A3EB6"/>
    <w:rsid w:val="007A408B"/>
    <w:rsid w:val="007A49E7"/>
    <w:rsid w:val="007A5A69"/>
    <w:rsid w:val="007A5F25"/>
    <w:rsid w:val="007A6F28"/>
    <w:rsid w:val="007B03C6"/>
    <w:rsid w:val="007B0871"/>
    <w:rsid w:val="007B0DB1"/>
    <w:rsid w:val="007B180C"/>
    <w:rsid w:val="007B1E82"/>
    <w:rsid w:val="007B323D"/>
    <w:rsid w:val="007B3378"/>
    <w:rsid w:val="007B3B40"/>
    <w:rsid w:val="007B4A75"/>
    <w:rsid w:val="007B5673"/>
    <w:rsid w:val="007B5FD8"/>
    <w:rsid w:val="007B7124"/>
    <w:rsid w:val="007B7238"/>
    <w:rsid w:val="007B76FF"/>
    <w:rsid w:val="007C0789"/>
    <w:rsid w:val="007C0971"/>
    <w:rsid w:val="007C09F1"/>
    <w:rsid w:val="007C0D8A"/>
    <w:rsid w:val="007C212C"/>
    <w:rsid w:val="007C2528"/>
    <w:rsid w:val="007C3BF6"/>
    <w:rsid w:val="007C4991"/>
    <w:rsid w:val="007C4999"/>
    <w:rsid w:val="007C5067"/>
    <w:rsid w:val="007C5FAF"/>
    <w:rsid w:val="007C67B3"/>
    <w:rsid w:val="007C789A"/>
    <w:rsid w:val="007D093E"/>
    <w:rsid w:val="007D0FD2"/>
    <w:rsid w:val="007D1709"/>
    <w:rsid w:val="007D1B5D"/>
    <w:rsid w:val="007D1D58"/>
    <w:rsid w:val="007D2EF8"/>
    <w:rsid w:val="007D34F6"/>
    <w:rsid w:val="007D3900"/>
    <w:rsid w:val="007D561F"/>
    <w:rsid w:val="007D62E0"/>
    <w:rsid w:val="007D74FD"/>
    <w:rsid w:val="007D7566"/>
    <w:rsid w:val="007D7FD2"/>
    <w:rsid w:val="007E0638"/>
    <w:rsid w:val="007E0E56"/>
    <w:rsid w:val="007E13D9"/>
    <w:rsid w:val="007E1852"/>
    <w:rsid w:val="007E2880"/>
    <w:rsid w:val="007E2AEC"/>
    <w:rsid w:val="007E3048"/>
    <w:rsid w:val="007E41BE"/>
    <w:rsid w:val="007E47A1"/>
    <w:rsid w:val="007E4DB6"/>
    <w:rsid w:val="007E57A7"/>
    <w:rsid w:val="007E5E9F"/>
    <w:rsid w:val="007E5F2D"/>
    <w:rsid w:val="007E6733"/>
    <w:rsid w:val="007E6772"/>
    <w:rsid w:val="007E6FD8"/>
    <w:rsid w:val="007E7A2F"/>
    <w:rsid w:val="007E7CD4"/>
    <w:rsid w:val="007F0F66"/>
    <w:rsid w:val="007F1290"/>
    <w:rsid w:val="007F12AC"/>
    <w:rsid w:val="007F40E2"/>
    <w:rsid w:val="007F4501"/>
    <w:rsid w:val="007F4F38"/>
    <w:rsid w:val="007F5364"/>
    <w:rsid w:val="007F60DF"/>
    <w:rsid w:val="007F64E5"/>
    <w:rsid w:val="007F6809"/>
    <w:rsid w:val="007F681B"/>
    <w:rsid w:val="007F762C"/>
    <w:rsid w:val="007F7D2E"/>
    <w:rsid w:val="007F7D44"/>
    <w:rsid w:val="00800B7B"/>
    <w:rsid w:val="00801800"/>
    <w:rsid w:val="00801861"/>
    <w:rsid w:val="00801B25"/>
    <w:rsid w:val="00801B5B"/>
    <w:rsid w:val="00801BFB"/>
    <w:rsid w:val="0080389B"/>
    <w:rsid w:val="00803B30"/>
    <w:rsid w:val="008041D8"/>
    <w:rsid w:val="00804788"/>
    <w:rsid w:val="00804F16"/>
    <w:rsid w:val="00805345"/>
    <w:rsid w:val="00805A30"/>
    <w:rsid w:val="0080661A"/>
    <w:rsid w:val="008108B3"/>
    <w:rsid w:val="008108CE"/>
    <w:rsid w:val="00811219"/>
    <w:rsid w:val="0081228A"/>
    <w:rsid w:val="008123E3"/>
    <w:rsid w:val="00812790"/>
    <w:rsid w:val="00812C69"/>
    <w:rsid w:val="008133AB"/>
    <w:rsid w:val="008139E5"/>
    <w:rsid w:val="00814F21"/>
    <w:rsid w:val="00815110"/>
    <w:rsid w:val="0081535F"/>
    <w:rsid w:val="008157B5"/>
    <w:rsid w:val="00816B77"/>
    <w:rsid w:val="0081758C"/>
    <w:rsid w:val="00817A0F"/>
    <w:rsid w:val="008203B4"/>
    <w:rsid w:val="008216E7"/>
    <w:rsid w:val="008217C3"/>
    <w:rsid w:val="00823523"/>
    <w:rsid w:val="00823ED5"/>
    <w:rsid w:val="0082488C"/>
    <w:rsid w:val="00825BE6"/>
    <w:rsid w:val="008276B4"/>
    <w:rsid w:val="00827CD2"/>
    <w:rsid w:val="008301A7"/>
    <w:rsid w:val="008303AC"/>
    <w:rsid w:val="00830CD8"/>
    <w:rsid w:val="00831138"/>
    <w:rsid w:val="0083146E"/>
    <w:rsid w:val="00831771"/>
    <w:rsid w:val="00831927"/>
    <w:rsid w:val="008321F3"/>
    <w:rsid w:val="008325CE"/>
    <w:rsid w:val="00832B9B"/>
    <w:rsid w:val="0083365A"/>
    <w:rsid w:val="0083382A"/>
    <w:rsid w:val="00833A16"/>
    <w:rsid w:val="00833AE8"/>
    <w:rsid w:val="00833DE8"/>
    <w:rsid w:val="00833E6A"/>
    <w:rsid w:val="00834530"/>
    <w:rsid w:val="00835C47"/>
    <w:rsid w:val="00836C08"/>
    <w:rsid w:val="00837288"/>
    <w:rsid w:val="00837E21"/>
    <w:rsid w:val="008406B4"/>
    <w:rsid w:val="00841B52"/>
    <w:rsid w:val="00841BD3"/>
    <w:rsid w:val="0084273D"/>
    <w:rsid w:val="0084302B"/>
    <w:rsid w:val="00843194"/>
    <w:rsid w:val="00843BB4"/>
    <w:rsid w:val="008444ED"/>
    <w:rsid w:val="00844E3F"/>
    <w:rsid w:val="0084527A"/>
    <w:rsid w:val="00845A83"/>
    <w:rsid w:val="00846BB9"/>
    <w:rsid w:val="008472AD"/>
    <w:rsid w:val="008477CB"/>
    <w:rsid w:val="00852AA6"/>
    <w:rsid w:val="00852DFE"/>
    <w:rsid w:val="0085380D"/>
    <w:rsid w:val="008548FD"/>
    <w:rsid w:val="008554B6"/>
    <w:rsid w:val="00855ACE"/>
    <w:rsid w:val="00856B9B"/>
    <w:rsid w:val="00857A9F"/>
    <w:rsid w:val="00857EB3"/>
    <w:rsid w:val="00863D0A"/>
    <w:rsid w:val="0086441B"/>
    <w:rsid w:val="008649D5"/>
    <w:rsid w:val="00864C50"/>
    <w:rsid w:val="00865582"/>
    <w:rsid w:val="00865A88"/>
    <w:rsid w:val="008666A9"/>
    <w:rsid w:val="00866A30"/>
    <w:rsid w:val="00866FA8"/>
    <w:rsid w:val="008708CB"/>
    <w:rsid w:val="008712BB"/>
    <w:rsid w:val="0087252B"/>
    <w:rsid w:val="00872879"/>
    <w:rsid w:val="0087340C"/>
    <w:rsid w:val="0087419E"/>
    <w:rsid w:val="00874283"/>
    <w:rsid w:val="00874360"/>
    <w:rsid w:val="00874880"/>
    <w:rsid w:val="00874F16"/>
    <w:rsid w:val="00875BEC"/>
    <w:rsid w:val="0087622C"/>
    <w:rsid w:val="00876BD6"/>
    <w:rsid w:val="00876E16"/>
    <w:rsid w:val="008770E2"/>
    <w:rsid w:val="00880E29"/>
    <w:rsid w:val="008816E9"/>
    <w:rsid w:val="008830E7"/>
    <w:rsid w:val="008833F4"/>
    <w:rsid w:val="00883FF5"/>
    <w:rsid w:val="00884F4A"/>
    <w:rsid w:val="00886277"/>
    <w:rsid w:val="00886446"/>
    <w:rsid w:val="008866C9"/>
    <w:rsid w:val="00886F97"/>
    <w:rsid w:val="00890071"/>
    <w:rsid w:val="008909E8"/>
    <w:rsid w:val="00890EDE"/>
    <w:rsid w:val="00891096"/>
    <w:rsid w:val="00891C7D"/>
    <w:rsid w:val="00891CE3"/>
    <w:rsid w:val="00892185"/>
    <w:rsid w:val="00892434"/>
    <w:rsid w:val="00892B38"/>
    <w:rsid w:val="00893971"/>
    <w:rsid w:val="00894B2A"/>
    <w:rsid w:val="00894B80"/>
    <w:rsid w:val="00896360"/>
    <w:rsid w:val="00896AE3"/>
    <w:rsid w:val="00896C71"/>
    <w:rsid w:val="00896CA8"/>
    <w:rsid w:val="00896CFB"/>
    <w:rsid w:val="0089775C"/>
    <w:rsid w:val="008A049D"/>
    <w:rsid w:val="008A13A2"/>
    <w:rsid w:val="008A1741"/>
    <w:rsid w:val="008A1CAB"/>
    <w:rsid w:val="008A2484"/>
    <w:rsid w:val="008A2764"/>
    <w:rsid w:val="008A2D08"/>
    <w:rsid w:val="008A2E25"/>
    <w:rsid w:val="008A360B"/>
    <w:rsid w:val="008A3A03"/>
    <w:rsid w:val="008A3F9F"/>
    <w:rsid w:val="008A52F3"/>
    <w:rsid w:val="008A597D"/>
    <w:rsid w:val="008A608F"/>
    <w:rsid w:val="008A7065"/>
    <w:rsid w:val="008A7170"/>
    <w:rsid w:val="008A797D"/>
    <w:rsid w:val="008B01FB"/>
    <w:rsid w:val="008B14A9"/>
    <w:rsid w:val="008B198E"/>
    <w:rsid w:val="008B3425"/>
    <w:rsid w:val="008B392F"/>
    <w:rsid w:val="008B5658"/>
    <w:rsid w:val="008B575B"/>
    <w:rsid w:val="008B5C7B"/>
    <w:rsid w:val="008B69A7"/>
    <w:rsid w:val="008B6B00"/>
    <w:rsid w:val="008B6B47"/>
    <w:rsid w:val="008B6E68"/>
    <w:rsid w:val="008B7A2B"/>
    <w:rsid w:val="008C26D9"/>
    <w:rsid w:val="008C2AB1"/>
    <w:rsid w:val="008C321D"/>
    <w:rsid w:val="008C3586"/>
    <w:rsid w:val="008C3845"/>
    <w:rsid w:val="008C3D8A"/>
    <w:rsid w:val="008C6276"/>
    <w:rsid w:val="008C6D50"/>
    <w:rsid w:val="008C7167"/>
    <w:rsid w:val="008C7503"/>
    <w:rsid w:val="008C7D1D"/>
    <w:rsid w:val="008D0631"/>
    <w:rsid w:val="008D0EBA"/>
    <w:rsid w:val="008D1617"/>
    <w:rsid w:val="008D1BBD"/>
    <w:rsid w:val="008D2CF6"/>
    <w:rsid w:val="008D330F"/>
    <w:rsid w:val="008D34B6"/>
    <w:rsid w:val="008D48C1"/>
    <w:rsid w:val="008D48DC"/>
    <w:rsid w:val="008D4907"/>
    <w:rsid w:val="008D4A61"/>
    <w:rsid w:val="008D55FD"/>
    <w:rsid w:val="008D5B1A"/>
    <w:rsid w:val="008D638F"/>
    <w:rsid w:val="008D66DF"/>
    <w:rsid w:val="008D6935"/>
    <w:rsid w:val="008D69FB"/>
    <w:rsid w:val="008D6DE1"/>
    <w:rsid w:val="008E12D0"/>
    <w:rsid w:val="008E1E5F"/>
    <w:rsid w:val="008E2765"/>
    <w:rsid w:val="008E2A40"/>
    <w:rsid w:val="008E3C17"/>
    <w:rsid w:val="008E3C7B"/>
    <w:rsid w:val="008E3FFE"/>
    <w:rsid w:val="008E6315"/>
    <w:rsid w:val="008E79AC"/>
    <w:rsid w:val="008E7B7D"/>
    <w:rsid w:val="008F0480"/>
    <w:rsid w:val="008F07FC"/>
    <w:rsid w:val="008F0E35"/>
    <w:rsid w:val="008F0EBA"/>
    <w:rsid w:val="008F11E0"/>
    <w:rsid w:val="008F1DA0"/>
    <w:rsid w:val="008F3EA7"/>
    <w:rsid w:val="008F42C8"/>
    <w:rsid w:val="008F4CBA"/>
    <w:rsid w:val="008F514A"/>
    <w:rsid w:val="008F5248"/>
    <w:rsid w:val="008F5982"/>
    <w:rsid w:val="008F5F8F"/>
    <w:rsid w:val="008F634E"/>
    <w:rsid w:val="008F71BC"/>
    <w:rsid w:val="008F78BC"/>
    <w:rsid w:val="008F7A04"/>
    <w:rsid w:val="008F7B63"/>
    <w:rsid w:val="008F7C3E"/>
    <w:rsid w:val="008F7D6A"/>
    <w:rsid w:val="00901990"/>
    <w:rsid w:val="009019E0"/>
    <w:rsid w:val="00901C86"/>
    <w:rsid w:val="00902CCA"/>
    <w:rsid w:val="00903603"/>
    <w:rsid w:val="00903ADE"/>
    <w:rsid w:val="009054CB"/>
    <w:rsid w:val="0090585C"/>
    <w:rsid w:val="00905A60"/>
    <w:rsid w:val="00905E67"/>
    <w:rsid w:val="00906C89"/>
    <w:rsid w:val="00907D58"/>
    <w:rsid w:val="009100CB"/>
    <w:rsid w:val="00911F8D"/>
    <w:rsid w:val="00912F94"/>
    <w:rsid w:val="00916746"/>
    <w:rsid w:val="009167E8"/>
    <w:rsid w:val="009168EC"/>
    <w:rsid w:val="00916C5C"/>
    <w:rsid w:val="009171BC"/>
    <w:rsid w:val="00917765"/>
    <w:rsid w:val="009177AC"/>
    <w:rsid w:val="00920014"/>
    <w:rsid w:val="009204B7"/>
    <w:rsid w:val="0092075B"/>
    <w:rsid w:val="00921404"/>
    <w:rsid w:val="00921619"/>
    <w:rsid w:val="0092179B"/>
    <w:rsid w:val="00921AB6"/>
    <w:rsid w:val="00922439"/>
    <w:rsid w:val="00922A3D"/>
    <w:rsid w:val="00922DFC"/>
    <w:rsid w:val="00923CB7"/>
    <w:rsid w:val="00923D81"/>
    <w:rsid w:val="0092497E"/>
    <w:rsid w:val="00924E6F"/>
    <w:rsid w:val="0092537E"/>
    <w:rsid w:val="009257AE"/>
    <w:rsid w:val="0092590B"/>
    <w:rsid w:val="00925BF3"/>
    <w:rsid w:val="00925DDC"/>
    <w:rsid w:val="00925E60"/>
    <w:rsid w:val="009264B3"/>
    <w:rsid w:val="00926DBC"/>
    <w:rsid w:val="00927DF7"/>
    <w:rsid w:val="009306D7"/>
    <w:rsid w:val="009308CD"/>
    <w:rsid w:val="00930B56"/>
    <w:rsid w:val="00930F4E"/>
    <w:rsid w:val="00931E4C"/>
    <w:rsid w:val="00932081"/>
    <w:rsid w:val="009343F1"/>
    <w:rsid w:val="00934582"/>
    <w:rsid w:val="009351E7"/>
    <w:rsid w:val="00935328"/>
    <w:rsid w:val="0093589E"/>
    <w:rsid w:val="009359F9"/>
    <w:rsid w:val="009365E0"/>
    <w:rsid w:val="00936CB2"/>
    <w:rsid w:val="00937801"/>
    <w:rsid w:val="009378BC"/>
    <w:rsid w:val="009412C3"/>
    <w:rsid w:val="00942BA2"/>
    <w:rsid w:val="00943288"/>
    <w:rsid w:val="009432B7"/>
    <w:rsid w:val="0094493A"/>
    <w:rsid w:val="00944C86"/>
    <w:rsid w:val="009457F2"/>
    <w:rsid w:val="00946967"/>
    <w:rsid w:val="0094753E"/>
    <w:rsid w:val="009476B7"/>
    <w:rsid w:val="00947844"/>
    <w:rsid w:val="00947C02"/>
    <w:rsid w:val="00947F63"/>
    <w:rsid w:val="009503D8"/>
    <w:rsid w:val="009506EC"/>
    <w:rsid w:val="00950BE6"/>
    <w:rsid w:val="00951D80"/>
    <w:rsid w:val="009523A5"/>
    <w:rsid w:val="0095282B"/>
    <w:rsid w:val="0095285C"/>
    <w:rsid w:val="00953273"/>
    <w:rsid w:val="0095348A"/>
    <w:rsid w:val="009539B6"/>
    <w:rsid w:val="00956A99"/>
    <w:rsid w:val="00957704"/>
    <w:rsid w:val="00957DE8"/>
    <w:rsid w:val="009604DF"/>
    <w:rsid w:val="00960ECB"/>
    <w:rsid w:val="009615D6"/>
    <w:rsid w:val="009618B7"/>
    <w:rsid w:val="0096232D"/>
    <w:rsid w:val="0096474E"/>
    <w:rsid w:val="00964C10"/>
    <w:rsid w:val="00964F93"/>
    <w:rsid w:val="0096525E"/>
    <w:rsid w:val="0096568A"/>
    <w:rsid w:val="00965736"/>
    <w:rsid w:val="009669E0"/>
    <w:rsid w:val="00966C28"/>
    <w:rsid w:val="00967389"/>
    <w:rsid w:val="00967502"/>
    <w:rsid w:val="00967855"/>
    <w:rsid w:val="00970818"/>
    <w:rsid w:val="00971453"/>
    <w:rsid w:val="009717B8"/>
    <w:rsid w:val="00971891"/>
    <w:rsid w:val="00971CD1"/>
    <w:rsid w:val="00971F5B"/>
    <w:rsid w:val="009721DE"/>
    <w:rsid w:val="00972E82"/>
    <w:rsid w:val="009735B6"/>
    <w:rsid w:val="00973899"/>
    <w:rsid w:val="00973F36"/>
    <w:rsid w:val="00974709"/>
    <w:rsid w:val="0097549A"/>
    <w:rsid w:val="009754BC"/>
    <w:rsid w:val="0097720F"/>
    <w:rsid w:val="009801AE"/>
    <w:rsid w:val="00980736"/>
    <w:rsid w:val="00980DB0"/>
    <w:rsid w:val="00981A39"/>
    <w:rsid w:val="00982D56"/>
    <w:rsid w:val="00983DBF"/>
    <w:rsid w:val="00984FAA"/>
    <w:rsid w:val="0098537B"/>
    <w:rsid w:val="00986694"/>
    <w:rsid w:val="00987097"/>
    <w:rsid w:val="009875D8"/>
    <w:rsid w:val="00990577"/>
    <w:rsid w:val="00990729"/>
    <w:rsid w:val="00990A9C"/>
    <w:rsid w:val="00991123"/>
    <w:rsid w:val="00991879"/>
    <w:rsid w:val="00991CAB"/>
    <w:rsid w:val="009929BB"/>
    <w:rsid w:val="00992A95"/>
    <w:rsid w:val="00992CDE"/>
    <w:rsid w:val="009937C4"/>
    <w:rsid w:val="00994FCA"/>
    <w:rsid w:val="009973DA"/>
    <w:rsid w:val="009A07C6"/>
    <w:rsid w:val="009A0A44"/>
    <w:rsid w:val="009A1AA0"/>
    <w:rsid w:val="009A3157"/>
    <w:rsid w:val="009A3A9C"/>
    <w:rsid w:val="009A4720"/>
    <w:rsid w:val="009A47C7"/>
    <w:rsid w:val="009A4B42"/>
    <w:rsid w:val="009A4EB2"/>
    <w:rsid w:val="009A52D9"/>
    <w:rsid w:val="009B046C"/>
    <w:rsid w:val="009B0BAF"/>
    <w:rsid w:val="009B13FA"/>
    <w:rsid w:val="009B1E2D"/>
    <w:rsid w:val="009B22DE"/>
    <w:rsid w:val="009B3079"/>
    <w:rsid w:val="009B37C6"/>
    <w:rsid w:val="009B3FCD"/>
    <w:rsid w:val="009B4918"/>
    <w:rsid w:val="009B4A60"/>
    <w:rsid w:val="009B6EB3"/>
    <w:rsid w:val="009B7169"/>
    <w:rsid w:val="009C0461"/>
    <w:rsid w:val="009C04F4"/>
    <w:rsid w:val="009C07F1"/>
    <w:rsid w:val="009C08AC"/>
    <w:rsid w:val="009C0905"/>
    <w:rsid w:val="009C117E"/>
    <w:rsid w:val="009C165B"/>
    <w:rsid w:val="009C17B3"/>
    <w:rsid w:val="009C1A34"/>
    <w:rsid w:val="009C3495"/>
    <w:rsid w:val="009C3AE8"/>
    <w:rsid w:val="009C3BF5"/>
    <w:rsid w:val="009C4331"/>
    <w:rsid w:val="009C4700"/>
    <w:rsid w:val="009C4E76"/>
    <w:rsid w:val="009C512F"/>
    <w:rsid w:val="009C55B6"/>
    <w:rsid w:val="009C58E4"/>
    <w:rsid w:val="009C59FB"/>
    <w:rsid w:val="009C603F"/>
    <w:rsid w:val="009C6BB1"/>
    <w:rsid w:val="009C6F3B"/>
    <w:rsid w:val="009C7334"/>
    <w:rsid w:val="009D00F6"/>
    <w:rsid w:val="009D0363"/>
    <w:rsid w:val="009D1467"/>
    <w:rsid w:val="009D1641"/>
    <w:rsid w:val="009D2918"/>
    <w:rsid w:val="009D3079"/>
    <w:rsid w:val="009D3202"/>
    <w:rsid w:val="009D328D"/>
    <w:rsid w:val="009D3600"/>
    <w:rsid w:val="009D3728"/>
    <w:rsid w:val="009D3F83"/>
    <w:rsid w:val="009D5535"/>
    <w:rsid w:val="009D582C"/>
    <w:rsid w:val="009D5AC6"/>
    <w:rsid w:val="009D64A0"/>
    <w:rsid w:val="009D6E9B"/>
    <w:rsid w:val="009E0A7E"/>
    <w:rsid w:val="009E0F26"/>
    <w:rsid w:val="009E1AA8"/>
    <w:rsid w:val="009E1BE0"/>
    <w:rsid w:val="009E2D15"/>
    <w:rsid w:val="009E2E39"/>
    <w:rsid w:val="009E4C83"/>
    <w:rsid w:val="009E4FA6"/>
    <w:rsid w:val="009E5B9F"/>
    <w:rsid w:val="009E771B"/>
    <w:rsid w:val="009E7BBD"/>
    <w:rsid w:val="009E7D93"/>
    <w:rsid w:val="009E7FEE"/>
    <w:rsid w:val="009F2D07"/>
    <w:rsid w:val="009F2D63"/>
    <w:rsid w:val="009F3992"/>
    <w:rsid w:val="009F3A95"/>
    <w:rsid w:val="009F3C34"/>
    <w:rsid w:val="009F462C"/>
    <w:rsid w:val="009F46A8"/>
    <w:rsid w:val="009F4850"/>
    <w:rsid w:val="009F5C33"/>
    <w:rsid w:val="009F64EE"/>
    <w:rsid w:val="009F7336"/>
    <w:rsid w:val="00A0138C"/>
    <w:rsid w:val="00A026F0"/>
    <w:rsid w:val="00A039BA"/>
    <w:rsid w:val="00A03A83"/>
    <w:rsid w:val="00A03BB9"/>
    <w:rsid w:val="00A03EAC"/>
    <w:rsid w:val="00A04DBB"/>
    <w:rsid w:val="00A06AAA"/>
    <w:rsid w:val="00A06E1F"/>
    <w:rsid w:val="00A077A0"/>
    <w:rsid w:val="00A07EA0"/>
    <w:rsid w:val="00A10CBB"/>
    <w:rsid w:val="00A10EA4"/>
    <w:rsid w:val="00A11772"/>
    <w:rsid w:val="00A11C56"/>
    <w:rsid w:val="00A11CA6"/>
    <w:rsid w:val="00A12D21"/>
    <w:rsid w:val="00A12F2D"/>
    <w:rsid w:val="00A132A4"/>
    <w:rsid w:val="00A14C00"/>
    <w:rsid w:val="00A15E88"/>
    <w:rsid w:val="00A169EC"/>
    <w:rsid w:val="00A16C35"/>
    <w:rsid w:val="00A16CC9"/>
    <w:rsid w:val="00A174FD"/>
    <w:rsid w:val="00A2024E"/>
    <w:rsid w:val="00A20C49"/>
    <w:rsid w:val="00A20E23"/>
    <w:rsid w:val="00A222BD"/>
    <w:rsid w:val="00A22932"/>
    <w:rsid w:val="00A22AD6"/>
    <w:rsid w:val="00A238AA"/>
    <w:rsid w:val="00A240FA"/>
    <w:rsid w:val="00A2453E"/>
    <w:rsid w:val="00A24E98"/>
    <w:rsid w:val="00A25A8B"/>
    <w:rsid w:val="00A25D03"/>
    <w:rsid w:val="00A269CA"/>
    <w:rsid w:val="00A27208"/>
    <w:rsid w:val="00A27DC1"/>
    <w:rsid w:val="00A3059D"/>
    <w:rsid w:val="00A30FED"/>
    <w:rsid w:val="00A3132C"/>
    <w:rsid w:val="00A3165E"/>
    <w:rsid w:val="00A31947"/>
    <w:rsid w:val="00A332C7"/>
    <w:rsid w:val="00A336EE"/>
    <w:rsid w:val="00A33F46"/>
    <w:rsid w:val="00A3427E"/>
    <w:rsid w:val="00A34F42"/>
    <w:rsid w:val="00A35429"/>
    <w:rsid w:val="00A359AC"/>
    <w:rsid w:val="00A35C36"/>
    <w:rsid w:val="00A35DB3"/>
    <w:rsid w:val="00A35E29"/>
    <w:rsid w:val="00A360AB"/>
    <w:rsid w:val="00A36ED5"/>
    <w:rsid w:val="00A37CD1"/>
    <w:rsid w:val="00A37E05"/>
    <w:rsid w:val="00A40F83"/>
    <w:rsid w:val="00A410BB"/>
    <w:rsid w:val="00A410FB"/>
    <w:rsid w:val="00A41413"/>
    <w:rsid w:val="00A41949"/>
    <w:rsid w:val="00A431E6"/>
    <w:rsid w:val="00A436E8"/>
    <w:rsid w:val="00A44631"/>
    <w:rsid w:val="00A44A98"/>
    <w:rsid w:val="00A45504"/>
    <w:rsid w:val="00A45FB1"/>
    <w:rsid w:val="00A46A0F"/>
    <w:rsid w:val="00A46CCC"/>
    <w:rsid w:val="00A476AA"/>
    <w:rsid w:val="00A47996"/>
    <w:rsid w:val="00A50645"/>
    <w:rsid w:val="00A508C2"/>
    <w:rsid w:val="00A51A9C"/>
    <w:rsid w:val="00A51CFE"/>
    <w:rsid w:val="00A5204D"/>
    <w:rsid w:val="00A53504"/>
    <w:rsid w:val="00A53899"/>
    <w:rsid w:val="00A559B4"/>
    <w:rsid w:val="00A562ED"/>
    <w:rsid w:val="00A56E77"/>
    <w:rsid w:val="00A574CE"/>
    <w:rsid w:val="00A57F99"/>
    <w:rsid w:val="00A61605"/>
    <w:rsid w:val="00A619B5"/>
    <w:rsid w:val="00A61B7B"/>
    <w:rsid w:val="00A62170"/>
    <w:rsid w:val="00A62375"/>
    <w:rsid w:val="00A62CFF"/>
    <w:rsid w:val="00A6376B"/>
    <w:rsid w:val="00A63C01"/>
    <w:rsid w:val="00A65779"/>
    <w:rsid w:val="00A65A4E"/>
    <w:rsid w:val="00A65F97"/>
    <w:rsid w:val="00A66AC9"/>
    <w:rsid w:val="00A6729D"/>
    <w:rsid w:val="00A67350"/>
    <w:rsid w:val="00A676B1"/>
    <w:rsid w:val="00A67D9B"/>
    <w:rsid w:val="00A71388"/>
    <w:rsid w:val="00A714C5"/>
    <w:rsid w:val="00A715AF"/>
    <w:rsid w:val="00A71F5D"/>
    <w:rsid w:val="00A721BF"/>
    <w:rsid w:val="00A7369C"/>
    <w:rsid w:val="00A73B04"/>
    <w:rsid w:val="00A74482"/>
    <w:rsid w:val="00A76C13"/>
    <w:rsid w:val="00A77368"/>
    <w:rsid w:val="00A80511"/>
    <w:rsid w:val="00A80DAC"/>
    <w:rsid w:val="00A82C37"/>
    <w:rsid w:val="00A83FAC"/>
    <w:rsid w:val="00A84FD0"/>
    <w:rsid w:val="00A858C2"/>
    <w:rsid w:val="00A8713E"/>
    <w:rsid w:val="00A9104B"/>
    <w:rsid w:val="00A91A80"/>
    <w:rsid w:val="00A92E79"/>
    <w:rsid w:val="00A93243"/>
    <w:rsid w:val="00A950B6"/>
    <w:rsid w:val="00A95196"/>
    <w:rsid w:val="00A95B4B"/>
    <w:rsid w:val="00A95D45"/>
    <w:rsid w:val="00A97FC7"/>
    <w:rsid w:val="00AA040C"/>
    <w:rsid w:val="00AA0A6F"/>
    <w:rsid w:val="00AA0D1F"/>
    <w:rsid w:val="00AA0F48"/>
    <w:rsid w:val="00AA1600"/>
    <w:rsid w:val="00AA1BCA"/>
    <w:rsid w:val="00AA2425"/>
    <w:rsid w:val="00AA2439"/>
    <w:rsid w:val="00AA32C4"/>
    <w:rsid w:val="00AA3EA8"/>
    <w:rsid w:val="00AA3F76"/>
    <w:rsid w:val="00AA4026"/>
    <w:rsid w:val="00AA4144"/>
    <w:rsid w:val="00AA4BE5"/>
    <w:rsid w:val="00AA6F75"/>
    <w:rsid w:val="00AB07E0"/>
    <w:rsid w:val="00AB0AF2"/>
    <w:rsid w:val="00AB165F"/>
    <w:rsid w:val="00AB1EA5"/>
    <w:rsid w:val="00AB2516"/>
    <w:rsid w:val="00AB362E"/>
    <w:rsid w:val="00AB367D"/>
    <w:rsid w:val="00AB3C80"/>
    <w:rsid w:val="00AB3F54"/>
    <w:rsid w:val="00AB3FA4"/>
    <w:rsid w:val="00AB41C1"/>
    <w:rsid w:val="00AB4211"/>
    <w:rsid w:val="00AB49D5"/>
    <w:rsid w:val="00AB4CF2"/>
    <w:rsid w:val="00AB532B"/>
    <w:rsid w:val="00AB545E"/>
    <w:rsid w:val="00AB6A87"/>
    <w:rsid w:val="00AB6CCA"/>
    <w:rsid w:val="00AB6E66"/>
    <w:rsid w:val="00AB7AC7"/>
    <w:rsid w:val="00AC0F3D"/>
    <w:rsid w:val="00AC1AE7"/>
    <w:rsid w:val="00AC1D65"/>
    <w:rsid w:val="00AC223F"/>
    <w:rsid w:val="00AC2F30"/>
    <w:rsid w:val="00AC33B1"/>
    <w:rsid w:val="00AC3EB3"/>
    <w:rsid w:val="00AC4F2F"/>
    <w:rsid w:val="00AC5532"/>
    <w:rsid w:val="00AC5D6F"/>
    <w:rsid w:val="00AC5F11"/>
    <w:rsid w:val="00AC76C7"/>
    <w:rsid w:val="00AC770A"/>
    <w:rsid w:val="00AC7893"/>
    <w:rsid w:val="00AD0E12"/>
    <w:rsid w:val="00AD12A8"/>
    <w:rsid w:val="00AD2BEA"/>
    <w:rsid w:val="00AD37CC"/>
    <w:rsid w:val="00AD41B0"/>
    <w:rsid w:val="00AD5880"/>
    <w:rsid w:val="00AD6AC7"/>
    <w:rsid w:val="00AE01E7"/>
    <w:rsid w:val="00AE023F"/>
    <w:rsid w:val="00AE07B9"/>
    <w:rsid w:val="00AE0DE6"/>
    <w:rsid w:val="00AE0E2A"/>
    <w:rsid w:val="00AE1418"/>
    <w:rsid w:val="00AE164B"/>
    <w:rsid w:val="00AE19A4"/>
    <w:rsid w:val="00AE1BC1"/>
    <w:rsid w:val="00AE1C91"/>
    <w:rsid w:val="00AE2A4E"/>
    <w:rsid w:val="00AE2F47"/>
    <w:rsid w:val="00AE351B"/>
    <w:rsid w:val="00AE40F3"/>
    <w:rsid w:val="00AE449C"/>
    <w:rsid w:val="00AE4940"/>
    <w:rsid w:val="00AE5ECF"/>
    <w:rsid w:val="00AE60D6"/>
    <w:rsid w:val="00AE62B1"/>
    <w:rsid w:val="00AE6C6D"/>
    <w:rsid w:val="00AE7683"/>
    <w:rsid w:val="00AF29CC"/>
    <w:rsid w:val="00AF3577"/>
    <w:rsid w:val="00AF35F9"/>
    <w:rsid w:val="00AF526C"/>
    <w:rsid w:val="00AF55FA"/>
    <w:rsid w:val="00AF5CDC"/>
    <w:rsid w:val="00AF69D1"/>
    <w:rsid w:val="00AF70CE"/>
    <w:rsid w:val="00AF73D7"/>
    <w:rsid w:val="00AF7BAA"/>
    <w:rsid w:val="00B0057E"/>
    <w:rsid w:val="00B00ACA"/>
    <w:rsid w:val="00B01B12"/>
    <w:rsid w:val="00B0214D"/>
    <w:rsid w:val="00B026B5"/>
    <w:rsid w:val="00B034AE"/>
    <w:rsid w:val="00B038A8"/>
    <w:rsid w:val="00B040B2"/>
    <w:rsid w:val="00B0424C"/>
    <w:rsid w:val="00B05C7D"/>
    <w:rsid w:val="00B05F98"/>
    <w:rsid w:val="00B065C6"/>
    <w:rsid w:val="00B07912"/>
    <w:rsid w:val="00B1013E"/>
    <w:rsid w:val="00B10490"/>
    <w:rsid w:val="00B10E87"/>
    <w:rsid w:val="00B113C7"/>
    <w:rsid w:val="00B13F02"/>
    <w:rsid w:val="00B15D1B"/>
    <w:rsid w:val="00B15D57"/>
    <w:rsid w:val="00B16341"/>
    <w:rsid w:val="00B16347"/>
    <w:rsid w:val="00B1658A"/>
    <w:rsid w:val="00B16776"/>
    <w:rsid w:val="00B17D6E"/>
    <w:rsid w:val="00B207FA"/>
    <w:rsid w:val="00B21134"/>
    <w:rsid w:val="00B218C6"/>
    <w:rsid w:val="00B21CB9"/>
    <w:rsid w:val="00B230EF"/>
    <w:rsid w:val="00B23519"/>
    <w:rsid w:val="00B23CCB"/>
    <w:rsid w:val="00B23DA3"/>
    <w:rsid w:val="00B2435E"/>
    <w:rsid w:val="00B300CF"/>
    <w:rsid w:val="00B30A02"/>
    <w:rsid w:val="00B311AC"/>
    <w:rsid w:val="00B33149"/>
    <w:rsid w:val="00B33970"/>
    <w:rsid w:val="00B346C3"/>
    <w:rsid w:val="00B347D1"/>
    <w:rsid w:val="00B349ED"/>
    <w:rsid w:val="00B34A94"/>
    <w:rsid w:val="00B34B57"/>
    <w:rsid w:val="00B3611F"/>
    <w:rsid w:val="00B363A6"/>
    <w:rsid w:val="00B36D20"/>
    <w:rsid w:val="00B36E76"/>
    <w:rsid w:val="00B4005C"/>
    <w:rsid w:val="00B402BF"/>
    <w:rsid w:val="00B40589"/>
    <w:rsid w:val="00B40EBF"/>
    <w:rsid w:val="00B41F75"/>
    <w:rsid w:val="00B4227E"/>
    <w:rsid w:val="00B4340E"/>
    <w:rsid w:val="00B43C12"/>
    <w:rsid w:val="00B44015"/>
    <w:rsid w:val="00B4471C"/>
    <w:rsid w:val="00B451A6"/>
    <w:rsid w:val="00B45391"/>
    <w:rsid w:val="00B454AD"/>
    <w:rsid w:val="00B4635F"/>
    <w:rsid w:val="00B4637D"/>
    <w:rsid w:val="00B46868"/>
    <w:rsid w:val="00B46A78"/>
    <w:rsid w:val="00B5159C"/>
    <w:rsid w:val="00B51D41"/>
    <w:rsid w:val="00B52B35"/>
    <w:rsid w:val="00B53A33"/>
    <w:rsid w:val="00B53D9D"/>
    <w:rsid w:val="00B54EF6"/>
    <w:rsid w:val="00B55735"/>
    <w:rsid w:val="00B55A4E"/>
    <w:rsid w:val="00B56D6E"/>
    <w:rsid w:val="00B56E93"/>
    <w:rsid w:val="00B57548"/>
    <w:rsid w:val="00B57880"/>
    <w:rsid w:val="00B619E5"/>
    <w:rsid w:val="00B61B66"/>
    <w:rsid w:val="00B61E82"/>
    <w:rsid w:val="00B6240B"/>
    <w:rsid w:val="00B628D1"/>
    <w:rsid w:val="00B6294A"/>
    <w:rsid w:val="00B62D02"/>
    <w:rsid w:val="00B64347"/>
    <w:rsid w:val="00B651A2"/>
    <w:rsid w:val="00B652D7"/>
    <w:rsid w:val="00B65664"/>
    <w:rsid w:val="00B65BE6"/>
    <w:rsid w:val="00B65DC6"/>
    <w:rsid w:val="00B66109"/>
    <w:rsid w:val="00B66B4D"/>
    <w:rsid w:val="00B67AC2"/>
    <w:rsid w:val="00B7000F"/>
    <w:rsid w:val="00B70D54"/>
    <w:rsid w:val="00B70F65"/>
    <w:rsid w:val="00B713FC"/>
    <w:rsid w:val="00B720B3"/>
    <w:rsid w:val="00B722DE"/>
    <w:rsid w:val="00B72D4C"/>
    <w:rsid w:val="00B72EE3"/>
    <w:rsid w:val="00B73774"/>
    <w:rsid w:val="00B7469D"/>
    <w:rsid w:val="00B749B8"/>
    <w:rsid w:val="00B74A46"/>
    <w:rsid w:val="00B751E3"/>
    <w:rsid w:val="00B75822"/>
    <w:rsid w:val="00B75BA6"/>
    <w:rsid w:val="00B768AA"/>
    <w:rsid w:val="00B76C44"/>
    <w:rsid w:val="00B76E32"/>
    <w:rsid w:val="00B77479"/>
    <w:rsid w:val="00B80638"/>
    <w:rsid w:val="00B8184A"/>
    <w:rsid w:val="00B81CD8"/>
    <w:rsid w:val="00B82283"/>
    <w:rsid w:val="00B828D8"/>
    <w:rsid w:val="00B828E2"/>
    <w:rsid w:val="00B83264"/>
    <w:rsid w:val="00B835CA"/>
    <w:rsid w:val="00B83AF2"/>
    <w:rsid w:val="00B83F87"/>
    <w:rsid w:val="00B84160"/>
    <w:rsid w:val="00B84FA8"/>
    <w:rsid w:val="00B8557B"/>
    <w:rsid w:val="00B85AF4"/>
    <w:rsid w:val="00B85C35"/>
    <w:rsid w:val="00B860CF"/>
    <w:rsid w:val="00B863B2"/>
    <w:rsid w:val="00B86E30"/>
    <w:rsid w:val="00B87CDC"/>
    <w:rsid w:val="00B87FE6"/>
    <w:rsid w:val="00B910C1"/>
    <w:rsid w:val="00B9128E"/>
    <w:rsid w:val="00B91EA9"/>
    <w:rsid w:val="00B933DC"/>
    <w:rsid w:val="00B93852"/>
    <w:rsid w:val="00B94133"/>
    <w:rsid w:val="00B957DB"/>
    <w:rsid w:val="00B95B1C"/>
    <w:rsid w:val="00B96D78"/>
    <w:rsid w:val="00B96DAD"/>
    <w:rsid w:val="00B97953"/>
    <w:rsid w:val="00BA156B"/>
    <w:rsid w:val="00BA1733"/>
    <w:rsid w:val="00BA281B"/>
    <w:rsid w:val="00BA2CA4"/>
    <w:rsid w:val="00BA2EFA"/>
    <w:rsid w:val="00BA398D"/>
    <w:rsid w:val="00BA3DBC"/>
    <w:rsid w:val="00BA40B0"/>
    <w:rsid w:val="00BA46FB"/>
    <w:rsid w:val="00BA523C"/>
    <w:rsid w:val="00BA602A"/>
    <w:rsid w:val="00BA6F08"/>
    <w:rsid w:val="00BA707A"/>
    <w:rsid w:val="00BB1AFB"/>
    <w:rsid w:val="00BB1D20"/>
    <w:rsid w:val="00BB201C"/>
    <w:rsid w:val="00BB27AE"/>
    <w:rsid w:val="00BB2DA2"/>
    <w:rsid w:val="00BB37CC"/>
    <w:rsid w:val="00BB3CE8"/>
    <w:rsid w:val="00BB4173"/>
    <w:rsid w:val="00BB56DC"/>
    <w:rsid w:val="00BB589D"/>
    <w:rsid w:val="00BB69B5"/>
    <w:rsid w:val="00BC035F"/>
    <w:rsid w:val="00BC0D3F"/>
    <w:rsid w:val="00BC1905"/>
    <w:rsid w:val="00BC1C23"/>
    <w:rsid w:val="00BC1EEF"/>
    <w:rsid w:val="00BC316A"/>
    <w:rsid w:val="00BC3396"/>
    <w:rsid w:val="00BC40D6"/>
    <w:rsid w:val="00BC47C3"/>
    <w:rsid w:val="00BC4AAC"/>
    <w:rsid w:val="00BC5B87"/>
    <w:rsid w:val="00BC7418"/>
    <w:rsid w:val="00BC7937"/>
    <w:rsid w:val="00BC79E0"/>
    <w:rsid w:val="00BD1244"/>
    <w:rsid w:val="00BD2752"/>
    <w:rsid w:val="00BD2D22"/>
    <w:rsid w:val="00BD3B6E"/>
    <w:rsid w:val="00BD4AA0"/>
    <w:rsid w:val="00BD6A67"/>
    <w:rsid w:val="00BD7186"/>
    <w:rsid w:val="00BD73F2"/>
    <w:rsid w:val="00BD7420"/>
    <w:rsid w:val="00BD7453"/>
    <w:rsid w:val="00BE03A9"/>
    <w:rsid w:val="00BE0E45"/>
    <w:rsid w:val="00BE183D"/>
    <w:rsid w:val="00BE2925"/>
    <w:rsid w:val="00BE2FDB"/>
    <w:rsid w:val="00BE3BDB"/>
    <w:rsid w:val="00BE6573"/>
    <w:rsid w:val="00BE660A"/>
    <w:rsid w:val="00BE6F03"/>
    <w:rsid w:val="00BE7B4B"/>
    <w:rsid w:val="00BF036E"/>
    <w:rsid w:val="00BF05BE"/>
    <w:rsid w:val="00BF148A"/>
    <w:rsid w:val="00BF1F75"/>
    <w:rsid w:val="00BF24C2"/>
    <w:rsid w:val="00BF2922"/>
    <w:rsid w:val="00BF32D3"/>
    <w:rsid w:val="00BF3BE2"/>
    <w:rsid w:val="00BF3DB3"/>
    <w:rsid w:val="00BF444E"/>
    <w:rsid w:val="00BF4B9D"/>
    <w:rsid w:val="00BF5D7A"/>
    <w:rsid w:val="00BF612B"/>
    <w:rsid w:val="00BF6E87"/>
    <w:rsid w:val="00C00668"/>
    <w:rsid w:val="00C00B41"/>
    <w:rsid w:val="00C013D8"/>
    <w:rsid w:val="00C01952"/>
    <w:rsid w:val="00C019A9"/>
    <w:rsid w:val="00C01C2E"/>
    <w:rsid w:val="00C022E1"/>
    <w:rsid w:val="00C02731"/>
    <w:rsid w:val="00C02868"/>
    <w:rsid w:val="00C02BDE"/>
    <w:rsid w:val="00C02D33"/>
    <w:rsid w:val="00C031B6"/>
    <w:rsid w:val="00C0341B"/>
    <w:rsid w:val="00C04141"/>
    <w:rsid w:val="00C04B53"/>
    <w:rsid w:val="00C05083"/>
    <w:rsid w:val="00C05B39"/>
    <w:rsid w:val="00C064F8"/>
    <w:rsid w:val="00C06CBC"/>
    <w:rsid w:val="00C06EC4"/>
    <w:rsid w:val="00C07360"/>
    <w:rsid w:val="00C0737F"/>
    <w:rsid w:val="00C1014B"/>
    <w:rsid w:val="00C1112E"/>
    <w:rsid w:val="00C1232C"/>
    <w:rsid w:val="00C12BA6"/>
    <w:rsid w:val="00C12CF3"/>
    <w:rsid w:val="00C13964"/>
    <w:rsid w:val="00C13A26"/>
    <w:rsid w:val="00C13B63"/>
    <w:rsid w:val="00C13DD0"/>
    <w:rsid w:val="00C13DD3"/>
    <w:rsid w:val="00C1506D"/>
    <w:rsid w:val="00C152CC"/>
    <w:rsid w:val="00C15C1B"/>
    <w:rsid w:val="00C16134"/>
    <w:rsid w:val="00C165B1"/>
    <w:rsid w:val="00C16ACC"/>
    <w:rsid w:val="00C210AE"/>
    <w:rsid w:val="00C2126D"/>
    <w:rsid w:val="00C21E75"/>
    <w:rsid w:val="00C22B07"/>
    <w:rsid w:val="00C22B6C"/>
    <w:rsid w:val="00C23F81"/>
    <w:rsid w:val="00C25C55"/>
    <w:rsid w:val="00C268AB"/>
    <w:rsid w:val="00C26EAF"/>
    <w:rsid w:val="00C275B1"/>
    <w:rsid w:val="00C27C6B"/>
    <w:rsid w:val="00C27CC5"/>
    <w:rsid w:val="00C30A5A"/>
    <w:rsid w:val="00C313A3"/>
    <w:rsid w:val="00C31907"/>
    <w:rsid w:val="00C31AE1"/>
    <w:rsid w:val="00C33537"/>
    <w:rsid w:val="00C34A3D"/>
    <w:rsid w:val="00C3594D"/>
    <w:rsid w:val="00C35C00"/>
    <w:rsid w:val="00C3602D"/>
    <w:rsid w:val="00C36104"/>
    <w:rsid w:val="00C3631B"/>
    <w:rsid w:val="00C36442"/>
    <w:rsid w:val="00C36C7C"/>
    <w:rsid w:val="00C37319"/>
    <w:rsid w:val="00C378A4"/>
    <w:rsid w:val="00C400CE"/>
    <w:rsid w:val="00C40317"/>
    <w:rsid w:val="00C410FD"/>
    <w:rsid w:val="00C41F3F"/>
    <w:rsid w:val="00C42047"/>
    <w:rsid w:val="00C42133"/>
    <w:rsid w:val="00C42DBF"/>
    <w:rsid w:val="00C436A5"/>
    <w:rsid w:val="00C43A2A"/>
    <w:rsid w:val="00C43B68"/>
    <w:rsid w:val="00C44274"/>
    <w:rsid w:val="00C45433"/>
    <w:rsid w:val="00C457DE"/>
    <w:rsid w:val="00C45E3F"/>
    <w:rsid w:val="00C46A21"/>
    <w:rsid w:val="00C46F6C"/>
    <w:rsid w:val="00C47431"/>
    <w:rsid w:val="00C47DD3"/>
    <w:rsid w:val="00C501C2"/>
    <w:rsid w:val="00C50C26"/>
    <w:rsid w:val="00C516A6"/>
    <w:rsid w:val="00C5200B"/>
    <w:rsid w:val="00C52D47"/>
    <w:rsid w:val="00C5316F"/>
    <w:rsid w:val="00C53562"/>
    <w:rsid w:val="00C539F2"/>
    <w:rsid w:val="00C539FB"/>
    <w:rsid w:val="00C53D2B"/>
    <w:rsid w:val="00C55298"/>
    <w:rsid w:val="00C556E4"/>
    <w:rsid w:val="00C564F3"/>
    <w:rsid w:val="00C57B2E"/>
    <w:rsid w:val="00C57EE5"/>
    <w:rsid w:val="00C602ED"/>
    <w:rsid w:val="00C62A6F"/>
    <w:rsid w:val="00C62EC0"/>
    <w:rsid w:val="00C63E6C"/>
    <w:rsid w:val="00C663E2"/>
    <w:rsid w:val="00C665DD"/>
    <w:rsid w:val="00C66AA3"/>
    <w:rsid w:val="00C66E57"/>
    <w:rsid w:val="00C670DE"/>
    <w:rsid w:val="00C703D7"/>
    <w:rsid w:val="00C7061F"/>
    <w:rsid w:val="00C70704"/>
    <w:rsid w:val="00C71363"/>
    <w:rsid w:val="00C71539"/>
    <w:rsid w:val="00C71F59"/>
    <w:rsid w:val="00C724D7"/>
    <w:rsid w:val="00C72CED"/>
    <w:rsid w:val="00C73CBF"/>
    <w:rsid w:val="00C74150"/>
    <w:rsid w:val="00C74C74"/>
    <w:rsid w:val="00C74E2D"/>
    <w:rsid w:val="00C75158"/>
    <w:rsid w:val="00C75594"/>
    <w:rsid w:val="00C75FC8"/>
    <w:rsid w:val="00C761FC"/>
    <w:rsid w:val="00C7675E"/>
    <w:rsid w:val="00C77A09"/>
    <w:rsid w:val="00C77A45"/>
    <w:rsid w:val="00C80038"/>
    <w:rsid w:val="00C80A85"/>
    <w:rsid w:val="00C814A7"/>
    <w:rsid w:val="00C81BB8"/>
    <w:rsid w:val="00C8257B"/>
    <w:rsid w:val="00C849EA"/>
    <w:rsid w:val="00C85982"/>
    <w:rsid w:val="00C86A48"/>
    <w:rsid w:val="00C873A0"/>
    <w:rsid w:val="00C87784"/>
    <w:rsid w:val="00C9119D"/>
    <w:rsid w:val="00C9230A"/>
    <w:rsid w:val="00C92724"/>
    <w:rsid w:val="00C92BF1"/>
    <w:rsid w:val="00C94E52"/>
    <w:rsid w:val="00C94E59"/>
    <w:rsid w:val="00C9615A"/>
    <w:rsid w:val="00C9644C"/>
    <w:rsid w:val="00CA0022"/>
    <w:rsid w:val="00CA0169"/>
    <w:rsid w:val="00CA0466"/>
    <w:rsid w:val="00CA06C0"/>
    <w:rsid w:val="00CA1306"/>
    <w:rsid w:val="00CA14B2"/>
    <w:rsid w:val="00CA16C6"/>
    <w:rsid w:val="00CA19A6"/>
    <w:rsid w:val="00CA246D"/>
    <w:rsid w:val="00CA35C9"/>
    <w:rsid w:val="00CA37A8"/>
    <w:rsid w:val="00CA50D9"/>
    <w:rsid w:val="00CA510B"/>
    <w:rsid w:val="00CA564C"/>
    <w:rsid w:val="00CA594F"/>
    <w:rsid w:val="00CA5AA6"/>
    <w:rsid w:val="00CA5CFA"/>
    <w:rsid w:val="00CA5E07"/>
    <w:rsid w:val="00CA627F"/>
    <w:rsid w:val="00CA688B"/>
    <w:rsid w:val="00CA6AF6"/>
    <w:rsid w:val="00CA6FBC"/>
    <w:rsid w:val="00CA73F5"/>
    <w:rsid w:val="00CA7BEA"/>
    <w:rsid w:val="00CB09A4"/>
    <w:rsid w:val="00CB0BE9"/>
    <w:rsid w:val="00CB282F"/>
    <w:rsid w:val="00CB2E31"/>
    <w:rsid w:val="00CB3054"/>
    <w:rsid w:val="00CB3B68"/>
    <w:rsid w:val="00CB43D5"/>
    <w:rsid w:val="00CB46E9"/>
    <w:rsid w:val="00CB5636"/>
    <w:rsid w:val="00CB5F30"/>
    <w:rsid w:val="00CB7BCB"/>
    <w:rsid w:val="00CC3EE5"/>
    <w:rsid w:val="00CC4194"/>
    <w:rsid w:val="00CC4846"/>
    <w:rsid w:val="00CC4C5F"/>
    <w:rsid w:val="00CC6B62"/>
    <w:rsid w:val="00CC6E47"/>
    <w:rsid w:val="00CD05A6"/>
    <w:rsid w:val="00CD1346"/>
    <w:rsid w:val="00CD23E3"/>
    <w:rsid w:val="00CD2A50"/>
    <w:rsid w:val="00CD2CD1"/>
    <w:rsid w:val="00CD34F9"/>
    <w:rsid w:val="00CD3C86"/>
    <w:rsid w:val="00CD3CE5"/>
    <w:rsid w:val="00CD469D"/>
    <w:rsid w:val="00CD642B"/>
    <w:rsid w:val="00CD6620"/>
    <w:rsid w:val="00CD69F0"/>
    <w:rsid w:val="00CD7B90"/>
    <w:rsid w:val="00CE246C"/>
    <w:rsid w:val="00CE3190"/>
    <w:rsid w:val="00CE425C"/>
    <w:rsid w:val="00CE4435"/>
    <w:rsid w:val="00CE4EB6"/>
    <w:rsid w:val="00CE5437"/>
    <w:rsid w:val="00CE5578"/>
    <w:rsid w:val="00CE58AC"/>
    <w:rsid w:val="00CE663F"/>
    <w:rsid w:val="00CE703C"/>
    <w:rsid w:val="00CE731F"/>
    <w:rsid w:val="00CE74F3"/>
    <w:rsid w:val="00CE7AC1"/>
    <w:rsid w:val="00CE7B91"/>
    <w:rsid w:val="00CF1F9E"/>
    <w:rsid w:val="00CF26F1"/>
    <w:rsid w:val="00CF2CE6"/>
    <w:rsid w:val="00CF436A"/>
    <w:rsid w:val="00CF4FDD"/>
    <w:rsid w:val="00CF5A80"/>
    <w:rsid w:val="00CF6581"/>
    <w:rsid w:val="00CF6933"/>
    <w:rsid w:val="00CF6E13"/>
    <w:rsid w:val="00CF78E7"/>
    <w:rsid w:val="00CF7D68"/>
    <w:rsid w:val="00D013A8"/>
    <w:rsid w:val="00D01ED6"/>
    <w:rsid w:val="00D0205A"/>
    <w:rsid w:val="00D02C3A"/>
    <w:rsid w:val="00D043EA"/>
    <w:rsid w:val="00D045EE"/>
    <w:rsid w:val="00D05091"/>
    <w:rsid w:val="00D0587E"/>
    <w:rsid w:val="00D06033"/>
    <w:rsid w:val="00D061D1"/>
    <w:rsid w:val="00D0718F"/>
    <w:rsid w:val="00D1061A"/>
    <w:rsid w:val="00D1063F"/>
    <w:rsid w:val="00D10C96"/>
    <w:rsid w:val="00D10CA6"/>
    <w:rsid w:val="00D10F21"/>
    <w:rsid w:val="00D12360"/>
    <w:rsid w:val="00D12FA5"/>
    <w:rsid w:val="00D134CF"/>
    <w:rsid w:val="00D140D4"/>
    <w:rsid w:val="00D144D4"/>
    <w:rsid w:val="00D1573B"/>
    <w:rsid w:val="00D15B91"/>
    <w:rsid w:val="00D178CD"/>
    <w:rsid w:val="00D203B5"/>
    <w:rsid w:val="00D2203F"/>
    <w:rsid w:val="00D22638"/>
    <w:rsid w:val="00D22B63"/>
    <w:rsid w:val="00D22BA8"/>
    <w:rsid w:val="00D2367F"/>
    <w:rsid w:val="00D24806"/>
    <w:rsid w:val="00D24D80"/>
    <w:rsid w:val="00D25422"/>
    <w:rsid w:val="00D25A83"/>
    <w:rsid w:val="00D25C08"/>
    <w:rsid w:val="00D26521"/>
    <w:rsid w:val="00D26E2A"/>
    <w:rsid w:val="00D27A29"/>
    <w:rsid w:val="00D30CC3"/>
    <w:rsid w:val="00D3112E"/>
    <w:rsid w:val="00D31EDD"/>
    <w:rsid w:val="00D327FD"/>
    <w:rsid w:val="00D33024"/>
    <w:rsid w:val="00D335BF"/>
    <w:rsid w:val="00D33A22"/>
    <w:rsid w:val="00D33EB5"/>
    <w:rsid w:val="00D34040"/>
    <w:rsid w:val="00D34E69"/>
    <w:rsid w:val="00D36C78"/>
    <w:rsid w:val="00D375EE"/>
    <w:rsid w:val="00D4034B"/>
    <w:rsid w:val="00D418A6"/>
    <w:rsid w:val="00D419EF"/>
    <w:rsid w:val="00D427F4"/>
    <w:rsid w:val="00D42CB8"/>
    <w:rsid w:val="00D42E37"/>
    <w:rsid w:val="00D43CBD"/>
    <w:rsid w:val="00D4452F"/>
    <w:rsid w:val="00D46BF4"/>
    <w:rsid w:val="00D470FA"/>
    <w:rsid w:val="00D4714C"/>
    <w:rsid w:val="00D50CEE"/>
    <w:rsid w:val="00D54621"/>
    <w:rsid w:val="00D55943"/>
    <w:rsid w:val="00D55AE8"/>
    <w:rsid w:val="00D56056"/>
    <w:rsid w:val="00D560EF"/>
    <w:rsid w:val="00D6085F"/>
    <w:rsid w:val="00D60AB4"/>
    <w:rsid w:val="00D6116B"/>
    <w:rsid w:val="00D61F05"/>
    <w:rsid w:val="00D62699"/>
    <w:rsid w:val="00D62F0B"/>
    <w:rsid w:val="00D64070"/>
    <w:rsid w:val="00D640E9"/>
    <w:rsid w:val="00D6422A"/>
    <w:rsid w:val="00D6595F"/>
    <w:rsid w:val="00D6716F"/>
    <w:rsid w:val="00D672AB"/>
    <w:rsid w:val="00D674F1"/>
    <w:rsid w:val="00D6756E"/>
    <w:rsid w:val="00D6790C"/>
    <w:rsid w:val="00D701E7"/>
    <w:rsid w:val="00D70740"/>
    <w:rsid w:val="00D70AF8"/>
    <w:rsid w:val="00D70D04"/>
    <w:rsid w:val="00D70ED9"/>
    <w:rsid w:val="00D71B86"/>
    <w:rsid w:val="00D724EF"/>
    <w:rsid w:val="00D72A76"/>
    <w:rsid w:val="00D72D0F"/>
    <w:rsid w:val="00D732E9"/>
    <w:rsid w:val="00D74A57"/>
    <w:rsid w:val="00D75476"/>
    <w:rsid w:val="00D75C13"/>
    <w:rsid w:val="00D77506"/>
    <w:rsid w:val="00D778E9"/>
    <w:rsid w:val="00D7795E"/>
    <w:rsid w:val="00D77F1E"/>
    <w:rsid w:val="00D812BF"/>
    <w:rsid w:val="00D82620"/>
    <w:rsid w:val="00D82BA4"/>
    <w:rsid w:val="00D82C8C"/>
    <w:rsid w:val="00D83D1F"/>
    <w:rsid w:val="00D83D7F"/>
    <w:rsid w:val="00D845AE"/>
    <w:rsid w:val="00D84CEE"/>
    <w:rsid w:val="00D85707"/>
    <w:rsid w:val="00D85FE6"/>
    <w:rsid w:val="00D86DDD"/>
    <w:rsid w:val="00D86ED9"/>
    <w:rsid w:val="00D91A31"/>
    <w:rsid w:val="00D91CB4"/>
    <w:rsid w:val="00D92924"/>
    <w:rsid w:val="00D9399A"/>
    <w:rsid w:val="00D9502C"/>
    <w:rsid w:val="00D96411"/>
    <w:rsid w:val="00D9725F"/>
    <w:rsid w:val="00DA01B1"/>
    <w:rsid w:val="00DA0BF1"/>
    <w:rsid w:val="00DA11A2"/>
    <w:rsid w:val="00DA14ED"/>
    <w:rsid w:val="00DA1A44"/>
    <w:rsid w:val="00DA2149"/>
    <w:rsid w:val="00DA26D6"/>
    <w:rsid w:val="00DA28A0"/>
    <w:rsid w:val="00DA2FEA"/>
    <w:rsid w:val="00DA4EFD"/>
    <w:rsid w:val="00DA50FF"/>
    <w:rsid w:val="00DA5423"/>
    <w:rsid w:val="00DA55C9"/>
    <w:rsid w:val="00DA66FE"/>
    <w:rsid w:val="00DA6D00"/>
    <w:rsid w:val="00DA7857"/>
    <w:rsid w:val="00DA7C09"/>
    <w:rsid w:val="00DA7C84"/>
    <w:rsid w:val="00DB09C2"/>
    <w:rsid w:val="00DB1969"/>
    <w:rsid w:val="00DB2C14"/>
    <w:rsid w:val="00DB2EF1"/>
    <w:rsid w:val="00DB3746"/>
    <w:rsid w:val="00DB3DE1"/>
    <w:rsid w:val="00DB3FB6"/>
    <w:rsid w:val="00DB46BA"/>
    <w:rsid w:val="00DB561C"/>
    <w:rsid w:val="00DB57B7"/>
    <w:rsid w:val="00DB58E4"/>
    <w:rsid w:val="00DB5A18"/>
    <w:rsid w:val="00DB5DA0"/>
    <w:rsid w:val="00DB6169"/>
    <w:rsid w:val="00DB6B4E"/>
    <w:rsid w:val="00DB6D7B"/>
    <w:rsid w:val="00DB6EFF"/>
    <w:rsid w:val="00DB716C"/>
    <w:rsid w:val="00DB756C"/>
    <w:rsid w:val="00DC05CC"/>
    <w:rsid w:val="00DC25D0"/>
    <w:rsid w:val="00DC37C1"/>
    <w:rsid w:val="00DC3DFA"/>
    <w:rsid w:val="00DC576C"/>
    <w:rsid w:val="00DC5C85"/>
    <w:rsid w:val="00DC6000"/>
    <w:rsid w:val="00DC6CC8"/>
    <w:rsid w:val="00DC6EB3"/>
    <w:rsid w:val="00DC7C5D"/>
    <w:rsid w:val="00DC7EB7"/>
    <w:rsid w:val="00DD1A35"/>
    <w:rsid w:val="00DD1C29"/>
    <w:rsid w:val="00DD28F8"/>
    <w:rsid w:val="00DD3296"/>
    <w:rsid w:val="00DD33CD"/>
    <w:rsid w:val="00DD4236"/>
    <w:rsid w:val="00DD44F1"/>
    <w:rsid w:val="00DD4571"/>
    <w:rsid w:val="00DD6957"/>
    <w:rsid w:val="00DD6E7A"/>
    <w:rsid w:val="00DD6FF2"/>
    <w:rsid w:val="00DD75E1"/>
    <w:rsid w:val="00DD7FD9"/>
    <w:rsid w:val="00DE047A"/>
    <w:rsid w:val="00DE0590"/>
    <w:rsid w:val="00DE0EB2"/>
    <w:rsid w:val="00DE21C2"/>
    <w:rsid w:val="00DE3067"/>
    <w:rsid w:val="00DE3C41"/>
    <w:rsid w:val="00DE469D"/>
    <w:rsid w:val="00DE47AB"/>
    <w:rsid w:val="00DE54B3"/>
    <w:rsid w:val="00DE5891"/>
    <w:rsid w:val="00DE58DB"/>
    <w:rsid w:val="00DE735D"/>
    <w:rsid w:val="00DF002A"/>
    <w:rsid w:val="00DF14E8"/>
    <w:rsid w:val="00DF20A8"/>
    <w:rsid w:val="00DF253B"/>
    <w:rsid w:val="00DF3305"/>
    <w:rsid w:val="00DF37ED"/>
    <w:rsid w:val="00DF3D38"/>
    <w:rsid w:val="00DF3EEE"/>
    <w:rsid w:val="00DF499E"/>
    <w:rsid w:val="00DF7215"/>
    <w:rsid w:val="00DF75E1"/>
    <w:rsid w:val="00E001E3"/>
    <w:rsid w:val="00E004B8"/>
    <w:rsid w:val="00E00BAC"/>
    <w:rsid w:val="00E01721"/>
    <w:rsid w:val="00E0194F"/>
    <w:rsid w:val="00E02031"/>
    <w:rsid w:val="00E025E3"/>
    <w:rsid w:val="00E027BC"/>
    <w:rsid w:val="00E0290C"/>
    <w:rsid w:val="00E03E3E"/>
    <w:rsid w:val="00E045BE"/>
    <w:rsid w:val="00E063EA"/>
    <w:rsid w:val="00E06406"/>
    <w:rsid w:val="00E0670A"/>
    <w:rsid w:val="00E10F0D"/>
    <w:rsid w:val="00E1199B"/>
    <w:rsid w:val="00E12D08"/>
    <w:rsid w:val="00E13CB6"/>
    <w:rsid w:val="00E13EE3"/>
    <w:rsid w:val="00E149C9"/>
    <w:rsid w:val="00E14EA5"/>
    <w:rsid w:val="00E15EC4"/>
    <w:rsid w:val="00E1692E"/>
    <w:rsid w:val="00E16C1A"/>
    <w:rsid w:val="00E2070E"/>
    <w:rsid w:val="00E21133"/>
    <w:rsid w:val="00E212FA"/>
    <w:rsid w:val="00E21575"/>
    <w:rsid w:val="00E221E6"/>
    <w:rsid w:val="00E22922"/>
    <w:rsid w:val="00E2327E"/>
    <w:rsid w:val="00E23577"/>
    <w:rsid w:val="00E24B05"/>
    <w:rsid w:val="00E266AC"/>
    <w:rsid w:val="00E266EF"/>
    <w:rsid w:val="00E26D2F"/>
    <w:rsid w:val="00E27401"/>
    <w:rsid w:val="00E306FB"/>
    <w:rsid w:val="00E312D2"/>
    <w:rsid w:val="00E31807"/>
    <w:rsid w:val="00E320A9"/>
    <w:rsid w:val="00E326A8"/>
    <w:rsid w:val="00E3274D"/>
    <w:rsid w:val="00E329BE"/>
    <w:rsid w:val="00E34BB6"/>
    <w:rsid w:val="00E3661A"/>
    <w:rsid w:val="00E37CFE"/>
    <w:rsid w:val="00E41B12"/>
    <w:rsid w:val="00E41CD2"/>
    <w:rsid w:val="00E41E66"/>
    <w:rsid w:val="00E436FA"/>
    <w:rsid w:val="00E43758"/>
    <w:rsid w:val="00E4450D"/>
    <w:rsid w:val="00E44B4A"/>
    <w:rsid w:val="00E45A8D"/>
    <w:rsid w:val="00E45F01"/>
    <w:rsid w:val="00E46173"/>
    <w:rsid w:val="00E47330"/>
    <w:rsid w:val="00E47428"/>
    <w:rsid w:val="00E5026D"/>
    <w:rsid w:val="00E506C5"/>
    <w:rsid w:val="00E50863"/>
    <w:rsid w:val="00E51689"/>
    <w:rsid w:val="00E5197F"/>
    <w:rsid w:val="00E528B9"/>
    <w:rsid w:val="00E53185"/>
    <w:rsid w:val="00E56C8E"/>
    <w:rsid w:val="00E57028"/>
    <w:rsid w:val="00E570AC"/>
    <w:rsid w:val="00E5716B"/>
    <w:rsid w:val="00E577B7"/>
    <w:rsid w:val="00E57A67"/>
    <w:rsid w:val="00E57F1F"/>
    <w:rsid w:val="00E60B59"/>
    <w:rsid w:val="00E6116C"/>
    <w:rsid w:val="00E6213E"/>
    <w:rsid w:val="00E623A0"/>
    <w:rsid w:val="00E631F1"/>
    <w:rsid w:val="00E6482D"/>
    <w:rsid w:val="00E64C95"/>
    <w:rsid w:val="00E66085"/>
    <w:rsid w:val="00E66B9F"/>
    <w:rsid w:val="00E66ED0"/>
    <w:rsid w:val="00E70670"/>
    <w:rsid w:val="00E70A6A"/>
    <w:rsid w:val="00E70EE6"/>
    <w:rsid w:val="00E710D6"/>
    <w:rsid w:val="00E71224"/>
    <w:rsid w:val="00E725C5"/>
    <w:rsid w:val="00E73649"/>
    <w:rsid w:val="00E737A5"/>
    <w:rsid w:val="00E73DA4"/>
    <w:rsid w:val="00E76990"/>
    <w:rsid w:val="00E76A9B"/>
    <w:rsid w:val="00E76E45"/>
    <w:rsid w:val="00E777C9"/>
    <w:rsid w:val="00E8023F"/>
    <w:rsid w:val="00E8127C"/>
    <w:rsid w:val="00E81DA6"/>
    <w:rsid w:val="00E823F7"/>
    <w:rsid w:val="00E82879"/>
    <w:rsid w:val="00E83B2E"/>
    <w:rsid w:val="00E84206"/>
    <w:rsid w:val="00E84212"/>
    <w:rsid w:val="00E855A6"/>
    <w:rsid w:val="00E86497"/>
    <w:rsid w:val="00E8675C"/>
    <w:rsid w:val="00E870A9"/>
    <w:rsid w:val="00E87859"/>
    <w:rsid w:val="00E90695"/>
    <w:rsid w:val="00E9070C"/>
    <w:rsid w:val="00E9086C"/>
    <w:rsid w:val="00E90AAA"/>
    <w:rsid w:val="00E91691"/>
    <w:rsid w:val="00E91A0F"/>
    <w:rsid w:val="00E91AFF"/>
    <w:rsid w:val="00E91E26"/>
    <w:rsid w:val="00E93273"/>
    <w:rsid w:val="00E93DE8"/>
    <w:rsid w:val="00E9409B"/>
    <w:rsid w:val="00E9487C"/>
    <w:rsid w:val="00E94A71"/>
    <w:rsid w:val="00E94CBF"/>
    <w:rsid w:val="00E94F87"/>
    <w:rsid w:val="00E95CEF"/>
    <w:rsid w:val="00EA01B2"/>
    <w:rsid w:val="00EA03CE"/>
    <w:rsid w:val="00EA074D"/>
    <w:rsid w:val="00EA0C0E"/>
    <w:rsid w:val="00EA2346"/>
    <w:rsid w:val="00EA234F"/>
    <w:rsid w:val="00EA23E5"/>
    <w:rsid w:val="00EA2FDB"/>
    <w:rsid w:val="00EA38A6"/>
    <w:rsid w:val="00EA4E2E"/>
    <w:rsid w:val="00EA5318"/>
    <w:rsid w:val="00EA576B"/>
    <w:rsid w:val="00EA57F2"/>
    <w:rsid w:val="00EB2417"/>
    <w:rsid w:val="00EB2600"/>
    <w:rsid w:val="00EB2CCB"/>
    <w:rsid w:val="00EB32E5"/>
    <w:rsid w:val="00EB3837"/>
    <w:rsid w:val="00EB3C81"/>
    <w:rsid w:val="00EB403B"/>
    <w:rsid w:val="00EB5C2D"/>
    <w:rsid w:val="00EB6276"/>
    <w:rsid w:val="00EB6876"/>
    <w:rsid w:val="00EB7A25"/>
    <w:rsid w:val="00EC0243"/>
    <w:rsid w:val="00EC0F3E"/>
    <w:rsid w:val="00EC365E"/>
    <w:rsid w:val="00EC3698"/>
    <w:rsid w:val="00EC3D8D"/>
    <w:rsid w:val="00EC3E19"/>
    <w:rsid w:val="00EC4893"/>
    <w:rsid w:val="00EC4ABC"/>
    <w:rsid w:val="00EC57A7"/>
    <w:rsid w:val="00EC6699"/>
    <w:rsid w:val="00EC66B7"/>
    <w:rsid w:val="00EC6E49"/>
    <w:rsid w:val="00EC6EC1"/>
    <w:rsid w:val="00EC7497"/>
    <w:rsid w:val="00EC7E8E"/>
    <w:rsid w:val="00ED0817"/>
    <w:rsid w:val="00ED0F84"/>
    <w:rsid w:val="00ED16B9"/>
    <w:rsid w:val="00ED4AF3"/>
    <w:rsid w:val="00ED5A86"/>
    <w:rsid w:val="00ED5DF8"/>
    <w:rsid w:val="00ED5F7F"/>
    <w:rsid w:val="00ED683B"/>
    <w:rsid w:val="00ED6A0F"/>
    <w:rsid w:val="00ED7DD9"/>
    <w:rsid w:val="00ED7F6F"/>
    <w:rsid w:val="00EE091D"/>
    <w:rsid w:val="00EE3436"/>
    <w:rsid w:val="00EE3509"/>
    <w:rsid w:val="00EE3795"/>
    <w:rsid w:val="00EE37DE"/>
    <w:rsid w:val="00EE3BB5"/>
    <w:rsid w:val="00EE445B"/>
    <w:rsid w:val="00EE46F8"/>
    <w:rsid w:val="00EE46FE"/>
    <w:rsid w:val="00EE496B"/>
    <w:rsid w:val="00EE5E89"/>
    <w:rsid w:val="00EE6E34"/>
    <w:rsid w:val="00EE6FED"/>
    <w:rsid w:val="00EE7F06"/>
    <w:rsid w:val="00EF04BF"/>
    <w:rsid w:val="00EF1888"/>
    <w:rsid w:val="00EF214E"/>
    <w:rsid w:val="00EF262A"/>
    <w:rsid w:val="00EF3113"/>
    <w:rsid w:val="00EF332F"/>
    <w:rsid w:val="00EF348F"/>
    <w:rsid w:val="00EF3C5A"/>
    <w:rsid w:val="00EF3DC2"/>
    <w:rsid w:val="00EF3F84"/>
    <w:rsid w:val="00EF5BFD"/>
    <w:rsid w:val="00EF6A40"/>
    <w:rsid w:val="00EF7B01"/>
    <w:rsid w:val="00F00EC3"/>
    <w:rsid w:val="00F02476"/>
    <w:rsid w:val="00F02935"/>
    <w:rsid w:val="00F02C0B"/>
    <w:rsid w:val="00F02D7F"/>
    <w:rsid w:val="00F03B3D"/>
    <w:rsid w:val="00F05181"/>
    <w:rsid w:val="00F0559E"/>
    <w:rsid w:val="00F05E15"/>
    <w:rsid w:val="00F10A21"/>
    <w:rsid w:val="00F10E2C"/>
    <w:rsid w:val="00F1197D"/>
    <w:rsid w:val="00F122B2"/>
    <w:rsid w:val="00F1293A"/>
    <w:rsid w:val="00F14068"/>
    <w:rsid w:val="00F14514"/>
    <w:rsid w:val="00F15DE4"/>
    <w:rsid w:val="00F162B3"/>
    <w:rsid w:val="00F17312"/>
    <w:rsid w:val="00F176AC"/>
    <w:rsid w:val="00F17E63"/>
    <w:rsid w:val="00F20FCF"/>
    <w:rsid w:val="00F21DE9"/>
    <w:rsid w:val="00F222D4"/>
    <w:rsid w:val="00F22712"/>
    <w:rsid w:val="00F228A2"/>
    <w:rsid w:val="00F23A6A"/>
    <w:rsid w:val="00F24DCC"/>
    <w:rsid w:val="00F259B7"/>
    <w:rsid w:val="00F25EDD"/>
    <w:rsid w:val="00F265C5"/>
    <w:rsid w:val="00F26F28"/>
    <w:rsid w:val="00F26F91"/>
    <w:rsid w:val="00F27714"/>
    <w:rsid w:val="00F305C9"/>
    <w:rsid w:val="00F309A9"/>
    <w:rsid w:val="00F3126C"/>
    <w:rsid w:val="00F3276E"/>
    <w:rsid w:val="00F327A5"/>
    <w:rsid w:val="00F33D3C"/>
    <w:rsid w:val="00F33FF4"/>
    <w:rsid w:val="00F34537"/>
    <w:rsid w:val="00F3481D"/>
    <w:rsid w:val="00F35352"/>
    <w:rsid w:val="00F35606"/>
    <w:rsid w:val="00F356CC"/>
    <w:rsid w:val="00F36AF2"/>
    <w:rsid w:val="00F37A91"/>
    <w:rsid w:val="00F408A0"/>
    <w:rsid w:val="00F4142C"/>
    <w:rsid w:val="00F41EC3"/>
    <w:rsid w:val="00F42308"/>
    <w:rsid w:val="00F424D9"/>
    <w:rsid w:val="00F43B81"/>
    <w:rsid w:val="00F44459"/>
    <w:rsid w:val="00F45CF5"/>
    <w:rsid w:val="00F46359"/>
    <w:rsid w:val="00F46A61"/>
    <w:rsid w:val="00F46B99"/>
    <w:rsid w:val="00F47DB0"/>
    <w:rsid w:val="00F5050D"/>
    <w:rsid w:val="00F50C3F"/>
    <w:rsid w:val="00F50C86"/>
    <w:rsid w:val="00F50DD4"/>
    <w:rsid w:val="00F50E34"/>
    <w:rsid w:val="00F51AFB"/>
    <w:rsid w:val="00F51EDD"/>
    <w:rsid w:val="00F523ED"/>
    <w:rsid w:val="00F53461"/>
    <w:rsid w:val="00F537B2"/>
    <w:rsid w:val="00F53DF0"/>
    <w:rsid w:val="00F53EF7"/>
    <w:rsid w:val="00F54727"/>
    <w:rsid w:val="00F54BF2"/>
    <w:rsid w:val="00F55CC1"/>
    <w:rsid w:val="00F569E0"/>
    <w:rsid w:val="00F573E6"/>
    <w:rsid w:val="00F61C18"/>
    <w:rsid w:val="00F62C8E"/>
    <w:rsid w:val="00F63FE7"/>
    <w:rsid w:val="00F66CC6"/>
    <w:rsid w:val="00F671DA"/>
    <w:rsid w:val="00F709B8"/>
    <w:rsid w:val="00F7138E"/>
    <w:rsid w:val="00F72462"/>
    <w:rsid w:val="00F7267C"/>
    <w:rsid w:val="00F72BFF"/>
    <w:rsid w:val="00F73F88"/>
    <w:rsid w:val="00F74299"/>
    <w:rsid w:val="00F746A1"/>
    <w:rsid w:val="00F75FA8"/>
    <w:rsid w:val="00F767F5"/>
    <w:rsid w:val="00F77310"/>
    <w:rsid w:val="00F7740E"/>
    <w:rsid w:val="00F775AC"/>
    <w:rsid w:val="00F80062"/>
    <w:rsid w:val="00F8242B"/>
    <w:rsid w:val="00F8290B"/>
    <w:rsid w:val="00F83251"/>
    <w:rsid w:val="00F8380A"/>
    <w:rsid w:val="00F83F83"/>
    <w:rsid w:val="00F8475F"/>
    <w:rsid w:val="00F84AE3"/>
    <w:rsid w:val="00F84C74"/>
    <w:rsid w:val="00F869DA"/>
    <w:rsid w:val="00F87333"/>
    <w:rsid w:val="00F87838"/>
    <w:rsid w:val="00F8792F"/>
    <w:rsid w:val="00F87AC8"/>
    <w:rsid w:val="00F90B17"/>
    <w:rsid w:val="00F911D0"/>
    <w:rsid w:val="00F91372"/>
    <w:rsid w:val="00F91EC1"/>
    <w:rsid w:val="00F9214D"/>
    <w:rsid w:val="00F92355"/>
    <w:rsid w:val="00F935B7"/>
    <w:rsid w:val="00F93963"/>
    <w:rsid w:val="00F93F91"/>
    <w:rsid w:val="00F94291"/>
    <w:rsid w:val="00F95A07"/>
    <w:rsid w:val="00F96455"/>
    <w:rsid w:val="00F97DFB"/>
    <w:rsid w:val="00FA00CD"/>
    <w:rsid w:val="00FA0E3F"/>
    <w:rsid w:val="00FA14C6"/>
    <w:rsid w:val="00FA298A"/>
    <w:rsid w:val="00FA3049"/>
    <w:rsid w:val="00FA3721"/>
    <w:rsid w:val="00FA4773"/>
    <w:rsid w:val="00FA4AEF"/>
    <w:rsid w:val="00FA4D97"/>
    <w:rsid w:val="00FA5B66"/>
    <w:rsid w:val="00FB0B9C"/>
    <w:rsid w:val="00FB12D5"/>
    <w:rsid w:val="00FB1D66"/>
    <w:rsid w:val="00FB30EB"/>
    <w:rsid w:val="00FB33F5"/>
    <w:rsid w:val="00FB375E"/>
    <w:rsid w:val="00FB37C9"/>
    <w:rsid w:val="00FB3D96"/>
    <w:rsid w:val="00FB467E"/>
    <w:rsid w:val="00FB7982"/>
    <w:rsid w:val="00FC057C"/>
    <w:rsid w:val="00FC06FD"/>
    <w:rsid w:val="00FC0734"/>
    <w:rsid w:val="00FC0FC5"/>
    <w:rsid w:val="00FC1519"/>
    <w:rsid w:val="00FC2B47"/>
    <w:rsid w:val="00FC32FC"/>
    <w:rsid w:val="00FC358E"/>
    <w:rsid w:val="00FC3BED"/>
    <w:rsid w:val="00FC3CCB"/>
    <w:rsid w:val="00FC3F15"/>
    <w:rsid w:val="00FC433D"/>
    <w:rsid w:val="00FC44A5"/>
    <w:rsid w:val="00FC4A56"/>
    <w:rsid w:val="00FC4B72"/>
    <w:rsid w:val="00FC4C98"/>
    <w:rsid w:val="00FC54C4"/>
    <w:rsid w:val="00FC588F"/>
    <w:rsid w:val="00FC5949"/>
    <w:rsid w:val="00FC6879"/>
    <w:rsid w:val="00FC6897"/>
    <w:rsid w:val="00FC6AD8"/>
    <w:rsid w:val="00FC779D"/>
    <w:rsid w:val="00FD00D7"/>
    <w:rsid w:val="00FD0AE6"/>
    <w:rsid w:val="00FD10B5"/>
    <w:rsid w:val="00FD1543"/>
    <w:rsid w:val="00FD188F"/>
    <w:rsid w:val="00FD2B75"/>
    <w:rsid w:val="00FD389D"/>
    <w:rsid w:val="00FD3E9D"/>
    <w:rsid w:val="00FD4331"/>
    <w:rsid w:val="00FD43C2"/>
    <w:rsid w:val="00FD57CC"/>
    <w:rsid w:val="00FD5BBF"/>
    <w:rsid w:val="00FD6BF1"/>
    <w:rsid w:val="00FD7B01"/>
    <w:rsid w:val="00FE0F6D"/>
    <w:rsid w:val="00FE183A"/>
    <w:rsid w:val="00FE1B30"/>
    <w:rsid w:val="00FE2E17"/>
    <w:rsid w:val="00FE328B"/>
    <w:rsid w:val="00FE52DF"/>
    <w:rsid w:val="00FE62EB"/>
    <w:rsid w:val="00FE6911"/>
    <w:rsid w:val="00FE78D6"/>
    <w:rsid w:val="00FE7B44"/>
    <w:rsid w:val="00FE7BEF"/>
    <w:rsid w:val="00FF24B7"/>
    <w:rsid w:val="00FF2A2C"/>
    <w:rsid w:val="00FF3C0B"/>
    <w:rsid w:val="00FF4623"/>
    <w:rsid w:val="00FF4CD3"/>
    <w:rsid w:val="00FF52C7"/>
    <w:rsid w:val="00FF54E4"/>
    <w:rsid w:val="00FF64E8"/>
    <w:rsid w:val="00FF68F7"/>
    <w:rsid w:val="00FF6E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D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351CF6"/>
    <w:rPr>
      <w:sz w:val="24"/>
      <w:lang w:eastAsia="en-US"/>
    </w:rPr>
  </w:style>
  <w:style w:type="paragraph" w:customStyle="1" w:styleId="OrdersNumberL1">
    <w:name w:val="OrdersNumberL1"/>
    <w:basedOn w:val="Normal"/>
    <w:rsid w:val="00461CF2"/>
    <w:pPr>
      <w:spacing w:before="240" w:after="240" w:line="240" w:lineRule="auto"/>
      <w:ind w:left="476" w:hanging="476"/>
      <w:jc w:val="left"/>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http://www8.austlii.edu.au/cgi-bin/viewdoc/au/cases/cth/HCA/2020/46.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1AB90906B645DCAF01121C5FB4839E"/>
        <w:category>
          <w:name w:val="General"/>
          <w:gallery w:val="placeholder"/>
        </w:category>
        <w:types>
          <w:type w:val="bbPlcHdr"/>
        </w:types>
        <w:behaviors>
          <w:behavior w:val="content"/>
        </w:behaviors>
        <w:guid w:val="{E325C44D-FC9F-4295-BFCC-382C56E38B8F}"/>
      </w:docPartPr>
      <w:docPartBody>
        <w:p w:rsidR="009106A7" w:rsidRDefault="0028531E">
          <w:pPr>
            <w:pStyle w:val="1E1AB90906B645DCAF01121C5FB4839E"/>
          </w:pPr>
          <w:r>
            <w:rPr>
              <w:rStyle w:val="PlaceholderText"/>
            </w:rPr>
            <w:t>MNC Text</w:t>
          </w:r>
        </w:p>
      </w:docPartBody>
    </w:docPart>
    <w:docPart>
      <w:docPartPr>
        <w:name w:val="A60E0DF6C27E479DBCDF6C1C9173B01D"/>
        <w:category>
          <w:name w:val="General"/>
          <w:gallery w:val="placeholder"/>
        </w:category>
        <w:types>
          <w:type w:val="bbPlcHdr"/>
        </w:types>
        <w:behaviors>
          <w:behavior w:val="content"/>
        </w:behaviors>
        <w:guid w:val="{E3C0D1F2-7E41-45D7-97F6-E9AEAF8567FF}"/>
      </w:docPartPr>
      <w:docPartBody>
        <w:p w:rsidR="009106A7" w:rsidRDefault="0028531E">
          <w:pPr>
            <w:pStyle w:val="A60E0DF6C27E479DBCDF6C1C9173B01D"/>
          </w:pPr>
          <w:r w:rsidRPr="005C44BE">
            <w:rPr>
              <w:rStyle w:val="PlaceholderText"/>
            </w:rPr>
            <w:t>Click or tap here to enter text.</w:t>
          </w:r>
        </w:p>
      </w:docPartBody>
    </w:docPart>
    <w:docPart>
      <w:docPartPr>
        <w:name w:val="87BAF846F7154CAD930D4B910FF8A95A"/>
        <w:category>
          <w:name w:val="General"/>
          <w:gallery w:val="placeholder"/>
        </w:category>
        <w:types>
          <w:type w:val="bbPlcHdr"/>
        </w:types>
        <w:behaviors>
          <w:behavior w:val="content"/>
        </w:behaviors>
        <w:guid w:val="{1DF864A2-5951-4E3F-8E49-A305249750C8}"/>
      </w:docPartPr>
      <w:docPartBody>
        <w:p w:rsidR="009106A7" w:rsidRDefault="0028531E">
          <w:pPr>
            <w:pStyle w:val="87BAF846F7154CAD930D4B910FF8A95A"/>
          </w:pPr>
          <w:r w:rsidRPr="005C44BE">
            <w:rPr>
              <w:rStyle w:val="PlaceholderText"/>
            </w:rPr>
            <w:t>Click or tap here to enter text.</w:t>
          </w:r>
        </w:p>
      </w:docPartBody>
    </w:docPart>
    <w:docPart>
      <w:docPartPr>
        <w:name w:val="22F8FF30819B4736AE26C2F5AD3A2685"/>
        <w:category>
          <w:name w:val="General"/>
          <w:gallery w:val="placeholder"/>
        </w:category>
        <w:types>
          <w:type w:val="bbPlcHdr"/>
        </w:types>
        <w:behaviors>
          <w:behavior w:val="content"/>
        </w:behaviors>
        <w:guid w:val="{03C5BEB2-97DC-41BD-BE81-3D7E58949EC7}"/>
      </w:docPartPr>
      <w:docPartBody>
        <w:p w:rsidR="009106A7" w:rsidRDefault="0028531E">
          <w:pPr>
            <w:pStyle w:val="22F8FF30819B4736AE26C2F5AD3A2685"/>
          </w:pPr>
          <w:r w:rsidRPr="005C44BE">
            <w:rPr>
              <w:rStyle w:val="PlaceholderText"/>
            </w:rPr>
            <w:t>Click or tap here to enter text.</w:t>
          </w:r>
        </w:p>
      </w:docPartBody>
    </w:docPart>
    <w:docPart>
      <w:docPartPr>
        <w:name w:val="E6A4DE43133844F598A1E68C3F20D401"/>
        <w:category>
          <w:name w:val="General"/>
          <w:gallery w:val="placeholder"/>
        </w:category>
        <w:types>
          <w:type w:val="bbPlcHdr"/>
        </w:types>
        <w:behaviors>
          <w:behavior w:val="content"/>
        </w:behaviors>
        <w:guid w:val="{745F4624-08F1-4779-8176-02020F9360C8}"/>
      </w:docPartPr>
      <w:docPartBody>
        <w:p w:rsidR="009106A7" w:rsidRDefault="0028531E">
          <w:pPr>
            <w:pStyle w:val="E6A4DE43133844F598A1E68C3F20D401"/>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A7"/>
    <w:rsid w:val="00084066"/>
    <w:rsid w:val="001116AE"/>
    <w:rsid w:val="00114E7D"/>
    <w:rsid w:val="001910C9"/>
    <w:rsid w:val="001A4247"/>
    <w:rsid w:val="001F7213"/>
    <w:rsid w:val="0028531E"/>
    <w:rsid w:val="00297805"/>
    <w:rsid w:val="00342775"/>
    <w:rsid w:val="004415D3"/>
    <w:rsid w:val="00477093"/>
    <w:rsid w:val="004D31B2"/>
    <w:rsid w:val="00564A72"/>
    <w:rsid w:val="00586056"/>
    <w:rsid w:val="005E5F1B"/>
    <w:rsid w:val="005F0E45"/>
    <w:rsid w:val="006447CA"/>
    <w:rsid w:val="006C32D6"/>
    <w:rsid w:val="00725A89"/>
    <w:rsid w:val="00772B39"/>
    <w:rsid w:val="0077713F"/>
    <w:rsid w:val="008855A7"/>
    <w:rsid w:val="008B166B"/>
    <w:rsid w:val="009106A7"/>
    <w:rsid w:val="00930E10"/>
    <w:rsid w:val="009C5FEF"/>
    <w:rsid w:val="00A15617"/>
    <w:rsid w:val="00A16DF1"/>
    <w:rsid w:val="00AC3E80"/>
    <w:rsid w:val="00B34B93"/>
    <w:rsid w:val="00B536D9"/>
    <w:rsid w:val="00B86036"/>
    <w:rsid w:val="00B911F9"/>
    <w:rsid w:val="00CD1C4A"/>
    <w:rsid w:val="00CF46E4"/>
    <w:rsid w:val="00E46357"/>
    <w:rsid w:val="00E727BA"/>
    <w:rsid w:val="00E8582F"/>
    <w:rsid w:val="00F16697"/>
    <w:rsid w:val="00FF30E1"/>
    <w:rsid w:val="00FF47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1AB90906B645DCAF01121C5FB4839E">
    <w:name w:val="1E1AB90906B645DCAF01121C5FB4839E"/>
  </w:style>
  <w:style w:type="paragraph" w:customStyle="1" w:styleId="A60E0DF6C27E479DBCDF6C1C9173B01D">
    <w:name w:val="A60E0DF6C27E479DBCDF6C1C9173B01D"/>
  </w:style>
  <w:style w:type="paragraph" w:customStyle="1" w:styleId="87BAF846F7154CAD930D4B910FF8A95A">
    <w:name w:val="87BAF846F7154CAD930D4B910FF8A95A"/>
  </w:style>
  <w:style w:type="paragraph" w:customStyle="1" w:styleId="22F8FF30819B4736AE26C2F5AD3A2685">
    <w:name w:val="22F8FF30819B4736AE26C2F5AD3A2685"/>
  </w:style>
  <w:style w:type="paragraph" w:customStyle="1" w:styleId="E6A4DE43133844F598A1E68C3F20D401">
    <w:name w:val="E6A4DE43133844F598A1E68C3F20D4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Patrick v Australian Information Commissioner [2024] FCAFC 93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22</Pages>
  <Words>8947</Words>
  <Characters>45185</Characters>
  <Application>Microsoft Office Word</Application>
  <DocSecurity>0</DocSecurity>
  <PresentationFormat/>
  <Lines>792</Lines>
  <Paragraphs>254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Patrick v Australian Information Commissioner [2024] FCAFC 93</vt:lpstr>
    </vt:vector>
  </TitlesOfParts>
  <Manager/>
  <Company/>
  <LinksUpToDate>false</LinksUpToDate>
  <CharactersWithSpaces>53878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2024-07-10T05:29:00Z</cp:lastPrinted>
  <dcterms:created xsi:type="dcterms:W3CDTF">2024-07-11T07:01:00Z</dcterms:created>
  <dcterms:modified xsi:type="dcterms:W3CDTF">2024-07-11T07:01:00Z</dcterms:modified>
  <cp:category/>
  <cp:contentStatus/>
  <dc:language/>
  <cp:version/>
</cp:coreProperties>
</file>