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D1" w:rsidRDefault="004B39D1" w:rsidP="00072AFA">
      <w:pPr>
        <w:pStyle w:val="NormalHeadings"/>
        <w:jc w:val="center"/>
        <w:rPr>
          <w:sz w:val="32"/>
          <w:szCs w:val="32"/>
        </w:rPr>
      </w:pPr>
      <w:r>
        <w:rPr>
          <w:sz w:val="32"/>
          <w:szCs w:val="32"/>
        </w:rPr>
        <w:t>AUSTRALIAN COMPETITION TRIBUNAL</w:t>
      </w:r>
    </w:p>
    <w:p w:rsidR="004B39D1" w:rsidRDefault="004B39D1" w:rsidP="00072AFA">
      <w:pPr>
        <w:pStyle w:val="NormalHeadings"/>
        <w:jc w:val="center"/>
        <w:rPr>
          <w:sz w:val="32"/>
          <w:szCs w:val="32"/>
        </w:rPr>
      </w:pPr>
    </w:p>
    <w:p w:rsidR="004B39D1" w:rsidRDefault="004B39D1">
      <w:pPr>
        <w:pStyle w:val="MediaNeutralStyle"/>
      </w:pPr>
      <w:bookmarkStart w:id="0" w:name="MNC"/>
      <w:r>
        <w:t>In the matter of Energex Limited [2010] ACompT 3</w:t>
      </w:r>
      <w:bookmarkEnd w:id="0"/>
    </w:p>
    <w:p w:rsidR="004B39D1" w:rsidRPr="00005647" w:rsidRDefault="004B39D1" w:rsidP="00005647">
      <w:pPr>
        <w:pStyle w:val="Normal1linespace"/>
      </w:pPr>
    </w:p>
    <w:tbl>
      <w:tblPr>
        <w:tblW w:w="0" w:type="auto"/>
        <w:tblInd w:w="-106" w:type="dxa"/>
        <w:tblLook w:val="01E0"/>
      </w:tblPr>
      <w:tblGrid>
        <w:gridCol w:w="3085"/>
        <w:gridCol w:w="5954"/>
      </w:tblGrid>
      <w:tr w:rsidR="004B39D1">
        <w:tc>
          <w:tcPr>
            <w:tcW w:w="3085" w:type="dxa"/>
          </w:tcPr>
          <w:p w:rsidR="004B39D1" w:rsidRDefault="004B39D1" w:rsidP="00272579">
            <w:pPr>
              <w:pStyle w:val="Normal1linespace"/>
              <w:widowControl w:val="0"/>
            </w:pPr>
            <w:r>
              <w:t>Citation:</w:t>
            </w:r>
          </w:p>
        </w:tc>
        <w:tc>
          <w:tcPr>
            <w:tcW w:w="5954" w:type="dxa"/>
          </w:tcPr>
          <w:p w:rsidR="004B39D1" w:rsidRDefault="004B39D1" w:rsidP="00272579">
            <w:pPr>
              <w:pStyle w:val="Normal1linespace"/>
              <w:widowControl w:val="0"/>
              <w:jc w:val="left"/>
            </w:pPr>
            <w:r>
              <w:t>In the matter of Energex Limited [2010] ACompT 3</w:t>
            </w:r>
          </w:p>
        </w:tc>
      </w:tr>
      <w:tr w:rsidR="004B39D1">
        <w:tc>
          <w:tcPr>
            <w:tcW w:w="3085" w:type="dxa"/>
          </w:tcPr>
          <w:p w:rsidR="004B39D1" w:rsidRDefault="004B39D1" w:rsidP="00272579">
            <w:pPr>
              <w:pStyle w:val="Normal1linespace"/>
              <w:widowControl w:val="0"/>
            </w:pPr>
          </w:p>
        </w:tc>
        <w:tc>
          <w:tcPr>
            <w:tcW w:w="5954" w:type="dxa"/>
          </w:tcPr>
          <w:p w:rsidR="004B39D1" w:rsidRDefault="004B39D1" w:rsidP="00272579">
            <w:pPr>
              <w:pStyle w:val="Normal1linespace"/>
              <w:widowControl w:val="0"/>
              <w:jc w:val="left"/>
            </w:pPr>
          </w:p>
        </w:tc>
      </w:tr>
      <w:tr w:rsidR="004B39D1">
        <w:tc>
          <w:tcPr>
            <w:tcW w:w="3085" w:type="dxa"/>
          </w:tcPr>
          <w:p w:rsidR="004B39D1" w:rsidRDefault="004B39D1" w:rsidP="00272579">
            <w:pPr>
              <w:pStyle w:val="Normal1linespace"/>
              <w:widowControl w:val="0"/>
            </w:pPr>
            <w:r>
              <w:t>Review from:</w:t>
            </w:r>
          </w:p>
        </w:tc>
        <w:tc>
          <w:tcPr>
            <w:tcW w:w="5954" w:type="dxa"/>
          </w:tcPr>
          <w:p w:rsidR="004B39D1" w:rsidRDefault="004B39D1" w:rsidP="00272579">
            <w:pPr>
              <w:pStyle w:val="Normal1linespace"/>
              <w:widowControl w:val="0"/>
              <w:jc w:val="left"/>
            </w:pPr>
            <w:r>
              <w:t>Australian Energy Regulator</w:t>
            </w:r>
          </w:p>
        </w:tc>
      </w:tr>
      <w:tr w:rsidR="004B39D1">
        <w:tc>
          <w:tcPr>
            <w:tcW w:w="3085" w:type="dxa"/>
          </w:tcPr>
          <w:p w:rsidR="004B39D1" w:rsidRDefault="004B39D1" w:rsidP="00272579">
            <w:pPr>
              <w:pStyle w:val="Normal1linespace"/>
              <w:widowControl w:val="0"/>
            </w:pPr>
          </w:p>
        </w:tc>
        <w:tc>
          <w:tcPr>
            <w:tcW w:w="5954" w:type="dxa"/>
          </w:tcPr>
          <w:p w:rsidR="004B39D1" w:rsidRDefault="004B39D1" w:rsidP="00272579">
            <w:pPr>
              <w:pStyle w:val="Normal1linespace"/>
              <w:widowControl w:val="0"/>
              <w:jc w:val="left"/>
            </w:pPr>
          </w:p>
        </w:tc>
      </w:tr>
      <w:tr w:rsidR="004B39D1">
        <w:tc>
          <w:tcPr>
            <w:tcW w:w="3085" w:type="dxa"/>
          </w:tcPr>
          <w:p w:rsidR="004B39D1" w:rsidRDefault="004B39D1" w:rsidP="00272579">
            <w:pPr>
              <w:pStyle w:val="Normal1linespace"/>
              <w:widowControl w:val="0"/>
            </w:pPr>
            <w:r>
              <w:t>Parties:</w:t>
            </w:r>
          </w:p>
        </w:tc>
        <w:tc>
          <w:tcPr>
            <w:tcW w:w="5954" w:type="dxa"/>
          </w:tcPr>
          <w:p w:rsidR="004B39D1" w:rsidRPr="00272579" w:rsidRDefault="004B39D1" w:rsidP="00272579">
            <w:pPr>
              <w:pStyle w:val="Normal1linespace"/>
              <w:widowControl w:val="0"/>
              <w:jc w:val="left"/>
              <w:rPr>
                <w:b/>
                <w:bCs/>
              </w:rPr>
            </w:pPr>
            <w:bookmarkStart w:id="1" w:name="JudgmentFP"/>
            <w:r w:rsidRPr="00272579">
              <w:rPr>
                <w:b/>
                <w:bCs/>
              </w:rPr>
              <w:t>Energex Limited (ACN 078 849 055)</w:t>
            </w:r>
          </w:p>
          <w:p w:rsidR="004B39D1" w:rsidRPr="00272579" w:rsidRDefault="004B39D1" w:rsidP="00272579">
            <w:pPr>
              <w:pStyle w:val="Normal1linespace"/>
              <w:widowControl w:val="0"/>
              <w:jc w:val="left"/>
              <w:rPr>
                <w:b/>
                <w:bCs/>
              </w:rPr>
            </w:pPr>
          </w:p>
          <w:p w:rsidR="004B39D1" w:rsidRPr="00272579" w:rsidRDefault="004B39D1" w:rsidP="00272579">
            <w:pPr>
              <w:pStyle w:val="Normal1linespace"/>
              <w:widowControl w:val="0"/>
              <w:jc w:val="left"/>
              <w:rPr>
                <w:b/>
                <w:bCs/>
              </w:rPr>
            </w:pPr>
            <w:r w:rsidRPr="00272579">
              <w:rPr>
                <w:b/>
                <w:bCs/>
              </w:rPr>
              <w:t>Ergon Energy Corporation Limited (ACN 078 646 062)</w:t>
            </w:r>
          </w:p>
          <w:p w:rsidR="004B39D1" w:rsidRPr="00272579" w:rsidRDefault="004B39D1" w:rsidP="00272579">
            <w:pPr>
              <w:pStyle w:val="Normal1linespace"/>
              <w:widowControl w:val="0"/>
              <w:jc w:val="left"/>
              <w:rPr>
                <w:b/>
                <w:bCs/>
              </w:rPr>
            </w:pPr>
          </w:p>
          <w:p w:rsidR="004B39D1" w:rsidRPr="00272579" w:rsidRDefault="004B39D1" w:rsidP="00272579">
            <w:pPr>
              <w:pStyle w:val="Normal1linespace"/>
              <w:widowControl w:val="0"/>
              <w:jc w:val="left"/>
              <w:rPr>
                <w:b/>
                <w:bCs/>
              </w:rPr>
            </w:pPr>
            <w:r w:rsidRPr="00272579">
              <w:rPr>
                <w:b/>
                <w:bCs/>
              </w:rPr>
              <w:t>ETSA Utilities (ABN 13 332 330 749))</w:t>
            </w:r>
            <w:bookmarkEnd w:id="1"/>
          </w:p>
          <w:p w:rsidR="004B39D1" w:rsidRPr="00272579" w:rsidRDefault="004B39D1" w:rsidP="00272579">
            <w:pPr>
              <w:pStyle w:val="Normal1linespace"/>
              <w:widowControl w:val="0"/>
              <w:jc w:val="left"/>
              <w:rPr>
                <w:b/>
                <w:bCs/>
              </w:rPr>
            </w:pPr>
          </w:p>
        </w:tc>
      </w:tr>
      <w:tr w:rsidR="004B39D1">
        <w:tc>
          <w:tcPr>
            <w:tcW w:w="3085" w:type="dxa"/>
          </w:tcPr>
          <w:p w:rsidR="004B39D1" w:rsidRDefault="004B39D1" w:rsidP="00272579">
            <w:pPr>
              <w:pStyle w:val="Normal1linespace"/>
              <w:widowControl w:val="0"/>
            </w:pPr>
          </w:p>
        </w:tc>
        <w:tc>
          <w:tcPr>
            <w:tcW w:w="5954" w:type="dxa"/>
          </w:tcPr>
          <w:p w:rsidR="004B39D1" w:rsidRDefault="004B39D1" w:rsidP="00272579">
            <w:pPr>
              <w:pStyle w:val="Normal1linespace"/>
              <w:widowControl w:val="0"/>
              <w:jc w:val="left"/>
            </w:pPr>
          </w:p>
        </w:tc>
      </w:tr>
      <w:tr w:rsidR="004B39D1">
        <w:tc>
          <w:tcPr>
            <w:tcW w:w="3085" w:type="dxa"/>
          </w:tcPr>
          <w:p w:rsidR="004B39D1" w:rsidRDefault="004B39D1" w:rsidP="00272579">
            <w:pPr>
              <w:pStyle w:val="Normal1linespace"/>
              <w:widowControl w:val="0"/>
            </w:pPr>
            <w:r>
              <w:t>File number(s):</w:t>
            </w:r>
          </w:p>
        </w:tc>
        <w:tc>
          <w:tcPr>
            <w:tcW w:w="5954" w:type="dxa"/>
          </w:tcPr>
          <w:p w:rsidR="004B39D1" w:rsidRPr="00272579" w:rsidRDefault="004B39D1" w:rsidP="00272579">
            <w:pPr>
              <w:pStyle w:val="Normal1linespace"/>
              <w:widowControl w:val="0"/>
              <w:jc w:val="left"/>
            </w:pPr>
            <w:fldSimple w:instr=" REF  Num  \* MERGEFORMAT " w:fldLock="1">
              <w:r w:rsidRPr="00272579">
                <w:t>2 of 2010</w:t>
              </w:r>
            </w:fldSimple>
          </w:p>
          <w:p w:rsidR="004B39D1" w:rsidRPr="00272579" w:rsidRDefault="004B39D1" w:rsidP="00272579">
            <w:pPr>
              <w:pStyle w:val="Normal1linespace"/>
              <w:widowControl w:val="0"/>
              <w:jc w:val="left"/>
            </w:pPr>
            <w:r w:rsidRPr="00272579">
              <w:t>3 of 2010</w:t>
            </w:r>
          </w:p>
          <w:p w:rsidR="004B39D1" w:rsidRPr="00012E32" w:rsidRDefault="004B39D1" w:rsidP="00272579">
            <w:pPr>
              <w:pStyle w:val="Normal1linespace"/>
              <w:widowControl w:val="0"/>
              <w:jc w:val="left"/>
            </w:pPr>
            <w:r w:rsidRPr="00272579">
              <w:t>4 of 2010</w:t>
            </w:r>
          </w:p>
        </w:tc>
      </w:tr>
      <w:tr w:rsidR="004B39D1">
        <w:tc>
          <w:tcPr>
            <w:tcW w:w="3085" w:type="dxa"/>
          </w:tcPr>
          <w:p w:rsidR="004B39D1" w:rsidRDefault="004B39D1" w:rsidP="00272579">
            <w:pPr>
              <w:pStyle w:val="Normal1linespace"/>
              <w:widowControl w:val="0"/>
            </w:pPr>
          </w:p>
        </w:tc>
        <w:tc>
          <w:tcPr>
            <w:tcW w:w="5954" w:type="dxa"/>
          </w:tcPr>
          <w:p w:rsidR="004B39D1" w:rsidRDefault="004B39D1" w:rsidP="00272579">
            <w:pPr>
              <w:pStyle w:val="Normal1linespace"/>
              <w:widowControl w:val="0"/>
              <w:jc w:val="left"/>
            </w:pPr>
          </w:p>
        </w:tc>
      </w:tr>
      <w:tr w:rsidR="004B39D1">
        <w:tc>
          <w:tcPr>
            <w:tcW w:w="3085" w:type="dxa"/>
          </w:tcPr>
          <w:p w:rsidR="004B39D1" w:rsidRDefault="004B39D1" w:rsidP="00272579">
            <w:pPr>
              <w:pStyle w:val="Normal1linespace"/>
              <w:widowControl w:val="0"/>
            </w:pPr>
            <w:r>
              <w:t>Members:</w:t>
            </w:r>
          </w:p>
        </w:tc>
        <w:tc>
          <w:tcPr>
            <w:tcW w:w="5954" w:type="dxa"/>
          </w:tcPr>
          <w:p w:rsidR="004B39D1" w:rsidRPr="00272579" w:rsidRDefault="004B39D1" w:rsidP="00272579">
            <w:pPr>
              <w:pStyle w:val="Normal1linespace"/>
              <w:widowControl w:val="0"/>
              <w:jc w:val="left"/>
              <w:rPr>
                <w:b/>
                <w:bCs/>
              </w:rPr>
            </w:pPr>
            <w:fldSimple w:instr=" REF  Judge  \* MERGEFORMAT " w:fldLock="1">
              <w:r w:rsidRPr="008D4D38">
                <w:rPr>
                  <w:b/>
                  <w:bCs/>
                  <w:caps/>
                </w:rPr>
                <w:t>MIDDLETON J</w:t>
              </w:r>
            </w:fldSimple>
            <w:r w:rsidRPr="00272579">
              <w:rPr>
                <w:b/>
                <w:bCs/>
              </w:rPr>
              <w:t xml:space="preserve"> (DEPUTY PRESIDENT),</w:t>
            </w:r>
          </w:p>
          <w:p w:rsidR="004B39D1" w:rsidRPr="00272579" w:rsidRDefault="004B39D1" w:rsidP="00272579">
            <w:pPr>
              <w:pStyle w:val="Normal1linespace"/>
              <w:widowControl w:val="0"/>
              <w:jc w:val="left"/>
              <w:rPr>
                <w:b/>
                <w:bCs/>
              </w:rPr>
            </w:pPr>
            <w:r w:rsidRPr="00272579">
              <w:rPr>
                <w:b/>
                <w:bCs/>
              </w:rPr>
              <w:t>MR R</w:t>
            </w:r>
            <w:r>
              <w:rPr>
                <w:b/>
                <w:bCs/>
              </w:rPr>
              <w:t xml:space="preserve"> </w:t>
            </w:r>
            <w:r w:rsidRPr="00272579">
              <w:rPr>
                <w:b/>
                <w:bCs/>
              </w:rPr>
              <w:t>DAVEY AND</w:t>
            </w:r>
            <w:r>
              <w:rPr>
                <w:b/>
                <w:bCs/>
              </w:rPr>
              <w:t xml:space="preserve"> </w:t>
            </w:r>
            <w:r w:rsidRPr="00272579">
              <w:rPr>
                <w:b/>
                <w:bCs/>
              </w:rPr>
              <w:t>MR R SHOGREN</w:t>
            </w:r>
          </w:p>
        </w:tc>
      </w:tr>
      <w:tr w:rsidR="004B39D1">
        <w:tc>
          <w:tcPr>
            <w:tcW w:w="3085" w:type="dxa"/>
          </w:tcPr>
          <w:p w:rsidR="004B39D1" w:rsidRDefault="004B39D1" w:rsidP="00272579">
            <w:pPr>
              <w:pStyle w:val="Normal1linespace"/>
              <w:widowControl w:val="0"/>
            </w:pPr>
          </w:p>
        </w:tc>
        <w:tc>
          <w:tcPr>
            <w:tcW w:w="5954" w:type="dxa"/>
          </w:tcPr>
          <w:p w:rsidR="004B39D1" w:rsidRDefault="004B39D1" w:rsidP="00272579">
            <w:pPr>
              <w:pStyle w:val="Normal1linespace"/>
              <w:widowControl w:val="0"/>
              <w:jc w:val="left"/>
            </w:pPr>
          </w:p>
        </w:tc>
      </w:tr>
      <w:tr w:rsidR="004B39D1">
        <w:tc>
          <w:tcPr>
            <w:tcW w:w="3085" w:type="dxa"/>
          </w:tcPr>
          <w:p w:rsidR="004B39D1" w:rsidRDefault="004B39D1" w:rsidP="00272579">
            <w:pPr>
              <w:pStyle w:val="Normal1linespace"/>
              <w:widowControl w:val="0"/>
            </w:pPr>
            <w:r>
              <w:t>Date of Decision:</w:t>
            </w:r>
          </w:p>
        </w:tc>
        <w:tc>
          <w:tcPr>
            <w:tcW w:w="5954" w:type="dxa"/>
          </w:tcPr>
          <w:p w:rsidR="004B39D1" w:rsidRDefault="004B39D1" w:rsidP="00272579">
            <w:pPr>
              <w:pStyle w:val="Normal1linespace"/>
              <w:widowControl w:val="0"/>
              <w:jc w:val="left"/>
            </w:pPr>
            <w:bookmarkStart w:id="2" w:name="JudgmentDate"/>
            <w:r>
              <w:t>24 August 2010</w:t>
            </w:r>
            <w:bookmarkEnd w:id="2"/>
          </w:p>
        </w:tc>
      </w:tr>
      <w:tr w:rsidR="004B39D1">
        <w:tc>
          <w:tcPr>
            <w:tcW w:w="3085" w:type="dxa"/>
          </w:tcPr>
          <w:p w:rsidR="004B39D1" w:rsidRDefault="004B39D1" w:rsidP="00272579">
            <w:pPr>
              <w:pStyle w:val="Normal1linespace"/>
              <w:widowControl w:val="0"/>
            </w:pPr>
          </w:p>
        </w:tc>
        <w:tc>
          <w:tcPr>
            <w:tcW w:w="5954" w:type="dxa"/>
          </w:tcPr>
          <w:p w:rsidR="004B39D1" w:rsidRDefault="004B39D1" w:rsidP="00272579">
            <w:pPr>
              <w:pStyle w:val="Normal1linespace"/>
              <w:widowControl w:val="0"/>
              <w:jc w:val="left"/>
            </w:pPr>
          </w:p>
        </w:tc>
      </w:tr>
      <w:tr w:rsidR="004B39D1">
        <w:tc>
          <w:tcPr>
            <w:tcW w:w="3085" w:type="dxa"/>
          </w:tcPr>
          <w:p w:rsidR="004B39D1" w:rsidRDefault="004B39D1" w:rsidP="00272579">
            <w:pPr>
              <w:pStyle w:val="Normal1linespace"/>
              <w:widowControl w:val="0"/>
            </w:pPr>
            <w:r>
              <w:t>Place:</w:t>
            </w:r>
          </w:p>
        </w:tc>
        <w:tc>
          <w:tcPr>
            <w:tcW w:w="5954" w:type="dxa"/>
          </w:tcPr>
          <w:p w:rsidR="004B39D1" w:rsidRDefault="004B39D1" w:rsidP="00272579">
            <w:pPr>
              <w:pStyle w:val="Normal1linespace"/>
              <w:widowControl w:val="0"/>
              <w:jc w:val="left"/>
            </w:pPr>
            <w:r>
              <w:t>Melbourne</w:t>
            </w:r>
          </w:p>
        </w:tc>
      </w:tr>
      <w:tr w:rsidR="004B39D1">
        <w:tc>
          <w:tcPr>
            <w:tcW w:w="3085" w:type="dxa"/>
          </w:tcPr>
          <w:p w:rsidR="004B39D1" w:rsidRDefault="004B39D1" w:rsidP="00272579">
            <w:pPr>
              <w:pStyle w:val="Normal1linespace"/>
              <w:widowControl w:val="0"/>
            </w:pPr>
          </w:p>
        </w:tc>
        <w:tc>
          <w:tcPr>
            <w:tcW w:w="5954" w:type="dxa"/>
          </w:tcPr>
          <w:p w:rsidR="004B39D1" w:rsidRDefault="004B39D1" w:rsidP="00272579">
            <w:pPr>
              <w:pStyle w:val="Normal1linespace"/>
              <w:widowControl w:val="0"/>
              <w:jc w:val="left"/>
            </w:pPr>
          </w:p>
        </w:tc>
      </w:tr>
    </w:tbl>
    <w:tbl>
      <w:tblPr>
        <w:tblStyle w:val="TableGrid"/>
        <w:tblW w:w="0" w:type="auto"/>
        <w:tblCellSpacing w:w="8"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86"/>
        <w:gridCol w:w="5978"/>
      </w:tblGrid>
      <w:tr w:rsidR="004B39D1">
        <w:trPr>
          <w:tblCellSpacing w:w="8" w:type="dxa"/>
        </w:trPr>
        <w:tc>
          <w:tcPr>
            <w:tcW w:w="3062" w:type="dxa"/>
          </w:tcPr>
          <w:p w:rsidR="004B39D1" w:rsidRDefault="004B39D1">
            <w:pPr>
              <w:pStyle w:val="Counsel"/>
            </w:pPr>
            <w:r>
              <w:t>Category:</w:t>
            </w:r>
          </w:p>
        </w:tc>
        <w:tc>
          <w:tcPr>
            <w:tcW w:w="5954" w:type="dxa"/>
          </w:tcPr>
          <w:p w:rsidR="004B39D1" w:rsidRDefault="004B39D1">
            <w:pPr>
              <w:pStyle w:val="Counsel"/>
            </w:pPr>
            <w:r>
              <w:t>No Catchwords</w:t>
            </w:r>
          </w:p>
        </w:tc>
      </w:tr>
      <w:tr w:rsidR="004B39D1">
        <w:trPr>
          <w:tblCellSpacing w:w="8" w:type="dxa"/>
        </w:trPr>
        <w:tc>
          <w:tcPr>
            <w:tcW w:w="3062" w:type="dxa"/>
          </w:tcPr>
          <w:p w:rsidR="004B39D1" w:rsidRDefault="004B39D1">
            <w:pPr>
              <w:pStyle w:val="Counsel"/>
            </w:pPr>
          </w:p>
        </w:tc>
        <w:tc>
          <w:tcPr>
            <w:tcW w:w="5954" w:type="dxa"/>
          </w:tcPr>
          <w:p w:rsidR="004B39D1" w:rsidRDefault="004B39D1">
            <w:pPr>
              <w:pStyle w:val="Counsel"/>
            </w:pPr>
          </w:p>
        </w:tc>
      </w:tr>
      <w:tr w:rsidR="004B39D1">
        <w:trPr>
          <w:tblCellSpacing w:w="8" w:type="dxa"/>
        </w:trPr>
        <w:tc>
          <w:tcPr>
            <w:tcW w:w="3062" w:type="dxa"/>
          </w:tcPr>
          <w:p w:rsidR="004B39D1" w:rsidRDefault="004B39D1">
            <w:pPr>
              <w:pStyle w:val="Counsel"/>
            </w:pPr>
            <w:r>
              <w:t>Number of paragraphs:</w:t>
            </w:r>
          </w:p>
        </w:tc>
        <w:tc>
          <w:tcPr>
            <w:tcW w:w="5954" w:type="dxa"/>
          </w:tcPr>
          <w:p w:rsidR="004B39D1" w:rsidRDefault="004B39D1">
            <w:pPr>
              <w:pStyle w:val="Counsel"/>
            </w:pPr>
            <w:bookmarkStart w:id="3" w:name="PlaceCategoryParagraphs"/>
            <w:r>
              <w:t>37</w:t>
            </w:r>
            <w:bookmarkEnd w:id="3"/>
          </w:p>
        </w:tc>
      </w:tr>
      <w:tr w:rsidR="004B39D1">
        <w:trPr>
          <w:tblCellSpacing w:w="8" w:type="dxa"/>
        </w:trPr>
        <w:tc>
          <w:tcPr>
            <w:tcW w:w="3062" w:type="dxa"/>
          </w:tcPr>
          <w:p w:rsidR="004B39D1" w:rsidRDefault="004B39D1">
            <w:pPr>
              <w:pStyle w:val="Counsel"/>
              <w:jc w:val="left"/>
            </w:pPr>
          </w:p>
        </w:tc>
        <w:tc>
          <w:tcPr>
            <w:tcW w:w="5954" w:type="dxa"/>
          </w:tcPr>
          <w:p w:rsidR="004B39D1" w:rsidRDefault="004B39D1">
            <w:pPr>
              <w:pStyle w:val="Counsel"/>
              <w:jc w:val="left"/>
            </w:pPr>
          </w:p>
        </w:tc>
      </w:tr>
      <w:tr w:rsidR="004B39D1">
        <w:trPr>
          <w:tblCellSpacing w:w="8" w:type="dxa"/>
        </w:trPr>
        <w:tc>
          <w:tcPr>
            <w:tcW w:w="3062" w:type="dxa"/>
          </w:tcPr>
          <w:p w:rsidR="004B39D1" w:rsidRDefault="004B39D1">
            <w:pPr>
              <w:pStyle w:val="Counsel"/>
              <w:jc w:val="left"/>
            </w:pPr>
            <w:bookmarkStart w:id="4" w:name="Counsel"/>
            <w:r>
              <w:t>Solicitor for Australian Energy Regulator:</w:t>
            </w:r>
          </w:p>
        </w:tc>
        <w:tc>
          <w:tcPr>
            <w:tcW w:w="5954" w:type="dxa"/>
          </w:tcPr>
          <w:p w:rsidR="004B39D1" w:rsidRDefault="004B39D1">
            <w:pPr>
              <w:pStyle w:val="Counsel"/>
              <w:jc w:val="left"/>
            </w:pPr>
            <w:bookmarkStart w:id="5" w:name="AppCounsel"/>
            <w:bookmarkEnd w:id="5"/>
            <w:r>
              <w:t>Corrs Chambers Westgarth</w:t>
            </w:r>
          </w:p>
        </w:tc>
      </w:tr>
      <w:tr w:rsidR="004B39D1">
        <w:trPr>
          <w:tblCellSpacing w:w="8" w:type="dxa"/>
        </w:trPr>
        <w:tc>
          <w:tcPr>
            <w:tcW w:w="3062" w:type="dxa"/>
          </w:tcPr>
          <w:p w:rsidR="004B39D1" w:rsidRDefault="004B39D1">
            <w:pPr>
              <w:pStyle w:val="Counsel"/>
              <w:jc w:val="left"/>
            </w:pPr>
          </w:p>
        </w:tc>
        <w:tc>
          <w:tcPr>
            <w:tcW w:w="5954" w:type="dxa"/>
          </w:tcPr>
          <w:p w:rsidR="004B39D1" w:rsidRDefault="004B39D1">
            <w:pPr>
              <w:pStyle w:val="Counsel"/>
              <w:jc w:val="left"/>
            </w:pPr>
          </w:p>
        </w:tc>
      </w:tr>
      <w:tr w:rsidR="004B39D1">
        <w:trPr>
          <w:tblCellSpacing w:w="8" w:type="dxa"/>
        </w:trPr>
        <w:tc>
          <w:tcPr>
            <w:tcW w:w="3062" w:type="dxa"/>
          </w:tcPr>
          <w:p w:rsidR="004B39D1" w:rsidRDefault="004B39D1" w:rsidP="000D7732">
            <w:pPr>
              <w:pStyle w:val="Counsel"/>
              <w:jc w:val="left"/>
            </w:pPr>
            <w:r>
              <w:t>Solicitor for Energex Limited:</w:t>
            </w:r>
          </w:p>
        </w:tc>
        <w:tc>
          <w:tcPr>
            <w:tcW w:w="5954" w:type="dxa"/>
          </w:tcPr>
          <w:p w:rsidR="004B39D1" w:rsidRDefault="004B39D1" w:rsidP="000D7732">
            <w:pPr>
              <w:pStyle w:val="Counsel"/>
              <w:jc w:val="left"/>
            </w:pPr>
            <w:r>
              <w:t>Allens Arthur Robinson</w:t>
            </w:r>
          </w:p>
        </w:tc>
      </w:tr>
      <w:tr w:rsidR="004B39D1">
        <w:trPr>
          <w:tblCellSpacing w:w="8" w:type="dxa"/>
        </w:trPr>
        <w:tc>
          <w:tcPr>
            <w:tcW w:w="3062" w:type="dxa"/>
          </w:tcPr>
          <w:p w:rsidR="004B39D1" w:rsidRDefault="004B39D1">
            <w:pPr>
              <w:pStyle w:val="Counsel"/>
              <w:jc w:val="left"/>
            </w:pPr>
          </w:p>
        </w:tc>
        <w:tc>
          <w:tcPr>
            <w:tcW w:w="5954" w:type="dxa"/>
          </w:tcPr>
          <w:p w:rsidR="004B39D1" w:rsidRDefault="004B39D1">
            <w:pPr>
              <w:pStyle w:val="Counsel"/>
              <w:jc w:val="left"/>
            </w:pPr>
          </w:p>
        </w:tc>
      </w:tr>
      <w:tr w:rsidR="004B39D1">
        <w:trPr>
          <w:tblCellSpacing w:w="8" w:type="dxa"/>
        </w:trPr>
        <w:tc>
          <w:tcPr>
            <w:tcW w:w="3062" w:type="dxa"/>
          </w:tcPr>
          <w:p w:rsidR="004B39D1" w:rsidRDefault="004B39D1">
            <w:pPr>
              <w:pStyle w:val="Counsel"/>
              <w:jc w:val="left"/>
            </w:pPr>
            <w:r>
              <w:t>Solicitor for Ergon Energy Corporation Limited:</w:t>
            </w:r>
          </w:p>
        </w:tc>
        <w:tc>
          <w:tcPr>
            <w:tcW w:w="5954" w:type="dxa"/>
          </w:tcPr>
          <w:p w:rsidR="004B39D1" w:rsidRDefault="004B39D1">
            <w:pPr>
              <w:pStyle w:val="Counsel"/>
              <w:jc w:val="left"/>
            </w:pPr>
            <w:r>
              <w:t>Minter Ellison Lawyers</w:t>
            </w:r>
          </w:p>
        </w:tc>
      </w:tr>
      <w:tr w:rsidR="004B39D1">
        <w:trPr>
          <w:tblCellSpacing w:w="8" w:type="dxa"/>
        </w:trPr>
        <w:tc>
          <w:tcPr>
            <w:tcW w:w="3062" w:type="dxa"/>
          </w:tcPr>
          <w:p w:rsidR="004B39D1" w:rsidRDefault="004B39D1">
            <w:pPr>
              <w:pStyle w:val="Counsel"/>
              <w:jc w:val="left"/>
            </w:pPr>
          </w:p>
        </w:tc>
        <w:tc>
          <w:tcPr>
            <w:tcW w:w="5954" w:type="dxa"/>
          </w:tcPr>
          <w:p w:rsidR="004B39D1" w:rsidRDefault="004B39D1">
            <w:pPr>
              <w:pStyle w:val="Counsel"/>
              <w:jc w:val="left"/>
            </w:pPr>
          </w:p>
        </w:tc>
      </w:tr>
      <w:tr w:rsidR="004B39D1">
        <w:trPr>
          <w:tblCellSpacing w:w="8" w:type="dxa"/>
        </w:trPr>
        <w:tc>
          <w:tcPr>
            <w:tcW w:w="3062" w:type="dxa"/>
          </w:tcPr>
          <w:p w:rsidR="004B39D1" w:rsidRDefault="004B39D1">
            <w:pPr>
              <w:pStyle w:val="Counsel"/>
              <w:jc w:val="left"/>
            </w:pPr>
            <w:r>
              <w:t>Solicitor for ETSA Utilities:</w:t>
            </w:r>
          </w:p>
        </w:tc>
        <w:tc>
          <w:tcPr>
            <w:tcW w:w="5954" w:type="dxa"/>
          </w:tcPr>
          <w:p w:rsidR="004B39D1" w:rsidRDefault="004B39D1">
            <w:pPr>
              <w:pStyle w:val="Counsel"/>
              <w:jc w:val="left"/>
            </w:pPr>
            <w:r>
              <w:t>Gilbert and Tobin</w:t>
            </w:r>
          </w:p>
        </w:tc>
      </w:tr>
      <w:tr w:rsidR="004B39D1">
        <w:trPr>
          <w:tblCellSpacing w:w="8" w:type="dxa"/>
        </w:trPr>
        <w:tc>
          <w:tcPr>
            <w:tcW w:w="3062" w:type="dxa"/>
          </w:tcPr>
          <w:p w:rsidR="004B39D1" w:rsidRDefault="004B39D1">
            <w:pPr>
              <w:pStyle w:val="Counsel"/>
              <w:jc w:val="left"/>
            </w:pPr>
          </w:p>
        </w:tc>
        <w:tc>
          <w:tcPr>
            <w:tcW w:w="5954" w:type="dxa"/>
          </w:tcPr>
          <w:p w:rsidR="004B39D1" w:rsidRDefault="004B39D1">
            <w:pPr>
              <w:pStyle w:val="Counsel"/>
              <w:jc w:val="left"/>
            </w:pPr>
          </w:p>
        </w:tc>
      </w:tr>
      <w:tr w:rsidR="004B39D1">
        <w:trPr>
          <w:tblCellSpacing w:w="8" w:type="dxa"/>
        </w:trPr>
        <w:tc>
          <w:tcPr>
            <w:tcW w:w="3062" w:type="dxa"/>
          </w:tcPr>
          <w:p w:rsidR="004B39D1" w:rsidRDefault="004B39D1">
            <w:pPr>
              <w:pStyle w:val="Counsel"/>
              <w:jc w:val="left"/>
            </w:pPr>
            <w:r>
              <w:t>Solicitor for EnergyAustralia:</w:t>
            </w:r>
          </w:p>
        </w:tc>
        <w:tc>
          <w:tcPr>
            <w:tcW w:w="5954" w:type="dxa"/>
          </w:tcPr>
          <w:p w:rsidR="004B39D1" w:rsidRDefault="004B39D1">
            <w:pPr>
              <w:pStyle w:val="Counsel"/>
              <w:jc w:val="left"/>
            </w:pPr>
            <w:r>
              <w:t>Gilbert and Tobin</w:t>
            </w:r>
          </w:p>
        </w:tc>
      </w:tr>
      <w:bookmarkEnd w:id="4"/>
    </w:tbl>
    <w:p w:rsidR="004B39D1" w:rsidRDefault="004B39D1" w:rsidP="00B544CE">
      <w:pPr>
        <w:pStyle w:val="Normal1linespace"/>
      </w:pPr>
    </w:p>
    <w:p w:rsidR="004B39D1" w:rsidRDefault="004B39D1">
      <w:pPr>
        <w:pStyle w:val="Normal1linespace"/>
      </w:pPr>
    </w:p>
    <w:p w:rsidR="004B39D1" w:rsidRDefault="004B39D1" w:rsidP="00E8791E">
      <w:pPr>
        <w:pStyle w:val="Normal1linespace"/>
        <w:sectPr w:rsidR="004B39D1">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Ind w:w="-106" w:type="dxa"/>
        <w:tblLayout w:type="fixed"/>
        <w:tblLook w:val="0000"/>
      </w:tblPr>
      <w:tblGrid>
        <w:gridCol w:w="6771"/>
        <w:gridCol w:w="2471"/>
      </w:tblGrid>
      <w:tr w:rsidR="004B39D1">
        <w:tc>
          <w:tcPr>
            <w:tcW w:w="6771" w:type="dxa"/>
          </w:tcPr>
          <w:p w:rsidR="004B39D1" w:rsidRPr="00B76E4F" w:rsidRDefault="004B39D1">
            <w:pPr>
              <w:pStyle w:val="NormalHeadings"/>
              <w:spacing w:after="120"/>
              <w:jc w:val="left"/>
              <w:rPr>
                <w:caps/>
              </w:rPr>
            </w:pPr>
            <w:r w:rsidRPr="00B76E4F">
              <w:rPr>
                <w:caps/>
              </w:rPr>
              <w:t xml:space="preserve">IN THE </w:t>
            </w:r>
            <w:r>
              <w:rPr>
                <w:caps/>
              </w:rPr>
              <w:t>AUSTRALIAN COMPETITION TRIBUNAL</w:t>
            </w:r>
          </w:p>
        </w:tc>
        <w:tc>
          <w:tcPr>
            <w:tcW w:w="2471" w:type="dxa"/>
          </w:tcPr>
          <w:p w:rsidR="004B39D1" w:rsidRPr="00B76E4F" w:rsidRDefault="004B39D1">
            <w:pPr>
              <w:pStyle w:val="NormalHeadings"/>
              <w:jc w:val="left"/>
              <w:rPr>
                <w:caps/>
              </w:rPr>
            </w:pPr>
          </w:p>
        </w:tc>
      </w:tr>
      <w:tr w:rsidR="004B39D1">
        <w:tc>
          <w:tcPr>
            <w:tcW w:w="6771" w:type="dxa"/>
          </w:tcPr>
          <w:p w:rsidR="004B39D1" w:rsidRDefault="004B39D1">
            <w:pPr>
              <w:pStyle w:val="NormalHeadings"/>
              <w:spacing w:after="120"/>
              <w:jc w:val="left"/>
              <w:rPr>
                <w:caps/>
              </w:rPr>
            </w:pPr>
          </w:p>
        </w:tc>
        <w:tc>
          <w:tcPr>
            <w:tcW w:w="2471" w:type="dxa"/>
          </w:tcPr>
          <w:p w:rsidR="004B39D1" w:rsidRPr="00145F70" w:rsidRDefault="004B39D1" w:rsidP="00EE76E8">
            <w:pPr>
              <w:pStyle w:val="NormalHeadings"/>
              <w:tabs>
                <w:tab w:val="right" w:pos="3609"/>
              </w:tabs>
              <w:jc w:val="right"/>
            </w:pPr>
            <w:bookmarkStart w:id="6" w:name="Num"/>
            <w:r>
              <w:t>File No 2 of 2010</w:t>
            </w:r>
            <w:bookmarkEnd w:id="6"/>
          </w:p>
        </w:tc>
      </w:tr>
    </w:tbl>
    <w:p w:rsidR="004B39D1" w:rsidRDefault="004B39D1" w:rsidP="00867153">
      <w:pPr>
        <w:pStyle w:val="AppealTable"/>
      </w:pPr>
      <w:bookmarkStart w:id="7" w:name="AppealTable"/>
      <w:r>
        <w:t xml:space="preserve"> </w:t>
      </w:r>
      <w:bookmarkEnd w:id="7"/>
    </w:p>
    <w:tbl>
      <w:tblPr>
        <w:tblW w:w="0" w:type="auto"/>
        <w:tblInd w:w="-106" w:type="dxa"/>
        <w:tblLayout w:type="fixed"/>
        <w:tblLook w:val="0000"/>
      </w:tblPr>
      <w:tblGrid>
        <w:gridCol w:w="2376"/>
        <w:gridCol w:w="6866"/>
      </w:tblGrid>
      <w:tr w:rsidR="004B39D1">
        <w:trPr>
          <w:trHeight w:val="386"/>
        </w:trPr>
        <w:tc>
          <w:tcPr>
            <w:tcW w:w="2376" w:type="dxa"/>
          </w:tcPr>
          <w:p w:rsidR="004B39D1" w:rsidRPr="00B76E4F" w:rsidRDefault="004B39D1" w:rsidP="00EE405D">
            <w:pPr>
              <w:pStyle w:val="NormalHeadings"/>
              <w:jc w:val="left"/>
              <w:rPr>
                <w:caps/>
              </w:rPr>
            </w:pPr>
            <w:bookmarkStart w:id="8" w:name="Parties"/>
            <w:r>
              <w:rPr>
                <w:caps/>
              </w:rPr>
              <w:t>RE</w:t>
            </w:r>
            <w:r w:rsidRPr="00B76E4F">
              <w:rPr>
                <w:caps/>
              </w:rPr>
              <w:t>:</w:t>
            </w:r>
          </w:p>
        </w:tc>
        <w:tc>
          <w:tcPr>
            <w:tcW w:w="6866" w:type="dxa"/>
          </w:tcPr>
          <w:p w:rsidR="004B39D1" w:rsidRDefault="004B39D1" w:rsidP="00EC74B1">
            <w:pPr>
              <w:pStyle w:val="NormalHeadings"/>
              <w:jc w:val="left"/>
            </w:pPr>
            <w:bookmarkStart w:id="9" w:name="Applicant"/>
            <w:r>
              <w:t>APPLICATION UNDER SECTION 71B OF THE NATIONAL ELECTRICITY LAW FOR A REVIEW OF A DISTRIBUTION DETERMINATION MADE BY THE AUSTRALIAN ENERGY REGULATOR IN RELATION TO ENERGEX LIMITED PURSUANT TO CLAUSE 6.11.1 OF THE NATIONAL ELECTRITICY RULES</w:t>
            </w:r>
            <w:bookmarkEnd w:id="9"/>
          </w:p>
          <w:p w:rsidR="004B39D1" w:rsidRPr="0026717E" w:rsidRDefault="004B39D1" w:rsidP="00EC74B1">
            <w:pPr>
              <w:pStyle w:val="NormalHeadings"/>
              <w:jc w:val="left"/>
            </w:pPr>
          </w:p>
        </w:tc>
      </w:tr>
      <w:tr w:rsidR="004B39D1">
        <w:trPr>
          <w:trHeight w:val="386"/>
        </w:trPr>
        <w:tc>
          <w:tcPr>
            <w:tcW w:w="2376" w:type="dxa"/>
          </w:tcPr>
          <w:p w:rsidR="004B39D1" w:rsidRPr="00B76E4F" w:rsidRDefault="004B39D1" w:rsidP="00EE405D">
            <w:pPr>
              <w:pStyle w:val="NormalHeadings"/>
              <w:jc w:val="left"/>
              <w:rPr>
                <w:caps/>
              </w:rPr>
            </w:pPr>
            <w:r>
              <w:rPr>
                <w:caps/>
              </w:rPr>
              <w:t>BY</w:t>
            </w:r>
            <w:r w:rsidRPr="00B76E4F">
              <w:rPr>
                <w:caps/>
              </w:rPr>
              <w:t>:</w:t>
            </w:r>
          </w:p>
        </w:tc>
        <w:tc>
          <w:tcPr>
            <w:tcW w:w="6866" w:type="dxa"/>
          </w:tcPr>
          <w:p w:rsidR="004B39D1" w:rsidRDefault="004B39D1" w:rsidP="00D15459">
            <w:pPr>
              <w:pStyle w:val="NormalHeadings"/>
              <w:jc w:val="right"/>
            </w:pPr>
            <w:bookmarkStart w:id="10" w:name="Respondent"/>
            <w:bookmarkEnd w:id="10"/>
            <w:r>
              <w:t>ENERGEX LIMITED (ACN 078 849 055)</w:t>
            </w:r>
          </w:p>
          <w:p w:rsidR="004B39D1" w:rsidRPr="0026717E" w:rsidRDefault="004B39D1" w:rsidP="00D15459">
            <w:pPr>
              <w:pStyle w:val="NormalHeadings"/>
              <w:jc w:val="right"/>
            </w:pPr>
            <w:r>
              <w:t>Applicant</w:t>
            </w:r>
          </w:p>
        </w:tc>
      </w:tr>
      <w:bookmarkEnd w:id="8"/>
    </w:tbl>
    <w:p w:rsidR="004B39D1" w:rsidRDefault="004B39D1">
      <w:pPr>
        <w:pStyle w:val="NormalHeadings"/>
      </w:pPr>
    </w:p>
    <w:tbl>
      <w:tblPr>
        <w:tblW w:w="0" w:type="auto"/>
        <w:tblInd w:w="-106" w:type="dxa"/>
        <w:tblLayout w:type="fixed"/>
        <w:tblLook w:val="0000"/>
      </w:tblPr>
      <w:tblGrid>
        <w:gridCol w:w="2376"/>
        <w:gridCol w:w="6866"/>
      </w:tblGrid>
      <w:tr w:rsidR="004B39D1">
        <w:tc>
          <w:tcPr>
            <w:tcW w:w="2376" w:type="dxa"/>
          </w:tcPr>
          <w:p w:rsidR="004B39D1" w:rsidRPr="00B76E4F" w:rsidRDefault="004B39D1" w:rsidP="008E1FE0">
            <w:pPr>
              <w:pStyle w:val="NormalHeadings"/>
              <w:spacing w:after="120"/>
              <w:jc w:val="left"/>
              <w:rPr>
                <w:caps/>
              </w:rPr>
            </w:pPr>
            <w:r>
              <w:rPr>
                <w:caps/>
              </w:rPr>
              <w:t>MEMBERS</w:t>
            </w:r>
            <w:r w:rsidRPr="00B76E4F">
              <w:rPr>
                <w:caps/>
              </w:rPr>
              <w:t>:</w:t>
            </w:r>
          </w:p>
        </w:tc>
        <w:tc>
          <w:tcPr>
            <w:tcW w:w="6866" w:type="dxa"/>
          </w:tcPr>
          <w:p w:rsidR="004B39D1" w:rsidRDefault="004B39D1" w:rsidP="008E1FE0">
            <w:pPr>
              <w:pStyle w:val="NormalHeadings"/>
              <w:jc w:val="left"/>
              <w:rPr>
                <w:caps/>
              </w:rPr>
            </w:pPr>
            <w:bookmarkStart w:id="11" w:name="Judge"/>
            <w:r>
              <w:rPr>
                <w:caps/>
              </w:rPr>
              <w:t>MIDDLETON J</w:t>
            </w:r>
            <w:bookmarkEnd w:id="11"/>
          </w:p>
          <w:p w:rsidR="004B39D1" w:rsidRPr="00B76E4F" w:rsidRDefault="004B39D1" w:rsidP="008E1FE0">
            <w:pPr>
              <w:pStyle w:val="NormalHeadings"/>
              <w:jc w:val="left"/>
              <w:rPr>
                <w:caps/>
              </w:rPr>
            </w:pPr>
          </w:p>
        </w:tc>
      </w:tr>
      <w:tr w:rsidR="004B39D1">
        <w:tc>
          <w:tcPr>
            <w:tcW w:w="2376" w:type="dxa"/>
          </w:tcPr>
          <w:p w:rsidR="004B39D1" w:rsidRPr="00B76E4F" w:rsidRDefault="004B39D1">
            <w:pPr>
              <w:pStyle w:val="NormalHeadings"/>
              <w:spacing w:after="120"/>
              <w:jc w:val="left"/>
              <w:rPr>
                <w:caps/>
              </w:rPr>
            </w:pPr>
            <w:r w:rsidRPr="00B76E4F">
              <w:rPr>
                <w:caps/>
              </w:rPr>
              <w:t xml:space="preserve">DATE OF </w:t>
            </w:r>
            <w:r>
              <w:rPr>
                <w:caps/>
              </w:rPr>
              <w:t>DECISION</w:t>
            </w:r>
            <w:r w:rsidRPr="00B76E4F">
              <w:rPr>
                <w:caps/>
              </w:rPr>
              <w:t>:</w:t>
            </w:r>
          </w:p>
        </w:tc>
        <w:tc>
          <w:tcPr>
            <w:tcW w:w="6866" w:type="dxa"/>
          </w:tcPr>
          <w:p w:rsidR="004B39D1" w:rsidRPr="00B76E4F" w:rsidRDefault="004B39D1">
            <w:pPr>
              <w:pStyle w:val="NormalHeadings"/>
              <w:jc w:val="left"/>
              <w:rPr>
                <w:caps/>
              </w:rPr>
            </w:pPr>
            <w:bookmarkStart w:id="12" w:name="Judgment_Dated"/>
            <w:r>
              <w:rPr>
                <w:caps/>
              </w:rPr>
              <w:t>24 AUGUST 2010</w:t>
            </w:r>
            <w:bookmarkEnd w:id="12"/>
          </w:p>
        </w:tc>
      </w:tr>
      <w:tr w:rsidR="004B39D1">
        <w:tc>
          <w:tcPr>
            <w:tcW w:w="2376" w:type="dxa"/>
          </w:tcPr>
          <w:p w:rsidR="004B39D1" w:rsidRPr="00B76E4F" w:rsidRDefault="004B39D1">
            <w:pPr>
              <w:pStyle w:val="NormalHeadings"/>
              <w:spacing w:after="120"/>
              <w:jc w:val="left"/>
              <w:rPr>
                <w:caps/>
              </w:rPr>
            </w:pPr>
            <w:r w:rsidRPr="00B76E4F">
              <w:rPr>
                <w:caps/>
              </w:rPr>
              <w:t>WHERE MADE:</w:t>
            </w:r>
          </w:p>
        </w:tc>
        <w:tc>
          <w:tcPr>
            <w:tcW w:w="6866" w:type="dxa"/>
          </w:tcPr>
          <w:p w:rsidR="004B39D1" w:rsidRPr="00012E32" w:rsidRDefault="004B39D1">
            <w:pPr>
              <w:pStyle w:val="NormalHeadings"/>
              <w:jc w:val="left"/>
              <w:rPr>
                <w:caps/>
              </w:rPr>
            </w:pPr>
            <w:bookmarkStart w:id="13" w:name="Place"/>
            <w:r>
              <w:rPr>
                <w:caps/>
              </w:rPr>
              <w:t>MELBOURNE</w:t>
            </w:r>
            <w:bookmarkEnd w:id="13"/>
          </w:p>
        </w:tc>
      </w:tr>
    </w:tbl>
    <w:p w:rsidR="004B39D1" w:rsidRDefault="004B39D1">
      <w:pPr>
        <w:pStyle w:val="NormalHeadings"/>
        <w:rPr>
          <w:b w:val="0"/>
          <w:bCs w:val="0"/>
        </w:rPr>
      </w:pPr>
    </w:p>
    <w:p w:rsidR="004B39D1" w:rsidRDefault="004B39D1">
      <w:pPr>
        <w:pStyle w:val="NormalHeadings"/>
      </w:pPr>
      <w:r>
        <w:t>THE TRIBUNAL DECIDES THAT:</w:t>
      </w:r>
    </w:p>
    <w:p w:rsidR="004B39D1" w:rsidRDefault="004B39D1">
      <w:pPr>
        <w:pStyle w:val="NormalHeadings"/>
      </w:pPr>
    </w:p>
    <w:p w:rsidR="004B39D1" w:rsidRDefault="004B39D1" w:rsidP="00141B7A">
      <w:pPr>
        <w:numPr>
          <w:ilvl w:val="0"/>
          <w:numId w:val="12"/>
        </w:numPr>
        <w:tabs>
          <w:tab w:val="clear" w:pos="720"/>
        </w:tabs>
        <w:spacing w:before="60" w:after="60"/>
      </w:pPr>
      <w:r>
        <w:t>The application by EnergyAustralia pursuant to section 71K of the National Electricity Law to intervene in the above proceedings be refused.</w:t>
      </w:r>
    </w:p>
    <w:p w:rsidR="004B39D1" w:rsidRDefault="004B39D1" w:rsidP="00F21406">
      <w:pPr>
        <w:spacing w:before="60" w:after="60"/>
      </w:pPr>
    </w:p>
    <w:p w:rsidR="004B39D1" w:rsidRDefault="004B39D1" w:rsidP="00F21406">
      <w:pPr>
        <w:spacing w:before="60" w:after="60"/>
      </w:pPr>
    </w:p>
    <w:p w:rsidR="004B39D1" w:rsidRDefault="004B39D1" w:rsidP="00344717">
      <w:pPr>
        <w:ind w:left="31680" w:hangingChars="322" w:firstLine="31680"/>
        <w:rPr>
          <w:sz w:val="22"/>
          <w:szCs w:val="22"/>
        </w:rPr>
      </w:pPr>
    </w:p>
    <w:p w:rsidR="004B39D1" w:rsidRDefault="004B39D1" w:rsidP="00D15459"/>
    <w:p w:rsidR="004B39D1" w:rsidRDefault="004B39D1" w:rsidP="00D15459">
      <w:pPr>
        <w:pStyle w:val="NormalHeadings"/>
        <w:spacing w:before="240" w:after="120"/>
        <w:rPr>
          <w:b w:val="0"/>
          <w:bCs w:val="0"/>
        </w:rPr>
        <w:sectPr w:rsidR="004B39D1">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Ind w:w="-106" w:type="dxa"/>
        <w:tblLayout w:type="fixed"/>
        <w:tblLook w:val="0000"/>
      </w:tblPr>
      <w:tblGrid>
        <w:gridCol w:w="6771"/>
        <w:gridCol w:w="2471"/>
      </w:tblGrid>
      <w:tr w:rsidR="004B39D1">
        <w:tc>
          <w:tcPr>
            <w:tcW w:w="6771" w:type="dxa"/>
          </w:tcPr>
          <w:p w:rsidR="004B39D1" w:rsidRPr="00B76E4F" w:rsidRDefault="004B39D1" w:rsidP="00AD1FAF">
            <w:pPr>
              <w:pStyle w:val="NormalHeadings"/>
              <w:spacing w:after="120"/>
              <w:jc w:val="left"/>
              <w:rPr>
                <w:caps/>
              </w:rPr>
            </w:pPr>
            <w:r w:rsidRPr="00B76E4F">
              <w:rPr>
                <w:caps/>
              </w:rPr>
              <w:t xml:space="preserve">IN THE </w:t>
            </w:r>
            <w:r>
              <w:rPr>
                <w:caps/>
              </w:rPr>
              <w:t>AUSTRALIAN COMPETITION TRIBUNAL</w:t>
            </w:r>
          </w:p>
        </w:tc>
        <w:tc>
          <w:tcPr>
            <w:tcW w:w="2471" w:type="dxa"/>
          </w:tcPr>
          <w:p w:rsidR="004B39D1" w:rsidRPr="00B76E4F" w:rsidRDefault="004B39D1" w:rsidP="00AD1FAF">
            <w:pPr>
              <w:pStyle w:val="NormalHeadings"/>
              <w:jc w:val="left"/>
              <w:rPr>
                <w:caps/>
              </w:rPr>
            </w:pPr>
          </w:p>
        </w:tc>
      </w:tr>
      <w:tr w:rsidR="004B39D1">
        <w:tc>
          <w:tcPr>
            <w:tcW w:w="6771" w:type="dxa"/>
          </w:tcPr>
          <w:p w:rsidR="004B39D1" w:rsidRDefault="004B39D1" w:rsidP="00AD1FAF">
            <w:pPr>
              <w:pStyle w:val="NormalHeadings"/>
              <w:spacing w:after="120"/>
              <w:jc w:val="left"/>
              <w:rPr>
                <w:caps/>
              </w:rPr>
            </w:pPr>
          </w:p>
        </w:tc>
        <w:tc>
          <w:tcPr>
            <w:tcW w:w="2471" w:type="dxa"/>
          </w:tcPr>
          <w:p w:rsidR="004B39D1" w:rsidRPr="00145F70" w:rsidRDefault="004B39D1" w:rsidP="00AD1FAF">
            <w:pPr>
              <w:pStyle w:val="NormalHeadings"/>
              <w:tabs>
                <w:tab w:val="right" w:pos="3609"/>
              </w:tabs>
              <w:jc w:val="right"/>
            </w:pPr>
            <w:r>
              <w:t>File No 3 of 2010</w:t>
            </w:r>
          </w:p>
        </w:tc>
      </w:tr>
    </w:tbl>
    <w:p w:rsidR="004B39D1" w:rsidRDefault="004B39D1" w:rsidP="00D15459">
      <w:pPr>
        <w:pStyle w:val="AppealTable"/>
      </w:pPr>
      <w:r>
        <w:t xml:space="preserve"> </w:t>
      </w:r>
    </w:p>
    <w:tbl>
      <w:tblPr>
        <w:tblW w:w="0" w:type="auto"/>
        <w:tblInd w:w="-106" w:type="dxa"/>
        <w:tblLayout w:type="fixed"/>
        <w:tblLook w:val="0000"/>
      </w:tblPr>
      <w:tblGrid>
        <w:gridCol w:w="2376"/>
        <w:gridCol w:w="6866"/>
      </w:tblGrid>
      <w:tr w:rsidR="004B39D1">
        <w:trPr>
          <w:trHeight w:val="386"/>
        </w:trPr>
        <w:tc>
          <w:tcPr>
            <w:tcW w:w="2376" w:type="dxa"/>
          </w:tcPr>
          <w:p w:rsidR="004B39D1" w:rsidRPr="00B76E4F" w:rsidRDefault="004B39D1" w:rsidP="00AD1FAF">
            <w:pPr>
              <w:pStyle w:val="NormalHeadings"/>
              <w:jc w:val="left"/>
              <w:rPr>
                <w:caps/>
              </w:rPr>
            </w:pPr>
            <w:r>
              <w:rPr>
                <w:caps/>
              </w:rPr>
              <w:t>RE</w:t>
            </w:r>
            <w:r w:rsidRPr="00B76E4F">
              <w:rPr>
                <w:caps/>
              </w:rPr>
              <w:t>:</w:t>
            </w:r>
          </w:p>
        </w:tc>
        <w:tc>
          <w:tcPr>
            <w:tcW w:w="6866" w:type="dxa"/>
          </w:tcPr>
          <w:p w:rsidR="004B39D1" w:rsidRDefault="004B39D1" w:rsidP="00AD1FAF">
            <w:pPr>
              <w:pStyle w:val="NormalHeadings"/>
              <w:jc w:val="left"/>
            </w:pPr>
            <w:r>
              <w:t>APPLICATION UNDER SECTION 71B OF THE NATIONAL ELECTRICITY (QUEENSLAND) LAW FOR A REVIEW OF A DISTRIBUTION DETERMINATION MADE BY THE AUSTRALIAN ENERGY REGULATOR IN RELATION TO ERGON ENERGY CORPORATION LIMITED PURSUANT TO CLAUSE 6.11.1 OF THE NATIONAL ELECTRICITY RULES</w:t>
            </w:r>
          </w:p>
          <w:p w:rsidR="004B39D1" w:rsidRPr="0026717E" w:rsidRDefault="004B39D1" w:rsidP="00AD1FAF">
            <w:pPr>
              <w:pStyle w:val="NormalHeadings"/>
              <w:jc w:val="left"/>
            </w:pPr>
          </w:p>
        </w:tc>
      </w:tr>
      <w:tr w:rsidR="004B39D1">
        <w:trPr>
          <w:trHeight w:val="386"/>
        </w:trPr>
        <w:tc>
          <w:tcPr>
            <w:tcW w:w="2376" w:type="dxa"/>
          </w:tcPr>
          <w:p w:rsidR="004B39D1" w:rsidRPr="00B76E4F" w:rsidRDefault="004B39D1" w:rsidP="00AD1FAF">
            <w:pPr>
              <w:pStyle w:val="NormalHeadings"/>
              <w:jc w:val="left"/>
              <w:rPr>
                <w:caps/>
              </w:rPr>
            </w:pPr>
            <w:r>
              <w:rPr>
                <w:caps/>
              </w:rPr>
              <w:t>BY</w:t>
            </w:r>
            <w:r w:rsidRPr="00B76E4F">
              <w:rPr>
                <w:caps/>
              </w:rPr>
              <w:t>:</w:t>
            </w:r>
          </w:p>
        </w:tc>
        <w:tc>
          <w:tcPr>
            <w:tcW w:w="6866" w:type="dxa"/>
          </w:tcPr>
          <w:p w:rsidR="004B39D1" w:rsidRDefault="004B39D1" w:rsidP="00AD1FAF">
            <w:pPr>
              <w:pStyle w:val="NormalHeadings"/>
              <w:jc w:val="right"/>
            </w:pPr>
            <w:r>
              <w:t>ERGON ENERGY CORPORATION LIMITED</w:t>
            </w:r>
          </w:p>
          <w:p w:rsidR="004B39D1" w:rsidRPr="00FF68ED" w:rsidRDefault="004B39D1" w:rsidP="00AD1FAF">
            <w:pPr>
              <w:pStyle w:val="NormalHeadings"/>
              <w:jc w:val="right"/>
              <w:rPr>
                <w:b w:val="0"/>
                <w:bCs w:val="0"/>
              </w:rPr>
            </w:pPr>
            <w:r>
              <w:t>(ACN 078 646 062)</w:t>
            </w:r>
          </w:p>
          <w:p w:rsidR="004B39D1" w:rsidRPr="0026717E" w:rsidRDefault="004B39D1" w:rsidP="00AD1FAF">
            <w:pPr>
              <w:pStyle w:val="NormalHeadings"/>
              <w:jc w:val="right"/>
            </w:pPr>
            <w:r>
              <w:t>Applicant</w:t>
            </w:r>
          </w:p>
        </w:tc>
      </w:tr>
    </w:tbl>
    <w:p w:rsidR="004B39D1" w:rsidRDefault="004B39D1" w:rsidP="00D15459">
      <w:pPr>
        <w:pStyle w:val="NormalHeadings"/>
      </w:pPr>
    </w:p>
    <w:tbl>
      <w:tblPr>
        <w:tblW w:w="0" w:type="auto"/>
        <w:tblInd w:w="-106" w:type="dxa"/>
        <w:tblLayout w:type="fixed"/>
        <w:tblLook w:val="0000"/>
      </w:tblPr>
      <w:tblGrid>
        <w:gridCol w:w="2376"/>
        <w:gridCol w:w="6866"/>
      </w:tblGrid>
      <w:tr w:rsidR="004B39D1">
        <w:tc>
          <w:tcPr>
            <w:tcW w:w="2376" w:type="dxa"/>
          </w:tcPr>
          <w:p w:rsidR="004B39D1" w:rsidRPr="00B76E4F" w:rsidRDefault="004B39D1" w:rsidP="00AD1FAF">
            <w:pPr>
              <w:pStyle w:val="NormalHeadings"/>
              <w:spacing w:after="120"/>
              <w:jc w:val="left"/>
              <w:rPr>
                <w:caps/>
              </w:rPr>
            </w:pPr>
            <w:r>
              <w:rPr>
                <w:caps/>
              </w:rPr>
              <w:t>MEMBERS</w:t>
            </w:r>
            <w:r w:rsidRPr="00B76E4F">
              <w:rPr>
                <w:caps/>
              </w:rPr>
              <w:t>:</w:t>
            </w:r>
          </w:p>
        </w:tc>
        <w:tc>
          <w:tcPr>
            <w:tcW w:w="6866" w:type="dxa"/>
          </w:tcPr>
          <w:p w:rsidR="004B39D1" w:rsidRDefault="004B39D1" w:rsidP="00AD1FAF">
            <w:pPr>
              <w:pStyle w:val="NormalHeadings"/>
              <w:jc w:val="left"/>
              <w:rPr>
                <w:caps/>
              </w:rPr>
            </w:pPr>
            <w:r>
              <w:rPr>
                <w:caps/>
              </w:rPr>
              <w:t>MIDDLETON J (DEPUTY PRESIDENT),</w:t>
            </w:r>
          </w:p>
          <w:p w:rsidR="004B39D1" w:rsidRDefault="004B39D1" w:rsidP="00AD1FAF">
            <w:pPr>
              <w:pStyle w:val="NormalHeadings"/>
              <w:jc w:val="left"/>
              <w:rPr>
                <w:caps/>
              </w:rPr>
            </w:pPr>
            <w:r>
              <w:rPr>
                <w:caps/>
              </w:rPr>
              <w:t>MR R DAVEY AND MR R SHOGREN</w:t>
            </w:r>
          </w:p>
          <w:p w:rsidR="004B39D1" w:rsidRPr="00B76E4F" w:rsidRDefault="004B39D1" w:rsidP="00AD1FAF">
            <w:pPr>
              <w:pStyle w:val="NormalHeadings"/>
              <w:jc w:val="left"/>
              <w:rPr>
                <w:caps/>
              </w:rPr>
            </w:pPr>
          </w:p>
        </w:tc>
      </w:tr>
      <w:tr w:rsidR="004B39D1">
        <w:tc>
          <w:tcPr>
            <w:tcW w:w="2376" w:type="dxa"/>
          </w:tcPr>
          <w:p w:rsidR="004B39D1" w:rsidRPr="00B76E4F" w:rsidRDefault="004B39D1" w:rsidP="00AD1FAF">
            <w:pPr>
              <w:pStyle w:val="NormalHeadings"/>
              <w:spacing w:after="120"/>
              <w:jc w:val="left"/>
              <w:rPr>
                <w:caps/>
              </w:rPr>
            </w:pPr>
            <w:r w:rsidRPr="00B76E4F">
              <w:rPr>
                <w:caps/>
              </w:rPr>
              <w:t xml:space="preserve">DATE OF </w:t>
            </w:r>
            <w:r>
              <w:rPr>
                <w:caps/>
              </w:rPr>
              <w:t>DECISION</w:t>
            </w:r>
            <w:r w:rsidRPr="00B76E4F">
              <w:rPr>
                <w:caps/>
              </w:rPr>
              <w:t>:</w:t>
            </w:r>
          </w:p>
        </w:tc>
        <w:tc>
          <w:tcPr>
            <w:tcW w:w="6866" w:type="dxa"/>
          </w:tcPr>
          <w:p w:rsidR="004B39D1" w:rsidRPr="00B76E4F" w:rsidRDefault="004B39D1" w:rsidP="00AD1FAF">
            <w:pPr>
              <w:pStyle w:val="NormalHeadings"/>
              <w:jc w:val="left"/>
              <w:rPr>
                <w:caps/>
              </w:rPr>
            </w:pPr>
            <w:r>
              <w:rPr>
                <w:caps/>
              </w:rPr>
              <w:t>24 AUGUST 2010</w:t>
            </w:r>
          </w:p>
        </w:tc>
      </w:tr>
      <w:tr w:rsidR="004B39D1">
        <w:tc>
          <w:tcPr>
            <w:tcW w:w="2376" w:type="dxa"/>
          </w:tcPr>
          <w:p w:rsidR="004B39D1" w:rsidRPr="00B76E4F" w:rsidRDefault="004B39D1" w:rsidP="00AD1FAF">
            <w:pPr>
              <w:pStyle w:val="NormalHeadings"/>
              <w:spacing w:after="120"/>
              <w:jc w:val="left"/>
              <w:rPr>
                <w:caps/>
              </w:rPr>
            </w:pPr>
            <w:r w:rsidRPr="00B76E4F">
              <w:rPr>
                <w:caps/>
              </w:rPr>
              <w:t>WHERE MADE:</w:t>
            </w:r>
          </w:p>
        </w:tc>
        <w:tc>
          <w:tcPr>
            <w:tcW w:w="6866" w:type="dxa"/>
          </w:tcPr>
          <w:p w:rsidR="004B39D1" w:rsidRPr="00012E32" w:rsidRDefault="004B39D1" w:rsidP="00AD1FAF">
            <w:pPr>
              <w:pStyle w:val="NormalHeadings"/>
              <w:jc w:val="left"/>
              <w:rPr>
                <w:caps/>
              </w:rPr>
            </w:pPr>
            <w:r>
              <w:rPr>
                <w:caps/>
              </w:rPr>
              <w:t>MELBOURNE</w:t>
            </w:r>
          </w:p>
        </w:tc>
      </w:tr>
    </w:tbl>
    <w:p w:rsidR="004B39D1" w:rsidRDefault="004B39D1" w:rsidP="00D15459">
      <w:pPr>
        <w:pStyle w:val="NormalHeadings"/>
        <w:rPr>
          <w:b w:val="0"/>
          <w:bCs w:val="0"/>
        </w:rPr>
      </w:pPr>
    </w:p>
    <w:p w:rsidR="004B39D1" w:rsidRDefault="004B39D1" w:rsidP="00D15459">
      <w:pPr>
        <w:pStyle w:val="NormalHeadings"/>
      </w:pPr>
      <w:r>
        <w:t>THE TRIBUNAL DECIDES THAT:</w:t>
      </w:r>
    </w:p>
    <w:p w:rsidR="004B39D1" w:rsidRDefault="004B39D1" w:rsidP="00D15459">
      <w:pPr>
        <w:pStyle w:val="NormalHeadings"/>
      </w:pPr>
    </w:p>
    <w:p w:rsidR="004B39D1" w:rsidRDefault="004B39D1" w:rsidP="00B66741">
      <w:pPr>
        <w:spacing w:before="60" w:after="60"/>
        <w:ind w:left="709" w:hanging="709"/>
      </w:pPr>
      <w:r>
        <w:t>1.</w:t>
      </w:r>
      <w:r>
        <w:tab/>
        <w:t>The application by EnergyAustralia pursuant to section 71K of the National Electricity Law to intervene in the above proceedings be refused.</w:t>
      </w:r>
    </w:p>
    <w:p w:rsidR="004B39D1" w:rsidRDefault="004B39D1" w:rsidP="00FF68ED">
      <w:pPr>
        <w:spacing w:before="60" w:after="60"/>
      </w:pPr>
    </w:p>
    <w:p w:rsidR="004B39D1" w:rsidRDefault="004B39D1" w:rsidP="00D15459">
      <w:pPr>
        <w:spacing w:before="60" w:after="60"/>
      </w:pPr>
    </w:p>
    <w:p w:rsidR="004B39D1" w:rsidRDefault="004B39D1" w:rsidP="00D15459">
      <w:pPr>
        <w:spacing w:before="60" w:after="60"/>
      </w:pPr>
    </w:p>
    <w:p w:rsidR="004B39D1" w:rsidRDefault="004B39D1" w:rsidP="00344717">
      <w:pPr>
        <w:ind w:left="31680" w:hangingChars="322" w:firstLine="31680"/>
        <w:rPr>
          <w:sz w:val="22"/>
          <w:szCs w:val="22"/>
        </w:rPr>
      </w:pPr>
    </w:p>
    <w:p w:rsidR="004B39D1" w:rsidRDefault="004B39D1" w:rsidP="00D15459"/>
    <w:p w:rsidR="004B39D1" w:rsidRDefault="004B39D1" w:rsidP="00D15459">
      <w:pPr>
        <w:pStyle w:val="NormalHeadings"/>
        <w:spacing w:before="240" w:after="120"/>
        <w:rPr>
          <w:b w:val="0"/>
          <w:bCs w:val="0"/>
        </w:rPr>
        <w:sectPr w:rsidR="004B39D1">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p w:rsidR="004B39D1" w:rsidRDefault="004B39D1" w:rsidP="00D15459"/>
    <w:tbl>
      <w:tblPr>
        <w:tblW w:w="0" w:type="auto"/>
        <w:tblInd w:w="-106" w:type="dxa"/>
        <w:tblLayout w:type="fixed"/>
        <w:tblLook w:val="0000"/>
      </w:tblPr>
      <w:tblGrid>
        <w:gridCol w:w="6771"/>
        <w:gridCol w:w="2471"/>
      </w:tblGrid>
      <w:tr w:rsidR="004B39D1">
        <w:tc>
          <w:tcPr>
            <w:tcW w:w="6771" w:type="dxa"/>
          </w:tcPr>
          <w:p w:rsidR="004B39D1" w:rsidRPr="00B76E4F" w:rsidRDefault="004B39D1" w:rsidP="00AD1FAF">
            <w:pPr>
              <w:pStyle w:val="NormalHeadings"/>
              <w:spacing w:after="120"/>
              <w:jc w:val="left"/>
              <w:rPr>
                <w:caps/>
              </w:rPr>
            </w:pPr>
            <w:r w:rsidRPr="00B76E4F">
              <w:rPr>
                <w:caps/>
              </w:rPr>
              <w:t xml:space="preserve">IN THE </w:t>
            </w:r>
            <w:r>
              <w:rPr>
                <w:caps/>
              </w:rPr>
              <w:t>AUSTRALIAN COMPETITION TRIBUNAL</w:t>
            </w:r>
          </w:p>
        </w:tc>
        <w:tc>
          <w:tcPr>
            <w:tcW w:w="2471" w:type="dxa"/>
          </w:tcPr>
          <w:p w:rsidR="004B39D1" w:rsidRPr="00B76E4F" w:rsidRDefault="004B39D1" w:rsidP="00AD1FAF">
            <w:pPr>
              <w:pStyle w:val="NormalHeadings"/>
              <w:jc w:val="left"/>
              <w:rPr>
                <w:caps/>
              </w:rPr>
            </w:pPr>
          </w:p>
        </w:tc>
      </w:tr>
      <w:tr w:rsidR="004B39D1">
        <w:tc>
          <w:tcPr>
            <w:tcW w:w="6771" w:type="dxa"/>
          </w:tcPr>
          <w:p w:rsidR="004B39D1" w:rsidRDefault="004B39D1" w:rsidP="00AD1FAF">
            <w:pPr>
              <w:pStyle w:val="NormalHeadings"/>
              <w:spacing w:after="120"/>
              <w:jc w:val="left"/>
              <w:rPr>
                <w:caps/>
              </w:rPr>
            </w:pPr>
          </w:p>
        </w:tc>
        <w:tc>
          <w:tcPr>
            <w:tcW w:w="2471" w:type="dxa"/>
          </w:tcPr>
          <w:p w:rsidR="004B39D1" w:rsidRPr="00145F70" w:rsidRDefault="004B39D1" w:rsidP="00AD1FAF">
            <w:pPr>
              <w:pStyle w:val="NormalHeadings"/>
              <w:tabs>
                <w:tab w:val="right" w:pos="3609"/>
              </w:tabs>
              <w:jc w:val="right"/>
            </w:pPr>
            <w:r>
              <w:t>File No 4 of 2010</w:t>
            </w:r>
          </w:p>
        </w:tc>
      </w:tr>
    </w:tbl>
    <w:p w:rsidR="004B39D1" w:rsidRDefault="004B39D1" w:rsidP="00D15459">
      <w:pPr>
        <w:pStyle w:val="AppealTable"/>
      </w:pPr>
      <w:r>
        <w:t xml:space="preserve"> </w:t>
      </w:r>
    </w:p>
    <w:tbl>
      <w:tblPr>
        <w:tblW w:w="0" w:type="auto"/>
        <w:tblInd w:w="-106" w:type="dxa"/>
        <w:tblLayout w:type="fixed"/>
        <w:tblLook w:val="0000"/>
      </w:tblPr>
      <w:tblGrid>
        <w:gridCol w:w="2376"/>
        <w:gridCol w:w="6866"/>
      </w:tblGrid>
      <w:tr w:rsidR="004B39D1">
        <w:trPr>
          <w:trHeight w:val="386"/>
        </w:trPr>
        <w:tc>
          <w:tcPr>
            <w:tcW w:w="2376" w:type="dxa"/>
          </w:tcPr>
          <w:p w:rsidR="004B39D1" w:rsidRPr="00B76E4F" w:rsidRDefault="004B39D1" w:rsidP="00AD1FAF">
            <w:pPr>
              <w:pStyle w:val="NormalHeadings"/>
              <w:jc w:val="left"/>
              <w:rPr>
                <w:caps/>
              </w:rPr>
            </w:pPr>
            <w:r>
              <w:rPr>
                <w:caps/>
              </w:rPr>
              <w:t>RE</w:t>
            </w:r>
            <w:r w:rsidRPr="00B76E4F">
              <w:rPr>
                <w:caps/>
              </w:rPr>
              <w:t>:</w:t>
            </w:r>
          </w:p>
        </w:tc>
        <w:tc>
          <w:tcPr>
            <w:tcW w:w="6866" w:type="dxa"/>
          </w:tcPr>
          <w:p w:rsidR="004B39D1" w:rsidRDefault="004B39D1" w:rsidP="00AD1FAF">
            <w:pPr>
              <w:pStyle w:val="NormalHeadings"/>
              <w:jc w:val="left"/>
            </w:pPr>
            <w:r>
              <w:t>APPLICATION UNDER SECTION 71B OF THE NATIONAL ELECTRICITY LAW FOR A REVIEW OF A DISTRIBUTION DETERMINATION MADE BY THE AUSTRALIAN ENERGY REGULATOR IN RELATION TO ETSA UTILITIES PURSUANT TO CLAUSE 6.11.1 OF THE NATIONAL ELECTRITICY RULES</w:t>
            </w:r>
          </w:p>
          <w:p w:rsidR="004B39D1" w:rsidRPr="0026717E" w:rsidRDefault="004B39D1" w:rsidP="00AD1FAF">
            <w:pPr>
              <w:pStyle w:val="NormalHeadings"/>
              <w:jc w:val="left"/>
            </w:pPr>
          </w:p>
        </w:tc>
      </w:tr>
      <w:tr w:rsidR="004B39D1">
        <w:trPr>
          <w:trHeight w:val="386"/>
        </w:trPr>
        <w:tc>
          <w:tcPr>
            <w:tcW w:w="2376" w:type="dxa"/>
          </w:tcPr>
          <w:p w:rsidR="004B39D1" w:rsidRPr="00B76E4F" w:rsidRDefault="004B39D1" w:rsidP="00AD1FAF">
            <w:pPr>
              <w:pStyle w:val="NormalHeadings"/>
              <w:jc w:val="left"/>
              <w:rPr>
                <w:caps/>
              </w:rPr>
            </w:pPr>
            <w:r>
              <w:rPr>
                <w:caps/>
              </w:rPr>
              <w:t>BY</w:t>
            </w:r>
            <w:r w:rsidRPr="00B76E4F">
              <w:rPr>
                <w:caps/>
              </w:rPr>
              <w:t>:</w:t>
            </w:r>
          </w:p>
        </w:tc>
        <w:tc>
          <w:tcPr>
            <w:tcW w:w="6866" w:type="dxa"/>
          </w:tcPr>
          <w:p w:rsidR="004B39D1" w:rsidRDefault="004B39D1" w:rsidP="00AD1FAF">
            <w:pPr>
              <w:pStyle w:val="NormalHeadings"/>
              <w:jc w:val="right"/>
            </w:pPr>
            <w:r>
              <w:t>ETSA UTILITIES (ABN 13 332 330 749)</w:t>
            </w:r>
          </w:p>
          <w:p w:rsidR="004B39D1" w:rsidRPr="0026717E" w:rsidRDefault="004B39D1" w:rsidP="00AD1FAF">
            <w:pPr>
              <w:pStyle w:val="NormalHeadings"/>
              <w:jc w:val="right"/>
            </w:pPr>
            <w:r>
              <w:t>Applicant</w:t>
            </w:r>
          </w:p>
        </w:tc>
      </w:tr>
    </w:tbl>
    <w:p w:rsidR="004B39D1" w:rsidRDefault="004B39D1" w:rsidP="00D15459">
      <w:pPr>
        <w:pStyle w:val="NormalHeadings"/>
      </w:pPr>
    </w:p>
    <w:tbl>
      <w:tblPr>
        <w:tblW w:w="0" w:type="auto"/>
        <w:tblInd w:w="-106" w:type="dxa"/>
        <w:tblLayout w:type="fixed"/>
        <w:tblLook w:val="0000"/>
      </w:tblPr>
      <w:tblGrid>
        <w:gridCol w:w="2376"/>
        <w:gridCol w:w="6866"/>
      </w:tblGrid>
      <w:tr w:rsidR="004B39D1">
        <w:tc>
          <w:tcPr>
            <w:tcW w:w="2376" w:type="dxa"/>
          </w:tcPr>
          <w:p w:rsidR="004B39D1" w:rsidRPr="00B76E4F" w:rsidRDefault="004B39D1" w:rsidP="00AD1FAF">
            <w:pPr>
              <w:pStyle w:val="NormalHeadings"/>
              <w:spacing w:after="120"/>
              <w:jc w:val="left"/>
              <w:rPr>
                <w:caps/>
              </w:rPr>
            </w:pPr>
            <w:r>
              <w:rPr>
                <w:caps/>
              </w:rPr>
              <w:t>MEMBERS</w:t>
            </w:r>
            <w:r w:rsidRPr="00B76E4F">
              <w:rPr>
                <w:caps/>
              </w:rPr>
              <w:t>:</w:t>
            </w:r>
          </w:p>
        </w:tc>
        <w:tc>
          <w:tcPr>
            <w:tcW w:w="6866" w:type="dxa"/>
          </w:tcPr>
          <w:p w:rsidR="004B39D1" w:rsidRDefault="004B39D1" w:rsidP="00AD1FAF">
            <w:pPr>
              <w:pStyle w:val="NormalHeadings"/>
              <w:jc w:val="left"/>
              <w:rPr>
                <w:caps/>
              </w:rPr>
            </w:pPr>
            <w:r>
              <w:rPr>
                <w:caps/>
              </w:rPr>
              <w:t>MIDDLETON J (DEPUTY PRESIDENT),</w:t>
            </w:r>
          </w:p>
          <w:p w:rsidR="004B39D1" w:rsidRDefault="004B39D1" w:rsidP="00AD1FAF">
            <w:pPr>
              <w:pStyle w:val="NormalHeadings"/>
              <w:jc w:val="left"/>
              <w:rPr>
                <w:caps/>
              </w:rPr>
            </w:pPr>
            <w:r>
              <w:rPr>
                <w:caps/>
              </w:rPr>
              <w:t>MR R DAVEY AND MR R SHOGREN</w:t>
            </w:r>
          </w:p>
          <w:p w:rsidR="004B39D1" w:rsidRPr="00B76E4F" w:rsidRDefault="004B39D1" w:rsidP="00AD1FAF">
            <w:pPr>
              <w:pStyle w:val="NormalHeadings"/>
              <w:jc w:val="left"/>
              <w:rPr>
                <w:caps/>
              </w:rPr>
            </w:pPr>
          </w:p>
        </w:tc>
      </w:tr>
      <w:tr w:rsidR="004B39D1">
        <w:tc>
          <w:tcPr>
            <w:tcW w:w="2376" w:type="dxa"/>
          </w:tcPr>
          <w:p w:rsidR="004B39D1" w:rsidRPr="00B76E4F" w:rsidRDefault="004B39D1" w:rsidP="00AD1FAF">
            <w:pPr>
              <w:pStyle w:val="NormalHeadings"/>
              <w:spacing w:after="120"/>
              <w:jc w:val="left"/>
              <w:rPr>
                <w:caps/>
              </w:rPr>
            </w:pPr>
            <w:r w:rsidRPr="00B76E4F">
              <w:rPr>
                <w:caps/>
              </w:rPr>
              <w:t xml:space="preserve">DATE OF </w:t>
            </w:r>
            <w:r>
              <w:rPr>
                <w:caps/>
              </w:rPr>
              <w:t>DECISION</w:t>
            </w:r>
            <w:r w:rsidRPr="00B76E4F">
              <w:rPr>
                <w:caps/>
              </w:rPr>
              <w:t>:</w:t>
            </w:r>
          </w:p>
        </w:tc>
        <w:tc>
          <w:tcPr>
            <w:tcW w:w="6866" w:type="dxa"/>
          </w:tcPr>
          <w:p w:rsidR="004B39D1" w:rsidRPr="00B76E4F" w:rsidRDefault="004B39D1" w:rsidP="00AD1FAF">
            <w:pPr>
              <w:pStyle w:val="NormalHeadings"/>
              <w:jc w:val="left"/>
              <w:rPr>
                <w:caps/>
              </w:rPr>
            </w:pPr>
            <w:r>
              <w:rPr>
                <w:caps/>
              </w:rPr>
              <w:t>24 AUGUST 2010</w:t>
            </w:r>
          </w:p>
        </w:tc>
      </w:tr>
      <w:tr w:rsidR="004B39D1">
        <w:tc>
          <w:tcPr>
            <w:tcW w:w="2376" w:type="dxa"/>
          </w:tcPr>
          <w:p w:rsidR="004B39D1" w:rsidRPr="00B76E4F" w:rsidRDefault="004B39D1" w:rsidP="00AD1FAF">
            <w:pPr>
              <w:pStyle w:val="NormalHeadings"/>
              <w:spacing w:after="120"/>
              <w:jc w:val="left"/>
              <w:rPr>
                <w:caps/>
              </w:rPr>
            </w:pPr>
            <w:r w:rsidRPr="00B76E4F">
              <w:rPr>
                <w:caps/>
              </w:rPr>
              <w:t>WHERE MADE:</w:t>
            </w:r>
          </w:p>
        </w:tc>
        <w:tc>
          <w:tcPr>
            <w:tcW w:w="6866" w:type="dxa"/>
          </w:tcPr>
          <w:p w:rsidR="004B39D1" w:rsidRPr="00012E32" w:rsidRDefault="004B39D1" w:rsidP="00AD1FAF">
            <w:pPr>
              <w:pStyle w:val="NormalHeadings"/>
              <w:jc w:val="left"/>
              <w:rPr>
                <w:caps/>
              </w:rPr>
            </w:pPr>
            <w:r>
              <w:rPr>
                <w:caps/>
              </w:rPr>
              <w:t>MELBOURNE</w:t>
            </w:r>
          </w:p>
        </w:tc>
      </w:tr>
    </w:tbl>
    <w:p w:rsidR="004B39D1" w:rsidRDefault="004B39D1" w:rsidP="00D15459">
      <w:pPr>
        <w:pStyle w:val="NormalHeadings"/>
        <w:rPr>
          <w:b w:val="0"/>
          <w:bCs w:val="0"/>
        </w:rPr>
      </w:pPr>
    </w:p>
    <w:p w:rsidR="004B39D1" w:rsidRDefault="004B39D1" w:rsidP="00D15459">
      <w:pPr>
        <w:pStyle w:val="NormalHeadings"/>
      </w:pPr>
      <w:r>
        <w:t>THE TRIBUNAL DECIDES THAT:</w:t>
      </w:r>
    </w:p>
    <w:p w:rsidR="004B39D1" w:rsidRDefault="004B39D1" w:rsidP="00D15459">
      <w:pPr>
        <w:pStyle w:val="NormalHeadings"/>
      </w:pPr>
    </w:p>
    <w:p w:rsidR="004B39D1" w:rsidRDefault="004B39D1" w:rsidP="00B66741">
      <w:pPr>
        <w:spacing w:before="60" w:after="60"/>
        <w:ind w:left="709" w:hanging="709"/>
      </w:pPr>
      <w:r>
        <w:t>1.</w:t>
      </w:r>
      <w:r>
        <w:tab/>
        <w:t>The application by EnergyAustralia pursuant to section 71K of the National Electricity Law to intervene in the above proceedings be refused.</w:t>
      </w:r>
    </w:p>
    <w:p w:rsidR="004B39D1" w:rsidRDefault="004B39D1" w:rsidP="00FF68ED">
      <w:pPr>
        <w:spacing w:before="60" w:after="60"/>
      </w:pPr>
    </w:p>
    <w:p w:rsidR="004B39D1" w:rsidRDefault="004B39D1" w:rsidP="00D15459">
      <w:pPr>
        <w:spacing w:before="60" w:after="60"/>
      </w:pPr>
    </w:p>
    <w:p w:rsidR="004B39D1" w:rsidRDefault="004B39D1" w:rsidP="00D15459">
      <w:pPr>
        <w:spacing w:before="60" w:after="60"/>
      </w:pPr>
    </w:p>
    <w:p w:rsidR="004B39D1" w:rsidRDefault="004B39D1" w:rsidP="00344717">
      <w:pPr>
        <w:ind w:left="31680" w:hangingChars="322" w:firstLine="31680"/>
        <w:rPr>
          <w:sz w:val="22"/>
          <w:szCs w:val="22"/>
        </w:rPr>
      </w:pPr>
    </w:p>
    <w:p w:rsidR="004B39D1" w:rsidRDefault="004B39D1" w:rsidP="00D15459"/>
    <w:p w:rsidR="004B39D1" w:rsidRDefault="004B39D1"/>
    <w:p w:rsidR="004B39D1" w:rsidRDefault="004B39D1"/>
    <w:p w:rsidR="004B39D1" w:rsidRDefault="004B39D1"/>
    <w:p w:rsidR="004B39D1" w:rsidRDefault="004B39D1">
      <w:pPr>
        <w:pStyle w:val="NormalHeadings"/>
        <w:spacing w:before="240" w:after="120"/>
        <w:rPr>
          <w:b w:val="0"/>
          <w:bCs w:val="0"/>
        </w:rPr>
        <w:sectPr w:rsidR="004B39D1">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Ind w:w="-106" w:type="dxa"/>
        <w:tblLayout w:type="fixed"/>
        <w:tblLook w:val="0000"/>
      </w:tblPr>
      <w:tblGrid>
        <w:gridCol w:w="6771"/>
        <w:gridCol w:w="2471"/>
      </w:tblGrid>
      <w:tr w:rsidR="004B39D1">
        <w:tc>
          <w:tcPr>
            <w:tcW w:w="6771" w:type="dxa"/>
          </w:tcPr>
          <w:p w:rsidR="004B39D1" w:rsidRPr="00884B15" w:rsidRDefault="004B39D1">
            <w:pPr>
              <w:pStyle w:val="NormalHeadings"/>
              <w:spacing w:after="120"/>
              <w:jc w:val="left"/>
              <w:rPr>
                <w:caps/>
              </w:rPr>
            </w:pPr>
            <w:bookmarkStart w:id="14" w:name="ReasonsPage"/>
            <w:bookmarkEnd w:id="14"/>
            <w:r w:rsidRPr="0060352B">
              <w:rPr>
                <w:caps/>
              </w:rPr>
              <w:t>IN THE AUSTRALIAN COMPETITION TRIBUNAL</w:t>
            </w:r>
          </w:p>
        </w:tc>
        <w:tc>
          <w:tcPr>
            <w:tcW w:w="2471" w:type="dxa"/>
          </w:tcPr>
          <w:p w:rsidR="004B39D1" w:rsidRDefault="004B39D1">
            <w:pPr>
              <w:pStyle w:val="NormalHeadings"/>
            </w:pPr>
          </w:p>
        </w:tc>
      </w:tr>
      <w:tr w:rsidR="004B39D1">
        <w:tc>
          <w:tcPr>
            <w:tcW w:w="6771" w:type="dxa"/>
          </w:tcPr>
          <w:p w:rsidR="004B39D1" w:rsidRPr="00884B15" w:rsidRDefault="004B39D1">
            <w:pPr>
              <w:pStyle w:val="NormalHeadings"/>
              <w:spacing w:after="120"/>
              <w:jc w:val="left"/>
              <w:rPr>
                <w:caps/>
              </w:rPr>
            </w:pPr>
          </w:p>
        </w:tc>
        <w:tc>
          <w:tcPr>
            <w:tcW w:w="2471" w:type="dxa"/>
          </w:tcPr>
          <w:p w:rsidR="004B39D1" w:rsidRPr="00FF68ED" w:rsidRDefault="004B39D1" w:rsidP="00EE76E8">
            <w:pPr>
              <w:pStyle w:val="NormalHeadings"/>
              <w:tabs>
                <w:tab w:val="right" w:pos="3609"/>
              </w:tabs>
              <w:jc w:val="right"/>
              <w:rPr>
                <w:rFonts w:ascii="Times" w:hAnsi="Times" w:cs="Times"/>
              </w:rPr>
            </w:pPr>
            <w:r>
              <w:rPr>
                <w:rFonts w:ascii="Times" w:hAnsi="Times" w:cs="Times"/>
              </w:rPr>
              <w:t xml:space="preserve">File No </w:t>
            </w:r>
            <w:fldSimple w:instr=" REF  Num  \* MERGEFORMAT " w:fldLock="1">
              <w:r w:rsidRPr="00FF68ED">
                <w:rPr>
                  <w:rFonts w:ascii="Times" w:hAnsi="Times" w:cs="Times"/>
                </w:rPr>
                <w:t>2 of 2010</w:t>
              </w:r>
            </w:fldSimple>
          </w:p>
        </w:tc>
      </w:tr>
    </w:tbl>
    <w:p w:rsidR="004B39D1" w:rsidRDefault="004B39D1" w:rsidP="00867153">
      <w:pPr>
        <w:pStyle w:val="AppealTable"/>
      </w:pPr>
      <w:fldSimple w:instr=" Ref AppealTable  \* MERGEFORMAT " w:fldLock="1">
        <w:r>
          <w:t xml:space="preserve"> </w:t>
        </w:r>
      </w:fldSimple>
    </w:p>
    <w:tbl>
      <w:tblPr>
        <w:tblW w:w="0" w:type="auto"/>
        <w:tblInd w:w="-106" w:type="dxa"/>
        <w:tblLayout w:type="fixed"/>
        <w:tblLook w:val="0000"/>
      </w:tblPr>
      <w:tblGrid>
        <w:gridCol w:w="2376"/>
        <w:gridCol w:w="4395"/>
        <w:gridCol w:w="2471"/>
      </w:tblGrid>
      <w:tr w:rsidR="004B39D1">
        <w:trPr>
          <w:trHeight w:val="386"/>
        </w:trPr>
        <w:tc>
          <w:tcPr>
            <w:tcW w:w="2376" w:type="dxa"/>
          </w:tcPr>
          <w:p w:rsidR="004B39D1" w:rsidRPr="00B76E4F" w:rsidRDefault="004B39D1" w:rsidP="00AD1FAF">
            <w:pPr>
              <w:pStyle w:val="NormalHeadings"/>
              <w:jc w:val="left"/>
              <w:rPr>
                <w:caps/>
              </w:rPr>
            </w:pPr>
            <w:r>
              <w:rPr>
                <w:caps/>
              </w:rPr>
              <w:t>RE</w:t>
            </w:r>
            <w:r w:rsidRPr="00B76E4F">
              <w:rPr>
                <w:caps/>
              </w:rPr>
              <w:t>:</w:t>
            </w:r>
          </w:p>
        </w:tc>
        <w:tc>
          <w:tcPr>
            <w:tcW w:w="6866" w:type="dxa"/>
            <w:gridSpan w:val="2"/>
          </w:tcPr>
          <w:p w:rsidR="004B39D1" w:rsidRDefault="004B39D1" w:rsidP="00AD1FAF">
            <w:pPr>
              <w:pStyle w:val="NormalHeadings"/>
              <w:jc w:val="left"/>
            </w:pPr>
            <w:r>
              <w:t>APPLICATION UNDER SECTION 71B OF THE NATIONAL ELECTRICITY LAW FOR A REVIEW OF A DISTRIBUTION DETERMINATION MADE BY THE AUSTRALIAN ENERGY REGULATOR IN RELATION TO ENERGEX LIMITED PURSUANT TO CLAUSE 6.11.1 OF THE NATIONAL ELECTRITICY RULES</w:t>
            </w:r>
          </w:p>
          <w:p w:rsidR="004B39D1" w:rsidRPr="0026717E" w:rsidRDefault="004B39D1" w:rsidP="00AD1FAF">
            <w:pPr>
              <w:pStyle w:val="NormalHeadings"/>
              <w:jc w:val="left"/>
            </w:pPr>
          </w:p>
        </w:tc>
      </w:tr>
      <w:tr w:rsidR="004B39D1">
        <w:trPr>
          <w:trHeight w:val="386"/>
        </w:trPr>
        <w:tc>
          <w:tcPr>
            <w:tcW w:w="2376" w:type="dxa"/>
          </w:tcPr>
          <w:p w:rsidR="004B39D1" w:rsidRPr="00B76E4F" w:rsidRDefault="004B39D1" w:rsidP="00AD1FAF">
            <w:pPr>
              <w:pStyle w:val="NormalHeadings"/>
              <w:jc w:val="left"/>
              <w:rPr>
                <w:caps/>
              </w:rPr>
            </w:pPr>
            <w:r>
              <w:rPr>
                <w:caps/>
              </w:rPr>
              <w:t>BY</w:t>
            </w:r>
            <w:r w:rsidRPr="00B76E4F">
              <w:rPr>
                <w:caps/>
              </w:rPr>
              <w:t>:</w:t>
            </w:r>
          </w:p>
        </w:tc>
        <w:tc>
          <w:tcPr>
            <w:tcW w:w="6866" w:type="dxa"/>
            <w:gridSpan w:val="2"/>
          </w:tcPr>
          <w:p w:rsidR="004B39D1" w:rsidRDefault="004B39D1" w:rsidP="00AD1FAF">
            <w:pPr>
              <w:pStyle w:val="NormalHeadings"/>
              <w:jc w:val="right"/>
            </w:pPr>
            <w:r>
              <w:t>ENERGEX LIMITED (ACN 078 849 055)</w:t>
            </w:r>
          </w:p>
          <w:p w:rsidR="004B39D1" w:rsidRPr="0026717E" w:rsidRDefault="004B39D1" w:rsidP="00AD1FAF">
            <w:pPr>
              <w:pStyle w:val="NormalHeadings"/>
              <w:jc w:val="right"/>
            </w:pPr>
            <w:r>
              <w:t>Applicant</w:t>
            </w:r>
          </w:p>
        </w:tc>
      </w:tr>
      <w:tr w:rsidR="004B39D1">
        <w:trPr>
          <w:trHeight w:val="386"/>
        </w:trPr>
        <w:tc>
          <w:tcPr>
            <w:tcW w:w="2376" w:type="dxa"/>
          </w:tcPr>
          <w:p w:rsidR="004B39D1" w:rsidRDefault="004B39D1" w:rsidP="00AD1FAF">
            <w:pPr>
              <w:pStyle w:val="NormalHeadings"/>
              <w:jc w:val="left"/>
              <w:rPr>
                <w:caps/>
              </w:rPr>
            </w:pPr>
          </w:p>
        </w:tc>
        <w:tc>
          <w:tcPr>
            <w:tcW w:w="6866" w:type="dxa"/>
            <w:gridSpan w:val="2"/>
          </w:tcPr>
          <w:p w:rsidR="004B39D1" w:rsidRDefault="004B39D1" w:rsidP="00AD1FAF">
            <w:pPr>
              <w:pStyle w:val="NormalHeadings"/>
              <w:jc w:val="right"/>
            </w:pPr>
          </w:p>
        </w:tc>
      </w:tr>
      <w:tr w:rsidR="004B39D1">
        <w:tc>
          <w:tcPr>
            <w:tcW w:w="6771" w:type="dxa"/>
            <w:gridSpan w:val="2"/>
          </w:tcPr>
          <w:p w:rsidR="004B39D1" w:rsidRDefault="004B39D1" w:rsidP="00AD1FAF">
            <w:pPr>
              <w:pStyle w:val="NormalHeadings"/>
              <w:spacing w:after="120"/>
              <w:jc w:val="left"/>
              <w:rPr>
                <w:caps/>
              </w:rPr>
            </w:pPr>
          </w:p>
        </w:tc>
        <w:tc>
          <w:tcPr>
            <w:tcW w:w="2471" w:type="dxa"/>
          </w:tcPr>
          <w:p w:rsidR="004B39D1" w:rsidRPr="00145F70" w:rsidRDefault="004B39D1" w:rsidP="00AD1FAF">
            <w:pPr>
              <w:pStyle w:val="NormalHeadings"/>
              <w:tabs>
                <w:tab w:val="right" w:pos="3609"/>
              </w:tabs>
              <w:jc w:val="right"/>
            </w:pPr>
            <w:r>
              <w:t>File No 3 of 2010</w:t>
            </w:r>
          </w:p>
        </w:tc>
      </w:tr>
    </w:tbl>
    <w:p w:rsidR="004B39D1" w:rsidRDefault="004B39D1" w:rsidP="0060352B">
      <w:pPr>
        <w:pStyle w:val="AppealTable"/>
      </w:pPr>
      <w:r>
        <w:t xml:space="preserve"> </w:t>
      </w:r>
    </w:p>
    <w:tbl>
      <w:tblPr>
        <w:tblW w:w="0" w:type="auto"/>
        <w:tblInd w:w="-106" w:type="dxa"/>
        <w:tblLayout w:type="fixed"/>
        <w:tblLook w:val="0000"/>
      </w:tblPr>
      <w:tblGrid>
        <w:gridCol w:w="2376"/>
        <w:gridCol w:w="4395"/>
        <w:gridCol w:w="2471"/>
      </w:tblGrid>
      <w:tr w:rsidR="004B39D1">
        <w:trPr>
          <w:trHeight w:val="386"/>
        </w:trPr>
        <w:tc>
          <w:tcPr>
            <w:tcW w:w="2376" w:type="dxa"/>
          </w:tcPr>
          <w:p w:rsidR="004B39D1" w:rsidRPr="00B76E4F" w:rsidRDefault="004B39D1" w:rsidP="00AD1FAF">
            <w:pPr>
              <w:pStyle w:val="NormalHeadings"/>
              <w:jc w:val="left"/>
              <w:rPr>
                <w:caps/>
              </w:rPr>
            </w:pPr>
            <w:r>
              <w:rPr>
                <w:caps/>
              </w:rPr>
              <w:t>RE</w:t>
            </w:r>
            <w:r w:rsidRPr="00B76E4F">
              <w:rPr>
                <w:caps/>
              </w:rPr>
              <w:t>:</w:t>
            </w:r>
          </w:p>
        </w:tc>
        <w:tc>
          <w:tcPr>
            <w:tcW w:w="6866" w:type="dxa"/>
            <w:gridSpan w:val="2"/>
          </w:tcPr>
          <w:p w:rsidR="004B39D1" w:rsidRDefault="004B39D1" w:rsidP="00AD1FAF">
            <w:pPr>
              <w:pStyle w:val="NormalHeadings"/>
              <w:jc w:val="left"/>
            </w:pPr>
            <w:r>
              <w:t>APPLICATION UNDER SECTION 71B OF THE NATIONAL ELECTRICITY (QUEENSLAND) LAW FOR A REVIEW OF A DISTRIBUTION DETERMINATION MADE BY THE AUSTRALIAN ENERGY REGULATOR IN RELATION TO ERGON ENERGY CORPORATION LIMITED PURSUANT TO CLAUSE 6.11.1 OF THE NATIONAL ELECTRICITY RULES</w:t>
            </w:r>
          </w:p>
          <w:p w:rsidR="004B39D1" w:rsidRPr="0026717E" w:rsidRDefault="004B39D1" w:rsidP="00AD1FAF">
            <w:pPr>
              <w:pStyle w:val="NormalHeadings"/>
              <w:jc w:val="left"/>
            </w:pPr>
          </w:p>
        </w:tc>
      </w:tr>
      <w:tr w:rsidR="004B39D1">
        <w:trPr>
          <w:trHeight w:val="386"/>
        </w:trPr>
        <w:tc>
          <w:tcPr>
            <w:tcW w:w="2376" w:type="dxa"/>
          </w:tcPr>
          <w:p w:rsidR="004B39D1" w:rsidRPr="00B76E4F" w:rsidRDefault="004B39D1" w:rsidP="00AD1FAF">
            <w:pPr>
              <w:pStyle w:val="NormalHeadings"/>
              <w:jc w:val="left"/>
              <w:rPr>
                <w:caps/>
              </w:rPr>
            </w:pPr>
            <w:r>
              <w:rPr>
                <w:caps/>
              </w:rPr>
              <w:t>BY</w:t>
            </w:r>
            <w:r w:rsidRPr="00B76E4F">
              <w:rPr>
                <w:caps/>
              </w:rPr>
              <w:t>:</w:t>
            </w:r>
          </w:p>
        </w:tc>
        <w:tc>
          <w:tcPr>
            <w:tcW w:w="6866" w:type="dxa"/>
            <w:gridSpan w:val="2"/>
          </w:tcPr>
          <w:p w:rsidR="004B39D1" w:rsidRDefault="004B39D1" w:rsidP="00AD1FAF">
            <w:pPr>
              <w:pStyle w:val="NormalHeadings"/>
              <w:jc w:val="right"/>
            </w:pPr>
            <w:r>
              <w:t>ERGON ENERGY CORPORATION LIMITED</w:t>
            </w:r>
          </w:p>
          <w:p w:rsidR="004B39D1" w:rsidRPr="00FF68ED" w:rsidRDefault="004B39D1" w:rsidP="00AD1FAF">
            <w:pPr>
              <w:pStyle w:val="NormalHeadings"/>
              <w:jc w:val="right"/>
              <w:rPr>
                <w:b w:val="0"/>
                <w:bCs w:val="0"/>
              </w:rPr>
            </w:pPr>
            <w:r>
              <w:t>(ACN 078 646 062)</w:t>
            </w:r>
          </w:p>
          <w:p w:rsidR="004B39D1" w:rsidRPr="0026717E" w:rsidRDefault="004B39D1" w:rsidP="00AD1FAF">
            <w:pPr>
              <w:pStyle w:val="NormalHeadings"/>
              <w:jc w:val="right"/>
            </w:pPr>
            <w:r>
              <w:t>Applicant</w:t>
            </w:r>
          </w:p>
        </w:tc>
      </w:tr>
      <w:tr w:rsidR="004B39D1">
        <w:trPr>
          <w:trHeight w:val="386"/>
        </w:trPr>
        <w:tc>
          <w:tcPr>
            <w:tcW w:w="2376" w:type="dxa"/>
          </w:tcPr>
          <w:p w:rsidR="004B39D1" w:rsidRDefault="004B39D1" w:rsidP="00AD1FAF">
            <w:pPr>
              <w:pStyle w:val="NormalHeadings"/>
              <w:jc w:val="left"/>
              <w:rPr>
                <w:caps/>
              </w:rPr>
            </w:pPr>
          </w:p>
        </w:tc>
        <w:tc>
          <w:tcPr>
            <w:tcW w:w="6866" w:type="dxa"/>
            <w:gridSpan w:val="2"/>
          </w:tcPr>
          <w:p w:rsidR="004B39D1" w:rsidRDefault="004B39D1" w:rsidP="00AD1FAF">
            <w:pPr>
              <w:pStyle w:val="NormalHeadings"/>
              <w:jc w:val="right"/>
            </w:pPr>
          </w:p>
        </w:tc>
      </w:tr>
      <w:tr w:rsidR="004B39D1">
        <w:tc>
          <w:tcPr>
            <w:tcW w:w="6771" w:type="dxa"/>
            <w:gridSpan w:val="2"/>
          </w:tcPr>
          <w:p w:rsidR="004B39D1" w:rsidRDefault="004B39D1" w:rsidP="00AD1FAF">
            <w:pPr>
              <w:pStyle w:val="NormalHeadings"/>
              <w:spacing w:after="120"/>
              <w:jc w:val="left"/>
              <w:rPr>
                <w:caps/>
              </w:rPr>
            </w:pPr>
          </w:p>
        </w:tc>
        <w:tc>
          <w:tcPr>
            <w:tcW w:w="2471" w:type="dxa"/>
          </w:tcPr>
          <w:p w:rsidR="004B39D1" w:rsidRPr="00145F70" w:rsidRDefault="004B39D1" w:rsidP="00AD1FAF">
            <w:pPr>
              <w:pStyle w:val="NormalHeadings"/>
              <w:tabs>
                <w:tab w:val="right" w:pos="3609"/>
              </w:tabs>
              <w:jc w:val="right"/>
            </w:pPr>
            <w:r>
              <w:t>File No 4 of 2010</w:t>
            </w:r>
          </w:p>
        </w:tc>
      </w:tr>
    </w:tbl>
    <w:p w:rsidR="004B39D1" w:rsidRDefault="004B39D1" w:rsidP="0060352B">
      <w:pPr>
        <w:pStyle w:val="AppealTable"/>
      </w:pPr>
      <w:r>
        <w:t xml:space="preserve"> </w:t>
      </w:r>
    </w:p>
    <w:tbl>
      <w:tblPr>
        <w:tblW w:w="0" w:type="auto"/>
        <w:tblInd w:w="-106" w:type="dxa"/>
        <w:tblLayout w:type="fixed"/>
        <w:tblLook w:val="0000"/>
      </w:tblPr>
      <w:tblGrid>
        <w:gridCol w:w="2376"/>
        <w:gridCol w:w="6866"/>
      </w:tblGrid>
      <w:tr w:rsidR="004B39D1">
        <w:trPr>
          <w:trHeight w:val="386"/>
        </w:trPr>
        <w:tc>
          <w:tcPr>
            <w:tcW w:w="2376" w:type="dxa"/>
          </w:tcPr>
          <w:p w:rsidR="004B39D1" w:rsidRPr="00B76E4F" w:rsidRDefault="004B39D1" w:rsidP="00AD1FAF">
            <w:pPr>
              <w:pStyle w:val="NormalHeadings"/>
              <w:jc w:val="left"/>
              <w:rPr>
                <w:caps/>
              </w:rPr>
            </w:pPr>
            <w:r>
              <w:rPr>
                <w:caps/>
              </w:rPr>
              <w:t>RE</w:t>
            </w:r>
            <w:r w:rsidRPr="00B76E4F">
              <w:rPr>
                <w:caps/>
              </w:rPr>
              <w:t>:</w:t>
            </w:r>
          </w:p>
        </w:tc>
        <w:tc>
          <w:tcPr>
            <w:tcW w:w="6866" w:type="dxa"/>
          </w:tcPr>
          <w:p w:rsidR="004B39D1" w:rsidRDefault="004B39D1" w:rsidP="00AD1FAF">
            <w:pPr>
              <w:pStyle w:val="NormalHeadings"/>
              <w:jc w:val="left"/>
            </w:pPr>
            <w:r>
              <w:t>APPLICATION UNDER SECTION 71B OF THE NATIONAL ELECTRICITY LAW FOR A REVIEW OF A DISTRIBUTION DETERMINATION MADE BY THE AUSTRALIAN ENERGY REGULATOR IN RELATION TO ETSA UTILITIES PURSUANT TO CLAUSE 6.11.1 OF THE NATIONAL ELECTRITICY RULES</w:t>
            </w:r>
          </w:p>
          <w:p w:rsidR="004B39D1" w:rsidRPr="0026717E" w:rsidRDefault="004B39D1" w:rsidP="00AD1FAF">
            <w:pPr>
              <w:pStyle w:val="NormalHeadings"/>
              <w:jc w:val="left"/>
            </w:pPr>
          </w:p>
        </w:tc>
      </w:tr>
      <w:tr w:rsidR="004B39D1">
        <w:trPr>
          <w:trHeight w:val="386"/>
        </w:trPr>
        <w:tc>
          <w:tcPr>
            <w:tcW w:w="2376" w:type="dxa"/>
          </w:tcPr>
          <w:p w:rsidR="004B39D1" w:rsidRPr="00B76E4F" w:rsidRDefault="004B39D1" w:rsidP="00AD1FAF">
            <w:pPr>
              <w:pStyle w:val="NormalHeadings"/>
              <w:jc w:val="left"/>
              <w:rPr>
                <w:caps/>
              </w:rPr>
            </w:pPr>
            <w:r>
              <w:rPr>
                <w:caps/>
              </w:rPr>
              <w:t>BY</w:t>
            </w:r>
            <w:r w:rsidRPr="00B76E4F">
              <w:rPr>
                <w:caps/>
              </w:rPr>
              <w:t>:</w:t>
            </w:r>
          </w:p>
        </w:tc>
        <w:tc>
          <w:tcPr>
            <w:tcW w:w="6866" w:type="dxa"/>
          </w:tcPr>
          <w:p w:rsidR="004B39D1" w:rsidRDefault="004B39D1" w:rsidP="00AD1FAF">
            <w:pPr>
              <w:pStyle w:val="NormalHeadings"/>
              <w:jc w:val="right"/>
            </w:pPr>
            <w:r>
              <w:t>ETSA UTILITIES (ABN 13 332 330 749)</w:t>
            </w:r>
          </w:p>
          <w:p w:rsidR="004B39D1" w:rsidRPr="0026717E" w:rsidRDefault="004B39D1" w:rsidP="00AD1FAF">
            <w:pPr>
              <w:pStyle w:val="NormalHeadings"/>
              <w:jc w:val="right"/>
            </w:pPr>
            <w:r>
              <w:t>Applicant</w:t>
            </w:r>
          </w:p>
        </w:tc>
      </w:tr>
    </w:tbl>
    <w:p w:rsidR="004B39D1" w:rsidRDefault="004B39D1">
      <w:pPr>
        <w:pStyle w:val="NormalHeadings"/>
      </w:pPr>
    </w:p>
    <w:tbl>
      <w:tblPr>
        <w:tblW w:w="0" w:type="auto"/>
        <w:tblInd w:w="-106" w:type="dxa"/>
        <w:tblLayout w:type="fixed"/>
        <w:tblLook w:val="0000"/>
      </w:tblPr>
      <w:tblGrid>
        <w:gridCol w:w="2518"/>
        <w:gridCol w:w="6724"/>
      </w:tblGrid>
      <w:tr w:rsidR="004B39D1">
        <w:tc>
          <w:tcPr>
            <w:tcW w:w="2518" w:type="dxa"/>
          </w:tcPr>
          <w:p w:rsidR="004B39D1" w:rsidRPr="00B76E4F" w:rsidRDefault="004B39D1" w:rsidP="00AD1FAF">
            <w:pPr>
              <w:pStyle w:val="NormalHeadings"/>
              <w:spacing w:after="120"/>
              <w:jc w:val="left"/>
              <w:rPr>
                <w:caps/>
              </w:rPr>
            </w:pPr>
            <w:r>
              <w:rPr>
                <w:caps/>
              </w:rPr>
              <w:t>MEMBERS</w:t>
            </w:r>
            <w:r w:rsidRPr="00B76E4F">
              <w:rPr>
                <w:caps/>
              </w:rPr>
              <w:t>:</w:t>
            </w:r>
          </w:p>
        </w:tc>
        <w:tc>
          <w:tcPr>
            <w:tcW w:w="6724" w:type="dxa"/>
          </w:tcPr>
          <w:p w:rsidR="004B39D1" w:rsidRDefault="004B39D1" w:rsidP="00AD1FAF">
            <w:pPr>
              <w:pStyle w:val="NormalHeadings"/>
              <w:jc w:val="left"/>
              <w:rPr>
                <w:caps/>
              </w:rPr>
            </w:pPr>
            <w:r>
              <w:rPr>
                <w:caps/>
              </w:rPr>
              <w:t>MIDDLETON J (DEPUTY PRESIDENT),</w:t>
            </w:r>
          </w:p>
          <w:p w:rsidR="004B39D1" w:rsidRDefault="004B39D1" w:rsidP="00AD1FAF">
            <w:pPr>
              <w:pStyle w:val="NormalHeadings"/>
              <w:jc w:val="left"/>
              <w:rPr>
                <w:caps/>
              </w:rPr>
            </w:pPr>
            <w:r>
              <w:rPr>
                <w:caps/>
              </w:rPr>
              <w:t>MR R DAVEY AND MR R SHOGREN</w:t>
            </w:r>
          </w:p>
          <w:p w:rsidR="004B39D1" w:rsidRPr="00B76E4F" w:rsidRDefault="004B39D1" w:rsidP="00AD1FAF">
            <w:pPr>
              <w:pStyle w:val="NormalHeadings"/>
              <w:jc w:val="left"/>
              <w:rPr>
                <w:caps/>
              </w:rPr>
            </w:pPr>
          </w:p>
        </w:tc>
      </w:tr>
      <w:tr w:rsidR="004B39D1">
        <w:tc>
          <w:tcPr>
            <w:tcW w:w="2518" w:type="dxa"/>
          </w:tcPr>
          <w:p w:rsidR="004B39D1" w:rsidRPr="00B76E4F" w:rsidRDefault="004B39D1" w:rsidP="00AD1FAF">
            <w:pPr>
              <w:pStyle w:val="NormalHeadings"/>
              <w:spacing w:after="120"/>
              <w:jc w:val="left"/>
              <w:rPr>
                <w:caps/>
              </w:rPr>
            </w:pPr>
            <w:r w:rsidRPr="00B76E4F">
              <w:rPr>
                <w:caps/>
              </w:rPr>
              <w:t xml:space="preserve">DATE OF </w:t>
            </w:r>
            <w:r>
              <w:rPr>
                <w:caps/>
              </w:rPr>
              <w:t>PUBLICATION OF REASONS FOR DECISION</w:t>
            </w:r>
            <w:r w:rsidRPr="00B76E4F">
              <w:rPr>
                <w:caps/>
              </w:rPr>
              <w:t>:</w:t>
            </w:r>
          </w:p>
        </w:tc>
        <w:tc>
          <w:tcPr>
            <w:tcW w:w="6724" w:type="dxa"/>
          </w:tcPr>
          <w:p w:rsidR="004B39D1" w:rsidRPr="00B76E4F" w:rsidRDefault="004B39D1" w:rsidP="00AD1FAF">
            <w:pPr>
              <w:pStyle w:val="NormalHeadings"/>
              <w:jc w:val="left"/>
              <w:rPr>
                <w:caps/>
              </w:rPr>
            </w:pPr>
            <w:r>
              <w:rPr>
                <w:caps/>
              </w:rPr>
              <w:t>1 SEPTEMBER 2010</w:t>
            </w:r>
          </w:p>
        </w:tc>
      </w:tr>
      <w:tr w:rsidR="004B39D1">
        <w:tc>
          <w:tcPr>
            <w:tcW w:w="2518" w:type="dxa"/>
          </w:tcPr>
          <w:p w:rsidR="004B39D1" w:rsidRPr="00B76E4F" w:rsidRDefault="004B39D1" w:rsidP="00AD1FAF">
            <w:pPr>
              <w:pStyle w:val="NormalHeadings"/>
              <w:spacing w:after="120"/>
              <w:jc w:val="left"/>
              <w:rPr>
                <w:caps/>
              </w:rPr>
            </w:pPr>
            <w:r w:rsidRPr="00B76E4F">
              <w:rPr>
                <w:caps/>
              </w:rPr>
              <w:t>WHERE MADE:</w:t>
            </w:r>
          </w:p>
        </w:tc>
        <w:tc>
          <w:tcPr>
            <w:tcW w:w="6724" w:type="dxa"/>
          </w:tcPr>
          <w:p w:rsidR="004B39D1" w:rsidRPr="00012E32" w:rsidRDefault="004B39D1" w:rsidP="00AD1FAF">
            <w:pPr>
              <w:pStyle w:val="NormalHeadings"/>
              <w:jc w:val="left"/>
              <w:rPr>
                <w:caps/>
              </w:rPr>
            </w:pPr>
            <w:r>
              <w:rPr>
                <w:caps/>
              </w:rPr>
              <w:t>MELBOURNE</w:t>
            </w:r>
          </w:p>
        </w:tc>
      </w:tr>
    </w:tbl>
    <w:p w:rsidR="004B39D1" w:rsidRDefault="004B39D1"/>
    <w:p w:rsidR="004B39D1" w:rsidRDefault="004B39D1" w:rsidP="00EB2CFB">
      <w:pPr>
        <w:pStyle w:val="StyleBold"/>
        <w:jc w:val="center"/>
        <w:rPr>
          <w:b/>
          <w:bCs/>
        </w:rPr>
      </w:pPr>
      <w:r w:rsidRPr="00687B23">
        <w:rPr>
          <w:b/>
          <w:bCs/>
        </w:rPr>
        <w:t xml:space="preserve">REASONS FOR </w:t>
      </w:r>
      <w:r>
        <w:rPr>
          <w:b/>
          <w:bCs/>
        </w:rPr>
        <w:t>DECISION</w:t>
      </w:r>
    </w:p>
    <w:p w:rsidR="004B39D1" w:rsidRDefault="004B39D1" w:rsidP="00FE231A">
      <w:pPr>
        <w:pStyle w:val="Heading1"/>
      </w:pPr>
      <w:r>
        <w:t>INTRODUCTION</w:t>
      </w:r>
    </w:p>
    <w:p w:rsidR="004B39D1" w:rsidRDefault="004B39D1" w:rsidP="00072AFA">
      <w:pPr>
        <w:pStyle w:val="ParaNumbering"/>
      </w:pPr>
      <w:r>
        <w:t>On 24 August 2010, in each of the above proceedings the Australian Competition Tribunal (‘the Tribunal) decided to refuse applications made pursuant to s 71K of the National Electricity Law (‘NEL’) by EnergyAustralia seeking leave to intervene.  The Tribunal now gives its reason for these decisions.</w:t>
      </w:r>
    </w:p>
    <w:p w:rsidR="004B39D1" w:rsidRDefault="004B39D1" w:rsidP="007D4A47">
      <w:pPr>
        <w:pStyle w:val="ParaNumbering"/>
      </w:pPr>
      <w:r>
        <w:t>The Tribunal does not delay in setting out the background to these proceedings or EnergyAustralia’s application, as all the parties and EnergyAustralia are well familiar with this background.  However, the Tribunal makes the following preliminary observations which give rise to EnergyAustralia’s concerns and its applications to intervene.</w:t>
      </w:r>
    </w:p>
    <w:p w:rsidR="004B39D1" w:rsidRDefault="004B39D1" w:rsidP="00FC76CD">
      <w:pPr>
        <w:pStyle w:val="ParaNumbering"/>
      </w:pPr>
      <w:r>
        <w:t>The current EnergyAustralia distribution determination published by the Australian Energy Regulator (‘AER’) on 30 April 2009 expires on 30 June 2014.  EnergyAustralia will be required to submit a regulatory proposal to the AER for the next regulatory period of 1 July 2014 to 30 June 2019, by no later than 31 May 2013.</w:t>
      </w:r>
    </w:p>
    <w:p w:rsidR="004B39D1" w:rsidRPr="004E63EE" w:rsidRDefault="004B39D1" w:rsidP="00FC76CD">
      <w:pPr>
        <w:pStyle w:val="ParaNumbering"/>
      </w:pPr>
      <w:r>
        <w:t xml:space="preserve">EnergyAustralia’s current distribution determination (for the period 1 July 2009 to 30 June 2014) included an amount for corporate income tax based on a gamma value of </w:t>
      </w:r>
      <w:r w:rsidRPr="001E7235">
        <w:t>0.5.</w:t>
      </w:r>
    </w:p>
    <w:p w:rsidR="004B39D1" w:rsidRDefault="004B39D1" w:rsidP="00FC76CD">
      <w:pPr>
        <w:pStyle w:val="ParaNumbering"/>
        <w:rPr>
          <w:lang w:eastAsia="en-AU"/>
        </w:rPr>
      </w:pPr>
      <w:r>
        <w:t xml:space="preserve">In submitting its regulatory proposal for the next period of 1 July 2014 to 30 June 2019, EnergyAustralia will be required to provide a building block proposal and this proposal must include an allowance for the </w:t>
      </w:r>
      <w:r>
        <w:rPr>
          <w:i/>
          <w:iCs/>
        </w:rPr>
        <w:t>estimated cost of corporate income tax</w:t>
      </w:r>
      <w:r>
        <w:t xml:space="preserve">.  In turn, the </w:t>
      </w:r>
      <w:r>
        <w:rPr>
          <w:i/>
          <w:iCs/>
        </w:rPr>
        <w:t>estimated cost of corporate income tax</w:t>
      </w:r>
      <w:r>
        <w:t xml:space="preserve"> must be calculated in accordance with a formula which requires the input of a value for gamma (γ).</w:t>
      </w:r>
      <w:r>
        <w:rPr>
          <w:lang w:eastAsia="en-AU"/>
        </w:rPr>
        <w:t xml:space="preserve"> </w:t>
      </w:r>
    </w:p>
    <w:p w:rsidR="004B39D1" w:rsidRDefault="004B39D1" w:rsidP="00FC76CD">
      <w:pPr>
        <w:pStyle w:val="ParaNumbering"/>
      </w:pPr>
      <w:r>
        <w:t>In May 2009, the AER published a Statement of Regulatory Intent (‘</w:t>
      </w:r>
      <w:r w:rsidRPr="00887D94">
        <w:t>S</w:t>
      </w:r>
      <w:r>
        <w:t>o</w:t>
      </w:r>
      <w:r w:rsidRPr="00887D94">
        <w:t>RI</w:t>
      </w:r>
      <w:r>
        <w:t>’) which revised the previous value of gamma in the National Electricity Rules (‘the Rules’) from 0.50 to 0.65.</w:t>
      </w:r>
    </w:p>
    <w:p w:rsidR="004B39D1" w:rsidRDefault="004B39D1" w:rsidP="00FC76CD">
      <w:pPr>
        <w:pStyle w:val="ParaNumbering"/>
      </w:pPr>
      <w:r>
        <w:t>A distribution determination to which a SoRI is applicable must be consistent with the SoRI unless there is persuasive evidence justifying a departure, in the particular case, from a value set in the SoRI.</w:t>
      </w:r>
    </w:p>
    <w:p w:rsidR="004B39D1" w:rsidRDefault="004B39D1" w:rsidP="00FC76CD">
      <w:pPr>
        <w:pStyle w:val="ParaNumbering"/>
      </w:pPr>
      <w:r>
        <w:t>A review of the SoRI is not required until 31 March 2014.  As such, the SoRI published in May 2009 (setting gamma at 0.65) will likely apply in respect of EnergyAustralia’s 2014-2019 regulatory proposal.</w:t>
      </w:r>
    </w:p>
    <w:p w:rsidR="004B39D1" w:rsidRDefault="004B39D1" w:rsidP="00FC76CD">
      <w:pPr>
        <w:pStyle w:val="ParaNumbering"/>
      </w:pPr>
      <w:r>
        <w:t>The only basis on which a gamma value different to the SoRI gamma value of 0.65 will be applied to EnergyAustralia’s regulatory proposal is if it can establish that there is persuasive evidence justifying a departure.</w:t>
      </w:r>
    </w:p>
    <w:p w:rsidR="004B39D1" w:rsidRDefault="004B39D1" w:rsidP="00FC76CD">
      <w:pPr>
        <w:pStyle w:val="ParaNumbering"/>
      </w:pPr>
      <w:r>
        <w:t>The SoRI published in May 2009 setting gamma at 0.65 applied to the regulatory proposals submitted by the Applicants in these proceedings.</w:t>
      </w:r>
    </w:p>
    <w:p w:rsidR="004B39D1" w:rsidRDefault="004B39D1" w:rsidP="00FC76CD">
      <w:pPr>
        <w:pStyle w:val="ParaNumbering"/>
      </w:pPr>
      <w:r>
        <w:t>In each of the review processes of the regulatory proposals submitted by the Applicants, evidence was submitted as to the value of gamma and submissions were made to the effect that the AER should depart from the SoRI gamma value of 0.65.</w:t>
      </w:r>
    </w:p>
    <w:p w:rsidR="004B39D1" w:rsidRDefault="004B39D1" w:rsidP="00FC76CD">
      <w:pPr>
        <w:pStyle w:val="ParaNumbering"/>
      </w:pPr>
      <w:r>
        <w:t>In these proceedings, the Applicants seek merits review of the AER’s decision refusing to depart from the value of gamma of 0.65 in the SoRI.  The Applicants will be seeking to persuade this Tribunal that the material before the AER justified a departure from the value of gamma of 0.65 in the SoRI.</w:t>
      </w:r>
    </w:p>
    <w:p w:rsidR="004B39D1" w:rsidRDefault="004B39D1" w:rsidP="00FC76CD">
      <w:pPr>
        <w:pStyle w:val="ParaNumbering"/>
      </w:pPr>
      <w:r>
        <w:t>When EnergyAustralia submits its regulatory proposal to the AER on or before 31 May 2013 it, likewise, will be likely to be seeking to persuade the AER that the material before it justifies a departure from the value of gamma of 0.65 in the SoRI.  Based on EnergyAustralia’s revenue requirements for the 2009-2014 regulatory period, an increase in the value of the gamma parameter from 0.5 to 0.65 would have had a $136 million impact on EnergyAustralia’s revenues.  Such an increase would probably have a similar impact on EnergyAustralia’s 2014-2019 revenue.</w:t>
      </w:r>
    </w:p>
    <w:p w:rsidR="004B39D1" w:rsidRDefault="004B39D1" w:rsidP="00FC76CD">
      <w:pPr>
        <w:pStyle w:val="ParaNumbering"/>
      </w:pPr>
      <w:r>
        <w:t xml:space="preserve">These proceedings will consider the evidence relied upon by the AER in setting the gamma parameter under the current SoRI.  It will also consider the evidence submitted by the Applicants and considered by the AER as part of the regulatory review process in relation to the gamma parameter.  </w:t>
      </w:r>
    </w:p>
    <w:p w:rsidR="004B39D1" w:rsidRDefault="004B39D1" w:rsidP="007D4A47">
      <w:pPr>
        <w:pStyle w:val="ParaNumbering"/>
      </w:pPr>
      <w:r>
        <w:t>EnergyAustralia sought leave to intervene on the grounds that it was a reviewable regulatory decision process participant as:</w:t>
      </w:r>
    </w:p>
    <w:p w:rsidR="004B39D1" w:rsidRDefault="004B39D1" w:rsidP="00123946">
      <w:pPr>
        <w:pStyle w:val="FCBullets"/>
        <w:numPr>
          <w:ilvl w:val="0"/>
          <w:numId w:val="39"/>
        </w:numPr>
        <w:ind w:hanging="731"/>
      </w:pPr>
      <w:r>
        <w:t>it had a sufficient interest in the decision being reviewed; and</w:t>
      </w:r>
    </w:p>
    <w:p w:rsidR="004B39D1" w:rsidRDefault="004B39D1" w:rsidP="00123946">
      <w:pPr>
        <w:pStyle w:val="FCBullets"/>
        <w:numPr>
          <w:ilvl w:val="0"/>
          <w:numId w:val="39"/>
        </w:numPr>
        <w:ind w:hanging="731"/>
      </w:pPr>
      <w:r>
        <w:t>it made a submission in relation to the making of that decision within the time required under the Rules following an invitation by the AER to do so.</w:t>
      </w:r>
    </w:p>
    <w:p w:rsidR="004B39D1" w:rsidRDefault="004B39D1" w:rsidP="00E57371">
      <w:pPr>
        <w:pStyle w:val="ParaNumbering"/>
      </w:pPr>
      <w:r>
        <w:t>EnergyAustralia made a submission on 16 February 2010 in relation to the AER’s draft decisions in satisfaction of s 71K(2)(b) of the NEL.</w:t>
      </w:r>
    </w:p>
    <w:p w:rsidR="004B39D1" w:rsidRDefault="004B39D1" w:rsidP="00E57371">
      <w:pPr>
        <w:pStyle w:val="ParaNumbering"/>
      </w:pPr>
      <w:r>
        <w:t>The issue for the Tribunal to determine was whether EnergyAustralia had a ‘sufficient interest’ for the purposes of s 71K(2)(a) of the NEL.</w:t>
      </w:r>
    </w:p>
    <w:p w:rsidR="004B39D1" w:rsidRDefault="004B39D1" w:rsidP="00B55691">
      <w:pPr>
        <w:pStyle w:val="Heading1"/>
      </w:pPr>
      <w:r>
        <w:t>SUBMISSIONS</w:t>
      </w:r>
    </w:p>
    <w:p w:rsidR="004B39D1" w:rsidRDefault="004B39D1" w:rsidP="00E57371">
      <w:pPr>
        <w:pStyle w:val="ParaNumbering"/>
      </w:pPr>
      <w:r>
        <w:t xml:space="preserve">EnergyAustralia submitted it had a sufficient interest for the purposes of s 71K(2)(a).  In relation to the gamma issues EnergyAustralia submitted that: </w:t>
      </w:r>
    </w:p>
    <w:p w:rsidR="004B39D1" w:rsidRDefault="004B39D1" w:rsidP="00123946">
      <w:pPr>
        <w:pStyle w:val="FCBullets"/>
        <w:numPr>
          <w:ilvl w:val="0"/>
          <w:numId w:val="38"/>
        </w:numPr>
        <w:ind w:hanging="731"/>
      </w:pPr>
      <w:r>
        <w:t>the particular nature of the gamma issue before the Tribunal – the gamma value being a market-wide general parameter which is not specific to any particular business (or specific to the primary applicants in these proceedings);</w:t>
      </w:r>
    </w:p>
    <w:p w:rsidR="004B39D1" w:rsidRDefault="004B39D1" w:rsidP="00123946">
      <w:pPr>
        <w:pStyle w:val="FCBullets"/>
        <w:numPr>
          <w:ilvl w:val="0"/>
          <w:numId w:val="38"/>
        </w:numPr>
        <w:ind w:hanging="731"/>
      </w:pPr>
      <w:r>
        <w:t>the determination by the Tribunal</w:t>
      </w:r>
      <w:r w:rsidRPr="009B2BF0">
        <w:t xml:space="preserve"> </w:t>
      </w:r>
      <w:r>
        <w:t>in these proceedings whether the AER should have departed from the gamma value of 0.65 in the SoRI will in all likelihood determine whether the AER should depart from the gamma value of 0.65 in the SoRI in relation to the future EnergyAustralia’s regulatory proposal; and</w:t>
      </w:r>
    </w:p>
    <w:p w:rsidR="004B39D1" w:rsidRDefault="004B39D1" w:rsidP="00123946">
      <w:pPr>
        <w:pStyle w:val="FCBullets"/>
        <w:numPr>
          <w:ilvl w:val="0"/>
          <w:numId w:val="38"/>
        </w:numPr>
        <w:ind w:hanging="731"/>
      </w:pPr>
      <w:r>
        <w:t>the large impact of the gamma value on EnergyAustralia’s revenues,</w:t>
      </w:r>
    </w:p>
    <w:p w:rsidR="004B39D1" w:rsidRDefault="004B39D1" w:rsidP="00404669">
      <w:pPr>
        <w:pStyle w:val="NoNum"/>
      </w:pPr>
      <w:r>
        <w:t>give EnergyAustralia a ‘sufficient interest’ in the decisions being reviewed by the Tribunal.</w:t>
      </w:r>
    </w:p>
    <w:p w:rsidR="004B39D1" w:rsidRDefault="004B39D1" w:rsidP="00D60A89">
      <w:pPr>
        <w:pStyle w:val="ParaNumbering"/>
      </w:pPr>
      <w:r>
        <w:t xml:space="preserve">In relation to public lighting, EnergyAustralia submitted that for practical purposes the AER Ergon distribution determination and the Tribunal’s review of that determination will determine whether EnergyAustralia is required to submit a regulatory proposal for the 2014 to 2019 regulatory control period encompassing public lighting services and the extent to which the AER will regulate the revenues to be derived from those services under </w:t>
      </w:r>
      <w:r w:rsidRPr="00B0197C">
        <w:t>Ch</w:t>
      </w:r>
      <w:r>
        <w:t> 6 of the Rules.</w:t>
      </w:r>
    </w:p>
    <w:p w:rsidR="004B39D1" w:rsidRDefault="004B39D1" w:rsidP="00D00FE3">
      <w:pPr>
        <w:pStyle w:val="ParaNumbering"/>
      </w:pPr>
      <w:r>
        <w:t xml:space="preserve">The </w:t>
      </w:r>
      <w:r w:rsidRPr="00170CD9">
        <w:t>AER</w:t>
      </w:r>
      <w:r>
        <w:t xml:space="preserve"> opposed EnergyAustralia’s applications.  In summary, the AER’s opposition was based on the following matters:</w:t>
      </w:r>
    </w:p>
    <w:p w:rsidR="004B39D1" w:rsidRDefault="004B39D1" w:rsidP="00123946">
      <w:pPr>
        <w:pStyle w:val="ListNo"/>
        <w:numPr>
          <w:ilvl w:val="0"/>
          <w:numId w:val="42"/>
        </w:numPr>
        <w:tabs>
          <w:tab w:val="clear" w:pos="1440"/>
        </w:tabs>
        <w:ind w:hanging="731"/>
      </w:pPr>
      <w:r w:rsidRPr="006E5C0A">
        <w:t>No aspect of any of the distribution determinations under review in these</w:t>
      </w:r>
      <w:r>
        <w:t xml:space="preserve"> proceedings applied to EnergyAustralia.</w:t>
      </w:r>
    </w:p>
    <w:p w:rsidR="004B39D1" w:rsidRDefault="004B39D1" w:rsidP="00123946">
      <w:pPr>
        <w:pStyle w:val="ListNo"/>
        <w:numPr>
          <w:ilvl w:val="0"/>
          <w:numId w:val="42"/>
        </w:numPr>
        <w:tabs>
          <w:tab w:val="clear" w:pos="1440"/>
        </w:tabs>
        <w:ind w:hanging="731"/>
      </w:pPr>
      <w:r>
        <w:t>EnergyAustralia</w:t>
      </w:r>
      <w:r w:rsidRPr="006E5C0A">
        <w:t xml:space="preserve">’s interest in the determinations under review </w:t>
      </w:r>
      <w:r>
        <w:t xml:space="preserve">was </w:t>
      </w:r>
      <w:r w:rsidRPr="006E5C0A">
        <w:t xml:space="preserve">not </w:t>
      </w:r>
      <w:r>
        <w:t>‘</w:t>
      </w:r>
      <w:r w:rsidRPr="006E5C0A">
        <w:t>a sufficient interest</w:t>
      </w:r>
      <w:r>
        <w:t>’</w:t>
      </w:r>
      <w:r w:rsidRPr="006E5C0A">
        <w:t xml:space="preserve"> </w:t>
      </w:r>
      <w:r w:rsidRPr="00571441">
        <w:t>within s 71K(2) of the NEL, properly construed in the context of the merits review regime for which the NEL provides, because:</w:t>
      </w:r>
    </w:p>
    <w:p w:rsidR="004B39D1" w:rsidRPr="00FE00F1" w:rsidRDefault="004B39D1" w:rsidP="00123946">
      <w:pPr>
        <w:pStyle w:val="FCBullets"/>
        <w:numPr>
          <w:ilvl w:val="1"/>
          <w:numId w:val="42"/>
        </w:numPr>
        <w:tabs>
          <w:tab w:val="clear" w:pos="1440"/>
          <w:tab w:val="num" w:pos="1985"/>
        </w:tabs>
        <w:ind w:left="1985" w:hanging="567"/>
      </w:pPr>
      <w:r>
        <w:t>EnergyAustralia</w:t>
      </w:r>
      <w:r w:rsidRPr="00FE00F1">
        <w:t xml:space="preserve"> has not identified any interest in the distribution determinations under review in these proceedings over and above the interest it has by reason of being a member of the class of </w:t>
      </w:r>
      <w:r>
        <w:t>distribution network services providers (‘DNSPs’)</w:t>
      </w:r>
      <w:r w:rsidRPr="00FE00F1">
        <w:t xml:space="preserve">;  </w:t>
      </w:r>
    </w:p>
    <w:p w:rsidR="004B39D1" w:rsidRPr="00FE00F1" w:rsidRDefault="004B39D1" w:rsidP="00123946">
      <w:pPr>
        <w:pStyle w:val="FCBullets"/>
        <w:numPr>
          <w:ilvl w:val="1"/>
          <w:numId w:val="42"/>
        </w:numPr>
        <w:tabs>
          <w:tab w:val="clear" w:pos="1440"/>
          <w:tab w:val="num" w:pos="1985"/>
        </w:tabs>
        <w:ind w:left="1985" w:hanging="567"/>
      </w:pPr>
      <w:r>
        <w:t>EnergyAustralia</w:t>
      </w:r>
      <w:r w:rsidRPr="00FE00F1">
        <w:t xml:space="preserve">’s interest in the distribution determinations under review is no more than an interest in attempting to secure determinations on review by the Tribunal which </w:t>
      </w:r>
      <w:r>
        <w:t xml:space="preserve">EnergyAustralia </w:t>
      </w:r>
      <w:r w:rsidRPr="00FE00F1">
        <w:t xml:space="preserve">considers will be of advantageous precedential value when </w:t>
      </w:r>
      <w:r>
        <w:t>EnergyAustralia</w:t>
      </w:r>
      <w:r w:rsidRPr="00FE00F1">
        <w:t>’s next regulatory proposal, for the 2014-2019 regulatory control period, falls to be considered by the AER, which is likely to occur from about June 2013; and</w:t>
      </w:r>
    </w:p>
    <w:p w:rsidR="004B39D1" w:rsidRDefault="004B39D1" w:rsidP="00123946">
      <w:pPr>
        <w:pStyle w:val="FCBullets"/>
        <w:numPr>
          <w:ilvl w:val="1"/>
          <w:numId w:val="42"/>
        </w:numPr>
        <w:tabs>
          <w:tab w:val="clear" w:pos="1440"/>
          <w:tab w:val="num" w:pos="1985"/>
        </w:tabs>
        <w:ind w:left="1985" w:hanging="567"/>
      </w:pPr>
      <w:r w:rsidRPr="00FE00F1">
        <w:t xml:space="preserve">the particular issues on which </w:t>
      </w:r>
      <w:r>
        <w:t xml:space="preserve">EnergyAustralia </w:t>
      </w:r>
      <w:r w:rsidRPr="00FE00F1">
        <w:t>seeks an advantageous precedent are gamma (the assumed utilisation of input tax credits associated with franked dividends) and the classification of services in connection with the provision of public lighting</w:t>
      </w:r>
      <w:r>
        <w:t>,</w:t>
      </w:r>
      <w:r w:rsidRPr="00FE00F1">
        <w:t xml:space="preserve"> </w:t>
      </w:r>
      <w:r>
        <w:t xml:space="preserve">which are </w:t>
      </w:r>
      <w:r w:rsidRPr="00FE00F1">
        <w:t>both issues that are common to many, if not all, distribution determinations.</w:t>
      </w:r>
    </w:p>
    <w:p w:rsidR="004B39D1" w:rsidRPr="006E5C0A" w:rsidRDefault="004B39D1" w:rsidP="00123946">
      <w:pPr>
        <w:pStyle w:val="FCBullets"/>
        <w:numPr>
          <w:ilvl w:val="0"/>
          <w:numId w:val="45"/>
        </w:numPr>
        <w:ind w:hanging="731"/>
      </w:pPr>
      <w:r w:rsidRPr="006E5C0A">
        <w:t xml:space="preserve">Further, </w:t>
      </w:r>
      <w:r>
        <w:t xml:space="preserve">EnergyAustralia </w:t>
      </w:r>
      <w:r w:rsidRPr="006E5C0A">
        <w:t>did not make submissions to the AER on gamma or public lighting during the AER’s consideration of the regulatory proposals of Energex, Ergon and ETSA Utilities</w:t>
      </w:r>
      <w:r>
        <w:t xml:space="preserve">, which </w:t>
      </w:r>
      <w:r w:rsidRPr="006E5C0A">
        <w:t>reinforce</w:t>
      </w:r>
      <w:r>
        <w:t>s</w:t>
      </w:r>
      <w:r w:rsidRPr="006E5C0A">
        <w:t xml:space="preserve"> the conclusion that </w:t>
      </w:r>
      <w:r>
        <w:t>EnergyAustralia</w:t>
      </w:r>
      <w:r w:rsidRPr="006E5C0A">
        <w:t xml:space="preserve">’s asserted interests are not </w:t>
      </w:r>
      <w:r>
        <w:t>‘</w:t>
      </w:r>
      <w:r w:rsidRPr="006E5C0A">
        <w:t>a sufficient interest</w:t>
      </w:r>
      <w:r>
        <w:t>’</w:t>
      </w:r>
      <w:r w:rsidRPr="006E5C0A">
        <w:t xml:space="preserve"> in the distribution determinations.</w:t>
      </w:r>
    </w:p>
    <w:p w:rsidR="004B39D1" w:rsidRPr="006E5C0A" w:rsidRDefault="004B39D1" w:rsidP="00123946">
      <w:pPr>
        <w:pStyle w:val="FCBullets"/>
        <w:numPr>
          <w:ilvl w:val="0"/>
          <w:numId w:val="45"/>
        </w:numPr>
        <w:ind w:hanging="731"/>
      </w:pPr>
      <w:r w:rsidRPr="006E5C0A">
        <w:t xml:space="preserve">Therefore, </w:t>
      </w:r>
      <w:r>
        <w:t xml:space="preserve">EnergyAustralia was </w:t>
      </w:r>
      <w:r w:rsidRPr="006E5C0A">
        <w:t xml:space="preserve">not a </w:t>
      </w:r>
      <w:r>
        <w:t xml:space="preserve">‘reviewable regulatory decision </w:t>
      </w:r>
      <w:r w:rsidRPr="006E5C0A">
        <w:t>process participant</w:t>
      </w:r>
      <w:r>
        <w:t>’</w:t>
      </w:r>
      <w:r w:rsidRPr="006E5C0A">
        <w:t xml:space="preserve"> within the meaning of s</w:t>
      </w:r>
      <w:r>
        <w:t> </w:t>
      </w:r>
      <w:r w:rsidRPr="006E5C0A">
        <w:t>71K of the NEL.</w:t>
      </w:r>
    </w:p>
    <w:p w:rsidR="004B39D1" w:rsidRDefault="004B39D1" w:rsidP="00BA26C1">
      <w:pPr>
        <w:pStyle w:val="Heading1"/>
      </w:pPr>
      <w:r>
        <w:t>SUFFICIENT INTEREST</w:t>
      </w:r>
    </w:p>
    <w:p w:rsidR="004B39D1" w:rsidRDefault="004B39D1" w:rsidP="00BB2ECC">
      <w:pPr>
        <w:pStyle w:val="ParaNumbering"/>
      </w:pPr>
      <w:r>
        <w:t xml:space="preserve">A few introductory comments may be made as to the concept of ‘sufficient interest’.  </w:t>
      </w:r>
    </w:p>
    <w:p w:rsidR="004B39D1" w:rsidRDefault="004B39D1" w:rsidP="00BB2ECC">
      <w:pPr>
        <w:pStyle w:val="ParaNumbering"/>
      </w:pPr>
      <w:r>
        <w:t xml:space="preserve">The legislature intended that a network service provider (‘NSP’) may have a ‘sufficient interest’ under s 71K in circumstances where the decision does not apply to it.  </w:t>
      </w:r>
    </w:p>
    <w:p w:rsidR="004B39D1" w:rsidRDefault="004B39D1" w:rsidP="00BB2ECC">
      <w:pPr>
        <w:pStyle w:val="ParaNumbering"/>
      </w:pPr>
      <w:r>
        <w:t xml:space="preserve">Secondly, the Tribunal accepts the submission of EnergyAustralia that </w:t>
      </w:r>
      <w:r>
        <w:rPr>
          <w:rStyle w:val="loose1"/>
        </w:rPr>
        <w:t xml:space="preserve">in determining the breadth of the phrase ‘sufficient interest’ in s 71K, the Tribunal ought to read s 71K as concomitant to, and to be read consistently with, the other provisions in Div 3A dealing with standing.  </w:t>
      </w:r>
      <w:r>
        <w:t xml:space="preserve">It is clear from the scheme of Div 3A that the ‘sufficient interest’ under s 71K is a different and lower threshold than being either a regulated NSP to whom the decision applies, or a NSP whose commercial interests are materially affected by the decision (see s 71A definition).  </w:t>
      </w:r>
    </w:p>
    <w:p w:rsidR="004B39D1" w:rsidRDefault="004B39D1" w:rsidP="00BB2ECC">
      <w:pPr>
        <w:pStyle w:val="ParaNumbering"/>
      </w:pPr>
      <w:r>
        <w:t>Further, s 71K creates a mandatory intervention regime, as the Tribunal “</w:t>
      </w:r>
      <w:r>
        <w:rPr>
          <w:i/>
          <w:iCs/>
        </w:rPr>
        <w:t>must</w:t>
      </w:r>
      <w:r>
        <w:t xml:space="preserve">” grant leave to intervene if the </w:t>
      </w:r>
      <w:r>
        <w:rPr>
          <w:rStyle w:val="loose1"/>
        </w:rPr>
        <w:t>criteria</w:t>
      </w:r>
      <w:r>
        <w:t xml:space="preserve"> in s 71K(2) are met.  For instance, leave could not be declined because to grant leave might allow multiple entities to intervene.  </w:t>
      </w:r>
    </w:p>
    <w:p w:rsidR="004B39D1" w:rsidRDefault="004B39D1" w:rsidP="00BB2ECC">
      <w:pPr>
        <w:pStyle w:val="ParaNumbering"/>
        <w:rPr>
          <w:lang w:eastAsia="en-AU"/>
        </w:rPr>
      </w:pPr>
      <w:r>
        <w:t xml:space="preserve">On the basis that it may need to identify an interest over and above the interest it has by reason of being a member of the class of DNSPs, EnergyAustralia asserts that it is one of only four of the 13 other DNSPs that will be required to submit a regulatory proposal to the AER prior to it issuing a new SoRI with a new gamma value.  </w:t>
      </w:r>
    </w:p>
    <w:p w:rsidR="004B39D1" w:rsidRDefault="004B39D1" w:rsidP="004E63EE">
      <w:pPr>
        <w:pStyle w:val="ParaNumbering"/>
      </w:pPr>
      <w:r>
        <w:t>Therefore, in considering this matter, the Tribunal accepts EnergyAustralia’s submissions that a proposed intervener under s 71K does not have to demonstrate that:</w:t>
      </w:r>
    </w:p>
    <w:p w:rsidR="004B39D1" w:rsidRDefault="004B39D1" w:rsidP="00123946">
      <w:pPr>
        <w:pStyle w:val="FCBullets"/>
        <w:numPr>
          <w:ilvl w:val="0"/>
          <w:numId w:val="46"/>
        </w:numPr>
        <w:ind w:hanging="731"/>
      </w:pPr>
      <w:r>
        <w:t>the decision applies to it;</w:t>
      </w:r>
    </w:p>
    <w:p w:rsidR="004B39D1" w:rsidRDefault="004B39D1" w:rsidP="00123946">
      <w:pPr>
        <w:pStyle w:val="FCBullets"/>
        <w:numPr>
          <w:ilvl w:val="0"/>
          <w:numId w:val="46"/>
        </w:numPr>
        <w:ind w:hanging="731"/>
      </w:pPr>
      <w:r>
        <w:t xml:space="preserve">its </w:t>
      </w:r>
      <w:r w:rsidRPr="0098042F">
        <w:t>commercial interests are materially affected</w:t>
      </w:r>
      <w:r>
        <w:t xml:space="preserve"> by the decision; or</w:t>
      </w:r>
    </w:p>
    <w:p w:rsidR="004B39D1" w:rsidRDefault="004B39D1" w:rsidP="00123946">
      <w:pPr>
        <w:pStyle w:val="FCBullets"/>
        <w:numPr>
          <w:ilvl w:val="0"/>
          <w:numId w:val="46"/>
        </w:numPr>
        <w:ind w:hanging="731"/>
      </w:pPr>
      <w:r>
        <w:t xml:space="preserve">its </w:t>
      </w:r>
      <w:r w:rsidRPr="0098042F">
        <w:t>interests are adversely affected</w:t>
      </w:r>
      <w:r>
        <w:t xml:space="preserve"> by the decision.</w:t>
      </w:r>
    </w:p>
    <w:p w:rsidR="004B39D1" w:rsidRDefault="004B39D1" w:rsidP="00BA26C1">
      <w:pPr>
        <w:pStyle w:val="Heading1"/>
      </w:pPr>
      <w:r>
        <w:t>CONSIDERATION</w:t>
      </w:r>
    </w:p>
    <w:p w:rsidR="004B39D1" w:rsidRPr="00133850" w:rsidRDefault="004B39D1" w:rsidP="00487128">
      <w:pPr>
        <w:pStyle w:val="ParaNumbering"/>
      </w:pPr>
      <w:r w:rsidRPr="00133850">
        <w:t xml:space="preserve">The distribution determinations do not apply to </w:t>
      </w:r>
      <w:r>
        <w:t>EnergyAustralia</w:t>
      </w:r>
      <w:r w:rsidRPr="00133850">
        <w:t xml:space="preserve">.  </w:t>
      </w:r>
      <w:r>
        <w:t xml:space="preserve">However, this does not necessarily preclude intervention.  </w:t>
      </w:r>
    </w:p>
    <w:p w:rsidR="004B39D1" w:rsidRDefault="004B39D1" w:rsidP="00112F61">
      <w:pPr>
        <w:pStyle w:val="ParaNumbering"/>
      </w:pPr>
      <w:r>
        <w:t xml:space="preserve">However, there must be more than just an interest in the decision.  The qualifying word ‘sufficient’ indicates that there will be interests that are not sufficient.  There must be an interest other than by reason of just being a NSP or DNSP.  Questions of fact and degree arise in determining whether there is sufficient interest, and the interest established must not be too remote.  </w:t>
      </w:r>
    </w:p>
    <w:p w:rsidR="004B39D1" w:rsidRDefault="004B39D1" w:rsidP="00112F61">
      <w:pPr>
        <w:pStyle w:val="ParaNumbering"/>
      </w:pPr>
      <w:r>
        <w:t xml:space="preserve">The Tribunal first addresses the alleged ‘sufficient interest’ in the context of the gamma issues.  </w:t>
      </w:r>
    </w:p>
    <w:p w:rsidR="004B39D1" w:rsidRDefault="004B39D1" w:rsidP="00B5297C">
      <w:pPr>
        <w:pStyle w:val="ParaNumbering"/>
      </w:pPr>
      <w:bookmarkStart w:id="15" w:name="_Ref268875386"/>
      <w:r>
        <w:t xml:space="preserve">In the circumstances of these proceedings, an interest claimed in the precedential effect of the way in which the Tribunal will conduct the review, or of the criteria by which that review will be conducted, is not a sufficient interest to support intervention in the review.  </w:t>
      </w:r>
      <w:bookmarkEnd w:id="15"/>
    </w:p>
    <w:p w:rsidR="004B39D1" w:rsidRDefault="004B39D1" w:rsidP="00B5297C">
      <w:pPr>
        <w:pStyle w:val="ParaNumbering"/>
      </w:pPr>
      <w:r>
        <w:t xml:space="preserve">The best EnergyAustralia can do is point to the fact that it will be soon placed in a position, unlike some others, to put forward a regulatory proposal which may be influenced by the Tribunal’s determination.  </w:t>
      </w:r>
    </w:p>
    <w:p w:rsidR="004B39D1" w:rsidRDefault="004B39D1" w:rsidP="00B5297C">
      <w:pPr>
        <w:pStyle w:val="ParaNumbering"/>
      </w:pPr>
      <w:r>
        <w:t xml:space="preserve">The Tribunal does not accept that the decision in these proceedings will necessarily be probative in relation to EnergyAustralia’s regulatory review process which does not take place until 2013.  </w:t>
      </w:r>
    </w:p>
    <w:p w:rsidR="004B39D1" w:rsidRDefault="004B39D1" w:rsidP="00B5297C">
      <w:pPr>
        <w:pStyle w:val="ParaNumbering"/>
      </w:pPr>
      <w:r>
        <w:t xml:space="preserve">However, even if the Tribunal’s decision is going to be probative, the fact is that in making a decision in relation to EnergyAustralia, the AER will need to reach conclusions that are specific to the particular facts before it.  </w:t>
      </w:r>
    </w:p>
    <w:p w:rsidR="004B39D1" w:rsidRDefault="004B39D1" w:rsidP="00B5297C">
      <w:pPr>
        <w:pStyle w:val="ParaNumbering"/>
      </w:pPr>
      <w:r>
        <w:t xml:space="preserve">The Tribunal does not accept that the decisions already made by the AER (or the Tribunal’s decisions) will directly bear on the interests of EnergyAustralia.  The Tribunal also does not accept that the evidence and material to be placed before it and that was before the AER will be the same by the time EnergyAustralia submits its next regulatory proposal.  </w:t>
      </w:r>
    </w:p>
    <w:p w:rsidR="004B39D1" w:rsidRDefault="004B39D1" w:rsidP="00213278">
      <w:pPr>
        <w:pStyle w:val="ParaNumbering"/>
      </w:pPr>
      <w:r>
        <w:t>The Tribunal now addresses the public lighting issue.  EnergyAustralia also asserted that it had a sufficient interest in the Ergon matter, (proceeding no 3 of 2010), by reason of its interest in the classification of services and activities in connection with the provision of public lighting because:</w:t>
      </w:r>
    </w:p>
    <w:p w:rsidR="004B39D1" w:rsidRPr="006F2D07" w:rsidRDefault="004B39D1" w:rsidP="00141B7A">
      <w:pPr>
        <w:pStyle w:val="FCBullets"/>
        <w:numPr>
          <w:ilvl w:val="1"/>
          <w:numId w:val="32"/>
        </w:numPr>
        <w:tabs>
          <w:tab w:val="clear" w:pos="1440"/>
          <w:tab w:val="num" w:pos="709"/>
        </w:tabs>
        <w:ind w:left="709" w:hanging="709"/>
      </w:pPr>
      <w:r>
        <w:t xml:space="preserve">Energy Australia </w:t>
      </w:r>
      <w:r w:rsidRPr="006F2D07">
        <w:t>is a significant provider of public lighting services in New South Wales;</w:t>
      </w:r>
    </w:p>
    <w:p w:rsidR="004B39D1" w:rsidRDefault="004B39D1" w:rsidP="00141B7A">
      <w:pPr>
        <w:pStyle w:val="FCBullets"/>
        <w:numPr>
          <w:ilvl w:val="1"/>
          <w:numId w:val="32"/>
        </w:numPr>
        <w:tabs>
          <w:tab w:val="clear" w:pos="1440"/>
          <w:tab w:val="num" w:pos="709"/>
        </w:tabs>
        <w:ind w:left="709" w:hanging="709"/>
      </w:pPr>
      <w:r w:rsidRPr="006F2D07">
        <w:t>under the terms of the transitional rules in Ch 11 of the Rules which applied to</w:t>
      </w:r>
      <w:r>
        <w:t xml:space="preserve"> EnergyAustralia’s present distribution determination, public lighting is classified as a direct control service and, within that category, as an alternative control service, but the classification of public lighting for EnergyAustralia’s future distribution determination in respect of the regulatory control period 2014-2019 will not be bound by the transitional rules; and</w:t>
      </w:r>
    </w:p>
    <w:p w:rsidR="004B39D1" w:rsidRDefault="004B39D1" w:rsidP="00141B7A">
      <w:pPr>
        <w:pStyle w:val="FCBullets"/>
        <w:numPr>
          <w:ilvl w:val="1"/>
          <w:numId w:val="32"/>
        </w:numPr>
        <w:tabs>
          <w:tab w:val="clear" w:pos="1440"/>
          <w:tab w:val="num" w:pos="709"/>
        </w:tabs>
        <w:ind w:left="709" w:hanging="709"/>
      </w:pPr>
      <w:r w:rsidRPr="006F2D07">
        <w:t>the manner in which the AER classifies public lighting services in that future</w:t>
      </w:r>
      <w:r>
        <w:t xml:space="preserve"> distribution determination will be affected by the way in which public lighting services and activities have been classified by the AER in the distribution determinations and/or the way in which the Tribunal reviews that classification.</w:t>
      </w:r>
    </w:p>
    <w:p w:rsidR="004B39D1" w:rsidRPr="00133850" w:rsidRDefault="004B39D1" w:rsidP="00487128">
      <w:pPr>
        <w:pStyle w:val="ParaNumbering"/>
      </w:pPr>
      <w:r>
        <w:t xml:space="preserve">As with the gamma issue, the </w:t>
      </w:r>
      <w:r w:rsidRPr="00133850">
        <w:t xml:space="preserve">precedent value </w:t>
      </w:r>
      <w:r>
        <w:t xml:space="preserve">to EnergyAustralia </w:t>
      </w:r>
      <w:r w:rsidRPr="00133850">
        <w:t xml:space="preserve">does not establish a </w:t>
      </w:r>
      <w:r>
        <w:t>‘</w:t>
      </w:r>
      <w:r w:rsidRPr="00133850">
        <w:t>sufficient interest</w:t>
      </w:r>
      <w:r>
        <w:t>’</w:t>
      </w:r>
      <w:r w:rsidRPr="00133850">
        <w:t xml:space="preserve"> for the purposes of s</w:t>
      </w:r>
      <w:r>
        <w:t> </w:t>
      </w:r>
      <w:r w:rsidRPr="00133850">
        <w:t>71K of the NEL.</w:t>
      </w:r>
      <w:r>
        <w:t xml:space="preserve">  The comments made in relation to the gamma issue referred to in paragraphs 31 to 34 above equally apply in relation to the issue of public lighting.</w:t>
      </w:r>
    </w:p>
    <w:p w:rsidR="004B39D1" w:rsidRDefault="004B39D1" w:rsidP="00BA26C1">
      <w:pPr>
        <w:pStyle w:val="Heading1"/>
      </w:pPr>
      <w:r>
        <w:t>CONCLUSION</w:t>
      </w:r>
    </w:p>
    <w:p w:rsidR="004B39D1" w:rsidRDefault="004B39D1" w:rsidP="009C0F6D">
      <w:pPr>
        <w:pStyle w:val="ParaNumbering"/>
      </w:pPr>
      <w:r>
        <w:t xml:space="preserve">In the circumstances, as a factual matter EnergyAustralia has not established that it has a ‘sufficient interest’ in the decisions being reviewed, within the meaning of s 71K(2).  EnergyAustralia is thus not a reviewable regulatory decision process participant for the purposes of s 71K. </w:t>
      </w:r>
    </w:p>
    <w:p w:rsidR="004B39D1" w:rsidRDefault="004B39D1" w:rsidP="00410245">
      <w:pPr>
        <w:pStyle w:val="ParaNumbering"/>
        <w:numPr>
          <w:ilvl w:val="0"/>
          <w:numId w:val="0"/>
        </w:numPr>
        <w:ind w:left="-720"/>
      </w:pPr>
      <w:r>
        <w:br w:type="page"/>
      </w:r>
    </w:p>
    <w:p w:rsidR="004B39D1" w:rsidRDefault="004B39D1">
      <w:pPr>
        <w:suppressAutoHyphens/>
      </w:pPr>
      <w:bookmarkStart w:id="16" w:name="Certification"/>
    </w:p>
    <w:tbl>
      <w:tblPr>
        <w:tblW w:w="0" w:type="auto"/>
        <w:tblInd w:w="-106" w:type="dxa"/>
        <w:tblLayout w:type="fixed"/>
        <w:tblLook w:val="0000"/>
      </w:tblPr>
      <w:tblGrid>
        <w:gridCol w:w="3799"/>
      </w:tblGrid>
      <w:tr w:rsidR="004B39D1">
        <w:tblPrEx>
          <w:tblCellMar>
            <w:top w:w="0" w:type="dxa"/>
            <w:bottom w:w="0" w:type="dxa"/>
          </w:tblCellMar>
        </w:tblPrEx>
        <w:tc>
          <w:tcPr>
            <w:tcW w:w="3799" w:type="dxa"/>
          </w:tcPr>
          <w:p w:rsidR="004B39D1" w:rsidRDefault="004B39D1">
            <w:pPr>
              <w:pStyle w:val="Certify"/>
            </w:pPr>
            <w:r w:rsidRPr="00161FFC">
              <w:t xml:space="preserve">I certify that the preceding </w:t>
            </w:r>
            <w:bookmarkStart w:id="17" w:name="NumberWord"/>
            <w:r>
              <w:t>thirty-seven</w:t>
            </w:r>
            <w:bookmarkEnd w:id="17"/>
            <w:r w:rsidRPr="00161FFC">
              <w:t xml:space="preserve"> (</w:t>
            </w:r>
            <w:bookmarkStart w:id="18" w:name="NumberNumeral"/>
            <w:r>
              <w:t>37</w:t>
            </w:r>
            <w:bookmarkEnd w:id="18"/>
            <w:r w:rsidRPr="00161FFC">
              <w:t xml:space="preserve">) numbered </w:t>
            </w:r>
            <w:bookmarkStart w:id="19" w:name="CertPara"/>
            <w:r>
              <w:t>paragraphs are</w:t>
            </w:r>
            <w:bookmarkEnd w:id="19"/>
            <w:r w:rsidRPr="00161FFC">
              <w:t xml:space="preserve"> a true copy of the Reasons for Judgment herein of the Honourable </w:t>
            </w:r>
            <w:bookmarkStart w:id="20" w:name="Justice"/>
            <w:r>
              <w:t>Justice Middleton (Deputy President), Mr R Davey and Mr R Shogren</w:t>
            </w:r>
            <w:bookmarkEnd w:id="20"/>
            <w:r>
              <w:t>.</w:t>
            </w:r>
          </w:p>
        </w:tc>
      </w:tr>
    </w:tbl>
    <w:p w:rsidR="004B39D1" w:rsidRDefault="004B39D1">
      <w:pPr>
        <w:suppressAutoHyphens/>
      </w:pPr>
    </w:p>
    <w:p w:rsidR="004B39D1" w:rsidRDefault="004B39D1">
      <w:pPr>
        <w:suppressAutoHyphens/>
      </w:pPr>
    </w:p>
    <w:p w:rsidR="004B39D1" w:rsidRDefault="004B39D1">
      <w:pPr>
        <w:suppressAutoHyphens/>
      </w:pPr>
      <w:r>
        <w:t>Associate:</w:t>
      </w:r>
    </w:p>
    <w:p w:rsidR="004B39D1" w:rsidRDefault="004B39D1">
      <w:pPr>
        <w:suppressAutoHyphens/>
      </w:pPr>
    </w:p>
    <w:p w:rsidR="004B39D1" w:rsidRDefault="004B39D1">
      <w:pPr>
        <w:tabs>
          <w:tab w:val="left" w:pos="1134"/>
        </w:tabs>
        <w:suppressAutoHyphens/>
      </w:pPr>
      <w:r>
        <w:t>Dated:</w:t>
      </w:r>
      <w:r>
        <w:tab/>
      </w:r>
      <w:bookmarkStart w:id="21" w:name="CertifyDated"/>
      <w:r>
        <w:t>1 September 2010</w:t>
      </w:r>
      <w:bookmarkEnd w:id="21"/>
    </w:p>
    <w:p w:rsidR="004B39D1" w:rsidRDefault="004B39D1">
      <w:pPr>
        <w:suppressAutoHyphens/>
      </w:pPr>
    </w:p>
    <w:bookmarkEnd w:id="16"/>
    <w:p w:rsidR="004B39D1" w:rsidRPr="008D4D38" w:rsidRDefault="004B39D1" w:rsidP="008D4D38">
      <w:pPr>
        <w:pStyle w:val="ParaNumbering"/>
        <w:numPr>
          <w:ilvl w:val="0"/>
          <w:numId w:val="0"/>
        </w:numPr>
        <w:rPr>
          <w:highlight w:val="yellow"/>
        </w:rPr>
      </w:pPr>
    </w:p>
    <w:sectPr w:rsidR="004B39D1" w:rsidRPr="008D4D38" w:rsidSect="002F3157">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D1" w:rsidRDefault="004B39D1">
      <w:pPr>
        <w:spacing w:line="20" w:lineRule="exact"/>
      </w:pPr>
    </w:p>
    <w:p w:rsidR="004B39D1" w:rsidRDefault="004B39D1"/>
    <w:p w:rsidR="004B39D1" w:rsidRDefault="004B39D1"/>
  </w:endnote>
  <w:endnote w:type="continuationSeparator" w:id="1">
    <w:p w:rsidR="004B39D1" w:rsidRDefault="004B39D1">
      <w:r>
        <w:t xml:space="preserve"> </w:t>
      </w:r>
    </w:p>
    <w:p w:rsidR="004B39D1" w:rsidRDefault="004B39D1"/>
    <w:p w:rsidR="004B39D1" w:rsidRDefault="004B39D1"/>
  </w:endnote>
  <w:endnote w:type="continuationNotice" w:id="2">
    <w:p w:rsidR="004B39D1" w:rsidRDefault="004B39D1">
      <w:r>
        <w:t xml:space="preserve"> </w:t>
      </w:r>
    </w:p>
    <w:p w:rsidR="004B39D1" w:rsidRDefault="004B39D1"/>
    <w:p w:rsidR="004B39D1" w:rsidRDefault="004B39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Pr="00410245" w:rsidRDefault="004B39D1" w:rsidP="00410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Pr="00410245" w:rsidRDefault="004B39D1" w:rsidP="00410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D1" w:rsidRDefault="004B39D1"/>
    <w:p w:rsidR="004B39D1" w:rsidRDefault="004B39D1"/>
    <w:p w:rsidR="004B39D1" w:rsidRDefault="004B39D1"/>
  </w:footnote>
  <w:footnote w:type="continuationSeparator" w:id="1">
    <w:p w:rsidR="004B39D1" w:rsidRDefault="004B39D1">
      <w:r>
        <w:continuationSeparator/>
      </w:r>
    </w:p>
    <w:p w:rsidR="004B39D1" w:rsidRDefault="004B39D1"/>
    <w:p w:rsidR="004B39D1" w:rsidRDefault="004B39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pPr>
      <w:tabs>
        <w:tab w:val="center" w:pos="4512"/>
      </w:tabs>
      <w:suppressAutoHyphens/>
    </w:pPr>
    <w:r>
      <w:tab/>
      <w:t xml:space="preserve">- </w:t>
    </w:r>
    <w:fldSimple w:instr="page \* arabic">
      <w:r>
        <w:rPr>
          <w:noProof/>
        </w:rPr>
        <w:t>2</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rsidP="00320622">
    <w:pPr>
      <w:pStyle w:val="Header"/>
      <w:tabs>
        <w:tab w:val="clear" w:pos="4320"/>
        <w:tab w:val="clear" w:pos="8640"/>
      </w:tabs>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pPr>
      <w:tabs>
        <w:tab w:val="center" w:pos="4512"/>
      </w:tabs>
      <w:suppressAutoHyphens/>
    </w:pPr>
    <w:r>
      <w:tab/>
      <w:t xml:space="preserve">- </w:t>
    </w:r>
    <w:fldSimple w:instr="page \* arabic">
      <w:r>
        <w:rPr>
          <w:noProof/>
        </w:rPr>
        <w:t>2</w:t>
      </w:r>
    </w:fldSimple>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rsidP="00320622">
    <w:pPr>
      <w:pStyle w:val="Header"/>
      <w:tabs>
        <w:tab w:val="clear" w:pos="4320"/>
        <w:tab w:val="clear" w:pos="8640"/>
      </w:tabs>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pPr>
      <w:tabs>
        <w:tab w:val="center" w:pos="4512"/>
      </w:tabs>
      <w:suppressAutoHyphens/>
    </w:pPr>
    <w:r>
      <w:tab/>
      <w:t xml:space="preserve">- </w:t>
    </w:r>
    <w:fldSimple w:instr="page \* arabic">
      <w:r>
        <w:rPr>
          <w:noProof/>
        </w:rPr>
        <w:t>9</w:t>
      </w:r>
    </w:fldSimple>
    <w: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D1" w:rsidRDefault="004B39D1"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0F84E6C"/>
    <w:multiLevelType w:val="hybridMultilevel"/>
    <w:tmpl w:val="5C00D364"/>
    <w:lvl w:ilvl="0" w:tplc="C896C220">
      <w:start w:val="1"/>
      <w:numFmt w:val="lowerLetter"/>
      <w:lvlText w:val="(%1)"/>
      <w:lvlJc w:val="left"/>
      <w:pPr>
        <w:tabs>
          <w:tab w:val="num" w:pos="1440"/>
        </w:tabs>
        <w:ind w:left="1440" w:hanging="360"/>
      </w:pPr>
      <w:rPr>
        <w:rFonts w:hint="default"/>
      </w:rPr>
    </w:lvl>
    <w:lvl w:ilvl="1" w:tplc="CB56248C">
      <w:start w:val="1"/>
      <w:numFmt w:val="lowerRoman"/>
      <w:lvlText w:val="(%2)"/>
      <w:lvlJc w:val="righ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nsid w:val="04852418"/>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05233236"/>
    <w:multiLevelType w:val="hybridMultilevel"/>
    <w:tmpl w:val="FAEE0B3A"/>
    <w:lvl w:ilvl="0" w:tplc="C896C220">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nsid w:val="065806AB"/>
    <w:multiLevelType w:val="hybridMultilevel"/>
    <w:tmpl w:val="4CE8C1DA"/>
    <w:lvl w:ilvl="0" w:tplc="B2609D1E">
      <w:start w:val="3"/>
      <w:numFmt w:val="lowerLetter"/>
      <w:lvlText w:val="(%1)"/>
      <w:lvlJc w:val="left"/>
      <w:pPr>
        <w:tabs>
          <w:tab w:val="num" w:pos="360"/>
        </w:tabs>
        <w:ind w:left="360" w:hanging="360"/>
      </w:pPr>
      <w:rPr>
        <w:rFonts w:hint="default"/>
      </w:rPr>
    </w:lvl>
    <w:lvl w:ilvl="1" w:tplc="2F52D170">
      <w:start w:val="3"/>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nsid w:val="11F75BB6"/>
    <w:multiLevelType w:val="multilevel"/>
    <w:tmpl w:val="A2D0917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3E61A0"/>
    <w:multiLevelType w:val="hybridMultilevel"/>
    <w:tmpl w:val="061218A0"/>
    <w:lvl w:ilvl="0" w:tplc="C896C220">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nsid w:val="168F28D0"/>
    <w:multiLevelType w:val="multilevel"/>
    <w:tmpl w:val="69D6ADA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190D392E"/>
    <w:multiLevelType w:val="multilevel"/>
    <w:tmpl w:val="31FAB45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9">
    <w:nsid w:val="225D78C4"/>
    <w:multiLevelType w:val="hybridMultilevel"/>
    <w:tmpl w:val="A2D09176"/>
    <w:lvl w:ilvl="0" w:tplc="C896C220">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nsid w:val="29AE3DD1"/>
    <w:multiLevelType w:val="singleLevel"/>
    <w:tmpl w:val="5C92B9B0"/>
    <w:lvl w:ilvl="0">
      <w:start w:val="1"/>
      <w:numFmt w:val="decimal"/>
      <w:lvlRestart w:val="0"/>
      <w:pStyle w:val="ParaNumbering"/>
      <w:lvlText w:val="%1"/>
      <w:lvlJc w:val="left"/>
      <w:pPr>
        <w:tabs>
          <w:tab w:val="num" w:pos="720"/>
        </w:tabs>
        <w:ind w:hanging="720"/>
      </w:pPr>
      <w:rPr>
        <w:rFonts w:hint="default"/>
        <w:sz w:val="20"/>
        <w:szCs w:val="20"/>
      </w:rPr>
    </w:lvl>
  </w:abstractNum>
  <w:abstractNum w:abstractNumId="21">
    <w:nsid w:val="2F9A6BF9"/>
    <w:multiLevelType w:val="multilevel"/>
    <w:tmpl w:val="31FAB45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2">
    <w:nsid w:val="30AD26F3"/>
    <w:multiLevelType w:val="hybridMultilevel"/>
    <w:tmpl w:val="D93A4164"/>
    <w:lvl w:ilvl="0" w:tplc="E1A866A4">
      <w:start w:val="3"/>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nsid w:val="33630A1B"/>
    <w:multiLevelType w:val="multilevel"/>
    <w:tmpl w:val="31FAB45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7A30061"/>
    <w:multiLevelType w:val="multilevel"/>
    <w:tmpl w:val="93FA7D28"/>
    <w:lvl w:ilvl="0">
      <w:start w:val="1"/>
      <w:numFmt w:val="bullet"/>
      <w:lvlText w:val=""/>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pPr>
    </w:lvl>
    <w:lvl w:ilvl="1">
      <w:start w:val="1"/>
      <w:numFmt w:val="decimalZero"/>
      <w:isLgl/>
      <w:lvlText w:val="Sectio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B01579"/>
    <w:multiLevelType w:val="hybridMultilevel"/>
    <w:tmpl w:val="0B8650DE"/>
    <w:lvl w:ilvl="0" w:tplc="61127A06">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5C9509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1A4F03"/>
    <w:multiLevelType w:val="multilevel"/>
    <w:tmpl w:val="7CC2AE98"/>
    <w:lvl w:ilvl="0">
      <w:start w:val="1"/>
      <w:numFmt w:val="decimal"/>
      <w:lvlText w:val="%1."/>
      <w:lvlJc w:val="left"/>
      <w:pPr>
        <w:tabs>
          <w:tab w:val="num" w:pos="567"/>
        </w:tabs>
        <w:ind w:left="567" w:hanging="567"/>
      </w:pPr>
      <w:rPr>
        <w:b w:val="0"/>
        <w:bCs w:val="0"/>
        <w:i w:val="0"/>
        <w:iCs w:val="0"/>
        <w:sz w:val="21"/>
        <w:szCs w:val="21"/>
      </w:rPr>
    </w:lvl>
    <w:lvl w:ilvl="1">
      <w:start w:val="1"/>
      <w:numFmt w:val="decimal"/>
      <w:lvlText w:val="%1.%2"/>
      <w:lvlJc w:val="left"/>
      <w:pPr>
        <w:tabs>
          <w:tab w:val="num" w:pos="1474"/>
        </w:tabs>
        <w:ind w:left="1474" w:hanging="907"/>
      </w:pPr>
      <w:rPr>
        <w:i w:val="0"/>
        <w:iCs w:val="0"/>
      </w:rPr>
    </w:lvl>
    <w:lvl w:ilvl="2">
      <w:start w:val="1"/>
      <w:numFmt w:val="lowerRoman"/>
      <w:lvlText w:val="(%3)"/>
      <w:lvlJc w:val="right"/>
      <w:pPr>
        <w:tabs>
          <w:tab w:val="num" w:pos="1800"/>
        </w:tabs>
        <w:ind w:left="1800" w:hanging="360"/>
      </w:pPr>
      <w:rPr>
        <w:rFonts w:hint="default"/>
        <w:b w:val="0"/>
        <w:bCs w:val="0"/>
        <w:i w:val="0"/>
        <w:iCs w:val="0"/>
        <w:sz w:val="21"/>
        <w:szCs w:val="21"/>
      </w:rPr>
    </w:lvl>
    <w:lvl w:ilvl="3">
      <w:start w:val="1"/>
      <w:numFmt w:val="lowerRoman"/>
      <w:lvlText w:val="(%4)"/>
      <w:lvlJc w:val="left"/>
      <w:pPr>
        <w:tabs>
          <w:tab w:val="num" w:pos="2880"/>
        </w:tabs>
        <w:ind w:left="2160"/>
      </w:pPr>
    </w:lvl>
    <w:lvl w:ilvl="4">
      <w:start w:val="1"/>
      <w:numFmt w:val="lowerRoman"/>
      <w:lvlText w:val="(%5)"/>
      <w:lvlJc w:val="left"/>
      <w:pPr>
        <w:tabs>
          <w:tab w:val="num" w:pos="3600"/>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32">
    <w:nsid w:val="61A1330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62C64B0"/>
    <w:multiLevelType w:val="hybridMultilevel"/>
    <w:tmpl w:val="52A64186"/>
    <w:lvl w:ilvl="0" w:tplc="C896C220">
      <w:start w:val="1"/>
      <w:numFmt w:val="lowerLetter"/>
      <w:lvlText w:val="(%1)"/>
      <w:lvlJc w:val="left"/>
      <w:pPr>
        <w:tabs>
          <w:tab w:val="num" w:pos="1440"/>
        </w:tabs>
        <w:ind w:left="1440" w:hanging="360"/>
      </w:pPr>
      <w:rPr>
        <w:rFonts w:hint="default"/>
      </w:rPr>
    </w:lvl>
    <w:lvl w:ilvl="1" w:tplc="C896C220">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820637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DA34AC6"/>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9"/>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7"/>
  </w:num>
  <w:num w:numId="25">
    <w:abstractNumId w:val="34"/>
  </w:num>
  <w:num w:numId="26">
    <w:abstractNumId w:val="26"/>
  </w:num>
  <w:num w:numId="27">
    <w:abstractNumId w:val="27"/>
  </w:num>
  <w:num w:numId="28">
    <w:abstractNumId w:val="11"/>
  </w:num>
  <w:num w:numId="29">
    <w:abstractNumId w:val="36"/>
  </w:num>
  <w:num w:numId="30">
    <w:abstractNumId w:val="31"/>
  </w:num>
  <w:num w:numId="31">
    <w:abstractNumId w:val="13"/>
  </w:num>
  <w:num w:numId="32">
    <w:abstractNumId w:val="33"/>
  </w:num>
  <w:num w:numId="33">
    <w:abstractNumId w:val="17"/>
  </w:num>
  <w:num w:numId="34">
    <w:abstractNumId w:val="25"/>
  </w:num>
  <w:num w:numId="35">
    <w:abstractNumId w:val="23"/>
  </w:num>
  <w:num w:numId="36">
    <w:abstractNumId w:val="38"/>
  </w:num>
  <w:num w:numId="37">
    <w:abstractNumId w:val="24"/>
  </w:num>
  <w:num w:numId="38">
    <w:abstractNumId w:val="15"/>
  </w:num>
  <w:num w:numId="39">
    <w:abstractNumId w:val="12"/>
  </w:num>
  <w:num w:numId="40">
    <w:abstractNumId w:val="18"/>
  </w:num>
  <w:num w:numId="41">
    <w:abstractNumId w:val="21"/>
  </w:num>
  <w:num w:numId="42">
    <w:abstractNumId w:val="10"/>
  </w:num>
  <w:num w:numId="43">
    <w:abstractNumId w:val="19"/>
  </w:num>
  <w:num w:numId="44">
    <w:abstractNumId w:val="14"/>
  </w:num>
  <w:num w:numId="45">
    <w:abstractNumId w:val="22"/>
  </w:num>
  <w:num w:numId="46">
    <w:abstractNumId w:val="28"/>
  </w:num>
  <w:num w:numId="47">
    <w:abstractNumId w:val="35"/>
  </w:num>
  <w:num w:numId="48">
    <w:abstractNumId w:val="32"/>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916"/>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Energex Limited (ACN 078 849 055)"/>
    <w:docVar w:name="CounselParties" w:val="Applicant"/>
    <w:docVar w:name="CounselType" w:val="Solicitor for the "/>
    <w:docVar w:name="Division" w:val="GENERAL DIVISION"/>
    <w:docVar w:name="DocCreated" w:val="True"/>
    <w:docVar w:name="FileNumbers" w:val="2 of 2010"/>
    <w:docVar w:name="FullCourt" w:val="False"/>
    <w:docVar w:name="HearingDate" w:val="24 August 2010"/>
    <w:docVar w:name="Judgdate" w:val="1 September 2010"/>
    <w:docVar w:name="Judge" w:val="Middleton"/>
    <w:docVar w:name="JudgePlace" w:val="MELBOURNE"/>
    <w:docVar w:name="lstEntryList" w:val="-1"/>
    <w:docVar w:name="myEntryList" w:val="Solicitor for the Applicant=Corrs Chambers Westgarth"/>
    <w:docVar w:name="NSD" w:val="NSD 2 of 2010"/>
    <w:docVar w:name="NumApps" w:val="1"/>
    <w:docVar w:name="NumApps_" w:val="1"/>
    <w:docVar w:name="NumJudges" w:val="Single Judge"/>
    <w:docVar w:name="Parties" w:val="Applicant"/>
    <w:docVar w:name="Place_SentenceCase" w:val="Melbourne"/>
    <w:docVar w:name="ResState" w:val="VICTORIA"/>
    <w:docVar w:name="Single" w:val="True"/>
  </w:docVars>
  <w:rsids>
    <w:rsidRoot w:val="007D4A47"/>
    <w:rsid w:val="000002E5"/>
    <w:rsid w:val="00000427"/>
    <w:rsid w:val="00001337"/>
    <w:rsid w:val="00001CDB"/>
    <w:rsid w:val="0000436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7225"/>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2AFA"/>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45F"/>
    <w:rsid w:val="000C0538"/>
    <w:rsid w:val="000C3042"/>
    <w:rsid w:val="000C304B"/>
    <w:rsid w:val="000C35EE"/>
    <w:rsid w:val="000C4574"/>
    <w:rsid w:val="000C5CB1"/>
    <w:rsid w:val="000C6094"/>
    <w:rsid w:val="000D02B3"/>
    <w:rsid w:val="000D232E"/>
    <w:rsid w:val="000D4D92"/>
    <w:rsid w:val="000D54FA"/>
    <w:rsid w:val="000D612B"/>
    <w:rsid w:val="000D7732"/>
    <w:rsid w:val="000E2728"/>
    <w:rsid w:val="000E43D1"/>
    <w:rsid w:val="000E4F42"/>
    <w:rsid w:val="000E636E"/>
    <w:rsid w:val="000E78E8"/>
    <w:rsid w:val="000E7E1E"/>
    <w:rsid w:val="000F0B04"/>
    <w:rsid w:val="000F14D7"/>
    <w:rsid w:val="000F153C"/>
    <w:rsid w:val="000F1C81"/>
    <w:rsid w:val="000F2344"/>
    <w:rsid w:val="000F75D5"/>
    <w:rsid w:val="00100A70"/>
    <w:rsid w:val="00106F62"/>
    <w:rsid w:val="00111043"/>
    <w:rsid w:val="001114BE"/>
    <w:rsid w:val="00111BC9"/>
    <w:rsid w:val="00112F61"/>
    <w:rsid w:val="0011416F"/>
    <w:rsid w:val="001147E4"/>
    <w:rsid w:val="00114B4A"/>
    <w:rsid w:val="00115EB4"/>
    <w:rsid w:val="001175A5"/>
    <w:rsid w:val="00121D2F"/>
    <w:rsid w:val="00123946"/>
    <w:rsid w:val="00123B3E"/>
    <w:rsid w:val="00125340"/>
    <w:rsid w:val="0012775F"/>
    <w:rsid w:val="00132D52"/>
    <w:rsid w:val="00133850"/>
    <w:rsid w:val="0013762F"/>
    <w:rsid w:val="00141B7A"/>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0CD9"/>
    <w:rsid w:val="00171B2D"/>
    <w:rsid w:val="00171F5F"/>
    <w:rsid w:val="001778B1"/>
    <w:rsid w:val="001804B9"/>
    <w:rsid w:val="00180D13"/>
    <w:rsid w:val="001811DD"/>
    <w:rsid w:val="001813D0"/>
    <w:rsid w:val="0018317C"/>
    <w:rsid w:val="00183E80"/>
    <w:rsid w:val="00184470"/>
    <w:rsid w:val="00187E01"/>
    <w:rsid w:val="00190ABD"/>
    <w:rsid w:val="00190DA6"/>
    <w:rsid w:val="00191911"/>
    <w:rsid w:val="0019258C"/>
    <w:rsid w:val="001932FA"/>
    <w:rsid w:val="00194CA1"/>
    <w:rsid w:val="00194CDB"/>
    <w:rsid w:val="00196DBA"/>
    <w:rsid w:val="001A23E0"/>
    <w:rsid w:val="001A3EBA"/>
    <w:rsid w:val="001B06A8"/>
    <w:rsid w:val="001B2573"/>
    <w:rsid w:val="001B43E6"/>
    <w:rsid w:val="001B532D"/>
    <w:rsid w:val="001B762C"/>
    <w:rsid w:val="001C0B29"/>
    <w:rsid w:val="001C110A"/>
    <w:rsid w:val="001C1DAC"/>
    <w:rsid w:val="001C1F39"/>
    <w:rsid w:val="001C284A"/>
    <w:rsid w:val="001C6792"/>
    <w:rsid w:val="001C6909"/>
    <w:rsid w:val="001C773C"/>
    <w:rsid w:val="001D00A0"/>
    <w:rsid w:val="001D0CBF"/>
    <w:rsid w:val="001D18D0"/>
    <w:rsid w:val="001D21E8"/>
    <w:rsid w:val="001D2983"/>
    <w:rsid w:val="001D3B74"/>
    <w:rsid w:val="001D450A"/>
    <w:rsid w:val="001D5A4C"/>
    <w:rsid w:val="001D6083"/>
    <w:rsid w:val="001D75ED"/>
    <w:rsid w:val="001E05CC"/>
    <w:rsid w:val="001E086C"/>
    <w:rsid w:val="001E0CE2"/>
    <w:rsid w:val="001E0E72"/>
    <w:rsid w:val="001E1191"/>
    <w:rsid w:val="001E13AC"/>
    <w:rsid w:val="001E14D1"/>
    <w:rsid w:val="001E3620"/>
    <w:rsid w:val="001E4B20"/>
    <w:rsid w:val="001E521E"/>
    <w:rsid w:val="001E5287"/>
    <w:rsid w:val="001E67CC"/>
    <w:rsid w:val="001E6AB6"/>
    <w:rsid w:val="001E7235"/>
    <w:rsid w:val="001F1E2C"/>
    <w:rsid w:val="001F47BC"/>
    <w:rsid w:val="001F6BBF"/>
    <w:rsid w:val="001F7392"/>
    <w:rsid w:val="001F7476"/>
    <w:rsid w:val="001F7AF8"/>
    <w:rsid w:val="002021B3"/>
    <w:rsid w:val="00202730"/>
    <w:rsid w:val="00203292"/>
    <w:rsid w:val="002100C1"/>
    <w:rsid w:val="00210362"/>
    <w:rsid w:val="0021318C"/>
    <w:rsid w:val="00213278"/>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1048"/>
    <w:rsid w:val="00272579"/>
    <w:rsid w:val="00272791"/>
    <w:rsid w:val="002727BA"/>
    <w:rsid w:val="00273AAD"/>
    <w:rsid w:val="00275A96"/>
    <w:rsid w:val="00276213"/>
    <w:rsid w:val="00277A6D"/>
    <w:rsid w:val="00280AF5"/>
    <w:rsid w:val="002867B0"/>
    <w:rsid w:val="0028773B"/>
    <w:rsid w:val="002914A3"/>
    <w:rsid w:val="00292145"/>
    <w:rsid w:val="00294E51"/>
    <w:rsid w:val="002957FF"/>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D72F2"/>
    <w:rsid w:val="002E0A90"/>
    <w:rsid w:val="002E25A2"/>
    <w:rsid w:val="002E533F"/>
    <w:rsid w:val="002E5554"/>
    <w:rsid w:val="002E6843"/>
    <w:rsid w:val="002F177C"/>
    <w:rsid w:val="002F3157"/>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717"/>
    <w:rsid w:val="00344BA9"/>
    <w:rsid w:val="003453AC"/>
    <w:rsid w:val="003505CC"/>
    <w:rsid w:val="00351A99"/>
    <w:rsid w:val="00352B39"/>
    <w:rsid w:val="00356101"/>
    <w:rsid w:val="003608C1"/>
    <w:rsid w:val="00361300"/>
    <w:rsid w:val="00362E25"/>
    <w:rsid w:val="003631F7"/>
    <w:rsid w:val="00363A4B"/>
    <w:rsid w:val="00364039"/>
    <w:rsid w:val="00364181"/>
    <w:rsid w:val="00365D47"/>
    <w:rsid w:val="00365FD3"/>
    <w:rsid w:val="00367AD3"/>
    <w:rsid w:val="00370893"/>
    <w:rsid w:val="003734DF"/>
    <w:rsid w:val="003744F8"/>
    <w:rsid w:val="0037541E"/>
    <w:rsid w:val="00375AAF"/>
    <w:rsid w:val="00376120"/>
    <w:rsid w:val="00376E34"/>
    <w:rsid w:val="00377774"/>
    <w:rsid w:val="0038105D"/>
    <w:rsid w:val="00382266"/>
    <w:rsid w:val="003822F7"/>
    <w:rsid w:val="003829AF"/>
    <w:rsid w:val="00382ADB"/>
    <w:rsid w:val="00383044"/>
    <w:rsid w:val="003831B0"/>
    <w:rsid w:val="00390E3B"/>
    <w:rsid w:val="00397262"/>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4669"/>
    <w:rsid w:val="00407467"/>
    <w:rsid w:val="00410194"/>
    <w:rsid w:val="00410245"/>
    <w:rsid w:val="00410D37"/>
    <w:rsid w:val="0041100C"/>
    <w:rsid w:val="004121D1"/>
    <w:rsid w:val="00414E02"/>
    <w:rsid w:val="00416E8A"/>
    <w:rsid w:val="004178D4"/>
    <w:rsid w:val="00417E05"/>
    <w:rsid w:val="00423D90"/>
    <w:rsid w:val="00424DF8"/>
    <w:rsid w:val="00426EF9"/>
    <w:rsid w:val="00431095"/>
    <w:rsid w:val="004325CB"/>
    <w:rsid w:val="00432934"/>
    <w:rsid w:val="00433E9C"/>
    <w:rsid w:val="004344A1"/>
    <w:rsid w:val="0043743A"/>
    <w:rsid w:val="00437CED"/>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86118"/>
    <w:rsid w:val="00487128"/>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9D1"/>
    <w:rsid w:val="004B3C19"/>
    <w:rsid w:val="004B7F70"/>
    <w:rsid w:val="004C03FE"/>
    <w:rsid w:val="004C0424"/>
    <w:rsid w:val="004C16E1"/>
    <w:rsid w:val="004C1FCE"/>
    <w:rsid w:val="004C34BC"/>
    <w:rsid w:val="004C562F"/>
    <w:rsid w:val="004C6C16"/>
    <w:rsid w:val="004C7359"/>
    <w:rsid w:val="004D1288"/>
    <w:rsid w:val="004D36ED"/>
    <w:rsid w:val="004D5541"/>
    <w:rsid w:val="004D68D7"/>
    <w:rsid w:val="004D71D8"/>
    <w:rsid w:val="004E09C1"/>
    <w:rsid w:val="004E2080"/>
    <w:rsid w:val="004E2C62"/>
    <w:rsid w:val="004E457D"/>
    <w:rsid w:val="004E63EE"/>
    <w:rsid w:val="004E6724"/>
    <w:rsid w:val="004E7B52"/>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441"/>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0AE4"/>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0504"/>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686"/>
    <w:rsid w:val="005E78D8"/>
    <w:rsid w:val="005E7BF3"/>
    <w:rsid w:val="005E7DBC"/>
    <w:rsid w:val="005F0949"/>
    <w:rsid w:val="005F155A"/>
    <w:rsid w:val="005F1EAD"/>
    <w:rsid w:val="005F33A5"/>
    <w:rsid w:val="005F4FB9"/>
    <w:rsid w:val="005F5621"/>
    <w:rsid w:val="005F57BE"/>
    <w:rsid w:val="005F75F4"/>
    <w:rsid w:val="005F7770"/>
    <w:rsid w:val="0060202E"/>
    <w:rsid w:val="00602108"/>
    <w:rsid w:val="0060352B"/>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C0A"/>
    <w:rsid w:val="006E5F58"/>
    <w:rsid w:val="006E77E5"/>
    <w:rsid w:val="006F2D07"/>
    <w:rsid w:val="006F3748"/>
    <w:rsid w:val="006F3FC2"/>
    <w:rsid w:val="006F5DD5"/>
    <w:rsid w:val="006F7C91"/>
    <w:rsid w:val="007006EE"/>
    <w:rsid w:val="00701029"/>
    <w:rsid w:val="00701117"/>
    <w:rsid w:val="0070314F"/>
    <w:rsid w:val="00705C8A"/>
    <w:rsid w:val="00706FF4"/>
    <w:rsid w:val="00707B0C"/>
    <w:rsid w:val="00707C35"/>
    <w:rsid w:val="00712261"/>
    <w:rsid w:val="00712FDE"/>
    <w:rsid w:val="00713958"/>
    <w:rsid w:val="00713B04"/>
    <w:rsid w:val="00716434"/>
    <w:rsid w:val="00723B70"/>
    <w:rsid w:val="00726321"/>
    <w:rsid w:val="00736B23"/>
    <w:rsid w:val="007371C8"/>
    <w:rsid w:val="00747295"/>
    <w:rsid w:val="0075124E"/>
    <w:rsid w:val="007515C0"/>
    <w:rsid w:val="007524B6"/>
    <w:rsid w:val="007524E9"/>
    <w:rsid w:val="00753C8A"/>
    <w:rsid w:val="00754005"/>
    <w:rsid w:val="007575A3"/>
    <w:rsid w:val="00757716"/>
    <w:rsid w:val="00760990"/>
    <w:rsid w:val="00764256"/>
    <w:rsid w:val="00764603"/>
    <w:rsid w:val="00765C07"/>
    <w:rsid w:val="0076660B"/>
    <w:rsid w:val="00772363"/>
    <w:rsid w:val="00772550"/>
    <w:rsid w:val="007735ED"/>
    <w:rsid w:val="00773E4E"/>
    <w:rsid w:val="007759EF"/>
    <w:rsid w:val="00776CC4"/>
    <w:rsid w:val="00777606"/>
    <w:rsid w:val="00781443"/>
    <w:rsid w:val="00781533"/>
    <w:rsid w:val="00782BD9"/>
    <w:rsid w:val="0078783D"/>
    <w:rsid w:val="007952CD"/>
    <w:rsid w:val="00797DA9"/>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D4A47"/>
    <w:rsid w:val="007E0E62"/>
    <w:rsid w:val="007E2B03"/>
    <w:rsid w:val="007E3CDB"/>
    <w:rsid w:val="007E3D4B"/>
    <w:rsid w:val="007E6065"/>
    <w:rsid w:val="007F04F8"/>
    <w:rsid w:val="007F0A7E"/>
    <w:rsid w:val="007F3710"/>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D36"/>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073"/>
    <w:rsid w:val="00884B15"/>
    <w:rsid w:val="00887D94"/>
    <w:rsid w:val="008916D1"/>
    <w:rsid w:val="0089497F"/>
    <w:rsid w:val="008A0931"/>
    <w:rsid w:val="008A1662"/>
    <w:rsid w:val="008A3B6D"/>
    <w:rsid w:val="008A4CF3"/>
    <w:rsid w:val="008A6A0D"/>
    <w:rsid w:val="008B3287"/>
    <w:rsid w:val="008B3ACB"/>
    <w:rsid w:val="008B5059"/>
    <w:rsid w:val="008B7246"/>
    <w:rsid w:val="008C2B17"/>
    <w:rsid w:val="008C4878"/>
    <w:rsid w:val="008C5A0D"/>
    <w:rsid w:val="008C6603"/>
    <w:rsid w:val="008C6DF1"/>
    <w:rsid w:val="008D02D3"/>
    <w:rsid w:val="008D1344"/>
    <w:rsid w:val="008D1F1C"/>
    <w:rsid w:val="008D211C"/>
    <w:rsid w:val="008D24C0"/>
    <w:rsid w:val="008D4D38"/>
    <w:rsid w:val="008D4EC0"/>
    <w:rsid w:val="008D7AC4"/>
    <w:rsid w:val="008E14D4"/>
    <w:rsid w:val="008E1FE0"/>
    <w:rsid w:val="008E3041"/>
    <w:rsid w:val="008E3C09"/>
    <w:rsid w:val="008E650E"/>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4E22"/>
    <w:rsid w:val="009177A7"/>
    <w:rsid w:val="00920D15"/>
    <w:rsid w:val="00923775"/>
    <w:rsid w:val="00923905"/>
    <w:rsid w:val="009341A5"/>
    <w:rsid w:val="00936D50"/>
    <w:rsid w:val="009417EF"/>
    <w:rsid w:val="009448B3"/>
    <w:rsid w:val="00945375"/>
    <w:rsid w:val="009453BF"/>
    <w:rsid w:val="00946A82"/>
    <w:rsid w:val="00946B46"/>
    <w:rsid w:val="00947D50"/>
    <w:rsid w:val="00950541"/>
    <w:rsid w:val="00952BF4"/>
    <w:rsid w:val="00952CC2"/>
    <w:rsid w:val="00953226"/>
    <w:rsid w:val="00954EC7"/>
    <w:rsid w:val="009551E2"/>
    <w:rsid w:val="00956684"/>
    <w:rsid w:val="0095673E"/>
    <w:rsid w:val="00960114"/>
    <w:rsid w:val="00963D4C"/>
    <w:rsid w:val="00964698"/>
    <w:rsid w:val="00965FF2"/>
    <w:rsid w:val="00966EE2"/>
    <w:rsid w:val="00975610"/>
    <w:rsid w:val="00975CDD"/>
    <w:rsid w:val="0097752F"/>
    <w:rsid w:val="0098011C"/>
    <w:rsid w:val="00980302"/>
    <w:rsid w:val="0098042F"/>
    <w:rsid w:val="00980E51"/>
    <w:rsid w:val="009810D6"/>
    <w:rsid w:val="009837C8"/>
    <w:rsid w:val="0098384A"/>
    <w:rsid w:val="009841A7"/>
    <w:rsid w:val="009844DE"/>
    <w:rsid w:val="00986899"/>
    <w:rsid w:val="009879D1"/>
    <w:rsid w:val="009910CB"/>
    <w:rsid w:val="0099258B"/>
    <w:rsid w:val="0099262B"/>
    <w:rsid w:val="0099291C"/>
    <w:rsid w:val="00994786"/>
    <w:rsid w:val="00995762"/>
    <w:rsid w:val="00995AF9"/>
    <w:rsid w:val="00995E2E"/>
    <w:rsid w:val="009A1266"/>
    <w:rsid w:val="009A188D"/>
    <w:rsid w:val="009A36F0"/>
    <w:rsid w:val="009A668A"/>
    <w:rsid w:val="009A6948"/>
    <w:rsid w:val="009A6F65"/>
    <w:rsid w:val="009B0CE9"/>
    <w:rsid w:val="009B2139"/>
    <w:rsid w:val="009B2BF0"/>
    <w:rsid w:val="009C0D2D"/>
    <w:rsid w:val="009C0F6D"/>
    <w:rsid w:val="009C2378"/>
    <w:rsid w:val="009C671B"/>
    <w:rsid w:val="009C6A6E"/>
    <w:rsid w:val="009D2CC7"/>
    <w:rsid w:val="009D45A1"/>
    <w:rsid w:val="009D594A"/>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D09"/>
    <w:rsid w:val="00A243DD"/>
    <w:rsid w:val="00A258E7"/>
    <w:rsid w:val="00A25AF8"/>
    <w:rsid w:val="00A2703A"/>
    <w:rsid w:val="00A276C1"/>
    <w:rsid w:val="00A321F9"/>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3DF"/>
    <w:rsid w:val="00A80549"/>
    <w:rsid w:val="00A811D1"/>
    <w:rsid w:val="00A82BDF"/>
    <w:rsid w:val="00A84ADF"/>
    <w:rsid w:val="00A8570C"/>
    <w:rsid w:val="00A85C8E"/>
    <w:rsid w:val="00A87DD5"/>
    <w:rsid w:val="00A932C2"/>
    <w:rsid w:val="00AA08D1"/>
    <w:rsid w:val="00AA1D3A"/>
    <w:rsid w:val="00AA4183"/>
    <w:rsid w:val="00AA5FA2"/>
    <w:rsid w:val="00AA69C4"/>
    <w:rsid w:val="00AB0471"/>
    <w:rsid w:val="00AB4FFF"/>
    <w:rsid w:val="00AB5374"/>
    <w:rsid w:val="00AB5720"/>
    <w:rsid w:val="00AB5B95"/>
    <w:rsid w:val="00AC07AB"/>
    <w:rsid w:val="00AC0CC6"/>
    <w:rsid w:val="00AC2457"/>
    <w:rsid w:val="00AC52FD"/>
    <w:rsid w:val="00AC5EB7"/>
    <w:rsid w:val="00AC7D8B"/>
    <w:rsid w:val="00AD18A8"/>
    <w:rsid w:val="00AD1FAF"/>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197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297C"/>
    <w:rsid w:val="00B544CE"/>
    <w:rsid w:val="00B55691"/>
    <w:rsid w:val="00B57F0F"/>
    <w:rsid w:val="00B64819"/>
    <w:rsid w:val="00B66741"/>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6C1"/>
    <w:rsid w:val="00BA2AD8"/>
    <w:rsid w:val="00BA4318"/>
    <w:rsid w:val="00BA5E0F"/>
    <w:rsid w:val="00BB1C9F"/>
    <w:rsid w:val="00BB1F2A"/>
    <w:rsid w:val="00BB2DE8"/>
    <w:rsid w:val="00BB2ECC"/>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521"/>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6BF"/>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FE3"/>
    <w:rsid w:val="00D03965"/>
    <w:rsid w:val="00D04FDA"/>
    <w:rsid w:val="00D05999"/>
    <w:rsid w:val="00D05EFB"/>
    <w:rsid w:val="00D06D84"/>
    <w:rsid w:val="00D10BF5"/>
    <w:rsid w:val="00D126D0"/>
    <w:rsid w:val="00D15459"/>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436"/>
    <w:rsid w:val="00D54DB2"/>
    <w:rsid w:val="00D551DF"/>
    <w:rsid w:val="00D5628F"/>
    <w:rsid w:val="00D60A89"/>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50E"/>
    <w:rsid w:val="00DC2B00"/>
    <w:rsid w:val="00DC55AB"/>
    <w:rsid w:val="00DC561A"/>
    <w:rsid w:val="00DC6291"/>
    <w:rsid w:val="00DC7B8F"/>
    <w:rsid w:val="00DD040F"/>
    <w:rsid w:val="00DD07AD"/>
    <w:rsid w:val="00DD54E8"/>
    <w:rsid w:val="00DD653E"/>
    <w:rsid w:val="00DD6AE6"/>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3761"/>
    <w:rsid w:val="00E14903"/>
    <w:rsid w:val="00E15C25"/>
    <w:rsid w:val="00E160B4"/>
    <w:rsid w:val="00E1678F"/>
    <w:rsid w:val="00E176DD"/>
    <w:rsid w:val="00E20A9D"/>
    <w:rsid w:val="00E2113C"/>
    <w:rsid w:val="00E24A13"/>
    <w:rsid w:val="00E25F5C"/>
    <w:rsid w:val="00E269A5"/>
    <w:rsid w:val="00E26C29"/>
    <w:rsid w:val="00E2742E"/>
    <w:rsid w:val="00E27C73"/>
    <w:rsid w:val="00E32F38"/>
    <w:rsid w:val="00E339CA"/>
    <w:rsid w:val="00E33EFC"/>
    <w:rsid w:val="00E35CA2"/>
    <w:rsid w:val="00E363EF"/>
    <w:rsid w:val="00E36B59"/>
    <w:rsid w:val="00E37749"/>
    <w:rsid w:val="00E43EF0"/>
    <w:rsid w:val="00E44B36"/>
    <w:rsid w:val="00E44E47"/>
    <w:rsid w:val="00E4563A"/>
    <w:rsid w:val="00E504B7"/>
    <w:rsid w:val="00E51216"/>
    <w:rsid w:val="00E51DB4"/>
    <w:rsid w:val="00E52F21"/>
    <w:rsid w:val="00E54F77"/>
    <w:rsid w:val="00E57371"/>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CFB"/>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2957"/>
    <w:rsid w:val="00F161BC"/>
    <w:rsid w:val="00F179CF"/>
    <w:rsid w:val="00F20B45"/>
    <w:rsid w:val="00F21406"/>
    <w:rsid w:val="00F22C00"/>
    <w:rsid w:val="00F23F7F"/>
    <w:rsid w:val="00F24103"/>
    <w:rsid w:val="00F26EF7"/>
    <w:rsid w:val="00F27C39"/>
    <w:rsid w:val="00F30214"/>
    <w:rsid w:val="00F30877"/>
    <w:rsid w:val="00F31E49"/>
    <w:rsid w:val="00F338BD"/>
    <w:rsid w:val="00F35B0F"/>
    <w:rsid w:val="00F35C7F"/>
    <w:rsid w:val="00F371DE"/>
    <w:rsid w:val="00F372FE"/>
    <w:rsid w:val="00F3793D"/>
    <w:rsid w:val="00F42DD6"/>
    <w:rsid w:val="00F44D29"/>
    <w:rsid w:val="00F5034E"/>
    <w:rsid w:val="00F510A4"/>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6CD"/>
    <w:rsid w:val="00FC78C6"/>
    <w:rsid w:val="00FC7DFE"/>
    <w:rsid w:val="00FD20FF"/>
    <w:rsid w:val="00FD516A"/>
    <w:rsid w:val="00FD7124"/>
    <w:rsid w:val="00FE00F1"/>
    <w:rsid w:val="00FE1113"/>
    <w:rsid w:val="00FE231A"/>
    <w:rsid w:val="00FE2BC1"/>
    <w:rsid w:val="00FE462B"/>
    <w:rsid w:val="00FE4638"/>
    <w:rsid w:val="00FE558B"/>
    <w:rsid w:val="00FE5D21"/>
    <w:rsid w:val="00FE5DAB"/>
    <w:rsid w:val="00FF1627"/>
    <w:rsid w:val="00FF1E47"/>
    <w:rsid w:val="00FF26A7"/>
    <w:rsid w:val="00FF272C"/>
    <w:rsid w:val="00FF3489"/>
    <w:rsid w:val="00FF3B17"/>
    <w:rsid w:val="00FF489E"/>
    <w:rsid w:val="00FF6007"/>
    <w:rsid w:val="00FF68E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9C"/>
    <w:pPr>
      <w:spacing w:line="360" w:lineRule="auto"/>
      <w:jc w:val="both"/>
    </w:pPr>
    <w:rPr>
      <w:sz w:val="24"/>
      <w:szCs w:val="24"/>
      <w:lang w:eastAsia="en-US"/>
    </w:rPr>
  </w:style>
  <w:style w:type="paragraph" w:styleId="Heading1">
    <w:name w:val="heading 1"/>
    <w:basedOn w:val="Normal"/>
    <w:next w:val="ParaNumbering"/>
    <w:link w:val="Heading1Char"/>
    <w:uiPriority w:val="99"/>
    <w:qFormat/>
    <w:rsid w:val="00433E9C"/>
    <w:pPr>
      <w:keepNext/>
      <w:spacing w:before="240" w:after="60" w:line="240" w:lineRule="auto"/>
      <w:outlineLvl w:val="0"/>
    </w:pPr>
    <w:rPr>
      <w:b/>
      <w:bCs/>
      <w:caps/>
      <w:kern w:val="28"/>
    </w:rPr>
  </w:style>
  <w:style w:type="paragraph" w:styleId="Heading2">
    <w:name w:val="heading 2"/>
    <w:basedOn w:val="Normal"/>
    <w:next w:val="ParaNumbering"/>
    <w:link w:val="Heading2Char"/>
    <w:uiPriority w:val="99"/>
    <w:qFormat/>
    <w:rsid w:val="00433E9C"/>
    <w:pPr>
      <w:keepNext/>
      <w:spacing w:before="240" w:after="60" w:line="240" w:lineRule="auto"/>
      <w:outlineLvl w:val="1"/>
    </w:pPr>
    <w:rPr>
      <w:b/>
      <w:bCs/>
    </w:rPr>
  </w:style>
  <w:style w:type="paragraph" w:styleId="Heading3">
    <w:name w:val="heading 3"/>
    <w:basedOn w:val="Normal"/>
    <w:next w:val="ParaNumbering"/>
    <w:link w:val="Heading3Char"/>
    <w:uiPriority w:val="99"/>
    <w:qFormat/>
    <w:rsid w:val="00433E9C"/>
    <w:pPr>
      <w:keepNext/>
      <w:spacing w:before="240" w:after="60" w:line="240" w:lineRule="auto"/>
      <w:outlineLvl w:val="2"/>
    </w:pPr>
    <w:rPr>
      <w:b/>
      <w:bCs/>
      <w:i/>
      <w:iCs/>
    </w:rPr>
  </w:style>
  <w:style w:type="paragraph" w:styleId="Heading4">
    <w:name w:val="heading 4"/>
    <w:basedOn w:val="Normal"/>
    <w:next w:val="ParaNumbering"/>
    <w:link w:val="Heading4Char"/>
    <w:uiPriority w:val="99"/>
    <w:qFormat/>
    <w:rsid w:val="00433E9C"/>
    <w:pPr>
      <w:keepNext/>
      <w:spacing w:before="240" w:after="60" w:line="240" w:lineRule="auto"/>
      <w:jc w:val="left"/>
      <w:outlineLvl w:val="3"/>
    </w:pPr>
    <w:rPr>
      <w:b/>
      <w:bCs/>
      <w:smallCaps/>
    </w:rPr>
  </w:style>
  <w:style w:type="paragraph" w:styleId="Heading5">
    <w:name w:val="heading 5"/>
    <w:basedOn w:val="fcHeading1"/>
    <w:next w:val="ParaNumbering"/>
    <w:link w:val="Heading5Char"/>
    <w:uiPriority w:val="99"/>
    <w:qFormat/>
    <w:rsid w:val="00433E9C"/>
    <w:pPr>
      <w:outlineLvl w:val="4"/>
    </w:pPr>
  </w:style>
  <w:style w:type="paragraph" w:styleId="Heading6">
    <w:name w:val="heading 6"/>
    <w:basedOn w:val="fcHeading2"/>
    <w:next w:val="ParaNumbering"/>
    <w:link w:val="Heading6Char"/>
    <w:uiPriority w:val="99"/>
    <w:qFormat/>
    <w:rsid w:val="00433E9C"/>
    <w:pPr>
      <w:outlineLvl w:val="5"/>
    </w:pPr>
  </w:style>
  <w:style w:type="paragraph" w:styleId="Heading7">
    <w:name w:val="heading 7"/>
    <w:basedOn w:val="fcHeading3"/>
    <w:next w:val="ParaNumbering"/>
    <w:link w:val="Heading7Char"/>
    <w:uiPriority w:val="99"/>
    <w:qFormat/>
    <w:rsid w:val="00433E9C"/>
    <w:pPr>
      <w:outlineLvl w:val="6"/>
    </w:pPr>
  </w:style>
  <w:style w:type="paragraph" w:styleId="Heading8">
    <w:name w:val="heading 8"/>
    <w:basedOn w:val="fcHeading4"/>
    <w:next w:val="ParaNumbering"/>
    <w:link w:val="Heading8Char"/>
    <w:uiPriority w:val="99"/>
    <w:qFormat/>
    <w:rsid w:val="00433E9C"/>
    <w:pPr>
      <w:outlineLvl w:val="7"/>
    </w:pPr>
  </w:style>
  <w:style w:type="paragraph" w:styleId="Heading9">
    <w:name w:val="heading 9"/>
    <w:basedOn w:val="fcHeading5"/>
    <w:next w:val="ParaNumbering"/>
    <w:link w:val="Heading9Char"/>
    <w:uiPriority w:val="99"/>
    <w:qFormat/>
    <w:rsid w:val="00433E9C"/>
    <w:pPr>
      <w:outlineLvl w:val="8"/>
    </w:pPr>
    <w:rPr>
      <w:i/>
      <w:iCs/>
      <w:caps w:val="0"/>
      <w:smallCaps/>
    </w:rPr>
  </w:style>
  <w:style w:type="character" w:default="1" w:styleId="DefaultParagraphFont">
    <w:name w:val="Default Paragraph Font"/>
    <w:uiPriority w:val="99"/>
    <w:rsid w:val="00433E9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4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1124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1124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1124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1124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1124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1124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1124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11241"/>
    <w:rPr>
      <w:rFonts w:asciiTheme="majorHAnsi" w:eastAsiaTheme="majorEastAsia" w:hAnsiTheme="majorHAnsi" w:cstheme="majorBidi"/>
      <w:lang w:eastAsia="en-US"/>
    </w:rPr>
  </w:style>
  <w:style w:type="paragraph" w:customStyle="1" w:styleId="OrdersPage">
    <w:name w:val="OrdersPage"/>
    <w:basedOn w:val="Normal"/>
    <w:uiPriority w:val="99"/>
    <w:semiHidden/>
    <w:rsid w:val="00433E9C"/>
    <w:pPr>
      <w:spacing w:line="240" w:lineRule="auto"/>
    </w:pPr>
  </w:style>
  <w:style w:type="paragraph" w:styleId="Header">
    <w:name w:val="header"/>
    <w:basedOn w:val="Normal"/>
    <w:link w:val="HeaderChar"/>
    <w:uiPriority w:val="99"/>
    <w:semiHidden/>
    <w:rsid w:val="00433E9C"/>
    <w:pPr>
      <w:tabs>
        <w:tab w:val="center" w:pos="4320"/>
        <w:tab w:val="right" w:pos="8640"/>
      </w:tabs>
    </w:pPr>
  </w:style>
  <w:style w:type="character" w:customStyle="1" w:styleId="HeaderChar">
    <w:name w:val="Header Char"/>
    <w:basedOn w:val="DefaultParagraphFont"/>
    <w:link w:val="Header"/>
    <w:uiPriority w:val="99"/>
    <w:semiHidden/>
    <w:rsid w:val="00C11241"/>
    <w:rPr>
      <w:sz w:val="24"/>
      <w:szCs w:val="24"/>
      <w:lang w:eastAsia="en-US"/>
    </w:rPr>
  </w:style>
  <w:style w:type="paragraph" w:styleId="Footer">
    <w:name w:val="footer"/>
    <w:basedOn w:val="Normal"/>
    <w:link w:val="FooterChar"/>
    <w:uiPriority w:val="99"/>
    <w:semiHidden/>
    <w:rsid w:val="00433E9C"/>
    <w:pPr>
      <w:tabs>
        <w:tab w:val="center" w:pos="4320"/>
        <w:tab w:val="right" w:pos="8640"/>
      </w:tabs>
    </w:pPr>
  </w:style>
  <w:style w:type="character" w:customStyle="1" w:styleId="FooterChar">
    <w:name w:val="Footer Char"/>
    <w:basedOn w:val="DefaultParagraphFont"/>
    <w:link w:val="Footer"/>
    <w:uiPriority w:val="99"/>
    <w:semiHidden/>
    <w:rsid w:val="00C11241"/>
    <w:rPr>
      <w:sz w:val="24"/>
      <w:szCs w:val="24"/>
      <w:lang w:eastAsia="en-US"/>
    </w:rPr>
  </w:style>
  <w:style w:type="paragraph" w:customStyle="1" w:styleId="ParaNumbering">
    <w:name w:val="ParaNumbering"/>
    <w:basedOn w:val="Normal"/>
    <w:uiPriority w:val="99"/>
    <w:rsid w:val="00433E9C"/>
    <w:pPr>
      <w:numPr>
        <w:numId w:val="11"/>
      </w:numPr>
      <w:spacing w:before="180" w:after="180"/>
    </w:pPr>
  </w:style>
  <w:style w:type="paragraph" w:customStyle="1" w:styleId="Quote1">
    <w:name w:val="Quote1"/>
    <w:uiPriority w:val="99"/>
    <w:rsid w:val="00433E9C"/>
    <w:pPr>
      <w:widowControl w:val="0"/>
      <w:ind w:left="737" w:right="737"/>
      <w:jc w:val="both"/>
    </w:pPr>
    <w:rPr>
      <w:lang w:eastAsia="en-US"/>
    </w:rPr>
  </w:style>
  <w:style w:type="paragraph" w:customStyle="1" w:styleId="NormalHeadings">
    <w:name w:val="Normal Headings"/>
    <w:uiPriority w:val="99"/>
    <w:semiHidden/>
    <w:rsid w:val="00433E9C"/>
    <w:pPr>
      <w:widowControl w:val="0"/>
      <w:jc w:val="both"/>
    </w:pPr>
    <w:rPr>
      <w:b/>
      <w:bCs/>
      <w:sz w:val="24"/>
      <w:szCs w:val="24"/>
      <w:lang w:eastAsia="en-US"/>
    </w:rPr>
  </w:style>
  <w:style w:type="table" w:styleId="TableGrid">
    <w:name w:val="Table Grid"/>
    <w:basedOn w:val="TableNormal"/>
    <w:uiPriority w:val="99"/>
    <w:semiHidden/>
    <w:rsid w:val="00433E9C"/>
    <w:pPr>
      <w:widowControl w:val="0"/>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433E9C"/>
    <w:pPr>
      <w:spacing w:before="20" w:after="20"/>
      <w:jc w:val="center"/>
    </w:pPr>
    <w:rPr>
      <w:b/>
      <w:bCs/>
      <w:sz w:val="26"/>
      <w:szCs w:val="26"/>
    </w:rPr>
  </w:style>
  <w:style w:type="paragraph" w:customStyle="1" w:styleId="Normal1linespace">
    <w:name w:val="Normal1linespace"/>
    <w:basedOn w:val="Normal"/>
    <w:uiPriority w:val="99"/>
    <w:semiHidden/>
    <w:rsid w:val="00433E9C"/>
    <w:pPr>
      <w:spacing w:line="240" w:lineRule="auto"/>
    </w:pPr>
  </w:style>
  <w:style w:type="paragraph" w:styleId="BalloonText">
    <w:name w:val="Balloon Text"/>
    <w:basedOn w:val="Normal"/>
    <w:link w:val="BalloonTextChar"/>
    <w:uiPriority w:val="99"/>
    <w:semiHidden/>
    <w:rsid w:val="00433E9C"/>
    <w:rPr>
      <w:rFonts w:ascii="Tahoma" w:hAnsi="Tahoma" w:cs="Tahoma"/>
      <w:sz w:val="16"/>
      <w:szCs w:val="16"/>
    </w:rPr>
  </w:style>
  <w:style w:type="character" w:customStyle="1" w:styleId="BalloonTextChar">
    <w:name w:val="Balloon Text Char"/>
    <w:basedOn w:val="DefaultParagraphFont"/>
    <w:link w:val="BalloonText"/>
    <w:uiPriority w:val="99"/>
    <w:semiHidden/>
    <w:rsid w:val="00C11241"/>
    <w:rPr>
      <w:sz w:val="0"/>
      <w:szCs w:val="0"/>
      <w:lang w:eastAsia="en-US"/>
    </w:rPr>
  </w:style>
  <w:style w:type="paragraph" w:customStyle="1" w:styleId="StyleBold">
    <w:name w:val="Style Bold"/>
    <w:basedOn w:val="Normal"/>
    <w:next w:val="Normal"/>
    <w:uiPriority w:val="99"/>
    <w:semiHidden/>
    <w:rsid w:val="00433E9C"/>
  </w:style>
  <w:style w:type="paragraph" w:customStyle="1" w:styleId="Bold">
    <w:name w:val="Bold"/>
    <w:basedOn w:val="Normal"/>
    <w:next w:val="Normal"/>
    <w:uiPriority w:val="99"/>
    <w:semiHidden/>
    <w:rsid w:val="00433E9C"/>
    <w:pPr>
      <w:suppressAutoHyphens/>
      <w:jc w:val="left"/>
    </w:pPr>
    <w:rPr>
      <w:b/>
      <w:bCs/>
    </w:rPr>
  </w:style>
  <w:style w:type="paragraph" w:customStyle="1" w:styleId="Certify">
    <w:name w:val="Certify"/>
    <w:basedOn w:val="Normal"/>
    <w:link w:val="CertifyChar"/>
    <w:uiPriority w:val="99"/>
    <w:semiHidden/>
    <w:rsid w:val="00433E9C"/>
    <w:pPr>
      <w:spacing w:line="240" w:lineRule="auto"/>
    </w:pPr>
  </w:style>
  <w:style w:type="character" w:styleId="CommentReference">
    <w:name w:val="annotation reference"/>
    <w:basedOn w:val="DefaultParagraphFont"/>
    <w:uiPriority w:val="99"/>
    <w:semiHidden/>
    <w:rsid w:val="00433E9C"/>
    <w:rPr>
      <w:sz w:val="16"/>
      <w:szCs w:val="16"/>
    </w:rPr>
  </w:style>
  <w:style w:type="paragraph" w:styleId="CommentText">
    <w:name w:val="annotation text"/>
    <w:basedOn w:val="Normal"/>
    <w:link w:val="CommentTextChar"/>
    <w:uiPriority w:val="99"/>
    <w:semiHidden/>
    <w:rsid w:val="00433E9C"/>
    <w:rPr>
      <w:sz w:val="20"/>
      <w:szCs w:val="20"/>
    </w:rPr>
  </w:style>
  <w:style w:type="character" w:customStyle="1" w:styleId="CommentTextChar">
    <w:name w:val="Comment Text Char"/>
    <w:basedOn w:val="DefaultParagraphFont"/>
    <w:link w:val="CommentText"/>
    <w:uiPriority w:val="99"/>
    <w:semiHidden/>
    <w:rsid w:val="00C11241"/>
    <w:rPr>
      <w:sz w:val="20"/>
      <w:szCs w:val="20"/>
      <w:lang w:eastAsia="en-US"/>
    </w:rPr>
  </w:style>
  <w:style w:type="paragraph" w:styleId="CommentSubject">
    <w:name w:val="annotation subject"/>
    <w:basedOn w:val="CommentText"/>
    <w:next w:val="CommentText"/>
    <w:link w:val="CommentSubjectChar"/>
    <w:uiPriority w:val="99"/>
    <w:semiHidden/>
    <w:rsid w:val="00433E9C"/>
    <w:rPr>
      <w:b/>
      <w:bCs/>
    </w:rPr>
  </w:style>
  <w:style w:type="character" w:customStyle="1" w:styleId="CommentSubjectChar">
    <w:name w:val="Comment Subject Char"/>
    <w:basedOn w:val="CommentTextChar"/>
    <w:link w:val="CommentSubject"/>
    <w:uiPriority w:val="99"/>
    <w:semiHidden/>
    <w:rsid w:val="00C11241"/>
    <w:rPr>
      <w:b/>
      <w:bCs/>
    </w:rPr>
  </w:style>
  <w:style w:type="paragraph" w:customStyle="1" w:styleId="FCBullets">
    <w:name w:val="FCBullets"/>
    <w:basedOn w:val="Normal"/>
    <w:uiPriority w:val="99"/>
    <w:rsid w:val="00433E9C"/>
    <w:pPr>
      <w:spacing w:before="60" w:after="60"/>
    </w:pPr>
  </w:style>
  <w:style w:type="paragraph" w:customStyle="1" w:styleId="JudgeStyle">
    <w:name w:val="JudgeStyle"/>
    <w:basedOn w:val="Heading1"/>
    <w:next w:val="ParaNumbering"/>
    <w:uiPriority w:val="99"/>
    <w:semiHidden/>
    <w:rsid w:val="00433E9C"/>
  </w:style>
  <w:style w:type="paragraph" w:styleId="TOC1">
    <w:name w:val="toc 1"/>
    <w:basedOn w:val="Normal"/>
    <w:next w:val="Normal"/>
    <w:autoRedefine/>
    <w:uiPriority w:val="99"/>
    <w:semiHidden/>
    <w:rsid w:val="00433E9C"/>
    <w:pPr>
      <w:tabs>
        <w:tab w:val="right" w:leader="dot" w:pos="9071"/>
      </w:tabs>
    </w:pPr>
  </w:style>
  <w:style w:type="paragraph" w:styleId="TOC2">
    <w:name w:val="toc 2"/>
    <w:basedOn w:val="Normal"/>
    <w:next w:val="Normal"/>
    <w:autoRedefine/>
    <w:uiPriority w:val="99"/>
    <w:semiHidden/>
    <w:rsid w:val="00433E9C"/>
    <w:pPr>
      <w:tabs>
        <w:tab w:val="right" w:leader="dot" w:pos="9071"/>
      </w:tabs>
      <w:ind w:left="240"/>
    </w:pPr>
  </w:style>
  <w:style w:type="paragraph" w:styleId="TOC3">
    <w:name w:val="toc 3"/>
    <w:basedOn w:val="Normal"/>
    <w:next w:val="Normal"/>
    <w:autoRedefine/>
    <w:uiPriority w:val="99"/>
    <w:semiHidden/>
    <w:rsid w:val="00433E9C"/>
    <w:pPr>
      <w:tabs>
        <w:tab w:val="right" w:leader="dot" w:pos="9071"/>
      </w:tabs>
      <w:ind w:left="480"/>
    </w:pPr>
  </w:style>
  <w:style w:type="paragraph" w:styleId="TOC4">
    <w:name w:val="toc 4"/>
    <w:basedOn w:val="Normal"/>
    <w:next w:val="Normal"/>
    <w:autoRedefine/>
    <w:uiPriority w:val="99"/>
    <w:semiHidden/>
    <w:rsid w:val="00433E9C"/>
    <w:pPr>
      <w:tabs>
        <w:tab w:val="right" w:leader="dot" w:pos="9071"/>
      </w:tabs>
      <w:ind w:left="720"/>
    </w:pPr>
  </w:style>
  <w:style w:type="paragraph" w:customStyle="1" w:styleId="NoNum">
    <w:name w:val="No Num"/>
    <w:basedOn w:val="Normal1linespace"/>
    <w:uiPriority w:val="99"/>
    <w:rsid w:val="00433E9C"/>
    <w:pPr>
      <w:spacing w:before="120" w:after="180" w:line="360" w:lineRule="auto"/>
    </w:pPr>
  </w:style>
  <w:style w:type="paragraph" w:customStyle="1" w:styleId="AppealTable">
    <w:name w:val="AppealTable"/>
    <w:basedOn w:val="Normal"/>
    <w:uiPriority w:val="99"/>
    <w:rsid w:val="00433E9C"/>
    <w:pPr>
      <w:spacing w:line="240" w:lineRule="auto"/>
      <w:jc w:val="left"/>
    </w:pPr>
    <w:rPr>
      <w:b/>
      <w:bCs/>
      <w:caps/>
      <w:sz w:val="22"/>
      <w:szCs w:val="22"/>
    </w:rPr>
  </w:style>
  <w:style w:type="paragraph" w:customStyle="1" w:styleId="Quote3">
    <w:name w:val="Quote3"/>
    <w:basedOn w:val="Quote1"/>
    <w:uiPriority w:val="99"/>
    <w:rsid w:val="00433E9C"/>
    <w:pPr>
      <w:ind w:left="2160"/>
    </w:pPr>
  </w:style>
  <w:style w:type="paragraph" w:customStyle="1" w:styleId="Quote2">
    <w:name w:val="Quote2"/>
    <w:basedOn w:val="Quote1"/>
    <w:uiPriority w:val="99"/>
    <w:rsid w:val="00433E9C"/>
    <w:pPr>
      <w:ind w:left="1440"/>
    </w:pPr>
  </w:style>
  <w:style w:type="paragraph" w:customStyle="1" w:styleId="FTOC1">
    <w:name w:val="FTOC 1"/>
    <w:basedOn w:val="Normal"/>
    <w:uiPriority w:val="99"/>
    <w:semiHidden/>
    <w:rsid w:val="00433E9C"/>
    <w:pPr>
      <w:tabs>
        <w:tab w:val="right" w:leader="dot" w:pos="9072"/>
      </w:tabs>
      <w:spacing w:before="120" w:after="60" w:line="240" w:lineRule="auto"/>
    </w:pPr>
    <w:rPr>
      <w:b/>
      <w:bCs/>
      <w:caps/>
      <w:kern w:val="28"/>
    </w:rPr>
  </w:style>
  <w:style w:type="paragraph" w:customStyle="1" w:styleId="ListNo">
    <w:name w:val="List No"/>
    <w:basedOn w:val="Normal"/>
    <w:uiPriority w:val="99"/>
    <w:rsid w:val="00433E9C"/>
    <w:pPr>
      <w:spacing w:before="60" w:after="60"/>
    </w:pPr>
  </w:style>
  <w:style w:type="paragraph" w:customStyle="1" w:styleId="FTOC2">
    <w:name w:val="FTOC 2"/>
    <w:basedOn w:val="Normal"/>
    <w:uiPriority w:val="99"/>
    <w:semiHidden/>
    <w:rsid w:val="00433E9C"/>
    <w:pPr>
      <w:tabs>
        <w:tab w:val="right" w:leader="dot" w:pos="9072"/>
      </w:tabs>
      <w:spacing w:before="120" w:after="60" w:line="240" w:lineRule="auto"/>
      <w:ind w:left="238"/>
    </w:pPr>
    <w:rPr>
      <w:b/>
      <w:bCs/>
    </w:rPr>
  </w:style>
  <w:style w:type="paragraph" w:customStyle="1" w:styleId="FTOC3">
    <w:name w:val="FTOC 3"/>
    <w:basedOn w:val="Normal"/>
    <w:uiPriority w:val="99"/>
    <w:semiHidden/>
    <w:rsid w:val="00433E9C"/>
    <w:pPr>
      <w:tabs>
        <w:tab w:val="right" w:leader="dot" w:pos="9072"/>
      </w:tabs>
      <w:spacing w:before="120" w:after="60" w:line="240" w:lineRule="auto"/>
      <w:ind w:left="482"/>
    </w:pPr>
    <w:rPr>
      <w:b/>
      <w:bCs/>
      <w:i/>
      <w:iCs/>
    </w:rPr>
  </w:style>
  <w:style w:type="paragraph" w:customStyle="1" w:styleId="FTOC4">
    <w:name w:val="FTOC 4"/>
    <w:basedOn w:val="Normal"/>
    <w:uiPriority w:val="99"/>
    <w:semiHidden/>
    <w:rsid w:val="00433E9C"/>
    <w:pPr>
      <w:tabs>
        <w:tab w:val="right" w:leader="dot" w:pos="9072"/>
      </w:tabs>
      <w:spacing w:before="120" w:after="60" w:line="240" w:lineRule="auto"/>
      <w:ind w:left="720"/>
    </w:pPr>
    <w:rPr>
      <w:b/>
      <w:bCs/>
      <w:smallCaps/>
    </w:rPr>
  </w:style>
  <w:style w:type="character" w:customStyle="1" w:styleId="ListNumberChar">
    <w:name w:val="List Number Char"/>
    <w:basedOn w:val="DefaultParagraphFont"/>
    <w:link w:val="ListNumber"/>
    <w:uiPriority w:val="99"/>
    <w:semiHidden/>
    <w:locked/>
    <w:rsid w:val="007D4A47"/>
    <w:rPr>
      <w:sz w:val="24"/>
      <w:szCs w:val="24"/>
      <w:lang w:eastAsia="en-US"/>
    </w:rPr>
  </w:style>
  <w:style w:type="paragraph" w:styleId="TOC5">
    <w:name w:val="toc 5"/>
    <w:basedOn w:val="Normal"/>
    <w:next w:val="Normal"/>
    <w:autoRedefine/>
    <w:uiPriority w:val="99"/>
    <w:semiHidden/>
    <w:rsid w:val="00433E9C"/>
    <w:pPr>
      <w:tabs>
        <w:tab w:val="right" w:leader="dot" w:pos="9072"/>
      </w:tabs>
      <w:ind w:left="960"/>
    </w:pPr>
  </w:style>
  <w:style w:type="paragraph" w:styleId="BlockText">
    <w:name w:val="Block Text"/>
    <w:basedOn w:val="Normal"/>
    <w:uiPriority w:val="99"/>
    <w:semiHidden/>
    <w:rsid w:val="00433E9C"/>
    <w:pPr>
      <w:spacing w:after="120"/>
      <w:ind w:left="1440" w:right="1440"/>
    </w:pPr>
  </w:style>
  <w:style w:type="paragraph" w:styleId="BodyText">
    <w:name w:val="Body Text"/>
    <w:basedOn w:val="Normal"/>
    <w:link w:val="BodyTextChar"/>
    <w:uiPriority w:val="99"/>
    <w:semiHidden/>
    <w:rsid w:val="00433E9C"/>
    <w:pPr>
      <w:spacing w:after="120"/>
    </w:pPr>
  </w:style>
  <w:style w:type="character" w:customStyle="1" w:styleId="BodyTextChar">
    <w:name w:val="Body Text Char"/>
    <w:basedOn w:val="DefaultParagraphFont"/>
    <w:link w:val="BodyText"/>
    <w:uiPriority w:val="99"/>
    <w:semiHidden/>
    <w:rsid w:val="00C11241"/>
    <w:rPr>
      <w:sz w:val="24"/>
      <w:szCs w:val="24"/>
      <w:lang w:eastAsia="en-US"/>
    </w:rPr>
  </w:style>
  <w:style w:type="paragraph" w:styleId="BodyText2">
    <w:name w:val="Body Text 2"/>
    <w:basedOn w:val="Normal"/>
    <w:link w:val="BodyText2Char"/>
    <w:uiPriority w:val="99"/>
    <w:semiHidden/>
    <w:rsid w:val="00433E9C"/>
    <w:pPr>
      <w:spacing w:after="120" w:line="480" w:lineRule="auto"/>
    </w:pPr>
  </w:style>
  <w:style w:type="character" w:customStyle="1" w:styleId="BodyText2Char">
    <w:name w:val="Body Text 2 Char"/>
    <w:basedOn w:val="DefaultParagraphFont"/>
    <w:link w:val="BodyText2"/>
    <w:uiPriority w:val="99"/>
    <w:semiHidden/>
    <w:rsid w:val="00C11241"/>
    <w:rPr>
      <w:sz w:val="24"/>
      <w:szCs w:val="24"/>
      <w:lang w:eastAsia="en-US"/>
    </w:rPr>
  </w:style>
  <w:style w:type="paragraph" w:styleId="BodyText3">
    <w:name w:val="Body Text 3"/>
    <w:basedOn w:val="Normal"/>
    <w:link w:val="BodyText3Char"/>
    <w:uiPriority w:val="99"/>
    <w:semiHidden/>
    <w:rsid w:val="00433E9C"/>
    <w:pPr>
      <w:spacing w:after="120"/>
    </w:pPr>
    <w:rPr>
      <w:sz w:val="16"/>
      <w:szCs w:val="16"/>
    </w:rPr>
  </w:style>
  <w:style w:type="character" w:customStyle="1" w:styleId="BodyText3Char">
    <w:name w:val="Body Text 3 Char"/>
    <w:basedOn w:val="DefaultParagraphFont"/>
    <w:link w:val="BodyText3"/>
    <w:uiPriority w:val="99"/>
    <w:semiHidden/>
    <w:rsid w:val="00C11241"/>
    <w:rPr>
      <w:sz w:val="16"/>
      <w:szCs w:val="16"/>
      <w:lang w:eastAsia="en-US"/>
    </w:rPr>
  </w:style>
  <w:style w:type="paragraph" w:styleId="BodyTextFirstIndent">
    <w:name w:val="Body Text First Indent"/>
    <w:basedOn w:val="BodyText"/>
    <w:link w:val="BodyTextFirstIndentChar"/>
    <w:uiPriority w:val="99"/>
    <w:semiHidden/>
    <w:rsid w:val="00433E9C"/>
    <w:pPr>
      <w:ind w:firstLine="210"/>
    </w:pPr>
  </w:style>
  <w:style w:type="character" w:customStyle="1" w:styleId="BodyTextFirstIndentChar">
    <w:name w:val="Body Text First Indent Char"/>
    <w:basedOn w:val="BodyTextChar"/>
    <w:link w:val="BodyTextFirstIndent"/>
    <w:uiPriority w:val="99"/>
    <w:semiHidden/>
    <w:rsid w:val="00C11241"/>
  </w:style>
  <w:style w:type="paragraph" w:styleId="BodyTextIndent">
    <w:name w:val="Body Text Indent"/>
    <w:basedOn w:val="Normal"/>
    <w:link w:val="BodyTextIndentChar"/>
    <w:uiPriority w:val="99"/>
    <w:semiHidden/>
    <w:rsid w:val="00433E9C"/>
    <w:pPr>
      <w:spacing w:after="120"/>
      <w:ind w:left="283"/>
    </w:pPr>
  </w:style>
  <w:style w:type="character" w:customStyle="1" w:styleId="BodyTextIndentChar">
    <w:name w:val="Body Text Indent Char"/>
    <w:basedOn w:val="DefaultParagraphFont"/>
    <w:link w:val="BodyTextIndent"/>
    <w:uiPriority w:val="99"/>
    <w:semiHidden/>
    <w:rsid w:val="00C11241"/>
    <w:rPr>
      <w:sz w:val="24"/>
      <w:szCs w:val="24"/>
      <w:lang w:eastAsia="en-US"/>
    </w:rPr>
  </w:style>
  <w:style w:type="paragraph" w:styleId="BodyTextFirstIndent2">
    <w:name w:val="Body Text First Indent 2"/>
    <w:basedOn w:val="BodyTextIndent"/>
    <w:link w:val="BodyTextFirstIndent2Char"/>
    <w:uiPriority w:val="99"/>
    <w:semiHidden/>
    <w:rsid w:val="00433E9C"/>
    <w:pPr>
      <w:ind w:firstLine="210"/>
    </w:pPr>
  </w:style>
  <w:style w:type="character" w:customStyle="1" w:styleId="BodyTextFirstIndent2Char">
    <w:name w:val="Body Text First Indent 2 Char"/>
    <w:basedOn w:val="BodyTextIndentChar"/>
    <w:link w:val="BodyTextFirstIndent2"/>
    <w:uiPriority w:val="99"/>
    <w:semiHidden/>
    <w:rsid w:val="00C11241"/>
  </w:style>
  <w:style w:type="paragraph" w:styleId="BodyTextIndent2">
    <w:name w:val="Body Text Indent 2"/>
    <w:basedOn w:val="Normal"/>
    <w:link w:val="BodyTextIndent2Char"/>
    <w:uiPriority w:val="99"/>
    <w:semiHidden/>
    <w:rsid w:val="00433E9C"/>
    <w:pPr>
      <w:spacing w:after="120" w:line="480" w:lineRule="auto"/>
      <w:ind w:left="283"/>
    </w:pPr>
  </w:style>
  <w:style w:type="character" w:customStyle="1" w:styleId="BodyTextIndent2Char">
    <w:name w:val="Body Text Indent 2 Char"/>
    <w:basedOn w:val="DefaultParagraphFont"/>
    <w:link w:val="BodyTextIndent2"/>
    <w:uiPriority w:val="99"/>
    <w:semiHidden/>
    <w:rsid w:val="00C11241"/>
    <w:rPr>
      <w:sz w:val="24"/>
      <w:szCs w:val="24"/>
      <w:lang w:eastAsia="en-US"/>
    </w:rPr>
  </w:style>
  <w:style w:type="paragraph" w:styleId="BodyTextIndent3">
    <w:name w:val="Body Text Indent 3"/>
    <w:basedOn w:val="Normal"/>
    <w:link w:val="BodyTextIndent3Char"/>
    <w:uiPriority w:val="99"/>
    <w:semiHidden/>
    <w:rsid w:val="00433E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1241"/>
    <w:rPr>
      <w:sz w:val="16"/>
      <w:szCs w:val="16"/>
      <w:lang w:eastAsia="en-US"/>
    </w:rPr>
  </w:style>
  <w:style w:type="paragraph" w:styleId="Closing">
    <w:name w:val="Closing"/>
    <w:basedOn w:val="Normal"/>
    <w:link w:val="ClosingChar"/>
    <w:uiPriority w:val="99"/>
    <w:semiHidden/>
    <w:rsid w:val="00433E9C"/>
    <w:pPr>
      <w:ind w:left="4252"/>
    </w:pPr>
  </w:style>
  <w:style w:type="character" w:customStyle="1" w:styleId="ClosingChar">
    <w:name w:val="Closing Char"/>
    <w:basedOn w:val="DefaultParagraphFont"/>
    <w:link w:val="Closing"/>
    <w:uiPriority w:val="99"/>
    <w:semiHidden/>
    <w:rsid w:val="00C11241"/>
    <w:rPr>
      <w:sz w:val="24"/>
      <w:szCs w:val="24"/>
      <w:lang w:eastAsia="en-US"/>
    </w:rPr>
  </w:style>
  <w:style w:type="paragraph" w:styleId="Date">
    <w:name w:val="Date"/>
    <w:basedOn w:val="Normal"/>
    <w:next w:val="Normal"/>
    <w:link w:val="DateChar"/>
    <w:uiPriority w:val="99"/>
    <w:semiHidden/>
    <w:rsid w:val="00433E9C"/>
  </w:style>
  <w:style w:type="character" w:customStyle="1" w:styleId="DateChar">
    <w:name w:val="Date Char"/>
    <w:basedOn w:val="DefaultParagraphFont"/>
    <w:link w:val="Date"/>
    <w:uiPriority w:val="99"/>
    <w:semiHidden/>
    <w:rsid w:val="00C11241"/>
    <w:rPr>
      <w:sz w:val="24"/>
      <w:szCs w:val="24"/>
      <w:lang w:eastAsia="en-US"/>
    </w:rPr>
  </w:style>
  <w:style w:type="paragraph" w:styleId="E-mailSignature">
    <w:name w:val="E-mail Signature"/>
    <w:basedOn w:val="Normal"/>
    <w:link w:val="E-mailSignatureChar"/>
    <w:uiPriority w:val="99"/>
    <w:semiHidden/>
    <w:rsid w:val="00433E9C"/>
  </w:style>
  <w:style w:type="character" w:customStyle="1" w:styleId="E-mailSignatureChar">
    <w:name w:val="E-mail Signature Char"/>
    <w:basedOn w:val="DefaultParagraphFont"/>
    <w:link w:val="E-mailSignature"/>
    <w:uiPriority w:val="99"/>
    <w:semiHidden/>
    <w:rsid w:val="00C11241"/>
    <w:rPr>
      <w:sz w:val="24"/>
      <w:szCs w:val="24"/>
      <w:lang w:eastAsia="en-US"/>
    </w:rPr>
  </w:style>
  <w:style w:type="character" w:styleId="Emphasis">
    <w:name w:val="Emphasis"/>
    <w:basedOn w:val="DefaultParagraphFont"/>
    <w:uiPriority w:val="99"/>
    <w:qFormat/>
    <w:rsid w:val="00433E9C"/>
    <w:rPr>
      <w:i/>
      <w:iCs/>
    </w:rPr>
  </w:style>
  <w:style w:type="paragraph" w:styleId="EnvelopeAddress">
    <w:name w:val="envelope address"/>
    <w:basedOn w:val="Normal"/>
    <w:uiPriority w:val="99"/>
    <w:semiHidden/>
    <w:rsid w:val="00433E9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33E9C"/>
    <w:rPr>
      <w:rFonts w:ascii="Arial" w:hAnsi="Arial" w:cs="Arial"/>
      <w:sz w:val="20"/>
      <w:szCs w:val="20"/>
    </w:rPr>
  </w:style>
  <w:style w:type="character" w:styleId="FollowedHyperlink">
    <w:name w:val="FollowedHyperlink"/>
    <w:basedOn w:val="DefaultParagraphFont"/>
    <w:uiPriority w:val="99"/>
    <w:semiHidden/>
    <w:rsid w:val="00433E9C"/>
    <w:rPr>
      <w:color w:val="800080"/>
      <w:u w:val="single"/>
    </w:rPr>
  </w:style>
  <w:style w:type="character" w:styleId="HTMLAcronym">
    <w:name w:val="HTML Acronym"/>
    <w:basedOn w:val="DefaultParagraphFont"/>
    <w:uiPriority w:val="99"/>
    <w:semiHidden/>
    <w:rsid w:val="00433E9C"/>
  </w:style>
  <w:style w:type="paragraph" w:styleId="HTMLAddress">
    <w:name w:val="HTML Address"/>
    <w:basedOn w:val="Normal"/>
    <w:link w:val="HTMLAddressChar"/>
    <w:uiPriority w:val="99"/>
    <w:semiHidden/>
    <w:rsid w:val="00433E9C"/>
    <w:rPr>
      <w:i/>
      <w:iCs/>
    </w:rPr>
  </w:style>
  <w:style w:type="character" w:customStyle="1" w:styleId="HTMLAddressChar">
    <w:name w:val="HTML Address Char"/>
    <w:basedOn w:val="DefaultParagraphFont"/>
    <w:link w:val="HTMLAddress"/>
    <w:uiPriority w:val="99"/>
    <w:semiHidden/>
    <w:rsid w:val="00C11241"/>
    <w:rPr>
      <w:i/>
      <w:iCs/>
      <w:sz w:val="24"/>
      <w:szCs w:val="24"/>
      <w:lang w:eastAsia="en-US"/>
    </w:rPr>
  </w:style>
  <w:style w:type="character" w:styleId="HTMLCite">
    <w:name w:val="HTML Cite"/>
    <w:basedOn w:val="DefaultParagraphFont"/>
    <w:uiPriority w:val="99"/>
    <w:semiHidden/>
    <w:rsid w:val="00433E9C"/>
    <w:rPr>
      <w:i/>
      <w:iCs/>
    </w:rPr>
  </w:style>
  <w:style w:type="character" w:styleId="HTMLCode">
    <w:name w:val="HTML Code"/>
    <w:basedOn w:val="DefaultParagraphFont"/>
    <w:uiPriority w:val="99"/>
    <w:semiHidden/>
    <w:rsid w:val="00433E9C"/>
    <w:rPr>
      <w:rFonts w:ascii="Courier New" w:hAnsi="Courier New" w:cs="Courier New"/>
      <w:sz w:val="20"/>
      <w:szCs w:val="20"/>
    </w:rPr>
  </w:style>
  <w:style w:type="character" w:styleId="HTMLDefinition">
    <w:name w:val="HTML Definition"/>
    <w:basedOn w:val="DefaultParagraphFont"/>
    <w:uiPriority w:val="99"/>
    <w:semiHidden/>
    <w:rsid w:val="00433E9C"/>
    <w:rPr>
      <w:i/>
      <w:iCs/>
    </w:rPr>
  </w:style>
  <w:style w:type="character" w:styleId="HTMLKeyboard">
    <w:name w:val="HTML Keyboard"/>
    <w:basedOn w:val="DefaultParagraphFont"/>
    <w:uiPriority w:val="99"/>
    <w:semiHidden/>
    <w:rsid w:val="00433E9C"/>
    <w:rPr>
      <w:rFonts w:ascii="Courier New" w:hAnsi="Courier New" w:cs="Courier New"/>
      <w:sz w:val="20"/>
      <w:szCs w:val="20"/>
    </w:rPr>
  </w:style>
  <w:style w:type="paragraph" w:styleId="HTMLPreformatted">
    <w:name w:val="HTML Preformatted"/>
    <w:basedOn w:val="Normal"/>
    <w:link w:val="HTMLPreformattedChar"/>
    <w:uiPriority w:val="99"/>
    <w:semiHidden/>
    <w:rsid w:val="00433E9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11241"/>
    <w:rPr>
      <w:rFonts w:ascii="Courier New" w:hAnsi="Courier New" w:cs="Courier New"/>
      <w:sz w:val="20"/>
      <w:szCs w:val="20"/>
      <w:lang w:eastAsia="en-US"/>
    </w:rPr>
  </w:style>
  <w:style w:type="character" w:styleId="HTMLSample">
    <w:name w:val="HTML Sample"/>
    <w:basedOn w:val="DefaultParagraphFont"/>
    <w:uiPriority w:val="99"/>
    <w:semiHidden/>
    <w:rsid w:val="00433E9C"/>
    <w:rPr>
      <w:rFonts w:ascii="Courier New" w:hAnsi="Courier New" w:cs="Courier New"/>
    </w:rPr>
  </w:style>
  <w:style w:type="character" w:styleId="HTMLTypewriter">
    <w:name w:val="HTML Typewriter"/>
    <w:basedOn w:val="DefaultParagraphFont"/>
    <w:uiPriority w:val="99"/>
    <w:semiHidden/>
    <w:rsid w:val="00433E9C"/>
    <w:rPr>
      <w:rFonts w:ascii="Courier New" w:hAnsi="Courier New" w:cs="Courier New"/>
      <w:sz w:val="20"/>
      <w:szCs w:val="20"/>
    </w:rPr>
  </w:style>
  <w:style w:type="character" w:styleId="HTMLVariable">
    <w:name w:val="HTML Variable"/>
    <w:basedOn w:val="DefaultParagraphFont"/>
    <w:uiPriority w:val="99"/>
    <w:semiHidden/>
    <w:rsid w:val="00433E9C"/>
    <w:rPr>
      <w:i/>
      <w:iCs/>
    </w:rPr>
  </w:style>
  <w:style w:type="character" w:styleId="Hyperlink">
    <w:name w:val="Hyperlink"/>
    <w:basedOn w:val="DefaultParagraphFont"/>
    <w:uiPriority w:val="99"/>
    <w:semiHidden/>
    <w:rsid w:val="00433E9C"/>
    <w:rPr>
      <w:color w:val="0000FF"/>
      <w:u w:val="single"/>
    </w:rPr>
  </w:style>
  <w:style w:type="character" w:styleId="LineNumber">
    <w:name w:val="line number"/>
    <w:basedOn w:val="DefaultParagraphFont"/>
    <w:uiPriority w:val="99"/>
    <w:semiHidden/>
    <w:rsid w:val="00433E9C"/>
  </w:style>
  <w:style w:type="paragraph" w:styleId="List">
    <w:name w:val="List"/>
    <w:basedOn w:val="Normal"/>
    <w:uiPriority w:val="99"/>
    <w:semiHidden/>
    <w:rsid w:val="00433E9C"/>
    <w:pPr>
      <w:ind w:left="283" w:hanging="283"/>
    </w:pPr>
  </w:style>
  <w:style w:type="paragraph" w:styleId="List2">
    <w:name w:val="List 2"/>
    <w:basedOn w:val="Normal"/>
    <w:uiPriority w:val="99"/>
    <w:semiHidden/>
    <w:rsid w:val="00433E9C"/>
    <w:pPr>
      <w:ind w:left="566" w:hanging="283"/>
    </w:pPr>
  </w:style>
  <w:style w:type="paragraph" w:styleId="List3">
    <w:name w:val="List 3"/>
    <w:basedOn w:val="Normal"/>
    <w:uiPriority w:val="99"/>
    <w:semiHidden/>
    <w:rsid w:val="00433E9C"/>
    <w:pPr>
      <w:ind w:left="849" w:hanging="283"/>
    </w:pPr>
  </w:style>
  <w:style w:type="paragraph" w:styleId="List4">
    <w:name w:val="List 4"/>
    <w:basedOn w:val="Normal"/>
    <w:uiPriority w:val="99"/>
    <w:semiHidden/>
    <w:rsid w:val="00433E9C"/>
    <w:pPr>
      <w:ind w:left="1132" w:hanging="283"/>
    </w:pPr>
  </w:style>
  <w:style w:type="paragraph" w:styleId="List5">
    <w:name w:val="List 5"/>
    <w:basedOn w:val="Normal"/>
    <w:uiPriority w:val="99"/>
    <w:semiHidden/>
    <w:rsid w:val="00433E9C"/>
    <w:pPr>
      <w:ind w:left="1415" w:hanging="283"/>
    </w:pPr>
  </w:style>
  <w:style w:type="paragraph" w:styleId="ListBullet">
    <w:name w:val="List Bullet"/>
    <w:basedOn w:val="Normal"/>
    <w:uiPriority w:val="99"/>
    <w:semiHidden/>
    <w:rsid w:val="00433E9C"/>
    <w:pPr>
      <w:numPr>
        <w:numId w:val="14"/>
      </w:numPr>
    </w:pPr>
  </w:style>
  <w:style w:type="paragraph" w:styleId="ListBullet2">
    <w:name w:val="List Bullet 2"/>
    <w:basedOn w:val="Normal"/>
    <w:uiPriority w:val="99"/>
    <w:semiHidden/>
    <w:rsid w:val="00433E9C"/>
    <w:pPr>
      <w:numPr>
        <w:numId w:val="15"/>
      </w:numPr>
    </w:pPr>
  </w:style>
  <w:style w:type="paragraph" w:styleId="ListBullet3">
    <w:name w:val="List Bullet 3"/>
    <w:basedOn w:val="Normal"/>
    <w:uiPriority w:val="99"/>
    <w:semiHidden/>
    <w:rsid w:val="00433E9C"/>
    <w:pPr>
      <w:numPr>
        <w:numId w:val="16"/>
      </w:numPr>
    </w:pPr>
  </w:style>
  <w:style w:type="paragraph" w:styleId="ListBullet4">
    <w:name w:val="List Bullet 4"/>
    <w:basedOn w:val="Normal"/>
    <w:uiPriority w:val="99"/>
    <w:semiHidden/>
    <w:rsid w:val="00433E9C"/>
    <w:pPr>
      <w:numPr>
        <w:numId w:val="17"/>
      </w:numPr>
    </w:pPr>
  </w:style>
  <w:style w:type="paragraph" w:styleId="ListBullet5">
    <w:name w:val="List Bullet 5"/>
    <w:basedOn w:val="Normal"/>
    <w:uiPriority w:val="99"/>
    <w:semiHidden/>
    <w:rsid w:val="00433E9C"/>
    <w:pPr>
      <w:numPr>
        <w:numId w:val="18"/>
      </w:numPr>
    </w:pPr>
  </w:style>
  <w:style w:type="paragraph" w:styleId="ListContinue">
    <w:name w:val="List Continue"/>
    <w:basedOn w:val="Normal"/>
    <w:uiPriority w:val="99"/>
    <w:semiHidden/>
    <w:rsid w:val="00433E9C"/>
    <w:pPr>
      <w:spacing w:after="120"/>
      <w:ind w:left="283"/>
    </w:pPr>
  </w:style>
  <w:style w:type="paragraph" w:styleId="ListContinue2">
    <w:name w:val="List Continue 2"/>
    <w:basedOn w:val="Normal"/>
    <w:uiPriority w:val="99"/>
    <w:semiHidden/>
    <w:rsid w:val="00433E9C"/>
    <w:pPr>
      <w:spacing w:after="120"/>
      <w:ind w:left="566"/>
    </w:pPr>
  </w:style>
  <w:style w:type="paragraph" w:styleId="ListContinue3">
    <w:name w:val="List Continue 3"/>
    <w:basedOn w:val="Normal"/>
    <w:uiPriority w:val="99"/>
    <w:semiHidden/>
    <w:rsid w:val="00433E9C"/>
    <w:pPr>
      <w:spacing w:after="120"/>
      <w:ind w:left="849"/>
    </w:pPr>
  </w:style>
  <w:style w:type="paragraph" w:styleId="ListContinue4">
    <w:name w:val="List Continue 4"/>
    <w:basedOn w:val="Normal"/>
    <w:uiPriority w:val="99"/>
    <w:semiHidden/>
    <w:rsid w:val="00433E9C"/>
    <w:pPr>
      <w:spacing w:after="120"/>
      <w:ind w:left="1132"/>
    </w:pPr>
  </w:style>
  <w:style w:type="paragraph" w:styleId="ListContinue5">
    <w:name w:val="List Continue 5"/>
    <w:basedOn w:val="Normal"/>
    <w:uiPriority w:val="99"/>
    <w:semiHidden/>
    <w:rsid w:val="00433E9C"/>
    <w:pPr>
      <w:spacing w:after="120"/>
      <w:ind w:left="1415"/>
    </w:pPr>
  </w:style>
  <w:style w:type="paragraph" w:styleId="ListNumber">
    <w:name w:val="List Number"/>
    <w:basedOn w:val="Normal"/>
    <w:link w:val="ListNumberChar"/>
    <w:uiPriority w:val="99"/>
    <w:semiHidden/>
    <w:rsid w:val="00433E9C"/>
    <w:pPr>
      <w:numPr>
        <w:numId w:val="19"/>
      </w:numPr>
    </w:pPr>
  </w:style>
  <w:style w:type="paragraph" w:styleId="ListNumber2">
    <w:name w:val="List Number 2"/>
    <w:basedOn w:val="Normal"/>
    <w:uiPriority w:val="99"/>
    <w:semiHidden/>
    <w:rsid w:val="00433E9C"/>
    <w:pPr>
      <w:numPr>
        <w:numId w:val="20"/>
      </w:numPr>
    </w:pPr>
  </w:style>
  <w:style w:type="paragraph" w:styleId="ListNumber3">
    <w:name w:val="List Number 3"/>
    <w:basedOn w:val="Normal"/>
    <w:uiPriority w:val="99"/>
    <w:semiHidden/>
    <w:rsid w:val="00433E9C"/>
    <w:pPr>
      <w:numPr>
        <w:numId w:val="21"/>
      </w:numPr>
    </w:pPr>
  </w:style>
  <w:style w:type="paragraph" w:styleId="ListNumber4">
    <w:name w:val="List Number 4"/>
    <w:basedOn w:val="Normal"/>
    <w:uiPriority w:val="99"/>
    <w:semiHidden/>
    <w:rsid w:val="00433E9C"/>
    <w:pPr>
      <w:numPr>
        <w:numId w:val="22"/>
      </w:numPr>
    </w:pPr>
  </w:style>
  <w:style w:type="paragraph" w:styleId="ListNumber5">
    <w:name w:val="List Number 5"/>
    <w:basedOn w:val="Normal"/>
    <w:uiPriority w:val="99"/>
    <w:semiHidden/>
    <w:rsid w:val="00433E9C"/>
    <w:pPr>
      <w:numPr>
        <w:numId w:val="23"/>
      </w:numPr>
    </w:pPr>
  </w:style>
  <w:style w:type="paragraph" w:styleId="MessageHeader">
    <w:name w:val="Message Header"/>
    <w:basedOn w:val="Normal"/>
    <w:link w:val="MessageHeaderChar"/>
    <w:uiPriority w:val="99"/>
    <w:semiHidden/>
    <w:rsid w:val="00433E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1124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33E9C"/>
  </w:style>
  <w:style w:type="paragraph" w:styleId="NormalIndent">
    <w:name w:val="Normal Indent"/>
    <w:basedOn w:val="Normal"/>
    <w:uiPriority w:val="99"/>
    <w:semiHidden/>
    <w:rsid w:val="00433E9C"/>
    <w:pPr>
      <w:ind w:left="720"/>
    </w:pPr>
  </w:style>
  <w:style w:type="paragraph" w:styleId="NoteHeading">
    <w:name w:val="Note Heading"/>
    <w:basedOn w:val="Normal"/>
    <w:next w:val="Normal"/>
    <w:link w:val="NoteHeadingChar"/>
    <w:uiPriority w:val="99"/>
    <w:semiHidden/>
    <w:rsid w:val="00433E9C"/>
  </w:style>
  <w:style w:type="character" w:customStyle="1" w:styleId="NoteHeadingChar">
    <w:name w:val="Note Heading Char"/>
    <w:basedOn w:val="DefaultParagraphFont"/>
    <w:link w:val="NoteHeading"/>
    <w:uiPriority w:val="99"/>
    <w:semiHidden/>
    <w:rsid w:val="00C11241"/>
    <w:rPr>
      <w:sz w:val="24"/>
      <w:szCs w:val="24"/>
      <w:lang w:eastAsia="en-US"/>
    </w:rPr>
  </w:style>
  <w:style w:type="character" w:styleId="PageNumber">
    <w:name w:val="page number"/>
    <w:basedOn w:val="DefaultParagraphFont"/>
    <w:uiPriority w:val="99"/>
    <w:semiHidden/>
    <w:rsid w:val="00433E9C"/>
  </w:style>
  <w:style w:type="paragraph" w:styleId="PlainText">
    <w:name w:val="Plain Text"/>
    <w:basedOn w:val="Normal"/>
    <w:link w:val="PlainTextChar"/>
    <w:uiPriority w:val="99"/>
    <w:semiHidden/>
    <w:rsid w:val="00433E9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1124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33E9C"/>
  </w:style>
  <w:style w:type="character" w:customStyle="1" w:styleId="SalutationChar">
    <w:name w:val="Salutation Char"/>
    <w:basedOn w:val="DefaultParagraphFont"/>
    <w:link w:val="Salutation"/>
    <w:uiPriority w:val="99"/>
    <w:semiHidden/>
    <w:rsid w:val="00C11241"/>
    <w:rPr>
      <w:sz w:val="24"/>
      <w:szCs w:val="24"/>
      <w:lang w:eastAsia="en-US"/>
    </w:rPr>
  </w:style>
  <w:style w:type="paragraph" w:styleId="Signature">
    <w:name w:val="Signature"/>
    <w:basedOn w:val="Normal"/>
    <w:link w:val="SignatureChar"/>
    <w:uiPriority w:val="99"/>
    <w:semiHidden/>
    <w:rsid w:val="00433E9C"/>
    <w:pPr>
      <w:ind w:left="4252"/>
    </w:pPr>
  </w:style>
  <w:style w:type="character" w:customStyle="1" w:styleId="SignatureChar">
    <w:name w:val="Signature Char"/>
    <w:basedOn w:val="DefaultParagraphFont"/>
    <w:link w:val="Signature"/>
    <w:uiPriority w:val="99"/>
    <w:semiHidden/>
    <w:rsid w:val="00C11241"/>
    <w:rPr>
      <w:sz w:val="24"/>
      <w:szCs w:val="24"/>
      <w:lang w:eastAsia="en-US"/>
    </w:rPr>
  </w:style>
  <w:style w:type="character" w:styleId="Strong">
    <w:name w:val="Strong"/>
    <w:basedOn w:val="DefaultParagraphFont"/>
    <w:uiPriority w:val="99"/>
    <w:qFormat/>
    <w:rsid w:val="00433E9C"/>
    <w:rPr>
      <w:b/>
      <w:bCs/>
    </w:rPr>
  </w:style>
  <w:style w:type="paragraph" w:styleId="Subtitle">
    <w:name w:val="Subtitle"/>
    <w:basedOn w:val="Normal"/>
    <w:link w:val="SubtitleChar"/>
    <w:uiPriority w:val="99"/>
    <w:qFormat/>
    <w:rsid w:val="00433E9C"/>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1124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33E9C"/>
    <w:pPr>
      <w:spacing w:line="360" w:lineRule="auto"/>
      <w:jc w:val="both"/>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33E9C"/>
    <w:pPr>
      <w:spacing w:line="360" w:lineRule="auto"/>
      <w:jc w:val="both"/>
    </w:pPr>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33E9C"/>
    <w:pPr>
      <w:spacing w:line="360" w:lineRule="auto"/>
      <w:jc w:val="both"/>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33E9C"/>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33E9C"/>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33E9C"/>
    <w:pPr>
      <w:spacing w:line="36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33E9C"/>
    <w:pPr>
      <w:spacing w:line="360" w:lineRule="auto"/>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33E9C"/>
    <w:pPr>
      <w:spacing w:line="36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33E9C"/>
    <w:pPr>
      <w:spacing w:line="360" w:lineRule="auto"/>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33E9C"/>
    <w:pPr>
      <w:spacing w:line="36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33E9C"/>
    <w:pPr>
      <w:spacing w:line="36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33E9C"/>
    <w:pPr>
      <w:spacing w:line="360" w:lineRule="auto"/>
      <w:jc w:val="both"/>
    </w:pPr>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33E9C"/>
    <w:pPr>
      <w:spacing w:line="36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33E9C"/>
    <w:pPr>
      <w:spacing w:line="360" w:lineRule="auto"/>
      <w:jc w:val="both"/>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33E9C"/>
    <w:pPr>
      <w:spacing w:line="36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33E9C"/>
    <w:pPr>
      <w:spacing w:line="360" w:lineRule="auto"/>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33E9C"/>
    <w:pPr>
      <w:spacing w:line="36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33E9C"/>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33E9C"/>
    <w:pPr>
      <w:spacing w:line="360" w:lineRule="auto"/>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33E9C"/>
    <w:pPr>
      <w:spacing w:line="36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33E9C"/>
    <w:pPr>
      <w:spacing w:line="36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33E9C"/>
    <w:pPr>
      <w:spacing w:line="36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33E9C"/>
    <w:pPr>
      <w:spacing w:line="36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33E9C"/>
    <w:pPr>
      <w:spacing w:line="36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33E9C"/>
    <w:pPr>
      <w:spacing w:line="360" w:lineRule="auto"/>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33E9C"/>
    <w:pPr>
      <w:spacing w:line="360" w:lineRule="auto"/>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33E9C"/>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33E9C"/>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33E9C"/>
    <w:pPr>
      <w:spacing w:line="36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33E9C"/>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33E9C"/>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33E9C"/>
    <w:pPr>
      <w:spacing w:line="360" w:lineRule="auto"/>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33E9C"/>
    <w:pPr>
      <w:spacing w:line="360" w:lineRule="auto"/>
      <w:jc w:val="both"/>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33E9C"/>
    <w:pPr>
      <w:spacing w:line="360" w:lineRule="auto"/>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33E9C"/>
    <w:pPr>
      <w:spacing w:line="360" w:lineRule="auto"/>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33E9C"/>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33E9C"/>
    <w:pPr>
      <w:spacing w:line="36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33E9C"/>
    <w:pPr>
      <w:spacing w:line="36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33E9C"/>
    <w:pPr>
      <w:spacing w:line="36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33E9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11241"/>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433E9C"/>
  </w:style>
  <w:style w:type="paragraph" w:customStyle="1" w:styleId="bTOC2">
    <w:name w:val="bTOC 2"/>
    <w:basedOn w:val="TOC2"/>
    <w:uiPriority w:val="99"/>
    <w:semiHidden/>
    <w:rsid w:val="00433E9C"/>
  </w:style>
  <w:style w:type="paragraph" w:customStyle="1" w:styleId="bTOC3">
    <w:name w:val="bTOC 3"/>
    <w:basedOn w:val="TOC3"/>
    <w:uiPriority w:val="99"/>
    <w:semiHidden/>
    <w:rsid w:val="00433E9C"/>
  </w:style>
  <w:style w:type="paragraph" w:customStyle="1" w:styleId="bTOC4">
    <w:name w:val="bTOC 4"/>
    <w:basedOn w:val="TOC4"/>
    <w:uiPriority w:val="99"/>
    <w:semiHidden/>
    <w:rsid w:val="00433E9C"/>
  </w:style>
  <w:style w:type="character" w:customStyle="1" w:styleId="CharChar4">
    <w:name w:val="Char Char4"/>
    <w:basedOn w:val="DefaultParagraphFont"/>
    <w:uiPriority w:val="99"/>
    <w:locked/>
    <w:rsid w:val="00E57371"/>
    <w:rPr>
      <w:rFonts w:ascii="Arial" w:hAnsi="Arial" w:cs="Arial"/>
      <w:color w:val="000000"/>
      <w:lang w:val="en-AU" w:eastAsia="zh-CN"/>
    </w:rPr>
  </w:style>
  <w:style w:type="paragraph" w:customStyle="1" w:styleId="Counsel">
    <w:name w:val="Counsel"/>
    <w:basedOn w:val="Normal"/>
    <w:uiPriority w:val="99"/>
    <w:rsid w:val="00433E9C"/>
    <w:pPr>
      <w:widowControl w:val="0"/>
      <w:suppressAutoHyphens/>
      <w:spacing w:line="240" w:lineRule="auto"/>
    </w:pPr>
  </w:style>
  <w:style w:type="character" w:customStyle="1" w:styleId="CertifyChar">
    <w:name w:val="Certify Char"/>
    <w:basedOn w:val="DefaultParagraphFont"/>
    <w:link w:val="Certify"/>
    <w:uiPriority w:val="99"/>
    <w:locked/>
    <w:rsid w:val="00433E9C"/>
    <w:rPr>
      <w:rFonts w:eastAsia="Batang"/>
      <w:sz w:val="24"/>
      <w:szCs w:val="24"/>
      <w:lang w:val="en-AU" w:eastAsia="en-US"/>
    </w:rPr>
  </w:style>
  <w:style w:type="paragraph" w:customStyle="1" w:styleId="fcHeading1">
    <w:name w:val="fcHeading 1"/>
    <w:basedOn w:val="Normal"/>
    <w:next w:val="ParaNumbering"/>
    <w:uiPriority w:val="99"/>
    <w:semiHidden/>
    <w:rsid w:val="00433E9C"/>
    <w:pPr>
      <w:keepNext/>
      <w:numPr>
        <w:numId w:val="36"/>
      </w:numPr>
      <w:spacing w:before="240" w:after="60" w:line="240" w:lineRule="auto"/>
    </w:pPr>
    <w:rPr>
      <w:b/>
      <w:bCs/>
      <w:caps/>
      <w:kern w:val="28"/>
    </w:rPr>
  </w:style>
  <w:style w:type="paragraph" w:customStyle="1" w:styleId="fcHeading2">
    <w:name w:val="fcHeading 2"/>
    <w:basedOn w:val="Normal"/>
    <w:next w:val="ParaNumbering"/>
    <w:uiPriority w:val="99"/>
    <w:semiHidden/>
    <w:rsid w:val="00433E9C"/>
    <w:pPr>
      <w:keepNext/>
      <w:numPr>
        <w:ilvl w:val="1"/>
        <w:numId w:val="36"/>
      </w:numPr>
      <w:spacing w:before="240" w:after="60" w:line="240" w:lineRule="auto"/>
    </w:pPr>
    <w:rPr>
      <w:b/>
      <w:bCs/>
    </w:rPr>
  </w:style>
  <w:style w:type="paragraph" w:customStyle="1" w:styleId="fcHeading3">
    <w:name w:val="fcHeading 3"/>
    <w:basedOn w:val="Normal"/>
    <w:next w:val="ParaNumbering"/>
    <w:uiPriority w:val="99"/>
    <w:semiHidden/>
    <w:rsid w:val="00433E9C"/>
    <w:pPr>
      <w:keepNext/>
      <w:numPr>
        <w:ilvl w:val="2"/>
        <w:numId w:val="36"/>
      </w:numPr>
      <w:spacing w:before="240" w:after="60" w:line="240" w:lineRule="auto"/>
    </w:pPr>
    <w:rPr>
      <w:b/>
      <w:bCs/>
      <w:i/>
      <w:iCs/>
    </w:rPr>
  </w:style>
  <w:style w:type="paragraph" w:customStyle="1" w:styleId="fcHeading4">
    <w:name w:val="fcHeading 4"/>
    <w:basedOn w:val="Normal"/>
    <w:next w:val="ParaNumbering"/>
    <w:uiPriority w:val="99"/>
    <w:semiHidden/>
    <w:rsid w:val="00433E9C"/>
    <w:pPr>
      <w:keepNext/>
      <w:numPr>
        <w:ilvl w:val="3"/>
        <w:numId w:val="36"/>
      </w:numPr>
      <w:spacing w:before="240" w:after="60" w:line="240" w:lineRule="auto"/>
    </w:pPr>
    <w:rPr>
      <w:b/>
      <w:bCs/>
      <w:smallCaps/>
    </w:rPr>
  </w:style>
  <w:style w:type="paragraph" w:customStyle="1" w:styleId="fcHeading5">
    <w:name w:val="fcHeading 5"/>
    <w:basedOn w:val="Normal"/>
    <w:next w:val="ParaNumbering"/>
    <w:uiPriority w:val="99"/>
    <w:semiHidden/>
    <w:rsid w:val="00433E9C"/>
    <w:pPr>
      <w:keepNext/>
      <w:numPr>
        <w:ilvl w:val="4"/>
        <w:numId w:val="36"/>
      </w:numPr>
      <w:spacing w:before="240" w:after="60" w:line="240" w:lineRule="auto"/>
    </w:pPr>
    <w:rPr>
      <w:b/>
      <w:bCs/>
      <w:caps/>
    </w:rPr>
  </w:style>
  <w:style w:type="paragraph" w:customStyle="1" w:styleId="FTOC5">
    <w:name w:val="FTOC 5"/>
    <w:basedOn w:val="Normal"/>
    <w:uiPriority w:val="99"/>
    <w:semiHidden/>
    <w:rsid w:val="00433E9C"/>
    <w:pPr>
      <w:tabs>
        <w:tab w:val="right" w:leader="dot" w:pos="9072"/>
      </w:tabs>
      <w:spacing w:before="240" w:after="60" w:line="240" w:lineRule="auto"/>
      <w:ind w:left="709" w:hanging="709"/>
    </w:pPr>
    <w:rPr>
      <w:b/>
      <w:bCs/>
      <w:caps/>
      <w:kern w:val="28"/>
    </w:rPr>
  </w:style>
  <w:style w:type="paragraph" w:customStyle="1" w:styleId="FTOC6">
    <w:name w:val="FTOC 6"/>
    <w:basedOn w:val="Normal"/>
    <w:uiPriority w:val="99"/>
    <w:semiHidden/>
    <w:rsid w:val="00433E9C"/>
    <w:pPr>
      <w:tabs>
        <w:tab w:val="right" w:leader="dot" w:pos="9072"/>
      </w:tabs>
      <w:spacing w:before="240" w:after="60" w:line="240" w:lineRule="auto"/>
      <w:ind w:left="1418" w:hanging="709"/>
    </w:pPr>
    <w:rPr>
      <w:b/>
      <w:bCs/>
    </w:rPr>
  </w:style>
  <w:style w:type="paragraph" w:customStyle="1" w:styleId="FTOC7">
    <w:name w:val="FTOC 7"/>
    <w:basedOn w:val="Normal"/>
    <w:uiPriority w:val="99"/>
    <w:semiHidden/>
    <w:rsid w:val="00433E9C"/>
    <w:pPr>
      <w:keepNext/>
      <w:tabs>
        <w:tab w:val="right" w:leader="dot" w:pos="9072"/>
      </w:tabs>
      <w:spacing w:before="240" w:after="60" w:line="240" w:lineRule="auto"/>
      <w:ind w:left="2127" w:hanging="709"/>
    </w:pPr>
    <w:rPr>
      <w:b/>
      <w:bCs/>
      <w:i/>
      <w:iCs/>
    </w:rPr>
  </w:style>
  <w:style w:type="paragraph" w:customStyle="1" w:styleId="FTOC8">
    <w:name w:val="FTOC 8"/>
    <w:basedOn w:val="Normal"/>
    <w:uiPriority w:val="99"/>
    <w:semiHidden/>
    <w:rsid w:val="00433E9C"/>
    <w:pPr>
      <w:keepNext/>
      <w:tabs>
        <w:tab w:val="right" w:leader="dot" w:pos="9072"/>
      </w:tabs>
      <w:spacing w:before="240" w:after="60" w:line="240" w:lineRule="auto"/>
      <w:ind w:left="3260" w:hanging="1134"/>
    </w:pPr>
    <w:rPr>
      <w:b/>
      <w:bCs/>
      <w:smallCaps/>
    </w:rPr>
  </w:style>
  <w:style w:type="paragraph" w:customStyle="1" w:styleId="FTOC9">
    <w:name w:val="FTOC 9"/>
    <w:basedOn w:val="Normal"/>
    <w:uiPriority w:val="99"/>
    <w:semiHidden/>
    <w:rsid w:val="00433E9C"/>
    <w:pPr>
      <w:keepNext/>
      <w:tabs>
        <w:tab w:val="right" w:leader="dot" w:pos="9072"/>
      </w:tabs>
      <w:spacing w:before="240" w:after="60" w:line="240" w:lineRule="auto"/>
      <w:ind w:left="3969" w:hanging="1134"/>
    </w:pPr>
    <w:rPr>
      <w:b/>
      <w:bCs/>
      <w:caps/>
    </w:rPr>
  </w:style>
  <w:style w:type="paragraph" w:customStyle="1" w:styleId="bTOC5">
    <w:name w:val="bTOC 5"/>
    <w:basedOn w:val="Normal"/>
    <w:uiPriority w:val="99"/>
    <w:rsid w:val="00433E9C"/>
    <w:pPr>
      <w:keepNext/>
      <w:tabs>
        <w:tab w:val="right" w:leader="dot" w:pos="9072"/>
      </w:tabs>
      <w:spacing w:before="240" w:after="60" w:line="240" w:lineRule="auto"/>
      <w:ind w:left="709" w:hanging="709"/>
    </w:pPr>
  </w:style>
  <w:style w:type="paragraph" w:customStyle="1" w:styleId="bTOC6">
    <w:name w:val="bTOC 6"/>
    <w:basedOn w:val="Normal"/>
    <w:uiPriority w:val="99"/>
    <w:rsid w:val="00433E9C"/>
    <w:pPr>
      <w:keepNext/>
      <w:tabs>
        <w:tab w:val="right" w:leader="dot" w:pos="9072"/>
      </w:tabs>
      <w:spacing w:before="240" w:after="60" w:line="240" w:lineRule="auto"/>
      <w:ind w:left="1418" w:hanging="709"/>
    </w:pPr>
  </w:style>
  <w:style w:type="paragraph" w:customStyle="1" w:styleId="bTOC7">
    <w:name w:val="bTOC 7"/>
    <w:basedOn w:val="Normal"/>
    <w:uiPriority w:val="99"/>
    <w:rsid w:val="00433E9C"/>
    <w:pPr>
      <w:keepNext/>
      <w:tabs>
        <w:tab w:val="right" w:leader="dot" w:pos="9072"/>
      </w:tabs>
      <w:spacing w:before="240" w:after="60" w:line="240" w:lineRule="auto"/>
      <w:ind w:left="2127" w:hanging="709"/>
    </w:pPr>
  </w:style>
  <w:style w:type="paragraph" w:customStyle="1" w:styleId="bTOC8">
    <w:name w:val="bTOC 8"/>
    <w:basedOn w:val="Normal"/>
    <w:uiPriority w:val="99"/>
    <w:rsid w:val="00433E9C"/>
    <w:pPr>
      <w:keepNext/>
      <w:tabs>
        <w:tab w:val="right" w:leader="dot" w:pos="9072"/>
      </w:tabs>
      <w:spacing w:before="240" w:after="60" w:line="240" w:lineRule="auto"/>
      <w:ind w:left="3260" w:hanging="1134"/>
    </w:pPr>
  </w:style>
  <w:style w:type="paragraph" w:customStyle="1" w:styleId="bTOC9">
    <w:name w:val="bTOC 9"/>
    <w:basedOn w:val="Normal"/>
    <w:uiPriority w:val="99"/>
    <w:rsid w:val="00433E9C"/>
    <w:pPr>
      <w:keepNext/>
      <w:tabs>
        <w:tab w:val="right" w:leader="dot" w:pos="9072"/>
      </w:tabs>
      <w:spacing w:before="240" w:after="60" w:line="240" w:lineRule="auto"/>
      <w:ind w:left="3969" w:hanging="1134"/>
    </w:pPr>
  </w:style>
  <w:style w:type="character" w:customStyle="1" w:styleId="FootnoteTextChar">
    <w:name w:val="Footnote Text Char"/>
    <w:basedOn w:val="DefaultParagraphFont"/>
    <w:link w:val="FootnoteText"/>
    <w:uiPriority w:val="99"/>
    <w:locked/>
    <w:rsid w:val="00BB2ECC"/>
    <w:rPr>
      <w:rFonts w:ascii="Arial" w:hAnsi="Arial" w:cs="Arial"/>
      <w:sz w:val="16"/>
      <w:szCs w:val="16"/>
      <w:lang w:val="en-AU" w:eastAsia="en-US"/>
    </w:rPr>
  </w:style>
  <w:style w:type="paragraph" w:styleId="FootnoteText">
    <w:name w:val="footnote text"/>
    <w:basedOn w:val="Normal"/>
    <w:link w:val="FootnoteTextChar"/>
    <w:uiPriority w:val="99"/>
    <w:semiHidden/>
    <w:rsid w:val="00BB2ECC"/>
    <w:pPr>
      <w:spacing w:after="60" w:line="180" w:lineRule="exact"/>
      <w:ind w:left="85" w:hanging="85"/>
      <w:jc w:val="left"/>
    </w:pPr>
    <w:rPr>
      <w:rFonts w:ascii="Arial" w:hAnsi="Arial" w:cs="Arial"/>
      <w:sz w:val="16"/>
      <w:szCs w:val="16"/>
    </w:rPr>
  </w:style>
  <w:style w:type="character" w:customStyle="1" w:styleId="FootnoteTextChar1">
    <w:name w:val="Footnote Text Char1"/>
    <w:basedOn w:val="DefaultParagraphFont"/>
    <w:link w:val="FootnoteText"/>
    <w:uiPriority w:val="99"/>
    <w:semiHidden/>
    <w:rsid w:val="00C11241"/>
    <w:rPr>
      <w:sz w:val="20"/>
      <w:szCs w:val="20"/>
      <w:lang w:eastAsia="en-US"/>
    </w:rPr>
  </w:style>
  <w:style w:type="character" w:styleId="FootnoteReference">
    <w:name w:val="footnote reference"/>
    <w:basedOn w:val="DefaultParagraphFont"/>
    <w:uiPriority w:val="99"/>
    <w:semiHidden/>
    <w:rsid w:val="00BB2ECC"/>
    <w:rPr>
      <w:rFonts w:ascii="Arial" w:hAnsi="Arial" w:cs="Arial"/>
      <w:vertAlign w:val="superscript"/>
    </w:rPr>
  </w:style>
  <w:style w:type="character" w:customStyle="1" w:styleId="loose1">
    <w:name w:val="loose1"/>
    <w:basedOn w:val="DefaultParagraphFont"/>
    <w:uiPriority w:val="99"/>
    <w:rsid w:val="00BB2ECC"/>
  </w:style>
  <w:style w:type="character" w:customStyle="1" w:styleId="italic1">
    <w:name w:val="italic1"/>
    <w:basedOn w:val="DefaultParagraphFont"/>
    <w:uiPriority w:val="99"/>
    <w:rsid w:val="00BB2ECC"/>
    <w:rPr>
      <w:i/>
      <w:iCs/>
    </w:rPr>
  </w:style>
  <w:style w:type="paragraph" w:styleId="ListParagraph">
    <w:name w:val="List Paragraph"/>
    <w:basedOn w:val="Normal"/>
    <w:uiPriority w:val="99"/>
    <w:qFormat/>
    <w:rsid w:val="000C045F"/>
    <w:pPr>
      <w:spacing w:line="240" w:lineRule="auto"/>
      <w:ind w:left="720"/>
      <w:jc w:val="left"/>
    </w:pPr>
    <w:rPr>
      <w:rFonts w:ascii="Cambria" w:hAnsi="Cambria" w:cs="Cambria"/>
      <w:lang w:val="en-US"/>
    </w:rPr>
  </w:style>
  <w:style w:type="numbering" w:styleId="1ai">
    <w:name w:val="Outline List 1"/>
    <w:basedOn w:val="NoList"/>
    <w:uiPriority w:val="99"/>
    <w:semiHidden/>
    <w:unhideWhenUsed/>
    <w:rsid w:val="00C11241"/>
    <w:pPr>
      <w:numPr>
        <w:numId w:val="26"/>
      </w:numPr>
    </w:pPr>
  </w:style>
  <w:style w:type="numbering" w:styleId="ArticleSection">
    <w:name w:val="Outline List 3"/>
    <w:basedOn w:val="NoList"/>
    <w:uiPriority w:val="99"/>
    <w:semiHidden/>
    <w:unhideWhenUsed/>
    <w:rsid w:val="00C11241"/>
    <w:pPr>
      <w:numPr>
        <w:numId w:val="27"/>
      </w:numPr>
    </w:pPr>
  </w:style>
  <w:style w:type="numbering" w:styleId="111111">
    <w:name w:val="Outline List 2"/>
    <w:basedOn w:val="NoList"/>
    <w:uiPriority w:val="99"/>
    <w:semiHidden/>
    <w:unhideWhenUsed/>
    <w:rsid w:val="00C11241"/>
    <w:pPr>
      <w:numPr>
        <w:numId w:val="25"/>
      </w:numPr>
    </w:pPr>
  </w:style>
</w:styles>
</file>

<file path=word/webSettings.xml><?xml version="1.0" encoding="utf-8"?>
<w:webSettings xmlns:r="http://schemas.openxmlformats.org/officeDocument/2006/relationships" xmlns:w="http://schemas.openxmlformats.org/wordprocessingml/2006/main">
  <w:divs>
    <w:div w:id="1544442282">
      <w:marLeft w:val="0"/>
      <w:marRight w:val="0"/>
      <w:marTop w:val="0"/>
      <w:marBottom w:val="0"/>
      <w:divBdr>
        <w:top w:val="none" w:sz="0" w:space="0" w:color="auto"/>
        <w:left w:val="none" w:sz="0" w:space="0" w:color="auto"/>
        <w:bottom w:val="none" w:sz="0" w:space="0" w:color="auto"/>
        <w:right w:val="none" w:sz="0" w:space="0" w:color="auto"/>
      </w:divBdr>
    </w:div>
    <w:div w:id="1544442283">
      <w:marLeft w:val="0"/>
      <w:marRight w:val="0"/>
      <w:marTop w:val="0"/>
      <w:marBottom w:val="0"/>
      <w:divBdr>
        <w:top w:val="none" w:sz="0" w:space="0" w:color="auto"/>
        <w:left w:val="none" w:sz="0" w:space="0" w:color="auto"/>
        <w:bottom w:val="none" w:sz="0" w:space="0" w:color="auto"/>
        <w:right w:val="none" w:sz="0" w:space="0" w:color="auto"/>
      </w:divBdr>
    </w:div>
    <w:div w:id="1544442284">
      <w:marLeft w:val="0"/>
      <w:marRight w:val="0"/>
      <w:marTop w:val="0"/>
      <w:marBottom w:val="0"/>
      <w:divBdr>
        <w:top w:val="none" w:sz="0" w:space="0" w:color="auto"/>
        <w:left w:val="none" w:sz="0" w:space="0" w:color="auto"/>
        <w:bottom w:val="none" w:sz="0" w:space="0" w:color="auto"/>
        <w:right w:val="none" w:sz="0" w:space="0" w:color="auto"/>
      </w:divBdr>
    </w:div>
    <w:div w:id="1544442285">
      <w:marLeft w:val="0"/>
      <w:marRight w:val="0"/>
      <w:marTop w:val="0"/>
      <w:marBottom w:val="0"/>
      <w:divBdr>
        <w:top w:val="none" w:sz="0" w:space="0" w:color="auto"/>
        <w:left w:val="none" w:sz="0" w:space="0" w:color="auto"/>
        <w:bottom w:val="none" w:sz="0" w:space="0" w:color="auto"/>
        <w:right w:val="none" w:sz="0" w:space="0" w:color="auto"/>
      </w:divBdr>
    </w:div>
    <w:div w:id="1544442286">
      <w:marLeft w:val="0"/>
      <w:marRight w:val="0"/>
      <w:marTop w:val="0"/>
      <w:marBottom w:val="0"/>
      <w:divBdr>
        <w:top w:val="none" w:sz="0" w:space="0" w:color="auto"/>
        <w:left w:val="none" w:sz="0" w:space="0" w:color="auto"/>
        <w:bottom w:val="none" w:sz="0" w:space="0" w:color="auto"/>
        <w:right w:val="none" w:sz="0" w:space="0" w:color="auto"/>
      </w:divBdr>
    </w:div>
    <w:div w:id="1544442287">
      <w:marLeft w:val="0"/>
      <w:marRight w:val="0"/>
      <w:marTop w:val="0"/>
      <w:marBottom w:val="0"/>
      <w:divBdr>
        <w:top w:val="none" w:sz="0" w:space="0" w:color="auto"/>
        <w:left w:val="none" w:sz="0" w:space="0" w:color="auto"/>
        <w:bottom w:val="none" w:sz="0" w:space="0" w:color="auto"/>
        <w:right w:val="none" w:sz="0" w:space="0" w:color="auto"/>
      </w:divBdr>
    </w:div>
    <w:div w:id="1544442288">
      <w:marLeft w:val="0"/>
      <w:marRight w:val="0"/>
      <w:marTop w:val="0"/>
      <w:marBottom w:val="0"/>
      <w:divBdr>
        <w:top w:val="none" w:sz="0" w:space="0" w:color="auto"/>
        <w:left w:val="none" w:sz="0" w:space="0" w:color="auto"/>
        <w:bottom w:val="none" w:sz="0" w:space="0" w:color="auto"/>
        <w:right w:val="none" w:sz="0" w:space="0" w:color="auto"/>
      </w:divBdr>
    </w:div>
    <w:div w:id="1544442289">
      <w:marLeft w:val="0"/>
      <w:marRight w:val="0"/>
      <w:marTop w:val="0"/>
      <w:marBottom w:val="0"/>
      <w:divBdr>
        <w:top w:val="none" w:sz="0" w:space="0" w:color="auto"/>
        <w:left w:val="none" w:sz="0" w:space="0" w:color="auto"/>
        <w:bottom w:val="none" w:sz="0" w:space="0" w:color="auto"/>
        <w:right w:val="none" w:sz="0" w:space="0" w:color="auto"/>
      </w:divBdr>
    </w:div>
    <w:div w:id="1544442290">
      <w:marLeft w:val="0"/>
      <w:marRight w:val="0"/>
      <w:marTop w:val="0"/>
      <w:marBottom w:val="0"/>
      <w:divBdr>
        <w:top w:val="none" w:sz="0" w:space="0" w:color="auto"/>
        <w:left w:val="none" w:sz="0" w:space="0" w:color="auto"/>
        <w:bottom w:val="none" w:sz="0" w:space="0" w:color="auto"/>
        <w:right w:val="none" w:sz="0" w:space="0" w:color="auto"/>
      </w:divBdr>
    </w:div>
    <w:div w:id="1544442291">
      <w:marLeft w:val="0"/>
      <w:marRight w:val="0"/>
      <w:marTop w:val="0"/>
      <w:marBottom w:val="0"/>
      <w:divBdr>
        <w:top w:val="none" w:sz="0" w:space="0" w:color="auto"/>
        <w:left w:val="none" w:sz="0" w:space="0" w:color="auto"/>
        <w:bottom w:val="none" w:sz="0" w:space="0" w:color="auto"/>
        <w:right w:val="none" w:sz="0" w:space="0" w:color="auto"/>
      </w:divBdr>
    </w:div>
    <w:div w:id="1544442292">
      <w:marLeft w:val="0"/>
      <w:marRight w:val="0"/>
      <w:marTop w:val="0"/>
      <w:marBottom w:val="0"/>
      <w:divBdr>
        <w:top w:val="none" w:sz="0" w:space="0" w:color="auto"/>
        <w:left w:val="none" w:sz="0" w:space="0" w:color="auto"/>
        <w:bottom w:val="none" w:sz="0" w:space="0" w:color="auto"/>
        <w:right w:val="none" w:sz="0" w:space="0" w:color="auto"/>
      </w:divBdr>
    </w:div>
    <w:div w:id="1544442293">
      <w:marLeft w:val="0"/>
      <w:marRight w:val="0"/>
      <w:marTop w:val="0"/>
      <w:marBottom w:val="0"/>
      <w:divBdr>
        <w:top w:val="none" w:sz="0" w:space="0" w:color="auto"/>
        <w:left w:val="none" w:sz="0" w:space="0" w:color="auto"/>
        <w:bottom w:val="none" w:sz="0" w:space="0" w:color="auto"/>
        <w:right w:val="none" w:sz="0" w:space="0" w:color="auto"/>
      </w:divBdr>
    </w:div>
    <w:div w:id="1544442294">
      <w:marLeft w:val="0"/>
      <w:marRight w:val="0"/>
      <w:marTop w:val="0"/>
      <w:marBottom w:val="0"/>
      <w:divBdr>
        <w:top w:val="none" w:sz="0" w:space="0" w:color="auto"/>
        <w:left w:val="none" w:sz="0" w:space="0" w:color="auto"/>
        <w:bottom w:val="none" w:sz="0" w:space="0" w:color="auto"/>
        <w:right w:val="none" w:sz="0" w:space="0" w:color="auto"/>
      </w:divBdr>
    </w:div>
    <w:div w:id="1544442295">
      <w:marLeft w:val="0"/>
      <w:marRight w:val="0"/>
      <w:marTop w:val="0"/>
      <w:marBottom w:val="0"/>
      <w:divBdr>
        <w:top w:val="none" w:sz="0" w:space="0" w:color="auto"/>
        <w:left w:val="none" w:sz="0" w:space="0" w:color="auto"/>
        <w:bottom w:val="none" w:sz="0" w:space="0" w:color="auto"/>
        <w:right w:val="none" w:sz="0" w:space="0" w:color="auto"/>
      </w:divBdr>
    </w:div>
    <w:div w:id="1544442296">
      <w:marLeft w:val="0"/>
      <w:marRight w:val="0"/>
      <w:marTop w:val="0"/>
      <w:marBottom w:val="0"/>
      <w:divBdr>
        <w:top w:val="none" w:sz="0" w:space="0" w:color="auto"/>
        <w:left w:val="none" w:sz="0" w:space="0" w:color="auto"/>
        <w:bottom w:val="none" w:sz="0" w:space="0" w:color="auto"/>
        <w:right w:val="none" w:sz="0" w:space="0" w:color="auto"/>
      </w:divBdr>
    </w:div>
    <w:div w:id="1544442297">
      <w:marLeft w:val="0"/>
      <w:marRight w:val="0"/>
      <w:marTop w:val="0"/>
      <w:marBottom w:val="0"/>
      <w:divBdr>
        <w:top w:val="none" w:sz="0" w:space="0" w:color="auto"/>
        <w:left w:val="none" w:sz="0" w:space="0" w:color="auto"/>
        <w:bottom w:val="none" w:sz="0" w:space="0" w:color="auto"/>
        <w:right w:val="none" w:sz="0" w:space="0" w:color="auto"/>
      </w:divBdr>
    </w:div>
    <w:div w:id="1544442298">
      <w:marLeft w:val="0"/>
      <w:marRight w:val="0"/>
      <w:marTop w:val="0"/>
      <w:marBottom w:val="0"/>
      <w:divBdr>
        <w:top w:val="none" w:sz="0" w:space="0" w:color="auto"/>
        <w:left w:val="none" w:sz="0" w:space="0" w:color="auto"/>
        <w:bottom w:val="none" w:sz="0" w:space="0" w:color="auto"/>
        <w:right w:val="none" w:sz="0" w:space="0" w:color="auto"/>
      </w:divBdr>
    </w:div>
    <w:div w:id="1544442299">
      <w:marLeft w:val="0"/>
      <w:marRight w:val="0"/>
      <w:marTop w:val="0"/>
      <w:marBottom w:val="0"/>
      <w:divBdr>
        <w:top w:val="none" w:sz="0" w:space="0" w:color="auto"/>
        <w:left w:val="none" w:sz="0" w:space="0" w:color="auto"/>
        <w:bottom w:val="none" w:sz="0" w:space="0" w:color="auto"/>
        <w:right w:val="none" w:sz="0" w:space="0" w:color="auto"/>
      </w:divBdr>
    </w:div>
    <w:div w:id="1544442300">
      <w:marLeft w:val="0"/>
      <w:marRight w:val="0"/>
      <w:marTop w:val="0"/>
      <w:marBottom w:val="0"/>
      <w:divBdr>
        <w:top w:val="none" w:sz="0" w:space="0" w:color="auto"/>
        <w:left w:val="none" w:sz="0" w:space="0" w:color="auto"/>
        <w:bottom w:val="none" w:sz="0" w:space="0" w:color="auto"/>
        <w:right w:val="none" w:sz="0" w:space="0" w:color="auto"/>
      </w:divBdr>
    </w:div>
    <w:div w:id="1544442301">
      <w:marLeft w:val="0"/>
      <w:marRight w:val="0"/>
      <w:marTop w:val="0"/>
      <w:marBottom w:val="0"/>
      <w:divBdr>
        <w:top w:val="none" w:sz="0" w:space="0" w:color="auto"/>
        <w:left w:val="none" w:sz="0" w:space="0" w:color="auto"/>
        <w:bottom w:val="none" w:sz="0" w:space="0" w:color="auto"/>
        <w:right w:val="none" w:sz="0" w:space="0" w:color="auto"/>
      </w:divBdr>
    </w:div>
    <w:div w:id="1544442302">
      <w:marLeft w:val="0"/>
      <w:marRight w:val="0"/>
      <w:marTop w:val="0"/>
      <w:marBottom w:val="0"/>
      <w:divBdr>
        <w:top w:val="none" w:sz="0" w:space="0" w:color="auto"/>
        <w:left w:val="none" w:sz="0" w:space="0" w:color="auto"/>
        <w:bottom w:val="none" w:sz="0" w:space="0" w:color="auto"/>
        <w:right w:val="none" w:sz="0" w:space="0" w:color="auto"/>
      </w:divBdr>
    </w:div>
    <w:div w:id="1544442303">
      <w:marLeft w:val="0"/>
      <w:marRight w:val="0"/>
      <w:marTop w:val="0"/>
      <w:marBottom w:val="0"/>
      <w:divBdr>
        <w:top w:val="none" w:sz="0" w:space="0" w:color="auto"/>
        <w:left w:val="none" w:sz="0" w:space="0" w:color="auto"/>
        <w:bottom w:val="none" w:sz="0" w:space="0" w:color="auto"/>
        <w:right w:val="none" w:sz="0" w:space="0" w:color="auto"/>
      </w:divBdr>
    </w:div>
    <w:div w:id="1544442304">
      <w:marLeft w:val="0"/>
      <w:marRight w:val="0"/>
      <w:marTop w:val="0"/>
      <w:marBottom w:val="0"/>
      <w:divBdr>
        <w:top w:val="none" w:sz="0" w:space="0" w:color="auto"/>
        <w:left w:val="none" w:sz="0" w:space="0" w:color="auto"/>
        <w:bottom w:val="none" w:sz="0" w:space="0" w:color="auto"/>
        <w:right w:val="none" w:sz="0" w:space="0" w:color="auto"/>
      </w:divBdr>
    </w:div>
    <w:div w:id="1544442305">
      <w:marLeft w:val="0"/>
      <w:marRight w:val="0"/>
      <w:marTop w:val="0"/>
      <w:marBottom w:val="0"/>
      <w:divBdr>
        <w:top w:val="none" w:sz="0" w:space="0" w:color="auto"/>
        <w:left w:val="none" w:sz="0" w:space="0" w:color="auto"/>
        <w:bottom w:val="none" w:sz="0" w:space="0" w:color="auto"/>
        <w:right w:val="none" w:sz="0" w:space="0" w:color="auto"/>
      </w:divBdr>
    </w:div>
    <w:div w:id="1544442306">
      <w:marLeft w:val="0"/>
      <w:marRight w:val="0"/>
      <w:marTop w:val="0"/>
      <w:marBottom w:val="0"/>
      <w:divBdr>
        <w:top w:val="none" w:sz="0" w:space="0" w:color="auto"/>
        <w:left w:val="none" w:sz="0" w:space="0" w:color="auto"/>
        <w:bottom w:val="none" w:sz="0" w:space="0" w:color="auto"/>
        <w:right w:val="none" w:sz="0" w:space="0" w:color="auto"/>
      </w:divBdr>
    </w:div>
    <w:div w:id="1544442307">
      <w:marLeft w:val="0"/>
      <w:marRight w:val="0"/>
      <w:marTop w:val="0"/>
      <w:marBottom w:val="0"/>
      <w:divBdr>
        <w:top w:val="none" w:sz="0" w:space="0" w:color="auto"/>
        <w:left w:val="none" w:sz="0" w:space="0" w:color="auto"/>
        <w:bottom w:val="none" w:sz="0" w:space="0" w:color="auto"/>
        <w:right w:val="none" w:sz="0" w:space="0" w:color="auto"/>
      </w:divBdr>
    </w:div>
    <w:div w:id="1544442308">
      <w:marLeft w:val="0"/>
      <w:marRight w:val="0"/>
      <w:marTop w:val="0"/>
      <w:marBottom w:val="0"/>
      <w:divBdr>
        <w:top w:val="none" w:sz="0" w:space="0" w:color="auto"/>
        <w:left w:val="none" w:sz="0" w:space="0" w:color="auto"/>
        <w:bottom w:val="none" w:sz="0" w:space="0" w:color="auto"/>
        <w:right w:val="none" w:sz="0" w:space="0" w:color="auto"/>
      </w:divBdr>
    </w:div>
    <w:div w:id="1544442309">
      <w:marLeft w:val="0"/>
      <w:marRight w:val="0"/>
      <w:marTop w:val="0"/>
      <w:marBottom w:val="0"/>
      <w:divBdr>
        <w:top w:val="none" w:sz="0" w:space="0" w:color="auto"/>
        <w:left w:val="none" w:sz="0" w:space="0" w:color="auto"/>
        <w:bottom w:val="none" w:sz="0" w:space="0" w:color="auto"/>
        <w:right w:val="none" w:sz="0" w:space="0" w:color="auto"/>
      </w:divBdr>
    </w:div>
    <w:div w:id="1544442310">
      <w:marLeft w:val="0"/>
      <w:marRight w:val="0"/>
      <w:marTop w:val="0"/>
      <w:marBottom w:val="0"/>
      <w:divBdr>
        <w:top w:val="none" w:sz="0" w:space="0" w:color="auto"/>
        <w:left w:val="none" w:sz="0" w:space="0" w:color="auto"/>
        <w:bottom w:val="none" w:sz="0" w:space="0" w:color="auto"/>
        <w:right w:val="none" w:sz="0" w:space="0" w:color="auto"/>
      </w:divBdr>
    </w:div>
    <w:div w:id="1544442311">
      <w:marLeft w:val="0"/>
      <w:marRight w:val="0"/>
      <w:marTop w:val="0"/>
      <w:marBottom w:val="0"/>
      <w:divBdr>
        <w:top w:val="none" w:sz="0" w:space="0" w:color="auto"/>
        <w:left w:val="none" w:sz="0" w:space="0" w:color="auto"/>
        <w:bottom w:val="none" w:sz="0" w:space="0" w:color="auto"/>
        <w:right w:val="none" w:sz="0" w:space="0" w:color="auto"/>
      </w:divBdr>
    </w:div>
    <w:div w:id="1544442312">
      <w:marLeft w:val="0"/>
      <w:marRight w:val="0"/>
      <w:marTop w:val="0"/>
      <w:marBottom w:val="0"/>
      <w:divBdr>
        <w:top w:val="none" w:sz="0" w:space="0" w:color="auto"/>
        <w:left w:val="none" w:sz="0" w:space="0" w:color="auto"/>
        <w:bottom w:val="none" w:sz="0" w:space="0" w:color="auto"/>
        <w:right w:val="none" w:sz="0" w:space="0" w:color="auto"/>
      </w:divBdr>
    </w:div>
    <w:div w:id="1544442313">
      <w:marLeft w:val="0"/>
      <w:marRight w:val="0"/>
      <w:marTop w:val="0"/>
      <w:marBottom w:val="0"/>
      <w:divBdr>
        <w:top w:val="none" w:sz="0" w:space="0" w:color="auto"/>
        <w:left w:val="none" w:sz="0" w:space="0" w:color="auto"/>
        <w:bottom w:val="none" w:sz="0" w:space="0" w:color="auto"/>
        <w:right w:val="none" w:sz="0" w:space="0" w:color="auto"/>
      </w:divBdr>
    </w:div>
    <w:div w:id="1544442314">
      <w:marLeft w:val="0"/>
      <w:marRight w:val="0"/>
      <w:marTop w:val="0"/>
      <w:marBottom w:val="0"/>
      <w:divBdr>
        <w:top w:val="none" w:sz="0" w:space="0" w:color="auto"/>
        <w:left w:val="none" w:sz="0" w:space="0" w:color="auto"/>
        <w:bottom w:val="none" w:sz="0" w:space="0" w:color="auto"/>
        <w:right w:val="none" w:sz="0" w:space="0" w:color="auto"/>
      </w:divBdr>
    </w:div>
    <w:div w:id="1544442315">
      <w:marLeft w:val="0"/>
      <w:marRight w:val="0"/>
      <w:marTop w:val="0"/>
      <w:marBottom w:val="0"/>
      <w:divBdr>
        <w:top w:val="none" w:sz="0" w:space="0" w:color="auto"/>
        <w:left w:val="none" w:sz="0" w:space="0" w:color="auto"/>
        <w:bottom w:val="none" w:sz="0" w:space="0" w:color="auto"/>
        <w:right w:val="none" w:sz="0" w:space="0" w:color="auto"/>
      </w:divBdr>
    </w:div>
    <w:div w:id="1544442316">
      <w:marLeft w:val="0"/>
      <w:marRight w:val="0"/>
      <w:marTop w:val="0"/>
      <w:marBottom w:val="0"/>
      <w:divBdr>
        <w:top w:val="none" w:sz="0" w:space="0" w:color="auto"/>
        <w:left w:val="none" w:sz="0" w:space="0" w:color="auto"/>
        <w:bottom w:val="none" w:sz="0" w:space="0" w:color="auto"/>
        <w:right w:val="none" w:sz="0" w:space="0" w:color="auto"/>
      </w:divBdr>
    </w:div>
    <w:div w:id="1544442317">
      <w:marLeft w:val="0"/>
      <w:marRight w:val="0"/>
      <w:marTop w:val="0"/>
      <w:marBottom w:val="0"/>
      <w:divBdr>
        <w:top w:val="none" w:sz="0" w:space="0" w:color="auto"/>
        <w:left w:val="none" w:sz="0" w:space="0" w:color="auto"/>
        <w:bottom w:val="none" w:sz="0" w:space="0" w:color="auto"/>
        <w:right w:val="none" w:sz="0" w:space="0" w:color="auto"/>
      </w:divBdr>
    </w:div>
    <w:div w:id="1544442318">
      <w:marLeft w:val="0"/>
      <w:marRight w:val="0"/>
      <w:marTop w:val="0"/>
      <w:marBottom w:val="0"/>
      <w:divBdr>
        <w:top w:val="none" w:sz="0" w:space="0" w:color="auto"/>
        <w:left w:val="none" w:sz="0" w:space="0" w:color="auto"/>
        <w:bottom w:val="none" w:sz="0" w:space="0" w:color="auto"/>
        <w:right w:val="none" w:sz="0" w:space="0" w:color="auto"/>
      </w:divBdr>
    </w:div>
    <w:div w:id="1544442319">
      <w:marLeft w:val="0"/>
      <w:marRight w:val="0"/>
      <w:marTop w:val="0"/>
      <w:marBottom w:val="0"/>
      <w:divBdr>
        <w:top w:val="none" w:sz="0" w:space="0" w:color="auto"/>
        <w:left w:val="none" w:sz="0" w:space="0" w:color="auto"/>
        <w:bottom w:val="none" w:sz="0" w:space="0" w:color="auto"/>
        <w:right w:val="none" w:sz="0" w:space="0" w:color="auto"/>
      </w:divBdr>
    </w:div>
    <w:div w:id="1544442320">
      <w:marLeft w:val="0"/>
      <w:marRight w:val="0"/>
      <w:marTop w:val="0"/>
      <w:marBottom w:val="0"/>
      <w:divBdr>
        <w:top w:val="none" w:sz="0" w:space="0" w:color="auto"/>
        <w:left w:val="none" w:sz="0" w:space="0" w:color="auto"/>
        <w:bottom w:val="none" w:sz="0" w:space="0" w:color="auto"/>
        <w:right w:val="none" w:sz="0" w:space="0" w:color="auto"/>
      </w:divBdr>
    </w:div>
    <w:div w:id="1544442321">
      <w:marLeft w:val="0"/>
      <w:marRight w:val="0"/>
      <w:marTop w:val="0"/>
      <w:marBottom w:val="0"/>
      <w:divBdr>
        <w:top w:val="none" w:sz="0" w:space="0" w:color="auto"/>
        <w:left w:val="none" w:sz="0" w:space="0" w:color="auto"/>
        <w:bottom w:val="none" w:sz="0" w:space="0" w:color="auto"/>
        <w:right w:val="none" w:sz="0" w:space="0" w:color="auto"/>
      </w:divBdr>
    </w:div>
    <w:div w:id="1544442322">
      <w:marLeft w:val="0"/>
      <w:marRight w:val="0"/>
      <w:marTop w:val="0"/>
      <w:marBottom w:val="0"/>
      <w:divBdr>
        <w:top w:val="none" w:sz="0" w:space="0" w:color="auto"/>
        <w:left w:val="none" w:sz="0" w:space="0" w:color="auto"/>
        <w:bottom w:val="none" w:sz="0" w:space="0" w:color="auto"/>
        <w:right w:val="none" w:sz="0" w:space="0" w:color="auto"/>
      </w:divBdr>
    </w:div>
    <w:div w:id="1544442323">
      <w:marLeft w:val="0"/>
      <w:marRight w:val="0"/>
      <w:marTop w:val="0"/>
      <w:marBottom w:val="0"/>
      <w:divBdr>
        <w:top w:val="none" w:sz="0" w:space="0" w:color="auto"/>
        <w:left w:val="none" w:sz="0" w:space="0" w:color="auto"/>
        <w:bottom w:val="none" w:sz="0" w:space="0" w:color="auto"/>
        <w:right w:val="none" w:sz="0" w:space="0" w:color="auto"/>
      </w:divBdr>
    </w:div>
    <w:div w:id="1544442324">
      <w:marLeft w:val="0"/>
      <w:marRight w:val="0"/>
      <w:marTop w:val="0"/>
      <w:marBottom w:val="0"/>
      <w:divBdr>
        <w:top w:val="none" w:sz="0" w:space="0" w:color="auto"/>
        <w:left w:val="none" w:sz="0" w:space="0" w:color="auto"/>
        <w:bottom w:val="none" w:sz="0" w:space="0" w:color="auto"/>
        <w:right w:val="none" w:sz="0" w:space="0" w:color="auto"/>
      </w:divBdr>
    </w:div>
    <w:div w:id="154444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13</Pages>
  <Words>2632</Words>
  <Characters>15004</Characters>
  <Application>Microsoft Office Outlook</Application>
  <DocSecurity>0</DocSecurity>
  <Lines>0</Lines>
  <Paragraphs>0</Paragraphs>
  <ScaleCrop>false</ScaleCrop>
  <Company>Federal Court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Joshua Marczenko</dc:creator>
  <cp:keywords/>
  <dc:description/>
  <cp:lastModifiedBy> </cp:lastModifiedBy>
  <cp:revision>2</cp:revision>
  <cp:lastPrinted>2010-09-01T03:31:00Z</cp:lastPrinted>
  <dcterms:created xsi:type="dcterms:W3CDTF">2010-10-12T03:50:00Z</dcterms:created>
  <dcterms:modified xsi:type="dcterms:W3CDTF">2010-10-12T03:50:00Z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LAW FOR A REVIEW OF A DISTRIBUTION DETERMINATION MADE BY THE AUSTRALIAN ENERGY REGULATOR IN RELATION TO ENERGEX LIMITED PURSUANT TO CLAUSE 6.11.1 OF THE NATIONAL ELECTRITICY RULES</vt:lpwstr>
  </property>
  <property fmtid="{D5CDD505-2E9C-101B-9397-08002B2CF9AE}" pid="3" name="Judge" linkTarget="Judge">
    <vt:lpwstr>MIDDLETON J</vt:lpwstr>
  </property>
  <property fmtid="{D5CDD505-2E9C-101B-9397-08002B2CF9AE}" pid="4" name="Judgment_dated" linkTarget="Judgment_dated">
    <vt:lpwstr>24 AUGUST 2010</vt:lpwstr>
  </property>
  <property fmtid="{D5CDD505-2E9C-101B-9397-08002B2CF9AE}" pid="5" name="Distribution" linkTarget="Distribution">
    <vt:lpwstr>GENERAL DISTRIBUTION</vt:lpwstr>
  </property>
  <property fmtid="{D5CDD505-2E9C-101B-9397-08002B2CF9AE}" pid="6" name="MNC" linkTarget="MNC">
    <vt:lpwstr>In the matter of Energex Limited [2010] ACompT 3</vt:lpwstr>
  </property>
  <property fmtid="{D5CDD505-2E9C-101B-9397-08002B2CF9AE}" pid="7" name="File_Number" linkTarget="Num">
    <vt:lpwstr>File No 2 of 2010</vt:lpwstr>
  </property>
  <property fmtid="{D5CDD505-2E9C-101B-9397-08002B2CF9AE}" pid="8" name="Pages">
    <vt:lpwstr>13</vt:lpwstr>
  </property>
  <property fmtid="{D5CDD505-2E9C-101B-9397-08002B2CF9AE}" pid="9" name="Parties" linkTarget="MNC">
    <vt:lpwstr>In the matter of Energex Limited [2010] ACompT 3</vt:lpwstr>
  </property>
  <property fmtid="{D5CDD505-2E9C-101B-9397-08002B2CF9AE}" pid="10" name="Place" linkTarget="Place">
    <vt:lpwstr>MELBOURNE</vt:lpwstr>
  </property>
  <property fmtid="{D5CDD505-2E9C-101B-9397-08002B2CF9AE}" pid="11" name="State" linkTarget="State">
    <vt:lpwstr>VICTORIA</vt:lpwstr>
  </property>
  <property fmtid="{D5CDD505-2E9C-101B-9397-08002B2CF9AE}" pid="12" name="Year">
    <vt:lpwstr>2006</vt:lpwstr>
  </property>
  <property fmtid="{D5CDD505-2E9C-101B-9397-08002B2CF9AE}" pid="13" name="Judgment Template">
    <vt:lpwstr>True</vt:lpwstr>
  </property>
  <property fmtid="{D5CDD505-2E9C-101B-9397-08002B2CF9AE}" pid="14" name="Legislation">
    <vt:lpwstr>Legislation</vt:lpwstr>
  </property>
  <property fmtid="{D5CDD505-2E9C-101B-9397-08002B2CF9AE}" pid="15" name="Catchwords">
    <vt:lpwstr>Catchwords</vt:lpwstr>
  </property>
  <property fmtid="{D5CDD505-2E9C-101B-9397-08002B2CF9AE}" pid="16" name="Words_Phrases">
    <vt:lpwstr>WordsPhrases</vt:lpwstr>
  </property>
  <property fmtid="{D5CDD505-2E9C-101B-9397-08002B2CF9AE}" pid="17" name="Cases_Cited">
    <vt:lpwstr>CasesCited</vt:lpwstr>
  </property>
</Properties>
</file>