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4D" w:rsidRDefault="005E66C6">
      <w:pPr>
        <w:pStyle w:val="NormalHeadings"/>
        <w:jc w:val="center"/>
        <w:rPr>
          <w:sz w:val="32"/>
        </w:rPr>
      </w:pPr>
      <w:bookmarkStart w:id="0" w:name="_GoBack"/>
      <w:bookmarkEnd w:id="0"/>
      <w:r>
        <w:rPr>
          <w:sz w:val="32"/>
        </w:rPr>
        <w:t>FEDERAL COURT OF AUSTRALIA</w:t>
      </w:r>
    </w:p>
    <w:p w:rsidR="00503D4D" w:rsidRDefault="00503D4D">
      <w:pPr>
        <w:pStyle w:val="NormalHeadings"/>
        <w:jc w:val="center"/>
        <w:rPr>
          <w:sz w:val="32"/>
        </w:rPr>
      </w:pPr>
    </w:p>
    <w:p w:rsidR="00503D4D" w:rsidRDefault="00B563E2">
      <w:pPr>
        <w:pStyle w:val="MediaNeutralStyle"/>
      </w:pPr>
      <w:bookmarkStart w:id="1" w:name="MNC"/>
      <w:r w:rsidRPr="00B563E2">
        <w:t>Fair Work Ombudsman v C</w:t>
      </w:r>
      <w:r>
        <w:t>rystal Carwash Cafe Pty Ltd (No </w:t>
      </w:r>
      <w:r w:rsidRPr="00B563E2">
        <w:t xml:space="preserve">2) [2014] </w:t>
      </w:r>
      <w:proofErr w:type="spellStart"/>
      <w:r w:rsidRPr="00B563E2">
        <w:t>FCA</w:t>
      </w:r>
      <w:proofErr w:type="spellEnd"/>
      <w:r w:rsidRPr="00B563E2">
        <w:t xml:space="preserve"> </w:t>
      </w:r>
      <w:r w:rsidR="00BA42AA">
        <w:t>827</w:t>
      </w:r>
      <w:r w:rsidR="005E66C6">
        <w:t xml:space="preserve"> </w:t>
      </w:r>
      <w:bookmarkEnd w:id="1"/>
    </w:p>
    <w:p w:rsidR="00503D4D" w:rsidRDefault="00503D4D">
      <w:pPr>
        <w:pStyle w:val="Normal1linespace"/>
      </w:pPr>
    </w:p>
    <w:tbl>
      <w:tblPr>
        <w:tblW w:w="0" w:type="auto"/>
        <w:tblLook w:val="01E0" w:firstRow="1" w:lastRow="1" w:firstColumn="1" w:lastColumn="1" w:noHBand="0" w:noVBand="0"/>
      </w:tblPr>
      <w:tblGrid>
        <w:gridCol w:w="3085"/>
        <w:gridCol w:w="5954"/>
        <w:gridCol w:w="25"/>
      </w:tblGrid>
      <w:tr w:rsidR="00503D4D">
        <w:trPr>
          <w:gridAfter w:val="1"/>
          <w:wAfter w:w="25" w:type="dxa"/>
        </w:trPr>
        <w:tc>
          <w:tcPr>
            <w:tcW w:w="3085" w:type="dxa"/>
            <w:shd w:val="clear" w:color="auto" w:fill="auto"/>
          </w:tcPr>
          <w:p w:rsidR="00503D4D" w:rsidRDefault="005E66C6">
            <w:pPr>
              <w:pStyle w:val="Normal1linespace"/>
              <w:widowControl w:val="0"/>
            </w:pPr>
            <w:r>
              <w:t>Citation:</w:t>
            </w:r>
          </w:p>
        </w:tc>
        <w:tc>
          <w:tcPr>
            <w:tcW w:w="5954" w:type="dxa"/>
            <w:shd w:val="clear" w:color="auto" w:fill="auto"/>
          </w:tcPr>
          <w:p w:rsidR="00503D4D" w:rsidRDefault="00B563E2" w:rsidP="00BA42AA">
            <w:pPr>
              <w:pStyle w:val="Normal1linespace"/>
              <w:widowControl w:val="0"/>
              <w:jc w:val="left"/>
            </w:pPr>
            <w:r w:rsidRPr="00B563E2">
              <w:t>Fair Work Ombudsman v C</w:t>
            </w:r>
            <w:r>
              <w:t>rystal Carwash Cafe Pty Ltd (No </w:t>
            </w:r>
            <w:r w:rsidRPr="00B563E2">
              <w:t xml:space="preserve">2) [2014] </w:t>
            </w:r>
            <w:proofErr w:type="spellStart"/>
            <w:r w:rsidRPr="00B563E2">
              <w:t>FCA</w:t>
            </w:r>
            <w:proofErr w:type="spellEnd"/>
            <w:r w:rsidRPr="00B563E2">
              <w:t xml:space="preserve"> </w:t>
            </w:r>
            <w:r w:rsidR="00BA42AA">
              <w:t>827</w:t>
            </w:r>
          </w:p>
        </w:tc>
      </w:tr>
      <w:tr w:rsidR="00503D4D">
        <w:trPr>
          <w:gridAfter w:val="1"/>
          <w:wAfter w:w="25" w:type="dxa"/>
        </w:trPr>
        <w:tc>
          <w:tcPr>
            <w:tcW w:w="3085" w:type="dxa"/>
            <w:shd w:val="clear" w:color="auto" w:fill="auto"/>
          </w:tcPr>
          <w:p w:rsidR="00503D4D" w:rsidRDefault="00503D4D">
            <w:pPr>
              <w:pStyle w:val="Normal1linespace"/>
              <w:widowControl w:val="0"/>
            </w:pPr>
          </w:p>
        </w:tc>
        <w:tc>
          <w:tcPr>
            <w:tcW w:w="5954" w:type="dxa"/>
            <w:shd w:val="clear" w:color="auto" w:fill="auto"/>
          </w:tcPr>
          <w:p w:rsidR="00503D4D" w:rsidRDefault="00503D4D">
            <w:pPr>
              <w:pStyle w:val="Normal1linespace"/>
              <w:widowControl w:val="0"/>
              <w:jc w:val="left"/>
            </w:pPr>
          </w:p>
        </w:tc>
      </w:tr>
      <w:tr w:rsidR="00503D4D">
        <w:trPr>
          <w:gridAfter w:val="1"/>
          <w:wAfter w:w="25" w:type="dxa"/>
        </w:trPr>
        <w:tc>
          <w:tcPr>
            <w:tcW w:w="3085" w:type="dxa"/>
            <w:shd w:val="clear" w:color="auto" w:fill="auto"/>
          </w:tcPr>
          <w:p w:rsidR="00503D4D" w:rsidRDefault="005E66C6">
            <w:pPr>
              <w:pStyle w:val="Normal1linespace"/>
              <w:widowControl w:val="0"/>
            </w:pPr>
            <w:r>
              <w:t>Parties:</w:t>
            </w:r>
          </w:p>
        </w:tc>
        <w:tc>
          <w:tcPr>
            <w:tcW w:w="5954" w:type="dxa"/>
            <w:shd w:val="clear" w:color="auto" w:fill="auto"/>
          </w:tcPr>
          <w:p w:rsidR="00503D4D" w:rsidRDefault="00B563E2" w:rsidP="00DF3269">
            <w:pPr>
              <w:pStyle w:val="Normal1linespace"/>
              <w:widowControl w:val="0"/>
              <w:jc w:val="left"/>
              <w:rPr>
                <w:b/>
              </w:rPr>
            </w:pPr>
            <w:bookmarkStart w:id="2" w:name="JudgmentFP"/>
            <w:r>
              <w:rPr>
                <w:b/>
              </w:rPr>
              <w:t xml:space="preserve">FAIR WORK OMBUDSMAN v </w:t>
            </w:r>
            <w:r w:rsidR="00001BBF">
              <w:rPr>
                <w:b/>
              </w:rPr>
              <w:t xml:space="preserve">CRYSTAL CARWASH CAFE PTY LTD </w:t>
            </w:r>
            <w:r w:rsidR="00DF3269">
              <w:rPr>
                <w:b/>
              </w:rPr>
              <w:t>(</w:t>
            </w:r>
            <w:proofErr w:type="spellStart"/>
            <w:r w:rsidR="00001BBF">
              <w:rPr>
                <w:b/>
              </w:rPr>
              <w:t>ACN</w:t>
            </w:r>
            <w:proofErr w:type="spellEnd"/>
            <w:r w:rsidR="00001BBF">
              <w:rPr>
                <w:b/>
              </w:rPr>
              <w:t xml:space="preserve"> 060 916 770</w:t>
            </w:r>
            <w:r w:rsidR="00DF3269">
              <w:rPr>
                <w:b/>
              </w:rPr>
              <w:t>)</w:t>
            </w:r>
            <w:r w:rsidR="00001BBF">
              <w:rPr>
                <w:b/>
              </w:rPr>
              <w:t xml:space="preserve">, ANTHONY </w:t>
            </w:r>
            <w:proofErr w:type="spellStart"/>
            <w:r w:rsidR="00001BBF">
              <w:rPr>
                <w:b/>
              </w:rPr>
              <w:t>SAHADE</w:t>
            </w:r>
            <w:proofErr w:type="spellEnd"/>
            <w:r w:rsidR="00001BBF">
              <w:rPr>
                <w:b/>
              </w:rPr>
              <w:t xml:space="preserve">, PETER </w:t>
            </w:r>
            <w:proofErr w:type="spellStart"/>
            <w:r w:rsidR="00001BBF">
              <w:rPr>
                <w:b/>
              </w:rPr>
              <w:t>KHOURI</w:t>
            </w:r>
            <w:proofErr w:type="spellEnd"/>
            <w:r w:rsidR="00001BBF">
              <w:rPr>
                <w:b/>
              </w:rPr>
              <w:t xml:space="preserve">, </w:t>
            </w:r>
            <w:proofErr w:type="spellStart"/>
            <w:r w:rsidR="00001BBF">
              <w:rPr>
                <w:b/>
              </w:rPr>
              <w:t>BADDINGTON</w:t>
            </w:r>
            <w:proofErr w:type="spellEnd"/>
            <w:r w:rsidR="00001BBF">
              <w:rPr>
                <w:b/>
              </w:rPr>
              <w:t xml:space="preserve"> PTY LTD </w:t>
            </w:r>
            <w:r w:rsidR="00DF3269">
              <w:rPr>
                <w:b/>
              </w:rPr>
              <w:t>(</w:t>
            </w:r>
            <w:proofErr w:type="spellStart"/>
            <w:r w:rsidR="00001BBF">
              <w:rPr>
                <w:b/>
              </w:rPr>
              <w:t>ACN</w:t>
            </w:r>
            <w:proofErr w:type="spellEnd"/>
            <w:r w:rsidR="00001BBF">
              <w:rPr>
                <w:b/>
              </w:rPr>
              <w:t xml:space="preserve"> 137 049 560</w:t>
            </w:r>
            <w:r w:rsidR="00DF3269">
              <w:rPr>
                <w:b/>
              </w:rPr>
              <w:t>)</w:t>
            </w:r>
            <w:r w:rsidR="00001BBF">
              <w:rPr>
                <w:b/>
              </w:rPr>
              <w:t xml:space="preserve">, </w:t>
            </w:r>
            <w:proofErr w:type="spellStart"/>
            <w:r w:rsidR="00001BBF">
              <w:rPr>
                <w:b/>
              </w:rPr>
              <w:t>SEEKTON</w:t>
            </w:r>
            <w:proofErr w:type="spellEnd"/>
            <w:r w:rsidR="00001BBF">
              <w:rPr>
                <w:b/>
              </w:rPr>
              <w:t xml:space="preserve"> PTY LTD </w:t>
            </w:r>
            <w:r w:rsidR="00DF3269">
              <w:rPr>
                <w:b/>
              </w:rPr>
              <w:t>(</w:t>
            </w:r>
            <w:proofErr w:type="spellStart"/>
            <w:r w:rsidR="00001BBF">
              <w:rPr>
                <w:b/>
              </w:rPr>
              <w:t>ACN</w:t>
            </w:r>
            <w:proofErr w:type="spellEnd"/>
            <w:r w:rsidR="00001BBF">
              <w:rPr>
                <w:b/>
              </w:rPr>
              <w:t xml:space="preserve"> 137 049 579</w:t>
            </w:r>
            <w:r w:rsidR="00DF3269">
              <w:rPr>
                <w:b/>
              </w:rPr>
              <w:t>)</w:t>
            </w:r>
            <w:r w:rsidR="00001BBF">
              <w:rPr>
                <w:b/>
              </w:rPr>
              <w:t xml:space="preserve">, </w:t>
            </w:r>
            <w:proofErr w:type="spellStart"/>
            <w:r w:rsidR="00001BBF">
              <w:rPr>
                <w:b/>
              </w:rPr>
              <w:t>OZREST</w:t>
            </w:r>
            <w:proofErr w:type="spellEnd"/>
            <w:r w:rsidR="00001BBF">
              <w:rPr>
                <w:b/>
              </w:rPr>
              <w:t xml:space="preserve"> PTY LTD </w:t>
            </w:r>
            <w:r w:rsidR="00DF3269">
              <w:rPr>
                <w:b/>
              </w:rPr>
              <w:t>(</w:t>
            </w:r>
            <w:proofErr w:type="spellStart"/>
            <w:r w:rsidR="00001BBF">
              <w:rPr>
                <w:b/>
              </w:rPr>
              <w:t>ACN</w:t>
            </w:r>
            <w:proofErr w:type="spellEnd"/>
            <w:r w:rsidR="00001BBF">
              <w:rPr>
                <w:b/>
              </w:rPr>
              <w:t xml:space="preserve"> 137 219 820</w:t>
            </w:r>
            <w:r w:rsidR="00DF3269">
              <w:rPr>
                <w:b/>
              </w:rPr>
              <w:t>)</w:t>
            </w:r>
            <w:r w:rsidR="00001BBF">
              <w:rPr>
                <w:b/>
              </w:rPr>
              <w:t xml:space="preserve">, </w:t>
            </w:r>
            <w:proofErr w:type="spellStart"/>
            <w:r w:rsidR="00001BBF">
              <w:rPr>
                <w:b/>
              </w:rPr>
              <w:t>SCHATRY</w:t>
            </w:r>
            <w:proofErr w:type="spellEnd"/>
            <w:r w:rsidR="00001BBF">
              <w:rPr>
                <w:b/>
              </w:rPr>
              <w:t xml:space="preserve"> PTY LTD </w:t>
            </w:r>
            <w:proofErr w:type="spellStart"/>
            <w:r w:rsidR="00001BBF">
              <w:rPr>
                <w:b/>
              </w:rPr>
              <w:t>ACN</w:t>
            </w:r>
            <w:proofErr w:type="spellEnd"/>
            <w:r w:rsidR="00001BBF">
              <w:rPr>
                <w:b/>
              </w:rPr>
              <w:t xml:space="preserve"> </w:t>
            </w:r>
            <w:r w:rsidR="00DF3269">
              <w:rPr>
                <w:b/>
              </w:rPr>
              <w:t>(</w:t>
            </w:r>
            <w:r w:rsidR="00001BBF">
              <w:rPr>
                <w:b/>
              </w:rPr>
              <w:t>137 219 802</w:t>
            </w:r>
            <w:r w:rsidR="00DF3269">
              <w:rPr>
                <w:b/>
              </w:rPr>
              <w:t>)</w:t>
            </w:r>
            <w:r w:rsidR="00001BBF">
              <w:rPr>
                <w:b/>
              </w:rPr>
              <w:t xml:space="preserve">, </w:t>
            </w:r>
            <w:proofErr w:type="spellStart"/>
            <w:r w:rsidR="00001BBF">
              <w:rPr>
                <w:b/>
              </w:rPr>
              <w:t>COOLJAM</w:t>
            </w:r>
            <w:proofErr w:type="spellEnd"/>
            <w:r w:rsidR="00001BBF">
              <w:rPr>
                <w:b/>
              </w:rPr>
              <w:t xml:space="preserve"> PTY LTD </w:t>
            </w:r>
            <w:r w:rsidR="00DF3269">
              <w:rPr>
                <w:b/>
              </w:rPr>
              <w:t>(</w:t>
            </w:r>
            <w:proofErr w:type="spellStart"/>
            <w:r w:rsidR="00001BBF">
              <w:rPr>
                <w:b/>
              </w:rPr>
              <w:t>ACN</w:t>
            </w:r>
            <w:proofErr w:type="spellEnd"/>
            <w:r w:rsidR="00001BBF">
              <w:rPr>
                <w:b/>
              </w:rPr>
              <w:t xml:space="preserve"> 141 762 352</w:t>
            </w:r>
            <w:r w:rsidR="00DF3269">
              <w:rPr>
                <w:b/>
              </w:rPr>
              <w:t>)</w:t>
            </w:r>
            <w:r w:rsidR="00001BBF">
              <w:rPr>
                <w:b/>
              </w:rPr>
              <w:t xml:space="preserve">, </w:t>
            </w:r>
            <w:proofErr w:type="spellStart"/>
            <w:r w:rsidR="00DF3269" w:rsidRPr="00DF3269">
              <w:rPr>
                <w:b/>
              </w:rPr>
              <w:t>OZRUN</w:t>
            </w:r>
            <w:proofErr w:type="spellEnd"/>
            <w:r w:rsidR="00DF3269" w:rsidRPr="00DF3269">
              <w:rPr>
                <w:b/>
              </w:rPr>
              <w:t xml:space="preserve"> PTY LTD (</w:t>
            </w:r>
            <w:proofErr w:type="spellStart"/>
            <w:r w:rsidR="00DF3269" w:rsidRPr="00DF3269">
              <w:rPr>
                <w:b/>
              </w:rPr>
              <w:t>ACN</w:t>
            </w:r>
            <w:proofErr w:type="spellEnd"/>
            <w:r w:rsidR="00DF3269" w:rsidRPr="00DF3269">
              <w:rPr>
                <w:b/>
              </w:rPr>
              <w:t xml:space="preserve"> 141 762 389)</w:t>
            </w:r>
            <w:r w:rsidR="00001BBF">
              <w:rPr>
                <w:b/>
              </w:rPr>
              <w:t xml:space="preserve">, </w:t>
            </w:r>
            <w:proofErr w:type="spellStart"/>
            <w:r w:rsidR="00001BBF">
              <w:rPr>
                <w:b/>
              </w:rPr>
              <w:t>TUSHAR</w:t>
            </w:r>
            <w:proofErr w:type="spellEnd"/>
            <w:r w:rsidR="00001BBF">
              <w:rPr>
                <w:b/>
              </w:rPr>
              <w:t xml:space="preserve"> INVESTMENTS PTY LTD </w:t>
            </w:r>
            <w:r w:rsidR="00DF3269">
              <w:rPr>
                <w:b/>
              </w:rPr>
              <w:t>(</w:t>
            </w:r>
            <w:proofErr w:type="spellStart"/>
            <w:r w:rsidR="00001BBF">
              <w:rPr>
                <w:b/>
              </w:rPr>
              <w:t>ACN</w:t>
            </w:r>
            <w:proofErr w:type="spellEnd"/>
            <w:r w:rsidR="00001BBF">
              <w:rPr>
                <w:b/>
              </w:rPr>
              <w:t xml:space="preserve"> 141 758 045</w:t>
            </w:r>
            <w:r w:rsidR="00DF3269">
              <w:rPr>
                <w:b/>
              </w:rPr>
              <w:t>)</w:t>
            </w:r>
            <w:r w:rsidR="00001BBF">
              <w:rPr>
                <w:b/>
              </w:rPr>
              <w:t xml:space="preserve">, LUCKY HORIZONS PTY LTD </w:t>
            </w:r>
            <w:r w:rsidR="00DF3269">
              <w:rPr>
                <w:b/>
              </w:rPr>
              <w:t>(</w:t>
            </w:r>
            <w:proofErr w:type="spellStart"/>
            <w:r w:rsidR="00001BBF">
              <w:rPr>
                <w:b/>
              </w:rPr>
              <w:t>ACN</w:t>
            </w:r>
            <w:proofErr w:type="spellEnd"/>
            <w:r w:rsidR="00001BBF">
              <w:rPr>
                <w:b/>
              </w:rPr>
              <w:t xml:space="preserve"> 144 648 975</w:t>
            </w:r>
            <w:r w:rsidR="00DF3269">
              <w:rPr>
                <w:b/>
              </w:rPr>
              <w:t>)</w:t>
            </w:r>
            <w:r w:rsidR="00001BBF">
              <w:rPr>
                <w:b/>
              </w:rPr>
              <w:t xml:space="preserve">, PEPPER STONE PTY LTD </w:t>
            </w:r>
            <w:r w:rsidR="00DF3269">
              <w:rPr>
                <w:b/>
              </w:rPr>
              <w:t>(</w:t>
            </w:r>
            <w:proofErr w:type="spellStart"/>
            <w:r w:rsidR="00001BBF">
              <w:rPr>
                <w:b/>
              </w:rPr>
              <w:t>ACN</w:t>
            </w:r>
            <w:proofErr w:type="spellEnd"/>
            <w:r w:rsidR="00001BBF">
              <w:rPr>
                <w:b/>
              </w:rPr>
              <w:t xml:space="preserve"> 144 649 427</w:t>
            </w:r>
            <w:r w:rsidR="00DF3269">
              <w:rPr>
                <w:b/>
              </w:rPr>
              <w:t>)</w:t>
            </w:r>
            <w:r w:rsidR="00001BBF">
              <w:rPr>
                <w:b/>
              </w:rPr>
              <w:t xml:space="preserve"> and OAK MINK PTY LTD </w:t>
            </w:r>
            <w:r w:rsidR="00DF3269">
              <w:rPr>
                <w:b/>
              </w:rPr>
              <w:t>(</w:t>
            </w:r>
            <w:proofErr w:type="spellStart"/>
            <w:r w:rsidR="00001BBF">
              <w:rPr>
                <w:b/>
              </w:rPr>
              <w:t>ACN</w:t>
            </w:r>
            <w:proofErr w:type="spellEnd"/>
            <w:r w:rsidR="00001BBF">
              <w:rPr>
                <w:b/>
              </w:rPr>
              <w:t xml:space="preserve"> 145 471 94</w:t>
            </w:r>
            <w:r w:rsidR="00DF3269">
              <w:rPr>
                <w:b/>
              </w:rPr>
              <w:t>1)</w:t>
            </w:r>
            <w:bookmarkEnd w:id="2"/>
          </w:p>
        </w:tc>
      </w:tr>
      <w:tr w:rsidR="00503D4D">
        <w:trPr>
          <w:gridAfter w:val="1"/>
          <w:wAfter w:w="25" w:type="dxa"/>
        </w:trPr>
        <w:tc>
          <w:tcPr>
            <w:tcW w:w="3085" w:type="dxa"/>
            <w:shd w:val="clear" w:color="auto" w:fill="auto"/>
          </w:tcPr>
          <w:p w:rsidR="00503D4D" w:rsidRDefault="00503D4D">
            <w:pPr>
              <w:pStyle w:val="Normal1linespace"/>
              <w:widowControl w:val="0"/>
            </w:pPr>
          </w:p>
        </w:tc>
        <w:tc>
          <w:tcPr>
            <w:tcW w:w="5954" w:type="dxa"/>
            <w:shd w:val="clear" w:color="auto" w:fill="auto"/>
          </w:tcPr>
          <w:p w:rsidR="00503D4D" w:rsidRDefault="00503D4D">
            <w:pPr>
              <w:pStyle w:val="Normal1linespace"/>
              <w:widowControl w:val="0"/>
              <w:jc w:val="left"/>
            </w:pPr>
          </w:p>
        </w:tc>
      </w:tr>
      <w:tr w:rsidR="00503D4D">
        <w:trPr>
          <w:gridAfter w:val="1"/>
          <w:wAfter w:w="25" w:type="dxa"/>
        </w:trPr>
        <w:tc>
          <w:tcPr>
            <w:tcW w:w="3085" w:type="dxa"/>
            <w:shd w:val="clear" w:color="auto" w:fill="auto"/>
          </w:tcPr>
          <w:p w:rsidR="00503D4D" w:rsidRDefault="005E66C6">
            <w:pPr>
              <w:pStyle w:val="Normal1linespace"/>
              <w:widowControl w:val="0"/>
            </w:pPr>
            <w:r>
              <w:t>File number(s):</w:t>
            </w:r>
          </w:p>
        </w:tc>
        <w:tc>
          <w:tcPr>
            <w:tcW w:w="5954" w:type="dxa"/>
            <w:shd w:val="clear" w:color="auto" w:fill="auto"/>
          </w:tcPr>
          <w:p w:rsidR="00503D4D" w:rsidRDefault="005E66C6">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E12760">
              <w:rPr>
                <w:szCs w:val="24"/>
              </w:rPr>
              <w:t>NSD</w:t>
            </w:r>
            <w:proofErr w:type="spellEnd"/>
            <w:r w:rsidR="00E12760">
              <w:rPr>
                <w:szCs w:val="24"/>
              </w:rPr>
              <w:t xml:space="preserve"> 1585 of 2012</w:t>
            </w:r>
            <w:r>
              <w:rPr>
                <w:szCs w:val="24"/>
              </w:rPr>
              <w:fldChar w:fldCharType="end"/>
            </w:r>
            <w:r w:rsidR="00DF3269">
              <w:rPr>
                <w:szCs w:val="24"/>
              </w:rPr>
              <w:t xml:space="preserve"> </w:t>
            </w:r>
          </w:p>
        </w:tc>
      </w:tr>
      <w:tr w:rsidR="00503D4D">
        <w:trPr>
          <w:gridAfter w:val="1"/>
          <w:wAfter w:w="25" w:type="dxa"/>
        </w:trPr>
        <w:tc>
          <w:tcPr>
            <w:tcW w:w="3085" w:type="dxa"/>
            <w:shd w:val="clear" w:color="auto" w:fill="auto"/>
          </w:tcPr>
          <w:p w:rsidR="00503D4D" w:rsidRDefault="00503D4D">
            <w:pPr>
              <w:pStyle w:val="Normal1linespace"/>
              <w:widowControl w:val="0"/>
            </w:pPr>
          </w:p>
        </w:tc>
        <w:tc>
          <w:tcPr>
            <w:tcW w:w="5954" w:type="dxa"/>
            <w:shd w:val="clear" w:color="auto" w:fill="auto"/>
          </w:tcPr>
          <w:p w:rsidR="00503D4D" w:rsidRDefault="00503D4D">
            <w:pPr>
              <w:pStyle w:val="Normal1linespace"/>
              <w:widowControl w:val="0"/>
              <w:jc w:val="left"/>
            </w:pPr>
          </w:p>
        </w:tc>
      </w:tr>
      <w:tr w:rsidR="00503D4D">
        <w:trPr>
          <w:gridAfter w:val="1"/>
          <w:wAfter w:w="25" w:type="dxa"/>
        </w:trPr>
        <w:tc>
          <w:tcPr>
            <w:tcW w:w="3085" w:type="dxa"/>
            <w:shd w:val="clear" w:color="auto" w:fill="auto"/>
          </w:tcPr>
          <w:p w:rsidR="00503D4D" w:rsidRDefault="005E66C6">
            <w:pPr>
              <w:pStyle w:val="Normal1linespace"/>
              <w:widowControl w:val="0"/>
            </w:pPr>
            <w:r>
              <w:t>Judge(s):</w:t>
            </w:r>
          </w:p>
        </w:tc>
        <w:tc>
          <w:tcPr>
            <w:tcW w:w="5954" w:type="dxa"/>
            <w:shd w:val="clear" w:color="auto" w:fill="auto"/>
          </w:tcPr>
          <w:p w:rsidR="00503D4D" w:rsidRDefault="005E66C6">
            <w:pPr>
              <w:pStyle w:val="Normal1linespace"/>
              <w:widowControl w:val="0"/>
              <w:jc w:val="left"/>
              <w:rPr>
                <w:b/>
              </w:rPr>
            </w:pPr>
            <w:r w:rsidRPr="00E12760">
              <w:rPr>
                <w:b/>
              </w:rPr>
              <w:fldChar w:fldCharType="begin" w:fldLock="1"/>
            </w:r>
            <w:r w:rsidRPr="00E12760">
              <w:rPr>
                <w:b/>
              </w:rPr>
              <w:instrText xml:space="preserve"> REF  Judge  \* MERGEFORMAT </w:instrText>
            </w:r>
            <w:r w:rsidRPr="00E12760">
              <w:rPr>
                <w:b/>
              </w:rPr>
              <w:fldChar w:fldCharType="separate"/>
            </w:r>
            <w:r w:rsidR="00E12760" w:rsidRPr="00E12760">
              <w:rPr>
                <w:b/>
                <w:caps/>
                <w:szCs w:val="24"/>
              </w:rPr>
              <w:t>BUCHANAN J</w:t>
            </w:r>
            <w:r w:rsidRPr="00E12760">
              <w:rPr>
                <w:b/>
              </w:rPr>
              <w:fldChar w:fldCharType="end"/>
            </w:r>
          </w:p>
        </w:tc>
      </w:tr>
      <w:tr w:rsidR="00503D4D">
        <w:trPr>
          <w:gridAfter w:val="1"/>
          <w:wAfter w:w="25" w:type="dxa"/>
        </w:trPr>
        <w:tc>
          <w:tcPr>
            <w:tcW w:w="3085" w:type="dxa"/>
            <w:shd w:val="clear" w:color="auto" w:fill="auto"/>
          </w:tcPr>
          <w:p w:rsidR="00503D4D" w:rsidRDefault="00503D4D">
            <w:pPr>
              <w:pStyle w:val="Normal1linespace"/>
              <w:widowControl w:val="0"/>
            </w:pPr>
          </w:p>
        </w:tc>
        <w:tc>
          <w:tcPr>
            <w:tcW w:w="5954" w:type="dxa"/>
            <w:shd w:val="clear" w:color="auto" w:fill="auto"/>
          </w:tcPr>
          <w:p w:rsidR="00503D4D" w:rsidRDefault="00503D4D">
            <w:pPr>
              <w:pStyle w:val="Normal1linespace"/>
              <w:widowControl w:val="0"/>
              <w:jc w:val="left"/>
            </w:pPr>
          </w:p>
        </w:tc>
      </w:tr>
      <w:tr w:rsidR="00503D4D">
        <w:trPr>
          <w:gridAfter w:val="1"/>
          <w:wAfter w:w="25" w:type="dxa"/>
        </w:trPr>
        <w:tc>
          <w:tcPr>
            <w:tcW w:w="3085" w:type="dxa"/>
            <w:shd w:val="clear" w:color="auto" w:fill="auto"/>
          </w:tcPr>
          <w:p w:rsidR="00503D4D" w:rsidRDefault="005E66C6">
            <w:pPr>
              <w:pStyle w:val="Normal1linespace"/>
              <w:widowControl w:val="0"/>
            </w:pPr>
            <w:r>
              <w:t>Date of judgment:</w:t>
            </w:r>
          </w:p>
        </w:tc>
        <w:tc>
          <w:tcPr>
            <w:tcW w:w="5954" w:type="dxa"/>
            <w:shd w:val="clear" w:color="auto" w:fill="auto"/>
          </w:tcPr>
          <w:p w:rsidR="00503D4D" w:rsidRDefault="00B66C77">
            <w:pPr>
              <w:pStyle w:val="Normal1linespace"/>
              <w:widowControl w:val="0"/>
              <w:jc w:val="left"/>
            </w:pPr>
            <w:bookmarkStart w:id="3" w:name="JudgmentDate"/>
            <w:r>
              <w:t xml:space="preserve">7 August </w:t>
            </w:r>
            <w:r w:rsidR="00E12760">
              <w:t>2014</w:t>
            </w:r>
            <w:bookmarkEnd w:id="3"/>
          </w:p>
        </w:tc>
      </w:tr>
      <w:tr w:rsidR="00503D4D">
        <w:trPr>
          <w:gridAfter w:val="1"/>
          <w:wAfter w:w="25" w:type="dxa"/>
        </w:trPr>
        <w:tc>
          <w:tcPr>
            <w:tcW w:w="3085" w:type="dxa"/>
            <w:shd w:val="clear" w:color="auto" w:fill="auto"/>
          </w:tcPr>
          <w:p w:rsidR="00503D4D" w:rsidRDefault="00503D4D">
            <w:pPr>
              <w:pStyle w:val="Normal1linespace"/>
              <w:widowControl w:val="0"/>
            </w:pPr>
          </w:p>
        </w:tc>
        <w:tc>
          <w:tcPr>
            <w:tcW w:w="5954" w:type="dxa"/>
            <w:shd w:val="clear" w:color="auto" w:fill="auto"/>
          </w:tcPr>
          <w:p w:rsidR="00503D4D" w:rsidRDefault="00503D4D">
            <w:pPr>
              <w:pStyle w:val="Normal1linespace"/>
              <w:widowControl w:val="0"/>
              <w:jc w:val="left"/>
            </w:pPr>
          </w:p>
        </w:tc>
      </w:tr>
      <w:tr w:rsidR="00503D4D">
        <w:trPr>
          <w:gridAfter w:val="1"/>
          <w:wAfter w:w="25" w:type="dxa"/>
        </w:trPr>
        <w:tc>
          <w:tcPr>
            <w:tcW w:w="3085" w:type="dxa"/>
            <w:shd w:val="clear" w:color="auto" w:fill="auto"/>
          </w:tcPr>
          <w:p w:rsidR="00503D4D" w:rsidRDefault="005E66C6">
            <w:pPr>
              <w:pStyle w:val="Normal1linespace"/>
              <w:widowControl w:val="0"/>
            </w:pPr>
            <w:r>
              <w:t>Catchwords:</w:t>
            </w:r>
          </w:p>
        </w:tc>
        <w:tc>
          <w:tcPr>
            <w:tcW w:w="5954" w:type="dxa"/>
            <w:shd w:val="clear" w:color="auto" w:fill="auto"/>
          </w:tcPr>
          <w:p w:rsidR="00503D4D" w:rsidRDefault="00B66C77" w:rsidP="002D2896">
            <w:pPr>
              <w:spacing w:line="240" w:lineRule="auto"/>
            </w:pPr>
            <w:bookmarkStart w:id="4" w:name="Catchwords"/>
            <w:r>
              <w:rPr>
                <w:b/>
              </w:rPr>
              <w:t>INDUSTRIAL LAW</w:t>
            </w:r>
            <w:r>
              <w:t xml:space="preserve"> – civil penalty proceedings – contraventions of </w:t>
            </w:r>
            <w:r>
              <w:rPr>
                <w:i/>
              </w:rPr>
              <w:t>Vehicle Manufacturing, Repair, Services and Retail Award 2010</w:t>
            </w:r>
            <w:r>
              <w:t xml:space="preserve"> (“the Award”) – underpayment of minimum rates of pay under the Award – underpayment of overtime entitlements under the Award – contravention of requirement to keep adequate records – whether contraventions were serious and part of a pattern of conduct – whether high range penalty is justified in the circumstances </w:t>
            </w:r>
            <w:r w:rsidR="004972B1">
              <w:t xml:space="preserve"> </w:t>
            </w:r>
            <w:bookmarkEnd w:id="4"/>
          </w:p>
        </w:tc>
      </w:tr>
      <w:tr w:rsidR="00503D4D">
        <w:trPr>
          <w:gridAfter w:val="1"/>
          <w:wAfter w:w="25" w:type="dxa"/>
        </w:trPr>
        <w:tc>
          <w:tcPr>
            <w:tcW w:w="3085" w:type="dxa"/>
            <w:shd w:val="clear" w:color="auto" w:fill="auto"/>
          </w:tcPr>
          <w:p w:rsidR="00503D4D" w:rsidRDefault="00503D4D">
            <w:pPr>
              <w:pStyle w:val="Normal1linespace"/>
              <w:widowControl w:val="0"/>
            </w:pPr>
          </w:p>
        </w:tc>
        <w:tc>
          <w:tcPr>
            <w:tcW w:w="5954" w:type="dxa"/>
            <w:shd w:val="clear" w:color="auto" w:fill="auto"/>
          </w:tcPr>
          <w:p w:rsidR="00503D4D" w:rsidRDefault="00503D4D">
            <w:pPr>
              <w:pStyle w:val="Normal1linespace"/>
              <w:widowControl w:val="0"/>
              <w:jc w:val="left"/>
            </w:pPr>
          </w:p>
        </w:tc>
      </w:tr>
      <w:tr w:rsidR="00503D4D">
        <w:trPr>
          <w:gridAfter w:val="1"/>
          <w:wAfter w:w="25" w:type="dxa"/>
        </w:trPr>
        <w:tc>
          <w:tcPr>
            <w:tcW w:w="3085" w:type="dxa"/>
            <w:shd w:val="clear" w:color="auto" w:fill="auto"/>
          </w:tcPr>
          <w:p w:rsidR="00503D4D" w:rsidRDefault="005E66C6">
            <w:pPr>
              <w:pStyle w:val="Normal1linespace"/>
              <w:widowControl w:val="0"/>
            </w:pPr>
            <w:r>
              <w:t>Legislation:</w:t>
            </w:r>
          </w:p>
        </w:tc>
        <w:tc>
          <w:tcPr>
            <w:tcW w:w="5954" w:type="dxa"/>
            <w:shd w:val="clear" w:color="auto" w:fill="auto"/>
          </w:tcPr>
          <w:p w:rsidR="00AF5A6C" w:rsidRDefault="00AF5A6C">
            <w:pPr>
              <w:pStyle w:val="Normal1linespace"/>
              <w:widowControl w:val="0"/>
              <w:jc w:val="left"/>
              <w:rPr>
                <w:i/>
              </w:rPr>
            </w:pPr>
            <w:bookmarkStart w:id="5" w:name="Legislation"/>
            <w:r w:rsidRPr="008319E2">
              <w:rPr>
                <w:i/>
              </w:rPr>
              <w:t>Evidence Act 1995</w:t>
            </w:r>
            <w:r>
              <w:t xml:space="preserve"> (</w:t>
            </w:r>
            <w:proofErr w:type="spellStart"/>
            <w:r>
              <w:t>Cth</w:t>
            </w:r>
            <w:proofErr w:type="spellEnd"/>
            <w:r>
              <w:t xml:space="preserve">), s </w:t>
            </w:r>
            <w:r w:rsidRPr="00A308EC">
              <w:t>13</w:t>
            </w:r>
            <w:r w:rsidR="00965A5F" w:rsidRPr="00A308EC">
              <w:t>5</w:t>
            </w:r>
          </w:p>
          <w:p w:rsidR="00BC1097" w:rsidRDefault="00BC1097">
            <w:pPr>
              <w:pStyle w:val="Normal1linespace"/>
              <w:widowControl w:val="0"/>
              <w:jc w:val="left"/>
              <w:rPr>
                <w:i/>
              </w:rPr>
            </w:pPr>
            <w:r>
              <w:rPr>
                <w:i/>
              </w:rPr>
              <w:t>Fair Work Act 2009</w:t>
            </w:r>
            <w:r>
              <w:t xml:space="preserve"> (</w:t>
            </w:r>
            <w:proofErr w:type="spellStart"/>
            <w:r>
              <w:t>Cth</w:t>
            </w:r>
            <w:proofErr w:type="spellEnd"/>
            <w:r>
              <w:t>)</w:t>
            </w:r>
            <w:r w:rsidR="003C6E78">
              <w:t xml:space="preserve">, </w:t>
            </w:r>
            <w:proofErr w:type="spellStart"/>
            <w:r w:rsidR="003C6E78">
              <w:t>ss</w:t>
            </w:r>
            <w:proofErr w:type="spellEnd"/>
            <w:r w:rsidR="003C6E78">
              <w:t xml:space="preserve"> </w:t>
            </w:r>
            <w:r w:rsidR="001C2066" w:rsidRPr="00A308EC">
              <w:t xml:space="preserve">45, </w:t>
            </w:r>
            <w:r w:rsidR="00DF24F2" w:rsidRPr="00A308EC">
              <w:t xml:space="preserve">535(2), </w:t>
            </w:r>
            <w:r w:rsidR="007617FB" w:rsidRPr="00A308EC">
              <w:t xml:space="preserve">539(2), </w:t>
            </w:r>
            <w:r w:rsidR="00C94D62" w:rsidRPr="00A308EC">
              <w:t xml:space="preserve">539(2)(Item 2), 539(2)(Item 29), </w:t>
            </w:r>
            <w:r w:rsidR="00CE492C" w:rsidRPr="00A308EC">
              <w:t xml:space="preserve">546, </w:t>
            </w:r>
            <w:r w:rsidR="007617FB" w:rsidRPr="00A308EC">
              <w:t xml:space="preserve">546(2), </w:t>
            </w:r>
            <w:r w:rsidR="00D94A20" w:rsidRPr="00A308EC">
              <w:t xml:space="preserve">546(3), </w:t>
            </w:r>
            <w:r w:rsidR="00033B45" w:rsidRPr="00A308EC">
              <w:t xml:space="preserve">550, </w:t>
            </w:r>
            <w:r w:rsidR="00AA33E9" w:rsidRPr="00A308EC">
              <w:t>550(1),</w:t>
            </w:r>
            <w:r w:rsidR="00151B22">
              <w:t xml:space="preserve"> 570, </w:t>
            </w:r>
            <w:r w:rsidR="003C6E78" w:rsidRPr="00355BB9">
              <w:t>687</w:t>
            </w:r>
            <w:r w:rsidR="00856488" w:rsidRPr="00355BB9">
              <w:t>, 7</w:t>
            </w:r>
            <w:r w:rsidR="00856488" w:rsidRPr="00A308EC">
              <w:t>12</w:t>
            </w:r>
          </w:p>
          <w:p w:rsidR="00503D4D" w:rsidRDefault="00584EE4">
            <w:pPr>
              <w:pStyle w:val="Normal1linespace"/>
              <w:widowControl w:val="0"/>
              <w:jc w:val="left"/>
            </w:pPr>
            <w:r>
              <w:rPr>
                <w:i/>
              </w:rPr>
              <w:t>Vehicle Manufacturing, Repair, Services and Retail Award 2010</w:t>
            </w:r>
            <w:r w:rsidR="005E66C6">
              <w:t xml:space="preserve"> </w:t>
            </w:r>
            <w:bookmarkEnd w:id="5"/>
          </w:p>
        </w:tc>
      </w:tr>
      <w:tr w:rsidR="00503D4D">
        <w:trPr>
          <w:gridAfter w:val="1"/>
          <w:wAfter w:w="25" w:type="dxa"/>
        </w:trPr>
        <w:tc>
          <w:tcPr>
            <w:tcW w:w="3085" w:type="dxa"/>
            <w:shd w:val="clear" w:color="auto" w:fill="auto"/>
          </w:tcPr>
          <w:p w:rsidR="00503D4D" w:rsidRDefault="00503D4D">
            <w:pPr>
              <w:pStyle w:val="Normal1linespace"/>
              <w:widowControl w:val="0"/>
            </w:pPr>
          </w:p>
        </w:tc>
        <w:tc>
          <w:tcPr>
            <w:tcW w:w="5954" w:type="dxa"/>
            <w:shd w:val="clear" w:color="auto" w:fill="auto"/>
          </w:tcPr>
          <w:p w:rsidR="00503D4D" w:rsidRDefault="00503D4D">
            <w:pPr>
              <w:pStyle w:val="Normal1linespace"/>
              <w:widowControl w:val="0"/>
              <w:jc w:val="left"/>
            </w:pPr>
          </w:p>
        </w:tc>
      </w:tr>
      <w:tr w:rsidR="00503D4D">
        <w:trPr>
          <w:gridAfter w:val="1"/>
          <w:wAfter w:w="25" w:type="dxa"/>
        </w:trPr>
        <w:tc>
          <w:tcPr>
            <w:tcW w:w="3085" w:type="dxa"/>
            <w:shd w:val="clear" w:color="auto" w:fill="auto"/>
          </w:tcPr>
          <w:p w:rsidR="00503D4D" w:rsidRDefault="005E66C6">
            <w:pPr>
              <w:pStyle w:val="Normal1linespace"/>
              <w:widowControl w:val="0"/>
            </w:pPr>
            <w:r>
              <w:t>Cases cited:</w:t>
            </w:r>
          </w:p>
        </w:tc>
        <w:tc>
          <w:tcPr>
            <w:tcW w:w="5954" w:type="dxa"/>
            <w:shd w:val="clear" w:color="auto" w:fill="auto"/>
          </w:tcPr>
          <w:p w:rsidR="00F16A5F" w:rsidRPr="00355BB9" w:rsidRDefault="00F16A5F">
            <w:pPr>
              <w:pStyle w:val="Normal1linespace"/>
              <w:widowControl w:val="0"/>
              <w:jc w:val="left"/>
              <w:rPr>
                <w:i/>
              </w:rPr>
            </w:pPr>
            <w:bookmarkStart w:id="6" w:name="Cases_Cited"/>
            <w:r w:rsidRPr="00355BB9">
              <w:rPr>
                <w:i/>
              </w:rPr>
              <w:t xml:space="preserve">Australian Competition and Consumer Commission v </w:t>
            </w:r>
            <w:proofErr w:type="spellStart"/>
            <w:r w:rsidRPr="00355BB9">
              <w:rPr>
                <w:i/>
              </w:rPr>
              <w:t>EnergyAustralia</w:t>
            </w:r>
            <w:proofErr w:type="spellEnd"/>
            <w:r w:rsidRPr="00355BB9">
              <w:rPr>
                <w:i/>
              </w:rPr>
              <w:t xml:space="preserve"> Pty Ltd</w:t>
            </w:r>
            <w:r w:rsidRPr="00355BB9">
              <w:t xml:space="preserve"> [2014] </w:t>
            </w:r>
            <w:proofErr w:type="spellStart"/>
            <w:r w:rsidRPr="00355BB9">
              <w:t>FCA</w:t>
            </w:r>
            <w:proofErr w:type="spellEnd"/>
            <w:r w:rsidRPr="00355BB9">
              <w:t xml:space="preserve"> 336</w:t>
            </w:r>
          </w:p>
          <w:p w:rsidR="00723B41" w:rsidRPr="00355BB9" w:rsidRDefault="009D5FE5">
            <w:pPr>
              <w:pStyle w:val="Normal1linespace"/>
              <w:widowControl w:val="0"/>
              <w:jc w:val="left"/>
            </w:pPr>
            <w:r w:rsidRPr="00355BB9">
              <w:rPr>
                <w:i/>
              </w:rPr>
              <w:t>Fair Work Ombudsman v Crystal Carwash Cafe Pty Ltd</w:t>
            </w:r>
            <w:r w:rsidRPr="00355BB9">
              <w:t xml:space="preserve"> [2013] </w:t>
            </w:r>
            <w:proofErr w:type="spellStart"/>
            <w:r w:rsidRPr="00355BB9">
              <w:t>FCA</w:t>
            </w:r>
            <w:proofErr w:type="spellEnd"/>
            <w:r w:rsidRPr="00355BB9">
              <w:t xml:space="preserve"> 1396</w:t>
            </w:r>
          </w:p>
          <w:p w:rsidR="006B4EFE" w:rsidRPr="00355BB9" w:rsidRDefault="00723B41">
            <w:pPr>
              <w:pStyle w:val="Normal1linespace"/>
              <w:widowControl w:val="0"/>
              <w:jc w:val="left"/>
            </w:pPr>
            <w:r w:rsidRPr="00355BB9">
              <w:rPr>
                <w:i/>
              </w:rPr>
              <w:t>Fair Work Ombudsman v Ramsey Food Processing Pty Ltd (No 2)</w:t>
            </w:r>
            <w:r w:rsidRPr="00355BB9">
              <w:t xml:space="preserve"> [2012] </w:t>
            </w:r>
            <w:proofErr w:type="spellStart"/>
            <w:r w:rsidRPr="00355BB9">
              <w:t>FCA</w:t>
            </w:r>
            <w:proofErr w:type="spellEnd"/>
            <w:r w:rsidRPr="00355BB9">
              <w:t xml:space="preserve"> 408</w:t>
            </w:r>
          </w:p>
          <w:p w:rsidR="00503D4D" w:rsidRPr="00355BB9" w:rsidRDefault="006B4EFE">
            <w:pPr>
              <w:pStyle w:val="Normal1linespace"/>
              <w:widowControl w:val="0"/>
              <w:jc w:val="left"/>
            </w:pPr>
            <w:r w:rsidRPr="00355BB9">
              <w:rPr>
                <w:i/>
              </w:rPr>
              <w:lastRenderedPageBreak/>
              <w:t>Tax Practitioners Board v Su</w:t>
            </w:r>
            <w:r w:rsidRPr="00355BB9">
              <w:t xml:space="preserve"> [2014] </w:t>
            </w:r>
            <w:proofErr w:type="spellStart"/>
            <w:r w:rsidRPr="00355BB9">
              <w:t>FCA</w:t>
            </w:r>
            <w:proofErr w:type="spellEnd"/>
            <w:r w:rsidRPr="00355BB9">
              <w:t xml:space="preserve"> 731</w:t>
            </w:r>
            <w:r w:rsidR="005E66C6" w:rsidRPr="00355BB9">
              <w:t xml:space="preserve"> </w:t>
            </w:r>
            <w:bookmarkEnd w:id="6"/>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bookmarkStart w:id="7" w:name="CounselDate"/>
            <w:r>
              <w:t>Date of hearing:</w:t>
            </w:r>
          </w:p>
        </w:tc>
        <w:tc>
          <w:tcPr>
            <w:tcW w:w="5979" w:type="dxa"/>
            <w:gridSpan w:val="2"/>
            <w:shd w:val="clear" w:color="auto" w:fill="auto"/>
          </w:tcPr>
          <w:p w:rsidR="002D2896" w:rsidRDefault="002D2896" w:rsidP="002D2896">
            <w:pPr>
              <w:pStyle w:val="Normal1linespace"/>
              <w:jc w:val="left"/>
            </w:pPr>
            <w:bookmarkStart w:id="8" w:name="HearingDate"/>
            <w:r>
              <w:t>4 July 2014</w:t>
            </w:r>
            <w:bookmarkEnd w:id="8"/>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bookmarkEnd w:id="7"/>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r>
              <w:t>Place:</w:t>
            </w:r>
          </w:p>
        </w:tc>
        <w:tc>
          <w:tcPr>
            <w:tcW w:w="5979" w:type="dxa"/>
            <w:gridSpan w:val="2"/>
            <w:shd w:val="clear" w:color="auto" w:fill="auto"/>
          </w:tcPr>
          <w:p w:rsidR="002D2896" w:rsidRDefault="00E3417A" w:rsidP="002D2896">
            <w:pPr>
              <w:pStyle w:val="Normal1linespace"/>
              <w:jc w:val="left"/>
            </w:pPr>
            <w:r>
              <w:fldChar w:fldCharType="begin"/>
            </w:r>
            <w:r>
              <w:instrText xml:space="preserve"> DOCVARIABLE  Place_SentenceCase  \* MERGEFORMAT </w:instrText>
            </w:r>
            <w:r>
              <w:fldChar w:fldCharType="separate"/>
            </w:r>
            <w:r w:rsidR="002D2896">
              <w:t>Sydney</w:t>
            </w:r>
            <w:r>
              <w:fldChar w:fldCharType="end"/>
            </w: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r>
              <w:t>Division:</w:t>
            </w:r>
          </w:p>
        </w:tc>
        <w:tc>
          <w:tcPr>
            <w:tcW w:w="5979" w:type="dxa"/>
            <w:gridSpan w:val="2"/>
            <w:shd w:val="clear" w:color="auto" w:fill="auto"/>
          </w:tcPr>
          <w:p w:rsidR="002D2896" w:rsidRDefault="00E3417A" w:rsidP="002D2896">
            <w:pPr>
              <w:pStyle w:val="Normal1linespace"/>
              <w:jc w:val="left"/>
            </w:pPr>
            <w:r>
              <w:fldChar w:fldCharType="begin"/>
            </w:r>
            <w:r>
              <w:instrText xml:space="preserve"> REF  Division  \* MERGEFORMAT </w:instrText>
            </w:r>
            <w:r>
              <w:fldChar w:fldCharType="separate"/>
            </w:r>
            <w:r w:rsidR="00850D82" w:rsidRPr="00850D82">
              <w:t>FAIR</w:t>
            </w:r>
            <w:r w:rsidR="00850D82">
              <w:rPr>
                <w:caps/>
                <w:szCs w:val="24"/>
              </w:rPr>
              <w:t xml:space="preserve"> WORK DIVISION</w:t>
            </w:r>
            <w:r>
              <w:rPr>
                <w:caps/>
                <w:szCs w:val="24"/>
              </w:rPr>
              <w:fldChar w:fldCharType="end"/>
            </w: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r>
              <w:t>Category:</w:t>
            </w:r>
          </w:p>
        </w:tc>
        <w:tc>
          <w:tcPr>
            <w:tcW w:w="5979" w:type="dxa"/>
            <w:gridSpan w:val="2"/>
            <w:shd w:val="clear" w:color="auto" w:fill="auto"/>
          </w:tcPr>
          <w:p w:rsidR="002D2896" w:rsidRDefault="00016CC3" w:rsidP="002D2896">
            <w:pPr>
              <w:pStyle w:val="Normal1linespace"/>
              <w:jc w:val="left"/>
            </w:pPr>
            <w:r>
              <w:t>Catchwords</w:t>
            </w: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r>
              <w:t>Number of paragraphs:</w:t>
            </w:r>
          </w:p>
        </w:tc>
        <w:tc>
          <w:tcPr>
            <w:tcW w:w="5979" w:type="dxa"/>
            <w:gridSpan w:val="2"/>
            <w:shd w:val="clear" w:color="auto" w:fill="auto"/>
          </w:tcPr>
          <w:p w:rsidR="002D2896" w:rsidRDefault="002D2896" w:rsidP="002D2896">
            <w:pPr>
              <w:pStyle w:val="Normal1linespace"/>
              <w:jc w:val="left"/>
            </w:pPr>
            <w:bookmarkStart w:id="9" w:name="PlaceCategoryParagraphs"/>
            <w:r>
              <w:t>54</w:t>
            </w:r>
            <w:bookmarkEnd w:id="9"/>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bookmarkStart w:id="10" w:name="Counsel"/>
            <w:r>
              <w:t>Counsel for the Applicant:</w:t>
            </w:r>
          </w:p>
        </w:tc>
        <w:tc>
          <w:tcPr>
            <w:tcW w:w="5979" w:type="dxa"/>
            <w:gridSpan w:val="2"/>
            <w:shd w:val="clear" w:color="auto" w:fill="auto"/>
          </w:tcPr>
          <w:p w:rsidR="002D2896" w:rsidRDefault="002D2896" w:rsidP="002D2896">
            <w:pPr>
              <w:pStyle w:val="Normal1linespace"/>
              <w:jc w:val="left"/>
            </w:pPr>
            <w:bookmarkStart w:id="11" w:name="AppCounsel"/>
            <w:bookmarkEnd w:id="11"/>
            <w:r>
              <w:t xml:space="preserve">Mr Y </w:t>
            </w:r>
            <w:proofErr w:type="spellStart"/>
            <w:r>
              <w:t>Shariff</w:t>
            </w:r>
            <w:proofErr w:type="spellEnd"/>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r>
              <w:t>Solicitor for the Applicant:</w:t>
            </w:r>
          </w:p>
        </w:tc>
        <w:tc>
          <w:tcPr>
            <w:tcW w:w="5979" w:type="dxa"/>
            <w:gridSpan w:val="2"/>
            <w:shd w:val="clear" w:color="auto" w:fill="auto"/>
          </w:tcPr>
          <w:p w:rsidR="002D2896" w:rsidRDefault="002D2896" w:rsidP="002D2896">
            <w:pPr>
              <w:pStyle w:val="Normal1linespace"/>
              <w:jc w:val="left"/>
            </w:pPr>
            <w:r>
              <w:t>Fair Work Ombudsman</w:t>
            </w: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r>
              <w:t>Counsel for the Respondents:</w:t>
            </w:r>
          </w:p>
        </w:tc>
        <w:tc>
          <w:tcPr>
            <w:tcW w:w="5979" w:type="dxa"/>
            <w:gridSpan w:val="2"/>
            <w:shd w:val="clear" w:color="auto" w:fill="auto"/>
          </w:tcPr>
          <w:p w:rsidR="002D2896" w:rsidRDefault="002D2896" w:rsidP="002D2896">
            <w:pPr>
              <w:pStyle w:val="Normal1linespace"/>
              <w:jc w:val="left"/>
            </w:pPr>
            <w:r>
              <w:t xml:space="preserve">Mr M </w:t>
            </w:r>
            <w:proofErr w:type="spellStart"/>
            <w:r>
              <w:t>Sahade</w:t>
            </w:r>
            <w:proofErr w:type="spellEnd"/>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p>
        </w:tc>
        <w:tc>
          <w:tcPr>
            <w:tcW w:w="5979" w:type="dxa"/>
            <w:gridSpan w:val="2"/>
            <w:shd w:val="clear" w:color="auto" w:fill="auto"/>
          </w:tcPr>
          <w:p w:rsidR="002D2896" w:rsidRDefault="002D2896" w:rsidP="002D2896">
            <w:pPr>
              <w:pStyle w:val="Normal1linespace"/>
              <w:jc w:val="left"/>
            </w:pPr>
          </w:p>
        </w:tc>
      </w:tr>
      <w:tr w:rsidR="002D2896" w:rsidRPr="001D7816" w:rsidTr="00016CC3">
        <w:tblPrEx>
          <w:tblCellSpacing w:w="8" w:type="dxa"/>
        </w:tblPrEx>
        <w:trPr>
          <w:tblCellSpacing w:w="8" w:type="dxa"/>
        </w:trPr>
        <w:tc>
          <w:tcPr>
            <w:tcW w:w="3085" w:type="dxa"/>
            <w:shd w:val="clear" w:color="auto" w:fill="auto"/>
          </w:tcPr>
          <w:p w:rsidR="002D2896" w:rsidRDefault="002D2896" w:rsidP="002D2896">
            <w:pPr>
              <w:pStyle w:val="Normal1linespace"/>
              <w:jc w:val="left"/>
            </w:pPr>
            <w:r>
              <w:t>Solicitor for the Respondents:</w:t>
            </w:r>
          </w:p>
        </w:tc>
        <w:tc>
          <w:tcPr>
            <w:tcW w:w="5979" w:type="dxa"/>
            <w:gridSpan w:val="2"/>
            <w:shd w:val="clear" w:color="auto" w:fill="auto"/>
          </w:tcPr>
          <w:p w:rsidR="002D2896" w:rsidRDefault="002D2896" w:rsidP="002D2896">
            <w:pPr>
              <w:pStyle w:val="Normal1linespace"/>
              <w:jc w:val="left"/>
            </w:pPr>
            <w:r>
              <w:t>Trinity Legal</w:t>
            </w:r>
          </w:p>
        </w:tc>
      </w:tr>
      <w:bookmarkEnd w:id="10"/>
    </w:tbl>
    <w:p w:rsidR="00503D4D" w:rsidRDefault="00503D4D">
      <w:pPr>
        <w:pStyle w:val="Normal1linespace"/>
      </w:pPr>
    </w:p>
    <w:p w:rsidR="00503D4D" w:rsidRDefault="00503D4D">
      <w:pPr>
        <w:pStyle w:val="Normal1linespace"/>
      </w:pPr>
    </w:p>
    <w:p w:rsidR="00503D4D" w:rsidRDefault="00503D4D">
      <w:pPr>
        <w:pStyle w:val="Normal1linespace"/>
        <w:sectPr w:rsidR="00503D4D">
          <w:headerReference w:type="defaul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03D4D">
        <w:tc>
          <w:tcPr>
            <w:tcW w:w="6771" w:type="dxa"/>
          </w:tcPr>
          <w:p w:rsidR="00503D4D" w:rsidRDefault="005E66C6">
            <w:pPr>
              <w:pStyle w:val="NormalHeadings"/>
              <w:spacing w:after="120"/>
              <w:jc w:val="left"/>
              <w:rPr>
                <w:caps/>
                <w:szCs w:val="24"/>
              </w:rPr>
            </w:pPr>
            <w:r>
              <w:rPr>
                <w:caps/>
                <w:szCs w:val="24"/>
              </w:rPr>
              <w:lastRenderedPageBreak/>
              <w:t>IN THE FEDERAL COURT OF AUSTRALIA</w:t>
            </w:r>
          </w:p>
        </w:tc>
        <w:tc>
          <w:tcPr>
            <w:tcW w:w="2471" w:type="dxa"/>
          </w:tcPr>
          <w:p w:rsidR="00503D4D" w:rsidRDefault="00503D4D">
            <w:pPr>
              <w:pStyle w:val="NormalHeadings"/>
              <w:jc w:val="left"/>
              <w:rPr>
                <w:caps/>
                <w:szCs w:val="24"/>
              </w:rPr>
            </w:pPr>
          </w:p>
        </w:tc>
      </w:tr>
      <w:tr w:rsidR="00503D4D">
        <w:tc>
          <w:tcPr>
            <w:tcW w:w="6771" w:type="dxa"/>
          </w:tcPr>
          <w:p w:rsidR="00503D4D" w:rsidRDefault="00E12760">
            <w:pPr>
              <w:pStyle w:val="NormalHeadings"/>
              <w:spacing w:after="120"/>
              <w:jc w:val="left"/>
              <w:rPr>
                <w:caps/>
                <w:szCs w:val="24"/>
              </w:rPr>
            </w:pPr>
            <w:bookmarkStart w:id="12" w:name="State"/>
            <w:r>
              <w:rPr>
                <w:caps/>
                <w:szCs w:val="24"/>
              </w:rPr>
              <w:t>NEW SOUTH WALES</w:t>
            </w:r>
            <w:bookmarkEnd w:id="12"/>
            <w:r w:rsidR="005E66C6">
              <w:rPr>
                <w:caps/>
                <w:szCs w:val="24"/>
              </w:rPr>
              <w:t xml:space="preserve"> DISTRICT REGISTRY</w:t>
            </w:r>
          </w:p>
        </w:tc>
        <w:tc>
          <w:tcPr>
            <w:tcW w:w="2471" w:type="dxa"/>
          </w:tcPr>
          <w:p w:rsidR="00503D4D" w:rsidRDefault="00503D4D">
            <w:pPr>
              <w:pStyle w:val="NormalHeadings"/>
              <w:tabs>
                <w:tab w:val="right" w:pos="3609"/>
              </w:tabs>
              <w:jc w:val="right"/>
              <w:rPr>
                <w:szCs w:val="24"/>
              </w:rPr>
            </w:pPr>
          </w:p>
        </w:tc>
      </w:tr>
      <w:tr w:rsidR="00503D4D">
        <w:tc>
          <w:tcPr>
            <w:tcW w:w="6771" w:type="dxa"/>
          </w:tcPr>
          <w:p w:rsidR="00503D4D" w:rsidRDefault="00E12760">
            <w:pPr>
              <w:pStyle w:val="NormalHeadings"/>
              <w:spacing w:after="120"/>
              <w:jc w:val="left"/>
              <w:rPr>
                <w:caps/>
                <w:szCs w:val="24"/>
              </w:rPr>
            </w:pPr>
            <w:bookmarkStart w:id="13" w:name="Division"/>
            <w:r>
              <w:rPr>
                <w:caps/>
                <w:szCs w:val="24"/>
              </w:rPr>
              <w:t>FAIR WORK DIVISION</w:t>
            </w:r>
            <w:bookmarkEnd w:id="13"/>
          </w:p>
        </w:tc>
        <w:tc>
          <w:tcPr>
            <w:tcW w:w="2471" w:type="dxa"/>
          </w:tcPr>
          <w:p w:rsidR="00503D4D" w:rsidRDefault="00E12760">
            <w:pPr>
              <w:pStyle w:val="NormalHeadings"/>
              <w:tabs>
                <w:tab w:val="right" w:pos="3609"/>
              </w:tabs>
              <w:jc w:val="right"/>
              <w:rPr>
                <w:szCs w:val="24"/>
              </w:rPr>
            </w:pPr>
            <w:bookmarkStart w:id="14" w:name="Num"/>
            <w:proofErr w:type="spellStart"/>
            <w:r>
              <w:rPr>
                <w:szCs w:val="24"/>
              </w:rPr>
              <w:t>NSD</w:t>
            </w:r>
            <w:proofErr w:type="spellEnd"/>
            <w:r>
              <w:rPr>
                <w:szCs w:val="24"/>
              </w:rPr>
              <w:t xml:space="preserve"> 1585 of 2012</w:t>
            </w:r>
            <w:bookmarkEnd w:id="14"/>
          </w:p>
        </w:tc>
      </w:tr>
    </w:tbl>
    <w:p w:rsidR="00503D4D" w:rsidRPr="00E12760" w:rsidRDefault="005E66C6">
      <w:pPr>
        <w:pStyle w:val="AppealTable"/>
        <w:rPr>
          <w:sz w:val="24"/>
        </w:rPr>
      </w:pPr>
      <w:bookmarkStart w:id="15" w:name="AppealTable"/>
      <w:r w:rsidRPr="00E12760">
        <w:rPr>
          <w:sz w:val="24"/>
        </w:rPr>
        <w:t xml:space="preserve"> </w:t>
      </w:r>
      <w:bookmarkEnd w:id="15"/>
    </w:p>
    <w:tbl>
      <w:tblPr>
        <w:tblW w:w="0" w:type="auto"/>
        <w:tblLayout w:type="fixed"/>
        <w:tblLook w:val="0000" w:firstRow="0" w:lastRow="0" w:firstColumn="0" w:lastColumn="0" w:noHBand="0" w:noVBand="0"/>
      </w:tblPr>
      <w:tblGrid>
        <w:gridCol w:w="2376"/>
        <w:gridCol w:w="6866"/>
      </w:tblGrid>
      <w:tr w:rsidR="00503D4D">
        <w:trPr>
          <w:trHeight w:val="386"/>
        </w:trPr>
        <w:tc>
          <w:tcPr>
            <w:tcW w:w="2376" w:type="dxa"/>
          </w:tcPr>
          <w:p w:rsidR="00503D4D" w:rsidRDefault="005E66C6">
            <w:pPr>
              <w:pStyle w:val="NormalHeadings"/>
              <w:jc w:val="left"/>
              <w:rPr>
                <w:caps/>
                <w:szCs w:val="24"/>
              </w:rPr>
            </w:pPr>
            <w:bookmarkStart w:id="16" w:name="Parties"/>
            <w:r>
              <w:rPr>
                <w:caps/>
                <w:szCs w:val="24"/>
              </w:rPr>
              <w:t>BETWEEN:</w:t>
            </w:r>
          </w:p>
        </w:tc>
        <w:tc>
          <w:tcPr>
            <w:tcW w:w="6866" w:type="dxa"/>
          </w:tcPr>
          <w:p w:rsidR="00E12760" w:rsidRDefault="00E12760">
            <w:pPr>
              <w:pStyle w:val="NormalHeadings"/>
              <w:jc w:val="left"/>
              <w:rPr>
                <w:szCs w:val="24"/>
              </w:rPr>
            </w:pPr>
            <w:bookmarkStart w:id="17" w:name="Applicant"/>
            <w:r>
              <w:rPr>
                <w:szCs w:val="24"/>
              </w:rPr>
              <w:t>FAIR WORK OMBUDSMAN</w:t>
            </w:r>
          </w:p>
          <w:p w:rsidR="00E12760" w:rsidRDefault="00E12760">
            <w:pPr>
              <w:pStyle w:val="NormalHeadings"/>
              <w:jc w:val="left"/>
              <w:rPr>
                <w:szCs w:val="24"/>
              </w:rPr>
            </w:pPr>
            <w:r>
              <w:rPr>
                <w:szCs w:val="24"/>
              </w:rPr>
              <w:t>Applicant</w:t>
            </w:r>
          </w:p>
          <w:bookmarkEnd w:id="17"/>
          <w:p w:rsidR="00503D4D" w:rsidRDefault="00503D4D">
            <w:pPr>
              <w:pStyle w:val="NormalHeadings"/>
              <w:jc w:val="left"/>
              <w:rPr>
                <w:szCs w:val="24"/>
              </w:rPr>
            </w:pPr>
          </w:p>
        </w:tc>
      </w:tr>
      <w:tr w:rsidR="00503D4D">
        <w:trPr>
          <w:trHeight w:val="386"/>
        </w:trPr>
        <w:tc>
          <w:tcPr>
            <w:tcW w:w="2376" w:type="dxa"/>
          </w:tcPr>
          <w:p w:rsidR="00503D4D" w:rsidRDefault="005E66C6">
            <w:pPr>
              <w:pStyle w:val="NormalHeadings"/>
              <w:jc w:val="left"/>
              <w:rPr>
                <w:caps/>
                <w:szCs w:val="24"/>
              </w:rPr>
            </w:pPr>
            <w:r>
              <w:rPr>
                <w:caps/>
                <w:szCs w:val="24"/>
              </w:rPr>
              <w:t>AND:</w:t>
            </w:r>
          </w:p>
        </w:tc>
        <w:tc>
          <w:tcPr>
            <w:tcW w:w="6866" w:type="dxa"/>
          </w:tcPr>
          <w:p w:rsidR="00E12760" w:rsidRDefault="00E12760">
            <w:pPr>
              <w:pStyle w:val="NormalHeadings"/>
              <w:jc w:val="left"/>
              <w:rPr>
                <w:szCs w:val="24"/>
              </w:rPr>
            </w:pPr>
            <w:bookmarkStart w:id="18" w:name="Respondent"/>
            <w:r>
              <w:rPr>
                <w:szCs w:val="24"/>
              </w:rPr>
              <w:t>CRYSTAL CARWASH CAFE PTY LTD (</w:t>
            </w:r>
            <w:proofErr w:type="spellStart"/>
            <w:r>
              <w:rPr>
                <w:szCs w:val="24"/>
              </w:rPr>
              <w:t>ACN</w:t>
            </w:r>
            <w:proofErr w:type="spellEnd"/>
            <w:r>
              <w:rPr>
                <w:szCs w:val="24"/>
              </w:rPr>
              <w:t xml:space="preserve"> 060 916 770)</w:t>
            </w:r>
          </w:p>
          <w:p w:rsidR="00E12760" w:rsidRDefault="00E12760">
            <w:pPr>
              <w:pStyle w:val="NormalHeadings"/>
              <w:jc w:val="left"/>
              <w:rPr>
                <w:szCs w:val="24"/>
              </w:rPr>
            </w:pPr>
            <w:r>
              <w:rPr>
                <w:szCs w:val="24"/>
              </w:rPr>
              <w:t>First Respondent</w:t>
            </w:r>
          </w:p>
          <w:p w:rsidR="00E12760" w:rsidRDefault="00E12760">
            <w:pPr>
              <w:pStyle w:val="NormalHeadings"/>
              <w:jc w:val="left"/>
              <w:rPr>
                <w:szCs w:val="24"/>
              </w:rPr>
            </w:pPr>
          </w:p>
          <w:p w:rsidR="00E12760" w:rsidRDefault="00E12760">
            <w:pPr>
              <w:pStyle w:val="NormalHeadings"/>
              <w:jc w:val="left"/>
              <w:rPr>
                <w:szCs w:val="24"/>
              </w:rPr>
            </w:pPr>
            <w:r>
              <w:rPr>
                <w:szCs w:val="24"/>
              </w:rPr>
              <w:t xml:space="preserve">ANTHONY </w:t>
            </w:r>
            <w:proofErr w:type="spellStart"/>
            <w:r>
              <w:rPr>
                <w:szCs w:val="24"/>
              </w:rPr>
              <w:t>SAHADE</w:t>
            </w:r>
            <w:proofErr w:type="spellEnd"/>
          </w:p>
          <w:p w:rsidR="00E12760" w:rsidRDefault="00E12760">
            <w:pPr>
              <w:pStyle w:val="NormalHeadings"/>
              <w:jc w:val="left"/>
              <w:rPr>
                <w:szCs w:val="24"/>
              </w:rPr>
            </w:pPr>
            <w:r>
              <w:rPr>
                <w:szCs w:val="24"/>
              </w:rPr>
              <w:t>Second Respondent</w:t>
            </w:r>
          </w:p>
          <w:p w:rsidR="00E12760" w:rsidRDefault="00E12760">
            <w:pPr>
              <w:pStyle w:val="NormalHeadings"/>
              <w:jc w:val="left"/>
              <w:rPr>
                <w:szCs w:val="24"/>
              </w:rPr>
            </w:pPr>
          </w:p>
          <w:p w:rsidR="00E12760" w:rsidRDefault="00E12760">
            <w:pPr>
              <w:pStyle w:val="NormalHeadings"/>
              <w:jc w:val="left"/>
              <w:rPr>
                <w:szCs w:val="24"/>
              </w:rPr>
            </w:pPr>
            <w:r>
              <w:rPr>
                <w:szCs w:val="24"/>
              </w:rPr>
              <w:t xml:space="preserve">PETER </w:t>
            </w:r>
            <w:proofErr w:type="spellStart"/>
            <w:r>
              <w:rPr>
                <w:szCs w:val="24"/>
              </w:rPr>
              <w:t>KHOURI</w:t>
            </w:r>
            <w:proofErr w:type="spellEnd"/>
          </w:p>
          <w:p w:rsidR="00E12760" w:rsidRDefault="00E12760">
            <w:pPr>
              <w:pStyle w:val="NormalHeadings"/>
              <w:jc w:val="left"/>
              <w:rPr>
                <w:szCs w:val="24"/>
              </w:rPr>
            </w:pPr>
            <w:r>
              <w:rPr>
                <w:szCs w:val="24"/>
              </w:rPr>
              <w:t>Third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BADDINGTON</w:t>
            </w:r>
            <w:proofErr w:type="spellEnd"/>
            <w:r>
              <w:rPr>
                <w:szCs w:val="24"/>
              </w:rPr>
              <w:t xml:space="preserve"> PTY LTD (</w:t>
            </w:r>
            <w:proofErr w:type="spellStart"/>
            <w:r>
              <w:rPr>
                <w:szCs w:val="24"/>
              </w:rPr>
              <w:t>ACN</w:t>
            </w:r>
            <w:proofErr w:type="spellEnd"/>
            <w:r>
              <w:rPr>
                <w:szCs w:val="24"/>
              </w:rPr>
              <w:t xml:space="preserve"> 137 049 560)</w:t>
            </w:r>
          </w:p>
          <w:p w:rsidR="00E12760" w:rsidRDefault="00E12760">
            <w:pPr>
              <w:pStyle w:val="NormalHeadings"/>
              <w:jc w:val="left"/>
              <w:rPr>
                <w:szCs w:val="24"/>
              </w:rPr>
            </w:pPr>
            <w:r>
              <w:rPr>
                <w:szCs w:val="24"/>
              </w:rPr>
              <w:t>Fourth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SEEKTON</w:t>
            </w:r>
            <w:proofErr w:type="spellEnd"/>
            <w:r>
              <w:rPr>
                <w:szCs w:val="24"/>
              </w:rPr>
              <w:t xml:space="preserve"> PTY LTD (</w:t>
            </w:r>
            <w:proofErr w:type="spellStart"/>
            <w:r>
              <w:rPr>
                <w:szCs w:val="24"/>
              </w:rPr>
              <w:t>ACN</w:t>
            </w:r>
            <w:proofErr w:type="spellEnd"/>
            <w:r>
              <w:rPr>
                <w:szCs w:val="24"/>
              </w:rPr>
              <w:t xml:space="preserve"> 137 049 579)</w:t>
            </w:r>
          </w:p>
          <w:p w:rsidR="00E12760" w:rsidRDefault="00E12760">
            <w:pPr>
              <w:pStyle w:val="NormalHeadings"/>
              <w:jc w:val="left"/>
              <w:rPr>
                <w:szCs w:val="24"/>
              </w:rPr>
            </w:pPr>
            <w:r>
              <w:rPr>
                <w:szCs w:val="24"/>
              </w:rPr>
              <w:t>Fifth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OZREST</w:t>
            </w:r>
            <w:proofErr w:type="spellEnd"/>
            <w:r>
              <w:rPr>
                <w:szCs w:val="24"/>
              </w:rPr>
              <w:t xml:space="preserve"> PTY LTD (</w:t>
            </w:r>
            <w:proofErr w:type="spellStart"/>
            <w:r>
              <w:rPr>
                <w:szCs w:val="24"/>
              </w:rPr>
              <w:t>ACN</w:t>
            </w:r>
            <w:proofErr w:type="spellEnd"/>
            <w:r>
              <w:rPr>
                <w:szCs w:val="24"/>
              </w:rPr>
              <w:t xml:space="preserve"> 137 219 820)</w:t>
            </w:r>
          </w:p>
          <w:p w:rsidR="00E12760" w:rsidRDefault="00E12760">
            <w:pPr>
              <w:pStyle w:val="NormalHeadings"/>
              <w:jc w:val="left"/>
              <w:rPr>
                <w:szCs w:val="24"/>
              </w:rPr>
            </w:pPr>
            <w:r>
              <w:rPr>
                <w:szCs w:val="24"/>
              </w:rPr>
              <w:t>Sixth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SCHATRY</w:t>
            </w:r>
            <w:proofErr w:type="spellEnd"/>
            <w:r>
              <w:rPr>
                <w:szCs w:val="24"/>
              </w:rPr>
              <w:t xml:space="preserve"> PTY LTD (</w:t>
            </w:r>
            <w:proofErr w:type="spellStart"/>
            <w:r>
              <w:rPr>
                <w:szCs w:val="24"/>
              </w:rPr>
              <w:t>ACN</w:t>
            </w:r>
            <w:proofErr w:type="spellEnd"/>
            <w:r>
              <w:rPr>
                <w:szCs w:val="24"/>
              </w:rPr>
              <w:t xml:space="preserve"> 137 219 802)</w:t>
            </w:r>
          </w:p>
          <w:p w:rsidR="00E12760" w:rsidRDefault="00E12760">
            <w:pPr>
              <w:pStyle w:val="NormalHeadings"/>
              <w:jc w:val="left"/>
              <w:rPr>
                <w:szCs w:val="24"/>
              </w:rPr>
            </w:pPr>
            <w:r>
              <w:rPr>
                <w:szCs w:val="24"/>
              </w:rPr>
              <w:t>Seventh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COOLJAM</w:t>
            </w:r>
            <w:proofErr w:type="spellEnd"/>
            <w:r>
              <w:rPr>
                <w:szCs w:val="24"/>
              </w:rPr>
              <w:t xml:space="preserve"> PTY LTD (</w:t>
            </w:r>
            <w:proofErr w:type="spellStart"/>
            <w:r>
              <w:rPr>
                <w:szCs w:val="24"/>
              </w:rPr>
              <w:t>ACN</w:t>
            </w:r>
            <w:proofErr w:type="spellEnd"/>
            <w:r>
              <w:rPr>
                <w:szCs w:val="24"/>
              </w:rPr>
              <w:t xml:space="preserve"> 141 762 352)</w:t>
            </w:r>
          </w:p>
          <w:p w:rsidR="00E12760" w:rsidRDefault="00E12760">
            <w:pPr>
              <w:pStyle w:val="NormalHeadings"/>
              <w:jc w:val="left"/>
              <w:rPr>
                <w:szCs w:val="24"/>
              </w:rPr>
            </w:pPr>
            <w:r>
              <w:rPr>
                <w:szCs w:val="24"/>
              </w:rPr>
              <w:t>Eighth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OZRUN</w:t>
            </w:r>
            <w:proofErr w:type="spellEnd"/>
            <w:r>
              <w:rPr>
                <w:szCs w:val="24"/>
              </w:rPr>
              <w:t xml:space="preserve"> PTY LTD (</w:t>
            </w:r>
            <w:proofErr w:type="spellStart"/>
            <w:r>
              <w:rPr>
                <w:szCs w:val="24"/>
              </w:rPr>
              <w:t>ACN</w:t>
            </w:r>
            <w:proofErr w:type="spellEnd"/>
            <w:r>
              <w:rPr>
                <w:szCs w:val="24"/>
              </w:rPr>
              <w:t xml:space="preserve"> 141 762 389)</w:t>
            </w:r>
          </w:p>
          <w:p w:rsidR="00E12760" w:rsidRDefault="00E12760">
            <w:pPr>
              <w:pStyle w:val="NormalHeadings"/>
              <w:jc w:val="left"/>
              <w:rPr>
                <w:szCs w:val="24"/>
              </w:rPr>
            </w:pPr>
            <w:r>
              <w:rPr>
                <w:szCs w:val="24"/>
              </w:rPr>
              <w:t>Ninth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TUSHAR</w:t>
            </w:r>
            <w:proofErr w:type="spellEnd"/>
            <w:r>
              <w:rPr>
                <w:szCs w:val="24"/>
              </w:rPr>
              <w:t xml:space="preserve"> INVESTMENTS PTY LTD (</w:t>
            </w:r>
            <w:proofErr w:type="spellStart"/>
            <w:r>
              <w:rPr>
                <w:szCs w:val="24"/>
              </w:rPr>
              <w:t>ACN</w:t>
            </w:r>
            <w:proofErr w:type="spellEnd"/>
            <w:r>
              <w:rPr>
                <w:szCs w:val="24"/>
              </w:rPr>
              <w:t xml:space="preserve"> 141 758 045)</w:t>
            </w:r>
          </w:p>
          <w:p w:rsidR="00E12760" w:rsidRDefault="00E12760">
            <w:pPr>
              <w:pStyle w:val="NormalHeadings"/>
              <w:jc w:val="left"/>
              <w:rPr>
                <w:szCs w:val="24"/>
              </w:rPr>
            </w:pPr>
            <w:r>
              <w:rPr>
                <w:szCs w:val="24"/>
              </w:rPr>
              <w:t>Tenth Respondent</w:t>
            </w:r>
          </w:p>
          <w:p w:rsidR="00E12760" w:rsidRDefault="00E12760">
            <w:pPr>
              <w:pStyle w:val="NormalHeadings"/>
              <w:jc w:val="left"/>
              <w:rPr>
                <w:szCs w:val="24"/>
              </w:rPr>
            </w:pPr>
          </w:p>
          <w:p w:rsidR="00E12760" w:rsidRDefault="00E12760">
            <w:pPr>
              <w:pStyle w:val="NormalHeadings"/>
              <w:jc w:val="left"/>
              <w:rPr>
                <w:szCs w:val="24"/>
              </w:rPr>
            </w:pPr>
            <w:r>
              <w:rPr>
                <w:szCs w:val="24"/>
              </w:rPr>
              <w:t>LUCKY HORIZONS PTY LTD (</w:t>
            </w:r>
            <w:proofErr w:type="spellStart"/>
            <w:r>
              <w:rPr>
                <w:szCs w:val="24"/>
              </w:rPr>
              <w:t>ACN</w:t>
            </w:r>
            <w:proofErr w:type="spellEnd"/>
            <w:r>
              <w:rPr>
                <w:szCs w:val="24"/>
              </w:rPr>
              <w:t xml:space="preserve"> 144 648 975)</w:t>
            </w:r>
          </w:p>
          <w:p w:rsidR="00E12760" w:rsidRDefault="00E12760">
            <w:pPr>
              <w:pStyle w:val="NormalHeadings"/>
              <w:jc w:val="left"/>
              <w:rPr>
                <w:szCs w:val="24"/>
              </w:rPr>
            </w:pPr>
            <w:r>
              <w:rPr>
                <w:szCs w:val="24"/>
              </w:rPr>
              <w:t>Eleventh Respondent</w:t>
            </w:r>
          </w:p>
          <w:p w:rsidR="00E12760" w:rsidRDefault="00E12760">
            <w:pPr>
              <w:pStyle w:val="NormalHeadings"/>
              <w:jc w:val="left"/>
              <w:rPr>
                <w:szCs w:val="24"/>
              </w:rPr>
            </w:pPr>
          </w:p>
          <w:p w:rsidR="00E12760" w:rsidRDefault="00E12760">
            <w:pPr>
              <w:pStyle w:val="NormalHeadings"/>
              <w:jc w:val="left"/>
              <w:rPr>
                <w:szCs w:val="24"/>
              </w:rPr>
            </w:pPr>
            <w:r>
              <w:rPr>
                <w:szCs w:val="24"/>
              </w:rPr>
              <w:t>PEPPER STONE PTY LTD (</w:t>
            </w:r>
            <w:proofErr w:type="spellStart"/>
            <w:r>
              <w:rPr>
                <w:szCs w:val="24"/>
              </w:rPr>
              <w:t>ACN</w:t>
            </w:r>
            <w:proofErr w:type="spellEnd"/>
            <w:r>
              <w:rPr>
                <w:szCs w:val="24"/>
              </w:rPr>
              <w:t xml:space="preserve"> 144 649 427)</w:t>
            </w:r>
          </w:p>
          <w:p w:rsidR="00E12760" w:rsidRDefault="00E12760">
            <w:pPr>
              <w:pStyle w:val="NormalHeadings"/>
              <w:jc w:val="left"/>
              <w:rPr>
                <w:szCs w:val="24"/>
              </w:rPr>
            </w:pPr>
            <w:r>
              <w:rPr>
                <w:szCs w:val="24"/>
              </w:rPr>
              <w:t>Twelfth Respondent</w:t>
            </w:r>
          </w:p>
          <w:p w:rsidR="00E12760" w:rsidRDefault="00E12760">
            <w:pPr>
              <w:pStyle w:val="NormalHeadings"/>
              <w:jc w:val="left"/>
              <w:rPr>
                <w:szCs w:val="24"/>
              </w:rPr>
            </w:pPr>
          </w:p>
          <w:p w:rsidR="00E12760" w:rsidRDefault="00E12760">
            <w:pPr>
              <w:pStyle w:val="NormalHeadings"/>
              <w:jc w:val="left"/>
              <w:rPr>
                <w:szCs w:val="24"/>
              </w:rPr>
            </w:pPr>
            <w:r>
              <w:rPr>
                <w:szCs w:val="24"/>
              </w:rPr>
              <w:t>OAK MINK PTY LTD (</w:t>
            </w:r>
            <w:proofErr w:type="spellStart"/>
            <w:r>
              <w:rPr>
                <w:szCs w:val="24"/>
              </w:rPr>
              <w:t>ACN</w:t>
            </w:r>
            <w:proofErr w:type="spellEnd"/>
            <w:r>
              <w:rPr>
                <w:szCs w:val="24"/>
              </w:rPr>
              <w:t xml:space="preserve"> 145 471 941)</w:t>
            </w:r>
          </w:p>
          <w:p w:rsidR="00E12760" w:rsidRDefault="00E12760">
            <w:pPr>
              <w:pStyle w:val="NormalHeadings"/>
              <w:jc w:val="left"/>
              <w:rPr>
                <w:szCs w:val="24"/>
              </w:rPr>
            </w:pPr>
            <w:r>
              <w:rPr>
                <w:szCs w:val="24"/>
              </w:rPr>
              <w:t>Thirteenth Respondent</w:t>
            </w:r>
          </w:p>
          <w:bookmarkEnd w:id="18"/>
          <w:p w:rsidR="00503D4D" w:rsidRDefault="00503D4D">
            <w:pPr>
              <w:pStyle w:val="NormalHeadings"/>
              <w:jc w:val="left"/>
              <w:rPr>
                <w:szCs w:val="24"/>
              </w:rPr>
            </w:pPr>
          </w:p>
        </w:tc>
      </w:tr>
      <w:bookmarkEnd w:id="16"/>
    </w:tbl>
    <w:p w:rsidR="00503D4D" w:rsidRDefault="00503D4D">
      <w:pPr>
        <w:pStyle w:val="NormalHeadings"/>
      </w:pPr>
    </w:p>
    <w:tbl>
      <w:tblPr>
        <w:tblW w:w="0" w:type="auto"/>
        <w:tblLayout w:type="fixed"/>
        <w:tblLook w:val="0000" w:firstRow="0" w:lastRow="0" w:firstColumn="0" w:lastColumn="0" w:noHBand="0" w:noVBand="0"/>
      </w:tblPr>
      <w:tblGrid>
        <w:gridCol w:w="2376"/>
        <w:gridCol w:w="6866"/>
      </w:tblGrid>
      <w:tr w:rsidR="00503D4D">
        <w:tc>
          <w:tcPr>
            <w:tcW w:w="2376" w:type="dxa"/>
          </w:tcPr>
          <w:p w:rsidR="00503D4D" w:rsidRDefault="00E12760">
            <w:pPr>
              <w:pStyle w:val="NormalHeadings"/>
              <w:spacing w:after="120"/>
              <w:jc w:val="left"/>
              <w:rPr>
                <w:caps/>
                <w:szCs w:val="24"/>
              </w:rPr>
            </w:pPr>
            <w:bookmarkStart w:id="19" w:name="JudgeText"/>
            <w:r>
              <w:rPr>
                <w:caps/>
                <w:szCs w:val="24"/>
              </w:rPr>
              <w:t>JUDGE</w:t>
            </w:r>
            <w:bookmarkEnd w:id="19"/>
            <w:r w:rsidR="005E66C6">
              <w:rPr>
                <w:caps/>
                <w:szCs w:val="24"/>
              </w:rPr>
              <w:t>:</w:t>
            </w:r>
          </w:p>
        </w:tc>
        <w:tc>
          <w:tcPr>
            <w:tcW w:w="6866" w:type="dxa"/>
          </w:tcPr>
          <w:p w:rsidR="00503D4D" w:rsidRDefault="002D2896">
            <w:pPr>
              <w:pStyle w:val="NormalHeadings"/>
              <w:jc w:val="left"/>
              <w:rPr>
                <w:caps/>
                <w:szCs w:val="24"/>
              </w:rPr>
            </w:pPr>
            <w:bookmarkStart w:id="20" w:name="Judge"/>
            <w:r>
              <w:rPr>
                <w:caps/>
                <w:szCs w:val="24"/>
              </w:rPr>
              <w:t>BUCHANAN J</w:t>
            </w:r>
            <w:bookmarkEnd w:id="20"/>
          </w:p>
        </w:tc>
      </w:tr>
      <w:tr w:rsidR="00503D4D">
        <w:tc>
          <w:tcPr>
            <w:tcW w:w="2376" w:type="dxa"/>
          </w:tcPr>
          <w:p w:rsidR="00503D4D" w:rsidRDefault="005E66C6">
            <w:pPr>
              <w:pStyle w:val="NormalHeadings"/>
              <w:spacing w:after="120"/>
              <w:jc w:val="left"/>
              <w:rPr>
                <w:caps/>
                <w:szCs w:val="24"/>
              </w:rPr>
            </w:pPr>
            <w:r>
              <w:rPr>
                <w:caps/>
                <w:szCs w:val="24"/>
              </w:rPr>
              <w:lastRenderedPageBreak/>
              <w:t>DATE OF ORDER:</w:t>
            </w:r>
          </w:p>
        </w:tc>
        <w:tc>
          <w:tcPr>
            <w:tcW w:w="6866" w:type="dxa"/>
          </w:tcPr>
          <w:p w:rsidR="00503D4D" w:rsidRDefault="005F3084">
            <w:pPr>
              <w:pStyle w:val="NormalHeadings"/>
              <w:jc w:val="left"/>
              <w:rPr>
                <w:caps/>
                <w:szCs w:val="24"/>
              </w:rPr>
            </w:pPr>
            <w:bookmarkStart w:id="21" w:name="Judgment_Dated"/>
            <w:r>
              <w:rPr>
                <w:caps/>
                <w:szCs w:val="24"/>
              </w:rPr>
              <w:t>7 August</w:t>
            </w:r>
            <w:r w:rsidR="00E12760">
              <w:rPr>
                <w:caps/>
                <w:szCs w:val="24"/>
              </w:rPr>
              <w:t xml:space="preserve"> 2014</w:t>
            </w:r>
            <w:bookmarkEnd w:id="21"/>
          </w:p>
        </w:tc>
      </w:tr>
      <w:tr w:rsidR="00503D4D">
        <w:tc>
          <w:tcPr>
            <w:tcW w:w="2376" w:type="dxa"/>
          </w:tcPr>
          <w:p w:rsidR="00503D4D" w:rsidRDefault="005E66C6">
            <w:pPr>
              <w:pStyle w:val="NormalHeadings"/>
              <w:spacing w:after="120"/>
              <w:jc w:val="left"/>
              <w:rPr>
                <w:caps/>
                <w:szCs w:val="24"/>
              </w:rPr>
            </w:pPr>
            <w:r>
              <w:rPr>
                <w:caps/>
                <w:szCs w:val="24"/>
              </w:rPr>
              <w:t>WHERE MADE:</w:t>
            </w:r>
          </w:p>
        </w:tc>
        <w:tc>
          <w:tcPr>
            <w:tcW w:w="6866" w:type="dxa"/>
          </w:tcPr>
          <w:p w:rsidR="00503D4D" w:rsidRDefault="00E12760">
            <w:pPr>
              <w:pStyle w:val="NormalHeadings"/>
              <w:jc w:val="left"/>
              <w:rPr>
                <w:caps/>
                <w:szCs w:val="24"/>
              </w:rPr>
            </w:pPr>
            <w:bookmarkStart w:id="22" w:name="Place"/>
            <w:r>
              <w:rPr>
                <w:caps/>
                <w:szCs w:val="24"/>
              </w:rPr>
              <w:t>SYDNEY</w:t>
            </w:r>
            <w:bookmarkEnd w:id="22"/>
          </w:p>
        </w:tc>
      </w:tr>
    </w:tbl>
    <w:p w:rsidR="00503D4D" w:rsidRDefault="00503D4D">
      <w:pPr>
        <w:pStyle w:val="NormalHeadings"/>
        <w:rPr>
          <w:b w:val="0"/>
        </w:rPr>
      </w:pPr>
    </w:p>
    <w:p w:rsidR="00822D20" w:rsidRDefault="00822D20">
      <w:pPr>
        <w:pStyle w:val="NormalHeadings"/>
        <w:rPr>
          <w:b w:val="0"/>
        </w:rPr>
      </w:pPr>
    </w:p>
    <w:p w:rsidR="00503D4D" w:rsidRDefault="005E66C6">
      <w:pPr>
        <w:pStyle w:val="NormalHeadings"/>
      </w:pPr>
      <w:r>
        <w:t xml:space="preserve">THE COURT </w:t>
      </w:r>
      <w:r w:rsidR="004C04D2">
        <w:t>DECLARES</w:t>
      </w:r>
      <w:r>
        <w:t xml:space="preserve"> THAT:</w:t>
      </w:r>
    </w:p>
    <w:p w:rsidR="00503D4D" w:rsidRPr="00822D20" w:rsidRDefault="00503D4D">
      <w:pPr>
        <w:pStyle w:val="NormalHeadings"/>
        <w:rPr>
          <w:b w:val="0"/>
        </w:rPr>
      </w:pPr>
    </w:p>
    <w:p w:rsidR="004C04D2" w:rsidRDefault="004C04D2" w:rsidP="004C04D2">
      <w:pPr>
        <w:numPr>
          <w:ilvl w:val="0"/>
          <w:numId w:val="2"/>
        </w:numPr>
        <w:spacing w:before="60" w:after="60"/>
      </w:pPr>
      <w:bookmarkStart w:id="23" w:name="Order_Start_Text"/>
      <w:r>
        <w:t xml:space="preserve">The first respondent, Crystal Carwash Cafe Pty </w:t>
      </w:r>
      <w:r w:rsidR="008E230C">
        <w:t>Ltd (</w:t>
      </w:r>
      <w:proofErr w:type="spellStart"/>
      <w:r w:rsidR="008E230C">
        <w:t>ACN</w:t>
      </w:r>
      <w:proofErr w:type="spellEnd"/>
      <w:r w:rsidR="008E230C">
        <w:t xml:space="preserve"> 060 916 770) (“Crystal </w:t>
      </w:r>
      <w:r>
        <w:t xml:space="preserve">Carwash”), contravened the following provisions:  </w:t>
      </w:r>
    </w:p>
    <w:p w:rsidR="004C04D2" w:rsidRDefault="008E230C" w:rsidP="008E230C">
      <w:pPr>
        <w:numPr>
          <w:ilvl w:val="0"/>
          <w:numId w:val="29"/>
        </w:numPr>
        <w:spacing w:before="60" w:after="60"/>
        <w:ind w:hanging="731"/>
      </w:pPr>
      <w:r>
        <w:t>s </w:t>
      </w:r>
      <w:r w:rsidR="004C04D2">
        <w:t xml:space="preserve">45 of the </w:t>
      </w:r>
      <w:r w:rsidR="004C04D2" w:rsidRPr="008E230C">
        <w:rPr>
          <w:i/>
        </w:rPr>
        <w:t>Fair Work Act 2009</w:t>
      </w:r>
      <w:r>
        <w:t xml:space="preserve"> (</w:t>
      </w:r>
      <w:proofErr w:type="spellStart"/>
      <w:r>
        <w:t>Cth</w:t>
      </w:r>
      <w:proofErr w:type="spellEnd"/>
      <w:r>
        <w:t>) (“FW </w:t>
      </w:r>
      <w:r w:rsidR="004C04D2">
        <w:t>Act”), by virtue of failing to pay or causing to be paid the 78 Minimum Rates of Pay Employees the minimum r</w:t>
      </w:r>
      <w:r>
        <w:t xml:space="preserve">ates of pay prescribed by </w:t>
      </w:r>
      <w:proofErr w:type="spellStart"/>
      <w:r>
        <w:t>subcl</w:t>
      </w:r>
      <w:proofErr w:type="spellEnd"/>
      <w:r>
        <w:t> 33.4 and item </w:t>
      </w:r>
      <w:proofErr w:type="spellStart"/>
      <w:r w:rsidR="004C04D2">
        <w:t>A.2.5</w:t>
      </w:r>
      <w:proofErr w:type="spellEnd"/>
      <w:r w:rsidR="004C04D2">
        <w:t xml:space="preserve"> of the </w:t>
      </w:r>
      <w:r w:rsidR="004C04D2" w:rsidRPr="008E230C">
        <w:rPr>
          <w:i/>
        </w:rPr>
        <w:t>Vehicle, Manufacturing, Repair, Services and Retail Modern Award 2010</w:t>
      </w:r>
      <w:r w:rsidR="004C04D2">
        <w:t xml:space="preserve"> (“</w:t>
      </w:r>
      <w:r w:rsidR="00156A4D">
        <w:t xml:space="preserve">the </w:t>
      </w:r>
      <w:r w:rsidR="004C04D2">
        <w:t xml:space="preserve">Award”); </w:t>
      </w:r>
    </w:p>
    <w:p w:rsidR="004C04D2" w:rsidRDefault="00AD5E44" w:rsidP="00AD5E44">
      <w:pPr>
        <w:numPr>
          <w:ilvl w:val="0"/>
          <w:numId w:val="29"/>
        </w:numPr>
        <w:spacing w:before="60" w:after="60"/>
        <w:ind w:hanging="731"/>
      </w:pPr>
      <w:r>
        <w:t>s 45 of the FW </w:t>
      </w:r>
      <w:r w:rsidR="004C04D2">
        <w:t>Act, by virtue of failing to pay or causing to be paid the 144 Overtime Employees the overtime r</w:t>
      </w:r>
      <w:r>
        <w:t xml:space="preserve">ates of pay prescribed by </w:t>
      </w:r>
      <w:proofErr w:type="spellStart"/>
      <w:r>
        <w:t>subcl</w:t>
      </w:r>
      <w:proofErr w:type="spellEnd"/>
      <w:r>
        <w:t> </w:t>
      </w:r>
      <w:r w:rsidR="004C04D2">
        <w:t xml:space="preserve">28.2(c) of the Vehicle Modern Award; and </w:t>
      </w:r>
    </w:p>
    <w:p w:rsidR="004C04D2" w:rsidRDefault="00AD5E44" w:rsidP="00AD5E44">
      <w:pPr>
        <w:numPr>
          <w:ilvl w:val="0"/>
          <w:numId w:val="29"/>
        </w:numPr>
        <w:spacing w:before="60" w:after="60"/>
        <w:ind w:hanging="731"/>
      </w:pPr>
      <w:r>
        <w:t>s 535(2) of the FW </w:t>
      </w:r>
      <w:r w:rsidR="004C04D2">
        <w:t>Act, by virtue of</w:t>
      </w:r>
      <w:r>
        <w:t xml:space="preserve"> failing to make and keep for 7 </w:t>
      </w:r>
      <w:r w:rsidR="004C04D2">
        <w:t xml:space="preserve">years employee records which contained the information prescribed by the </w:t>
      </w:r>
      <w:r w:rsidR="004C04D2" w:rsidRPr="00AD5E44">
        <w:rPr>
          <w:i/>
        </w:rPr>
        <w:t>Fair Work Regulations 2009</w:t>
      </w:r>
      <w:r w:rsidR="004C04D2">
        <w:t xml:space="preserve"> (</w:t>
      </w:r>
      <w:proofErr w:type="spellStart"/>
      <w:r w:rsidR="004C04D2">
        <w:t>Cth</w:t>
      </w:r>
      <w:proofErr w:type="spellEnd"/>
      <w:r w:rsidR="004C04D2">
        <w:t xml:space="preserve">).  </w:t>
      </w:r>
    </w:p>
    <w:p w:rsidR="004C04D2" w:rsidRDefault="004C04D2" w:rsidP="004C04D2">
      <w:pPr>
        <w:numPr>
          <w:ilvl w:val="0"/>
          <w:numId w:val="2"/>
        </w:numPr>
        <w:spacing w:before="60" w:after="60"/>
      </w:pPr>
      <w:r>
        <w:t xml:space="preserve">The second respondent, Mr Anthony </w:t>
      </w:r>
      <w:proofErr w:type="spellStart"/>
      <w:r>
        <w:t>Sahade</w:t>
      </w:r>
      <w:proofErr w:type="spellEnd"/>
      <w:r>
        <w:t>, was</w:t>
      </w:r>
      <w:r w:rsidR="00E133EB">
        <w:t xml:space="preserve"> (within the meaning of s 550(1) of the FW Act)</w:t>
      </w:r>
      <w:r>
        <w:t xml:space="preserve"> involv</w:t>
      </w:r>
      <w:r w:rsidR="00E133EB">
        <w:t>ed in</w:t>
      </w:r>
      <w:r>
        <w:t xml:space="preserve"> Crystal </w:t>
      </w:r>
      <w:proofErr w:type="spellStart"/>
      <w:r>
        <w:t>Carwash’s</w:t>
      </w:r>
      <w:proofErr w:type="spellEnd"/>
      <w:r>
        <w:t xml:space="preserve"> contraventions of the provisions </w:t>
      </w:r>
      <w:r w:rsidR="0023437A">
        <w:t>recorded</w:t>
      </w:r>
      <w:r>
        <w:t xml:space="preserve"> in </w:t>
      </w:r>
      <w:r w:rsidR="00C82EFD">
        <w:t xml:space="preserve">declarations </w:t>
      </w:r>
      <w:r>
        <w:t xml:space="preserve">1(a) and (b) above.  </w:t>
      </w:r>
    </w:p>
    <w:p w:rsidR="004C04D2" w:rsidRDefault="004C04D2" w:rsidP="004C04D2">
      <w:pPr>
        <w:numPr>
          <w:ilvl w:val="0"/>
          <w:numId w:val="2"/>
        </w:numPr>
        <w:spacing w:before="60" w:after="60"/>
      </w:pPr>
      <w:r>
        <w:t xml:space="preserve">The third respondent, Mr Peter </w:t>
      </w:r>
      <w:proofErr w:type="spellStart"/>
      <w:r>
        <w:t>Khouri</w:t>
      </w:r>
      <w:proofErr w:type="spellEnd"/>
      <w:r>
        <w:t>, was</w:t>
      </w:r>
      <w:r w:rsidR="00E133EB">
        <w:t xml:space="preserve"> (within the meaning of s 550(1) of the FW Act)</w:t>
      </w:r>
      <w:r>
        <w:t xml:space="preserve"> involved</w:t>
      </w:r>
      <w:r w:rsidR="00E133EB">
        <w:t xml:space="preserve"> in</w:t>
      </w:r>
      <w:r>
        <w:t xml:space="preserve"> Crystal </w:t>
      </w:r>
      <w:proofErr w:type="spellStart"/>
      <w:r>
        <w:t>Carwash’s</w:t>
      </w:r>
      <w:proofErr w:type="spellEnd"/>
      <w:r>
        <w:t xml:space="preserve"> contraventions of the provisions </w:t>
      </w:r>
      <w:r w:rsidR="0023437A">
        <w:t>recorded</w:t>
      </w:r>
      <w:r>
        <w:t xml:space="preserve"> in </w:t>
      </w:r>
      <w:r w:rsidR="00C82EFD">
        <w:t xml:space="preserve">declarations </w:t>
      </w:r>
      <w:r>
        <w:t xml:space="preserve">1(a) and (b) above.  </w:t>
      </w:r>
    </w:p>
    <w:p w:rsidR="00822D20" w:rsidRPr="00822D20" w:rsidRDefault="00822D20" w:rsidP="00822D20">
      <w:pPr>
        <w:pStyle w:val="NormalHeadings"/>
        <w:rPr>
          <w:b w:val="0"/>
        </w:rPr>
      </w:pPr>
    </w:p>
    <w:p w:rsidR="004C04D2" w:rsidRDefault="004C04D2" w:rsidP="00822D20">
      <w:pPr>
        <w:pStyle w:val="NormalHeadings"/>
      </w:pPr>
      <w:r w:rsidRPr="00822D20">
        <w:t xml:space="preserve">THE COURT ORDERS THAT:  </w:t>
      </w:r>
    </w:p>
    <w:p w:rsidR="00822D20" w:rsidRPr="00822D20" w:rsidRDefault="00822D20" w:rsidP="00822D20">
      <w:pPr>
        <w:pStyle w:val="NormalHeadings"/>
        <w:rPr>
          <w:b w:val="0"/>
        </w:rPr>
      </w:pPr>
    </w:p>
    <w:p w:rsidR="00EB00CD" w:rsidRDefault="00EB00CD" w:rsidP="004C04D2">
      <w:pPr>
        <w:numPr>
          <w:ilvl w:val="0"/>
          <w:numId w:val="2"/>
        </w:numPr>
        <w:spacing w:before="60" w:after="60"/>
      </w:pPr>
      <w:r>
        <w:t xml:space="preserve">A penalty of $30,000 is imposed on the first respondent, Crystal Carwash, pursuant to s 546 of the FW Act for the </w:t>
      </w:r>
      <w:r w:rsidR="00657CDE">
        <w:t>contravention</w:t>
      </w:r>
      <w:r w:rsidR="00F177BB">
        <w:t xml:space="preserve"> recorded</w:t>
      </w:r>
      <w:r>
        <w:t xml:space="preserve"> in declaration 1</w:t>
      </w:r>
      <w:r w:rsidR="00657CDE">
        <w:t>(a)</w:t>
      </w:r>
      <w:r>
        <w:t xml:space="preserve"> above.</w:t>
      </w:r>
    </w:p>
    <w:p w:rsidR="00657CDE" w:rsidRDefault="00657CDE" w:rsidP="00657CDE">
      <w:pPr>
        <w:numPr>
          <w:ilvl w:val="0"/>
          <w:numId w:val="2"/>
        </w:numPr>
        <w:spacing w:before="60" w:after="60"/>
      </w:pPr>
      <w:r>
        <w:t xml:space="preserve">A penalty of $30,000 is imposed on the first respondent, Crystal Carwash, pursuant to s 546 of the FW Act for the contravention </w:t>
      </w:r>
      <w:r w:rsidR="000D6F63">
        <w:t xml:space="preserve">recorded </w:t>
      </w:r>
      <w:r>
        <w:t>in declaration 1(b) above.</w:t>
      </w:r>
    </w:p>
    <w:p w:rsidR="00657CDE" w:rsidRDefault="00657CDE" w:rsidP="00657CDE">
      <w:pPr>
        <w:numPr>
          <w:ilvl w:val="0"/>
          <w:numId w:val="2"/>
        </w:numPr>
        <w:spacing w:before="60" w:after="60"/>
      </w:pPr>
      <w:r>
        <w:t xml:space="preserve">A penalty of $10,000 is imposed on the first respondent, Crystal Carwash, pursuant to s 546 of the FW Act for the contravention </w:t>
      </w:r>
      <w:r w:rsidR="000D6F63">
        <w:t xml:space="preserve">recorded </w:t>
      </w:r>
      <w:r>
        <w:t>in declaration 1(c) above.</w:t>
      </w:r>
    </w:p>
    <w:p w:rsidR="00657CDE" w:rsidRDefault="004C04D2" w:rsidP="004C04D2">
      <w:pPr>
        <w:numPr>
          <w:ilvl w:val="0"/>
          <w:numId w:val="2"/>
        </w:numPr>
        <w:spacing w:before="60" w:after="60"/>
      </w:pPr>
      <w:r>
        <w:lastRenderedPageBreak/>
        <w:t xml:space="preserve">A </w:t>
      </w:r>
      <w:r w:rsidR="00657CDE">
        <w:t>penalty of $5</w:t>
      </w:r>
      <w:r>
        <w:t>,000 is imposed on the second respondent</w:t>
      </w:r>
      <w:r w:rsidR="00AA33E9">
        <w:t xml:space="preserve">, Mr Anthony </w:t>
      </w:r>
      <w:proofErr w:type="spellStart"/>
      <w:r w:rsidR="00AA33E9">
        <w:t>Sahade</w:t>
      </w:r>
      <w:proofErr w:type="spellEnd"/>
      <w:r w:rsidR="00AA33E9">
        <w:t xml:space="preserve">, </w:t>
      </w:r>
      <w:r w:rsidR="00CE492C">
        <w:t>pursuant to</w:t>
      </w:r>
      <w:r w:rsidR="00D66B07">
        <w:t xml:space="preserve"> s 546 </w:t>
      </w:r>
      <w:r w:rsidR="00AA33E9">
        <w:t>of the FW </w:t>
      </w:r>
      <w:r>
        <w:t xml:space="preserve">Act </w:t>
      </w:r>
      <w:r w:rsidR="00AA33E9">
        <w:t xml:space="preserve">for his involvement (within the meaning of s 550(1) of the FW Act) in </w:t>
      </w:r>
      <w:r w:rsidR="00657CDE">
        <w:t xml:space="preserve">Crystal </w:t>
      </w:r>
      <w:proofErr w:type="spellStart"/>
      <w:r w:rsidR="00657CDE">
        <w:t>Carwash’s</w:t>
      </w:r>
      <w:proofErr w:type="spellEnd"/>
      <w:r w:rsidR="00657CDE">
        <w:t xml:space="preserve"> contravention </w:t>
      </w:r>
      <w:r w:rsidR="000D6F63">
        <w:t xml:space="preserve">recorded </w:t>
      </w:r>
      <w:r w:rsidR="00AA33E9">
        <w:t xml:space="preserve">in </w:t>
      </w:r>
      <w:r w:rsidR="00C82EFD">
        <w:t>d</w:t>
      </w:r>
      <w:r w:rsidR="00657CDE">
        <w:t>eclaration</w:t>
      </w:r>
      <w:r w:rsidR="00C82EFD">
        <w:t xml:space="preserve"> </w:t>
      </w:r>
      <w:r w:rsidR="00CE492C">
        <w:t>1(a)</w:t>
      </w:r>
      <w:r w:rsidR="0023437A">
        <w:t xml:space="preserve"> above</w:t>
      </w:r>
      <w:r w:rsidR="00657CDE">
        <w:t>.</w:t>
      </w:r>
      <w:r w:rsidR="00CE492C">
        <w:t xml:space="preserve"> </w:t>
      </w:r>
    </w:p>
    <w:p w:rsidR="00657CDE" w:rsidRDefault="00657CDE" w:rsidP="00657CDE">
      <w:pPr>
        <w:numPr>
          <w:ilvl w:val="0"/>
          <w:numId w:val="2"/>
        </w:numPr>
        <w:spacing w:before="60" w:after="60"/>
      </w:pPr>
      <w:r>
        <w:t xml:space="preserve">A penalty of $5,000 is imposed on the second respondent, Mr Anthony </w:t>
      </w:r>
      <w:proofErr w:type="spellStart"/>
      <w:r>
        <w:t>Sahade</w:t>
      </w:r>
      <w:proofErr w:type="spellEnd"/>
      <w:r>
        <w:t xml:space="preserve">, pursuant to s 546 of the FW Act for his involvement (within the meaning of s 550(1) of the FW Act) in Crystal </w:t>
      </w:r>
      <w:proofErr w:type="spellStart"/>
      <w:r>
        <w:t>Carwash’s</w:t>
      </w:r>
      <w:proofErr w:type="spellEnd"/>
      <w:r>
        <w:t xml:space="preserve"> contravention </w:t>
      </w:r>
      <w:r w:rsidR="000D6F63">
        <w:t xml:space="preserve">recorded </w:t>
      </w:r>
      <w:r>
        <w:t>in declaration 1(b)</w:t>
      </w:r>
      <w:r w:rsidR="0023437A">
        <w:t xml:space="preserve"> above</w:t>
      </w:r>
      <w:r>
        <w:t xml:space="preserve">. </w:t>
      </w:r>
    </w:p>
    <w:p w:rsidR="00657CDE" w:rsidRDefault="004C04D2" w:rsidP="004C04D2">
      <w:pPr>
        <w:numPr>
          <w:ilvl w:val="0"/>
          <w:numId w:val="2"/>
        </w:numPr>
        <w:spacing w:before="60" w:after="60"/>
      </w:pPr>
      <w:r>
        <w:t>A penalty of $</w:t>
      </w:r>
      <w:r w:rsidR="00657CDE">
        <w:t>5</w:t>
      </w:r>
      <w:r>
        <w:t>,000 is imposed on the third responde</w:t>
      </w:r>
      <w:r w:rsidR="003A2D2D">
        <w:t xml:space="preserve">nt, Mr Peter </w:t>
      </w:r>
      <w:proofErr w:type="spellStart"/>
      <w:r w:rsidR="003A2D2D">
        <w:t>Khouri</w:t>
      </w:r>
      <w:proofErr w:type="spellEnd"/>
      <w:r w:rsidR="003A2D2D">
        <w:t xml:space="preserve">, </w:t>
      </w:r>
      <w:r w:rsidR="00CE492C">
        <w:t>pursuant to</w:t>
      </w:r>
      <w:r w:rsidR="003A2D2D">
        <w:t xml:space="preserve"> s </w:t>
      </w:r>
      <w:r w:rsidR="00CE492C">
        <w:t>546</w:t>
      </w:r>
      <w:r w:rsidR="003A2D2D">
        <w:t xml:space="preserve"> of the FW Act for his involvement (within the meaning of s 550(1) of the FW Act) in Crystal </w:t>
      </w:r>
      <w:proofErr w:type="spellStart"/>
      <w:r w:rsidR="003A2D2D">
        <w:t>Carwash’s</w:t>
      </w:r>
      <w:proofErr w:type="spellEnd"/>
      <w:r w:rsidR="003A2D2D">
        <w:t xml:space="preserve"> contravention </w:t>
      </w:r>
      <w:r w:rsidR="000D6F63">
        <w:t xml:space="preserve">recorded </w:t>
      </w:r>
      <w:r w:rsidR="003A2D2D">
        <w:t xml:space="preserve">in </w:t>
      </w:r>
      <w:r w:rsidR="00151B22">
        <w:t>declaration</w:t>
      </w:r>
      <w:r w:rsidR="00C82EFD">
        <w:t xml:space="preserve"> </w:t>
      </w:r>
      <w:r w:rsidR="00657CDE">
        <w:t>1(a</w:t>
      </w:r>
      <w:r w:rsidR="000D6F63">
        <w:t>)</w:t>
      </w:r>
      <w:r w:rsidR="0023437A">
        <w:t xml:space="preserve"> above</w:t>
      </w:r>
      <w:r w:rsidR="000D6F63">
        <w:t>.</w:t>
      </w:r>
    </w:p>
    <w:p w:rsidR="00657CDE" w:rsidRDefault="00657CDE" w:rsidP="00657CDE">
      <w:pPr>
        <w:numPr>
          <w:ilvl w:val="0"/>
          <w:numId w:val="2"/>
        </w:numPr>
        <w:spacing w:before="60" w:after="60"/>
      </w:pPr>
      <w:r>
        <w:t xml:space="preserve">A penalty of $5,000 is imposed on the third respondent, Mr Peter </w:t>
      </w:r>
      <w:proofErr w:type="spellStart"/>
      <w:r>
        <w:t>Khouri</w:t>
      </w:r>
      <w:proofErr w:type="spellEnd"/>
      <w:r>
        <w:t xml:space="preserve">, pursuant to s 546 of the FW Act for his involvement (within the meaning of s 550(1) of the FW Act) in Crystal </w:t>
      </w:r>
      <w:proofErr w:type="spellStart"/>
      <w:r>
        <w:t>Carwash’s</w:t>
      </w:r>
      <w:proofErr w:type="spellEnd"/>
      <w:r>
        <w:t xml:space="preserve"> contravention </w:t>
      </w:r>
      <w:r w:rsidR="000D6F63">
        <w:t xml:space="preserve">recorded </w:t>
      </w:r>
      <w:r>
        <w:t>in declaration</w:t>
      </w:r>
      <w:r w:rsidR="000D6F63">
        <w:t xml:space="preserve"> 1(b)</w:t>
      </w:r>
      <w:r w:rsidR="0023437A">
        <w:t xml:space="preserve"> above</w:t>
      </w:r>
      <w:r w:rsidR="000D6F63">
        <w:t>.</w:t>
      </w:r>
    </w:p>
    <w:p w:rsidR="004C04D2" w:rsidRDefault="00D94A20" w:rsidP="004C04D2">
      <w:pPr>
        <w:numPr>
          <w:ilvl w:val="0"/>
          <w:numId w:val="2"/>
        </w:numPr>
        <w:spacing w:before="60" w:after="60"/>
      </w:pPr>
      <w:r>
        <w:t>Pursuant to s </w:t>
      </w:r>
      <w:r w:rsidR="00DF24F2">
        <w:t>546(3) of the FW </w:t>
      </w:r>
      <w:r w:rsidR="004C04D2">
        <w:t xml:space="preserve">Act all pecuniary penalties imposed under the above orders be paid into the Consolidated Revenue Fund of </w:t>
      </w:r>
      <w:r w:rsidR="00DF24F2">
        <w:t xml:space="preserve">the </w:t>
      </w:r>
      <w:r w:rsidR="004C04D2">
        <w:t xml:space="preserve">Commonwealth within twenty-eight days of the date of order for payment.  </w:t>
      </w:r>
    </w:p>
    <w:p w:rsidR="004C04D2" w:rsidRDefault="004C04D2" w:rsidP="004C04D2">
      <w:pPr>
        <w:numPr>
          <w:ilvl w:val="0"/>
          <w:numId w:val="2"/>
        </w:numPr>
        <w:spacing w:before="60" w:after="60"/>
      </w:pPr>
      <w:r>
        <w:t xml:space="preserve">The balance of the statement of claim be dismissed.  </w:t>
      </w:r>
    </w:p>
    <w:p w:rsidR="004C04D2" w:rsidRDefault="004C04D2" w:rsidP="004C04D2">
      <w:pPr>
        <w:numPr>
          <w:ilvl w:val="0"/>
          <w:numId w:val="2"/>
        </w:numPr>
        <w:spacing w:before="60" w:after="60"/>
      </w:pPr>
      <w:r>
        <w:t xml:space="preserve">The cross claim </w:t>
      </w:r>
      <w:r w:rsidR="00C82EFD">
        <w:t xml:space="preserve">be </w:t>
      </w:r>
      <w:r>
        <w:t xml:space="preserve">dismissed.  </w:t>
      </w:r>
    </w:p>
    <w:bookmarkEnd w:id="23"/>
    <w:p w:rsidR="00503D4D" w:rsidRDefault="00503D4D">
      <w:pPr>
        <w:spacing w:before="60" w:after="60"/>
      </w:pPr>
    </w:p>
    <w:p w:rsidR="00503D4D" w:rsidRDefault="00503D4D">
      <w:pPr>
        <w:spacing w:before="60" w:after="60"/>
      </w:pPr>
    </w:p>
    <w:p w:rsidR="00503D4D" w:rsidRDefault="005E66C6">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503D4D" w:rsidRDefault="00503D4D"/>
    <w:p w:rsidR="00503D4D" w:rsidRDefault="00503D4D"/>
    <w:p w:rsidR="00503D4D" w:rsidRDefault="00503D4D">
      <w:pPr>
        <w:pStyle w:val="NormalHeadings"/>
        <w:spacing w:before="240" w:after="120"/>
        <w:rPr>
          <w:b w:val="0"/>
        </w:rPr>
        <w:sectPr w:rsidR="00503D4D">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03D4D">
        <w:tc>
          <w:tcPr>
            <w:tcW w:w="6771" w:type="dxa"/>
          </w:tcPr>
          <w:p w:rsidR="00503D4D" w:rsidRDefault="005E66C6">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503D4D" w:rsidRDefault="00503D4D">
            <w:pPr>
              <w:pStyle w:val="NormalHeadings"/>
            </w:pPr>
          </w:p>
        </w:tc>
      </w:tr>
      <w:tr w:rsidR="00503D4D">
        <w:tc>
          <w:tcPr>
            <w:tcW w:w="6771" w:type="dxa"/>
          </w:tcPr>
          <w:p w:rsidR="00503D4D" w:rsidRDefault="005E66C6">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E12760">
              <w:rPr>
                <w:caps/>
                <w:szCs w:val="24"/>
              </w:rPr>
              <w:t>NEW SOUTH WALES</w:t>
            </w:r>
            <w:r>
              <w:rPr>
                <w:caps/>
                <w:szCs w:val="24"/>
              </w:rPr>
              <w:fldChar w:fldCharType="end"/>
            </w:r>
            <w:r>
              <w:rPr>
                <w:caps/>
                <w:szCs w:val="24"/>
              </w:rPr>
              <w:t xml:space="preserve"> DISTRICT REGISTRY</w:t>
            </w:r>
          </w:p>
        </w:tc>
        <w:tc>
          <w:tcPr>
            <w:tcW w:w="2471" w:type="dxa"/>
          </w:tcPr>
          <w:p w:rsidR="00503D4D" w:rsidRDefault="00503D4D">
            <w:pPr>
              <w:pStyle w:val="NormalHeadings"/>
              <w:tabs>
                <w:tab w:val="right" w:pos="3609"/>
              </w:tabs>
              <w:jc w:val="right"/>
              <w:rPr>
                <w:caps/>
                <w:szCs w:val="24"/>
              </w:rPr>
            </w:pPr>
          </w:p>
        </w:tc>
      </w:tr>
      <w:tr w:rsidR="00503D4D">
        <w:tc>
          <w:tcPr>
            <w:tcW w:w="6771" w:type="dxa"/>
          </w:tcPr>
          <w:p w:rsidR="00503D4D" w:rsidRDefault="005E66C6">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E12760">
              <w:rPr>
                <w:caps/>
                <w:szCs w:val="24"/>
              </w:rPr>
              <w:t>FAIR WORK DIVISION</w:t>
            </w:r>
            <w:r>
              <w:rPr>
                <w:caps/>
                <w:szCs w:val="24"/>
              </w:rPr>
              <w:fldChar w:fldCharType="end"/>
            </w:r>
          </w:p>
        </w:tc>
        <w:tc>
          <w:tcPr>
            <w:tcW w:w="2471" w:type="dxa"/>
          </w:tcPr>
          <w:p w:rsidR="00503D4D" w:rsidRDefault="005E66C6">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E12760" w:rsidRPr="00E12760">
              <w:rPr>
                <w:caps/>
                <w:szCs w:val="24"/>
              </w:rPr>
              <w:t>NSD</w:t>
            </w:r>
            <w:proofErr w:type="spellEnd"/>
            <w:r w:rsidR="00E12760">
              <w:rPr>
                <w:szCs w:val="24"/>
              </w:rPr>
              <w:t xml:space="preserve"> 1585 of 2012</w:t>
            </w:r>
            <w:r>
              <w:rPr>
                <w:caps/>
                <w:szCs w:val="24"/>
              </w:rPr>
              <w:fldChar w:fldCharType="end"/>
            </w:r>
          </w:p>
        </w:tc>
      </w:tr>
    </w:tbl>
    <w:p w:rsidR="00503D4D" w:rsidRDefault="00E3417A">
      <w:pPr>
        <w:pStyle w:val="AppealTable"/>
      </w:pPr>
      <w:r>
        <w:fldChar w:fldCharType="begin" w:fldLock="1"/>
      </w:r>
      <w:r>
        <w:instrText xml:space="preserve"> Ref AppealTable  \* MERGEFORMAT </w:instrText>
      </w:r>
      <w:r>
        <w:fldChar w:fldCharType="separate"/>
      </w:r>
      <w:r w:rsidR="00E12760" w:rsidRPr="00E12760">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503D4D">
        <w:trPr>
          <w:trHeight w:val="386"/>
        </w:trPr>
        <w:tc>
          <w:tcPr>
            <w:tcW w:w="2376" w:type="dxa"/>
          </w:tcPr>
          <w:p w:rsidR="00503D4D" w:rsidRDefault="005E66C6">
            <w:pPr>
              <w:pStyle w:val="NormalHeadings"/>
              <w:jc w:val="left"/>
              <w:rPr>
                <w:caps/>
                <w:szCs w:val="24"/>
              </w:rPr>
            </w:pPr>
            <w:r>
              <w:rPr>
                <w:caps/>
                <w:szCs w:val="24"/>
              </w:rPr>
              <w:t>BETWEEN:</w:t>
            </w:r>
          </w:p>
        </w:tc>
        <w:tc>
          <w:tcPr>
            <w:tcW w:w="6866" w:type="dxa"/>
          </w:tcPr>
          <w:p w:rsidR="00E12760" w:rsidRDefault="005E66C6">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E12760">
              <w:rPr>
                <w:szCs w:val="24"/>
              </w:rPr>
              <w:t>FAIR WORK OMBUDSMAN</w:t>
            </w:r>
          </w:p>
          <w:p w:rsidR="00E12760" w:rsidRDefault="00E12760">
            <w:pPr>
              <w:pStyle w:val="NormalHeadings"/>
              <w:jc w:val="left"/>
              <w:rPr>
                <w:szCs w:val="24"/>
              </w:rPr>
            </w:pPr>
            <w:r>
              <w:rPr>
                <w:szCs w:val="24"/>
              </w:rPr>
              <w:t>Applicant</w:t>
            </w:r>
          </w:p>
          <w:p w:rsidR="00503D4D" w:rsidRDefault="005E66C6">
            <w:pPr>
              <w:pStyle w:val="NormalHeadings"/>
              <w:jc w:val="left"/>
              <w:rPr>
                <w:caps/>
                <w:szCs w:val="24"/>
              </w:rPr>
            </w:pPr>
            <w:r>
              <w:rPr>
                <w:caps/>
                <w:szCs w:val="24"/>
              </w:rPr>
              <w:fldChar w:fldCharType="end"/>
            </w:r>
          </w:p>
        </w:tc>
      </w:tr>
      <w:tr w:rsidR="00503D4D">
        <w:trPr>
          <w:trHeight w:val="386"/>
        </w:trPr>
        <w:tc>
          <w:tcPr>
            <w:tcW w:w="2376" w:type="dxa"/>
          </w:tcPr>
          <w:p w:rsidR="00503D4D" w:rsidRDefault="005E66C6">
            <w:pPr>
              <w:pStyle w:val="NormalHeadings"/>
              <w:jc w:val="left"/>
              <w:rPr>
                <w:caps/>
                <w:szCs w:val="24"/>
              </w:rPr>
            </w:pPr>
            <w:r>
              <w:rPr>
                <w:caps/>
                <w:szCs w:val="24"/>
              </w:rPr>
              <w:t>AND:</w:t>
            </w:r>
          </w:p>
        </w:tc>
        <w:tc>
          <w:tcPr>
            <w:tcW w:w="6866" w:type="dxa"/>
          </w:tcPr>
          <w:p w:rsidR="00E12760" w:rsidRDefault="005E66C6">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E12760" w:rsidRPr="00E12760">
              <w:rPr>
                <w:caps/>
                <w:szCs w:val="24"/>
              </w:rPr>
              <w:t>CRYSTAL</w:t>
            </w:r>
            <w:r w:rsidR="00E12760">
              <w:rPr>
                <w:szCs w:val="24"/>
              </w:rPr>
              <w:t xml:space="preserve"> CARWASH CAFE PTY LTD (</w:t>
            </w:r>
            <w:proofErr w:type="spellStart"/>
            <w:r w:rsidR="00E12760">
              <w:rPr>
                <w:szCs w:val="24"/>
              </w:rPr>
              <w:t>ACN</w:t>
            </w:r>
            <w:proofErr w:type="spellEnd"/>
            <w:r w:rsidR="00E12760">
              <w:rPr>
                <w:szCs w:val="24"/>
              </w:rPr>
              <w:t xml:space="preserve"> 060 916 770)</w:t>
            </w:r>
          </w:p>
          <w:p w:rsidR="00E12760" w:rsidRDefault="00E12760">
            <w:pPr>
              <w:pStyle w:val="NormalHeadings"/>
              <w:jc w:val="left"/>
              <w:rPr>
                <w:szCs w:val="24"/>
              </w:rPr>
            </w:pPr>
            <w:r>
              <w:rPr>
                <w:szCs w:val="24"/>
              </w:rPr>
              <w:t>First Respondent</w:t>
            </w:r>
          </w:p>
          <w:p w:rsidR="00E12760" w:rsidRDefault="00E12760">
            <w:pPr>
              <w:pStyle w:val="NormalHeadings"/>
              <w:jc w:val="left"/>
              <w:rPr>
                <w:szCs w:val="24"/>
              </w:rPr>
            </w:pPr>
          </w:p>
          <w:p w:rsidR="00E12760" w:rsidRDefault="00E12760">
            <w:pPr>
              <w:pStyle w:val="NormalHeadings"/>
              <w:jc w:val="left"/>
              <w:rPr>
                <w:szCs w:val="24"/>
              </w:rPr>
            </w:pPr>
            <w:r>
              <w:rPr>
                <w:szCs w:val="24"/>
              </w:rPr>
              <w:t xml:space="preserve">ANTHONY </w:t>
            </w:r>
            <w:proofErr w:type="spellStart"/>
            <w:r>
              <w:rPr>
                <w:szCs w:val="24"/>
              </w:rPr>
              <w:t>SAHADE</w:t>
            </w:r>
            <w:proofErr w:type="spellEnd"/>
          </w:p>
          <w:p w:rsidR="00E12760" w:rsidRDefault="00E12760">
            <w:pPr>
              <w:pStyle w:val="NormalHeadings"/>
              <w:jc w:val="left"/>
              <w:rPr>
                <w:szCs w:val="24"/>
              </w:rPr>
            </w:pPr>
            <w:r>
              <w:rPr>
                <w:szCs w:val="24"/>
              </w:rPr>
              <w:t>Second Respondent</w:t>
            </w:r>
          </w:p>
          <w:p w:rsidR="00E12760" w:rsidRDefault="00E12760">
            <w:pPr>
              <w:pStyle w:val="NormalHeadings"/>
              <w:jc w:val="left"/>
              <w:rPr>
                <w:szCs w:val="24"/>
              </w:rPr>
            </w:pPr>
          </w:p>
          <w:p w:rsidR="00E12760" w:rsidRDefault="00E12760">
            <w:pPr>
              <w:pStyle w:val="NormalHeadings"/>
              <w:jc w:val="left"/>
              <w:rPr>
                <w:szCs w:val="24"/>
              </w:rPr>
            </w:pPr>
            <w:r>
              <w:rPr>
                <w:szCs w:val="24"/>
              </w:rPr>
              <w:t xml:space="preserve">PETER </w:t>
            </w:r>
            <w:proofErr w:type="spellStart"/>
            <w:r>
              <w:rPr>
                <w:szCs w:val="24"/>
              </w:rPr>
              <w:t>KHOURI</w:t>
            </w:r>
            <w:proofErr w:type="spellEnd"/>
          </w:p>
          <w:p w:rsidR="00E12760" w:rsidRDefault="00E12760">
            <w:pPr>
              <w:pStyle w:val="NormalHeadings"/>
              <w:jc w:val="left"/>
              <w:rPr>
                <w:szCs w:val="24"/>
              </w:rPr>
            </w:pPr>
            <w:r>
              <w:rPr>
                <w:szCs w:val="24"/>
              </w:rPr>
              <w:t>Third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BADDINGTON</w:t>
            </w:r>
            <w:proofErr w:type="spellEnd"/>
            <w:r>
              <w:rPr>
                <w:szCs w:val="24"/>
              </w:rPr>
              <w:t xml:space="preserve"> PTY LTD (</w:t>
            </w:r>
            <w:proofErr w:type="spellStart"/>
            <w:r>
              <w:rPr>
                <w:szCs w:val="24"/>
              </w:rPr>
              <w:t>ACN</w:t>
            </w:r>
            <w:proofErr w:type="spellEnd"/>
            <w:r>
              <w:rPr>
                <w:szCs w:val="24"/>
              </w:rPr>
              <w:t xml:space="preserve"> 137 049 560)</w:t>
            </w:r>
          </w:p>
          <w:p w:rsidR="00E12760" w:rsidRDefault="00E12760">
            <w:pPr>
              <w:pStyle w:val="NormalHeadings"/>
              <w:jc w:val="left"/>
              <w:rPr>
                <w:szCs w:val="24"/>
              </w:rPr>
            </w:pPr>
            <w:r>
              <w:rPr>
                <w:szCs w:val="24"/>
              </w:rPr>
              <w:t>Fourth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SEEKTON</w:t>
            </w:r>
            <w:proofErr w:type="spellEnd"/>
            <w:r>
              <w:rPr>
                <w:szCs w:val="24"/>
              </w:rPr>
              <w:t xml:space="preserve"> PTY LTD (</w:t>
            </w:r>
            <w:proofErr w:type="spellStart"/>
            <w:r>
              <w:rPr>
                <w:szCs w:val="24"/>
              </w:rPr>
              <w:t>ACN</w:t>
            </w:r>
            <w:proofErr w:type="spellEnd"/>
            <w:r>
              <w:rPr>
                <w:szCs w:val="24"/>
              </w:rPr>
              <w:t xml:space="preserve"> 137 049 579)</w:t>
            </w:r>
          </w:p>
          <w:p w:rsidR="00E12760" w:rsidRDefault="00E12760">
            <w:pPr>
              <w:pStyle w:val="NormalHeadings"/>
              <w:jc w:val="left"/>
              <w:rPr>
                <w:szCs w:val="24"/>
              </w:rPr>
            </w:pPr>
            <w:r>
              <w:rPr>
                <w:szCs w:val="24"/>
              </w:rPr>
              <w:t>Fifth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OZREST</w:t>
            </w:r>
            <w:proofErr w:type="spellEnd"/>
            <w:r>
              <w:rPr>
                <w:szCs w:val="24"/>
              </w:rPr>
              <w:t xml:space="preserve"> PTY LTD (</w:t>
            </w:r>
            <w:proofErr w:type="spellStart"/>
            <w:r>
              <w:rPr>
                <w:szCs w:val="24"/>
              </w:rPr>
              <w:t>ACN</w:t>
            </w:r>
            <w:proofErr w:type="spellEnd"/>
            <w:r>
              <w:rPr>
                <w:szCs w:val="24"/>
              </w:rPr>
              <w:t xml:space="preserve"> 137 219 820)</w:t>
            </w:r>
          </w:p>
          <w:p w:rsidR="00E12760" w:rsidRDefault="00E12760">
            <w:pPr>
              <w:pStyle w:val="NormalHeadings"/>
              <w:jc w:val="left"/>
              <w:rPr>
                <w:szCs w:val="24"/>
              </w:rPr>
            </w:pPr>
            <w:r>
              <w:rPr>
                <w:szCs w:val="24"/>
              </w:rPr>
              <w:t>Sixth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SCHATRY</w:t>
            </w:r>
            <w:proofErr w:type="spellEnd"/>
            <w:r>
              <w:rPr>
                <w:szCs w:val="24"/>
              </w:rPr>
              <w:t xml:space="preserve"> PTY LTD (</w:t>
            </w:r>
            <w:proofErr w:type="spellStart"/>
            <w:r>
              <w:rPr>
                <w:szCs w:val="24"/>
              </w:rPr>
              <w:t>ACN</w:t>
            </w:r>
            <w:proofErr w:type="spellEnd"/>
            <w:r>
              <w:rPr>
                <w:szCs w:val="24"/>
              </w:rPr>
              <w:t xml:space="preserve"> 137 219 802)</w:t>
            </w:r>
          </w:p>
          <w:p w:rsidR="00E12760" w:rsidRDefault="00E12760">
            <w:pPr>
              <w:pStyle w:val="NormalHeadings"/>
              <w:jc w:val="left"/>
              <w:rPr>
                <w:szCs w:val="24"/>
              </w:rPr>
            </w:pPr>
            <w:r>
              <w:rPr>
                <w:szCs w:val="24"/>
              </w:rPr>
              <w:t>Seventh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COOLJAM</w:t>
            </w:r>
            <w:proofErr w:type="spellEnd"/>
            <w:r>
              <w:rPr>
                <w:szCs w:val="24"/>
              </w:rPr>
              <w:t xml:space="preserve"> PTY LTD (</w:t>
            </w:r>
            <w:proofErr w:type="spellStart"/>
            <w:r>
              <w:rPr>
                <w:szCs w:val="24"/>
              </w:rPr>
              <w:t>ACN</w:t>
            </w:r>
            <w:proofErr w:type="spellEnd"/>
            <w:r>
              <w:rPr>
                <w:szCs w:val="24"/>
              </w:rPr>
              <w:t xml:space="preserve"> 141 762 352)</w:t>
            </w:r>
          </w:p>
          <w:p w:rsidR="00E12760" w:rsidRDefault="00E12760">
            <w:pPr>
              <w:pStyle w:val="NormalHeadings"/>
              <w:jc w:val="left"/>
              <w:rPr>
                <w:szCs w:val="24"/>
              </w:rPr>
            </w:pPr>
            <w:r>
              <w:rPr>
                <w:szCs w:val="24"/>
              </w:rPr>
              <w:t>Eighth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OZRUN</w:t>
            </w:r>
            <w:proofErr w:type="spellEnd"/>
            <w:r>
              <w:rPr>
                <w:szCs w:val="24"/>
              </w:rPr>
              <w:t xml:space="preserve"> PTY LTD (</w:t>
            </w:r>
            <w:proofErr w:type="spellStart"/>
            <w:r>
              <w:rPr>
                <w:szCs w:val="24"/>
              </w:rPr>
              <w:t>ACN</w:t>
            </w:r>
            <w:proofErr w:type="spellEnd"/>
            <w:r>
              <w:rPr>
                <w:szCs w:val="24"/>
              </w:rPr>
              <w:t xml:space="preserve"> 141 762 389)</w:t>
            </w:r>
          </w:p>
          <w:p w:rsidR="00E12760" w:rsidRDefault="00E12760">
            <w:pPr>
              <w:pStyle w:val="NormalHeadings"/>
              <w:jc w:val="left"/>
              <w:rPr>
                <w:szCs w:val="24"/>
              </w:rPr>
            </w:pPr>
            <w:r>
              <w:rPr>
                <w:szCs w:val="24"/>
              </w:rPr>
              <w:t>Ninth Respondent</w:t>
            </w:r>
          </w:p>
          <w:p w:rsidR="00E12760" w:rsidRDefault="00E12760">
            <w:pPr>
              <w:pStyle w:val="NormalHeadings"/>
              <w:jc w:val="left"/>
              <w:rPr>
                <w:szCs w:val="24"/>
              </w:rPr>
            </w:pPr>
          </w:p>
          <w:p w:rsidR="00E12760" w:rsidRDefault="00E12760">
            <w:pPr>
              <w:pStyle w:val="NormalHeadings"/>
              <w:jc w:val="left"/>
              <w:rPr>
                <w:szCs w:val="24"/>
              </w:rPr>
            </w:pPr>
            <w:proofErr w:type="spellStart"/>
            <w:r>
              <w:rPr>
                <w:szCs w:val="24"/>
              </w:rPr>
              <w:t>TUSHAR</w:t>
            </w:r>
            <w:proofErr w:type="spellEnd"/>
            <w:r>
              <w:rPr>
                <w:szCs w:val="24"/>
              </w:rPr>
              <w:t xml:space="preserve"> INVESTMENTS PTY LTD (</w:t>
            </w:r>
            <w:proofErr w:type="spellStart"/>
            <w:r>
              <w:rPr>
                <w:szCs w:val="24"/>
              </w:rPr>
              <w:t>ACN</w:t>
            </w:r>
            <w:proofErr w:type="spellEnd"/>
            <w:r>
              <w:rPr>
                <w:szCs w:val="24"/>
              </w:rPr>
              <w:t xml:space="preserve"> 141 758 045)</w:t>
            </w:r>
          </w:p>
          <w:p w:rsidR="00E12760" w:rsidRDefault="00E12760">
            <w:pPr>
              <w:pStyle w:val="NormalHeadings"/>
              <w:jc w:val="left"/>
              <w:rPr>
                <w:szCs w:val="24"/>
              </w:rPr>
            </w:pPr>
            <w:r>
              <w:rPr>
                <w:szCs w:val="24"/>
              </w:rPr>
              <w:t>Tenth Respondent</w:t>
            </w:r>
          </w:p>
          <w:p w:rsidR="00E12760" w:rsidRDefault="00E12760">
            <w:pPr>
              <w:pStyle w:val="NormalHeadings"/>
              <w:jc w:val="left"/>
              <w:rPr>
                <w:szCs w:val="24"/>
              </w:rPr>
            </w:pPr>
          </w:p>
          <w:p w:rsidR="00E12760" w:rsidRDefault="00E12760">
            <w:pPr>
              <w:pStyle w:val="NormalHeadings"/>
              <w:jc w:val="left"/>
              <w:rPr>
                <w:szCs w:val="24"/>
              </w:rPr>
            </w:pPr>
            <w:r>
              <w:rPr>
                <w:szCs w:val="24"/>
              </w:rPr>
              <w:t>LUCKY HORIZONS PTY LTD (</w:t>
            </w:r>
            <w:proofErr w:type="spellStart"/>
            <w:r>
              <w:rPr>
                <w:szCs w:val="24"/>
              </w:rPr>
              <w:t>ACN</w:t>
            </w:r>
            <w:proofErr w:type="spellEnd"/>
            <w:r>
              <w:rPr>
                <w:szCs w:val="24"/>
              </w:rPr>
              <w:t xml:space="preserve"> 144 648 975)</w:t>
            </w:r>
          </w:p>
          <w:p w:rsidR="00E12760" w:rsidRDefault="00E12760">
            <w:pPr>
              <w:pStyle w:val="NormalHeadings"/>
              <w:jc w:val="left"/>
              <w:rPr>
                <w:szCs w:val="24"/>
              </w:rPr>
            </w:pPr>
            <w:r>
              <w:rPr>
                <w:szCs w:val="24"/>
              </w:rPr>
              <w:t>Eleventh Respondent</w:t>
            </w:r>
          </w:p>
          <w:p w:rsidR="00E12760" w:rsidRDefault="00E12760">
            <w:pPr>
              <w:pStyle w:val="NormalHeadings"/>
              <w:jc w:val="left"/>
              <w:rPr>
                <w:szCs w:val="24"/>
              </w:rPr>
            </w:pPr>
          </w:p>
          <w:p w:rsidR="00E12760" w:rsidRDefault="00E12760">
            <w:pPr>
              <w:pStyle w:val="NormalHeadings"/>
              <w:jc w:val="left"/>
              <w:rPr>
                <w:szCs w:val="24"/>
              </w:rPr>
            </w:pPr>
            <w:r>
              <w:rPr>
                <w:szCs w:val="24"/>
              </w:rPr>
              <w:t>PEPPER STONE PTY LTD (</w:t>
            </w:r>
            <w:proofErr w:type="spellStart"/>
            <w:r>
              <w:rPr>
                <w:szCs w:val="24"/>
              </w:rPr>
              <w:t>ACN</w:t>
            </w:r>
            <w:proofErr w:type="spellEnd"/>
            <w:r>
              <w:rPr>
                <w:szCs w:val="24"/>
              </w:rPr>
              <w:t xml:space="preserve"> 144 649 427)</w:t>
            </w:r>
          </w:p>
          <w:p w:rsidR="00E12760" w:rsidRDefault="00E12760">
            <w:pPr>
              <w:pStyle w:val="NormalHeadings"/>
              <w:jc w:val="left"/>
              <w:rPr>
                <w:szCs w:val="24"/>
              </w:rPr>
            </w:pPr>
            <w:r>
              <w:rPr>
                <w:szCs w:val="24"/>
              </w:rPr>
              <w:t>Twelfth Respondent</w:t>
            </w:r>
          </w:p>
          <w:p w:rsidR="00E12760" w:rsidRDefault="00E12760">
            <w:pPr>
              <w:pStyle w:val="NormalHeadings"/>
              <w:jc w:val="left"/>
              <w:rPr>
                <w:szCs w:val="24"/>
              </w:rPr>
            </w:pPr>
          </w:p>
          <w:p w:rsidR="00E12760" w:rsidRDefault="00E12760">
            <w:pPr>
              <w:pStyle w:val="NormalHeadings"/>
              <w:jc w:val="left"/>
              <w:rPr>
                <w:szCs w:val="24"/>
              </w:rPr>
            </w:pPr>
            <w:r>
              <w:rPr>
                <w:szCs w:val="24"/>
              </w:rPr>
              <w:t>OAK MINK PTY LTD (</w:t>
            </w:r>
            <w:proofErr w:type="spellStart"/>
            <w:r>
              <w:rPr>
                <w:szCs w:val="24"/>
              </w:rPr>
              <w:t>ACN</w:t>
            </w:r>
            <w:proofErr w:type="spellEnd"/>
            <w:r>
              <w:rPr>
                <w:szCs w:val="24"/>
              </w:rPr>
              <w:t xml:space="preserve"> 145 471 941)</w:t>
            </w:r>
          </w:p>
          <w:p w:rsidR="00E12760" w:rsidRDefault="00E12760">
            <w:pPr>
              <w:pStyle w:val="NormalHeadings"/>
              <w:jc w:val="left"/>
              <w:rPr>
                <w:szCs w:val="24"/>
              </w:rPr>
            </w:pPr>
            <w:r>
              <w:rPr>
                <w:szCs w:val="24"/>
              </w:rPr>
              <w:t>Thirteenth Respondent</w:t>
            </w:r>
          </w:p>
          <w:p w:rsidR="00503D4D" w:rsidRDefault="005E66C6">
            <w:pPr>
              <w:pStyle w:val="NormalHeadings"/>
              <w:jc w:val="left"/>
              <w:rPr>
                <w:caps/>
                <w:szCs w:val="24"/>
              </w:rPr>
            </w:pPr>
            <w:r>
              <w:rPr>
                <w:caps/>
                <w:szCs w:val="24"/>
              </w:rPr>
              <w:fldChar w:fldCharType="end"/>
            </w:r>
          </w:p>
        </w:tc>
      </w:tr>
    </w:tbl>
    <w:p w:rsidR="00503D4D" w:rsidRDefault="00503D4D">
      <w:pPr>
        <w:pStyle w:val="NormalHeadings"/>
      </w:pPr>
    </w:p>
    <w:tbl>
      <w:tblPr>
        <w:tblW w:w="0" w:type="auto"/>
        <w:tblLayout w:type="fixed"/>
        <w:tblLook w:val="0000" w:firstRow="0" w:lastRow="0" w:firstColumn="0" w:lastColumn="0" w:noHBand="0" w:noVBand="0"/>
      </w:tblPr>
      <w:tblGrid>
        <w:gridCol w:w="2376"/>
        <w:gridCol w:w="6866"/>
      </w:tblGrid>
      <w:tr w:rsidR="00503D4D">
        <w:tc>
          <w:tcPr>
            <w:tcW w:w="2376" w:type="dxa"/>
          </w:tcPr>
          <w:p w:rsidR="00503D4D" w:rsidRDefault="005E66C6">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E12760">
              <w:rPr>
                <w:caps/>
                <w:szCs w:val="24"/>
              </w:rPr>
              <w:t>JUDGE</w:t>
            </w:r>
            <w:r>
              <w:rPr>
                <w:caps/>
                <w:szCs w:val="24"/>
              </w:rPr>
              <w:fldChar w:fldCharType="end"/>
            </w:r>
            <w:r>
              <w:rPr>
                <w:caps/>
                <w:szCs w:val="24"/>
              </w:rPr>
              <w:t>:</w:t>
            </w:r>
          </w:p>
        </w:tc>
        <w:tc>
          <w:tcPr>
            <w:tcW w:w="6866" w:type="dxa"/>
          </w:tcPr>
          <w:p w:rsidR="00503D4D" w:rsidRDefault="005E66C6">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E12760">
              <w:rPr>
                <w:caps/>
                <w:szCs w:val="24"/>
              </w:rPr>
              <w:t>BUCHANAN J</w:t>
            </w:r>
            <w:r>
              <w:rPr>
                <w:caps/>
                <w:szCs w:val="24"/>
              </w:rPr>
              <w:fldChar w:fldCharType="end"/>
            </w:r>
          </w:p>
        </w:tc>
      </w:tr>
      <w:tr w:rsidR="00503D4D">
        <w:tc>
          <w:tcPr>
            <w:tcW w:w="2376" w:type="dxa"/>
          </w:tcPr>
          <w:p w:rsidR="00503D4D" w:rsidRDefault="005E66C6">
            <w:pPr>
              <w:pStyle w:val="NormalHeadings"/>
              <w:spacing w:after="120"/>
              <w:jc w:val="left"/>
              <w:rPr>
                <w:caps/>
                <w:szCs w:val="24"/>
              </w:rPr>
            </w:pPr>
            <w:r>
              <w:rPr>
                <w:caps/>
                <w:szCs w:val="24"/>
              </w:rPr>
              <w:lastRenderedPageBreak/>
              <w:t>DATE:</w:t>
            </w:r>
          </w:p>
        </w:tc>
        <w:tc>
          <w:tcPr>
            <w:tcW w:w="6866" w:type="dxa"/>
          </w:tcPr>
          <w:p w:rsidR="00503D4D" w:rsidRDefault="005E66C6">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FC274D">
              <w:rPr>
                <w:caps/>
                <w:szCs w:val="24"/>
              </w:rPr>
              <w:t>7 August</w:t>
            </w:r>
            <w:r w:rsidR="00E12760">
              <w:rPr>
                <w:caps/>
                <w:szCs w:val="24"/>
              </w:rPr>
              <w:t xml:space="preserve"> 2014</w:t>
            </w:r>
            <w:r>
              <w:rPr>
                <w:caps/>
                <w:szCs w:val="24"/>
              </w:rPr>
              <w:fldChar w:fldCharType="end"/>
            </w:r>
          </w:p>
        </w:tc>
      </w:tr>
      <w:tr w:rsidR="00503D4D">
        <w:tc>
          <w:tcPr>
            <w:tcW w:w="2376" w:type="dxa"/>
          </w:tcPr>
          <w:p w:rsidR="00503D4D" w:rsidRDefault="005E66C6">
            <w:pPr>
              <w:pStyle w:val="NormalHeadings"/>
              <w:spacing w:after="120"/>
              <w:jc w:val="left"/>
              <w:rPr>
                <w:caps/>
                <w:szCs w:val="24"/>
              </w:rPr>
            </w:pPr>
            <w:r>
              <w:rPr>
                <w:caps/>
                <w:szCs w:val="24"/>
              </w:rPr>
              <w:t>PLACE:</w:t>
            </w:r>
          </w:p>
        </w:tc>
        <w:tc>
          <w:tcPr>
            <w:tcW w:w="6866" w:type="dxa"/>
          </w:tcPr>
          <w:p w:rsidR="00503D4D" w:rsidRDefault="005E66C6">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E12760">
              <w:rPr>
                <w:caps/>
                <w:szCs w:val="24"/>
              </w:rPr>
              <w:t>SYDNEY</w:t>
            </w:r>
            <w:r>
              <w:rPr>
                <w:caps/>
                <w:szCs w:val="24"/>
              </w:rPr>
              <w:fldChar w:fldCharType="end"/>
            </w:r>
          </w:p>
        </w:tc>
      </w:tr>
    </w:tbl>
    <w:p w:rsidR="00503D4D" w:rsidRDefault="00503D4D"/>
    <w:p w:rsidR="00503D4D" w:rsidRDefault="005E66C6">
      <w:pPr>
        <w:pStyle w:val="StyleBold"/>
        <w:jc w:val="center"/>
        <w:rPr>
          <w:b/>
        </w:rPr>
      </w:pPr>
      <w:r>
        <w:rPr>
          <w:b/>
        </w:rPr>
        <w:t>REASONS FOR JUDGMENT</w:t>
      </w:r>
    </w:p>
    <w:p w:rsidR="00121E43" w:rsidRDefault="00121E43" w:rsidP="00121E43">
      <w:pPr>
        <w:pStyle w:val="Heading1"/>
      </w:pPr>
      <w:r>
        <w:t>Buchanan J:</w:t>
      </w:r>
    </w:p>
    <w:p w:rsidR="00E80AC3" w:rsidRDefault="00E80AC3" w:rsidP="00E80AC3">
      <w:pPr>
        <w:pStyle w:val="Heading2"/>
      </w:pPr>
      <w:r>
        <w:t>Procedural background</w:t>
      </w:r>
    </w:p>
    <w:p w:rsidR="00710239" w:rsidRDefault="003E42AF" w:rsidP="00001BBF">
      <w:pPr>
        <w:pStyle w:val="ParaNumbering"/>
      </w:pPr>
      <w:r>
        <w:t xml:space="preserve">The applicant, </w:t>
      </w:r>
      <w:r w:rsidR="00F16F94">
        <w:t xml:space="preserve">the Fair Work Ombudsman, is a statutory appointee under s 687 of the </w:t>
      </w:r>
      <w:r w:rsidR="00F16F94" w:rsidRPr="00F16F94">
        <w:rPr>
          <w:i/>
        </w:rPr>
        <w:t>Fair Work Act 2009</w:t>
      </w:r>
      <w:r w:rsidR="00F16F94">
        <w:t xml:space="preserve"> (</w:t>
      </w:r>
      <w:proofErr w:type="spellStart"/>
      <w:r w:rsidR="00F16F94">
        <w:t>Cth</w:t>
      </w:r>
      <w:proofErr w:type="spellEnd"/>
      <w:r w:rsidR="00F16F94">
        <w:t>) (“the FW Act”) who has standing to commence proceedings under the FW Act.  T</w:t>
      </w:r>
      <w:r>
        <w:t>he Fair Work Ombudsman c</w:t>
      </w:r>
      <w:r w:rsidR="00E80AC3">
        <w:t xml:space="preserve">ommenced </w:t>
      </w:r>
      <w:r>
        <w:t xml:space="preserve">these proceedings </w:t>
      </w:r>
      <w:r w:rsidR="00615CB6">
        <w:t xml:space="preserve">against the thirteen respondents </w:t>
      </w:r>
      <w:r w:rsidR="00E80AC3">
        <w:t xml:space="preserve">by </w:t>
      </w:r>
      <w:r w:rsidR="00710239">
        <w:t xml:space="preserve">application and statement of claim </w:t>
      </w:r>
      <w:r w:rsidR="00587031">
        <w:t>on 15 </w:t>
      </w:r>
      <w:r w:rsidR="00E80AC3">
        <w:t>October 2012</w:t>
      </w:r>
      <w:r w:rsidR="00710239">
        <w:t xml:space="preserve">.  </w:t>
      </w:r>
    </w:p>
    <w:p w:rsidR="00710239" w:rsidRDefault="00710239" w:rsidP="00001BBF">
      <w:pPr>
        <w:pStyle w:val="ParaNumbering"/>
      </w:pPr>
      <w:r>
        <w:t>The first respondent is</w:t>
      </w:r>
      <w:r w:rsidR="00B84431">
        <w:t xml:space="preserve"> a company that</w:t>
      </w:r>
      <w:r>
        <w:t xml:space="preserve"> </w:t>
      </w:r>
      <w:r w:rsidR="00B84431">
        <w:t>operates</w:t>
      </w:r>
      <w:r w:rsidR="004A43DF">
        <w:t xml:space="preserve"> a</w:t>
      </w:r>
      <w:r w:rsidR="00370E3A">
        <w:t xml:space="preserve"> car </w:t>
      </w:r>
      <w:r>
        <w:t xml:space="preserve">washing business </w:t>
      </w:r>
      <w:r w:rsidR="00297509">
        <w:t xml:space="preserve">across </w:t>
      </w:r>
      <w:r w:rsidR="004A43DF">
        <w:t xml:space="preserve">several sites </w:t>
      </w:r>
      <w:r w:rsidR="00D8193A">
        <w:t>in</w:t>
      </w:r>
      <w:r w:rsidR="004A43DF">
        <w:t xml:space="preserve"> Sydney. </w:t>
      </w:r>
      <w:r w:rsidR="009669E9">
        <w:t xml:space="preserve"> The second</w:t>
      </w:r>
      <w:r w:rsidR="003653B7">
        <w:t xml:space="preserve"> respondent</w:t>
      </w:r>
      <w:r w:rsidR="009669E9">
        <w:t xml:space="preserve"> </w:t>
      </w:r>
      <w:r w:rsidR="003A2E8D">
        <w:t>is the sole director and secretary</w:t>
      </w:r>
      <w:r w:rsidR="009669E9">
        <w:t xml:space="preserve"> </w:t>
      </w:r>
      <w:r w:rsidR="007B7CF1">
        <w:t xml:space="preserve">of the first respondent. </w:t>
      </w:r>
      <w:r w:rsidR="003A2E8D">
        <w:t xml:space="preserve"> The third respondent </w:t>
      </w:r>
      <w:r w:rsidR="00297509">
        <w:t xml:space="preserve">is </w:t>
      </w:r>
      <w:r w:rsidR="003A2E8D">
        <w:t xml:space="preserve">employed by the first respondent as a </w:t>
      </w:r>
      <w:r w:rsidR="003653B7">
        <w:t xml:space="preserve">senior </w:t>
      </w:r>
      <w:r w:rsidR="003A2E8D">
        <w:t xml:space="preserve">manager of </w:t>
      </w:r>
      <w:r w:rsidR="003653B7">
        <w:t xml:space="preserve">its </w:t>
      </w:r>
      <w:r w:rsidR="003A2E8D">
        <w:t xml:space="preserve">business. </w:t>
      </w:r>
      <w:r w:rsidR="007B7CF1">
        <w:t xml:space="preserve"> The fourth to thirteenth respondents are </w:t>
      </w:r>
      <w:r w:rsidR="00666621">
        <w:t>supposed</w:t>
      </w:r>
      <w:r w:rsidR="007B7CF1">
        <w:t xml:space="preserve"> labour hire companies which purported to employ the employee</w:t>
      </w:r>
      <w:r w:rsidR="00370E3A">
        <w:t xml:space="preserve">s in the first respondent’s car </w:t>
      </w:r>
      <w:r w:rsidR="007B7CF1">
        <w:t xml:space="preserve">washing business across different sites in Sydney.  </w:t>
      </w:r>
    </w:p>
    <w:p w:rsidR="0066040D" w:rsidRDefault="0066040D" w:rsidP="0066040D">
      <w:pPr>
        <w:pStyle w:val="Heading2"/>
      </w:pPr>
      <w:r>
        <w:t>The allegations against the respondents</w:t>
      </w:r>
    </w:p>
    <w:p w:rsidR="00370E3A" w:rsidRDefault="00297509" w:rsidP="00370E3A">
      <w:pPr>
        <w:pStyle w:val="ParaNumbering"/>
      </w:pPr>
      <w:r>
        <w:t xml:space="preserve">The statement of claim made a number of allegations.  It </w:t>
      </w:r>
      <w:r w:rsidR="0066040D">
        <w:t>primarily</w:t>
      </w:r>
      <w:r>
        <w:t xml:space="preserve"> alleged that the first respondent contravened the </w:t>
      </w:r>
      <w:r w:rsidRPr="001B1F83">
        <w:rPr>
          <w:i/>
        </w:rPr>
        <w:t>Vehicle Manufacturing, Repair, Services and Retail Award 2010</w:t>
      </w:r>
      <w:r w:rsidR="007944EB">
        <w:t xml:space="preserve"> </w:t>
      </w:r>
      <w:r w:rsidR="00587031">
        <w:t>(“the </w:t>
      </w:r>
      <w:r w:rsidR="002B1AFD">
        <w:t xml:space="preserve">Award”) </w:t>
      </w:r>
      <w:r>
        <w:t xml:space="preserve">by not paying </w:t>
      </w:r>
      <w:r w:rsidR="00647495">
        <w:t xml:space="preserve">its </w:t>
      </w:r>
      <w:r>
        <w:t>employees minimum rates of pay or overtime entitlements under the Award and that it failed to maintain proper records</w:t>
      </w:r>
      <w:r w:rsidR="00647495">
        <w:t xml:space="preserve"> with respect to employee overtime</w:t>
      </w:r>
      <w:r>
        <w:t xml:space="preserve">.  </w:t>
      </w:r>
      <w:r w:rsidR="004F3DE3">
        <w:t xml:space="preserve">The allegations concerning the underpayment contraventions </w:t>
      </w:r>
      <w:r w:rsidR="00666621">
        <w:t>were</w:t>
      </w:r>
      <w:r w:rsidR="004F3DE3">
        <w:t xml:space="preserve"> that from the period 1 January 2010 to 18 September 2010 </w:t>
      </w:r>
      <w:r w:rsidR="00A9774B">
        <w:t xml:space="preserve">a significant number of the </w:t>
      </w:r>
      <w:r w:rsidR="004F3DE3">
        <w:t xml:space="preserve">359 employees </w:t>
      </w:r>
      <w:r w:rsidR="00A9774B">
        <w:t xml:space="preserve">employed by the first respondent </w:t>
      </w:r>
      <w:r w:rsidR="004F3DE3">
        <w:t>were paid less than the applicable award wages and</w:t>
      </w:r>
      <w:r w:rsidR="00116563">
        <w:t>/or</w:t>
      </w:r>
      <w:r w:rsidR="004F3DE3">
        <w:t xml:space="preserve"> not paid overtime entitlements.  </w:t>
      </w:r>
      <w:r w:rsidR="004D4092">
        <w:t>These</w:t>
      </w:r>
      <w:r w:rsidR="00647495">
        <w:t xml:space="preserve"> allegation</w:t>
      </w:r>
      <w:r w:rsidR="004D4092">
        <w:t>s</w:t>
      </w:r>
      <w:r w:rsidR="00647495">
        <w:t xml:space="preserve"> presumed </w:t>
      </w:r>
      <w:r w:rsidR="004F3DE3">
        <w:t xml:space="preserve">that </w:t>
      </w:r>
      <w:r w:rsidR="00647495">
        <w:t xml:space="preserve">the first respondent was the true employer of </w:t>
      </w:r>
      <w:r w:rsidR="00370E3A">
        <w:t>the car</w:t>
      </w:r>
      <w:r w:rsidR="00647495">
        <w:t xml:space="preserve">wash employees and alleged that the use of labour hire companies such as the fourth to thirteenth respondents was a sham.  </w:t>
      </w:r>
      <w:r w:rsidR="00370E3A">
        <w:t>T</w:t>
      </w:r>
      <w:r>
        <w:t xml:space="preserve">he respondents </w:t>
      </w:r>
      <w:r w:rsidR="00370E3A">
        <w:t xml:space="preserve">initially </w:t>
      </w:r>
      <w:r>
        <w:t xml:space="preserve">maintained that the labour hire </w:t>
      </w:r>
      <w:r w:rsidR="0066040D">
        <w:t>companies</w:t>
      </w:r>
      <w:r>
        <w:t xml:space="preserve"> were the true employ</w:t>
      </w:r>
      <w:r w:rsidR="00247469">
        <w:t>ers of the car</w:t>
      </w:r>
      <w:r w:rsidR="00370E3A">
        <w:t xml:space="preserve">wash employees and denied that the Award applied to them or their employees, contending that their activities were not covered </w:t>
      </w:r>
      <w:r w:rsidR="001B1F83">
        <w:t>under</w:t>
      </w:r>
      <w:r w:rsidR="00370E3A">
        <w:t xml:space="preserve"> the terms of the Award.  </w:t>
      </w:r>
    </w:p>
    <w:p w:rsidR="00647495" w:rsidRDefault="00664D46" w:rsidP="00647495">
      <w:pPr>
        <w:pStyle w:val="ParaNumbering"/>
      </w:pPr>
      <w:r>
        <w:lastRenderedPageBreak/>
        <w:t>The statement of claim contend</w:t>
      </w:r>
      <w:r w:rsidR="001B1F83">
        <w:t xml:space="preserve">ed </w:t>
      </w:r>
      <w:r>
        <w:t>also</w:t>
      </w:r>
      <w:r w:rsidR="001B1F83">
        <w:t xml:space="preserve"> that </w:t>
      </w:r>
      <w:r w:rsidR="00647495">
        <w:t xml:space="preserve">the use of labour hire </w:t>
      </w:r>
      <w:r w:rsidR="00172931">
        <w:t>companies</w:t>
      </w:r>
      <w:r w:rsidR="001B1F83">
        <w:t>,</w:t>
      </w:r>
      <w:r w:rsidR="00647495">
        <w:t xml:space="preserve"> such as the fourth to thirteenth respondents</w:t>
      </w:r>
      <w:r w:rsidR="001B1F83">
        <w:t>,</w:t>
      </w:r>
      <w:r w:rsidR="00647495">
        <w:t xml:space="preserve"> constituted part of a</w:t>
      </w:r>
      <w:r w:rsidR="00A9774B">
        <w:t>n</w:t>
      </w:r>
      <w:r w:rsidR="00647495">
        <w:t xml:space="preserve"> avoidance system designed to hide the true identity of the employer of the carwash employees and avoid liability under workplace laws.  The system </w:t>
      </w:r>
      <w:r w:rsidR="00914E00">
        <w:t>was alleged to</w:t>
      </w:r>
      <w:r w:rsidR="00647495">
        <w:t xml:space="preserve"> involve the setting up of labour hire companies at the direction of the second and third respondents</w:t>
      </w:r>
      <w:r w:rsidR="00914E00">
        <w:t>,</w:t>
      </w:r>
      <w:r w:rsidR="00647495">
        <w:t xml:space="preserve"> where an employee of the </w:t>
      </w:r>
      <w:r w:rsidR="00914E00">
        <w:t>first respondent’s car</w:t>
      </w:r>
      <w:r w:rsidR="00647495">
        <w:t xml:space="preserve">wash business who did not have any experience as a director of a company would purport to </w:t>
      </w:r>
      <w:r w:rsidR="00985420">
        <w:t>be the sole director of</w:t>
      </w:r>
      <w:r w:rsidR="00647495">
        <w:t xml:space="preserve"> the labour hire company.  On a weekly, fortnightly or monthly basis the labour hire company would pay the wages of its </w:t>
      </w:r>
      <w:r w:rsidR="005509F2">
        <w:t xml:space="preserve">supposed </w:t>
      </w:r>
      <w:r w:rsidR="00647495">
        <w:t xml:space="preserve">employees and invoice the first respondent for roughly the same amount.  The invoices were prepared by a representative of the first respondent.  It is an agreed fact in these proceedings that the first respondent received all of the profits and takings generated by the operations of the labour hire entities.  It was also alleged that certain labour hire entities would </w:t>
      </w:r>
      <w:r w:rsidR="006C0BA1">
        <w:t xml:space="preserve">be </w:t>
      </w:r>
      <w:r w:rsidR="00647495">
        <w:t xml:space="preserve">liquidated from time to time and their </w:t>
      </w:r>
      <w:r w:rsidR="005509F2">
        <w:t>supposed role</w:t>
      </w:r>
      <w:r w:rsidR="00647495">
        <w:t xml:space="preserve"> as employers would be transferred to newly</w:t>
      </w:r>
      <w:r w:rsidR="006C0BA1">
        <w:t>-</w:t>
      </w:r>
      <w:r w:rsidR="00647495">
        <w:t xml:space="preserve">created labour hire entities.  </w:t>
      </w:r>
    </w:p>
    <w:p w:rsidR="00647495" w:rsidRDefault="006C0BA1" w:rsidP="00647495">
      <w:pPr>
        <w:pStyle w:val="ParaNumbering"/>
      </w:pPr>
      <w:r>
        <w:t xml:space="preserve">The respondents </w:t>
      </w:r>
      <w:r w:rsidR="0066040D">
        <w:t xml:space="preserve">denied the allegation that the arrangements </w:t>
      </w:r>
      <w:r>
        <w:t>w</w:t>
      </w:r>
      <w:r w:rsidR="0066040D">
        <w:t>ere</w:t>
      </w:r>
      <w:r>
        <w:t xml:space="preserve"> a sham or otherwise uncommercial</w:t>
      </w:r>
      <w:r w:rsidR="00A65A96">
        <w:t xml:space="preserve">. </w:t>
      </w:r>
      <w:r>
        <w:t xml:space="preserve"> </w:t>
      </w:r>
      <w:r w:rsidR="00A65A96">
        <w:t>However, i</w:t>
      </w:r>
      <w:r>
        <w:t xml:space="preserve">t was later admitted by the respondents </w:t>
      </w:r>
      <w:r w:rsidR="00A65A96">
        <w:t>(</w:t>
      </w:r>
      <w:r>
        <w:t>for the purpose of these proceedings only</w:t>
      </w:r>
      <w:r w:rsidR="00A65A96">
        <w:t>)</w:t>
      </w:r>
      <w:r>
        <w:t xml:space="preserve"> that the first respondent was the true employer of the employees.</w:t>
      </w:r>
      <w:r w:rsidR="00A65A96">
        <w:t xml:space="preserve">  </w:t>
      </w:r>
    </w:p>
    <w:p w:rsidR="00A65A96" w:rsidRDefault="00061040" w:rsidP="00647495">
      <w:pPr>
        <w:pStyle w:val="ParaNumbering"/>
      </w:pPr>
      <w:r>
        <w:t xml:space="preserve">That </w:t>
      </w:r>
      <w:r w:rsidR="00956B6B">
        <w:t>admission</w:t>
      </w:r>
      <w:r>
        <w:t xml:space="preserve"> makes it unnecessary to examine the labour hire arrangements in any depth.  However, in my view, it follows from the admission that the establishment of the supposed labour hire arrangements concealed the true position and </w:t>
      </w:r>
      <w:r w:rsidR="00CF6CBE">
        <w:t>rendered</w:t>
      </w:r>
      <w:r w:rsidR="00AF5B3E">
        <w:t xml:space="preserve"> </w:t>
      </w:r>
      <w:r>
        <w:t xml:space="preserve">enforcement of award obligations </w:t>
      </w:r>
      <w:r w:rsidR="00A47FB1">
        <w:t>more</w:t>
      </w:r>
      <w:r>
        <w:t xml:space="preserve"> difficult.  Those are matters which are relevant to an assessment of the seriousness of the conduct of the first, second and third respondents.  </w:t>
      </w:r>
    </w:p>
    <w:p w:rsidR="0066040D" w:rsidRDefault="0066040D" w:rsidP="0066040D">
      <w:pPr>
        <w:pStyle w:val="Heading2"/>
      </w:pPr>
      <w:r>
        <w:t>Application of the Award</w:t>
      </w:r>
    </w:p>
    <w:p w:rsidR="00AF5B3E" w:rsidRDefault="00AF5B3E" w:rsidP="00001BBF">
      <w:pPr>
        <w:pStyle w:val="ParaNumbering"/>
      </w:pPr>
      <w:r>
        <w:t>At the request of the parties I decided a preliminary question concerning whether the Award applied to the work done by persons in the first respondent’s business</w:t>
      </w:r>
      <w:r w:rsidR="009D5FE5">
        <w:t>es</w:t>
      </w:r>
      <w:r>
        <w:t>.  I decided that the Award did apply (</w:t>
      </w:r>
      <w:r w:rsidR="009D5FE5" w:rsidRPr="00444321">
        <w:rPr>
          <w:i/>
        </w:rPr>
        <w:t>Fair Work Ombudsman v Crystal Carwash Cafe Pty Ltd</w:t>
      </w:r>
      <w:r w:rsidR="009D5FE5" w:rsidRPr="00444321">
        <w:t xml:space="preserve"> [2013] </w:t>
      </w:r>
      <w:proofErr w:type="spellStart"/>
      <w:r w:rsidR="009D5FE5" w:rsidRPr="00444321">
        <w:t>FCA</w:t>
      </w:r>
      <w:proofErr w:type="spellEnd"/>
      <w:r w:rsidR="009D5FE5" w:rsidRPr="00444321">
        <w:t xml:space="preserve"> 1396</w:t>
      </w:r>
      <w:r w:rsidR="009D5FE5">
        <w:t xml:space="preserve">).  </w:t>
      </w:r>
    </w:p>
    <w:p w:rsidR="00CA3B2E" w:rsidRDefault="00033B45" w:rsidP="00001BBF">
      <w:pPr>
        <w:pStyle w:val="ParaNumbering"/>
      </w:pPr>
      <w:r>
        <w:t>It was a feature of the parties’ agr</w:t>
      </w:r>
      <w:r w:rsidR="00A47FB1">
        <w:t>eement to the determination of the</w:t>
      </w:r>
      <w:r>
        <w:t xml:space="preserve"> preliminary question that the respondents accepted </w:t>
      </w:r>
      <w:r w:rsidR="001A3E5E">
        <w:t xml:space="preserve">(subject to any ultimate rights of appeal) </w:t>
      </w:r>
      <w:r>
        <w:t>that if the Award applied (as I found it did) then the first respondent was in breach of the Award and the second and third respondents were “</w:t>
      </w:r>
      <w:r w:rsidR="00A62EBF">
        <w:t>involved </w:t>
      </w:r>
      <w:r>
        <w:t xml:space="preserve">in” the breaches (FW Act, s 550).  </w:t>
      </w:r>
    </w:p>
    <w:p w:rsidR="00A47FB1" w:rsidRDefault="00A47FB1" w:rsidP="00A47FB1">
      <w:pPr>
        <w:pStyle w:val="Heading2"/>
      </w:pPr>
      <w:r>
        <w:lastRenderedPageBreak/>
        <w:t>The penalty proceedings</w:t>
      </w:r>
    </w:p>
    <w:p w:rsidR="00CF6CEB" w:rsidRDefault="00052864" w:rsidP="00001BBF">
      <w:pPr>
        <w:pStyle w:val="ParaNumbering"/>
      </w:pPr>
      <w:r>
        <w:t xml:space="preserve">In due course the parties </w:t>
      </w:r>
      <w:r w:rsidR="00A47FB1">
        <w:t>reached</w:t>
      </w:r>
      <w:r>
        <w:t xml:space="preserve"> a further </w:t>
      </w:r>
      <w:r w:rsidR="00927AFA">
        <w:t xml:space="preserve">agreed statement of facts for </w:t>
      </w:r>
      <w:r w:rsidR="00F2061A">
        <w:t>the penalty proceedings and</w:t>
      </w:r>
      <w:r w:rsidR="00927AFA">
        <w:t xml:space="preserve"> provided written submissions. </w:t>
      </w:r>
      <w:r w:rsidR="00596D55">
        <w:t xml:space="preserve"> The parties also provided a statement </w:t>
      </w:r>
      <w:r w:rsidR="005E2D5A">
        <w:t xml:space="preserve">identifying </w:t>
      </w:r>
      <w:r w:rsidR="00F66450">
        <w:t xml:space="preserve">the </w:t>
      </w:r>
      <w:r w:rsidR="00596D55">
        <w:t xml:space="preserve">facts </w:t>
      </w:r>
      <w:r w:rsidR="00380D55">
        <w:t>that remain</w:t>
      </w:r>
      <w:r w:rsidR="00A47FB1">
        <w:t>ed</w:t>
      </w:r>
      <w:r w:rsidR="00596D55">
        <w:t xml:space="preserve"> in dispute</w:t>
      </w:r>
      <w:r w:rsidR="005E2D5A">
        <w:t xml:space="preserve"> in the </w:t>
      </w:r>
      <w:r w:rsidR="00380D55">
        <w:t xml:space="preserve">penalty </w:t>
      </w:r>
      <w:r w:rsidR="005E2D5A">
        <w:t>proceedings</w:t>
      </w:r>
      <w:r w:rsidR="00B35367">
        <w:t>.  The remaining disputed facts</w:t>
      </w:r>
      <w:r w:rsidR="00C603B4">
        <w:t xml:space="preserve"> relate</w:t>
      </w:r>
      <w:r w:rsidR="00596D55">
        <w:t xml:space="preserve"> to</w:t>
      </w:r>
      <w:r w:rsidR="0066040D">
        <w:t xml:space="preserve"> the respondents’ use of</w:t>
      </w:r>
      <w:r w:rsidR="00596D55">
        <w:t xml:space="preserve"> </w:t>
      </w:r>
      <w:r w:rsidR="00A47FB1">
        <w:t xml:space="preserve">purported </w:t>
      </w:r>
      <w:r w:rsidR="005E2D5A">
        <w:t xml:space="preserve">labour hire entities, and the </w:t>
      </w:r>
      <w:r w:rsidR="00B35367">
        <w:t xml:space="preserve">alleged </w:t>
      </w:r>
      <w:r w:rsidR="005E2D5A">
        <w:t xml:space="preserve">knowledge of </w:t>
      </w:r>
      <w:r w:rsidR="00B35367">
        <w:t xml:space="preserve">the second respondent </w:t>
      </w:r>
      <w:r w:rsidR="00380D55">
        <w:t>of applicable workplace law</w:t>
      </w:r>
      <w:r w:rsidR="0066040D">
        <w:t>s</w:t>
      </w:r>
      <w:r w:rsidR="00380D55">
        <w:t xml:space="preserve">.  </w:t>
      </w:r>
    </w:p>
    <w:p w:rsidR="00584EE4" w:rsidRDefault="00FE7EC2" w:rsidP="00001BBF">
      <w:pPr>
        <w:pStyle w:val="ParaNumbering"/>
      </w:pPr>
      <w:r>
        <w:t>The parties made short oral submissions but, w</w:t>
      </w:r>
      <w:r w:rsidR="00927AFA">
        <w:t>ith one minor exception</w:t>
      </w:r>
      <w:r>
        <w:t>,</w:t>
      </w:r>
      <w:r w:rsidR="00927AFA">
        <w:t xml:space="preserve"> </w:t>
      </w:r>
      <w:r>
        <w:t xml:space="preserve">they </w:t>
      </w:r>
      <w:r w:rsidR="00927AFA">
        <w:t xml:space="preserve">were content for </w:t>
      </w:r>
      <w:r w:rsidR="00CF6CEB">
        <w:t xml:space="preserve">the </w:t>
      </w:r>
      <w:r w:rsidR="00F66450">
        <w:t xml:space="preserve">issue of </w:t>
      </w:r>
      <w:r w:rsidR="00CF6CEB">
        <w:t>penalt</w:t>
      </w:r>
      <w:r w:rsidR="00F66450">
        <w:t>y</w:t>
      </w:r>
      <w:r w:rsidR="00927AFA">
        <w:t xml:space="preserve"> </w:t>
      </w:r>
      <w:r w:rsidR="00B35367">
        <w:t xml:space="preserve">to be determined </w:t>
      </w:r>
      <w:r>
        <w:t xml:space="preserve">principally </w:t>
      </w:r>
      <w:r w:rsidR="00B35367">
        <w:t>on the papers.</w:t>
      </w:r>
      <w:r w:rsidR="00F66450">
        <w:t xml:space="preserve">  The</w:t>
      </w:r>
      <w:r w:rsidR="00B35367">
        <w:t xml:space="preserve"> one exception related to the weight to be given to parts of </w:t>
      </w:r>
      <w:r>
        <w:t>an</w:t>
      </w:r>
      <w:r w:rsidR="00B35367">
        <w:t xml:space="preserve"> affidavit </w:t>
      </w:r>
      <w:r w:rsidR="00201799">
        <w:t>relied upon</w:t>
      </w:r>
      <w:r w:rsidR="00B35367">
        <w:t xml:space="preserve"> </w:t>
      </w:r>
      <w:r>
        <w:t xml:space="preserve">by the applicant </w:t>
      </w:r>
      <w:r w:rsidR="00B35367">
        <w:t xml:space="preserve">in the penalty proceedings.  </w:t>
      </w:r>
      <w:r>
        <w:t xml:space="preserve">That affidavit addressed some matters not covered by agreed facts.  </w:t>
      </w:r>
    </w:p>
    <w:p w:rsidR="00E80AC3" w:rsidRDefault="00E80AC3" w:rsidP="00E80AC3">
      <w:pPr>
        <w:pStyle w:val="Heading2"/>
      </w:pPr>
      <w:r>
        <w:t xml:space="preserve">Agreed facts in </w:t>
      </w:r>
      <w:r w:rsidR="00753FB1">
        <w:t>the penalty</w:t>
      </w:r>
      <w:r>
        <w:t xml:space="preserve"> proceedings</w:t>
      </w:r>
    </w:p>
    <w:p w:rsidR="00584EE4" w:rsidRDefault="00FE7EC2" w:rsidP="00001BBF">
      <w:pPr>
        <w:pStyle w:val="ParaNumbering"/>
      </w:pPr>
      <w:r>
        <w:t>O</w:t>
      </w:r>
      <w:r w:rsidR="00B35367">
        <w:t xml:space="preserve">n the question of penalty, </w:t>
      </w:r>
      <w:r w:rsidR="00CF6CEB">
        <w:t xml:space="preserve">the </w:t>
      </w:r>
      <w:r w:rsidR="00E40CF7">
        <w:t>parties provided agreed facts</w:t>
      </w:r>
      <w:r w:rsidR="00A47FB1">
        <w:t xml:space="preserve"> which included the following</w:t>
      </w:r>
      <w:r w:rsidR="00E40CF7">
        <w:t>:</w:t>
      </w:r>
      <w:r>
        <w:t xml:space="preserve">  </w:t>
      </w:r>
    </w:p>
    <w:p w:rsidR="002B7F64" w:rsidRPr="002B7F64" w:rsidRDefault="002B7F64" w:rsidP="00080F37">
      <w:pPr>
        <w:pStyle w:val="Quote1"/>
        <w:rPr>
          <w:b/>
        </w:rPr>
      </w:pPr>
      <w:r w:rsidRPr="002B7F64">
        <w:rPr>
          <w:b/>
        </w:rPr>
        <w:t>PART A:  CRYSTAL CARWASH</w:t>
      </w:r>
    </w:p>
    <w:p w:rsidR="002B7F64" w:rsidRDefault="002B7F64" w:rsidP="00080F37">
      <w:pPr>
        <w:pStyle w:val="Quote1"/>
      </w:pPr>
    </w:p>
    <w:p w:rsidR="002B7F64" w:rsidRDefault="002B7F64" w:rsidP="00080F37">
      <w:pPr>
        <w:pStyle w:val="Quote1"/>
      </w:pPr>
      <w:r>
        <w:t xml:space="preserve">…  </w:t>
      </w:r>
    </w:p>
    <w:p w:rsidR="002B7F64" w:rsidRDefault="002B7F64" w:rsidP="00080F37">
      <w:pPr>
        <w:pStyle w:val="Quote1"/>
      </w:pPr>
    </w:p>
    <w:p w:rsidR="00C155FE" w:rsidRDefault="00C155FE" w:rsidP="00755ABF">
      <w:pPr>
        <w:pStyle w:val="Quote1"/>
        <w:ind w:left="1457" w:hanging="720"/>
      </w:pPr>
      <w:r>
        <w:t>2.</w:t>
      </w:r>
      <w:r>
        <w:tab/>
        <w:t>Crystal Carwash conduct</w:t>
      </w:r>
      <w:r w:rsidR="000B40AA">
        <w:t>s</w:t>
      </w:r>
      <w:r>
        <w:t xml:space="preserve"> the business of operating eleven carwashes and cafes trading as “Crystal Carwash Cafe” (</w:t>
      </w:r>
      <w:r w:rsidRPr="000B40AA">
        <w:rPr>
          <w:b/>
        </w:rPr>
        <w:t>Carwash Business</w:t>
      </w:r>
      <w:r>
        <w:t xml:space="preserve">) at the eleven addresses listed below:  </w:t>
      </w:r>
    </w:p>
    <w:p w:rsidR="00755ABF" w:rsidRDefault="00755ABF" w:rsidP="003952F7">
      <w:pPr>
        <w:pStyle w:val="Quote1"/>
        <w:ind w:left="2160" w:hanging="720"/>
      </w:pPr>
    </w:p>
    <w:p w:rsidR="00C155FE" w:rsidRDefault="00C155FE" w:rsidP="003952F7">
      <w:pPr>
        <w:pStyle w:val="Quote1"/>
        <w:ind w:left="2160" w:hanging="720"/>
      </w:pPr>
      <w:r>
        <w:t>(a)</w:t>
      </w:r>
      <w:r>
        <w:tab/>
        <w:t>57 Curlewis Street, Bondi Beach, New South Wales (</w:t>
      </w:r>
      <w:r w:rsidRPr="000B40AA">
        <w:rPr>
          <w:b/>
        </w:rPr>
        <w:t>Bondi Beach Site</w:t>
      </w:r>
      <w:r>
        <w:t xml:space="preserve">); </w:t>
      </w:r>
    </w:p>
    <w:p w:rsidR="00755ABF" w:rsidRDefault="00755ABF" w:rsidP="003952F7">
      <w:pPr>
        <w:pStyle w:val="Quote1"/>
        <w:ind w:left="2160" w:hanging="720"/>
      </w:pPr>
    </w:p>
    <w:p w:rsidR="00C155FE" w:rsidRDefault="00C155FE" w:rsidP="003952F7">
      <w:pPr>
        <w:pStyle w:val="Quote1"/>
        <w:ind w:left="2160" w:hanging="720"/>
      </w:pPr>
      <w:r>
        <w:t>(b)</w:t>
      </w:r>
      <w:r>
        <w:tab/>
        <w:t>460 Parramatta Road, Strathfield, New South Wales (</w:t>
      </w:r>
      <w:r w:rsidRPr="000B40AA">
        <w:rPr>
          <w:b/>
        </w:rPr>
        <w:t>Strathfield Site</w:t>
      </w:r>
      <w:r>
        <w:t xml:space="preserve">); </w:t>
      </w:r>
    </w:p>
    <w:p w:rsidR="00755ABF" w:rsidRDefault="00755ABF" w:rsidP="003952F7">
      <w:pPr>
        <w:pStyle w:val="Quote1"/>
        <w:ind w:left="2160" w:hanging="720"/>
      </w:pPr>
    </w:p>
    <w:p w:rsidR="00C155FE" w:rsidRDefault="00C155FE" w:rsidP="003952F7">
      <w:pPr>
        <w:pStyle w:val="Quote1"/>
        <w:ind w:left="2160" w:hanging="720"/>
      </w:pPr>
      <w:r>
        <w:t>(c)</w:t>
      </w:r>
      <w:r>
        <w:tab/>
        <w:t>612 Military Road, Mosman, New South Wales (</w:t>
      </w:r>
      <w:r w:rsidRPr="000B40AA">
        <w:rPr>
          <w:b/>
        </w:rPr>
        <w:t>Mosman Site</w:t>
      </w:r>
      <w:r>
        <w:t xml:space="preserve">); </w:t>
      </w:r>
    </w:p>
    <w:p w:rsidR="00755ABF" w:rsidRDefault="00755ABF" w:rsidP="003952F7">
      <w:pPr>
        <w:pStyle w:val="Quote1"/>
        <w:ind w:left="2160" w:hanging="720"/>
      </w:pPr>
    </w:p>
    <w:p w:rsidR="00C155FE" w:rsidRDefault="007A6FD3" w:rsidP="003952F7">
      <w:pPr>
        <w:pStyle w:val="Quote1"/>
        <w:ind w:left="2160" w:hanging="720"/>
      </w:pPr>
      <w:r>
        <w:t>(d</w:t>
      </w:r>
      <w:r w:rsidR="00C155FE">
        <w:t>)</w:t>
      </w:r>
      <w:r w:rsidR="00C155FE">
        <w:tab/>
        <w:t xml:space="preserve">2 </w:t>
      </w:r>
      <w:r w:rsidR="00F23B8B">
        <w:t>–</w:t>
      </w:r>
      <w:r w:rsidR="00C155FE">
        <w:t xml:space="preserve"> 6 Bream Street, Coogee, New South Wales (</w:t>
      </w:r>
      <w:r w:rsidR="00C155FE" w:rsidRPr="000B40AA">
        <w:rPr>
          <w:b/>
        </w:rPr>
        <w:t>Coogee Site</w:t>
      </w:r>
      <w:r w:rsidR="00C155FE">
        <w:t xml:space="preserve">); </w:t>
      </w:r>
    </w:p>
    <w:p w:rsidR="00755ABF" w:rsidRDefault="00755ABF" w:rsidP="003952F7">
      <w:pPr>
        <w:pStyle w:val="Quote1"/>
        <w:ind w:left="2160" w:hanging="720"/>
      </w:pPr>
    </w:p>
    <w:p w:rsidR="00C155FE" w:rsidRDefault="00C155FE" w:rsidP="003952F7">
      <w:pPr>
        <w:pStyle w:val="Quote1"/>
        <w:ind w:left="2160" w:hanging="720"/>
      </w:pPr>
      <w:r>
        <w:t>(e)</w:t>
      </w:r>
      <w:r>
        <w:tab/>
        <w:t>559 Pittwater Road, Brookvale, New South Wales (</w:t>
      </w:r>
      <w:r w:rsidRPr="000B40AA">
        <w:rPr>
          <w:b/>
        </w:rPr>
        <w:t>Brookvale Site</w:t>
      </w:r>
      <w:r>
        <w:t xml:space="preserve">); </w:t>
      </w:r>
    </w:p>
    <w:p w:rsidR="00755ABF" w:rsidRDefault="00755ABF" w:rsidP="003952F7">
      <w:pPr>
        <w:pStyle w:val="Quote1"/>
        <w:ind w:left="2160" w:hanging="720"/>
      </w:pPr>
    </w:p>
    <w:p w:rsidR="00C155FE" w:rsidRDefault="00C155FE" w:rsidP="003952F7">
      <w:pPr>
        <w:pStyle w:val="Quote1"/>
        <w:ind w:left="2160" w:hanging="720"/>
      </w:pPr>
      <w:r>
        <w:t>(f)</w:t>
      </w:r>
      <w:r>
        <w:tab/>
        <w:t>312 Victoria Road, Gladesville, New South Wales (</w:t>
      </w:r>
      <w:r w:rsidRPr="000B40AA">
        <w:rPr>
          <w:b/>
        </w:rPr>
        <w:t>Gladesville Site</w:t>
      </w:r>
      <w:r>
        <w:t xml:space="preserve">); </w:t>
      </w:r>
    </w:p>
    <w:p w:rsidR="00755ABF" w:rsidRDefault="00755ABF" w:rsidP="003952F7">
      <w:pPr>
        <w:pStyle w:val="Quote1"/>
        <w:ind w:left="2160" w:hanging="720"/>
      </w:pPr>
    </w:p>
    <w:p w:rsidR="00C155FE" w:rsidRDefault="00C155FE" w:rsidP="003952F7">
      <w:pPr>
        <w:pStyle w:val="Quote1"/>
        <w:ind w:left="2160" w:hanging="720"/>
      </w:pPr>
      <w:r>
        <w:t>(g)</w:t>
      </w:r>
      <w:r>
        <w:tab/>
        <w:t>185 Pitt Street, Merrylands, New South Wales (</w:t>
      </w:r>
      <w:r w:rsidRPr="000B40AA">
        <w:rPr>
          <w:b/>
        </w:rPr>
        <w:t>Merrylands Site</w:t>
      </w:r>
      <w:r>
        <w:t xml:space="preserve">); </w:t>
      </w:r>
    </w:p>
    <w:p w:rsidR="00755ABF" w:rsidRDefault="00755ABF" w:rsidP="003952F7">
      <w:pPr>
        <w:pStyle w:val="Quote1"/>
        <w:ind w:left="2160" w:hanging="720"/>
      </w:pPr>
    </w:p>
    <w:p w:rsidR="00C155FE" w:rsidRDefault="00C155FE" w:rsidP="003952F7">
      <w:pPr>
        <w:pStyle w:val="Quote1"/>
        <w:ind w:left="2160" w:hanging="720"/>
      </w:pPr>
      <w:r>
        <w:t>(h)</w:t>
      </w:r>
      <w:r>
        <w:tab/>
        <w:t xml:space="preserve">67 New South Head Road, Rushcutters Bay, </w:t>
      </w:r>
      <w:r w:rsidR="00F23B8B">
        <w:t>New</w:t>
      </w:r>
      <w:r>
        <w:t xml:space="preserve"> South Wales (</w:t>
      </w:r>
      <w:r w:rsidRPr="000B40AA">
        <w:rPr>
          <w:b/>
        </w:rPr>
        <w:t>Rushcutters Bay Site</w:t>
      </w:r>
      <w:r>
        <w:t xml:space="preserve">); </w:t>
      </w:r>
    </w:p>
    <w:p w:rsidR="00755ABF" w:rsidRDefault="00755ABF" w:rsidP="003952F7">
      <w:pPr>
        <w:pStyle w:val="Quote1"/>
        <w:ind w:left="2160" w:hanging="720"/>
      </w:pPr>
    </w:p>
    <w:p w:rsidR="00C155FE" w:rsidRDefault="00C155FE" w:rsidP="003952F7">
      <w:pPr>
        <w:pStyle w:val="Quote1"/>
        <w:ind w:left="2160" w:hanging="720"/>
      </w:pPr>
      <w:r>
        <w:t>(</w:t>
      </w:r>
      <w:proofErr w:type="spellStart"/>
      <w:r>
        <w:t>i</w:t>
      </w:r>
      <w:proofErr w:type="spellEnd"/>
      <w:r>
        <w:t>)</w:t>
      </w:r>
      <w:r>
        <w:tab/>
        <w:t>315 Victoria Avenue, Chatswood, New South Wales (</w:t>
      </w:r>
      <w:r w:rsidRPr="000B40AA">
        <w:rPr>
          <w:b/>
        </w:rPr>
        <w:t xml:space="preserve">Chatswood </w:t>
      </w:r>
      <w:r w:rsidRPr="000B40AA">
        <w:rPr>
          <w:b/>
        </w:rPr>
        <w:lastRenderedPageBreak/>
        <w:t>Site</w:t>
      </w:r>
      <w:r>
        <w:t xml:space="preserve">); </w:t>
      </w:r>
    </w:p>
    <w:p w:rsidR="00755ABF" w:rsidRDefault="00755ABF" w:rsidP="003952F7">
      <w:pPr>
        <w:pStyle w:val="Quote1"/>
        <w:ind w:left="2160" w:hanging="720"/>
      </w:pPr>
    </w:p>
    <w:p w:rsidR="00C155FE" w:rsidRDefault="00C155FE" w:rsidP="003952F7">
      <w:pPr>
        <w:pStyle w:val="Quote1"/>
        <w:ind w:left="2160" w:hanging="720"/>
      </w:pPr>
      <w:r>
        <w:t>(j)</w:t>
      </w:r>
      <w:r>
        <w:tab/>
        <w:t>777 New South Head Road, Rose Bay, New South Wales (</w:t>
      </w:r>
      <w:r w:rsidRPr="000B40AA">
        <w:rPr>
          <w:b/>
        </w:rPr>
        <w:t>Rose Bay Site</w:t>
      </w:r>
      <w:r>
        <w:t xml:space="preserve">); and </w:t>
      </w:r>
    </w:p>
    <w:p w:rsidR="00755ABF" w:rsidRDefault="00755ABF" w:rsidP="003952F7">
      <w:pPr>
        <w:pStyle w:val="Quote1"/>
        <w:ind w:left="2160" w:hanging="720"/>
      </w:pPr>
    </w:p>
    <w:p w:rsidR="00C155FE" w:rsidRDefault="00C155FE" w:rsidP="003952F7">
      <w:pPr>
        <w:pStyle w:val="Quote1"/>
        <w:ind w:left="2160" w:hanging="720"/>
      </w:pPr>
      <w:r>
        <w:t>(k)</w:t>
      </w:r>
      <w:r>
        <w:tab/>
        <w:t>75 Sailors Bay, Northbridge, New South Wales (</w:t>
      </w:r>
      <w:r w:rsidRPr="000B40AA">
        <w:rPr>
          <w:b/>
        </w:rPr>
        <w:t>Northbridge Site</w:t>
      </w:r>
      <w:r>
        <w:t xml:space="preserve">); </w:t>
      </w:r>
    </w:p>
    <w:p w:rsidR="00755ABF" w:rsidRDefault="00755ABF" w:rsidP="003952F7">
      <w:pPr>
        <w:pStyle w:val="Quote1"/>
        <w:ind w:left="2160" w:hanging="720"/>
      </w:pPr>
    </w:p>
    <w:p w:rsidR="00C155FE" w:rsidRDefault="00C155FE" w:rsidP="003952F7">
      <w:pPr>
        <w:pStyle w:val="Quote1"/>
        <w:ind w:left="2160" w:hanging="720"/>
      </w:pPr>
      <w:r>
        <w:t>(</w:t>
      </w:r>
      <w:r w:rsidRPr="00F23B8B">
        <w:t xml:space="preserve">collectively, </w:t>
      </w:r>
      <w:r w:rsidRPr="000B40AA">
        <w:rPr>
          <w:b/>
        </w:rPr>
        <w:t>Carwash Sites</w:t>
      </w:r>
      <w:r>
        <w:t xml:space="preserve">).  </w:t>
      </w:r>
    </w:p>
    <w:p w:rsidR="00080F37" w:rsidRDefault="00080F37" w:rsidP="00080F37">
      <w:pPr>
        <w:pStyle w:val="Quote1"/>
      </w:pPr>
    </w:p>
    <w:p w:rsidR="00755ABF" w:rsidRDefault="002C02A2" w:rsidP="00080F37">
      <w:pPr>
        <w:pStyle w:val="Quote1"/>
      </w:pPr>
      <w:r>
        <w:t xml:space="preserve">…  </w:t>
      </w:r>
    </w:p>
    <w:p w:rsidR="002C02A2" w:rsidRDefault="002C02A2" w:rsidP="00080F37">
      <w:pPr>
        <w:pStyle w:val="Quote1"/>
      </w:pPr>
    </w:p>
    <w:p w:rsidR="000A013D" w:rsidRPr="00EC37A8" w:rsidRDefault="000A013D" w:rsidP="00EC37A8">
      <w:pPr>
        <w:pStyle w:val="Quote1"/>
        <w:rPr>
          <w:b/>
        </w:rPr>
      </w:pPr>
      <w:r w:rsidRPr="00EC37A8">
        <w:rPr>
          <w:b/>
        </w:rPr>
        <w:t>PART B:  THE CARWASH ENTITIES</w:t>
      </w:r>
    </w:p>
    <w:p w:rsidR="000A013D" w:rsidRDefault="000A013D" w:rsidP="00EC37A8">
      <w:pPr>
        <w:pStyle w:val="Quote1"/>
      </w:pPr>
    </w:p>
    <w:p w:rsidR="002C02A2" w:rsidRDefault="00EC37A8" w:rsidP="00EC37A8">
      <w:pPr>
        <w:pStyle w:val="Quote1"/>
        <w:ind w:left="1457" w:hanging="720"/>
      </w:pPr>
      <w:r>
        <w:t>4.</w:t>
      </w:r>
      <w:r>
        <w:tab/>
        <w:t>In the period from 1 January 2010 to 18 September </w:t>
      </w:r>
      <w:r w:rsidR="002C02A2">
        <w:t>2010 (</w:t>
      </w:r>
      <w:r w:rsidR="002C02A2" w:rsidRPr="00EC37A8">
        <w:rPr>
          <w:b/>
        </w:rPr>
        <w:t>Underpayment Period</w:t>
      </w:r>
      <w:r w:rsidR="002C02A2">
        <w:t>), the 359</w:t>
      </w:r>
      <w:r>
        <w:t xml:space="preserve"> individuals listed in </w:t>
      </w:r>
      <w:r w:rsidRPr="00EC37A8">
        <w:rPr>
          <w:b/>
        </w:rPr>
        <w:t>Annexure </w:t>
      </w:r>
      <w:r w:rsidR="002C02A2" w:rsidRPr="00EC37A8">
        <w:rPr>
          <w:b/>
        </w:rPr>
        <w:t>A</w:t>
      </w:r>
      <w:r w:rsidR="002C02A2">
        <w:t xml:space="preserve"> performed car washing and detailing duties for the Carwash Business at the Carwash Sites on either a f</w:t>
      </w:r>
      <w:r w:rsidR="003A135D">
        <w:t>ull time or a part time basis (</w:t>
      </w:r>
      <w:r w:rsidR="002C02A2" w:rsidRPr="00EC37A8">
        <w:rPr>
          <w:b/>
        </w:rPr>
        <w:t>Carwash Employees</w:t>
      </w:r>
      <w:r w:rsidR="002C02A2">
        <w:t xml:space="preserve">).  </w:t>
      </w:r>
    </w:p>
    <w:p w:rsidR="003A135D" w:rsidRDefault="003A135D" w:rsidP="00EC37A8">
      <w:pPr>
        <w:pStyle w:val="Quote1"/>
      </w:pPr>
    </w:p>
    <w:p w:rsidR="003A135D" w:rsidRDefault="004A1789" w:rsidP="00EC37A8">
      <w:pPr>
        <w:pStyle w:val="Quote1"/>
      </w:pPr>
      <w:r>
        <w:t xml:space="preserve">…  </w:t>
      </w:r>
    </w:p>
    <w:p w:rsidR="004A1789" w:rsidRDefault="004A1789" w:rsidP="00080F37">
      <w:pPr>
        <w:pStyle w:val="Quote1"/>
      </w:pPr>
    </w:p>
    <w:p w:rsidR="004A1789" w:rsidRPr="00923CF2" w:rsidRDefault="00923CF2" w:rsidP="00080F37">
      <w:pPr>
        <w:pStyle w:val="Quote1"/>
        <w:rPr>
          <w:b/>
        </w:rPr>
      </w:pPr>
      <w:r w:rsidRPr="00923CF2">
        <w:rPr>
          <w:b/>
        </w:rPr>
        <w:t>PART C:  PURPORTED LABOUR HIRE ENTITIES</w:t>
      </w:r>
    </w:p>
    <w:p w:rsidR="00923CF2" w:rsidRDefault="00923CF2" w:rsidP="00080F37">
      <w:pPr>
        <w:pStyle w:val="Quote1"/>
      </w:pPr>
    </w:p>
    <w:p w:rsidR="00923CF2" w:rsidRDefault="00140B01" w:rsidP="00A75B64">
      <w:pPr>
        <w:pStyle w:val="Quote1"/>
        <w:ind w:left="1457" w:hanging="720"/>
      </w:pPr>
      <w:r>
        <w:t>6.</w:t>
      </w:r>
      <w:r>
        <w:tab/>
        <w:t xml:space="preserve">In the period from approximately 1999 to approximately 2007, Crystal Carwash was directly employing individuals to work as car washers at some or all of the Carwash Sites.  </w:t>
      </w:r>
    </w:p>
    <w:p w:rsidR="00C1219C" w:rsidRDefault="00C1219C" w:rsidP="00A75B64">
      <w:pPr>
        <w:pStyle w:val="Quote1"/>
        <w:ind w:left="1457" w:hanging="720"/>
      </w:pPr>
    </w:p>
    <w:p w:rsidR="00C1219C" w:rsidRDefault="00C1219C" w:rsidP="00A75B64">
      <w:pPr>
        <w:pStyle w:val="Quote1"/>
        <w:ind w:left="1457" w:hanging="720"/>
      </w:pPr>
      <w:r>
        <w:t>7.</w:t>
      </w:r>
      <w:r>
        <w:tab/>
        <w:t xml:space="preserve">In the period from 12 May 2009 to 28 July 2010, Crystal Carwash established the following ten labour hire companies to purport to directly employ individuals performing car washing work at the Carwash Sites:  </w:t>
      </w:r>
    </w:p>
    <w:p w:rsidR="00C1219C" w:rsidRDefault="00C1219C" w:rsidP="00AA3CED">
      <w:pPr>
        <w:pStyle w:val="Quote1"/>
        <w:ind w:left="2160" w:hanging="720"/>
      </w:pPr>
    </w:p>
    <w:p w:rsidR="00AA3CED" w:rsidRDefault="00AA3CED" w:rsidP="00AA3CED">
      <w:pPr>
        <w:pStyle w:val="Quote1"/>
        <w:ind w:left="2160" w:hanging="720"/>
      </w:pPr>
      <w:r>
        <w:t>(a)</w:t>
      </w:r>
      <w:r>
        <w:tab/>
      </w:r>
      <w:proofErr w:type="spellStart"/>
      <w:r>
        <w:t>Baddington</w:t>
      </w:r>
      <w:proofErr w:type="spellEnd"/>
      <w:r>
        <w:t xml:space="preserve"> Pty Ltd (</w:t>
      </w:r>
      <w:proofErr w:type="spellStart"/>
      <w:r>
        <w:t>ACN</w:t>
      </w:r>
      <w:proofErr w:type="spellEnd"/>
      <w:r>
        <w:t xml:space="preserve"> 137 049 560) (</w:t>
      </w:r>
      <w:proofErr w:type="spellStart"/>
      <w:r w:rsidRPr="008C594D">
        <w:rPr>
          <w:b/>
        </w:rPr>
        <w:t>Baddington</w:t>
      </w:r>
      <w:proofErr w:type="spellEnd"/>
      <w:r>
        <w:t xml:space="preserve">); </w:t>
      </w:r>
    </w:p>
    <w:p w:rsidR="00AA3CED" w:rsidRDefault="00AA3CED" w:rsidP="00AA3CED">
      <w:pPr>
        <w:pStyle w:val="Quote1"/>
        <w:ind w:left="2160" w:hanging="720"/>
      </w:pPr>
    </w:p>
    <w:p w:rsidR="00AA3CED" w:rsidRDefault="00AA3CED" w:rsidP="00AA3CED">
      <w:pPr>
        <w:pStyle w:val="Quote1"/>
        <w:ind w:left="2160" w:hanging="720"/>
      </w:pPr>
      <w:r>
        <w:t>(b)</w:t>
      </w:r>
      <w:r>
        <w:tab/>
      </w:r>
      <w:proofErr w:type="spellStart"/>
      <w:r>
        <w:t>Seekton</w:t>
      </w:r>
      <w:proofErr w:type="spellEnd"/>
      <w:r>
        <w:t xml:space="preserve"> Pty Ltd (</w:t>
      </w:r>
      <w:proofErr w:type="spellStart"/>
      <w:r>
        <w:t>ACN</w:t>
      </w:r>
      <w:proofErr w:type="spellEnd"/>
      <w:r>
        <w:t xml:space="preserve"> 137 049 579) (</w:t>
      </w:r>
      <w:proofErr w:type="spellStart"/>
      <w:r w:rsidRPr="008C594D">
        <w:rPr>
          <w:b/>
        </w:rPr>
        <w:t>Seekton</w:t>
      </w:r>
      <w:proofErr w:type="spellEnd"/>
      <w:r>
        <w:t xml:space="preserve">); </w:t>
      </w:r>
    </w:p>
    <w:p w:rsidR="00AA3CED" w:rsidRDefault="00AA3CED" w:rsidP="00AA3CED">
      <w:pPr>
        <w:pStyle w:val="Quote1"/>
        <w:ind w:left="2160" w:hanging="720"/>
      </w:pPr>
    </w:p>
    <w:p w:rsidR="00AA3CED" w:rsidRDefault="00AA3CED" w:rsidP="00AA3CED">
      <w:pPr>
        <w:pStyle w:val="Quote1"/>
        <w:ind w:left="2160" w:hanging="720"/>
      </w:pPr>
      <w:r>
        <w:t>(c)</w:t>
      </w:r>
      <w:r>
        <w:tab/>
      </w:r>
      <w:proofErr w:type="spellStart"/>
      <w:r>
        <w:t>Ozrest</w:t>
      </w:r>
      <w:proofErr w:type="spellEnd"/>
      <w:r>
        <w:t xml:space="preserve"> Pty Ltd (</w:t>
      </w:r>
      <w:proofErr w:type="spellStart"/>
      <w:r>
        <w:t>ACN</w:t>
      </w:r>
      <w:proofErr w:type="spellEnd"/>
      <w:r>
        <w:t xml:space="preserve"> 137 219 820) (</w:t>
      </w:r>
      <w:proofErr w:type="spellStart"/>
      <w:r w:rsidRPr="008C594D">
        <w:rPr>
          <w:b/>
        </w:rPr>
        <w:t>Ozrest</w:t>
      </w:r>
      <w:proofErr w:type="spellEnd"/>
      <w:r>
        <w:t xml:space="preserve">); </w:t>
      </w:r>
    </w:p>
    <w:p w:rsidR="00AA3CED" w:rsidRDefault="00AA3CED" w:rsidP="00AA3CED">
      <w:pPr>
        <w:pStyle w:val="Quote1"/>
        <w:ind w:left="2160" w:hanging="720"/>
      </w:pPr>
    </w:p>
    <w:p w:rsidR="00AA3CED" w:rsidRDefault="00AA3CED" w:rsidP="00AA3CED">
      <w:pPr>
        <w:pStyle w:val="Quote1"/>
        <w:ind w:left="2160" w:hanging="720"/>
      </w:pPr>
      <w:r>
        <w:t>(d)</w:t>
      </w:r>
      <w:r>
        <w:tab/>
      </w:r>
      <w:proofErr w:type="spellStart"/>
      <w:r>
        <w:t>Schatry</w:t>
      </w:r>
      <w:proofErr w:type="spellEnd"/>
      <w:r>
        <w:t xml:space="preserve"> Pty Ltd (</w:t>
      </w:r>
      <w:proofErr w:type="spellStart"/>
      <w:r>
        <w:t>ACN</w:t>
      </w:r>
      <w:proofErr w:type="spellEnd"/>
      <w:r>
        <w:t xml:space="preserve"> 137 219 802) (</w:t>
      </w:r>
      <w:proofErr w:type="spellStart"/>
      <w:r w:rsidRPr="008C594D">
        <w:rPr>
          <w:b/>
        </w:rPr>
        <w:t>Schatry</w:t>
      </w:r>
      <w:proofErr w:type="spellEnd"/>
      <w:r>
        <w:t xml:space="preserve">); </w:t>
      </w:r>
    </w:p>
    <w:p w:rsidR="00AA3CED" w:rsidRDefault="00AA3CED" w:rsidP="00AA3CED">
      <w:pPr>
        <w:pStyle w:val="Quote1"/>
        <w:ind w:left="2160" w:hanging="720"/>
      </w:pPr>
    </w:p>
    <w:p w:rsidR="00AA3CED" w:rsidRDefault="00AA3CED" w:rsidP="00AA3CED">
      <w:pPr>
        <w:pStyle w:val="Quote1"/>
        <w:ind w:left="2160" w:hanging="720"/>
      </w:pPr>
      <w:r>
        <w:t>(e)</w:t>
      </w:r>
      <w:r>
        <w:tab/>
      </w:r>
      <w:proofErr w:type="spellStart"/>
      <w:r>
        <w:t>Cooljam</w:t>
      </w:r>
      <w:proofErr w:type="spellEnd"/>
      <w:r>
        <w:t xml:space="preserve"> Pty Ltd (</w:t>
      </w:r>
      <w:proofErr w:type="spellStart"/>
      <w:r>
        <w:t>ACN</w:t>
      </w:r>
      <w:proofErr w:type="spellEnd"/>
      <w:r>
        <w:t xml:space="preserve"> 141 762 352) (</w:t>
      </w:r>
      <w:proofErr w:type="spellStart"/>
      <w:r w:rsidRPr="008C594D">
        <w:rPr>
          <w:b/>
        </w:rPr>
        <w:t>Cooljam</w:t>
      </w:r>
      <w:proofErr w:type="spellEnd"/>
      <w:r>
        <w:t xml:space="preserve">); </w:t>
      </w:r>
    </w:p>
    <w:p w:rsidR="00AA3CED" w:rsidRDefault="00AA3CED" w:rsidP="00AA3CED">
      <w:pPr>
        <w:pStyle w:val="Quote1"/>
        <w:ind w:left="2160" w:hanging="720"/>
      </w:pPr>
    </w:p>
    <w:p w:rsidR="00AA3CED" w:rsidRDefault="00AA3CED" w:rsidP="00AA3CED">
      <w:pPr>
        <w:pStyle w:val="Quote1"/>
        <w:ind w:left="2160" w:hanging="720"/>
      </w:pPr>
      <w:r>
        <w:t>(f)</w:t>
      </w:r>
      <w:r>
        <w:tab/>
      </w:r>
      <w:proofErr w:type="spellStart"/>
      <w:r>
        <w:t>Ozrun</w:t>
      </w:r>
      <w:proofErr w:type="spellEnd"/>
      <w:r>
        <w:t xml:space="preserve"> Pty Ltd (</w:t>
      </w:r>
      <w:proofErr w:type="spellStart"/>
      <w:r>
        <w:t>ACN</w:t>
      </w:r>
      <w:proofErr w:type="spellEnd"/>
      <w:r>
        <w:t xml:space="preserve"> 141 762 389) (</w:t>
      </w:r>
      <w:proofErr w:type="spellStart"/>
      <w:r w:rsidRPr="008C594D">
        <w:rPr>
          <w:b/>
        </w:rPr>
        <w:t>Ozrun</w:t>
      </w:r>
      <w:proofErr w:type="spellEnd"/>
      <w:r>
        <w:t xml:space="preserve">); </w:t>
      </w:r>
    </w:p>
    <w:p w:rsidR="00AA3CED" w:rsidRDefault="00AA3CED" w:rsidP="00AA3CED">
      <w:pPr>
        <w:pStyle w:val="Quote1"/>
        <w:ind w:left="2160" w:hanging="720"/>
      </w:pPr>
    </w:p>
    <w:p w:rsidR="00AA3CED" w:rsidRDefault="00AA3CED" w:rsidP="00AA3CED">
      <w:pPr>
        <w:pStyle w:val="Quote1"/>
        <w:ind w:left="2160" w:hanging="720"/>
      </w:pPr>
      <w:r>
        <w:t>(g)</w:t>
      </w:r>
      <w:r>
        <w:tab/>
      </w:r>
      <w:proofErr w:type="spellStart"/>
      <w:r>
        <w:t>Tushar</w:t>
      </w:r>
      <w:proofErr w:type="spellEnd"/>
      <w:r>
        <w:t xml:space="preserve"> Investments Pty Ltd (</w:t>
      </w:r>
      <w:proofErr w:type="spellStart"/>
      <w:r>
        <w:t>ACN</w:t>
      </w:r>
      <w:proofErr w:type="spellEnd"/>
      <w:r>
        <w:t xml:space="preserve"> 141 758 045) (</w:t>
      </w:r>
      <w:proofErr w:type="spellStart"/>
      <w:r w:rsidR="00AE5942">
        <w:rPr>
          <w:b/>
        </w:rPr>
        <w:t>Tushar</w:t>
      </w:r>
      <w:proofErr w:type="spellEnd"/>
      <w:r w:rsidR="00CF7A58">
        <w:rPr>
          <w:b/>
        </w:rPr>
        <w:t xml:space="preserve"> </w:t>
      </w:r>
      <w:r w:rsidRPr="008C594D">
        <w:rPr>
          <w:b/>
        </w:rPr>
        <w:t>Investments</w:t>
      </w:r>
      <w:r>
        <w:t xml:space="preserve">); </w:t>
      </w:r>
    </w:p>
    <w:p w:rsidR="00AA3CED" w:rsidRDefault="00AA3CED" w:rsidP="00AA3CED">
      <w:pPr>
        <w:pStyle w:val="Quote1"/>
        <w:ind w:left="2160" w:hanging="720"/>
      </w:pPr>
    </w:p>
    <w:p w:rsidR="00AA3CED" w:rsidRDefault="00AA3CED" w:rsidP="00AA3CED">
      <w:pPr>
        <w:pStyle w:val="Quote1"/>
        <w:ind w:left="2160" w:hanging="720"/>
      </w:pPr>
      <w:r>
        <w:t>(h)</w:t>
      </w:r>
      <w:r>
        <w:tab/>
        <w:t>Lucky Horizons Pty Ltd (</w:t>
      </w:r>
      <w:proofErr w:type="spellStart"/>
      <w:r>
        <w:t>ACN</w:t>
      </w:r>
      <w:proofErr w:type="spellEnd"/>
      <w:r>
        <w:t xml:space="preserve"> 144 648 975) (</w:t>
      </w:r>
      <w:r w:rsidRPr="008C594D">
        <w:rPr>
          <w:b/>
        </w:rPr>
        <w:t>Lucky Horizons</w:t>
      </w:r>
      <w:r>
        <w:t xml:space="preserve">); </w:t>
      </w:r>
    </w:p>
    <w:p w:rsidR="00AA3CED" w:rsidRDefault="00AA3CED" w:rsidP="00AA3CED">
      <w:pPr>
        <w:pStyle w:val="Quote1"/>
        <w:ind w:left="2160" w:hanging="720"/>
      </w:pPr>
    </w:p>
    <w:p w:rsidR="00AA3CED" w:rsidRDefault="00AA3CED" w:rsidP="00AA3CED">
      <w:pPr>
        <w:pStyle w:val="Quote1"/>
        <w:ind w:left="2160" w:hanging="720"/>
      </w:pPr>
      <w:r>
        <w:t>(</w:t>
      </w:r>
      <w:proofErr w:type="spellStart"/>
      <w:r>
        <w:t>i</w:t>
      </w:r>
      <w:proofErr w:type="spellEnd"/>
      <w:r>
        <w:t>)</w:t>
      </w:r>
      <w:r>
        <w:tab/>
        <w:t>Pepper Stone Pty Ltd (</w:t>
      </w:r>
      <w:proofErr w:type="spellStart"/>
      <w:r>
        <w:t>ACN</w:t>
      </w:r>
      <w:proofErr w:type="spellEnd"/>
      <w:r>
        <w:t xml:space="preserve"> 144 649 427)</w:t>
      </w:r>
      <w:r w:rsidR="00A9774B">
        <w:t xml:space="preserve"> (in administration)</w:t>
      </w:r>
      <w:r>
        <w:t xml:space="preserve"> (</w:t>
      </w:r>
      <w:r w:rsidRPr="008C594D">
        <w:rPr>
          <w:b/>
        </w:rPr>
        <w:t>Pepper Stone</w:t>
      </w:r>
      <w:r>
        <w:t xml:space="preserve">); </w:t>
      </w:r>
    </w:p>
    <w:p w:rsidR="00AA3CED" w:rsidRDefault="00AA3CED" w:rsidP="00AA3CED">
      <w:pPr>
        <w:pStyle w:val="Quote1"/>
        <w:ind w:left="2160" w:hanging="720"/>
      </w:pPr>
    </w:p>
    <w:p w:rsidR="00AA3CED" w:rsidRDefault="00AA3CED" w:rsidP="00AA3CED">
      <w:pPr>
        <w:pStyle w:val="Quote1"/>
        <w:ind w:left="2160" w:hanging="720"/>
      </w:pPr>
      <w:r>
        <w:t>(j)</w:t>
      </w:r>
      <w:r>
        <w:tab/>
        <w:t>Oak Mink Pty Ltd Pty Ltd</w:t>
      </w:r>
      <w:r w:rsidR="00A9774B">
        <w:t xml:space="preserve"> [sic]</w:t>
      </w:r>
      <w:r>
        <w:t xml:space="preserve"> (</w:t>
      </w:r>
      <w:proofErr w:type="spellStart"/>
      <w:r>
        <w:t>ACN</w:t>
      </w:r>
      <w:proofErr w:type="spellEnd"/>
      <w:r>
        <w:t xml:space="preserve"> 145 471 941) (</w:t>
      </w:r>
      <w:r w:rsidRPr="008C594D">
        <w:rPr>
          <w:b/>
        </w:rPr>
        <w:t>Oak Mink</w:t>
      </w:r>
      <w:r>
        <w:t xml:space="preserve">); and </w:t>
      </w:r>
    </w:p>
    <w:p w:rsidR="00AA3CED" w:rsidRDefault="00AA3CED" w:rsidP="00AA3CED">
      <w:pPr>
        <w:pStyle w:val="Quote1"/>
        <w:ind w:left="2160" w:hanging="720"/>
      </w:pPr>
    </w:p>
    <w:p w:rsidR="00AA3CED" w:rsidRDefault="00AA3CED" w:rsidP="005953D6">
      <w:pPr>
        <w:pStyle w:val="Quote1"/>
        <w:ind w:left="1440"/>
      </w:pPr>
      <w:r>
        <w:t xml:space="preserve">(collectively, </w:t>
      </w:r>
      <w:r w:rsidRPr="008C594D">
        <w:rPr>
          <w:b/>
        </w:rPr>
        <w:t>Labour Hire Entities</w:t>
      </w:r>
      <w:r>
        <w:t xml:space="preserve">).  </w:t>
      </w:r>
      <w:r w:rsidR="005953D6">
        <w:t xml:space="preserve">The names of the Labour Hire Entities, their dates </w:t>
      </w:r>
      <w:r w:rsidR="007E56E9">
        <w:t>of</w:t>
      </w:r>
      <w:r w:rsidR="005953D6">
        <w:t xml:space="preserve"> incorporation, and other relevant details are set out in </w:t>
      </w:r>
      <w:r w:rsidR="005953D6" w:rsidRPr="005953D6">
        <w:rPr>
          <w:b/>
        </w:rPr>
        <w:lastRenderedPageBreak/>
        <w:t>Annexure B</w:t>
      </w:r>
      <w:r w:rsidR="005953D6">
        <w:t xml:space="preserve">.  </w:t>
      </w:r>
    </w:p>
    <w:p w:rsidR="00C1219C" w:rsidRDefault="00C1219C" w:rsidP="00A75B64">
      <w:pPr>
        <w:pStyle w:val="Quote1"/>
        <w:ind w:left="1457" w:hanging="720"/>
      </w:pPr>
    </w:p>
    <w:p w:rsidR="007956CA" w:rsidRDefault="00081D16" w:rsidP="00A75B64">
      <w:pPr>
        <w:pStyle w:val="Quote1"/>
        <w:ind w:left="1457" w:hanging="720"/>
      </w:pPr>
      <w:r>
        <w:t>8.</w:t>
      </w:r>
      <w:r>
        <w:tab/>
        <w:t xml:space="preserve">Throughout the Underpayment Period, Crystal Carwash claimed that the Labour Hire Entities, and not Crystal Carwash were the employers of the Carwash Employees.  </w:t>
      </w:r>
    </w:p>
    <w:p w:rsidR="00081D16" w:rsidRDefault="00081D16" w:rsidP="00A75B64">
      <w:pPr>
        <w:pStyle w:val="Quote1"/>
        <w:ind w:left="1457" w:hanging="720"/>
      </w:pPr>
    </w:p>
    <w:p w:rsidR="00081D16" w:rsidRPr="00162DD5" w:rsidRDefault="00162DD5" w:rsidP="00A75B64">
      <w:pPr>
        <w:pStyle w:val="Quote1"/>
        <w:ind w:left="1457" w:hanging="720"/>
        <w:rPr>
          <w:b/>
        </w:rPr>
      </w:pPr>
      <w:r w:rsidRPr="00162DD5">
        <w:rPr>
          <w:b/>
        </w:rPr>
        <w:t>PART D:  THE PURPORTED LABOUR HIRE ARRANGEMENTS</w:t>
      </w:r>
    </w:p>
    <w:p w:rsidR="00162DD5" w:rsidRDefault="00162DD5" w:rsidP="00A75B64">
      <w:pPr>
        <w:pStyle w:val="Quote1"/>
        <w:ind w:left="1457" w:hanging="720"/>
      </w:pPr>
    </w:p>
    <w:p w:rsidR="00162DD5" w:rsidRDefault="003E486C" w:rsidP="00A75B64">
      <w:pPr>
        <w:pStyle w:val="Quote1"/>
        <w:ind w:left="1457" w:hanging="720"/>
      </w:pPr>
      <w:r>
        <w:t>9.</w:t>
      </w:r>
      <w:r>
        <w:tab/>
      </w:r>
      <w:r w:rsidR="00FF2B85">
        <w:t xml:space="preserve">Pursuant to the purported labour hire arrangements between Crystal Carwash and the Labour Hire Entities, the Labour Hire Entities contracted with Crystal Carwash to operate the Carwash Business at the Carwash </w:t>
      </w:r>
      <w:r w:rsidR="00F32708">
        <w:t>Sites</w:t>
      </w:r>
      <w:r w:rsidR="00FF2B85">
        <w:t xml:space="preserve">, including by employing employees to perform </w:t>
      </w:r>
      <w:proofErr w:type="spellStart"/>
      <w:r w:rsidR="00FF2B85">
        <w:t>carwashing</w:t>
      </w:r>
      <w:proofErr w:type="spellEnd"/>
      <w:r w:rsidR="00FF2B85">
        <w:t xml:space="preserve"> duties at the Carwash Sites.  </w:t>
      </w:r>
    </w:p>
    <w:p w:rsidR="00FF2B85" w:rsidRDefault="00FF2B85" w:rsidP="00A75B64">
      <w:pPr>
        <w:pStyle w:val="Quote1"/>
        <w:ind w:left="1457" w:hanging="720"/>
      </w:pPr>
    </w:p>
    <w:p w:rsidR="00FF2B85" w:rsidRDefault="00FF2B85" w:rsidP="00A75B64">
      <w:pPr>
        <w:pStyle w:val="Quote1"/>
        <w:ind w:left="1457" w:hanging="720"/>
      </w:pPr>
      <w:r>
        <w:t>10.</w:t>
      </w:r>
      <w:r>
        <w:tab/>
        <w:t xml:space="preserve">On a weekly, fortnightly or monthly basis, a representative of Crystal Carwash prepared an invoice on behalf of each Labour Hire Entity in order for the </w:t>
      </w:r>
      <w:r w:rsidR="003914BE">
        <w:t>i</w:t>
      </w:r>
      <w:r>
        <w:t xml:space="preserve">nvoice to be issued to Crystal Carwash.  </w:t>
      </w:r>
    </w:p>
    <w:p w:rsidR="00FF2B85" w:rsidRDefault="00FF2B85" w:rsidP="00A75B64">
      <w:pPr>
        <w:pStyle w:val="Quote1"/>
        <w:ind w:left="1457" w:hanging="720"/>
      </w:pPr>
    </w:p>
    <w:p w:rsidR="00FF2B85" w:rsidRDefault="00FF2B85" w:rsidP="00A75B64">
      <w:pPr>
        <w:pStyle w:val="Quote1"/>
        <w:ind w:left="1457" w:hanging="720"/>
      </w:pPr>
      <w:r>
        <w:t>11.</w:t>
      </w:r>
      <w:r>
        <w:tab/>
        <w:t xml:space="preserve">Approximately one to two days after each Labour Hire Entity issued the invoices to Crystal Carwash, Crystal Carwash made a payment to each Labour Hire Entity which was approximately equal to the amount of total wages that each of the Labour Hire Entities paid to the Carwash Employees for that particular period.  </w:t>
      </w:r>
    </w:p>
    <w:p w:rsidR="00FF2B85" w:rsidRDefault="00FF2B85" w:rsidP="00A75B64">
      <w:pPr>
        <w:pStyle w:val="Quote1"/>
        <w:ind w:left="1457" w:hanging="720"/>
      </w:pPr>
    </w:p>
    <w:p w:rsidR="00FF2B85" w:rsidRDefault="00FF2B85" w:rsidP="00A75B64">
      <w:pPr>
        <w:pStyle w:val="Quote1"/>
        <w:ind w:left="1457" w:hanging="720"/>
      </w:pPr>
      <w:r>
        <w:t>12.</w:t>
      </w:r>
      <w:r>
        <w:tab/>
        <w:t xml:space="preserve">Crystal Carwash received all of the profits and takings generated from the operation of the Carwash Business at each of the Carwash Sites.  </w:t>
      </w:r>
    </w:p>
    <w:p w:rsidR="00FF2B85" w:rsidRDefault="00FF2B85" w:rsidP="00A75B64">
      <w:pPr>
        <w:pStyle w:val="Quote1"/>
        <w:ind w:left="1457" w:hanging="720"/>
      </w:pPr>
    </w:p>
    <w:p w:rsidR="00FF2B85" w:rsidRDefault="00F754BE" w:rsidP="00A75B64">
      <w:pPr>
        <w:pStyle w:val="Quote1"/>
        <w:ind w:left="1457" w:hanging="720"/>
      </w:pPr>
      <w:r>
        <w:t>13.</w:t>
      </w:r>
      <w:r>
        <w:tab/>
        <w:t>On 22 July </w:t>
      </w:r>
      <w:r w:rsidR="00FF2B85">
        <w:t xml:space="preserve">2013, Crystal Carwash admitted, for the purposes of these proceedings only, that it was the true employer of the Carwash Employees.  </w:t>
      </w:r>
    </w:p>
    <w:p w:rsidR="00FF2B85" w:rsidRDefault="00FF2B85" w:rsidP="00A75B64">
      <w:pPr>
        <w:pStyle w:val="Quote1"/>
        <w:ind w:left="1457" w:hanging="720"/>
      </w:pPr>
    </w:p>
    <w:p w:rsidR="00FF2B85" w:rsidRPr="00485A8B" w:rsidRDefault="00485A8B" w:rsidP="00A75B64">
      <w:pPr>
        <w:pStyle w:val="Quote1"/>
        <w:ind w:left="1457" w:hanging="720"/>
        <w:rPr>
          <w:b/>
        </w:rPr>
      </w:pPr>
      <w:r w:rsidRPr="00485A8B">
        <w:rPr>
          <w:b/>
        </w:rPr>
        <w:t xml:space="preserve">PART E:  THE EMPLOYMENT ARRANGEMENTS  </w:t>
      </w:r>
    </w:p>
    <w:p w:rsidR="00485A8B" w:rsidRDefault="00485A8B" w:rsidP="00A75B64">
      <w:pPr>
        <w:pStyle w:val="Quote1"/>
        <w:ind w:left="1457" w:hanging="720"/>
      </w:pPr>
    </w:p>
    <w:p w:rsidR="003E3F0E" w:rsidRDefault="00EF0CB9" w:rsidP="00EF0CB9">
      <w:pPr>
        <w:pStyle w:val="Quote1"/>
        <w:ind w:left="1457" w:hanging="720"/>
      </w:pPr>
      <w:r>
        <w:t>14.</w:t>
      </w:r>
      <w:r>
        <w:tab/>
        <w:t xml:space="preserve">The majority of the Carwash Employees were </w:t>
      </w:r>
      <w:r w:rsidR="004261A8">
        <w:t>from</w:t>
      </w:r>
      <w:r>
        <w:t xml:space="preserve"> a non-English speaking background.  </w:t>
      </w:r>
    </w:p>
    <w:p w:rsidR="00EF0CB9" w:rsidRDefault="00EF0CB9" w:rsidP="00EF0CB9">
      <w:pPr>
        <w:pStyle w:val="Quote1"/>
        <w:ind w:left="1457" w:hanging="720"/>
      </w:pPr>
    </w:p>
    <w:p w:rsidR="00EF0CB9" w:rsidRDefault="00EF0CB9" w:rsidP="00EF0CB9">
      <w:pPr>
        <w:pStyle w:val="Quote1"/>
        <w:ind w:left="1457" w:hanging="720"/>
      </w:pPr>
      <w:r>
        <w:t>15.</w:t>
      </w:r>
      <w:r>
        <w:tab/>
        <w:t xml:space="preserve">The wages of the Carwash Employees was paid by one or more of the Labour Hire Entities.  </w:t>
      </w:r>
    </w:p>
    <w:p w:rsidR="00EF0CB9" w:rsidRDefault="00EF0CB9" w:rsidP="00EF0CB9">
      <w:pPr>
        <w:pStyle w:val="Quote1"/>
        <w:ind w:left="1457" w:hanging="720"/>
      </w:pPr>
    </w:p>
    <w:p w:rsidR="00EF0CB9" w:rsidRDefault="004261A8" w:rsidP="00EF0CB9">
      <w:pPr>
        <w:pStyle w:val="Quote1"/>
        <w:ind w:left="1457" w:hanging="720"/>
      </w:pPr>
      <w:r>
        <w:t>16.</w:t>
      </w:r>
      <w:r>
        <w:tab/>
      </w:r>
      <w:r w:rsidR="001C3D2D">
        <w:t>D</w:t>
      </w:r>
      <w:r w:rsidR="00BD0A0A">
        <w:t xml:space="preserve">uring the Underpayment Period, the Labour Hire Entities paid the Carwash Employees either $13, $14 or $15 per hour.  …  </w:t>
      </w:r>
    </w:p>
    <w:p w:rsidR="00BD0A0A" w:rsidRDefault="00BD0A0A" w:rsidP="00EF0CB9">
      <w:pPr>
        <w:pStyle w:val="Quote1"/>
        <w:ind w:left="1457" w:hanging="720"/>
      </w:pPr>
    </w:p>
    <w:p w:rsidR="00BD0A0A" w:rsidRDefault="00BD0A0A" w:rsidP="00EF0CB9">
      <w:pPr>
        <w:pStyle w:val="Quote1"/>
        <w:ind w:left="1457" w:hanging="720"/>
      </w:pPr>
      <w:r>
        <w:t>17.</w:t>
      </w:r>
      <w:r>
        <w:tab/>
      </w:r>
      <w:r w:rsidR="001C3D2D">
        <w:t>The wage rates referred to in paragraph 16 above were determined by Mr </w:t>
      </w:r>
      <w:proofErr w:type="spellStart"/>
      <w:r w:rsidR="001C3D2D">
        <w:t>Sahade</w:t>
      </w:r>
      <w:proofErr w:type="spellEnd"/>
      <w:r w:rsidR="001C3D2D">
        <w:t>, Mr </w:t>
      </w:r>
      <w:proofErr w:type="spellStart"/>
      <w:r w:rsidR="001C3D2D">
        <w:t>Khouri</w:t>
      </w:r>
      <w:proofErr w:type="spellEnd"/>
      <w:r w:rsidR="001C3D2D">
        <w:t xml:space="preserve"> and/or other persons acting on the instructions or direction</w:t>
      </w:r>
      <w:r w:rsidR="001B42B9">
        <w:t>s</w:t>
      </w:r>
      <w:r w:rsidR="001C3D2D">
        <w:t xml:space="preserve"> that were ultimately given by Mr </w:t>
      </w:r>
      <w:proofErr w:type="spellStart"/>
      <w:r w:rsidR="001C3D2D">
        <w:t>Sahade</w:t>
      </w:r>
      <w:proofErr w:type="spellEnd"/>
      <w:r w:rsidR="001C3D2D">
        <w:t xml:space="preserve"> or Mr </w:t>
      </w:r>
      <w:proofErr w:type="spellStart"/>
      <w:r w:rsidR="001C3D2D">
        <w:t>Khouri</w:t>
      </w:r>
      <w:proofErr w:type="spellEnd"/>
      <w:r w:rsidR="001C3D2D">
        <w:t xml:space="preserve">.  </w:t>
      </w:r>
    </w:p>
    <w:p w:rsidR="001C3D2D" w:rsidRDefault="001C3D2D" w:rsidP="00EF0CB9">
      <w:pPr>
        <w:pStyle w:val="Quote1"/>
        <w:ind w:left="1457" w:hanging="720"/>
      </w:pPr>
    </w:p>
    <w:p w:rsidR="001C3D2D" w:rsidRPr="001B42B9" w:rsidRDefault="001B42B9" w:rsidP="00EF0CB9">
      <w:pPr>
        <w:pStyle w:val="Quote1"/>
        <w:ind w:left="1457" w:hanging="720"/>
        <w:rPr>
          <w:b/>
        </w:rPr>
      </w:pPr>
      <w:r w:rsidRPr="001B42B9">
        <w:rPr>
          <w:b/>
        </w:rPr>
        <w:t>PART F:  CONTRAVENTIONS</w:t>
      </w:r>
    </w:p>
    <w:p w:rsidR="001B42B9" w:rsidRDefault="001B42B9" w:rsidP="00EF0CB9">
      <w:pPr>
        <w:pStyle w:val="Quote1"/>
        <w:ind w:left="1457" w:hanging="720"/>
      </w:pPr>
    </w:p>
    <w:p w:rsidR="001B42B9" w:rsidRDefault="000A736C" w:rsidP="00EF0CB9">
      <w:pPr>
        <w:pStyle w:val="Quote1"/>
        <w:ind w:left="1457" w:hanging="720"/>
      </w:pPr>
      <w:r>
        <w:t xml:space="preserve">…  </w:t>
      </w:r>
    </w:p>
    <w:p w:rsidR="000A736C" w:rsidRDefault="000A736C" w:rsidP="00EF0CB9">
      <w:pPr>
        <w:pStyle w:val="Quote1"/>
        <w:ind w:left="1457" w:hanging="720"/>
      </w:pPr>
    </w:p>
    <w:p w:rsidR="000A736C" w:rsidRDefault="0097044C" w:rsidP="00EF0CB9">
      <w:pPr>
        <w:pStyle w:val="Quote1"/>
        <w:ind w:left="1457" w:hanging="720"/>
      </w:pPr>
      <w:r>
        <w:t>20.</w:t>
      </w:r>
      <w:r>
        <w:tab/>
        <w:t>Pursuant to subclause</w:t>
      </w:r>
      <w:r w:rsidR="006743BA">
        <w:t> 33.4 and item </w:t>
      </w:r>
      <w:proofErr w:type="spellStart"/>
      <w:r>
        <w:t>A.2.5</w:t>
      </w:r>
      <w:proofErr w:type="spellEnd"/>
      <w:r>
        <w:t xml:space="preserve"> of the Vehicle Modern Award, during the p</w:t>
      </w:r>
      <w:r w:rsidR="006743BA">
        <w:t>eriod from 1</w:t>
      </w:r>
      <w:r w:rsidR="008E5AEC">
        <w:t> </w:t>
      </w:r>
      <w:r w:rsidR="006743BA">
        <w:t>January 2010 to 30 June </w:t>
      </w:r>
      <w:r>
        <w:t xml:space="preserve">2010, the minimum rate of pay payable to the Carwash Employees was $14.31.  </w:t>
      </w:r>
    </w:p>
    <w:p w:rsidR="0097044C" w:rsidRDefault="0097044C" w:rsidP="00EF0CB9">
      <w:pPr>
        <w:pStyle w:val="Quote1"/>
        <w:ind w:left="1457" w:hanging="720"/>
      </w:pPr>
    </w:p>
    <w:p w:rsidR="0097044C" w:rsidRDefault="0097044C" w:rsidP="00EF0CB9">
      <w:pPr>
        <w:pStyle w:val="Quote1"/>
        <w:ind w:left="1457" w:hanging="720"/>
      </w:pPr>
      <w:r>
        <w:t>21.</w:t>
      </w:r>
      <w:r>
        <w:tab/>
        <w:t xml:space="preserve">Pursuant </w:t>
      </w:r>
      <w:r w:rsidR="006743BA">
        <w:t>to subclause 33.4 and item </w:t>
      </w:r>
      <w:proofErr w:type="spellStart"/>
      <w:r w:rsidR="006743BA">
        <w:t>A.2.4</w:t>
      </w:r>
      <w:proofErr w:type="spellEnd"/>
      <w:r w:rsidR="006743BA">
        <w:t xml:space="preserve"> of the Vehicle Modern Award, during the period from 1 July 2010 to 18 September 2010, the minimum rate </w:t>
      </w:r>
      <w:r w:rsidR="006743BA">
        <w:lastRenderedPageBreak/>
        <w:t xml:space="preserve">of pay payable to the Carwash Employees was $15.00.  </w:t>
      </w:r>
    </w:p>
    <w:p w:rsidR="00485A8B" w:rsidRDefault="00485A8B" w:rsidP="00080F37">
      <w:pPr>
        <w:pStyle w:val="Quote1"/>
      </w:pPr>
    </w:p>
    <w:p w:rsidR="000B40AA" w:rsidRDefault="002B7F64" w:rsidP="00080F37">
      <w:pPr>
        <w:pStyle w:val="Quote1"/>
      </w:pPr>
      <w:r>
        <w:t>(Emphasis in original.)</w:t>
      </w:r>
      <w:r w:rsidR="005C4556">
        <w:t xml:space="preserve">  </w:t>
      </w:r>
    </w:p>
    <w:p w:rsidR="000B40AA" w:rsidRDefault="000B40AA" w:rsidP="00080F37">
      <w:pPr>
        <w:pStyle w:val="Quote1"/>
      </w:pPr>
    </w:p>
    <w:p w:rsidR="00A17C47" w:rsidRDefault="00A17C47" w:rsidP="00A17C47">
      <w:pPr>
        <w:pStyle w:val="ParaNumbering"/>
      </w:pPr>
      <w:r>
        <w:t xml:space="preserve">The parties accepted that there were three contraventions arising out of three distinct courses of conduct by the first respondent and two contraventions </w:t>
      </w:r>
      <w:r w:rsidR="0066040D">
        <w:t xml:space="preserve">arising out of </w:t>
      </w:r>
      <w:r w:rsidR="001A3E5E">
        <w:t xml:space="preserve">the involvement of </w:t>
      </w:r>
      <w:r>
        <w:t>the second and third respondents</w:t>
      </w:r>
      <w:r w:rsidR="001A3E5E">
        <w:t xml:space="preserve"> in those courses of conduct.  </w:t>
      </w:r>
      <w:r>
        <w:t xml:space="preserve">The contraventions by the first respondent </w:t>
      </w:r>
      <w:r w:rsidR="001A3E5E">
        <w:t>were</w:t>
      </w:r>
      <w:r>
        <w:t xml:space="preserve"> the failure to provide minimum rates of pay under the Award, the failure to pay overtime entitlements under the Award, and the failure to keep records with respect to employee overtime.  The contraventions for the second and third respondents </w:t>
      </w:r>
      <w:r w:rsidR="00FC1705">
        <w:t>related to</w:t>
      </w:r>
      <w:r>
        <w:t xml:space="preserve"> the failure </w:t>
      </w:r>
      <w:r w:rsidR="001A3E5E">
        <w:t xml:space="preserve">by the first respondent </w:t>
      </w:r>
      <w:r>
        <w:t xml:space="preserve">to provide minimum rates of pay under the Award as well as the failure to pay overtime entitlements under the Award.  </w:t>
      </w:r>
    </w:p>
    <w:p w:rsidR="00C83057" w:rsidRDefault="00A459EE" w:rsidP="00001BBF">
      <w:pPr>
        <w:pStyle w:val="ParaNumbering"/>
      </w:pPr>
      <w:r>
        <w:t>I</w:t>
      </w:r>
      <w:r w:rsidR="00CD39CA">
        <w:t xml:space="preserve">n addition to the agreed facts, the applicant provided an affidavit </w:t>
      </w:r>
      <w:r w:rsidR="00005A06">
        <w:t xml:space="preserve">dealing with </w:t>
      </w:r>
      <w:r w:rsidR="00CD39CA">
        <w:t>remaining facts in dispute</w:t>
      </w:r>
      <w:r w:rsidR="00C603B4">
        <w:t>,</w:t>
      </w:r>
      <w:r w:rsidR="00CD39CA">
        <w:t xml:space="preserve"> </w:t>
      </w:r>
      <w:r w:rsidR="00C603B4">
        <w:t xml:space="preserve">which </w:t>
      </w:r>
      <w:r w:rsidR="00F66450">
        <w:t>principally relate</w:t>
      </w:r>
      <w:r w:rsidR="00FC1705">
        <w:t>d</w:t>
      </w:r>
      <w:r w:rsidR="00F66450">
        <w:t xml:space="preserve"> to the </w:t>
      </w:r>
      <w:r w:rsidR="00C603B4">
        <w:t>use of</w:t>
      </w:r>
      <w:r w:rsidR="00965A5F">
        <w:t xml:space="preserve"> </w:t>
      </w:r>
      <w:r w:rsidR="00F66450">
        <w:t>labour hire entities</w:t>
      </w:r>
      <w:r w:rsidR="00D27B06">
        <w:t xml:space="preserve"> and to</w:t>
      </w:r>
      <w:r w:rsidR="00F66450">
        <w:t xml:space="preserve"> </w:t>
      </w:r>
      <w:r w:rsidR="00CD39CA">
        <w:t xml:space="preserve">the </w:t>
      </w:r>
      <w:r w:rsidR="00F66450">
        <w:t>past</w:t>
      </w:r>
      <w:r w:rsidR="00C83057">
        <w:t xml:space="preserve"> conduct of the second respondent and his </w:t>
      </w:r>
      <w:r w:rsidR="00CD39CA">
        <w:t>alleged knowledge of applicable workplace law</w:t>
      </w:r>
      <w:r w:rsidR="00C83057">
        <w:t>s</w:t>
      </w:r>
      <w:r w:rsidR="00CD39CA">
        <w:t xml:space="preserve"> at the time of the contraventions.  </w:t>
      </w:r>
      <w:r w:rsidR="00142200">
        <w:t>T</w:t>
      </w:r>
      <w:r w:rsidR="008F6329">
        <w:t xml:space="preserve">he applicant </w:t>
      </w:r>
      <w:r w:rsidR="00142200">
        <w:t xml:space="preserve">through this evidence </w:t>
      </w:r>
      <w:r w:rsidR="00D27B06">
        <w:t>sought</w:t>
      </w:r>
      <w:r w:rsidR="008F6329">
        <w:t xml:space="preserve"> to show </w:t>
      </w:r>
      <w:r w:rsidR="00142200">
        <w:t xml:space="preserve">that </w:t>
      </w:r>
      <w:r w:rsidR="008F6329">
        <w:t xml:space="preserve">there was a pattern of conduct </w:t>
      </w:r>
      <w:r w:rsidR="00142200">
        <w:t xml:space="preserve">by </w:t>
      </w:r>
      <w:r w:rsidR="008F6329">
        <w:t>the respondents</w:t>
      </w:r>
      <w:r w:rsidR="00142200">
        <w:t xml:space="preserve"> of attempting to avoid liabilities under workplace laws</w:t>
      </w:r>
      <w:r w:rsidR="008F6329">
        <w:t xml:space="preserve">. </w:t>
      </w:r>
      <w:r w:rsidR="00D27B06">
        <w:t xml:space="preserve"> </w:t>
      </w:r>
    </w:p>
    <w:p w:rsidR="00A9774B" w:rsidRDefault="00A9774B" w:rsidP="00F177BB">
      <w:pPr>
        <w:pStyle w:val="Heading2"/>
      </w:pPr>
      <w:r>
        <w:t>The applicable penalties</w:t>
      </w:r>
    </w:p>
    <w:p w:rsidR="006431B8" w:rsidRDefault="006431B8" w:rsidP="00001BBF">
      <w:pPr>
        <w:pStyle w:val="ParaNumbering"/>
      </w:pPr>
      <w:r>
        <w:t xml:space="preserve">Penalties for the </w:t>
      </w:r>
      <w:r w:rsidR="0095096C">
        <w:t>underpayment contraventions</w:t>
      </w:r>
      <w:r w:rsidR="00A60DE1">
        <w:t xml:space="preserve"> are imposed under Item </w:t>
      </w:r>
      <w:r>
        <w:t xml:space="preserve">2 of </w:t>
      </w:r>
      <w:r w:rsidR="00A60DE1">
        <w:t>s 539(2) and s </w:t>
      </w:r>
      <w:r w:rsidR="009F57D4">
        <w:t>546 of the FW </w:t>
      </w:r>
      <w:r>
        <w:t>Act.  For the record keeping contravention, penalties are imposed unde</w:t>
      </w:r>
      <w:r w:rsidR="00A60DE1">
        <w:t>r Item </w:t>
      </w:r>
      <w:r w:rsidR="00C013B3">
        <w:t>29 of s 539</w:t>
      </w:r>
      <w:r w:rsidR="009F57D4">
        <w:t xml:space="preserve">(2) </w:t>
      </w:r>
      <w:r w:rsidR="00A9774B">
        <w:t xml:space="preserve">and s 546 </w:t>
      </w:r>
      <w:r w:rsidR="009F57D4">
        <w:t>of the FW </w:t>
      </w:r>
      <w:r>
        <w:t xml:space="preserve">Act. </w:t>
      </w:r>
      <w:r w:rsidR="009F57D4">
        <w:t xml:space="preserve"> </w:t>
      </w:r>
    </w:p>
    <w:p w:rsidR="00537580" w:rsidRDefault="00537580" w:rsidP="00001BBF">
      <w:pPr>
        <w:pStyle w:val="ParaNumbering"/>
      </w:pPr>
      <w:r>
        <w:t xml:space="preserve">The maximum </w:t>
      </w:r>
      <w:r w:rsidR="00C013B3">
        <w:t>total penalties under the FW </w:t>
      </w:r>
      <w:r>
        <w:t>Act for the contraventions by the first, second and third respondents are:</w:t>
      </w:r>
      <w:r w:rsidR="00C013B3">
        <w:t xml:space="preserve">  </w:t>
      </w:r>
    </w:p>
    <w:p w:rsidR="00537580" w:rsidRDefault="00537580" w:rsidP="00537580">
      <w:pPr>
        <w:pStyle w:val="ParaNumbering"/>
        <w:numPr>
          <w:ilvl w:val="0"/>
          <w:numId w:val="28"/>
        </w:numPr>
      </w:pPr>
      <w:r>
        <w:t>$82,500 for the first respondent</w:t>
      </w:r>
      <w:r w:rsidR="00526608">
        <w:t xml:space="preserve"> </w:t>
      </w:r>
    </w:p>
    <w:p w:rsidR="00537580" w:rsidRDefault="00537580" w:rsidP="00537580">
      <w:pPr>
        <w:pStyle w:val="ParaNumbering"/>
        <w:numPr>
          <w:ilvl w:val="0"/>
          <w:numId w:val="28"/>
        </w:numPr>
      </w:pPr>
      <w:r>
        <w:t>$13,</w:t>
      </w:r>
      <w:r w:rsidR="005F3879">
        <w:t>2</w:t>
      </w:r>
      <w:r>
        <w:t>00 for the second respondent</w:t>
      </w:r>
      <w:r w:rsidR="00526608">
        <w:t xml:space="preserve"> </w:t>
      </w:r>
    </w:p>
    <w:p w:rsidR="00537580" w:rsidRDefault="00537580" w:rsidP="00537580">
      <w:pPr>
        <w:pStyle w:val="ParaNumbering"/>
        <w:numPr>
          <w:ilvl w:val="0"/>
          <w:numId w:val="28"/>
        </w:numPr>
      </w:pPr>
      <w:r>
        <w:t>$13,</w:t>
      </w:r>
      <w:r w:rsidR="005F3879">
        <w:t>2</w:t>
      </w:r>
      <w:r>
        <w:t xml:space="preserve">00 for the third respondent </w:t>
      </w:r>
    </w:p>
    <w:p w:rsidR="00CD68C2" w:rsidRDefault="00D73B18" w:rsidP="00753BAC">
      <w:pPr>
        <w:pStyle w:val="ParaNumbering"/>
      </w:pPr>
      <w:r>
        <w:t>As a body corporate, s 546(2)</w:t>
      </w:r>
      <w:r w:rsidR="008D7D09">
        <w:t>(b)</w:t>
      </w:r>
      <w:r>
        <w:t xml:space="preserve"> of the FW </w:t>
      </w:r>
      <w:r w:rsidR="00400131">
        <w:t xml:space="preserve">Act applies to the first respondent.  </w:t>
      </w:r>
      <w:r w:rsidR="004553B1">
        <w:t>Section 546(2)</w:t>
      </w:r>
      <w:r w:rsidR="008D7D09">
        <w:t>(b)</w:t>
      </w:r>
      <w:r w:rsidR="004553B1">
        <w:t xml:space="preserve"> of the FW </w:t>
      </w:r>
      <w:r w:rsidR="00400131">
        <w:t>Act has the effect that the maximum penalty for a body corporate is five times the maximum for an individual, as rec</w:t>
      </w:r>
      <w:r w:rsidR="004553B1">
        <w:t>orded in</w:t>
      </w:r>
      <w:r w:rsidR="00AE63D9">
        <w:t xml:space="preserve"> column 4 of</w:t>
      </w:r>
      <w:r w:rsidR="004553B1">
        <w:t xml:space="preserve"> the relevant item in s 539(2) of the FW </w:t>
      </w:r>
      <w:r w:rsidR="00400131">
        <w:t xml:space="preserve">Act.  </w:t>
      </w:r>
      <w:r w:rsidR="00CD68C2">
        <w:t xml:space="preserve">The maximum penalties </w:t>
      </w:r>
      <w:r w:rsidR="00F62D51">
        <w:t xml:space="preserve">in respect of the first </w:t>
      </w:r>
      <w:r w:rsidR="00F62D51">
        <w:lastRenderedPageBreak/>
        <w:t>respondent comprise $33,000 for each of the two underpayment contraventions (</w:t>
      </w:r>
      <w:r w:rsidR="002363CB">
        <w:t>FW </w:t>
      </w:r>
      <w:r w:rsidR="003371E0">
        <w:t xml:space="preserve">Act, </w:t>
      </w:r>
      <w:r w:rsidR="002363CB">
        <w:t>Item 2, s </w:t>
      </w:r>
      <w:r w:rsidR="00F62D51">
        <w:t>539(2)) and $16,500 for t</w:t>
      </w:r>
      <w:r w:rsidR="003A6758">
        <w:t>he record keeping contravention</w:t>
      </w:r>
      <w:r w:rsidR="00F62D51">
        <w:t xml:space="preserve"> (</w:t>
      </w:r>
      <w:r w:rsidR="002363CB">
        <w:t>FW </w:t>
      </w:r>
      <w:r w:rsidR="003371E0">
        <w:t xml:space="preserve">Act, </w:t>
      </w:r>
      <w:r w:rsidR="002363CB">
        <w:t>Item 29, s </w:t>
      </w:r>
      <w:r w:rsidR="00F62D51">
        <w:t xml:space="preserve">539(2)).  The maximum penalty for the three contraventions </w:t>
      </w:r>
      <w:r w:rsidR="004C4841">
        <w:t xml:space="preserve">by the first respondent total </w:t>
      </w:r>
      <w:r w:rsidR="00F62D51">
        <w:t xml:space="preserve">$82,500.  </w:t>
      </w:r>
    </w:p>
    <w:p w:rsidR="00F62D51" w:rsidRDefault="00F62D51" w:rsidP="00753BAC">
      <w:pPr>
        <w:pStyle w:val="ParaNumbering"/>
      </w:pPr>
      <w:r>
        <w:t xml:space="preserve">In respect of the second and third respondents, the </w:t>
      </w:r>
      <w:r w:rsidR="005F3879">
        <w:t>penalties for each comprise</w:t>
      </w:r>
      <w:r>
        <w:t xml:space="preserve"> </w:t>
      </w:r>
      <w:r w:rsidR="004C4841">
        <w:t xml:space="preserve">the </w:t>
      </w:r>
      <w:r w:rsidR="005F3879">
        <w:t>two underpayment contraventions, the maximum penalty for which is $6,600 per contravention</w:t>
      </w:r>
      <w:r w:rsidR="004C4841">
        <w:t xml:space="preserve"> (</w:t>
      </w:r>
      <w:r w:rsidR="002363CB">
        <w:t>FW </w:t>
      </w:r>
      <w:r w:rsidR="003371E0">
        <w:t xml:space="preserve">Act, </w:t>
      </w:r>
      <w:r w:rsidR="002363CB">
        <w:t>Item 2, s </w:t>
      </w:r>
      <w:r w:rsidR="004C4841">
        <w:t>539(2))</w:t>
      </w:r>
      <w:r w:rsidR="005F3879">
        <w:t xml:space="preserve">.  </w:t>
      </w:r>
      <w:r w:rsidR="00400131">
        <w:t>The maximum penalties</w:t>
      </w:r>
      <w:r w:rsidR="003A6758">
        <w:t xml:space="preserve"> for the two contraventions of each of the second and third respondents </w:t>
      </w:r>
      <w:r w:rsidR="000E6C76">
        <w:t xml:space="preserve">total </w:t>
      </w:r>
      <w:r w:rsidR="003A6758">
        <w:t>$13,200</w:t>
      </w:r>
      <w:r w:rsidR="000E6C76">
        <w:t xml:space="preserve"> for each respondent</w:t>
      </w:r>
      <w:r w:rsidR="003A6758">
        <w:t xml:space="preserve">. </w:t>
      </w:r>
      <w:r w:rsidR="004C4841">
        <w:t xml:space="preserve"> </w:t>
      </w:r>
    </w:p>
    <w:p w:rsidR="00753BAC" w:rsidRDefault="00753BAC" w:rsidP="00753BAC">
      <w:pPr>
        <w:pStyle w:val="ParaNumbering"/>
      </w:pPr>
      <w:r>
        <w:t xml:space="preserve">Based on the agreed and asserted facts the applicant submitted that a penalty close to the maximum allowed under the FW Act for such contraventions should be imposed.  </w:t>
      </w:r>
    </w:p>
    <w:p w:rsidR="00526608" w:rsidRDefault="00DC243F" w:rsidP="009F57D4">
      <w:pPr>
        <w:pStyle w:val="ParaNumbering"/>
      </w:pPr>
      <w:r>
        <w:t xml:space="preserve">The respondents contended that only modest penalties (i.e. low range) were required or justified in the present case.  The respondents emphasised the need </w:t>
      </w:r>
      <w:r w:rsidR="00CF6CBE">
        <w:t>to</w:t>
      </w:r>
      <w:r>
        <w:t xml:space="preserve"> fix penalties based on the circumstances of the present case (rather than for past conduct), criticised the applicant’s additional affidavit evidence as hearsay and irrelevant (although without formal objection) and claimed the benefit of co</w:t>
      </w:r>
      <w:r w:rsidR="004E27C9">
        <w:t>-</w:t>
      </w:r>
      <w:r>
        <w:t xml:space="preserve">operation and proper admissions avoiding the need for a full, contested hearing.  </w:t>
      </w:r>
    </w:p>
    <w:p w:rsidR="00B35367" w:rsidRDefault="00C00A37" w:rsidP="00001BBF">
      <w:pPr>
        <w:pStyle w:val="ParaNumbering"/>
      </w:pPr>
      <w:r>
        <w:t xml:space="preserve">In support of its contention for </w:t>
      </w:r>
      <w:r w:rsidR="00842491">
        <w:t>penalties</w:t>
      </w:r>
      <w:r w:rsidR="00537580">
        <w:t xml:space="preserve"> </w:t>
      </w:r>
      <w:r w:rsidR="00842491">
        <w:t>near the maximum allowed ($70,000, $10,000 and $10,000 respectively)</w:t>
      </w:r>
      <w:r w:rsidR="00537580">
        <w:t xml:space="preserve">, </w:t>
      </w:r>
      <w:r>
        <w:t xml:space="preserve">the applicant </w:t>
      </w:r>
      <w:r w:rsidR="00247B95">
        <w:t>provided</w:t>
      </w:r>
      <w:r w:rsidR="00842491">
        <w:t xml:space="preserve"> </w:t>
      </w:r>
      <w:r w:rsidR="00247B95">
        <w:t xml:space="preserve">the following </w:t>
      </w:r>
      <w:r w:rsidR="006431B8">
        <w:t xml:space="preserve">summary </w:t>
      </w:r>
      <w:r w:rsidR="00247B95">
        <w:t xml:space="preserve">in its </w:t>
      </w:r>
      <w:r w:rsidR="00B558EC">
        <w:t xml:space="preserve">written </w:t>
      </w:r>
      <w:r w:rsidR="00247B95">
        <w:t>submissions:</w:t>
      </w:r>
      <w:r w:rsidR="00842491">
        <w:t xml:space="preserve">  </w:t>
      </w:r>
    </w:p>
    <w:p w:rsidR="00CE4605" w:rsidRDefault="00CE4605" w:rsidP="00CE4605">
      <w:pPr>
        <w:pStyle w:val="Quote1"/>
        <w:ind w:left="1457" w:hanging="720"/>
      </w:pPr>
      <w:r>
        <w:t>5.</w:t>
      </w:r>
      <w:r>
        <w:tab/>
        <w:t xml:space="preserve">The applicant submits that the penalties set out in the paragraph directly above are appropriate because of the following factors:  </w:t>
      </w:r>
    </w:p>
    <w:p w:rsidR="00CE4605" w:rsidRDefault="00CE4605" w:rsidP="001E3544">
      <w:pPr>
        <w:pStyle w:val="Quote1"/>
        <w:ind w:left="2160" w:hanging="720"/>
      </w:pPr>
    </w:p>
    <w:p w:rsidR="00CE4605" w:rsidRDefault="00CE4605" w:rsidP="001E3544">
      <w:pPr>
        <w:pStyle w:val="Quote1"/>
        <w:ind w:left="2160" w:hanging="720"/>
      </w:pPr>
      <w:r>
        <w:t>(a)</w:t>
      </w:r>
      <w:r>
        <w:tab/>
        <w:t xml:space="preserve">the significant amount of the total underpayment over a short period of time; </w:t>
      </w:r>
    </w:p>
    <w:p w:rsidR="00CE4605" w:rsidRDefault="00CE4605" w:rsidP="001E3544">
      <w:pPr>
        <w:pStyle w:val="Quote1"/>
        <w:ind w:left="2160" w:hanging="720"/>
      </w:pPr>
    </w:p>
    <w:p w:rsidR="00CE4605" w:rsidRDefault="00CE4605" w:rsidP="001E3544">
      <w:pPr>
        <w:pStyle w:val="Quote1"/>
        <w:ind w:left="2160" w:hanging="720"/>
      </w:pPr>
      <w:r>
        <w:t>(b)</w:t>
      </w:r>
      <w:r>
        <w:tab/>
        <w:t xml:space="preserve">the serious nature of the contraventions, being the underpayment of minimum wages and award entitlements; </w:t>
      </w:r>
    </w:p>
    <w:p w:rsidR="00CE4605" w:rsidRDefault="00CE4605" w:rsidP="001E3544">
      <w:pPr>
        <w:pStyle w:val="Quote1"/>
        <w:ind w:left="2160" w:hanging="720"/>
      </w:pPr>
    </w:p>
    <w:p w:rsidR="00CE4605" w:rsidRDefault="00CE4605" w:rsidP="009A25B0">
      <w:pPr>
        <w:pStyle w:val="Quote1"/>
        <w:ind w:left="2160" w:hanging="720"/>
      </w:pPr>
      <w:r>
        <w:t>(c)</w:t>
      </w:r>
      <w:r>
        <w:tab/>
        <w:t xml:space="preserve">the vulnerability of the employees in that they performed low skilled work and were from non-English speaking backgrounds; </w:t>
      </w:r>
    </w:p>
    <w:p w:rsidR="00CE4605" w:rsidRDefault="00CE4605" w:rsidP="009A25B0">
      <w:pPr>
        <w:pStyle w:val="Quote1"/>
        <w:ind w:left="2160" w:hanging="720"/>
      </w:pPr>
    </w:p>
    <w:p w:rsidR="00CE4605" w:rsidRDefault="00CE4605" w:rsidP="009A25B0">
      <w:pPr>
        <w:pStyle w:val="Quote1"/>
        <w:ind w:left="2160" w:hanging="720"/>
      </w:pPr>
      <w:r>
        <w:t>(d)</w:t>
      </w:r>
      <w:r>
        <w:tab/>
        <w:t xml:space="preserve">the respondents’ pattern of conduct of systematically establishing companies in order to purport to employ employees which were then successively placed into liquidation with new companies being established to replace the liquidated entities; </w:t>
      </w:r>
    </w:p>
    <w:p w:rsidR="00CE4605" w:rsidRDefault="00CE4605" w:rsidP="009A25B0">
      <w:pPr>
        <w:pStyle w:val="Quote1"/>
        <w:ind w:left="2160" w:hanging="720"/>
      </w:pPr>
    </w:p>
    <w:p w:rsidR="00CE4605" w:rsidRDefault="00CE4605" w:rsidP="009A25B0">
      <w:pPr>
        <w:pStyle w:val="Quote1"/>
        <w:ind w:left="2160" w:hanging="720"/>
      </w:pPr>
      <w:r>
        <w:t>(e)</w:t>
      </w:r>
      <w:r>
        <w:tab/>
        <w:t xml:space="preserve">the lack of contrition displayed by the respondents; </w:t>
      </w:r>
    </w:p>
    <w:p w:rsidR="00CE4605" w:rsidRDefault="00CE4605" w:rsidP="009A25B0">
      <w:pPr>
        <w:pStyle w:val="Quote1"/>
        <w:ind w:left="2160" w:hanging="720"/>
      </w:pPr>
    </w:p>
    <w:p w:rsidR="00CE4605" w:rsidRDefault="00CE4605" w:rsidP="009A25B0">
      <w:pPr>
        <w:pStyle w:val="Quote1"/>
        <w:ind w:left="2160" w:hanging="720"/>
      </w:pPr>
      <w:r>
        <w:t>(f)</w:t>
      </w:r>
      <w:r>
        <w:tab/>
        <w:t xml:space="preserve">the fact that the respondents’ conduct was deliberate; </w:t>
      </w:r>
    </w:p>
    <w:p w:rsidR="00CE4605" w:rsidRDefault="00CE4605" w:rsidP="009A25B0">
      <w:pPr>
        <w:pStyle w:val="Quote1"/>
        <w:ind w:left="2160" w:hanging="720"/>
      </w:pPr>
    </w:p>
    <w:p w:rsidR="00CE4605" w:rsidRDefault="00CE4605" w:rsidP="009A25B0">
      <w:pPr>
        <w:pStyle w:val="Quote1"/>
        <w:ind w:left="2160" w:hanging="720"/>
      </w:pPr>
      <w:r>
        <w:t>(g)</w:t>
      </w:r>
      <w:r>
        <w:tab/>
        <w:t xml:space="preserve">the involvement of senior management; </w:t>
      </w:r>
    </w:p>
    <w:p w:rsidR="00CE4605" w:rsidRDefault="00CE4605" w:rsidP="009A25B0">
      <w:pPr>
        <w:pStyle w:val="Quote1"/>
        <w:ind w:left="2160" w:hanging="720"/>
      </w:pPr>
    </w:p>
    <w:p w:rsidR="00CE4605" w:rsidRDefault="00CE4605" w:rsidP="009A25B0">
      <w:pPr>
        <w:pStyle w:val="Quote1"/>
        <w:ind w:left="2160" w:hanging="720"/>
      </w:pPr>
      <w:r>
        <w:t>(h)</w:t>
      </w:r>
      <w:r>
        <w:tab/>
        <w:t xml:space="preserve">the need for specific deterrence, given Crystal </w:t>
      </w:r>
      <w:proofErr w:type="spellStart"/>
      <w:r>
        <w:t>Carwash’s</w:t>
      </w:r>
      <w:proofErr w:type="spellEnd"/>
      <w:r>
        <w:t xml:space="preserve"> history of non-compliance and that it continues to </w:t>
      </w:r>
      <w:r w:rsidR="00DB1700">
        <w:t>o</w:t>
      </w:r>
      <w:r>
        <w:t xml:space="preserve">perate and employ staff; and </w:t>
      </w:r>
    </w:p>
    <w:p w:rsidR="00CE4605" w:rsidRDefault="00CE4605" w:rsidP="009A25B0">
      <w:pPr>
        <w:pStyle w:val="Quote1"/>
        <w:ind w:left="2160" w:hanging="720"/>
      </w:pPr>
    </w:p>
    <w:p w:rsidR="00CE4605" w:rsidRDefault="00CE4605" w:rsidP="009A25B0">
      <w:pPr>
        <w:pStyle w:val="Quote1"/>
        <w:ind w:left="2160" w:hanging="720"/>
      </w:pPr>
      <w:r>
        <w:t>(</w:t>
      </w:r>
      <w:proofErr w:type="spellStart"/>
      <w:r>
        <w:t>i</w:t>
      </w:r>
      <w:proofErr w:type="spellEnd"/>
      <w:r>
        <w:t>)</w:t>
      </w:r>
      <w:r>
        <w:tab/>
        <w:t xml:space="preserve">the need for general deterrence in the car washing industry.  </w:t>
      </w:r>
    </w:p>
    <w:p w:rsidR="00CE4605" w:rsidRDefault="00CE4605" w:rsidP="009A25B0">
      <w:pPr>
        <w:pStyle w:val="Quote1"/>
        <w:ind w:left="2160" w:hanging="720"/>
      </w:pPr>
    </w:p>
    <w:p w:rsidR="00A17C47" w:rsidRDefault="00E515A3" w:rsidP="00A17C47">
      <w:pPr>
        <w:pStyle w:val="ParaNumbering"/>
      </w:pPr>
      <w:r>
        <w:t>I</w:t>
      </w:r>
      <w:r w:rsidR="00A17C47">
        <w:t xml:space="preserve"> propose to briefly consider </w:t>
      </w:r>
      <w:r w:rsidR="0065156B">
        <w:t xml:space="preserve">each of </w:t>
      </w:r>
      <w:r w:rsidR="00F26CC0">
        <w:t>tho</w:t>
      </w:r>
      <w:r>
        <w:t xml:space="preserve">se matters.  </w:t>
      </w:r>
    </w:p>
    <w:p w:rsidR="00E515A3" w:rsidRDefault="008F6329" w:rsidP="00E515A3">
      <w:pPr>
        <w:pStyle w:val="Heading2"/>
      </w:pPr>
      <w:r>
        <w:t xml:space="preserve">Submissions 5(a) and (b) – </w:t>
      </w:r>
      <w:r w:rsidR="00E515A3">
        <w:t>Nature and extent of the contraventions</w:t>
      </w:r>
    </w:p>
    <w:p w:rsidR="00E26DF7" w:rsidRDefault="00E26DF7" w:rsidP="00B415A6">
      <w:pPr>
        <w:pStyle w:val="ParaNumbering"/>
      </w:pPr>
      <w:r>
        <w:t xml:space="preserve">The </w:t>
      </w:r>
      <w:r w:rsidR="004A0AE7">
        <w:t>contraventions fall</w:t>
      </w:r>
      <w:r>
        <w:t xml:space="preserve"> into two </w:t>
      </w:r>
      <w:r w:rsidR="001E7423">
        <w:t xml:space="preserve">main </w:t>
      </w:r>
      <w:r>
        <w:t>categor</w:t>
      </w:r>
      <w:r w:rsidR="004A0AE7">
        <w:t xml:space="preserve">ies. </w:t>
      </w:r>
      <w:r w:rsidR="00183C94">
        <w:t xml:space="preserve"> </w:t>
      </w:r>
      <w:r w:rsidR="004A0AE7">
        <w:t>The first category relates to</w:t>
      </w:r>
      <w:r>
        <w:t xml:space="preserve"> underpayment of minimum rates of pay and overtime </w:t>
      </w:r>
      <w:r w:rsidR="004A0AE7">
        <w:t xml:space="preserve">under the Award. </w:t>
      </w:r>
      <w:r w:rsidR="00183C94">
        <w:t xml:space="preserve"> </w:t>
      </w:r>
      <w:r w:rsidR="004A0AE7">
        <w:t xml:space="preserve">The second category concerns the failure of the respondents to keep proper records.  </w:t>
      </w:r>
    </w:p>
    <w:p w:rsidR="004A0AE7" w:rsidRDefault="004A0AE7" w:rsidP="00B415A6">
      <w:pPr>
        <w:pStyle w:val="ParaNumbering"/>
      </w:pPr>
      <w:r>
        <w:t>In respect of the underpayments it was agreed that the first respondent paid</w:t>
      </w:r>
      <w:r w:rsidR="00DC6A87">
        <w:t xml:space="preserve"> a </w:t>
      </w:r>
      <w:r w:rsidR="00061269">
        <w:t xml:space="preserve">significant </w:t>
      </w:r>
      <w:r w:rsidR="00DC6A87">
        <w:t>number of</w:t>
      </w:r>
      <w:r>
        <w:t xml:space="preserve"> its employees a flat hourly rate of $13.00 per hour, which was below the Award rate.  The flat rate </w:t>
      </w:r>
      <w:r w:rsidR="001E7423">
        <w:t xml:space="preserve">was </w:t>
      </w:r>
      <w:r>
        <w:t xml:space="preserve">also applied to employees who worked </w:t>
      </w:r>
      <w:r w:rsidR="00183C94">
        <w:t xml:space="preserve">overtime, </w:t>
      </w:r>
      <w:r w:rsidR="001E7423">
        <w:t>but who</w:t>
      </w:r>
      <w:r>
        <w:t xml:space="preserve"> were </w:t>
      </w:r>
      <w:r w:rsidR="001E7423">
        <w:t xml:space="preserve">actually </w:t>
      </w:r>
      <w:r>
        <w:t xml:space="preserve">entitled to overtime </w:t>
      </w:r>
      <w:r w:rsidR="00594F87">
        <w:t>rates of pay</w:t>
      </w:r>
      <w:r>
        <w:t xml:space="preserve"> under the Award, which accounted for the majority of the total underpayment of $177,077.59.  </w:t>
      </w:r>
      <w:r w:rsidR="00AA387F">
        <w:t>The total underpayment</w:t>
      </w:r>
      <w:r w:rsidR="00C10F6F">
        <w:t>s</w:t>
      </w:r>
      <w:r w:rsidR="00AA387F">
        <w:t xml:space="preserve"> comprised $12,416.61 in underpayment of minimum Award rates and $164,660.98 in underpayment of overtime entitlements</w:t>
      </w:r>
      <w:r w:rsidR="00C10F6F">
        <w:t xml:space="preserve"> under the Award</w:t>
      </w:r>
      <w:r w:rsidR="00AA387F">
        <w:t xml:space="preserve">.  </w:t>
      </w:r>
    </w:p>
    <w:p w:rsidR="00B415A6" w:rsidRDefault="00B415A6" w:rsidP="00B415A6">
      <w:pPr>
        <w:pStyle w:val="ParaNumbering"/>
      </w:pPr>
      <w:r>
        <w:t xml:space="preserve">The respondents’ primary line of defence </w:t>
      </w:r>
      <w:r w:rsidR="00270D05">
        <w:t xml:space="preserve">to minimise the significance of its conduct </w:t>
      </w:r>
      <w:r>
        <w:t xml:space="preserve">was </w:t>
      </w:r>
      <w:r w:rsidR="00270D05">
        <w:t xml:space="preserve">to argue </w:t>
      </w:r>
      <w:r>
        <w:t xml:space="preserve">that it made good all underpayments before proceedings commenced.  I give that circumstance little weight.  </w:t>
      </w:r>
      <w:r w:rsidR="00594F87">
        <w:t xml:space="preserve">The payments were only made after the applicant had commenced to investigate and when it must have been apparent that resistance was probably futile.  </w:t>
      </w:r>
    </w:p>
    <w:p w:rsidR="00E515A3" w:rsidRDefault="00FE169E" w:rsidP="00F46CE5">
      <w:pPr>
        <w:pStyle w:val="ParaNumbering"/>
      </w:pPr>
      <w:r>
        <w:t xml:space="preserve">The record keeping contraventions relate to a failure to keep records for the employees of the first respondent, particularly in respect of overtime worked.  It was submitted by the applicant that this may have hindered it from uncovering the full extent of underpayment of overtime entitlements. </w:t>
      </w:r>
      <w:r w:rsidR="009C04FB">
        <w:t xml:space="preserve"> </w:t>
      </w:r>
    </w:p>
    <w:p w:rsidR="00FE169E" w:rsidRDefault="0005031B" w:rsidP="00F46CE5">
      <w:pPr>
        <w:pStyle w:val="ParaNumbering"/>
      </w:pPr>
      <w:r>
        <w:t xml:space="preserve">I consider </w:t>
      </w:r>
      <w:r w:rsidR="009111E7">
        <w:t xml:space="preserve">all </w:t>
      </w:r>
      <w:r>
        <w:t>the</w:t>
      </w:r>
      <w:r w:rsidR="00736BA5">
        <w:t xml:space="preserve"> contraventions </w:t>
      </w:r>
      <w:r>
        <w:t xml:space="preserve">to be </w:t>
      </w:r>
      <w:r w:rsidR="00736BA5">
        <w:t xml:space="preserve">serious.  The applicant is correct to point out that the underpayment </w:t>
      </w:r>
      <w:r w:rsidR="00191C3C">
        <w:t xml:space="preserve">of wages </w:t>
      </w:r>
      <w:r w:rsidR="00736BA5">
        <w:t xml:space="preserve">is particularly significant given the number of employees (359), their relatively low minimum rate of pay under the Award </w:t>
      </w:r>
      <w:r>
        <w:t xml:space="preserve">to begin with </w:t>
      </w:r>
      <w:r w:rsidR="00736BA5">
        <w:t>(</w:t>
      </w:r>
      <w:r w:rsidR="00DC6A87">
        <w:t xml:space="preserve">$14.31 per hour to 30 June 2010 and </w:t>
      </w:r>
      <w:r w:rsidR="00736BA5">
        <w:t>$15.00 per hour</w:t>
      </w:r>
      <w:r w:rsidR="00DC6A87">
        <w:t xml:space="preserve"> to 18 September 2010</w:t>
      </w:r>
      <w:r w:rsidR="00736BA5">
        <w:t xml:space="preserve">), and the </w:t>
      </w:r>
      <w:r w:rsidR="00191C3C">
        <w:t xml:space="preserve">overall amount of </w:t>
      </w:r>
      <w:r w:rsidR="00191C3C">
        <w:lastRenderedPageBreak/>
        <w:t xml:space="preserve">underpaid wages in a </w:t>
      </w:r>
      <w:r w:rsidR="00736BA5">
        <w:t xml:space="preserve">relatively short </w:t>
      </w:r>
      <w:r>
        <w:t>period</w:t>
      </w:r>
      <w:r w:rsidR="008D6F60">
        <w:t xml:space="preserve"> (1 January 2010 to 18 </w:t>
      </w:r>
      <w:r w:rsidR="00736BA5">
        <w:t>September 2010).  Additionall</w:t>
      </w:r>
      <w:r w:rsidR="002D5AE8">
        <w:t>y, the requirement under the FW </w:t>
      </w:r>
      <w:r w:rsidR="00736BA5">
        <w:t>Act to keep proper records serves to aid the</w:t>
      </w:r>
      <w:r w:rsidR="002D5AE8">
        <w:t xml:space="preserve"> statutory objectives of the FW </w:t>
      </w:r>
      <w:r w:rsidR="00736BA5">
        <w:t xml:space="preserve">Act and the functions of the Fair Work Ombudsman.  Although it cannot be conclusively determined </w:t>
      </w:r>
      <w:r w:rsidR="00215FA4">
        <w:t>that</w:t>
      </w:r>
      <w:r w:rsidR="00736BA5">
        <w:t xml:space="preserve"> proper</w:t>
      </w:r>
      <w:r>
        <w:t>ly kept</w:t>
      </w:r>
      <w:r w:rsidR="00736BA5">
        <w:t xml:space="preserve"> records would have revealed further evidence of underpayment, it is</w:t>
      </w:r>
      <w:r w:rsidR="00003DC0">
        <w:t xml:space="preserve"> nonetheless </w:t>
      </w:r>
      <w:r w:rsidR="00736BA5">
        <w:t xml:space="preserve">a significant factor in considering the appropriate penalty.  </w:t>
      </w:r>
    </w:p>
    <w:p w:rsidR="00E515A3" w:rsidRDefault="008F6329" w:rsidP="00E515A3">
      <w:pPr>
        <w:pStyle w:val="Heading2"/>
      </w:pPr>
      <w:r>
        <w:t xml:space="preserve">Submission 5(c) – </w:t>
      </w:r>
      <w:r w:rsidR="00E515A3">
        <w:t>The vulnerability of the employees</w:t>
      </w:r>
    </w:p>
    <w:p w:rsidR="00F86082" w:rsidRDefault="00736BA5" w:rsidP="00B415A6">
      <w:pPr>
        <w:pStyle w:val="ParaNumbering"/>
      </w:pPr>
      <w:r>
        <w:t>T</w:t>
      </w:r>
      <w:r w:rsidR="00B415A6">
        <w:t xml:space="preserve">he applicant has </w:t>
      </w:r>
      <w:r>
        <w:t>sought to place</w:t>
      </w:r>
      <w:r w:rsidR="00B415A6">
        <w:t xml:space="preserve"> particular </w:t>
      </w:r>
      <w:r w:rsidR="00003DC0">
        <w:t>emphasis</w:t>
      </w:r>
      <w:r w:rsidR="00B415A6">
        <w:t xml:space="preserve"> on the fact that a majority of the carwash employees were low skilled and from non-English speaking backgrounds.  </w:t>
      </w:r>
      <w:r w:rsidR="00826E0F">
        <w:t>Further, the applicant contended that the use of the labour hire entities such as the fourth to thirteenth respondent</w:t>
      </w:r>
      <w:r w:rsidR="0023437A">
        <w:t>s</w:t>
      </w:r>
      <w:r w:rsidR="00826E0F">
        <w:t xml:space="preserve"> created additional confusion among the non-English speaking employees who may have been confused when attempting to enforce their employment entitlements by not being sure of who their true employer was.  The fact that a majority of the employees came from non-English speaking backgrounds was admitted by the respondent and it did not offer any direct submission on this point in the penalty proceedings.  It did not seek to contest the assertion made by the applicant that the business conducted by the second and third respondents is a sophisticated one.  In my view, t</w:t>
      </w:r>
      <w:r w:rsidR="00B415A6">
        <w:t xml:space="preserve">he employees </w:t>
      </w:r>
      <w:r w:rsidR="00826E0F">
        <w:t xml:space="preserve">concerned </w:t>
      </w:r>
      <w:r w:rsidR="00B415A6">
        <w:t xml:space="preserve">were particularly vulnerable given the asymmetrical bargaining power that existed between them and the respondents.  The respondents took advantage of </w:t>
      </w:r>
      <w:r w:rsidR="00A11777">
        <w:t>that circumstance</w:t>
      </w:r>
      <w:r w:rsidR="00B415A6">
        <w:t xml:space="preserve">.  </w:t>
      </w:r>
    </w:p>
    <w:p w:rsidR="00901051" w:rsidRDefault="006200DC" w:rsidP="00B415A6">
      <w:pPr>
        <w:pStyle w:val="ParaNumbering"/>
      </w:pPr>
      <w:r>
        <w:t xml:space="preserve">That is a matter which is relevant to bring to account in considering the objective seriousness of the offences.  </w:t>
      </w:r>
    </w:p>
    <w:p w:rsidR="00FE6648" w:rsidRDefault="008F6329" w:rsidP="00FE6648">
      <w:pPr>
        <w:pStyle w:val="Heading2"/>
      </w:pPr>
      <w:r>
        <w:t xml:space="preserve">Submission 5(d) – </w:t>
      </w:r>
      <w:r w:rsidR="00FE6648">
        <w:t>Pattern of conduct involving labour hire entities</w:t>
      </w:r>
    </w:p>
    <w:p w:rsidR="00701E7B" w:rsidRDefault="0048221D" w:rsidP="00B415A6">
      <w:pPr>
        <w:pStyle w:val="ParaNumbering"/>
      </w:pPr>
      <w:r>
        <w:t>T</w:t>
      </w:r>
      <w:r w:rsidR="00701E7B">
        <w:t>he applicant made the following submission regarding the respondents’ pattern of conduct:</w:t>
      </w:r>
      <w:r w:rsidR="009D6D2A">
        <w:t xml:space="preserve">  </w:t>
      </w:r>
    </w:p>
    <w:p w:rsidR="0013043D" w:rsidRDefault="00354883" w:rsidP="00354883">
      <w:pPr>
        <w:pStyle w:val="Quote1"/>
        <w:ind w:left="1457" w:hanging="720"/>
      </w:pPr>
      <w:r>
        <w:t>12.</w:t>
      </w:r>
      <w:r>
        <w:tab/>
        <w:t xml:space="preserve">In addition, the respondents had a pattern of conduct of:  </w:t>
      </w:r>
    </w:p>
    <w:p w:rsidR="00354883" w:rsidRDefault="00354883" w:rsidP="00354883">
      <w:pPr>
        <w:pStyle w:val="Quote1"/>
        <w:ind w:left="2160" w:hanging="720"/>
      </w:pPr>
    </w:p>
    <w:p w:rsidR="00354883" w:rsidRDefault="00354883" w:rsidP="00354883">
      <w:pPr>
        <w:pStyle w:val="Quote1"/>
        <w:ind w:left="2160" w:hanging="720"/>
      </w:pPr>
      <w:r>
        <w:t>(a)</w:t>
      </w:r>
      <w:r>
        <w:tab/>
      </w:r>
      <w:r w:rsidR="00FE2CA7">
        <w:t>establishing companies (</w:t>
      </w:r>
      <w:r w:rsidR="00FE2CA7" w:rsidRPr="00FE2CA7">
        <w:rPr>
          <w:b/>
        </w:rPr>
        <w:t>Carwash </w:t>
      </w:r>
      <w:r w:rsidRPr="00FE2CA7">
        <w:rPr>
          <w:b/>
        </w:rPr>
        <w:t>Entities</w:t>
      </w:r>
      <w:r>
        <w:t xml:space="preserve">) which had directors who were not independent businessmen but drawn from the ranks of employees working as car washers; </w:t>
      </w:r>
    </w:p>
    <w:p w:rsidR="00354883" w:rsidRDefault="00354883" w:rsidP="00354883">
      <w:pPr>
        <w:pStyle w:val="Quote1"/>
        <w:ind w:left="2160" w:hanging="720"/>
      </w:pPr>
    </w:p>
    <w:p w:rsidR="00354883" w:rsidRDefault="00354883" w:rsidP="00354883">
      <w:pPr>
        <w:pStyle w:val="Quote1"/>
        <w:ind w:left="2160" w:hanging="720"/>
      </w:pPr>
      <w:r>
        <w:t>(b)</w:t>
      </w:r>
      <w:r>
        <w:tab/>
        <w:t xml:space="preserve">purporting to enter into arrangements with the Carwash Entities whereby the Carwash Entities purported to operate the Carwash Business at the Carwash Sites, including by employing car washers to work for the Carwash Business; </w:t>
      </w:r>
    </w:p>
    <w:p w:rsidR="00354883" w:rsidRDefault="00354883" w:rsidP="00354883">
      <w:pPr>
        <w:pStyle w:val="Quote1"/>
        <w:ind w:left="2160" w:hanging="720"/>
      </w:pPr>
    </w:p>
    <w:p w:rsidR="00354883" w:rsidRDefault="00354883" w:rsidP="00354883">
      <w:pPr>
        <w:pStyle w:val="Quote1"/>
        <w:ind w:left="2160" w:hanging="720"/>
      </w:pPr>
      <w:r>
        <w:t>(c)</w:t>
      </w:r>
      <w:r>
        <w:tab/>
        <w:t xml:space="preserve">successively placing the Carwash Entities into voluntary liquidation </w:t>
      </w:r>
      <w:r>
        <w:lastRenderedPageBreak/>
        <w:t xml:space="preserve">or administration; </w:t>
      </w:r>
    </w:p>
    <w:p w:rsidR="00354883" w:rsidRDefault="00354883" w:rsidP="00354883">
      <w:pPr>
        <w:pStyle w:val="Quote1"/>
        <w:ind w:left="2160" w:hanging="720"/>
      </w:pPr>
    </w:p>
    <w:p w:rsidR="00354883" w:rsidRDefault="00354883" w:rsidP="00354883">
      <w:pPr>
        <w:pStyle w:val="Quote1"/>
        <w:ind w:left="2160" w:hanging="720"/>
      </w:pPr>
      <w:r>
        <w:t>(d)</w:t>
      </w:r>
      <w:r>
        <w:tab/>
        <w:t xml:space="preserve">establishing new entities to replace the Carwash Entities to operate the Carwash Business at the Carwash Sites, including by transferring the employment of car washers to the replacement Carwash Entity.  </w:t>
      </w:r>
    </w:p>
    <w:p w:rsidR="00354883" w:rsidRDefault="00354883" w:rsidP="00354883">
      <w:pPr>
        <w:pStyle w:val="Quote1"/>
        <w:ind w:left="1440"/>
      </w:pPr>
    </w:p>
    <w:p w:rsidR="00354883" w:rsidRDefault="00354883" w:rsidP="00354883">
      <w:pPr>
        <w:pStyle w:val="Quote1"/>
        <w:ind w:left="1440"/>
      </w:pPr>
      <w:r>
        <w:t xml:space="preserve">(Footnotes omitted)  </w:t>
      </w:r>
    </w:p>
    <w:p w:rsidR="00354883" w:rsidRDefault="00354883" w:rsidP="00354883">
      <w:pPr>
        <w:pStyle w:val="Quote1"/>
        <w:ind w:left="1440"/>
      </w:pPr>
    </w:p>
    <w:p w:rsidR="00274A85" w:rsidRDefault="00274A85" w:rsidP="00274A85">
      <w:pPr>
        <w:pStyle w:val="Quote1"/>
        <w:ind w:left="1457" w:hanging="720"/>
      </w:pPr>
      <w:r>
        <w:t>13.</w:t>
      </w:r>
      <w:r>
        <w:tab/>
        <w:t>Since 2007, the respondents have established at least 24 of these Carwash Entities and at least 13 Carwash Entities have been placed in voluntary liquidation or administration, by one or more of the following people or entities who were connected to the Carwash Business, including Anthony </w:t>
      </w:r>
      <w:proofErr w:type="spellStart"/>
      <w:r>
        <w:t>Sahade</w:t>
      </w:r>
      <w:proofErr w:type="spellEnd"/>
      <w:r>
        <w:t>, his wife, Rita </w:t>
      </w:r>
      <w:proofErr w:type="spellStart"/>
      <w:r>
        <w:t>Sahade</w:t>
      </w:r>
      <w:proofErr w:type="spellEnd"/>
      <w:r>
        <w:t xml:space="preserve">, Crystal </w:t>
      </w:r>
      <w:proofErr w:type="spellStart"/>
      <w:r>
        <w:t>Carwash’s</w:t>
      </w:r>
      <w:proofErr w:type="spellEnd"/>
      <w:r>
        <w:t xml:space="preserve"> legal representatives, Crystal </w:t>
      </w:r>
      <w:proofErr w:type="spellStart"/>
      <w:r>
        <w:t>Carwash’s</w:t>
      </w:r>
      <w:proofErr w:type="spellEnd"/>
      <w:r>
        <w:t xml:space="preserve"> accountants, the Carwash Entities or directors of the Carwash </w:t>
      </w:r>
      <w:r w:rsidR="00635DAC">
        <w:t>Entities</w:t>
      </w:r>
      <w:r>
        <w:t xml:space="preserve">.  </w:t>
      </w:r>
    </w:p>
    <w:p w:rsidR="00274A85" w:rsidRDefault="00274A85" w:rsidP="00274A85">
      <w:pPr>
        <w:pStyle w:val="Quote1"/>
      </w:pPr>
    </w:p>
    <w:p w:rsidR="00B415A6" w:rsidRDefault="00B628CF" w:rsidP="00B415A6">
      <w:pPr>
        <w:pStyle w:val="ParaNumbering"/>
      </w:pPr>
      <w:r>
        <w:t>As previously mentioned, an additional affidavit was filed by the applicant to support these</w:t>
      </w:r>
      <w:r w:rsidR="006B437E">
        <w:t>, and other,</w:t>
      </w:r>
      <w:r>
        <w:t xml:space="preserve"> contentions.  </w:t>
      </w:r>
      <w:r w:rsidR="00B415A6">
        <w:t xml:space="preserve">Counsel for the respondents submitted that very little weight should be given to the </w:t>
      </w:r>
      <w:r w:rsidR="006B437E">
        <w:t>affidavit which contained</w:t>
      </w:r>
      <w:r w:rsidR="00B415A6">
        <w:t xml:space="preserve"> a </w:t>
      </w:r>
      <w:r w:rsidR="006B437E">
        <w:t xml:space="preserve">good </w:t>
      </w:r>
      <w:r w:rsidR="00B415A6">
        <w:t xml:space="preserve">deal of hearsay material.  </w:t>
      </w:r>
    </w:p>
    <w:p w:rsidR="00943F25" w:rsidRDefault="00943F25" w:rsidP="00943F25">
      <w:pPr>
        <w:pStyle w:val="ParaNumbering"/>
      </w:pPr>
      <w:r>
        <w:t xml:space="preserve">The affidavit </w:t>
      </w:r>
      <w:r w:rsidR="0096130F">
        <w:t xml:space="preserve">referred </w:t>
      </w:r>
      <w:r w:rsidR="004450FE">
        <w:t xml:space="preserve">to a </w:t>
      </w:r>
      <w:r>
        <w:t xml:space="preserve">number of complaints </w:t>
      </w:r>
      <w:r w:rsidR="00C43061">
        <w:t xml:space="preserve">contained in </w:t>
      </w:r>
      <w:r w:rsidR="00096B85">
        <w:t>earlier</w:t>
      </w:r>
      <w:r w:rsidR="00C43061">
        <w:t xml:space="preserve"> file notes taken by </w:t>
      </w:r>
      <w:r w:rsidR="004450FE">
        <w:t>employees</w:t>
      </w:r>
      <w:r w:rsidR="00C43061">
        <w:t xml:space="preserve"> </w:t>
      </w:r>
      <w:r w:rsidR="004450FE">
        <w:t xml:space="preserve">of </w:t>
      </w:r>
      <w:r>
        <w:t xml:space="preserve">the </w:t>
      </w:r>
      <w:r w:rsidR="00C43061">
        <w:t xml:space="preserve">Fair Work Ombudsman </w:t>
      </w:r>
      <w:r>
        <w:t xml:space="preserve">and its predecessor organisations.  </w:t>
      </w:r>
      <w:r w:rsidR="00C43061">
        <w:t xml:space="preserve">It also </w:t>
      </w:r>
      <w:r w:rsidR="004450FE">
        <w:t>referred to</w:t>
      </w:r>
      <w:r w:rsidR="00C43061">
        <w:t xml:space="preserve"> documents used in previous court cases involving the second respondent</w:t>
      </w:r>
      <w:r w:rsidR="004E054D">
        <w:t xml:space="preserve"> </w:t>
      </w:r>
      <w:r w:rsidR="004450FE">
        <w:t>concerning</w:t>
      </w:r>
      <w:r w:rsidR="004E054D">
        <w:t xml:space="preserve"> similar complaints</w:t>
      </w:r>
      <w:r w:rsidR="00C43061">
        <w:t xml:space="preserve">.  </w:t>
      </w:r>
    </w:p>
    <w:p w:rsidR="005C0BDB" w:rsidRDefault="00AF5A6C" w:rsidP="00F46CE5">
      <w:pPr>
        <w:pStyle w:val="ParaNumbering"/>
      </w:pPr>
      <w:r>
        <w:t xml:space="preserve">Based on the affidavit, and the history of complaints against the first and second respondents, the applicant submitted that a heavy penalty was called for.  </w:t>
      </w:r>
    </w:p>
    <w:p w:rsidR="00AF5A6C" w:rsidRDefault="00AF5A6C" w:rsidP="00F46CE5">
      <w:pPr>
        <w:pStyle w:val="ParaNumbering"/>
      </w:pPr>
      <w:r>
        <w:t>One difficulty about this material was that the evidence of previous complaints was obviously hearsay, and untested.  I am not able to give this material any particular weight.  In any event, its possible prejudice outweighs any probative value it might have (</w:t>
      </w:r>
      <w:r w:rsidRPr="008319E2">
        <w:rPr>
          <w:i/>
        </w:rPr>
        <w:t>Evidence Act 1995</w:t>
      </w:r>
      <w:r>
        <w:t xml:space="preserve"> (</w:t>
      </w:r>
      <w:proofErr w:type="spellStart"/>
      <w:r>
        <w:t>Cth</w:t>
      </w:r>
      <w:proofErr w:type="spellEnd"/>
      <w:r>
        <w:t>)</w:t>
      </w:r>
      <w:r w:rsidR="003E4A1A">
        <w:t>, s </w:t>
      </w:r>
      <w:r>
        <w:t>13</w:t>
      </w:r>
      <w:r w:rsidR="00965A5F">
        <w:t>5</w:t>
      </w:r>
      <w:r>
        <w:t xml:space="preserve">).  </w:t>
      </w:r>
    </w:p>
    <w:p w:rsidR="00CE47B3" w:rsidRDefault="00CE47B3" w:rsidP="00F46CE5">
      <w:pPr>
        <w:pStyle w:val="ParaNumbering"/>
      </w:pPr>
      <w:r>
        <w:t xml:space="preserve">Material referring to the outcome of earlier proceedings in a court, adverse to the respondents, is relevant to </w:t>
      </w:r>
      <w:r w:rsidR="00CF15A8">
        <w:t>dispel any</w:t>
      </w:r>
      <w:r>
        <w:t xml:space="preserve"> claim to a previously unblemished record, but no such claim was made by the respondents in the present case.  </w:t>
      </w:r>
    </w:p>
    <w:p w:rsidR="00CE47B3" w:rsidRDefault="00CE47B3" w:rsidP="00F46CE5">
      <w:pPr>
        <w:pStyle w:val="ParaNumbering"/>
      </w:pPr>
      <w:r>
        <w:t xml:space="preserve">However, the business practice revealed </w:t>
      </w:r>
      <w:r w:rsidR="0097662C">
        <w:t xml:space="preserve">directly </w:t>
      </w:r>
      <w:r>
        <w:t xml:space="preserve">in the present case of </w:t>
      </w:r>
      <w:r w:rsidR="0097662C">
        <w:t>setting</w:t>
      </w:r>
      <w:r>
        <w:t xml:space="preserve"> up supposed labour hire companies (to which the affidavit material gave additional colour, but not extra weight) deserves censure and reflection in the penalties I fix.  It can have no legitimate purpose (at least none was suggested) and is an aggravating aspect for which each of the first, second and third respondents must bear responsibility.  </w:t>
      </w:r>
    </w:p>
    <w:p w:rsidR="00E515A3" w:rsidRDefault="008F6329" w:rsidP="00E515A3">
      <w:pPr>
        <w:pStyle w:val="Heading2"/>
      </w:pPr>
      <w:r>
        <w:lastRenderedPageBreak/>
        <w:t xml:space="preserve">Submission 5(e) – </w:t>
      </w:r>
      <w:r w:rsidR="00E515A3">
        <w:t>Co</w:t>
      </w:r>
      <w:r w:rsidR="00E917C2">
        <w:t>-</w:t>
      </w:r>
      <w:r w:rsidR="00E515A3">
        <w:t>operation and contrition</w:t>
      </w:r>
    </w:p>
    <w:p w:rsidR="00B415A6" w:rsidRDefault="00B415A6" w:rsidP="00B415A6">
      <w:pPr>
        <w:pStyle w:val="ParaNumbering"/>
      </w:pPr>
      <w:r>
        <w:t>The respondents submit</w:t>
      </w:r>
      <w:r w:rsidR="00856488">
        <w:t>ted</w:t>
      </w:r>
      <w:r>
        <w:t xml:space="preserve"> that </w:t>
      </w:r>
      <w:r w:rsidR="00856488">
        <w:t>their</w:t>
      </w:r>
      <w:r>
        <w:t xml:space="preserve"> co</w:t>
      </w:r>
      <w:r w:rsidR="00E917C2">
        <w:t>-</w:t>
      </w:r>
      <w:r>
        <w:t xml:space="preserve">operation in the proceedings has saved the Court time and resources, which should be taken into account to mitigate any penalty.  I give little weight to this submission.  The conduct of the respondents in agreeing facts in these proceedings and not requiring a trial was clearly also in their interest.  It was not done purely for the purpose of facilitating the resolution of these proceedings or to rectify </w:t>
      </w:r>
      <w:r w:rsidR="0097662C">
        <w:t>the</w:t>
      </w:r>
      <w:r>
        <w:t xml:space="preserve"> contraventions but also to help the respondents avoid the risks </w:t>
      </w:r>
      <w:r w:rsidR="0097662C">
        <w:t xml:space="preserve">and further costs </w:t>
      </w:r>
      <w:r>
        <w:t xml:space="preserve">associated with a trial.  </w:t>
      </w:r>
    </w:p>
    <w:p w:rsidR="00997F03" w:rsidRDefault="00263FC4" w:rsidP="00997F03">
      <w:pPr>
        <w:pStyle w:val="ParaNumbering"/>
      </w:pPr>
      <w:r>
        <w:t xml:space="preserve">I note </w:t>
      </w:r>
      <w:r w:rsidR="0097662C">
        <w:t xml:space="preserve">the parties’ explicit </w:t>
      </w:r>
      <w:r>
        <w:t>agreement that the respondents were unco</w:t>
      </w:r>
      <w:r w:rsidR="00E917C2">
        <w:t>-</w:t>
      </w:r>
      <w:r>
        <w:t xml:space="preserve">operative during the Fair Work Ombudsman investigation.  </w:t>
      </w:r>
      <w:r w:rsidR="00997F03">
        <w:t>According to the agreed statement of facts, the respondents denied access to premises and refused to produce certain records sought by Fair Work Inspectors pursuant to a Notice to Produce issue</w:t>
      </w:r>
      <w:r w:rsidR="00856488">
        <w:t>d</w:t>
      </w:r>
      <w:r w:rsidR="00A308EC">
        <w:t xml:space="preserve"> under s </w:t>
      </w:r>
      <w:r w:rsidR="00997F03">
        <w:t xml:space="preserve">712 </w:t>
      </w:r>
      <w:r w:rsidR="00856488">
        <w:t>of the FW </w:t>
      </w:r>
      <w:r w:rsidR="00997F03">
        <w:t xml:space="preserve">Act.  The second respondent also declined to participate in a Record of Interview with a Fair Work Inspector.  </w:t>
      </w:r>
    </w:p>
    <w:p w:rsidR="00D33A1C" w:rsidRDefault="00D33A1C" w:rsidP="005C421B">
      <w:pPr>
        <w:pStyle w:val="ParaNumbering"/>
      </w:pPr>
      <w:r>
        <w:t xml:space="preserve">I do not overlook the </w:t>
      </w:r>
      <w:r w:rsidR="009F0EB7">
        <w:t xml:space="preserve">fact that </w:t>
      </w:r>
      <w:r w:rsidR="009C74E3">
        <w:t xml:space="preserve">the respondents </w:t>
      </w:r>
      <w:r>
        <w:t xml:space="preserve">have </w:t>
      </w:r>
      <w:r w:rsidR="00AA3BE9">
        <w:t xml:space="preserve">contributed to the avoidance of </w:t>
      </w:r>
      <w:r>
        <w:t xml:space="preserve">the </w:t>
      </w:r>
      <w:r w:rsidR="00E00F8C">
        <w:t>public</w:t>
      </w:r>
      <w:r>
        <w:t xml:space="preserve"> </w:t>
      </w:r>
      <w:r w:rsidR="009C74E3">
        <w:t xml:space="preserve">(as well as private) </w:t>
      </w:r>
      <w:r>
        <w:t xml:space="preserve">inconvenience of a potentially lengthy hearing.  However, I see no basis upon which to discount from any penalty otherwise appropriate.  In my view, the respondents have acted </w:t>
      </w:r>
      <w:r w:rsidR="00AA3BE9">
        <w:t xml:space="preserve">principally </w:t>
      </w:r>
      <w:r>
        <w:t xml:space="preserve">from self-interest rather than from any particular desire to assist the administration of justice.  I see no evidence of contrition.  </w:t>
      </w:r>
    </w:p>
    <w:p w:rsidR="00E515A3" w:rsidRDefault="008F6329" w:rsidP="00E515A3">
      <w:pPr>
        <w:pStyle w:val="Heading2"/>
      </w:pPr>
      <w:r>
        <w:t xml:space="preserve">Submission 5(f) – </w:t>
      </w:r>
      <w:r w:rsidR="004B3AC6">
        <w:t>Deliberateness of the contraventions</w:t>
      </w:r>
    </w:p>
    <w:p w:rsidR="00F13129" w:rsidRDefault="00B415A6" w:rsidP="00B415A6">
      <w:pPr>
        <w:pStyle w:val="ParaNumbering"/>
      </w:pPr>
      <w:r>
        <w:t>The applicant contends the underpayment contraventions were deliberate</w:t>
      </w:r>
      <w:r w:rsidR="002C751E">
        <w:t xml:space="preserve"> and should be </w:t>
      </w:r>
      <w:r w:rsidR="005C421B">
        <w:t>considered more serious as a result</w:t>
      </w:r>
      <w:r>
        <w:t xml:space="preserve">.  </w:t>
      </w:r>
      <w:r w:rsidR="00D56E2B">
        <w:t xml:space="preserve">No </w:t>
      </w:r>
      <w:r w:rsidR="006F6F7A">
        <w:t>answering</w:t>
      </w:r>
      <w:r w:rsidR="00D56E2B">
        <w:t xml:space="preserve"> submissions were made </w:t>
      </w:r>
      <w:r w:rsidR="00915275">
        <w:t>on</w:t>
      </w:r>
      <w:r w:rsidR="00D56E2B">
        <w:t xml:space="preserve"> this point by the respondents.  </w:t>
      </w:r>
    </w:p>
    <w:p w:rsidR="005631A7" w:rsidRDefault="00F13129" w:rsidP="00B415A6">
      <w:pPr>
        <w:pStyle w:val="ParaNumbering"/>
      </w:pPr>
      <w:r>
        <w:t xml:space="preserve">On the basis of the agreed facts </w:t>
      </w:r>
      <w:r w:rsidR="0098549C">
        <w:t xml:space="preserve">I am satisfied that the conduct of the first, second and third respondents </w:t>
      </w:r>
      <w:r>
        <w:t xml:space="preserve">to make payment of a flat rate amount to employees regardless of Award entitlements, particularly overtime entitlements, </w:t>
      </w:r>
      <w:r w:rsidR="0098549C">
        <w:t xml:space="preserve">was deliberate and calculated.  </w:t>
      </w:r>
    </w:p>
    <w:p w:rsidR="004B3AC6" w:rsidRDefault="008F6329" w:rsidP="004B3AC6">
      <w:pPr>
        <w:pStyle w:val="Heading2"/>
      </w:pPr>
      <w:r>
        <w:t xml:space="preserve">Submission 5(g) – </w:t>
      </w:r>
      <w:r w:rsidR="004B3AC6">
        <w:t>Involvement of senior management</w:t>
      </w:r>
    </w:p>
    <w:p w:rsidR="004B3AC6" w:rsidRDefault="003A2E8D" w:rsidP="00F46CE5">
      <w:pPr>
        <w:pStyle w:val="ParaNumbering"/>
      </w:pPr>
      <w:r>
        <w:t>Based on the statement of agreed facts the applicant made the following submissions</w:t>
      </w:r>
      <w:r w:rsidR="006F6F7A">
        <w:t xml:space="preserve"> in relation to the second and third respondents</w:t>
      </w:r>
      <w:r>
        <w:t>:</w:t>
      </w:r>
      <w:r w:rsidR="006A165C">
        <w:t xml:space="preserve">  </w:t>
      </w:r>
    </w:p>
    <w:p w:rsidR="008422A7" w:rsidRDefault="00937E08" w:rsidP="00D42C53">
      <w:pPr>
        <w:pStyle w:val="Quote1"/>
        <w:ind w:left="1457" w:hanging="720"/>
      </w:pPr>
      <w:r>
        <w:t>8.</w:t>
      </w:r>
      <w:r>
        <w:tab/>
        <w:t>Mr </w:t>
      </w:r>
      <w:proofErr w:type="spellStart"/>
      <w:r>
        <w:t>Sahade</w:t>
      </w:r>
      <w:proofErr w:type="spellEnd"/>
      <w:r>
        <w:t xml:space="preserve"> is the sole director and secretary of Crystal Carwash.  Mr </w:t>
      </w:r>
      <w:proofErr w:type="spellStart"/>
      <w:r>
        <w:t>Sahade</w:t>
      </w:r>
      <w:proofErr w:type="spellEnd"/>
      <w:r>
        <w:t xml:space="preserve"> is responsible for the overall operation, directions and control of Crystal </w:t>
      </w:r>
      <w:r>
        <w:lastRenderedPageBreak/>
        <w:t>Carwash.  Mr </w:t>
      </w:r>
      <w:proofErr w:type="spellStart"/>
      <w:r>
        <w:t>Sahade</w:t>
      </w:r>
      <w:proofErr w:type="spellEnd"/>
      <w:r>
        <w:t xml:space="preserve"> was a person with responsibility for setting the terms and conditions of the employment of the Carwash Employees.  </w:t>
      </w:r>
    </w:p>
    <w:p w:rsidR="00D42C53" w:rsidRDefault="00D42C53" w:rsidP="00D42C53">
      <w:pPr>
        <w:pStyle w:val="Quote1"/>
        <w:ind w:left="1457" w:hanging="720"/>
      </w:pPr>
    </w:p>
    <w:p w:rsidR="00D42C53" w:rsidRDefault="00D42C53" w:rsidP="00D42C53">
      <w:pPr>
        <w:pStyle w:val="Quote1"/>
        <w:ind w:left="1457" w:hanging="720"/>
      </w:pPr>
      <w:r>
        <w:t>9.</w:t>
      </w:r>
      <w:r>
        <w:tab/>
        <w:t>Mr </w:t>
      </w:r>
      <w:proofErr w:type="spellStart"/>
      <w:r>
        <w:t>Khouri</w:t>
      </w:r>
      <w:proofErr w:type="spellEnd"/>
      <w:r>
        <w:t xml:space="preserve"> was employed by Crystal Carwash as a manager and along with Mr </w:t>
      </w:r>
      <w:proofErr w:type="spellStart"/>
      <w:r>
        <w:t>Sahade</w:t>
      </w:r>
      <w:proofErr w:type="spellEnd"/>
      <w:r>
        <w:t xml:space="preserve">, also had responsibility for setting the terms and conditions of employment of the Carwash Employees.  </w:t>
      </w:r>
    </w:p>
    <w:p w:rsidR="00D42C53" w:rsidRDefault="00D42C53" w:rsidP="00D42C53">
      <w:pPr>
        <w:pStyle w:val="Quote1"/>
      </w:pPr>
    </w:p>
    <w:p w:rsidR="003A2E8D" w:rsidRDefault="003A2E8D" w:rsidP="003A2E8D">
      <w:pPr>
        <w:pStyle w:val="ParaNumbering"/>
      </w:pPr>
      <w:r>
        <w:t xml:space="preserve">I accept those submissions. </w:t>
      </w:r>
      <w:r w:rsidR="00D56E2B">
        <w:t xml:space="preserve"> The second and third respondents were </w:t>
      </w:r>
      <w:r w:rsidR="00820E7B">
        <w:t>closely</w:t>
      </w:r>
      <w:r w:rsidR="00D56E2B">
        <w:t xml:space="preserve"> involved in the creation of the labour hire entities and the subsequent underpayments that took place.  </w:t>
      </w:r>
      <w:r w:rsidR="00F83CE6">
        <w:t>The third respondent was a director of one of the liquidated entities</w:t>
      </w:r>
      <w:r w:rsidR="00A03E7A">
        <w:t xml:space="preserve"> that previously purported to employ the </w:t>
      </w:r>
      <w:r w:rsidR="00820E7B">
        <w:t>car</w:t>
      </w:r>
      <w:r w:rsidR="006F6F7A">
        <w:t xml:space="preserve">wash </w:t>
      </w:r>
      <w:r w:rsidR="00A03E7A">
        <w:t>employees</w:t>
      </w:r>
      <w:r w:rsidR="00F83CE6">
        <w:t xml:space="preserve">.  </w:t>
      </w:r>
    </w:p>
    <w:p w:rsidR="00723B41" w:rsidRDefault="00723B41" w:rsidP="003A2E8D">
      <w:pPr>
        <w:pStyle w:val="ParaNumbering"/>
      </w:pPr>
      <w:r>
        <w:t>I</w:t>
      </w:r>
      <w:r w:rsidR="006B3A3C">
        <w:t xml:space="preserve">n </w:t>
      </w:r>
      <w:r w:rsidRPr="0018246A">
        <w:rPr>
          <w:i/>
        </w:rPr>
        <w:t>Fair Work Ombudsman v Ramsey Food Processing Pty Ltd (No 2)</w:t>
      </w:r>
      <w:r w:rsidRPr="0018246A">
        <w:t xml:space="preserve"> [2012] </w:t>
      </w:r>
      <w:proofErr w:type="spellStart"/>
      <w:r w:rsidRPr="0018246A">
        <w:t>FCA</w:t>
      </w:r>
      <w:proofErr w:type="spellEnd"/>
      <w:r w:rsidRPr="0018246A">
        <w:t xml:space="preserve"> 408</w:t>
      </w:r>
      <w:r>
        <w:t xml:space="preserve">, I said at [8]:  </w:t>
      </w:r>
    </w:p>
    <w:p w:rsidR="00723B41" w:rsidRDefault="006B3A3C" w:rsidP="005513AC">
      <w:pPr>
        <w:pStyle w:val="Quote1"/>
      </w:pPr>
      <w:r>
        <w:t xml:space="preserve">[t]he </w:t>
      </w:r>
      <w:r w:rsidR="006804EF">
        <w:t xml:space="preserve">present </w:t>
      </w:r>
      <w:r>
        <w:t>legislative scheme fixes quite different (and much lower) penalties for individuals than for corporations</w:t>
      </w:r>
      <w:r w:rsidR="00620DBE">
        <w:t xml:space="preserve">.  The culpability of each respondent must be assessed individually and in the context set by the maximum penalty prescribed in each case.  </w:t>
      </w:r>
      <w:r w:rsidR="006804EF">
        <w:t>…</w:t>
      </w:r>
    </w:p>
    <w:p w:rsidR="00880E88" w:rsidRDefault="00880E88" w:rsidP="00D57C1B">
      <w:pPr>
        <w:pStyle w:val="Quote1"/>
        <w:tabs>
          <w:tab w:val="left" w:pos="5103"/>
        </w:tabs>
      </w:pPr>
    </w:p>
    <w:p w:rsidR="00620DBE" w:rsidRDefault="007B51CF" w:rsidP="003A2E8D">
      <w:pPr>
        <w:pStyle w:val="ParaNumbering"/>
      </w:pPr>
      <w:r>
        <w:t>In the present case</w:t>
      </w:r>
      <w:r w:rsidR="009344ED">
        <w:t>,</w:t>
      </w:r>
      <w:r>
        <w:t xml:space="preserve"> I am satisfied that each of the second and third respondents bear direct and major responsibility for the breaches by the first respondent.  I see no basis upon which to extend any particular lenience to either of them.  </w:t>
      </w:r>
    </w:p>
    <w:p w:rsidR="004B3AC6" w:rsidRDefault="008F6329" w:rsidP="004B3AC6">
      <w:pPr>
        <w:pStyle w:val="Heading2"/>
      </w:pPr>
      <w:r>
        <w:t>Submission 5(h) and (</w:t>
      </w:r>
      <w:proofErr w:type="spellStart"/>
      <w:r>
        <w:t>i</w:t>
      </w:r>
      <w:proofErr w:type="spellEnd"/>
      <w:r>
        <w:t xml:space="preserve">) – </w:t>
      </w:r>
      <w:r w:rsidR="004B3AC6">
        <w:t>Specific and general deterrence</w:t>
      </w:r>
    </w:p>
    <w:p w:rsidR="00B415A6" w:rsidRDefault="00B415A6" w:rsidP="00B415A6">
      <w:pPr>
        <w:pStyle w:val="ParaNumbering"/>
      </w:pPr>
      <w:r>
        <w:t xml:space="preserve">Considering all the circumstances, the present is a case where </w:t>
      </w:r>
      <w:r w:rsidR="009C74E3">
        <w:t>objectives</w:t>
      </w:r>
      <w:r>
        <w:t xml:space="preserve"> of general and specific deterrence should play a significant role.  </w:t>
      </w:r>
      <w:r w:rsidR="001774AF">
        <w:t xml:space="preserve">The particular contraventions and </w:t>
      </w:r>
      <w:r w:rsidR="009C74E3">
        <w:t xml:space="preserve">the </w:t>
      </w:r>
      <w:r w:rsidR="001774AF">
        <w:t xml:space="preserve">circumstances surrounding the respondents’ role in them are serious matters. </w:t>
      </w:r>
      <w:r w:rsidR="00F95651">
        <w:t xml:space="preserve"> </w:t>
      </w:r>
    </w:p>
    <w:p w:rsidR="004B3AC6" w:rsidRDefault="00F83CE6" w:rsidP="004B3AC6">
      <w:pPr>
        <w:pStyle w:val="ParaNumbering"/>
      </w:pPr>
      <w:r>
        <w:t xml:space="preserve">I have accepted that the contraventions </w:t>
      </w:r>
      <w:r w:rsidR="00702D43">
        <w:t xml:space="preserve">were deliberate and part of a pattern of conduct designed to avoid liability under workplace laws. </w:t>
      </w:r>
      <w:r w:rsidR="00F11325">
        <w:t xml:space="preserve"> I have </w:t>
      </w:r>
      <w:r w:rsidR="006F6F7A">
        <w:t>also</w:t>
      </w:r>
      <w:r w:rsidR="00F11325">
        <w:t xml:space="preserve"> accepted </w:t>
      </w:r>
      <w:r w:rsidR="00264591">
        <w:t xml:space="preserve">that the respondents have shown a lack of remorse or contrition. </w:t>
      </w:r>
      <w:r w:rsidR="00F95651">
        <w:t xml:space="preserve">  </w:t>
      </w:r>
    </w:p>
    <w:p w:rsidR="00F15E30" w:rsidRDefault="00F15E30" w:rsidP="004B3AC6">
      <w:pPr>
        <w:pStyle w:val="ParaNumbering"/>
      </w:pPr>
      <w:r>
        <w:t>On the question of general deterrence I accept t</w:t>
      </w:r>
      <w:r w:rsidR="00F95651">
        <w:t>he applicant’s submission that the penalties</w:t>
      </w:r>
      <w:r>
        <w:t xml:space="preserve"> </w:t>
      </w:r>
      <w:r w:rsidR="00461C3B">
        <w:t xml:space="preserve">should mark the Court’s disapproval of the respondents’ conduct and </w:t>
      </w:r>
      <w:r w:rsidR="00F95651">
        <w:t>endeavour</w:t>
      </w:r>
      <w:r>
        <w:t xml:space="preserve"> to ensure compliance with the law and deter non-compliance</w:t>
      </w:r>
      <w:r w:rsidR="00F95651">
        <w:t xml:space="preserve">.  </w:t>
      </w:r>
    </w:p>
    <w:p w:rsidR="00F15E30" w:rsidRPr="004B3AC6" w:rsidRDefault="00F24FFB" w:rsidP="004B3AC6">
      <w:pPr>
        <w:pStyle w:val="ParaNumbering"/>
      </w:pPr>
      <w:r>
        <w:t xml:space="preserve">In the present case, I accept that individual penalties </w:t>
      </w:r>
      <w:r w:rsidR="00226CA6">
        <w:t>should</w:t>
      </w:r>
      <w:r>
        <w:t xml:space="preserve"> not be disproportionate to an offender’s actual conduct.  That said, in my view the present case is one in which specific deterrence is directly relevant.  </w:t>
      </w:r>
      <w:r w:rsidR="00226CA6">
        <w:t xml:space="preserve">A penalty should be fixed with a view to discouraging the </w:t>
      </w:r>
      <w:r w:rsidR="00226CA6">
        <w:lastRenderedPageBreak/>
        <w:t xml:space="preserve">respondents from further conduct of the same kind, so far as the available range of penalties might do that.  </w:t>
      </w:r>
    </w:p>
    <w:p w:rsidR="00F438CD" w:rsidRDefault="00F438CD" w:rsidP="00F438CD">
      <w:pPr>
        <w:pStyle w:val="Heading2"/>
      </w:pPr>
      <w:r>
        <w:t>The appropriate penalty</w:t>
      </w:r>
    </w:p>
    <w:p w:rsidR="00FE6648" w:rsidRDefault="00FE6648" w:rsidP="00001BBF">
      <w:pPr>
        <w:pStyle w:val="ParaNumbering"/>
      </w:pPr>
      <w:r>
        <w:t xml:space="preserve">I reject </w:t>
      </w:r>
      <w:r w:rsidR="008F6329">
        <w:t xml:space="preserve">the notion </w:t>
      </w:r>
      <w:r>
        <w:t xml:space="preserve">that contraventions and conduct of the nature that took place in this case </w:t>
      </w:r>
      <w:r w:rsidR="006B3A3C">
        <w:t xml:space="preserve">are appropriate for </w:t>
      </w:r>
      <w:r>
        <w:t>a lower range penalty.</w:t>
      </w:r>
      <w:r w:rsidR="00226CA6">
        <w:t xml:space="preserve">  The offences are serious ones and a penalty should be fixed </w:t>
      </w:r>
      <w:r w:rsidR="00FF5CFE">
        <w:t>which</w:t>
      </w:r>
      <w:r w:rsidR="00226CA6">
        <w:t xml:space="preserve"> mark</w:t>
      </w:r>
      <w:r w:rsidR="00FF5CFE">
        <w:t>s</w:t>
      </w:r>
      <w:r w:rsidR="00226CA6">
        <w:t xml:space="preserve"> the Court’s disapproval.  </w:t>
      </w:r>
    </w:p>
    <w:p w:rsidR="00226CA6" w:rsidRDefault="002F0BE7" w:rsidP="00001BBF">
      <w:pPr>
        <w:pStyle w:val="ParaNumbering"/>
      </w:pPr>
      <w:r>
        <w:t xml:space="preserve">I accept the submission of the applicant that penalties approaching the maximum should be imposed.  </w:t>
      </w:r>
      <w:r w:rsidR="0083596C">
        <w:t xml:space="preserve">I consider the specific penalties suggested by the applicant to be ones which are prima facie appropriate in the present case.  </w:t>
      </w:r>
      <w:r>
        <w:t xml:space="preserve">Having considered the respondents’ submissions, I see no basis to reduce the penalties proposed by the applicant.  Those proposed penalties do not exceed those which I would, in any event, have fixed unassisted by the applicant’s proposals.  </w:t>
      </w:r>
      <w:r w:rsidR="0083596C">
        <w:t xml:space="preserve">I have taken into account the totality principle and see no need to adjust the penalties by reference to it.  </w:t>
      </w:r>
    </w:p>
    <w:p w:rsidR="002F0BE7" w:rsidRDefault="002F0BE7" w:rsidP="00001BBF">
      <w:pPr>
        <w:pStyle w:val="ParaNumbering"/>
      </w:pPr>
      <w:r>
        <w:t xml:space="preserve">I </w:t>
      </w:r>
      <w:r w:rsidR="00337D5C">
        <w:t xml:space="preserve">note </w:t>
      </w:r>
      <w:r>
        <w:t xml:space="preserve">that the parties have each made specific submissions about civil penalties.  I have found those submissions to be of assistance (see also </w:t>
      </w:r>
      <w:r w:rsidR="00F16A5F" w:rsidRPr="001840FE">
        <w:rPr>
          <w:i/>
        </w:rPr>
        <w:t xml:space="preserve">Australian Competition and Consumer Commission v </w:t>
      </w:r>
      <w:proofErr w:type="spellStart"/>
      <w:r w:rsidR="00F16A5F" w:rsidRPr="001840FE">
        <w:rPr>
          <w:i/>
        </w:rPr>
        <w:t>EnergyAustralia</w:t>
      </w:r>
      <w:proofErr w:type="spellEnd"/>
      <w:r w:rsidR="00F16A5F" w:rsidRPr="001840FE">
        <w:rPr>
          <w:i/>
        </w:rPr>
        <w:t xml:space="preserve"> Pty Ltd</w:t>
      </w:r>
      <w:r w:rsidR="00F16A5F" w:rsidRPr="001840FE">
        <w:t xml:space="preserve"> [2014] </w:t>
      </w:r>
      <w:proofErr w:type="spellStart"/>
      <w:r w:rsidR="00F16A5F" w:rsidRPr="001840FE">
        <w:t>FCA</w:t>
      </w:r>
      <w:proofErr w:type="spellEnd"/>
      <w:r w:rsidR="00F16A5F" w:rsidRPr="001840FE">
        <w:t xml:space="preserve"> 336</w:t>
      </w:r>
      <w:r>
        <w:t xml:space="preserve"> at [114]-[152]; </w:t>
      </w:r>
      <w:r w:rsidR="006B4EFE" w:rsidRPr="001E5D83">
        <w:rPr>
          <w:i/>
        </w:rPr>
        <w:t>Tax Practitioners Board v Su</w:t>
      </w:r>
      <w:r w:rsidR="006B4EFE" w:rsidRPr="00273A97">
        <w:t xml:space="preserve"> [2014] </w:t>
      </w:r>
      <w:proofErr w:type="spellStart"/>
      <w:r w:rsidR="006B4EFE" w:rsidRPr="00273A97">
        <w:t>FCA</w:t>
      </w:r>
      <w:proofErr w:type="spellEnd"/>
      <w:r w:rsidR="006B4EFE" w:rsidRPr="00273A97">
        <w:t xml:space="preserve"> 731</w:t>
      </w:r>
      <w:r>
        <w:t xml:space="preserve">).  </w:t>
      </w:r>
    </w:p>
    <w:p w:rsidR="00061269" w:rsidRDefault="00061269" w:rsidP="00061269">
      <w:pPr>
        <w:pStyle w:val="Heading2"/>
      </w:pPr>
      <w:r>
        <w:t>Orders</w:t>
      </w:r>
    </w:p>
    <w:p w:rsidR="001E5F38" w:rsidRDefault="001E5F38" w:rsidP="00001BBF">
      <w:pPr>
        <w:pStyle w:val="ParaNumbering"/>
      </w:pPr>
      <w:r>
        <w:t xml:space="preserve">I </w:t>
      </w:r>
      <w:r w:rsidR="00061269">
        <w:t xml:space="preserve">will make </w:t>
      </w:r>
      <w:r w:rsidR="00620DBE">
        <w:t>the declaration</w:t>
      </w:r>
      <w:r w:rsidR="00226CA6">
        <w:t>s</w:t>
      </w:r>
      <w:r w:rsidR="00620DBE">
        <w:t xml:space="preserve"> concerning the contraventions sought by the applicant </w:t>
      </w:r>
      <w:r w:rsidR="00226CA6">
        <w:t xml:space="preserve">(which were accepted by the respondents) </w:t>
      </w:r>
      <w:r w:rsidR="00620DBE">
        <w:t xml:space="preserve">and </w:t>
      </w:r>
      <w:r w:rsidR="00061269">
        <w:t>will order payment of</w:t>
      </w:r>
      <w:r>
        <w:t xml:space="preserve"> the following penalties:</w:t>
      </w:r>
      <w:r w:rsidR="00F301D7">
        <w:t xml:space="preserve">  </w:t>
      </w:r>
    </w:p>
    <w:p w:rsidR="001E5F38" w:rsidRDefault="001E5F38" w:rsidP="001E5F38">
      <w:pPr>
        <w:pStyle w:val="ListNo"/>
        <w:numPr>
          <w:ilvl w:val="0"/>
          <w:numId w:val="27"/>
        </w:numPr>
        <w:tabs>
          <w:tab w:val="clear" w:pos="720"/>
        </w:tabs>
      </w:pPr>
      <w:r>
        <w:t xml:space="preserve">First respondent: </w:t>
      </w:r>
      <w:r w:rsidR="003F3F55">
        <w:t xml:space="preserve"> </w:t>
      </w:r>
      <w:r w:rsidR="005F3879">
        <w:t>$30,000 for each of the two underpayment contraventions (</w:t>
      </w:r>
      <w:r w:rsidR="00963E01">
        <w:t>FW </w:t>
      </w:r>
      <w:r w:rsidR="00E6615A">
        <w:t xml:space="preserve">Act, </w:t>
      </w:r>
      <w:r w:rsidR="00963E01">
        <w:t>Item </w:t>
      </w:r>
      <w:r w:rsidR="005F3879">
        <w:t xml:space="preserve">2, </w:t>
      </w:r>
      <w:r w:rsidR="00010F9F">
        <w:t>s</w:t>
      </w:r>
      <w:r w:rsidR="00607E66">
        <w:t> </w:t>
      </w:r>
      <w:r w:rsidR="005F3879">
        <w:t>539(2)</w:t>
      </w:r>
      <w:r w:rsidR="00607E66">
        <w:t xml:space="preserve"> and s </w:t>
      </w:r>
      <w:r w:rsidR="00010F9F">
        <w:t>546(2)</w:t>
      </w:r>
      <w:r w:rsidR="00B66C77">
        <w:t>(b)</w:t>
      </w:r>
      <w:r w:rsidR="00010F9F">
        <w:t>);</w:t>
      </w:r>
      <w:r w:rsidR="005F3879">
        <w:t xml:space="preserve"> $10,000 for the record keeping contravention (</w:t>
      </w:r>
      <w:r w:rsidR="00963E01">
        <w:t>FW </w:t>
      </w:r>
      <w:r w:rsidR="00E6615A">
        <w:t xml:space="preserve">Act, </w:t>
      </w:r>
      <w:r w:rsidR="00963E01">
        <w:t>Item </w:t>
      </w:r>
      <w:r w:rsidR="00607E66">
        <w:t xml:space="preserve">29, </w:t>
      </w:r>
      <w:r w:rsidR="00010F9F">
        <w:t>s</w:t>
      </w:r>
      <w:r w:rsidR="00607E66">
        <w:t> 539(2) and s </w:t>
      </w:r>
      <w:r w:rsidR="005F3879">
        <w:t>546(2)</w:t>
      </w:r>
      <w:r w:rsidR="00B66C77">
        <w:t>(b)</w:t>
      </w:r>
      <w:r w:rsidR="00C82EFD">
        <w:t>)</w:t>
      </w:r>
      <w:r w:rsidR="005F3879">
        <w:t xml:space="preserve"> </w:t>
      </w:r>
      <w:r w:rsidR="00963E01">
        <w:t xml:space="preserve">– total $70,000.  </w:t>
      </w:r>
    </w:p>
    <w:p w:rsidR="001E5F38" w:rsidRDefault="001E5F38" w:rsidP="001E5F38">
      <w:pPr>
        <w:pStyle w:val="ListNo"/>
        <w:numPr>
          <w:ilvl w:val="0"/>
          <w:numId w:val="27"/>
        </w:numPr>
        <w:tabs>
          <w:tab w:val="clear" w:pos="720"/>
        </w:tabs>
      </w:pPr>
      <w:r>
        <w:t xml:space="preserve">Second respondent: </w:t>
      </w:r>
      <w:r w:rsidR="003F3F55">
        <w:t xml:space="preserve"> </w:t>
      </w:r>
      <w:r w:rsidR="005F3879">
        <w:t>$5,000 for each of the two underpayment contraventions (</w:t>
      </w:r>
      <w:r w:rsidR="00963E01">
        <w:t>FW </w:t>
      </w:r>
      <w:r w:rsidR="00E6615A">
        <w:t xml:space="preserve">Act, </w:t>
      </w:r>
      <w:r w:rsidR="005F3879">
        <w:t>Ite</w:t>
      </w:r>
      <w:r w:rsidR="00963E01">
        <w:t>m 2, s </w:t>
      </w:r>
      <w:r w:rsidR="00E6615A">
        <w:t>539(2)</w:t>
      </w:r>
      <w:r w:rsidR="005F3879">
        <w:t>)</w:t>
      </w:r>
      <w:r w:rsidR="00D30F9B">
        <w:t xml:space="preserve"> </w:t>
      </w:r>
      <w:r w:rsidR="00963E01">
        <w:t xml:space="preserve">– total $10,000.  </w:t>
      </w:r>
    </w:p>
    <w:p w:rsidR="001E5F38" w:rsidRDefault="001E5F38" w:rsidP="001E5F38">
      <w:pPr>
        <w:pStyle w:val="ListNo"/>
        <w:numPr>
          <w:ilvl w:val="0"/>
          <w:numId w:val="27"/>
        </w:numPr>
        <w:tabs>
          <w:tab w:val="clear" w:pos="720"/>
        </w:tabs>
      </w:pPr>
      <w:r>
        <w:t xml:space="preserve">Third respondent: </w:t>
      </w:r>
      <w:r w:rsidR="003F3F55">
        <w:t xml:space="preserve"> </w:t>
      </w:r>
      <w:r w:rsidR="005F3879">
        <w:t>$5,000 for each of the two underpayment contraventions (</w:t>
      </w:r>
      <w:r w:rsidR="00DE1FAE">
        <w:t>FW </w:t>
      </w:r>
      <w:r w:rsidR="00E6615A">
        <w:t xml:space="preserve">Act, </w:t>
      </w:r>
      <w:r w:rsidR="005F3879">
        <w:t>Ite</w:t>
      </w:r>
      <w:r w:rsidR="008B651B">
        <w:t>m 2, s </w:t>
      </w:r>
      <w:r w:rsidR="00E6615A">
        <w:t>539(2)</w:t>
      </w:r>
      <w:r w:rsidR="00C82EFD">
        <w:t>)</w:t>
      </w:r>
      <w:r w:rsidR="008B651B">
        <w:t xml:space="preserve"> – total $10,000.  </w:t>
      </w:r>
    </w:p>
    <w:p w:rsidR="00061269" w:rsidRDefault="00061269" w:rsidP="00061269">
      <w:pPr>
        <w:pStyle w:val="ParaNumbering"/>
      </w:pPr>
      <w:r>
        <w:t xml:space="preserve">As the proceedings were brought under the FW Act, there would normally be no order as to costs except in the particular circumstances identified in s 570 of the FW Act.  No party </w:t>
      </w:r>
      <w:r>
        <w:lastRenderedPageBreak/>
        <w:t xml:space="preserve">suggested that any order about costs should be made and accordingly there will be no such order. </w:t>
      </w:r>
    </w:p>
    <w:p w:rsidR="00061269" w:rsidRDefault="00061269" w:rsidP="00061269">
      <w:pPr>
        <w:pStyle w:val="ParaNumbering"/>
      </w:pPr>
      <w:r>
        <w:t xml:space="preserve">The parties agreed that I might grant the applicant liberty to apply on seven </w:t>
      </w:r>
      <w:proofErr w:type="spellStart"/>
      <w:r>
        <w:t>days notice</w:t>
      </w:r>
      <w:proofErr w:type="spellEnd"/>
      <w:r>
        <w:t xml:space="preserve"> in the event that any of the orders that were made were not complied with.  I do not regard such an order to be necessary.  Non-compliance with any of the orders would be a serious matter for which other procedures would be available. </w:t>
      </w:r>
    </w:p>
    <w:p w:rsidR="002D2896" w:rsidRDefault="002D2896">
      <w:bookmarkStart w:id="25" w:name="Certification"/>
    </w:p>
    <w:tbl>
      <w:tblPr>
        <w:tblW w:w="0" w:type="auto"/>
        <w:tblLook w:val="04A0" w:firstRow="1" w:lastRow="0" w:firstColumn="1" w:lastColumn="0" w:noHBand="0" w:noVBand="1"/>
      </w:tblPr>
      <w:tblGrid>
        <w:gridCol w:w="3794"/>
      </w:tblGrid>
      <w:tr w:rsidR="002D2896" w:rsidRPr="002D2896">
        <w:tc>
          <w:tcPr>
            <w:tcW w:w="3794" w:type="dxa"/>
            <w:shd w:val="clear" w:color="auto" w:fill="auto"/>
          </w:tcPr>
          <w:p w:rsidR="002D2896" w:rsidRPr="002D2896" w:rsidRDefault="002D2896" w:rsidP="002D2896">
            <w:pPr>
              <w:pStyle w:val="Normal1linespace"/>
              <w:jc w:val="left"/>
            </w:pPr>
            <w:r w:rsidRPr="002D2896">
              <w:t xml:space="preserve">I certify that the preceding </w:t>
            </w:r>
            <w:bookmarkStart w:id="26" w:name="NumberWord"/>
            <w:r>
              <w:t>fifty-four</w:t>
            </w:r>
            <w:bookmarkEnd w:id="26"/>
            <w:r w:rsidRPr="002D2896">
              <w:t xml:space="preserve"> (</w:t>
            </w:r>
            <w:bookmarkStart w:id="27" w:name="NumberNumeral"/>
            <w:r>
              <w:t>54</w:t>
            </w:r>
            <w:bookmarkEnd w:id="27"/>
            <w:r w:rsidRPr="002D2896">
              <w:t xml:space="preserve">) numbered </w:t>
            </w:r>
            <w:bookmarkStart w:id="28" w:name="CertPara"/>
            <w:r>
              <w:t>paragraphs are</w:t>
            </w:r>
            <w:bookmarkEnd w:id="28"/>
            <w:r w:rsidRPr="002D2896">
              <w:t xml:space="preserve"> a true copy of the Reasons for Judgment herein of the Honourable </w:t>
            </w:r>
            <w:bookmarkStart w:id="29" w:name="Justice"/>
            <w:r>
              <w:t>Justice Buchanan</w:t>
            </w:r>
            <w:bookmarkEnd w:id="29"/>
            <w:r w:rsidRPr="002D2896">
              <w:t>.</w:t>
            </w:r>
          </w:p>
        </w:tc>
      </w:tr>
    </w:tbl>
    <w:p w:rsidR="002D2896" w:rsidRDefault="002D2896"/>
    <w:p w:rsidR="002D2896" w:rsidRDefault="002D2896"/>
    <w:p w:rsidR="002D2896" w:rsidRDefault="002D2896"/>
    <w:p w:rsidR="002D2896" w:rsidRDefault="002D2896">
      <w:pPr>
        <w:suppressAutoHyphens/>
      </w:pPr>
      <w:r>
        <w:t>Associate:</w:t>
      </w:r>
    </w:p>
    <w:p w:rsidR="002D2896" w:rsidRDefault="002D2896">
      <w:pPr>
        <w:suppressAutoHyphens/>
      </w:pPr>
    </w:p>
    <w:p w:rsidR="002D2896" w:rsidRDefault="002D2896">
      <w:pPr>
        <w:tabs>
          <w:tab w:val="left" w:pos="1134"/>
        </w:tabs>
        <w:suppressAutoHyphens/>
      </w:pPr>
      <w:r>
        <w:t>Dated:</w:t>
      </w:r>
      <w:r>
        <w:tab/>
      </w:r>
      <w:bookmarkStart w:id="30" w:name="CertifyDated"/>
      <w:r>
        <w:t>7 August 2014</w:t>
      </w:r>
      <w:bookmarkEnd w:id="30"/>
    </w:p>
    <w:p w:rsidR="002D2896" w:rsidRDefault="002D2896">
      <w:pPr>
        <w:suppressAutoHyphens/>
      </w:pPr>
    </w:p>
    <w:bookmarkEnd w:id="25"/>
    <w:p w:rsidR="00061269" w:rsidRDefault="00061269" w:rsidP="00EE7475"/>
    <w:sectPr w:rsidR="00061269">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DE" w:rsidRDefault="00657CDE">
      <w:pPr>
        <w:spacing w:line="20" w:lineRule="exact"/>
      </w:pPr>
    </w:p>
    <w:p w:rsidR="00657CDE" w:rsidRDefault="00657CDE"/>
    <w:p w:rsidR="00657CDE" w:rsidRDefault="00657CDE"/>
  </w:endnote>
  <w:endnote w:type="continuationSeparator" w:id="0">
    <w:p w:rsidR="00657CDE" w:rsidRDefault="00657CDE">
      <w:r>
        <w:t xml:space="preserve"> </w:t>
      </w:r>
    </w:p>
    <w:p w:rsidR="00657CDE" w:rsidRDefault="00657CDE"/>
    <w:p w:rsidR="00657CDE" w:rsidRDefault="00657CDE"/>
  </w:endnote>
  <w:endnote w:type="continuationNotice" w:id="1">
    <w:p w:rsidR="00657CDE" w:rsidRDefault="00657CDE">
      <w:r>
        <w:t xml:space="preserve"> </w:t>
      </w:r>
    </w:p>
    <w:p w:rsidR="00657CDE" w:rsidRDefault="00657CDE"/>
    <w:p w:rsidR="00657CDE" w:rsidRDefault="00657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DE" w:rsidRDefault="00657CDE"/>
    <w:p w:rsidR="00657CDE" w:rsidRDefault="00657CDE"/>
    <w:p w:rsidR="00657CDE" w:rsidRDefault="00657CDE"/>
  </w:footnote>
  <w:footnote w:type="continuationSeparator" w:id="0">
    <w:p w:rsidR="00657CDE" w:rsidRDefault="00657CDE">
      <w:r>
        <w:continuationSeparator/>
      </w:r>
    </w:p>
    <w:p w:rsidR="00657CDE" w:rsidRDefault="00657CDE"/>
    <w:p w:rsidR="00657CDE" w:rsidRDefault="00657C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E3417A">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tabs>
        <w:tab w:val="center" w:pos="4512"/>
      </w:tabs>
      <w:suppressAutoHyphens/>
    </w:pPr>
    <w:r>
      <w:tab/>
      <w:t xml:space="preserve">- </w:t>
    </w:r>
    <w:r>
      <w:fldChar w:fldCharType="begin"/>
    </w:r>
    <w:r>
      <w:instrText>page \* arabic</w:instrText>
    </w:r>
    <w:r>
      <w:fldChar w:fldCharType="separate"/>
    </w:r>
    <w:r w:rsidR="00E3417A">
      <w:rPr>
        <w:noProof/>
      </w:rPr>
      <w:t>3</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tabs>
        <w:tab w:val="center" w:pos="4512"/>
      </w:tabs>
      <w:suppressAutoHyphens/>
    </w:pPr>
    <w:r>
      <w:tab/>
      <w:t xml:space="preserve">- </w:t>
    </w:r>
    <w:r>
      <w:fldChar w:fldCharType="begin"/>
    </w:r>
    <w:r>
      <w:instrText>page \* arabic</w:instrText>
    </w:r>
    <w:r>
      <w:fldChar w:fldCharType="separate"/>
    </w:r>
    <w:r w:rsidR="00E3417A">
      <w:rPr>
        <w:noProof/>
      </w:rPr>
      <w:t>15</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DE" w:rsidRDefault="00657CDE">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7B6FF3"/>
    <w:multiLevelType w:val="hybridMultilevel"/>
    <w:tmpl w:val="002C00A4"/>
    <w:lvl w:ilvl="0" w:tplc="8892B1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29AE3DD1"/>
    <w:multiLevelType w:val="singleLevel"/>
    <w:tmpl w:val="E37A79EE"/>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33630A1B"/>
    <w:multiLevelType w:val="multilevel"/>
    <w:tmpl w:val="EC9CE1D2"/>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nsid w:val="596C3D96"/>
    <w:multiLevelType w:val="multilevel"/>
    <w:tmpl w:val="30708F36"/>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0">
    <w:nsid w:val="603172B4"/>
    <w:multiLevelType w:val="hybridMultilevel"/>
    <w:tmpl w:val="8458B430"/>
    <w:lvl w:ilvl="0" w:tplc="A950DA2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8"/>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22"/>
  </w:num>
  <w:num w:numId="17">
    <w:abstractNumId w:val="14"/>
  </w:num>
  <w:num w:numId="18">
    <w:abstractNumId w:val="14"/>
  </w:num>
  <w:num w:numId="19">
    <w:abstractNumId w:val="21"/>
  </w:num>
  <w:num w:numId="20">
    <w:abstractNumId w:val="16"/>
  </w:num>
  <w:num w:numId="21">
    <w:abstractNumId w:val="17"/>
  </w:num>
  <w:num w:numId="22">
    <w:abstractNumId w:val="23"/>
  </w:num>
  <w:num w:numId="23">
    <w:abstractNumId w:val="23"/>
  </w:num>
  <w:num w:numId="24">
    <w:abstractNumId w:val="23"/>
  </w:num>
  <w:num w:numId="25">
    <w:abstractNumId w:val="23"/>
  </w:num>
  <w:num w:numId="26">
    <w:abstractNumId w:val="23"/>
  </w:num>
  <w:num w:numId="27">
    <w:abstractNumId w:val="19"/>
  </w:num>
  <w:num w:numId="28">
    <w:abstractNumId w:val="10"/>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FAIR WORK OMBUDSMAN"/>
    <w:docVar w:name="CounselParties" w:val="Respondent"/>
    <w:docVar w:name="CounselType" w:val="Solicitor for the "/>
    <w:docVar w:name="Division" w:val="FAIR WORK DIVISION"/>
    <w:docVar w:name="DocCreated" w:val="True"/>
    <w:docVar w:name="FileNumbers" w:val="NSD 1585 of 2012"/>
    <w:docVar w:name="FullCourt" w:val="False"/>
    <w:docVar w:name="HearingDate" w:val="4 July 2014"/>
    <w:docVar w:name="Judgdate" w:val="7 August 2014"/>
    <w:docVar w:name="Judge" w:val="Buchanan"/>
    <w:docVar w:name="JudgePlace" w:val="SYDNEY"/>
    <w:docVar w:name="lstEntryList" w:val="-1"/>
    <w:docVar w:name="myEntryList" w:val="Counsel for the Applicant=Mr Y Shariff|Solicitor for the Applicant=Fair Work Ombudsman|Counsel for the Respondents=Mr M Sahade|Solicitor for the Respondents=Trinity Legal"/>
    <w:docVar w:name="NSD" w:val="NSD NSD 1585 of 2012"/>
    <w:docVar w:name="NumApps" w:val="13"/>
    <w:docVar w:name="NumApps_" w:val="13"/>
    <w:docVar w:name="NumJudges" w:val="Single Judge"/>
    <w:docVar w:name="Parties" w:val="Respondent"/>
    <w:docVar w:name="Place_SentenceCase" w:val="Sydney"/>
    <w:docVar w:name="Respondent" w:val="CRYSTAL CARWASH CAFE PTY LTD (ACN 060 916 770)|ANTHONY SAHADE|PETER KHOURI|BADDINGTON PTY LTD (ACN 137 049 560)|SEEKTON PTY LTD (ACN 137 049 579)|OZREST PTY LTD (ACN 137 219 820)|SCHATRY PTY LTD (ACN 137 219 802)|COOLJAM PTY LTD (ACN 141 762 352)|OZRUN PTY LTD (ACN 141 762 389)|TUSHAR INVESTMENTS PTY LTD (ACN 141 758 045)|LUCKY HORIZONS PTY LTD (ACN 144 648 975)|PEPPER STONE PTY LTD (ACN 144 649 427)|OAK MINK PTY LTD (ACN 145 471 941)"/>
    <w:docVar w:name="ResState" w:val="NEW SOUTH WALES"/>
    <w:docVar w:name="Single" w:val="True"/>
  </w:docVars>
  <w:rsids>
    <w:rsidRoot w:val="00001BBF"/>
    <w:rsid w:val="00001BBF"/>
    <w:rsid w:val="000024C6"/>
    <w:rsid w:val="00003DC0"/>
    <w:rsid w:val="0000526E"/>
    <w:rsid w:val="00005A06"/>
    <w:rsid w:val="00010F9F"/>
    <w:rsid w:val="0001494D"/>
    <w:rsid w:val="00016CC3"/>
    <w:rsid w:val="00033B45"/>
    <w:rsid w:val="00037E67"/>
    <w:rsid w:val="0005031B"/>
    <w:rsid w:val="00052864"/>
    <w:rsid w:val="00061040"/>
    <w:rsid w:val="00061269"/>
    <w:rsid w:val="00080F37"/>
    <w:rsid w:val="00081D16"/>
    <w:rsid w:val="0008527D"/>
    <w:rsid w:val="00096B85"/>
    <w:rsid w:val="000A013D"/>
    <w:rsid w:val="000A2906"/>
    <w:rsid w:val="000A736C"/>
    <w:rsid w:val="000B11E4"/>
    <w:rsid w:val="000B40AA"/>
    <w:rsid w:val="000D6F63"/>
    <w:rsid w:val="000E6C76"/>
    <w:rsid w:val="000F7D8F"/>
    <w:rsid w:val="00116563"/>
    <w:rsid w:val="00121E43"/>
    <w:rsid w:val="0013043D"/>
    <w:rsid w:val="00140B01"/>
    <w:rsid w:val="00142200"/>
    <w:rsid w:val="00146D8B"/>
    <w:rsid w:val="001518E3"/>
    <w:rsid w:val="00151B22"/>
    <w:rsid w:val="00156A4D"/>
    <w:rsid w:val="00160FFB"/>
    <w:rsid w:val="00162DD5"/>
    <w:rsid w:val="00172931"/>
    <w:rsid w:val="001774AF"/>
    <w:rsid w:val="00183C94"/>
    <w:rsid w:val="00185BC2"/>
    <w:rsid w:val="00191C3C"/>
    <w:rsid w:val="0019366B"/>
    <w:rsid w:val="001A3E5E"/>
    <w:rsid w:val="001B0DD7"/>
    <w:rsid w:val="001B1F83"/>
    <w:rsid w:val="001B42B9"/>
    <w:rsid w:val="001B665D"/>
    <w:rsid w:val="001C0D96"/>
    <w:rsid w:val="001C2066"/>
    <w:rsid w:val="001C3D2D"/>
    <w:rsid w:val="001D64E3"/>
    <w:rsid w:val="001E3544"/>
    <w:rsid w:val="001E5F38"/>
    <w:rsid w:val="001E7423"/>
    <w:rsid w:val="00201799"/>
    <w:rsid w:val="00215FA4"/>
    <w:rsid w:val="00226CA6"/>
    <w:rsid w:val="0023437A"/>
    <w:rsid w:val="002363CB"/>
    <w:rsid w:val="00247469"/>
    <w:rsid w:val="00247B19"/>
    <w:rsid w:val="00247B95"/>
    <w:rsid w:val="00263FC4"/>
    <w:rsid w:val="00264591"/>
    <w:rsid w:val="00270D05"/>
    <w:rsid w:val="00274A85"/>
    <w:rsid w:val="00297509"/>
    <w:rsid w:val="002B1AFD"/>
    <w:rsid w:val="002B27A9"/>
    <w:rsid w:val="002B7F64"/>
    <w:rsid w:val="002C02A2"/>
    <w:rsid w:val="002C193B"/>
    <w:rsid w:val="002C637F"/>
    <w:rsid w:val="002C751E"/>
    <w:rsid w:val="002D2896"/>
    <w:rsid w:val="002D4B0C"/>
    <w:rsid w:val="002D5AE8"/>
    <w:rsid w:val="002F0BE7"/>
    <w:rsid w:val="003050BD"/>
    <w:rsid w:val="003371E0"/>
    <w:rsid w:val="00337D5C"/>
    <w:rsid w:val="00354883"/>
    <w:rsid w:val="00355BB9"/>
    <w:rsid w:val="003566B0"/>
    <w:rsid w:val="003653B7"/>
    <w:rsid w:val="00366A27"/>
    <w:rsid w:val="00370E3A"/>
    <w:rsid w:val="003730EE"/>
    <w:rsid w:val="00380D55"/>
    <w:rsid w:val="003914BE"/>
    <w:rsid w:val="00391512"/>
    <w:rsid w:val="003952F7"/>
    <w:rsid w:val="003A135D"/>
    <w:rsid w:val="003A2D2D"/>
    <w:rsid w:val="003A2E8D"/>
    <w:rsid w:val="003A6758"/>
    <w:rsid w:val="003C6E78"/>
    <w:rsid w:val="003E3F0E"/>
    <w:rsid w:val="003E42AF"/>
    <w:rsid w:val="003E486C"/>
    <w:rsid w:val="003E4A1A"/>
    <w:rsid w:val="003F3F55"/>
    <w:rsid w:val="00400131"/>
    <w:rsid w:val="00401F57"/>
    <w:rsid w:val="004261A8"/>
    <w:rsid w:val="00432E65"/>
    <w:rsid w:val="004450FE"/>
    <w:rsid w:val="004553B1"/>
    <w:rsid w:val="00461C3B"/>
    <w:rsid w:val="00476E72"/>
    <w:rsid w:val="0048221D"/>
    <w:rsid w:val="00485A8B"/>
    <w:rsid w:val="004915E1"/>
    <w:rsid w:val="004972B1"/>
    <w:rsid w:val="004A0AE7"/>
    <w:rsid w:val="004A1789"/>
    <w:rsid w:val="004A43DF"/>
    <w:rsid w:val="004B3AC6"/>
    <w:rsid w:val="004C04D2"/>
    <w:rsid w:val="004C0994"/>
    <w:rsid w:val="004C4841"/>
    <w:rsid w:val="004D4092"/>
    <w:rsid w:val="004D632F"/>
    <w:rsid w:val="004E054D"/>
    <w:rsid w:val="004E098F"/>
    <w:rsid w:val="004E27C9"/>
    <w:rsid w:val="004F3DE3"/>
    <w:rsid w:val="00503D4D"/>
    <w:rsid w:val="00507824"/>
    <w:rsid w:val="00510BF5"/>
    <w:rsid w:val="0052027C"/>
    <w:rsid w:val="00526608"/>
    <w:rsid w:val="00537580"/>
    <w:rsid w:val="005420C1"/>
    <w:rsid w:val="0055090A"/>
    <w:rsid w:val="005509F2"/>
    <w:rsid w:val="005513AC"/>
    <w:rsid w:val="005631A7"/>
    <w:rsid w:val="00566B03"/>
    <w:rsid w:val="00584EE4"/>
    <w:rsid w:val="00587031"/>
    <w:rsid w:val="00594F87"/>
    <w:rsid w:val="005953D6"/>
    <w:rsid w:val="00596D55"/>
    <w:rsid w:val="005B266E"/>
    <w:rsid w:val="005C0BDB"/>
    <w:rsid w:val="005C1D1A"/>
    <w:rsid w:val="005C421B"/>
    <w:rsid w:val="005C4556"/>
    <w:rsid w:val="005E2D5A"/>
    <w:rsid w:val="005E5D40"/>
    <w:rsid w:val="005E66C6"/>
    <w:rsid w:val="005F3084"/>
    <w:rsid w:val="005F3209"/>
    <w:rsid w:val="005F3879"/>
    <w:rsid w:val="00607E66"/>
    <w:rsid w:val="00610F65"/>
    <w:rsid w:val="00615CB6"/>
    <w:rsid w:val="006200DC"/>
    <w:rsid w:val="00620DBE"/>
    <w:rsid w:val="00635DAC"/>
    <w:rsid w:val="006431B8"/>
    <w:rsid w:val="00647495"/>
    <w:rsid w:val="0065156B"/>
    <w:rsid w:val="00653645"/>
    <w:rsid w:val="00657CDE"/>
    <w:rsid w:val="0066040D"/>
    <w:rsid w:val="00663230"/>
    <w:rsid w:val="00664D46"/>
    <w:rsid w:val="00666621"/>
    <w:rsid w:val="006743BA"/>
    <w:rsid w:val="006804EF"/>
    <w:rsid w:val="00690A72"/>
    <w:rsid w:val="006A165C"/>
    <w:rsid w:val="006B3A3C"/>
    <w:rsid w:val="006B3ACA"/>
    <w:rsid w:val="006B437E"/>
    <w:rsid w:val="006B4EFE"/>
    <w:rsid w:val="006C0BA1"/>
    <w:rsid w:val="006D5CD1"/>
    <w:rsid w:val="006F6F7A"/>
    <w:rsid w:val="00701E7B"/>
    <w:rsid w:val="00702D43"/>
    <w:rsid w:val="00710239"/>
    <w:rsid w:val="00712153"/>
    <w:rsid w:val="00716EEB"/>
    <w:rsid w:val="00723B41"/>
    <w:rsid w:val="00736BA5"/>
    <w:rsid w:val="007377FF"/>
    <w:rsid w:val="00752D07"/>
    <w:rsid w:val="00753BAC"/>
    <w:rsid w:val="00753FB1"/>
    <w:rsid w:val="00755ABF"/>
    <w:rsid w:val="007574F8"/>
    <w:rsid w:val="007617FB"/>
    <w:rsid w:val="00791963"/>
    <w:rsid w:val="007944EB"/>
    <w:rsid w:val="007956CA"/>
    <w:rsid w:val="007A6FD3"/>
    <w:rsid w:val="007B51CF"/>
    <w:rsid w:val="007B7CF1"/>
    <w:rsid w:val="007E56E9"/>
    <w:rsid w:val="00820E7B"/>
    <w:rsid w:val="00822D20"/>
    <w:rsid w:val="0082620D"/>
    <w:rsid w:val="00826E0F"/>
    <w:rsid w:val="0083596C"/>
    <w:rsid w:val="008422A7"/>
    <w:rsid w:val="00842491"/>
    <w:rsid w:val="0084321A"/>
    <w:rsid w:val="00850D82"/>
    <w:rsid w:val="0085135C"/>
    <w:rsid w:val="008552E8"/>
    <w:rsid w:val="00856488"/>
    <w:rsid w:val="00880E88"/>
    <w:rsid w:val="008B651B"/>
    <w:rsid w:val="008C13EA"/>
    <w:rsid w:val="008C594D"/>
    <w:rsid w:val="008D6F60"/>
    <w:rsid w:val="008D7D09"/>
    <w:rsid w:val="008E230C"/>
    <w:rsid w:val="008E5AEC"/>
    <w:rsid w:val="008F250A"/>
    <w:rsid w:val="008F6329"/>
    <w:rsid w:val="00901051"/>
    <w:rsid w:val="009111E7"/>
    <w:rsid w:val="00913009"/>
    <w:rsid w:val="009133AF"/>
    <w:rsid w:val="00914E00"/>
    <w:rsid w:val="00915275"/>
    <w:rsid w:val="00916974"/>
    <w:rsid w:val="00922506"/>
    <w:rsid w:val="00923CF2"/>
    <w:rsid w:val="00925C50"/>
    <w:rsid w:val="00926527"/>
    <w:rsid w:val="00927AFA"/>
    <w:rsid w:val="009344ED"/>
    <w:rsid w:val="00937E08"/>
    <w:rsid w:val="00943F25"/>
    <w:rsid w:val="00945213"/>
    <w:rsid w:val="00945B3E"/>
    <w:rsid w:val="0095096C"/>
    <w:rsid w:val="00956B6B"/>
    <w:rsid w:val="0096130F"/>
    <w:rsid w:val="00963E01"/>
    <w:rsid w:val="00965A5F"/>
    <w:rsid w:val="009669E9"/>
    <w:rsid w:val="0097044C"/>
    <w:rsid w:val="0097662C"/>
    <w:rsid w:val="00976C5D"/>
    <w:rsid w:val="00985420"/>
    <w:rsid w:val="0098549C"/>
    <w:rsid w:val="009908C5"/>
    <w:rsid w:val="00997F03"/>
    <w:rsid w:val="009A25B0"/>
    <w:rsid w:val="009A4849"/>
    <w:rsid w:val="009B5E84"/>
    <w:rsid w:val="009C04FB"/>
    <w:rsid w:val="009C74E3"/>
    <w:rsid w:val="009D2DFF"/>
    <w:rsid w:val="009D5FE5"/>
    <w:rsid w:val="009D6D2A"/>
    <w:rsid w:val="009D7B73"/>
    <w:rsid w:val="009F0EB7"/>
    <w:rsid w:val="009F57D4"/>
    <w:rsid w:val="00A03E7A"/>
    <w:rsid w:val="00A11777"/>
    <w:rsid w:val="00A17C47"/>
    <w:rsid w:val="00A2246B"/>
    <w:rsid w:val="00A25B26"/>
    <w:rsid w:val="00A308EC"/>
    <w:rsid w:val="00A459EE"/>
    <w:rsid w:val="00A47FB1"/>
    <w:rsid w:val="00A60DE1"/>
    <w:rsid w:val="00A62EBF"/>
    <w:rsid w:val="00A65A96"/>
    <w:rsid w:val="00A676F5"/>
    <w:rsid w:val="00A75B64"/>
    <w:rsid w:val="00A9248F"/>
    <w:rsid w:val="00A9774B"/>
    <w:rsid w:val="00AA33E9"/>
    <w:rsid w:val="00AA387F"/>
    <w:rsid w:val="00AA3BE9"/>
    <w:rsid w:val="00AA3CED"/>
    <w:rsid w:val="00AD5E44"/>
    <w:rsid w:val="00AD6A30"/>
    <w:rsid w:val="00AE5942"/>
    <w:rsid w:val="00AE63D9"/>
    <w:rsid w:val="00AF3042"/>
    <w:rsid w:val="00AF5A6C"/>
    <w:rsid w:val="00AF5B3E"/>
    <w:rsid w:val="00B024DD"/>
    <w:rsid w:val="00B03266"/>
    <w:rsid w:val="00B03274"/>
    <w:rsid w:val="00B33672"/>
    <w:rsid w:val="00B35367"/>
    <w:rsid w:val="00B415A6"/>
    <w:rsid w:val="00B558EC"/>
    <w:rsid w:val="00B563E2"/>
    <w:rsid w:val="00B628CF"/>
    <w:rsid w:val="00B66C77"/>
    <w:rsid w:val="00B84431"/>
    <w:rsid w:val="00B96623"/>
    <w:rsid w:val="00BA42AA"/>
    <w:rsid w:val="00BB08CB"/>
    <w:rsid w:val="00BB37FB"/>
    <w:rsid w:val="00BB7C73"/>
    <w:rsid w:val="00BC1097"/>
    <w:rsid w:val="00BC24E2"/>
    <w:rsid w:val="00BD0A0A"/>
    <w:rsid w:val="00BD1C78"/>
    <w:rsid w:val="00BF2CB8"/>
    <w:rsid w:val="00C00A37"/>
    <w:rsid w:val="00C013B3"/>
    <w:rsid w:val="00C05A28"/>
    <w:rsid w:val="00C10F6F"/>
    <w:rsid w:val="00C1219C"/>
    <w:rsid w:val="00C155FE"/>
    <w:rsid w:val="00C4159C"/>
    <w:rsid w:val="00C43061"/>
    <w:rsid w:val="00C603B4"/>
    <w:rsid w:val="00C609EC"/>
    <w:rsid w:val="00C6137D"/>
    <w:rsid w:val="00C62F6A"/>
    <w:rsid w:val="00C82EFD"/>
    <w:rsid w:val="00C83057"/>
    <w:rsid w:val="00C94D62"/>
    <w:rsid w:val="00CA3B2E"/>
    <w:rsid w:val="00CB0002"/>
    <w:rsid w:val="00CB284D"/>
    <w:rsid w:val="00CB7DCD"/>
    <w:rsid w:val="00CD39CA"/>
    <w:rsid w:val="00CD68C2"/>
    <w:rsid w:val="00CE4605"/>
    <w:rsid w:val="00CE47B3"/>
    <w:rsid w:val="00CE492C"/>
    <w:rsid w:val="00CF15A8"/>
    <w:rsid w:val="00CF6CBE"/>
    <w:rsid w:val="00CF6CEB"/>
    <w:rsid w:val="00CF7A58"/>
    <w:rsid w:val="00D27B06"/>
    <w:rsid w:val="00D30F9B"/>
    <w:rsid w:val="00D33A1C"/>
    <w:rsid w:val="00D42C53"/>
    <w:rsid w:val="00D56E2B"/>
    <w:rsid w:val="00D57C1B"/>
    <w:rsid w:val="00D66B07"/>
    <w:rsid w:val="00D73B18"/>
    <w:rsid w:val="00D8193A"/>
    <w:rsid w:val="00D94A20"/>
    <w:rsid w:val="00DA2026"/>
    <w:rsid w:val="00DB1700"/>
    <w:rsid w:val="00DB63C0"/>
    <w:rsid w:val="00DC243F"/>
    <w:rsid w:val="00DC6A87"/>
    <w:rsid w:val="00DE1FAE"/>
    <w:rsid w:val="00DF24F2"/>
    <w:rsid w:val="00DF3269"/>
    <w:rsid w:val="00DF7EF6"/>
    <w:rsid w:val="00E00F8C"/>
    <w:rsid w:val="00E12760"/>
    <w:rsid w:val="00E133EB"/>
    <w:rsid w:val="00E17A47"/>
    <w:rsid w:val="00E21777"/>
    <w:rsid w:val="00E26DF7"/>
    <w:rsid w:val="00E274B6"/>
    <w:rsid w:val="00E3417A"/>
    <w:rsid w:val="00E40CF7"/>
    <w:rsid w:val="00E420F5"/>
    <w:rsid w:val="00E515A3"/>
    <w:rsid w:val="00E6615A"/>
    <w:rsid w:val="00E80AC3"/>
    <w:rsid w:val="00E87071"/>
    <w:rsid w:val="00E90848"/>
    <w:rsid w:val="00E917C2"/>
    <w:rsid w:val="00E91961"/>
    <w:rsid w:val="00EA278A"/>
    <w:rsid w:val="00EA732C"/>
    <w:rsid w:val="00EB00CD"/>
    <w:rsid w:val="00EB4301"/>
    <w:rsid w:val="00EB51AF"/>
    <w:rsid w:val="00EC37A8"/>
    <w:rsid w:val="00EE73C2"/>
    <w:rsid w:val="00EE7475"/>
    <w:rsid w:val="00EF0CB9"/>
    <w:rsid w:val="00F11325"/>
    <w:rsid w:val="00F13129"/>
    <w:rsid w:val="00F15E30"/>
    <w:rsid w:val="00F16A5F"/>
    <w:rsid w:val="00F16F94"/>
    <w:rsid w:val="00F177BB"/>
    <w:rsid w:val="00F2061A"/>
    <w:rsid w:val="00F23B8B"/>
    <w:rsid w:val="00F24FFB"/>
    <w:rsid w:val="00F26CC0"/>
    <w:rsid w:val="00F301D7"/>
    <w:rsid w:val="00F32708"/>
    <w:rsid w:val="00F329CA"/>
    <w:rsid w:val="00F438CD"/>
    <w:rsid w:val="00F46CE5"/>
    <w:rsid w:val="00F52952"/>
    <w:rsid w:val="00F62D51"/>
    <w:rsid w:val="00F66450"/>
    <w:rsid w:val="00F754BE"/>
    <w:rsid w:val="00F83CE6"/>
    <w:rsid w:val="00F86082"/>
    <w:rsid w:val="00F95651"/>
    <w:rsid w:val="00FA241C"/>
    <w:rsid w:val="00FB7802"/>
    <w:rsid w:val="00FC1705"/>
    <w:rsid w:val="00FC274D"/>
    <w:rsid w:val="00FD442F"/>
    <w:rsid w:val="00FE169E"/>
    <w:rsid w:val="00FE2CA7"/>
    <w:rsid w:val="00FE4B93"/>
    <w:rsid w:val="00FE6648"/>
    <w:rsid w:val="00FE7EC2"/>
    <w:rsid w:val="00FF173E"/>
    <w:rsid w:val="00FF2B85"/>
    <w:rsid w:val="00FF5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A76F-F5A7-4F20-BA47-C161F3F8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0</TotalTime>
  <Pages>20</Pages>
  <Words>5944</Words>
  <Characters>30553</Characters>
  <Application>Microsoft Office Word</Application>
  <DocSecurity>4</DocSecurity>
  <Lines>804</Lines>
  <Paragraphs>350</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36147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Lilian Khaw</dc:creator>
  <cp:lastModifiedBy>Craig Tudman</cp:lastModifiedBy>
  <cp:revision>2</cp:revision>
  <cp:lastPrinted>2014-08-06T22:27:00Z</cp:lastPrinted>
  <dcterms:created xsi:type="dcterms:W3CDTF">2014-08-07T02:30:00Z</dcterms:created>
  <dcterms:modified xsi:type="dcterms:W3CDTF">2014-08-07T02:30:00Z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BUCHANAN J</vt:lpwstr>
  </property>
  <property fmtid="{D5CDD505-2E9C-101B-9397-08002B2CF9AE}" pid="4" name="Judgment_dated" linkTarget="Judgment_dated">
    <vt:lpwstr>7 August 2014</vt:lpwstr>
  </property>
  <property fmtid="{D5CDD505-2E9C-101B-9397-08002B2CF9AE}" pid="5" name="Distribution" linkTarget="Distribution">
    <vt:lpwstr>GENERAL DISTRIBUTION</vt:lpwstr>
  </property>
  <property fmtid="{D5CDD505-2E9C-101B-9397-08002B2CF9AE}" pid="6" name="MNC" linkTarget="MNC">
    <vt:lpwstr>Fair Work Ombudsman v Crystal Carwash Cafe Pty Ltd (No 2) [2014] FCA 827 </vt:lpwstr>
  </property>
  <property fmtid="{D5CDD505-2E9C-101B-9397-08002B2CF9AE}" pid="7" name="File_Number" linkTarget="Num">
    <vt:lpwstr>NSD 1585 of 2012</vt:lpwstr>
  </property>
  <property fmtid="{D5CDD505-2E9C-101B-9397-08002B2CF9AE}" pid="8" name="Pages">
    <vt:lpwstr>5</vt:lpwstr>
  </property>
  <property fmtid="{D5CDD505-2E9C-101B-9397-08002B2CF9AE}" pid="9" name="Parties">
    <vt:lpwstr> </vt:lpwstr>
  </property>
  <property fmtid="{D5CDD505-2E9C-101B-9397-08002B2CF9AE}" pid="10" name="Place" linkTarget="Place">
    <vt:lpwstr>SYDNEY</vt:lpwstr>
  </property>
  <property fmtid="{D5CDD505-2E9C-101B-9397-08002B2CF9AE}" pid="11" name="Respondent" linkTarget="Respondent">
    <vt:lpwstr>CRYSTAL CARWASH CAFE PTY LTD (ACN 060 916 770).First Respondent..ANTHONY SAHADE.Second Respondent..PETER KHOURI.Third Respondent..BADDINGTON PTY LTD (ACN 137 049 560).Fourth Respondent..SEEKTON PTY LTD (ACN 137 049 579).Fifth Respondent..OZREST PTY LTD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