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55" w:rsidRDefault="00592D55" w:rsidP="00592D55">
      <w:pPr>
        <w:pStyle w:val="NormalHeadings"/>
        <w:jc w:val="center"/>
        <w:rPr>
          <w:sz w:val="32"/>
        </w:rPr>
      </w:pPr>
      <w:r>
        <w:rPr>
          <w:sz w:val="32"/>
        </w:rPr>
        <w:t>FEDERAL COURT OF AUSTRALIA</w:t>
      </w:r>
    </w:p>
    <w:p w:rsidR="00592D55" w:rsidRDefault="00592D55" w:rsidP="00592D55">
      <w:pPr>
        <w:pStyle w:val="NormalHeadings"/>
        <w:jc w:val="center"/>
        <w:rPr>
          <w:sz w:val="32"/>
        </w:rPr>
      </w:pPr>
    </w:p>
    <w:p w:rsidR="00592D55" w:rsidRDefault="00592D55" w:rsidP="00592D55">
      <w:pPr>
        <w:pStyle w:val="MediaNeutralStyle"/>
      </w:pPr>
      <w:bookmarkStart w:id="0" w:name="MNC"/>
      <w:r>
        <w:t xml:space="preserve">Central Queensland Development Corporation Pty Ltd v </w:t>
      </w:r>
      <w:proofErr w:type="spellStart"/>
      <w:r>
        <w:t>Sunstruct</w:t>
      </w:r>
      <w:proofErr w:type="spellEnd"/>
      <w:r>
        <w:t xml:space="preserve"> Pty Ltd [2015] </w:t>
      </w:r>
      <w:proofErr w:type="spellStart"/>
      <w:r>
        <w:t>FCAFC</w:t>
      </w:r>
      <w:proofErr w:type="spellEnd"/>
      <w:r>
        <w:t xml:space="preserve"> </w:t>
      </w:r>
      <w:r w:rsidR="009852F8">
        <w:t>63</w:t>
      </w:r>
      <w:r>
        <w:t xml:space="preserve"> </w:t>
      </w:r>
      <w:bookmarkEnd w:id="0"/>
    </w:p>
    <w:p w:rsidR="00592D55" w:rsidRDefault="00592D55" w:rsidP="00592D55">
      <w:pPr>
        <w:pStyle w:val="Normal1linespace"/>
      </w:pPr>
    </w:p>
    <w:tbl>
      <w:tblPr>
        <w:tblW w:w="0" w:type="auto"/>
        <w:tblLook w:val="01E0" w:firstRow="1" w:lastRow="1" w:firstColumn="1" w:lastColumn="1" w:noHBand="0" w:noVBand="0"/>
      </w:tblPr>
      <w:tblGrid>
        <w:gridCol w:w="3085"/>
        <w:gridCol w:w="5979"/>
        <w:gridCol w:w="10"/>
      </w:tblGrid>
      <w:tr w:rsidR="00592D55" w:rsidTr="00EE473A">
        <w:tc>
          <w:tcPr>
            <w:tcW w:w="3085" w:type="dxa"/>
            <w:shd w:val="clear" w:color="auto" w:fill="auto"/>
          </w:tcPr>
          <w:p w:rsidR="00592D55" w:rsidRDefault="00592D55" w:rsidP="00EE473A">
            <w:pPr>
              <w:pStyle w:val="Normal1linespace"/>
              <w:widowControl w:val="0"/>
            </w:pPr>
            <w:r>
              <w:t>Citation:</w:t>
            </w:r>
          </w:p>
        </w:tc>
        <w:tc>
          <w:tcPr>
            <w:tcW w:w="5989" w:type="dxa"/>
            <w:gridSpan w:val="2"/>
            <w:shd w:val="clear" w:color="auto" w:fill="auto"/>
          </w:tcPr>
          <w:p w:rsidR="00592D55" w:rsidRDefault="00592D55" w:rsidP="00EE473A">
            <w:pPr>
              <w:pStyle w:val="Normal1linespace"/>
              <w:widowControl w:val="0"/>
              <w:jc w:val="left"/>
            </w:pPr>
            <w:r>
              <w:t xml:space="preserve">Central Queensland Development Corporation Pty Ltd v </w:t>
            </w:r>
            <w:proofErr w:type="spellStart"/>
            <w:r>
              <w:t>S</w:t>
            </w:r>
            <w:r w:rsidR="009852F8">
              <w:t>unstruct</w:t>
            </w:r>
            <w:proofErr w:type="spellEnd"/>
            <w:r w:rsidR="009852F8">
              <w:t xml:space="preserve"> Pty Ltd [2015] </w:t>
            </w:r>
            <w:proofErr w:type="spellStart"/>
            <w:r w:rsidR="009852F8">
              <w:t>FCAFC</w:t>
            </w:r>
            <w:proofErr w:type="spellEnd"/>
            <w:r w:rsidR="009852F8">
              <w:t xml:space="preserve"> 63</w:t>
            </w:r>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Appeal from:</w:t>
            </w:r>
          </w:p>
        </w:tc>
        <w:tc>
          <w:tcPr>
            <w:tcW w:w="5989" w:type="dxa"/>
            <w:gridSpan w:val="2"/>
            <w:shd w:val="clear" w:color="auto" w:fill="auto"/>
          </w:tcPr>
          <w:p w:rsidR="00592D55" w:rsidRDefault="00592D55" w:rsidP="00EE473A">
            <w:pPr>
              <w:pStyle w:val="Normal1linespace"/>
              <w:widowControl w:val="0"/>
              <w:jc w:val="left"/>
            </w:pPr>
            <w:proofErr w:type="spellStart"/>
            <w:r>
              <w:t>Bluechip</w:t>
            </w:r>
            <w:proofErr w:type="spellEnd"/>
            <w:r>
              <w:t xml:space="preserve"> Development Corporation (Gladstone) Pty Ltd v </w:t>
            </w:r>
            <w:proofErr w:type="spellStart"/>
            <w:r>
              <w:t>Sunstruct</w:t>
            </w:r>
            <w:proofErr w:type="spellEnd"/>
            <w:r>
              <w:t xml:space="preserve"> Pty Ltd &amp; </w:t>
            </w:r>
            <w:proofErr w:type="spellStart"/>
            <w:r>
              <w:t>Ors</w:t>
            </w:r>
            <w:proofErr w:type="spellEnd"/>
            <w:r>
              <w:t xml:space="preserve"> [2013] </w:t>
            </w:r>
            <w:proofErr w:type="spellStart"/>
            <w:r>
              <w:t>FCCA</w:t>
            </w:r>
            <w:proofErr w:type="spellEnd"/>
            <w:r>
              <w:t xml:space="preserve"> 141</w:t>
            </w:r>
          </w:p>
          <w:p w:rsidR="00592D55" w:rsidRDefault="00592D55" w:rsidP="00EE473A">
            <w:pPr>
              <w:pStyle w:val="Normal1linespace"/>
              <w:widowControl w:val="0"/>
              <w:jc w:val="left"/>
            </w:pPr>
          </w:p>
          <w:p w:rsidR="00592D55" w:rsidRDefault="00592D55" w:rsidP="00EE473A">
            <w:pPr>
              <w:pStyle w:val="Normal1linespace"/>
              <w:widowControl w:val="0"/>
              <w:jc w:val="left"/>
            </w:pPr>
            <w:proofErr w:type="spellStart"/>
            <w:r>
              <w:t>Bluechip</w:t>
            </w:r>
            <w:proofErr w:type="spellEnd"/>
            <w:r>
              <w:t xml:space="preserve"> Development Corporation (Gladstone) Pty Ltd v </w:t>
            </w:r>
            <w:proofErr w:type="spellStart"/>
            <w:r>
              <w:t>Sunstruct</w:t>
            </w:r>
            <w:proofErr w:type="spellEnd"/>
            <w:r>
              <w:t xml:space="preserve"> Pty Ltd &amp; </w:t>
            </w:r>
            <w:proofErr w:type="spellStart"/>
            <w:r>
              <w:t>Ors</w:t>
            </w:r>
            <w:proofErr w:type="spellEnd"/>
            <w:r>
              <w:t xml:space="preserve"> (No 2) [2013] </w:t>
            </w:r>
            <w:proofErr w:type="spellStart"/>
            <w:r>
              <w:t>FCCA</w:t>
            </w:r>
            <w:proofErr w:type="spellEnd"/>
            <w:r>
              <w:t xml:space="preserve"> 1898</w:t>
            </w:r>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Parties:</w:t>
            </w:r>
          </w:p>
        </w:tc>
        <w:tc>
          <w:tcPr>
            <w:tcW w:w="5989" w:type="dxa"/>
            <w:gridSpan w:val="2"/>
            <w:shd w:val="clear" w:color="auto" w:fill="auto"/>
          </w:tcPr>
          <w:p w:rsidR="00592D55" w:rsidRDefault="00592D55" w:rsidP="00EE473A">
            <w:pPr>
              <w:pStyle w:val="Normal1linespace"/>
              <w:widowControl w:val="0"/>
              <w:jc w:val="left"/>
              <w:rPr>
                <w:b/>
              </w:rPr>
            </w:pPr>
            <w:bookmarkStart w:id="1" w:name="JudgmentFP"/>
            <w:r>
              <w:rPr>
                <w:b/>
              </w:rPr>
              <w:t xml:space="preserve">CENTRAL QUEENSLAND DEVELOPMENT CORPORATION PTY LTD (FORMERLY </w:t>
            </w:r>
            <w:proofErr w:type="spellStart"/>
            <w:r>
              <w:rPr>
                <w:b/>
              </w:rPr>
              <w:t>BLUECHIP</w:t>
            </w:r>
            <w:proofErr w:type="spellEnd"/>
            <w:r>
              <w:rPr>
                <w:b/>
              </w:rPr>
              <w:t xml:space="preserve"> DEVELOPMENT CORPORATION (GLADSTONE) PTY LTD) </w:t>
            </w:r>
            <w:proofErr w:type="spellStart"/>
            <w:r>
              <w:rPr>
                <w:b/>
              </w:rPr>
              <w:t>ACN</w:t>
            </w:r>
            <w:proofErr w:type="spellEnd"/>
            <w:r>
              <w:rPr>
                <w:b/>
              </w:rPr>
              <w:t xml:space="preserve"> 120 112 781 v </w:t>
            </w:r>
            <w:proofErr w:type="spellStart"/>
            <w:r>
              <w:rPr>
                <w:b/>
              </w:rPr>
              <w:t>SUNSTRUCT</w:t>
            </w:r>
            <w:proofErr w:type="spellEnd"/>
            <w:r>
              <w:rPr>
                <w:b/>
              </w:rPr>
              <w:t xml:space="preserve"> PTY LTD </w:t>
            </w:r>
            <w:proofErr w:type="spellStart"/>
            <w:r>
              <w:rPr>
                <w:b/>
              </w:rPr>
              <w:t>ACN</w:t>
            </w:r>
            <w:proofErr w:type="spellEnd"/>
            <w:r>
              <w:rPr>
                <w:b/>
              </w:rPr>
              <w:t xml:space="preserve"> 104 162 549, LORENZO MARIO </w:t>
            </w:r>
            <w:proofErr w:type="spellStart"/>
            <w:r>
              <w:rPr>
                <w:b/>
              </w:rPr>
              <w:t>REGINATO</w:t>
            </w:r>
            <w:proofErr w:type="spellEnd"/>
            <w:r>
              <w:rPr>
                <w:b/>
              </w:rPr>
              <w:t xml:space="preserve"> and ANTONY JAMES SCHOFIELD</w:t>
            </w:r>
            <w:bookmarkEnd w:id="1"/>
          </w:p>
          <w:p w:rsidR="00592D55" w:rsidRDefault="00592D55" w:rsidP="00EE473A">
            <w:pPr>
              <w:pStyle w:val="Normal1linespace"/>
              <w:widowControl w:val="0"/>
              <w:jc w:val="left"/>
              <w:rPr>
                <w:b/>
              </w:rPr>
            </w:pPr>
          </w:p>
          <w:p w:rsidR="00592D55" w:rsidRDefault="00592D55" w:rsidP="00EE473A">
            <w:pPr>
              <w:pStyle w:val="Normal1linespace"/>
              <w:widowControl w:val="0"/>
              <w:jc w:val="left"/>
              <w:rPr>
                <w:b/>
              </w:rPr>
            </w:pPr>
            <w:r>
              <w:rPr>
                <w:b/>
              </w:rPr>
              <w:t xml:space="preserve">SIDNEY CHARLES KNELL v </w:t>
            </w:r>
            <w:proofErr w:type="spellStart"/>
            <w:r>
              <w:rPr>
                <w:b/>
              </w:rPr>
              <w:t>SUNSTRUCT</w:t>
            </w:r>
            <w:proofErr w:type="spellEnd"/>
            <w:r>
              <w:rPr>
                <w:b/>
              </w:rPr>
              <w:t xml:space="preserve"> PTY LTD </w:t>
            </w:r>
            <w:proofErr w:type="spellStart"/>
            <w:r>
              <w:rPr>
                <w:b/>
              </w:rPr>
              <w:t>ACN</w:t>
            </w:r>
            <w:proofErr w:type="spellEnd"/>
            <w:r>
              <w:rPr>
                <w:b/>
              </w:rPr>
              <w:t xml:space="preserve"> 104 162 549, LORENZO MARIO </w:t>
            </w:r>
            <w:proofErr w:type="spellStart"/>
            <w:r>
              <w:rPr>
                <w:b/>
              </w:rPr>
              <w:t>REGINATO</w:t>
            </w:r>
            <w:proofErr w:type="spellEnd"/>
            <w:r>
              <w:rPr>
                <w:b/>
              </w:rPr>
              <w:t xml:space="preserve"> and ANTONY JAMES SCHOFIELD</w:t>
            </w:r>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File numbers:</w:t>
            </w:r>
          </w:p>
        </w:tc>
        <w:tc>
          <w:tcPr>
            <w:tcW w:w="5989" w:type="dxa"/>
            <w:gridSpan w:val="2"/>
            <w:shd w:val="clear" w:color="auto" w:fill="auto"/>
          </w:tcPr>
          <w:p w:rsidR="00592D55" w:rsidRDefault="00592D55" w:rsidP="00EE473A">
            <w:pPr>
              <w:pStyle w:val="Normal1linespace"/>
              <w:widowControl w:val="0"/>
              <w:jc w:val="left"/>
            </w:pPr>
            <w:proofErr w:type="spellStart"/>
            <w:r>
              <w:rPr>
                <w:szCs w:val="24"/>
              </w:rPr>
              <w:t>QUD</w:t>
            </w:r>
            <w:proofErr w:type="spellEnd"/>
            <w:r>
              <w:rPr>
                <w:szCs w:val="24"/>
              </w:rPr>
              <w:t xml:space="preserve"> 826 of 2013</w:t>
            </w:r>
            <w:r>
              <w:rPr>
                <w:szCs w:val="24"/>
              </w:rPr>
              <w:br/>
            </w:r>
            <w:proofErr w:type="spellStart"/>
            <w:r>
              <w:rPr>
                <w:szCs w:val="24"/>
              </w:rPr>
              <w:t>QUD</w:t>
            </w:r>
            <w:proofErr w:type="spellEnd"/>
            <w:r>
              <w:rPr>
                <w:szCs w:val="24"/>
              </w:rPr>
              <w:t xml:space="preserve"> 828 of 2013</w:t>
            </w:r>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Judges:</w:t>
            </w:r>
          </w:p>
        </w:tc>
        <w:tc>
          <w:tcPr>
            <w:tcW w:w="5989" w:type="dxa"/>
            <w:gridSpan w:val="2"/>
            <w:shd w:val="clear" w:color="auto" w:fill="auto"/>
          </w:tcPr>
          <w:p w:rsidR="00592D55" w:rsidRPr="00320E61" w:rsidRDefault="00592D55" w:rsidP="00EE473A">
            <w:pPr>
              <w:pStyle w:val="Normal1linespace"/>
              <w:widowControl w:val="0"/>
              <w:jc w:val="left"/>
              <w:rPr>
                <w:b/>
              </w:rPr>
            </w:pPr>
            <w:r>
              <w:rPr>
                <w:b/>
              </w:rPr>
              <w:t xml:space="preserve">BESANKO, GILMOUR AND RANGIAH </w:t>
            </w:r>
            <w:proofErr w:type="spellStart"/>
            <w:r>
              <w:rPr>
                <w:b/>
              </w:rPr>
              <w:t>JJ</w:t>
            </w:r>
            <w:proofErr w:type="spellEnd"/>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Date of judgment:</w:t>
            </w:r>
          </w:p>
        </w:tc>
        <w:tc>
          <w:tcPr>
            <w:tcW w:w="5989" w:type="dxa"/>
            <w:gridSpan w:val="2"/>
            <w:shd w:val="clear" w:color="auto" w:fill="auto"/>
          </w:tcPr>
          <w:p w:rsidR="00592D55" w:rsidRDefault="00C364F3" w:rsidP="00EE473A">
            <w:pPr>
              <w:pStyle w:val="Normal1linespace"/>
              <w:widowControl w:val="0"/>
              <w:jc w:val="left"/>
            </w:pPr>
            <w:bookmarkStart w:id="2" w:name="JudgmentDate"/>
            <w:r>
              <w:t>14</w:t>
            </w:r>
            <w:r w:rsidR="0038689A">
              <w:t xml:space="preserve"> May</w:t>
            </w:r>
            <w:r w:rsidR="00592D55">
              <w:t xml:space="preserve"> 2015</w:t>
            </w:r>
            <w:bookmarkEnd w:id="2"/>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Catchwords:</w:t>
            </w:r>
          </w:p>
        </w:tc>
        <w:tc>
          <w:tcPr>
            <w:tcW w:w="5989" w:type="dxa"/>
            <w:gridSpan w:val="2"/>
            <w:shd w:val="clear" w:color="auto" w:fill="auto"/>
          </w:tcPr>
          <w:p w:rsidR="00592D55" w:rsidRDefault="00592D55" w:rsidP="00EE473A">
            <w:pPr>
              <w:spacing w:line="240" w:lineRule="auto"/>
              <w:rPr>
                <w:szCs w:val="24"/>
              </w:rPr>
            </w:pPr>
            <w:bookmarkStart w:id="3" w:name="Catchwords"/>
            <w:r>
              <w:rPr>
                <w:b/>
                <w:bCs/>
                <w:szCs w:val="24"/>
              </w:rPr>
              <w:t>CORPORATIONS –</w:t>
            </w:r>
            <w:r>
              <w:rPr>
                <w:szCs w:val="24"/>
              </w:rPr>
              <w:t xml:space="preserve"> appeal from Federal Circuit Court of Australia </w:t>
            </w:r>
            <w:r>
              <w:rPr>
                <w:b/>
                <w:bCs/>
                <w:szCs w:val="24"/>
              </w:rPr>
              <w:t>–</w:t>
            </w:r>
            <w:r>
              <w:rPr>
                <w:szCs w:val="24"/>
              </w:rPr>
              <w:t xml:space="preserve"> administration </w:t>
            </w:r>
            <w:r>
              <w:rPr>
                <w:b/>
                <w:bCs/>
                <w:szCs w:val="24"/>
              </w:rPr>
              <w:t>–</w:t>
            </w:r>
            <w:r>
              <w:rPr>
                <w:szCs w:val="24"/>
              </w:rPr>
              <w:t xml:space="preserve"> deed of company arrangement </w:t>
            </w:r>
            <w:r>
              <w:rPr>
                <w:b/>
                <w:bCs/>
                <w:szCs w:val="24"/>
              </w:rPr>
              <w:t>–</w:t>
            </w:r>
            <w:r>
              <w:rPr>
                <w:szCs w:val="24"/>
              </w:rPr>
              <w:t xml:space="preserve"> effect of deed of company arrangement on the liability of the company for breach of contract under a counterclaim </w:t>
            </w:r>
            <w:r>
              <w:rPr>
                <w:b/>
                <w:bCs/>
                <w:szCs w:val="24"/>
              </w:rPr>
              <w:t>–</w:t>
            </w:r>
            <w:r>
              <w:rPr>
                <w:szCs w:val="24"/>
              </w:rPr>
              <w:t xml:space="preserve"> whether deed of company arrangement compromised unsecured amount of the judgment against the company </w:t>
            </w:r>
            <w:r>
              <w:rPr>
                <w:b/>
                <w:bCs/>
                <w:szCs w:val="24"/>
              </w:rPr>
              <w:t>–</w:t>
            </w:r>
            <w:r>
              <w:rPr>
                <w:szCs w:val="24"/>
              </w:rPr>
              <w:t xml:space="preserve"> amendment of the judgment. </w:t>
            </w:r>
          </w:p>
          <w:p w:rsidR="00592D55" w:rsidRDefault="00592D55" w:rsidP="00EE473A">
            <w:pPr>
              <w:spacing w:line="240" w:lineRule="auto"/>
              <w:jc w:val="left"/>
              <w:rPr>
                <w:szCs w:val="24"/>
              </w:rPr>
            </w:pPr>
          </w:p>
          <w:p w:rsidR="00592D55" w:rsidRDefault="00592D55" w:rsidP="00EE473A">
            <w:pPr>
              <w:spacing w:line="240" w:lineRule="auto"/>
              <w:rPr>
                <w:szCs w:val="24"/>
              </w:rPr>
            </w:pPr>
            <w:r>
              <w:rPr>
                <w:b/>
                <w:bCs/>
                <w:szCs w:val="24"/>
              </w:rPr>
              <w:t>COSTS –</w:t>
            </w:r>
            <w:r>
              <w:rPr>
                <w:szCs w:val="24"/>
              </w:rPr>
              <w:t xml:space="preserve"> cost orders made against company on counterclaim </w:t>
            </w:r>
            <w:r>
              <w:rPr>
                <w:b/>
                <w:bCs/>
                <w:szCs w:val="24"/>
              </w:rPr>
              <w:t>–</w:t>
            </w:r>
            <w:r>
              <w:rPr>
                <w:szCs w:val="24"/>
              </w:rPr>
              <w:t xml:space="preserve"> effect of deed of company arrangement </w:t>
            </w:r>
            <w:r>
              <w:rPr>
                <w:b/>
                <w:bCs/>
                <w:szCs w:val="24"/>
              </w:rPr>
              <w:t>–</w:t>
            </w:r>
            <w:r>
              <w:rPr>
                <w:szCs w:val="24"/>
              </w:rPr>
              <w:t xml:space="preserve"> whether costs awarded against the company after administration compromised by deed of company arrangement </w:t>
            </w:r>
            <w:r>
              <w:rPr>
                <w:b/>
                <w:bCs/>
                <w:szCs w:val="24"/>
              </w:rPr>
              <w:t>–</w:t>
            </w:r>
            <w:r>
              <w:rPr>
                <w:szCs w:val="24"/>
              </w:rPr>
              <w:t xml:space="preserve"> whether costs order was a “claim” within the meaning of s </w:t>
            </w:r>
            <w:proofErr w:type="spellStart"/>
            <w:r>
              <w:rPr>
                <w:szCs w:val="24"/>
              </w:rPr>
              <w:t>444D</w:t>
            </w:r>
            <w:proofErr w:type="spellEnd"/>
            <w:r>
              <w:rPr>
                <w:szCs w:val="24"/>
              </w:rPr>
              <w:t xml:space="preserve">(1) and s 553(1) of the </w:t>
            </w:r>
            <w:r>
              <w:rPr>
                <w:i/>
                <w:iCs/>
                <w:szCs w:val="24"/>
              </w:rPr>
              <w:t>Corporations Act 2001</w:t>
            </w:r>
            <w:r>
              <w:rPr>
                <w:szCs w:val="24"/>
              </w:rPr>
              <w:t xml:space="preserve"> (</w:t>
            </w:r>
            <w:proofErr w:type="spellStart"/>
            <w:r>
              <w:rPr>
                <w:szCs w:val="24"/>
              </w:rPr>
              <w:t>Cth</w:t>
            </w:r>
            <w:proofErr w:type="spellEnd"/>
            <w:r>
              <w:rPr>
                <w:szCs w:val="24"/>
              </w:rPr>
              <w:t xml:space="preserve">) </w:t>
            </w:r>
            <w:r>
              <w:rPr>
                <w:b/>
                <w:bCs/>
                <w:szCs w:val="24"/>
              </w:rPr>
              <w:t>–</w:t>
            </w:r>
            <w:r>
              <w:rPr>
                <w:szCs w:val="24"/>
              </w:rPr>
              <w:t xml:space="preserve"> appeal dismissed.</w:t>
            </w:r>
          </w:p>
          <w:p w:rsidR="00592D55" w:rsidRDefault="00592D55" w:rsidP="00EE473A">
            <w:pPr>
              <w:rPr>
                <w:szCs w:val="24"/>
              </w:rPr>
            </w:pPr>
          </w:p>
          <w:p w:rsidR="00592D55" w:rsidRDefault="00592D55" w:rsidP="00EE473A">
            <w:pPr>
              <w:pStyle w:val="Normal1linespace"/>
              <w:widowControl w:val="0"/>
            </w:pPr>
            <w:r>
              <w:rPr>
                <w:b/>
                <w:bCs/>
                <w:szCs w:val="24"/>
              </w:rPr>
              <w:t>COSTS</w:t>
            </w:r>
            <w:r>
              <w:rPr>
                <w:szCs w:val="24"/>
              </w:rPr>
              <w:t xml:space="preserve"> </w:t>
            </w:r>
            <w:r>
              <w:rPr>
                <w:b/>
                <w:bCs/>
                <w:szCs w:val="24"/>
              </w:rPr>
              <w:t xml:space="preserve">– </w:t>
            </w:r>
            <w:r>
              <w:rPr>
                <w:szCs w:val="24"/>
              </w:rPr>
              <w:t xml:space="preserve">costs awarded against non-party </w:t>
            </w:r>
            <w:r>
              <w:rPr>
                <w:b/>
                <w:bCs/>
                <w:szCs w:val="24"/>
              </w:rPr>
              <w:t>–</w:t>
            </w:r>
            <w:r>
              <w:rPr>
                <w:szCs w:val="24"/>
              </w:rPr>
              <w:t xml:space="preserve"> whether the non-party’s conduct makes it just and equitable to make non-party costs order </w:t>
            </w:r>
            <w:r>
              <w:rPr>
                <w:b/>
                <w:bCs/>
                <w:szCs w:val="24"/>
              </w:rPr>
              <w:t>–</w:t>
            </w:r>
            <w:r>
              <w:rPr>
                <w:szCs w:val="24"/>
              </w:rPr>
              <w:t xml:space="preserve"> whether notice must be given to non-party of intention to claim non-party cost</w:t>
            </w:r>
            <w:r w:rsidRPr="006F62AC">
              <w:rPr>
                <w:szCs w:val="24"/>
              </w:rPr>
              <w:t>s</w:t>
            </w:r>
            <w:r w:rsidR="005A03B2" w:rsidRPr="006F62AC">
              <w:rPr>
                <w:szCs w:val="24"/>
              </w:rPr>
              <w:t xml:space="preserve"> </w:t>
            </w:r>
            <w:r w:rsidRPr="006F62AC">
              <w:rPr>
                <w:b/>
                <w:bCs/>
                <w:szCs w:val="24"/>
              </w:rPr>
              <w:t>–</w:t>
            </w:r>
            <w:r w:rsidRPr="006F62AC">
              <w:rPr>
                <w:szCs w:val="24"/>
              </w:rPr>
              <w:t xml:space="preserve"> pr</w:t>
            </w:r>
            <w:r>
              <w:rPr>
                <w:szCs w:val="24"/>
              </w:rPr>
              <w:t xml:space="preserve">ocedural fairness </w:t>
            </w:r>
            <w:r>
              <w:rPr>
                <w:b/>
                <w:bCs/>
                <w:szCs w:val="24"/>
              </w:rPr>
              <w:t>–</w:t>
            </w:r>
            <w:r>
              <w:rPr>
                <w:szCs w:val="24"/>
              </w:rPr>
              <w:t xml:space="preserve"> whether the primary judge erred in his discretion to award non-party costs </w:t>
            </w:r>
            <w:r>
              <w:rPr>
                <w:b/>
                <w:bCs/>
                <w:szCs w:val="24"/>
              </w:rPr>
              <w:t>–</w:t>
            </w:r>
            <w:r>
              <w:rPr>
                <w:szCs w:val="24"/>
              </w:rPr>
              <w:t xml:space="preserve"> appeal allowed.</w:t>
            </w:r>
            <w:r>
              <w:t xml:space="preserve"> </w:t>
            </w:r>
            <w:bookmarkEnd w:id="3"/>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Legislation:</w:t>
            </w:r>
          </w:p>
        </w:tc>
        <w:tc>
          <w:tcPr>
            <w:tcW w:w="5989" w:type="dxa"/>
            <w:gridSpan w:val="2"/>
            <w:shd w:val="clear" w:color="auto" w:fill="auto"/>
          </w:tcPr>
          <w:p w:rsidR="00592D55" w:rsidRDefault="00592D55" w:rsidP="00EE473A">
            <w:pPr>
              <w:pStyle w:val="Normal1linespace"/>
              <w:widowControl w:val="0"/>
              <w:jc w:val="left"/>
            </w:pPr>
            <w:bookmarkStart w:id="4" w:name="Legislation"/>
            <w:r>
              <w:rPr>
                <w:i/>
              </w:rPr>
              <w:t>Corporations Act 2001</w:t>
            </w:r>
            <w:r>
              <w:t xml:space="preserve"> (</w:t>
            </w:r>
            <w:proofErr w:type="spellStart"/>
            <w:r>
              <w:t>Cth</w:t>
            </w:r>
            <w:proofErr w:type="spellEnd"/>
            <w:r>
              <w:t xml:space="preserve">) </w:t>
            </w:r>
            <w:proofErr w:type="spellStart"/>
            <w:r>
              <w:t>ss</w:t>
            </w:r>
            <w:proofErr w:type="spellEnd"/>
            <w:r>
              <w:t> </w:t>
            </w:r>
            <w:proofErr w:type="spellStart"/>
            <w:r>
              <w:t>444A</w:t>
            </w:r>
            <w:proofErr w:type="spellEnd"/>
            <w:r>
              <w:t>(4)(</w:t>
            </w:r>
            <w:proofErr w:type="spellStart"/>
            <w:r>
              <w:t>i</w:t>
            </w:r>
            <w:proofErr w:type="spellEnd"/>
            <w:r>
              <w:t xml:space="preserve">), </w:t>
            </w:r>
            <w:proofErr w:type="spellStart"/>
            <w:r>
              <w:t>444D</w:t>
            </w:r>
            <w:proofErr w:type="spellEnd"/>
            <w:r>
              <w:t>(1), 553(1)</w:t>
            </w:r>
          </w:p>
          <w:p w:rsidR="00592D55" w:rsidRDefault="00592D55" w:rsidP="00EE473A">
            <w:pPr>
              <w:pStyle w:val="Normal1linespace"/>
              <w:widowControl w:val="0"/>
              <w:jc w:val="left"/>
            </w:pPr>
            <w:r>
              <w:rPr>
                <w:i/>
              </w:rPr>
              <w:t xml:space="preserve">Bankruptcy Act 1966 </w:t>
            </w:r>
            <w:r>
              <w:t>(</w:t>
            </w:r>
            <w:proofErr w:type="spellStart"/>
            <w:r>
              <w:t>Cth</w:t>
            </w:r>
            <w:proofErr w:type="spellEnd"/>
            <w:r>
              <w:t>) s 82</w:t>
            </w:r>
          </w:p>
          <w:p w:rsidR="00592D55" w:rsidRDefault="00592D55" w:rsidP="00EE473A">
            <w:pPr>
              <w:pStyle w:val="Normal1linespace"/>
              <w:widowControl w:val="0"/>
              <w:jc w:val="left"/>
            </w:pPr>
            <w:r>
              <w:rPr>
                <w:i/>
              </w:rPr>
              <w:t xml:space="preserve">Trade Practices Act 1974 </w:t>
            </w:r>
            <w:r>
              <w:t>(</w:t>
            </w:r>
            <w:proofErr w:type="spellStart"/>
            <w:r>
              <w:t>Cth</w:t>
            </w:r>
            <w:proofErr w:type="spellEnd"/>
            <w:r>
              <w:t>) s 52</w:t>
            </w:r>
          </w:p>
          <w:p w:rsidR="00592D55" w:rsidRDefault="00592D55" w:rsidP="00EE473A">
            <w:pPr>
              <w:pStyle w:val="Normal1linespace"/>
              <w:widowControl w:val="0"/>
              <w:jc w:val="left"/>
            </w:pPr>
            <w:r>
              <w:rPr>
                <w:i/>
              </w:rPr>
              <w:t xml:space="preserve">Corporate Law Reform Act 1992 </w:t>
            </w:r>
            <w:r>
              <w:t>(</w:t>
            </w:r>
            <w:proofErr w:type="spellStart"/>
            <w:r>
              <w:t>Cth</w:t>
            </w:r>
            <w:proofErr w:type="spellEnd"/>
            <w:r>
              <w:t>)</w:t>
            </w:r>
          </w:p>
          <w:p w:rsidR="00592D55" w:rsidRDefault="00592D55" w:rsidP="00EE473A">
            <w:pPr>
              <w:pStyle w:val="Normal1linespace"/>
              <w:widowControl w:val="0"/>
              <w:jc w:val="left"/>
            </w:pPr>
            <w:r>
              <w:rPr>
                <w:i/>
              </w:rPr>
              <w:t>Building and Construction Industry Payments Act 2004</w:t>
            </w:r>
            <w:r>
              <w:t xml:space="preserve"> (Qld) </w:t>
            </w:r>
            <w:bookmarkEnd w:id="4"/>
          </w:p>
        </w:tc>
      </w:tr>
      <w:tr w:rsidR="00592D55" w:rsidTr="00EE473A">
        <w:tc>
          <w:tcPr>
            <w:tcW w:w="3085" w:type="dxa"/>
            <w:shd w:val="clear" w:color="auto" w:fill="auto"/>
          </w:tcPr>
          <w:p w:rsidR="00592D55" w:rsidRDefault="00592D55" w:rsidP="00EE473A">
            <w:pPr>
              <w:pStyle w:val="Normal1linespace"/>
              <w:widowControl w:val="0"/>
            </w:pPr>
          </w:p>
        </w:tc>
        <w:tc>
          <w:tcPr>
            <w:tcW w:w="5989" w:type="dxa"/>
            <w:gridSpan w:val="2"/>
            <w:shd w:val="clear" w:color="auto" w:fill="auto"/>
          </w:tcPr>
          <w:p w:rsidR="00592D55" w:rsidRDefault="00592D55" w:rsidP="00EE473A">
            <w:pPr>
              <w:pStyle w:val="Normal1linespace"/>
              <w:widowControl w:val="0"/>
              <w:jc w:val="left"/>
            </w:pPr>
          </w:p>
        </w:tc>
      </w:tr>
      <w:tr w:rsidR="00592D55" w:rsidTr="00EE473A">
        <w:tc>
          <w:tcPr>
            <w:tcW w:w="3085" w:type="dxa"/>
            <w:shd w:val="clear" w:color="auto" w:fill="auto"/>
          </w:tcPr>
          <w:p w:rsidR="00592D55" w:rsidRDefault="00592D55" w:rsidP="00EE473A">
            <w:pPr>
              <w:pStyle w:val="Normal1linespace"/>
              <w:widowControl w:val="0"/>
            </w:pPr>
            <w:r>
              <w:t>Cases cited:</w:t>
            </w:r>
          </w:p>
        </w:tc>
        <w:tc>
          <w:tcPr>
            <w:tcW w:w="5989" w:type="dxa"/>
            <w:gridSpan w:val="2"/>
            <w:shd w:val="clear" w:color="auto" w:fill="auto"/>
          </w:tcPr>
          <w:p w:rsidR="00592D55" w:rsidRDefault="00592D55" w:rsidP="00EE473A">
            <w:pPr>
              <w:pStyle w:val="Normal1linespace"/>
              <w:widowControl w:val="0"/>
              <w:jc w:val="left"/>
            </w:pPr>
            <w:bookmarkStart w:id="5" w:name="Cases_Cited"/>
            <w:r>
              <w:rPr>
                <w:i/>
                <w:color w:val="000000"/>
                <w:szCs w:val="24"/>
                <w:lang w:val="en"/>
              </w:rPr>
              <w:t xml:space="preserve">BE Australia </w:t>
            </w:r>
            <w:proofErr w:type="spellStart"/>
            <w:r>
              <w:rPr>
                <w:i/>
                <w:color w:val="000000"/>
                <w:szCs w:val="24"/>
                <w:lang w:val="en"/>
              </w:rPr>
              <w:t>WD</w:t>
            </w:r>
            <w:proofErr w:type="spellEnd"/>
            <w:r>
              <w:rPr>
                <w:i/>
                <w:color w:val="000000"/>
                <w:szCs w:val="24"/>
                <w:lang w:val="en"/>
              </w:rPr>
              <w:t xml:space="preserve"> Pty Ltd (subject to a deed of company arrangement) v Sutton </w:t>
            </w:r>
            <w:r>
              <w:rPr>
                <w:color w:val="000000"/>
                <w:szCs w:val="24"/>
                <w:lang w:val="en"/>
              </w:rPr>
              <w:t xml:space="preserve">(2011) 82 </w:t>
            </w:r>
            <w:proofErr w:type="spellStart"/>
            <w:r>
              <w:rPr>
                <w:color w:val="000000"/>
                <w:szCs w:val="24"/>
                <w:lang w:val="en"/>
              </w:rPr>
              <w:t>NSWLR</w:t>
            </w:r>
            <w:proofErr w:type="spellEnd"/>
            <w:r>
              <w:rPr>
                <w:color w:val="000000"/>
                <w:szCs w:val="24"/>
                <w:lang w:val="en"/>
              </w:rPr>
              <w:t xml:space="preserve"> 336</w:t>
            </w:r>
            <w:r>
              <w:rPr>
                <w:i/>
              </w:rPr>
              <w:t xml:space="preserve"> </w:t>
            </w:r>
          </w:p>
          <w:p w:rsidR="00592D55" w:rsidRPr="002A5B11" w:rsidRDefault="00592D55" w:rsidP="00EE473A">
            <w:pPr>
              <w:pStyle w:val="Normal1linespace"/>
              <w:widowControl w:val="0"/>
              <w:jc w:val="left"/>
            </w:pPr>
            <w:proofErr w:type="spellStart"/>
            <w:r>
              <w:rPr>
                <w:i/>
              </w:rPr>
              <w:t>Bischof</w:t>
            </w:r>
            <w:proofErr w:type="spellEnd"/>
            <w:r>
              <w:rPr>
                <w:i/>
              </w:rPr>
              <w:t xml:space="preserve"> v Adams </w:t>
            </w:r>
            <w:r>
              <w:t>[1992] 2 VR 198</w:t>
            </w:r>
          </w:p>
          <w:p w:rsidR="00592D55" w:rsidRDefault="00592D55" w:rsidP="00EE473A">
            <w:pPr>
              <w:pStyle w:val="Normal1linespace"/>
              <w:widowControl w:val="0"/>
              <w:jc w:val="left"/>
              <w:rPr>
                <w:i/>
              </w:rPr>
            </w:pPr>
            <w:r>
              <w:rPr>
                <w:i/>
              </w:rPr>
              <w:t xml:space="preserve">Brash Holdings Ltd (Administrator appointed) v </w:t>
            </w:r>
            <w:proofErr w:type="spellStart"/>
            <w:r>
              <w:rPr>
                <w:i/>
              </w:rPr>
              <w:t>Katile</w:t>
            </w:r>
            <w:proofErr w:type="spellEnd"/>
            <w:r>
              <w:rPr>
                <w:i/>
              </w:rPr>
              <w:t xml:space="preserve"> Pty Ltd </w:t>
            </w:r>
            <w:r>
              <w:t>[1996] 1 VR 24</w:t>
            </w:r>
            <w:r>
              <w:rPr>
                <w:i/>
              </w:rPr>
              <w:t xml:space="preserve"> </w:t>
            </w:r>
          </w:p>
          <w:p w:rsidR="00592D55" w:rsidRDefault="00592D55" w:rsidP="00EE473A">
            <w:pPr>
              <w:pStyle w:val="Normal1linespace"/>
              <w:widowControl w:val="0"/>
              <w:jc w:val="left"/>
            </w:pPr>
            <w:proofErr w:type="spellStart"/>
            <w:r>
              <w:rPr>
                <w:i/>
              </w:rPr>
              <w:t>Dunghutti</w:t>
            </w:r>
            <w:proofErr w:type="spellEnd"/>
            <w:r>
              <w:rPr>
                <w:i/>
              </w:rPr>
              <w:t xml:space="preserve"> Elders Council (Aboriginal Corporation) </w:t>
            </w:r>
            <w:proofErr w:type="spellStart"/>
            <w:r>
              <w:rPr>
                <w:i/>
              </w:rPr>
              <w:t>RNTBC</w:t>
            </w:r>
            <w:proofErr w:type="spellEnd"/>
            <w:r>
              <w:rPr>
                <w:i/>
              </w:rPr>
              <w:t xml:space="preserve"> </w:t>
            </w:r>
            <w:r w:rsidR="00815DF7">
              <w:rPr>
                <w:i/>
              </w:rPr>
              <w:t>and</w:t>
            </w:r>
            <w:r>
              <w:rPr>
                <w:i/>
              </w:rPr>
              <w:t xml:space="preserve"> Others v Registrar of Aboriginal and Torres Strait Islander Corporations (No 4) and Another </w:t>
            </w:r>
            <w:r>
              <w:t xml:space="preserve">(2012) 200 </w:t>
            </w:r>
            <w:proofErr w:type="spellStart"/>
            <w:r>
              <w:t>FCR</w:t>
            </w:r>
            <w:proofErr w:type="spellEnd"/>
            <w:r>
              <w:t xml:space="preserve"> 154 </w:t>
            </w:r>
          </w:p>
          <w:p w:rsidR="00592D55" w:rsidRDefault="00592D55" w:rsidP="00EE473A">
            <w:pPr>
              <w:pStyle w:val="Normal1linespace"/>
              <w:widowControl w:val="0"/>
              <w:jc w:val="left"/>
              <w:rPr>
                <w:i/>
              </w:rPr>
            </w:pPr>
            <w:r w:rsidRPr="001A582E">
              <w:rPr>
                <w:i/>
              </w:rPr>
              <w:t xml:space="preserve">Environmental </w:t>
            </w:r>
            <w:r>
              <w:rPr>
                <w:i/>
              </w:rPr>
              <w:t xml:space="preserve">&amp; Earth </w:t>
            </w:r>
            <w:r w:rsidRPr="001A582E">
              <w:rPr>
                <w:i/>
              </w:rPr>
              <w:t xml:space="preserve">Sciences Pty Ltd v </w:t>
            </w:r>
            <w:proofErr w:type="spellStart"/>
            <w:r w:rsidRPr="001A582E">
              <w:rPr>
                <w:i/>
              </w:rPr>
              <w:t>Vouris</w:t>
            </w:r>
            <w:proofErr w:type="spellEnd"/>
            <w:r w:rsidRPr="001A582E">
              <w:rPr>
                <w:i/>
              </w:rPr>
              <w:t xml:space="preserve"> </w:t>
            </w:r>
            <w:r w:rsidRPr="001A582E">
              <w:t xml:space="preserve">(2006) 152 </w:t>
            </w:r>
            <w:proofErr w:type="spellStart"/>
            <w:r w:rsidRPr="001A582E">
              <w:t>FCR</w:t>
            </w:r>
            <w:proofErr w:type="spellEnd"/>
            <w:r w:rsidRPr="001A582E">
              <w:t xml:space="preserve"> 510</w:t>
            </w:r>
            <w:r w:rsidRPr="001A582E">
              <w:rPr>
                <w:i/>
              </w:rPr>
              <w:t xml:space="preserve"> </w:t>
            </w:r>
          </w:p>
          <w:p w:rsidR="00592D55" w:rsidRDefault="00592D55" w:rsidP="00EE473A">
            <w:pPr>
              <w:pStyle w:val="Normal1linespace"/>
              <w:widowControl w:val="0"/>
              <w:jc w:val="left"/>
            </w:pPr>
            <w:proofErr w:type="spellStart"/>
            <w:r w:rsidRPr="001A582E">
              <w:rPr>
                <w:i/>
              </w:rPr>
              <w:t>Expile</w:t>
            </w:r>
            <w:proofErr w:type="spellEnd"/>
            <w:r w:rsidRPr="001A582E">
              <w:rPr>
                <w:i/>
              </w:rPr>
              <w:t xml:space="preserve"> Pty Limited v </w:t>
            </w:r>
            <w:proofErr w:type="spellStart"/>
            <w:r w:rsidRPr="001A582E">
              <w:rPr>
                <w:i/>
              </w:rPr>
              <w:t>Jabb’s</w:t>
            </w:r>
            <w:proofErr w:type="spellEnd"/>
            <w:r w:rsidRPr="001A582E">
              <w:rPr>
                <w:i/>
              </w:rPr>
              <w:t xml:space="preserve"> Excavation</w:t>
            </w:r>
            <w:r>
              <w:rPr>
                <w:i/>
              </w:rPr>
              <w:t xml:space="preserve">s Pty Ltd </w:t>
            </w:r>
            <w:r>
              <w:t xml:space="preserve">[2004] </w:t>
            </w:r>
            <w:proofErr w:type="spellStart"/>
            <w:r>
              <w:t>NSWSC</w:t>
            </w:r>
            <w:proofErr w:type="spellEnd"/>
            <w:r>
              <w:t xml:space="preserve"> 284 </w:t>
            </w:r>
          </w:p>
          <w:p w:rsidR="00592D55" w:rsidRDefault="00592D55" w:rsidP="00EE473A">
            <w:pPr>
              <w:pStyle w:val="Normal1linespace"/>
              <w:widowControl w:val="0"/>
              <w:jc w:val="left"/>
            </w:pPr>
            <w:r>
              <w:rPr>
                <w:i/>
              </w:rPr>
              <w:t xml:space="preserve">FAI Workers Compensation (NSW) Ltd v </w:t>
            </w:r>
            <w:proofErr w:type="spellStart"/>
            <w:r>
              <w:rPr>
                <w:i/>
              </w:rPr>
              <w:t>Philkor</w:t>
            </w:r>
            <w:proofErr w:type="spellEnd"/>
            <w:r>
              <w:rPr>
                <w:i/>
              </w:rPr>
              <w:t xml:space="preserve"> Builders Pty Ltd </w:t>
            </w:r>
            <w:r>
              <w:t xml:space="preserve">(1996) 132 </w:t>
            </w:r>
            <w:proofErr w:type="spellStart"/>
            <w:r>
              <w:t>FLR</w:t>
            </w:r>
            <w:proofErr w:type="spellEnd"/>
            <w:r>
              <w:t xml:space="preserve"> 213 </w:t>
            </w:r>
          </w:p>
          <w:p w:rsidR="00592D55" w:rsidRDefault="00592D55" w:rsidP="00EE473A">
            <w:pPr>
              <w:pStyle w:val="Normal1linespace"/>
              <w:widowControl w:val="0"/>
              <w:jc w:val="left"/>
            </w:pPr>
            <w:r>
              <w:rPr>
                <w:i/>
              </w:rPr>
              <w:t>Farah Constructions Pty L</w:t>
            </w:r>
            <w:r w:rsidR="00815DF7">
              <w:rPr>
                <w:i/>
              </w:rPr>
              <w:t>imited</w:t>
            </w:r>
            <w:r>
              <w:rPr>
                <w:i/>
              </w:rPr>
              <w:t xml:space="preserve"> v Say-Dee Pty L</w:t>
            </w:r>
            <w:r w:rsidR="00815DF7">
              <w:rPr>
                <w:i/>
              </w:rPr>
              <w:t>imited</w:t>
            </w:r>
            <w:r>
              <w:rPr>
                <w:i/>
              </w:rPr>
              <w:t xml:space="preserve"> </w:t>
            </w:r>
            <w:r>
              <w:t xml:space="preserve">(2007) 230 </w:t>
            </w:r>
            <w:proofErr w:type="spellStart"/>
            <w:r>
              <w:t>CLR</w:t>
            </w:r>
            <w:proofErr w:type="spellEnd"/>
            <w:r>
              <w:t xml:space="preserve"> 89</w:t>
            </w:r>
          </w:p>
          <w:p w:rsidR="00592D55" w:rsidRDefault="00592D55" w:rsidP="00EE473A">
            <w:pPr>
              <w:pStyle w:val="Normal1linespace"/>
              <w:widowControl w:val="0"/>
              <w:jc w:val="left"/>
            </w:pPr>
            <w:r w:rsidRPr="001A582E">
              <w:rPr>
                <w:i/>
              </w:rPr>
              <w:t xml:space="preserve">Foots v Southern Cross Mine Management Pty Ltd </w:t>
            </w:r>
            <w:r w:rsidRPr="001A582E">
              <w:t xml:space="preserve">(2007) 234 </w:t>
            </w:r>
            <w:proofErr w:type="spellStart"/>
            <w:r w:rsidRPr="001A582E">
              <w:t>CLR</w:t>
            </w:r>
            <w:proofErr w:type="spellEnd"/>
            <w:r w:rsidRPr="001A582E">
              <w:t xml:space="preserve"> 52 </w:t>
            </w:r>
          </w:p>
          <w:p w:rsidR="00592D55" w:rsidRDefault="00592D55" w:rsidP="00EE473A">
            <w:pPr>
              <w:pStyle w:val="Normal1linespace"/>
              <w:widowControl w:val="0"/>
              <w:jc w:val="left"/>
            </w:pPr>
            <w:r>
              <w:rPr>
                <w:i/>
              </w:rPr>
              <w:t xml:space="preserve">In Re British Gold Fields of West Africa </w:t>
            </w:r>
            <w:r>
              <w:t xml:space="preserve">[1899] 2 </w:t>
            </w:r>
            <w:proofErr w:type="spellStart"/>
            <w:r>
              <w:t>Ch</w:t>
            </w:r>
            <w:proofErr w:type="spellEnd"/>
            <w:r>
              <w:t xml:space="preserve"> 7 </w:t>
            </w:r>
          </w:p>
          <w:p w:rsidR="00592D55" w:rsidRDefault="00592D55" w:rsidP="00EE473A">
            <w:pPr>
              <w:pStyle w:val="Normal1linespace"/>
              <w:widowControl w:val="0"/>
              <w:jc w:val="left"/>
            </w:pPr>
            <w:r>
              <w:rPr>
                <w:i/>
              </w:rPr>
              <w:t>International Finance Trust Company L</w:t>
            </w:r>
            <w:r w:rsidR="00815DF7">
              <w:rPr>
                <w:i/>
              </w:rPr>
              <w:t>imited</w:t>
            </w:r>
            <w:r>
              <w:rPr>
                <w:i/>
              </w:rPr>
              <w:t xml:space="preserve"> v New South Wales Crime Commission </w:t>
            </w:r>
            <w:r>
              <w:t xml:space="preserve">(2009) 240 </w:t>
            </w:r>
            <w:proofErr w:type="spellStart"/>
            <w:r>
              <w:t>CLR</w:t>
            </w:r>
            <w:proofErr w:type="spellEnd"/>
            <w:r>
              <w:t xml:space="preserve"> 319</w:t>
            </w:r>
          </w:p>
          <w:p w:rsidR="00592D55" w:rsidRPr="001A582E" w:rsidRDefault="00592D55" w:rsidP="00EE473A">
            <w:pPr>
              <w:pStyle w:val="Normal1linespace"/>
              <w:widowControl w:val="0"/>
              <w:jc w:val="left"/>
            </w:pPr>
            <w:r w:rsidRPr="001A582E">
              <w:rPr>
                <w:i/>
              </w:rPr>
              <w:t>Knight v FP Special Assets L</w:t>
            </w:r>
            <w:r w:rsidR="00815DF7">
              <w:rPr>
                <w:i/>
              </w:rPr>
              <w:t>imited</w:t>
            </w:r>
            <w:r w:rsidRPr="001A582E">
              <w:rPr>
                <w:i/>
              </w:rPr>
              <w:t xml:space="preserve"> </w:t>
            </w:r>
            <w:r w:rsidRPr="001A582E">
              <w:t xml:space="preserve">(1992) 174 </w:t>
            </w:r>
            <w:proofErr w:type="spellStart"/>
            <w:r w:rsidRPr="001A582E">
              <w:t>CLR</w:t>
            </w:r>
            <w:proofErr w:type="spellEnd"/>
            <w:r w:rsidRPr="001A582E">
              <w:t xml:space="preserve"> 178 </w:t>
            </w:r>
          </w:p>
          <w:p w:rsidR="00592D55" w:rsidRDefault="00592D55" w:rsidP="00EE473A">
            <w:pPr>
              <w:pStyle w:val="Normal1linespace"/>
              <w:widowControl w:val="0"/>
              <w:jc w:val="left"/>
            </w:pPr>
            <w:proofErr w:type="spellStart"/>
            <w:r>
              <w:rPr>
                <w:i/>
              </w:rPr>
              <w:t>Larkden</w:t>
            </w:r>
            <w:proofErr w:type="spellEnd"/>
            <w:r>
              <w:rPr>
                <w:i/>
              </w:rPr>
              <w:t xml:space="preserve"> Pty L</w:t>
            </w:r>
            <w:r w:rsidR="00815DF7">
              <w:rPr>
                <w:i/>
              </w:rPr>
              <w:t>imite</w:t>
            </w:r>
            <w:r>
              <w:rPr>
                <w:i/>
              </w:rPr>
              <w:t>d v Lloyd Energy Systems Pty L</w:t>
            </w:r>
            <w:r w:rsidR="00815DF7">
              <w:rPr>
                <w:i/>
              </w:rPr>
              <w:t>imite</w:t>
            </w:r>
            <w:r>
              <w:rPr>
                <w:i/>
              </w:rPr>
              <w:t xml:space="preserve">d </w:t>
            </w:r>
            <w:r>
              <w:t xml:space="preserve">[2011] </w:t>
            </w:r>
            <w:proofErr w:type="spellStart"/>
            <w:r>
              <w:t>NSWSC</w:t>
            </w:r>
            <w:proofErr w:type="spellEnd"/>
            <w:r>
              <w:t xml:space="preserve"> 1567</w:t>
            </w:r>
            <w:r>
              <w:rPr>
                <w:i/>
              </w:rPr>
              <w:t xml:space="preserve"> </w:t>
            </w:r>
          </w:p>
          <w:p w:rsidR="00592D55" w:rsidRPr="002A5B11" w:rsidRDefault="00592D55" w:rsidP="00EE473A">
            <w:pPr>
              <w:pStyle w:val="Normal1linespace"/>
              <w:widowControl w:val="0"/>
              <w:jc w:val="left"/>
            </w:pPr>
            <w:r>
              <w:rPr>
                <w:i/>
              </w:rPr>
              <w:t xml:space="preserve">Lehman Brothers Holdings </w:t>
            </w:r>
            <w:proofErr w:type="spellStart"/>
            <w:r>
              <w:rPr>
                <w:i/>
              </w:rPr>
              <w:t>Inc</w:t>
            </w:r>
            <w:proofErr w:type="spellEnd"/>
            <w:r>
              <w:rPr>
                <w:i/>
              </w:rPr>
              <w:t xml:space="preserve"> v City of Swan </w:t>
            </w:r>
            <w:r>
              <w:t xml:space="preserve">(2010) 240 </w:t>
            </w:r>
            <w:proofErr w:type="spellStart"/>
            <w:r>
              <w:t>CLR</w:t>
            </w:r>
            <w:proofErr w:type="spellEnd"/>
            <w:r>
              <w:t xml:space="preserve"> 509</w:t>
            </w:r>
          </w:p>
          <w:p w:rsidR="00592D55" w:rsidRDefault="00592D55" w:rsidP="00EE473A">
            <w:pPr>
              <w:pStyle w:val="Normal1linespace"/>
              <w:widowControl w:val="0"/>
              <w:jc w:val="left"/>
              <w:rPr>
                <w:i/>
              </w:rPr>
            </w:pPr>
            <w:proofErr w:type="spellStart"/>
            <w:r>
              <w:rPr>
                <w:i/>
              </w:rPr>
              <w:t>McCluskey</w:t>
            </w:r>
            <w:proofErr w:type="spellEnd"/>
            <w:r>
              <w:rPr>
                <w:i/>
              </w:rPr>
              <w:t xml:space="preserve"> v </w:t>
            </w:r>
            <w:proofErr w:type="spellStart"/>
            <w:r>
              <w:rPr>
                <w:i/>
              </w:rPr>
              <w:t>Pasminco</w:t>
            </w:r>
            <w:proofErr w:type="spellEnd"/>
            <w:r>
              <w:rPr>
                <w:i/>
              </w:rPr>
              <w:t xml:space="preserve"> Ltd (Administrators Appointed)</w:t>
            </w:r>
            <w:r>
              <w:t xml:space="preserve"> (2002) 120 </w:t>
            </w:r>
            <w:proofErr w:type="spellStart"/>
            <w:r>
              <w:t>FCR</w:t>
            </w:r>
            <w:proofErr w:type="spellEnd"/>
            <w:r>
              <w:t xml:space="preserve"> 326</w:t>
            </w:r>
            <w:r>
              <w:rPr>
                <w:i/>
              </w:rPr>
              <w:t xml:space="preserve"> </w:t>
            </w:r>
          </w:p>
          <w:p w:rsidR="00592D55" w:rsidRDefault="00592D55" w:rsidP="00EE473A">
            <w:pPr>
              <w:pStyle w:val="Normal1linespace"/>
              <w:widowControl w:val="0"/>
              <w:jc w:val="left"/>
              <w:rPr>
                <w:i/>
              </w:rPr>
            </w:pPr>
            <w:r w:rsidRPr="001A582E">
              <w:rPr>
                <w:i/>
              </w:rPr>
              <w:t xml:space="preserve">McDonald v Commissioner of Taxation </w:t>
            </w:r>
            <w:r w:rsidRPr="001A582E">
              <w:t xml:space="preserve">(2005) 187 </w:t>
            </w:r>
            <w:proofErr w:type="spellStart"/>
            <w:r w:rsidRPr="001A582E">
              <w:t>FLR</w:t>
            </w:r>
            <w:proofErr w:type="spellEnd"/>
            <w:r w:rsidRPr="001A582E">
              <w:t xml:space="preserve"> 461</w:t>
            </w:r>
            <w:r w:rsidRPr="001A582E">
              <w:rPr>
                <w:i/>
              </w:rPr>
              <w:t xml:space="preserve"> </w:t>
            </w:r>
          </w:p>
          <w:p w:rsidR="00592D55" w:rsidRDefault="00592D55" w:rsidP="00EE473A">
            <w:pPr>
              <w:pStyle w:val="Normal1linespace"/>
              <w:widowControl w:val="0"/>
              <w:jc w:val="left"/>
            </w:pPr>
            <w:proofErr w:type="spellStart"/>
            <w:r w:rsidRPr="001A582E">
              <w:rPr>
                <w:i/>
              </w:rPr>
              <w:t>Oshlack</w:t>
            </w:r>
            <w:proofErr w:type="spellEnd"/>
            <w:r w:rsidRPr="001A582E">
              <w:rPr>
                <w:i/>
              </w:rPr>
              <w:t xml:space="preserve"> v Richmond River Council </w:t>
            </w:r>
            <w:r w:rsidRPr="001A582E">
              <w:t xml:space="preserve">(1998) 193 </w:t>
            </w:r>
            <w:proofErr w:type="spellStart"/>
            <w:r w:rsidRPr="001A582E">
              <w:t>CLR</w:t>
            </w:r>
            <w:proofErr w:type="spellEnd"/>
            <w:r w:rsidRPr="001A582E">
              <w:t xml:space="preserve"> 72 </w:t>
            </w:r>
          </w:p>
          <w:p w:rsidR="00592D55" w:rsidRDefault="00592D55" w:rsidP="00EE473A">
            <w:pPr>
              <w:pStyle w:val="Normal1linespace"/>
              <w:widowControl w:val="0"/>
              <w:jc w:val="left"/>
              <w:rPr>
                <w:i/>
              </w:rPr>
            </w:pPr>
            <w:r>
              <w:rPr>
                <w:i/>
              </w:rPr>
              <w:t xml:space="preserve">Sons of Gwalia Ltd (subject to deed of company arrangement) v </w:t>
            </w:r>
            <w:proofErr w:type="spellStart"/>
            <w:r>
              <w:rPr>
                <w:i/>
              </w:rPr>
              <w:t>Margaretic</w:t>
            </w:r>
            <w:proofErr w:type="spellEnd"/>
            <w:r>
              <w:t xml:space="preserve"> (2007) 231 </w:t>
            </w:r>
            <w:proofErr w:type="spellStart"/>
            <w:r>
              <w:t>CLR</w:t>
            </w:r>
            <w:proofErr w:type="spellEnd"/>
            <w:r>
              <w:t xml:space="preserve"> 160</w:t>
            </w:r>
            <w:r>
              <w:rPr>
                <w:i/>
              </w:rPr>
              <w:t xml:space="preserve"> </w:t>
            </w:r>
          </w:p>
          <w:p w:rsidR="00592D55" w:rsidRPr="004F01B9" w:rsidRDefault="00592D55" w:rsidP="00EE473A">
            <w:pPr>
              <w:pStyle w:val="Normal1linespace"/>
              <w:widowControl w:val="0"/>
              <w:jc w:val="left"/>
            </w:pPr>
            <w:r>
              <w:rPr>
                <w:i/>
              </w:rPr>
              <w:lastRenderedPageBreak/>
              <w:t xml:space="preserve">Stead v State Government Insurance </w:t>
            </w:r>
            <w:r w:rsidR="006F62AC">
              <w:rPr>
                <w:i/>
              </w:rPr>
              <w:t>C</w:t>
            </w:r>
            <w:r>
              <w:rPr>
                <w:i/>
              </w:rPr>
              <w:t xml:space="preserve">ommission </w:t>
            </w:r>
            <w:r w:rsidRPr="004F01B9">
              <w:t xml:space="preserve">(1986) 161 </w:t>
            </w:r>
            <w:proofErr w:type="spellStart"/>
            <w:r w:rsidRPr="004F01B9">
              <w:t>CLR</w:t>
            </w:r>
            <w:proofErr w:type="spellEnd"/>
            <w:r w:rsidRPr="004F01B9">
              <w:t xml:space="preserve"> 141</w:t>
            </w:r>
          </w:p>
          <w:p w:rsidR="00592D55" w:rsidRDefault="00592D55" w:rsidP="00EE473A">
            <w:pPr>
              <w:pStyle w:val="Normal1linespace"/>
              <w:widowControl w:val="0"/>
              <w:jc w:val="left"/>
            </w:pPr>
            <w:r>
              <w:rPr>
                <w:i/>
              </w:rPr>
              <w:t xml:space="preserve">Yates v Boland </w:t>
            </w:r>
            <w:r>
              <w:t xml:space="preserve">[2000] </w:t>
            </w:r>
            <w:proofErr w:type="spellStart"/>
            <w:r>
              <w:t>FCA</w:t>
            </w:r>
            <w:proofErr w:type="spellEnd"/>
            <w:r>
              <w:t xml:space="preserve"> 1895 </w:t>
            </w:r>
            <w:bookmarkEnd w:id="5"/>
          </w:p>
        </w:tc>
      </w:tr>
      <w:tr w:rsidR="00592D55" w:rsidRPr="009E3602" w:rsidTr="00EE473A">
        <w:tblPrEx>
          <w:tblCellSpacing w:w="8" w:type="dxa"/>
        </w:tblPrEx>
        <w:trPr>
          <w:tblCellSpacing w:w="8" w:type="dxa"/>
        </w:trPr>
        <w:tc>
          <w:tcPr>
            <w:tcW w:w="3085" w:type="dxa"/>
            <w:shd w:val="clear" w:color="auto" w:fill="auto"/>
          </w:tcPr>
          <w:p w:rsidR="00592D55" w:rsidRPr="009E3602" w:rsidRDefault="00592D55" w:rsidP="00EE473A">
            <w:pPr>
              <w:pStyle w:val="Normal1linespace"/>
              <w:jc w:val="left"/>
            </w:pPr>
          </w:p>
        </w:tc>
        <w:tc>
          <w:tcPr>
            <w:tcW w:w="5989" w:type="dxa"/>
            <w:gridSpan w:val="2"/>
            <w:shd w:val="clear" w:color="auto" w:fill="auto"/>
          </w:tcPr>
          <w:p w:rsidR="00592D55" w:rsidRPr="009E3602" w:rsidRDefault="00592D55" w:rsidP="00EE473A">
            <w:pPr>
              <w:pStyle w:val="Normal1linespace"/>
              <w:jc w:val="left"/>
            </w:pPr>
          </w:p>
        </w:tc>
      </w:tr>
      <w:tr w:rsidR="00592D55" w:rsidRPr="009E3602" w:rsidTr="00EE473A">
        <w:tblPrEx>
          <w:tblCellSpacing w:w="8" w:type="dxa"/>
        </w:tblPrEx>
        <w:trPr>
          <w:tblCellSpacing w:w="8" w:type="dxa"/>
        </w:trPr>
        <w:tc>
          <w:tcPr>
            <w:tcW w:w="3085" w:type="dxa"/>
            <w:shd w:val="clear" w:color="auto" w:fill="auto"/>
          </w:tcPr>
          <w:p w:rsidR="00592D55" w:rsidRPr="009E3602" w:rsidRDefault="00592D55" w:rsidP="00EE473A">
            <w:pPr>
              <w:pStyle w:val="Normal1linespace"/>
              <w:jc w:val="left"/>
            </w:pPr>
            <w:bookmarkStart w:id="6" w:name="CounselDate"/>
            <w:r w:rsidRPr="009E3602">
              <w:t>Date</w:t>
            </w:r>
            <w:r>
              <w:t>s</w:t>
            </w:r>
            <w:r w:rsidRPr="009E3602">
              <w:t xml:space="preserve"> of hearing:</w:t>
            </w:r>
          </w:p>
        </w:tc>
        <w:tc>
          <w:tcPr>
            <w:tcW w:w="5989" w:type="dxa"/>
            <w:gridSpan w:val="2"/>
            <w:shd w:val="clear" w:color="auto" w:fill="auto"/>
          </w:tcPr>
          <w:p w:rsidR="00592D55" w:rsidRPr="009E3602" w:rsidRDefault="00592D55" w:rsidP="003A2D1B">
            <w:pPr>
              <w:pStyle w:val="Normal1linespace"/>
              <w:jc w:val="left"/>
            </w:pPr>
            <w:bookmarkStart w:id="7" w:name="HearingDate"/>
            <w:r>
              <w:t>3</w:t>
            </w:r>
            <w:r w:rsidR="003A2D1B">
              <w:t xml:space="preserve">, </w:t>
            </w:r>
            <w:r>
              <w:t>4 November 2014</w:t>
            </w:r>
            <w:bookmarkEnd w:id="7"/>
          </w:p>
        </w:tc>
      </w:tr>
      <w:tr w:rsidR="00592D55" w:rsidRPr="009E3602" w:rsidTr="00EE473A">
        <w:tblPrEx>
          <w:tblCellSpacing w:w="8" w:type="dxa"/>
        </w:tblPrEx>
        <w:trPr>
          <w:tblCellSpacing w:w="8" w:type="dxa"/>
        </w:trPr>
        <w:tc>
          <w:tcPr>
            <w:tcW w:w="3085" w:type="dxa"/>
            <w:shd w:val="clear" w:color="auto" w:fill="auto"/>
          </w:tcPr>
          <w:p w:rsidR="00592D55" w:rsidRPr="009E3602" w:rsidRDefault="00592D55" w:rsidP="00EE473A">
            <w:pPr>
              <w:pStyle w:val="Normal1linespace"/>
              <w:jc w:val="left"/>
            </w:pPr>
          </w:p>
        </w:tc>
        <w:tc>
          <w:tcPr>
            <w:tcW w:w="5989" w:type="dxa"/>
            <w:gridSpan w:val="2"/>
            <w:shd w:val="clear" w:color="auto" w:fill="auto"/>
          </w:tcPr>
          <w:p w:rsidR="00592D55" w:rsidRPr="009E3602" w:rsidRDefault="00592D55" w:rsidP="00EE473A">
            <w:pPr>
              <w:pStyle w:val="Normal1linespace"/>
              <w:jc w:val="left"/>
            </w:pPr>
          </w:p>
        </w:tc>
      </w:tr>
      <w:bookmarkEnd w:id="6"/>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Place:</w:t>
            </w:r>
          </w:p>
        </w:tc>
        <w:tc>
          <w:tcPr>
            <w:tcW w:w="5989" w:type="dxa"/>
            <w:gridSpan w:val="2"/>
            <w:shd w:val="clear" w:color="auto" w:fill="auto"/>
          </w:tcPr>
          <w:p w:rsidR="00592D55" w:rsidRPr="00C71CF8" w:rsidRDefault="00592D55" w:rsidP="00EE473A">
            <w:pPr>
              <w:pStyle w:val="Normal1linespace"/>
              <w:widowControl w:val="0"/>
              <w:jc w:val="left"/>
            </w:pPr>
            <w:r w:rsidRPr="00C71CF8">
              <w:t>Brisbane</w:t>
            </w: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Division:</w:t>
            </w:r>
          </w:p>
        </w:tc>
        <w:tc>
          <w:tcPr>
            <w:tcW w:w="5989" w:type="dxa"/>
            <w:gridSpan w:val="2"/>
            <w:shd w:val="clear" w:color="auto" w:fill="auto"/>
          </w:tcPr>
          <w:p w:rsidR="00592D55" w:rsidRPr="00C71CF8" w:rsidRDefault="005B7839" w:rsidP="00EE473A">
            <w:pPr>
              <w:pStyle w:val="Normal1linespace"/>
              <w:widowControl w:val="0"/>
              <w:jc w:val="left"/>
            </w:pPr>
            <w:r w:rsidRPr="005B7839">
              <w:t>GENERAL</w:t>
            </w:r>
            <w:r>
              <w:rPr>
                <w:caps/>
                <w:szCs w:val="24"/>
              </w:rPr>
              <w:t xml:space="preserve"> DIVISION</w:t>
            </w: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Category:</w:t>
            </w:r>
          </w:p>
        </w:tc>
        <w:tc>
          <w:tcPr>
            <w:tcW w:w="5989" w:type="dxa"/>
            <w:gridSpan w:val="2"/>
            <w:shd w:val="clear" w:color="auto" w:fill="auto"/>
          </w:tcPr>
          <w:p w:rsidR="00592D55" w:rsidRPr="00C71CF8" w:rsidRDefault="00592D55" w:rsidP="00EE473A">
            <w:pPr>
              <w:pStyle w:val="Normal1linespace"/>
              <w:widowControl w:val="0"/>
              <w:jc w:val="left"/>
            </w:pPr>
            <w:r>
              <w:t>Catchwords</w:t>
            </w: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Number of paragraphs:</w:t>
            </w:r>
          </w:p>
        </w:tc>
        <w:tc>
          <w:tcPr>
            <w:tcW w:w="5989" w:type="dxa"/>
            <w:gridSpan w:val="2"/>
            <w:shd w:val="clear" w:color="auto" w:fill="auto"/>
          </w:tcPr>
          <w:p w:rsidR="00592D55" w:rsidRPr="006F62AC" w:rsidRDefault="005A03B2" w:rsidP="005A03B2">
            <w:pPr>
              <w:pStyle w:val="Normal1linespace"/>
              <w:widowControl w:val="0"/>
              <w:jc w:val="left"/>
            </w:pPr>
            <w:bookmarkStart w:id="8" w:name="PlaceCategoryParagraphs"/>
            <w:r w:rsidRPr="006F62AC">
              <w:t>115</w:t>
            </w:r>
            <w:bookmarkEnd w:id="8"/>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bookmarkStart w:id="9" w:name="Counsel"/>
            <w:r w:rsidRPr="00C71CF8">
              <w:t>Counsel for the Appellant:</w:t>
            </w:r>
          </w:p>
        </w:tc>
        <w:tc>
          <w:tcPr>
            <w:tcW w:w="5989" w:type="dxa"/>
            <w:gridSpan w:val="2"/>
            <w:shd w:val="clear" w:color="auto" w:fill="auto"/>
          </w:tcPr>
          <w:p w:rsidR="00592D55" w:rsidRPr="00C71CF8" w:rsidRDefault="00592D55" w:rsidP="00EE473A">
            <w:pPr>
              <w:pStyle w:val="Normal1linespace"/>
              <w:widowControl w:val="0"/>
              <w:jc w:val="left"/>
            </w:pPr>
            <w:bookmarkStart w:id="10" w:name="AppCounsel"/>
            <w:bookmarkEnd w:id="10"/>
            <w:r w:rsidRPr="00C71CF8">
              <w:t>Dr RJ O’Hair with Mr PW Hackett</w:t>
            </w: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Solicitor for the Appellant:</w:t>
            </w:r>
          </w:p>
        </w:tc>
        <w:tc>
          <w:tcPr>
            <w:tcW w:w="5989" w:type="dxa"/>
            <w:gridSpan w:val="2"/>
            <w:shd w:val="clear" w:color="auto" w:fill="auto"/>
          </w:tcPr>
          <w:p w:rsidR="00592D55" w:rsidRPr="00C71CF8" w:rsidRDefault="00592D55" w:rsidP="00EE473A">
            <w:pPr>
              <w:pStyle w:val="Normal1linespace"/>
              <w:widowControl w:val="0"/>
              <w:jc w:val="left"/>
            </w:pPr>
            <w:proofErr w:type="spellStart"/>
            <w:r w:rsidRPr="00C71CF8">
              <w:t>MJB</w:t>
            </w:r>
            <w:proofErr w:type="spellEnd"/>
            <w:r w:rsidRPr="00C71CF8">
              <w:t xml:space="preserve"> Legal</w:t>
            </w: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r w:rsidRPr="00C71CF8">
              <w:t>Counsel for the Respondents:</w:t>
            </w:r>
          </w:p>
        </w:tc>
        <w:tc>
          <w:tcPr>
            <w:tcW w:w="5989" w:type="dxa"/>
            <w:gridSpan w:val="2"/>
            <w:shd w:val="clear" w:color="auto" w:fill="auto"/>
          </w:tcPr>
          <w:p w:rsidR="00592D55" w:rsidRPr="00C71CF8" w:rsidRDefault="00592D55" w:rsidP="00EE473A">
            <w:pPr>
              <w:pStyle w:val="Normal1linespace"/>
              <w:widowControl w:val="0"/>
              <w:jc w:val="left"/>
            </w:pPr>
            <w:r w:rsidRPr="00C71CF8">
              <w:t xml:space="preserve">Mr </w:t>
            </w:r>
            <w:proofErr w:type="spellStart"/>
            <w:r w:rsidRPr="00C71CF8">
              <w:t>JW</w:t>
            </w:r>
            <w:proofErr w:type="spellEnd"/>
            <w:r w:rsidRPr="00C71CF8">
              <w:t xml:space="preserve"> </w:t>
            </w:r>
            <w:proofErr w:type="spellStart"/>
            <w:r w:rsidRPr="00C71CF8">
              <w:t>Peden</w:t>
            </w:r>
            <w:proofErr w:type="spellEnd"/>
          </w:p>
        </w:tc>
      </w:tr>
      <w:tr w:rsidR="00592D55" w:rsidRPr="001D7816" w:rsidTr="00EE473A">
        <w:tblPrEx>
          <w:tblCellSpacing w:w="8" w:type="dxa"/>
        </w:tblPrEx>
        <w:trPr>
          <w:tblCellSpacing w:w="8" w:type="dxa"/>
        </w:trPr>
        <w:tc>
          <w:tcPr>
            <w:tcW w:w="3085" w:type="dxa"/>
            <w:shd w:val="clear" w:color="auto" w:fill="auto"/>
          </w:tcPr>
          <w:p w:rsidR="00592D55" w:rsidRPr="00C71CF8" w:rsidRDefault="00592D55" w:rsidP="00EE473A">
            <w:pPr>
              <w:pStyle w:val="Normal1linespace"/>
              <w:widowControl w:val="0"/>
              <w:jc w:val="left"/>
            </w:pPr>
          </w:p>
        </w:tc>
        <w:tc>
          <w:tcPr>
            <w:tcW w:w="5989" w:type="dxa"/>
            <w:gridSpan w:val="2"/>
            <w:shd w:val="clear" w:color="auto" w:fill="auto"/>
          </w:tcPr>
          <w:p w:rsidR="00592D55" w:rsidRPr="00C71CF8" w:rsidRDefault="00592D55" w:rsidP="00EE473A">
            <w:pPr>
              <w:pStyle w:val="Normal1linespace"/>
              <w:widowControl w:val="0"/>
              <w:jc w:val="left"/>
            </w:pPr>
          </w:p>
        </w:tc>
      </w:tr>
      <w:tr w:rsidR="00592D55" w:rsidRPr="001D7816" w:rsidTr="00EE473A">
        <w:tblPrEx>
          <w:tblCellSpacing w:w="8" w:type="dxa"/>
        </w:tblPrEx>
        <w:trPr>
          <w:gridAfter w:val="1"/>
          <w:wAfter w:w="10" w:type="dxa"/>
          <w:tblCellSpacing w:w="8" w:type="dxa"/>
        </w:trPr>
        <w:tc>
          <w:tcPr>
            <w:tcW w:w="3085" w:type="dxa"/>
            <w:shd w:val="clear" w:color="auto" w:fill="auto"/>
          </w:tcPr>
          <w:p w:rsidR="00592D55" w:rsidRPr="00C71CF8" w:rsidRDefault="00592D55" w:rsidP="00EE473A">
            <w:pPr>
              <w:pStyle w:val="Normal1linespace"/>
              <w:widowControl w:val="0"/>
              <w:jc w:val="left"/>
            </w:pPr>
            <w:r w:rsidRPr="00C71CF8">
              <w:t>Solicitor for the Respondents:</w:t>
            </w:r>
          </w:p>
        </w:tc>
        <w:tc>
          <w:tcPr>
            <w:tcW w:w="5979" w:type="dxa"/>
            <w:shd w:val="clear" w:color="auto" w:fill="auto"/>
          </w:tcPr>
          <w:p w:rsidR="00592D55" w:rsidRPr="00C71CF8" w:rsidRDefault="00592D55" w:rsidP="00EE473A">
            <w:pPr>
              <w:pStyle w:val="Normal1linespace"/>
              <w:widowControl w:val="0"/>
              <w:jc w:val="left"/>
            </w:pPr>
            <w:proofErr w:type="spellStart"/>
            <w:r w:rsidRPr="00C71CF8">
              <w:t>Gadens</w:t>
            </w:r>
            <w:proofErr w:type="spellEnd"/>
            <w:r w:rsidRPr="00C71CF8">
              <w:t xml:space="preserve"> Lawyers</w:t>
            </w:r>
          </w:p>
        </w:tc>
      </w:tr>
      <w:bookmarkEnd w:id="9"/>
    </w:tbl>
    <w:p w:rsidR="00592D55" w:rsidRDefault="00592D55" w:rsidP="00592D55">
      <w:pPr>
        <w:pStyle w:val="Normal1linespace"/>
      </w:pPr>
    </w:p>
    <w:p w:rsidR="00592D55" w:rsidRDefault="00592D55" w:rsidP="00592D55">
      <w:pPr>
        <w:pStyle w:val="Normal1linespace"/>
      </w:pPr>
    </w:p>
    <w:p w:rsidR="00592D55" w:rsidRDefault="00592D55" w:rsidP="00592D55">
      <w:pPr>
        <w:pStyle w:val="Normal1linespace"/>
        <w:sectPr w:rsidR="00592D55" w:rsidSect="00592D5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92D55" w:rsidTr="00EE473A">
        <w:tc>
          <w:tcPr>
            <w:tcW w:w="6771" w:type="dxa"/>
          </w:tcPr>
          <w:p w:rsidR="00592D55" w:rsidRDefault="00592D55" w:rsidP="00EE473A">
            <w:pPr>
              <w:pStyle w:val="NormalHeadings"/>
              <w:spacing w:after="120"/>
              <w:jc w:val="left"/>
              <w:rPr>
                <w:caps/>
                <w:szCs w:val="24"/>
              </w:rPr>
            </w:pPr>
            <w:r>
              <w:rPr>
                <w:caps/>
                <w:szCs w:val="24"/>
              </w:rPr>
              <w:lastRenderedPageBreak/>
              <w:t>IN THE FEDERAL COURT OF AUSTRALIA</w:t>
            </w:r>
          </w:p>
        </w:tc>
        <w:tc>
          <w:tcPr>
            <w:tcW w:w="2471" w:type="dxa"/>
          </w:tcPr>
          <w:p w:rsidR="00592D55" w:rsidRDefault="00592D55" w:rsidP="00EE473A">
            <w:pPr>
              <w:pStyle w:val="NormalHeadings"/>
              <w:jc w:val="left"/>
              <w:rPr>
                <w:caps/>
                <w:szCs w:val="24"/>
              </w:rPr>
            </w:pPr>
          </w:p>
        </w:tc>
      </w:tr>
      <w:tr w:rsidR="00592D55" w:rsidTr="00EE473A">
        <w:tc>
          <w:tcPr>
            <w:tcW w:w="6771" w:type="dxa"/>
          </w:tcPr>
          <w:p w:rsidR="00592D55" w:rsidRDefault="00592D55" w:rsidP="00EE473A">
            <w:pPr>
              <w:pStyle w:val="NormalHeadings"/>
              <w:spacing w:after="120"/>
              <w:jc w:val="left"/>
              <w:rPr>
                <w:caps/>
                <w:szCs w:val="24"/>
              </w:rPr>
            </w:pPr>
            <w:bookmarkStart w:id="11" w:name="State"/>
            <w:r>
              <w:rPr>
                <w:caps/>
                <w:szCs w:val="24"/>
              </w:rPr>
              <w:t>QUEENSLAND</w:t>
            </w:r>
            <w:bookmarkEnd w:id="11"/>
            <w:r>
              <w:rPr>
                <w:caps/>
                <w:szCs w:val="24"/>
              </w:rPr>
              <w:t xml:space="preserve"> DISTRICT REGISTRY</w:t>
            </w:r>
          </w:p>
        </w:tc>
        <w:tc>
          <w:tcPr>
            <w:tcW w:w="2471" w:type="dxa"/>
          </w:tcPr>
          <w:p w:rsidR="00592D55" w:rsidRDefault="00592D55" w:rsidP="00EE473A">
            <w:pPr>
              <w:pStyle w:val="NormalHeadings"/>
              <w:tabs>
                <w:tab w:val="right" w:pos="3609"/>
              </w:tabs>
              <w:jc w:val="right"/>
              <w:rPr>
                <w:szCs w:val="24"/>
              </w:rPr>
            </w:pPr>
          </w:p>
        </w:tc>
      </w:tr>
      <w:tr w:rsidR="00592D55" w:rsidTr="00EE473A">
        <w:tc>
          <w:tcPr>
            <w:tcW w:w="6771" w:type="dxa"/>
          </w:tcPr>
          <w:p w:rsidR="00592D55" w:rsidRDefault="00592D55" w:rsidP="00EE473A">
            <w:pPr>
              <w:pStyle w:val="NormalHeadings"/>
              <w:spacing w:after="120"/>
              <w:jc w:val="left"/>
              <w:rPr>
                <w:caps/>
                <w:szCs w:val="24"/>
              </w:rPr>
            </w:pPr>
            <w:bookmarkStart w:id="12" w:name="Division"/>
            <w:r>
              <w:rPr>
                <w:caps/>
                <w:szCs w:val="24"/>
              </w:rPr>
              <w:t>GENERAL DIVISION</w:t>
            </w:r>
            <w:bookmarkEnd w:id="12"/>
          </w:p>
        </w:tc>
        <w:tc>
          <w:tcPr>
            <w:tcW w:w="2471" w:type="dxa"/>
          </w:tcPr>
          <w:p w:rsidR="00592D55" w:rsidRDefault="00592D55" w:rsidP="00EE473A">
            <w:pPr>
              <w:pStyle w:val="NormalHeadings"/>
              <w:tabs>
                <w:tab w:val="right" w:pos="3609"/>
              </w:tabs>
              <w:jc w:val="right"/>
              <w:rPr>
                <w:szCs w:val="24"/>
              </w:rPr>
            </w:pPr>
            <w:bookmarkStart w:id="13" w:name="Num"/>
            <w:proofErr w:type="spellStart"/>
            <w:r>
              <w:rPr>
                <w:szCs w:val="24"/>
              </w:rPr>
              <w:t>QUD</w:t>
            </w:r>
            <w:proofErr w:type="spellEnd"/>
            <w:r>
              <w:rPr>
                <w:szCs w:val="24"/>
              </w:rPr>
              <w:t xml:space="preserve"> 826 of 2013</w:t>
            </w:r>
            <w:bookmarkEnd w:id="13"/>
          </w:p>
        </w:tc>
      </w:tr>
    </w:tbl>
    <w:p w:rsidR="00592D55" w:rsidRDefault="00592D55" w:rsidP="00592D55">
      <w:pPr>
        <w:pStyle w:val="AppealTable"/>
      </w:pPr>
    </w:p>
    <w:tbl>
      <w:tblPr>
        <w:tblW w:w="0" w:type="auto"/>
        <w:tblLook w:val="01E0" w:firstRow="1" w:lastRow="1" w:firstColumn="1" w:lastColumn="1" w:noHBand="0" w:noVBand="0"/>
      </w:tblPr>
      <w:tblGrid>
        <w:gridCol w:w="9243"/>
      </w:tblGrid>
      <w:tr w:rsidR="00592D55" w:rsidRPr="00584F57" w:rsidTr="00EE473A">
        <w:tc>
          <w:tcPr>
            <w:tcW w:w="9243" w:type="dxa"/>
            <w:shd w:val="clear" w:color="auto" w:fill="auto"/>
          </w:tcPr>
          <w:p w:rsidR="00592D55" w:rsidRPr="00584F57" w:rsidRDefault="003B1253" w:rsidP="00EE473A">
            <w:pPr>
              <w:pStyle w:val="AppealTable"/>
              <w:widowControl w:val="0"/>
              <w:spacing w:line="360" w:lineRule="auto"/>
              <w:jc w:val="both"/>
              <w:rPr>
                <w:caps w:val="0"/>
                <w:sz w:val="24"/>
                <w:szCs w:val="20"/>
                <w:lang w:eastAsia="en-AU"/>
              </w:rPr>
            </w:pPr>
            <w:bookmarkStart w:id="14" w:name="Appeal"/>
            <w:bookmarkStart w:id="15" w:name="AppealTable"/>
            <w:r w:rsidRPr="00584F57">
              <w:rPr>
                <w:caps w:val="0"/>
                <w:sz w:val="24"/>
                <w:szCs w:val="20"/>
                <w:lang w:eastAsia="en-AU"/>
              </w:rPr>
              <w:t>ON APPEAL FROM THE FEDERAL CIRCUIT COURT OF AUSTRALIA</w:t>
            </w:r>
            <w:bookmarkEnd w:id="14"/>
          </w:p>
        </w:tc>
      </w:tr>
      <w:bookmarkEnd w:id="15"/>
    </w:tbl>
    <w:p w:rsidR="00592D55" w:rsidRDefault="00592D55" w:rsidP="00592D55">
      <w:pPr>
        <w:pStyle w:val="AppealTable"/>
      </w:pPr>
    </w:p>
    <w:tbl>
      <w:tblPr>
        <w:tblW w:w="0" w:type="auto"/>
        <w:tblLayout w:type="fixed"/>
        <w:tblLook w:val="0000" w:firstRow="0" w:lastRow="0" w:firstColumn="0" w:lastColumn="0" w:noHBand="0" w:noVBand="0"/>
      </w:tblPr>
      <w:tblGrid>
        <w:gridCol w:w="2376"/>
        <w:gridCol w:w="6866"/>
      </w:tblGrid>
      <w:tr w:rsidR="00592D55" w:rsidTr="00EE473A">
        <w:trPr>
          <w:trHeight w:val="386"/>
        </w:trPr>
        <w:tc>
          <w:tcPr>
            <w:tcW w:w="2376" w:type="dxa"/>
          </w:tcPr>
          <w:p w:rsidR="00592D55" w:rsidRDefault="00592D55" w:rsidP="00EE473A">
            <w:pPr>
              <w:pStyle w:val="NormalHeadings"/>
              <w:jc w:val="left"/>
              <w:rPr>
                <w:caps/>
                <w:szCs w:val="24"/>
              </w:rPr>
            </w:pPr>
            <w:bookmarkStart w:id="16" w:name="Parties"/>
            <w:r>
              <w:rPr>
                <w:caps/>
                <w:szCs w:val="24"/>
              </w:rPr>
              <w:t>BETWEEN:</w:t>
            </w:r>
          </w:p>
        </w:tc>
        <w:tc>
          <w:tcPr>
            <w:tcW w:w="6866" w:type="dxa"/>
          </w:tcPr>
          <w:p w:rsidR="00592D55" w:rsidRDefault="00592D55" w:rsidP="00EE473A">
            <w:pPr>
              <w:pStyle w:val="NormalHeadings"/>
              <w:jc w:val="left"/>
              <w:rPr>
                <w:szCs w:val="24"/>
              </w:rPr>
            </w:pPr>
            <w:bookmarkStart w:id="17" w:name="Applicant"/>
            <w:r>
              <w:rPr>
                <w:szCs w:val="24"/>
              </w:rPr>
              <w:t xml:space="preserve">CENTRAL QUEENSLAND DEVELOPMENT CORPORATION PTY LTD (FORMERLY </w:t>
            </w:r>
            <w:proofErr w:type="spellStart"/>
            <w:r>
              <w:rPr>
                <w:szCs w:val="24"/>
              </w:rPr>
              <w:t>BLUECHIP</w:t>
            </w:r>
            <w:proofErr w:type="spellEnd"/>
            <w:r>
              <w:rPr>
                <w:szCs w:val="24"/>
              </w:rPr>
              <w:t xml:space="preserve"> DEVELOPMENT CORPORATION (GLADSTONE) PTY LTD) </w:t>
            </w:r>
            <w:proofErr w:type="spellStart"/>
            <w:r>
              <w:rPr>
                <w:szCs w:val="24"/>
              </w:rPr>
              <w:t>ACN</w:t>
            </w:r>
            <w:proofErr w:type="spellEnd"/>
            <w:r>
              <w:rPr>
                <w:szCs w:val="24"/>
              </w:rPr>
              <w:t xml:space="preserve"> 120 112 781</w:t>
            </w:r>
          </w:p>
          <w:p w:rsidR="00592D55" w:rsidRDefault="00592D55" w:rsidP="00EE473A">
            <w:pPr>
              <w:pStyle w:val="NormalHeadings"/>
              <w:jc w:val="left"/>
              <w:rPr>
                <w:szCs w:val="24"/>
              </w:rPr>
            </w:pPr>
            <w:r>
              <w:rPr>
                <w:szCs w:val="24"/>
              </w:rPr>
              <w:t>Appellant</w:t>
            </w:r>
          </w:p>
          <w:bookmarkEnd w:id="17"/>
          <w:p w:rsidR="00592D55" w:rsidRDefault="00592D55" w:rsidP="00EE473A">
            <w:pPr>
              <w:pStyle w:val="NormalHeadings"/>
              <w:jc w:val="left"/>
              <w:rPr>
                <w:szCs w:val="24"/>
              </w:rPr>
            </w:pPr>
          </w:p>
        </w:tc>
      </w:tr>
      <w:tr w:rsidR="00592D55" w:rsidTr="00EE473A">
        <w:trPr>
          <w:trHeight w:val="386"/>
        </w:trPr>
        <w:tc>
          <w:tcPr>
            <w:tcW w:w="2376" w:type="dxa"/>
          </w:tcPr>
          <w:p w:rsidR="00592D55" w:rsidRDefault="00592D55" w:rsidP="00EE473A">
            <w:pPr>
              <w:pStyle w:val="NormalHeadings"/>
              <w:jc w:val="left"/>
              <w:rPr>
                <w:caps/>
                <w:szCs w:val="24"/>
              </w:rPr>
            </w:pPr>
            <w:r>
              <w:rPr>
                <w:caps/>
                <w:szCs w:val="24"/>
              </w:rPr>
              <w:t>AND:</w:t>
            </w:r>
          </w:p>
        </w:tc>
        <w:tc>
          <w:tcPr>
            <w:tcW w:w="6866" w:type="dxa"/>
          </w:tcPr>
          <w:p w:rsidR="00592D55" w:rsidRDefault="00592D55" w:rsidP="00EE473A">
            <w:pPr>
              <w:pStyle w:val="NormalHeadings"/>
              <w:jc w:val="left"/>
              <w:rPr>
                <w:szCs w:val="24"/>
              </w:rPr>
            </w:pPr>
            <w:bookmarkStart w:id="18" w:name="Respondent"/>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592D55" w:rsidRDefault="00592D55" w:rsidP="00EE473A">
            <w:pPr>
              <w:pStyle w:val="NormalHeadings"/>
              <w:jc w:val="left"/>
              <w:rPr>
                <w:szCs w:val="24"/>
              </w:rPr>
            </w:pPr>
            <w:r>
              <w:rPr>
                <w:szCs w:val="24"/>
              </w:rPr>
              <w:t>First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 xml:space="preserve">LORENZO MARIO </w:t>
            </w:r>
            <w:proofErr w:type="spellStart"/>
            <w:r>
              <w:rPr>
                <w:szCs w:val="24"/>
              </w:rPr>
              <w:t>REGINATO</w:t>
            </w:r>
            <w:proofErr w:type="spellEnd"/>
          </w:p>
          <w:p w:rsidR="00592D55" w:rsidRDefault="00592D55" w:rsidP="00EE473A">
            <w:pPr>
              <w:pStyle w:val="NormalHeadings"/>
              <w:jc w:val="left"/>
              <w:rPr>
                <w:szCs w:val="24"/>
              </w:rPr>
            </w:pPr>
            <w:r>
              <w:rPr>
                <w:szCs w:val="24"/>
              </w:rPr>
              <w:t>Second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ANTONY JAMES SCHOFIELD</w:t>
            </w:r>
          </w:p>
          <w:p w:rsidR="00592D55" w:rsidRDefault="00592D55" w:rsidP="00EE473A">
            <w:pPr>
              <w:pStyle w:val="NormalHeadings"/>
              <w:jc w:val="left"/>
              <w:rPr>
                <w:szCs w:val="24"/>
              </w:rPr>
            </w:pPr>
            <w:r>
              <w:rPr>
                <w:szCs w:val="24"/>
              </w:rPr>
              <w:t>Third Respondent</w:t>
            </w:r>
          </w:p>
          <w:bookmarkEnd w:id="18"/>
          <w:p w:rsidR="00592D55" w:rsidRDefault="00592D55" w:rsidP="00EE473A">
            <w:pPr>
              <w:pStyle w:val="NormalHeadings"/>
              <w:jc w:val="left"/>
              <w:rPr>
                <w:szCs w:val="24"/>
              </w:rPr>
            </w:pPr>
          </w:p>
        </w:tc>
      </w:tr>
      <w:bookmarkEnd w:id="16"/>
    </w:tbl>
    <w:p w:rsidR="00592D55" w:rsidRDefault="00592D55" w:rsidP="00592D55">
      <w:pPr>
        <w:pStyle w:val="NormalHeadings"/>
      </w:pPr>
    </w:p>
    <w:tbl>
      <w:tblPr>
        <w:tblW w:w="0" w:type="auto"/>
        <w:tblLayout w:type="fixed"/>
        <w:tblLook w:val="0000" w:firstRow="0" w:lastRow="0" w:firstColumn="0" w:lastColumn="0" w:noHBand="0" w:noVBand="0"/>
      </w:tblPr>
      <w:tblGrid>
        <w:gridCol w:w="2376"/>
        <w:gridCol w:w="6866"/>
      </w:tblGrid>
      <w:tr w:rsidR="00592D55" w:rsidTr="00EE473A">
        <w:tc>
          <w:tcPr>
            <w:tcW w:w="2376" w:type="dxa"/>
          </w:tcPr>
          <w:p w:rsidR="00592D55" w:rsidRDefault="00592D55" w:rsidP="00EE473A">
            <w:pPr>
              <w:pStyle w:val="NormalHeadings"/>
              <w:spacing w:after="120"/>
              <w:jc w:val="left"/>
              <w:rPr>
                <w:caps/>
                <w:szCs w:val="24"/>
              </w:rPr>
            </w:pPr>
            <w:bookmarkStart w:id="19" w:name="JudgeText"/>
            <w:r>
              <w:rPr>
                <w:caps/>
                <w:szCs w:val="24"/>
              </w:rPr>
              <w:t>JUDGES</w:t>
            </w:r>
            <w:bookmarkEnd w:id="19"/>
            <w:r>
              <w:rPr>
                <w:caps/>
                <w:szCs w:val="24"/>
              </w:rPr>
              <w:t>:</w:t>
            </w:r>
          </w:p>
        </w:tc>
        <w:tc>
          <w:tcPr>
            <w:tcW w:w="6866" w:type="dxa"/>
          </w:tcPr>
          <w:p w:rsidR="00592D55" w:rsidRDefault="00592D55" w:rsidP="00EE473A">
            <w:pPr>
              <w:pStyle w:val="NormalHeadings"/>
              <w:jc w:val="left"/>
              <w:rPr>
                <w:caps/>
                <w:szCs w:val="24"/>
              </w:rPr>
            </w:pPr>
            <w:bookmarkStart w:id="20" w:name="Judge"/>
            <w:r>
              <w:rPr>
                <w:caps/>
                <w:szCs w:val="24"/>
              </w:rPr>
              <w:t xml:space="preserve">BESANKO, GILMOUR AND RANGIAH </w:t>
            </w:r>
            <w:proofErr w:type="spellStart"/>
            <w:r>
              <w:rPr>
                <w:caps/>
                <w:szCs w:val="24"/>
              </w:rPr>
              <w:t>JJ</w:t>
            </w:r>
            <w:proofErr w:type="spellEnd"/>
            <w:r>
              <w:rPr>
                <w:caps/>
                <w:szCs w:val="24"/>
              </w:rPr>
              <w:t xml:space="preserve"> </w:t>
            </w:r>
            <w:bookmarkEnd w:id="20"/>
          </w:p>
        </w:tc>
      </w:tr>
      <w:tr w:rsidR="00592D55" w:rsidTr="00EE473A">
        <w:tc>
          <w:tcPr>
            <w:tcW w:w="2376" w:type="dxa"/>
          </w:tcPr>
          <w:p w:rsidR="00592D55" w:rsidRDefault="00592D55" w:rsidP="00EE473A">
            <w:pPr>
              <w:pStyle w:val="NormalHeadings"/>
              <w:spacing w:after="120"/>
              <w:jc w:val="left"/>
              <w:rPr>
                <w:caps/>
                <w:szCs w:val="24"/>
              </w:rPr>
            </w:pPr>
            <w:r>
              <w:rPr>
                <w:caps/>
                <w:szCs w:val="24"/>
              </w:rPr>
              <w:t>DATE OF ORDER:</w:t>
            </w:r>
          </w:p>
        </w:tc>
        <w:tc>
          <w:tcPr>
            <w:tcW w:w="6866" w:type="dxa"/>
          </w:tcPr>
          <w:p w:rsidR="00592D55" w:rsidRDefault="00C364F3" w:rsidP="00EE473A">
            <w:pPr>
              <w:pStyle w:val="NormalHeadings"/>
              <w:jc w:val="left"/>
              <w:rPr>
                <w:caps/>
                <w:szCs w:val="24"/>
              </w:rPr>
            </w:pPr>
            <w:bookmarkStart w:id="21" w:name="Judgment_Dated"/>
            <w:r>
              <w:rPr>
                <w:caps/>
                <w:szCs w:val="24"/>
              </w:rPr>
              <w:t>14</w:t>
            </w:r>
            <w:r w:rsidR="0038689A">
              <w:rPr>
                <w:caps/>
                <w:szCs w:val="24"/>
              </w:rPr>
              <w:t xml:space="preserve"> May</w:t>
            </w:r>
            <w:r w:rsidR="00592D55">
              <w:rPr>
                <w:caps/>
                <w:szCs w:val="24"/>
              </w:rPr>
              <w:t xml:space="preserve"> 2015</w:t>
            </w:r>
            <w:bookmarkEnd w:id="21"/>
          </w:p>
        </w:tc>
      </w:tr>
      <w:tr w:rsidR="00592D55" w:rsidTr="00EE473A">
        <w:tc>
          <w:tcPr>
            <w:tcW w:w="2376" w:type="dxa"/>
          </w:tcPr>
          <w:p w:rsidR="00592D55" w:rsidRDefault="00592D55" w:rsidP="00EE473A">
            <w:pPr>
              <w:pStyle w:val="NormalHeadings"/>
              <w:spacing w:after="120"/>
              <w:jc w:val="left"/>
              <w:rPr>
                <w:caps/>
                <w:szCs w:val="24"/>
              </w:rPr>
            </w:pPr>
            <w:r>
              <w:rPr>
                <w:caps/>
                <w:szCs w:val="24"/>
              </w:rPr>
              <w:t>WHERE MADE:</w:t>
            </w:r>
          </w:p>
        </w:tc>
        <w:tc>
          <w:tcPr>
            <w:tcW w:w="6866" w:type="dxa"/>
          </w:tcPr>
          <w:p w:rsidR="00592D55" w:rsidRDefault="00592D55" w:rsidP="00EE473A">
            <w:pPr>
              <w:pStyle w:val="NormalHeadings"/>
              <w:jc w:val="left"/>
              <w:rPr>
                <w:caps/>
                <w:szCs w:val="24"/>
              </w:rPr>
            </w:pPr>
            <w:bookmarkStart w:id="22" w:name="Place"/>
            <w:r>
              <w:rPr>
                <w:caps/>
                <w:szCs w:val="24"/>
              </w:rPr>
              <w:t>BRISBANE</w:t>
            </w:r>
            <w:bookmarkEnd w:id="22"/>
          </w:p>
        </w:tc>
      </w:tr>
    </w:tbl>
    <w:p w:rsidR="00592D55" w:rsidRDefault="00592D55" w:rsidP="00592D55">
      <w:pPr>
        <w:pStyle w:val="NormalHeadings"/>
        <w:rPr>
          <w:b w:val="0"/>
        </w:rPr>
      </w:pPr>
    </w:p>
    <w:p w:rsidR="00592D55" w:rsidRDefault="00592D55" w:rsidP="00592D55">
      <w:pPr>
        <w:pStyle w:val="NormalHeadings"/>
      </w:pPr>
      <w:r>
        <w:t>THE COURT ORDERS THAT:</w:t>
      </w:r>
    </w:p>
    <w:p w:rsidR="00592D55" w:rsidRDefault="00592D55" w:rsidP="00592D55">
      <w:pPr>
        <w:pStyle w:val="NormalHeadings"/>
      </w:pPr>
    </w:p>
    <w:p w:rsidR="00592D55" w:rsidRDefault="003B1253" w:rsidP="003B1253">
      <w:pPr>
        <w:pStyle w:val="Order1"/>
        <w:numPr>
          <w:ilvl w:val="0"/>
          <w:numId w:val="0"/>
        </w:numPr>
        <w:ind w:left="720" w:hanging="720"/>
      </w:pPr>
      <w:r>
        <w:t>1.</w:t>
      </w:r>
      <w:r>
        <w:tab/>
      </w:r>
      <w:r w:rsidR="00592D55">
        <w:t xml:space="preserve">The appeal </w:t>
      </w:r>
      <w:proofErr w:type="gramStart"/>
      <w:r w:rsidR="00592D55">
        <w:t>be</w:t>
      </w:r>
      <w:proofErr w:type="gramEnd"/>
      <w:r w:rsidR="00592D55">
        <w:t xml:space="preserve"> allowed in part.</w:t>
      </w:r>
    </w:p>
    <w:p w:rsidR="00592D55" w:rsidRDefault="003B1253" w:rsidP="003B1253">
      <w:pPr>
        <w:pStyle w:val="Order1"/>
        <w:numPr>
          <w:ilvl w:val="0"/>
          <w:numId w:val="0"/>
        </w:numPr>
        <w:ind w:left="720" w:hanging="720"/>
      </w:pPr>
      <w:r>
        <w:t>2.</w:t>
      </w:r>
      <w:r>
        <w:tab/>
      </w:r>
      <w:r w:rsidR="00592D55">
        <w:t>Order 2 of the orders made by the Federal Circuit Court of Australia on 28 November 2013 that the appellant pay the first respondent $343,319.13 be varied by substituting for that amount the amount of $172,467.88.</w:t>
      </w:r>
    </w:p>
    <w:p w:rsidR="00592D55" w:rsidRDefault="003B1253" w:rsidP="003B1253">
      <w:pPr>
        <w:pStyle w:val="Order1"/>
        <w:numPr>
          <w:ilvl w:val="0"/>
          <w:numId w:val="0"/>
        </w:numPr>
        <w:ind w:left="720" w:hanging="720"/>
      </w:pPr>
      <w:r>
        <w:t>3.</w:t>
      </w:r>
      <w:r>
        <w:tab/>
      </w:r>
      <w:r w:rsidR="00592D55">
        <w:t xml:space="preserve">Otherwise the appeal </w:t>
      </w:r>
      <w:proofErr w:type="gramStart"/>
      <w:r w:rsidR="00592D55">
        <w:t>be</w:t>
      </w:r>
      <w:proofErr w:type="gramEnd"/>
      <w:r w:rsidR="00592D55">
        <w:t xml:space="preserve"> dismissed.</w:t>
      </w:r>
    </w:p>
    <w:p w:rsidR="00592D55" w:rsidRDefault="003B1253" w:rsidP="003B1253">
      <w:pPr>
        <w:pStyle w:val="Order1"/>
        <w:numPr>
          <w:ilvl w:val="0"/>
          <w:numId w:val="0"/>
        </w:numPr>
        <w:ind w:left="720" w:hanging="720"/>
      </w:pPr>
      <w:r>
        <w:t>4.</w:t>
      </w:r>
      <w:r>
        <w:tab/>
      </w:r>
      <w:r w:rsidR="00592D55">
        <w:t xml:space="preserve">The appellant pay the respondents’ costs thrown away by reason of the appellant’s abandonment of </w:t>
      </w:r>
      <w:proofErr w:type="gramStart"/>
      <w:r w:rsidR="00592D55">
        <w:t>various</w:t>
      </w:r>
      <w:proofErr w:type="gramEnd"/>
      <w:r w:rsidR="00592D55">
        <w:t xml:space="preserve"> of its grounds of appeal.</w:t>
      </w:r>
    </w:p>
    <w:p w:rsidR="00592D55" w:rsidRDefault="003B1253" w:rsidP="003B1253">
      <w:pPr>
        <w:pStyle w:val="Order1"/>
        <w:numPr>
          <w:ilvl w:val="0"/>
          <w:numId w:val="0"/>
        </w:numPr>
        <w:ind w:left="720" w:hanging="720"/>
      </w:pPr>
      <w:r>
        <w:t>5.</w:t>
      </w:r>
      <w:r>
        <w:tab/>
      </w:r>
      <w:r w:rsidR="00592D55">
        <w:t xml:space="preserve">The costs, the subject of Order 4, </w:t>
      </w:r>
      <w:proofErr w:type="gramStart"/>
      <w:r w:rsidR="00592D55">
        <w:t>be</w:t>
      </w:r>
      <w:proofErr w:type="gramEnd"/>
      <w:r w:rsidR="00592D55">
        <w:t xml:space="preserve"> paid on an indemnity basis forthwith.</w:t>
      </w:r>
    </w:p>
    <w:p w:rsidR="00592D55" w:rsidRDefault="003B1253" w:rsidP="003B1253">
      <w:pPr>
        <w:pStyle w:val="Order1"/>
        <w:numPr>
          <w:ilvl w:val="0"/>
          <w:numId w:val="0"/>
        </w:numPr>
        <w:ind w:left="720" w:hanging="720"/>
      </w:pPr>
      <w:r>
        <w:t>6.</w:t>
      </w:r>
      <w:r>
        <w:tab/>
      </w:r>
      <w:r w:rsidR="00592D55">
        <w:t>The appellant pay the respondents’ costs of the appeal.</w:t>
      </w:r>
    </w:p>
    <w:p w:rsidR="00592D55" w:rsidRPr="00521260" w:rsidRDefault="00592D55" w:rsidP="00592D55">
      <w:pPr>
        <w:pStyle w:val="Order1"/>
        <w:numPr>
          <w:ilvl w:val="0"/>
          <w:numId w:val="0"/>
        </w:numPr>
        <w:ind w:left="720"/>
      </w:pPr>
    </w:p>
    <w:p w:rsidR="00592D55" w:rsidRDefault="00592D55" w:rsidP="00592D55">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592D55" w:rsidRDefault="00592D55" w:rsidP="00592D55">
      <w:r>
        <w:br w:type="page"/>
      </w:r>
    </w:p>
    <w:tbl>
      <w:tblPr>
        <w:tblW w:w="0" w:type="auto"/>
        <w:tblLayout w:type="fixed"/>
        <w:tblLook w:val="0000" w:firstRow="0" w:lastRow="0" w:firstColumn="0" w:lastColumn="0" w:noHBand="0" w:noVBand="0"/>
      </w:tblPr>
      <w:tblGrid>
        <w:gridCol w:w="6771"/>
        <w:gridCol w:w="2471"/>
      </w:tblGrid>
      <w:tr w:rsidR="00592D55" w:rsidTr="00EE473A">
        <w:tc>
          <w:tcPr>
            <w:tcW w:w="6771" w:type="dxa"/>
          </w:tcPr>
          <w:p w:rsidR="00592D55" w:rsidRDefault="00592D55" w:rsidP="00EE473A">
            <w:pPr>
              <w:pStyle w:val="NormalHeadings"/>
              <w:spacing w:after="120"/>
              <w:jc w:val="left"/>
              <w:rPr>
                <w:caps/>
                <w:szCs w:val="24"/>
              </w:rPr>
            </w:pPr>
            <w:r>
              <w:rPr>
                <w:caps/>
                <w:szCs w:val="24"/>
              </w:rPr>
              <w:lastRenderedPageBreak/>
              <w:t>IN THE FEDERAL COURT OF AUSTRALIA</w:t>
            </w:r>
          </w:p>
        </w:tc>
        <w:tc>
          <w:tcPr>
            <w:tcW w:w="2471" w:type="dxa"/>
          </w:tcPr>
          <w:p w:rsidR="00592D55" w:rsidRDefault="00592D55" w:rsidP="00EE473A">
            <w:pPr>
              <w:pStyle w:val="NormalHeadings"/>
              <w:jc w:val="left"/>
              <w:rPr>
                <w:caps/>
                <w:szCs w:val="24"/>
              </w:rPr>
            </w:pPr>
          </w:p>
        </w:tc>
      </w:tr>
      <w:tr w:rsidR="00592D55" w:rsidTr="00EE473A">
        <w:tc>
          <w:tcPr>
            <w:tcW w:w="6771" w:type="dxa"/>
          </w:tcPr>
          <w:p w:rsidR="00592D55" w:rsidRDefault="00592D55" w:rsidP="00EE473A">
            <w:pPr>
              <w:pStyle w:val="NormalHeadings"/>
              <w:spacing w:after="120"/>
              <w:jc w:val="left"/>
              <w:rPr>
                <w:caps/>
                <w:szCs w:val="24"/>
              </w:rPr>
            </w:pPr>
            <w:r>
              <w:rPr>
                <w:caps/>
                <w:szCs w:val="24"/>
              </w:rPr>
              <w:t>QUEENSLAND DISTRICT REGISTRY</w:t>
            </w:r>
          </w:p>
        </w:tc>
        <w:tc>
          <w:tcPr>
            <w:tcW w:w="2471" w:type="dxa"/>
          </w:tcPr>
          <w:p w:rsidR="00592D55" w:rsidRDefault="00592D55" w:rsidP="00EE473A">
            <w:pPr>
              <w:pStyle w:val="NormalHeadings"/>
              <w:tabs>
                <w:tab w:val="right" w:pos="3609"/>
              </w:tabs>
              <w:jc w:val="right"/>
              <w:rPr>
                <w:szCs w:val="24"/>
              </w:rPr>
            </w:pPr>
          </w:p>
        </w:tc>
      </w:tr>
      <w:tr w:rsidR="00592D55" w:rsidTr="00EE473A">
        <w:tc>
          <w:tcPr>
            <w:tcW w:w="6771" w:type="dxa"/>
          </w:tcPr>
          <w:p w:rsidR="00592D55" w:rsidRDefault="00592D55" w:rsidP="00EE473A">
            <w:pPr>
              <w:pStyle w:val="NormalHeadings"/>
              <w:spacing w:after="120"/>
              <w:jc w:val="left"/>
              <w:rPr>
                <w:caps/>
                <w:szCs w:val="24"/>
              </w:rPr>
            </w:pPr>
            <w:r>
              <w:rPr>
                <w:caps/>
                <w:szCs w:val="24"/>
              </w:rPr>
              <w:t>GENERAL DIVISION</w:t>
            </w:r>
          </w:p>
        </w:tc>
        <w:tc>
          <w:tcPr>
            <w:tcW w:w="2471" w:type="dxa"/>
          </w:tcPr>
          <w:p w:rsidR="00592D55" w:rsidRDefault="00592D55" w:rsidP="00EE473A">
            <w:pPr>
              <w:pStyle w:val="NormalHeadings"/>
              <w:tabs>
                <w:tab w:val="right" w:pos="3609"/>
              </w:tabs>
              <w:jc w:val="right"/>
              <w:rPr>
                <w:szCs w:val="24"/>
              </w:rPr>
            </w:pPr>
            <w:proofErr w:type="spellStart"/>
            <w:r>
              <w:rPr>
                <w:szCs w:val="24"/>
              </w:rPr>
              <w:t>QUD</w:t>
            </w:r>
            <w:proofErr w:type="spellEnd"/>
            <w:r>
              <w:rPr>
                <w:szCs w:val="24"/>
              </w:rPr>
              <w:t xml:space="preserve"> 828 of 2013</w:t>
            </w:r>
          </w:p>
        </w:tc>
      </w:tr>
    </w:tbl>
    <w:p w:rsidR="00592D55" w:rsidRDefault="00592D55" w:rsidP="00592D55">
      <w:pPr>
        <w:pStyle w:val="AppealTable"/>
      </w:pPr>
    </w:p>
    <w:tbl>
      <w:tblPr>
        <w:tblW w:w="0" w:type="auto"/>
        <w:tblLook w:val="01E0" w:firstRow="1" w:lastRow="1" w:firstColumn="1" w:lastColumn="1" w:noHBand="0" w:noVBand="0"/>
      </w:tblPr>
      <w:tblGrid>
        <w:gridCol w:w="9243"/>
      </w:tblGrid>
      <w:tr w:rsidR="00592D55" w:rsidRPr="00584F57" w:rsidTr="00EE473A">
        <w:tc>
          <w:tcPr>
            <w:tcW w:w="9243" w:type="dxa"/>
            <w:shd w:val="clear" w:color="auto" w:fill="auto"/>
          </w:tcPr>
          <w:p w:rsidR="00592D55" w:rsidRPr="00584F57" w:rsidRDefault="003B1253" w:rsidP="00EE473A">
            <w:pPr>
              <w:pStyle w:val="AppealTable"/>
              <w:widowControl w:val="0"/>
              <w:spacing w:line="360" w:lineRule="auto"/>
              <w:jc w:val="both"/>
              <w:rPr>
                <w:caps w:val="0"/>
                <w:sz w:val="24"/>
                <w:szCs w:val="20"/>
                <w:lang w:eastAsia="en-AU"/>
              </w:rPr>
            </w:pPr>
            <w:r w:rsidRPr="00584F57">
              <w:rPr>
                <w:caps w:val="0"/>
                <w:sz w:val="24"/>
                <w:szCs w:val="20"/>
                <w:lang w:eastAsia="en-AU"/>
              </w:rPr>
              <w:t>ON APPEAL FROM THE FEDERAL CIRCUIT COURT OF AUSTRALIA</w:t>
            </w:r>
          </w:p>
        </w:tc>
      </w:tr>
    </w:tbl>
    <w:p w:rsidR="00592D55" w:rsidRDefault="00592D55" w:rsidP="00592D55">
      <w:pPr>
        <w:pStyle w:val="AppealTable"/>
      </w:pPr>
    </w:p>
    <w:tbl>
      <w:tblPr>
        <w:tblW w:w="0" w:type="auto"/>
        <w:tblLayout w:type="fixed"/>
        <w:tblLook w:val="0000" w:firstRow="0" w:lastRow="0" w:firstColumn="0" w:lastColumn="0" w:noHBand="0" w:noVBand="0"/>
      </w:tblPr>
      <w:tblGrid>
        <w:gridCol w:w="2376"/>
        <w:gridCol w:w="6866"/>
      </w:tblGrid>
      <w:tr w:rsidR="00592D55" w:rsidTr="00EE473A">
        <w:trPr>
          <w:trHeight w:val="386"/>
        </w:trPr>
        <w:tc>
          <w:tcPr>
            <w:tcW w:w="2376" w:type="dxa"/>
          </w:tcPr>
          <w:p w:rsidR="00592D55" w:rsidRDefault="00592D55" w:rsidP="00EE473A">
            <w:pPr>
              <w:pStyle w:val="NormalHeadings"/>
              <w:jc w:val="left"/>
              <w:rPr>
                <w:caps/>
                <w:szCs w:val="24"/>
              </w:rPr>
            </w:pPr>
            <w:r>
              <w:rPr>
                <w:caps/>
                <w:szCs w:val="24"/>
              </w:rPr>
              <w:t>BETWEEN:</w:t>
            </w:r>
          </w:p>
        </w:tc>
        <w:tc>
          <w:tcPr>
            <w:tcW w:w="6866" w:type="dxa"/>
          </w:tcPr>
          <w:p w:rsidR="00592D55" w:rsidRDefault="00592D55" w:rsidP="00EE473A">
            <w:pPr>
              <w:pStyle w:val="NormalHeadings"/>
              <w:jc w:val="left"/>
              <w:rPr>
                <w:szCs w:val="24"/>
              </w:rPr>
            </w:pPr>
            <w:r>
              <w:rPr>
                <w:szCs w:val="24"/>
              </w:rPr>
              <w:t>SIDNEY CHARLES KNELL</w:t>
            </w:r>
          </w:p>
          <w:p w:rsidR="00592D55" w:rsidRDefault="00592D55" w:rsidP="00EE473A">
            <w:pPr>
              <w:pStyle w:val="NormalHeadings"/>
              <w:jc w:val="left"/>
              <w:rPr>
                <w:szCs w:val="24"/>
              </w:rPr>
            </w:pPr>
            <w:r>
              <w:rPr>
                <w:szCs w:val="24"/>
              </w:rPr>
              <w:t>Appellant</w:t>
            </w:r>
          </w:p>
          <w:p w:rsidR="00592D55" w:rsidRDefault="00592D55" w:rsidP="00EE473A">
            <w:pPr>
              <w:pStyle w:val="NormalHeadings"/>
              <w:jc w:val="left"/>
              <w:rPr>
                <w:szCs w:val="24"/>
              </w:rPr>
            </w:pPr>
          </w:p>
        </w:tc>
      </w:tr>
      <w:tr w:rsidR="00592D55" w:rsidTr="00EE473A">
        <w:trPr>
          <w:trHeight w:val="386"/>
        </w:trPr>
        <w:tc>
          <w:tcPr>
            <w:tcW w:w="2376" w:type="dxa"/>
          </w:tcPr>
          <w:p w:rsidR="00592D55" w:rsidRDefault="00592D55" w:rsidP="00EE473A">
            <w:pPr>
              <w:pStyle w:val="NormalHeadings"/>
              <w:jc w:val="left"/>
              <w:rPr>
                <w:caps/>
                <w:szCs w:val="24"/>
              </w:rPr>
            </w:pPr>
            <w:r>
              <w:rPr>
                <w:caps/>
                <w:szCs w:val="24"/>
              </w:rPr>
              <w:t>AND:</w:t>
            </w:r>
          </w:p>
        </w:tc>
        <w:tc>
          <w:tcPr>
            <w:tcW w:w="6866" w:type="dxa"/>
          </w:tcPr>
          <w:p w:rsidR="00592D55" w:rsidRDefault="00592D55" w:rsidP="00EE473A">
            <w:pPr>
              <w:pStyle w:val="NormalHeadings"/>
              <w:jc w:val="left"/>
              <w:rPr>
                <w:szCs w:val="24"/>
              </w:rPr>
            </w:pPr>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592D55" w:rsidRDefault="00592D55" w:rsidP="00EE473A">
            <w:pPr>
              <w:pStyle w:val="NormalHeadings"/>
              <w:jc w:val="left"/>
              <w:rPr>
                <w:szCs w:val="24"/>
              </w:rPr>
            </w:pPr>
            <w:r>
              <w:rPr>
                <w:szCs w:val="24"/>
              </w:rPr>
              <w:t>First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 xml:space="preserve">LORENZO MARIO </w:t>
            </w:r>
            <w:proofErr w:type="spellStart"/>
            <w:r>
              <w:rPr>
                <w:szCs w:val="24"/>
              </w:rPr>
              <w:t>REGINATO</w:t>
            </w:r>
            <w:proofErr w:type="spellEnd"/>
          </w:p>
          <w:p w:rsidR="00592D55" w:rsidRDefault="00592D55" w:rsidP="00EE473A">
            <w:pPr>
              <w:pStyle w:val="NormalHeadings"/>
              <w:jc w:val="left"/>
              <w:rPr>
                <w:szCs w:val="24"/>
              </w:rPr>
            </w:pPr>
            <w:r>
              <w:rPr>
                <w:szCs w:val="24"/>
              </w:rPr>
              <w:t>Second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ANTONY JAMES SCHOFIELD</w:t>
            </w:r>
          </w:p>
          <w:p w:rsidR="00592D55" w:rsidRDefault="00592D55" w:rsidP="00EE473A">
            <w:pPr>
              <w:pStyle w:val="NormalHeadings"/>
              <w:jc w:val="left"/>
              <w:rPr>
                <w:szCs w:val="24"/>
              </w:rPr>
            </w:pPr>
            <w:r>
              <w:rPr>
                <w:szCs w:val="24"/>
              </w:rPr>
              <w:t>Third Respondent</w:t>
            </w:r>
          </w:p>
          <w:p w:rsidR="00592D55" w:rsidRDefault="00592D55" w:rsidP="00EE473A">
            <w:pPr>
              <w:pStyle w:val="NormalHeadings"/>
              <w:jc w:val="left"/>
              <w:rPr>
                <w:szCs w:val="24"/>
              </w:rPr>
            </w:pPr>
          </w:p>
        </w:tc>
      </w:tr>
    </w:tbl>
    <w:p w:rsidR="00592D55" w:rsidRDefault="00592D55" w:rsidP="00592D55">
      <w:pPr>
        <w:pStyle w:val="NormalHeadings"/>
      </w:pPr>
    </w:p>
    <w:tbl>
      <w:tblPr>
        <w:tblW w:w="0" w:type="auto"/>
        <w:tblLayout w:type="fixed"/>
        <w:tblLook w:val="0000" w:firstRow="0" w:lastRow="0" w:firstColumn="0" w:lastColumn="0" w:noHBand="0" w:noVBand="0"/>
      </w:tblPr>
      <w:tblGrid>
        <w:gridCol w:w="2376"/>
        <w:gridCol w:w="6866"/>
      </w:tblGrid>
      <w:tr w:rsidR="00592D55" w:rsidTr="00EE473A">
        <w:tc>
          <w:tcPr>
            <w:tcW w:w="2376" w:type="dxa"/>
          </w:tcPr>
          <w:p w:rsidR="00592D55" w:rsidRDefault="00592D55" w:rsidP="00EE473A">
            <w:pPr>
              <w:pStyle w:val="NormalHeadings"/>
              <w:spacing w:after="120"/>
              <w:jc w:val="left"/>
              <w:rPr>
                <w:caps/>
                <w:szCs w:val="24"/>
              </w:rPr>
            </w:pPr>
            <w:r>
              <w:rPr>
                <w:caps/>
                <w:szCs w:val="24"/>
              </w:rPr>
              <w:t>JUDGES:</w:t>
            </w:r>
          </w:p>
        </w:tc>
        <w:tc>
          <w:tcPr>
            <w:tcW w:w="6866" w:type="dxa"/>
          </w:tcPr>
          <w:p w:rsidR="00592D55" w:rsidRDefault="00592D55" w:rsidP="00EE473A">
            <w:pPr>
              <w:pStyle w:val="NormalHeadings"/>
              <w:jc w:val="left"/>
              <w:rPr>
                <w:caps/>
                <w:szCs w:val="24"/>
              </w:rPr>
            </w:pPr>
            <w:r>
              <w:rPr>
                <w:caps/>
                <w:szCs w:val="24"/>
              </w:rPr>
              <w:t xml:space="preserve">BESANKO, GILMOUr AND RANGIAH </w:t>
            </w:r>
            <w:proofErr w:type="spellStart"/>
            <w:r>
              <w:rPr>
                <w:caps/>
                <w:szCs w:val="24"/>
              </w:rPr>
              <w:t>JJ</w:t>
            </w:r>
            <w:proofErr w:type="spellEnd"/>
          </w:p>
        </w:tc>
      </w:tr>
      <w:tr w:rsidR="00592D55" w:rsidTr="00EE473A">
        <w:tc>
          <w:tcPr>
            <w:tcW w:w="2376" w:type="dxa"/>
          </w:tcPr>
          <w:p w:rsidR="00592D55" w:rsidRDefault="00592D55" w:rsidP="00EE473A">
            <w:pPr>
              <w:pStyle w:val="NormalHeadings"/>
              <w:spacing w:after="120"/>
              <w:jc w:val="left"/>
              <w:rPr>
                <w:caps/>
                <w:szCs w:val="24"/>
              </w:rPr>
            </w:pPr>
            <w:r>
              <w:rPr>
                <w:caps/>
                <w:szCs w:val="24"/>
              </w:rPr>
              <w:t>DATE OF ORDER:</w:t>
            </w:r>
          </w:p>
        </w:tc>
        <w:tc>
          <w:tcPr>
            <w:tcW w:w="6866" w:type="dxa"/>
          </w:tcPr>
          <w:p w:rsidR="00592D55" w:rsidRDefault="00C364F3" w:rsidP="00EE473A">
            <w:pPr>
              <w:pStyle w:val="NormalHeadings"/>
              <w:jc w:val="left"/>
              <w:rPr>
                <w:caps/>
                <w:szCs w:val="24"/>
              </w:rPr>
            </w:pPr>
            <w:r>
              <w:rPr>
                <w:caps/>
                <w:szCs w:val="24"/>
              </w:rPr>
              <w:t>14</w:t>
            </w:r>
            <w:r w:rsidR="0038689A">
              <w:rPr>
                <w:caps/>
                <w:szCs w:val="24"/>
              </w:rPr>
              <w:t xml:space="preserve"> May</w:t>
            </w:r>
            <w:r w:rsidR="00592D55">
              <w:rPr>
                <w:caps/>
                <w:szCs w:val="24"/>
              </w:rPr>
              <w:t xml:space="preserve"> 2015</w:t>
            </w:r>
          </w:p>
        </w:tc>
      </w:tr>
      <w:tr w:rsidR="00592D55" w:rsidTr="00EE473A">
        <w:tc>
          <w:tcPr>
            <w:tcW w:w="2376" w:type="dxa"/>
          </w:tcPr>
          <w:p w:rsidR="00592D55" w:rsidRDefault="00592D55" w:rsidP="00EE473A">
            <w:pPr>
              <w:pStyle w:val="NormalHeadings"/>
              <w:spacing w:after="120"/>
              <w:jc w:val="left"/>
              <w:rPr>
                <w:caps/>
                <w:szCs w:val="24"/>
              </w:rPr>
            </w:pPr>
            <w:r>
              <w:rPr>
                <w:caps/>
                <w:szCs w:val="24"/>
              </w:rPr>
              <w:t>WHERE MADE:</w:t>
            </w:r>
          </w:p>
        </w:tc>
        <w:tc>
          <w:tcPr>
            <w:tcW w:w="6866" w:type="dxa"/>
          </w:tcPr>
          <w:p w:rsidR="00592D55" w:rsidRDefault="00592D55" w:rsidP="00EE473A">
            <w:pPr>
              <w:pStyle w:val="NormalHeadings"/>
              <w:jc w:val="left"/>
              <w:rPr>
                <w:caps/>
                <w:szCs w:val="24"/>
              </w:rPr>
            </w:pPr>
            <w:r>
              <w:rPr>
                <w:caps/>
                <w:szCs w:val="24"/>
              </w:rPr>
              <w:t>BRISBANE</w:t>
            </w:r>
          </w:p>
        </w:tc>
      </w:tr>
    </w:tbl>
    <w:p w:rsidR="00592D55" w:rsidRDefault="00592D55" w:rsidP="00592D55">
      <w:pPr>
        <w:pStyle w:val="NormalHeadings"/>
        <w:rPr>
          <w:b w:val="0"/>
        </w:rPr>
      </w:pPr>
    </w:p>
    <w:p w:rsidR="00592D55" w:rsidRDefault="00592D55" w:rsidP="00592D55">
      <w:pPr>
        <w:pStyle w:val="NormalHeadings"/>
      </w:pPr>
      <w:r>
        <w:t>THE COURT ORDERS THAT:</w:t>
      </w:r>
    </w:p>
    <w:p w:rsidR="00592D55" w:rsidRDefault="00592D55" w:rsidP="00592D55">
      <w:pPr>
        <w:pStyle w:val="NormalHeadings"/>
      </w:pPr>
    </w:p>
    <w:p w:rsidR="00592D55" w:rsidRPr="00041806" w:rsidRDefault="003B1253" w:rsidP="003B1253">
      <w:pPr>
        <w:pStyle w:val="Order1"/>
        <w:numPr>
          <w:ilvl w:val="0"/>
          <w:numId w:val="0"/>
        </w:numPr>
        <w:ind w:left="720" w:hanging="720"/>
        <w:rPr>
          <w:szCs w:val="24"/>
        </w:rPr>
      </w:pPr>
      <w:r w:rsidRPr="00041806">
        <w:rPr>
          <w:szCs w:val="24"/>
        </w:rPr>
        <w:t>1.</w:t>
      </w:r>
      <w:r w:rsidRPr="00041806">
        <w:rPr>
          <w:szCs w:val="24"/>
        </w:rPr>
        <w:tab/>
      </w:r>
      <w:r w:rsidR="00592D55" w:rsidRPr="00041806">
        <w:rPr>
          <w:szCs w:val="24"/>
        </w:rPr>
        <w:t xml:space="preserve">The appeal </w:t>
      </w:r>
      <w:proofErr w:type="gramStart"/>
      <w:r w:rsidR="00592D55" w:rsidRPr="00041806">
        <w:rPr>
          <w:szCs w:val="24"/>
        </w:rPr>
        <w:t>be</w:t>
      </w:r>
      <w:proofErr w:type="gramEnd"/>
      <w:r w:rsidR="00592D55" w:rsidRPr="00041806">
        <w:rPr>
          <w:szCs w:val="24"/>
        </w:rPr>
        <w:t xml:space="preserve"> allowed.</w:t>
      </w:r>
    </w:p>
    <w:p w:rsidR="00592D55" w:rsidRDefault="003B1253" w:rsidP="003B1253">
      <w:pPr>
        <w:pStyle w:val="Order1"/>
        <w:numPr>
          <w:ilvl w:val="0"/>
          <w:numId w:val="0"/>
        </w:numPr>
        <w:ind w:left="720" w:hanging="720"/>
        <w:rPr>
          <w:szCs w:val="24"/>
        </w:rPr>
      </w:pPr>
      <w:r>
        <w:rPr>
          <w:szCs w:val="24"/>
        </w:rPr>
        <w:t>2.</w:t>
      </w:r>
      <w:r>
        <w:rPr>
          <w:szCs w:val="24"/>
        </w:rPr>
        <w:tab/>
      </w:r>
      <w:r w:rsidR="00592D55">
        <w:rPr>
          <w:szCs w:val="24"/>
        </w:rPr>
        <w:t>Order 4 of the orders made by the Federal Circuit Court of Australia on 28 November 2013 be varied such that the words “and Mr Sidney Charles Knell” be deleted.</w:t>
      </w:r>
    </w:p>
    <w:p w:rsidR="00592D55" w:rsidRDefault="003B1253" w:rsidP="003B1253">
      <w:pPr>
        <w:pStyle w:val="Order1"/>
        <w:numPr>
          <w:ilvl w:val="0"/>
          <w:numId w:val="0"/>
        </w:numPr>
        <w:ind w:left="720" w:hanging="720"/>
        <w:rPr>
          <w:szCs w:val="24"/>
        </w:rPr>
      </w:pPr>
      <w:r>
        <w:rPr>
          <w:szCs w:val="24"/>
        </w:rPr>
        <w:t>3.</w:t>
      </w:r>
      <w:r>
        <w:rPr>
          <w:szCs w:val="24"/>
        </w:rPr>
        <w:tab/>
      </w:r>
      <w:r w:rsidR="00592D55">
        <w:rPr>
          <w:szCs w:val="24"/>
        </w:rPr>
        <w:t xml:space="preserve">The matter </w:t>
      </w:r>
      <w:proofErr w:type="gramStart"/>
      <w:r w:rsidR="00592D55">
        <w:rPr>
          <w:szCs w:val="24"/>
        </w:rPr>
        <w:t>be</w:t>
      </w:r>
      <w:proofErr w:type="gramEnd"/>
      <w:r w:rsidR="00592D55">
        <w:rPr>
          <w:szCs w:val="24"/>
        </w:rPr>
        <w:t xml:space="preserve"> remitted to the Federal Circuit Court of Australia for the application for non-party costs to be considered according to law and in light of these reasons.</w:t>
      </w:r>
    </w:p>
    <w:p w:rsidR="00592D55" w:rsidRDefault="003B1253" w:rsidP="003B1253">
      <w:pPr>
        <w:pStyle w:val="Order1"/>
        <w:numPr>
          <w:ilvl w:val="0"/>
          <w:numId w:val="0"/>
        </w:numPr>
        <w:ind w:left="720" w:hanging="720"/>
        <w:rPr>
          <w:szCs w:val="24"/>
        </w:rPr>
      </w:pPr>
      <w:r>
        <w:rPr>
          <w:szCs w:val="24"/>
        </w:rPr>
        <w:t>4.</w:t>
      </w:r>
      <w:r>
        <w:rPr>
          <w:szCs w:val="24"/>
        </w:rPr>
        <w:tab/>
      </w:r>
      <w:r w:rsidR="00592D55">
        <w:rPr>
          <w:szCs w:val="24"/>
        </w:rPr>
        <w:t>The respondents pay the appellant’s costs.</w:t>
      </w:r>
    </w:p>
    <w:p w:rsidR="00592D55" w:rsidRDefault="00592D55" w:rsidP="00592D55">
      <w:pPr>
        <w:spacing w:before="60" w:after="60"/>
      </w:pPr>
    </w:p>
    <w:p w:rsidR="00592D55" w:rsidRDefault="00592D55" w:rsidP="00592D55">
      <w:pPr>
        <w:spacing w:before="60" w:after="60"/>
      </w:pPr>
    </w:p>
    <w:p w:rsidR="00592D55" w:rsidRDefault="00592D55" w:rsidP="00592D55">
      <w:pPr>
        <w:spacing w:before="60" w:after="60"/>
      </w:pPr>
    </w:p>
    <w:p w:rsidR="00592D55" w:rsidRDefault="00592D55" w:rsidP="00592D55">
      <w:pPr>
        <w:spacing w:before="60" w:after="60"/>
      </w:pPr>
    </w:p>
    <w:p w:rsidR="00592D55" w:rsidRDefault="00592D55" w:rsidP="00592D55">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592D55" w:rsidRDefault="00592D55" w:rsidP="00592D55"/>
    <w:p w:rsidR="00592D55" w:rsidRDefault="00592D55" w:rsidP="00592D55"/>
    <w:p w:rsidR="00592D55" w:rsidRDefault="00592D55" w:rsidP="00592D55">
      <w:pPr>
        <w:pStyle w:val="NormalHeadings"/>
        <w:spacing w:before="240" w:after="120"/>
        <w:rPr>
          <w:b w:val="0"/>
        </w:rPr>
        <w:sectPr w:rsidR="00592D55">
          <w:headerReference w:type="default" r:id="rId15"/>
          <w:headerReference w:type="first" r:id="rId16"/>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92D55" w:rsidTr="00EE473A">
        <w:tc>
          <w:tcPr>
            <w:tcW w:w="6771" w:type="dxa"/>
          </w:tcPr>
          <w:p w:rsidR="00592D55" w:rsidRDefault="00592D55" w:rsidP="00EE473A">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592D55" w:rsidRDefault="00592D55" w:rsidP="00EE473A">
            <w:pPr>
              <w:pStyle w:val="NormalHeadings"/>
            </w:pPr>
          </w:p>
        </w:tc>
      </w:tr>
      <w:tr w:rsidR="00592D55" w:rsidTr="00EE473A">
        <w:tc>
          <w:tcPr>
            <w:tcW w:w="6771" w:type="dxa"/>
          </w:tcPr>
          <w:p w:rsidR="00592D55" w:rsidRDefault="00592D55" w:rsidP="00EE473A">
            <w:pPr>
              <w:pStyle w:val="NormalHeadings"/>
              <w:spacing w:after="120"/>
              <w:jc w:val="left"/>
              <w:rPr>
                <w:caps/>
                <w:szCs w:val="24"/>
              </w:rPr>
            </w:pPr>
            <w:r>
              <w:rPr>
                <w:caps/>
                <w:szCs w:val="24"/>
              </w:rPr>
              <w:t>QUEENSLAND DISTRICT REGISTRY</w:t>
            </w:r>
          </w:p>
        </w:tc>
        <w:tc>
          <w:tcPr>
            <w:tcW w:w="2471" w:type="dxa"/>
          </w:tcPr>
          <w:p w:rsidR="00592D55" w:rsidRDefault="00592D55" w:rsidP="00EE473A">
            <w:pPr>
              <w:pStyle w:val="NormalHeadings"/>
              <w:tabs>
                <w:tab w:val="right" w:pos="3609"/>
              </w:tabs>
              <w:jc w:val="right"/>
              <w:rPr>
                <w:caps/>
                <w:szCs w:val="24"/>
              </w:rPr>
            </w:pPr>
          </w:p>
        </w:tc>
      </w:tr>
      <w:tr w:rsidR="00592D55" w:rsidTr="00EE473A">
        <w:tc>
          <w:tcPr>
            <w:tcW w:w="6771" w:type="dxa"/>
          </w:tcPr>
          <w:p w:rsidR="00592D55" w:rsidRDefault="00592D55" w:rsidP="00EE473A">
            <w:pPr>
              <w:pStyle w:val="NormalHeadings"/>
              <w:spacing w:after="120"/>
              <w:jc w:val="left"/>
              <w:rPr>
                <w:caps/>
                <w:szCs w:val="24"/>
              </w:rPr>
            </w:pPr>
            <w:r>
              <w:rPr>
                <w:caps/>
                <w:szCs w:val="24"/>
              </w:rPr>
              <w:t>GENERAL DIVISION</w:t>
            </w:r>
          </w:p>
        </w:tc>
        <w:tc>
          <w:tcPr>
            <w:tcW w:w="2471" w:type="dxa"/>
          </w:tcPr>
          <w:p w:rsidR="00592D55" w:rsidRDefault="00592D55" w:rsidP="00F60AEF">
            <w:pPr>
              <w:pStyle w:val="NormalHeadings"/>
              <w:tabs>
                <w:tab w:val="right" w:pos="3609"/>
              </w:tabs>
              <w:jc w:val="right"/>
              <w:rPr>
                <w:caps/>
                <w:szCs w:val="24"/>
              </w:rPr>
            </w:pPr>
            <w:proofErr w:type="spellStart"/>
            <w:r w:rsidRPr="00584F57">
              <w:rPr>
                <w:caps/>
                <w:szCs w:val="24"/>
              </w:rPr>
              <w:t>QUD</w:t>
            </w:r>
            <w:proofErr w:type="spellEnd"/>
            <w:r>
              <w:rPr>
                <w:szCs w:val="24"/>
              </w:rPr>
              <w:t xml:space="preserve"> 826 of 2013</w:t>
            </w:r>
          </w:p>
        </w:tc>
      </w:tr>
    </w:tbl>
    <w:p w:rsidR="00592D55" w:rsidRDefault="00592D55" w:rsidP="00592D55">
      <w:pPr>
        <w:pStyle w:val="AppealTable"/>
        <w:rPr>
          <w:b w:val="0"/>
          <w:caps w:val="0"/>
          <w:sz w:val="20"/>
          <w:szCs w:val="20"/>
          <w:lang w:eastAsia="en-AU"/>
        </w:rPr>
      </w:pPr>
    </w:p>
    <w:tbl>
      <w:tblPr>
        <w:tblW w:w="0" w:type="auto"/>
        <w:tblLook w:val="01E0" w:firstRow="1" w:lastRow="1" w:firstColumn="1" w:lastColumn="1" w:noHBand="0" w:noVBand="0"/>
      </w:tblPr>
      <w:tblGrid>
        <w:gridCol w:w="9243"/>
      </w:tblGrid>
      <w:tr w:rsidR="00592D55" w:rsidRPr="00584F57" w:rsidTr="00EE473A">
        <w:tc>
          <w:tcPr>
            <w:tcW w:w="9243" w:type="dxa"/>
            <w:shd w:val="clear" w:color="auto" w:fill="auto"/>
          </w:tcPr>
          <w:p w:rsidR="00592D55" w:rsidRPr="00584F57" w:rsidRDefault="003B1253" w:rsidP="00EE473A">
            <w:pPr>
              <w:pStyle w:val="AppealTable"/>
              <w:widowControl w:val="0"/>
              <w:spacing w:line="360" w:lineRule="auto"/>
              <w:jc w:val="both"/>
              <w:rPr>
                <w:caps w:val="0"/>
                <w:sz w:val="24"/>
                <w:szCs w:val="20"/>
                <w:lang w:eastAsia="en-AU"/>
              </w:rPr>
            </w:pPr>
            <w:r w:rsidRPr="00584F57">
              <w:rPr>
                <w:caps w:val="0"/>
                <w:sz w:val="24"/>
                <w:szCs w:val="20"/>
                <w:lang w:eastAsia="en-AU"/>
              </w:rPr>
              <w:t>ON APPEAL FROM THE FEDERAL CIRCUIT COURT OF AUSTRALIA</w:t>
            </w:r>
          </w:p>
        </w:tc>
      </w:tr>
    </w:tbl>
    <w:p w:rsidR="00592D55" w:rsidRDefault="00592D55" w:rsidP="00592D55">
      <w:pPr>
        <w:pStyle w:val="AppealTable"/>
      </w:pPr>
    </w:p>
    <w:tbl>
      <w:tblPr>
        <w:tblW w:w="0" w:type="auto"/>
        <w:tblLayout w:type="fixed"/>
        <w:tblLook w:val="0000" w:firstRow="0" w:lastRow="0" w:firstColumn="0" w:lastColumn="0" w:noHBand="0" w:noVBand="0"/>
      </w:tblPr>
      <w:tblGrid>
        <w:gridCol w:w="2376"/>
        <w:gridCol w:w="6866"/>
      </w:tblGrid>
      <w:tr w:rsidR="00592D55" w:rsidTr="00EE473A">
        <w:trPr>
          <w:trHeight w:val="386"/>
        </w:trPr>
        <w:tc>
          <w:tcPr>
            <w:tcW w:w="2376" w:type="dxa"/>
          </w:tcPr>
          <w:p w:rsidR="00592D55" w:rsidRDefault="00592D55" w:rsidP="00EE473A">
            <w:pPr>
              <w:pStyle w:val="NormalHeadings"/>
              <w:jc w:val="left"/>
              <w:rPr>
                <w:caps/>
                <w:szCs w:val="24"/>
              </w:rPr>
            </w:pPr>
            <w:r>
              <w:rPr>
                <w:caps/>
                <w:szCs w:val="24"/>
              </w:rPr>
              <w:t>BETWEEN:</w:t>
            </w:r>
          </w:p>
        </w:tc>
        <w:tc>
          <w:tcPr>
            <w:tcW w:w="6866" w:type="dxa"/>
          </w:tcPr>
          <w:p w:rsidR="00592D55" w:rsidRDefault="00592D55" w:rsidP="00EE473A">
            <w:pPr>
              <w:pStyle w:val="NormalHeadings"/>
              <w:jc w:val="left"/>
              <w:rPr>
                <w:szCs w:val="24"/>
              </w:rPr>
            </w:pPr>
            <w:r w:rsidRPr="00584F57">
              <w:rPr>
                <w:caps/>
                <w:szCs w:val="24"/>
              </w:rPr>
              <w:t>CENTRAL</w:t>
            </w:r>
            <w:r>
              <w:rPr>
                <w:szCs w:val="24"/>
              </w:rPr>
              <w:t xml:space="preserve"> QUEENSLAND DEVELOPMENT CORPORATION PTY LTD (FORMERLY </w:t>
            </w:r>
            <w:proofErr w:type="spellStart"/>
            <w:r>
              <w:rPr>
                <w:szCs w:val="24"/>
              </w:rPr>
              <w:t>BLUECHIP</w:t>
            </w:r>
            <w:proofErr w:type="spellEnd"/>
            <w:r>
              <w:rPr>
                <w:szCs w:val="24"/>
              </w:rPr>
              <w:t xml:space="preserve"> DEVELOPMENT CORPORATION (GLADSTONE) PTY LTD) </w:t>
            </w:r>
            <w:proofErr w:type="spellStart"/>
            <w:r>
              <w:rPr>
                <w:szCs w:val="24"/>
              </w:rPr>
              <w:t>ACN</w:t>
            </w:r>
            <w:proofErr w:type="spellEnd"/>
            <w:r>
              <w:rPr>
                <w:szCs w:val="24"/>
              </w:rPr>
              <w:t xml:space="preserve"> 120 112 781</w:t>
            </w:r>
          </w:p>
          <w:p w:rsidR="00592D55" w:rsidRDefault="00592D55" w:rsidP="00EE473A">
            <w:pPr>
              <w:pStyle w:val="NormalHeadings"/>
              <w:jc w:val="left"/>
              <w:rPr>
                <w:szCs w:val="24"/>
              </w:rPr>
            </w:pPr>
            <w:r>
              <w:rPr>
                <w:szCs w:val="24"/>
              </w:rPr>
              <w:t>Appellant</w:t>
            </w:r>
          </w:p>
          <w:p w:rsidR="00592D55" w:rsidRDefault="00592D55" w:rsidP="00EE473A">
            <w:pPr>
              <w:pStyle w:val="NormalHeadings"/>
              <w:jc w:val="left"/>
              <w:rPr>
                <w:caps/>
                <w:szCs w:val="24"/>
              </w:rPr>
            </w:pPr>
          </w:p>
        </w:tc>
      </w:tr>
      <w:tr w:rsidR="00592D55" w:rsidTr="00EE473A">
        <w:trPr>
          <w:trHeight w:val="386"/>
        </w:trPr>
        <w:tc>
          <w:tcPr>
            <w:tcW w:w="2376" w:type="dxa"/>
          </w:tcPr>
          <w:p w:rsidR="00592D55" w:rsidRDefault="00592D55" w:rsidP="00EE473A">
            <w:pPr>
              <w:pStyle w:val="NormalHeadings"/>
              <w:jc w:val="left"/>
              <w:rPr>
                <w:caps/>
                <w:szCs w:val="24"/>
              </w:rPr>
            </w:pPr>
            <w:r>
              <w:rPr>
                <w:caps/>
                <w:szCs w:val="24"/>
              </w:rPr>
              <w:t>AND:</w:t>
            </w:r>
          </w:p>
        </w:tc>
        <w:tc>
          <w:tcPr>
            <w:tcW w:w="6866" w:type="dxa"/>
          </w:tcPr>
          <w:p w:rsidR="00592D55" w:rsidRDefault="00592D55" w:rsidP="00EE473A">
            <w:pPr>
              <w:pStyle w:val="NormalHeadings"/>
              <w:jc w:val="left"/>
              <w:rPr>
                <w:szCs w:val="24"/>
              </w:rPr>
            </w:pPr>
            <w:proofErr w:type="spellStart"/>
            <w:r w:rsidRPr="00584F57">
              <w:rPr>
                <w:caps/>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592D55" w:rsidRDefault="00592D55" w:rsidP="00EE473A">
            <w:pPr>
              <w:pStyle w:val="NormalHeadings"/>
              <w:jc w:val="left"/>
              <w:rPr>
                <w:szCs w:val="24"/>
              </w:rPr>
            </w:pPr>
            <w:r>
              <w:rPr>
                <w:szCs w:val="24"/>
              </w:rPr>
              <w:t>First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 xml:space="preserve">LORENZO MARIO </w:t>
            </w:r>
            <w:proofErr w:type="spellStart"/>
            <w:r>
              <w:rPr>
                <w:szCs w:val="24"/>
              </w:rPr>
              <w:t>REGINATO</w:t>
            </w:r>
            <w:proofErr w:type="spellEnd"/>
          </w:p>
          <w:p w:rsidR="00592D55" w:rsidRDefault="00592D55" w:rsidP="00EE473A">
            <w:pPr>
              <w:pStyle w:val="NormalHeadings"/>
              <w:jc w:val="left"/>
              <w:rPr>
                <w:szCs w:val="24"/>
              </w:rPr>
            </w:pPr>
            <w:r>
              <w:rPr>
                <w:szCs w:val="24"/>
              </w:rPr>
              <w:t>Second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ANTONY JAMES SCHOFIELD</w:t>
            </w:r>
          </w:p>
          <w:p w:rsidR="00592D55" w:rsidRDefault="00592D55" w:rsidP="00EE473A">
            <w:pPr>
              <w:pStyle w:val="NormalHeadings"/>
              <w:jc w:val="left"/>
              <w:rPr>
                <w:szCs w:val="24"/>
              </w:rPr>
            </w:pPr>
            <w:r>
              <w:rPr>
                <w:szCs w:val="24"/>
              </w:rPr>
              <w:t>Third Respondent</w:t>
            </w:r>
          </w:p>
          <w:p w:rsidR="00592D55" w:rsidRDefault="00592D55" w:rsidP="00EE473A">
            <w:pPr>
              <w:pStyle w:val="NormalHeadings"/>
              <w:jc w:val="left"/>
              <w:rPr>
                <w:caps/>
                <w:szCs w:val="24"/>
              </w:rPr>
            </w:pPr>
          </w:p>
        </w:tc>
      </w:tr>
    </w:tbl>
    <w:p w:rsidR="00592D55" w:rsidRDefault="00592D55" w:rsidP="00592D55">
      <w:pPr>
        <w:pStyle w:val="NormalHeadings"/>
      </w:pPr>
    </w:p>
    <w:tbl>
      <w:tblPr>
        <w:tblW w:w="0" w:type="auto"/>
        <w:tblLayout w:type="fixed"/>
        <w:tblLook w:val="0000" w:firstRow="0" w:lastRow="0" w:firstColumn="0" w:lastColumn="0" w:noHBand="0" w:noVBand="0"/>
      </w:tblPr>
      <w:tblGrid>
        <w:gridCol w:w="6771"/>
        <w:gridCol w:w="2471"/>
      </w:tblGrid>
      <w:tr w:rsidR="00F60AEF" w:rsidTr="00EE473A">
        <w:tc>
          <w:tcPr>
            <w:tcW w:w="6771" w:type="dxa"/>
          </w:tcPr>
          <w:p w:rsidR="00F60AEF" w:rsidRDefault="00F60AEF" w:rsidP="00EE473A">
            <w:pPr>
              <w:pStyle w:val="NormalHeadings"/>
              <w:spacing w:after="120"/>
              <w:jc w:val="left"/>
              <w:rPr>
                <w:caps/>
                <w:szCs w:val="24"/>
              </w:rPr>
            </w:pPr>
            <w:r>
              <w:rPr>
                <w:caps/>
                <w:szCs w:val="24"/>
              </w:rPr>
              <w:t>IN THE FEDERAL COURT OF AUSTRALIA</w:t>
            </w:r>
          </w:p>
        </w:tc>
        <w:tc>
          <w:tcPr>
            <w:tcW w:w="2471" w:type="dxa"/>
          </w:tcPr>
          <w:p w:rsidR="00F60AEF" w:rsidRDefault="00F60AEF" w:rsidP="00EE473A">
            <w:pPr>
              <w:pStyle w:val="NormalHeadings"/>
              <w:jc w:val="left"/>
              <w:rPr>
                <w:caps/>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QUEENSLAND DISTRICT REGISTRY</w:t>
            </w:r>
          </w:p>
        </w:tc>
        <w:tc>
          <w:tcPr>
            <w:tcW w:w="2471" w:type="dxa"/>
          </w:tcPr>
          <w:p w:rsidR="00F60AEF" w:rsidRDefault="00F60AEF" w:rsidP="00EE473A">
            <w:pPr>
              <w:pStyle w:val="NormalHeadings"/>
              <w:tabs>
                <w:tab w:val="right" w:pos="3609"/>
              </w:tabs>
              <w:jc w:val="right"/>
              <w:rPr>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GENERAL DIVISION</w:t>
            </w:r>
          </w:p>
        </w:tc>
        <w:tc>
          <w:tcPr>
            <w:tcW w:w="2471" w:type="dxa"/>
          </w:tcPr>
          <w:p w:rsidR="00F60AEF" w:rsidRDefault="00F60AEF" w:rsidP="00EE473A">
            <w:pPr>
              <w:pStyle w:val="NormalHeadings"/>
              <w:tabs>
                <w:tab w:val="right" w:pos="3609"/>
              </w:tabs>
              <w:jc w:val="right"/>
              <w:rPr>
                <w:szCs w:val="24"/>
              </w:rPr>
            </w:pPr>
            <w:proofErr w:type="spellStart"/>
            <w:r>
              <w:rPr>
                <w:szCs w:val="24"/>
              </w:rPr>
              <w:t>QUD</w:t>
            </w:r>
            <w:proofErr w:type="spellEnd"/>
            <w:r>
              <w:rPr>
                <w:szCs w:val="24"/>
              </w:rPr>
              <w:t xml:space="preserve"> 828 of 2013</w:t>
            </w:r>
          </w:p>
        </w:tc>
      </w:tr>
    </w:tbl>
    <w:p w:rsidR="00F60AEF" w:rsidRDefault="00F60AEF" w:rsidP="00F60AEF">
      <w:pPr>
        <w:pStyle w:val="AppealTable"/>
      </w:pPr>
    </w:p>
    <w:tbl>
      <w:tblPr>
        <w:tblW w:w="0" w:type="auto"/>
        <w:tblLook w:val="01E0" w:firstRow="1" w:lastRow="1" w:firstColumn="1" w:lastColumn="1" w:noHBand="0" w:noVBand="0"/>
      </w:tblPr>
      <w:tblGrid>
        <w:gridCol w:w="9243"/>
      </w:tblGrid>
      <w:tr w:rsidR="00F60AEF" w:rsidRPr="00584F57" w:rsidTr="00EE473A">
        <w:tc>
          <w:tcPr>
            <w:tcW w:w="9243" w:type="dxa"/>
            <w:shd w:val="clear" w:color="auto" w:fill="auto"/>
          </w:tcPr>
          <w:p w:rsidR="00F60AEF" w:rsidRPr="00584F57" w:rsidRDefault="003B1253" w:rsidP="00EE473A">
            <w:pPr>
              <w:pStyle w:val="AppealTable"/>
              <w:widowControl w:val="0"/>
              <w:spacing w:line="360" w:lineRule="auto"/>
              <w:jc w:val="both"/>
              <w:rPr>
                <w:caps w:val="0"/>
                <w:sz w:val="24"/>
                <w:szCs w:val="20"/>
                <w:lang w:eastAsia="en-AU"/>
              </w:rPr>
            </w:pPr>
            <w:r w:rsidRPr="00584F57">
              <w:rPr>
                <w:caps w:val="0"/>
                <w:sz w:val="24"/>
                <w:szCs w:val="20"/>
                <w:lang w:eastAsia="en-AU"/>
              </w:rPr>
              <w:t>ON APPEAL FROM THE FEDERAL CIRCUIT COURT OF AUSTRALIA</w:t>
            </w:r>
          </w:p>
        </w:tc>
      </w:tr>
    </w:tbl>
    <w:p w:rsidR="00F60AEF" w:rsidRDefault="00F60AEF" w:rsidP="00F60AEF">
      <w:pPr>
        <w:pStyle w:val="AppealTable"/>
      </w:pPr>
    </w:p>
    <w:tbl>
      <w:tblPr>
        <w:tblW w:w="0" w:type="auto"/>
        <w:tblLayout w:type="fixed"/>
        <w:tblLook w:val="0000" w:firstRow="0" w:lastRow="0" w:firstColumn="0" w:lastColumn="0" w:noHBand="0" w:noVBand="0"/>
      </w:tblPr>
      <w:tblGrid>
        <w:gridCol w:w="2376"/>
        <w:gridCol w:w="6866"/>
      </w:tblGrid>
      <w:tr w:rsidR="00F60AEF" w:rsidTr="00EE473A">
        <w:trPr>
          <w:trHeight w:val="386"/>
        </w:trPr>
        <w:tc>
          <w:tcPr>
            <w:tcW w:w="2376" w:type="dxa"/>
          </w:tcPr>
          <w:p w:rsidR="00F60AEF" w:rsidRDefault="00F60AEF" w:rsidP="00EE473A">
            <w:pPr>
              <w:pStyle w:val="NormalHeadings"/>
              <w:jc w:val="left"/>
              <w:rPr>
                <w:caps/>
                <w:szCs w:val="24"/>
              </w:rPr>
            </w:pPr>
            <w:r>
              <w:rPr>
                <w:caps/>
                <w:szCs w:val="24"/>
              </w:rPr>
              <w:t>BETWEEN:</w:t>
            </w:r>
          </w:p>
        </w:tc>
        <w:tc>
          <w:tcPr>
            <w:tcW w:w="6866" w:type="dxa"/>
          </w:tcPr>
          <w:p w:rsidR="00F60AEF" w:rsidRDefault="00F60AEF" w:rsidP="00EE473A">
            <w:pPr>
              <w:pStyle w:val="NormalHeadings"/>
              <w:jc w:val="left"/>
              <w:rPr>
                <w:szCs w:val="24"/>
              </w:rPr>
            </w:pPr>
            <w:r>
              <w:rPr>
                <w:szCs w:val="24"/>
              </w:rPr>
              <w:t>SIDNEY CHARLES KNELL</w:t>
            </w:r>
          </w:p>
          <w:p w:rsidR="00F60AEF" w:rsidRDefault="00F60AEF" w:rsidP="00EE473A">
            <w:pPr>
              <w:pStyle w:val="NormalHeadings"/>
              <w:jc w:val="left"/>
              <w:rPr>
                <w:szCs w:val="24"/>
              </w:rPr>
            </w:pPr>
            <w:r>
              <w:rPr>
                <w:szCs w:val="24"/>
              </w:rPr>
              <w:t>Appellant</w:t>
            </w:r>
          </w:p>
          <w:p w:rsidR="00F60AEF" w:rsidRDefault="00F60AEF" w:rsidP="00EE473A">
            <w:pPr>
              <w:pStyle w:val="NormalHeadings"/>
              <w:jc w:val="left"/>
              <w:rPr>
                <w:szCs w:val="24"/>
              </w:rPr>
            </w:pPr>
          </w:p>
        </w:tc>
      </w:tr>
      <w:tr w:rsidR="00F60AEF" w:rsidTr="00EE473A">
        <w:trPr>
          <w:trHeight w:val="386"/>
        </w:trPr>
        <w:tc>
          <w:tcPr>
            <w:tcW w:w="2376" w:type="dxa"/>
          </w:tcPr>
          <w:p w:rsidR="00F60AEF" w:rsidRDefault="00F60AEF" w:rsidP="00EE473A">
            <w:pPr>
              <w:pStyle w:val="NormalHeadings"/>
              <w:jc w:val="left"/>
              <w:rPr>
                <w:caps/>
                <w:szCs w:val="24"/>
              </w:rPr>
            </w:pPr>
            <w:r>
              <w:rPr>
                <w:caps/>
                <w:szCs w:val="24"/>
              </w:rPr>
              <w:t>AND:</w:t>
            </w:r>
          </w:p>
        </w:tc>
        <w:tc>
          <w:tcPr>
            <w:tcW w:w="6866" w:type="dxa"/>
          </w:tcPr>
          <w:p w:rsidR="00F60AEF" w:rsidRDefault="00F60AEF" w:rsidP="00EE473A">
            <w:pPr>
              <w:pStyle w:val="NormalHeadings"/>
              <w:jc w:val="left"/>
              <w:rPr>
                <w:szCs w:val="24"/>
              </w:rPr>
            </w:pPr>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F60AEF" w:rsidRDefault="00F60AEF" w:rsidP="00EE473A">
            <w:pPr>
              <w:pStyle w:val="NormalHeadings"/>
              <w:jc w:val="left"/>
              <w:rPr>
                <w:szCs w:val="24"/>
              </w:rPr>
            </w:pPr>
            <w:r>
              <w:rPr>
                <w:szCs w:val="24"/>
              </w:rPr>
              <w:t>First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 xml:space="preserve">LORENZO MARIO </w:t>
            </w:r>
            <w:proofErr w:type="spellStart"/>
            <w:r>
              <w:rPr>
                <w:szCs w:val="24"/>
              </w:rPr>
              <w:t>REGINATO</w:t>
            </w:r>
            <w:proofErr w:type="spellEnd"/>
          </w:p>
          <w:p w:rsidR="00F60AEF" w:rsidRDefault="00F60AEF" w:rsidP="00EE473A">
            <w:pPr>
              <w:pStyle w:val="NormalHeadings"/>
              <w:jc w:val="left"/>
              <w:rPr>
                <w:szCs w:val="24"/>
              </w:rPr>
            </w:pPr>
            <w:r>
              <w:rPr>
                <w:szCs w:val="24"/>
              </w:rPr>
              <w:t>Second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ANTONY JAMES SCHOFIELD</w:t>
            </w:r>
          </w:p>
          <w:p w:rsidR="00F60AEF" w:rsidRDefault="00F60AEF" w:rsidP="00EE473A">
            <w:pPr>
              <w:pStyle w:val="NormalHeadings"/>
              <w:jc w:val="left"/>
              <w:rPr>
                <w:szCs w:val="24"/>
              </w:rPr>
            </w:pPr>
            <w:r>
              <w:rPr>
                <w:szCs w:val="24"/>
              </w:rPr>
              <w:t>Third Respondent</w:t>
            </w:r>
          </w:p>
          <w:p w:rsidR="00F60AEF" w:rsidRDefault="00F60AEF" w:rsidP="00EE473A">
            <w:pPr>
              <w:pStyle w:val="NormalHeadings"/>
              <w:jc w:val="left"/>
              <w:rPr>
                <w:szCs w:val="24"/>
              </w:rPr>
            </w:pPr>
          </w:p>
        </w:tc>
      </w:tr>
    </w:tbl>
    <w:p w:rsidR="00F60AEF" w:rsidRDefault="00F60AEF" w:rsidP="00592D55">
      <w:pPr>
        <w:pStyle w:val="NormalHeadings"/>
      </w:pPr>
    </w:p>
    <w:tbl>
      <w:tblPr>
        <w:tblW w:w="0" w:type="auto"/>
        <w:tblLayout w:type="fixed"/>
        <w:tblLook w:val="0000" w:firstRow="0" w:lastRow="0" w:firstColumn="0" w:lastColumn="0" w:noHBand="0" w:noVBand="0"/>
      </w:tblPr>
      <w:tblGrid>
        <w:gridCol w:w="2376"/>
        <w:gridCol w:w="6866"/>
      </w:tblGrid>
      <w:tr w:rsidR="00592D55" w:rsidTr="00EE473A">
        <w:tc>
          <w:tcPr>
            <w:tcW w:w="2376" w:type="dxa"/>
          </w:tcPr>
          <w:p w:rsidR="00592D55" w:rsidRDefault="00592D55" w:rsidP="00EE473A">
            <w:pPr>
              <w:pStyle w:val="NormalHeadings"/>
              <w:spacing w:after="120"/>
              <w:jc w:val="left"/>
              <w:rPr>
                <w:caps/>
                <w:szCs w:val="24"/>
              </w:rPr>
            </w:pPr>
            <w:r>
              <w:rPr>
                <w:caps/>
                <w:szCs w:val="24"/>
              </w:rPr>
              <w:t>JUDGES:</w:t>
            </w:r>
          </w:p>
        </w:tc>
        <w:tc>
          <w:tcPr>
            <w:tcW w:w="6866" w:type="dxa"/>
          </w:tcPr>
          <w:p w:rsidR="00592D55" w:rsidRDefault="005B7839" w:rsidP="00EE473A">
            <w:pPr>
              <w:pStyle w:val="NormalHeadings"/>
              <w:rPr>
                <w:caps/>
                <w:szCs w:val="24"/>
              </w:rPr>
            </w:pPr>
            <w:r>
              <w:rPr>
                <w:caps/>
                <w:szCs w:val="24"/>
              </w:rPr>
              <w:t xml:space="preserve">BESANKO, GILMOUR AND RANGIAH </w:t>
            </w:r>
            <w:proofErr w:type="spellStart"/>
            <w:r>
              <w:rPr>
                <w:caps/>
                <w:szCs w:val="24"/>
              </w:rPr>
              <w:t>JJ</w:t>
            </w:r>
            <w:proofErr w:type="spellEnd"/>
            <w:r>
              <w:rPr>
                <w:caps/>
                <w:szCs w:val="24"/>
              </w:rPr>
              <w:t xml:space="preserve"> </w:t>
            </w:r>
          </w:p>
        </w:tc>
      </w:tr>
      <w:tr w:rsidR="00592D55" w:rsidTr="00EE473A">
        <w:tc>
          <w:tcPr>
            <w:tcW w:w="2376" w:type="dxa"/>
          </w:tcPr>
          <w:p w:rsidR="00592D55" w:rsidRDefault="00592D55" w:rsidP="00EE473A">
            <w:pPr>
              <w:pStyle w:val="NormalHeadings"/>
              <w:spacing w:after="120"/>
              <w:jc w:val="left"/>
              <w:rPr>
                <w:caps/>
                <w:szCs w:val="24"/>
              </w:rPr>
            </w:pPr>
            <w:r>
              <w:rPr>
                <w:caps/>
                <w:szCs w:val="24"/>
              </w:rPr>
              <w:t>DATE:</w:t>
            </w:r>
          </w:p>
        </w:tc>
        <w:tc>
          <w:tcPr>
            <w:tcW w:w="6866" w:type="dxa"/>
          </w:tcPr>
          <w:p w:rsidR="00592D55" w:rsidRDefault="00C364F3" w:rsidP="00EE473A">
            <w:pPr>
              <w:pStyle w:val="NormalHeadings"/>
              <w:rPr>
                <w:caps/>
                <w:szCs w:val="24"/>
              </w:rPr>
            </w:pPr>
            <w:r>
              <w:rPr>
                <w:caps/>
                <w:szCs w:val="24"/>
              </w:rPr>
              <w:t>14</w:t>
            </w:r>
            <w:r w:rsidR="0038689A">
              <w:rPr>
                <w:caps/>
                <w:szCs w:val="24"/>
              </w:rPr>
              <w:t xml:space="preserve"> May</w:t>
            </w:r>
            <w:r w:rsidR="00592D55">
              <w:rPr>
                <w:caps/>
                <w:szCs w:val="24"/>
              </w:rPr>
              <w:t xml:space="preserve"> 2015</w:t>
            </w:r>
          </w:p>
        </w:tc>
      </w:tr>
      <w:tr w:rsidR="00592D55" w:rsidTr="00EE473A">
        <w:tc>
          <w:tcPr>
            <w:tcW w:w="2376" w:type="dxa"/>
          </w:tcPr>
          <w:p w:rsidR="00592D55" w:rsidRDefault="00592D55" w:rsidP="00EE473A">
            <w:pPr>
              <w:pStyle w:val="NormalHeadings"/>
              <w:spacing w:after="120"/>
              <w:jc w:val="left"/>
              <w:rPr>
                <w:caps/>
                <w:szCs w:val="24"/>
              </w:rPr>
            </w:pPr>
            <w:r>
              <w:rPr>
                <w:caps/>
                <w:szCs w:val="24"/>
              </w:rPr>
              <w:t>PLACE:</w:t>
            </w:r>
          </w:p>
        </w:tc>
        <w:tc>
          <w:tcPr>
            <w:tcW w:w="6866" w:type="dxa"/>
          </w:tcPr>
          <w:p w:rsidR="00592D55" w:rsidRDefault="00592D55" w:rsidP="00EE473A">
            <w:pPr>
              <w:pStyle w:val="NormalHeadings"/>
              <w:rPr>
                <w:caps/>
                <w:szCs w:val="24"/>
              </w:rPr>
            </w:pPr>
            <w:r>
              <w:rPr>
                <w:caps/>
                <w:szCs w:val="24"/>
              </w:rPr>
              <w:t>BRISBANE</w:t>
            </w:r>
          </w:p>
        </w:tc>
      </w:tr>
    </w:tbl>
    <w:p w:rsidR="00592D55" w:rsidRDefault="00592D55" w:rsidP="00592D55"/>
    <w:p w:rsidR="00592D55" w:rsidRDefault="00592D55" w:rsidP="00592D55">
      <w:pPr>
        <w:pStyle w:val="StyleBold"/>
        <w:jc w:val="center"/>
        <w:rPr>
          <w:b/>
        </w:rPr>
      </w:pPr>
      <w:r>
        <w:rPr>
          <w:b/>
        </w:rPr>
        <w:lastRenderedPageBreak/>
        <w:t>REASONS FOR JUDGMENT</w:t>
      </w:r>
    </w:p>
    <w:p w:rsidR="00592D55" w:rsidRDefault="003B1253" w:rsidP="00592D55">
      <w:pPr>
        <w:pStyle w:val="Heading1"/>
      </w:pPr>
      <w:r>
        <w:rPr>
          <w:caps w:val="0"/>
        </w:rPr>
        <w:t>BESANKO J:</w:t>
      </w:r>
    </w:p>
    <w:p w:rsidR="00592D55" w:rsidRDefault="003B1253" w:rsidP="003B1253">
      <w:pPr>
        <w:pStyle w:val="ParaNumbering"/>
        <w:numPr>
          <w:ilvl w:val="0"/>
          <w:numId w:val="0"/>
        </w:numPr>
        <w:ind w:hanging="720"/>
      </w:pPr>
      <w:r>
        <w:rPr>
          <w:sz w:val="20"/>
        </w:rPr>
        <w:t>1</w:t>
      </w:r>
      <w:r>
        <w:rPr>
          <w:sz w:val="20"/>
        </w:rPr>
        <w:tab/>
      </w:r>
      <w:r>
        <w:tab/>
      </w:r>
      <w:r w:rsidR="00592D55">
        <w:t xml:space="preserve">I have had the advantage of reading the reasons for judgment of Gilmour J.  I agree with his Honour’s reasons and with the orders he proposes.  I add the following in relation to the </w:t>
      </w:r>
      <w:r w:rsidR="005A03B2" w:rsidRPr="00EE473A">
        <w:t>appeal by Mr K</w:t>
      </w:r>
      <w:r w:rsidR="00592D55" w:rsidRPr="00EE473A">
        <w:t xml:space="preserve">nell </w:t>
      </w:r>
      <w:r w:rsidR="005A03B2" w:rsidRPr="00EE473A">
        <w:t>with respect to the costs order made against him.</w:t>
      </w:r>
    </w:p>
    <w:p w:rsidR="00592D55" w:rsidRDefault="003B1253" w:rsidP="003B1253">
      <w:pPr>
        <w:pStyle w:val="ParaNumbering"/>
        <w:numPr>
          <w:ilvl w:val="0"/>
          <w:numId w:val="0"/>
        </w:numPr>
        <w:ind w:hanging="720"/>
      </w:pPr>
      <w:r>
        <w:rPr>
          <w:sz w:val="20"/>
        </w:rPr>
        <w:t>2</w:t>
      </w:r>
      <w:r>
        <w:rPr>
          <w:sz w:val="20"/>
        </w:rPr>
        <w:tab/>
      </w:r>
      <w:r>
        <w:tab/>
      </w:r>
      <w:r w:rsidR="00592D55">
        <w:t xml:space="preserve">In support of its application for costs against Mr Sidney Knell, </w:t>
      </w:r>
      <w:proofErr w:type="spellStart"/>
      <w:r w:rsidR="00592D55">
        <w:t>Sunstruct</w:t>
      </w:r>
      <w:proofErr w:type="spellEnd"/>
      <w:r w:rsidR="00592D55">
        <w:t xml:space="preserve"> Pty Limited (“</w:t>
      </w:r>
      <w:proofErr w:type="spellStart"/>
      <w:r w:rsidR="00592D55">
        <w:t>Sunstruct</w:t>
      </w:r>
      <w:proofErr w:type="spellEnd"/>
      <w:r w:rsidR="00592D55">
        <w:t xml:space="preserve">”) relied on the way in which Central Queensland Development Corporation Pty Ltd (formerly known as </w:t>
      </w:r>
      <w:proofErr w:type="spellStart"/>
      <w:r w:rsidR="00592D55">
        <w:t>Bluechip</w:t>
      </w:r>
      <w:proofErr w:type="spellEnd"/>
      <w:r w:rsidR="00592D55">
        <w:t xml:space="preserve"> Development Corporation (Gladstone) Pty Ltd) (“</w:t>
      </w:r>
      <w:proofErr w:type="spellStart"/>
      <w:r w:rsidR="00592D55">
        <w:t>Bluechip</w:t>
      </w:r>
      <w:proofErr w:type="spellEnd"/>
      <w:r w:rsidR="00592D55">
        <w:t xml:space="preserve">”) conducted its case.  </w:t>
      </w:r>
      <w:proofErr w:type="spellStart"/>
      <w:r w:rsidR="00592D55">
        <w:t>Sunstruct</w:t>
      </w:r>
      <w:proofErr w:type="spellEnd"/>
      <w:r w:rsidR="00592D55">
        <w:t xml:space="preserve"> alleged that </w:t>
      </w:r>
      <w:proofErr w:type="spellStart"/>
      <w:r w:rsidR="00592D55">
        <w:t>Bluechip</w:t>
      </w:r>
      <w:proofErr w:type="spellEnd"/>
      <w:r w:rsidR="00592D55">
        <w:t xml:space="preserve"> pursued its case in a complex and prolix manner, with little regard being had to distilling the matters in dispute to the real issues being determined, and that many days were wasted because of </w:t>
      </w:r>
      <w:proofErr w:type="spellStart"/>
      <w:r w:rsidR="00592D55">
        <w:t>Bluechip’s</w:t>
      </w:r>
      <w:proofErr w:type="spellEnd"/>
      <w:r w:rsidR="00592D55">
        <w:t xml:space="preserve"> failure to conduct the matter responsibly.  Furthermore, </w:t>
      </w:r>
      <w:proofErr w:type="spellStart"/>
      <w:r w:rsidR="00592D55">
        <w:t>Sunstruct</w:t>
      </w:r>
      <w:proofErr w:type="spellEnd"/>
      <w:r w:rsidR="00592D55">
        <w:t xml:space="preserve"> alleged that the primary judge had found that Mr Knell was not a witness of truth, and it followed that it was within Mr Knell’s knowledge that the claim would not be successful had the true position been accepted by him at the outset.  He could have settled the action, but he rejected offers which were made, including an offer of $200,000 made on 14 April 2010.  Finally, </w:t>
      </w:r>
      <w:proofErr w:type="spellStart"/>
      <w:r w:rsidR="00592D55">
        <w:t>Sunstruct</w:t>
      </w:r>
      <w:proofErr w:type="spellEnd"/>
      <w:r w:rsidR="00592D55">
        <w:t xml:space="preserve"> relied on the fact that </w:t>
      </w:r>
      <w:proofErr w:type="spellStart"/>
      <w:r w:rsidR="00592D55">
        <w:t>Bluechip’s</w:t>
      </w:r>
      <w:proofErr w:type="spellEnd"/>
      <w:r w:rsidR="00592D55">
        <w:t xml:space="preserve"> pursuit of damages on a global basis was always flawed so that even if it had succeeded in establishing breaches of duty, it would not have obtained an award of damages.</w:t>
      </w:r>
    </w:p>
    <w:p w:rsidR="00592D55" w:rsidRDefault="003B1253" w:rsidP="003B1253">
      <w:pPr>
        <w:pStyle w:val="ParaNumbering"/>
        <w:numPr>
          <w:ilvl w:val="0"/>
          <w:numId w:val="0"/>
        </w:numPr>
        <w:ind w:hanging="720"/>
      </w:pPr>
      <w:r>
        <w:rPr>
          <w:sz w:val="20"/>
        </w:rPr>
        <w:t>3</w:t>
      </w:r>
      <w:r>
        <w:rPr>
          <w:sz w:val="20"/>
        </w:rPr>
        <w:tab/>
      </w:r>
      <w:r>
        <w:tab/>
      </w:r>
      <w:r w:rsidR="00592D55">
        <w:t xml:space="preserve">The primary judge found in his </w:t>
      </w:r>
      <w:r w:rsidR="005A03B2" w:rsidRPr="00EE473A">
        <w:t>reasons for</w:t>
      </w:r>
      <w:r w:rsidR="00592D55">
        <w:t xml:space="preserve"> judgment </w:t>
      </w:r>
      <w:r w:rsidR="005A03B2" w:rsidRPr="00EE473A">
        <w:t>with respect to costs</w:t>
      </w:r>
      <w:r w:rsidR="005A03B2">
        <w:t xml:space="preserve"> </w:t>
      </w:r>
      <w:r w:rsidR="00592D55">
        <w:t xml:space="preserve">that </w:t>
      </w:r>
      <w:proofErr w:type="spellStart"/>
      <w:r w:rsidR="00592D55">
        <w:t>Bluechip</w:t>
      </w:r>
      <w:proofErr w:type="spellEnd"/>
      <w:r w:rsidR="00592D55">
        <w:t xml:space="preserve"> was Mr Knell’s alter ego, and that the conduct of the litigation was improper.  He found that </w:t>
      </w:r>
      <w:proofErr w:type="spellStart"/>
      <w:r w:rsidR="00592D55">
        <w:t>Bluechip’s</w:t>
      </w:r>
      <w:proofErr w:type="spellEnd"/>
      <w:r w:rsidR="00592D55">
        <w:t xml:space="preserve"> claim of $2 million was made on a global basis and made in </w:t>
      </w:r>
      <w:proofErr w:type="spellStart"/>
      <w:r w:rsidR="00592D55">
        <w:t>terrorem</w:t>
      </w:r>
      <w:proofErr w:type="spellEnd"/>
      <w:r w:rsidR="00592D55">
        <w:t xml:space="preserve"> in response to a claim made by </w:t>
      </w:r>
      <w:proofErr w:type="spellStart"/>
      <w:r w:rsidR="00592D55">
        <w:t>Sunstruct</w:t>
      </w:r>
      <w:proofErr w:type="spellEnd"/>
      <w:r w:rsidR="00592D55">
        <w:t xml:space="preserve">.  He found that </w:t>
      </w:r>
      <w:proofErr w:type="spellStart"/>
      <w:r w:rsidR="00592D55">
        <w:t>Bluechip’s</w:t>
      </w:r>
      <w:proofErr w:type="spellEnd"/>
      <w:r w:rsidR="00592D55">
        <w:t xml:space="preserve"> claim was founded on “an untenable contention of the underlying contract, and in respect of a misrepresentation case without merit” (</w:t>
      </w:r>
      <w:proofErr w:type="spellStart"/>
      <w:r w:rsidR="00592D55">
        <w:rPr>
          <w:i/>
        </w:rPr>
        <w:t>Bluechip</w:t>
      </w:r>
      <w:proofErr w:type="spellEnd"/>
      <w:r w:rsidR="00592D55">
        <w:rPr>
          <w:i/>
        </w:rPr>
        <w:t xml:space="preserve"> Development Corporation (Gladstone) Pty Ltd v </w:t>
      </w:r>
      <w:proofErr w:type="spellStart"/>
      <w:r w:rsidR="00592D55">
        <w:rPr>
          <w:i/>
        </w:rPr>
        <w:t>Sunstruct</w:t>
      </w:r>
      <w:proofErr w:type="spellEnd"/>
      <w:r w:rsidR="00592D55">
        <w:rPr>
          <w:i/>
        </w:rPr>
        <w:t xml:space="preserve"> Pty Ltd &amp; </w:t>
      </w:r>
      <w:proofErr w:type="spellStart"/>
      <w:r w:rsidR="00592D55">
        <w:rPr>
          <w:i/>
        </w:rPr>
        <w:t>Ors</w:t>
      </w:r>
      <w:proofErr w:type="spellEnd"/>
      <w:r w:rsidR="00592D55">
        <w:rPr>
          <w:i/>
        </w:rPr>
        <w:t xml:space="preserve"> (No 2) </w:t>
      </w:r>
      <w:r w:rsidR="00592D55">
        <w:t xml:space="preserve">[2013] </w:t>
      </w:r>
      <w:proofErr w:type="spellStart"/>
      <w:r w:rsidR="00592D55">
        <w:t>FCCA</w:t>
      </w:r>
      <w:proofErr w:type="spellEnd"/>
      <w:r w:rsidR="00592D55">
        <w:t xml:space="preserve"> 1898 at [102]).  His Honour also found that the fact that </w:t>
      </w:r>
      <w:proofErr w:type="spellStart"/>
      <w:r w:rsidR="00592D55">
        <w:t>Sunstruct</w:t>
      </w:r>
      <w:proofErr w:type="spellEnd"/>
      <w:r w:rsidR="00592D55">
        <w:t xml:space="preserve"> did not make an application that </w:t>
      </w:r>
      <w:proofErr w:type="spellStart"/>
      <w:r w:rsidR="00592D55">
        <w:t>Bluechip</w:t>
      </w:r>
      <w:proofErr w:type="spellEnd"/>
      <w:r w:rsidR="00592D55">
        <w:t xml:space="preserve"> provide security of costs did not, in the circumstances, count against it (at [109]).  In addition to these findings, it is clear from the primary judge’s </w:t>
      </w:r>
      <w:r w:rsidR="005A03B2" w:rsidRPr="00EE473A">
        <w:t>reasons for</w:t>
      </w:r>
      <w:r w:rsidR="00592D55">
        <w:t xml:space="preserve"> judgment </w:t>
      </w:r>
      <w:r w:rsidR="005A03B2" w:rsidRPr="00EE473A">
        <w:t>with respect to liability</w:t>
      </w:r>
      <w:r w:rsidR="005A03B2">
        <w:t xml:space="preserve"> </w:t>
      </w:r>
      <w:r w:rsidR="00592D55">
        <w:t xml:space="preserve">that he formed the view that Mr Knell was an unimpressive witness (Mrs Knell was also an unimpressive witness), and that </w:t>
      </w:r>
      <w:proofErr w:type="spellStart"/>
      <w:r w:rsidR="00592D55">
        <w:t>Bluechip’s</w:t>
      </w:r>
      <w:proofErr w:type="spellEnd"/>
      <w:r w:rsidR="00592D55">
        <w:t xml:space="preserve"> claim for damages on a global basis was misguided and precluded it from proving causation (</w:t>
      </w:r>
      <w:proofErr w:type="spellStart"/>
      <w:r w:rsidR="00592D55">
        <w:rPr>
          <w:i/>
        </w:rPr>
        <w:t>Bluechip</w:t>
      </w:r>
      <w:proofErr w:type="spellEnd"/>
      <w:r w:rsidR="00592D55">
        <w:rPr>
          <w:i/>
        </w:rPr>
        <w:t xml:space="preserve"> Development Corporation (Gladstone) Pty Ltd v </w:t>
      </w:r>
      <w:proofErr w:type="spellStart"/>
      <w:r w:rsidR="00592D55">
        <w:rPr>
          <w:i/>
        </w:rPr>
        <w:t>Sunstruct</w:t>
      </w:r>
      <w:proofErr w:type="spellEnd"/>
      <w:r w:rsidR="00592D55">
        <w:rPr>
          <w:i/>
        </w:rPr>
        <w:t xml:space="preserve"> Pty Ltd &amp; </w:t>
      </w:r>
      <w:proofErr w:type="spellStart"/>
      <w:r w:rsidR="00592D55">
        <w:rPr>
          <w:i/>
        </w:rPr>
        <w:t>Ors</w:t>
      </w:r>
      <w:proofErr w:type="spellEnd"/>
      <w:r w:rsidR="00592D55">
        <w:rPr>
          <w:i/>
        </w:rPr>
        <w:t xml:space="preserve"> </w:t>
      </w:r>
      <w:r w:rsidR="00592D55">
        <w:lastRenderedPageBreak/>
        <w:t xml:space="preserve">[2013] </w:t>
      </w:r>
      <w:proofErr w:type="spellStart"/>
      <w:r w:rsidR="00592D55">
        <w:t>FCCA</w:t>
      </w:r>
      <w:proofErr w:type="spellEnd"/>
      <w:r w:rsidR="00592D55">
        <w:t xml:space="preserve"> 141 at [2</w:t>
      </w:r>
      <w:r w:rsidR="004134AD">
        <w:t>1</w:t>
      </w:r>
      <w:r w:rsidR="00592D55">
        <w:t>], [2</w:t>
      </w:r>
      <w:r w:rsidR="004134AD">
        <w:t>3</w:t>
      </w:r>
      <w:r w:rsidR="00592D55">
        <w:t>] and [331]</w:t>
      </w:r>
      <w:r w:rsidR="00163C14" w:rsidRPr="00EE473A">
        <w:t>)</w:t>
      </w:r>
      <w:r w:rsidR="00592D55" w:rsidRPr="00EE473A">
        <w:t>.</w:t>
      </w:r>
      <w:r w:rsidR="00592D55">
        <w:t xml:space="preserve">  For example, as to </w:t>
      </w:r>
      <w:proofErr w:type="spellStart"/>
      <w:r w:rsidR="00592D55">
        <w:t>Bluechip’s</w:t>
      </w:r>
      <w:proofErr w:type="spellEnd"/>
      <w:r w:rsidR="00592D55">
        <w:t xml:space="preserve"> claim for global damages, the primary judge said in his liability judgment (at [331]):</w:t>
      </w:r>
    </w:p>
    <w:p w:rsidR="00592D55" w:rsidRDefault="00592D55" w:rsidP="00592D55">
      <w:pPr>
        <w:pStyle w:val="Quote1"/>
      </w:pPr>
      <w:r w:rsidRPr="00D569CD">
        <w:t xml:space="preserve">For reasons addressed below in this section I would refuse to exercise any discretion in favour of any award for </w:t>
      </w:r>
      <w:proofErr w:type="spellStart"/>
      <w:r w:rsidRPr="00D569CD">
        <w:t>Bluechip</w:t>
      </w:r>
      <w:proofErr w:type="spellEnd"/>
      <w:r w:rsidRPr="00D569CD">
        <w:t xml:space="preserve"> because the claim made is a global claim. There are many and varied reasons which occasioned </w:t>
      </w:r>
      <w:proofErr w:type="spellStart"/>
      <w:r w:rsidRPr="00D569CD">
        <w:t>Bluechip’s</w:t>
      </w:r>
      <w:proofErr w:type="spellEnd"/>
      <w:r w:rsidRPr="00D569CD">
        <w:t xml:space="preserve"> loss. Even if some element of causation could be established to the alleged offending conduct I am satisfied that the global claim contended for includes a significant claim concerning which there is no causal link to the alleged conduct. </w:t>
      </w:r>
      <w:r w:rsidRPr="007847F3">
        <w:rPr>
          <w:i/>
        </w:rPr>
        <w:t xml:space="preserve">Simply put, </w:t>
      </w:r>
      <w:proofErr w:type="spellStart"/>
      <w:r w:rsidRPr="007847F3">
        <w:rPr>
          <w:i/>
        </w:rPr>
        <w:t>Bluechip</w:t>
      </w:r>
      <w:proofErr w:type="spellEnd"/>
      <w:r w:rsidRPr="007847F3">
        <w:rPr>
          <w:i/>
        </w:rPr>
        <w:t xml:space="preserve"> has failed to reasonably establish the quantum of its loss occasioned by </w:t>
      </w:r>
      <w:proofErr w:type="spellStart"/>
      <w:r w:rsidRPr="007847F3">
        <w:rPr>
          <w:i/>
        </w:rPr>
        <w:t>Sunstruct’s</w:t>
      </w:r>
      <w:proofErr w:type="spellEnd"/>
      <w:r w:rsidRPr="007847F3">
        <w:rPr>
          <w:i/>
        </w:rPr>
        <w:t xml:space="preserve"> conduct. Quantification of its loss causally linked to the alleged offending conduct was not an impossible task. </w:t>
      </w:r>
      <w:proofErr w:type="spellStart"/>
      <w:r w:rsidRPr="007847F3">
        <w:rPr>
          <w:i/>
        </w:rPr>
        <w:t>Bluechip’s</w:t>
      </w:r>
      <w:proofErr w:type="spellEnd"/>
      <w:r w:rsidRPr="007847F3">
        <w:rPr>
          <w:i/>
        </w:rPr>
        <w:t xml:space="preserve"> decision to pursue a global claim was a purely tactical decision. It chose not to place before the Court evidence necessary to reasonably assess that loss which was causally linked to the alleged behaviour.</w:t>
      </w:r>
      <w:r w:rsidRPr="00D569CD">
        <w:t xml:space="preserve"> In the circumstances it cannot reasonably expect a favourable exercise of the discretion to save it from its own tactical decision, particularly so when to do so would have the effect of denying </w:t>
      </w:r>
      <w:proofErr w:type="spellStart"/>
      <w:r w:rsidRPr="00D569CD">
        <w:t>Sunstruct</w:t>
      </w:r>
      <w:proofErr w:type="spellEnd"/>
      <w:r w:rsidRPr="00D569CD">
        <w:t xml:space="preserve"> the opportunity to examine the assessment.</w:t>
      </w:r>
    </w:p>
    <w:p w:rsidR="00592D55" w:rsidRDefault="00592D55" w:rsidP="00592D55">
      <w:pPr>
        <w:pStyle w:val="Quote1"/>
      </w:pPr>
    </w:p>
    <w:p w:rsidR="00592D55" w:rsidRDefault="00592D55" w:rsidP="00592D55">
      <w:pPr>
        <w:pStyle w:val="BodyText"/>
      </w:pPr>
      <w:r>
        <w:t>(Emphasis added).</w:t>
      </w:r>
    </w:p>
    <w:p w:rsidR="00592D55" w:rsidRDefault="003B1253" w:rsidP="003B1253">
      <w:pPr>
        <w:pStyle w:val="ParaNumbering"/>
        <w:numPr>
          <w:ilvl w:val="0"/>
          <w:numId w:val="0"/>
        </w:numPr>
        <w:ind w:hanging="720"/>
      </w:pPr>
      <w:r>
        <w:rPr>
          <w:sz w:val="20"/>
        </w:rPr>
        <w:t>4</w:t>
      </w:r>
      <w:r>
        <w:rPr>
          <w:sz w:val="20"/>
        </w:rPr>
        <w:tab/>
      </w:r>
      <w:r>
        <w:tab/>
      </w:r>
      <w:r w:rsidR="00592D55">
        <w:t xml:space="preserve">The point to be made is that there were findings by the primary judge in support of each of the factual matters </w:t>
      </w:r>
      <w:proofErr w:type="spellStart"/>
      <w:r w:rsidR="00592D55">
        <w:t>Sunstruct</w:t>
      </w:r>
      <w:proofErr w:type="spellEnd"/>
      <w:r w:rsidR="00592D55">
        <w:t xml:space="preserve"> advanced in support of its claim for costs against Mr Knell.  Furthermore, in my opinion those factual matters could have formed a sufficient basis for an order that Mr Knell pay </w:t>
      </w:r>
      <w:proofErr w:type="spellStart"/>
      <w:r w:rsidR="00592D55">
        <w:t>Sunstruct’s</w:t>
      </w:r>
      <w:proofErr w:type="spellEnd"/>
      <w:r w:rsidR="00592D55">
        <w:t xml:space="preserve"> costs (see </w:t>
      </w:r>
      <w:proofErr w:type="spellStart"/>
      <w:r w:rsidR="00592D55">
        <w:rPr>
          <w:i/>
        </w:rPr>
        <w:t>Dunghutti</w:t>
      </w:r>
      <w:proofErr w:type="spellEnd"/>
      <w:r w:rsidR="00592D55">
        <w:rPr>
          <w:i/>
        </w:rPr>
        <w:t xml:space="preserve"> Elders Council (Aboriginal Corporation) </w:t>
      </w:r>
      <w:proofErr w:type="spellStart"/>
      <w:r w:rsidR="00592D55">
        <w:rPr>
          <w:i/>
        </w:rPr>
        <w:t>RNTBC</w:t>
      </w:r>
      <w:proofErr w:type="spellEnd"/>
      <w:r w:rsidR="00592D55">
        <w:rPr>
          <w:i/>
        </w:rPr>
        <w:t xml:space="preserve"> </w:t>
      </w:r>
      <w:r w:rsidR="00815DF7">
        <w:rPr>
          <w:i/>
        </w:rPr>
        <w:t>and</w:t>
      </w:r>
      <w:r w:rsidR="00592D55">
        <w:rPr>
          <w:i/>
        </w:rPr>
        <w:t xml:space="preserve"> Others v Registrar of Aboriginal and Torres Strait Island</w:t>
      </w:r>
      <w:r w:rsidR="00BE0C42">
        <w:rPr>
          <w:i/>
        </w:rPr>
        <w:t xml:space="preserve">er </w:t>
      </w:r>
      <w:r w:rsidR="00592D55">
        <w:rPr>
          <w:i/>
        </w:rPr>
        <w:t>Corporations (No 4)</w:t>
      </w:r>
      <w:r w:rsidR="00592D55" w:rsidRPr="005333A3">
        <w:rPr>
          <w:i/>
        </w:rPr>
        <w:t xml:space="preserve"> and </w:t>
      </w:r>
      <w:proofErr w:type="gramStart"/>
      <w:r w:rsidR="00592D55" w:rsidRPr="005333A3">
        <w:rPr>
          <w:i/>
        </w:rPr>
        <w:t>Another</w:t>
      </w:r>
      <w:proofErr w:type="gramEnd"/>
      <w:r w:rsidR="00592D55">
        <w:t xml:space="preserve"> (2012) 200 </w:t>
      </w:r>
      <w:proofErr w:type="spellStart"/>
      <w:r w:rsidR="00592D55">
        <w:t>FCR</w:t>
      </w:r>
      <w:proofErr w:type="spellEnd"/>
      <w:r w:rsidR="00592D55">
        <w:t xml:space="preserve"> 154 at 170-171, [88]-[93]).</w:t>
      </w:r>
    </w:p>
    <w:p w:rsidR="00592D55" w:rsidRDefault="003B1253" w:rsidP="003B1253">
      <w:pPr>
        <w:pStyle w:val="ParaNumbering"/>
        <w:numPr>
          <w:ilvl w:val="0"/>
          <w:numId w:val="0"/>
        </w:numPr>
        <w:ind w:hanging="720"/>
      </w:pPr>
      <w:r>
        <w:rPr>
          <w:sz w:val="20"/>
        </w:rPr>
        <w:t>5</w:t>
      </w:r>
      <w:r>
        <w:rPr>
          <w:sz w:val="20"/>
        </w:rPr>
        <w:tab/>
      </w:r>
      <w:r>
        <w:tab/>
      </w:r>
      <w:r w:rsidR="00592D55">
        <w:t xml:space="preserve">The difficulty for </w:t>
      </w:r>
      <w:proofErr w:type="spellStart"/>
      <w:r w:rsidR="00592D55">
        <w:t>Sunstruct</w:t>
      </w:r>
      <w:proofErr w:type="spellEnd"/>
      <w:r w:rsidR="00592D55">
        <w:t xml:space="preserve"> in this case is that, in reaching his conclusion that </w:t>
      </w:r>
      <w:proofErr w:type="spellStart"/>
      <w:r w:rsidR="00592D55">
        <w:t>Sunstruct</w:t>
      </w:r>
      <w:proofErr w:type="spellEnd"/>
      <w:r w:rsidR="00592D55">
        <w:t xml:space="preserve"> was entitled to an order for costs against Mr Knell, the primary judge relied on the circumstances surrounding the Deed of Company Arrangement, and that is a ma</w:t>
      </w:r>
      <w:r w:rsidR="00EE473A">
        <w:t>tter in respect of which Mr </w:t>
      </w:r>
      <w:r w:rsidR="00592D55">
        <w:t>Knell has been denied procedural fairness.</w:t>
      </w:r>
    </w:p>
    <w:p w:rsidR="00592D55" w:rsidRDefault="003B1253" w:rsidP="003B1253">
      <w:pPr>
        <w:pStyle w:val="ParaNumbering"/>
        <w:numPr>
          <w:ilvl w:val="0"/>
          <w:numId w:val="0"/>
        </w:numPr>
        <w:ind w:hanging="720"/>
      </w:pPr>
      <w:r>
        <w:rPr>
          <w:sz w:val="20"/>
        </w:rPr>
        <w:t>6</w:t>
      </w:r>
      <w:r>
        <w:rPr>
          <w:sz w:val="20"/>
        </w:rPr>
        <w:tab/>
      </w:r>
      <w:r>
        <w:tab/>
      </w:r>
      <w:r w:rsidR="00592D55">
        <w:t xml:space="preserve">Although it seems to me that </w:t>
      </w:r>
      <w:proofErr w:type="spellStart"/>
      <w:r w:rsidR="00592D55">
        <w:t>Sunstruct</w:t>
      </w:r>
      <w:proofErr w:type="spellEnd"/>
      <w:r w:rsidR="00592D55">
        <w:t xml:space="preserve"> had a powerful case for an order for costs against Mr Knell, irrespective of the matters relating to the circumstances surrounding the Deed of Company Arrangement, the question for this Court is whether a rehearing would inevitably result in the same order (</w:t>
      </w:r>
      <w:r w:rsidR="00592D55">
        <w:rPr>
          <w:i/>
        </w:rPr>
        <w:t xml:space="preserve">Stead v State Government Insurance Commission </w:t>
      </w:r>
      <w:r w:rsidR="00592D55">
        <w:t xml:space="preserve">(1986) 161 </w:t>
      </w:r>
      <w:proofErr w:type="spellStart"/>
      <w:r w:rsidR="00592D55">
        <w:t>CLR</w:t>
      </w:r>
      <w:proofErr w:type="spellEnd"/>
      <w:r w:rsidR="00592D55">
        <w:t xml:space="preserve"> 141 at 145).  That conclusion could not be reached on the basis of anything the primary judge said.  In fact, his Honour said </w:t>
      </w:r>
      <w:r w:rsidR="003713B4" w:rsidRPr="00967D3A">
        <w:t>in his costs judgment</w:t>
      </w:r>
      <w:r w:rsidR="003713B4">
        <w:t xml:space="preserve"> </w:t>
      </w:r>
      <w:r w:rsidR="00592D55">
        <w:t>(at [114]):</w:t>
      </w:r>
    </w:p>
    <w:p w:rsidR="00592D55" w:rsidRDefault="00592D55" w:rsidP="00592D55">
      <w:pPr>
        <w:pStyle w:val="Quote1"/>
      </w:pPr>
      <w:r>
        <w:t xml:space="preserve">... </w:t>
      </w:r>
      <w:r w:rsidRPr="00E3236F">
        <w:t xml:space="preserve">Except for the </w:t>
      </w:r>
      <w:proofErr w:type="spellStart"/>
      <w:r w:rsidRPr="00E3236F">
        <w:t>DOCA</w:t>
      </w:r>
      <w:proofErr w:type="spellEnd"/>
      <w:r w:rsidRPr="00E3236F">
        <w:t xml:space="preserve">, I may have been inclined to the conventional view that those standing behind a corporation are entitled to the protection of the corporate veil.  </w:t>
      </w:r>
    </w:p>
    <w:p w:rsidR="00592D55" w:rsidRDefault="00592D55" w:rsidP="00592D55">
      <w:pPr>
        <w:pStyle w:val="Quote1"/>
      </w:pPr>
    </w:p>
    <w:p w:rsidR="00592D55" w:rsidRPr="00D63E4F" w:rsidRDefault="003B1253" w:rsidP="003B1253">
      <w:pPr>
        <w:pStyle w:val="ParaNumbering"/>
        <w:numPr>
          <w:ilvl w:val="0"/>
          <w:numId w:val="0"/>
        </w:numPr>
        <w:ind w:hanging="720"/>
      </w:pPr>
      <w:r w:rsidRPr="00D63E4F">
        <w:rPr>
          <w:sz w:val="20"/>
        </w:rPr>
        <w:lastRenderedPageBreak/>
        <w:t>7</w:t>
      </w:r>
      <w:r w:rsidRPr="00D63E4F">
        <w:rPr>
          <w:sz w:val="20"/>
        </w:rPr>
        <w:tab/>
      </w:r>
      <w:r>
        <w:tab/>
      </w:r>
      <w:r w:rsidR="00592D55">
        <w:t xml:space="preserve">Nor unfortunately, in view of the time which has passed and the substantial costs no doubt incurred, is this Court in a position to conclude for </w:t>
      </w:r>
      <w:proofErr w:type="gramStart"/>
      <w:r w:rsidR="00592D55">
        <w:t>itself</w:t>
      </w:r>
      <w:proofErr w:type="gramEnd"/>
      <w:r w:rsidR="00592D55">
        <w:t xml:space="preserve"> that an order against Mr Knell is inevitable.  One example will illustrate the reasons that this is so.  The primary judge found that the conduct of the trial by </w:t>
      </w:r>
      <w:proofErr w:type="spellStart"/>
      <w:r w:rsidR="00592D55">
        <w:t>Bluechip</w:t>
      </w:r>
      <w:proofErr w:type="spellEnd"/>
      <w:r w:rsidR="00592D55">
        <w:t xml:space="preserve"> was improper.  The primary judge had heard the trial and that was, no doubt, an adequate description from his perspective.  However, for this Court to assess the appropriate weight to put on this matter, it would be necessary for the Court to be provided with further details of the precise aspects in which it is said the conduct of the trial was improper.  That task was not the subject of submissions but, in any event, it is not an appropriate task for this Court to undertake.  There is another difficulty.  </w:t>
      </w:r>
      <w:proofErr w:type="spellStart"/>
      <w:r w:rsidR="00592D55">
        <w:t>Sunstruct</w:t>
      </w:r>
      <w:proofErr w:type="spellEnd"/>
      <w:r w:rsidR="00592D55">
        <w:t xml:space="preserve"> does not abandon any of the matters the primary judge relied on in reaching his conclusion, including the circumstances surrounding the Deed of Company Arrangement.  This Court has concluded that Mr Knell is entitled to procedural fairness with respect to that matter, and that means that there would need to be a further hearing with the possibility of one or both parties putting forward evidence with respect to that matter.</w:t>
      </w:r>
    </w:p>
    <w:p w:rsidR="00592D55" w:rsidRDefault="00592D55" w:rsidP="00592D55">
      <w:bookmarkStart w:id="24" w:name="Certification"/>
    </w:p>
    <w:tbl>
      <w:tblPr>
        <w:tblW w:w="0" w:type="auto"/>
        <w:tblLook w:val="04A0" w:firstRow="1" w:lastRow="0" w:firstColumn="1" w:lastColumn="0" w:noHBand="0" w:noVBand="1"/>
      </w:tblPr>
      <w:tblGrid>
        <w:gridCol w:w="3794"/>
      </w:tblGrid>
      <w:tr w:rsidR="00592D55" w:rsidRPr="009E3602" w:rsidTr="00EE473A">
        <w:tc>
          <w:tcPr>
            <w:tcW w:w="3794" w:type="dxa"/>
            <w:shd w:val="clear" w:color="auto" w:fill="auto"/>
          </w:tcPr>
          <w:p w:rsidR="00592D55" w:rsidRPr="009E3602" w:rsidRDefault="00592D55" w:rsidP="00EE473A">
            <w:pPr>
              <w:pStyle w:val="Normal1linespace"/>
            </w:pPr>
            <w:r w:rsidRPr="009E3602">
              <w:t xml:space="preserve">I certify that the preceding </w:t>
            </w:r>
            <w:bookmarkStart w:id="25" w:name="NumberWord"/>
            <w:r>
              <w:t>seven</w:t>
            </w:r>
            <w:bookmarkEnd w:id="25"/>
            <w:r w:rsidRPr="009E3602">
              <w:t xml:space="preserve"> (</w:t>
            </w:r>
            <w:bookmarkStart w:id="26" w:name="NumberNumeral"/>
            <w:r>
              <w:t>7</w:t>
            </w:r>
            <w:bookmarkEnd w:id="26"/>
            <w:r w:rsidRPr="009E3602">
              <w:t xml:space="preserve">) numbered </w:t>
            </w:r>
            <w:bookmarkStart w:id="27" w:name="CertPara"/>
            <w:r>
              <w:t>paragraphs are</w:t>
            </w:r>
            <w:bookmarkEnd w:id="27"/>
            <w:r w:rsidRPr="009E3602">
              <w:t xml:space="preserve"> a true copy of the Reasons for Judgment herein of the Honourable </w:t>
            </w:r>
            <w:bookmarkStart w:id="28" w:name="Justice"/>
            <w:r>
              <w:t>Justice Besanko</w:t>
            </w:r>
            <w:bookmarkEnd w:id="28"/>
            <w:r w:rsidRPr="009E3602">
              <w:t>.</w:t>
            </w:r>
          </w:p>
        </w:tc>
      </w:tr>
    </w:tbl>
    <w:p w:rsidR="00592D55" w:rsidRDefault="00592D55" w:rsidP="00592D55"/>
    <w:p w:rsidR="00592D55" w:rsidRDefault="00592D55" w:rsidP="00592D55"/>
    <w:p w:rsidR="00592D55" w:rsidRDefault="00592D55" w:rsidP="00592D55">
      <w:pPr>
        <w:suppressAutoHyphens/>
      </w:pPr>
      <w:r>
        <w:t>Associate:</w:t>
      </w:r>
      <w:r>
        <w:tab/>
      </w:r>
    </w:p>
    <w:p w:rsidR="00592D55" w:rsidRDefault="00592D55" w:rsidP="00592D55">
      <w:pPr>
        <w:tabs>
          <w:tab w:val="left" w:pos="1134"/>
        </w:tabs>
        <w:suppressAutoHyphens/>
      </w:pPr>
      <w:bookmarkStart w:id="29" w:name="_GoBack"/>
      <w:bookmarkEnd w:id="29"/>
      <w:r>
        <w:t>Dated:</w:t>
      </w:r>
      <w:r>
        <w:tab/>
      </w:r>
      <w:bookmarkStart w:id="30" w:name="CertifyDated"/>
      <w:r w:rsidR="00C364F3">
        <w:t>14</w:t>
      </w:r>
      <w:r w:rsidR="0038689A">
        <w:t xml:space="preserve"> May</w:t>
      </w:r>
      <w:r>
        <w:t xml:space="preserve"> 2015</w:t>
      </w:r>
      <w:bookmarkEnd w:id="30"/>
    </w:p>
    <w:p w:rsidR="00592D55" w:rsidRDefault="00592D55" w:rsidP="00592D55">
      <w:pPr>
        <w:suppressAutoHyphens/>
      </w:pPr>
    </w:p>
    <w:bookmarkEnd w:id="24"/>
    <w:p w:rsidR="00592D55" w:rsidRDefault="00592D55" w:rsidP="00592D55">
      <w:pPr>
        <w:pStyle w:val="BodyText"/>
      </w:pPr>
    </w:p>
    <w:p w:rsidR="00592D55" w:rsidRDefault="00592D55">
      <w:pPr>
        <w:spacing w:line="240" w:lineRule="auto"/>
        <w:jc w:val="left"/>
      </w:pPr>
      <w:r>
        <w:br w:type="page"/>
      </w:r>
    </w:p>
    <w:tbl>
      <w:tblPr>
        <w:tblW w:w="0" w:type="auto"/>
        <w:tblLayout w:type="fixed"/>
        <w:tblLook w:val="0000" w:firstRow="0" w:lastRow="0" w:firstColumn="0" w:lastColumn="0" w:noHBand="0" w:noVBand="0"/>
      </w:tblPr>
      <w:tblGrid>
        <w:gridCol w:w="6771"/>
        <w:gridCol w:w="2471"/>
      </w:tblGrid>
      <w:tr w:rsidR="00592D55" w:rsidTr="00EE473A">
        <w:tc>
          <w:tcPr>
            <w:tcW w:w="6771" w:type="dxa"/>
          </w:tcPr>
          <w:p w:rsidR="00592D55" w:rsidRDefault="00592D55" w:rsidP="00EE473A">
            <w:pPr>
              <w:pStyle w:val="NormalHeadings"/>
              <w:spacing w:after="120"/>
              <w:jc w:val="left"/>
              <w:rPr>
                <w:caps/>
                <w:szCs w:val="24"/>
              </w:rPr>
            </w:pPr>
            <w:r>
              <w:rPr>
                <w:caps/>
                <w:szCs w:val="24"/>
              </w:rPr>
              <w:lastRenderedPageBreak/>
              <w:t>IN THE FEDERAL COURT OF AUSTRALIA</w:t>
            </w:r>
          </w:p>
        </w:tc>
        <w:tc>
          <w:tcPr>
            <w:tcW w:w="2471" w:type="dxa"/>
          </w:tcPr>
          <w:p w:rsidR="00592D55" w:rsidRDefault="00592D55" w:rsidP="00EE473A">
            <w:pPr>
              <w:pStyle w:val="NormalHeadings"/>
            </w:pPr>
          </w:p>
        </w:tc>
      </w:tr>
      <w:tr w:rsidR="00592D55" w:rsidTr="00EE473A">
        <w:tc>
          <w:tcPr>
            <w:tcW w:w="6771" w:type="dxa"/>
          </w:tcPr>
          <w:p w:rsidR="00592D55" w:rsidRDefault="00592D55" w:rsidP="00EE473A">
            <w:pPr>
              <w:pStyle w:val="NormalHeadings"/>
              <w:spacing w:after="120"/>
              <w:jc w:val="left"/>
              <w:rPr>
                <w:caps/>
                <w:szCs w:val="24"/>
              </w:rPr>
            </w:pPr>
            <w:r>
              <w:rPr>
                <w:caps/>
                <w:szCs w:val="24"/>
              </w:rPr>
              <w:t>QUEENSLAND DISTRICT REGISTRY</w:t>
            </w:r>
          </w:p>
        </w:tc>
        <w:tc>
          <w:tcPr>
            <w:tcW w:w="2471" w:type="dxa"/>
          </w:tcPr>
          <w:p w:rsidR="00592D55" w:rsidRDefault="00592D55" w:rsidP="00EE473A">
            <w:pPr>
              <w:pStyle w:val="NormalHeadings"/>
              <w:tabs>
                <w:tab w:val="right" w:pos="3609"/>
              </w:tabs>
              <w:jc w:val="right"/>
              <w:rPr>
                <w:caps/>
                <w:szCs w:val="24"/>
              </w:rPr>
            </w:pPr>
          </w:p>
        </w:tc>
      </w:tr>
      <w:tr w:rsidR="00592D55" w:rsidTr="00EE473A">
        <w:tc>
          <w:tcPr>
            <w:tcW w:w="6771" w:type="dxa"/>
          </w:tcPr>
          <w:p w:rsidR="00592D55" w:rsidRDefault="00592D55" w:rsidP="00EE473A">
            <w:pPr>
              <w:pStyle w:val="NormalHeadings"/>
              <w:spacing w:after="120"/>
              <w:jc w:val="left"/>
              <w:rPr>
                <w:caps/>
                <w:szCs w:val="24"/>
              </w:rPr>
            </w:pPr>
            <w:r>
              <w:rPr>
                <w:caps/>
                <w:szCs w:val="24"/>
              </w:rPr>
              <w:t>GENERAL DIVISION</w:t>
            </w:r>
          </w:p>
        </w:tc>
        <w:tc>
          <w:tcPr>
            <w:tcW w:w="2471" w:type="dxa"/>
          </w:tcPr>
          <w:p w:rsidR="00592D55" w:rsidRDefault="00592D55" w:rsidP="00F60AEF">
            <w:pPr>
              <w:pStyle w:val="NormalHeadings"/>
              <w:tabs>
                <w:tab w:val="right" w:pos="3609"/>
              </w:tabs>
              <w:jc w:val="right"/>
              <w:rPr>
                <w:caps/>
                <w:szCs w:val="24"/>
              </w:rPr>
            </w:pPr>
            <w:proofErr w:type="spellStart"/>
            <w:r w:rsidRPr="000E5567">
              <w:rPr>
                <w:caps/>
                <w:szCs w:val="24"/>
              </w:rPr>
              <w:t>QUD</w:t>
            </w:r>
            <w:proofErr w:type="spellEnd"/>
            <w:r>
              <w:rPr>
                <w:szCs w:val="24"/>
              </w:rPr>
              <w:t xml:space="preserve"> 82</w:t>
            </w:r>
            <w:r w:rsidR="00F60AEF">
              <w:rPr>
                <w:szCs w:val="24"/>
              </w:rPr>
              <w:t>6</w:t>
            </w:r>
            <w:r>
              <w:rPr>
                <w:szCs w:val="24"/>
              </w:rPr>
              <w:t xml:space="preserve"> of 2013</w:t>
            </w:r>
          </w:p>
        </w:tc>
      </w:tr>
    </w:tbl>
    <w:p w:rsidR="00592D55" w:rsidRDefault="00592D55" w:rsidP="00592D55">
      <w:pPr>
        <w:pStyle w:val="AppealTable"/>
        <w:rPr>
          <w:b w:val="0"/>
          <w:caps w:val="0"/>
          <w:sz w:val="20"/>
          <w:szCs w:val="20"/>
          <w:lang w:eastAsia="en-AU"/>
        </w:rPr>
      </w:pPr>
    </w:p>
    <w:tbl>
      <w:tblPr>
        <w:tblW w:w="0" w:type="auto"/>
        <w:tblLook w:val="01E0" w:firstRow="1" w:lastRow="1" w:firstColumn="1" w:lastColumn="1" w:noHBand="0" w:noVBand="0"/>
      </w:tblPr>
      <w:tblGrid>
        <w:gridCol w:w="9243"/>
      </w:tblGrid>
      <w:tr w:rsidR="00592D55" w:rsidRPr="000E5567" w:rsidTr="00EE473A">
        <w:tc>
          <w:tcPr>
            <w:tcW w:w="9243" w:type="dxa"/>
            <w:shd w:val="clear" w:color="auto" w:fill="auto"/>
          </w:tcPr>
          <w:p w:rsidR="00592D55" w:rsidRPr="000E5567" w:rsidRDefault="003B1253" w:rsidP="00EE473A">
            <w:pPr>
              <w:pStyle w:val="AppealTable"/>
              <w:widowControl w:val="0"/>
              <w:spacing w:line="360" w:lineRule="auto"/>
              <w:jc w:val="both"/>
              <w:rPr>
                <w:caps w:val="0"/>
                <w:sz w:val="24"/>
                <w:szCs w:val="20"/>
                <w:lang w:eastAsia="en-AU"/>
              </w:rPr>
            </w:pPr>
            <w:r w:rsidRPr="000E5567">
              <w:rPr>
                <w:caps w:val="0"/>
                <w:sz w:val="24"/>
                <w:szCs w:val="20"/>
                <w:lang w:eastAsia="en-AU"/>
              </w:rPr>
              <w:t>ON APPEAL FROM THE FEDERAL CIRCUIT COURT OF AUSTRALIA</w:t>
            </w:r>
          </w:p>
        </w:tc>
      </w:tr>
    </w:tbl>
    <w:p w:rsidR="00592D55" w:rsidRDefault="00592D55" w:rsidP="00592D55">
      <w:pPr>
        <w:pStyle w:val="AppealTable"/>
      </w:pPr>
    </w:p>
    <w:tbl>
      <w:tblPr>
        <w:tblW w:w="0" w:type="auto"/>
        <w:tblLayout w:type="fixed"/>
        <w:tblLook w:val="0000" w:firstRow="0" w:lastRow="0" w:firstColumn="0" w:lastColumn="0" w:noHBand="0" w:noVBand="0"/>
      </w:tblPr>
      <w:tblGrid>
        <w:gridCol w:w="2376"/>
        <w:gridCol w:w="6866"/>
      </w:tblGrid>
      <w:tr w:rsidR="00592D55" w:rsidTr="00EE473A">
        <w:trPr>
          <w:trHeight w:val="386"/>
        </w:trPr>
        <w:tc>
          <w:tcPr>
            <w:tcW w:w="2376" w:type="dxa"/>
          </w:tcPr>
          <w:p w:rsidR="00592D55" w:rsidRDefault="00592D55" w:rsidP="00EE473A">
            <w:pPr>
              <w:pStyle w:val="NormalHeadings"/>
              <w:jc w:val="left"/>
              <w:rPr>
                <w:caps/>
                <w:szCs w:val="24"/>
              </w:rPr>
            </w:pPr>
            <w:r>
              <w:rPr>
                <w:caps/>
                <w:szCs w:val="24"/>
              </w:rPr>
              <w:t>BETWEEN:</w:t>
            </w:r>
          </w:p>
        </w:tc>
        <w:tc>
          <w:tcPr>
            <w:tcW w:w="6866" w:type="dxa"/>
          </w:tcPr>
          <w:p w:rsidR="00592D55" w:rsidRDefault="00592D55" w:rsidP="00EE473A">
            <w:pPr>
              <w:pStyle w:val="NormalHeadings"/>
              <w:jc w:val="left"/>
              <w:rPr>
                <w:szCs w:val="24"/>
              </w:rPr>
            </w:pPr>
            <w:r>
              <w:rPr>
                <w:szCs w:val="24"/>
              </w:rPr>
              <w:t xml:space="preserve">CENTRAL QUEENSLAND DEVELOPMENT CORPORATION PTY LTD (FORMERLY KNOWN AS </w:t>
            </w:r>
            <w:proofErr w:type="spellStart"/>
            <w:r>
              <w:rPr>
                <w:szCs w:val="24"/>
              </w:rPr>
              <w:t>BLUECHIP</w:t>
            </w:r>
            <w:proofErr w:type="spellEnd"/>
            <w:r>
              <w:rPr>
                <w:szCs w:val="24"/>
              </w:rPr>
              <w:t xml:space="preserve"> DEVELOPMENT CORPORATION (GLADSTONE) PTY LTD) </w:t>
            </w:r>
            <w:proofErr w:type="spellStart"/>
            <w:r>
              <w:rPr>
                <w:szCs w:val="24"/>
              </w:rPr>
              <w:t>ACN</w:t>
            </w:r>
            <w:proofErr w:type="spellEnd"/>
            <w:r>
              <w:rPr>
                <w:szCs w:val="24"/>
              </w:rPr>
              <w:t xml:space="preserve"> 120 112 781</w:t>
            </w:r>
          </w:p>
          <w:p w:rsidR="00592D55" w:rsidRDefault="00592D55" w:rsidP="00EE473A">
            <w:pPr>
              <w:pStyle w:val="NormalHeadings"/>
              <w:jc w:val="left"/>
              <w:rPr>
                <w:szCs w:val="24"/>
              </w:rPr>
            </w:pPr>
            <w:r>
              <w:rPr>
                <w:szCs w:val="24"/>
              </w:rPr>
              <w:t>Appellant</w:t>
            </w:r>
          </w:p>
          <w:p w:rsidR="00592D55" w:rsidRDefault="00592D55" w:rsidP="00EE473A">
            <w:pPr>
              <w:pStyle w:val="NormalHeadings"/>
              <w:jc w:val="left"/>
              <w:rPr>
                <w:caps/>
                <w:szCs w:val="24"/>
              </w:rPr>
            </w:pPr>
          </w:p>
        </w:tc>
      </w:tr>
      <w:tr w:rsidR="00592D55" w:rsidTr="00EE473A">
        <w:trPr>
          <w:trHeight w:val="386"/>
        </w:trPr>
        <w:tc>
          <w:tcPr>
            <w:tcW w:w="2376" w:type="dxa"/>
          </w:tcPr>
          <w:p w:rsidR="00592D55" w:rsidRDefault="00592D55" w:rsidP="00EE473A">
            <w:pPr>
              <w:pStyle w:val="NormalHeadings"/>
              <w:jc w:val="left"/>
              <w:rPr>
                <w:caps/>
                <w:szCs w:val="24"/>
              </w:rPr>
            </w:pPr>
            <w:r>
              <w:rPr>
                <w:caps/>
                <w:szCs w:val="24"/>
              </w:rPr>
              <w:t>AND:</w:t>
            </w:r>
          </w:p>
        </w:tc>
        <w:tc>
          <w:tcPr>
            <w:tcW w:w="6866" w:type="dxa"/>
          </w:tcPr>
          <w:p w:rsidR="00592D55" w:rsidRDefault="00592D55" w:rsidP="00EE473A">
            <w:pPr>
              <w:pStyle w:val="NormalHeadings"/>
              <w:jc w:val="left"/>
              <w:rPr>
                <w:szCs w:val="24"/>
              </w:rPr>
            </w:pPr>
            <w:proofErr w:type="spellStart"/>
            <w:r>
              <w:rPr>
                <w:szCs w:val="24"/>
              </w:rPr>
              <w:t>SUNSTRUCT</w:t>
            </w:r>
            <w:proofErr w:type="spellEnd"/>
            <w:r>
              <w:rPr>
                <w:szCs w:val="24"/>
              </w:rPr>
              <w:t xml:space="preserve"> PTY LIMITED (</w:t>
            </w:r>
            <w:proofErr w:type="spellStart"/>
            <w:r>
              <w:rPr>
                <w:szCs w:val="24"/>
              </w:rPr>
              <w:t>ACN</w:t>
            </w:r>
            <w:proofErr w:type="spellEnd"/>
            <w:r>
              <w:rPr>
                <w:szCs w:val="24"/>
              </w:rPr>
              <w:t xml:space="preserve"> 104 162 549)</w:t>
            </w:r>
          </w:p>
          <w:p w:rsidR="009174B6" w:rsidRDefault="009174B6" w:rsidP="009174B6">
            <w:pPr>
              <w:pStyle w:val="NormalHeadings"/>
              <w:jc w:val="left"/>
              <w:rPr>
                <w:szCs w:val="24"/>
              </w:rPr>
            </w:pPr>
            <w:r>
              <w:rPr>
                <w:szCs w:val="24"/>
              </w:rPr>
              <w:t>First Respondent</w:t>
            </w:r>
          </w:p>
          <w:p w:rsidR="009174B6" w:rsidRDefault="009174B6" w:rsidP="009174B6">
            <w:pPr>
              <w:pStyle w:val="NormalHeadings"/>
              <w:jc w:val="left"/>
              <w:rPr>
                <w:szCs w:val="24"/>
              </w:rPr>
            </w:pPr>
          </w:p>
          <w:p w:rsidR="009174B6" w:rsidRDefault="009174B6" w:rsidP="009174B6">
            <w:pPr>
              <w:pStyle w:val="NormalHeadings"/>
              <w:jc w:val="left"/>
              <w:rPr>
                <w:szCs w:val="24"/>
              </w:rPr>
            </w:pPr>
            <w:r>
              <w:rPr>
                <w:szCs w:val="24"/>
              </w:rPr>
              <w:t xml:space="preserve">LORENZO MARIO </w:t>
            </w:r>
            <w:proofErr w:type="spellStart"/>
            <w:r>
              <w:rPr>
                <w:szCs w:val="24"/>
              </w:rPr>
              <w:t>REGINATO</w:t>
            </w:r>
            <w:proofErr w:type="spellEnd"/>
          </w:p>
          <w:p w:rsidR="009174B6" w:rsidRDefault="009174B6" w:rsidP="009174B6">
            <w:pPr>
              <w:pStyle w:val="NormalHeadings"/>
              <w:jc w:val="left"/>
              <w:rPr>
                <w:szCs w:val="24"/>
              </w:rPr>
            </w:pPr>
            <w:r>
              <w:rPr>
                <w:szCs w:val="24"/>
              </w:rPr>
              <w:t>Second Respondent</w:t>
            </w:r>
          </w:p>
          <w:p w:rsidR="009174B6" w:rsidRDefault="009174B6" w:rsidP="009174B6">
            <w:pPr>
              <w:pStyle w:val="NormalHeadings"/>
              <w:jc w:val="left"/>
              <w:rPr>
                <w:szCs w:val="24"/>
              </w:rPr>
            </w:pPr>
          </w:p>
          <w:p w:rsidR="009174B6" w:rsidRDefault="009174B6" w:rsidP="009174B6">
            <w:pPr>
              <w:pStyle w:val="NormalHeadings"/>
              <w:jc w:val="left"/>
              <w:rPr>
                <w:szCs w:val="24"/>
              </w:rPr>
            </w:pPr>
            <w:r>
              <w:rPr>
                <w:szCs w:val="24"/>
              </w:rPr>
              <w:t>ANTONY JAMES SCHOFIELD</w:t>
            </w:r>
          </w:p>
          <w:p w:rsidR="00592D55" w:rsidRDefault="009174B6" w:rsidP="009174B6">
            <w:pPr>
              <w:pStyle w:val="NormalHeadings"/>
              <w:jc w:val="left"/>
              <w:rPr>
                <w:caps/>
                <w:szCs w:val="24"/>
              </w:rPr>
            </w:pPr>
            <w:r>
              <w:rPr>
                <w:szCs w:val="24"/>
              </w:rPr>
              <w:t>Third Respondent</w:t>
            </w:r>
            <w:r>
              <w:rPr>
                <w:caps/>
                <w:szCs w:val="24"/>
              </w:rPr>
              <w:t xml:space="preserve"> </w:t>
            </w:r>
          </w:p>
          <w:p w:rsidR="009174B6" w:rsidRDefault="009174B6" w:rsidP="009174B6">
            <w:pPr>
              <w:pStyle w:val="NormalHeadings"/>
              <w:jc w:val="left"/>
              <w:rPr>
                <w:caps/>
                <w:szCs w:val="24"/>
              </w:rPr>
            </w:pPr>
          </w:p>
        </w:tc>
      </w:tr>
    </w:tbl>
    <w:p w:rsidR="00592D55" w:rsidRDefault="00592D55" w:rsidP="00592D55">
      <w:pPr>
        <w:pStyle w:val="NormalHeadings"/>
      </w:pPr>
    </w:p>
    <w:tbl>
      <w:tblPr>
        <w:tblW w:w="0" w:type="auto"/>
        <w:tblLayout w:type="fixed"/>
        <w:tblLook w:val="0000" w:firstRow="0" w:lastRow="0" w:firstColumn="0" w:lastColumn="0" w:noHBand="0" w:noVBand="0"/>
      </w:tblPr>
      <w:tblGrid>
        <w:gridCol w:w="6771"/>
        <w:gridCol w:w="2471"/>
      </w:tblGrid>
      <w:tr w:rsidR="00F60AEF" w:rsidTr="00EE473A">
        <w:tc>
          <w:tcPr>
            <w:tcW w:w="6771" w:type="dxa"/>
          </w:tcPr>
          <w:p w:rsidR="00F60AEF" w:rsidRDefault="00F60AEF" w:rsidP="00EE473A">
            <w:pPr>
              <w:pStyle w:val="NormalHeadings"/>
              <w:spacing w:after="120"/>
              <w:jc w:val="left"/>
              <w:rPr>
                <w:caps/>
                <w:szCs w:val="24"/>
              </w:rPr>
            </w:pPr>
            <w:r>
              <w:rPr>
                <w:caps/>
                <w:szCs w:val="24"/>
              </w:rPr>
              <w:t>IN THE FEDERAL COURT OF AUSTRALIA</w:t>
            </w:r>
          </w:p>
        </w:tc>
        <w:tc>
          <w:tcPr>
            <w:tcW w:w="2471" w:type="dxa"/>
          </w:tcPr>
          <w:p w:rsidR="00F60AEF" w:rsidRDefault="00F60AEF" w:rsidP="00EE473A">
            <w:pPr>
              <w:pStyle w:val="NormalHeadings"/>
              <w:jc w:val="left"/>
              <w:rPr>
                <w:caps/>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QUEENSLAND DISTRICT REGISTRY</w:t>
            </w:r>
          </w:p>
        </w:tc>
        <w:tc>
          <w:tcPr>
            <w:tcW w:w="2471" w:type="dxa"/>
          </w:tcPr>
          <w:p w:rsidR="00F60AEF" w:rsidRDefault="00F60AEF" w:rsidP="00EE473A">
            <w:pPr>
              <w:pStyle w:val="NormalHeadings"/>
              <w:tabs>
                <w:tab w:val="right" w:pos="3609"/>
              </w:tabs>
              <w:jc w:val="right"/>
              <w:rPr>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GENERAL DIVISION</w:t>
            </w:r>
          </w:p>
        </w:tc>
        <w:tc>
          <w:tcPr>
            <w:tcW w:w="2471" w:type="dxa"/>
          </w:tcPr>
          <w:p w:rsidR="00F60AEF" w:rsidRDefault="00F60AEF" w:rsidP="00EE473A">
            <w:pPr>
              <w:pStyle w:val="NormalHeadings"/>
              <w:tabs>
                <w:tab w:val="right" w:pos="3609"/>
              </w:tabs>
              <w:jc w:val="right"/>
              <w:rPr>
                <w:szCs w:val="24"/>
              </w:rPr>
            </w:pPr>
            <w:proofErr w:type="spellStart"/>
            <w:r>
              <w:rPr>
                <w:szCs w:val="24"/>
              </w:rPr>
              <w:t>QUD</w:t>
            </w:r>
            <w:proofErr w:type="spellEnd"/>
            <w:r>
              <w:rPr>
                <w:szCs w:val="24"/>
              </w:rPr>
              <w:t xml:space="preserve"> 828 of 2013</w:t>
            </w:r>
          </w:p>
        </w:tc>
      </w:tr>
    </w:tbl>
    <w:p w:rsidR="00F60AEF" w:rsidRDefault="00F60AEF" w:rsidP="00F60AEF">
      <w:pPr>
        <w:pStyle w:val="AppealTable"/>
      </w:pPr>
    </w:p>
    <w:tbl>
      <w:tblPr>
        <w:tblW w:w="0" w:type="auto"/>
        <w:tblLook w:val="01E0" w:firstRow="1" w:lastRow="1" w:firstColumn="1" w:lastColumn="1" w:noHBand="0" w:noVBand="0"/>
      </w:tblPr>
      <w:tblGrid>
        <w:gridCol w:w="9243"/>
      </w:tblGrid>
      <w:tr w:rsidR="00F60AEF" w:rsidRPr="00584F57" w:rsidTr="00EE473A">
        <w:tc>
          <w:tcPr>
            <w:tcW w:w="9243" w:type="dxa"/>
            <w:shd w:val="clear" w:color="auto" w:fill="auto"/>
          </w:tcPr>
          <w:p w:rsidR="00F60AEF" w:rsidRPr="00584F57" w:rsidRDefault="003B1253" w:rsidP="00EE473A">
            <w:pPr>
              <w:pStyle w:val="AppealTable"/>
              <w:widowControl w:val="0"/>
              <w:spacing w:line="360" w:lineRule="auto"/>
              <w:jc w:val="both"/>
              <w:rPr>
                <w:caps w:val="0"/>
                <w:sz w:val="24"/>
                <w:szCs w:val="20"/>
                <w:lang w:eastAsia="en-AU"/>
              </w:rPr>
            </w:pPr>
            <w:r w:rsidRPr="00584F57">
              <w:rPr>
                <w:caps w:val="0"/>
                <w:sz w:val="24"/>
                <w:szCs w:val="20"/>
                <w:lang w:eastAsia="en-AU"/>
              </w:rPr>
              <w:t>ON APPEAL FROM THE FEDERAL CIRCUIT COURT OF AUSTRALIA</w:t>
            </w:r>
          </w:p>
        </w:tc>
      </w:tr>
    </w:tbl>
    <w:p w:rsidR="00F60AEF" w:rsidRDefault="00F60AEF" w:rsidP="00F60AEF">
      <w:pPr>
        <w:pStyle w:val="AppealTable"/>
      </w:pPr>
    </w:p>
    <w:tbl>
      <w:tblPr>
        <w:tblW w:w="0" w:type="auto"/>
        <w:tblLayout w:type="fixed"/>
        <w:tblLook w:val="0000" w:firstRow="0" w:lastRow="0" w:firstColumn="0" w:lastColumn="0" w:noHBand="0" w:noVBand="0"/>
      </w:tblPr>
      <w:tblGrid>
        <w:gridCol w:w="2376"/>
        <w:gridCol w:w="6866"/>
      </w:tblGrid>
      <w:tr w:rsidR="00F60AEF" w:rsidTr="00EE473A">
        <w:trPr>
          <w:trHeight w:val="386"/>
        </w:trPr>
        <w:tc>
          <w:tcPr>
            <w:tcW w:w="2376" w:type="dxa"/>
          </w:tcPr>
          <w:p w:rsidR="00F60AEF" w:rsidRDefault="00F60AEF" w:rsidP="00EE473A">
            <w:pPr>
              <w:pStyle w:val="NormalHeadings"/>
              <w:jc w:val="left"/>
              <w:rPr>
                <w:caps/>
                <w:szCs w:val="24"/>
              </w:rPr>
            </w:pPr>
            <w:r>
              <w:rPr>
                <w:caps/>
                <w:szCs w:val="24"/>
              </w:rPr>
              <w:t>BETWEEN:</w:t>
            </w:r>
          </w:p>
        </w:tc>
        <w:tc>
          <w:tcPr>
            <w:tcW w:w="6866" w:type="dxa"/>
          </w:tcPr>
          <w:p w:rsidR="00F60AEF" w:rsidRDefault="00F60AEF" w:rsidP="00EE473A">
            <w:pPr>
              <w:pStyle w:val="NormalHeadings"/>
              <w:jc w:val="left"/>
              <w:rPr>
                <w:szCs w:val="24"/>
              </w:rPr>
            </w:pPr>
            <w:r>
              <w:rPr>
                <w:szCs w:val="24"/>
              </w:rPr>
              <w:t>SIDNEY CHARLES KNELL</w:t>
            </w:r>
          </w:p>
          <w:p w:rsidR="00F60AEF" w:rsidRDefault="00F60AEF" w:rsidP="00EE473A">
            <w:pPr>
              <w:pStyle w:val="NormalHeadings"/>
              <w:jc w:val="left"/>
              <w:rPr>
                <w:szCs w:val="24"/>
              </w:rPr>
            </w:pPr>
            <w:r>
              <w:rPr>
                <w:szCs w:val="24"/>
              </w:rPr>
              <w:t>Appellant</w:t>
            </w:r>
          </w:p>
          <w:p w:rsidR="00F60AEF" w:rsidRDefault="00F60AEF" w:rsidP="00EE473A">
            <w:pPr>
              <w:pStyle w:val="NormalHeadings"/>
              <w:jc w:val="left"/>
              <w:rPr>
                <w:szCs w:val="24"/>
              </w:rPr>
            </w:pPr>
          </w:p>
        </w:tc>
      </w:tr>
      <w:tr w:rsidR="00F60AEF" w:rsidTr="00EE473A">
        <w:trPr>
          <w:trHeight w:val="386"/>
        </w:trPr>
        <w:tc>
          <w:tcPr>
            <w:tcW w:w="2376" w:type="dxa"/>
          </w:tcPr>
          <w:p w:rsidR="00F60AEF" w:rsidRDefault="00F60AEF" w:rsidP="00EE473A">
            <w:pPr>
              <w:pStyle w:val="NormalHeadings"/>
              <w:jc w:val="left"/>
              <w:rPr>
                <w:caps/>
                <w:szCs w:val="24"/>
              </w:rPr>
            </w:pPr>
            <w:r>
              <w:rPr>
                <w:caps/>
                <w:szCs w:val="24"/>
              </w:rPr>
              <w:t>AND:</w:t>
            </w:r>
          </w:p>
        </w:tc>
        <w:tc>
          <w:tcPr>
            <w:tcW w:w="6866" w:type="dxa"/>
          </w:tcPr>
          <w:p w:rsidR="00F60AEF" w:rsidRDefault="00F60AEF" w:rsidP="00EE473A">
            <w:pPr>
              <w:pStyle w:val="NormalHeadings"/>
              <w:jc w:val="left"/>
              <w:rPr>
                <w:szCs w:val="24"/>
              </w:rPr>
            </w:pPr>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F60AEF" w:rsidRDefault="00F60AEF" w:rsidP="00EE473A">
            <w:pPr>
              <w:pStyle w:val="NormalHeadings"/>
              <w:jc w:val="left"/>
              <w:rPr>
                <w:szCs w:val="24"/>
              </w:rPr>
            </w:pPr>
            <w:r>
              <w:rPr>
                <w:szCs w:val="24"/>
              </w:rPr>
              <w:t>First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 xml:space="preserve">LORENZO MARIO </w:t>
            </w:r>
            <w:proofErr w:type="spellStart"/>
            <w:r>
              <w:rPr>
                <w:szCs w:val="24"/>
              </w:rPr>
              <w:t>REGINATO</w:t>
            </w:r>
            <w:proofErr w:type="spellEnd"/>
          </w:p>
          <w:p w:rsidR="00F60AEF" w:rsidRDefault="00F60AEF" w:rsidP="00EE473A">
            <w:pPr>
              <w:pStyle w:val="NormalHeadings"/>
              <w:jc w:val="left"/>
              <w:rPr>
                <w:szCs w:val="24"/>
              </w:rPr>
            </w:pPr>
            <w:r>
              <w:rPr>
                <w:szCs w:val="24"/>
              </w:rPr>
              <w:t>Second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ANTONY JAMES SCHOFIELD</w:t>
            </w:r>
          </w:p>
          <w:p w:rsidR="00F60AEF" w:rsidRDefault="00F60AEF" w:rsidP="00EE473A">
            <w:pPr>
              <w:pStyle w:val="NormalHeadings"/>
              <w:jc w:val="left"/>
              <w:rPr>
                <w:szCs w:val="24"/>
              </w:rPr>
            </w:pPr>
            <w:r>
              <w:rPr>
                <w:szCs w:val="24"/>
              </w:rPr>
              <w:t>Third Respondent</w:t>
            </w:r>
          </w:p>
          <w:p w:rsidR="00F60AEF" w:rsidRDefault="00F60AEF" w:rsidP="00EE473A">
            <w:pPr>
              <w:pStyle w:val="NormalHeadings"/>
              <w:jc w:val="left"/>
              <w:rPr>
                <w:szCs w:val="24"/>
              </w:rPr>
            </w:pPr>
          </w:p>
        </w:tc>
      </w:tr>
    </w:tbl>
    <w:p w:rsidR="00F60AEF" w:rsidRDefault="00F60AEF" w:rsidP="00592D55">
      <w:pPr>
        <w:pStyle w:val="NormalHeadings"/>
      </w:pPr>
    </w:p>
    <w:tbl>
      <w:tblPr>
        <w:tblW w:w="0" w:type="auto"/>
        <w:tblLayout w:type="fixed"/>
        <w:tblLook w:val="0000" w:firstRow="0" w:lastRow="0" w:firstColumn="0" w:lastColumn="0" w:noHBand="0" w:noVBand="0"/>
      </w:tblPr>
      <w:tblGrid>
        <w:gridCol w:w="2376"/>
        <w:gridCol w:w="6866"/>
      </w:tblGrid>
      <w:tr w:rsidR="00592D55" w:rsidTr="00EE473A">
        <w:tc>
          <w:tcPr>
            <w:tcW w:w="2376" w:type="dxa"/>
          </w:tcPr>
          <w:p w:rsidR="00592D55" w:rsidRDefault="00592D55" w:rsidP="00EE473A">
            <w:pPr>
              <w:pStyle w:val="NormalHeadings"/>
              <w:spacing w:after="120"/>
              <w:jc w:val="left"/>
              <w:rPr>
                <w:caps/>
                <w:szCs w:val="24"/>
              </w:rPr>
            </w:pPr>
            <w:r>
              <w:rPr>
                <w:caps/>
                <w:szCs w:val="24"/>
              </w:rPr>
              <w:t>JUDGES:</w:t>
            </w:r>
          </w:p>
        </w:tc>
        <w:tc>
          <w:tcPr>
            <w:tcW w:w="6866" w:type="dxa"/>
          </w:tcPr>
          <w:p w:rsidR="00592D55" w:rsidRDefault="00592D55" w:rsidP="00EE473A">
            <w:pPr>
              <w:pStyle w:val="NormalHeadings"/>
              <w:rPr>
                <w:caps/>
                <w:szCs w:val="24"/>
              </w:rPr>
            </w:pPr>
            <w:r>
              <w:rPr>
                <w:caps/>
                <w:szCs w:val="24"/>
              </w:rPr>
              <w:t xml:space="preserve">BESANKO, GILMOUR, RANGIAH </w:t>
            </w:r>
            <w:proofErr w:type="spellStart"/>
            <w:r>
              <w:rPr>
                <w:caps/>
                <w:szCs w:val="24"/>
              </w:rPr>
              <w:t>JJ</w:t>
            </w:r>
            <w:proofErr w:type="spellEnd"/>
          </w:p>
        </w:tc>
      </w:tr>
      <w:tr w:rsidR="00592D55" w:rsidTr="00EE473A">
        <w:tc>
          <w:tcPr>
            <w:tcW w:w="2376" w:type="dxa"/>
          </w:tcPr>
          <w:p w:rsidR="00592D55" w:rsidRDefault="00592D55" w:rsidP="00EE473A">
            <w:pPr>
              <w:pStyle w:val="NormalHeadings"/>
              <w:spacing w:after="120"/>
              <w:jc w:val="left"/>
              <w:rPr>
                <w:caps/>
                <w:szCs w:val="24"/>
              </w:rPr>
            </w:pPr>
            <w:r>
              <w:rPr>
                <w:caps/>
                <w:szCs w:val="24"/>
              </w:rPr>
              <w:t>DATE:</w:t>
            </w:r>
          </w:p>
        </w:tc>
        <w:tc>
          <w:tcPr>
            <w:tcW w:w="6866" w:type="dxa"/>
          </w:tcPr>
          <w:p w:rsidR="00592D55" w:rsidRDefault="00C364F3" w:rsidP="009174B6">
            <w:pPr>
              <w:pStyle w:val="NormalHeadings"/>
              <w:rPr>
                <w:caps/>
                <w:szCs w:val="24"/>
              </w:rPr>
            </w:pPr>
            <w:r>
              <w:rPr>
                <w:caps/>
                <w:szCs w:val="24"/>
              </w:rPr>
              <w:t>14</w:t>
            </w:r>
            <w:r w:rsidR="0038689A">
              <w:rPr>
                <w:caps/>
                <w:szCs w:val="24"/>
              </w:rPr>
              <w:t xml:space="preserve"> May</w:t>
            </w:r>
            <w:r w:rsidR="009174B6">
              <w:rPr>
                <w:caps/>
                <w:szCs w:val="24"/>
              </w:rPr>
              <w:t xml:space="preserve"> 2015 </w:t>
            </w:r>
          </w:p>
        </w:tc>
      </w:tr>
      <w:tr w:rsidR="00592D55" w:rsidTr="00EE473A">
        <w:tc>
          <w:tcPr>
            <w:tcW w:w="2376" w:type="dxa"/>
          </w:tcPr>
          <w:p w:rsidR="00592D55" w:rsidRDefault="00592D55" w:rsidP="00EE473A">
            <w:pPr>
              <w:pStyle w:val="NormalHeadings"/>
              <w:spacing w:after="120"/>
              <w:jc w:val="left"/>
              <w:rPr>
                <w:caps/>
                <w:szCs w:val="24"/>
              </w:rPr>
            </w:pPr>
            <w:r>
              <w:rPr>
                <w:caps/>
                <w:szCs w:val="24"/>
              </w:rPr>
              <w:t>PLACE:</w:t>
            </w:r>
          </w:p>
        </w:tc>
        <w:tc>
          <w:tcPr>
            <w:tcW w:w="6866" w:type="dxa"/>
          </w:tcPr>
          <w:p w:rsidR="00592D55" w:rsidRDefault="00592D55" w:rsidP="00EE473A">
            <w:pPr>
              <w:pStyle w:val="NormalHeadings"/>
              <w:rPr>
                <w:caps/>
                <w:szCs w:val="24"/>
              </w:rPr>
            </w:pPr>
            <w:r>
              <w:rPr>
                <w:caps/>
                <w:szCs w:val="24"/>
              </w:rPr>
              <w:t>BRISBANE</w:t>
            </w:r>
          </w:p>
        </w:tc>
      </w:tr>
    </w:tbl>
    <w:p w:rsidR="00592D55" w:rsidRDefault="00592D55" w:rsidP="00592D55">
      <w:pPr>
        <w:pStyle w:val="BodyText"/>
      </w:pPr>
    </w:p>
    <w:p w:rsidR="00592D55" w:rsidRDefault="00592D55" w:rsidP="00592D55">
      <w:pPr>
        <w:pStyle w:val="StyleBold"/>
        <w:keepNext/>
        <w:jc w:val="center"/>
        <w:rPr>
          <w:b/>
        </w:rPr>
      </w:pPr>
      <w:r>
        <w:rPr>
          <w:b/>
        </w:rPr>
        <w:lastRenderedPageBreak/>
        <w:t>REASONS FOR JUDGMENT</w:t>
      </w:r>
    </w:p>
    <w:p w:rsidR="00592D55" w:rsidRDefault="003B1253" w:rsidP="00592D55">
      <w:pPr>
        <w:pStyle w:val="Heading1"/>
      </w:pPr>
      <w:r>
        <w:rPr>
          <w:caps w:val="0"/>
        </w:rPr>
        <w:t>GILMOUR J:</w:t>
      </w:r>
    </w:p>
    <w:p w:rsidR="00592D55" w:rsidRDefault="003B1253" w:rsidP="003B1253">
      <w:pPr>
        <w:pStyle w:val="ParaNumbering"/>
        <w:numPr>
          <w:ilvl w:val="0"/>
          <w:numId w:val="0"/>
        </w:numPr>
        <w:ind w:hanging="720"/>
      </w:pPr>
      <w:r>
        <w:rPr>
          <w:sz w:val="20"/>
        </w:rPr>
        <w:t>8</w:t>
      </w:r>
      <w:r>
        <w:rPr>
          <w:sz w:val="20"/>
        </w:rPr>
        <w:tab/>
      </w:r>
      <w:r>
        <w:tab/>
      </w:r>
      <w:r w:rsidR="00592D55">
        <w:t xml:space="preserve">These are two related appeals.  The appeal by Central Queensland Development Corporation Pty Ltd (formerly known as </w:t>
      </w:r>
      <w:proofErr w:type="spellStart"/>
      <w:r w:rsidR="00592D55">
        <w:t>Bluechip</w:t>
      </w:r>
      <w:proofErr w:type="spellEnd"/>
      <w:r w:rsidR="00592D55">
        <w:t xml:space="preserve"> Development Corporation (Gladstone) Pty Ltd) </w:t>
      </w:r>
      <w:r w:rsidR="00592D55" w:rsidRPr="002A5B11">
        <w:t xml:space="preserve">(the </w:t>
      </w:r>
      <w:proofErr w:type="spellStart"/>
      <w:r w:rsidR="00592D55" w:rsidRPr="002A5B11">
        <w:t>Bluechip</w:t>
      </w:r>
      <w:proofErr w:type="spellEnd"/>
      <w:r w:rsidR="00592D55" w:rsidRPr="002A5B11">
        <w:t xml:space="preserve"> Appeal) rai</w:t>
      </w:r>
      <w:r w:rsidR="00592D55" w:rsidRPr="001A4262">
        <w:t xml:space="preserve">ses two issues.  </w:t>
      </w:r>
      <w:r w:rsidR="00592D55" w:rsidRPr="00521260">
        <w:t>The first issue concerns the effect of the Deed of Company Arrangement (</w:t>
      </w:r>
      <w:proofErr w:type="spellStart"/>
      <w:r w:rsidR="00592D55" w:rsidRPr="00521260">
        <w:t>DOCA</w:t>
      </w:r>
      <w:proofErr w:type="spellEnd"/>
      <w:r w:rsidR="00592D55" w:rsidRPr="00521260">
        <w:t>), wh</w:t>
      </w:r>
      <w:r w:rsidR="00592D55">
        <w:t>ich was entered into between this</w:t>
      </w:r>
      <w:r w:rsidR="00592D55" w:rsidRPr="00521260">
        <w:t xml:space="preserve"> appellant and its creditors, on the amount of the judgment entered on the counterclaim at first instance.  The second issue concerns the effect of the </w:t>
      </w:r>
      <w:proofErr w:type="spellStart"/>
      <w:r w:rsidR="00592D55" w:rsidRPr="00521260">
        <w:t>DOCA</w:t>
      </w:r>
      <w:proofErr w:type="spellEnd"/>
      <w:r w:rsidR="00592D55" w:rsidRPr="00521260">
        <w:t xml:space="preserve"> upon its proper construction on the costs orders made against this appellant in relation to the counterclaim.  I will refer to this appellant as “</w:t>
      </w:r>
      <w:proofErr w:type="spellStart"/>
      <w:r w:rsidR="00592D55" w:rsidRPr="00521260">
        <w:t>Bluechip</w:t>
      </w:r>
      <w:proofErr w:type="spellEnd"/>
      <w:r w:rsidR="00592D55" w:rsidRPr="00521260">
        <w:t>” which is how</w:t>
      </w:r>
      <w:r w:rsidR="00592D55">
        <w:t xml:space="preserve"> it was described by the primary judge. </w:t>
      </w:r>
    </w:p>
    <w:p w:rsidR="00592D55" w:rsidRDefault="003B1253" w:rsidP="003B1253">
      <w:pPr>
        <w:pStyle w:val="ParaNumbering"/>
        <w:numPr>
          <w:ilvl w:val="0"/>
          <w:numId w:val="0"/>
        </w:numPr>
        <w:ind w:hanging="720"/>
      </w:pPr>
      <w:r>
        <w:rPr>
          <w:sz w:val="20"/>
        </w:rPr>
        <w:t>9</w:t>
      </w:r>
      <w:r>
        <w:rPr>
          <w:sz w:val="20"/>
        </w:rPr>
        <w:tab/>
      </w:r>
      <w:r>
        <w:tab/>
      </w:r>
      <w:r w:rsidR="00592D55">
        <w:t xml:space="preserve">The second appeal is brought by </w:t>
      </w:r>
      <w:proofErr w:type="spellStart"/>
      <w:r w:rsidR="00592D55">
        <w:t>Bluechip’s</w:t>
      </w:r>
      <w:proofErr w:type="spellEnd"/>
      <w:r w:rsidR="00592D55">
        <w:t xml:space="preserve"> sole director Mr Sidney </w:t>
      </w:r>
      <w:r w:rsidR="00592D55" w:rsidRPr="002A5B11">
        <w:t xml:space="preserve">Knell (the Knell Costs Appeal) who, as a non-party, was ordered together with </w:t>
      </w:r>
      <w:proofErr w:type="spellStart"/>
      <w:r w:rsidR="00592D55" w:rsidRPr="002A5B11">
        <w:t>Bluechip</w:t>
      </w:r>
      <w:proofErr w:type="spellEnd"/>
      <w:r w:rsidR="00592D55" w:rsidRPr="002A5B11">
        <w:t xml:space="preserve"> to pay</w:t>
      </w:r>
      <w:r w:rsidR="00592D55">
        <w:t xml:space="preserve"> the costs of the proceedings.  He complains that he was denied procedural fairness in that he was not put on notice or given an opportunity to be heard on a question which he contends was ultimately dispositive of the applications for costs made against him. </w:t>
      </w:r>
    </w:p>
    <w:p w:rsidR="00592D55" w:rsidRPr="001B715F" w:rsidRDefault="003B1253" w:rsidP="003B1253">
      <w:pPr>
        <w:pStyle w:val="ParaNumbering"/>
        <w:numPr>
          <w:ilvl w:val="0"/>
          <w:numId w:val="0"/>
        </w:numPr>
        <w:ind w:hanging="720"/>
      </w:pPr>
      <w:r w:rsidRPr="001B715F">
        <w:rPr>
          <w:sz w:val="20"/>
        </w:rPr>
        <w:t>10</w:t>
      </w:r>
      <w:r w:rsidRPr="001B715F">
        <w:rPr>
          <w:sz w:val="20"/>
        </w:rPr>
        <w:tab/>
      </w:r>
      <w:r>
        <w:tab/>
      </w:r>
      <w:proofErr w:type="spellStart"/>
      <w:r w:rsidR="00592D55" w:rsidRPr="001B715F">
        <w:t>Bluechip</w:t>
      </w:r>
      <w:proofErr w:type="spellEnd"/>
      <w:r w:rsidR="00592D55" w:rsidRPr="001B715F">
        <w:t xml:space="preserve"> and the first respondent (</w:t>
      </w:r>
      <w:proofErr w:type="spellStart"/>
      <w:r w:rsidR="00592D55" w:rsidRPr="001B715F">
        <w:t>Sunstruct</w:t>
      </w:r>
      <w:proofErr w:type="spellEnd"/>
      <w:r w:rsidR="00592D55" w:rsidRPr="001B715F">
        <w:t xml:space="preserve">) entered into a construction management agreement (CMA) dated 21 September 2007.  Pursuant to the CMA, </w:t>
      </w:r>
      <w:proofErr w:type="spellStart"/>
      <w:r w:rsidR="00592D55" w:rsidRPr="001B715F">
        <w:t>Sunstruct</w:t>
      </w:r>
      <w:proofErr w:type="spellEnd"/>
      <w:r w:rsidR="00592D55" w:rsidRPr="001B715F">
        <w:t xml:space="preserve"> had been engaged as </w:t>
      </w:r>
      <w:proofErr w:type="spellStart"/>
      <w:r w:rsidR="00592D55" w:rsidRPr="001B715F">
        <w:t>Bluechip’s</w:t>
      </w:r>
      <w:proofErr w:type="spellEnd"/>
      <w:r w:rsidR="00592D55" w:rsidRPr="001B715F">
        <w:t xml:space="preserve"> agent, construction manager and builder for the development of a buil</w:t>
      </w:r>
      <w:r w:rsidR="00592D55">
        <w:t xml:space="preserve">ding at 66 </w:t>
      </w:r>
      <w:proofErr w:type="spellStart"/>
      <w:r w:rsidR="00592D55">
        <w:t>Oaka</w:t>
      </w:r>
      <w:proofErr w:type="spellEnd"/>
      <w:r w:rsidR="00592D55">
        <w:t xml:space="preserve"> Lane, Gladstone, Queensland. </w:t>
      </w:r>
    </w:p>
    <w:p w:rsidR="00592D55" w:rsidRPr="001B715F" w:rsidRDefault="003B1253" w:rsidP="003B1253">
      <w:pPr>
        <w:pStyle w:val="ParaNumbering"/>
        <w:numPr>
          <w:ilvl w:val="0"/>
          <w:numId w:val="0"/>
        </w:numPr>
        <w:ind w:hanging="720"/>
      </w:pPr>
      <w:r w:rsidRPr="001B715F">
        <w:rPr>
          <w:sz w:val="20"/>
        </w:rPr>
        <w:t>11</w:t>
      </w:r>
      <w:r w:rsidRPr="001B715F">
        <w:rPr>
          <w:sz w:val="20"/>
        </w:rPr>
        <w:tab/>
      </w:r>
      <w:r>
        <w:tab/>
      </w:r>
      <w:r w:rsidR="00592D55" w:rsidRPr="001B715F">
        <w:t xml:space="preserve">At first instance, </w:t>
      </w:r>
      <w:proofErr w:type="spellStart"/>
      <w:r w:rsidR="00592D55" w:rsidRPr="001B715F">
        <w:t>Bluechip</w:t>
      </w:r>
      <w:proofErr w:type="spellEnd"/>
      <w:r w:rsidR="00592D55" w:rsidRPr="001B715F">
        <w:t xml:space="preserve"> claimed for damages caused by </w:t>
      </w:r>
      <w:proofErr w:type="spellStart"/>
      <w:r w:rsidR="00592D55" w:rsidRPr="001B715F">
        <w:t>Sunstruct</w:t>
      </w:r>
      <w:proofErr w:type="spellEnd"/>
      <w:r w:rsidR="00592D55" w:rsidRPr="001B715F">
        <w:t xml:space="preserve"> engaging in misleading or deceptive conduct in contravention of s 52 of the </w:t>
      </w:r>
      <w:r w:rsidR="00592D55" w:rsidRPr="001B715F">
        <w:rPr>
          <w:i/>
        </w:rPr>
        <w:t xml:space="preserve">Trade Practices Act 1974 </w:t>
      </w:r>
      <w:r w:rsidR="00592D55" w:rsidRPr="001B715F">
        <w:t>(</w:t>
      </w:r>
      <w:proofErr w:type="spellStart"/>
      <w:r w:rsidR="00592D55" w:rsidRPr="001B715F">
        <w:t>Cth</w:t>
      </w:r>
      <w:proofErr w:type="spellEnd"/>
      <w:r w:rsidR="00592D55" w:rsidRPr="001B715F">
        <w:t xml:space="preserve">) and/or breach of contract and/or negligence and/or breach of fiduciary duty as the construction manager.  </w:t>
      </w:r>
      <w:proofErr w:type="spellStart"/>
      <w:r w:rsidR="00592D55" w:rsidRPr="001B715F">
        <w:t>Sunstruct</w:t>
      </w:r>
      <w:proofErr w:type="spellEnd"/>
      <w:r w:rsidR="00592D55" w:rsidRPr="001B715F">
        <w:t xml:space="preserve"> counterclaimed for its construction management fees. </w:t>
      </w:r>
    </w:p>
    <w:p w:rsidR="00592D55" w:rsidRPr="001B715F" w:rsidRDefault="003B1253" w:rsidP="003B1253">
      <w:pPr>
        <w:pStyle w:val="ParaNumbering"/>
        <w:numPr>
          <w:ilvl w:val="0"/>
          <w:numId w:val="0"/>
        </w:numPr>
        <w:ind w:hanging="720"/>
      </w:pPr>
      <w:r w:rsidRPr="001B715F">
        <w:rPr>
          <w:sz w:val="20"/>
        </w:rPr>
        <w:t>12</w:t>
      </w:r>
      <w:r w:rsidRPr="001B715F">
        <w:rPr>
          <w:sz w:val="20"/>
        </w:rPr>
        <w:tab/>
      </w:r>
      <w:r>
        <w:tab/>
      </w:r>
      <w:r w:rsidR="00592D55" w:rsidRPr="001B715F">
        <w:t xml:space="preserve">Following a lengthy trial in what is now the Federal Circuit Court of Australia </w:t>
      </w:r>
      <w:r w:rsidR="00592D55">
        <w:t>(</w:t>
      </w:r>
      <w:proofErr w:type="spellStart"/>
      <w:r w:rsidR="00592D55">
        <w:t>FCCA</w:t>
      </w:r>
      <w:proofErr w:type="spellEnd"/>
      <w:r w:rsidR="00592D55">
        <w:t xml:space="preserve">) </w:t>
      </w:r>
      <w:proofErr w:type="spellStart"/>
      <w:r w:rsidR="00592D55" w:rsidRPr="001B715F">
        <w:t>Bluechip’s</w:t>
      </w:r>
      <w:proofErr w:type="spellEnd"/>
      <w:r w:rsidR="00592D55" w:rsidRPr="001B715F">
        <w:t xml:space="preserve"> claims were dismissed and judgment was entered for </w:t>
      </w:r>
      <w:proofErr w:type="spellStart"/>
      <w:r w:rsidR="002E6AC7">
        <w:t>Sunstruct</w:t>
      </w:r>
      <w:proofErr w:type="spellEnd"/>
      <w:r w:rsidR="00592D55" w:rsidRPr="001B715F">
        <w:t xml:space="preserve"> on its counterclaim in the amoun</w:t>
      </w:r>
      <w:r w:rsidR="00592D55">
        <w:t>t of $343,319.13</w:t>
      </w:r>
      <w:r w:rsidR="00592D55" w:rsidRPr="001B715F">
        <w:t xml:space="preserve">. </w:t>
      </w:r>
    </w:p>
    <w:p w:rsidR="00592D55" w:rsidRPr="002A5B11" w:rsidRDefault="003B1253" w:rsidP="003B1253">
      <w:pPr>
        <w:pStyle w:val="ParaNumbering"/>
        <w:numPr>
          <w:ilvl w:val="0"/>
          <w:numId w:val="0"/>
        </w:numPr>
        <w:ind w:hanging="720"/>
      </w:pPr>
      <w:r w:rsidRPr="002A5B11">
        <w:rPr>
          <w:sz w:val="20"/>
        </w:rPr>
        <w:t>13</w:t>
      </w:r>
      <w:r w:rsidRPr="002A5B11">
        <w:rPr>
          <w:sz w:val="20"/>
        </w:rPr>
        <w:tab/>
      </w:r>
      <w:r>
        <w:tab/>
      </w:r>
      <w:r w:rsidR="00592D55">
        <w:t>T</w:t>
      </w:r>
      <w:r w:rsidR="00592D55" w:rsidRPr="001B715F">
        <w:t xml:space="preserve">he </w:t>
      </w:r>
      <w:r w:rsidR="00592D55" w:rsidRPr="002A5B11">
        <w:t xml:space="preserve">Liability judgment was delivered on 26 April 2013 and the Costs judgment was delivered on 20 November 2013.  </w:t>
      </w:r>
    </w:p>
    <w:p w:rsidR="00592D55" w:rsidRPr="002A5B11" w:rsidRDefault="003B1253" w:rsidP="003B1253">
      <w:pPr>
        <w:pStyle w:val="ParaNumbering"/>
        <w:numPr>
          <w:ilvl w:val="0"/>
          <w:numId w:val="0"/>
        </w:numPr>
        <w:ind w:hanging="720"/>
      </w:pPr>
      <w:r w:rsidRPr="002A5B11">
        <w:rPr>
          <w:sz w:val="20"/>
        </w:rPr>
        <w:t>14</w:t>
      </w:r>
      <w:r w:rsidRPr="002A5B11">
        <w:rPr>
          <w:sz w:val="20"/>
        </w:rPr>
        <w:tab/>
      </w:r>
      <w:r>
        <w:tab/>
      </w:r>
      <w:r w:rsidR="00592D55" w:rsidRPr="002A5B11">
        <w:t>The formal orders in respect of both judgments were delivered on 28 November 2013.</w:t>
      </w:r>
    </w:p>
    <w:p w:rsidR="00592D55" w:rsidRDefault="003B1253" w:rsidP="00592D55">
      <w:pPr>
        <w:pStyle w:val="Heading1"/>
      </w:pPr>
      <w:proofErr w:type="spellStart"/>
      <w:r>
        <w:rPr>
          <w:caps w:val="0"/>
        </w:rPr>
        <w:lastRenderedPageBreak/>
        <w:t>BLUECHIP</w:t>
      </w:r>
      <w:proofErr w:type="spellEnd"/>
      <w:r>
        <w:rPr>
          <w:caps w:val="0"/>
        </w:rPr>
        <w:t xml:space="preserve"> APPEAL</w:t>
      </w:r>
    </w:p>
    <w:p w:rsidR="00592D55" w:rsidRDefault="00592D55" w:rsidP="00592D55">
      <w:pPr>
        <w:pStyle w:val="Heading2"/>
      </w:pPr>
      <w:r>
        <w:t xml:space="preserve">The effect of the </w:t>
      </w:r>
      <w:proofErr w:type="spellStart"/>
      <w:r>
        <w:t>DOCA</w:t>
      </w:r>
      <w:proofErr w:type="spellEnd"/>
      <w:r>
        <w:t>: the amount entered for judgment on counterclaim</w:t>
      </w:r>
    </w:p>
    <w:p w:rsidR="00592D55" w:rsidRPr="001B715F" w:rsidRDefault="003B1253" w:rsidP="003B1253">
      <w:pPr>
        <w:pStyle w:val="ParaNumbering"/>
        <w:numPr>
          <w:ilvl w:val="0"/>
          <w:numId w:val="0"/>
        </w:numPr>
        <w:ind w:hanging="720"/>
      </w:pPr>
      <w:r w:rsidRPr="001B715F">
        <w:rPr>
          <w:sz w:val="20"/>
        </w:rPr>
        <w:t>15</w:t>
      </w:r>
      <w:r w:rsidRPr="001B715F">
        <w:rPr>
          <w:sz w:val="20"/>
        </w:rPr>
        <w:tab/>
      </w:r>
      <w:r>
        <w:tab/>
      </w:r>
      <w:proofErr w:type="spellStart"/>
      <w:r w:rsidR="00592D55">
        <w:t>Bluechip</w:t>
      </w:r>
      <w:proofErr w:type="spellEnd"/>
      <w:r w:rsidR="00592D55">
        <w:t xml:space="preserve"> under its new name, Central Queensland Development Corporation Pty Ltd</w:t>
      </w:r>
      <w:r w:rsidR="002E6AC7">
        <w:t>,</w:t>
      </w:r>
      <w:r w:rsidR="00592D55">
        <w:t xml:space="preserve"> entered into the </w:t>
      </w:r>
      <w:proofErr w:type="spellStart"/>
      <w:r w:rsidR="00592D55">
        <w:t>DOCA</w:t>
      </w:r>
      <w:proofErr w:type="spellEnd"/>
      <w:r w:rsidR="00592D55">
        <w:t xml:space="preserve"> on 10 March 2011 which was two weeks prior to the final day of the trial.  This recorded that a voluntary administrator was appointed on 3 February </w:t>
      </w:r>
      <w:r w:rsidR="00592D55" w:rsidRPr="00E15F30">
        <w:t>2011</w:t>
      </w:r>
      <w:r w:rsidR="00592D55">
        <w:t xml:space="preserve"> </w:t>
      </w:r>
      <w:r w:rsidR="00592D55" w:rsidRPr="001B715F">
        <w:t>(the Appointment Day).</w:t>
      </w:r>
    </w:p>
    <w:p w:rsidR="00592D55" w:rsidRDefault="003B1253" w:rsidP="003B1253">
      <w:pPr>
        <w:pStyle w:val="ParaNumbering"/>
        <w:numPr>
          <w:ilvl w:val="0"/>
          <w:numId w:val="0"/>
        </w:numPr>
        <w:ind w:hanging="720"/>
      </w:pPr>
      <w:r>
        <w:rPr>
          <w:sz w:val="20"/>
        </w:rPr>
        <w:t>16</w:t>
      </w:r>
      <w:r>
        <w:rPr>
          <w:sz w:val="20"/>
        </w:rPr>
        <w:tab/>
      </w:r>
      <w:r>
        <w:tab/>
      </w:r>
      <w:proofErr w:type="spellStart"/>
      <w:r w:rsidR="00592D55">
        <w:t>Bluechip</w:t>
      </w:r>
      <w:proofErr w:type="spellEnd"/>
      <w:r w:rsidR="00592D55">
        <w:t xml:space="preserve"> </w:t>
      </w:r>
      <w:r w:rsidR="00592D55" w:rsidRPr="00AD15C1">
        <w:t>contends that upon the proper construction and effect of the</w:t>
      </w:r>
      <w:r w:rsidR="00592D55">
        <w:t xml:space="preserve"> </w:t>
      </w:r>
      <w:proofErr w:type="spellStart"/>
      <w:r w:rsidR="00592D55">
        <w:t>DOCA</w:t>
      </w:r>
      <w:proofErr w:type="spellEnd"/>
      <w:r w:rsidR="00592D55">
        <w:t xml:space="preserve"> the primary judge erred in entering judgment for the secured and unsecured portions of the </w:t>
      </w:r>
      <w:r w:rsidR="00592D55" w:rsidRPr="001B715F">
        <w:t>counterclaim</w:t>
      </w:r>
      <w:r w:rsidR="00592D55">
        <w:t xml:space="preserve">. </w:t>
      </w:r>
    </w:p>
    <w:p w:rsidR="00592D55" w:rsidRDefault="003B1253" w:rsidP="003B1253">
      <w:pPr>
        <w:pStyle w:val="ParaNumbering"/>
        <w:numPr>
          <w:ilvl w:val="0"/>
          <w:numId w:val="0"/>
        </w:numPr>
        <w:ind w:hanging="720"/>
      </w:pPr>
      <w:r>
        <w:rPr>
          <w:sz w:val="20"/>
        </w:rPr>
        <w:t>17</w:t>
      </w:r>
      <w:r>
        <w:rPr>
          <w:sz w:val="20"/>
        </w:rPr>
        <w:tab/>
      </w:r>
      <w:r>
        <w:tab/>
      </w:r>
      <w:r w:rsidR="00592D55">
        <w:t xml:space="preserve">This concerns the status of monies held in the </w:t>
      </w:r>
      <w:r w:rsidR="00592D55" w:rsidRPr="002000D6">
        <w:t>trust account (Trust Account)</w:t>
      </w:r>
      <w:r w:rsidR="00592D55">
        <w:rPr>
          <w:b/>
        </w:rPr>
        <w:t xml:space="preserve"> </w:t>
      </w:r>
      <w:r w:rsidR="00592D55">
        <w:t xml:space="preserve">of Garland Waddington Solicitors awaiting the outcome of the proceedings below.  In particular it concerns the effect of the </w:t>
      </w:r>
      <w:proofErr w:type="spellStart"/>
      <w:r w:rsidR="00592D55">
        <w:t>DOCA</w:t>
      </w:r>
      <w:proofErr w:type="spellEnd"/>
      <w:r w:rsidR="00592D55">
        <w:t xml:space="preserve"> on those monies and on the counterclaim of </w:t>
      </w:r>
      <w:proofErr w:type="spellStart"/>
      <w:r w:rsidR="00592D55">
        <w:t>Sunstruct</w:t>
      </w:r>
      <w:proofErr w:type="spellEnd"/>
      <w:r w:rsidR="00592D55">
        <w:t xml:space="preserve"> to the extent that it exceeded the amount in the Trust Account. </w:t>
      </w:r>
    </w:p>
    <w:p w:rsidR="00592D55" w:rsidRDefault="003B1253" w:rsidP="003B1253">
      <w:pPr>
        <w:pStyle w:val="ParaNumbering"/>
        <w:numPr>
          <w:ilvl w:val="0"/>
          <w:numId w:val="0"/>
        </w:numPr>
        <w:ind w:hanging="720"/>
      </w:pPr>
      <w:r>
        <w:rPr>
          <w:sz w:val="20"/>
        </w:rPr>
        <w:t>18</w:t>
      </w:r>
      <w:r>
        <w:rPr>
          <w:sz w:val="20"/>
        </w:rPr>
        <w:tab/>
      </w:r>
      <w:r>
        <w:tab/>
      </w:r>
      <w:r w:rsidR="00592D55">
        <w:t xml:space="preserve">The money was paid into the Trust Account in circumstances where </w:t>
      </w:r>
      <w:proofErr w:type="spellStart"/>
      <w:r w:rsidR="00592D55">
        <w:t>Sunstruct</w:t>
      </w:r>
      <w:proofErr w:type="spellEnd"/>
      <w:r w:rsidR="00592D55">
        <w:t xml:space="preserve"> had the benefit of two adjudications under the </w:t>
      </w:r>
      <w:r w:rsidR="00592D55" w:rsidRPr="0087546A">
        <w:rPr>
          <w:i/>
        </w:rPr>
        <w:t xml:space="preserve">Building </w:t>
      </w:r>
      <w:r w:rsidR="00592D55">
        <w:rPr>
          <w:i/>
        </w:rPr>
        <w:t xml:space="preserve">and </w:t>
      </w:r>
      <w:r w:rsidR="00592D55" w:rsidRPr="0087546A">
        <w:rPr>
          <w:i/>
        </w:rPr>
        <w:t>Construction Industry Payment</w:t>
      </w:r>
      <w:r w:rsidR="00592D55">
        <w:rPr>
          <w:i/>
        </w:rPr>
        <w:t>s</w:t>
      </w:r>
      <w:r w:rsidR="00592D55" w:rsidRPr="0087546A">
        <w:rPr>
          <w:i/>
        </w:rPr>
        <w:t xml:space="preserve"> Act 2004</w:t>
      </w:r>
      <w:r w:rsidR="00592D55">
        <w:t xml:space="preserve"> (Qld) and a consequential judgment of the District Court of Queensland.  The funds were paid into the Trust Account to forestall execution by </w:t>
      </w:r>
      <w:proofErr w:type="spellStart"/>
      <w:r w:rsidR="00592D55" w:rsidRPr="002000D6">
        <w:t>Sunstruct</w:t>
      </w:r>
      <w:proofErr w:type="spellEnd"/>
      <w:r w:rsidR="00592D55" w:rsidRPr="002000D6">
        <w:t xml:space="preserve"> in respect of the District Court judgment and to abide the outcome of the proceedings below.  As at 31 July 2009, two amounts totalling $324,556.72 had been </w:t>
      </w:r>
      <w:r w:rsidR="00592D55" w:rsidRPr="00521260">
        <w:t>ordered to be paid by the</w:t>
      </w:r>
      <w:r w:rsidR="00592D55">
        <w:t xml:space="preserve"> Federal Magistrates Court of Australia (</w:t>
      </w:r>
      <w:proofErr w:type="spellStart"/>
      <w:r w:rsidR="00592D55">
        <w:t>FMCA</w:t>
      </w:r>
      <w:proofErr w:type="spellEnd"/>
      <w:r w:rsidR="00592D55">
        <w:t xml:space="preserve">) </w:t>
      </w:r>
      <w:r w:rsidR="00592D55" w:rsidRPr="002000D6">
        <w:t>into the Trust Account but</w:t>
      </w:r>
      <w:r w:rsidR="00592D55">
        <w:t xml:space="preserve"> pursuant to an order made on 20 October 2009, by consent, half of the monies in the Trust Account</w:t>
      </w:r>
      <w:r w:rsidR="002E6AC7">
        <w:t>,</w:t>
      </w:r>
      <w:r w:rsidR="00592D55">
        <w:t xml:space="preserve"> </w:t>
      </w:r>
      <w:r w:rsidR="00592D55" w:rsidRPr="002000D6">
        <w:t>including accretions</w:t>
      </w:r>
      <w:r w:rsidR="002E6AC7">
        <w:t>,</w:t>
      </w:r>
      <w:r w:rsidR="00592D55" w:rsidRPr="002000D6">
        <w:t xml:space="preserve"> were released</w:t>
      </w:r>
      <w:r w:rsidR="00592D55">
        <w:t xml:space="preserve"> </w:t>
      </w:r>
      <w:r w:rsidR="00592D55" w:rsidRPr="00DF14B6">
        <w:t xml:space="preserve">to </w:t>
      </w:r>
      <w:proofErr w:type="spellStart"/>
      <w:r w:rsidR="00592D55" w:rsidRPr="00DF14B6">
        <w:t>Bluechip</w:t>
      </w:r>
      <w:proofErr w:type="spellEnd"/>
      <w:r w:rsidR="00592D55" w:rsidRPr="00DF14B6">
        <w:t>.</w:t>
      </w:r>
      <w:r w:rsidR="00592D55" w:rsidRPr="002000D6">
        <w:t xml:space="preserve">  Accordingly</w:t>
      </w:r>
      <w:r w:rsidR="00592D55">
        <w:t xml:space="preserve">, at the time of the Costs judgment it appears, as the primary judge found, that there was the amount of $172,467.88 remaining in the Trust Account. </w:t>
      </w:r>
    </w:p>
    <w:p w:rsidR="00592D55" w:rsidRDefault="003B1253" w:rsidP="003B1253">
      <w:pPr>
        <w:pStyle w:val="ParaNumbering"/>
        <w:numPr>
          <w:ilvl w:val="0"/>
          <w:numId w:val="0"/>
        </w:numPr>
        <w:ind w:hanging="720"/>
      </w:pPr>
      <w:r>
        <w:rPr>
          <w:sz w:val="20"/>
        </w:rPr>
        <w:t>19</w:t>
      </w:r>
      <w:r>
        <w:rPr>
          <w:sz w:val="20"/>
        </w:rPr>
        <w:tab/>
      </w:r>
      <w:r>
        <w:tab/>
      </w:r>
      <w:r w:rsidR="00592D55">
        <w:t xml:space="preserve">However, in the Costs judgment the primary judge accepted that all unsecured claims against </w:t>
      </w:r>
      <w:proofErr w:type="spellStart"/>
      <w:r w:rsidR="00592D55">
        <w:t>Bluechip</w:t>
      </w:r>
      <w:proofErr w:type="spellEnd"/>
      <w:r w:rsidR="00592D55">
        <w:t xml:space="preserve"> were compromised by virtue of the </w:t>
      </w:r>
      <w:proofErr w:type="spellStart"/>
      <w:r w:rsidR="00592D55">
        <w:t>DOCA</w:t>
      </w:r>
      <w:proofErr w:type="spellEnd"/>
      <w:r w:rsidR="00592D55">
        <w:t xml:space="preserve">. </w:t>
      </w:r>
    </w:p>
    <w:p w:rsidR="00592D55" w:rsidRDefault="003B1253" w:rsidP="003B1253">
      <w:pPr>
        <w:pStyle w:val="ParaNumbering"/>
        <w:numPr>
          <w:ilvl w:val="0"/>
          <w:numId w:val="0"/>
        </w:numPr>
        <w:ind w:hanging="720"/>
      </w:pPr>
      <w:r>
        <w:rPr>
          <w:sz w:val="20"/>
        </w:rPr>
        <w:t>20</w:t>
      </w:r>
      <w:r>
        <w:rPr>
          <w:sz w:val="20"/>
        </w:rPr>
        <w:tab/>
      </w:r>
      <w:r>
        <w:tab/>
      </w:r>
      <w:r w:rsidR="00592D55">
        <w:t xml:space="preserve">The </w:t>
      </w:r>
      <w:proofErr w:type="spellStart"/>
      <w:r w:rsidR="00592D55">
        <w:t>DOCA</w:t>
      </w:r>
      <w:proofErr w:type="spellEnd"/>
      <w:r w:rsidR="00592D55">
        <w:t xml:space="preserve"> bound </w:t>
      </w:r>
      <w:proofErr w:type="spellStart"/>
      <w:r w:rsidR="00592D55">
        <w:t>Sunstruct</w:t>
      </w:r>
      <w:proofErr w:type="spellEnd"/>
      <w:r w:rsidR="00592D55">
        <w:t xml:space="preserve"> (covenant 7) and had the effect that the </w:t>
      </w:r>
      <w:proofErr w:type="spellStart"/>
      <w:r w:rsidR="00592D55">
        <w:t>DOCA</w:t>
      </w:r>
      <w:proofErr w:type="spellEnd"/>
      <w:r w:rsidR="00592D55">
        <w:t xml:space="preserve"> may be pleaded by </w:t>
      </w:r>
      <w:proofErr w:type="spellStart"/>
      <w:r w:rsidR="00592D55">
        <w:t>Bluechip</w:t>
      </w:r>
      <w:proofErr w:type="spellEnd"/>
      <w:r w:rsidR="00592D55">
        <w:t xml:space="preserve"> against, relevantly, </w:t>
      </w:r>
      <w:proofErr w:type="spellStart"/>
      <w:r w:rsidR="00592D55">
        <w:t>Sunstruct</w:t>
      </w:r>
      <w:proofErr w:type="spellEnd"/>
      <w:r w:rsidR="00592D55">
        <w:t xml:space="preserve">, in bar to any claim incurred or arising on or before </w:t>
      </w:r>
      <w:r w:rsidR="00592D55" w:rsidRPr="001B715F">
        <w:t>the Appointment Day and</w:t>
      </w:r>
      <w:r w:rsidR="00592D55">
        <w:t xml:space="preserve"> bound </w:t>
      </w:r>
      <w:proofErr w:type="spellStart"/>
      <w:r w:rsidR="00592D55">
        <w:t>Sunstruct</w:t>
      </w:r>
      <w:proofErr w:type="spellEnd"/>
      <w:r w:rsidR="00592D55">
        <w:t xml:space="preserve"> not to take any further steps in the proceedings below (covenant 8).  </w:t>
      </w:r>
    </w:p>
    <w:p w:rsidR="00592D55" w:rsidRDefault="003B1253" w:rsidP="003B1253">
      <w:pPr>
        <w:pStyle w:val="ParaNumbering"/>
        <w:numPr>
          <w:ilvl w:val="0"/>
          <w:numId w:val="0"/>
        </w:numPr>
        <w:ind w:hanging="720"/>
      </w:pPr>
      <w:r>
        <w:rPr>
          <w:sz w:val="20"/>
        </w:rPr>
        <w:t>21</w:t>
      </w:r>
      <w:r>
        <w:rPr>
          <w:sz w:val="20"/>
        </w:rPr>
        <w:tab/>
      </w:r>
      <w:r>
        <w:tab/>
      </w:r>
      <w:r w:rsidR="00592D55">
        <w:t xml:space="preserve">As originally framed the </w:t>
      </w:r>
      <w:proofErr w:type="spellStart"/>
      <w:r w:rsidR="00592D55">
        <w:t>DOCA</w:t>
      </w:r>
      <w:proofErr w:type="spellEnd"/>
      <w:r w:rsidR="00592D55">
        <w:t xml:space="preserve"> bound all creditors including secured creditors.  It was, however, </w:t>
      </w:r>
      <w:r w:rsidR="002E6AC7">
        <w:t xml:space="preserve">the </w:t>
      </w:r>
      <w:r w:rsidR="00592D55">
        <w:t xml:space="preserve">subject of an amendment which granted a Special Preference to </w:t>
      </w:r>
      <w:proofErr w:type="spellStart"/>
      <w:r w:rsidR="00592D55">
        <w:t>Sunstruct</w:t>
      </w:r>
      <w:proofErr w:type="spellEnd"/>
      <w:r w:rsidR="00592D55">
        <w:t xml:space="preserve">.  </w:t>
      </w:r>
      <w:r w:rsidR="00592D55">
        <w:lastRenderedPageBreak/>
        <w:t xml:space="preserve">Whilst the reasons of the primary judge in the Costs judgment at [48] are not entirely clear the appellant does not challenge his </w:t>
      </w:r>
      <w:r w:rsidR="00592D55" w:rsidRPr="002000D6">
        <w:t>Honour’s</w:t>
      </w:r>
      <w:r w:rsidR="00592D55">
        <w:t xml:space="preserve"> conclusion that the amount of $172,467.88 held in the Trust Account was excluded from the reach of the </w:t>
      </w:r>
      <w:proofErr w:type="spellStart"/>
      <w:r w:rsidR="00592D55">
        <w:t>DOCA</w:t>
      </w:r>
      <w:proofErr w:type="spellEnd"/>
      <w:r w:rsidR="00592D55">
        <w:t>.</w:t>
      </w:r>
    </w:p>
    <w:p w:rsidR="00592D55" w:rsidRDefault="003B1253" w:rsidP="003B1253">
      <w:pPr>
        <w:pStyle w:val="ParaNumbering"/>
        <w:numPr>
          <w:ilvl w:val="0"/>
          <w:numId w:val="0"/>
        </w:numPr>
        <w:ind w:hanging="720"/>
      </w:pPr>
      <w:r>
        <w:rPr>
          <w:sz w:val="20"/>
        </w:rPr>
        <w:t>22</w:t>
      </w:r>
      <w:r>
        <w:rPr>
          <w:sz w:val="20"/>
        </w:rPr>
        <w:tab/>
      </w:r>
      <w:r>
        <w:tab/>
      </w:r>
      <w:r w:rsidR="00592D55">
        <w:t xml:space="preserve">The submission put by </w:t>
      </w:r>
      <w:proofErr w:type="spellStart"/>
      <w:r w:rsidR="00592D55">
        <w:t>Sunstruct</w:t>
      </w:r>
      <w:proofErr w:type="spellEnd"/>
      <w:r w:rsidR="00592D55">
        <w:t xml:space="preserve"> was that the primary judge in entering judgment was merely declaring the amount owed as a result of breaches of contract. </w:t>
      </w:r>
      <w:r w:rsidR="002E6AC7">
        <w:t xml:space="preserve"> </w:t>
      </w:r>
      <w:r w:rsidR="00592D55">
        <w:t xml:space="preserve">I do not accept this submission.  The </w:t>
      </w:r>
      <w:proofErr w:type="spellStart"/>
      <w:r w:rsidR="00592D55">
        <w:t>DOCA</w:t>
      </w:r>
      <w:proofErr w:type="spellEnd"/>
      <w:r w:rsidR="00592D55">
        <w:t xml:space="preserve"> was a bar to bringing any claim for the unsecured amount.  In these circumstances judgment for that amount ought not to have been entered. </w:t>
      </w:r>
    </w:p>
    <w:p w:rsidR="00592D55" w:rsidRDefault="003B1253" w:rsidP="003B1253">
      <w:pPr>
        <w:pStyle w:val="ParaNumbering"/>
        <w:numPr>
          <w:ilvl w:val="0"/>
          <w:numId w:val="0"/>
        </w:numPr>
        <w:ind w:hanging="720"/>
      </w:pPr>
      <w:r>
        <w:rPr>
          <w:sz w:val="20"/>
        </w:rPr>
        <w:t>23</w:t>
      </w:r>
      <w:r>
        <w:rPr>
          <w:sz w:val="20"/>
        </w:rPr>
        <w:tab/>
      </w:r>
      <w:r>
        <w:tab/>
      </w:r>
      <w:r w:rsidR="00592D55">
        <w:t xml:space="preserve">It follows that judgment for only the secured amount ought to have been entered.  This ground of appeal succeeds.  Order 2 of the primary judge dated 28 November 2013 that </w:t>
      </w:r>
      <w:proofErr w:type="spellStart"/>
      <w:r w:rsidR="00592D55">
        <w:t>Bluechip</w:t>
      </w:r>
      <w:proofErr w:type="spellEnd"/>
      <w:r w:rsidR="00592D55">
        <w:t xml:space="preserve"> pay </w:t>
      </w:r>
      <w:proofErr w:type="spellStart"/>
      <w:r w:rsidR="00592D55">
        <w:t>Sunstruct</w:t>
      </w:r>
      <w:proofErr w:type="spellEnd"/>
      <w:r w:rsidR="00592D55">
        <w:t xml:space="preserve"> $343,319.13 will be varied by substituting for that amount the amount of $172,467.88. </w:t>
      </w:r>
    </w:p>
    <w:p w:rsidR="00592D55" w:rsidRDefault="00592D55" w:rsidP="00592D55">
      <w:pPr>
        <w:pStyle w:val="Heading2"/>
      </w:pPr>
      <w:r>
        <w:t xml:space="preserve">The effect of the </w:t>
      </w:r>
      <w:proofErr w:type="spellStart"/>
      <w:r>
        <w:t>DOCA</w:t>
      </w:r>
      <w:proofErr w:type="spellEnd"/>
      <w:r>
        <w:t>: the costs orders</w:t>
      </w:r>
    </w:p>
    <w:p w:rsidR="00592D55" w:rsidRDefault="003B1253" w:rsidP="003B1253">
      <w:pPr>
        <w:pStyle w:val="ParaNumbering"/>
        <w:numPr>
          <w:ilvl w:val="0"/>
          <w:numId w:val="0"/>
        </w:numPr>
        <w:ind w:hanging="720"/>
      </w:pPr>
      <w:r>
        <w:rPr>
          <w:sz w:val="20"/>
        </w:rPr>
        <w:t>24</w:t>
      </w:r>
      <w:r>
        <w:rPr>
          <w:sz w:val="20"/>
        </w:rPr>
        <w:tab/>
      </w:r>
      <w:r>
        <w:tab/>
      </w:r>
      <w:r w:rsidR="00592D55">
        <w:t xml:space="preserve">In its notice of appeal, </w:t>
      </w:r>
      <w:proofErr w:type="spellStart"/>
      <w:r w:rsidR="00592D55">
        <w:t>Bluechip</w:t>
      </w:r>
      <w:proofErr w:type="spellEnd"/>
      <w:r w:rsidR="00592D55">
        <w:t xml:space="preserve"> contends that the primary judge was in error in making a costs order of the counterclaim in favour of </w:t>
      </w:r>
      <w:proofErr w:type="spellStart"/>
      <w:r w:rsidR="00592D55">
        <w:t>Sunstruct</w:t>
      </w:r>
      <w:proofErr w:type="spellEnd"/>
      <w:r w:rsidR="00592D55">
        <w:t xml:space="preserve"> when that claim was compromised by the </w:t>
      </w:r>
      <w:proofErr w:type="spellStart"/>
      <w:r w:rsidR="00592D55">
        <w:t>DOCA</w:t>
      </w:r>
      <w:proofErr w:type="spellEnd"/>
      <w:r w:rsidR="00592D55">
        <w:t xml:space="preserve">. </w:t>
      </w:r>
      <w:proofErr w:type="spellStart"/>
      <w:r w:rsidR="00592D55">
        <w:t>Bluechip</w:t>
      </w:r>
      <w:proofErr w:type="spellEnd"/>
      <w:r w:rsidR="00592D55">
        <w:t xml:space="preserve"> does not contend that the costs order made against it in relation to its claims was compromised by the </w:t>
      </w:r>
      <w:proofErr w:type="spellStart"/>
      <w:r w:rsidR="00592D55">
        <w:t>DOCA</w:t>
      </w:r>
      <w:proofErr w:type="spellEnd"/>
      <w:r w:rsidR="00592D55">
        <w:t xml:space="preserve">. </w:t>
      </w:r>
    </w:p>
    <w:p w:rsidR="00592D55" w:rsidRPr="00521260" w:rsidRDefault="003B1253" w:rsidP="003B1253">
      <w:pPr>
        <w:pStyle w:val="ParaNumbering"/>
        <w:numPr>
          <w:ilvl w:val="0"/>
          <w:numId w:val="0"/>
        </w:numPr>
        <w:ind w:hanging="720"/>
      </w:pPr>
      <w:r w:rsidRPr="00521260">
        <w:rPr>
          <w:sz w:val="20"/>
        </w:rPr>
        <w:t>25</w:t>
      </w:r>
      <w:r w:rsidRPr="00521260">
        <w:rPr>
          <w:sz w:val="20"/>
        </w:rPr>
        <w:tab/>
      </w:r>
      <w:r>
        <w:tab/>
      </w:r>
      <w:r w:rsidR="00592D55">
        <w:t>Therefore, t</w:t>
      </w:r>
      <w:r w:rsidR="00592D55" w:rsidRPr="0095727F">
        <w:t xml:space="preserve">his aspect of the </w:t>
      </w:r>
      <w:proofErr w:type="spellStart"/>
      <w:r w:rsidR="00592D55" w:rsidRPr="0095727F">
        <w:t>DOCA</w:t>
      </w:r>
      <w:proofErr w:type="spellEnd"/>
      <w:r w:rsidR="00592D55" w:rsidRPr="0095727F">
        <w:t xml:space="preserve"> concerns its effect on the costs orders made in relation only to the counterclaim brought by </w:t>
      </w:r>
      <w:proofErr w:type="spellStart"/>
      <w:r w:rsidR="00592D55" w:rsidRPr="0095727F">
        <w:t>Sunstruct</w:t>
      </w:r>
      <w:proofErr w:type="spellEnd"/>
      <w:r w:rsidR="00592D55" w:rsidRPr="0095727F">
        <w:t xml:space="preserve">. </w:t>
      </w:r>
      <w:r w:rsidR="00592D55">
        <w:t xml:space="preserve">In any event, for the reasons outlined below, I find that the costs order made against </w:t>
      </w:r>
      <w:proofErr w:type="spellStart"/>
      <w:r w:rsidR="00592D55">
        <w:t>Bluechip</w:t>
      </w:r>
      <w:proofErr w:type="spellEnd"/>
      <w:r w:rsidR="00592D55">
        <w:t xml:space="preserve"> in relation to its claims would similarly not be compromised by the </w:t>
      </w:r>
      <w:proofErr w:type="spellStart"/>
      <w:r w:rsidR="00592D55">
        <w:t>DOCA</w:t>
      </w:r>
      <w:proofErr w:type="spellEnd"/>
      <w:r w:rsidR="00592D55">
        <w:t xml:space="preserve">. </w:t>
      </w:r>
    </w:p>
    <w:p w:rsidR="00592D55" w:rsidRPr="00521260" w:rsidRDefault="003B1253" w:rsidP="003B1253">
      <w:pPr>
        <w:pStyle w:val="ParaNumbering"/>
        <w:numPr>
          <w:ilvl w:val="0"/>
          <w:numId w:val="0"/>
        </w:numPr>
        <w:ind w:hanging="720"/>
      </w:pPr>
      <w:r w:rsidRPr="00521260">
        <w:rPr>
          <w:sz w:val="20"/>
        </w:rPr>
        <w:t>26</w:t>
      </w:r>
      <w:r w:rsidRPr="00521260">
        <w:rPr>
          <w:sz w:val="20"/>
        </w:rPr>
        <w:tab/>
      </w:r>
      <w:r>
        <w:tab/>
      </w:r>
      <w:proofErr w:type="spellStart"/>
      <w:r w:rsidR="00592D55">
        <w:t>Bluechip</w:t>
      </w:r>
      <w:proofErr w:type="spellEnd"/>
      <w:r w:rsidR="00592D55">
        <w:t xml:space="preserve"> submits that when regard is had to the definition of “Claim” in the </w:t>
      </w:r>
      <w:proofErr w:type="spellStart"/>
      <w:r w:rsidR="00592D55">
        <w:t>DOCA</w:t>
      </w:r>
      <w:proofErr w:type="spellEnd"/>
      <w:r w:rsidR="00592D55">
        <w:t xml:space="preserve"> this, relevantly, includes any debt owing by, any liability of or any claim against </w:t>
      </w:r>
      <w:proofErr w:type="spellStart"/>
      <w:r w:rsidR="00592D55">
        <w:t>Bluechip</w:t>
      </w:r>
      <w:proofErr w:type="spellEnd"/>
      <w:r w:rsidR="00592D55">
        <w:t xml:space="preserve"> in favour of </w:t>
      </w:r>
      <w:proofErr w:type="spellStart"/>
      <w:r w:rsidR="00592D55">
        <w:t>Sunstruct</w:t>
      </w:r>
      <w:proofErr w:type="spellEnd"/>
      <w:r w:rsidR="00592D55">
        <w:t xml:space="preserve"> which was incurred, instituted or made, whether prospective or contingent, or </w:t>
      </w:r>
      <w:r w:rsidR="00592D55">
        <w:rPr>
          <w:i/>
        </w:rPr>
        <w:t>“</w:t>
      </w:r>
      <w:r w:rsidR="00592D55" w:rsidRPr="00666509">
        <w:rPr>
          <w:i/>
        </w:rPr>
        <w:t>the circumstances giving rise to which occurred</w:t>
      </w:r>
      <w:r w:rsidR="00592D55">
        <w:t xml:space="preserve"> on or before </w:t>
      </w:r>
      <w:r w:rsidR="00592D55" w:rsidRPr="00356158">
        <w:t>the Appointment Day” (emphasis</w:t>
      </w:r>
      <w:r w:rsidR="00592D55">
        <w:t xml:space="preserve"> added).  </w:t>
      </w:r>
      <w:r w:rsidR="00592D55" w:rsidRPr="00521260">
        <w:t xml:space="preserve">The definition of “Claims” in the </w:t>
      </w:r>
      <w:proofErr w:type="spellStart"/>
      <w:r w:rsidR="00592D55" w:rsidRPr="00521260">
        <w:t>DOCA</w:t>
      </w:r>
      <w:proofErr w:type="spellEnd"/>
      <w:r w:rsidR="00592D55" w:rsidRPr="00521260">
        <w:t xml:space="preserve"> is relevant for the purposes of covenant 7 of the </w:t>
      </w:r>
      <w:proofErr w:type="spellStart"/>
      <w:r w:rsidR="00592D55" w:rsidRPr="00521260">
        <w:t>DOCA</w:t>
      </w:r>
      <w:proofErr w:type="spellEnd"/>
      <w:r w:rsidR="00592D55" w:rsidRPr="00521260">
        <w:t>.  This covenant incorporates s </w:t>
      </w:r>
      <w:proofErr w:type="spellStart"/>
      <w:r w:rsidR="00592D55" w:rsidRPr="00521260">
        <w:t>444D</w:t>
      </w:r>
      <w:proofErr w:type="spellEnd"/>
      <w:r w:rsidR="00592D55" w:rsidRPr="00521260">
        <w:t xml:space="preserve"> of the </w:t>
      </w:r>
      <w:r w:rsidR="00592D55" w:rsidRPr="00521260">
        <w:rPr>
          <w:i/>
        </w:rPr>
        <w:t>Corporations Act</w:t>
      </w:r>
      <w:r w:rsidR="002E6AC7">
        <w:rPr>
          <w:i/>
        </w:rPr>
        <w:t xml:space="preserve"> 2001 </w:t>
      </w:r>
      <w:r w:rsidR="002E6AC7">
        <w:t>(</w:t>
      </w:r>
      <w:proofErr w:type="spellStart"/>
      <w:r w:rsidR="002E6AC7">
        <w:t>Cth</w:t>
      </w:r>
      <w:proofErr w:type="spellEnd"/>
      <w:r w:rsidR="002E6AC7">
        <w:t>)</w:t>
      </w:r>
      <w:r w:rsidR="00592D55" w:rsidRPr="00521260">
        <w:rPr>
          <w:i/>
        </w:rPr>
        <w:t xml:space="preserve"> </w:t>
      </w:r>
      <w:r w:rsidR="00592D55" w:rsidRPr="00521260">
        <w:t>to indicate whi</w:t>
      </w:r>
      <w:r w:rsidR="00A337BE">
        <w:t xml:space="preserve">ch persons are bound by the </w:t>
      </w:r>
      <w:proofErr w:type="spellStart"/>
      <w:r w:rsidR="00A337BE">
        <w:t>DOCA</w:t>
      </w:r>
      <w:proofErr w:type="spellEnd"/>
      <w:r w:rsidR="00A337BE">
        <w:t>.</w:t>
      </w:r>
      <w:r w:rsidR="00592D55" w:rsidRPr="00521260">
        <w:rPr>
          <w:i/>
        </w:rPr>
        <w:t xml:space="preserve"> </w:t>
      </w:r>
      <w:r w:rsidR="00592D55" w:rsidRPr="00521260">
        <w:t xml:space="preserve">  </w:t>
      </w:r>
    </w:p>
    <w:p w:rsidR="00592D55" w:rsidRDefault="003B1253" w:rsidP="003B1253">
      <w:pPr>
        <w:pStyle w:val="ParaNumbering"/>
        <w:numPr>
          <w:ilvl w:val="0"/>
          <w:numId w:val="0"/>
        </w:numPr>
        <w:ind w:hanging="720"/>
      </w:pPr>
      <w:r>
        <w:rPr>
          <w:sz w:val="20"/>
        </w:rPr>
        <w:t>27</w:t>
      </w:r>
      <w:r>
        <w:rPr>
          <w:sz w:val="20"/>
        </w:rPr>
        <w:tab/>
      </w:r>
      <w:r>
        <w:tab/>
      </w:r>
      <w:r w:rsidR="00592D55">
        <w:t xml:space="preserve">Section </w:t>
      </w:r>
      <w:proofErr w:type="spellStart"/>
      <w:r w:rsidR="00592D55">
        <w:t>444D</w:t>
      </w:r>
      <w:proofErr w:type="spellEnd"/>
      <w:r w:rsidR="00592D55">
        <w:t>(1) provides that a deed of company arrangement binds all creditors of the company so far as concerns claims arising on or before the day specified in the deed under s </w:t>
      </w:r>
      <w:proofErr w:type="spellStart"/>
      <w:r w:rsidR="00592D55">
        <w:t>444A</w:t>
      </w:r>
      <w:proofErr w:type="spellEnd"/>
      <w:r w:rsidR="00592D55">
        <w:t>(4)(</w:t>
      </w:r>
      <w:proofErr w:type="spellStart"/>
      <w:r w:rsidR="00592D55">
        <w:t>i</w:t>
      </w:r>
      <w:proofErr w:type="spellEnd"/>
      <w:r w:rsidR="00592D55">
        <w:t xml:space="preserve">): see also </w:t>
      </w:r>
      <w:r w:rsidR="00592D55">
        <w:rPr>
          <w:i/>
        </w:rPr>
        <w:t xml:space="preserve">Lehman Brothers Holdings </w:t>
      </w:r>
      <w:proofErr w:type="spellStart"/>
      <w:r w:rsidR="00592D55">
        <w:rPr>
          <w:i/>
        </w:rPr>
        <w:t>Inc</w:t>
      </w:r>
      <w:proofErr w:type="spellEnd"/>
      <w:r w:rsidR="00592D55">
        <w:rPr>
          <w:i/>
        </w:rPr>
        <w:t xml:space="preserve"> v City of Swan </w:t>
      </w:r>
      <w:r w:rsidR="00592D55">
        <w:t xml:space="preserve">(2010) 240 </w:t>
      </w:r>
      <w:proofErr w:type="spellStart"/>
      <w:r w:rsidR="00592D55">
        <w:t>CLR</w:t>
      </w:r>
      <w:proofErr w:type="spellEnd"/>
      <w:r w:rsidR="00592D55">
        <w:t xml:space="preserve"> 509 at [52].  Section </w:t>
      </w:r>
      <w:proofErr w:type="spellStart"/>
      <w:r w:rsidR="00592D55">
        <w:t>444A</w:t>
      </w:r>
      <w:proofErr w:type="spellEnd"/>
      <w:r w:rsidR="00592D55">
        <w:t>(4)(</w:t>
      </w:r>
      <w:proofErr w:type="spellStart"/>
      <w:r w:rsidR="00592D55">
        <w:t>i</w:t>
      </w:r>
      <w:proofErr w:type="spellEnd"/>
      <w:r w:rsidR="00592D55">
        <w:t xml:space="preserve">) provides that a deed of company arrangement must specify </w:t>
      </w:r>
      <w:r w:rsidR="00592D55">
        <w:lastRenderedPageBreak/>
        <w:t xml:space="preserve">the day (not later than the day when the administration began) on or before which claims must have arisen if they are to be admissible under the deed. </w:t>
      </w:r>
    </w:p>
    <w:p w:rsidR="00592D55" w:rsidRDefault="003B1253" w:rsidP="003B1253">
      <w:pPr>
        <w:pStyle w:val="ParaNumbering"/>
        <w:numPr>
          <w:ilvl w:val="0"/>
          <w:numId w:val="0"/>
        </w:numPr>
        <w:ind w:hanging="720"/>
      </w:pPr>
      <w:r>
        <w:rPr>
          <w:sz w:val="20"/>
        </w:rPr>
        <w:t>28</w:t>
      </w:r>
      <w:r>
        <w:rPr>
          <w:sz w:val="20"/>
        </w:rPr>
        <w:tab/>
      </w:r>
      <w:r>
        <w:tab/>
      </w:r>
      <w:r w:rsidR="00592D55">
        <w:t>As outlined earlier, t</w:t>
      </w:r>
      <w:r w:rsidR="00592D55" w:rsidRPr="00356158">
        <w:t xml:space="preserve">he </w:t>
      </w:r>
      <w:proofErr w:type="spellStart"/>
      <w:r w:rsidR="00592D55" w:rsidRPr="00356158">
        <w:t>DOCA</w:t>
      </w:r>
      <w:proofErr w:type="spellEnd"/>
      <w:r w:rsidR="00592D55" w:rsidRPr="00356158">
        <w:t xml:space="preserve"> was entered into between</w:t>
      </w:r>
      <w:r w:rsidR="00592D55">
        <w:t xml:space="preserve"> </w:t>
      </w:r>
      <w:proofErr w:type="spellStart"/>
      <w:r w:rsidR="00592D55">
        <w:t>B</w:t>
      </w:r>
      <w:r w:rsidR="00EE473A">
        <w:t>luechip</w:t>
      </w:r>
      <w:proofErr w:type="spellEnd"/>
      <w:r w:rsidR="00EE473A">
        <w:t xml:space="preserve"> and its creditors on 10 </w:t>
      </w:r>
      <w:r w:rsidR="00592D55">
        <w:t>March 2011.  The date for the purposes of s </w:t>
      </w:r>
      <w:proofErr w:type="spellStart"/>
      <w:proofErr w:type="gramStart"/>
      <w:r w:rsidR="00592D55">
        <w:t>444A</w:t>
      </w:r>
      <w:proofErr w:type="spellEnd"/>
      <w:r w:rsidR="00592D55">
        <w:t>(</w:t>
      </w:r>
      <w:proofErr w:type="gramEnd"/>
      <w:r w:rsidR="00592D55">
        <w:t>4)(</w:t>
      </w:r>
      <w:proofErr w:type="spellStart"/>
      <w:r w:rsidR="00EE473A">
        <w:t>i</w:t>
      </w:r>
      <w:proofErr w:type="spellEnd"/>
      <w:r w:rsidR="00EE473A">
        <w:t>) was the Appointment Day on 3 </w:t>
      </w:r>
      <w:r w:rsidR="00592D55">
        <w:t xml:space="preserve">February 2011. </w:t>
      </w:r>
    </w:p>
    <w:p w:rsidR="00592D55" w:rsidRDefault="003B1253" w:rsidP="003B1253">
      <w:pPr>
        <w:pStyle w:val="ParaNumbering"/>
        <w:numPr>
          <w:ilvl w:val="0"/>
          <w:numId w:val="0"/>
        </w:numPr>
        <w:ind w:hanging="720"/>
      </w:pPr>
      <w:r>
        <w:rPr>
          <w:sz w:val="20"/>
        </w:rPr>
        <w:t>29</w:t>
      </w:r>
      <w:r>
        <w:rPr>
          <w:sz w:val="20"/>
        </w:rPr>
        <w:tab/>
      </w:r>
      <w:r>
        <w:tab/>
      </w:r>
      <w:r w:rsidR="00592D55">
        <w:t xml:space="preserve">Accordingly, the question is whether the primary judge was in error in concluding that the costs awarded to </w:t>
      </w:r>
      <w:proofErr w:type="spellStart"/>
      <w:r w:rsidR="00592D55">
        <w:t>Sunstruct</w:t>
      </w:r>
      <w:proofErr w:type="spellEnd"/>
      <w:r w:rsidR="00592D55">
        <w:t xml:space="preserve"> on its counterclaim was not a claim covered by the terms of the </w:t>
      </w:r>
      <w:proofErr w:type="spellStart"/>
      <w:r w:rsidR="00592D55">
        <w:t>DOCA</w:t>
      </w:r>
      <w:proofErr w:type="spellEnd"/>
      <w:r w:rsidR="00592D55">
        <w:t xml:space="preserve"> by virtue of s </w:t>
      </w:r>
      <w:proofErr w:type="spellStart"/>
      <w:r w:rsidR="00592D55">
        <w:t>444D</w:t>
      </w:r>
      <w:proofErr w:type="spellEnd"/>
      <w:r w:rsidR="00592D55">
        <w:t xml:space="preserve">. </w:t>
      </w:r>
    </w:p>
    <w:p w:rsidR="00592D55" w:rsidRDefault="003B1253" w:rsidP="003B1253">
      <w:pPr>
        <w:pStyle w:val="ParaNumbering"/>
        <w:numPr>
          <w:ilvl w:val="0"/>
          <w:numId w:val="0"/>
        </w:numPr>
        <w:ind w:hanging="720"/>
      </w:pPr>
      <w:r>
        <w:rPr>
          <w:sz w:val="20"/>
        </w:rPr>
        <w:t>30</w:t>
      </w:r>
      <w:r>
        <w:rPr>
          <w:sz w:val="20"/>
        </w:rPr>
        <w:tab/>
      </w:r>
      <w:r>
        <w:tab/>
      </w:r>
      <w:r w:rsidR="00592D55">
        <w:t xml:space="preserve">Section 553(1) of the </w:t>
      </w:r>
      <w:r w:rsidR="00592D55">
        <w:rPr>
          <w:i/>
        </w:rPr>
        <w:t xml:space="preserve">Corporations Act </w:t>
      </w:r>
      <w:r w:rsidR="00592D55">
        <w:t xml:space="preserve">provides that: </w:t>
      </w:r>
    </w:p>
    <w:p w:rsidR="00592D55" w:rsidRDefault="00592D55" w:rsidP="00592D55">
      <w:pPr>
        <w:pStyle w:val="Quote1"/>
      </w:pPr>
      <w:r>
        <w:t xml:space="preserve">Subject to this Division and Division 8,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 </w:t>
      </w:r>
    </w:p>
    <w:p w:rsidR="00592D55" w:rsidRDefault="00592D55" w:rsidP="00592D55">
      <w:pPr>
        <w:pStyle w:val="Quote1"/>
      </w:pPr>
    </w:p>
    <w:p w:rsidR="00592D55" w:rsidRDefault="003B1253" w:rsidP="003B1253">
      <w:pPr>
        <w:pStyle w:val="ParaNumbering"/>
        <w:numPr>
          <w:ilvl w:val="0"/>
          <w:numId w:val="0"/>
        </w:numPr>
        <w:ind w:hanging="720"/>
      </w:pPr>
      <w:r>
        <w:rPr>
          <w:sz w:val="20"/>
        </w:rPr>
        <w:t>31</w:t>
      </w:r>
      <w:r>
        <w:rPr>
          <w:sz w:val="20"/>
        </w:rPr>
        <w:tab/>
      </w:r>
      <w:r>
        <w:tab/>
      </w:r>
      <w:r w:rsidR="00592D55">
        <w:t>The expressions “claims must have arisen” in s </w:t>
      </w:r>
      <w:proofErr w:type="spellStart"/>
      <w:proofErr w:type="gramStart"/>
      <w:r w:rsidR="00592D55">
        <w:t>444A</w:t>
      </w:r>
      <w:proofErr w:type="spellEnd"/>
      <w:r w:rsidR="00592D55">
        <w:t>(</w:t>
      </w:r>
      <w:proofErr w:type="gramEnd"/>
      <w:r w:rsidR="00592D55">
        <w:t>4)(</w:t>
      </w:r>
      <w:proofErr w:type="spellStart"/>
      <w:r w:rsidR="00592D55">
        <w:t>i</w:t>
      </w:r>
      <w:proofErr w:type="spellEnd"/>
      <w:r w:rsidR="00592D55">
        <w:t>) and “claims arising” in s </w:t>
      </w:r>
      <w:proofErr w:type="spellStart"/>
      <w:r w:rsidR="00592D55">
        <w:t>444D</w:t>
      </w:r>
      <w:proofErr w:type="spellEnd"/>
      <w:r w:rsidR="00592D55">
        <w:t xml:space="preserve">(1), in each case, on or before the day specified in the deed, refer to a claim which at that date would have been provable under s 553(1) of the </w:t>
      </w:r>
      <w:r w:rsidR="00592D55">
        <w:rPr>
          <w:i/>
        </w:rPr>
        <w:t xml:space="preserve">Corporations Act </w:t>
      </w:r>
      <w:r w:rsidR="00592D55">
        <w:t xml:space="preserve">in the winding up of the company: see </w:t>
      </w:r>
      <w:r w:rsidR="00592D55">
        <w:rPr>
          <w:i/>
        </w:rPr>
        <w:t xml:space="preserve">Brash Holdings Ltd (Administrator appointed) v </w:t>
      </w:r>
      <w:proofErr w:type="spellStart"/>
      <w:r w:rsidR="00592D55">
        <w:rPr>
          <w:i/>
        </w:rPr>
        <w:t>Katile</w:t>
      </w:r>
      <w:proofErr w:type="spellEnd"/>
      <w:r w:rsidR="00592D55">
        <w:rPr>
          <w:i/>
        </w:rPr>
        <w:t xml:space="preserve"> Pty Ltd </w:t>
      </w:r>
      <w:r w:rsidR="00592D55">
        <w:t xml:space="preserve">[1996] 1 VR 24, 34-36. </w:t>
      </w:r>
    </w:p>
    <w:p w:rsidR="00592D55" w:rsidRDefault="003B1253" w:rsidP="003B1253">
      <w:pPr>
        <w:pStyle w:val="ParaNumbering"/>
        <w:numPr>
          <w:ilvl w:val="0"/>
          <w:numId w:val="0"/>
        </w:numPr>
        <w:ind w:hanging="720"/>
      </w:pPr>
      <w:r>
        <w:rPr>
          <w:sz w:val="20"/>
        </w:rPr>
        <w:t>32</w:t>
      </w:r>
      <w:r>
        <w:rPr>
          <w:sz w:val="20"/>
        </w:rPr>
        <w:tab/>
      </w:r>
      <w:r>
        <w:tab/>
      </w:r>
      <w:r w:rsidR="00592D55">
        <w:t xml:space="preserve">Under s 553(1) a claim, which includes a contingent claim, is admissible to proof against the company if “the circumstances giving rise” to it occurred before the relevant date. </w:t>
      </w:r>
    </w:p>
    <w:p w:rsidR="00592D55" w:rsidRDefault="003B1253" w:rsidP="003B1253">
      <w:pPr>
        <w:pStyle w:val="ParaNumbering"/>
        <w:numPr>
          <w:ilvl w:val="0"/>
          <w:numId w:val="0"/>
        </w:numPr>
        <w:ind w:hanging="720"/>
      </w:pPr>
      <w:r>
        <w:rPr>
          <w:sz w:val="20"/>
        </w:rPr>
        <w:t>33</w:t>
      </w:r>
      <w:r>
        <w:rPr>
          <w:sz w:val="20"/>
        </w:rPr>
        <w:tab/>
      </w:r>
      <w:r>
        <w:tab/>
      </w:r>
      <w:proofErr w:type="spellStart"/>
      <w:r w:rsidR="00592D55">
        <w:t>Bluechip</w:t>
      </w:r>
      <w:proofErr w:type="spellEnd"/>
      <w:r w:rsidR="00592D55">
        <w:t xml:space="preserve"> contends that the circumstances giving rise to the costs awarded on the counterclaim occurred before “the relevant date” (</w:t>
      </w:r>
      <w:r w:rsidR="00592D55" w:rsidRPr="00DF14B6">
        <w:t>the Appointment Day</w:t>
      </w:r>
      <w:r w:rsidR="00592D55">
        <w:t xml:space="preserve">) for the purposes of s 553(1). </w:t>
      </w:r>
    </w:p>
    <w:p w:rsidR="00592D55" w:rsidRDefault="003B1253" w:rsidP="003B1253">
      <w:pPr>
        <w:pStyle w:val="ParaNumbering"/>
        <w:numPr>
          <w:ilvl w:val="0"/>
          <w:numId w:val="0"/>
        </w:numPr>
        <w:ind w:hanging="720"/>
      </w:pPr>
      <w:r>
        <w:rPr>
          <w:sz w:val="20"/>
        </w:rPr>
        <w:t>34</w:t>
      </w:r>
      <w:r>
        <w:rPr>
          <w:sz w:val="20"/>
        </w:rPr>
        <w:tab/>
      </w:r>
      <w:r>
        <w:tab/>
      </w:r>
      <w:r w:rsidR="00592D55">
        <w:t xml:space="preserve">The expression “the circumstances giving rise to” in s 553(1) are also found in the definition of “Claim” in the </w:t>
      </w:r>
      <w:proofErr w:type="spellStart"/>
      <w:r w:rsidR="00592D55">
        <w:t>DOCA</w:t>
      </w:r>
      <w:proofErr w:type="spellEnd"/>
      <w:r w:rsidR="00592D55">
        <w:t xml:space="preserve">.  </w:t>
      </w:r>
      <w:proofErr w:type="spellStart"/>
      <w:r w:rsidR="00592D55">
        <w:t>Bluechip</w:t>
      </w:r>
      <w:proofErr w:type="spellEnd"/>
      <w:r w:rsidR="00592D55">
        <w:t xml:space="preserve"> relies upon those words in each case as having the same e</w:t>
      </w:r>
      <w:r w:rsidR="002E6AC7">
        <w:t>ffect:</w:t>
      </w:r>
      <w:r w:rsidR="00592D55">
        <w:t xml:space="preserve"> the circumstances giving rise to the claim for costs arose prior to </w:t>
      </w:r>
      <w:r w:rsidR="00592D55" w:rsidRPr="00DF14B6">
        <w:t>the Appointment Day and that accordingly the costs order ought not to have been made, t</w:t>
      </w:r>
      <w:r w:rsidR="00592D55">
        <w:t xml:space="preserve">he claim for costs having been compromised by the </w:t>
      </w:r>
      <w:proofErr w:type="spellStart"/>
      <w:r w:rsidR="00592D55">
        <w:t>DOCA</w:t>
      </w:r>
      <w:proofErr w:type="spellEnd"/>
      <w:r w:rsidR="00592D55">
        <w:t xml:space="preserve"> having regard to the provisions of </w:t>
      </w:r>
      <w:proofErr w:type="spellStart"/>
      <w:r w:rsidR="00592D55">
        <w:t>s</w:t>
      </w:r>
      <w:r w:rsidR="002E6AC7">
        <w:t>s</w:t>
      </w:r>
      <w:proofErr w:type="spellEnd"/>
      <w:r w:rsidR="002E6AC7">
        <w:t> </w:t>
      </w:r>
      <w:proofErr w:type="spellStart"/>
      <w:proofErr w:type="gramStart"/>
      <w:r w:rsidR="002E6AC7">
        <w:t>444D</w:t>
      </w:r>
      <w:proofErr w:type="spellEnd"/>
      <w:r w:rsidR="002E6AC7">
        <w:t>(</w:t>
      </w:r>
      <w:proofErr w:type="gramEnd"/>
      <w:r w:rsidR="002E6AC7">
        <w:t xml:space="preserve">1) and </w:t>
      </w:r>
      <w:r w:rsidR="00592D55">
        <w:t xml:space="preserve">553(1) of the </w:t>
      </w:r>
      <w:r w:rsidR="00592D55" w:rsidRPr="00A4159A">
        <w:rPr>
          <w:i/>
        </w:rPr>
        <w:t>Corporations Act</w:t>
      </w:r>
      <w:r w:rsidR="00592D55">
        <w:t xml:space="preserve">. </w:t>
      </w:r>
    </w:p>
    <w:p w:rsidR="00592D55" w:rsidRDefault="003B1253" w:rsidP="003B1253">
      <w:pPr>
        <w:pStyle w:val="ParaNumbering"/>
        <w:numPr>
          <w:ilvl w:val="0"/>
          <w:numId w:val="0"/>
        </w:numPr>
        <w:ind w:hanging="720"/>
      </w:pPr>
      <w:r>
        <w:rPr>
          <w:sz w:val="20"/>
        </w:rPr>
        <w:lastRenderedPageBreak/>
        <w:t>35</w:t>
      </w:r>
      <w:r>
        <w:rPr>
          <w:sz w:val="20"/>
        </w:rPr>
        <w:tab/>
      </w:r>
      <w:r>
        <w:tab/>
      </w:r>
      <w:r w:rsidR="00592D55">
        <w:t xml:space="preserve">The primary judge concluded, in effect, that the claim for costs on the counterclaim was not one where the circumstances giving rise to it occurred on or before </w:t>
      </w:r>
      <w:r w:rsidR="00592D55" w:rsidRPr="00DF14B6">
        <w:t>the Appointment Day</w:t>
      </w:r>
      <w:r w:rsidR="00592D55">
        <w:t xml:space="preserve">.  His Honour followed the judgment in </w:t>
      </w:r>
      <w:proofErr w:type="spellStart"/>
      <w:r w:rsidR="00592D55">
        <w:rPr>
          <w:i/>
        </w:rPr>
        <w:t>Larkden</w:t>
      </w:r>
      <w:proofErr w:type="spellEnd"/>
      <w:r w:rsidR="00592D55">
        <w:rPr>
          <w:i/>
        </w:rPr>
        <w:t xml:space="preserve"> Pty L</w:t>
      </w:r>
      <w:r w:rsidR="00815DF7">
        <w:rPr>
          <w:i/>
        </w:rPr>
        <w:t>imite</w:t>
      </w:r>
      <w:r w:rsidR="00592D55">
        <w:rPr>
          <w:i/>
        </w:rPr>
        <w:t>d v Lloyd Energy Systems Pty L</w:t>
      </w:r>
      <w:r w:rsidR="00815DF7">
        <w:rPr>
          <w:i/>
        </w:rPr>
        <w:t>imite</w:t>
      </w:r>
      <w:r w:rsidR="00592D55">
        <w:rPr>
          <w:i/>
        </w:rPr>
        <w:t xml:space="preserve">d </w:t>
      </w:r>
      <w:r w:rsidR="00592D55">
        <w:t xml:space="preserve">[2011] </w:t>
      </w:r>
      <w:proofErr w:type="spellStart"/>
      <w:r w:rsidR="00592D55">
        <w:t>NSWSC</w:t>
      </w:r>
      <w:proofErr w:type="spellEnd"/>
      <w:r w:rsidR="00592D55">
        <w:t xml:space="preserve"> 1567.  </w:t>
      </w:r>
    </w:p>
    <w:p w:rsidR="00592D55" w:rsidRDefault="003B1253" w:rsidP="003B1253">
      <w:pPr>
        <w:pStyle w:val="ParaNumbering"/>
        <w:numPr>
          <w:ilvl w:val="0"/>
          <w:numId w:val="0"/>
        </w:numPr>
        <w:ind w:hanging="720"/>
      </w:pPr>
      <w:r>
        <w:rPr>
          <w:sz w:val="20"/>
        </w:rPr>
        <w:t>36</w:t>
      </w:r>
      <w:r>
        <w:rPr>
          <w:sz w:val="20"/>
        </w:rPr>
        <w:tab/>
      </w:r>
      <w:r>
        <w:tab/>
      </w:r>
      <w:proofErr w:type="spellStart"/>
      <w:r w:rsidR="00592D55">
        <w:t>Bluechip</w:t>
      </w:r>
      <w:proofErr w:type="spellEnd"/>
      <w:r w:rsidR="00592D55">
        <w:t xml:space="preserve"> submits that </w:t>
      </w:r>
      <w:proofErr w:type="spellStart"/>
      <w:r w:rsidR="00592D55">
        <w:t>Hammerschlag</w:t>
      </w:r>
      <w:proofErr w:type="spellEnd"/>
      <w:r w:rsidR="00592D55">
        <w:t xml:space="preserve"> J in </w:t>
      </w:r>
      <w:proofErr w:type="spellStart"/>
      <w:r w:rsidR="00592D55">
        <w:rPr>
          <w:i/>
        </w:rPr>
        <w:t>Larkden</w:t>
      </w:r>
      <w:proofErr w:type="spellEnd"/>
      <w:r w:rsidR="00592D55">
        <w:t xml:space="preserve"> identifies correctly the relevant principles but applied them in a way which was contrary to earlier first instance decisions.  It thus invited this Court to resolve these conflicting authorities. </w:t>
      </w:r>
    </w:p>
    <w:p w:rsidR="00592D55" w:rsidRPr="00AA5D91" w:rsidRDefault="003B1253" w:rsidP="003B1253">
      <w:pPr>
        <w:pStyle w:val="ParaNumbering"/>
        <w:numPr>
          <w:ilvl w:val="0"/>
          <w:numId w:val="0"/>
        </w:numPr>
        <w:ind w:hanging="720"/>
      </w:pPr>
      <w:r w:rsidRPr="00AA5D91">
        <w:rPr>
          <w:sz w:val="20"/>
        </w:rPr>
        <w:t>37</w:t>
      </w:r>
      <w:r w:rsidRPr="00AA5D91">
        <w:rPr>
          <w:sz w:val="20"/>
        </w:rPr>
        <w:tab/>
      </w:r>
      <w:r>
        <w:tab/>
      </w:r>
      <w:r w:rsidR="00592D55" w:rsidRPr="0038689A">
        <w:t xml:space="preserve">Two of these decisions were referred to in </w:t>
      </w:r>
      <w:r w:rsidR="00592D55" w:rsidRPr="0038689A">
        <w:rPr>
          <w:i/>
        </w:rPr>
        <w:t>Sons of Gwalia</w:t>
      </w:r>
      <w:r w:rsidR="00592D55" w:rsidRPr="00DF14B6">
        <w:rPr>
          <w:i/>
        </w:rPr>
        <w:t xml:space="preserve"> </w:t>
      </w:r>
      <w:r w:rsidR="00592D55">
        <w:rPr>
          <w:i/>
        </w:rPr>
        <w:t xml:space="preserve">Ltd (subject to deed of company arrangement) </w:t>
      </w:r>
      <w:r w:rsidR="00592D55" w:rsidRPr="00DF14B6">
        <w:rPr>
          <w:i/>
        </w:rPr>
        <w:t xml:space="preserve">v </w:t>
      </w:r>
      <w:proofErr w:type="spellStart"/>
      <w:r w:rsidR="00592D55" w:rsidRPr="00DF14B6">
        <w:rPr>
          <w:i/>
        </w:rPr>
        <w:t>Margaretic</w:t>
      </w:r>
      <w:proofErr w:type="spellEnd"/>
      <w:r w:rsidR="00592D55" w:rsidRPr="00EE54F6">
        <w:t xml:space="preserve"> (2007) 231 </w:t>
      </w:r>
      <w:proofErr w:type="spellStart"/>
      <w:r w:rsidR="00592D55" w:rsidRPr="00EE54F6">
        <w:t>CLR</w:t>
      </w:r>
      <w:proofErr w:type="spellEnd"/>
      <w:r w:rsidR="00592D55" w:rsidRPr="00EE54F6">
        <w:t xml:space="preserve"> 160</w:t>
      </w:r>
      <w:r w:rsidR="00592D55">
        <w:t xml:space="preserve">.  </w:t>
      </w:r>
      <w:proofErr w:type="gramStart"/>
      <w:r w:rsidR="00592D55" w:rsidRPr="00521260">
        <w:t>That case concerned</w:t>
      </w:r>
      <w:r w:rsidR="00592D55">
        <w:t xml:space="preserve">, relevantly, whether </w:t>
      </w:r>
      <w:proofErr w:type="spellStart"/>
      <w:r w:rsidR="00592D55" w:rsidRPr="00C92F80">
        <w:t>Margaretic’s</w:t>
      </w:r>
      <w:proofErr w:type="spellEnd"/>
      <w:r w:rsidR="00592D55" w:rsidRPr="00C92F80">
        <w:t xml:space="preserve"> </w:t>
      </w:r>
      <w:r w:rsidR="00592D55">
        <w:t xml:space="preserve">claims for damages under various enactments may be proved in the winding up of Sons of Gwalia Ltd pursuant to s 553(1) of the </w:t>
      </w:r>
      <w:r w:rsidR="00592D55" w:rsidRPr="00DF14B6">
        <w:rPr>
          <w:i/>
        </w:rPr>
        <w:t>Corporations Act</w:t>
      </w:r>
      <w:r w:rsidR="00592D55">
        <w:t>.</w:t>
      </w:r>
      <w:proofErr w:type="gramEnd"/>
      <w:r w:rsidR="00592D55">
        <w:t xml:space="preserve">  As Hayne J observed at [161], the </w:t>
      </w:r>
      <w:proofErr w:type="spellStart"/>
      <w:r w:rsidR="00592D55">
        <w:t>new s</w:t>
      </w:r>
      <w:proofErr w:type="spellEnd"/>
      <w:r w:rsidR="00592D55">
        <w:t xml:space="preserve"> 553(1) introduced by the </w:t>
      </w:r>
      <w:r w:rsidR="00592D55" w:rsidRPr="00DF14B6">
        <w:rPr>
          <w:i/>
        </w:rPr>
        <w:t xml:space="preserve">Corporate Law Reform Act 1992 </w:t>
      </w:r>
      <w:r w:rsidR="00592D55">
        <w:t>(</w:t>
      </w:r>
      <w:proofErr w:type="spellStart"/>
      <w:r w:rsidR="00592D55">
        <w:t>Cth</w:t>
      </w:r>
      <w:proofErr w:type="spellEnd"/>
      <w:r w:rsidR="00592D55">
        <w:t xml:space="preserve">) removed the former rules excluding some claims for unliquidated damages from proof in a winding up.  To that extent the capacity to prove debts in a company’s winding up by this provision were different to those prevailing under s 82(2) of the </w:t>
      </w:r>
      <w:r w:rsidR="00592D55" w:rsidRPr="00DF14B6">
        <w:rPr>
          <w:i/>
        </w:rPr>
        <w:t xml:space="preserve">Bankruptcy Act 1966 </w:t>
      </w:r>
      <w:r w:rsidR="00592D55">
        <w:t>(</w:t>
      </w:r>
      <w:proofErr w:type="spellStart"/>
      <w:r w:rsidR="00592D55">
        <w:t>Cth</w:t>
      </w:r>
      <w:proofErr w:type="spellEnd"/>
      <w:r w:rsidR="00592D55">
        <w:t>) (</w:t>
      </w:r>
      <w:r w:rsidR="00592D55" w:rsidRPr="00DF14B6">
        <w:rPr>
          <w:i/>
        </w:rPr>
        <w:t>Bankruptcy Act</w:t>
      </w:r>
      <w:r w:rsidR="00592D55">
        <w:t xml:space="preserve">).  As his Honour said: </w:t>
      </w:r>
    </w:p>
    <w:p w:rsidR="00592D55" w:rsidRDefault="00592D55" w:rsidP="00592D55">
      <w:pPr>
        <w:pStyle w:val="Quote1"/>
      </w:pPr>
      <w:r>
        <w:t xml:space="preserve">What mattered under the new s 553 was whether “the circumstances giving rise to [the debt or claim in question] occurred before the relevant date”. </w:t>
      </w:r>
    </w:p>
    <w:p w:rsidR="00592D55" w:rsidRDefault="00592D55" w:rsidP="00592D55">
      <w:pPr>
        <w:pStyle w:val="Quote1"/>
      </w:pPr>
    </w:p>
    <w:p w:rsidR="00592D55" w:rsidRPr="00356158" w:rsidRDefault="003B1253" w:rsidP="003B1253">
      <w:pPr>
        <w:pStyle w:val="ParaNumbering"/>
        <w:numPr>
          <w:ilvl w:val="0"/>
          <w:numId w:val="0"/>
        </w:numPr>
        <w:ind w:hanging="720"/>
      </w:pPr>
      <w:r w:rsidRPr="00356158">
        <w:rPr>
          <w:sz w:val="20"/>
        </w:rPr>
        <w:t>38</w:t>
      </w:r>
      <w:r w:rsidRPr="00356158">
        <w:rPr>
          <w:sz w:val="20"/>
        </w:rPr>
        <w:tab/>
      </w:r>
      <w:r>
        <w:tab/>
      </w:r>
      <w:r w:rsidR="00592D55">
        <w:t xml:space="preserve">Then at [168] his Honour explained </w:t>
      </w:r>
      <w:r w:rsidR="00592D55" w:rsidRPr="00946E9A">
        <w:t xml:space="preserve">the application of s 553(1) of the </w:t>
      </w:r>
      <w:r w:rsidR="00592D55" w:rsidRPr="00946E9A">
        <w:rPr>
          <w:i/>
        </w:rPr>
        <w:t>Corporation Act</w:t>
      </w:r>
      <w:r w:rsidR="00592D55" w:rsidRPr="00946E9A">
        <w:t>;</w:t>
      </w:r>
      <w:r w:rsidR="00592D55" w:rsidRPr="00946E9A">
        <w:rPr>
          <w:i/>
        </w:rPr>
        <w:t xml:space="preserve"> </w:t>
      </w:r>
      <w:r w:rsidR="00592D55" w:rsidRPr="00946E9A">
        <w:t>only claims where the circumstances giving</w:t>
      </w:r>
      <w:r w:rsidR="00592D55" w:rsidRPr="00356158">
        <w:t xml:space="preserve"> rise to them occurred before “the relevant date” were admissible to proof, whether the claims were present or future, certain or contingent, ascertained or sounding only in damages. </w:t>
      </w:r>
    </w:p>
    <w:p w:rsidR="00592D55" w:rsidRPr="00946E9A" w:rsidRDefault="003B1253" w:rsidP="003B1253">
      <w:pPr>
        <w:pStyle w:val="ParaNumbering"/>
        <w:numPr>
          <w:ilvl w:val="0"/>
          <w:numId w:val="0"/>
        </w:numPr>
        <w:ind w:hanging="720"/>
      </w:pPr>
      <w:r w:rsidRPr="00946E9A">
        <w:rPr>
          <w:sz w:val="20"/>
        </w:rPr>
        <w:t>39</w:t>
      </w:r>
      <w:r w:rsidRPr="00946E9A">
        <w:rPr>
          <w:sz w:val="20"/>
        </w:rPr>
        <w:tab/>
      </w:r>
      <w:r>
        <w:tab/>
      </w:r>
      <w:r w:rsidR="00592D55">
        <w:t xml:space="preserve">At [171] his Honour’s observation that neither the High Court nor any intermediate court had previously considered the question of what is meant in s 553 by “debts or claims the circumstances giving rise to which occurred before the relevant date” carried a footnote referring to two first instance judgments in this respect: </w:t>
      </w:r>
      <w:r w:rsidR="00592D55" w:rsidRPr="00946E9A">
        <w:rPr>
          <w:i/>
        </w:rPr>
        <w:t xml:space="preserve">McDonald v Commissioner of Taxation </w:t>
      </w:r>
      <w:r w:rsidR="00592D55" w:rsidRPr="00946E9A">
        <w:t xml:space="preserve">(2005) 187 </w:t>
      </w:r>
      <w:proofErr w:type="spellStart"/>
      <w:r w:rsidR="00592D55" w:rsidRPr="00946E9A">
        <w:t>FLR</w:t>
      </w:r>
      <w:proofErr w:type="spellEnd"/>
      <w:r w:rsidR="00592D55" w:rsidRPr="00946E9A">
        <w:t xml:space="preserve"> 461 and </w:t>
      </w:r>
      <w:r w:rsidR="00592D55" w:rsidRPr="00946E9A">
        <w:rPr>
          <w:i/>
        </w:rPr>
        <w:t xml:space="preserve">Environmental </w:t>
      </w:r>
      <w:r w:rsidR="00592D55">
        <w:rPr>
          <w:i/>
        </w:rPr>
        <w:t xml:space="preserve">&amp; Earth </w:t>
      </w:r>
      <w:r w:rsidR="00592D55" w:rsidRPr="00946E9A">
        <w:rPr>
          <w:i/>
        </w:rPr>
        <w:t xml:space="preserve">Sciences Pty Ltd v </w:t>
      </w:r>
      <w:proofErr w:type="spellStart"/>
      <w:r w:rsidR="00592D55" w:rsidRPr="00946E9A">
        <w:rPr>
          <w:i/>
        </w:rPr>
        <w:t>Vouris</w:t>
      </w:r>
      <w:proofErr w:type="spellEnd"/>
      <w:r w:rsidR="00592D55" w:rsidRPr="00946E9A">
        <w:rPr>
          <w:i/>
        </w:rPr>
        <w:t xml:space="preserve"> </w:t>
      </w:r>
      <w:r w:rsidR="00592D55" w:rsidRPr="00946E9A">
        <w:t xml:space="preserve">(2006) 152 </w:t>
      </w:r>
      <w:proofErr w:type="spellStart"/>
      <w:r w:rsidR="00592D55" w:rsidRPr="00946E9A">
        <w:t>FCR</w:t>
      </w:r>
      <w:proofErr w:type="spellEnd"/>
      <w:r w:rsidR="00592D55" w:rsidRPr="00946E9A">
        <w:t xml:space="preserve"> 510.</w:t>
      </w:r>
    </w:p>
    <w:p w:rsidR="00592D55" w:rsidRDefault="003B1253" w:rsidP="003B1253">
      <w:pPr>
        <w:pStyle w:val="ParaNumbering"/>
        <w:numPr>
          <w:ilvl w:val="0"/>
          <w:numId w:val="0"/>
        </w:numPr>
        <w:ind w:hanging="720"/>
      </w:pPr>
      <w:r>
        <w:rPr>
          <w:sz w:val="20"/>
        </w:rPr>
        <w:t>40</w:t>
      </w:r>
      <w:r>
        <w:rPr>
          <w:sz w:val="20"/>
        </w:rPr>
        <w:tab/>
      </w:r>
      <w:r>
        <w:tab/>
      </w:r>
      <w:r w:rsidR="00592D55">
        <w:t xml:space="preserve">Contrary to the submission of counsel for </w:t>
      </w:r>
      <w:proofErr w:type="spellStart"/>
      <w:r w:rsidR="00592D55">
        <w:t>Bluechip</w:t>
      </w:r>
      <w:proofErr w:type="spellEnd"/>
      <w:r w:rsidR="00592D55">
        <w:t xml:space="preserve"> and Mr Knell I do not regard this reference to these cases to mean that his Honour approved them.  The reference is, in context, neutral. </w:t>
      </w:r>
    </w:p>
    <w:p w:rsidR="00592D55" w:rsidRDefault="003B1253" w:rsidP="003B1253">
      <w:pPr>
        <w:pStyle w:val="ParaNumbering"/>
        <w:numPr>
          <w:ilvl w:val="0"/>
          <w:numId w:val="0"/>
        </w:numPr>
        <w:ind w:hanging="720"/>
      </w:pPr>
      <w:r>
        <w:rPr>
          <w:sz w:val="20"/>
        </w:rPr>
        <w:lastRenderedPageBreak/>
        <w:t>41</w:t>
      </w:r>
      <w:r>
        <w:rPr>
          <w:sz w:val="20"/>
        </w:rPr>
        <w:tab/>
      </w:r>
      <w:r>
        <w:tab/>
      </w:r>
      <w:r w:rsidR="00592D55">
        <w:t xml:space="preserve">What is apparent as Hayne J set out at [172] is that the legislative intention underpinning s 553 is that provable claims in a winding up are to be defined very widely, as indeed is evident from the text of s 553(1). </w:t>
      </w:r>
    </w:p>
    <w:p w:rsidR="00592D55" w:rsidRDefault="003B1253" w:rsidP="003B1253">
      <w:pPr>
        <w:pStyle w:val="ParaNumbering"/>
        <w:numPr>
          <w:ilvl w:val="0"/>
          <w:numId w:val="0"/>
        </w:numPr>
        <w:ind w:hanging="720"/>
      </w:pPr>
      <w:r>
        <w:rPr>
          <w:sz w:val="20"/>
        </w:rPr>
        <w:t>42</w:t>
      </w:r>
      <w:r>
        <w:rPr>
          <w:sz w:val="20"/>
        </w:rPr>
        <w:tab/>
      </w:r>
      <w:r>
        <w:tab/>
      </w:r>
      <w:r w:rsidR="00592D55">
        <w:t xml:space="preserve">In </w:t>
      </w:r>
      <w:r w:rsidR="00592D55" w:rsidRPr="00EE54F6">
        <w:rPr>
          <w:i/>
        </w:rPr>
        <w:t xml:space="preserve">Foots v Southern Cross Mine Management Pty Ltd </w:t>
      </w:r>
      <w:r w:rsidR="00592D55" w:rsidRPr="00EE54F6">
        <w:t xml:space="preserve">(2007) 234 </w:t>
      </w:r>
      <w:proofErr w:type="spellStart"/>
      <w:r w:rsidR="00592D55" w:rsidRPr="00EE54F6">
        <w:t>CLR</w:t>
      </w:r>
      <w:proofErr w:type="spellEnd"/>
      <w:r w:rsidR="00592D55" w:rsidRPr="00EE54F6">
        <w:t xml:space="preserve"> 52</w:t>
      </w:r>
      <w:r w:rsidR="00592D55">
        <w:t xml:space="preserve"> the High Court considered the nature of a costs order, albeit in the context of a consideration of s 82(1) of the </w:t>
      </w:r>
      <w:r w:rsidR="00592D55">
        <w:rPr>
          <w:i/>
        </w:rPr>
        <w:t>Bankruptcy Act.</w:t>
      </w:r>
      <w:r w:rsidR="00592D55">
        <w:t xml:space="preserve">  Mr Foots argued that a costs order made against him by the Supreme Court of Queensland several months after he had become bankrupt upon his own </w:t>
      </w:r>
      <w:proofErr w:type="gramStart"/>
      <w:r w:rsidR="00592D55">
        <w:t>petition,</w:t>
      </w:r>
      <w:proofErr w:type="gramEnd"/>
      <w:r w:rsidR="00592D55">
        <w:t xml:space="preserve"> was a provable debt within the meaning of s 82 of the </w:t>
      </w:r>
      <w:r w:rsidR="00592D55">
        <w:rPr>
          <w:i/>
        </w:rPr>
        <w:t xml:space="preserve">Bankruptcy Act </w:t>
      </w:r>
      <w:r w:rsidR="00592D55">
        <w:t xml:space="preserve">as it was a debt or liability arising out of an obligation incurred before his bankruptcy.  That obligation was said to arise from the judgment against him in the Queensland Supreme Court some two weeks before his bankruptcy.  He contended that the costs order was an obligation incidental to a provable debt. </w:t>
      </w:r>
    </w:p>
    <w:p w:rsidR="00592D55" w:rsidRDefault="003B1253" w:rsidP="003B1253">
      <w:pPr>
        <w:pStyle w:val="ParaNumbering"/>
        <w:numPr>
          <w:ilvl w:val="0"/>
          <w:numId w:val="0"/>
        </w:numPr>
        <w:ind w:hanging="720"/>
      </w:pPr>
      <w:r>
        <w:rPr>
          <w:sz w:val="20"/>
        </w:rPr>
        <w:t>43</w:t>
      </w:r>
      <w:r>
        <w:rPr>
          <w:sz w:val="20"/>
        </w:rPr>
        <w:tab/>
      </w:r>
      <w:r>
        <w:tab/>
      </w:r>
      <w:r w:rsidR="00592D55">
        <w:t xml:space="preserve">It may be seen at the outset that the language of s 82 is not the same as that of s 553 </w:t>
      </w:r>
      <w:r w:rsidR="00592D55" w:rsidRPr="00356158">
        <w:t xml:space="preserve">of the </w:t>
      </w:r>
      <w:r w:rsidR="00592D55" w:rsidRPr="00356158">
        <w:rPr>
          <w:i/>
        </w:rPr>
        <w:t>Corporations Act</w:t>
      </w:r>
      <w:r w:rsidR="00592D55" w:rsidRPr="00356158">
        <w:t>.  Section 82</w:t>
      </w:r>
      <w:r w:rsidR="00592D55">
        <w:t>(1)</w:t>
      </w:r>
      <w:r w:rsidR="00592D55" w:rsidRPr="00356158">
        <w:t xml:space="preserve"> concerns “debts and liabilities … by reason of an oblig</w:t>
      </w:r>
      <w:r w:rsidR="00592D55">
        <w:t>ation incurred before the date of the bankruptcy …</w:t>
      </w:r>
      <w:proofErr w:type="gramStart"/>
      <w:r w:rsidR="00592D55">
        <w:t>”.</w:t>
      </w:r>
      <w:proofErr w:type="gramEnd"/>
      <w:r w:rsidR="00592D55">
        <w:t xml:space="preserve">  Section 553(1) by contrast, is in terms of “debts or </w:t>
      </w:r>
      <w:r w:rsidR="00592D55">
        <w:rPr>
          <w:i/>
        </w:rPr>
        <w:t>claims</w:t>
      </w:r>
      <w:r w:rsidR="00592D55">
        <w:t xml:space="preserve"> the circumstances giving rise to which occurred before the relevant date” (emphasis added).</w:t>
      </w:r>
    </w:p>
    <w:p w:rsidR="00592D55" w:rsidRDefault="003B1253" w:rsidP="003B1253">
      <w:pPr>
        <w:pStyle w:val="ParaNumbering"/>
        <w:numPr>
          <w:ilvl w:val="0"/>
          <w:numId w:val="0"/>
        </w:numPr>
        <w:ind w:hanging="720"/>
      </w:pPr>
      <w:r>
        <w:rPr>
          <w:sz w:val="20"/>
        </w:rPr>
        <w:t>44</w:t>
      </w:r>
      <w:r>
        <w:rPr>
          <w:sz w:val="20"/>
        </w:rPr>
        <w:tab/>
      </w:r>
      <w:r>
        <w:tab/>
      </w:r>
      <w:r w:rsidR="00592D55">
        <w:t xml:space="preserve">Indeed the majority at [9] noted that the classes of provable debts (under the </w:t>
      </w:r>
      <w:r w:rsidR="00592D55">
        <w:rPr>
          <w:i/>
        </w:rPr>
        <w:t>Bankruptcy Act</w:t>
      </w:r>
      <w:r w:rsidR="00592D55">
        <w:t xml:space="preserve">) are narrower than those encompassed by s 553 of the </w:t>
      </w:r>
      <w:r w:rsidR="00592D55">
        <w:rPr>
          <w:i/>
        </w:rPr>
        <w:t xml:space="preserve">Corporations Act </w:t>
      </w:r>
      <w:r w:rsidR="00592D55" w:rsidRPr="00A232BE">
        <w:t>as regards corporate insolvency.</w:t>
      </w:r>
      <w:r w:rsidR="00592D55">
        <w:t xml:space="preserve">  This had earlier been identified in </w:t>
      </w:r>
      <w:r w:rsidR="00592D55">
        <w:rPr>
          <w:i/>
        </w:rPr>
        <w:t xml:space="preserve">Sons of Gwalia </w:t>
      </w:r>
      <w:r w:rsidR="00592D55">
        <w:t xml:space="preserve">as I earlier discussed. </w:t>
      </w:r>
    </w:p>
    <w:p w:rsidR="00592D55" w:rsidRDefault="003B1253" w:rsidP="003B1253">
      <w:pPr>
        <w:pStyle w:val="ParaNumbering"/>
        <w:numPr>
          <w:ilvl w:val="0"/>
          <w:numId w:val="0"/>
        </w:numPr>
        <w:ind w:hanging="720"/>
      </w:pPr>
      <w:r>
        <w:rPr>
          <w:sz w:val="20"/>
        </w:rPr>
        <w:t>45</w:t>
      </w:r>
      <w:r>
        <w:rPr>
          <w:sz w:val="20"/>
        </w:rPr>
        <w:tab/>
      </w:r>
      <w:r>
        <w:tab/>
      </w:r>
      <w:r w:rsidR="00592D55">
        <w:t xml:space="preserve">The majority proceeded to consider the nature of a costs order.  In context, these remarks are apposite to a claim for a costs order.  A number of characteristics emerged.  First an award of costs is discretionary: at [25].  Second, there is no absolute rule that costs follow the event citing </w:t>
      </w:r>
      <w:proofErr w:type="spellStart"/>
      <w:r w:rsidR="00592D55">
        <w:rPr>
          <w:i/>
        </w:rPr>
        <w:t>Oshlack</w:t>
      </w:r>
      <w:proofErr w:type="spellEnd"/>
      <w:r w:rsidR="00592D55">
        <w:rPr>
          <w:i/>
        </w:rPr>
        <w:t xml:space="preserve"> v Richmond River Council </w:t>
      </w:r>
      <w:r w:rsidR="00592D55">
        <w:t xml:space="preserve">(1998) 193 </w:t>
      </w:r>
      <w:proofErr w:type="spellStart"/>
      <w:r w:rsidR="00592D55">
        <w:t>CLR</w:t>
      </w:r>
      <w:proofErr w:type="spellEnd"/>
      <w:r w:rsidR="00592D55">
        <w:t xml:space="preserve"> 72 </w:t>
      </w:r>
      <w:r w:rsidR="00592D55" w:rsidRPr="00356158">
        <w:t>at [40]-[41]:</w:t>
      </w:r>
      <w:r w:rsidR="00592D55">
        <w:t xml:space="preserve"> at [26].  Third, no ‘obligation’ arose until the costs order is made: at [35].  Fourth, the risk that an order for costs may be made is not a contingent liability within the meaning of s 82(1) </w:t>
      </w:r>
      <w:r w:rsidR="00592D55" w:rsidRPr="00356158">
        <w:t xml:space="preserve">of the </w:t>
      </w:r>
      <w:r w:rsidR="00592D55" w:rsidRPr="00356158">
        <w:rPr>
          <w:i/>
        </w:rPr>
        <w:t>Bankruptcy Act</w:t>
      </w:r>
      <w:r w:rsidR="00592D55" w:rsidRPr="00356158">
        <w:t xml:space="preserve">: at [36].  Fifth, the order for costs </w:t>
      </w:r>
      <w:proofErr w:type="gramStart"/>
      <w:r w:rsidR="00592D55" w:rsidRPr="00356158">
        <w:t>itself</w:t>
      </w:r>
      <w:proofErr w:type="gramEnd"/>
      <w:r w:rsidR="00592D55" w:rsidRPr="00356158">
        <w:t xml:space="preserve"> is the source of the legal liability</w:t>
      </w:r>
      <w:r w:rsidR="00592D55">
        <w:t xml:space="preserve">: at [36].  Sixth, there is no certainty that the court in question will decide to make an order: at [36].  Seventh, costs are not an incident of a judgment: at [37]. </w:t>
      </w:r>
    </w:p>
    <w:p w:rsidR="00592D55" w:rsidRDefault="003B1253" w:rsidP="003B1253">
      <w:pPr>
        <w:pStyle w:val="ParaNumbering"/>
        <w:numPr>
          <w:ilvl w:val="0"/>
          <w:numId w:val="0"/>
        </w:numPr>
        <w:ind w:hanging="720"/>
      </w:pPr>
      <w:r>
        <w:rPr>
          <w:sz w:val="20"/>
        </w:rPr>
        <w:lastRenderedPageBreak/>
        <w:t>46</w:t>
      </w:r>
      <w:r>
        <w:rPr>
          <w:sz w:val="20"/>
        </w:rPr>
        <w:tab/>
      </w:r>
      <w:r>
        <w:tab/>
      </w:r>
      <w:r w:rsidR="00592D55">
        <w:t xml:space="preserve">Justice Kirby at [99] in dissent, considered that to treat what he characterised as “the prospective costs [obligation] of Mr Foots … as outside the scheme of s 82(1) would </w:t>
      </w:r>
      <w:r w:rsidR="00592D55" w:rsidRPr="00946E9A">
        <w:t xml:space="preserve">be </w:t>
      </w:r>
      <w:r w:rsidR="00592D55">
        <w:t xml:space="preserve">seriously to defeat, or certainly to wound, the operation of the </w:t>
      </w:r>
      <w:r w:rsidR="00592D55">
        <w:rPr>
          <w:i/>
        </w:rPr>
        <w:t xml:space="preserve">Bankruptcy Act </w:t>
      </w:r>
      <w:r w:rsidR="00592D55">
        <w:t>in important respects”.  Such was not lost on the majority who remarked at [68] that “[</w:t>
      </w:r>
      <w:proofErr w:type="spellStart"/>
      <w:r w:rsidR="00592D55">
        <w:t>i</w:t>
      </w:r>
      <w:proofErr w:type="spellEnd"/>
      <w:r w:rsidR="00592D55">
        <w:t>]f it be thought that the result reveal[</w:t>
      </w:r>
      <w:proofErr w:type="spellStart"/>
      <w:proofErr w:type="gramStart"/>
      <w:r w:rsidR="00592D55">
        <w:t>ed</w:t>
      </w:r>
      <w:proofErr w:type="spellEnd"/>
      <w:proofErr w:type="gramEnd"/>
      <w:r w:rsidR="00592D55">
        <w:t xml:space="preserve">] a lacuna in the text or the operation of the </w:t>
      </w:r>
      <w:r w:rsidR="00592D55">
        <w:rPr>
          <w:i/>
        </w:rPr>
        <w:t xml:space="preserve">Bankruptcy Act” </w:t>
      </w:r>
      <w:r w:rsidR="00592D55">
        <w:t xml:space="preserve">this was a matter for the Parliament. </w:t>
      </w:r>
    </w:p>
    <w:p w:rsidR="00592D55" w:rsidRDefault="003B1253" w:rsidP="003B1253">
      <w:pPr>
        <w:pStyle w:val="ParaNumbering"/>
        <w:numPr>
          <w:ilvl w:val="0"/>
          <w:numId w:val="0"/>
        </w:numPr>
        <w:ind w:hanging="720"/>
      </w:pPr>
      <w:r>
        <w:rPr>
          <w:sz w:val="20"/>
        </w:rPr>
        <w:t>47</w:t>
      </w:r>
      <w:r>
        <w:rPr>
          <w:sz w:val="20"/>
        </w:rPr>
        <w:tab/>
      </w:r>
      <w:r>
        <w:tab/>
      </w:r>
      <w:r w:rsidR="00592D55">
        <w:t xml:space="preserve">In </w:t>
      </w:r>
      <w:proofErr w:type="spellStart"/>
      <w:r w:rsidR="00592D55">
        <w:rPr>
          <w:i/>
        </w:rPr>
        <w:t>Expile</w:t>
      </w:r>
      <w:proofErr w:type="spellEnd"/>
      <w:r w:rsidR="00592D55">
        <w:rPr>
          <w:i/>
        </w:rPr>
        <w:t xml:space="preserve"> Pty Limited v </w:t>
      </w:r>
      <w:proofErr w:type="spellStart"/>
      <w:r w:rsidR="00592D55">
        <w:rPr>
          <w:i/>
        </w:rPr>
        <w:t>Jabb’s</w:t>
      </w:r>
      <w:proofErr w:type="spellEnd"/>
      <w:r w:rsidR="00592D55">
        <w:rPr>
          <w:i/>
        </w:rPr>
        <w:t xml:space="preserve"> Excavations Pty Ltd </w:t>
      </w:r>
      <w:r w:rsidR="00592D55">
        <w:t xml:space="preserve">[2004] </w:t>
      </w:r>
      <w:proofErr w:type="spellStart"/>
      <w:r w:rsidR="00592D55">
        <w:t>NSWSC</w:t>
      </w:r>
      <w:proofErr w:type="spellEnd"/>
      <w:r w:rsidR="00592D55">
        <w:t xml:space="preserve"> 284 Palmer J rejected the same submission for which </w:t>
      </w:r>
      <w:proofErr w:type="spellStart"/>
      <w:r w:rsidR="00592D55">
        <w:t>Bluechip</w:t>
      </w:r>
      <w:proofErr w:type="spellEnd"/>
      <w:r w:rsidR="00592D55">
        <w:t xml:space="preserve"> contends on appeal. In so doing his Honour distinguished the judgment of Goldberg J in </w:t>
      </w:r>
      <w:proofErr w:type="spellStart"/>
      <w:r w:rsidR="00592D55" w:rsidRPr="00B26EFC">
        <w:rPr>
          <w:i/>
        </w:rPr>
        <w:t>McCluskey</w:t>
      </w:r>
      <w:proofErr w:type="spellEnd"/>
      <w:r w:rsidR="00592D55" w:rsidRPr="00B26EFC">
        <w:rPr>
          <w:i/>
        </w:rPr>
        <w:t xml:space="preserve"> </w:t>
      </w:r>
      <w:r w:rsidR="00592D55">
        <w:rPr>
          <w:i/>
        </w:rPr>
        <w:t xml:space="preserve">v </w:t>
      </w:r>
      <w:proofErr w:type="spellStart"/>
      <w:r w:rsidR="00592D55" w:rsidRPr="00B26EFC">
        <w:rPr>
          <w:i/>
        </w:rPr>
        <w:t>Pasmin</w:t>
      </w:r>
      <w:r w:rsidR="00592D55">
        <w:rPr>
          <w:i/>
        </w:rPr>
        <w:t>co</w:t>
      </w:r>
      <w:proofErr w:type="spellEnd"/>
      <w:r w:rsidR="00592D55" w:rsidRPr="00B26EFC">
        <w:rPr>
          <w:i/>
        </w:rPr>
        <w:t xml:space="preserve"> Ltd</w:t>
      </w:r>
      <w:r w:rsidR="00592D55">
        <w:rPr>
          <w:i/>
        </w:rPr>
        <w:t xml:space="preserve"> (Administrators Appointed)</w:t>
      </w:r>
      <w:r w:rsidR="00592D55">
        <w:t xml:space="preserve"> (2002)</w:t>
      </w:r>
      <w:r w:rsidR="00592D55" w:rsidRPr="00B26EFC">
        <w:t xml:space="preserve"> </w:t>
      </w:r>
      <w:r w:rsidR="00592D55">
        <w:t xml:space="preserve">120 </w:t>
      </w:r>
      <w:proofErr w:type="spellStart"/>
      <w:r w:rsidR="00592D55">
        <w:t>FCR</w:t>
      </w:r>
      <w:proofErr w:type="spellEnd"/>
      <w:r w:rsidR="00592D55">
        <w:t xml:space="preserve"> 326 in which his Honour had characterised a claim for costs as a “contingent claim”.  This, in effect, is a similar finding to that by the majority in </w:t>
      </w:r>
      <w:r w:rsidR="00592D55">
        <w:rPr>
          <w:i/>
        </w:rPr>
        <w:t xml:space="preserve">Foots </w:t>
      </w:r>
      <w:r w:rsidR="00592D55">
        <w:t xml:space="preserve">(at [36]) that the risk of an adverse costs order is not a contingent liability within the sense of s 82(1) of the </w:t>
      </w:r>
      <w:r w:rsidR="00592D55">
        <w:rPr>
          <w:i/>
        </w:rPr>
        <w:t xml:space="preserve">Bankruptcy Act. </w:t>
      </w:r>
    </w:p>
    <w:p w:rsidR="00592D55" w:rsidRDefault="003B1253" w:rsidP="003B1253">
      <w:pPr>
        <w:pStyle w:val="ParaNumbering"/>
        <w:numPr>
          <w:ilvl w:val="0"/>
          <w:numId w:val="0"/>
        </w:numPr>
        <w:ind w:hanging="720"/>
      </w:pPr>
      <w:r>
        <w:rPr>
          <w:sz w:val="20"/>
        </w:rPr>
        <w:t>48</w:t>
      </w:r>
      <w:r>
        <w:rPr>
          <w:sz w:val="20"/>
        </w:rPr>
        <w:tab/>
      </w:r>
      <w:r>
        <w:tab/>
      </w:r>
      <w:r w:rsidR="00592D55">
        <w:t xml:space="preserve">The distinction broadly was that in </w:t>
      </w:r>
      <w:proofErr w:type="spellStart"/>
      <w:r w:rsidR="00592D55">
        <w:rPr>
          <w:i/>
        </w:rPr>
        <w:t>Expile</w:t>
      </w:r>
      <w:proofErr w:type="spellEnd"/>
      <w:r w:rsidR="00592D55">
        <w:rPr>
          <w:i/>
        </w:rPr>
        <w:t xml:space="preserve"> </w:t>
      </w:r>
      <w:r w:rsidR="00592D55">
        <w:t xml:space="preserve">the costs claimed were for the costs of the winding-up.  There, a costs claim was to be contrasted to one where the costs claimed are related to a claim for wrongdoing against the company.  By s 466(1) </w:t>
      </w:r>
      <w:r w:rsidR="00592D55" w:rsidRPr="00356158">
        <w:t xml:space="preserve">of the </w:t>
      </w:r>
      <w:r w:rsidR="00592D55" w:rsidRPr="00356158">
        <w:rPr>
          <w:i/>
        </w:rPr>
        <w:t>Corporations Act</w:t>
      </w:r>
      <w:r w:rsidR="00592D55">
        <w:rPr>
          <w:b/>
          <w:i/>
        </w:rPr>
        <w:t xml:space="preserve"> </w:t>
      </w:r>
      <w:r w:rsidR="00592D55">
        <w:t>the person making the application for the winding up order must pay their own costs until such time as a liquidator has been appointed.  Thus, as Palmer J concluded at [35]:</w:t>
      </w:r>
    </w:p>
    <w:p w:rsidR="00592D55" w:rsidRDefault="00592D55" w:rsidP="00592D55">
      <w:pPr>
        <w:pStyle w:val="Quote1"/>
      </w:pPr>
      <w:r>
        <w:t>Accordingly, even if it could be said that a claim against a company based on wrongdoing gives rise simultaneously to a contingent claim for the costs of proving the claim, s 466(1) CA [</w:t>
      </w:r>
      <w:r w:rsidRPr="00356158">
        <w:rPr>
          <w:i/>
        </w:rPr>
        <w:t>Corporations Act</w:t>
      </w:r>
      <w:r>
        <w:t xml:space="preserve">] renders the proposition inapplicable to a claim for winding up in insolvency. </w:t>
      </w:r>
    </w:p>
    <w:p w:rsidR="00592D55" w:rsidRDefault="00592D55" w:rsidP="00592D55">
      <w:pPr>
        <w:pStyle w:val="Quote1"/>
      </w:pPr>
    </w:p>
    <w:p w:rsidR="00592D55" w:rsidRDefault="003B1253" w:rsidP="003B1253">
      <w:pPr>
        <w:pStyle w:val="ParaNumbering"/>
        <w:numPr>
          <w:ilvl w:val="0"/>
          <w:numId w:val="0"/>
        </w:numPr>
        <w:ind w:hanging="720"/>
      </w:pPr>
      <w:r>
        <w:rPr>
          <w:sz w:val="20"/>
        </w:rPr>
        <w:t>49</w:t>
      </w:r>
      <w:r>
        <w:rPr>
          <w:sz w:val="20"/>
        </w:rPr>
        <w:tab/>
      </w:r>
      <w:r>
        <w:tab/>
      </w:r>
      <w:r w:rsidR="00592D55">
        <w:t xml:space="preserve">Whether a claim for costs based on wrongdoing was a contingent claim remained an open question. </w:t>
      </w:r>
    </w:p>
    <w:p w:rsidR="00592D55" w:rsidRDefault="003B1253" w:rsidP="003B1253">
      <w:pPr>
        <w:pStyle w:val="ParaNumbering"/>
        <w:numPr>
          <w:ilvl w:val="0"/>
          <w:numId w:val="0"/>
        </w:numPr>
        <w:ind w:hanging="720"/>
      </w:pPr>
      <w:r>
        <w:rPr>
          <w:sz w:val="20"/>
        </w:rPr>
        <w:t>50</w:t>
      </w:r>
      <w:r>
        <w:rPr>
          <w:sz w:val="20"/>
        </w:rPr>
        <w:tab/>
      </w:r>
      <w:r>
        <w:tab/>
      </w:r>
      <w:r w:rsidR="00592D55">
        <w:t xml:space="preserve">Accordingly, Palmer J followed the decision of Young J (as his Honour then was) in </w:t>
      </w:r>
      <w:r w:rsidR="00592D55">
        <w:rPr>
          <w:i/>
        </w:rPr>
        <w:t xml:space="preserve">FAI Workers Compensation (NSW) Ltd v </w:t>
      </w:r>
      <w:proofErr w:type="spellStart"/>
      <w:r w:rsidR="00592D55">
        <w:rPr>
          <w:i/>
        </w:rPr>
        <w:t>Philkor</w:t>
      </w:r>
      <w:proofErr w:type="spellEnd"/>
      <w:r w:rsidR="00592D55">
        <w:rPr>
          <w:i/>
        </w:rPr>
        <w:t xml:space="preserve"> Builders Pty Ltd </w:t>
      </w:r>
      <w:r w:rsidR="00592D55">
        <w:t xml:space="preserve">(1996) 132 </w:t>
      </w:r>
      <w:proofErr w:type="spellStart"/>
      <w:r w:rsidR="00592D55">
        <w:t>FLR</w:t>
      </w:r>
      <w:proofErr w:type="spellEnd"/>
      <w:r w:rsidR="00592D55">
        <w:t xml:space="preserve"> 213 where Young J held that the costs order made after the relevant date specified in the </w:t>
      </w:r>
      <w:r w:rsidR="00592D55" w:rsidRPr="00946E9A">
        <w:t>deed of</w:t>
      </w:r>
      <w:r w:rsidR="00592D55">
        <w:t xml:space="preserve"> company arrangement was not subject to the deed as it was not a “claim arising” within the meaning of s </w:t>
      </w:r>
      <w:proofErr w:type="spellStart"/>
      <w:proofErr w:type="gramStart"/>
      <w:r w:rsidR="00592D55">
        <w:t>444D</w:t>
      </w:r>
      <w:proofErr w:type="spellEnd"/>
      <w:r w:rsidR="00592D55">
        <w:t>(</w:t>
      </w:r>
      <w:proofErr w:type="gramEnd"/>
      <w:r w:rsidR="00592D55">
        <w:t xml:space="preserve">1) of the </w:t>
      </w:r>
      <w:r w:rsidR="00592D55" w:rsidRPr="00946E9A">
        <w:rPr>
          <w:i/>
        </w:rPr>
        <w:t>Corporations Law</w:t>
      </w:r>
      <w:r w:rsidR="00592D55">
        <w:t xml:space="preserve"> then in force.  Justice Young at 217-218, correctly in my opinion, rejected the submission that the claim for costs was a contingent debt. </w:t>
      </w:r>
    </w:p>
    <w:p w:rsidR="00592D55" w:rsidRDefault="003B1253" w:rsidP="003B1253">
      <w:pPr>
        <w:pStyle w:val="ParaNumbering"/>
        <w:numPr>
          <w:ilvl w:val="0"/>
          <w:numId w:val="0"/>
        </w:numPr>
        <w:ind w:hanging="720"/>
      </w:pPr>
      <w:r>
        <w:rPr>
          <w:sz w:val="20"/>
        </w:rPr>
        <w:lastRenderedPageBreak/>
        <w:t>51</w:t>
      </w:r>
      <w:r>
        <w:rPr>
          <w:sz w:val="20"/>
        </w:rPr>
        <w:tab/>
      </w:r>
      <w:r>
        <w:tab/>
      </w:r>
      <w:r w:rsidR="00592D55">
        <w:t xml:space="preserve">The judgment of Graham J in </w:t>
      </w:r>
      <w:r w:rsidR="00592D55">
        <w:rPr>
          <w:i/>
        </w:rPr>
        <w:t xml:space="preserve">Environmental &amp; Earth Sciences </w:t>
      </w:r>
      <w:r w:rsidR="00592D55">
        <w:t xml:space="preserve">is to the opposite effect and supports the appellant’s contentions. </w:t>
      </w:r>
    </w:p>
    <w:p w:rsidR="00592D55" w:rsidRDefault="003B1253" w:rsidP="003B1253">
      <w:pPr>
        <w:pStyle w:val="ParaNumbering"/>
        <w:numPr>
          <w:ilvl w:val="0"/>
          <w:numId w:val="0"/>
        </w:numPr>
        <w:ind w:hanging="720"/>
      </w:pPr>
      <w:r>
        <w:rPr>
          <w:sz w:val="20"/>
        </w:rPr>
        <w:t>52</w:t>
      </w:r>
      <w:r>
        <w:rPr>
          <w:sz w:val="20"/>
        </w:rPr>
        <w:tab/>
      </w:r>
      <w:r>
        <w:tab/>
      </w:r>
      <w:r w:rsidR="00592D55">
        <w:t xml:space="preserve">There, the plaintiff was the beneficiary of a judgment of a Full Court of this Court overturning a judgment in favour of the defendant for damages.  Prior to the appeal the plaintiff had paid significant monies in satisfaction of the judgment at first instance.  None of those monies actually paid to the defendant were recovered by the plaintiff.  After the date of judgment in the Full Court but before any costs orders in relation to the appeal were made the defendant company appointed an administrator. </w:t>
      </w:r>
    </w:p>
    <w:p w:rsidR="00592D55" w:rsidRPr="00946E9A" w:rsidRDefault="003B1253" w:rsidP="003B1253">
      <w:pPr>
        <w:pStyle w:val="ParaNumbering"/>
        <w:numPr>
          <w:ilvl w:val="0"/>
          <w:numId w:val="0"/>
        </w:numPr>
        <w:ind w:hanging="720"/>
      </w:pPr>
      <w:r w:rsidRPr="00946E9A">
        <w:rPr>
          <w:sz w:val="20"/>
        </w:rPr>
        <w:t>53</w:t>
      </w:r>
      <w:r w:rsidRPr="00946E9A">
        <w:rPr>
          <w:sz w:val="20"/>
        </w:rPr>
        <w:tab/>
      </w:r>
      <w:r>
        <w:tab/>
      </w:r>
      <w:r w:rsidR="00592D55">
        <w:t xml:space="preserve">The administrator admitted the plaintiff’s proof for the unpaid balance of the judgment sum but not the legal costs on the basis that no such claim had arisen as at the date of the </w:t>
      </w:r>
      <w:r w:rsidR="00592D55" w:rsidRPr="00946E9A">
        <w:t xml:space="preserve">relevant appointment day. </w:t>
      </w:r>
    </w:p>
    <w:p w:rsidR="00592D55" w:rsidRDefault="003B1253" w:rsidP="003B1253">
      <w:pPr>
        <w:pStyle w:val="ParaNumbering"/>
        <w:numPr>
          <w:ilvl w:val="0"/>
          <w:numId w:val="0"/>
        </w:numPr>
        <w:ind w:hanging="720"/>
      </w:pPr>
      <w:r>
        <w:rPr>
          <w:sz w:val="20"/>
        </w:rPr>
        <w:t>54</w:t>
      </w:r>
      <w:r>
        <w:rPr>
          <w:sz w:val="20"/>
        </w:rPr>
        <w:tab/>
      </w:r>
      <w:r>
        <w:tab/>
      </w:r>
      <w:r w:rsidR="00592D55">
        <w:t>Later the Full Court ordered the defendant to pay 80% of the</w:t>
      </w:r>
      <w:r w:rsidR="002E6AC7">
        <w:t xml:space="preserve"> plaintiff</w:t>
      </w:r>
      <w:r w:rsidR="00592D55">
        <w:t xml:space="preserve">’s costs on the appeal, the costs of the plaintiff on the hearing at first instance and the costs of the plaintiff on the costs application. </w:t>
      </w:r>
    </w:p>
    <w:p w:rsidR="00592D55" w:rsidRDefault="003B1253" w:rsidP="003B1253">
      <w:pPr>
        <w:pStyle w:val="ParaNumbering"/>
        <w:numPr>
          <w:ilvl w:val="0"/>
          <w:numId w:val="0"/>
        </w:numPr>
        <w:ind w:hanging="720"/>
      </w:pPr>
      <w:r>
        <w:rPr>
          <w:sz w:val="20"/>
        </w:rPr>
        <w:t>55</w:t>
      </w:r>
      <w:r>
        <w:rPr>
          <w:sz w:val="20"/>
        </w:rPr>
        <w:tab/>
      </w:r>
      <w:r>
        <w:tab/>
      </w:r>
      <w:r w:rsidR="00592D55">
        <w:t xml:space="preserve">Justice Graham in granting a declaration that the administrator’s partial rejection of the plaintiff’s proof of debt was invalid held that as at the date of the appointment of the administrator to the defendant company the plaintiff had a “present claim” for costs to which s 553(1) of the </w:t>
      </w:r>
      <w:r w:rsidR="00592D55">
        <w:rPr>
          <w:i/>
        </w:rPr>
        <w:t xml:space="preserve">Corporations Act </w:t>
      </w:r>
      <w:r w:rsidR="00592D55">
        <w:t xml:space="preserve">applied. </w:t>
      </w:r>
    </w:p>
    <w:p w:rsidR="00592D55" w:rsidRDefault="003B1253" w:rsidP="003B1253">
      <w:pPr>
        <w:pStyle w:val="ParaNumbering"/>
        <w:numPr>
          <w:ilvl w:val="0"/>
          <w:numId w:val="0"/>
        </w:numPr>
        <w:ind w:hanging="720"/>
      </w:pPr>
      <w:r>
        <w:rPr>
          <w:sz w:val="20"/>
        </w:rPr>
        <w:t>56</w:t>
      </w:r>
      <w:r>
        <w:rPr>
          <w:sz w:val="20"/>
        </w:rPr>
        <w:tab/>
      </w:r>
      <w:r>
        <w:tab/>
      </w:r>
      <w:r w:rsidR="00592D55" w:rsidRPr="00946E9A">
        <w:t>His Honour, adopting</w:t>
      </w:r>
      <w:r w:rsidR="00592D55">
        <w:t xml:space="preserve"> the language of Barrett J in </w:t>
      </w:r>
      <w:r w:rsidR="00592D55">
        <w:rPr>
          <w:i/>
        </w:rPr>
        <w:t xml:space="preserve">McDonald, </w:t>
      </w:r>
      <w:r w:rsidR="00592D55" w:rsidRPr="00946E9A">
        <w:t>went on to state that the eventual liability of the defendant company under the costs order following the appointment of the administrator had its “genesis” in the judgment of the Full</w:t>
      </w:r>
      <w:r w:rsidR="00592D55">
        <w:t xml:space="preserve"> Court in the plaintiff’s favour.  Putting it another way his Honour characterised delivery of the Full Court judgment as “the seeds” of the costs order.  His Honour regarded this conclusion as being generally in sympathy with the judgment of the English Court of Appeal in </w:t>
      </w:r>
      <w:r w:rsidR="00592D55" w:rsidRPr="009F2439">
        <w:rPr>
          <w:i/>
        </w:rPr>
        <w:t xml:space="preserve">In </w:t>
      </w:r>
      <w:r w:rsidR="00592D55">
        <w:rPr>
          <w:i/>
        </w:rPr>
        <w:t xml:space="preserve">Re British Gold Fields of West Africa </w:t>
      </w:r>
      <w:r w:rsidR="00592D55">
        <w:t xml:space="preserve">[1899] 2 </w:t>
      </w:r>
      <w:proofErr w:type="spellStart"/>
      <w:r w:rsidR="00592D55">
        <w:t>Ch</w:t>
      </w:r>
      <w:proofErr w:type="spellEnd"/>
      <w:r w:rsidR="00592D55">
        <w:t xml:space="preserve"> 7 to the effect that a creditor’s costs are incidental to a provable debt and therefore such costs themselves are provable even where the costs order was made after the company was wound up. </w:t>
      </w:r>
    </w:p>
    <w:p w:rsidR="00592D55" w:rsidRPr="00AF6284" w:rsidRDefault="003B1253" w:rsidP="003B1253">
      <w:pPr>
        <w:pStyle w:val="ParaNumbering"/>
        <w:numPr>
          <w:ilvl w:val="0"/>
          <w:numId w:val="0"/>
        </w:numPr>
        <w:ind w:hanging="720"/>
        <w:rPr>
          <w:szCs w:val="24"/>
        </w:rPr>
      </w:pPr>
      <w:r w:rsidRPr="00AF6284">
        <w:rPr>
          <w:sz w:val="20"/>
          <w:szCs w:val="24"/>
        </w:rPr>
        <w:t>57</w:t>
      </w:r>
      <w:r w:rsidRPr="00AF6284">
        <w:rPr>
          <w:sz w:val="20"/>
          <w:szCs w:val="24"/>
        </w:rPr>
        <w:tab/>
      </w:r>
      <w:r>
        <w:tab/>
      </w:r>
      <w:r w:rsidR="00592D55">
        <w:t xml:space="preserve">However, </w:t>
      </w:r>
      <w:r w:rsidR="00592D55">
        <w:rPr>
          <w:i/>
        </w:rPr>
        <w:t xml:space="preserve">British Gold Fields </w:t>
      </w:r>
      <w:r w:rsidR="00592D55">
        <w:t xml:space="preserve">was the subject of detailed and critical analysis by the majority in </w:t>
      </w:r>
      <w:r w:rsidR="00592D55">
        <w:rPr>
          <w:i/>
        </w:rPr>
        <w:t>Foots</w:t>
      </w:r>
      <w:r w:rsidR="00592D55">
        <w:t xml:space="preserve">: at [38]-[60].  At [60] it was stated that the case should no longer be “accepted as authority for a proposition which </w:t>
      </w:r>
      <w:r w:rsidR="00592D55" w:rsidRPr="0050506A">
        <w:rPr>
          <w:color w:val="000000"/>
          <w:szCs w:val="24"/>
          <w:lang w:val="en"/>
        </w:rPr>
        <w:t xml:space="preserve">compels a construction of s 82 of the </w:t>
      </w:r>
      <w:r w:rsidR="00592D55" w:rsidRPr="00AF6284">
        <w:rPr>
          <w:i/>
          <w:color w:val="000000"/>
          <w:szCs w:val="24"/>
          <w:lang w:val="en"/>
        </w:rPr>
        <w:lastRenderedPageBreak/>
        <w:t>Bankruptcy Act</w:t>
      </w:r>
      <w:r w:rsidR="00592D55" w:rsidRPr="0050506A">
        <w:rPr>
          <w:color w:val="000000"/>
          <w:szCs w:val="24"/>
          <w:lang w:val="en"/>
        </w:rPr>
        <w:t xml:space="preserve"> whereby an untaxed order for costs made after bankruptcy is a provable debt</w:t>
      </w:r>
      <w:r w:rsidR="00592D55">
        <w:rPr>
          <w:color w:val="000000"/>
          <w:szCs w:val="24"/>
          <w:lang w:val="en"/>
        </w:rPr>
        <w:t xml:space="preserve">”. </w:t>
      </w:r>
    </w:p>
    <w:p w:rsidR="00592D55" w:rsidRPr="007F4C14" w:rsidRDefault="003B1253" w:rsidP="003B1253">
      <w:pPr>
        <w:pStyle w:val="ParaNumbering"/>
        <w:numPr>
          <w:ilvl w:val="0"/>
          <w:numId w:val="0"/>
        </w:numPr>
        <w:ind w:hanging="720"/>
        <w:rPr>
          <w:szCs w:val="24"/>
        </w:rPr>
      </w:pPr>
      <w:r w:rsidRPr="007F4C14">
        <w:rPr>
          <w:sz w:val="20"/>
          <w:szCs w:val="24"/>
        </w:rPr>
        <w:t>58</w:t>
      </w:r>
      <w:r w:rsidRPr="007F4C14">
        <w:rPr>
          <w:sz w:val="20"/>
          <w:szCs w:val="24"/>
        </w:rPr>
        <w:tab/>
      </w:r>
      <w:r>
        <w:rPr>
          <w:color w:val="000000"/>
          <w:szCs w:val="24"/>
          <w:lang w:val="en"/>
        </w:rPr>
        <w:tab/>
      </w:r>
      <w:r w:rsidR="00592D55">
        <w:rPr>
          <w:color w:val="000000"/>
          <w:szCs w:val="24"/>
          <w:lang w:val="en"/>
        </w:rPr>
        <w:t xml:space="preserve">The Court of Appeal in New South Wales considered s 553(1) </w:t>
      </w:r>
      <w:r w:rsidR="00592D55" w:rsidRPr="0053643A">
        <w:rPr>
          <w:color w:val="000000"/>
          <w:szCs w:val="24"/>
          <w:lang w:val="en"/>
        </w:rPr>
        <w:t xml:space="preserve">of the </w:t>
      </w:r>
      <w:r w:rsidR="00592D55" w:rsidRPr="0053643A">
        <w:rPr>
          <w:i/>
          <w:color w:val="000000"/>
          <w:szCs w:val="24"/>
          <w:lang w:val="en"/>
        </w:rPr>
        <w:t>Corporations Act</w:t>
      </w:r>
      <w:r w:rsidR="00592D55">
        <w:rPr>
          <w:b/>
          <w:color w:val="000000"/>
          <w:szCs w:val="24"/>
          <w:lang w:val="en"/>
        </w:rPr>
        <w:t xml:space="preserve"> </w:t>
      </w:r>
      <w:r w:rsidR="00592D55">
        <w:rPr>
          <w:color w:val="000000"/>
          <w:szCs w:val="24"/>
          <w:lang w:val="en"/>
        </w:rPr>
        <w:t xml:space="preserve">generally in </w:t>
      </w:r>
      <w:r w:rsidR="00592D55">
        <w:rPr>
          <w:i/>
          <w:color w:val="000000"/>
          <w:szCs w:val="24"/>
          <w:lang w:val="en"/>
        </w:rPr>
        <w:t xml:space="preserve">BE Australia </w:t>
      </w:r>
      <w:proofErr w:type="spellStart"/>
      <w:r w:rsidR="00592D55">
        <w:rPr>
          <w:i/>
          <w:color w:val="000000"/>
          <w:szCs w:val="24"/>
          <w:lang w:val="en"/>
        </w:rPr>
        <w:t>WD</w:t>
      </w:r>
      <w:proofErr w:type="spellEnd"/>
      <w:r w:rsidR="00592D55">
        <w:rPr>
          <w:i/>
          <w:color w:val="000000"/>
          <w:szCs w:val="24"/>
          <w:lang w:val="en"/>
        </w:rPr>
        <w:t xml:space="preserve"> Pty Ltd (subject to a deed of company arrangement) v Sutton </w:t>
      </w:r>
      <w:r w:rsidR="00592D55">
        <w:rPr>
          <w:color w:val="000000"/>
          <w:szCs w:val="24"/>
          <w:lang w:val="en"/>
        </w:rPr>
        <w:t xml:space="preserve">(2011) 82 </w:t>
      </w:r>
      <w:proofErr w:type="spellStart"/>
      <w:r w:rsidR="00592D55">
        <w:rPr>
          <w:color w:val="000000"/>
          <w:szCs w:val="24"/>
          <w:lang w:val="en"/>
        </w:rPr>
        <w:t>NSWLR</w:t>
      </w:r>
      <w:proofErr w:type="spellEnd"/>
      <w:r w:rsidR="00592D55">
        <w:rPr>
          <w:color w:val="000000"/>
          <w:szCs w:val="24"/>
          <w:lang w:val="en"/>
        </w:rPr>
        <w:t xml:space="preserve"> 336. </w:t>
      </w:r>
    </w:p>
    <w:p w:rsidR="00592D55" w:rsidRPr="002000D6" w:rsidRDefault="003B1253" w:rsidP="003B1253">
      <w:pPr>
        <w:pStyle w:val="ParaNumbering"/>
        <w:numPr>
          <w:ilvl w:val="0"/>
          <w:numId w:val="0"/>
        </w:numPr>
        <w:ind w:hanging="720"/>
        <w:rPr>
          <w:szCs w:val="24"/>
        </w:rPr>
      </w:pPr>
      <w:r w:rsidRPr="002000D6">
        <w:rPr>
          <w:sz w:val="20"/>
          <w:szCs w:val="24"/>
        </w:rPr>
        <w:t>59</w:t>
      </w:r>
      <w:r w:rsidRPr="002000D6">
        <w:rPr>
          <w:sz w:val="20"/>
          <w:szCs w:val="24"/>
        </w:rPr>
        <w:tab/>
      </w:r>
      <w:r>
        <w:tab/>
      </w:r>
      <w:r w:rsidR="00592D55" w:rsidRPr="002000D6">
        <w:t xml:space="preserve">There, a taxation consultant had her services terminated by her employer but without prior notice or payment in lieu of notice.  Proceedings were instituted by her in the Industrial Relations Commission for relief under s 106 of the </w:t>
      </w:r>
      <w:r w:rsidR="00592D55" w:rsidRPr="002000D6">
        <w:rPr>
          <w:i/>
        </w:rPr>
        <w:t>Industrial Relations Act 1996</w:t>
      </w:r>
      <w:r w:rsidR="00592D55" w:rsidRPr="002000D6">
        <w:t xml:space="preserve"> </w:t>
      </w:r>
      <w:r w:rsidR="00592D55">
        <w:t>(</w:t>
      </w:r>
      <w:r w:rsidR="00592D55" w:rsidRPr="0053643A">
        <w:t>NSW</w:t>
      </w:r>
      <w:r w:rsidR="00592D55" w:rsidRPr="002000D6">
        <w:t xml:space="preserve">) </w:t>
      </w:r>
      <w:r w:rsidR="00592D55" w:rsidRPr="00946E9A">
        <w:t>(</w:t>
      </w:r>
      <w:proofErr w:type="spellStart"/>
      <w:r w:rsidR="00592D55" w:rsidRPr="00946E9A">
        <w:rPr>
          <w:i/>
        </w:rPr>
        <w:t>IR</w:t>
      </w:r>
      <w:proofErr w:type="spellEnd"/>
      <w:r w:rsidR="00592D55" w:rsidRPr="00946E9A">
        <w:rPr>
          <w:i/>
        </w:rPr>
        <w:t xml:space="preserve"> Act</w:t>
      </w:r>
      <w:r w:rsidR="00592D55" w:rsidRPr="00946E9A">
        <w:t>) to the effect that her employment contract was unfair and that it be varied so as</w:t>
      </w:r>
      <w:r w:rsidR="00592D55">
        <w:t xml:space="preserve"> to prohibit her termination other than on reasonable notice, as well as an order </w:t>
      </w:r>
      <w:r w:rsidR="00592D55" w:rsidRPr="002000D6">
        <w:t xml:space="preserve">for compensation in respect of the breach of the term as varied. </w:t>
      </w:r>
    </w:p>
    <w:p w:rsidR="00592D55" w:rsidRPr="002000D6" w:rsidRDefault="003B1253" w:rsidP="003B1253">
      <w:pPr>
        <w:pStyle w:val="ParaNumbering"/>
        <w:numPr>
          <w:ilvl w:val="0"/>
          <w:numId w:val="0"/>
        </w:numPr>
        <w:ind w:hanging="720"/>
        <w:rPr>
          <w:szCs w:val="24"/>
        </w:rPr>
      </w:pPr>
      <w:r w:rsidRPr="002000D6">
        <w:rPr>
          <w:sz w:val="20"/>
          <w:szCs w:val="24"/>
        </w:rPr>
        <w:t>60</w:t>
      </w:r>
      <w:r w:rsidRPr="002000D6">
        <w:rPr>
          <w:sz w:val="20"/>
          <w:szCs w:val="24"/>
        </w:rPr>
        <w:tab/>
      </w:r>
      <w:r>
        <w:tab/>
      </w:r>
      <w:r w:rsidR="00592D55" w:rsidRPr="002000D6">
        <w:t xml:space="preserve">Prior to the Commission hearing the s 106 application, the employer company was placed in voluntary administration.  Subsequently a deed of company arrangement was approved. Consequently, the proceedings in the Commission were stayed.  Thereafter, the consultant lodged a proof of debt in respect of her s 106 claim.  However, it was rejected by the deed administrators.  </w:t>
      </w:r>
    </w:p>
    <w:p w:rsidR="00592D55" w:rsidRPr="002000D6" w:rsidRDefault="003B1253" w:rsidP="003B1253">
      <w:pPr>
        <w:pStyle w:val="ParaNumbering"/>
        <w:numPr>
          <w:ilvl w:val="0"/>
          <w:numId w:val="0"/>
        </w:numPr>
        <w:ind w:hanging="720"/>
        <w:rPr>
          <w:szCs w:val="24"/>
        </w:rPr>
      </w:pPr>
      <w:r w:rsidRPr="002000D6">
        <w:rPr>
          <w:sz w:val="20"/>
          <w:szCs w:val="24"/>
        </w:rPr>
        <w:t>61</w:t>
      </w:r>
      <w:r w:rsidRPr="002000D6">
        <w:rPr>
          <w:sz w:val="20"/>
          <w:szCs w:val="24"/>
        </w:rPr>
        <w:tab/>
      </w:r>
      <w:r>
        <w:tab/>
      </w:r>
      <w:r w:rsidR="00592D55" w:rsidRPr="002000D6">
        <w:t xml:space="preserve">Then she instituted proceedings in the Supreme Court </w:t>
      </w:r>
      <w:r w:rsidR="00592D55">
        <w:t>seeking either an order under s </w:t>
      </w:r>
      <w:r w:rsidR="00592D55" w:rsidRPr="002000D6">
        <w:t xml:space="preserve">1321 of the </w:t>
      </w:r>
      <w:r w:rsidR="00592D55" w:rsidRPr="002000D6">
        <w:rPr>
          <w:i/>
        </w:rPr>
        <w:t>Corporations Act</w:t>
      </w:r>
      <w:r w:rsidR="00592D55" w:rsidRPr="002000D6">
        <w:t xml:space="preserve"> reversing the decision of the deed administrators to reject her proof of debt, or an order under s </w:t>
      </w:r>
      <w:proofErr w:type="spellStart"/>
      <w:r w:rsidR="00592D55" w:rsidRPr="002000D6">
        <w:t>447A</w:t>
      </w:r>
      <w:proofErr w:type="spellEnd"/>
      <w:r w:rsidR="00592D55" w:rsidRPr="002000D6">
        <w:t xml:space="preserve"> enabling the administrators to consider her claim.  </w:t>
      </w:r>
    </w:p>
    <w:p w:rsidR="00592D55" w:rsidRPr="00FB6CBB" w:rsidRDefault="003B1253" w:rsidP="003B1253">
      <w:pPr>
        <w:pStyle w:val="ParaNumbering"/>
        <w:numPr>
          <w:ilvl w:val="0"/>
          <w:numId w:val="0"/>
        </w:numPr>
        <w:ind w:hanging="720"/>
        <w:rPr>
          <w:szCs w:val="24"/>
        </w:rPr>
      </w:pPr>
      <w:r w:rsidRPr="00FB6CBB">
        <w:rPr>
          <w:sz w:val="20"/>
          <w:szCs w:val="24"/>
        </w:rPr>
        <w:t>62</w:t>
      </w:r>
      <w:r w:rsidRPr="00FB6CBB">
        <w:rPr>
          <w:sz w:val="20"/>
          <w:szCs w:val="24"/>
        </w:rPr>
        <w:tab/>
      </w:r>
      <w:r>
        <w:tab/>
      </w:r>
      <w:r w:rsidR="00592D55" w:rsidRPr="002000D6">
        <w:t xml:space="preserve">Section </w:t>
      </w:r>
      <w:proofErr w:type="spellStart"/>
      <w:r w:rsidR="00592D55" w:rsidRPr="002000D6">
        <w:t>447A</w:t>
      </w:r>
      <w:proofErr w:type="spellEnd"/>
      <w:r w:rsidR="00592D55" w:rsidRPr="002000D6">
        <w:t xml:space="preserve"> was in Pt </w:t>
      </w:r>
      <w:proofErr w:type="spellStart"/>
      <w:r w:rsidR="00592D55" w:rsidRPr="002000D6">
        <w:t>5.3A</w:t>
      </w:r>
      <w:proofErr w:type="spellEnd"/>
      <w:r w:rsidR="00592D55" w:rsidRPr="002000D6">
        <w:t xml:space="preserve"> of the </w:t>
      </w:r>
      <w:r w:rsidR="00592D55" w:rsidRPr="0053643A">
        <w:rPr>
          <w:i/>
        </w:rPr>
        <w:t>Corporations Act</w:t>
      </w:r>
      <w:r w:rsidR="00592D55" w:rsidRPr="0053643A">
        <w:t>, a</w:t>
      </w:r>
      <w:r w:rsidR="00592D55" w:rsidRPr="002000D6">
        <w:t xml:space="preserve"> Part which, relevantly, contained provisions relating to the entry into of a deed of company administration</w:t>
      </w:r>
      <w:r w:rsidR="00592D55">
        <w:t>, and in which the terms “creditor” and “claim” were consistently used.</w:t>
      </w:r>
    </w:p>
    <w:p w:rsidR="00592D55" w:rsidRDefault="003B1253" w:rsidP="003B1253">
      <w:pPr>
        <w:pStyle w:val="ParaNumbering"/>
        <w:numPr>
          <w:ilvl w:val="0"/>
          <w:numId w:val="0"/>
        </w:numPr>
        <w:ind w:hanging="720"/>
      </w:pPr>
      <w:r>
        <w:rPr>
          <w:sz w:val="20"/>
        </w:rPr>
        <w:t>63</w:t>
      </w:r>
      <w:r>
        <w:rPr>
          <w:sz w:val="20"/>
        </w:rPr>
        <w:tab/>
      </w:r>
      <w:r>
        <w:tab/>
      </w:r>
      <w:r w:rsidR="00592D55">
        <w:t xml:space="preserve">To the extent that Young </w:t>
      </w:r>
      <w:proofErr w:type="spellStart"/>
      <w:r w:rsidR="00592D55">
        <w:t>JA</w:t>
      </w:r>
      <w:proofErr w:type="spellEnd"/>
      <w:r w:rsidR="00592D55">
        <w:t xml:space="preserve"> dissented from the opinions of Campbell </w:t>
      </w:r>
      <w:proofErr w:type="spellStart"/>
      <w:r w:rsidR="00592D55">
        <w:t>JA</w:t>
      </w:r>
      <w:proofErr w:type="spellEnd"/>
      <w:r w:rsidR="00592D55">
        <w:t xml:space="preserve"> (McColl </w:t>
      </w:r>
      <w:proofErr w:type="spellStart"/>
      <w:r w:rsidR="00592D55">
        <w:t>JA</w:t>
      </w:r>
      <w:proofErr w:type="spellEnd"/>
      <w:r w:rsidR="00592D55">
        <w:t xml:space="preserve"> agreeing) his reasons for so doing are not relevant to the issue arising in respect of the meaning and effect of s 553(1) of the </w:t>
      </w:r>
      <w:r w:rsidR="00592D55">
        <w:rPr>
          <w:i/>
        </w:rPr>
        <w:t xml:space="preserve">Corporations Act. </w:t>
      </w:r>
      <w:r w:rsidR="00592D55">
        <w:t xml:space="preserve"> Justice Campbell (McColl </w:t>
      </w:r>
      <w:proofErr w:type="spellStart"/>
      <w:r w:rsidR="00592D55">
        <w:t>JA</w:t>
      </w:r>
      <w:proofErr w:type="spellEnd"/>
      <w:r w:rsidR="00592D55">
        <w:t xml:space="preserve"> agreeing) held that a person had a “claim” within the meaning of s 553 if he or she had a basis, founded on an existing legal right, for asserting a right to participate in the division of the assets of the company. </w:t>
      </w:r>
    </w:p>
    <w:p w:rsidR="00592D55" w:rsidRDefault="003B1253" w:rsidP="003B1253">
      <w:pPr>
        <w:pStyle w:val="ParaNumbering"/>
        <w:numPr>
          <w:ilvl w:val="0"/>
          <w:numId w:val="0"/>
        </w:numPr>
        <w:ind w:hanging="720"/>
      </w:pPr>
      <w:r>
        <w:rPr>
          <w:sz w:val="20"/>
        </w:rPr>
        <w:t>64</w:t>
      </w:r>
      <w:r>
        <w:rPr>
          <w:sz w:val="20"/>
        </w:rPr>
        <w:tab/>
      </w:r>
      <w:r>
        <w:tab/>
      </w:r>
      <w:r w:rsidR="00592D55">
        <w:t xml:space="preserve">Accordingly an undetermined application to the Industrial Relations Commission under s 106 of the </w:t>
      </w:r>
      <w:proofErr w:type="spellStart"/>
      <w:r w:rsidR="00592D55">
        <w:rPr>
          <w:i/>
        </w:rPr>
        <w:t>IR</w:t>
      </w:r>
      <w:proofErr w:type="spellEnd"/>
      <w:r w:rsidR="00592D55">
        <w:rPr>
          <w:i/>
        </w:rPr>
        <w:t xml:space="preserve"> Act </w:t>
      </w:r>
      <w:r w:rsidR="00592D55">
        <w:t xml:space="preserve">was not a “claim” under s 553 of the </w:t>
      </w:r>
      <w:r w:rsidR="00592D55">
        <w:rPr>
          <w:i/>
        </w:rPr>
        <w:t xml:space="preserve">Corporations Act </w:t>
      </w:r>
      <w:r w:rsidR="00592D55">
        <w:t xml:space="preserve">as an applicant for an order under s 106 had nothing more than a right to take proceedings and no </w:t>
      </w:r>
      <w:r w:rsidR="00592D55">
        <w:lastRenderedPageBreak/>
        <w:t xml:space="preserve">legal obligation of the defendant in those proceedings existed until such time as the Commission had made an order pursuant to that provision ([1]; [106]-[108]; [223]-[224]). </w:t>
      </w:r>
    </w:p>
    <w:p w:rsidR="00592D55" w:rsidRDefault="003B1253" w:rsidP="003B1253">
      <w:pPr>
        <w:pStyle w:val="ParaNumbering"/>
        <w:numPr>
          <w:ilvl w:val="0"/>
          <w:numId w:val="0"/>
        </w:numPr>
        <w:ind w:hanging="720"/>
      </w:pPr>
      <w:r>
        <w:rPr>
          <w:sz w:val="20"/>
        </w:rPr>
        <w:t>65</w:t>
      </w:r>
      <w:r>
        <w:rPr>
          <w:sz w:val="20"/>
        </w:rPr>
        <w:tab/>
      </w:r>
      <w:r>
        <w:tab/>
      </w:r>
      <w:r w:rsidR="00592D55">
        <w:t xml:space="preserve">That a person has a “claim” at the time administrators are </w:t>
      </w:r>
      <w:r w:rsidR="00EE473A">
        <w:t>appointed does not, as Campbell </w:t>
      </w:r>
      <w:proofErr w:type="spellStart"/>
      <w:r w:rsidR="00592D55">
        <w:t>JA</w:t>
      </w:r>
      <w:proofErr w:type="spellEnd"/>
      <w:r w:rsidR="00592D55">
        <w:t xml:space="preserve"> correctly observed at [105]</w:t>
      </w:r>
      <w:proofErr w:type="gramStart"/>
      <w:r w:rsidR="00592D55">
        <w:t>,</w:t>
      </w:r>
      <w:proofErr w:type="gramEnd"/>
      <w:r w:rsidR="00592D55">
        <w:t xml:space="preserve"> render it a claim within s 553(1) of the </w:t>
      </w:r>
      <w:r w:rsidR="00592D55">
        <w:rPr>
          <w:i/>
        </w:rPr>
        <w:t xml:space="preserve">Corporations Act. </w:t>
      </w:r>
      <w:r w:rsidR="00592D55">
        <w:t xml:space="preserve"> Thus the respondent’s claim before the Industrial Relations Commission was not a “claim” within s 553(1).  </w:t>
      </w:r>
      <w:r w:rsidR="00592D55" w:rsidRPr="00521260">
        <w:t xml:space="preserve">Likewise, </w:t>
      </w:r>
      <w:proofErr w:type="spellStart"/>
      <w:r w:rsidR="00592D55" w:rsidRPr="00521260">
        <w:t>Hammerschlag</w:t>
      </w:r>
      <w:proofErr w:type="spellEnd"/>
      <w:r w:rsidR="00592D55" w:rsidRPr="00521260">
        <w:t xml:space="preserve"> in </w:t>
      </w:r>
      <w:proofErr w:type="spellStart"/>
      <w:r w:rsidR="00592D55" w:rsidRPr="00521260">
        <w:rPr>
          <w:i/>
        </w:rPr>
        <w:t>Larkden</w:t>
      </w:r>
      <w:proofErr w:type="spellEnd"/>
      <w:r w:rsidR="00592D55" w:rsidRPr="00521260">
        <w:rPr>
          <w:i/>
        </w:rPr>
        <w:t xml:space="preserve"> </w:t>
      </w:r>
      <w:r w:rsidR="00592D55" w:rsidRPr="00521260">
        <w:t>(at [63]) held that “only the making of the order itself can constitute circumstances giving rise to the claim”.  In the</w:t>
      </w:r>
      <w:r w:rsidR="00592D55">
        <w:t xml:space="preserve"> same vein, in my opinion, is </w:t>
      </w:r>
      <w:proofErr w:type="spellStart"/>
      <w:r w:rsidR="00592D55">
        <w:t>Sunstruct’s</w:t>
      </w:r>
      <w:proofErr w:type="spellEnd"/>
      <w:r w:rsidR="00592D55">
        <w:t xml:space="preserve"> claim for its costs on the counterclaim.</w:t>
      </w:r>
    </w:p>
    <w:p w:rsidR="00592D55" w:rsidRDefault="003B1253" w:rsidP="003B1253">
      <w:pPr>
        <w:pStyle w:val="ParaNumbering"/>
        <w:numPr>
          <w:ilvl w:val="0"/>
          <w:numId w:val="0"/>
        </w:numPr>
        <w:ind w:hanging="720"/>
      </w:pPr>
      <w:r>
        <w:rPr>
          <w:sz w:val="20"/>
        </w:rPr>
        <w:t>66</w:t>
      </w:r>
      <w:r>
        <w:rPr>
          <w:sz w:val="20"/>
        </w:rPr>
        <w:tab/>
      </w:r>
      <w:r>
        <w:tab/>
      </w:r>
      <w:r w:rsidR="00592D55" w:rsidRPr="0053643A">
        <w:t>Justice</w:t>
      </w:r>
      <w:r w:rsidR="00592D55">
        <w:t xml:space="preserve"> Campbell considered by analogy claims for costs.  His observations are helpful in the present matter.  His Honour traversed the authorities to which I have referred including </w:t>
      </w:r>
      <w:r w:rsidR="00592D55">
        <w:rPr>
          <w:i/>
        </w:rPr>
        <w:t xml:space="preserve">Foots </w:t>
      </w:r>
      <w:r w:rsidR="00592D55" w:rsidRPr="00B53F15">
        <w:t xml:space="preserve">as to which he said at [113]-[115]: </w:t>
      </w:r>
    </w:p>
    <w:p w:rsidR="00592D55" w:rsidRDefault="00592D55" w:rsidP="00592D55">
      <w:pPr>
        <w:pStyle w:val="Quote1"/>
      </w:pPr>
      <w:r>
        <w:t xml:space="preserve">[113] In </w:t>
      </w:r>
      <w:r w:rsidRPr="00B53F15">
        <w:rPr>
          <w:i/>
        </w:rPr>
        <w:t>Foots v Southern Cross Mine Management Pty Ltd</w:t>
      </w:r>
      <w:r>
        <w:t xml:space="preserve"> [2007] HCA 56; (2007) 234 </w:t>
      </w:r>
      <w:proofErr w:type="spellStart"/>
      <w:r>
        <w:t>CLR</w:t>
      </w:r>
      <w:proofErr w:type="spellEnd"/>
      <w:r>
        <w:t xml:space="preserve"> 52, the High Court considered a situation where judgment for damages was given against a man before he became bankrupt, and an order for costs arising from that litigation was made against him after the bankruptcy. The Court held that the costs so ordered were not provable in his bankruptcy. The joint judgment of Gleeson CJ, </w:t>
      </w:r>
      <w:proofErr w:type="spellStart"/>
      <w:r>
        <w:t>Gummow</w:t>
      </w:r>
      <w:proofErr w:type="spellEnd"/>
      <w:r>
        <w:t xml:space="preserve">, Hayne and </w:t>
      </w:r>
      <w:proofErr w:type="spellStart"/>
      <w:r>
        <w:t>Crennan</w:t>
      </w:r>
      <w:proofErr w:type="spellEnd"/>
      <w:r>
        <w:t xml:space="preserve"> </w:t>
      </w:r>
      <w:proofErr w:type="spellStart"/>
      <w:r>
        <w:t>JJ</w:t>
      </w:r>
      <w:proofErr w:type="spellEnd"/>
      <w:r>
        <w:t xml:space="preserve"> stressed (at [2]) that the decision essentially turned upon the construction of s 82 of the </w:t>
      </w:r>
      <w:r w:rsidRPr="00B53F15">
        <w:rPr>
          <w:i/>
        </w:rPr>
        <w:t>Bankruptcy Act 1966</w:t>
      </w:r>
      <w:r>
        <w:t xml:space="preserve"> (</w:t>
      </w:r>
      <w:proofErr w:type="spellStart"/>
      <w:r>
        <w:t>Cth</w:t>
      </w:r>
      <w:proofErr w:type="spellEnd"/>
      <w:r>
        <w:t>). Their Honours also observed (at [9]), that under s 82 “the classes of provable debts are narrower than those encompassed by s 553 of the Corporations Act 2001 (</w:t>
      </w:r>
      <w:proofErr w:type="spellStart"/>
      <w:r>
        <w:t>Cth</w:t>
      </w:r>
      <w:proofErr w:type="spellEnd"/>
      <w:r>
        <w:t xml:space="preserve">) </w:t>
      </w:r>
      <w:proofErr w:type="gramStart"/>
      <w:r>
        <w:t>as  regards</w:t>
      </w:r>
      <w:proofErr w:type="gramEnd"/>
      <w:r>
        <w:t xml:space="preserve"> corporate insolvency”.</w:t>
      </w:r>
    </w:p>
    <w:p w:rsidR="00592D55" w:rsidRDefault="00592D55" w:rsidP="00592D55">
      <w:pPr>
        <w:pStyle w:val="Quote1"/>
      </w:pPr>
    </w:p>
    <w:p w:rsidR="00592D55" w:rsidRDefault="00592D55" w:rsidP="00592D55">
      <w:pPr>
        <w:pStyle w:val="Quote1"/>
      </w:pPr>
      <w:r>
        <w:t xml:space="preserve">[114] Even so, there are some aspects of the judgment of the plurality that expound the nature of costs awards in a way that does not depend upon the text of s 82. Their Honours (at [35]) rejected the proposition that exposure to an adverse costs order arose from an obligation incurred prior to the bankruptcy. Similarly (at [37]) their Honours rejected the proposition that exposure to an adverse costs order is “incidental” to liability for the underlying judgment debt. This rejection was accompanied by a footnote that referred to </w:t>
      </w:r>
      <w:proofErr w:type="spellStart"/>
      <w:r w:rsidRPr="00B53F15">
        <w:rPr>
          <w:i/>
        </w:rPr>
        <w:t>McCluskey</w:t>
      </w:r>
      <w:proofErr w:type="spellEnd"/>
      <w:r>
        <w:t>, preceded by a “</w:t>
      </w:r>
      <w:proofErr w:type="spellStart"/>
      <w:r>
        <w:t>cf</w:t>
      </w:r>
      <w:proofErr w:type="spellEnd"/>
      <w:r>
        <w:t xml:space="preserve">”. I suspect that that indicates disapproval of </w:t>
      </w:r>
      <w:proofErr w:type="spellStart"/>
      <w:r w:rsidRPr="00B53F15">
        <w:rPr>
          <w:i/>
        </w:rPr>
        <w:t>McCluskey</w:t>
      </w:r>
      <w:proofErr w:type="spellEnd"/>
      <w:r>
        <w:t>.</w:t>
      </w:r>
    </w:p>
    <w:p w:rsidR="00592D55" w:rsidRDefault="00592D55" w:rsidP="00592D55">
      <w:pPr>
        <w:pStyle w:val="Quote1"/>
      </w:pPr>
    </w:p>
    <w:p w:rsidR="00592D55" w:rsidRDefault="00592D55" w:rsidP="00592D55">
      <w:pPr>
        <w:pStyle w:val="Quote1"/>
      </w:pPr>
      <w:r>
        <w:t xml:space="preserve">[115] There is a strong analogy, in my view, between the position of a litigant who seeks but has not yet obtained an order under s 106 of the </w:t>
      </w:r>
      <w:proofErr w:type="spellStart"/>
      <w:r>
        <w:t>IR</w:t>
      </w:r>
      <w:proofErr w:type="spellEnd"/>
      <w:r>
        <w:t xml:space="preserve"> Act, and that of a person who seeks but has not yet obtained an order for the costs of seeking a winding up order. In each case, whether an order will be made is an exercise of discretion, and that discretion does not arise from any legal right that the applicant has (beyond the bare right to seek the order) before the order is actually made. Until the order is made, the applicant does not have a “claim” that falls within the meaning of s 553.</w:t>
      </w:r>
    </w:p>
    <w:p w:rsidR="00592D55" w:rsidRDefault="00592D55" w:rsidP="00592D55">
      <w:pPr>
        <w:pStyle w:val="Quote1"/>
      </w:pPr>
    </w:p>
    <w:p w:rsidR="00592D55" w:rsidRDefault="003B1253" w:rsidP="003B1253">
      <w:pPr>
        <w:pStyle w:val="ParaNumbering"/>
        <w:numPr>
          <w:ilvl w:val="0"/>
          <w:numId w:val="0"/>
        </w:numPr>
        <w:ind w:hanging="720"/>
      </w:pPr>
      <w:r>
        <w:rPr>
          <w:sz w:val="20"/>
        </w:rPr>
        <w:t>67</w:t>
      </w:r>
      <w:r>
        <w:rPr>
          <w:sz w:val="20"/>
        </w:rPr>
        <w:tab/>
      </w:r>
      <w:r>
        <w:tab/>
      </w:r>
      <w:r w:rsidR="00592D55">
        <w:t xml:space="preserve">Although </w:t>
      </w:r>
      <w:r w:rsidR="00592D55" w:rsidRPr="001C4DE8">
        <w:t>obiter</w:t>
      </w:r>
      <w:r w:rsidR="002E6AC7">
        <w:t>,</w:t>
      </w:r>
      <w:r w:rsidR="00592D55">
        <w:t xml:space="preserve"> the opinion of the majority that claims for costs ordered after the appointment of an administrator are not “claims” within s 553(1) ought be afforded considerable weight.  Indeed I think respectfully that </w:t>
      </w:r>
      <w:r w:rsidR="00592D55" w:rsidRPr="001C4DE8">
        <w:t>it is correct</w:t>
      </w:r>
      <w:r w:rsidR="00592D55">
        <w:t xml:space="preserve">. </w:t>
      </w:r>
    </w:p>
    <w:p w:rsidR="00592D55" w:rsidRDefault="003B1253" w:rsidP="003B1253">
      <w:pPr>
        <w:pStyle w:val="ParaNumbering"/>
        <w:numPr>
          <w:ilvl w:val="0"/>
          <w:numId w:val="0"/>
        </w:numPr>
        <w:ind w:hanging="720"/>
      </w:pPr>
      <w:r>
        <w:rPr>
          <w:sz w:val="20"/>
        </w:rPr>
        <w:lastRenderedPageBreak/>
        <w:t>68</w:t>
      </w:r>
      <w:r>
        <w:rPr>
          <w:sz w:val="20"/>
        </w:rPr>
        <w:tab/>
      </w:r>
      <w:r>
        <w:tab/>
      </w:r>
      <w:r w:rsidR="00592D55">
        <w:t xml:space="preserve">The reasons of the majority are in substance akin to those of </w:t>
      </w:r>
      <w:proofErr w:type="spellStart"/>
      <w:r w:rsidR="00592D55">
        <w:t>Hammerschlag</w:t>
      </w:r>
      <w:proofErr w:type="spellEnd"/>
      <w:r w:rsidR="00592D55">
        <w:t xml:space="preserve"> J in </w:t>
      </w:r>
      <w:proofErr w:type="spellStart"/>
      <w:r w:rsidR="00592D55">
        <w:rPr>
          <w:i/>
        </w:rPr>
        <w:t>Larkden</w:t>
      </w:r>
      <w:proofErr w:type="spellEnd"/>
      <w:r w:rsidR="00592D55">
        <w:rPr>
          <w:i/>
        </w:rPr>
        <w:t xml:space="preserve"> </w:t>
      </w:r>
      <w:r w:rsidR="00592D55">
        <w:t xml:space="preserve">at [61]-[62] where his Honour stated: </w:t>
      </w:r>
    </w:p>
    <w:p w:rsidR="00592D55" w:rsidRDefault="00592D55" w:rsidP="00592D55">
      <w:pPr>
        <w:pStyle w:val="Quote1"/>
      </w:pPr>
      <w:r>
        <w:t xml:space="preserve">[61] Section 553(1) of the Corporations Act does not require the existence of a debt or liability at the relevant date as does s 82(1) of the </w:t>
      </w:r>
      <w:r w:rsidRPr="00507A94">
        <w:rPr>
          <w:i/>
        </w:rPr>
        <w:t>Bankruptcy Act</w:t>
      </w:r>
      <w:r>
        <w:t xml:space="preserve">. However, it is no less pertinent to s 553(1) of the Corporations Act than it is to s 82(1) of the </w:t>
      </w:r>
      <w:r w:rsidRPr="00507A94">
        <w:rPr>
          <w:i/>
        </w:rPr>
        <w:t>Bankruptcy Act</w:t>
      </w:r>
      <w:r>
        <w:t xml:space="preserve"> that, as the High Court pointed out in </w:t>
      </w:r>
      <w:r w:rsidRPr="00507A94">
        <w:rPr>
          <w:i/>
        </w:rPr>
        <w:t>Foots</w:t>
      </w:r>
      <w:r>
        <w:t xml:space="preserve"> at [24] to [37], an order for costs </w:t>
      </w:r>
      <w:proofErr w:type="gramStart"/>
      <w:r>
        <w:t>itself</w:t>
      </w:r>
      <w:proofErr w:type="gramEnd"/>
      <w:r>
        <w:t xml:space="preserve"> is the source of the legal liability. Su</w:t>
      </w:r>
      <w:r w:rsidRPr="00507A94">
        <w:rPr>
          <w:b/>
        </w:rPr>
        <w:t>c</w:t>
      </w:r>
      <w:r>
        <w:t>h orders turn on discretionary considerations that arise independently of the entry of judgment against the losing party. There is no certainty that the Court in question will decide to make the order. Indeed, there is no certainty that any party will move for an order.</w:t>
      </w:r>
    </w:p>
    <w:p w:rsidR="00592D55" w:rsidRDefault="00592D55" w:rsidP="00592D55">
      <w:pPr>
        <w:pStyle w:val="Quote1"/>
      </w:pPr>
    </w:p>
    <w:p w:rsidR="00592D55" w:rsidRDefault="00592D55" w:rsidP="00592D55">
      <w:pPr>
        <w:pStyle w:val="Quote1"/>
      </w:pPr>
      <w:r>
        <w:t xml:space="preserve">[62] However widely one considers the notion of provable claim to be, the substantive obligation under the costs award has only one element, namely, the making of the costs award by the arbitral tribunal in the exercise of its discretion under s </w:t>
      </w:r>
      <w:proofErr w:type="spellStart"/>
      <w:r>
        <w:t>33B</w:t>
      </w:r>
      <w:proofErr w:type="spellEnd"/>
      <w:r>
        <w:t>(1) of the Commercial Arbitration Act.</w:t>
      </w:r>
    </w:p>
    <w:p w:rsidR="00592D55" w:rsidRDefault="00592D55" w:rsidP="00592D55">
      <w:pPr>
        <w:pStyle w:val="Quote1"/>
      </w:pPr>
    </w:p>
    <w:p w:rsidR="00592D55" w:rsidRDefault="003B1253" w:rsidP="003B1253">
      <w:pPr>
        <w:pStyle w:val="ParaNumbering"/>
        <w:numPr>
          <w:ilvl w:val="0"/>
          <w:numId w:val="0"/>
        </w:numPr>
        <w:ind w:hanging="720"/>
      </w:pPr>
      <w:r>
        <w:rPr>
          <w:sz w:val="20"/>
        </w:rPr>
        <w:t>69</w:t>
      </w:r>
      <w:r>
        <w:rPr>
          <w:sz w:val="20"/>
        </w:rPr>
        <w:tab/>
      </w:r>
      <w:r>
        <w:tab/>
      </w:r>
      <w:r w:rsidR="00592D55">
        <w:t xml:space="preserve">Again these are views which I would respectfully adopt, as did the primary judge. </w:t>
      </w:r>
    </w:p>
    <w:p w:rsidR="00592D55" w:rsidRPr="00507A94" w:rsidRDefault="003B1253" w:rsidP="003B1253">
      <w:pPr>
        <w:pStyle w:val="ParaNumbering"/>
        <w:numPr>
          <w:ilvl w:val="0"/>
          <w:numId w:val="0"/>
        </w:numPr>
        <w:ind w:hanging="720"/>
      </w:pPr>
      <w:r w:rsidRPr="00507A94">
        <w:rPr>
          <w:sz w:val="20"/>
        </w:rPr>
        <w:t>70</w:t>
      </w:r>
      <w:r w:rsidRPr="00507A94">
        <w:rPr>
          <w:sz w:val="20"/>
        </w:rPr>
        <w:tab/>
      </w:r>
      <w:r>
        <w:tab/>
      </w:r>
      <w:r w:rsidR="00592D55">
        <w:t xml:space="preserve">Where an administrator was appointed after judgment was entered but before a costs order was made it might be thought that where a claim for costs is made in those circumstances that this would answer the statutory criterion </w:t>
      </w:r>
      <w:r w:rsidR="00592D55" w:rsidRPr="0053643A">
        <w:t xml:space="preserve">under s 553(1) of the </w:t>
      </w:r>
      <w:r w:rsidR="00592D55" w:rsidRPr="0053643A">
        <w:rPr>
          <w:i/>
        </w:rPr>
        <w:t xml:space="preserve">Corporations Act </w:t>
      </w:r>
      <w:r w:rsidR="00592D55" w:rsidRPr="0053643A">
        <w:t>of whether</w:t>
      </w:r>
      <w:r w:rsidR="00592D55">
        <w:t xml:space="preserve"> it was a “present” claim “the circumstances giving rise to which occurred before the relevant date”.  This was what occurred in </w:t>
      </w:r>
      <w:r w:rsidR="00592D55">
        <w:rPr>
          <w:i/>
        </w:rPr>
        <w:t>Environmental &amp; Earth Sciences</w:t>
      </w:r>
      <w:r w:rsidR="00592D55">
        <w:t xml:space="preserve">.  However, I do not agree with such an analysis.  As the majority in </w:t>
      </w:r>
      <w:r w:rsidR="00592D55">
        <w:rPr>
          <w:i/>
        </w:rPr>
        <w:t xml:space="preserve">Foots </w:t>
      </w:r>
      <w:r w:rsidR="00592D55">
        <w:t>observed at [</w:t>
      </w:r>
      <w:r w:rsidR="00592D55" w:rsidRPr="003F30D7">
        <w:t>37</w:t>
      </w:r>
      <w:r w:rsidR="00592D55">
        <w:t xml:space="preserve">], when considering the nature of a costs order “it cannot be said that exposure to an adverse costs order is ‘incidental’ to liability for the underlying judgment debt” and that “… as a factual and legal matter, costs are no longer an ‘incident’ of either verdict or judgment … </w:t>
      </w:r>
      <w:r w:rsidR="00592D55" w:rsidRPr="00507A94">
        <w:rPr>
          <w:szCs w:val="22"/>
        </w:rPr>
        <w:t xml:space="preserve">the making of an adverse </w:t>
      </w:r>
      <w:r w:rsidR="00592D55" w:rsidRPr="00507A94">
        <w:rPr>
          <w:color w:val="000000"/>
          <w:szCs w:val="22"/>
          <w:lang w:val="en"/>
        </w:rPr>
        <w:t>costs order turns upon discretionary considerations that arise independently of the entry of judgment against the debtor</w:t>
      </w:r>
      <w:r w:rsidR="00592D55">
        <w:rPr>
          <w:color w:val="000000"/>
          <w:szCs w:val="22"/>
          <w:lang w:val="en"/>
        </w:rPr>
        <w:t>”</w:t>
      </w:r>
      <w:r w:rsidR="00592D55" w:rsidRPr="00507A94">
        <w:rPr>
          <w:color w:val="000000"/>
          <w:szCs w:val="22"/>
          <w:lang w:val="en"/>
        </w:rPr>
        <w:t>.</w:t>
      </w:r>
    </w:p>
    <w:p w:rsidR="00592D55" w:rsidRDefault="003B1253" w:rsidP="003B1253">
      <w:pPr>
        <w:pStyle w:val="ParaNumbering"/>
        <w:numPr>
          <w:ilvl w:val="0"/>
          <w:numId w:val="0"/>
        </w:numPr>
        <w:ind w:hanging="720"/>
      </w:pPr>
      <w:r>
        <w:rPr>
          <w:sz w:val="20"/>
        </w:rPr>
        <w:t>71</w:t>
      </w:r>
      <w:r>
        <w:rPr>
          <w:sz w:val="20"/>
        </w:rPr>
        <w:tab/>
      </w:r>
      <w:r>
        <w:tab/>
      </w:r>
      <w:r w:rsidR="00592D55" w:rsidRPr="0095727F">
        <w:t xml:space="preserve">I agree with the observation by Campbell </w:t>
      </w:r>
      <w:proofErr w:type="spellStart"/>
      <w:r w:rsidR="00592D55" w:rsidRPr="0095727F">
        <w:t>JA</w:t>
      </w:r>
      <w:proofErr w:type="spellEnd"/>
      <w:r w:rsidR="00592D55" w:rsidRPr="0095727F">
        <w:t xml:space="preserve"> in </w:t>
      </w:r>
      <w:r w:rsidR="00592D55" w:rsidRPr="00946E9A">
        <w:rPr>
          <w:i/>
        </w:rPr>
        <w:t xml:space="preserve">BE Australia </w:t>
      </w:r>
      <w:r w:rsidR="00592D55" w:rsidRPr="0095727F">
        <w:t xml:space="preserve">at [114] that the footnote in </w:t>
      </w:r>
      <w:r w:rsidR="00592D55" w:rsidRPr="00946E9A">
        <w:rPr>
          <w:i/>
        </w:rPr>
        <w:t xml:space="preserve">Foots </w:t>
      </w:r>
      <w:r w:rsidR="00592D55" w:rsidRPr="0095727F">
        <w:t xml:space="preserve">referring to </w:t>
      </w:r>
      <w:proofErr w:type="spellStart"/>
      <w:r w:rsidR="00592D55" w:rsidRPr="00946E9A">
        <w:rPr>
          <w:i/>
        </w:rPr>
        <w:t>McCluskey</w:t>
      </w:r>
      <w:proofErr w:type="spellEnd"/>
      <w:r w:rsidR="00592D55" w:rsidRPr="00946E9A">
        <w:rPr>
          <w:i/>
        </w:rPr>
        <w:t xml:space="preserve"> </w:t>
      </w:r>
      <w:r w:rsidR="00592D55" w:rsidRPr="0095727F">
        <w:t xml:space="preserve">which accompanied the rejection </w:t>
      </w:r>
      <w:r w:rsidR="00592D55" w:rsidRPr="00946E9A">
        <w:t xml:space="preserve">by the High Court in </w:t>
      </w:r>
      <w:r w:rsidR="00592D55" w:rsidRPr="00946E9A">
        <w:rPr>
          <w:i/>
        </w:rPr>
        <w:t xml:space="preserve">Foots </w:t>
      </w:r>
      <w:r w:rsidR="00592D55" w:rsidRPr="00946E9A">
        <w:t xml:space="preserve">of the “incidental” liability contention rather indicates disapproval of </w:t>
      </w:r>
      <w:proofErr w:type="spellStart"/>
      <w:r w:rsidR="00592D55" w:rsidRPr="00946E9A">
        <w:rPr>
          <w:i/>
        </w:rPr>
        <w:t>McCluskey</w:t>
      </w:r>
      <w:proofErr w:type="spellEnd"/>
      <w:r w:rsidR="00592D55" w:rsidRPr="00946E9A">
        <w:rPr>
          <w:i/>
        </w:rPr>
        <w:t xml:space="preserve"> </w:t>
      </w:r>
      <w:r w:rsidR="00592D55" w:rsidRPr="00946E9A">
        <w:t xml:space="preserve">on this point. </w:t>
      </w:r>
    </w:p>
    <w:p w:rsidR="00592D55" w:rsidRDefault="003B1253" w:rsidP="003B1253">
      <w:pPr>
        <w:pStyle w:val="ParaNumbering"/>
        <w:numPr>
          <w:ilvl w:val="0"/>
          <w:numId w:val="0"/>
        </w:numPr>
        <w:ind w:hanging="720"/>
      </w:pPr>
      <w:r>
        <w:rPr>
          <w:sz w:val="20"/>
        </w:rPr>
        <w:t>72</w:t>
      </w:r>
      <w:r>
        <w:rPr>
          <w:sz w:val="20"/>
        </w:rPr>
        <w:tab/>
      </w:r>
      <w:r>
        <w:tab/>
      </w:r>
      <w:r w:rsidR="00592D55">
        <w:t xml:space="preserve">Nor for the same reasons can such a costs claim be properly characterised as a contingent claim: see </w:t>
      </w:r>
      <w:r w:rsidR="00592D55" w:rsidRPr="00946E9A">
        <w:rPr>
          <w:i/>
        </w:rPr>
        <w:t xml:space="preserve">Foots </w:t>
      </w:r>
      <w:r w:rsidR="00592D55">
        <w:t xml:space="preserve">at [36]. </w:t>
      </w:r>
    </w:p>
    <w:p w:rsidR="00592D55" w:rsidRDefault="00592D55" w:rsidP="00592D55">
      <w:pPr>
        <w:pStyle w:val="Heading2"/>
      </w:pPr>
      <w:r>
        <w:lastRenderedPageBreak/>
        <w:t>Conclusion</w:t>
      </w:r>
    </w:p>
    <w:p w:rsidR="00592D55" w:rsidRPr="003F30D7" w:rsidRDefault="003B1253" w:rsidP="003B1253">
      <w:pPr>
        <w:pStyle w:val="ParaNumbering"/>
        <w:numPr>
          <w:ilvl w:val="0"/>
          <w:numId w:val="0"/>
        </w:numPr>
        <w:ind w:hanging="720"/>
      </w:pPr>
      <w:r w:rsidRPr="003F30D7">
        <w:rPr>
          <w:sz w:val="20"/>
        </w:rPr>
        <w:t>73</w:t>
      </w:r>
      <w:r w:rsidRPr="003F30D7">
        <w:rPr>
          <w:sz w:val="20"/>
        </w:rPr>
        <w:tab/>
      </w:r>
      <w:r>
        <w:tab/>
      </w:r>
      <w:r w:rsidR="00592D55">
        <w:t xml:space="preserve">I am satisfied, for these reasons, that </w:t>
      </w:r>
      <w:proofErr w:type="spellStart"/>
      <w:r w:rsidR="00592D55">
        <w:t>Sunstruct’s</w:t>
      </w:r>
      <w:proofErr w:type="spellEnd"/>
      <w:r w:rsidR="00592D55">
        <w:t xml:space="preserve"> costs of prosecuting the counterclaim against </w:t>
      </w:r>
      <w:proofErr w:type="spellStart"/>
      <w:r w:rsidR="00592D55">
        <w:t>Bluechip</w:t>
      </w:r>
      <w:proofErr w:type="spellEnd"/>
      <w:r w:rsidR="00592D55">
        <w:t xml:space="preserve"> </w:t>
      </w:r>
      <w:r w:rsidR="00592D55" w:rsidRPr="002000D6">
        <w:t>were not compromised</w:t>
      </w:r>
      <w:r w:rsidR="00592D55">
        <w:t xml:space="preserve"> by the </w:t>
      </w:r>
      <w:proofErr w:type="spellStart"/>
      <w:r w:rsidR="00592D55">
        <w:t>DOCA</w:t>
      </w:r>
      <w:proofErr w:type="spellEnd"/>
      <w:r w:rsidR="00592D55">
        <w:t xml:space="preserve"> having regard to s </w:t>
      </w:r>
      <w:proofErr w:type="spellStart"/>
      <w:r w:rsidR="00592D55">
        <w:t>444D</w:t>
      </w:r>
      <w:proofErr w:type="spellEnd"/>
      <w:r w:rsidR="00592D55">
        <w:t xml:space="preserve"> of the </w:t>
      </w:r>
      <w:r w:rsidR="00592D55">
        <w:rPr>
          <w:i/>
        </w:rPr>
        <w:t>Corporations Act</w:t>
      </w:r>
      <w:r w:rsidR="00592D55">
        <w:t xml:space="preserve">; the same can be said with respect to </w:t>
      </w:r>
      <w:proofErr w:type="spellStart"/>
      <w:r w:rsidR="00592D55">
        <w:t>Sunstruct’s</w:t>
      </w:r>
      <w:proofErr w:type="spellEnd"/>
      <w:r w:rsidR="00592D55">
        <w:t xml:space="preserve"> costs in defending the claims brought by </w:t>
      </w:r>
      <w:proofErr w:type="spellStart"/>
      <w:r w:rsidR="00592D55">
        <w:t>Bluechip</w:t>
      </w:r>
      <w:proofErr w:type="spellEnd"/>
      <w:r w:rsidR="00592D55">
        <w:t>.</w:t>
      </w:r>
    </w:p>
    <w:p w:rsidR="00592D55" w:rsidRDefault="003B1253" w:rsidP="00592D55">
      <w:pPr>
        <w:pStyle w:val="Heading1"/>
      </w:pPr>
      <w:r>
        <w:rPr>
          <w:caps w:val="0"/>
        </w:rPr>
        <w:t>KNELL COSTS APPEAL</w:t>
      </w:r>
    </w:p>
    <w:p w:rsidR="00592D55" w:rsidRDefault="003B1253" w:rsidP="003B1253">
      <w:pPr>
        <w:pStyle w:val="ParaNumbering"/>
        <w:numPr>
          <w:ilvl w:val="0"/>
          <w:numId w:val="0"/>
        </w:numPr>
        <w:ind w:hanging="720"/>
      </w:pPr>
      <w:r>
        <w:rPr>
          <w:sz w:val="20"/>
        </w:rPr>
        <w:t>74</w:t>
      </w:r>
      <w:r>
        <w:rPr>
          <w:sz w:val="20"/>
        </w:rPr>
        <w:tab/>
      </w:r>
      <w:r>
        <w:tab/>
      </w:r>
      <w:r w:rsidR="00592D55">
        <w:t xml:space="preserve">Mr Knell submits, as he did below, that no costs order could be made against him because, by reason of the </w:t>
      </w:r>
      <w:proofErr w:type="spellStart"/>
      <w:r w:rsidR="00592D55">
        <w:t>DOCA</w:t>
      </w:r>
      <w:proofErr w:type="spellEnd"/>
      <w:r w:rsidR="00592D55">
        <w:t xml:space="preserve"> and those relevant provisions, </w:t>
      </w:r>
      <w:proofErr w:type="spellStart"/>
      <w:r w:rsidR="00592D55" w:rsidRPr="002000D6">
        <w:t>Sunstruct’s</w:t>
      </w:r>
      <w:proofErr w:type="spellEnd"/>
      <w:r w:rsidR="00592D55" w:rsidRPr="002000D6">
        <w:t xml:space="preserve"> claim for costs</w:t>
      </w:r>
      <w:r w:rsidR="00592D55">
        <w:t xml:space="preserve"> against </w:t>
      </w:r>
      <w:proofErr w:type="spellStart"/>
      <w:r w:rsidR="00592D55">
        <w:t>Bluechip</w:t>
      </w:r>
      <w:proofErr w:type="spellEnd"/>
      <w:r w:rsidR="00592D55">
        <w:t xml:space="preserve"> was compromised.  I do not </w:t>
      </w:r>
      <w:r w:rsidR="00592D55" w:rsidRPr="00723614">
        <w:t>accept</w:t>
      </w:r>
      <w:r w:rsidR="00592D55">
        <w:rPr>
          <w:b/>
        </w:rPr>
        <w:t xml:space="preserve"> </w:t>
      </w:r>
      <w:r w:rsidR="00592D55">
        <w:t xml:space="preserve">this submission.  No authority to support such a contention was cited.  I see no basis in principle to support it.  Even assuming that a claim for costs against </w:t>
      </w:r>
      <w:proofErr w:type="spellStart"/>
      <w:r w:rsidR="00592D55">
        <w:t>Bluechip</w:t>
      </w:r>
      <w:proofErr w:type="spellEnd"/>
      <w:r w:rsidR="00592D55">
        <w:t xml:space="preserve"> was barred </w:t>
      </w:r>
      <w:r w:rsidR="00592D55" w:rsidRPr="002000D6">
        <w:t xml:space="preserve">by reason of the </w:t>
      </w:r>
      <w:proofErr w:type="spellStart"/>
      <w:r w:rsidR="00592D55" w:rsidRPr="002000D6">
        <w:t>DOCA</w:t>
      </w:r>
      <w:proofErr w:type="spellEnd"/>
      <w:r w:rsidR="00592D55" w:rsidRPr="002000D6">
        <w:t xml:space="preserve"> this does</w:t>
      </w:r>
      <w:r w:rsidR="00592D55">
        <w:t xml:space="preserve"> not preclude a claim being made for those costs against Mr Knell as a non-party.  </w:t>
      </w:r>
    </w:p>
    <w:p w:rsidR="00592D55" w:rsidRDefault="003B1253" w:rsidP="003B1253">
      <w:pPr>
        <w:pStyle w:val="ParaNumbering"/>
        <w:numPr>
          <w:ilvl w:val="0"/>
          <w:numId w:val="0"/>
        </w:numPr>
        <w:ind w:hanging="720"/>
      </w:pPr>
      <w:r>
        <w:rPr>
          <w:sz w:val="20"/>
        </w:rPr>
        <w:t>75</w:t>
      </w:r>
      <w:r>
        <w:rPr>
          <w:sz w:val="20"/>
        </w:rPr>
        <w:tab/>
      </w:r>
      <w:r>
        <w:tab/>
      </w:r>
      <w:r w:rsidR="00592D55">
        <w:t xml:space="preserve">In any event, I have found that none of the costs awarded against </w:t>
      </w:r>
      <w:proofErr w:type="spellStart"/>
      <w:r w:rsidR="00592D55">
        <w:t>Bluechip</w:t>
      </w:r>
      <w:proofErr w:type="spellEnd"/>
      <w:r w:rsidR="00592D55">
        <w:t xml:space="preserve"> whether relating to the claim or the counterclaim were compromised by the terms of the </w:t>
      </w:r>
      <w:proofErr w:type="spellStart"/>
      <w:r w:rsidR="00592D55">
        <w:t>DOCA</w:t>
      </w:r>
      <w:proofErr w:type="spellEnd"/>
      <w:r w:rsidR="00592D55">
        <w:t xml:space="preserve"> having regard to s </w:t>
      </w:r>
      <w:proofErr w:type="spellStart"/>
      <w:r w:rsidR="00592D55">
        <w:t>444D</w:t>
      </w:r>
      <w:proofErr w:type="spellEnd"/>
      <w:r w:rsidR="00592D55">
        <w:t xml:space="preserve"> of the </w:t>
      </w:r>
      <w:r w:rsidR="00592D55">
        <w:rPr>
          <w:i/>
        </w:rPr>
        <w:t xml:space="preserve">Corporations Act. </w:t>
      </w:r>
    </w:p>
    <w:p w:rsidR="00592D55" w:rsidRPr="002000D6" w:rsidRDefault="003B1253" w:rsidP="003B1253">
      <w:pPr>
        <w:pStyle w:val="ParaNumbering"/>
        <w:numPr>
          <w:ilvl w:val="0"/>
          <w:numId w:val="0"/>
        </w:numPr>
        <w:ind w:hanging="720"/>
      </w:pPr>
      <w:r w:rsidRPr="002000D6">
        <w:rPr>
          <w:sz w:val="20"/>
        </w:rPr>
        <w:t>76</w:t>
      </w:r>
      <w:r w:rsidRPr="002000D6">
        <w:rPr>
          <w:sz w:val="20"/>
        </w:rPr>
        <w:tab/>
      </w:r>
      <w:r>
        <w:tab/>
      </w:r>
      <w:r w:rsidR="00592D55">
        <w:t xml:space="preserve">The only remaining challenge to the order of the primary judge that Mr Knell </w:t>
      </w:r>
      <w:proofErr w:type="gramStart"/>
      <w:r w:rsidR="00592D55">
        <w:t>pay</w:t>
      </w:r>
      <w:proofErr w:type="gramEnd"/>
      <w:r w:rsidR="00592D55">
        <w:t xml:space="preserve"> the costs of </w:t>
      </w:r>
      <w:proofErr w:type="spellStart"/>
      <w:r w:rsidR="00592D55">
        <w:t>Sunstruct</w:t>
      </w:r>
      <w:proofErr w:type="spellEnd"/>
      <w:r w:rsidR="00592D55">
        <w:t xml:space="preserve"> </w:t>
      </w:r>
      <w:r w:rsidR="00592D55" w:rsidRPr="002000D6">
        <w:t xml:space="preserve">was on the ground that he was denied procedural fairness. </w:t>
      </w:r>
    </w:p>
    <w:p w:rsidR="00592D55" w:rsidRDefault="003B1253" w:rsidP="003B1253">
      <w:pPr>
        <w:pStyle w:val="ParaNumbering"/>
        <w:numPr>
          <w:ilvl w:val="0"/>
          <w:numId w:val="0"/>
        </w:numPr>
        <w:ind w:hanging="720"/>
      </w:pPr>
      <w:r>
        <w:rPr>
          <w:sz w:val="20"/>
        </w:rPr>
        <w:t>77</w:t>
      </w:r>
      <w:r>
        <w:rPr>
          <w:sz w:val="20"/>
        </w:rPr>
        <w:tab/>
      </w:r>
      <w:r>
        <w:tab/>
      </w:r>
      <w:r w:rsidR="00592D55" w:rsidRPr="002000D6">
        <w:t>The background was this.  The primary</w:t>
      </w:r>
      <w:r w:rsidR="00592D55">
        <w:t xml:space="preserve"> judge ordered that both </w:t>
      </w:r>
      <w:proofErr w:type="spellStart"/>
      <w:r w:rsidR="00592D55">
        <w:t>Bluechip</w:t>
      </w:r>
      <w:proofErr w:type="spellEnd"/>
      <w:r w:rsidR="00592D55">
        <w:t xml:space="preserve"> and Mr Knell should pay </w:t>
      </w:r>
      <w:proofErr w:type="spellStart"/>
      <w:r w:rsidR="00592D55">
        <w:t>Sunstruct’s</w:t>
      </w:r>
      <w:proofErr w:type="spellEnd"/>
      <w:r w:rsidR="00592D55">
        <w:t xml:space="preserve"> costs of and incidental to the claim and counterclaim: Order 4 made 28 November 2013. In so ordering the primary judge had </w:t>
      </w:r>
      <w:r w:rsidR="00EE473A">
        <w:t>regard to certain conduct of Mr </w:t>
      </w:r>
      <w:r w:rsidR="00592D55">
        <w:t xml:space="preserve">Knell on behalf of </w:t>
      </w:r>
      <w:proofErr w:type="spellStart"/>
      <w:r w:rsidR="00592D55">
        <w:t>Bluechip</w:t>
      </w:r>
      <w:proofErr w:type="spellEnd"/>
      <w:r w:rsidR="00592D55">
        <w:t xml:space="preserve"> which he described as being “more than merely confluent with the interests of the applicant” </w:t>
      </w:r>
      <w:r w:rsidR="00592D55" w:rsidRPr="00AF2AF3">
        <w:t>(Costs judgment at [102]).</w:t>
      </w:r>
      <w:r w:rsidR="00592D55">
        <w:t xml:space="preserve">  Significantly however, his Honour had particular regard to the circumstances surrounding the </w:t>
      </w:r>
      <w:proofErr w:type="spellStart"/>
      <w:r w:rsidR="00592D55">
        <w:t>DOCA</w:t>
      </w:r>
      <w:proofErr w:type="spellEnd"/>
      <w:r w:rsidR="00592D55">
        <w:t xml:space="preserve"> which he described as bearing “a certain stench” (at [114]).  His Honour then concluded that except for the matter of the </w:t>
      </w:r>
      <w:proofErr w:type="spellStart"/>
      <w:r w:rsidR="00592D55">
        <w:t>DOCA</w:t>
      </w:r>
      <w:proofErr w:type="spellEnd"/>
      <w:r w:rsidR="00592D55">
        <w:t xml:space="preserve"> he may not have ordered costs against Mr Knell. </w:t>
      </w:r>
    </w:p>
    <w:p w:rsidR="00592D55" w:rsidRDefault="003B1253" w:rsidP="003B1253">
      <w:pPr>
        <w:pStyle w:val="ParaNumbering"/>
        <w:numPr>
          <w:ilvl w:val="0"/>
          <w:numId w:val="0"/>
        </w:numPr>
        <w:ind w:hanging="720"/>
      </w:pPr>
      <w:r>
        <w:rPr>
          <w:sz w:val="20"/>
        </w:rPr>
        <w:t>78</w:t>
      </w:r>
      <w:r>
        <w:rPr>
          <w:sz w:val="20"/>
        </w:rPr>
        <w:tab/>
      </w:r>
      <w:r>
        <w:tab/>
      </w:r>
      <w:r w:rsidR="00592D55">
        <w:t>The findings made are redolent with findings of impropriety:</w:t>
      </w:r>
    </w:p>
    <w:p w:rsidR="00592D55" w:rsidRDefault="003B1253" w:rsidP="003B1253">
      <w:pPr>
        <w:pStyle w:val="ListNo2"/>
        <w:numPr>
          <w:ilvl w:val="0"/>
          <w:numId w:val="0"/>
        </w:numPr>
        <w:tabs>
          <w:tab w:val="left" w:pos="1440"/>
        </w:tabs>
        <w:ind w:left="720" w:hanging="720"/>
      </w:pPr>
      <w:r>
        <w:t>(a)</w:t>
      </w:r>
      <w:r>
        <w:tab/>
      </w:r>
      <w:r w:rsidR="00592D55">
        <w:t xml:space="preserve">The circumstances surrounding the </w:t>
      </w:r>
      <w:proofErr w:type="spellStart"/>
      <w:r w:rsidR="00592D55">
        <w:t>DOCA</w:t>
      </w:r>
      <w:proofErr w:type="spellEnd"/>
      <w:r w:rsidR="00592D55">
        <w:t xml:space="preserve"> were cynical on the part of Mr Knell and directed to his self-interest (at [102]).</w:t>
      </w:r>
    </w:p>
    <w:p w:rsidR="00592D55" w:rsidRPr="00521260" w:rsidRDefault="003B1253" w:rsidP="003B1253">
      <w:pPr>
        <w:pStyle w:val="ListNo2"/>
        <w:numPr>
          <w:ilvl w:val="0"/>
          <w:numId w:val="0"/>
        </w:numPr>
        <w:tabs>
          <w:tab w:val="left" w:pos="1440"/>
        </w:tabs>
        <w:ind w:left="720" w:hanging="720"/>
      </w:pPr>
      <w:r w:rsidRPr="00521260">
        <w:t>(b)</w:t>
      </w:r>
      <w:r w:rsidRPr="00521260">
        <w:tab/>
      </w:r>
      <w:r w:rsidR="00592D55">
        <w:t xml:space="preserve">Mr Knell used the </w:t>
      </w:r>
      <w:r w:rsidR="00592D55" w:rsidRPr="00521260">
        <w:t xml:space="preserve">corporate veil (via the </w:t>
      </w:r>
      <w:proofErr w:type="spellStart"/>
      <w:r w:rsidR="00592D55" w:rsidRPr="00521260">
        <w:t>DOCA</w:t>
      </w:r>
      <w:proofErr w:type="spellEnd"/>
      <w:r w:rsidR="00592D55" w:rsidRPr="00521260">
        <w:t xml:space="preserve">) to stymie the respondents from recovery of their just entitlement by fashioning the </w:t>
      </w:r>
      <w:proofErr w:type="spellStart"/>
      <w:r w:rsidR="00592D55" w:rsidRPr="00521260">
        <w:t>DOCA</w:t>
      </w:r>
      <w:proofErr w:type="spellEnd"/>
      <w:r w:rsidR="00592D55" w:rsidRPr="00521260">
        <w:t xml:space="preserve"> (at [113]).</w:t>
      </w:r>
    </w:p>
    <w:p w:rsidR="00592D55" w:rsidRDefault="003B1253" w:rsidP="003B1253">
      <w:pPr>
        <w:pStyle w:val="ListNo2"/>
        <w:numPr>
          <w:ilvl w:val="0"/>
          <w:numId w:val="0"/>
        </w:numPr>
        <w:tabs>
          <w:tab w:val="left" w:pos="1440"/>
        </w:tabs>
        <w:ind w:left="720" w:hanging="720"/>
      </w:pPr>
      <w:r>
        <w:lastRenderedPageBreak/>
        <w:t>(c)</w:t>
      </w:r>
      <w:r>
        <w:tab/>
      </w:r>
      <w:r w:rsidR="00592D55" w:rsidRPr="00521260">
        <w:t xml:space="preserve">The circumstances surrounding the </w:t>
      </w:r>
      <w:proofErr w:type="spellStart"/>
      <w:r w:rsidR="00592D55" w:rsidRPr="00521260">
        <w:t>DOCA</w:t>
      </w:r>
      <w:proofErr w:type="spellEnd"/>
      <w:r w:rsidR="00592D55" w:rsidRPr="00521260">
        <w:t xml:space="preserve"> bear a stench</w:t>
      </w:r>
      <w:r w:rsidR="00592D55">
        <w:t xml:space="preserve"> (at [114]).</w:t>
      </w:r>
    </w:p>
    <w:p w:rsidR="00592D55" w:rsidRDefault="003B1253" w:rsidP="003B1253">
      <w:pPr>
        <w:pStyle w:val="ListNo2"/>
        <w:numPr>
          <w:ilvl w:val="0"/>
          <w:numId w:val="0"/>
        </w:numPr>
        <w:tabs>
          <w:tab w:val="left" w:pos="1440"/>
        </w:tabs>
        <w:ind w:left="720" w:hanging="720"/>
      </w:pPr>
      <w:r>
        <w:t>(d)</w:t>
      </w:r>
      <w:r>
        <w:tab/>
      </w:r>
      <w:r w:rsidR="00592D55">
        <w:t xml:space="preserve">The </w:t>
      </w:r>
      <w:proofErr w:type="spellStart"/>
      <w:r w:rsidR="00592D55">
        <w:t>DOCA</w:t>
      </w:r>
      <w:proofErr w:type="spellEnd"/>
      <w:r w:rsidR="00592D55">
        <w:t xml:space="preserve"> was entered into because Mr Knell knew the trial (his evidence particularly) had gone badly for </w:t>
      </w:r>
      <w:proofErr w:type="spellStart"/>
      <w:r w:rsidR="00592D55">
        <w:t>Bluechip</w:t>
      </w:r>
      <w:proofErr w:type="spellEnd"/>
      <w:r w:rsidR="00592D55">
        <w:t xml:space="preserve"> and its case was at risk (at [114]).  This was a significant incentive for Mr Knell to design a scheme (the </w:t>
      </w:r>
      <w:proofErr w:type="spellStart"/>
      <w:r w:rsidR="00592D55">
        <w:t>DOCA</w:t>
      </w:r>
      <w:proofErr w:type="spellEnd"/>
      <w:r w:rsidR="00592D55">
        <w:t xml:space="preserve">) to permit </w:t>
      </w:r>
      <w:proofErr w:type="spellStart"/>
      <w:r w:rsidR="00592D55">
        <w:t>Bluechip</w:t>
      </w:r>
      <w:proofErr w:type="spellEnd"/>
      <w:r w:rsidR="00592D55">
        <w:t xml:space="preserve"> to retain any (unspecified) profits, ultimately for Mr Knell’s benefit (at [114]). </w:t>
      </w:r>
    </w:p>
    <w:p w:rsidR="00592D55" w:rsidRDefault="003B1253" w:rsidP="003B1253">
      <w:pPr>
        <w:pStyle w:val="ListNo2"/>
        <w:numPr>
          <w:ilvl w:val="0"/>
          <w:numId w:val="0"/>
        </w:numPr>
        <w:tabs>
          <w:tab w:val="left" w:pos="1440"/>
        </w:tabs>
        <w:ind w:left="720" w:hanging="720"/>
      </w:pPr>
      <w:r>
        <w:t>(e)</w:t>
      </w:r>
      <w:r>
        <w:tab/>
      </w:r>
      <w:r w:rsidR="00592D55">
        <w:t xml:space="preserve">Mr Knell caused the </w:t>
      </w:r>
      <w:proofErr w:type="spellStart"/>
      <w:r w:rsidR="00592D55">
        <w:t>DOCA</w:t>
      </w:r>
      <w:proofErr w:type="spellEnd"/>
      <w:r w:rsidR="00592D55">
        <w:t xml:space="preserve"> to be entered into to defeat </w:t>
      </w:r>
      <w:proofErr w:type="spellStart"/>
      <w:r w:rsidR="00592D55">
        <w:t>Sunstruct</w:t>
      </w:r>
      <w:proofErr w:type="spellEnd"/>
      <w:r w:rsidR="00592D55">
        <w:t xml:space="preserve"> as a creditor (at [114]).</w:t>
      </w:r>
    </w:p>
    <w:p w:rsidR="00592D55" w:rsidRDefault="003B1253" w:rsidP="003B1253">
      <w:pPr>
        <w:pStyle w:val="ParaNumbering"/>
        <w:numPr>
          <w:ilvl w:val="0"/>
          <w:numId w:val="0"/>
        </w:numPr>
        <w:ind w:hanging="720"/>
      </w:pPr>
      <w:r>
        <w:rPr>
          <w:sz w:val="20"/>
        </w:rPr>
        <w:t>79</w:t>
      </w:r>
      <w:r>
        <w:rPr>
          <w:sz w:val="20"/>
        </w:rPr>
        <w:tab/>
      </w:r>
      <w:r>
        <w:tab/>
      </w:r>
      <w:r w:rsidR="00592D55" w:rsidRPr="002000D6">
        <w:t>It is apparent that the conclusions</w:t>
      </w:r>
      <w:r w:rsidR="00592D55">
        <w:t xml:space="preserve"> reached by the primary judge as to the circumstances surrounding the </w:t>
      </w:r>
      <w:proofErr w:type="spellStart"/>
      <w:r w:rsidR="00592D55">
        <w:t>DOCA</w:t>
      </w:r>
      <w:proofErr w:type="spellEnd"/>
      <w:r w:rsidR="00592D55">
        <w:t xml:space="preserve"> coming into existence, whilst not the only reasons, nonetheless formed the critical reasons for the orders made.  I </w:t>
      </w:r>
      <w:r w:rsidR="00592D55" w:rsidRPr="00507A94">
        <w:t>do not accept the</w:t>
      </w:r>
      <w:r w:rsidR="00592D55">
        <w:t xml:space="preserve"> respondents’ submissions to the contrary. </w:t>
      </w:r>
    </w:p>
    <w:p w:rsidR="00592D55" w:rsidRDefault="003B1253" w:rsidP="003B1253">
      <w:pPr>
        <w:pStyle w:val="ParaNumbering"/>
        <w:numPr>
          <w:ilvl w:val="0"/>
          <w:numId w:val="0"/>
        </w:numPr>
        <w:ind w:hanging="720"/>
      </w:pPr>
      <w:r>
        <w:rPr>
          <w:sz w:val="20"/>
        </w:rPr>
        <w:t>80</w:t>
      </w:r>
      <w:r>
        <w:rPr>
          <w:sz w:val="20"/>
        </w:rPr>
        <w:tab/>
      </w:r>
      <w:r>
        <w:tab/>
      </w:r>
      <w:r w:rsidR="00592D55">
        <w:t xml:space="preserve">I am also satisfied that Mr Knell was not put on notice that his conduct referrable to the circumstances giving rise to the </w:t>
      </w:r>
      <w:proofErr w:type="spellStart"/>
      <w:r w:rsidR="00592D55">
        <w:t>DOCA</w:t>
      </w:r>
      <w:proofErr w:type="spellEnd"/>
      <w:r w:rsidR="00592D55">
        <w:t xml:space="preserve"> would be relied upon to support the application for a costs order against him.</w:t>
      </w:r>
    </w:p>
    <w:p w:rsidR="00592D55" w:rsidRDefault="003B1253" w:rsidP="003B1253">
      <w:pPr>
        <w:pStyle w:val="ParaNumbering"/>
        <w:numPr>
          <w:ilvl w:val="0"/>
          <w:numId w:val="0"/>
        </w:numPr>
        <w:ind w:hanging="720"/>
      </w:pPr>
      <w:r>
        <w:rPr>
          <w:sz w:val="20"/>
        </w:rPr>
        <w:t>81</w:t>
      </w:r>
      <w:r>
        <w:rPr>
          <w:sz w:val="20"/>
        </w:rPr>
        <w:tab/>
      </w:r>
      <w:r>
        <w:tab/>
      </w:r>
      <w:r w:rsidR="00592D55">
        <w:t xml:space="preserve">Upon the delivery of judgment on the claim and counterclaim costs were reserved.  The primary judge on 11 June 2013 directed the respondents to serve Mr Knell with a copy of their submissions and a list of material relied upon in support of their application for a costs order against Mr Knell.  </w:t>
      </w:r>
    </w:p>
    <w:p w:rsidR="00592D55" w:rsidRDefault="003B1253" w:rsidP="003B1253">
      <w:pPr>
        <w:pStyle w:val="ParaNumbering"/>
        <w:numPr>
          <w:ilvl w:val="0"/>
          <w:numId w:val="0"/>
        </w:numPr>
        <w:ind w:hanging="720"/>
      </w:pPr>
      <w:r>
        <w:rPr>
          <w:sz w:val="20"/>
        </w:rPr>
        <w:t>82</w:t>
      </w:r>
      <w:r>
        <w:rPr>
          <w:sz w:val="20"/>
        </w:rPr>
        <w:tab/>
      </w:r>
      <w:r>
        <w:tab/>
      </w:r>
      <w:r w:rsidR="00592D55" w:rsidRPr="00995EA6">
        <w:t>At first instance, the respondents</w:t>
      </w:r>
      <w:r w:rsidR="00592D55">
        <w:t xml:space="preserve"> filed an outline of argument which relevantly contained the following:</w:t>
      </w:r>
    </w:p>
    <w:p w:rsidR="00592D55" w:rsidRPr="005D5767" w:rsidRDefault="00592D55" w:rsidP="00592D55">
      <w:pPr>
        <w:pStyle w:val="Quote1"/>
      </w:pPr>
      <w:r w:rsidRPr="005D5767">
        <w:t>50.</w:t>
      </w:r>
      <w:r w:rsidRPr="005D5767">
        <w:tab/>
        <w:t>The relevant factors are as follows:</w:t>
      </w:r>
    </w:p>
    <w:p w:rsidR="00592D55" w:rsidRPr="005D5767" w:rsidRDefault="00592D55" w:rsidP="00592D55">
      <w:pPr>
        <w:pStyle w:val="Quote1"/>
      </w:pPr>
    </w:p>
    <w:p w:rsidR="00592D55" w:rsidRPr="005D5767" w:rsidRDefault="00592D55" w:rsidP="00592D55">
      <w:pPr>
        <w:pStyle w:val="Quote1"/>
        <w:spacing w:after="120"/>
        <w:ind w:left="2160" w:right="734" w:hanging="720"/>
      </w:pPr>
      <w:r>
        <w:t>(a)</w:t>
      </w:r>
      <w:r>
        <w:tab/>
      </w:r>
      <w:r w:rsidRPr="005D5767">
        <w:t xml:space="preserve">Mr Knell was put expressly on notice of this prospect by the letter from </w:t>
      </w:r>
      <w:proofErr w:type="spellStart"/>
      <w:r w:rsidRPr="005D5767">
        <w:t>Gadens</w:t>
      </w:r>
      <w:proofErr w:type="spellEnd"/>
      <w:r w:rsidRPr="005D5767">
        <w:t xml:space="preserve"> dated 5 October 2010;  </w:t>
      </w:r>
    </w:p>
    <w:p w:rsidR="00592D55" w:rsidRPr="005D5767" w:rsidRDefault="00592D55" w:rsidP="00592D55">
      <w:pPr>
        <w:pStyle w:val="Quote1"/>
        <w:spacing w:after="120"/>
        <w:ind w:left="2160" w:right="734" w:hanging="720"/>
      </w:pPr>
      <w:r>
        <w:t>(b)</w:t>
      </w:r>
      <w:r>
        <w:tab/>
      </w:r>
      <w:r w:rsidRPr="005D5767">
        <w:t xml:space="preserve">Mr Knell was the driving force behind the applicant, including being the only director and only shareholder at the commencement of the proceedings and at trial, including when the letter of 5 October 2010 was sent to his solicitors; </w:t>
      </w:r>
    </w:p>
    <w:p w:rsidR="00592D55" w:rsidRPr="005D5767" w:rsidRDefault="00592D55" w:rsidP="00592D55">
      <w:pPr>
        <w:pStyle w:val="Quote1"/>
        <w:ind w:left="2160" w:hanging="720"/>
      </w:pPr>
      <w:r>
        <w:t>(c)</w:t>
      </w:r>
      <w:r>
        <w:tab/>
      </w:r>
      <w:r w:rsidRPr="005D5767">
        <w:t xml:space="preserve">Whilst the respondent did not apply for security for costs, there was no reason for the respondent to suspect insolvency or difficulty in paying – indeed the evidence of Mr Knell was that his group was successful and worth in excess of </w:t>
      </w:r>
      <w:proofErr w:type="spellStart"/>
      <w:r w:rsidRPr="005D5767">
        <w:t>AUD$20M</w:t>
      </w:r>
      <w:proofErr w:type="spellEnd"/>
      <w:r w:rsidRPr="005D5767">
        <w:t>;</w:t>
      </w:r>
    </w:p>
    <w:p w:rsidR="00592D55" w:rsidRDefault="00592D55" w:rsidP="00592D55">
      <w:pPr>
        <w:pStyle w:val="Quote1"/>
      </w:pPr>
    </w:p>
    <w:p w:rsidR="00592D55" w:rsidRPr="005D5767" w:rsidRDefault="00592D55" w:rsidP="00592D55">
      <w:pPr>
        <w:pStyle w:val="Quote1"/>
        <w:spacing w:after="120"/>
        <w:ind w:right="734"/>
      </w:pPr>
      <w:r w:rsidRPr="005D5767">
        <w:t>51.</w:t>
      </w:r>
      <w:r w:rsidRPr="005D5767">
        <w:tab/>
        <w:t xml:space="preserve">This is an exceptional case, for the following reasons; </w:t>
      </w:r>
    </w:p>
    <w:p w:rsidR="00592D55" w:rsidRPr="006D666B" w:rsidRDefault="00592D55" w:rsidP="00592D55">
      <w:pPr>
        <w:pStyle w:val="Quote1"/>
        <w:spacing w:after="120"/>
        <w:ind w:left="2160" w:right="734" w:hanging="720"/>
      </w:pPr>
      <w:r>
        <w:t>(a)</w:t>
      </w:r>
      <w:r>
        <w:tab/>
      </w:r>
      <w:r w:rsidRPr="006D666B">
        <w:t xml:space="preserve">The claim was pursued in a complex and prolix manner, with little </w:t>
      </w:r>
      <w:r w:rsidRPr="006D666B">
        <w:lastRenderedPageBreak/>
        <w:t>real regard being had to distilling the matters in dispute to the real issues being determined;</w:t>
      </w:r>
    </w:p>
    <w:p w:rsidR="00592D55" w:rsidRDefault="00592D55" w:rsidP="00592D55">
      <w:pPr>
        <w:pStyle w:val="Quote1"/>
        <w:spacing w:after="120"/>
        <w:ind w:left="2160" w:right="734" w:hanging="720"/>
      </w:pPr>
      <w:r>
        <w:t>(b)</w:t>
      </w:r>
      <w:r>
        <w:tab/>
        <w:t xml:space="preserve">There was no regard had by the applicant to the proper conduct of its case, with many days wasted because of the applicant’s failure to conduct the matter responsibly.  As pointed out in the letter from </w:t>
      </w:r>
      <w:proofErr w:type="spellStart"/>
      <w:r>
        <w:t>Gadens</w:t>
      </w:r>
      <w:proofErr w:type="spellEnd"/>
      <w:r>
        <w:t xml:space="preserve"> dated 21 May 2010, of the 13 hearing days to that date, three days had been lost due to the applicant amending its pleadings and two days lost due to the applicant’s reliance on clearly inadmissible evidence in its affidavit material; </w:t>
      </w:r>
    </w:p>
    <w:p w:rsidR="00592D55" w:rsidRDefault="00592D55" w:rsidP="00592D55">
      <w:pPr>
        <w:pStyle w:val="Quote1"/>
        <w:spacing w:after="120"/>
        <w:ind w:left="2160" w:right="734" w:hanging="720"/>
      </w:pPr>
      <w:r>
        <w:t>(c)</w:t>
      </w:r>
      <w:r>
        <w:tab/>
        <w:t xml:space="preserve">As found by the primary judge, Mr Knell and Mrs Knell were not witnesses of truth.  This finding, entirely consistent with all of the evidence, means that it was within their knowledge that the claim would not be successful, had the true position between the parties been accepted by them from the outset.  It was within the control of Mr Knell to settle the action when the opportunity presented itself when offered $200,000 on 14 April 2010.  Instead, the determination of Mr Knell to thwart the respondent from the fruits of its legal entitlement continues to today, as the applicant seeks to rely on an intervening insolvency, initiated by it, to prevent payment to the respondent of the funds in Court.  For all of the reasons set out above, even that argument is flawed; and </w:t>
      </w:r>
    </w:p>
    <w:p w:rsidR="00592D55" w:rsidRDefault="00592D55" w:rsidP="00592D55">
      <w:pPr>
        <w:pStyle w:val="Quote1"/>
        <w:ind w:left="2160" w:hanging="720"/>
      </w:pPr>
      <w:r>
        <w:t>(d)</w:t>
      </w:r>
      <w:r>
        <w:tab/>
        <w:t xml:space="preserve">The pursuit of the applicant’s damages claim on a “global” basis was always flawed, such that even if it had established any breaches, it could not have succeeded in any award of damages. </w:t>
      </w:r>
    </w:p>
    <w:p w:rsidR="00592D55" w:rsidRDefault="00592D55" w:rsidP="00592D55">
      <w:pPr>
        <w:pStyle w:val="Quote1"/>
      </w:pPr>
    </w:p>
    <w:p w:rsidR="00592D55" w:rsidRDefault="003B1253" w:rsidP="003B1253">
      <w:pPr>
        <w:pStyle w:val="ParaNumbering"/>
        <w:numPr>
          <w:ilvl w:val="0"/>
          <w:numId w:val="0"/>
        </w:numPr>
        <w:ind w:hanging="720"/>
      </w:pPr>
      <w:r>
        <w:rPr>
          <w:sz w:val="20"/>
        </w:rPr>
        <w:t>83</w:t>
      </w:r>
      <w:r>
        <w:rPr>
          <w:sz w:val="20"/>
        </w:rPr>
        <w:tab/>
      </w:r>
      <w:r>
        <w:tab/>
      </w:r>
      <w:r w:rsidR="00592D55">
        <w:t xml:space="preserve">Importantly, none of the matters relied upon touches on the </w:t>
      </w:r>
      <w:proofErr w:type="spellStart"/>
      <w:r w:rsidR="00592D55">
        <w:t>DOCA</w:t>
      </w:r>
      <w:proofErr w:type="spellEnd"/>
      <w:r w:rsidR="00592D55">
        <w:t xml:space="preserve"> quite apart from the circumstances surrounding it.</w:t>
      </w:r>
    </w:p>
    <w:p w:rsidR="00592D55" w:rsidRDefault="003B1253" w:rsidP="003B1253">
      <w:pPr>
        <w:pStyle w:val="ParaNumbering"/>
        <w:numPr>
          <w:ilvl w:val="0"/>
          <w:numId w:val="0"/>
        </w:numPr>
        <w:ind w:hanging="720"/>
      </w:pPr>
      <w:r>
        <w:rPr>
          <w:sz w:val="20"/>
        </w:rPr>
        <w:t>84</w:t>
      </w:r>
      <w:r>
        <w:rPr>
          <w:sz w:val="20"/>
        </w:rPr>
        <w:tab/>
      </w:r>
      <w:r>
        <w:tab/>
      </w:r>
      <w:r w:rsidR="00592D55">
        <w:t xml:space="preserve">The </w:t>
      </w:r>
      <w:proofErr w:type="spellStart"/>
      <w:r w:rsidR="00592D55">
        <w:t>DOCA</w:t>
      </w:r>
      <w:proofErr w:type="spellEnd"/>
      <w:r w:rsidR="00592D55">
        <w:t xml:space="preserve"> was mentioned in the course of argument on 11 June 2013 on the costs question.  </w:t>
      </w:r>
      <w:proofErr w:type="spellStart"/>
      <w:r w:rsidR="00592D55">
        <w:t>Bluechip</w:t>
      </w:r>
      <w:proofErr w:type="spellEnd"/>
      <w:r w:rsidR="00592D55">
        <w:t xml:space="preserve"> sought to refer to the terms of the </w:t>
      </w:r>
      <w:proofErr w:type="spellStart"/>
      <w:r w:rsidR="00592D55">
        <w:t>DOCA</w:t>
      </w:r>
      <w:proofErr w:type="spellEnd"/>
      <w:r w:rsidR="00592D55">
        <w:t xml:space="preserve"> upon the issue of what were the appropriate remedies to be afforded by the Court.  </w:t>
      </w:r>
    </w:p>
    <w:p w:rsidR="00592D55" w:rsidRDefault="003B1253" w:rsidP="003B1253">
      <w:pPr>
        <w:pStyle w:val="ParaNumbering"/>
        <w:numPr>
          <w:ilvl w:val="0"/>
          <w:numId w:val="0"/>
        </w:numPr>
        <w:ind w:hanging="720"/>
      </w:pPr>
      <w:r>
        <w:rPr>
          <w:sz w:val="20"/>
        </w:rPr>
        <w:t>85</w:t>
      </w:r>
      <w:r>
        <w:rPr>
          <w:sz w:val="20"/>
        </w:rPr>
        <w:tab/>
      </w:r>
      <w:r>
        <w:tab/>
      </w:r>
      <w:r w:rsidR="00592D55">
        <w:t xml:space="preserve">Later, the primary judge mentioned that he would take into account the “existence” of the </w:t>
      </w:r>
      <w:proofErr w:type="spellStart"/>
      <w:r w:rsidR="00592D55">
        <w:t>DOCA</w:t>
      </w:r>
      <w:proofErr w:type="spellEnd"/>
      <w:r w:rsidR="00592D55">
        <w:t xml:space="preserve"> for the purpose of hearing arguments in relation to costs: </w:t>
      </w:r>
    </w:p>
    <w:p w:rsidR="00592D55" w:rsidRDefault="00592D55" w:rsidP="00592D55">
      <w:pPr>
        <w:pStyle w:val="Quote1"/>
      </w:pPr>
      <w:r>
        <w:t xml:space="preserve">HIS HONOUR:  And obviously for – I need to take into account the existence of the </w:t>
      </w:r>
      <w:proofErr w:type="spellStart"/>
      <w:r>
        <w:t>DOCA</w:t>
      </w:r>
      <w:proofErr w:type="spellEnd"/>
      <w:r>
        <w:t xml:space="preserve"> to understand the arguments you make in relation to the sort of orders that </w:t>
      </w:r>
      <w:proofErr w:type="gramStart"/>
      <w:r>
        <w:t>ought</w:t>
      </w:r>
      <w:proofErr w:type="gramEnd"/>
      <w:r>
        <w:t xml:space="preserve"> be made but beyond that I don’t need to go into the </w:t>
      </w:r>
      <w:proofErr w:type="spellStart"/>
      <w:r>
        <w:t>DOCA</w:t>
      </w:r>
      <w:proofErr w:type="spellEnd"/>
      <w:r>
        <w:t xml:space="preserve"> and make any orders that flow from the effect of the </w:t>
      </w:r>
      <w:proofErr w:type="spellStart"/>
      <w:r>
        <w:t>DOCA</w:t>
      </w:r>
      <w:proofErr w:type="spellEnd"/>
      <w:r>
        <w:t>.</w:t>
      </w:r>
    </w:p>
    <w:p w:rsidR="00592D55" w:rsidRDefault="00592D55" w:rsidP="00592D55">
      <w:pPr>
        <w:pStyle w:val="Quote1"/>
      </w:pPr>
    </w:p>
    <w:p w:rsidR="00592D55" w:rsidRDefault="003B1253" w:rsidP="003B1253">
      <w:pPr>
        <w:pStyle w:val="ParaNumbering"/>
        <w:numPr>
          <w:ilvl w:val="0"/>
          <w:numId w:val="0"/>
        </w:numPr>
        <w:ind w:hanging="720"/>
      </w:pPr>
      <w:r>
        <w:rPr>
          <w:sz w:val="20"/>
        </w:rPr>
        <w:t>86</w:t>
      </w:r>
      <w:r>
        <w:rPr>
          <w:sz w:val="20"/>
        </w:rPr>
        <w:tab/>
      </w:r>
      <w:r>
        <w:tab/>
      </w:r>
      <w:proofErr w:type="gramStart"/>
      <w:r w:rsidR="00592D55">
        <w:t>The</w:t>
      </w:r>
      <w:proofErr w:type="gramEnd"/>
      <w:r w:rsidR="00592D55">
        <w:t xml:space="preserve"> existence of the </w:t>
      </w:r>
      <w:proofErr w:type="spellStart"/>
      <w:r w:rsidR="00592D55">
        <w:t>DOCA</w:t>
      </w:r>
      <w:proofErr w:type="spellEnd"/>
      <w:r w:rsidR="00592D55">
        <w:t xml:space="preserve"> or, more precisely, its terms were of course relevant to </w:t>
      </w:r>
      <w:proofErr w:type="spellStart"/>
      <w:r w:rsidR="00592D55">
        <w:t>Bluechip’s</w:t>
      </w:r>
      <w:proofErr w:type="spellEnd"/>
      <w:r w:rsidR="00592D55">
        <w:t xml:space="preserve"> contentions, albeit ultimately unsuccessful, that any costs claimed were compromised by the </w:t>
      </w:r>
      <w:proofErr w:type="spellStart"/>
      <w:r w:rsidR="00592D55">
        <w:t>DOCA</w:t>
      </w:r>
      <w:proofErr w:type="spellEnd"/>
      <w:r w:rsidR="00592D55">
        <w:t xml:space="preserve">. </w:t>
      </w:r>
    </w:p>
    <w:p w:rsidR="00592D55" w:rsidRDefault="003B1253" w:rsidP="003B1253">
      <w:pPr>
        <w:pStyle w:val="ParaNumbering"/>
        <w:numPr>
          <w:ilvl w:val="0"/>
          <w:numId w:val="0"/>
        </w:numPr>
        <w:ind w:hanging="720"/>
      </w:pPr>
      <w:r>
        <w:rPr>
          <w:sz w:val="20"/>
        </w:rPr>
        <w:lastRenderedPageBreak/>
        <w:t>87</w:t>
      </w:r>
      <w:r>
        <w:rPr>
          <w:sz w:val="20"/>
        </w:rPr>
        <w:tab/>
      </w:r>
      <w:r>
        <w:tab/>
      </w:r>
      <w:r w:rsidR="00592D55">
        <w:t xml:space="preserve">A further hearing on the issue of costs took place before the primary judge on 13 August 2013 where, relevantly, the following exchange occurred between the primary judge and Mr Hackett, counsel for </w:t>
      </w:r>
      <w:proofErr w:type="spellStart"/>
      <w:r w:rsidR="00592D55">
        <w:t>Bluechip</w:t>
      </w:r>
      <w:proofErr w:type="spellEnd"/>
      <w:r w:rsidR="00592D55">
        <w:t xml:space="preserve">: </w:t>
      </w:r>
    </w:p>
    <w:p w:rsidR="00592D55" w:rsidRDefault="00592D55" w:rsidP="00592D55">
      <w:pPr>
        <w:pStyle w:val="Quote1"/>
      </w:pPr>
      <w:r>
        <w:t xml:space="preserve">HIS HONOUR:  Well before we go – we move onto the next point, well then why shouldn’t Mr </w:t>
      </w:r>
      <w:proofErr w:type="spellStart"/>
      <w:r>
        <w:t>Peden</w:t>
      </w:r>
      <w:proofErr w:type="spellEnd"/>
      <w:r>
        <w:t xml:space="preserve"> have leave to cross-examine Mr [Knell] about the deed of company arrangement?</w:t>
      </w:r>
    </w:p>
    <w:p w:rsidR="00592D55" w:rsidRDefault="00592D55" w:rsidP="00592D55">
      <w:pPr>
        <w:pStyle w:val="Quote1"/>
      </w:pPr>
    </w:p>
    <w:p w:rsidR="00592D55" w:rsidRDefault="00592D55" w:rsidP="00592D55">
      <w:pPr>
        <w:pStyle w:val="Quote1"/>
      </w:pPr>
      <w:r>
        <w:t>MR HACKETT:  Well, because, I would submit to your Honour, there’s no relevance in that.  There’s no - - -</w:t>
      </w:r>
    </w:p>
    <w:p w:rsidR="00592D55" w:rsidRDefault="00592D55" w:rsidP="00592D55">
      <w:pPr>
        <w:pStyle w:val="Quote1"/>
      </w:pPr>
    </w:p>
    <w:p w:rsidR="00592D55" w:rsidRDefault="00592D55" w:rsidP="00592D55">
      <w:pPr>
        <w:pStyle w:val="Quote1"/>
      </w:pPr>
      <w:r>
        <w:t>HIS HONOUR:  Any why not?</w:t>
      </w:r>
    </w:p>
    <w:p w:rsidR="00592D55" w:rsidRDefault="00592D55" w:rsidP="00592D55">
      <w:pPr>
        <w:pStyle w:val="Quote1"/>
      </w:pPr>
    </w:p>
    <w:p w:rsidR="00592D55" w:rsidRDefault="00592D55" w:rsidP="00592D55">
      <w:pPr>
        <w:pStyle w:val="Quote1"/>
      </w:pPr>
      <w:r>
        <w:t>MR HACKETT:  Well there’s been no application made to a court of competent jurisdiction to set aside the deed.  I ask – sorry, rhetorically – what would - - -</w:t>
      </w:r>
    </w:p>
    <w:p w:rsidR="00592D55" w:rsidRDefault="00592D55" w:rsidP="00592D55">
      <w:pPr>
        <w:pStyle w:val="Quote1"/>
      </w:pPr>
    </w:p>
    <w:p w:rsidR="00592D55" w:rsidRDefault="00592D55" w:rsidP="00592D55">
      <w:pPr>
        <w:pStyle w:val="Quote1"/>
      </w:pPr>
      <w:r>
        <w:t>HIS HONOUR:  But – well - - -</w:t>
      </w:r>
    </w:p>
    <w:p w:rsidR="00592D55" w:rsidRDefault="00592D55" w:rsidP="00592D55">
      <w:pPr>
        <w:pStyle w:val="Quote1"/>
      </w:pPr>
    </w:p>
    <w:p w:rsidR="00592D55" w:rsidRDefault="00592D55" w:rsidP="00592D55">
      <w:pPr>
        <w:pStyle w:val="Quote1"/>
      </w:pPr>
      <w:r>
        <w:t>MR HACKETT:  - - - the utility be in adjourning – cross-examining Mr [Knell] as to the motive in relation to the entry into a document which has the current force of law?</w:t>
      </w:r>
    </w:p>
    <w:p w:rsidR="00592D55" w:rsidRDefault="00592D55" w:rsidP="00592D55">
      <w:pPr>
        <w:pStyle w:val="Quote1"/>
      </w:pPr>
    </w:p>
    <w:p w:rsidR="00592D55" w:rsidRDefault="00592D55" w:rsidP="00592D55">
      <w:pPr>
        <w:pStyle w:val="Quote1"/>
      </w:pPr>
      <w:r>
        <w:t xml:space="preserve">HIS HONOUR:  Well it might be relevant to the question of whether or not he </w:t>
      </w:r>
      <w:proofErr w:type="gramStart"/>
      <w:r>
        <w:t>ought</w:t>
      </w:r>
      <w:proofErr w:type="gramEnd"/>
      <w:r>
        <w:t xml:space="preserve"> pay the costs on a personal basis.  I would have thought that would be extremely relevant under a Knight v </w:t>
      </w:r>
      <w:proofErr w:type="spellStart"/>
      <w:r>
        <w:t>Sp</w:t>
      </w:r>
      <w:proofErr w:type="spellEnd"/>
      <w:r>
        <w:t xml:space="preserve"> Assets sort of approach as to whether  or not he has been the – as I understand it – the only shareholder or principal shareholder in the company, puts the company into a deed of company arrangement, persuades the administrator to afford his – one of the principal creditor’s credit value to the extent of $1 and then, miraculously, the company finds its way out of administration, essentially leaving the creditor, on your argument, entitled to nothing but having put to the expense of running a very expensive trial.</w:t>
      </w:r>
    </w:p>
    <w:p w:rsidR="00592D55" w:rsidRDefault="00592D55" w:rsidP="00592D55">
      <w:pPr>
        <w:pStyle w:val="Quote1"/>
      </w:pPr>
    </w:p>
    <w:p w:rsidR="00592D55" w:rsidRDefault="00592D55" w:rsidP="00592D55">
      <w:pPr>
        <w:pStyle w:val="Quote1"/>
      </w:pPr>
      <w:r>
        <w:t xml:space="preserve">MR HACKETT:  Well none of those factual scenarios is quite correct. </w:t>
      </w:r>
    </w:p>
    <w:p w:rsidR="00592D55" w:rsidRDefault="00592D55" w:rsidP="00592D55">
      <w:pPr>
        <w:pStyle w:val="Quote1"/>
      </w:pPr>
    </w:p>
    <w:p w:rsidR="00592D55" w:rsidRDefault="00592D55" w:rsidP="00592D55">
      <w:pPr>
        <w:pStyle w:val="Quote1"/>
      </w:pPr>
      <w:r>
        <w:t xml:space="preserve">HIS HONOUR:  Well no, possibly not.  But the point is that no doubt they’re matters that might be explored in cross-examination. </w:t>
      </w:r>
    </w:p>
    <w:p w:rsidR="00592D55" w:rsidRDefault="00592D55" w:rsidP="00592D55">
      <w:pPr>
        <w:pStyle w:val="Quote1"/>
      </w:pPr>
    </w:p>
    <w:p w:rsidR="00592D55" w:rsidRDefault="00592D55" w:rsidP="00592D55">
      <w:pPr>
        <w:pStyle w:val="Quote1"/>
      </w:pPr>
      <w:r>
        <w:t xml:space="preserve">MR HACKETT:  </w:t>
      </w:r>
      <w:proofErr w:type="gramStart"/>
      <w:r>
        <w:t>Your</w:t>
      </w:r>
      <w:proofErr w:type="gramEnd"/>
      <w:r>
        <w:t xml:space="preserve"> Honour, the question of Mr [Knell’s] entitlement to an order for costs against him is a live issue before your Honour, I accept.  But if your Honour can’t make an order against the company because of the </w:t>
      </w:r>
      <w:proofErr w:type="spellStart"/>
      <w:r>
        <w:t>DOCA</w:t>
      </w:r>
      <w:proofErr w:type="spellEnd"/>
      <w:r>
        <w:t xml:space="preserve">, I’ve made my submissions as to how your Honour would properly exercise </w:t>
      </w:r>
      <w:proofErr w:type="gramStart"/>
      <w:r>
        <w:t>a discretion</w:t>
      </w:r>
      <w:proofErr w:type="gramEnd"/>
      <w:r>
        <w:t xml:space="preserve"> in relation to a non-party in those circumstances. </w:t>
      </w:r>
    </w:p>
    <w:p w:rsidR="00592D55" w:rsidRDefault="00592D55" w:rsidP="00592D55">
      <w:pPr>
        <w:pStyle w:val="Quote1"/>
      </w:pPr>
    </w:p>
    <w:p w:rsidR="00592D55" w:rsidRDefault="00592D55" w:rsidP="00592D55">
      <w:pPr>
        <w:pStyle w:val="Quote1"/>
      </w:pPr>
      <w:r>
        <w:t xml:space="preserve">HIS HONOUR:  I understand. </w:t>
      </w:r>
    </w:p>
    <w:p w:rsidR="00592D55" w:rsidRDefault="00592D55" w:rsidP="00592D55">
      <w:pPr>
        <w:pStyle w:val="Quote1"/>
      </w:pPr>
    </w:p>
    <w:p w:rsidR="00592D55" w:rsidRDefault="00592D55" w:rsidP="00592D55">
      <w:pPr>
        <w:pStyle w:val="Quote1"/>
      </w:pPr>
      <w:r>
        <w:t xml:space="preserve">MR HACKETT:  Your Honour, my primary submission about the cross-examination of Mr [Knell] on the motive for the </w:t>
      </w:r>
      <w:proofErr w:type="spellStart"/>
      <w:r>
        <w:t>DOCA</w:t>
      </w:r>
      <w:proofErr w:type="spellEnd"/>
      <w:r>
        <w:t xml:space="preserve"> is (1) </w:t>
      </w:r>
      <w:proofErr w:type="gramStart"/>
      <w:r>
        <w:t>it’s</w:t>
      </w:r>
      <w:proofErr w:type="gramEnd"/>
      <w:r>
        <w:t xml:space="preserve"> irrelevant, (2) motive doesn’t become an issue merely because Mr </w:t>
      </w:r>
      <w:proofErr w:type="spellStart"/>
      <w:r>
        <w:t>Peden</w:t>
      </w:r>
      <w:proofErr w:type="spellEnd"/>
      <w:r>
        <w:t xml:space="preserve"> raises it in an outline.  The </w:t>
      </w:r>
      <w:proofErr w:type="spellStart"/>
      <w:r>
        <w:t>DOCA</w:t>
      </w:r>
      <w:proofErr w:type="spellEnd"/>
      <w:r>
        <w:t xml:space="preserve"> has the effect of law until set aside, and no application has been brought by the first respondent to do that.</w:t>
      </w:r>
    </w:p>
    <w:p w:rsidR="00592D55" w:rsidRDefault="00592D55" w:rsidP="00592D55">
      <w:pPr>
        <w:pStyle w:val="Quote1"/>
      </w:pPr>
    </w:p>
    <w:p w:rsidR="00592D55" w:rsidRDefault="003B1253" w:rsidP="003B1253">
      <w:pPr>
        <w:pStyle w:val="ParaNumbering"/>
        <w:numPr>
          <w:ilvl w:val="0"/>
          <w:numId w:val="0"/>
        </w:numPr>
        <w:ind w:hanging="720"/>
      </w:pPr>
      <w:r>
        <w:rPr>
          <w:sz w:val="20"/>
        </w:rPr>
        <w:lastRenderedPageBreak/>
        <w:t>88</w:t>
      </w:r>
      <w:r>
        <w:rPr>
          <w:sz w:val="20"/>
        </w:rPr>
        <w:tab/>
      </w:r>
      <w:r>
        <w:tab/>
      </w:r>
      <w:r w:rsidR="00592D55" w:rsidRPr="001A4262">
        <w:t>At least two things may be observed</w:t>
      </w:r>
      <w:r w:rsidR="00592D55">
        <w:t xml:space="preserve"> from this.  First, the issue of possible cross-examination of Mr Knell about the circumstances surrounding the </w:t>
      </w:r>
      <w:proofErr w:type="spellStart"/>
      <w:r w:rsidR="00592D55">
        <w:t>DOCA</w:t>
      </w:r>
      <w:proofErr w:type="spellEnd"/>
      <w:r w:rsidR="00592D55">
        <w:t xml:space="preserve"> was raised by the primary judge and not by the respondents.  Second, the factual premises thought to be relevant by the primary judge were expressly put in issue, prompting the </w:t>
      </w:r>
      <w:r w:rsidR="00592D55" w:rsidRPr="002000D6">
        <w:t>observation by his Honour that</w:t>
      </w:r>
      <w:r w:rsidR="00592D55">
        <w:t xml:space="preserve"> they could be explored in cross-examination.  </w:t>
      </w:r>
    </w:p>
    <w:p w:rsidR="00592D55" w:rsidRPr="00AF2AF3" w:rsidRDefault="003B1253" w:rsidP="003B1253">
      <w:pPr>
        <w:pStyle w:val="ParaNumbering"/>
        <w:numPr>
          <w:ilvl w:val="0"/>
          <w:numId w:val="0"/>
        </w:numPr>
        <w:ind w:hanging="720"/>
      </w:pPr>
      <w:r w:rsidRPr="00AF2AF3">
        <w:rPr>
          <w:sz w:val="20"/>
        </w:rPr>
        <w:t>89</w:t>
      </w:r>
      <w:r w:rsidRPr="00AF2AF3">
        <w:rPr>
          <w:sz w:val="20"/>
        </w:rPr>
        <w:tab/>
      </w:r>
      <w:r>
        <w:tab/>
      </w:r>
      <w:r w:rsidR="00592D55" w:rsidRPr="00AF2AF3">
        <w:t>Howe</w:t>
      </w:r>
      <w:r w:rsidR="002E6AC7">
        <w:t>ver, the matter was not pursued</w:t>
      </w:r>
      <w:r w:rsidR="00592D55" w:rsidRPr="00AF2AF3">
        <w:t xml:space="preserve"> either by the primary judge or by counsel for the respondents.  He did not apply to have Mr Knell made available for cross-examination in order to explore the circumstances surrounding the </w:t>
      </w:r>
      <w:proofErr w:type="spellStart"/>
      <w:r w:rsidR="00592D55" w:rsidRPr="00AF2AF3">
        <w:t>DOCA</w:t>
      </w:r>
      <w:proofErr w:type="spellEnd"/>
      <w:r w:rsidR="00592D55" w:rsidRPr="00AF2AF3">
        <w:t xml:space="preserve">.  </w:t>
      </w:r>
    </w:p>
    <w:p w:rsidR="00592D55" w:rsidRDefault="003B1253" w:rsidP="003B1253">
      <w:pPr>
        <w:pStyle w:val="ParaNumbering"/>
        <w:numPr>
          <w:ilvl w:val="0"/>
          <w:numId w:val="0"/>
        </w:numPr>
        <w:ind w:hanging="720"/>
      </w:pPr>
      <w:r>
        <w:rPr>
          <w:sz w:val="20"/>
        </w:rPr>
        <w:t>90</w:t>
      </w:r>
      <w:r>
        <w:rPr>
          <w:sz w:val="20"/>
        </w:rPr>
        <w:tab/>
      </w:r>
      <w:r>
        <w:tab/>
      </w:r>
      <w:r w:rsidR="00592D55" w:rsidRPr="00AF2AF3">
        <w:t xml:space="preserve">Moreover, as I have said, the respondents’ submissions at first instance did not advert to the </w:t>
      </w:r>
      <w:proofErr w:type="spellStart"/>
      <w:r w:rsidR="00592D55" w:rsidRPr="00AF2AF3">
        <w:t>DOCA</w:t>
      </w:r>
      <w:proofErr w:type="spellEnd"/>
      <w:r w:rsidR="00592D55" w:rsidRPr="00AF2AF3">
        <w:t xml:space="preserve"> at all.  The subm</w:t>
      </w:r>
      <w:r w:rsidR="00592D55">
        <w:t>issions which were made at</w:t>
      </w:r>
      <w:r w:rsidR="00592D55" w:rsidRPr="00AF2AF3">
        <w:t xml:space="preserve"> [50]-[51] of the outline of written submissions which I set out above were substantially replicated by the primary judge at [93] and [94] of </w:t>
      </w:r>
      <w:r w:rsidR="00592D55">
        <w:t>the C</w:t>
      </w:r>
      <w:r w:rsidR="00592D55" w:rsidRPr="00AF2AF3">
        <w:t>osts judgment.  They say</w:t>
      </w:r>
      <w:r w:rsidR="00592D55">
        <w:t xml:space="preserve"> nothing about the </w:t>
      </w:r>
      <w:proofErr w:type="spellStart"/>
      <w:r w:rsidR="00592D55">
        <w:t>DOCA</w:t>
      </w:r>
      <w:proofErr w:type="spellEnd"/>
      <w:r w:rsidR="00592D55">
        <w:t xml:space="preserve"> or the circumstances surrounding it. </w:t>
      </w:r>
    </w:p>
    <w:p w:rsidR="00592D55" w:rsidRDefault="003B1253" w:rsidP="003B1253">
      <w:pPr>
        <w:pStyle w:val="ParaNumbering"/>
        <w:numPr>
          <w:ilvl w:val="0"/>
          <w:numId w:val="0"/>
        </w:numPr>
        <w:ind w:hanging="720"/>
      </w:pPr>
      <w:r>
        <w:rPr>
          <w:sz w:val="20"/>
        </w:rPr>
        <w:t>91</w:t>
      </w:r>
      <w:r>
        <w:rPr>
          <w:sz w:val="20"/>
        </w:rPr>
        <w:tab/>
      </w:r>
      <w:r>
        <w:tab/>
      </w:r>
      <w:r w:rsidR="00592D55">
        <w:t xml:space="preserve">The primary judge’s conclusions and principle reasoning are to be found in the following paragraphs of his reasons which I have set out in full: </w:t>
      </w:r>
    </w:p>
    <w:p w:rsidR="00592D55" w:rsidRDefault="00592D55" w:rsidP="00592D55">
      <w:pPr>
        <w:pStyle w:val="Quote1"/>
        <w:ind w:left="1440" w:hanging="703"/>
      </w:pPr>
      <w:r w:rsidRPr="00D62861">
        <w:t>102.</w:t>
      </w:r>
      <w:r>
        <w:tab/>
      </w:r>
      <w:r w:rsidRPr="00D62861">
        <w:t xml:space="preserve">In particular, in this case the relevant considerations militate in favour of a finding of exceptional circumstances. First, the unsuccessful party to the proceedings was the applicant, the party which was the alter ego of Mr Knell. Secondly, the conduct of the litigation was improper. It had its genesis in the applicant’s efforts to restrain the respondent from access to its entitlement to enforce a </w:t>
      </w:r>
      <w:proofErr w:type="spellStart"/>
      <w:r w:rsidRPr="00D62861">
        <w:t>BCIPA</w:t>
      </w:r>
      <w:proofErr w:type="spellEnd"/>
      <w:r w:rsidRPr="00D62861">
        <w:t xml:space="preserve"> award. It sought to set up a claim, </w:t>
      </w:r>
      <w:r w:rsidRPr="00D62861">
        <w:rPr>
          <w:i/>
        </w:rPr>
        <w:t xml:space="preserve">in </w:t>
      </w:r>
      <w:proofErr w:type="spellStart"/>
      <w:r w:rsidRPr="00D62861">
        <w:rPr>
          <w:i/>
        </w:rPr>
        <w:t>terrorem</w:t>
      </w:r>
      <w:proofErr w:type="spellEnd"/>
      <w:r w:rsidRPr="00D62861">
        <w:t xml:space="preserve">, for damages in excess of $2 million which were claimed on a global basis, founded upon an untenable contention of the underlying contract, and in respect of a misrepresentation case without merit. Significantly, Mr Knell had an impact on the litigation which was more than merely confluent with the interests of the applicant. The circumstances surrounding the </w:t>
      </w:r>
      <w:proofErr w:type="spellStart"/>
      <w:r w:rsidRPr="00D62861">
        <w:t>DOCA</w:t>
      </w:r>
      <w:proofErr w:type="spellEnd"/>
      <w:r w:rsidRPr="00D62861">
        <w:t xml:space="preserve"> and the various transfers and retransfers of shareholdings between himself and others are indicative of cynical conduct on his part directed to his self-interest rather than those of the applicant, and highlight the true indifference Mr Knell had to the independent and separate legal character the applicant sought to have enjoyed from him</w:t>
      </w:r>
      <w:r>
        <w:t>.</w:t>
      </w:r>
    </w:p>
    <w:p w:rsidR="00592D55" w:rsidRDefault="00592D55" w:rsidP="00592D55">
      <w:pPr>
        <w:pStyle w:val="Quote1"/>
        <w:spacing w:before="60" w:after="60"/>
        <w:ind w:left="1440" w:right="734" w:hanging="706"/>
      </w:pPr>
      <w:r>
        <w:t>. . .</w:t>
      </w:r>
    </w:p>
    <w:p w:rsidR="00592D55" w:rsidRDefault="00592D55" w:rsidP="00592D55">
      <w:pPr>
        <w:pStyle w:val="Quote1"/>
        <w:spacing w:after="120"/>
        <w:ind w:left="1440" w:right="734" w:hanging="706"/>
      </w:pPr>
      <w:r>
        <w:t>113.</w:t>
      </w:r>
      <w:r>
        <w:tab/>
        <w:t xml:space="preserve">Earlier I addressed the criteria relevant to this application. However, in addition to those matters it is important to note that I do not consider this a case where Mr Knell’s involvement as director could be seen as merely passive, with his only interest to see the applicant’s rights prosecuted and, if appropriate, defended. In this instance, as I have noted earlier, Mr Knell has sought to cynically use the applicant to advance his own interests above those of the corporation, and it is for that reason I consider he </w:t>
      </w:r>
      <w:proofErr w:type="gramStart"/>
      <w:r>
        <w:t>ought</w:t>
      </w:r>
      <w:proofErr w:type="gramEnd"/>
      <w:r>
        <w:t xml:space="preserve"> indemnify the respondent in respect of costs. Mr Knell has sought to use the corporate veil in an attempt to stymie the respondents from recovery of their just entitlement by fashioning a </w:t>
      </w:r>
      <w:proofErr w:type="spellStart"/>
      <w:r>
        <w:t>DOCA</w:t>
      </w:r>
      <w:proofErr w:type="spellEnd"/>
      <w:r>
        <w:t xml:space="preserve"> which was clearly intended to neutralise </w:t>
      </w:r>
      <w:r>
        <w:lastRenderedPageBreak/>
        <w:t xml:space="preserve">the value of any victory. </w:t>
      </w:r>
    </w:p>
    <w:p w:rsidR="00592D55" w:rsidRDefault="00592D55" w:rsidP="00592D55">
      <w:pPr>
        <w:pStyle w:val="Quote1"/>
        <w:spacing w:after="120"/>
        <w:ind w:left="1440" w:right="734" w:hanging="706"/>
      </w:pPr>
      <w:r>
        <w:t>114.</w:t>
      </w:r>
      <w:r>
        <w:tab/>
        <w:t xml:space="preserve">The circumstances surrounding the </w:t>
      </w:r>
      <w:proofErr w:type="spellStart"/>
      <w:r>
        <w:t>DOCA</w:t>
      </w:r>
      <w:proofErr w:type="spellEnd"/>
      <w:r>
        <w:t xml:space="preserve"> bear a certain stench. The </w:t>
      </w:r>
      <w:proofErr w:type="spellStart"/>
      <w:r>
        <w:t>DOCA</w:t>
      </w:r>
      <w:proofErr w:type="spellEnd"/>
      <w:r>
        <w:t xml:space="preserve"> followed a demand made by the </w:t>
      </w:r>
      <w:proofErr w:type="spellStart"/>
      <w:r>
        <w:t>ATO</w:t>
      </w:r>
      <w:proofErr w:type="spellEnd"/>
      <w:r>
        <w:t xml:space="preserve"> for the payment of approximately $975,000. At the time the total value of the creditors was listed at about $3,408,000. There were 23 creditors listed. Of the 23, at least 11 by name can be seen to be associated with the applicant. Some of the other creditors have an association by address. Two of the associated creditors, Bypass Payments Systems Pty Ltd and Harbour Lights Trust, by value, approximate half the creditors. The </w:t>
      </w:r>
      <w:proofErr w:type="spellStart"/>
      <w:r>
        <w:t>DOCA</w:t>
      </w:r>
      <w:proofErr w:type="spellEnd"/>
      <w:r>
        <w:t xml:space="preserve"> was concluded following the trial and before the judgment. At that time it would have been reasonably apparent to Mr Knell from his attendance on each day of the proceedings that there were significant difficulties in the case he had the applicant prosecute. Furthermore, he would reasonably have appreciated that his evidence did not go well, and that the applicant’s case was consequently at risk. These matters, in addition to the outstanding tax liability, would have provided significant incentive to see a scheme designed to permit the retention of any profits by the applicant. Ultimately, Mr Knell would be a beneficiary of such profits. Except for the </w:t>
      </w:r>
      <w:proofErr w:type="spellStart"/>
      <w:r>
        <w:t>DOCA</w:t>
      </w:r>
      <w:proofErr w:type="spellEnd"/>
      <w:r>
        <w:t xml:space="preserve">, I may have been inclined to the conventional view that those standing behind a corporation are entitled to the protection of the corporate veil. However, I consider Mr Knell to have overreached in this instance and accordingly he should not be protected from the downside on the risk he took in entering the applicant into an arrangement to defeat the respondent as a creditor, a prospect which remains a clear and present danger given his demonstrated propensity to date. </w:t>
      </w:r>
    </w:p>
    <w:p w:rsidR="00592D55" w:rsidRDefault="00592D55" w:rsidP="00592D55">
      <w:pPr>
        <w:pStyle w:val="Quote1"/>
        <w:spacing w:after="120"/>
        <w:ind w:left="1440" w:right="734" w:hanging="706"/>
      </w:pPr>
      <w:r>
        <w:t>115.</w:t>
      </w:r>
      <w:r>
        <w:tab/>
        <w:t xml:space="preserve">I am mindful that the costs orders will include costs incurred long before the events which I also consider relevant to the exercise of my discretion and which I have related above. However, as my primary judgment reveals I did not form a particularly favourable impression of Mr Knell. He appeared to me a person who would use whatever means available within the technical limits of the law to achieve his desired outcome. I have no doubt in concluding that he would always have had it in mind to structure an outcome to see him enjoy the profit of the applicant’s project and leave losses where they could be left, if that was at all possible. To that end I am satisfied that he is of a nature to use corporations to his advantage for profit but also, where possible, to avoid his just creditors. He is not the sort of person to whom </w:t>
      </w:r>
      <w:proofErr w:type="spellStart"/>
      <w:r>
        <w:t>Basten</w:t>
      </w:r>
      <w:proofErr w:type="spellEnd"/>
      <w:r>
        <w:t xml:space="preserve"> </w:t>
      </w:r>
      <w:proofErr w:type="spellStart"/>
      <w:r>
        <w:t>JA</w:t>
      </w:r>
      <w:proofErr w:type="spellEnd"/>
      <w:r>
        <w:t xml:space="preserve"> was referring in </w:t>
      </w:r>
      <w:r w:rsidRPr="00D62861">
        <w:rPr>
          <w:i/>
        </w:rPr>
        <w:t>FPM Constructions</w:t>
      </w:r>
      <w:r>
        <w:t xml:space="preserve">. The non-party being referred to by </w:t>
      </w:r>
      <w:proofErr w:type="spellStart"/>
      <w:r>
        <w:t>Basten</w:t>
      </w:r>
      <w:proofErr w:type="spellEnd"/>
      <w:r>
        <w:t xml:space="preserve"> </w:t>
      </w:r>
      <w:proofErr w:type="spellStart"/>
      <w:r>
        <w:t>JA</w:t>
      </w:r>
      <w:proofErr w:type="spellEnd"/>
      <w:r>
        <w:t xml:space="preserve"> was the company shareholder/officer who took the good with the bad. In such a circumstance it is inappropriate to look behind the corporate veil and nullify its effect. That is not this case, for the reasons I have stated.</w:t>
      </w:r>
    </w:p>
    <w:p w:rsidR="00592D55" w:rsidRDefault="00592D55" w:rsidP="00592D55">
      <w:pPr>
        <w:pStyle w:val="Quote1"/>
        <w:spacing w:after="120"/>
        <w:ind w:left="1440" w:right="734" w:hanging="706"/>
      </w:pPr>
      <w:r>
        <w:t>(Footnotes omitted)</w:t>
      </w:r>
    </w:p>
    <w:p w:rsidR="00592D55" w:rsidRDefault="00592D55" w:rsidP="00592D55">
      <w:pPr>
        <w:pStyle w:val="Quote1"/>
        <w:spacing w:after="120"/>
        <w:ind w:left="1440" w:right="734" w:hanging="706"/>
      </w:pPr>
    </w:p>
    <w:p w:rsidR="00592D55" w:rsidRDefault="003B1253" w:rsidP="003B1253">
      <w:pPr>
        <w:pStyle w:val="ParaNumbering"/>
        <w:numPr>
          <w:ilvl w:val="0"/>
          <w:numId w:val="0"/>
        </w:numPr>
        <w:ind w:hanging="720"/>
      </w:pPr>
      <w:r>
        <w:rPr>
          <w:sz w:val="20"/>
        </w:rPr>
        <w:t>92</w:t>
      </w:r>
      <w:r>
        <w:rPr>
          <w:sz w:val="20"/>
        </w:rPr>
        <w:tab/>
      </w:r>
      <w:r>
        <w:tab/>
      </w:r>
      <w:r w:rsidR="00592D55">
        <w:t xml:space="preserve">Mr Knell was not given notice of what were the circumstances surrounding the making of the </w:t>
      </w:r>
      <w:proofErr w:type="spellStart"/>
      <w:r w:rsidR="00592D55">
        <w:t>DOCA</w:t>
      </w:r>
      <w:proofErr w:type="spellEnd"/>
      <w:r w:rsidR="00592D55">
        <w:t xml:space="preserve"> which were relevant to the making of a costs order against him. </w:t>
      </w:r>
    </w:p>
    <w:p w:rsidR="00592D55" w:rsidRDefault="003B1253" w:rsidP="003B1253">
      <w:pPr>
        <w:pStyle w:val="ParaNumbering"/>
        <w:numPr>
          <w:ilvl w:val="0"/>
          <w:numId w:val="0"/>
        </w:numPr>
        <w:ind w:hanging="720"/>
      </w:pPr>
      <w:r>
        <w:rPr>
          <w:sz w:val="20"/>
        </w:rPr>
        <w:t>93</w:t>
      </w:r>
      <w:r>
        <w:rPr>
          <w:sz w:val="20"/>
        </w:rPr>
        <w:tab/>
      </w:r>
      <w:r>
        <w:tab/>
      </w:r>
      <w:r w:rsidR="00592D55">
        <w:t xml:space="preserve">In </w:t>
      </w:r>
      <w:proofErr w:type="spellStart"/>
      <w:r w:rsidR="00592D55">
        <w:rPr>
          <w:i/>
        </w:rPr>
        <w:t>Dunghutti</w:t>
      </w:r>
      <w:proofErr w:type="spellEnd"/>
      <w:r w:rsidR="00592D55">
        <w:rPr>
          <w:i/>
        </w:rPr>
        <w:t xml:space="preserve"> Elders Council (Aboriginal Corporation) </w:t>
      </w:r>
      <w:proofErr w:type="spellStart"/>
      <w:r w:rsidR="00592D55">
        <w:rPr>
          <w:i/>
        </w:rPr>
        <w:t>RNTBC</w:t>
      </w:r>
      <w:proofErr w:type="spellEnd"/>
      <w:r w:rsidR="00592D55">
        <w:rPr>
          <w:i/>
        </w:rPr>
        <w:t xml:space="preserve"> </w:t>
      </w:r>
      <w:r w:rsidR="00815DF7">
        <w:rPr>
          <w:i/>
        </w:rPr>
        <w:t xml:space="preserve">and Others </w:t>
      </w:r>
      <w:r w:rsidR="00592D55">
        <w:rPr>
          <w:i/>
        </w:rPr>
        <w:t xml:space="preserve">v Registrar of Aboriginal and Torres Strait Islander Corporations (No 4) </w:t>
      </w:r>
      <w:r w:rsidR="00592D55">
        <w:t xml:space="preserve">(2012) 200 </w:t>
      </w:r>
      <w:proofErr w:type="spellStart"/>
      <w:r w:rsidR="00592D55">
        <w:t>FCR</w:t>
      </w:r>
      <w:proofErr w:type="spellEnd"/>
      <w:r w:rsidR="00592D55">
        <w:t xml:space="preserve"> 154 the Full Court considered the principles going to the making of non-party costs orders and </w:t>
      </w:r>
      <w:r w:rsidR="00592D55" w:rsidRPr="00995EA6">
        <w:t>specifically, in that</w:t>
      </w:r>
      <w:r w:rsidR="00592D55">
        <w:t xml:space="preserve"> case, against the directors of the appellant corporation.  Relevantly at </w:t>
      </w:r>
      <w:r w:rsidR="00592D55">
        <w:lastRenderedPageBreak/>
        <w:t xml:space="preserve">[88], and again at [94], the Court identified </w:t>
      </w:r>
      <w:r w:rsidR="00592D55" w:rsidRPr="009C6CDB">
        <w:t>the</w:t>
      </w:r>
      <w:r w:rsidR="00592D55">
        <w:rPr>
          <w:b/>
        </w:rPr>
        <w:t xml:space="preserve"> </w:t>
      </w:r>
      <w:r w:rsidR="00592D55">
        <w:t xml:space="preserve">power to make a non-party costs order where the non-party’s conduct makes it just and equitable to do so.  The Court noted with approval what </w:t>
      </w:r>
      <w:proofErr w:type="spellStart"/>
      <w:r w:rsidR="00592D55">
        <w:t>Gobbo</w:t>
      </w:r>
      <w:proofErr w:type="spellEnd"/>
      <w:r w:rsidR="00592D55">
        <w:t xml:space="preserve"> J had said in </w:t>
      </w:r>
      <w:proofErr w:type="spellStart"/>
      <w:r w:rsidR="00592D55">
        <w:rPr>
          <w:i/>
        </w:rPr>
        <w:t>Bischof</w:t>
      </w:r>
      <w:proofErr w:type="spellEnd"/>
      <w:r w:rsidR="00592D55">
        <w:rPr>
          <w:i/>
        </w:rPr>
        <w:t xml:space="preserve"> v Adams </w:t>
      </w:r>
      <w:r w:rsidR="00592D55">
        <w:t xml:space="preserve">[1992] 2 VR 198 </w:t>
      </w:r>
      <w:r w:rsidR="00592D55" w:rsidRPr="00995EA6">
        <w:t>at 202-204 that the categories</w:t>
      </w:r>
      <w:r w:rsidR="00592D55">
        <w:t xml:space="preserve"> of cases are not closed. </w:t>
      </w:r>
    </w:p>
    <w:p w:rsidR="00592D55" w:rsidRPr="002A5B11" w:rsidRDefault="003B1253" w:rsidP="003B1253">
      <w:pPr>
        <w:pStyle w:val="ParaNumbering"/>
        <w:keepNext/>
        <w:numPr>
          <w:ilvl w:val="0"/>
          <w:numId w:val="0"/>
        </w:numPr>
        <w:ind w:hanging="720"/>
      </w:pPr>
      <w:r w:rsidRPr="002A5B11">
        <w:rPr>
          <w:sz w:val="20"/>
        </w:rPr>
        <w:t>94</w:t>
      </w:r>
      <w:r w:rsidRPr="002A5B11">
        <w:rPr>
          <w:sz w:val="20"/>
        </w:rPr>
        <w:tab/>
      </w:r>
      <w:r>
        <w:tab/>
      </w:r>
      <w:r w:rsidR="00592D55">
        <w:t>The conduct need not b</w:t>
      </w:r>
      <w:r w:rsidR="002E6AC7">
        <w:t>e improper or dishonest conduct.</w:t>
      </w:r>
      <w:r w:rsidR="00592D55">
        <w:t xml:space="preserve">  </w:t>
      </w:r>
      <w:r w:rsidR="00592D55" w:rsidRPr="002A5B11">
        <w:t xml:space="preserve">The following example was given in </w:t>
      </w:r>
      <w:proofErr w:type="spellStart"/>
      <w:r w:rsidR="00592D55" w:rsidRPr="002A5B11">
        <w:rPr>
          <w:i/>
        </w:rPr>
        <w:t>Dunghutti</w:t>
      </w:r>
      <w:proofErr w:type="spellEnd"/>
      <w:r w:rsidR="00592D55" w:rsidRPr="002A5B11">
        <w:rPr>
          <w:i/>
        </w:rPr>
        <w:t xml:space="preserve"> </w:t>
      </w:r>
      <w:r w:rsidR="00592D55" w:rsidRPr="002A5B11">
        <w:t xml:space="preserve">at [76].  It sets out an excerpt from what was stated in </w:t>
      </w:r>
      <w:r w:rsidR="00592D55" w:rsidRPr="002A5B11">
        <w:rPr>
          <w:i/>
        </w:rPr>
        <w:t xml:space="preserve">Knight </w:t>
      </w:r>
      <w:proofErr w:type="gramStart"/>
      <w:r w:rsidR="00592D55" w:rsidRPr="002A5B11">
        <w:rPr>
          <w:i/>
        </w:rPr>
        <w:t>v</w:t>
      </w:r>
      <w:proofErr w:type="gramEnd"/>
      <w:r w:rsidR="00592D55" w:rsidRPr="002A5B11">
        <w:rPr>
          <w:i/>
        </w:rPr>
        <w:t xml:space="preserve"> FP Special Assets L</w:t>
      </w:r>
      <w:r w:rsidR="00815DF7">
        <w:rPr>
          <w:i/>
        </w:rPr>
        <w:t>imi</w:t>
      </w:r>
      <w:r w:rsidR="00592D55" w:rsidRPr="002A5B11">
        <w:rPr>
          <w:i/>
        </w:rPr>
        <w:t>t</w:t>
      </w:r>
      <w:r w:rsidR="00815DF7">
        <w:rPr>
          <w:i/>
        </w:rPr>
        <w:t>e</w:t>
      </w:r>
      <w:r w:rsidR="00592D55" w:rsidRPr="002A5B11">
        <w:rPr>
          <w:i/>
        </w:rPr>
        <w:t xml:space="preserve">d </w:t>
      </w:r>
      <w:r w:rsidR="00592D55" w:rsidRPr="002A5B11">
        <w:t xml:space="preserve">(1992) 174 </w:t>
      </w:r>
      <w:proofErr w:type="spellStart"/>
      <w:r w:rsidR="00592D55" w:rsidRPr="002A5B11">
        <w:t>CLR</w:t>
      </w:r>
      <w:proofErr w:type="spellEnd"/>
      <w:r w:rsidR="00592D55" w:rsidRPr="002A5B11">
        <w:t xml:space="preserve"> 178 at 192-193 per Mason CJ and Deane J:</w:t>
      </w:r>
    </w:p>
    <w:p w:rsidR="00592D55" w:rsidRDefault="00592D55" w:rsidP="007D702F">
      <w:pPr>
        <w:pStyle w:val="Quote3"/>
        <w:keepNext/>
        <w:ind w:left="720"/>
      </w:pPr>
      <w:r>
        <w:t>76.</w:t>
      </w:r>
      <w:r>
        <w:tab/>
        <w:t>. . .</w:t>
      </w:r>
    </w:p>
    <w:p w:rsidR="00592D55" w:rsidRDefault="00592D55" w:rsidP="007D702F">
      <w:pPr>
        <w:pStyle w:val="Quote2"/>
        <w:keepNext/>
        <w:spacing w:before="120"/>
        <w:ind w:left="1987" w:right="734"/>
      </w:pPr>
      <w:r>
        <w:t xml:space="preserve">For our part, we consider it appropriate to recognize a general category of case in which an order for costs should be made against a non-party and which would encompass the case of a receiver of a company who is not a party to the litigation. That category of case consists of circumstances where the party to the litigation is an insolvent person or man of straw, where the non-party has played an active part in the conduct of the litigation and where the non-party, or some person on whose behalf he or she is acting or by whom he or she has been appointed, has an interest in the subject of the litigation. </w:t>
      </w:r>
      <w:proofErr w:type="gramStart"/>
      <w:r>
        <w:t>Where the circumstances of a case fall within that category, an order for costs should be made against the non-party if the interests of justice require that it be made.</w:t>
      </w:r>
      <w:proofErr w:type="gramEnd"/>
    </w:p>
    <w:p w:rsidR="00592D55" w:rsidRDefault="00592D55" w:rsidP="00592D55">
      <w:pPr>
        <w:pStyle w:val="Quote1"/>
      </w:pPr>
    </w:p>
    <w:p w:rsidR="00592D55" w:rsidRDefault="003B1253" w:rsidP="003B1253">
      <w:pPr>
        <w:pStyle w:val="ParaNumbering"/>
        <w:numPr>
          <w:ilvl w:val="0"/>
          <w:numId w:val="0"/>
        </w:numPr>
        <w:ind w:hanging="720"/>
      </w:pPr>
      <w:r>
        <w:rPr>
          <w:sz w:val="20"/>
        </w:rPr>
        <w:t>95</w:t>
      </w:r>
      <w:r>
        <w:rPr>
          <w:sz w:val="20"/>
        </w:rPr>
        <w:tab/>
      </w:r>
      <w:r>
        <w:tab/>
      </w:r>
      <w:r w:rsidR="00592D55">
        <w:t xml:space="preserve">These obiter remarks were adopted by the Full Court in </w:t>
      </w:r>
      <w:r w:rsidR="00592D55">
        <w:rPr>
          <w:i/>
        </w:rPr>
        <w:t xml:space="preserve">Yates v Boland </w:t>
      </w:r>
      <w:r w:rsidR="00592D55">
        <w:t xml:space="preserve">[2000] </w:t>
      </w:r>
      <w:proofErr w:type="spellStart"/>
      <w:r w:rsidR="00592D55">
        <w:t>FCA</w:t>
      </w:r>
      <w:proofErr w:type="spellEnd"/>
      <w:r w:rsidR="00592D55">
        <w:t xml:space="preserve"> 1895 at [11].</w:t>
      </w:r>
    </w:p>
    <w:p w:rsidR="00592D55" w:rsidRDefault="003B1253" w:rsidP="003B1253">
      <w:pPr>
        <w:pStyle w:val="ParaNumbering"/>
        <w:numPr>
          <w:ilvl w:val="0"/>
          <w:numId w:val="0"/>
        </w:numPr>
        <w:ind w:hanging="720"/>
      </w:pPr>
      <w:r>
        <w:rPr>
          <w:sz w:val="20"/>
        </w:rPr>
        <w:t>96</w:t>
      </w:r>
      <w:r>
        <w:rPr>
          <w:sz w:val="20"/>
        </w:rPr>
        <w:tab/>
      </w:r>
      <w:r>
        <w:tab/>
      </w:r>
      <w:r w:rsidR="00592D55">
        <w:t xml:space="preserve">Nonetheless there must be conduct.  Counsel for the respondents was repeatedly invited by the Court to identify what was the relevant conduct of Mr Knell which related to the circumstances surrounding the making of the </w:t>
      </w:r>
      <w:proofErr w:type="spellStart"/>
      <w:r w:rsidR="00592D55">
        <w:t>DOCA</w:t>
      </w:r>
      <w:proofErr w:type="spellEnd"/>
      <w:r w:rsidR="00592D55">
        <w:t xml:space="preserve">.  He was unable to do so.  </w:t>
      </w:r>
    </w:p>
    <w:p w:rsidR="00592D55" w:rsidRDefault="003B1253" w:rsidP="003B1253">
      <w:pPr>
        <w:pStyle w:val="ParaNumbering"/>
        <w:numPr>
          <w:ilvl w:val="0"/>
          <w:numId w:val="0"/>
        </w:numPr>
        <w:ind w:hanging="720"/>
      </w:pPr>
      <w:r>
        <w:rPr>
          <w:sz w:val="20"/>
        </w:rPr>
        <w:t>97</w:t>
      </w:r>
      <w:r>
        <w:rPr>
          <w:sz w:val="20"/>
        </w:rPr>
        <w:tab/>
      </w:r>
      <w:r>
        <w:tab/>
      </w:r>
      <w:r w:rsidR="00592D55">
        <w:t xml:space="preserve">It is apparent that there were important findings made by the primary judge beyond those concerning the circumstances surrounding the making of the </w:t>
      </w:r>
      <w:proofErr w:type="spellStart"/>
      <w:r w:rsidR="00592D55">
        <w:t>DOCA</w:t>
      </w:r>
      <w:proofErr w:type="spellEnd"/>
      <w:r w:rsidR="00592D55">
        <w:t>.</w:t>
      </w:r>
    </w:p>
    <w:p w:rsidR="00592D55" w:rsidRDefault="003B1253" w:rsidP="003B1253">
      <w:pPr>
        <w:pStyle w:val="ParaNumbering"/>
        <w:numPr>
          <w:ilvl w:val="0"/>
          <w:numId w:val="0"/>
        </w:numPr>
        <w:ind w:hanging="720"/>
      </w:pPr>
      <w:r>
        <w:rPr>
          <w:sz w:val="20"/>
        </w:rPr>
        <w:t>98</w:t>
      </w:r>
      <w:r>
        <w:rPr>
          <w:sz w:val="20"/>
        </w:rPr>
        <w:tab/>
      </w:r>
      <w:r>
        <w:tab/>
      </w:r>
      <w:r w:rsidR="00592D55">
        <w:t xml:space="preserve">It is important to bear in mind that notice to a non-party against whom a costs order is being sought will not always be necessary.  As was pointed out by the Full Court in </w:t>
      </w:r>
      <w:r w:rsidR="00592D55">
        <w:rPr>
          <w:i/>
        </w:rPr>
        <w:t xml:space="preserve">Yates v Boland </w:t>
      </w:r>
      <w:r w:rsidR="00592D55">
        <w:t xml:space="preserve">at [34] whether such a requirement arises will depend on the facts and circumstances of the individual case: “the necessity to warn a non-party of an intention to claim costs is not a principle applicable in every case … Rather it may be a material consideration depending on the situation disclosed in the case under consideration”.  </w:t>
      </w:r>
    </w:p>
    <w:p w:rsidR="00592D55" w:rsidRDefault="003B1253" w:rsidP="003B1253">
      <w:pPr>
        <w:pStyle w:val="ParaNumbering"/>
        <w:numPr>
          <w:ilvl w:val="0"/>
          <w:numId w:val="0"/>
        </w:numPr>
        <w:ind w:hanging="720"/>
      </w:pPr>
      <w:r>
        <w:rPr>
          <w:sz w:val="20"/>
        </w:rPr>
        <w:t>99</w:t>
      </w:r>
      <w:r>
        <w:rPr>
          <w:sz w:val="20"/>
        </w:rPr>
        <w:tab/>
      </w:r>
      <w:r>
        <w:tab/>
      </w:r>
      <w:r w:rsidR="00592D55">
        <w:t xml:space="preserve">Failure to take account of the fact that there was no such warning may amount to a failure to take into account a material consideration. </w:t>
      </w:r>
    </w:p>
    <w:p w:rsidR="00592D55" w:rsidRDefault="003B1253" w:rsidP="003B1253">
      <w:pPr>
        <w:pStyle w:val="ParaNumbering"/>
        <w:numPr>
          <w:ilvl w:val="0"/>
          <w:numId w:val="0"/>
        </w:numPr>
        <w:ind w:hanging="720"/>
      </w:pPr>
      <w:r>
        <w:rPr>
          <w:sz w:val="20"/>
        </w:rPr>
        <w:lastRenderedPageBreak/>
        <w:t>100</w:t>
      </w:r>
      <w:r>
        <w:rPr>
          <w:sz w:val="20"/>
        </w:rPr>
        <w:tab/>
      </w:r>
      <w:r>
        <w:tab/>
      </w:r>
      <w:r w:rsidR="00592D55">
        <w:t xml:space="preserve">Counsel for the respondents, in this context, advised the Court that he would not abandon reliance on the findings at [114] </w:t>
      </w:r>
      <w:r w:rsidR="00592D55" w:rsidRPr="00521260">
        <w:t xml:space="preserve">of the Costs judgment.  These concern the circumstances surrounding the </w:t>
      </w:r>
      <w:proofErr w:type="spellStart"/>
      <w:r w:rsidR="00592D55" w:rsidRPr="00521260">
        <w:t>DOCA</w:t>
      </w:r>
      <w:proofErr w:type="spellEnd"/>
      <w:r w:rsidR="00592D55" w:rsidRPr="00521260">
        <w:t>.  It seems t</w:t>
      </w:r>
      <w:r w:rsidR="00592D55">
        <w:t xml:space="preserve">o me that they cannot seek to do before us what they did not do before the primary judge. </w:t>
      </w:r>
    </w:p>
    <w:p w:rsidR="00592D55" w:rsidRPr="009C6CDB" w:rsidRDefault="003B1253" w:rsidP="003B1253">
      <w:pPr>
        <w:pStyle w:val="ParaNumbering"/>
        <w:numPr>
          <w:ilvl w:val="0"/>
          <w:numId w:val="0"/>
        </w:numPr>
        <w:ind w:hanging="720"/>
      </w:pPr>
      <w:r w:rsidRPr="009C6CDB">
        <w:rPr>
          <w:sz w:val="20"/>
        </w:rPr>
        <w:t>101</w:t>
      </w:r>
      <w:r w:rsidRPr="009C6CDB">
        <w:rPr>
          <w:sz w:val="20"/>
        </w:rPr>
        <w:tab/>
      </w:r>
      <w:r>
        <w:tab/>
      </w:r>
      <w:r w:rsidR="00592D55">
        <w:t xml:space="preserve">It is evident that the primary judge placed central reliance upon his findings as to the circumstances surrounding the making of the </w:t>
      </w:r>
      <w:proofErr w:type="spellStart"/>
      <w:r w:rsidR="00592D55">
        <w:t>DOCA</w:t>
      </w:r>
      <w:proofErr w:type="spellEnd"/>
      <w:r w:rsidR="00592D55">
        <w:t xml:space="preserve">.  </w:t>
      </w:r>
      <w:r w:rsidR="00592D55" w:rsidRPr="009C6CDB">
        <w:t xml:space="preserve">No reliance had been placed on them or any of them by the respondents.  </w:t>
      </w:r>
      <w:r w:rsidR="00592D55">
        <w:t xml:space="preserve">Accordingly, there was a denial of procedural fairness to the appellant.  His counsel had foreshadowed that there was a factual contest in play were the circumstances surrounding the </w:t>
      </w:r>
      <w:proofErr w:type="spellStart"/>
      <w:r w:rsidR="00592D55">
        <w:t>DOCA</w:t>
      </w:r>
      <w:proofErr w:type="spellEnd"/>
      <w:r w:rsidR="00592D55">
        <w:t xml:space="preserve"> to be taken into account.  That contest was not entered upon.  A court should not determine a matter on a basis not relied upon by a party as was the case here: </w:t>
      </w:r>
      <w:r w:rsidR="00592D55">
        <w:rPr>
          <w:i/>
        </w:rPr>
        <w:t>International Finance Trust Company L</w:t>
      </w:r>
      <w:r w:rsidR="00815DF7">
        <w:rPr>
          <w:i/>
        </w:rPr>
        <w:t>imited</w:t>
      </w:r>
      <w:r w:rsidR="00592D55">
        <w:rPr>
          <w:i/>
        </w:rPr>
        <w:t xml:space="preserve"> v New South Wales Crime Commission </w:t>
      </w:r>
      <w:r w:rsidR="00592D55">
        <w:t xml:space="preserve">(2009) 240 </w:t>
      </w:r>
      <w:proofErr w:type="spellStart"/>
      <w:r w:rsidR="00592D55">
        <w:t>CLR</w:t>
      </w:r>
      <w:proofErr w:type="spellEnd"/>
      <w:r w:rsidR="00592D55">
        <w:t xml:space="preserve"> 319 at [146] and </w:t>
      </w:r>
      <w:r w:rsidR="00592D55">
        <w:rPr>
          <w:i/>
        </w:rPr>
        <w:t>Farah Constructions Pty L</w:t>
      </w:r>
      <w:r w:rsidR="00815DF7">
        <w:rPr>
          <w:i/>
        </w:rPr>
        <w:t>imited</w:t>
      </w:r>
      <w:r w:rsidR="00592D55">
        <w:rPr>
          <w:i/>
        </w:rPr>
        <w:t xml:space="preserve"> v Say-Dee Pty L</w:t>
      </w:r>
      <w:r w:rsidR="00815DF7">
        <w:rPr>
          <w:i/>
        </w:rPr>
        <w:t>imited</w:t>
      </w:r>
      <w:r w:rsidR="00592D55">
        <w:rPr>
          <w:i/>
        </w:rPr>
        <w:t xml:space="preserve"> </w:t>
      </w:r>
      <w:r w:rsidR="00592D55">
        <w:t xml:space="preserve">(2007) 230 </w:t>
      </w:r>
      <w:proofErr w:type="spellStart"/>
      <w:r w:rsidR="00592D55">
        <w:t>CLR</w:t>
      </w:r>
      <w:proofErr w:type="spellEnd"/>
      <w:r w:rsidR="00592D55">
        <w:t xml:space="preserve"> 89 at [132]-[133].  Moreover,</w:t>
      </w:r>
      <w:r w:rsidR="00592D55" w:rsidRPr="009C6CDB">
        <w:t xml:space="preserve"> </w:t>
      </w:r>
      <w:r w:rsidR="00592D55">
        <w:t xml:space="preserve">the other side of that coin is that these unproved and contestable circumstances </w:t>
      </w:r>
      <w:r w:rsidR="00592D55" w:rsidRPr="009C6CDB">
        <w:t>were not material considerations and ought not to have been taken into account.</w:t>
      </w:r>
    </w:p>
    <w:p w:rsidR="00592D55" w:rsidRDefault="003B1253" w:rsidP="003B1253">
      <w:pPr>
        <w:pStyle w:val="ParaNumbering"/>
        <w:numPr>
          <w:ilvl w:val="0"/>
          <w:numId w:val="0"/>
        </w:numPr>
        <w:ind w:hanging="720"/>
      </w:pPr>
      <w:r>
        <w:rPr>
          <w:sz w:val="20"/>
        </w:rPr>
        <w:t>102</w:t>
      </w:r>
      <w:r>
        <w:rPr>
          <w:sz w:val="20"/>
        </w:rPr>
        <w:tab/>
      </w:r>
      <w:r>
        <w:tab/>
      </w:r>
      <w:r w:rsidR="00592D55">
        <w:t xml:space="preserve">In my opinion, the discretion of the primary judge miscarried.  I do not think, despite the findings in [102] of the Costs judgment, that this Court should not only set aside the costs order against Mr Knell but re-exercise the discretion. </w:t>
      </w:r>
    </w:p>
    <w:p w:rsidR="00592D55" w:rsidRPr="0095727F" w:rsidRDefault="003B1253" w:rsidP="003B1253">
      <w:pPr>
        <w:pStyle w:val="ParaNumbering"/>
        <w:numPr>
          <w:ilvl w:val="0"/>
          <w:numId w:val="0"/>
        </w:numPr>
        <w:ind w:hanging="720"/>
      </w:pPr>
      <w:r w:rsidRPr="0095727F">
        <w:rPr>
          <w:sz w:val="20"/>
        </w:rPr>
        <w:t>103</w:t>
      </w:r>
      <w:r w:rsidRPr="0095727F">
        <w:rPr>
          <w:sz w:val="20"/>
        </w:rPr>
        <w:tab/>
      </w:r>
      <w:r>
        <w:tab/>
      </w:r>
      <w:r w:rsidR="00592D55" w:rsidRPr="0095727F">
        <w:t xml:space="preserve">The central barrier to this is that whilst there is a general finding that the conduct of the litigation by </w:t>
      </w:r>
      <w:proofErr w:type="spellStart"/>
      <w:r w:rsidR="00592D55" w:rsidRPr="0095727F">
        <w:t>Bluechip</w:t>
      </w:r>
      <w:proofErr w:type="spellEnd"/>
      <w:r w:rsidR="00592D55" w:rsidRPr="0095727F">
        <w:t xml:space="preserve"> was improper, to the extent that this is specified to Mr Knell, it is couched in terms of the circumstances surrounding the </w:t>
      </w:r>
      <w:proofErr w:type="spellStart"/>
      <w:r w:rsidR="00592D55" w:rsidRPr="0095727F">
        <w:t>DOCA</w:t>
      </w:r>
      <w:proofErr w:type="spellEnd"/>
      <w:r w:rsidR="00592D55" w:rsidRPr="0095727F">
        <w:t xml:space="preserve"> and other factors </w:t>
      </w:r>
      <w:r w:rsidR="00592D55">
        <w:t xml:space="preserve">(at </w:t>
      </w:r>
      <w:r w:rsidR="00592D55" w:rsidRPr="0095727F">
        <w:t>[102]</w:t>
      </w:r>
      <w:r w:rsidR="00592D55">
        <w:t>)</w:t>
      </w:r>
      <w:r w:rsidR="00592D55" w:rsidRPr="0095727F">
        <w:t xml:space="preserve"> and responsibility for “much of the elongation of the proceedings” </w:t>
      </w:r>
      <w:r w:rsidR="00592D55">
        <w:t xml:space="preserve">(at </w:t>
      </w:r>
      <w:r w:rsidR="008D5754">
        <w:t>[</w:t>
      </w:r>
      <w:r w:rsidR="00592D55" w:rsidRPr="0095727F">
        <w:t>106]</w:t>
      </w:r>
      <w:r w:rsidR="00592D55">
        <w:t>)</w:t>
      </w:r>
      <w:r w:rsidR="00592D55" w:rsidRPr="0095727F">
        <w:t xml:space="preserve">.  However, there are not specific findings, either quantitative or qualitative, which would enable the Court to re-exercise the discretion.  To do so would have required the Court to embark on a full consideration of the relevant evidence.  The Court was invited to do so by counsel for Mr Knell but only in reply.  The invitation, reasonably enough, was declined.  Accordingly the matter of the non-party costs application should be remitted to the </w:t>
      </w:r>
      <w:proofErr w:type="spellStart"/>
      <w:r w:rsidR="00592D55" w:rsidRPr="0095727F">
        <w:t>FCCA</w:t>
      </w:r>
      <w:proofErr w:type="spellEnd"/>
      <w:r w:rsidR="00592D55" w:rsidRPr="0095727F">
        <w:t xml:space="preserve"> to be determined according to law and in light of </w:t>
      </w:r>
      <w:r w:rsidR="00592D55" w:rsidRPr="00AF2AF3">
        <w:t>these reasons.</w:t>
      </w:r>
      <w:r w:rsidR="00592D55">
        <w:t xml:space="preserve"> </w:t>
      </w:r>
    </w:p>
    <w:p w:rsidR="00592D55" w:rsidRDefault="00592D55" w:rsidP="00592D55">
      <w:pPr>
        <w:pStyle w:val="Heading2"/>
      </w:pPr>
      <w:r>
        <w:t>Costs of the appeals</w:t>
      </w:r>
    </w:p>
    <w:p w:rsidR="00592D55" w:rsidRDefault="003B1253" w:rsidP="003B1253">
      <w:pPr>
        <w:pStyle w:val="ParaNumbering"/>
        <w:numPr>
          <w:ilvl w:val="0"/>
          <w:numId w:val="0"/>
        </w:numPr>
        <w:ind w:hanging="720"/>
      </w:pPr>
      <w:r>
        <w:rPr>
          <w:sz w:val="20"/>
        </w:rPr>
        <w:t>104</w:t>
      </w:r>
      <w:r>
        <w:rPr>
          <w:sz w:val="20"/>
        </w:rPr>
        <w:tab/>
      </w:r>
      <w:r>
        <w:tab/>
      </w:r>
      <w:r w:rsidR="00592D55">
        <w:t xml:space="preserve">The </w:t>
      </w:r>
      <w:proofErr w:type="spellStart"/>
      <w:r w:rsidR="00592D55" w:rsidRPr="00CE3531">
        <w:t>Bluechip</w:t>
      </w:r>
      <w:proofErr w:type="spellEnd"/>
      <w:r w:rsidR="00592D55" w:rsidRPr="00CE3531">
        <w:t xml:space="preserve"> Appeal</w:t>
      </w:r>
      <w:r w:rsidR="00592D55">
        <w:t xml:space="preserve"> challenged the entirety of the ju</w:t>
      </w:r>
      <w:r w:rsidR="00EE473A">
        <w:t xml:space="preserve">dgments of the </w:t>
      </w:r>
      <w:proofErr w:type="spellStart"/>
      <w:r w:rsidR="00EE473A">
        <w:t>FCCA</w:t>
      </w:r>
      <w:proofErr w:type="spellEnd"/>
      <w:r w:rsidR="00EE473A">
        <w:t xml:space="preserve"> given on 26 </w:t>
      </w:r>
      <w:r w:rsidR="00592D55">
        <w:t>April 2013 and 20 November 2013.</w:t>
      </w:r>
    </w:p>
    <w:p w:rsidR="00592D55" w:rsidRDefault="003B1253" w:rsidP="003B1253">
      <w:pPr>
        <w:pStyle w:val="ParaNumbering"/>
        <w:numPr>
          <w:ilvl w:val="0"/>
          <w:numId w:val="0"/>
        </w:numPr>
        <w:ind w:hanging="720"/>
      </w:pPr>
      <w:r>
        <w:rPr>
          <w:sz w:val="20"/>
        </w:rPr>
        <w:lastRenderedPageBreak/>
        <w:t>105</w:t>
      </w:r>
      <w:r>
        <w:rPr>
          <w:sz w:val="20"/>
        </w:rPr>
        <w:tab/>
      </w:r>
      <w:r>
        <w:tab/>
      </w:r>
      <w:r w:rsidR="00592D55">
        <w:t xml:space="preserve">The </w:t>
      </w:r>
      <w:r w:rsidR="00592D55" w:rsidRPr="00CE3531">
        <w:t>Knell C</w:t>
      </w:r>
      <w:r w:rsidR="00592D55">
        <w:t xml:space="preserve">osts Appeal appeals from part of the </w:t>
      </w:r>
      <w:r w:rsidR="00592D55" w:rsidRPr="005A2745">
        <w:t>Costs</w:t>
      </w:r>
      <w:r w:rsidR="00592D55">
        <w:rPr>
          <w:b/>
        </w:rPr>
        <w:t xml:space="preserve"> </w:t>
      </w:r>
      <w:r w:rsidR="00592D55">
        <w:t xml:space="preserve">judgment given on 20 November 2013 and Order 4 made on 28 November 2013. </w:t>
      </w:r>
    </w:p>
    <w:p w:rsidR="00592D55" w:rsidRDefault="003B1253" w:rsidP="003B1253">
      <w:pPr>
        <w:pStyle w:val="ParaNumbering"/>
        <w:numPr>
          <w:ilvl w:val="0"/>
          <w:numId w:val="0"/>
        </w:numPr>
        <w:ind w:hanging="720"/>
      </w:pPr>
      <w:r>
        <w:rPr>
          <w:sz w:val="20"/>
        </w:rPr>
        <w:t>106</w:t>
      </w:r>
      <w:r>
        <w:rPr>
          <w:sz w:val="20"/>
        </w:rPr>
        <w:tab/>
      </w:r>
      <w:r>
        <w:tab/>
      </w:r>
      <w:r w:rsidR="00592D55">
        <w:t xml:space="preserve">On the morning of the first day of the hearing of the appeals, </w:t>
      </w:r>
      <w:r w:rsidR="00592D55" w:rsidRPr="00AF2AF3">
        <w:t>which was originally</w:t>
      </w:r>
      <w:r w:rsidR="00592D55">
        <w:t xml:space="preserve"> set down for a four day hearing, counsel for the appellants informed the Court that he wanted to highlight but two grounds of appeal.  The first concerns the effect of the </w:t>
      </w:r>
      <w:proofErr w:type="spellStart"/>
      <w:r w:rsidR="00592D55">
        <w:t>DOCA</w:t>
      </w:r>
      <w:proofErr w:type="spellEnd"/>
      <w:r w:rsidR="00592D55">
        <w:t xml:space="preserve"> on the orders made including costs orders.  The second concerned the failure to warn Mr Knell that certain conduct would be relied upon in support of a non-party costs order against him.  These confined grounds were contained in a document entitled “Appellants’ Summary” then provided to the Court. </w:t>
      </w:r>
    </w:p>
    <w:p w:rsidR="00592D55" w:rsidRDefault="003B1253" w:rsidP="003B1253">
      <w:pPr>
        <w:pStyle w:val="ParaNumbering"/>
        <w:numPr>
          <w:ilvl w:val="0"/>
          <w:numId w:val="0"/>
        </w:numPr>
        <w:ind w:hanging="720"/>
      </w:pPr>
      <w:r>
        <w:rPr>
          <w:sz w:val="20"/>
        </w:rPr>
        <w:t>107</w:t>
      </w:r>
      <w:r>
        <w:rPr>
          <w:sz w:val="20"/>
        </w:rPr>
        <w:tab/>
      </w:r>
      <w:r>
        <w:tab/>
      </w:r>
      <w:r w:rsidR="00592D55">
        <w:t xml:space="preserve">When pressed as to the status of the grounds of appeal in the Notices of Appeal in light of the confinement of oral submissions, counsel for the appellants after lunch informed the Court that other than those grounds of appeal in the “Appellants Summary” all other grounds of appeal in the Notices of Appeal were abandoned. </w:t>
      </w:r>
    </w:p>
    <w:p w:rsidR="00592D55" w:rsidRPr="009520F5" w:rsidRDefault="003B1253" w:rsidP="003B1253">
      <w:pPr>
        <w:pStyle w:val="ParaNumbering"/>
        <w:numPr>
          <w:ilvl w:val="0"/>
          <w:numId w:val="0"/>
        </w:numPr>
        <w:ind w:hanging="720"/>
      </w:pPr>
      <w:r w:rsidRPr="009520F5">
        <w:rPr>
          <w:sz w:val="20"/>
        </w:rPr>
        <w:t>108</w:t>
      </w:r>
      <w:r w:rsidRPr="009520F5">
        <w:rPr>
          <w:sz w:val="20"/>
        </w:rPr>
        <w:tab/>
      </w:r>
      <w:r>
        <w:tab/>
      </w:r>
      <w:r w:rsidR="00592D55">
        <w:t>This resulted in a considerably truncated hearing which extended to about one and a half days and the attendant waste of considerable preparation by the respondents and indeed by the Court.  This kind of eleventh hour revision of what is going to be argued is the antithesis of what this Court expects from practitioners.  It is wasteful of scarce public resources.  It has financial and other consequences for the other parties.  It has a tendency generally to diminish the standing of the legal profession.</w:t>
      </w:r>
    </w:p>
    <w:p w:rsidR="00592D55" w:rsidRDefault="003B1253" w:rsidP="003B1253">
      <w:pPr>
        <w:pStyle w:val="ParaNumbering"/>
        <w:numPr>
          <w:ilvl w:val="0"/>
          <w:numId w:val="0"/>
        </w:numPr>
        <w:ind w:hanging="720"/>
      </w:pPr>
      <w:r>
        <w:rPr>
          <w:sz w:val="20"/>
        </w:rPr>
        <w:t>109</w:t>
      </w:r>
      <w:r>
        <w:rPr>
          <w:sz w:val="20"/>
        </w:rPr>
        <w:tab/>
      </w:r>
      <w:r>
        <w:tab/>
      </w:r>
      <w:r w:rsidR="00592D55">
        <w:t xml:space="preserve">The respondents should have their costs thrown away by reason of the abandonment of the grounds in the Notices of Appeal not advanced in the “Appellants’ Summary” document. </w:t>
      </w:r>
    </w:p>
    <w:p w:rsidR="00592D55" w:rsidRPr="00CE3531" w:rsidRDefault="003B1253" w:rsidP="003B1253">
      <w:pPr>
        <w:pStyle w:val="ParaNumbering"/>
        <w:numPr>
          <w:ilvl w:val="0"/>
          <w:numId w:val="0"/>
        </w:numPr>
        <w:ind w:hanging="720"/>
      </w:pPr>
      <w:r w:rsidRPr="00CE3531">
        <w:rPr>
          <w:sz w:val="20"/>
        </w:rPr>
        <w:t>110</w:t>
      </w:r>
      <w:r w:rsidRPr="00CE3531">
        <w:rPr>
          <w:sz w:val="20"/>
        </w:rPr>
        <w:tab/>
      </w:r>
      <w:r>
        <w:tab/>
      </w:r>
      <w:proofErr w:type="spellStart"/>
      <w:r w:rsidR="00592D55">
        <w:t>Bluechip</w:t>
      </w:r>
      <w:proofErr w:type="spellEnd"/>
      <w:r w:rsidR="00592D55">
        <w:t xml:space="preserve"> has been successful in its appeal against the </w:t>
      </w:r>
      <w:r w:rsidR="00592D55" w:rsidRPr="00AF2AF3">
        <w:t xml:space="preserve">Liability judgment in respect to the amount of the judgment entered.  This did not occasion much argument.  Otherwise it was unsuccessful in its challenge to the finding </w:t>
      </w:r>
      <w:r w:rsidR="00592D55" w:rsidRPr="00CE3531">
        <w:t xml:space="preserve">in the Costs judgment and consequential orders that the costs, including the costs of the counterclaim were compromised by the </w:t>
      </w:r>
      <w:proofErr w:type="spellStart"/>
      <w:r w:rsidR="00592D55" w:rsidRPr="00CE3531">
        <w:t>DOCA</w:t>
      </w:r>
      <w:proofErr w:type="spellEnd"/>
      <w:r w:rsidR="00592D55" w:rsidRPr="00CE3531">
        <w:t xml:space="preserve">.  </w:t>
      </w:r>
      <w:proofErr w:type="spellStart"/>
      <w:r w:rsidR="00592D55" w:rsidRPr="00CE3531">
        <w:t>Bluechip</w:t>
      </w:r>
      <w:proofErr w:type="spellEnd"/>
      <w:r w:rsidR="00592D55" w:rsidRPr="00CE3531">
        <w:t xml:space="preserve"> should pay the respondents’ costs of this appeal.</w:t>
      </w:r>
    </w:p>
    <w:p w:rsidR="00592D55" w:rsidRPr="00CE3531" w:rsidRDefault="003B1253" w:rsidP="003B1253">
      <w:pPr>
        <w:pStyle w:val="ParaNumbering"/>
        <w:numPr>
          <w:ilvl w:val="0"/>
          <w:numId w:val="0"/>
        </w:numPr>
        <w:ind w:hanging="720"/>
      </w:pPr>
      <w:r w:rsidRPr="00CE3531">
        <w:rPr>
          <w:sz w:val="20"/>
        </w:rPr>
        <w:t>111</w:t>
      </w:r>
      <w:r w:rsidRPr="00CE3531">
        <w:rPr>
          <w:sz w:val="20"/>
        </w:rPr>
        <w:tab/>
      </w:r>
      <w:r>
        <w:tab/>
      </w:r>
      <w:r w:rsidR="00592D55" w:rsidRPr="00CE3531">
        <w:t xml:space="preserve">In the Knell Costs Appeal Mr Knell has been successful.  He should have his costs of the appeal against the respondents.  I do not accept the submission by counsel for the respondents that he should not have his costs but rather (together with </w:t>
      </w:r>
      <w:proofErr w:type="spellStart"/>
      <w:r w:rsidR="00592D55" w:rsidRPr="00CE3531">
        <w:t>Bluechip</w:t>
      </w:r>
      <w:proofErr w:type="spellEnd"/>
      <w:r w:rsidR="00592D55" w:rsidRPr="00CE3531">
        <w:t xml:space="preserve">) should pay 80% of the respondents’ costs to reflect that “they”, presumably meaning </w:t>
      </w:r>
      <w:proofErr w:type="spellStart"/>
      <w:r w:rsidR="00592D55" w:rsidRPr="00CE3531">
        <w:t>Bluechip</w:t>
      </w:r>
      <w:proofErr w:type="spellEnd"/>
      <w:r w:rsidR="00592D55" w:rsidRPr="00CE3531">
        <w:t xml:space="preserve"> and Mr </w:t>
      </w:r>
      <w:r w:rsidR="00592D55" w:rsidRPr="00CE3531">
        <w:lastRenderedPageBreak/>
        <w:t>Knell, “ran a very large appeal” but belatedly abandoned many of those grounds.  However, Mr Knell did</w:t>
      </w:r>
      <w:r w:rsidR="00592D55">
        <w:rPr>
          <w:b/>
        </w:rPr>
        <w:t xml:space="preserve"> </w:t>
      </w:r>
      <w:r w:rsidR="00592D55" w:rsidRPr="00CE3531">
        <w:t xml:space="preserve">not abandon any of his grounds of appeal.  This submission can relate only to the </w:t>
      </w:r>
      <w:proofErr w:type="spellStart"/>
      <w:r w:rsidR="00592D55" w:rsidRPr="00CE3531">
        <w:t>Bluechip</w:t>
      </w:r>
      <w:proofErr w:type="spellEnd"/>
      <w:r w:rsidR="00592D55" w:rsidRPr="00CE3531">
        <w:t xml:space="preserve"> Appeal.</w:t>
      </w:r>
    </w:p>
    <w:p w:rsidR="00592D55" w:rsidRDefault="003B1253" w:rsidP="003B1253">
      <w:pPr>
        <w:pStyle w:val="ParaNumbering"/>
        <w:numPr>
          <w:ilvl w:val="0"/>
          <w:numId w:val="0"/>
        </w:numPr>
        <w:ind w:hanging="720"/>
      </w:pPr>
      <w:r>
        <w:rPr>
          <w:sz w:val="20"/>
        </w:rPr>
        <w:t>112</w:t>
      </w:r>
      <w:r>
        <w:rPr>
          <w:sz w:val="20"/>
        </w:rPr>
        <w:tab/>
      </w:r>
      <w:r>
        <w:tab/>
      </w:r>
      <w:r w:rsidR="00592D55" w:rsidRPr="00CE3531">
        <w:t xml:space="preserve">This belated abandonment reflects the considered view of the appellant’s counsel who argued the </w:t>
      </w:r>
      <w:proofErr w:type="spellStart"/>
      <w:r w:rsidR="00592D55" w:rsidRPr="00CE3531">
        <w:t>Bluechip</w:t>
      </w:r>
      <w:proofErr w:type="spellEnd"/>
      <w:r w:rsidR="00592D55" w:rsidRPr="00CE3531">
        <w:t xml:space="preserve"> Appeal that</w:t>
      </w:r>
      <w:r w:rsidR="00592D55">
        <w:t xml:space="preserve"> </w:t>
      </w:r>
      <w:r w:rsidR="00592D55" w:rsidRPr="00AF2AF3">
        <w:t>most of the grounds</w:t>
      </w:r>
      <w:r w:rsidR="00592D55">
        <w:t xml:space="preserve"> were without merit. A consideration of the grounds of appeal and the reasons for judgment of the primary judge supports this conclusion.  Indeed counsel for the appellant </w:t>
      </w:r>
      <w:r w:rsidR="00592D55" w:rsidRPr="00CE3531">
        <w:t xml:space="preserve">in the </w:t>
      </w:r>
      <w:proofErr w:type="spellStart"/>
      <w:r w:rsidR="00592D55" w:rsidRPr="00CE3531">
        <w:t>Bluechip</w:t>
      </w:r>
      <w:proofErr w:type="spellEnd"/>
      <w:r w:rsidR="00592D55" w:rsidRPr="00CE3531">
        <w:t xml:space="preserve"> Appeal, it</w:t>
      </w:r>
      <w:r w:rsidR="00592D55">
        <w:t xml:space="preserve"> seems to me, implicitly conceded as much when the issue of costs was being debated. </w:t>
      </w:r>
    </w:p>
    <w:p w:rsidR="00592D55" w:rsidRDefault="003B1253" w:rsidP="003B1253">
      <w:pPr>
        <w:pStyle w:val="ParaNumbering"/>
        <w:numPr>
          <w:ilvl w:val="0"/>
          <w:numId w:val="0"/>
        </w:numPr>
        <w:ind w:hanging="720"/>
      </w:pPr>
      <w:r>
        <w:rPr>
          <w:sz w:val="20"/>
        </w:rPr>
        <w:t>113</w:t>
      </w:r>
      <w:r>
        <w:rPr>
          <w:sz w:val="20"/>
        </w:rPr>
        <w:tab/>
      </w:r>
      <w:r>
        <w:tab/>
      </w:r>
      <w:r w:rsidR="00592D55">
        <w:t xml:space="preserve">These circumstances, in my opinion, warrant an order that the costs thrown away by reason of the abandonment of most of the grounds of appeal should be paid on an indemnity basis.  This is not because of the late notice, although that may be a factor, but because the grounds were manifestly without merit. </w:t>
      </w:r>
    </w:p>
    <w:p w:rsidR="00592D55" w:rsidRDefault="003B1253" w:rsidP="003B1253">
      <w:pPr>
        <w:pStyle w:val="ParaNumbering"/>
        <w:numPr>
          <w:ilvl w:val="0"/>
          <w:numId w:val="0"/>
        </w:numPr>
        <w:ind w:hanging="720"/>
      </w:pPr>
      <w:r>
        <w:rPr>
          <w:sz w:val="20"/>
        </w:rPr>
        <w:t>114</w:t>
      </w:r>
      <w:r>
        <w:rPr>
          <w:sz w:val="20"/>
        </w:rPr>
        <w:tab/>
      </w:r>
      <w:r>
        <w:tab/>
      </w:r>
      <w:r w:rsidR="00592D55">
        <w:t xml:space="preserve">If, as contended for by the appellants, this had been a case where there was a failure to put Mr Knell on notice of factors relied upon by the respondents (and it was not) I would have upheld such a ground and still remitted the matter to the </w:t>
      </w:r>
      <w:proofErr w:type="spellStart"/>
      <w:r w:rsidR="00592D55">
        <w:t>FCCA</w:t>
      </w:r>
      <w:proofErr w:type="spellEnd"/>
      <w:r w:rsidR="00592D55">
        <w:t xml:space="preserve">. </w:t>
      </w:r>
    </w:p>
    <w:p w:rsidR="009174B6" w:rsidRDefault="009174B6" w:rsidP="00592D55">
      <w:pPr>
        <w:pStyle w:val="BodyText"/>
      </w:pPr>
    </w:p>
    <w:tbl>
      <w:tblPr>
        <w:tblW w:w="0" w:type="auto"/>
        <w:tblLook w:val="04A0" w:firstRow="1" w:lastRow="0" w:firstColumn="1" w:lastColumn="0" w:noHBand="0" w:noVBand="1"/>
      </w:tblPr>
      <w:tblGrid>
        <w:gridCol w:w="3794"/>
      </w:tblGrid>
      <w:tr w:rsidR="00592D55" w:rsidRPr="0095727F" w:rsidTr="00EE473A">
        <w:tc>
          <w:tcPr>
            <w:tcW w:w="3794" w:type="dxa"/>
            <w:shd w:val="clear" w:color="auto" w:fill="auto"/>
          </w:tcPr>
          <w:p w:rsidR="00592D55" w:rsidRPr="0095727F" w:rsidRDefault="00592D55" w:rsidP="009174B6">
            <w:pPr>
              <w:pStyle w:val="Normal1linespace"/>
            </w:pPr>
            <w:r w:rsidRPr="0095727F">
              <w:t xml:space="preserve">I certify that the preceding </w:t>
            </w:r>
            <w:r>
              <w:t>one hundred and seven</w:t>
            </w:r>
            <w:r w:rsidRPr="0095727F">
              <w:t xml:space="preserve"> (</w:t>
            </w:r>
            <w:r>
              <w:t>107</w:t>
            </w:r>
            <w:r w:rsidRPr="0095727F">
              <w:t xml:space="preserve">) numbered </w:t>
            </w:r>
            <w:r>
              <w:t>paragraphs are</w:t>
            </w:r>
            <w:r w:rsidRPr="0095727F">
              <w:t xml:space="preserve"> a true copy of the Reasons for Judgment herein of the Honourable </w:t>
            </w:r>
            <w:r>
              <w:t>Justice</w:t>
            </w:r>
            <w:r w:rsidR="009174B6">
              <w:t xml:space="preserve"> Gilmour</w:t>
            </w:r>
            <w:r w:rsidRPr="0095727F">
              <w:t>.</w:t>
            </w:r>
          </w:p>
        </w:tc>
      </w:tr>
    </w:tbl>
    <w:p w:rsidR="00BC54C7" w:rsidRDefault="00BC54C7" w:rsidP="00592D55">
      <w:pPr>
        <w:pStyle w:val="BodyText"/>
      </w:pPr>
    </w:p>
    <w:p w:rsidR="00592D55" w:rsidRDefault="00592D55" w:rsidP="00592D55">
      <w:pPr>
        <w:pStyle w:val="BodyText"/>
      </w:pPr>
      <w:r>
        <w:t>Associate:</w:t>
      </w:r>
      <w:r w:rsidR="005B159B">
        <w:t xml:space="preserve">    </w:t>
      </w:r>
    </w:p>
    <w:p w:rsidR="00592D55" w:rsidRDefault="009174B6" w:rsidP="00592D55">
      <w:pPr>
        <w:pStyle w:val="BodyText"/>
        <w:tabs>
          <w:tab w:val="left" w:pos="1134"/>
        </w:tabs>
      </w:pPr>
      <w:r>
        <w:t>Dated:</w:t>
      </w:r>
      <w:r>
        <w:tab/>
      </w:r>
      <w:r w:rsidR="00C364F3">
        <w:t>14</w:t>
      </w:r>
      <w:r>
        <w:t xml:space="preserve"> May 2015</w:t>
      </w:r>
    </w:p>
    <w:p w:rsidR="00592D55" w:rsidRDefault="00592D55" w:rsidP="00592D55">
      <w:pPr>
        <w:pStyle w:val="BodyText"/>
      </w:pPr>
    </w:p>
    <w:p w:rsidR="005B159B" w:rsidRDefault="005B159B" w:rsidP="00592D55">
      <w:pPr>
        <w:pStyle w:val="BodyText"/>
      </w:pPr>
    </w:p>
    <w:p w:rsidR="005B159B" w:rsidRDefault="005B159B" w:rsidP="00592D55">
      <w:pPr>
        <w:pStyle w:val="BodyText"/>
      </w:pPr>
    </w:p>
    <w:p w:rsidR="005B159B" w:rsidRDefault="005B159B" w:rsidP="00592D55">
      <w:pPr>
        <w:pStyle w:val="BodyText"/>
      </w:pPr>
    </w:p>
    <w:p w:rsidR="00592D55" w:rsidRDefault="00592D55">
      <w:pPr>
        <w:spacing w:line="240" w:lineRule="auto"/>
        <w:jc w:val="left"/>
      </w:pPr>
      <w:r>
        <w:br w:type="page"/>
      </w:r>
    </w:p>
    <w:tbl>
      <w:tblPr>
        <w:tblW w:w="0" w:type="auto"/>
        <w:tblLayout w:type="fixed"/>
        <w:tblLook w:val="0000" w:firstRow="0" w:lastRow="0" w:firstColumn="0" w:lastColumn="0" w:noHBand="0" w:noVBand="0"/>
      </w:tblPr>
      <w:tblGrid>
        <w:gridCol w:w="6771"/>
        <w:gridCol w:w="2471"/>
      </w:tblGrid>
      <w:tr w:rsidR="00592D55" w:rsidTr="00EE473A">
        <w:tc>
          <w:tcPr>
            <w:tcW w:w="6771" w:type="dxa"/>
          </w:tcPr>
          <w:p w:rsidR="00592D55" w:rsidRDefault="00592D55" w:rsidP="00EE473A">
            <w:pPr>
              <w:pStyle w:val="NormalHeadings"/>
              <w:spacing w:after="120"/>
              <w:jc w:val="left"/>
              <w:rPr>
                <w:caps/>
                <w:szCs w:val="24"/>
              </w:rPr>
            </w:pPr>
            <w:r>
              <w:rPr>
                <w:caps/>
                <w:szCs w:val="24"/>
              </w:rPr>
              <w:lastRenderedPageBreak/>
              <w:t>IN THE FEDERAL COURT OF AUSTRALIA</w:t>
            </w:r>
          </w:p>
        </w:tc>
        <w:tc>
          <w:tcPr>
            <w:tcW w:w="2471" w:type="dxa"/>
          </w:tcPr>
          <w:p w:rsidR="00592D55" w:rsidRDefault="00592D55" w:rsidP="00EE473A">
            <w:pPr>
              <w:pStyle w:val="NormalHeadings"/>
            </w:pPr>
          </w:p>
        </w:tc>
      </w:tr>
      <w:tr w:rsidR="00592D55" w:rsidTr="00EE473A">
        <w:tc>
          <w:tcPr>
            <w:tcW w:w="6771" w:type="dxa"/>
          </w:tcPr>
          <w:p w:rsidR="00592D55" w:rsidRDefault="00592D55" w:rsidP="00EE473A">
            <w:pPr>
              <w:pStyle w:val="NormalHeadings"/>
              <w:spacing w:after="120"/>
              <w:jc w:val="left"/>
              <w:rPr>
                <w:caps/>
                <w:szCs w:val="24"/>
              </w:rPr>
            </w:pPr>
            <w:r>
              <w:rPr>
                <w:caps/>
                <w:szCs w:val="24"/>
              </w:rPr>
              <w:t>QUEENSLAND DISTRICT REGISTRY</w:t>
            </w:r>
          </w:p>
        </w:tc>
        <w:tc>
          <w:tcPr>
            <w:tcW w:w="2471" w:type="dxa"/>
          </w:tcPr>
          <w:p w:rsidR="00592D55" w:rsidRDefault="00592D55" w:rsidP="00EE473A">
            <w:pPr>
              <w:pStyle w:val="NormalHeadings"/>
              <w:tabs>
                <w:tab w:val="right" w:pos="3609"/>
              </w:tabs>
              <w:jc w:val="right"/>
              <w:rPr>
                <w:caps/>
                <w:szCs w:val="24"/>
              </w:rPr>
            </w:pPr>
          </w:p>
        </w:tc>
      </w:tr>
      <w:tr w:rsidR="00592D55" w:rsidTr="00EE473A">
        <w:tc>
          <w:tcPr>
            <w:tcW w:w="6771" w:type="dxa"/>
          </w:tcPr>
          <w:p w:rsidR="00592D55" w:rsidRDefault="00592D55" w:rsidP="00EE473A">
            <w:pPr>
              <w:pStyle w:val="NormalHeadings"/>
              <w:spacing w:after="120"/>
              <w:jc w:val="left"/>
              <w:rPr>
                <w:caps/>
                <w:szCs w:val="24"/>
              </w:rPr>
            </w:pPr>
            <w:r>
              <w:rPr>
                <w:caps/>
                <w:szCs w:val="24"/>
              </w:rPr>
              <w:t>GENERAL DIVISION</w:t>
            </w:r>
          </w:p>
        </w:tc>
        <w:tc>
          <w:tcPr>
            <w:tcW w:w="2471" w:type="dxa"/>
          </w:tcPr>
          <w:p w:rsidR="00592D55" w:rsidRDefault="009174B6" w:rsidP="00F60AEF">
            <w:pPr>
              <w:pStyle w:val="NormalHeadings"/>
              <w:tabs>
                <w:tab w:val="right" w:pos="3609"/>
              </w:tabs>
              <w:jc w:val="right"/>
              <w:rPr>
                <w:caps/>
                <w:szCs w:val="24"/>
              </w:rPr>
            </w:pPr>
            <w:proofErr w:type="spellStart"/>
            <w:r>
              <w:rPr>
                <w:szCs w:val="24"/>
              </w:rPr>
              <w:t>QUD</w:t>
            </w:r>
            <w:proofErr w:type="spellEnd"/>
            <w:r>
              <w:rPr>
                <w:szCs w:val="24"/>
              </w:rPr>
              <w:t xml:space="preserve"> 82</w:t>
            </w:r>
            <w:r w:rsidR="00F60AEF">
              <w:rPr>
                <w:szCs w:val="24"/>
              </w:rPr>
              <w:t>6</w:t>
            </w:r>
            <w:r w:rsidR="00592D55">
              <w:rPr>
                <w:szCs w:val="24"/>
              </w:rPr>
              <w:t xml:space="preserve"> of 2013</w:t>
            </w:r>
          </w:p>
        </w:tc>
      </w:tr>
    </w:tbl>
    <w:p w:rsidR="00592D55" w:rsidRPr="00352AE0" w:rsidRDefault="00592D55" w:rsidP="00592D55">
      <w:pPr>
        <w:pStyle w:val="AppealTable"/>
        <w:rPr>
          <w:sz w:val="24"/>
        </w:rPr>
      </w:pPr>
    </w:p>
    <w:tbl>
      <w:tblPr>
        <w:tblW w:w="0" w:type="auto"/>
        <w:tblLook w:val="01E0" w:firstRow="1" w:lastRow="1" w:firstColumn="1" w:lastColumn="1" w:noHBand="0" w:noVBand="0"/>
      </w:tblPr>
      <w:tblGrid>
        <w:gridCol w:w="9243"/>
      </w:tblGrid>
      <w:tr w:rsidR="00592D55" w:rsidRPr="00352AE0" w:rsidTr="00EE473A">
        <w:tc>
          <w:tcPr>
            <w:tcW w:w="9243" w:type="dxa"/>
            <w:shd w:val="clear" w:color="auto" w:fill="auto"/>
          </w:tcPr>
          <w:p w:rsidR="00592D55" w:rsidRPr="00352AE0" w:rsidRDefault="003B1253" w:rsidP="00EE473A">
            <w:pPr>
              <w:pStyle w:val="AppealTable"/>
              <w:widowControl w:val="0"/>
              <w:spacing w:line="360" w:lineRule="auto"/>
              <w:jc w:val="both"/>
              <w:rPr>
                <w:caps w:val="0"/>
                <w:sz w:val="24"/>
                <w:szCs w:val="20"/>
                <w:lang w:eastAsia="en-AU"/>
              </w:rPr>
            </w:pPr>
            <w:r w:rsidRPr="00352AE0">
              <w:rPr>
                <w:caps w:val="0"/>
                <w:sz w:val="24"/>
                <w:szCs w:val="20"/>
                <w:lang w:eastAsia="en-AU"/>
              </w:rPr>
              <w:t>ON APPEAL FROM THE FEDERAL CIRCUIT COURT OF AUSTRALIA</w:t>
            </w:r>
          </w:p>
        </w:tc>
      </w:tr>
    </w:tbl>
    <w:p w:rsidR="00592D55" w:rsidRDefault="00592D55" w:rsidP="00592D55">
      <w:pPr>
        <w:pStyle w:val="AppealTable"/>
      </w:pPr>
    </w:p>
    <w:tbl>
      <w:tblPr>
        <w:tblW w:w="0" w:type="auto"/>
        <w:tblLayout w:type="fixed"/>
        <w:tblLook w:val="0000" w:firstRow="0" w:lastRow="0" w:firstColumn="0" w:lastColumn="0" w:noHBand="0" w:noVBand="0"/>
      </w:tblPr>
      <w:tblGrid>
        <w:gridCol w:w="2376"/>
        <w:gridCol w:w="6866"/>
      </w:tblGrid>
      <w:tr w:rsidR="00592D55" w:rsidTr="00EE473A">
        <w:trPr>
          <w:trHeight w:val="386"/>
        </w:trPr>
        <w:tc>
          <w:tcPr>
            <w:tcW w:w="2376" w:type="dxa"/>
          </w:tcPr>
          <w:p w:rsidR="00592D55" w:rsidRDefault="00592D55" w:rsidP="00EE473A">
            <w:pPr>
              <w:pStyle w:val="NormalHeadings"/>
              <w:jc w:val="left"/>
              <w:rPr>
                <w:caps/>
                <w:szCs w:val="24"/>
              </w:rPr>
            </w:pPr>
            <w:r>
              <w:rPr>
                <w:caps/>
                <w:szCs w:val="24"/>
              </w:rPr>
              <w:t>BETWEEN:</w:t>
            </w:r>
          </w:p>
        </w:tc>
        <w:tc>
          <w:tcPr>
            <w:tcW w:w="6866" w:type="dxa"/>
          </w:tcPr>
          <w:p w:rsidR="00592D55" w:rsidRDefault="00592D55" w:rsidP="00EE473A">
            <w:pPr>
              <w:pStyle w:val="NormalHeadings"/>
              <w:jc w:val="left"/>
              <w:rPr>
                <w:szCs w:val="24"/>
              </w:rPr>
            </w:pPr>
            <w:r>
              <w:rPr>
                <w:szCs w:val="24"/>
              </w:rPr>
              <w:t xml:space="preserve">CENTRAL QUEENSLAND DEVELOPMENT CORPORATION PTY LTD (FORMERLY </w:t>
            </w:r>
            <w:proofErr w:type="spellStart"/>
            <w:r>
              <w:rPr>
                <w:szCs w:val="24"/>
              </w:rPr>
              <w:t>BLUECHIP</w:t>
            </w:r>
            <w:proofErr w:type="spellEnd"/>
            <w:r>
              <w:rPr>
                <w:szCs w:val="24"/>
              </w:rPr>
              <w:t xml:space="preserve"> DEVELOPMENT CORPORATION (GLADSTONE) PTY LTD) </w:t>
            </w:r>
            <w:proofErr w:type="spellStart"/>
            <w:r>
              <w:rPr>
                <w:szCs w:val="24"/>
              </w:rPr>
              <w:t>ACN</w:t>
            </w:r>
            <w:proofErr w:type="spellEnd"/>
            <w:r>
              <w:rPr>
                <w:szCs w:val="24"/>
              </w:rPr>
              <w:t xml:space="preserve"> 120 112 781</w:t>
            </w:r>
          </w:p>
          <w:p w:rsidR="00592D55" w:rsidRDefault="00F60AEF" w:rsidP="00EE473A">
            <w:pPr>
              <w:pStyle w:val="NormalHeadings"/>
              <w:jc w:val="left"/>
              <w:rPr>
                <w:szCs w:val="24"/>
              </w:rPr>
            </w:pPr>
            <w:r>
              <w:rPr>
                <w:szCs w:val="24"/>
              </w:rPr>
              <w:t>Appell</w:t>
            </w:r>
            <w:r w:rsidR="00592D55">
              <w:rPr>
                <w:szCs w:val="24"/>
              </w:rPr>
              <w:t>ant</w:t>
            </w:r>
          </w:p>
          <w:p w:rsidR="00592D55" w:rsidRDefault="00592D55" w:rsidP="00EE473A">
            <w:pPr>
              <w:pStyle w:val="NormalHeadings"/>
              <w:jc w:val="left"/>
              <w:rPr>
                <w:caps/>
                <w:szCs w:val="24"/>
              </w:rPr>
            </w:pPr>
          </w:p>
        </w:tc>
      </w:tr>
      <w:tr w:rsidR="00592D55" w:rsidTr="00EE473A">
        <w:trPr>
          <w:trHeight w:val="386"/>
        </w:trPr>
        <w:tc>
          <w:tcPr>
            <w:tcW w:w="2376" w:type="dxa"/>
          </w:tcPr>
          <w:p w:rsidR="00592D55" w:rsidRDefault="00592D55" w:rsidP="00EE473A">
            <w:pPr>
              <w:pStyle w:val="NormalHeadings"/>
              <w:jc w:val="left"/>
              <w:rPr>
                <w:caps/>
                <w:szCs w:val="24"/>
              </w:rPr>
            </w:pPr>
            <w:r>
              <w:rPr>
                <w:caps/>
                <w:szCs w:val="24"/>
              </w:rPr>
              <w:t>AND:</w:t>
            </w:r>
          </w:p>
        </w:tc>
        <w:tc>
          <w:tcPr>
            <w:tcW w:w="6866" w:type="dxa"/>
          </w:tcPr>
          <w:p w:rsidR="00592D55" w:rsidRDefault="00592D55" w:rsidP="00EE473A">
            <w:pPr>
              <w:pStyle w:val="NormalHeadings"/>
              <w:jc w:val="left"/>
              <w:rPr>
                <w:szCs w:val="24"/>
              </w:rPr>
            </w:pPr>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592D55" w:rsidRDefault="00592D55" w:rsidP="00EE473A">
            <w:pPr>
              <w:pStyle w:val="NormalHeadings"/>
              <w:jc w:val="left"/>
              <w:rPr>
                <w:szCs w:val="24"/>
              </w:rPr>
            </w:pPr>
            <w:r>
              <w:rPr>
                <w:szCs w:val="24"/>
              </w:rPr>
              <w:t>First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 xml:space="preserve">LORENZO MARIO </w:t>
            </w:r>
            <w:proofErr w:type="spellStart"/>
            <w:r>
              <w:rPr>
                <w:szCs w:val="24"/>
              </w:rPr>
              <w:t>REGINATO</w:t>
            </w:r>
            <w:proofErr w:type="spellEnd"/>
          </w:p>
          <w:p w:rsidR="00592D55" w:rsidRDefault="00592D55" w:rsidP="00EE473A">
            <w:pPr>
              <w:pStyle w:val="NormalHeadings"/>
              <w:jc w:val="left"/>
              <w:rPr>
                <w:szCs w:val="24"/>
              </w:rPr>
            </w:pPr>
            <w:r>
              <w:rPr>
                <w:szCs w:val="24"/>
              </w:rPr>
              <w:t>Second Respondent</w:t>
            </w:r>
          </w:p>
          <w:p w:rsidR="00592D55" w:rsidRDefault="00592D55" w:rsidP="00EE473A">
            <w:pPr>
              <w:pStyle w:val="NormalHeadings"/>
              <w:jc w:val="left"/>
              <w:rPr>
                <w:szCs w:val="24"/>
              </w:rPr>
            </w:pPr>
          </w:p>
          <w:p w:rsidR="00592D55" w:rsidRDefault="00592D55" w:rsidP="00EE473A">
            <w:pPr>
              <w:pStyle w:val="NormalHeadings"/>
              <w:jc w:val="left"/>
              <w:rPr>
                <w:szCs w:val="24"/>
              </w:rPr>
            </w:pPr>
            <w:r>
              <w:rPr>
                <w:szCs w:val="24"/>
              </w:rPr>
              <w:t>ANTONY JAMES SCHOFIELD</w:t>
            </w:r>
          </w:p>
          <w:p w:rsidR="00592D55" w:rsidRDefault="00592D55" w:rsidP="00EE473A">
            <w:pPr>
              <w:pStyle w:val="NormalHeadings"/>
              <w:jc w:val="left"/>
              <w:rPr>
                <w:szCs w:val="24"/>
              </w:rPr>
            </w:pPr>
            <w:r>
              <w:rPr>
                <w:szCs w:val="24"/>
              </w:rPr>
              <w:t>Third Respondent</w:t>
            </w:r>
          </w:p>
          <w:p w:rsidR="00592D55" w:rsidRDefault="00592D55" w:rsidP="00EE473A">
            <w:pPr>
              <w:pStyle w:val="NormalHeadings"/>
              <w:jc w:val="left"/>
              <w:rPr>
                <w:caps/>
                <w:szCs w:val="24"/>
              </w:rPr>
            </w:pPr>
          </w:p>
        </w:tc>
      </w:tr>
    </w:tbl>
    <w:p w:rsidR="00592D55" w:rsidRDefault="00592D55" w:rsidP="00592D55">
      <w:pPr>
        <w:pStyle w:val="NormalHeadings"/>
      </w:pPr>
    </w:p>
    <w:tbl>
      <w:tblPr>
        <w:tblW w:w="0" w:type="auto"/>
        <w:tblLayout w:type="fixed"/>
        <w:tblLook w:val="0000" w:firstRow="0" w:lastRow="0" w:firstColumn="0" w:lastColumn="0" w:noHBand="0" w:noVBand="0"/>
      </w:tblPr>
      <w:tblGrid>
        <w:gridCol w:w="6771"/>
        <w:gridCol w:w="2471"/>
      </w:tblGrid>
      <w:tr w:rsidR="00F60AEF" w:rsidTr="00EE473A">
        <w:tc>
          <w:tcPr>
            <w:tcW w:w="6771" w:type="dxa"/>
          </w:tcPr>
          <w:p w:rsidR="00F60AEF" w:rsidRDefault="00F60AEF" w:rsidP="00EE473A">
            <w:pPr>
              <w:pStyle w:val="NormalHeadings"/>
              <w:spacing w:after="120"/>
              <w:jc w:val="left"/>
              <w:rPr>
                <w:caps/>
                <w:szCs w:val="24"/>
              </w:rPr>
            </w:pPr>
            <w:r>
              <w:rPr>
                <w:caps/>
                <w:szCs w:val="24"/>
              </w:rPr>
              <w:t>IN THE FEDERAL COURT OF AUSTRALIA</w:t>
            </w:r>
          </w:p>
        </w:tc>
        <w:tc>
          <w:tcPr>
            <w:tcW w:w="2471" w:type="dxa"/>
          </w:tcPr>
          <w:p w:rsidR="00F60AEF" w:rsidRDefault="00F60AEF" w:rsidP="00EE473A">
            <w:pPr>
              <w:pStyle w:val="NormalHeadings"/>
              <w:jc w:val="left"/>
              <w:rPr>
                <w:caps/>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QUEENSLAND DISTRICT REGISTRY</w:t>
            </w:r>
          </w:p>
        </w:tc>
        <w:tc>
          <w:tcPr>
            <w:tcW w:w="2471" w:type="dxa"/>
          </w:tcPr>
          <w:p w:rsidR="00F60AEF" w:rsidRDefault="00F60AEF" w:rsidP="00EE473A">
            <w:pPr>
              <w:pStyle w:val="NormalHeadings"/>
              <w:tabs>
                <w:tab w:val="right" w:pos="3609"/>
              </w:tabs>
              <w:jc w:val="right"/>
              <w:rPr>
                <w:szCs w:val="24"/>
              </w:rPr>
            </w:pPr>
          </w:p>
        </w:tc>
      </w:tr>
      <w:tr w:rsidR="00F60AEF" w:rsidTr="00EE473A">
        <w:tc>
          <w:tcPr>
            <w:tcW w:w="6771" w:type="dxa"/>
          </w:tcPr>
          <w:p w:rsidR="00F60AEF" w:rsidRDefault="00F60AEF" w:rsidP="00EE473A">
            <w:pPr>
              <w:pStyle w:val="NormalHeadings"/>
              <w:spacing w:after="120"/>
              <w:jc w:val="left"/>
              <w:rPr>
                <w:caps/>
                <w:szCs w:val="24"/>
              </w:rPr>
            </w:pPr>
            <w:r>
              <w:rPr>
                <w:caps/>
                <w:szCs w:val="24"/>
              </w:rPr>
              <w:t>GENERAL DIVISION</w:t>
            </w:r>
          </w:p>
        </w:tc>
        <w:tc>
          <w:tcPr>
            <w:tcW w:w="2471" w:type="dxa"/>
          </w:tcPr>
          <w:p w:rsidR="00F60AEF" w:rsidRDefault="00F60AEF" w:rsidP="00EE473A">
            <w:pPr>
              <w:pStyle w:val="NormalHeadings"/>
              <w:tabs>
                <w:tab w:val="right" w:pos="3609"/>
              </w:tabs>
              <w:jc w:val="right"/>
              <w:rPr>
                <w:szCs w:val="24"/>
              </w:rPr>
            </w:pPr>
            <w:proofErr w:type="spellStart"/>
            <w:r>
              <w:rPr>
                <w:szCs w:val="24"/>
              </w:rPr>
              <w:t>QUD</w:t>
            </w:r>
            <w:proofErr w:type="spellEnd"/>
            <w:r>
              <w:rPr>
                <w:szCs w:val="24"/>
              </w:rPr>
              <w:t xml:space="preserve"> 828 of 2013</w:t>
            </w:r>
          </w:p>
        </w:tc>
      </w:tr>
    </w:tbl>
    <w:p w:rsidR="00F60AEF" w:rsidRDefault="00F60AEF" w:rsidP="00F60AEF">
      <w:pPr>
        <w:pStyle w:val="AppealTable"/>
      </w:pPr>
    </w:p>
    <w:tbl>
      <w:tblPr>
        <w:tblW w:w="0" w:type="auto"/>
        <w:tblLook w:val="01E0" w:firstRow="1" w:lastRow="1" w:firstColumn="1" w:lastColumn="1" w:noHBand="0" w:noVBand="0"/>
      </w:tblPr>
      <w:tblGrid>
        <w:gridCol w:w="9243"/>
      </w:tblGrid>
      <w:tr w:rsidR="00F60AEF" w:rsidRPr="00584F57" w:rsidTr="00EE473A">
        <w:tc>
          <w:tcPr>
            <w:tcW w:w="9243" w:type="dxa"/>
            <w:shd w:val="clear" w:color="auto" w:fill="auto"/>
          </w:tcPr>
          <w:p w:rsidR="00F60AEF" w:rsidRPr="00584F57" w:rsidRDefault="003B1253" w:rsidP="00EE473A">
            <w:pPr>
              <w:pStyle w:val="AppealTable"/>
              <w:widowControl w:val="0"/>
              <w:spacing w:line="360" w:lineRule="auto"/>
              <w:jc w:val="both"/>
              <w:rPr>
                <w:caps w:val="0"/>
                <w:sz w:val="24"/>
                <w:szCs w:val="20"/>
                <w:lang w:eastAsia="en-AU"/>
              </w:rPr>
            </w:pPr>
            <w:r w:rsidRPr="00584F57">
              <w:rPr>
                <w:caps w:val="0"/>
                <w:sz w:val="24"/>
                <w:szCs w:val="20"/>
                <w:lang w:eastAsia="en-AU"/>
              </w:rPr>
              <w:t>ON APPEAL FROM THE FEDERAL CIRCUIT COURT OF AUSTRALIA</w:t>
            </w:r>
          </w:p>
        </w:tc>
      </w:tr>
    </w:tbl>
    <w:p w:rsidR="00F60AEF" w:rsidRDefault="00F60AEF" w:rsidP="00F60AEF">
      <w:pPr>
        <w:pStyle w:val="AppealTable"/>
      </w:pPr>
    </w:p>
    <w:tbl>
      <w:tblPr>
        <w:tblW w:w="0" w:type="auto"/>
        <w:tblLayout w:type="fixed"/>
        <w:tblLook w:val="0000" w:firstRow="0" w:lastRow="0" w:firstColumn="0" w:lastColumn="0" w:noHBand="0" w:noVBand="0"/>
      </w:tblPr>
      <w:tblGrid>
        <w:gridCol w:w="2376"/>
        <w:gridCol w:w="6866"/>
      </w:tblGrid>
      <w:tr w:rsidR="00F60AEF" w:rsidTr="00EE473A">
        <w:trPr>
          <w:trHeight w:val="386"/>
        </w:trPr>
        <w:tc>
          <w:tcPr>
            <w:tcW w:w="2376" w:type="dxa"/>
          </w:tcPr>
          <w:p w:rsidR="00F60AEF" w:rsidRDefault="00F60AEF" w:rsidP="00EE473A">
            <w:pPr>
              <w:pStyle w:val="NormalHeadings"/>
              <w:jc w:val="left"/>
              <w:rPr>
                <w:caps/>
                <w:szCs w:val="24"/>
              </w:rPr>
            </w:pPr>
            <w:r>
              <w:rPr>
                <w:caps/>
                <w:szCs w:val="24"/>
              </w:rPr>
              <w:t>BETWEEN:</w:t>
            </w:r>
          </w:p>
        </w:tc>
        <w:tc>
          <w:tcPr>
            <w:tcW w:w="6866" w:type="dxa"/>
          </w:tcPr>
          <w:p w:rsidR="00F60AEF" w:rsidRDefault="00F60AEF" w:rsidP="00EE473A">
            <w:pPr>
              <w:pStyle w:val="NormalHeadings"/>
              <w:jc w:val="left"/>
              <w:rPr>
                <w:szCs w:val="24"/>
              </w:rPr>
            </w:pPr>
            <w:r>
              <w:rPr>
                <w:szCs w:val="24"/>
              </w:rPr>
              <w:t>SIDNEY CHARLES KNELL</w:t>
            </w:r>
          </w:p>
          <w:p w:rsidR="00F60AEF" w:rsidRDefault="00F60AEF" w:rsidP="00EE473A">
            <w:pPr>
              <w:pStyle w:val="NormalHeadings"/>
              <w:jc w:val="left"/>
              <w:rPr>
                <w:szCs w:val="24"/>
              </w:rPr>
            </w:pPr>
            <w:r>
              <w:rPr>
                <w:szCs w:val="24"/>
              </w:rPr>
              <w:t>Appellant</w:t>
            </w:r>
          </w:p>
          <w:p w:rsidR="00F60AEF" w:rsidRDefault="00F60AEF" w:rsidP="00EE473A">
            <w:pPr>
              <w:pStyle w:val="NormalHeadings"/>
              <w:jc w:val="left"/>
              <w:rPr>
                <w:szCs w:val="24"/>
              </w:rPr>
            </w:pPr>
          </w:p>
        </w:tc>
      </w:tr>
      <w:tr w:rsidR="00F60AEF" w:rsidTr="00EE473A">
        <w:trPr>
          <w:trHeight w:val="386"/>
        </w:trPr>
        <w:tc>
          <w:tcPr>
            <w:tcW w:w="2376" w:type="dxa"/>
          </w:tcPr>
          <w:p w:rsidR="00F60AEF" w:rsidRDefault="00F60AEF" w:rsidP="00EE473A">
            <w:pPr>
              <w:pStyle w:val="NormalHeadings"/>
              <w:jc w:val="left"/>
              <w:rPr>
                <w:caps/>
                <w:szCs w:val="24"/>
              </w:rPr>
            </w:pPr>
            <w:r>
              <w:rPr>
                <w:caps/>
                <w:szCs w:val="24"/>
              </w:rPr>
              <w:t>AND:</w:t>
            </w:r>
          </w:p>
        </w:tc>
        <w:tc>
          <w:tcPr>
            <w:tcW w:w="6866" w:type="dxa"/>
          </w:tcPr>
          <w:p w:rsidR="00F60AEF" w:rsidRDefault="00F60AEF" w:rsidP="00EE473A">
            <w:pPr>
              <w:pStyle w:val="NormalHeadings"/>
              <w:jc w:val="left"/>
              <w:rPr>
                <w:szCs w:val="24"/>
              </w:rPr>
            </w:pPr>
            <w:proofErr w:type="spellStart"/>
            <w:r>
              <w:rPr>
                <w:szCs w:val="24"/>
              </w:rPr>
              <w:t>SUNSTRUCT</w:t>
            </w:r>
            <w:proofErr w:type="spellEnd"/>
            <w:r>
              <w:rPr>
                <w:szCs w:val="24"/>
              </w:rPr>
              <w:t xml:space="preserve"> PTY LTD </w:t>
            </w:r>
            <w:proofErr w:type="spellStart"/>
            <w:r>
              <w:rPr>
                <w:szCs w:val="24"/>
              </w:rPr>
              <w:t>ACN</w:t>
            </w:r>
            <w:proofErr w:type="spellEnd"/>
            <w:r>
              <w:rPr>
                <w:szCs w:val="24"/>
              </w:rPr>
              <w:t xml:space="preserve"> 104 162 549</w:t>
            </w:r>
          </w:p>
          <w:p w:rsidR="00F60AEF" w:rsidRDefault="00F60AEF" w:rsidP="00EE473A">
            <w:pPr>
              <w:pStyle w:val="NormalHeadings"/>
              <w:jc w:val="left"/>
              <w:rPr>
                <w:szCs w:val="24"/>
              </w:rPr>
            </w:pPr>
            <w:r>
              <w:rPr>
                <w:szCs w:val="24"/>
              </w:rPr>
              <w:t>First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 xml:space="preserve">LORENZO MARIO </w:t>
            </w:r>
            <w:proofErr w:type="spellStart"/>
            <w:r>
              <w:rPr>
                <w:szCs w:val="24"/>
              </w:rPr>
              <w:t>REGINATO</w:t>
            </w:r>
            <w:proofErr w:type="spellEnd"/>
          </w:p>
          <w:p w:rsidR="00F60AEF" w:rsidRDefault="00F60AEF" w:rsidP="00EE473A">
            <w:pPr>
              <w:pStyle w:val="NormalHeadings"/>
              <w:jc w:val="left"/>
              <w:rPr>
                <w:szCs w:val="24"/>
              </w:rPr>
            </w:pPr>
            <w:r>
              <w:rPr>
                <w:szCs w:val="24"/>
              </w:rPr>
              <w:t>Second Respondent</w:t>
            </w:r>
          </w:p>
          <w:p w:rsidR="00F60AEF" w:rsidRDefault="00F60AEF" w:rsidP="00EE473A">
            <w:pPr>
              <w:pStyle w:val="NormalHeadings"/>
              <w:jc w:val="left"/>
              <w:rPr>
                <w:szCs w:val="24"/>
              </w:rPr>
            </w:pPr>
          </w:p>
          <w:p w:rsidR="00F60AEF" w:rsidRDefault="00F60AEF" w:rsidP="00EE473A">
            <w:pPr>
              <w:pStyle w:val="NormalHeadings"/>
              <w:jc w:val="left"/>
              <w:rPr>
                <w:szCs w:val="24"/>
              </w:rPr>
            </w:pPr>
            <w:r>
              <w:rPr>
                <w:szCs w:val="24"/>
              </w:rPr>
              <w:t>ANTONY JAMES SCHOFIELD</w:t>
            </w:r>
          </w:p>
          <w:p w:rsidR="00F60AEF" w:rsidRDefault="00F60AEF" w:rsidP="00EE473A">
            <w:pPr>
              <w:pStyle w:val="NormalHeadings"/>
              <w:jc w:val="left"/>
              <w:rPr>
                <w:szCs w:val="24"/>
              </w:rPr>
            </w:pPr>
            <w:r>
              <w:rPr>
                <w:szCs w:val="24"/>
              </w:rPr>
              <w:t>Third Respondent</w:t>
            </w:r>
          </w:p>
          <w:p w:rsidR="00F60AEF" w:rsidRDefault="00F60AEF" w:rsidP="00EE473A">
            <w:pPr>
              <w:pStyle w:val="NormalHeadings"/>
              <w:jc w:val="left"/>
              <w:rPr>
                <w:szCs w:val="24"/>
              </w:rPr>
            </w:pPr>
          </w:p>
        </w:tc>
      </w:tr>
    </w:tbl>
    <w:p w:rsidR="00F60AEF" w:rsidRDefault="00F60AEF" w:rsidP="00592D55">
      <w:pPr>
        <w:pStyle w:val="NormalHeadings"/>
      </w:pPr>
    </w:p>
    <w:tbl>
      <w:tblPr>
        <w:tblW w:w="0" w:type="auto"/>
        <w:tblLayout w:type="fixed"/>
        <w:tblLook w:val="0000" w:firstRow="0" w:lastRow="0" w:firstColumn="0" w:lastColumn="0" w:noHBand="0" w:noVBand="0"/>
      </w:tblPr>
      <w:tblGrid>
        <w:gridCol w:w="2376"/>
        <w:gridCol w:w="6866"/>
      </w:tblGrid>
      <w:tr w:rsidR="00592D55" w:rsidTr="00EE473A">
        <w:tc>
          <w:tcPr>
            <w:tcW w:w="2376" w:type="dxa"/>
          </w:tcPr>
          <w:p w:rsidR="00592D55" w:rsidRDefault="00592D55" w:rsidP="00EE473A">
            <w:pPr>
              <w:pStyle w:val="NormalHeadings"/>
              <w:spacing w:after="120"/>
              <w:jc w:val="left"/>
              <w:rPr>
                <w:caps/>
                <w:szCs w:val="24"/>
              </w:rPr>
            </w:pPr>
            <w:r>
              <w:rPr>
                <w:caps/>
                <w:szCs w:val="24"/>
              </w:rPr>
              <w:t>JUDGES:</w:t>
            </w:r>
          </w:p>
        </w:tc>
        <w:tc>
          <w:tcPr>
            <w:tcW w:w="6866" w:type="dxa"/>
          </w:tcPr>
          <w:p w:rsidR="00592D55" w:rsidRDefault="00592D55" w:rsidP="00EE473A">
            <w:pPr>
              <w:pStyle w:val="NormalHeadings"/>
              <w:rPr>
                <w:caps/>
                <w:szCs w:val="24"/>
              </w:rPr>
            </w:pPr>
            <w:r>
              <w:rPr>
                <w:caps/>
                <w:szCs w:val="24"/>
              </w:rPr>
              <w:t xml:space="preserve">BESANKO, GILMOUR AND RANGIAH </w:t>
            </w:r>
            <w:proofErr w:type="spellStart"/>
            <w:r>
              <w:rPr>
                <w:caps/>
                <w:szCs w:val="24"/>
              </w:rPr>
              <w:t>JJ</w:t>
            </w:r>
            <w:proofErr w:type="spellEnd"/>
          </w:p>
        </w:tc>
      </w:tr>
      <w:tr w:rsidR="00592D55" w:rsidTr="00EE473A">
        <w:tc>
          <w:tcPr>
            <w:tcW w:w="2376" w:type="dxa"/>
          </w:tcPr>
          <w:p w:rsidR="00592D55" w:rsidRDefault="00592D55" w:rsidP="00EE473A">
            <w:pPr>
              <w:pStyle w:val="NormalHeadings"/>
              <w:spacing w:after="120"/>
              <w:jc w:val="left"/>
              <w:rPr>
                <w:caps/>
                <w:szCs w:val="24"/>
              </w:rPr>
            </w:pPr>
            <w:r>
              <w:rPr>
                <w:caps/>
                <w:szCs w:val="24"/>
              </w:rPr>
              <w:t>DATE:</w:t>
            </w:r>
          </w:p>
        </w:tc>
        <w:tc>
          <w:tcPr>
            <w:tcW w:w="6866" w:type="dxa"/>
          </w:tcPr>
          <w:p w:rsidR="00592D55" w:rsidRDefault="00C364F3" w:rsidP="00EE473A">
            <w:pPr>
              <w:pStyle w:val="NormalHeadings"/>
              <w:rPr>
                <w:caps/>
                <w:szCs w:val="24"/>
              </w:rPr>
            </w:pPr>
            <w:r>
              <w:rPr>
                <w:caps/>
                <w:szCs w:val="24"/>
              </w:rPr>
              <w:t xml:space="preserve">14 </w:t>
            </w:r>
            <w:r w:rsidR="009174B6">
              <w:rPr>
                <w:caps/>
                <w:szCs w:val="24"/>
              </w:rPr>
              <w:t>May 2015</w:t>
            </w:r>
          </w:p>
        </w:tc>
      </w:tr>
      <w:tr w:rsidR="00592D55" w:rsidTr="00EE473A">
        <w:tc>
          <w:tcPr>
            <w:tcW w:w="2376" w:type="dxa"/>
          </w:tcPr>
          <w:p w:rsidR="00592D55" w:rsidRDefault="00592D55" w:rsidP="00EE473A">
            <w:pPr>
              <w:pStyle w:val="NormalHeadings"/>
              <w:spacing w:after="120"/>
              <w:jc w:val="left"/>
              <w:rPr>
                <w:caps/>
                <w:szCs w:val="24"/>
              </w:rPr>
            </w:pPr>
            <w:r>
              <w:rPr>
                <w:caps/>
                <w:szCs w:val="24"/>
              </w:rPr>
              <w:t>PLACE:</w:t>
            </w:r>
          </w:p>
        </w:tc>
        <w:tc>
          <w:tcPr>
            <w:tcW w:w="6866" w:type="dxa"/>
          </w:tcPr>
          <w:p w:rsidR="00592D55" w:rsidRDefault="00592D55" w:rsidP="00EE473A">
            <w:pPr>
              <w:pStyle w:val="NormalHeadings"/>
              <w:rPr>
                <w:caps/>
                <w:szCs w:val="24"/>
              </w:rPr>
            </w:pPr>
            <w:r>
              <w:rPr>
                <w:caps/>
                <w:szCs w:val="24"/>
              </w:rPr>
              <w:t>BRISBANE</w:t>
            </w:r>
          </w:p>
        </w:tc>
      </w:tr>
    </w:tbl>
    <w:p w:rsidR="00592D55" w:rsidRDefault="00592D55" w:rsidP="00592D55">
      <w:pPr>
        <w:pStyle w:val="BodyText"/>
      </w:pPr>
    </w:p>
    <w:p w:rsidR="00592D55" w:rsidRDefault="00592D55" w:rsidP="00592D55">
      <w:pPr>
        <w:pStyle w:val="StyleBold"/>
        <w:keepNext/>
        <w:jc w:val="center"/>
        <w:rPr>
          <w:b/>
        </w:rPr>
      </w:pPr>
      <w:r>
        <w:rPr>
          <w:b/>
        </w:rPr>
        <w:lastRenderedPageBreak/>
        <w:t>REASONS FOR JUDGMENT</w:t>
      </w:r>
    </w:p>
    <w:p w:rsidR="00592D55" w:rsidRPr="00C038C2" w:rsidRDefault="00592D55" w:rsidP="00592D55">
      <w:pPr>
        <w:pStyle w:val="BodyText"/>
        <w:rPr>
          <w:b/>
        </w:rPr>
      </w:pPr>
      <w:r w:rsidRPr="00C038C2">
        <w:rPr>
          <w:b/>
        </w:rPr>
        <w:t>RANGIAH J</w:t>
      </w:r>
      <w:r w:rsidR="006F62AC">
        <w:rPr>
          <w:b/>
        </w:rPr>
        <w:t>:</w:t>
      </w:r>
    </w:p>
    <w:p w:rsidR="00592D55" w:rsidRDefault="003B1253" w:rsidP="003B1253">
      <w:pPr>
        <w:pStyle w:val="ParaNumbering"/>
        <w:numPr>
          <w:ilvl w:val="0"/>
          <w:numId w:val="0"/>
        </w:numPr>
        <w:ind w:hanging="720"/>
      </w:pPr>
      <w:r>
        <w:rPr>
          <w:sz w:val="20"/>
        </w:rPr>
        <w:t>115</w:t>
      </w:r>
      <w:r>
        <w:rPr>
          <w:sz w:val="20"/>
        </w:rPr>
        <w:tab/>
      </w:r>
      <w:r>
        <w:tab/>
      </w:r>
      <w:r w:rsidR="00592D55">
        <w:t xml:space="preserve">I agree with the reasons for judgment of Gilmour J and the further reasons of Besanko J.  I agree with the orders their Honours propose.  </w:t>
      </w:r>
    </w:p>
    <w:p w:rsidR="00592D55" w:rsidRDefault="00592D55" w:rsidP="00592D55">
      <w:pPr>
        <w:pStyle w:val="BodyText"/>
      </w:pPr>
    </w:p>
    <w:tbl>
      <w:tblPr>
        <w:tblW w:w="0" w:type="auto"/>
        <w:tblLook w:val="04A0" w:firstRow="1" w:lastRow="0" w:firstColumn="1" w:lastColumn="0" w:noHBand="0" w:noVBand="1"/>
      </w:tblPr>
      <w:tblGrid>
        <w:gridCol w:w="3794"/>
      </w:tblGrid>
      <w:tr w:rsidR="00592D55" w:rsidRPr="00794DAF" w:rsidTr="00EE473A">
        <w:tc>
          <w:tcPr>
            <w:tcW w:w="3794" w:type="dxa"/>
            <w:shd w:val="clear" w:color="auto" w:fill="auto"/>
          </w:tcPr>
          <w:p w:rsidR="00592D55" w:rsidRPr="00794DAF" w:rsidRDefault="00592D55" w:rsidP="00EE473A">
            <w:pPr>
              <w:pStyle w:val="Normal1linespace"/>
            </w:pPr>
            <w:r w:rsidRPr="00794DAF">
              <w:t xml:space="preserve">I certify that the preceding </w:t>
            </w:r>
            <w:r>
              <w:t>one</w:t>
            </w:r>
            <w:r w:rsidRPr="00794DAF">
              <w:t xml:space="preserve"> (</w:t>
            </w:r>
            <w:r>
              <w:t>1</w:t>
            </w:r>
            <w:r w:rsidRPr="00794DAF">
              <w:t xml:space="preserve">) numbered </w:t>
            </w:r>
            <w:r>
              <w:t>paragraph is</w:t>
            </w:r>
            <w:r w:rsidRPr="00794DAF">
              <w:t xml:space="preserve"> a true copy of the Reasons for Judgment herein of the Honourable </w:t>
            </w:r>
            <w:r>
              <w:t>Justice Rangiah</w:t>
            </w:r>
            <w:r w:rsidRPr="00794DAF">
              <w:t>.</w:t>
            </w:r>
          </w:p>
        </w:tc>
      </w:tr>
    </w:tbl>
    <w:p w:rsidR="00BC54C7" w:rsidRDefault="00BC54C7" w:rsidP="00592D55">
      <w:pPr>
        <w:pStyle w:val="BodyText"/>
      </w:pPr>
    </w:p>
    <w:p w:rsidR="00592D55" w:rsidRDefault="009174B6" w:rsidP="00592D55">
      <w:pPr>
        <w:pStyle w:val="BodyText"/>
      </w:pPr>
      <w:r>
        <w:t>A</w:t>
      </w:r>
      <w:r w:rsidR="00592D55">
        <w:t xml:space="preserve">ssociate: </w:t>
      </w:r>
      <w:r>
        <w:t xml:space="preserve">    </w:t>
      </w:r>
    </w:p>
    <w:p w:rsidR="00592D55" w:rsidRDefault="00592D55" w:rsidP="00592D55">
      <w:pPr>
        <w:pStyle w:val="BodyText"/>
        <w:tabs>
          <w:tab w:val="left" w:pos="1134"/>
        </w:tabs>
      </w:pPr>
      <w:r>
        <w:t>Dated:</w:t>
      </w:r>
      <w:r>
        <w:tab/>
      </w:r>
      <w:r w:rsidR="00C364F3">
        <w:t>14</w:t>
      </w:r>
      <w:r w:rsidR="009174B6">
        <w:t xml:space="preserve"> May 2015 </w:t>
      </w:r>
    </w:p>
    <w:sectPr w:rsidR="00592D55">
      <w:headerReference w:type="default" r:id="rId17"/>
      <w:footerReference w:type="defaul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3F" w:rsidRDefault="003E6D3F">
      <w:pPr>
        <w:spacing w:line="20" w:lineRule="exact"/>
      </w:pPr>
    </w:p>
    <w:p w:rsidR="003E6D3F" w:rsidRDefault="003E6D3F"/>
    <w:p w:rsidR="003E6D3F" w:rsidRDefault="003E6D3F"/>
  </w:endnote>
  <w:endnote w:type="continuationSeparator" w:id="0">
    <w:p w:rsidR="003E6D3F" w:rsidRDefault="003E6D3F">
      <w:r>
        <w:t xml:space="preserve"> </w:t>
      </w:r>
    </w:p>
    <w:p w:rsidR="003E6D3F" w:rsidRDefault="003E6D3F"/>
    <w:p w:rsidR="003E6D3F" w:rsidRDefault="003E6D3F"/>
  </w:endnote>
  <w:endnote w:type="continuationNotice" w:id="1">
    <w:p w:rsidR="003E6D3F" w:rsidRDefault="003E6D3F">
      <w:r>
        <w:t xml:space="preserve"> </w:t>
      </w:r>
    </w:p>
    <w:p w:rsidR="003E6D3F" w:rsidRDefault="003E6D3F"/>
    <w:p w:rsidR="003E6D3F" w:rsidRDefault="003E6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53" w:rsidRDefault="003B1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53" w:rsidRDefault="003B1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53" w:rsidRDefault="003B12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A" w:rsidRPr="009174B6" w:rsidRDefault="00EE473A" w:rsidP="00917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3F" w:rsidRDefault="003E6D3F"/>
    <w:p w:rsidR="003E6D3F" w:rsidRDefault="003E6D3F"/>
    <w:p w:rsidR="003E6D3F" w:rsidRDefault="003E6D3F"/>
  </w:footnote>
  <w:footnote w:type="continuationSeparator" w:id="0">
    <w:p w:rsidR="003E6D3F" w:rsidRDefault="003E6D3F">
      <w:r>
        <w:continuationSeparator/>
      </w:r>
    </w:p>
    <w:p w:rsidR="003E6D3F" w:rsidRDefault="003E6D3F"/>
    <w:p w:rsidR="003E6D3F" w:rsidRDefault="003E6D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53" w:rsidRDefault="003B1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A" w:rsidRDefault="00EE473A">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BC54C7">
      <w:rPr>
        <w:noProof/>
        <w:spacing w:val="-3"/>
      </w:rPr>
      <w:t>3</w:t>
    </w:r>
    <w:r>
      <w:rPr>
        <w:spacing w:val="-3"/>
      </w:rPr>
      <w:fldChar w:fldCharType="end"/>
    </w:r>
    <w:r>
      <w:rPr>
        <w:spacing w:val="-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53" w:rsidRDefault="003B12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A" w:rsidRDefault="00EE473A">
    <w:pPr>
      <w:tabs>
        <w:tab w:val="center" w:pos="4512"/>
      </w:tabs>
      <w:suppressAutoHyphens/>
    </w:pPr>
    <w:r>
      <w:tab/>
      <w:t xml:space="preserve">- </w:t>
    </w:r>
    <w:r>
      <w:fldChar w:fldCharType="begin"/>
    </w:r>
    <w:r>
      <w:instrText>page \* arabic</w:instrText>
    </w:r>
    <w:r>
      <w:fldChar w:fldCharType="separate"/>
    </w:r>
    <w:r w:rsidR="00BC54C7">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A" w:rsidRDefault="00EE473A">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A" w:rsidRDefault="00EE473A">
    <w:pPr>
      <w:tabs>
        <w:tab w:val="center" w:pos="4512"/>
      </w:tabs>
      <w:suppressAutoHyphens/>
    </w:pPr>
    <w:r>
      <w:tab/>
      <w:t xml:space="preserve">- </w:t>
    </w:r>
    <w:r>
      <w:fldChar w:fldCharType="begin"/>
    </w:r>
    <w:r>
      <w:instrText>page \* arabic</w:instrText>
    </w:r>
    <w:r>
      <w:fldChar w:fldCharType="separate"/>
    </w:r>
    <w:r w:rsidR="00BC54C7">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8"/>
  </w:num>
  <w:num w:numId="15">
    <w:abstractNumId w:val="21"/>
  </w:num>
  <w:num w:numId="16">
    <w:abstractNumId w:val="12"/>
  </w:num>
  <w:num w:numId="17">
    <w:abstractNumId w:val="13"/>
  </w:num>
  <w:num w:numId="18">
    <w:abstractNumId w:val="16"/>
  </w:num>
  <w:num w:numId="19">
    <w:abstractNumId w:val="14"/>
  </w:num>
  <w:num w:numId="20">
    <w:abstractNumId w:val="14"/>
  </w:num>
  <w:num w:numId="21">
    <w:abstractNumId w:val="20"/>
  </w:num>
  <w:num w:numId="22">
    <w:abstractNumId w:val="10"/>
  </w:num>
  <w:num w:numId="23">
    <w:abstractNumId w:val="15"/>
  </w:num>
  <w:num w:numId="24">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55"/>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2830"/>
    <w:rsid w:val="000241B9"/>
    <w:rsid w:val="0002571E"/>
    <w:rsid w:val="000275ED"/>
    <w:rsid w:val="0003311D"/>
    <w:rsid w:val="00034E12"/>
    <w:rsid w:val="00035FA9"/>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2093"/>
    <w:rsid w:val="00085D38"/>
    <w:rsid w:val="00085FB5"/>
    <w:rsid w:val="00086451"/>
    <w:rsid w:val="00086615"/>
    <w:rsid w:val="0009015A"/>
    <w:rsid w:val="000912B3"/>
    <w:rsid w:val="000914ED"/>
    <w:rsid w:val="0009487A"/>
    <w:rsid w:val="00097051"/>
    <w:rsid w:val="000974F6"/>
    <w:rsid w:val="00097725"/>
    <w:rsid w:val="000A268F"/>
    <w:rsid w:val="000B0A83"/>
    <w:rsid w:val="000B134D"/>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2D8"/>
    <w:rsid w:val="000F75D5"/>
    <w:rsid w:val="00100A70"/>
    <w:rsid w:val="00106F62"/>
    <w:rsid w:val="00107CBD"/>
    <w:rsid w:val="00111043"/>
    <w:rsid w:val="001114BE"/>
    <w:rsid w:val="00111BC9"/>
    <w:rsid w:val="0011416F"/>
    <w:rsid w:val="00114B4A"/>
    <w:rsid w:val="00115EB4"/>
    <w:rsid w:val="001175A5"/>
    <w:rsid w:val="00121D2F"/>
    <w:rsid w:val="00123B3E"/>
    <w:rsid w:val="00125340"/>
    <w:rsid w:val="0012775F"/>
    <w:rsid w:val="00131D18"/>
    <w:rsid w:val="00132D52"/>
    <w:rsid w:val="001444A2"/>
    <w:rsid w:val="00145F70"/>
    <w:rsid w:val="001465CC"/>
    <w:rsid w:val="00150819"/>
    <w:rsid w:val="00151BB8"/>
    <w:rsid w:val="00152040"/>
    <w:rsid w:val="0015318B"/>
    <w:rsid w:val="001532EB"/>
    <w:rsid w:val="0015367F"/>
    <w:rsid w:val="001548A9"/>
    <w:rsid w:val="00161488"/>
    <w:rsid w:val="00162FEB"/>
    <w:rsid w:val="00163C14"/>
    <w:rsid w:val="00164581"/>
    <w:rsid w:val="0016490B"/>
    <w:rsid w:val="001651A9"/>
    <w:rsid w:val="00171B2D"/>
    <w:rsid w:val="00171F5F"/>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B06A8"/>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426C"/>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5D82"/>
    <w:rsid w:val="00216D26"/>
    <w:rsid w:val="00221B2D"/>
    <w:rsid w:val="00222BBD"/>
    <w:rsid w:val="00223844"/>
    <w:rsid w:val="00224A45"/>
    <w:rsid w:val="00224DC6"/>
    <w:rsid w:val="0023127B"/>
    <w:rsid w:val="00231C33"/>
    <w:rsid w:val="00234C63"/>
    <w:rsid w:val="002353A0"/>
    <w:rsid w:val="00237FC4"/>
    <w:rsid w:val="002443C4"/>
    <w:rsid w:val="00245F9E"/>
    <w:rsid w:val="00250E6F"/>
    <w:rsid w:val="00253DA3"/>
    <w:rsid w:val="00253EC5"/>
    <w:rsid w:val="00253F62"/>
    <w:rsid w:val="0025403D"/>
    <w:rsid w:val="00255519"/>
    <w:rsid w:val="00255E6B"/>
    <w:rsid w:val="00255F13"/>
    <w:rsid w:val="002574CC"/>
    <w:rsid w:val="00260654"/>
    <w:rsid w:val="00262CDD"/>
    <w:rsid w:val="00265903"/>
    <w:rsid w:val="0026717E"/>
    <w:rsid w:val="0026734F"/>
    <w:rsid w:val="00272791"/>
    <w:rsid w:val="002727BA"/>
    <w:rsid w:val="00275A96"/>
    <w:rsid w:val="00280AF5"/>
    <w:rsid w:val="002867B0"/>
    <w:rsid w:val="0028773B"/>
    <w:rsid w:val="002914A3"/>
    <w:rsid w:val="00292145"/>
    <w:rsid w:val="00294E51"/>
    <w:rsid w:val="0029792F"/>
    <w:rsid w:val="002A099B"/>
    <w:rsid w:val="002A2262"/>
    <w:rsid w:val="002A4C8E"/>
    <w:rsid w:val="002A505F"/>
    <w:rsid w:val="002A645F"/>
    <w:rsid w:val="002A6DEF"/>
    <w:rsid w:val="002B326C"/>
    <w:rsid w:val="002B488E"/>
    <w:rsid w:val="002B57A3"/>
    <w:rsid w:val="002B6A42"/>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E6AC7"/>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364FE"/>
    <w:rsid w:val="00341249"/>
    <w:rsid w:val="003437C1"/>
    <w:rsid w:val="00344BA9"/>
    <w:rsid w:val="003453AC"/>
    <w:rsid w:val="003505CC"/>
    <w:rsid w:val="00351C99"/>
    <w:rsid w:val="00352B39"/>
    <w:rsid w:val="00356101"/>
    <w:rsid w:val="003608C1"/>
    <w:rsid w:val="00361300"/>
    <w:rsid w:val="00362E25"/>
    <w:rsid w:val="003631F7"/>
    <w:rsid w:val="00363A4B"/>
    <w:rsid w:val="00364039"/>
    <w:rsid w:val="00364181"/>
    <w:rsid w:val="00365D47"/>
    <w:rsid w:val="00365FD3"/>
    <w:rsid w:val="00367AD3"/>
    <w:rsid w:val="00370893"/>
    <w:rsid w:val="003713B4"/>
    <w:rsid w:val="003744F8"/>
    <w:rsid w:val="0037541E"/>
    <w:rsid w:val="00376120"/>
    <w:rsid w:val="00376E34"/>
    <w:rsid w:val="00377774"/>
    <w:rsid w:val="0038105D"/>
    <w:rsid w:val="00382266"/>
    <w:rsid w:val="003822F7"/>
    <w:rsid w:val="003829AF"/>
    <w:rsid w:val="00382ADB"/>
    <w:rsid w:val="00383044"/>
    <w:rsid w:val="0038689A"/>
    <w:rsid w:val="00390E3B"/>
    <w:rsid w:val="003937B2"/>
    <w:rsid w:val="00397262"/>
    <w:rsid w:val="003A2D1B"/>
    <w:rsid w:val="003A3014"/>
    <w:rsid w:val="003B1253"/>
    <w:rsid w:val="003C3AB3"/>
    <w:rsid w:val="003C709D"/>
    <w:rsid w:val="003D1152"/>
    <w:rsid w:val="003D24E2"/>
    <w:rsid w:val="003D48A7"/>
    <w:rsid w:val="003D5998"/>
    <w:rsid w:val="003D5EB6"/>
    <w:rsid w:val="003D723E"/>
    <w:rsid w:val="003D7543"/>
    <w:rsid w:val="003E0E05"/>
    <w:rsid w:val="003E11D8"/>
    <w:rsid w:val="003E1636"/>
    <w:rsid w:val="003E3537"/>
    <w:rsid w:val="003E417A"/>
    <w:rsid w:val="003E6D3F"/>
    <w:rsid w:val="003E7BB1"/>
    <w:rsid w:val="003F151F"/>
    <w:rsid w:val="003F372D"/>
    <w:rsid w:val="003F4FBE"/>
    <w:rsid w:val="003F557C"/>
    <w:rsid w:val="003F691D"/>
    <w:rsid w:val="0040123F"/>
    <w:rsid w:val="0040316B"/>
    <w:rsid w:val="00403CD1"/>
    <w:rsid w:val="0040483D"/>
    <w:rsid w:val="00407467"/>
    <w:rsid w:val="00410194"/>
    <w:rsid w:val="00410D37"/>
    <w:rsid w:val="0041100C"/>
    <w:rsid w:val="004121D1"/>
    <w:rsid w:val="004134AD"/>
    <w:rsid w:val="00414E02"/>
    <w:rsid w:val="00416E8A"/>
    <w:rsid w:val="00417E05"/>
    <w:rsid w:val="00423D90"/>
    <w:rsid w:val="00424C7D"/>
    <w:rsid w:val="00426EF9"/>
    <w:rsid w:val="00431095"/>
    <w:rsid w:val="004325CB"/>
    <w:rsid w:val="00432934"/>
    <w:rsid w:val="004344A1"/>
    <w:rsid w:val="0043743A"/>
    <w:rsid w:val="00441512"/>
    <w:rsid w:val="00442DA2"/>
    <w:rsid w:val="00444234"/>
    <w:rsid w:val="00445304"/>
    <w:rsid w:val="00447AA7"/>
    <w:rsid w:val="00452F9F"/>
    <w:rsid w:val="00454A5D"/>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2289"/>
    <w:rsid w:val="004B279A"/>
    <w:rsid w:val="004B2EFC"/>
    <w:rsid w:val="004B3C19"/>
    <w:rsid w:val="004B7F70"/>
    <w:rsid w:val="004C03FE"/>
    <w:rsid w:val="004C0424"/>
    <w:rsid w:val="004C16E1"/>
    <w:rsid w:val="004C1FCE"/>
    <w:rsid w:val="004C34BC"/>
    <w:rsid w:val="004C562F"/>
    <w:rsid w:val="004C7359"/>
    <w:rsid w:val="004D1288"/>
    <w:rsid w:val="004D36ED"/>
    <w:rsid w:val="004D5541"/>
    <w:rsid w:val="004D68D7"/>
    <w:rsid w:val="004D71D8"/>
    <w:rsid w:val="004E09C1"/>
    <w:rsid w:val="004E2080"/>
    <w:rsid w:val="004E2C62"/>
    <w:rsid w:val="004E457D"/>
    <w:rsid w:val="004E7B89"/>
    <w:rsid w:val="004E7D9B"/>
    <w:rsid w:val="004F1BAA"/>
    <w:rsid w:val="004F619A"/>
    <w:rsid w:val="004F6CEE"/>
    <w:rsid w:val="004F7AA0"/>
    <w:rsid w:val="004F7C73"/>
    <w:rsid w:val="00500EFC"/>
    <w:rsid w:val="00504770"/>
    <w:rsid w:val="0050564F"/>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386"/>
    <w:rsid w:val="00563276"/>
    <w:rsid w:val="005640C6"/>
    <w:rsid w:val="0056601A"/>
    <w:rsid w:val="00571AA4"/>
    <w:rsid w:val="00572DB4"/>
    <w:rsid w:val="00576101"/>
    <w:rsid w:val="00576478"/>
    <w:rsid w:val="00576713"/>
    <w:rsid w:val="005833F8"/>
    <w:rsid w:val="0058403A"/>
    <w:rsid w:val="005854CF"/>
    <w:rsid w:val="00587D14"/>
    <w:rsid w:val="005904D7"/>
    <w:rsid w:val="0059166A"/>
    <w:rsid w:val="005917E9"/>
    <w:rsid w:val="00592C68"/>
    <w:rsid w:val="00592D55"/>
    <w:rsid w:val="0059344D"/>
    <w:rsid w:val="0059743E"/>
    <w:rsid w:val="005A03B2"/>
    <w:rsid w:val="005A0428"/>
    <w:rsid w:val="005A1C95"/>
    <w:rsid w:val="005A2113"/>
    <w:rsid w:val="005A3BB3"/>
    <w:rsid w:val="005A3C33"/>
    <w:rsid w:val="005A3F0A"/>
    <w:rsid w:val="005A4589"/>
    <w:rsid w:val="005A4F51"/>
    <w:rsid w:val="005A5E2E"/>
    <w:rsid w:val="005A7230"/>
    <w:rsid w:val="005B159B"/>
    <w:rsid w:val="005B2CBD"/>
    <w:rsid w:val="005B3B4D"/>
    <w:rsid w:val="005B5AD1"/>
    <w:rsid w:val="005B6F89"/>
    <w:rsid w:val="005B757C"/>
    <w:rsid w:val="005B7839"/>
    <w:rsid w:val="005C161D"/>
    <w:rsid w:val="005C32F4"/>
    <w:rsid w:val="005C5C56"/>
    <w:rsid w:val="005C696A"/>
    <w:rsid w:val="005C7E55"/>
    <w:rsid w:val="005D00C7"/>
    <w:rsid w:val="005D0767"/>
    <w:rsid w:val="005D18DE"/>
    <w:rsid w:val="005D235E"/>
    <w:rsid w:val="005D3304"/>
    <w:rsid w:val="005D4F38"/>
    <w:rsid w:val="005D4F5F"/>
    <w:rsid w:val="005D5550"/>
    <w:rsid w:val="005E15EE"/>
    <w:rsid w:val="005E4F3F"/>
    <w:rsid w:val="005E53A0"/>
    <w:rsid w:val="005E55C9"/>
    <w:rsid w:val="005E78D8"/>
    <w:rsid w:val="005E7BF3"/>
    <w:rsid w:val="005E7DBC"/>
    <w:rsid w:val="005F0949"/>
    <w:rsid w:val="005F155A"/>
    <w:rsid w:val="005F33A5"/>
    <w:rsid w:val="005F4FB9"/>
    <w:rsid w:val="005F5621"/>
    <w:rsid w:val="005F57BE"/>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329DE"/>
    <w:rsid w:val="00632AC2"/>
    <w:rsid w:val="006405C0"/>
    <w:rsid w:val="00641932"/>
    <w:rsid w:val="00646121"/>
    <w:rsid w:val="006506B3"/>
    <w:rsid w:val="00652392"/>
    <w:rsid w:val="006542B7"/>
    <w:rsid w:val="006547E7"/>
    <w:rsid w:val="00654FD6"/>
    <w:rsid w:val="00655373"/>
    <w:rsid w:val="0067292D"/>
    <w:rsid w:val="006737B2"/>
    <w:rsid w:val="00675752"/>
    <w:rsid w:val="006758E1"/>
    <w:rsid w:val="0067680D"/>
    <w:rsid w:val="00681001"/>
    <w:rsid w:val="0068103E"/>
    <w:rsid w:val="006812F5"/>
    <w:rsid w:val="00681310"/>
    <w:rsid w:val="0068363D"/>
    <w:rsid w:val="006873C4"/>
    <w:rsid w:val="00687B23"/>
    <w:rsid w:val="006905B5"/>
    <w:rsid w:val="00690996"/>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38DB"/>
    <w:rsid w:val="006D7956"/>
    <w:rsid w:val="006E32CB"/>
    <w:rsid w:val="006E52E3"/>
    <w:rsid w:val="006E5675"/>
    <w:rsid w:val="006E5F58"/>
    <w:rsid w:val="006E77E5"/>
    <w:rsid w:val="006F3748"/>
    <w:rsid w:val="006F4557"/>
    <w:rsid w:val="006F5DD5"/>
    <w:rsid w:val="006F62AC"/>
    <w:rsid w:val="006F7C91"/>
    <w:rsid w:val="007006EE"/>
    <w:rsid w:val="00701029"/>
    <w:rsid w:val="00701117"/>
    <w:rsid w:val="0070314F"/>
    <w:rsid w:val="00705C8A"/>
    <w:rsid w:val="00706FF4"/>
    <w:rsid w:val="00707B0C"/>
    <w:rsid w:val="00707C35"/>
    <w:rsid w:val="00712261"/>
    <w:rsid w:val="00713B04"/>
    <w:rsid w:val="00716434"/>
    <w:rsid w:val="00723B70"/>
    <w:rsid w:val="00726321"/>
    <w:rsid w:val="00736B23"/>
    <w:rsid w:val="007371C8"/>
    <w:rsid w:val="00745056"/>
    <w:rsid w:val="00746E5D"/>
    <w:rsid w:val="00747295"/>
    <w:rsid w:val="0075124E"/>
    <w:rsid w:val="007515C0"/>
    <w:rsid w:val="007524B6"/>
    <w:rsid w:val="007524E9"/>
    <w:rsid w:val="00753C8A"/>
    <w:rsid w:val="00754005"/>
    <w:rsid w:val="007575A3"/>
    <w:rsid w:val="00757716"/>
    <w:rsid w:val="00760990"/>
    <w:rsid w:val="00764256"/>
    <w:rsid w:val="00764603"/>
    <w:rsid w:val="00765C07"/>
    <w:rsid w:val="00772363"/>
    <w:rsid w:val="00772550"/>
    <w:rsid w:val="007735ED"/>
    <w:rsid w:val="007759EF"/>
    <w:rsid w:val="00776CC4"/>
    <w:rsid w:val="00777606"/>
    <w:rsid w:val="00781443"/>
    <w:rsid w:val="00781533"/>
    <w:rsid w:val="007851BB"/>
    <w:rsid w:val="0078783D"/>
    <w:rsid w:val="007952CD"/>
    <w:rsid w:val="007A2D5E"/>
    <w:rsid w:val="007A5C50"/>
    <w:rsid w:val="007A5E3A"/>
    <w:rsid w:val="007A6DF6"/>
    <w:rsid w:val="007A72F4"/>
    <w:rsid w:val="007B03C1"/>
    <w:rsid w:val="007B224D"/>
    <w:rsid w:val="007B22D2"/>
    <w:rsid w:val="007B270E"/>
    <w:rsid w:val="007B38F4"/>
    <w:rsid w:val="007B49C7"/>
    <w:rsid w:val="007B6E15"/>
    <w:rsid w:val="007C224E"/>
    <w:rsid w:val="007C7E18"/>
    <w:rsid w:val="007D3622"/>
    <w:rsid w:val="007D702F"/>
    <w:rsid w:val="007E0E62"/>
    <w:rsid w:val="007E2B03"/>
    <w:rsid w:val="007E3CDB"/>
    <w:rsid w:val="007E6065"/>
    <w:rsid w:val="007F04F8"/>
    <w:rsid w:val="007F0A7E"/>
    <w:rsid w:val="007F3F10"/>
    <w:rsid w:val="007F6198"/>
    <w:rsid w:val="007F6985"/>
    <w:rsid w:val="007F6D74"/>
    <w:rsid w:val="00800D15"/>
    <w:rsid w:val="00805628"/>
    <w:rsid w:val="0080566D"/>
    <w:rsid w:val="008149D4"/>
    <w:rsid w:val="00814FC2"/>
    <w:rsid w:val="00815DF7"/>
    <w:rsid w:val="00816AF9"/>
    <w:rsid w:val="008171B5"/>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3A29"/>
    <w:rsid w:val="00875347"/>
    <w:rsid w:val="0088371B"/>
    <w:rsid w:val="00884B15"/>
    <w:rsid w:val="008916D1"/>
    <w:rsid w:val="0089497F"/>
    <w:rsid w:val="008A0931"/>
    <w:rsid w:val="008A1662"/>
    <w:rsid w:val="008A308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5754"/>
    <w:rsid w:val="008D7AC4"/>
    <w:rsid w:val="008E14D4"/>
    <w:rsid w:val="008E1FE0"/>
    <w:rsid w:val="008E3041"/>
    <w:rsid w:val="008E3C09"/>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4B6"/>
    <w:rsid w:val="009177A7"/>
    <w:rsid w:val="00920D15"/>
    <w:rsid w:val="00923775"/>
    <w:rsid w:val="00923905"/>
    <w:rsid w:val="009341A5"/>
    <w:rsid w:val="00936D50"/>
    <w:rsid w:val="009417EF"/>
    <w:rsid w:val="009448B3"/>
    <w:rsid w:val="00945375"/>
    <w:rsid w:val="009453BF"/>
    <w:rsid w:val="00946A82"/>
    <w:rsid w:val="00946B46"/>
    <w:rsid w:val="00950541"/>
    <w:rsid w:val="00952BF4"/>
    <w:rsid w:val="00952CC2"/>
    <w:rsid w:val="00953226"/>
    <w:rsid w:val="00954EC7"/>
    <w:rsid w:val="009551E2"/>
    <w:rsid w:val="00956684"/>
    <w:rsid w:val="0095673E"/>
    <w:rsid w:val="00960114"/>
    <w:rsid w:val="009606EB"/>
    <w:rsid w:val="00963D4C"/>
    <w:rsid w:val="00964698"/>
    <w:rsid w:val="00965FF2"/>
    <w:rsid w:val="00967D3A"/>
    <w:rsid w:val="00975610"/>
    <w:rsid w:val="00975CDD"/>
    <w:rsid w:val="0097752F"/>
    <w:rsid w:val="0098011C"/>
    <w:rsid w:val="00980302"/>
    <w:rsid w:val="00980E51"/>
    <w:rsid w:val="009810D6"/>
    <w:rsid w:val="009837C8"/>
    <w:rsid w:val="0098384A"/>
    <w:rsid w:val="009841A7"/>
    <w:rsid w:val="009844DE"/>
    <w:rsid w:val="009852F8"/>
    <w:rsid w:val="00986899"/>
    <w:rsid w:val="009879D1"/>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B51D6"/>
    <w:rsid w:val="009C0D2D"/>
    <w:rsid w:val="009C2378"/>
    <w:rsid w:val="009C6A6E"/>
    <w:rsid w:val="009D2CC7"/>
    <w:rsid w:val="009D3567"/>
    <w:rsid w:val="009D45A1"/>
    <w:rsid w:val="009D7E06"/>
    <w:rsid w:val="009E0D0C"/>
    <w:rsid w:val="009E46DF"/>
    <w:rsid w:val="009E492D"/>
    <w:rsid w:val="009E57B5"/>
    <w:rsid w:val="009E6792"/>
    <w:rsid w:val="009F0B98"/>
    <w:rsid w:val="009F682E"/>
    <w:rsid w:val="009F7778"/>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347B"/>
    <w:rsid w:val="00A243DD"/>
    <w:rsid w:val="00A258E7"/>
    <w:rsid w:val="00A25AF8"/>
    <w:rsid w:val="00A276C1"/>
    <w:rsid w:val="00A337BE"/>
    <w:rsid w:val="00A33C31"/>
    <w:rsid w:val="00A359EB"/>
    <w:rsid w:val="00A428D9"/>
    <w:rsid w:val="00A43E5D"/>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32C2"/>
    <w:rsid w:val="00AA1D3A"/>
    <w:rsid w:val="00AA4183"/>
    <w:rsid w:val="00AA5FA2"/>
    <w:rsid w:val="00AA69C4"/>
    <w:rsid w:val="00AB0471"/>
    <w:rsid w:val="00AB1A0E"/>
    <w:rsid w:val="00AB3089"/>
    <w:rsid w:val="00AB3A68"/>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6B40"/>
    <w:rsid w:val="00AE6C3C"/>
    <w:rsid w:val="00AE74CE"/>
    <w:rsid w:val="00AF104F"/>
    <w:rsid w:val="00AF16BD"/>
    <w:rsid w:val="00AF32DE"/>
    <w:rsid w:val="00AF51F5"/>
    <w:rsid w:val="00AF6898"/>
    <w:rsid w:val="00AF7904"/>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326AD"/>
    <w:rsid w:val="00B35D02"/>
    <w:rsid w:val="00B3744D"/>
    <w:rsid w:val="00B376AC"/>
    <w:rsid w:val="00B40BBD"/>
    <w:rsid w:val="00B4143A"/>
    <w:rsid w:val="00B46085"/>
    <w:rsid w:val="00B4674B"/>
    <w:rsid w:val="00B51322"/>
    <w:rsid w:val="00B544CE"/>
    <w:rsid w:val="00B57F0F"/>
    <w:rsid w:val="00B614EF"/>
    <w:rsid w:val="00B678C2"/>
    <w:rsid w:val="00B7036B"/>
    <w:rsid w:val="00B7039D"/>
    <w:rsid w:val="00B71534"/>
    <w:rsid w:val="00B72A3B"/>
    <w:rsid w:val="00B73798"/>
    <w:rsid w:val="00B7406F"/>
    <w:rsid w:val="00B755BF"/>
    <w:rsid w:val="00B7662C"/>
    <w:rsid w:val="00B76E4F"/>
    <w:rsid w:val="00B77842"/>
    <w:rsid w:val="00B84B4E"/>
    <w:rsid w:val="00B86C4F"/>
    <w:rsid w:val="00B87D9E"/>
    <w:rsid w:val="00B940F3"/>
    <w:rsid w:val="00B956FA"/>
    <w:rsid w:val="00B95739"/>
    <w:rsid w:val="00B9697F"/>
    <w:rsid w:val="00B96A24"/>
    <w:rsid w:val="00B97A74"/>
    <w:rsid w:val="00BA1ABD"/>
    <w:rsid w:val="00BA2AD8"/>
    <w:rsid w:val="00BA385E"/>
    <w:rsid w:val="00BA4318"/>
    <w:rsid w:val="00BA5E0F"/>
    <w:rsid w:val="00BB1C9F"/>
    <w:rsid w:val="00BB1F2A"/>
    <w:rsid w:val="00BB2DE8"/>
    <w:rsid w:val="00BB4665"/>
    <w:rsid w:val="00BB4A6A"/>
    <w:rsid w:val="00BB52FC"/>
    <w:rsid w:val="00BB5459"/>
    <w:rsid w:val="00BC3FFB"/>
    <w:rsid w:val="00BC546E"/>
    <w:rsid w:val="00BC54C7"/>
    <w:rsid w:val="00BC6A96"/>
    <w:rsid w:val="00BD2700"/>
    <w:rsid w:val="00BD4122"/>
    <w:rsid w:val="00BD4C77"/>
    <w:rsid w:val="00BD619F"/>
    <w:rsid w:val="00BD700B"/>
    <w:rsid w:val="00BE0C42"/>
    <w:rsid w:val="00BE2FED"/>
    <w:rsid w:val="00BE47A0"/>
    <w:rsid w:val="00BE7211"/>
    <w:rsid w:val="00BF29D4"/>
    <w:rsid w:val="00BF46F2"/>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18B4"/>
    <w:rsid w:val="00C12BEE"/>
    <w:rsid w:val="00C14D81"/>
    <w:rsid w:val="00C1637F"/>
    <w:rsid w:val="00C24A85"/>
    <w:rsid w:val="00C26DCC"/>
    <w:rsid w:val="00C3059C"/>
    <w:rsid w:val="00C308A1"/>
    <w:rsid w:val="00C32B29"/>
    <w:rsid w:val="00C35937"/>
    <w:rsid w:val="00C35EE8"/>
    <w:rsid w:val="00C364F3"/>
    <w:rsid w:val="00C36826"/>
    <w:rsid w:val="00C369D9"/>
    <w:rsid w:val="00C4000B"/>
    <w:rsid w:val="00C42176"/>
    <w:rsid w:val="00C468DA"/>
    <w:rsid w:val="00C50669"/>
    <w:rsid w:val="00C513CE"/>
    <w:rsid w:val="00C53089"/>
    <w:rsid w:val="00C54488"/>
    <w:rsid w:val="00C56F7A"/>
    <w:rsid w:val="00C61A92"/>
    <w:rsid w:val="00C62210"/>
    <w:rsid w:val="00C629B5"/>
    <w:rsid w:val="00C62D1F"/>
    <w:rsid w:val="00C64766"/>
    <w:rsid w:val="00C65800"/>
    <w:rsid w:val="00C6624F"/>
    <w:rsid w:val="00C66926"/>
    <w:rsid w:val="00C707F5"/>
    <w:rsid w:val="00C722E7"/>
    <w:rsid w:val="00C722F9"/>
    <w:rsid w:val="00C73CC1"/>
    <w:rsid w:val="00C741C6"/>
    <w:rsid w:val="00C74553"/>
    <w:rsid w:val="00C74A55"/>
    <w:rsid w:val="00C84A3F"/>
    <w:rsid w:val="00C86019"/>
    <w:rsid w:val="00C91662"/>
    <w:rsid w:val="00C95828"/>
    <w:rsid w:val="00C9785D"/>
    <w:rsid w:val="00CA3AD6"/>
    <w:rsid w:val="00CA5AF8"/>
    <w:rsid w:val="00CB3BE6"/>
    <w:rsid w:val="00CB5212"/>
    <w:rsid w:val="00CB560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3DA"/>
    <w:rsid w:val="00D05999"/>
    <w:rsid w:val="00D05EFB"/>
    <w:rsid w:val="00D06D84"/>
    <w:rsid w:val="00D10BF5"/>
    <w:rsid w:val="00D126D0"/>
    <w:rsid w:val="00D16BA4"/>
    <w:rsid w:val="00D1719F"/>
    <w:rsid w:val="00D17864"/>
    <w:rsid w:val="00D202CE"/>
    <w:rsid w:val="00D203A9"/>
    <w:rsid w:val="00D20824"/>
    <w:rsid w:val="00D220DB"/>
    <w:rsid w:val="00D2231C"/>
    <w:rsid w:val="00D2257B"/>
    <w:rsid w:val="00D234AB"/>
    <w:rsid w:val="00D24F91"/>
    <w:rsid w:val="00D301FB"/>
    <w:rsid w:val="00D32350"/>
    <w:rsid w:val="00D32CF8"/>
    <w:rsid w:val="00D33729"/>
    <w:rsid w:val="00D33EAA"/>
    <w:rsid w:val="00D34C6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6C6E"/>
    <w:rsid w:val="00D8749B"/>
    <w:rsid w:val="00D921F9"/>
    <w:rsid w:val="00D93D3D"/>
    <w:rsid w:val="00D945AC"/>
    <w:rsid w:val="00D94B3E"/>
    <w:rsid w:val="00D97E3B"/>
    <w:rsid w:val="00DA0839"/>
    <w:rsid w:val="00DA1EEA"/>
    <w:rsid w:val="00DA2AA9"/>
    <w:rsid w:val="00DA315D"/>
    <w:rsid w:val="00DA4F02"/>
    <w:rsid w:val="00DA4F68"/>
    <w:rsid w:val="00DA5CBF"/>
    <w:rsid w:val="00DA6BA6"/>
    <w:rsid w:val="00DB1172"/>
    <w:rsid w:val="00DB4DCB"/>
    <w:rsid w:val="00DB53BA"/>
    <w:rsid w:val="00DB73EA"/>
    <w:rsid w:val="00DC1DAD"/>
    <w:rsid w:val="00DC2B00"/>
    <w:rsid w:val="00DC55AB"/>
    <w:rsid w:val="00DC561A"/>
    <w:rsid w:val="00DC6291"/>
    <w:rsid w:val="00DC7B8F"/>
    <w:rsid w:val="00DD040F"/>
    <w:rsid w:val="00DD07AD"/>
    <w:rsid w:val="00DD54E8"/>
    <w:rsid w:val="00DD653E"/>
    <w:rsid w:val="00DE086A"/>
    <w:rsid w:val="00DE167B"/>
    <w:rsid w:val="00DE18EC"/>
    <w:rsid w:val="00DE3F9F"/>
    <w:rsid w:val="00DE43A1"/>
    <w:rsid w:val="00DE59D7"/>
    <w:rsid w:val="00DE6636"/>
    <w:rsid w:val="00DF0BEE"/>
    <w:rsid w:val="00DF17E1"/>
    <w:rsid w:val="00DF19D6"/>
    <w:rsid w:val="00DF6E46"/>
    <w:rsid w:val="00DF7740"/>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57533"/>
    <w:rsid w:val="00E60F74"/>
    <w:rsid w:val="00E61AAC"/>
    <w:rsid w:val="00E61E2A"/>
    <w:rsid w:val="00E63A67"/>
    <w:rsid w:val="00E645C9"/>
    <w:rsid w:val="00E65BAC"/>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01A0"/>
    <w:rsid w:val="00E91F0E"/>
    <w:rsid w:val="00E936F6"/>
    <w:rsid w:val="00E94CE1"/>
    <w:rsid w:val="00E96DAE"/>
    <w:rsid w:val="00EA0E72"/>
    <w:rsid w:val="00EA6563"/>
    <w:rsid w:val="00EA6AF8"/>
    <w:rsid w:val="00EA7506"/>
    <w:rsid w:val="00EB09D6"/>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E009D"/>
    <w:rsid w:val="00EE30A0"/>
    <w:rsid w:val="00EE3800"/>
    <w:rsid w:val="00EE405D"/>
    <w:rsid w:val="00EE473A"/>
    <w:rsid w:val="00EE584A"/>
    <w:rsid w:val="00EE625D"/>
    <w:rsid w:val="00EE6D75"/>
    <w:rsid w:val="00EE76E8"/>
    <w:rsid w:val="00EF00C1"/>
    <w:rsid w:val="00EF4F7D"/>
    <w:rsid w:val="00EF7321"/>
    <w:rsid w:val="00EF7C3B"/>
    <w:rsid w:val="00EF7E5D"/>
    <w:rsid w:val="00F010DC"/>
    <w:rsid w:val="00F02271"/>
    <w:rsid w:val="00F03F1A"/>
    <w:rsid w:val="00F101F8"/>
    <w:rsid w:val="00F118D1"/>
    <w:rsid w:val="00F138B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56B40"/>
    <w:rsid w:val="00F60AEF"/>
    <w:rsid w:val="00F616FA"/>
    <w:rsid w:val="00F622CE"/>
    <w:rsid w:val="00F631B6"/>
    <w:rsid w:val="00F6467F"/>
    <w:rsid w:val="00F65C04"/>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B7740"/>
    <w:rsid w:val="00FC0424"/>
    <w:rsid w:val="00FC061B"/>
    <w:rsid w:val="00FC128D"/>
    <w:rsid w:val="00FC1F89"/>
    <w:rsid w:val="00FC2830"/>
    <w:rsid w:val="00FC3F23"/>
    <w:rsid w:val="00FC42E6"/>
    <w:rsid w:val="00FC48DC"/>
    <w:rsid w:val="00FC6FEE"/>
    <w:rsid w:val="00FC78C6"/>
    <w:rsid w:val="00FC7DFE"/>
    <w:rsid w:val="00FD20FF"/>
    <w:rsid w:val="00FD516A"/>
    <w:rsid w:val="00FD7124"/>
    <w:rsid w:val="00FE1113"/>
    <w:rsid w:val="00FE2BC1"/>
    <w:rsid w:val="00FE462B"/>
    <w:rsid w:val="00FE4638"/>
    <w:rsid w:val="00FE558B"/>
    <w:rsid w:val="00FE5D21"/>
    <w:rsid w:val="00FE5DAB"/>
    <w:rsid w:val="00FF1094"/>
    <w:rsid w:val="00FF1627"/>
    <w:rsid w:val="00FF1E47"/>
    <w:rsid w:val="00FF26A7"/>
    <w:rsid w:val="00FF272C"/>
    <w:rsid w:val="00FF3489"/>
    <w:rsid w:val="00FF3B17"/>
    <w:rsid w:val="00FF489E"/>
    <w:rsid w:val="00FF6007"/>
    <w:rsid w:val="00FF6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645C9"/>
    <w:pPr>
      <w:spacing w:line="360" w:lineRule="auto"/>
      <w:jc w:val="both"/>
    </w:pPr>
    <w:rPr>
      <w:sz w:val="24"/>
      <w:lang w:eastAsia="en-US"/>
    </w:rPr>
  </w:style>
  <w:style w:type="paragraph" w:styleId="Heading1">
    <w:name w:val="heading 1"/>
    <w:basedOn w:val="Normal"/>
    <w:next w:val="ParaNumbering"/>
    <w:link w:val="Heading1Char"/>
    <w:qFormat/>
    <w:rsid w:val="00745056"/>
    <w:pPr>
      <w:keepNext/>
      <w:spacing w:before="240" w:after="60" w:line="240" w:lineRule="auto"/>
      <w:outlineLvl w:val="0"/>
    </w:pPr>
    <w:rPr>
      <w:b/>
      <w:caps/>
      <w:kern w:val="28"/>
    </w:rPr>
  </w:style>
  <w:style w:type="paragraph" w:styleId="Heading2">
    <w:name w:val="heading 2"/>
    <w:basedOn w:val="Normal"/>
    <w:next w:val="ParaNumbering"/>
    <w:link w:val="Heading2Char"/>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rsid w:val="009844DE"/>
    <w:pPr>
      <w:outlineLvl w:val="6"/>
    </w:pPr>
  </w:style>
  <w:style w:type="paragraph" w:styleId="Heading8">
    <w:name w:val="heading 8"/>
    <w:basedOn w:val="fcHeading4"/>
    <w:next w:val="ParaNumbering"/>
    <w:rsid w:val="009844DE"/>
    <w:pPr>
      <w:outlineLvl w:val="7"/>
    </w:pPr>
  </w:style>
  <w:style w:type="paragraph" w:styleId="Heading9">
    <w:name w:val="heading 9"/>
    <w:basedOn w:val="fcHeading5"/>
    <w:next w:val="ParaNumbering"/>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D3567"/>
    <w:pPr>
      <w:numPr>
        <w:numId w:val="17"/>
      </w:numPr>
      <w:spacing w:before="180" w:after="180"/>
    </w:pPr>
  </w:style>
  <w:style w:type="paragraph" w:customStyle="1" w:styleId="Quote1">
    <w:name w:val="Quote1"/>
    <w:rsid w:val="003937B2"/>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1"/>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3937B2"/>
    <w:pPr>
      <w:ind w:left="2160"/>
    </w:pPr>
  </w:style>
  <w:style w:type="paragraph" w:customStyle="1" w:styleId="Quote2">
    <w:name w:val="Quote2"/>
    <w:basedOn w:val="Quote1"/>
    <w:rsid w:val="003937B2"/>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1">
    <w:name w:val="List No 1"/>
    <w:basedOn w:val="Normal"/>
    <w:rsid w:val="0068363D"/>
    <w:pPr>
      <w:numPr>
        <w:numId w:val="18"/>
      </w:num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2"/>
      </w:numPr>
    </w:pPr>
  </w:style>
  <w:style w:type="numbering" w:styleId="1ai">
    <w:name w:val="Outline List 1"/>
    <w:basedOn w:val="NoList"/>
    <w:semiHidden/>
    <w:rsid w:val="0047417B"/>
    <w:pPr>
      <w:numPr>
        <w:numId w:val="13"/>
      </w:numPr>
    </w:pPr>
  </w:style>
  <w:style w:type="numbering" w:styleId="ArticleSection">
    <w:name w:val="Outline List 3"/>
    <w:basedOn w:val="NoList"/>
    <w:semiHidden/>
    <w:rsid w:val="0047417B"/>
    <w:pPr>
      <w:numPr>
        <w:numId w:val="14"/>
      </w:numPr>
    </w:pPr>
  </w:style>
  <w:style w:type="paragraph" w:styleId="BlockText">
    <w:name w:val="Block Text"/>
    <w:basedOn w:val="Normal"/>
    <w:semiHidden/>
    <w:rsid w:val="0047417B"/>
    <w:pPr>
      <w:spacing w:after="120"/>
      <w:ind w:left="1440" w:right="1440"/>
    </w:pPr>
  </w:style>
  <w:style w:type="paragraph" w:styleId="BodyText">
    <w:name w:val="Body Text"/>
    <w:basedOn w:val="Normal"/>
    <w:link w:val="BodyTextChar"/>
    <w:qFormat/>
    <w:rsid w:val="00C1637F"/>
    <w:pPr>
      <w:spacing w:before="60" w:after="6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2"/>
      </w:numPr>
    </w:pPr>
  </w:style>
  <w:style w:type="paragraph" w:styleId="ListBullet2">
    <w:name w:val="List Bullet 2"/>
    <w:basedOn w:val="Normal"/>
    <w:semiHidden/>
    <w:rsid w:val="0047417B"/>
    <w:pPr>
      <w:numPr>
        <w:numId w:val="3"/>
      </w:numPr>
    </w:pPr>
  </w:style>
  <w:style w:type="paragraph" w:styleId="ListBullet3">
    <w:name w:val="List Bullet 3"/>
    <w:basedOn w:val="Normal"/>
    <w:semiHidden/>
    <w:rsid w:val="0047417B"/>
    <w:pPr>
      <w:numPr>
        <w:numId w:val="4"/>
      </w:numPr>
    </w:pPr>
  </w:style>
  <w:style w:type="paragraph" w:styleId="ListBullet4">
    <w:name w:val="List Bullet 4"/>
    <w:basedOn w:val="Normal"/>
    <w:semiHidden/>
    <w:rsid w:val="0047417B"/>
    <w:pPr>
      <w:numPr>
        <w:numId w:val="5"/>
      </w:numPr>
    </w:pPr>
  </w:style>
  <w:style w:type="paragraph" w:styleId="ListBullet5">
    <w:name w:val="List Bullet 5"/>
    <w:basedOn w:val="Normal"/>
    <w:semiHidden/>
    <w:rsid w:val="0047417B"/>
    <w:pPr>
      <w:numPr>
        <w:numId w:val="6"/>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7"/>
      </w:numPr>
    </w:pPr>
  </w:style>
  <w:style w:type="paragraph" w:styleId="ListNumber2">
    <w:name w:val="List Number 2"/>
    <w:basedOn w:val="Normal"/>
    <w:semiHidden/>
    <w:rsid w:val="0047417B"/>
    <w:pPr>
      <w:numPr>
        <w:numId w:val="8"/>
      </w:numPr>
    </w:pPr>
  </w:style>
  <w:style w:type="paragraph" w:styleId="ListNumber3">
    <w:name w:val="List Number 3"/>
    <w:basedOn w:val="Normal"/>
    <w:semiHidden/>
    <w:rsid w:val="0047417B"/>
    <w:pPr>
      <w:numPr>
        <w:numId w:val="9"/>
      </w:numPr>
    </w:pPr>
  </w:style>
  <w:style w:type="paragraph" w:styleId="ListNumber4">
    <w:name w:val="List Number 4"/>
    <w:basedOn w:val="Normal"/>
    <w:semiHidden/>
    <w:rsid w:val="0047417B"/>
    <w:pPr>
      <w:numPr>
        <w:numId w:val="10"/>
      </w:numPr>
    </w:pPr>
  </w:style>
  <w:style w:type="paragraph" w:styleId="ListNumber5">
    <w:name w:val="List Number 5"/>
    <w:basedOn w:val="Normal"/>
    <w:semiHidden/>
    <w:rsid w:val="0047417B"/>
    <w:pPr>
      <w:numPr>
        <w:numId w:val="11"/>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rsid w:val="0047417B"/>
    <w:rPr>
      <w:b/>
      <w:bCs/>
    </w:rPr>
  </w:style>
  <w:style w:type="paragraph" w:styleId="Subtitle">
    <w:name w:val="Subtitle"/>
    <w:basedOn w:val="Normal"/>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5"/>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5"/>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numbering" w:customStyle="1" w:styleId="FCListNo">
    <w:name w:val="FCListNo"/>
    <w:uiPriority w:val="99"/>
    <w:rsid w:val="0068363D"/>
    <w:pPr>
      <w:numPr>
        <w:numId w:val="16"/>
      </w:numPr>
    </w:pPr>
  </w:style>
  <w:style w:type="paragraph" w:customStyle="1" w:styleId="ListNo2">
    <w:name w:val="List No 2"/>
    <w:basedOn w:val="ListNo1"/>
    <w:rsid w:val="0068363D"/>
    <w:pPr>
      <w:numPr>
        <w:ilvl w:val="1"/>
      </w:numPr>
    </w:pPr>
  </w:style>
  <w:style w:type="paragraph" w:customStyle="1" w:styleId="ListNo3">
    <w:name w:val="List No 3"/>
    <w:basedOn w:val="ListNo2"/>
    <w:rsid w:val="0068363D"/>
    <w:pPr>
      <w:numPr>
        <w:ilvl w:val="2"/>
      </w:numPr>
    </w:pPr>
  </w:style>
  <w:style w:type="paragraph" w:customStyle="1" w:styleId="Quote1Bullet">
    <w:name w:val="Quote1 Bullet"/>
    <w:basedOn w:val="Quote1"/>
    <w:rsid w:val="00E645C9"/>
    <w:pPr>
      <w:numPr>
        <w:numId w:val="21"/>
      </w:numPr>
      <w:ind w:left="1440" w:hanging="720"/>
    </w:pPr>
  </w:style>
  <w:style w:type="paragraph" w:customStyle="1" w:styleId="Quote2Bullet">
    <w:name w:val="Quote2 Bullet"/>
    <w:basedOn w:val="Quote2"/>
    <w:rsid w:val="00E645C9"/>
    <w:pPr>
      <w:numPr>
        <w:numId w:val="22"/>
      </w:numPr>
      <w:ind w:hanging="720"/>
    </w:pPr>
  </w:style>
  <w:style w:type="paragraph" w:customStyle="1" w:styleId="Quote3Bullet">
    <w:name w:val="Quote3 Bullet"/>
    <w:basedOn w:val="Quote3"/>
    <w:rsid w:val="00E645C9"/>
    <w:pPr>
      <w:numPr>
        <w:numId w:val="23"/>
      </w:numPr>
      <w:ind w:hanging="720"/>
    </w:pPr>
  </w:style>
  <w:style w:type="numbering" w:customStyle="1" w:styleId="FCOrders">
    <w:name w:val="FCOrders"/>
    <w:uiPriority w:val="99"/>
    <w:rsid w:val="0040483D"/>
    <w:pPr>
      <w:numPr>
        <w:numId w:val="19"/>
      </w:numPr>
    </w:pPr>
  </w:style>
  <w:style w:type="paragraph" w:customStyle="1" w:styleId="Order1">
    <w:name w:val="Order 1"/>
    <w:basedOn w:val="Normal"/>
    <w:rsid w:val="0040483D"/>
    <w:pPr>
      <w:numPr>
        <w:numId w:val="20"/>
      </w:numPr>
      <w:spacing w:before="60" w:after="60"/>
    </w:pPr>
  </w:style>
  <w:style w:type="paragraph" w:customStyle="1" w:styleId="Order2">
    <w:name w:val="Order 2"/>
    <w:basedOn w:val="Order1"/>
    <w:rsid w:val="0040483D"/>
    <w:pPr>
      <w:numPr>
        <w:ilvl w:val="1"/>
      </w:numPr>
    </w:pPr>
  </w:style>
  <w:style w:type="paragraph" w:customStyle="1" w:styleId="Order3">
    <w:name w:val="Order 3"/>
    <w:basedOn w:val="Order2"/>
    <w:rsid w:val="0040483D"/>
    <w:pPr>
      <w:numPr>
        <w:ilvl w:val="2"/>
      </w:numPr>
    </w:pPr>
  </w:style>
  <w:style w:type="paragraph" w:customStyle="1" w:styleId="SingleSpace">
    <w:name w:val="SingleSpace"/>
    <w:basedOn w:val="Normal"/>
    <w:rsid w:val="001E426C"/>
    <w:pPr>
      <w:spacing w:line="240" w:lineRule="auto"/>
    </w:pPr>
    <w:rPr>
      <w:sz w:val="22"/>
      <w:szCs w:val="22"/>
    </w:rPr>
  </w:style>
  <w:style w:type="character" w:customStyle="1" w:styleId="Heading1Char">
    <w:name w:val="Heading 1 Char"/>
    <w:basedOn w:val="DefaultParagraphFont"/>
    <w:link w:val="Heading1"/>
    <w:rsid w:val="00592D55"/>
    <w:rPr>
      <w:b/>
      <w:caps/>
      <w:kern w:val="28"/>
      <w:sz w:val="24"/>
      <w:lang w:eastAsia="en-US"/>
    </w:rPr>
  </w:style>
  <w:style w:type="character" w:customStyle="1" w:styleId="HeaderChar">
    <w:name w:val="Header Char"/>
    <w:basedOn w:val="DefaultParagraphFont"/>
    <w:link w:val="Header"/>
    <w:semiHidden/>
    <w:rsid w:val="00592D55"/>
    <w:rPr>
      <w:sz w:val="24"/>
      <w:lang w:eastAsia="en-US"/>
    </w:rPr>
  </w:style>
  <w:style w:type="character" w:customStyle="1" w:styleId="FooterChar">
    <w:name w:val="Footer Char"/>
    <w:basedOn w:val="DefaultParagraphFont"/>
    <w:link w:val="Footer"/>
    <w:semiHidden/>
    <w:rsid w:val="00592D55"/>
    <w:rPr>
      <w:sz w:val="24"/>
      <w:lang w:eastAsia="en-US"/>
    </w:rPr>
  </w:style>
  <w:style w:type="character" w:customStyle="1" w:styleId="BodyTextChar">
    <w:name w:val="Body Text Char"/>
    <w:basedOn w:val="DefaultParagraphFont"/>
    <w:link w:val="BodyText"/>
    <w:rsid w:val="00592D55"/>
    <w:rPr>
      <w:sz w:val="24"/>
      <w:lang w:eastAsia="en-US"/>
    </w:rPr>
  </w:style>
  <w:style w:type="character" w:customStyle="1" w:styleId="Heading2Char">
    <w:name w:val="Heading 2 Char"/>
    <w:basedOn w:val="DefaultParagraphFont"/>
    <w:link w:val="Heading2"/>
    <w:rsid w:val="00592D55"/>
    <w:rPr>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645C9"/>
    <w:pPr>
      <w:spacing w:line="360" w:lineRule="auto"/>
      <w:jc w:val="both"/>
    </w:pPr>
    <w:rPr>
      <w:sz w:val="24"/>
      <w:lang w:eastAsia="en-US"/>
    </w:rPr>
  </w:style>
  <w:style w:type="paragraph" w:styleId="Heading1">
    <w:name w:val="heading 1"/>
    <w:basedOn w:val="Normal"/>
    <w:next w:val="ParaNumbering"/>
    <w:link w:val="Heading1Char"/>
    <w:qFormat/>
    <w:rsid w:val="00745056"/>
    <w:pPr>
      <w:keepNext/>
      <w:spacing w:before="240" w:after="60" w:line="240" w:lineRule="auto"/>
      <w:outlineLvl w:val="0"/>
    </w:pPr>
    <w:rPr>
      <w:b/>
      <w:caps/>
      <w:kern w:val="28"/>
    </w:rPr>
  </w:style>
  <w:style w:type="paragraph" w:styleId="Heading2">
    <w:name w:val="heading 2"/>
    <w:basedOn w:val="Normal"/>
    <w:next w:val="ParaNumbering"/>
    <w:link w:val="Heading2Char"/>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rsid w:val="009844DE"/>
    <w:pPr>
      <w:outlineLvl w:val="6"/>
    </w:pPr>
  </w:style>
  <w:style w:type="paragraph" w:styleId="Heading8">
    <w:name w:val="heading 8"/>
    <w:basedOn w:val="fcHeading4"/>
    <w:next w:val="ParaNumbering"/>
    <w:rsid w:val="009844DE"/>
    <w:pPr>
      <w:outlineLvl w:val="7"/>
    </w:pPr>
  </w:style>
  <w:style w:type="paragraph" w:styleId="Heading9">
    <w:name w:val="heading 9"/>
    <w:basedOn w:val="fcHeading5"/>
    <w:next w:val="ParaNumbering"/>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D3567"/>
    <w:pPr>
      <w:numPr>
        <w:numId w:val="17"/>
      </w:numPr>
      <w:spacing w:before="180" w:after="180"/>
    </w:pPr>
  </w:style>
  <w:style w:type="paragraph" w:customStyle="1" w:styleId="Quote1">
    <w:name w:val="Quote1"/>
    <w:rsid w:val="003937B2"/>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1"/>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3937B2"/>
    <w:pPr>
      <w:ind w:left="2160"/>
    </w:pPr>
  </w:style>
  <w:style w:type="paragraph" w:customStyle="1" w:styleId="Quote2">
    <w:name w:val="Quote2"/>
    <w:basedOn w:val="Quote1"/>
    <w:rsid w:val="003937B2"/>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1">
    <w:name w:val="List No 1"/>
    <w:basedOn w:val="Normal"/>
    <w:rsid w:val="0068363D"/>
    <w:pPr>
      <w:numPr>
        <w:numId w:val="18"/>
      </w:num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2"/>
      </w:numPr>
    </w:pPr>
  </w:style>
  <w:style w:type="numbering" w:styleId="1ai">
    <w:name w:val="Outline List 1"/>
    <w:basedOn w:val="NoList"/>
    <w:semiHidden/>
    <w:rsid w:val="0047417B"/>
    <w:pPr>
      <w:numPr>
        <w:numId w:val="13"/>
      </w:numPr>
    </w:pPr>
  </w:style>
  <w:style w:type="numbering" w:styleId="ArticleSection">
    <w:name w:val="Outline List 3"/>
    <w:basedOn w:val="NoList"/>
    <w:semiHidden/>
    <w:rsid w:val="0047417B"/>
    <w:pPr>
      <w:numPr>
        <w:numId w:val="14"/>
      </w:numPr>
    </w:pPr>
  </w:style>
  <w:style w:type="paragraph" w:styleId="BlockText">
    <w:name w:val="Block Text"/>
    <w:basedOn w:val="Normal"/>
    <w:semiHidden/>
    <w:rsid w:val="0047417B"/>
    <w:pPr>
      <w:spacing w:after="120"/>
      <w:ind w:left="1440" w:right="1440"/>
    </w:pPr>
  </w:style>
  <w:style w:type="paragraph" w:styleId="BodyText">
    <w:name w:val="Body Text"/>
    <w:basedOn w:val="Normal"/>
    <w:link w:val="BodyTextChar"/>
    <w:qFormat/>
    <w:rsid w:val="00C1637F"/>
    <w:pPr>
      <w:spacing w:before="60" w:after="6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2"/>
      </w:numPr>
    </w:pPr>
  </w:style>
  <w:style w:type="paragraph" w:styleId="ListBullet2">
    <w:name w:val="List Bullet 2"/>
    <w:basedOn w:val="Normal"/>
    <w:semiHidden/>
    <w:rsid w:val="0047417B"/>
    <w:pPr>
      <w:numPr>
        <w:numId w:val="3"/>
      </w:numPr>
    </w:pPr>
  </w:style>
  <w:style w:type="paragraph" w:styleId="ListBullet3">
    <w:name w:val="List Bullet 3"/>
    <w:basedOn w:val="Normal"/>
    <w:semiHidden/>
    <w:rsid w:val="0047417B"/>
    <w:pPr>
      <w:numPr>
        <w:numId w:val="4"/>
      </w:numPr>
    </w:pPr>
  </w:style>
  <w:style w:type="paragraph" w:styleId="ListBullet4">
    <w:name w:val="List Bullet 4"/>
    <w:basedOn w:val="Normal"/>
    <w:semiHidden/>
    <w:rsid w:val="0047417B"/>
    <w:pPr>
      <w:numPr>
        <w:numId w:val="5"/>
      </w:numPr>
    </w:pPr>
  </w:style>
  <w:style w:type="paragraph" w:styleId="ListBullet5">
    <w:name w:val="List Bullet 5"/>
    <w:basedOn w:val="Normal"/>
    <w:semiHidden/>
    <w:rsid w:val="0047417B"/>
    <w:pPr>
      <w:numPr>
        <w:numId w:val="6"/>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7"/>
      </w:numPr>
    </w:pPr>
  </w:style>
  <w:style w:type="paragraph" w:styleId="ListNumber2">
    <w:name w:val="List Number 2"/>
    <w:basedOn w:val="Normal"/>
    <w:semiHidden/>
    <w:rsid w:val="0047417B"/>
    <w:pPr>
      <w:numPr>
        <w:numId w:val="8"/>
      </w:numPr>
    </w:pPr>
  </w:style>
  <w:style w:type="paragraph" w:styleId="ListNumber3">
    <w:name w:val="List Number 3"/>
    <w:basedOn w:val="Normal"/>
    <w:semiHidden/>
    <w:rsid w:val="0047417B"/>
    <w:pPr>
      <w:numPr>
        <w:numId w:val="9"/>
      </w:numPr>
    </w:pPr>
  </w:style>
  <w:style w:type="paragraph" w:styleId="ListNumber4">
    <w:name w:val="List Number 4"/>
    <w:basedOn w:val="Normal"/>
    <w:semiHidden/>
    <w:rsid w:val="0047417B"/>
    <w:pPr>
      <w:numPr>
        <w:numId w:val="10"/>
      </w:numPr>
    </w:pPr>
  </w:style>
  <w:style w:type="paragraph" w:styleId="ListNumber5">
    <w:name w:val="List Number 5"/>
    <w:basedOn w:val="Normal"/>
    <w:semiHidden/>
    <w:rsid w:val="0047417B"/>
    <w:pPr>
      <w:numPr>
        <w:numId w:val="11"/>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rsid w:val="0047417B"/>
    <w:rPr>
      <w:b/>
      <w:bCs/>
    </w:rPr>
  </w:style>
  <w:style w:type="paragraph" w:styleId="Subtitle">
    <w:name w:val="Subtitle"/>
    <w:basedOn w:val="Normal"/>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5"/>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5"/>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numbering" w:customStyle="1" w:styleId="FCListNo">
    <w:name w:val="FCListNo"/>
    <w:uiPriority w:val="99"/>
    <w:rsid w:val="0068363D"/>
    <w:pPr>
      <w:numPr>
        <w:numId w:val="16"/>
      </w:numPr>
    </w:pPr>
  </w:style>
  <w:style w:type="paragraph" w:customStyle="1" w:styleId="ListNo2">
    <w:name w:val="List No 2"/>
    <w:basedOn w:val="ListNo1"/>
    <w:rsid w:val="0068363D"/>
    <w:pPr>
      <w:numPr>
        <w:ilvl w:val="1"/>
      </w:numPr>
    </w:pPr>
  </w:style>
  <w:style w:type="paragraph" w:customStyle="1" w:styleId="ListNo3">
    <w:name w:val="List No 3"/>
    <w:basedOn w:val="ListNo2"/>
    <w:rsid w:val="0068363D"/>
    <w:pPr>
      <w:numPr>
        <w:ilvl w:val="2"/>
      </w:numPr>
    </w:pPr>
  </w:style>
  <w:style w:type="paragraph" w:customStyle="1" w:styleId="Quote1Bullet">
    <w:name w:val="Quote1 Bullet"/>
    <w:basedOn w:val="Quote1"/>
    <w:rsid w:val="00E645C9"/>
    <w:pPr>
      <w:numPr>
        <w:numId w:val="21"/>
      </w:numPr>
      <w:ind w:left="1440" w:hanging="720"/>
    </w:pPr>
  </w:style>
  <w:style w:type="paragraph" w:customStyle="1" w:styleId="Quote2Bullet">
    <w:name w:val="Quote2 Bullet"/>
    <w:basedOn w:val="Quote2"/>
    <w:rsid w:val="00E645C9"/>
    <w:pPr>
      <w:numPr>
        <w:numId w:val="22"/>
      </w:numPr>
      <w:ind w:hanging="720"/>
    </w:pPr>
  </w:style>
  <w:style w:type="paragraph" w:customStyle="1" w:styleId="Quote3Bullet">
    <w:name w:val="Quote3 Bullet"/>
    <w:basedOn w:val="Quote3"/>
    <w:rsid w:val="00E645C9"/>
    <w:pPr>
      <w:numPr>
        <w:numId w:val="23"/>
      </w:numPr>
      <w:ind w:hanging="720"/>
    </w:pPr>
  </w:style>
  <w:style w:type="numbering" w:customStyle="1" w:styleId="FCOrders">
    <w:name w:val="FCOrders"/>
    <w:uiPriority w:val="99"/>
    <w:rsid w:val="0040483D"/>
    <w:pPr>
      <w:numPr>
        <w:numId w:val="19"/>
      </w:numPr>
    </w:pPr>
  </w:style>
  <w:style w:type="paragraph" w:customStyle="1" w:styleId="Order1">
    <w:name w:val="Order 1"/>
    <w:basedOn w:val="Normal"/>
    <w:rsid w:val="0040483D"/>
    <w:pPr>
      <w:numPr>
        <w:numId w:val="20"/>
      </w:numPr>
      <w:spacing w:before="60" w:after="60"/>
    </w:pPr>
  </w:style>
  <w:style w:type="paragraph" w:customStyle="1" w:styleId="Order2">
    <w:name w:val="Order 2"/>
    <w:basedOn w:val="Order1"/>
    <w:rsid w:val="0040483D"/>
    <w:pPr>
      <w:numPr>
        <w:ilvl w:val="1"/>
      </w:numPr>
    </w:pPr>
  </w:style>
  <w:style w:type="paragraph" w:customStyle="1" w:styleId="Order3">
    <w:name w:val="Order 3"/>
    <w:basedOn w:val="Order2"/>
    <w:rsid w:val="0040483D"/>
    <w:pPr>
      <w:numPr>
        <w:ilvl w:val="2"/>
      </w:numPr>
    </w:pPr>
  </w:style>
  <w:style w:type="paragraph" w:customStyle="1" w:styleId="SingleSpace">
    <w:name w:val="SingleSpace"/>
    <w:basedOn w:val="Normal"/>
    <w:rsid w:val="001E426C"/>
    <w:pPr>
      <w:spacing w:line="240" w:lineRule="auto"/>
    </w:pPr>
    <w:rPr>
      <w:sz w:val="22"/>
      <w:szCs w:val="22"/>
    </w:rPr>
  </w:style>
  <w:style w:type="character" w:customStyle="1" w:styleId="Heading1Char">
    <w:name w:val="Heading 1 Char"/>
    <w:basedOn w:val="DefaultParagraphFont"/>
    <w:link w:val="Heading1"/>
    <w:rsid w:val="00592D55"/>
    <w:rPr>
      <w:b/>
      <w:caps/>
      <w:kern w:val="28"/>
      <w:sz w:val="24"/>
      <w:lang w:eastAsia="en-US"/>
    </w:rPr>
  </w:style>
  <w:style w:type="character" w:customStyle="1" w:styleId="HeaderChar">
    <w:name w:val="Header Char"/>
    <w:basedOn w:val="DefaultParagraphFont"/>
    <w:link w:val="Header"/>
    <w:semiHidden/>
    <w:rsid w:val="00592D55"/>
    <w:rPr>
      <w:sz w:val="24"/>
      <w:lang w:eastAsia="en-US"/>
    </w:rPr>
  </w:style>
  <w:style w:type="character" w:customStyle="1" w:styleId="FooterChar">
    <w:name w:val="Footer Char"/>
    <w:basedOn w:val="DefaultParagraphFont"/>
    <w:link w:val="Footer"/>
    <w:semiHidden/>
    <w:rsid w:val="00592D55"/>
    <w:rPr>
      <w:sz w:val="24"/>
      <w:lang w:eastAsia="en-US"/>
    </w:rPr>
  </w:style>
  <w:style w:type="character" w:customStyle="1" w:styleId="BodyTextChar">
    <w:name w:val="Body Text Char"/>
    <w:basedOn w:val="DefaultParagraphFont"/>
    <w:link w:val="BodyText"/>
    <w:rsid w:val="00592D55"/>
    <w:rPr>
      <w:sz w:val="24"/>
      <w:lang w:eastAsia="en-US"/>
    </w:rPr>
  </w:style>
  <w:style w:type="character" w:customStyle="1" w:styleId="Heading2Char">
    <w:name w:val="Heading 2 Char"/>
    <w:basedOn w:val="DefaultParagraphFont"/>
    <w:link w:val="Heading2"/>
    <w:rsid w:val="00592D55"/>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0l\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60F5-0DE5-4089-B911-BA891F54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33</Pages>
  <Words>11475</Words>
  <Characters>56850</Characters>
  <Application>Microsoft Office Word</Application>
  <DocSecurity>0</DocSecurity>
  <PresentationFormat/>
  <Lines>1292</Lines>
  <Paragraphs>498</Paragraphs>
  <ScaleCrop>false</ScaleCrop>
  <HeadingPairs>
    <vt:vector size="2" baseType="variant">
      <vt:variant>
        <vt:lpstr>Title</vt:lpstr>
      </vt:variant>
      <vt:variant>
        <vt:i4>1</vt:i4>
      </vt:variant>
    </vt:vector>
  </HeadingPairs>
  <TitlesOfParts>
    <vt:vector size="1" baseType="lpstr">
      <vt:lpstr>Central Queensland Development Corporation Pty Ltd v Sunstruct Pty Ltd [2015] FCAFC 63 </vt:lpstr>
    </vt:vector>
  </TitlesOfParts>
  <Manager/>
  <Company/>
  <LinksUpToDate>false</LinksUpToDate>
  <CharactersWithSpaces>67827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Queensland Development Corporation Pty Ltd v Sunstruct Pty Ltd [2015] FCAFC 63 </dc:title>
  <dc:subject/>
  <dc:creator/>
  <cp:keywords/>
  <dc:description/>
  <cp:lastModifiedBy/>
  <cp:revision>2</cp:revision>
  <cp:lastPrinted>2015-05-14T04:33:00Z</cp:lastPrinted>
  <dcterms:created xsi:type="dcterms:W3CDTF">2015-05-14T04:33:00Z</dcterms:created>
  <dcterms:modified xsi:type="dcterms:W3CDTF">2015-05-14T04:34:00Z</dcterms:modified>
  <cp:category/>
  <cp:contentStatus/>
  <dc:language/>
  <cp:version/>
</cp:coreProperties>
</file>