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712F0" w:rsidP="00A22932">
      <w:pPr>
        <w:pStyle w:val="CourtTitle"/>
      </w:pPr>
      <w:r>
        <w:fldChar w:fldCharType="begin" w:fldLock="1"/>
      </w:r>
      <w:r>
        <w:instrText xml:space="preserve"> DOCPROPERTY  Court  \* MERGEFORMAT </w:instrText>
      </w:r>
      <w:r>
        <w:fldChar w:fldCharType="separate"/>
      </w:r>
      <w:r w:rsidR="00394EB7">
        <w:t>Federal Court of Australia</w:t>
      </w:r>
      <w:r>
        <w:fldChar w:fldCharType="end"/>
      </w:r>
    </w:p>
    <w:p w:rsidR="00395B24" w:rsidRDefault="00395B24">
      <w:pPr>
        <w:pStyle w:val="NormalHeadings"/>
        <w:jc w:val="center"/>
        <w:rPr>
          <w:sz w:val="32"/>
        </w:rPr>
      </w:pPr>
    </w:p>
    <w:bookmarkStart w:id="0" w:name="MNC"/>
    <w:p w:rsidR="00374CC4" w:rsidRDefault="002712F0" w:rsidP="001A2B40">
      <w:pPr>
        <w:pStyle w:val="MNC"/>
      </w:pPr>
      <w:sdt>
        <w:sdtPr>
          <w:alias w:val="MNC"/>
          <w:tag w:val="MNC"/>
          <w:id w:val="343289786"/>
          <w:lock w:val="sdtLocked"/>
          <w:placeholder>
            <w:docPart w:val="CF5A3AB5A82D4DEF915BF6EE775E084F"/>
          </w:placeholder>
          <w:dataBinding w:prefixMappings="xmlns:ns0='http://schemas.globalmacros.com/FCA'" w:xpath="/ns0:root[1]/ns0:Name[1]" w:storeItemID="{687E7CCB-4AA5-44E7-B148-17BA2B6F57C0}"/>
          <w:text w:multiLine="1"/>
        </w:sdtPr>
        <w:sdtEndPr/>
        <w:sdtContent>
          <w:r w:rsidR="003037FE" w:rsidRPr="003037FE">
            <w:t xml:space="preserve"> </w:t>
          </w:r>
          <w:proofErr w:type="spellStart"/>
          <w:r w:rsidR="003037FE" w:rsidRPr="003037FE">
            <w:t>Kukulka</w:t>
          </w:r>
          <w:proofErr w:type="spellEnd"/>
          <w:r w:rsidR="003037FE" w:rsidRPr="003037FE">
            <w:t xml:space="preserve"> v Google LLC [2020] FCA 1229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2835"/>
        <w:gridCol w:w="6238"/>
      </w:tblGrid>
      <w:tr w:rsidR="00395B24" w:rsidTr="00D2037B">
        <w:tc>
          <w:tcPr>
            <w:tcW w:w="2835" w:type="dxa"/>
            <w:shd w:val="clear" w:color="auto" w:fill="auto"/>
          </w:tcPr>
          <w:p w:rsidR="00395B24" w:rsidRDefault="002C7385" w:rsidP="00663878">
            <w:pPr>
              <w:pStyle w:val="Normal1linespace"/>
              <w:widowControl w:val="0"/>
              <w:jc w:val="left"/>
            </w:pPr>
            <w:r>
              <w:t>File number(s):</w:t>
            </w:r>
          </w:p>
        </w:tc>
        <w:tc>
          <w:tcPr>
            <w:tcW w:w="6238" w:type="dxa"/>
            <w:shd w:val="clear" w:color="auto" w:fill="auto"/>
          </w:tcPr>
          <w:p w:rsidR="00395B24" w:rsidRPr="00394EB7" w:rsidRDefault="002712F0" w:rsidP="00394EB7">
            <w:pPr>
              <w:pStyle w:val="Normal1linespace"/>
              <w:jc w:val="left"/>
            </w:pPr>
            <w:r>
              <w:fldChar w:fldCharType="begin" w:fldLock="1"/>
            </w:r>
            <w:r>
              <w:instrText xml:space="preserve"> REF  FileNo  \* MERGEFORMAT </w:instrText>
            </w:r>
            <w:r>
              <w:fldChar w:fldCharType="separate"/>
            </w:r>
            <w:r w:rsidR="00394EB7" w:rsidRPr="00394EB7">
              <w:t>VID 419 of 2020</w:t>
            </w:r>
            <w:r>
              <w:fldChar w:fldCharType="end"/>
            </w:r>
          </w:p>
        </w:tc>
      </w:tr>
      <w:tr w:rsidR="00395B24" w:rsidTr="00D2037B">
        <w:tc>
          <w:tcPr>
            <w:tcW w:w="2835" w:type="dxa"/>
            <w:shd w:val="clear" w:color="auto" w:fill="auto"/>
          </w:tcPr>
          <w:p w:rsidR="00395B24" w:rsidRDefault="00395B24" w:rsidP="00663878">
            <w:pPr>
              <w:pStyle w:val="Normal1linespace"/>
              <w:widowControl w:val="0"/>
              <w:jc w:val="left"/>
            </w:pPr>
          </w:p>
        </w:tc>
        <w:tc>
          <w:tcPr>
            <w:tcW w:w="6238" w:type="dxa"/>
            <w:shd w:val="clear" w:color="auto" w:fill="auto"/>
          </w:tcPr>
          <w:p w:rsidR="00395B24" w:rsidRDefault="00395B24" w:rsidP="00663878">
            <w:pPr>
              <w:pStyle w:val="Normal1linespace"/>
              <w:widowControl w:val="0"/>
              <w:jc w:val="left"/>
            </w:pPr>
          </w:p>
        </w:tc>
      </w:tr>
      <w:tr w:rsidR="00395B24" w:rsidTr="00D2037B">
        <w:tc>
          <w:tcPr>
            <w:tcW w:w="2835" w:type="dxa"/>
            <w:shd w:val="clear" w:color="auto" w:fill="auto"/>
          </w:tcPr>
          <w:p w:rsidR="00395B24" w:rsidRDefault="002C7385" w:rsidP="00663878">
            <w:pPr>
              <w:pStyle w:val="Normal1linespace"/>
              <w:widowControl w:val="0"/>
              <w:jc w:val="left"/>
            </w:pPr>
            <w:r>
              <w:t>Judg</w:t>
            </w:r>
            <w:r w:rsidR="005724F6">
              <w:t>ment of</w:t>
            </w:r>
            <w:r>
              <w:t>:</w:t>
            </w:r>
          </w:p>
        </w:tc>
        <w:tc>
          <w:tcPr>
            <w:tcW w:w="6238" w:type="dxa"/>
            <w:shd w:val="clear" w:color="auto" w:fill="auto"/>
          </w:tcPr>
          <w:p w:rsidR="00395B24" w:rsidRDefault="002C7385" w:rsidP="00663878">
            <w:pPr>
              <w:pStyle w:val="Normal1linespace"/>
              <w:widowControl w:val="0"/>
              <w:jc w:val="left"/>
              <w:rPr>
                <w:b/>
              </w:rPr>
            </w:pPr>
            <w:r w:rsidRPr="00394EB7">
              <w:rPr>
                <w:b/>
              </w:rPr>
              <w:fldChar w:fldCharType="begin" w:fldLock="1"/>
            </w:r>
            <w:r w:rsidRPr="00394EB7">
              <w:rPr>
                <w:b/>
              </w:rPr>
              <w:instrText xml:space="preserve"> REF  Judge  \* MERGEFORMAT </w:instrText>
            </w:r>
            <w:r w:rsidRPr="00394EB7">
              <w:rPr>
                <w:b/>
              </w:rPr>
              <w:fldChar w:fldCharType="separate"/>
            </w:r>
            <w:r w:rsidR="00394EB7" w:rsidRPr="00394EB7">
              <w:rPr>
                <w:b/>
                <w:caps/>
                <w:szCs w:val="24"/>
              </w:rPr>
              <w:t>ANASTASSIOU J</w:t>
            </w:r>
            <w:r w:rsidRPr="00394EB7">
              <w:rPr>
                <w:b/>
              </w:rPr>
              <w:fldChar w:fldCharType="end"/>
            </w:r>
          </w:p>
        </w:tc>
      </w:tr>
      <w:tr w:rsidR="00395B24" w:rsidTr="00D2037B">
        <w:tc>
          <w:tcPr>
            <w:tcW w:w="2835" w:type="dxa"/>
            <w:shd w:val="clear" w:color="auto" w:fill="auto"/>
          </w:tcPr>
          <w:p w:rsidR="00395B24" w:rsidRDefault="00395B24" w:rsidP="00663878">
            <w:pPr>
              <w:pStyle w:val="Normal1linespace"/>
              <w:widowControl w:val="0"/>
              <w:jc w:val="left"/>
            </w:pPr>
          </w:p>
        </w:tc>
        <w:tc>
          <w:tcPr>
            <w:tcW w:w="6238" w:type="dxa"/>
            <w:shd w:val="clear" w:color="auto" w:fill="auto"/>
          </w:tcPr>
          <w:p w:rsidR="00395B24" w:rsidRDefault="00395B24" w:rsidP="00663878">
            <w:pPr>
              <w:pStyle w:val="Normal1linespace"/>
              <w:widowControl w:val="0"/>
              <w:jc w:val="left"/>
            </w:pPr>
          </w:p>
        </w:tc>
      </w:tr>
      <w:tr w:rsidR="00395B24" w:rsidTr="00D2037B">
        <w:tc>
          <w:tcPr>
            <w:tcW w:w="2835" w:type="dxa"/>
            <w:shd w:val="clear" w:color="auto" w:fill="auto"/>
          </w:tcPr>
          <w:p w:rsidR="00395B24" w:rsidRDefault="002C7385" w:rsidP="00663878">
            <w:pPr>
              <w:pStyle w:val="Normal1linespace"/>
              <w:widowControl w:val="0"/>
              <w:jc w:val="left"/>
            </w:pPr>
            <w:r>
              <w:t>Date of judgment:</w:t>
            </w:r>
          </w:p>
        </w:tc>
        <w:tc>
          <w:tcPr>
            <w:tcW w:w="6238" w:type="dxa"/>
            <w:shd w:val="clear" w:color="auto" w:fill="auto"/>
          </w:tcPr>
          <w:p w:rsidR="00395B24" w:rsidRDefault="00F53C0A" w:rsidP="00242E34">
            <w:pPr>
              <w:pStyle w:val="Normal1linespace"/>
              <w:widowControl w:val="0"/>
              <w:jc w:val="left"/>
            </w:pPr>
            <w:bookmarkStart w:id="1" w:name="JudgmentDate"/>
            <w:r>
              <w:t>2</w:t>
            </w:r>
            <w:r w:rsidR="00242E34">
              <w:t>5</w:t>
            </w:r>
            <w:r w:rsidR="00394EB7">
              <w:t xml:space="preserve"> August 2020</w:t>
            </w:r>
            <w:bookmarkEnd w:id="1"/>
          </w:p>
        </w:tc>
      </w:tr>
      <w:tr w:rsidR="00395B24" w:rsidTr="00D2037B">
        <w:tc>
          <w:tcPr>
            <w:tcW w:w="2835" w:type="dxa"/>
            <w:shd w:val="clear" w:color="auto" w:fill="auto"/>
          </w:tcPr>
          <w:p w:rsidR="00395B24" w:rsidRDefault="00395B24" w:rsidP="00663878">
            <w:pPr>
              <w:pStyle w:val="Normal1linespace"/>
              <w:widowControl w:val="0"/>
              <w:jc w:val="left"/>
            </w:pPr>
          </w:p>
        </w:tc>
        <w:tc>
          <w:tcPr>
            <w:tcW w:w="6238" w:type="dxa"/>
            <w:shd w:val="clear" w:color="auto" w:fill="auto"/>
          </w:tcPr>
          <w:p w:rsidR="00395B24" w:rsidRDefault="00395B24" w:rsidP="00663878">
            <w:pPr>
              <w:pStyle w:val="Normal1linespace"/>
              <w:widowControl w:val="0"/>
              <w:jc w:val="left"/>
            </w:pPr>
          </w:p>
        </w:tc>
      </w:tr>
      <w:tr w:rsidR="00395B24" w:rsidTr="00D2037B">
        <w:tc>
          <w:tcPr>
            <w:tcW w:w="2835" w:type="dxa"/>
            <w:shd w:val="clear" w:color="auto" w:fill="auto"/>
          </w:tcPr>
          <w:p w:rsidR="00395B24" w:rsidRDefault="002C7385" w:rsidP="00663878">
            <w:pPr>
              <w:pStyle w:val="Normal1linespace"/>
              <w:widowControl w:val="0"/>
              <w:jc w:val="left"/>
            </w:pPr>
            <w:r>
              <w:t>Catchwords:</w:t>
            </w:r>
          </w:p>
        </w:tc>
        <w:tc>
          <w:tcPr>
            <w:tcW w:w="6238" w:type="dxa"/>
            <w:shd w:val="clear" w:color="auto" w:fill="auto"/>
          </w:tcPr>
          <w:p w:rsidR="00395B24" w:rsidRDefault="00394EB7" w:rsidP="00BD22EE">
            <w:pPr>
              <w:pStyle w:val="Normal1linespace"/>
              <w:widowControl w:val="0"/>
              <w:jc w:val="left"/>
            </w:pPr>
            <w:bookmarkStart w:id="2" w:name="Catchwords"/>
            <w:r>
              <w:rPr>
                <w:b/>
              </w:rPr>
              <w:t xml:space="preserve">PRACTICE AND PROCEDURE </w:t>
            </w:r>
            <w:r>
              <w:t xml:space="preserve">– application to serve originating application seeking preliminary discovery outside Australia pursuant to </w:t>
            </w:r>
            <w:r>
              <w:rPr>
                <w:i/>
              </w:rPr>
              <w:t>Federal Court Rules 2011</w:t>
            </w:r>
            <w:r w:rsidR="006602FD">
              <w:t xml:space="preserve"> (</w:t>
            </w:r>
            <w:proofErr w:type="spellStart"/>
            <w:r w:rsidR="006602FD">
              <w:t>Cth</w:t>
            </w:r>
            <w:proofErr w:type="spellEnd"/>
            <w:r w:rsidR="006602FD">
              <w:t xml:space="preserve">) </w:t>
            </w:r>
            <w:proofErr w:type="spellStart"/>
            <w:r w:rsidR="006602FD">
              <w:t>rr</w:t>
            </w:r>
            <w:proofErr w:type="spellEnd"/>
            <w:r w:rsidR="006602FD">
              <w:t xml:space="preserve"> 10.41 to 10.44</w:t>
            </w:r>
            <w:r>
              <w:t xml:space="preserve"> – </w:t>
            </w:r>
            <w:r w:rsidR="008050EF">
              <w:t xml:space="preserve">proposed method of service by email – </w:t>
            </w:r>
            <w:r>
              <w:t>whether the proceeding is of a kind mentioned in r 10.42 – whether the prospective applicant has a prima facie case for a</w:t>
            </w:r>
            <w:r w:rsidR="007A0436">
              <w:t>ll or any of the relief claimed</w:t>
            </w:r>
            <w:bookmarkEnd w:id="2"/>
          </w:p>
        </w:tc>
      </w:tr>
      <w:tr w:rsidR="00395B24" w:rsidTr="00D2037B">
        <w:tc>
          <w:tcPr>
            <w:tcW w:w="2835" w:type="dxa"/>
            <w:shd w:val="clear" w:color="auto" w:fill="auto"/>
          </w:tcPr>
          <w:p w:rsidR="00395B24" w:rsidRDefault="00395B24" w:rsidP="00663878">
            <w:pPr>
              <w:pStyle w:val="Normal1linespace"/>
              <w:widowControl w:val="0"/>
              <w:jc w:val="left"/>
            </w:pPr>
          </w:p>
        </w:tc>
        <w:tc>
          <w:tcPr>
            <w:tcW w:w="6238" w:type="dxa"/>
            <w:shd w:val="clear" w:color="auto" w:fill="auto"/>
          </w:tcPr>
          <w:p w:rsidR="00395B24" w:rsidRDefault="00395B24" w:rsidP="00663878">
            <w:pPr>
              <w:pStyle w:val="Normal1linespace"/>
              <w:widowControl w:val="0"/>
              <w:jc w:val="left"/>
            </w:pPr>
          </w:p>
        </w:tc>
      </w:tr>
      <w:tr w:rsidR="00395B24" w:rsidTr="00D2037B">
        <w:tc>
          <w:tcPr>
            <w:tcW w:w="2835" w:type="dxa"/>
            <w:shd w:val="clear" w:color="auto" w:fill="auto"/>
          </w:tcPr>
          <w:p w:rsidR="00395B24" w:rsidRDefault="002C7385" w:rsidP="00663878">
            <w:pPr>
              <w:pStyle w:val="Normal1linespace"/>
              <w:widowControl w:val="0"/>
              <w:jc w:val="left"/>
            </w:pPr>
            <w:r>
              <w:t>Legislation:</w:t>
            </w:r>
          </w:p>
        </w:tc>
        <w:tc>
          <w:tcPr>
            <w:tcW w:w="6238" w:type="dxa"/>
            <w:shd w:val="clear" w:color="auto" w:fill="auto"/>
          </w:tcPr>
          <w:p w:rsidR="00242E34" w:rsidRDefault="00394EB7" w:rsidP="006602FD">
            <w:pPr>
              <w:pStyle w:val="CasesLegislationAppealFrom"/>
              <w:spacing w:after="60"/>
            </w:pPr>
            <w:bookmarkStart w:id="3" w:name="Legislation"/>
            <w:r>
              <w:rPr>
                <w:i/>
              </w:rPr>
              <w:t>Federal Court Rules 2011</w:t>
            </w:r>
            <w:r>
              <w:t xml:space="preserve"> (</w:t>
            </w:r>
            <w:proofErr w:type="spellStart"/>
            <w:r>
              <w:t>C</w:t>
            </w:r>
            <w:r w:rsidR="006602FD">
              <w:t>th</w:t>
            </w:r>
            <w:proofErr w:type="spellEnd"/>
            <w:r w:rsidR="006602FD">
              <w:t xml:space="preserve">) </w:t>
            </w:r>
            <w:proofErr w:type="spellStart"/>
            <w:r w:rsidR="006602FD">
              <w:t>rr</w:t>
            </w:r>
            <w:proofErr w:type="spellEnd"/>
            <w:r w:rsidR="006602FD">
              <w:t xml:space="preserve"> </w:t>
            </w:r>
            <w:r w:rsidR="00BD22EE">
              <w:t xml:space="preserve">1.34, </w:t>
            </w:r>
            <w:r w:rsidR="006602FD">
              <w:t xml:space="preserve">7.22, </w:t>
            </w:r>
            <w:r w:rsidR="00E90E29">
              <w:t xml:space="preserve">10.24, </w:t>
            </w:r>
            <w:r w:rsidR="006602FD">
              <w:t>10.41, 10.42, 10.43, 10.44</w:t>
            </w:r>
            <w:r w:rsidR="00E90E29">
              <w:t>, 10.49</w:t>
            </w:r>
          </w:p>
          <w:p w:rsidR="00395B24" w:rsidRDefault="00242E34" w:rsidP="00242E34">
            <w:pPr>
              <w:pStyle w:val="CasesLegislationAppealFrom"/>
              <w:spacing w:after="60"/>
            </w:pPr>
            <w:r w:rsidRPr="00582DF2">
              <w:rPr>
                <w:i/>
              </w:rPr>
              <w:t xml:space="preserve">Convention on the Service Abroad of Judicial and Extrajudicial Documents </w:t>
            </w:r>
            <w:r>
              <w:rPr>
                <w:i/>
              </w:rPr>
              <w:t>in Civil or Commercial Matters</w:t>
            </w:r>
            <w:r>
              <w:t>. Opened for signature 15 November 1965. Entered into on 1 November 2010. Articles 5, 10</w:t>
            </w:r>
            <w:bookmarkEnd w:id="3"/>
          </w:p>
        </w:tc>
      </w:tr>
      <w:tr w:rsidR="00395B24" w:rsidTr="00D2037B">
        <w:tc>
          <w:tcPr>
            <w:tcW w:w="2835" w:type="dxa"/>
            <w:shd w:val="clear" w:color="auto" w:fill="auto"/>
          </w:tcPr>
          <w:p w:rsidR="00395B24" w:rsidRDefault="00395B24" w:rsidP="00663878">
            <w:pPr>
              <w:pStyle w:val="Normal1linespace"/>
              <w:widowControl w:val="0"/>
              <w:jc w:val="left"/>
            </w:pPr>
          </w:p>
        </w:tc>
        <w:tc>
          <w:tcPr>
            <w:tcW w:w="6238" w:type="dxa"/>
            <w:shd w:val="clear" w:color="auto" w:fill="auto"/>
          </w:tcPr>
          <w:p w:rsidR="00395B24" w:rsidRDefault="00395B24" w:rsidP="00663878">
            <w:pPr>
              <w:pStyle w:val="Normal1linespace"/>
              <w:widowControl w:val="0"/>
              <w:jc w:val="left"/>
            </w:pPr>
          </w:p>
        </w:tc>
      </w:tr>
      <w:tr w:rsidR="00395B24" w:rsidTr="00D2037B">
        <w:tc>
          <w:tcPr>
            <w:tcW w:w="2835" w:type="dxa"/>
            <w:shd w:val="clear" w:color="auto" w:fill="auto"/>
          </w:tcPr>
          <w:p w:rsidR="00395B24" w:rsidRDefault="002C7385" w:rsidP="00663878">
            <w:pPr>
              <w:pStyle w:val="Normal1linespace"/>
              <w:widowControl w:val="0"/>
              <w:jc w:val="left"/>
            </w:pPr>
            <w:r>
              <w:t>Cases cited:</w:t>
            </w:r>
          </w:p>
        </w:tc>
        <w:tc>
          <w:tcPr>
            <w:tcW w:w="6238" w:type="dxa"/>
            <w:shd w:val="clear" w:color="auto" w:fill="auto"/>
          </w:tcPr>
          <w:p w:rsidR="006712B8" w:rsidRPr="006712B8" w:rsidRDefault="006712B8" w:rsidP="00D82620">
            <w:pPr>
              <w:pStyle w:val="CasesLegislationAppealFrom"/>
              <w:spacing w:after="60"/>
            </w:pPr>
            <w:bookmarkStart w:id="4" w:name="Cases_Cited"/>
            <w:r>
              <w:rPr>
                <w:i/>
              </w:rPr>
              <w:t>AIA Australia Ltd v Richards</w:t>
            </w:r>
            <w:r>
              <w:t xml:space="preserve"> [2017] FCA 84 </w:t>
            </w:r>
          </w:p>
          <w:p w:rsidR="001E0822" w:rsidRDefault="001E0822" w:rsidP="00D82620">
            <w:pPr>
              <w:pStyle w:val="CasesLegislationAppealFrom"/>
              <w:spacing w:after="60"/>
            </w:pPr>
            <w:r w:rsidRPr="004026E1">
              <w:rPr>
                <w:i/>
              </w:rPr>
              <w:t xml:space="preserve">Australian Information Commission v Facebook </w:t>
            </w:r>
            <w:proofErr w:type="spellStart"/>
            <w:r w:rsidRPr="004026E1">
              <w:rPr>
                <w:i/>
              </w:rPr>
              <w:t>Inc</w:t>
            </w:r>
            <w:proofErr w:type="spellEnd"/>
            <w:r w:rsidRPr="004026E1">
              <w:t xml:space="preserve"> [2020] FCA 531</w:t>
            </w:r>
            <w:r w:rsidR="00715751">
              <w:t xml:space="preserve"> </w:t>
            </w:r>
          </w:p>
          <w:p w:rsidR="005A5B50" w:rsidRDefault="005A5B50" w:rsidP="00D82620">
            <w:pPr>
              <w:pStyle w:val="CasesLegislationAppealFrom"/>
              <w:spacing w:after="60"/>
            </w:pPr>
            <w:r w:rsidRPr="005A5B50">
              <w:rPr>
                <w:i/>
              </w:rPr>
              <w:t xml:space="preserve">Hooper v </w:t>
            </w:r>
            <w:proofErr w:type="spellStart"/>
            <w:r w:rsidRPr="005A5B50">
              <w:rPr>
                <w:i/>
              </w:rPr>
              <w:t>Kirella</w:t>
            </w:r>
            <w:proofErr w:type="spellEnd"/>
            <w:r w:rsidRPr="005A5B50">
              <w:rPr>
                <w:i/>
              </w:rPr>
              <w:t xml:space="preserve"> Pty Ltd</w:t>
            </w:r>
            <w:r w:rsidRPr="005A5B50">
              <w:t xml:space="preserve"> [1999] FCA 1584; (1999) 96 FCR 1</w:t>
            </w:r>
          </w:p>
          <w:p w:rsidR="001E0822" w:rsidRDefault="001E0822" w:rsidP="00D82620">
            <w:pPr>
              <w:pStyle w:val="CasesLegislationAppealFrom"/>
              <w:spacing w:after="60"/>
            </w:pPr>
            <w:r w:rsidRPr="001E0822">
              <w:rPr>
                <w:i/>
              </w:rPr>
              <w:t xml:space="preserve">Humane Society International </w:t>
            </w:r>
            <w:proofErr w:type="spellStart"/>
            <w:r w:rsidRPr="001E0822">
              <w:rPr>
                <w:i/>
              </w:rPr>
              <w:t>Inc</w:t>
            </w:r>
            <w:proofErr w:type="spellEnd"/>
            <w:r w:rsidRPr="001E0822">
              <w:rPr>
                <w:i/>
              </w:rPr>
              <w:t xml:space="preserve"> v Kyodo </w:t>
            </w:r>
            <w:proofErr w:type="spellStart"/>
            <w:r w:rsidRPr="001E0822">
              <w:rPr>
                <w:i/>
              </w:rPr>
              <w:t>Senpaku</w:t>
            </w:r>
            <w:proofErr w:type="spellEnd"/>
            <w:r w:rsidRPr="001E0822">
              <w:rPr>
                <w:i/>
              </w:rPr>
              <w:t xml:space="preserve"> Kaisha Ltd</w:t>
            </w:r>
            <w:r w:rsidRPr="001E0822">
              <w:t xml:space="preserve"> </w:t>
            </w:r>
            <w:r w:rsidR="00242E34">
              <w:t xml:space="preserve">[2006] FCAFC 116; </w:t>
            </w:r>
            <w:r w:rsidRPr="001E0822">
              <w:t>(2006) 154 FCR 425</w:t>
            </w:r>
          </w:p>
          <w:p w:rsidR="00A13F82" w:rsidRDefault="001E0822" w:rsidP="00D82620">
            <w:pPr>
              <w:pStyle w:val="CasesLegislationAppealFrom"/>
              <w:spacing w:after="60"/>
            </w:pPr>
            <w:proofErr w:type="spellStart"/>
            <w:r w:rsidRPr="001E0822">
              <w:rPr>
                <w:i/>
              </w:rPr>
              <w:t>Kabbabe</w:t>
            </w:r>
            <w:proofErr w:type="spellEnd"/>
            <w:r w:rsidRPr="001E0822">
              <w:rPr>
                <w:i/>
              </w:rPr>
              <w:t xml:space="preserve"> v Google LLC</w:t>
            </w:r>
            <w:r w:rsidRPr="001E0822">
              <w:t xml:space="preserve"> [2020] FCA 126</w:t>
            </w:r>
            <w:r w:rsidR="00715751">
              <w:t xml:space="preserve"> </w:t>
            </w:r>
          </w:p>
          <w:p w:rsidR="00395B24" w:rsidRDefault="00A13F82" w:rsidP="00D82620">
            <w:pPr>
              <w:pStyle w:val="CasesLegislationAppealFrom"/>
              <w:spacing w:after="60"/>
            </w:pPr>
            <w:r w:rsidRPr="004B22A1">
              <w:rPr>
                <w:i/>
              </w:rPr>
              <w:t>Taylor v Network Ten</w:t>
            </w:r>
            <w:r w:rsidRPr="002030DF">
              <w:rPr>
                <w:i/>
              </w:rPr>
              <w:t xml:space="preserve"> (Perth) Pty Ltd </w:t>
            </w:r>
            <w:r>
              <w:t>[1999] WASC 264</w:t>
            </w:r>
            <w:r w:rsidR="002C7385">
              <w:t xml:space="preserve"> </w:t>
            </w:r>
            <w:bookmarkEnd w:id="4"/>
          </w:p>
        </w:tc>
      </w:tr>
      <w:tr w:rsidR="00394EB7" w:rsidTr="00D2037B">
        <w:tc>
          <w:tcPr>
            <w:tcW w:w="2835" w:type="dxa"/>
            <w:shd w:val="clear" w:color="auto" w:fill="auto"/>
          </w:tcPr>
          <w:p w:rsidR="00394EB7" w:rsidRDefault="00394EB7" w:rsidP="002F7154">
            <w:pPr>
              <w:pStyle w:val="Normal1linespace"/>
              <w:widowControl w:val="0"/>
            </w:pPr>
          </w:p>
        </w:tc>
        <w:tc>
          <w:tcPr>
            <w:tcW w:w="6238" w:type="dxa"/>
            <w:shd w:val="clear" w:color="auto" w:fill="auto"/>
          </w:tcPr>
          <w:p w:rsidR="00394EB7" w:rsidRDefault="00394EB7" w:rsidP="002F7154">
            <w:pPr>
              <w:pStyle w:val="Normal1linespace"/>
              <w:widowControl w:val="0"/>
              <w:jc w:val="left"/>
            </w:pPr>
          </w:p>
        </w:tc>
      </w:tr>
      <w:tr w:rsidR="00394EB7" w:rsidTr="00D2037B">
        <w:tc>
          <w:tcPr>
            <w:tcW w:w="2835" w:type="dxa"/>
            <w:shd w:val="clear" w:color="auto" w:fill="auto"/>
          </w:tcPr>
          <w:p w:rsidR="00394EB7" w:rsidRDefault="00394EB7" w:rsidP="00501A12">
            <w:pPr>
              <w:pStyle w:val="Normal1linespace"/>
              <w:widowControl w:val="0"/>
            </w:pPr>
            <w:r>
              <w:t>Division:</w:t>
            </w:r>
          </w:p>
        </w:tc>
        <w:tc>
          <w:tcPr>
            <w:tcW w:w="6238" w:type="dxa"/>
            <w:shd w:val="clear" w:color="auto" w:fill="auto"/>
          </w:tcPr>
          <w:p w:rsidR="00394EB7" w:rsidRPr="00F17599" w:rsidRDefault="00D2037B" w:rsidP="00501A12">
            <w:pPr>
              <w:pStyle w:val="Normal1linespace"/>
              <w:widowControl w:val="0"/>
              <w:jc w:val="left"/>
            </w:pPr>
            <w:fldSimple w:instr=" DOCPROPERTY  Division " w:fldLock="1">
              <w:r w:rsidR="00394EB7">
                <w:t>General Division</w:t>
              </w:r>
            </w:fldSimple>
          </w:p>
        </w:tc>
      </w:tr>
      <w:tr w:rsidR="00394EB7" w:rsidTr="00D2037B">
        <w:tc>
          <w:tcPr>
            <w:tcW w:w="2835" w:type="dxa"/>
            <w:shd w:val="clear" w:color="auto" w:fill="auto"/>
          </w:tcPr>
          <w:p w:rsidR="00394EB7" w:rsidRDefault="00394EB7" w:rsidP="00501A12">
            <w:pPr>
              <w:pStyle w:val="Normal1linespace"/>
              <w:widowControl w:val="0"/>
            </w:pPr>
            <w:bookmarkStart w:id="5" w:name="Registry_rows" w:colFirst="0" w:colLast="1"/>
          </w:p>
        </w:tc>
        <w:tc>
          <w:tcPr>
            <w:tcW w:w="6238" w:type="dxa"/>
            <w:shd w:val="clear" w:color="auto" w:fill="auto"/>
          </w:tcPr>
          <w:p w:rsidR="00394EB7" w:rsidRDefault="00394EB7" w:rsidP="00501A12">
            <w:pPr>
              <w:pStyle w:val="Normal1linespace"/>
              <w:widowControl w:val="0"/>
              <w:jc w:val="left"/>
            </w:pPr>
          </w:p>
        </w:tc>
      </w:tr>
      <w:tr w:rsidR="00394EB7" w:rsidTr="00D2037B">
        <w:tc>
          <w:tcPr>
            <w:tcW w:w="2835" w:type="dxa"/>
            <w:shd w:val="clear" w:color="auto" w:fill="auto"/>
          </w:tcPr>
          <w:p w:rsidR="00394EB7" w:rsidRDefault="00394EB7" w:rsidP="00501A12">
            <w:pPr>
              <w:pStyle w:val="Normal1linespace"/>
              <w:widowControl w:val="0"/>
            </w:pPr>
            <w:r>
              <w:t>Registry:</w:t>
            </w:r>
          </w:p>
        </w:tc>
        <w:tc>
          <w:tcPr>
            <w:tcW w:w="6238" w:type="dxa"/>
            <w:shd w:val="clear" w:color="auto" w:fill="auto"/>
          </w:tcPr>
          <w:p w:rsidR="00394EB7" w:rsidRPr="00F17599" w:rsidRDefault="00D2037B" w:rsidP="00501A12">
            <w:pPr>
              <w:pStyle w:val="Normal1linespace"/>
              <w:widowControl w:val="0"/>
              <w:jc w:val="left"/>
            </w:pPr>
            <w:fldSimple w:instr=" DOCPROPERTY  Registry " w:fldLock="1">
              <w:r w:rsidR="00394EB7">
                <w:t>Victoria</w:t>
              </w:r>
            </w:fldSimple>
          </w:p>
        </w:tc>
      </w:tr>
      <w:tr w:rsidR="00394EB7" w:rsidTr="00D2037B">
        <w:tc>
          <w:tcPr>
            <w:tcW w:w="2835" w:type="dxa"/>
            <w:shd w:val="clear" w:color="auto" w:fill="auto"/>
          </w:tcPr>
          <w:p w:rsidR="00394EB7" w:rsidRDefault="00394EB7" w:rsidP="00501A12">
            <w:pPr>
              <w:pStyle w:val="Normal1linespace"/>
              <w:widowControl w:val="0"/>
            </w:pPr>
            <w:bookmarkStart w:id="6" w:name="NPARow" w:colFirst="0" w:colLast="1"/>
            <w:bookmarkEnd w:id="5"/>
          </w:p>
        </w:tc>
        <w:tc>
          <w:tcPr>
            <w:tcW w:w="6238" w:type="dxa"/>
            <w:shd w:val="clear" w:color="auto" w:fill="auto"/>
          </w:tcPr>
          <w:p w:rsidR="00394EB7" w:rsidRPr="00F17599" w:rsidRDefault="00394EB7" w:rsidP="00501A12">
            <w:pPr>
              <w:pStyle w:val="Normal1linespace"/>
              <w:widowControl w:val="0"/>
              <w:jc w:val="left"/>
              <w:rPr>
                <w:b/>
              </w:rPr>
            </w:pPr>
          </w:p>
        </w:tc>
      </w:tr>
      <w:tr w:rsidR="00394EB7" w:rsidTr="00D2037B">
        <w:tc>
          <w:tcPr>
            <w:tcW w:w="2835" w:type="dxa"/>
            <w:shd w:val="clear" w:color="auto" w:fill="auto"/>
          </w:tcPr>
          <w:p w:rsidR="00394EB7" w:rsidRDefault="00394EB7" w:rsidP="00501A12">
            <w:pPr>
              <w:pStyle w:val="Normal1linespace"/>
              <w:widowControl w:val="0"/>
            </w:pPr>
            <w:r>
              <w:t>National Practice Area:</w:t>
            </w:r>
          </w:p>
        </w:tc>
        <w:tc>
          <w:tcPr>
            <w:tcW w:w="6238" w:type="dxa"/>
            <w:shd w:val="clear" w:color="auto" w:fill="auto"/>
          </w:tcPr>
          <w:p w:rsidR="00394EB7" w:rsidRPr="00F17599" w:rsidRDefault="00D2037B" w:rsidP="00171DBB">
            <w:pPr>
              <w:pStyle w:val="Normal1linespace"/>
              <w:widowControl w:val="0"/>
              <w:jc w:val="left"/>
              <w:rPr>
                <w:b/>
              </w:rPr>
            </w:pPr>
            <w:fldSimple w:instr=" DOCPROPERTY  &quot;Practice Area&quot;  \* MERGEFORMAT " w:fldLock="1">
              <w:r w:rsidR="00394EB7">
                <w:t>Other Federal Jurisdiction</w:t>
              </w:r>
            </w:fldSimple>
          </w:p>
        </w:tc>
      </w:tr>
      <w:bookmarkEnd w:id="6"/>
      <w:tr w:rsidR="00394EB7" w:rsidTr="00D2037B">
        <w:tc>
          <w:tcPr>
            <w:tcW w:w="2835" w:type="dxa"/>
            <w:shd w:val="clear" w:color="auto" w:fill="auto"/>
          </w:tcPr>
          <w:p w:rsidR="00394EB7" w:rsidRDefault="00394EB7" w:rsidP="00501A12">
            <w:pPr>
              <w:pStyle w:val="Normal1linespace"/>
              <w:widowControl w:val="0"/>
            </w:pPr>
          </w:p>
        </w:tc>
        <w:tc>
          <w:tcPr>
            <w:tcW w:w="6238" w:type="dxa"/>
            <w:shd w:val="clear" w:color="auto" w:fill="auto"/>
          </w:tcPr>
          <w:p w:rsidR="00394EB7" w:rsidRDefault="00394EB7" w:rsidP="00501A12">
            <w:pPr>
              <w:pStyle w:val="Normal1linespace"/>
              <w:widowControl w:val="0"/>
              <w:jc w:val="left"/>
            </w:pPr>
          </w:p>
        </w:tc>
      </w:tr>
      <w:tr w:rsidR="00394EB7" w:rsidTr="00D2037B">
        <w:tc>
          <w:tcPr>
            <w:tcW w:w="2835" w:type="dxa"/>
            <w:shd w:val="clear" w:color="auto" w:fill="auto"/>
          </w:tcPr>
          <w:p w:rsidR="00394EB7" w:rsidRDefault="00394EB7" w:rsidP="00501A12">
            <w:pPr>
              <w:pStyle w:val="Normal1linespace"/>
              <w:widowControl w:val="0"/>
            </w:pPr>
            <w:r>
              <w:t>Number of paragraphs:</w:t>
            </w:r>
          </w:p>
        </w:tc>
        <w:tc>
          <w:tcPr>
            <w:tcW w:w="6238" w:type="dxa"/>
            <w:shd w:val="clear" w:color="auto" w:fill="auto"/>
          </w:tcPr>
          <w:p w:rsidR="00394EB7" w:rsidRDefault="002A0865" w:rsidP="00501A12">
            <w:pPr>
              <w:pStyle w:val="Normal1linespace"/>
              <w:widowControl w:val="0"/>
              <w:jc w:val="left"/>
            </w:pPr>
            <w:bookmarkStart w:id="7" w:name="PlaceCategoryParagraphs"/>
            <w:r>
              <w:t>26</w:t>
            </w:r>
            <w:bookmarkEnd w:id="7"/>
          </w:p>
        </w:tc>
      </w:tr>
      <w:tr w:rsidR="00394EB7" w:rsidTr="00D2037B">
        <w:tc>
          <w:tcPr>
            <w:tcW w:w="2835" w:type="dxa"/>
            <w:shd w:val="clear" w:color="auto" w:fill="auto"/>
          </w:tcPr>
          <w:p w:rsidR="00394EB7" w:rsidRDefault="00394EB7" w:rsidP="00394EB7">
            <w:pPr>
              <w:pStyle w:val="Normal1linespace"/>
              <w:widowControl w:val="0"/>
              <w:jc w:val="left"/>
            </w:pPr>
          </w:p>
        </w:tc>
        <w:tc>
          <w:tcPr>
            <w:tcW w:w="6238" w:type="dxa"/>
            <w:shd w:val="clear" w:color="auto" w:fill="auto"/>
          </w:tcPr>
          <w:p w:rsidR="00394EB7" w:rsidRDefault="00394EB7" w:rsidP="00394EB7">
            <w:pPr>
              <w:pStyle w:val="Normal1linespace"/>
              <w:widowControl w:val="0"/>
              <w:jc w:val="left"/>
            </w:pPr>
          </w:p>
        </w:tc>
      </w:tr>
      <w:tr w:rsidR="00394EB7" w:rsidTr="00D2037B">
        <w:tc>
          <w:tcPr>
            <w:tcW w:w="2835" w:type="dxa"/>
            <w:shd w:val="clear" w:color="auto" w:fill="auto"/>
          </w:tcPr>
          <w:p w:rsidR="00394EB7" w:rsidRDefault="00394EB7" w:rsidP="00394EB7">
            <w:pPr>
              <w:pStyle w:val="Normal1linespace"/>
              <w:widowControl w:val="0"/>
              <w:jc w:val="left"/>
            </w:pPr>
            <w:bookmarkStart w:id="8" w:name="CounselDate" w:colFirst="0" w:colLast="2"/>
            <w:r w:rsidRPr="006A24E3">
              <w:t>Date of hearing:</w:t>
            </w:r>
          </w:p>
        </w:tc>
        <w:tc>
          <w:tcPr>
            <w:tcW w:w="6238" w:type="dxa"/>
            <w:shd w:val="clear" w:color="auto" w:fill="auto"/>
          </w:tcPr>
          <w:p w:rsidR="00394EB7" w:rsidRDefault="007361BB" w:rsidP="00394EB7">
            <w:pPr>
              <w:pStyle w:val="Normal1linespace"/>
              <w:widowControl w:val="0"/>
              <w:jc w:val="left"/>
            </w:pPr>
            <w:bookmarkStart w:id="9" w:name="HearingDate"/>
            <w:r>
              <w:t>10 August 2020</w:t>
            </w:r>
            <w:r w:rsidR="00394EB7">
              <w:t xml:space="preserve"> </w:t>
            </w:r>
            <w:bookmarkEnd w:id="9"/>
          </w:p>
        </w:tc>
      </w:tr>
      <w:tr w:rsidR="00394EB7" w:rsidTr="00D2037B">
        <w:tc>
          <w:tcPr>
            <w:tcW w:w="2835" w:type="dxa"/>
            <w:shd w:val="clear" w:color="auto" w:fill="auto"/>
          </w:tcPr>
          <w:p w:rsidR="00394EB7" w:rsidRDefault="00394EB7" w:rsidP="00394EB7">
            <w:pPr>
              <w:pStyle w:val="Normal1linespace"/>
              <w:widowControl w:val="0"/>
              <w:jc w:val="left"/>
            </w:pPr>
          </w:p>
        </w:tc>
        <w:tc>
          <w:tcPr>
            <w:tcW w:w="6238" w:type="dxa"/>
            <w:shd w:val="clear" w:color="auto" w:fill="auto"/>
          </w:tcPr>
          <w:p w:rsidR="00394EB7" w:rsidRDefault="00394EB7" w:rsidP="00394EB7">
            <w:pPr>
              <w:pStyle w:val="Normal1linespace"/>
              <w:widowControl w:val="0"/>
              <w:jc w:val="left"/>
            </w:pPr>
          </w:p>
        </w:tc>
      </w:tr>
      <w:tr w:rsidR="00394EB7" w:rsidTr="00D2037B">
        <w:tc>
          <w:tcPr>
            <w:tcW w:w="2835" w:type="dxa"/>
            <w:shd w:val="clear" w:color="auto" w:fill="auto"/>
          </w:tcPr>
          <w:p w:rsidR="00394EB7" w:rsidRDefault="002A0865" w:rsidP="00394EB7">
            <w:pPr>
              <w:pStyle w:val="Normal1linespace"/>
              <w:widowControl w:val="0"/>
              <w:jc w:val="left"/>
            </w:pPr>
            <w:bookmarkStart w:id="10" w:name="Counsel" w:colFirst="0" w:colLast="2"/>
            <w:bookmarkEnd w:id="8"/>
            <w:r>
              <w:t>Solicitor for the Prospective Applicant:</w:t>
            </w:r>
          </w:p>
        </w:tc>
        <w:tc>
          <w:tcPr>
            <w:tcW w:w="6238" w:type="dxa"/>
            <w:shd w:val="clear" w:color="auto" w:fill="auto"/>
          </w:tcPr>
          <w:p w:rsidR="00394EB7" w:rsidRDefault="002A0865" w:rsidP="00394EB7">
            <w:pPr>
              <w:pStyle w:val="Normal1linespace"/>
              <w:widowControl w:val="0"/>
              <w:jc w:val="left"/>
            </w:pPr>
            <w:bookmarkStart w:id="11" w:name="AppCounsel"/>
            <w:bookmarkEnd w:id="11"/>
            <w:r>
              <w:t xml:space="preserve">Mr Mark </w:t>
            </w:r>
            <w:proofErr w:type="spellStart"/>
            <w:r>
              <w:t>Stanarevic</w:t>
            </w:r>
            <w:proofErr w:type="spellEnd"/>
            <w:r>
              <w:t xml:space="preserve"> of Matrix Legal</w:t>
            </w:r>
          </w:p>
        </w:tc>
      </w:tr>
      <w:bookmarkEnd w:id="10"/>
    </w:tbl>
    <w:p w:rsidR="00D2037B" w:rsidRDefault="00D2037B" w:rsidP="00045BB7">
      <w:pPr>
        <w:pStyle w:val="NormalHeadings"/>
        <w:spacing w:line="480" w:lineRule="auto"/>
        <w:jc w:val="center"/>
        <w:rPr>
          <w:sz w:val="28"/>
          <w:szCs w:val="28"/>
        </w:rPr>
        <w:sectPr w:rsidR="00D2037B" w:rsidSect="0092590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94EB7" w:rsidP="00F92355">
            <w:pPr>
              <w:pStyle w:val="NormalHeadings"/>
              <w:jc w:val="right"/>
            </w:pPr>
            <w:bookmarkStart w:id="12" w:name="FileNo"/>
            <w:r>
              <w:t>VID 419 of 2020</w:t>
            </w:r>
            <w:bookmarkEnd w:id="12"/>
          </w:p>
        </w:tc>
      </w:tr>
      <w:tr w:rsidR="00A76C13" w:rsidTr="00F461A4">
        <w:tc>
          <w:tcPr>
            <w:tcW w:w="9242" w:type="dxa"/>
            <w:gridSpan w:val="3"/>
          </w:tcPr>
          <w:p w:rsidR="00A76C13" w:rsidRPr="00A76C13" w:rsidRDefault="00394EB7" w:rsidP="00394EB7">
            <w:pPr>
              <w:pStyle w:val="NormalHeadings"/>
              <w:jc w:val="left"/>
            </w:pPr>
            <w:bookmarkStart w:id="13" w:name="InTheMatterOf"/>
            <w:r>
              <w:t xml:space="preserve"> </w:t>
            </w:r>
            <w:bookmarkEnd w:id="13"/>
          </w:p>
        </w:tc>
      </w:tr>
      <w:tr w:rsidR="00A46CCC" w:rsidTr="005041F0">
        <w:trPr>
          <w:trHeight w:val="386"/>
        </w:trPr>
        <w:tc>
          <w:tcPr>
            <w:tcW w:w="2376" w:type="dxa"/>
          </w:tcPr>
          <w:p w:rsidR="00A46CCC" w:rsidRDefault="00A46CCC" w:rsidP="005041F0">
            <w:pPr>
              <w:pStyle w:val="NormalHeadings"/>
              <w:jc w:val="left"/>
              <w:rPr>
                <w:caps/>
                <w:szCs w:val="24"/>
              </w:rPr>
            </w:pPr>
            <w:bookmarkStart w:id="14" w:name="Parties"/>
            <w:r>
              <w:rPr>
                <w:caps/>
                <w:szCs w:val="24"/>
              </w:rPr>
              <w:t>BETWEEN:</w:t>
            </w:r>
          </w:p>
        </w:tc>
        <w:tc>
          <w:tcPr>
            <w:tcW w:w="6866" w:type="dxa"/>
            <w:gridSpan w:val="2"/>
          </w:tcPr>
          <w:p w:rsidR="00394EB7" w:rsidRDefault="00394EB7" w:rsidP="00394EB7">
            <w:pPr>
              <w:pStyle w:val="NormalHeadings"/>
              <w:jc w:val="left"/>
            </w:pPr>
            <w:bookmarkStart w:id="15" w:name="Applicant"/>
            <w:r>
              <w:t>MICHAEL KUKULKA</w:t>
            </w:r>
          </w:p>
          <w:p w:rsidR="00394EB7" w:rsidRDefault="007361BB" w:rsidP="00394EB7">
            <w:pPr>
              <w:pStyle w:val="PartyType"/>
            </w:pPr>
            <w:r>
              <w:t xml:space="preserve">Prospective </w:t>
            </w:r>
            <w:r w:rsidR="00394EB7">
              <w:t>Applicant</w:t>
            </w:r>
          </w:p>
          <w:bookmarkEnd w:id="15"/>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394EB7" w:rsidRDefault="00394EB7" w:rsidP="00394EB7">
            <w:pPr>
              <w:pStyle w:val="NormalHeadings"/>
              <w:jc w:val="left"/>
            </w:pPr>
            <w:bookmarkStart w:id="16" w:name="Respondent"/>
            <w:r>
              <w:t>GOOGLE LLC</w:t>
            </w:r>
          </w:p>
          <w:p w:rsidR="00394EB7" w:rsidRDefault="00394EB7" w:rsidP="00394EB7">
            <w:pPr>
              <w:pStyle w:val="PartyType"/>
            </w:pPr>
            <w:r>
              <w:t>Respondent</w:t>
            </w:r>
          </w:p>
          <w:bookmarkEnd w:id="16"/>
          <w:p w:rsidR="00A46CCC" w:rsidRPr="006555B4" w:rsidRDefault="00A46CCC" w:rsidP="005041F0">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394EB7">
            <w:pPr>
              <w:pStyle w:val="NormalHeadings"/>
              <w:jc w:val="left"/>
              <w:rPr>
                <w:caps/>
                <w:szCs w:val="24"/>
              </w:rPr>
            </w:pPr>
            <w:bookmarkStart w:id="19" w:name="Judge"/>
            <w:r>
              <w:rPr>
                <w:caps/>
                <w:szCs w:val="24"/>
              </w:rPr>
              <w:t>ANASTASSIOU J</w:t>
            </w:r>
            <w:bookmarkEnd w:id="19"/>
          </w:p>
        </w:tc>
      </w:tr>
      <w:tr w:rsidR="00395B24">
        <w:tc>
          <w:tcPr>
            <w:tcW w:w="2376" w:type="dxa"/>
          </w:tcPr>
          <w:p w:rsidR="00395B24" w:rsidRPr="00512748" w:rsidRDefault="002C7385">
            <w:pPr>
              <w:pStyle w:val="NormalHeadings"/>
              <w:spacing w:after="120"/>
              <w:jc w:val="left"/>
              <w:rPr>
                <w:caps/>
                <w:szCs w:val="24"/>
              </w:rPr>
            </w:pPr>
            <w:r w:rsidRPr="00512748">
              <w:rPr>
                <w:caps/>
                <w:szCs w:val="24"/>
              </w:rPr>
              <w:t>DATE OF ORDER:</w:t>
            </w:r>
          </w:p>
        </w:tc>
        <w:tc>
          <w:tcPr>
            <w:tcW w:w="6866" w:type="dxa"/>
          </w:tcPr>
          <w:p w:rsidR="00395B24" w:rsidRDefault="008050EF">
            <w:pPr>
              <w:pStyle w:val="NormalHeadings"/>
              <w:jc w:val="left"/>
              <w:rPr>
                <w:caps/>
                <w:szCs w:val="24"/>
              </w:rPr>
            </w:pPr>
            <w:bookmarkStart w:id="20" w:name="Judgment_Dated"/>
            <w:r w:rsidRPr="004B22A1">
              <w:rPr>
                <w:caps/>
                <w:szCs w:val="24"/>
              </w:rPr>
              <w:t>2</w:t>
            </w:r>
            <w:r w:rsidR="00242E34">
              <w:rPr>
                <w:caps/>
                <w:szCs w:val="24"/>
              </w:rPr>
              <w:t>5</w:t>
            </w:r>
            <w:r w:rsidR="00394EB7" w:rsidRPr="004B22A1">
              <w:rPr>
                <w:caps/>
                <w:szCs w:val="24"/>
              </w:rPr>
              <w:t xml:space="preserve"> AUGUST 2020</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7361BB" w:rsidRDefault="00640001" w:rsidP="007361BB">
      <w:pPr>
        <w:pStyle w:val="Order1"/>
      </w:pPr>
      <w:r>
        <w:t xml:space="preserve">Pursuant to </w:t>
      </w:r>
      <w:proofErr w:type="spellStart"/>
      <w:r>
        <w:t>rr</w:t>
      </w:r>
      <w:proofErr w:type="spellEnd"/>
      <w:r>
        <w:t xml:space="preserve"> 10.42, </w:t>
      </w:r>
      <w:r w:rsidR="007361BB">
        <w:t>10.43</w:t>
      </w:r>
      <w:r w:rsidR="00724105">
        <w:t xml:space="preserve"> and 10.44 </w:t>
      </w:r>
      <w:r w:rsidR="007361BB">
        <w:t xml:space="preserve">of the </w:t>
      </w:r>
      <w:r w:rsidR="007361BB">
        <w:rPr>
          <w:i/>
        </w:rPr>
        <w:t xml:space="preserve">Federal Court </w:t>
      </w:r>
      <w:r w:rsidR="007361BB" w:rsidRPr="004B22A1">
        <w:rPr>
          <w:i/>
        </w:rPr>
        <w:t>Rules</w:t>
      </w:r>
      <w:r w:rsidR="007361BB">
        <w:rPr>
          <w:i/>
        </w:rPr>
        <w:t xml:space="preserve"> 2011</w:t>
      </w:r>
      <w:r w:rsidR="007361BB">
        <w:t xml:space="preserve"> (</w:t>
      </w:r>
      <w:proofErr w:type="spellStart"/>
      <w:r w:rsidR="007361BB">
        <w:t>Cth</w:t>
      </w:r>
      <w:proofErr w:type="spellEnd"/>
      <w:r w:rsidR="007361BB">
        <w:t>) the Prospective Applicant has leave to serve:</w:t>
      </w:r>
    </w:p>
    <w:p w:rsidR="007361BB" w:rsidRDefault="007361BB" w:rsidP="007361BB">
      <w:pPr>
        <w:pStyle w:val="Order2"/>
        <w:ind w:left="1418" w:hanging="709"/>
      </w:pPr>
      <w:r>
        <w:t xml:space="preserve">the originating application filed </w:t>
      </w:r>
      <w:r w:rsidR="007D25D9">
        <w:t xml:space="preserve">on </w:t>
      </w:r>
      <w:r>
        <w:t>22 June 2020;</w:t>
      </w:r>
    </w:p>
    <w:p w:rsidR="007361BB" w:rsidRDefault="007361BB" w:rsidP="007361BB">
      <w:pPr>
        <w:pStyle w:val="Order2"/>
        <w:ind w:left="1418" w:hanging="709"/>
      </w:pPr>
      <w:r>
        <w:t xml:space="preserve">the affidavit of Mark </w:t>
      </w:r>
      <w:proofErr w:type="spellStart"/>
      <w:r>
        <w:t>Stanarevic</w:t>
      </w:r>
      <w:proofErr w:type="spellEnd"/>
      <w:r>
        <w:t xml:space="preserve"> affirmed</w:t>
      </w:r>
      <w:r w:rsidR="007D25D9">
        <w:t xml:space="preserve"> on</w:t>
      </w:r>
      <w:r>
        <w:t xml:space="preserve"> 22 June 2020;</w:t>
      </w:r>
    </w:p>
    <w:p w:rsidR="007361BB" w:rsidRDefault="007361BB" w:rsidP="007361BB">
      <w:pPr>
        <w:pStyle w:val="Order2"/>
      </w:pPr>
      <w:r>
        <w:t xml:space="preserve">the affidavit of </w:t>
      </w:r>
      <w:r w:rsidRPr="007361BB">
        <w:t xml:space="preserve">Michael </w:t>
      </w:r>
      <w:proofErr w:type="spellStart"/>
      <w:r w:rsidRPr="007361BB">
        <w:t>Kukulka</w:t>
      </w:r>
      <w:proofErr w:type="spellEnd"/>
      <w:r>
        <w:t xml:space="preserve"> affirmed</w:t>
      </w:r>
      <w:r w:rsidR="007D25D9">
        <w:t xml:space="preserve"> on</w:t>
      </w:r>
      <w:r>
        <w:t xml:space="preserve"> 10 August 2020; and</w:t>
      </w:r>
    </w:p>
    <w:p w:rsidR="007361BB" w:rsidRDefault="007361BB" w:rsidP="007361BB">
      <w:pPr>
        <w:pStyle w:val="Order2"/>
        <w:ind w:left="1418" w:hanging="709"/>
      </w:pPr>
      <w:r>
        <w:t xml:space="preserve">a copy of this order; </w:t>
      </w:r>
    </w:p>
    <w:p w:rsidR="001D4736" w:rsidRDefault="001D4736" w:rsidP="00787068">
      <w:pPr>
        <w:pStyle w:val="Order1"/>
        <w:numPr>
          <w:ilvl w:val="0"/>
          <w:numId w:val="0"/>
        </w:numPr>
        <w:ind w:left="720"/>
      </w:pPr>
      <w:r>
        <w:t xml:space="preserve">upon the Respondent in the United States of America, by sending it by </w:t>
      </w:r>
      <w:r w:rsidR="00787068">
        <w:t xml:space="preserve">email to </w:t>
      </w:r>
      <w:hyperlink r:id="rId15" w:history="1">
        <w:r w:rsidR="00787068" w:rsidRPr="00BC385A">
          <w:rPr>
            <w:rStyle w:val="Hyperlink"/>
          </w:rPr>
          <w:t>internationalcivil@google.com</w:t>
        </w:r>
      </w:hyperlink>
      <w:r w:rsidR="00F53C0A">
        <w:t xml:space="preserve">, conditional </w:t>
      </w:r>
      <w:r w:rsidR="008050EF">
        <w:t>up</w:t>
      </w:r>
      <w:r w:rsidR="00F53C0A">
        <w:t xml:space="preserve">on </w:t>
      </w:r>
      <w:r w:rsidRPr="0040432C">
        <w:t xml:space="preserve">an acknowledgement of receipt </w:t>
      </w:r>
      <w:r w:rsidR="00F53C0A">
        <w:t xml:space="preserve">being </w:t>
      </w:r>
      <w:r w:rsidRPr="0040432C">
        <w:t>provi</w:t>
      </w:r>
      <w:r w:rsidR="00787068">
        <w:t>ded to the Prospective Applicant.</w:t>
      </w:r>
      <w:r>
        <w:t xml:space="preserve"> </w:t>
      </w:r>
    </w:p>
    <w:p w:rsidR="001A6C52" w:rsidRDefault="007361BB" w:rsidP="00E445EB">
      <w:pPr>
        <w:pStyle w:val="Order1"/>
      </w:pPr>
      <w:r>
        <w:t xml:space="preserve">The matter </w:t>
      </w:r>
      <w:r w:rsidR="00724105">
        <w:t>is</w:t>
      </w:r>
      <w:r>
        <w:t xml:space="preserve"> listed for a case management </w:t>
      </w:r>
      <w:r w:rsidRPr="004B22A1">
        <w:t xml:space="preserve">hearing on </w:t>
      </w:r>
      <w:r w:rsidR="00C12050">
        <w:t xml:space="preserve">30 September </w:t>
      </w:r>
      <w:r w:rsidRPr="004B22A1">
        <w:t>a</w:t>
      </w:r>
      <w:r w:rsidR="00C12050">
        <w:t>t 2:15pm</w:t>
      </w:r>
      <w:r w:rsidRPr="004B22A1">
        <w:t>.</w:t>
      </w:r>
    </w:p>
    <w:p w:rsidR="00A431E6" w:rsidRDefault="00A431E6" w:rsidP="001A6C52">
      <w:pPr>
        <w:pStyle w:val="BodyText"/>
      </w:pPr>
    </w:p>
    <w:p w:rsidR="0050309C" w:rsidRDefault="00394EB7"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395B24" w:rsidRDefault="00395B24">
      <w:pPr>
        <w:pStyle w:val="NormalHeadings"/>
        <w:spacing w:before="240" w:after="120"/>
        <w:rPr>
          <w:b w:val="0"/>
        </w:rPr>
        <w:sectPr w:rsidR="00395B24" w:rsidSect="0092590B">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E445EB" w:rsidP="005E0510">
      <w:pPr>
        <w:pStyle w:val="NormalHeadings"/>
        <w:spacing w:line="360" w:lineRule="auto"/>
        <w:jc w:val="left"/>
        <w:rPr>
          <w:sz w:val="26"/>
          <w:szCs w:val="26"/>
        </w:rPr>
      </w:pPr>
      <w:r>
        <w:rPr>
          <w:sz w:val="26"/>
          <w:szCs w:val="26"/>
        </w:rPr>
        <w:t>ANASTASSIOU J:</w:t>
      </w:r>
    </w:p>
    <w:p w:rsidR="009739C8" w:rsidRPr="009739C8" w:rsidRDefault="009739C8" w:rsidP="009739C8">
      <w:pPr>
        <w:pStyle w:val="Heading1"/>
      </w:pPr>
      <w:bookmarkStart w:id="23" w:name="Certification"/>
      <w:r w:rsidRPr="009739C8">
        <w:t>A</w:t>
      </w:r>
      <w:r w:rsidRPr="009739C8">
        <w:tab/>
        <w:t>Introduction</w:t>
      </w:r>
    </w:p>
    <w:p w:rsidR="00727D8A" w:rsidRPr="004C29C6" w:rsidRDefault="00E445EB" w:rsidP="00727D8A">
      <w:pPr>
        <w:pStyle w:val="ParaNumbering"/>
      </w:pPr>
      <w:r w:rsidRPr="004C29C6">
        <w:t xml:space="preserve">The </w:t>
      </w:r>
      <w:r w:rsidR="004B22A1" w:rsidRPr="004C29C6">
        <w:t>Prospective Applicant</w:t>
      </w:r>
      <w:r w:rsidRPr="004C29C6">
        <w:t xml:space="preserve">, Michael </w:t>
      </w:r>
      <w:proofErr w:type="spellStart"/>
      <w:r w:rsidRPr="004C29C6">
        <w:t>Kukulka</w:t>
      </w:r>
      <w:proofErr w:type="spellEnd"/>
      <w:r w:rsidRPr="004C29C6">
        <w:t xml:space="preserve">, </w:t>
      </w:r>
      <w:r w:rsidR="00727D8A" w:rsidRPr="004C29C6">
        <w:t>is a professional G</w:t>
      </w:r>
      <w:r w:rsidR="004456EA" w:rsidRPr="004C29C6">
        <w:t xml:space="preserve">old </w:t>
      </w:r>
      <w:r w:rsidR="00727D8A" w:rsidRPr="004C29C6">
        <w:t>Dealer and Operations M</w:t>
      </w:r>
      <w:r w:rsidR="004456EA" w:rsidRPr="004C29C6">
        <w:t>anager of Melbourne Gold Buyers and Brisbane Gold Buyers, who relies on the internet to attr</w:t>
      </w:r>
      <w:r w:rsidR="00727D8A" w:rsidRPr="004C29C6">
        <w:t xml:space="preserve">act customers across Australia. </w:t>
      </w:r>
      <w:r w:rsidR="00582DF2" w:rsidRPr="004C29C6">
        <w:t xml:space="preserve"> </w:t>
      </w:r>
      <w:r w:rsidR="004456EA" w:rsidRPr="004C29C6">
        <w:t>He seeks leave to serve an originating application</w:t>
      </w:r>
      <w:r w:rsidR="00640001" w:rsidRPr="004C29C6">
        <w:t xml:space="preserve"> and accompanying documents</w:t>
      </w:r>
      <w:r w:rsidR="00671675" w:rsidRPr="004C29C6">
        <w:t xml:space="preserve"> upon the R</w:t>
      </w:r>
      <w:r w:rsidR="004456EA" w:rsidRPr="004C29C6">
        <w:t>espondent</w:t>
      </w:r>
      <w:r w:rsidR="00671675" w:rsidRPr="004C29C6">
        <w:t>,</w:t>
      </w:r>
      <w:r w:rsidR="004456EA" w:rsidRPr="004C29C6">
        <w:t xml:space="preserve"> </w:t>
      </w:r>
      <w:r w:rsidR="004456EA" w:rsidRPr="004C29C6">
        <w:rPr>
          <w:b/>
        </w:rPr>
        <w:t>Google</w:t>
      </w:r>
      <w:r w:rsidR="004456EA" w:rsidRPr="004C29C6">
        <w:t xml:space="preserve"> LLC, which is based in the United States of America, pursuant to Part 10 of the </w:t>
      </w:r>
      <w:r w:rsidR="004456EA" w:rsidRPr="004C29C6">
        <w:rPr>
          <w:i/>
        </w:rPr>
        <w:t xml:space="preserve">Federal Court </w:t>
      </w:r>
      <w:r w:rsidR="004456EA" w:rsidRPr="004C29C6">
        <w:rPr>
          <w:b/>
          <w:i/>
        </w:rPr>
        <w:t>Rules</w:t>
      </w:r>
      <w:r w:rsidR="004456EA" w:rsidRPr="004C29C6">
        <w:rPr>
          <w:i/>
        </w:rPr>
        <w:t xml:space="preserve"> 2011</w:t>
      </w:r>
      <w:r w:rsidR="004456EA" w:rsidRPr="004C29C6">
        <w:t xml:space="preserve"> (</w:t>
      </w:r>
      <w:proofErr w:type="spellStart"/>
      <w:r w:rsidR="004456EA" w:rsidRPr="004C29C6">
        <w:t>Cth</w:t>
      </w:r>
      <w:proofErr w:type="spellEnd"/>
      <w:r w:rsidR="004456EA" w:rsidRPr="004C29C6">
        <w:t xml:space="preserve">). </w:t>
      </w:r>
      <w:r w:rsidR="00582DF2" w:rsidRPr="004C29C6">
        <w:t xml:space="preserve"> </w:t>
      </w:r>
      <w:r w:rsidR="004456EA" w:rsidRPr="004C29C6">
        <w:t xml:space="preserve">The originating application is brought under r 7.22 of the Rules and seeks orders </w:t>
      </w:r>
      <w:r w:rsidR="00671675" w:rsidRPr="004C29C6">
        <w:t xml:space="preserve">requiring </w:t>
      </w:r>
      <w:r w:rsidR="004456EA" w:rsidRPr="004C29C6">
        <w:t>Google to provide preliminary discovery</w:t>
      </w:r>
      <w:r w:rsidR="00727D8A" w:rsidRPr="004C29C6">
        <w:t>.</w:t>
      </w:r>
    </w:p>
    <w:p w:rsidR="00727D8A" w:rsidRPr="004C29C6" w:rsidRDefault="00727D8A" w:rsidP="004456EA">
      <w:pPr>
        <w:pStyle w:val="ParaNumbering"/>
      </w:pPr>
      <w:r w:rsidRPr="004C29C6">
        <w:t xml:space="preserve">The </w:t>
      </w:r>
      <w:r w:rsidR="00640001" w:rsidRPr="004C29C6">
        <w:t xml:space="preserve">preliminary discovery is sought in relation to </w:t>
      </w:r>
      <w:r w:rsidR="004456EA" w:rsidRPr="004C29C6">
        <w:t xml:space="preserve">all documents or things in </w:t>
      </w:r>
      <w:r w:rsidRPr="004C29C6">
        <w:t xml:space="preserve">Google’s </w:t>
      </w:r>
      <w:r w:rsidR="004456EA" w:rsidRPr="004C29C6">
        <w:t xml:space="preserve">possession or control relating to the </w:t>
      </w:r>
      <w:r w:rsidRPr="004C29C6">
        <w:t>identit</w:t>
      </w:r>
      <w:r w:rsidR="004456EA" w:rsidRPr="004C29C6">
        <w:t xml:space="preserve">y of an unknown person who posted an allegedly defamatory </w:t>
      </w:r>
      <w:r w:rsidRPr="004C29C6">
        <w:t xml:space="preserve">Google </w:t>
      </w:r>
      <w:r w:rsidR="004456EA" w:rsidRPr="004C29C6">
        <w:t>review in relation to</w:t>
      </w:r>
      <w:r w:rsidR="00294B0B" w:rsidRPr="004C29C6">
        <w:t xml:space="preserve"> Mr </w:t>
      </w:r>
      <w:proofErr w:type="spellStart"/>
      <w:r w:rsidR="00294B0B" w:rsidRPr="004C29C6">
        <w:t>Kukulka’s</w:t>
      </w:r>
      <w:proofErr w:type="spellEnd"/>
      <w:r w:rsidRPr="004C29C6">
        <w:t xml:space="preserve"> business interests, </w:t>
      </w:r>
      <w:r w:rsidR="00640001" w:rsidRPr="004C29C6">
        <w:t xml:space="preserve">under </w:t>
      </w:r>
      <w:r w:rsidRPr="004C29C6">
        <w:t xml:space="preserve">the </w:t>
      </w:r>
      <w:r w:rsidR="00F53C0A" w:rsidRPr="004C29C6">
        <w:t xml:space="preserve">name </w:t>
      </w:r>
      <w:r w:rsidRPr="004C29C6">
        <w:t xml:space="preserve">‘Nick Wood’. </w:t>
      </w:r>
      <w:r w:rsidR="00582DF2" w:rsidRPr="004C29C6">
        <w:t xml:space="preserve"> </w:t>
      </w:r>
      <w:r w:rsidRPr="004C29C6">
        <w:t xml:space="preserve">The </w:t>
      </w:r>
      <w:r w:rsidR="004B22A1" w:rsidRPr="004C29C6">
        <w:t>Prospective Applicant</w:t>
      </w:r>
      <w:r w:rsidRPr="004C29C6">
        <w:t xml:space="preserve"> seeks this order so that he can identify the party or parties involved in </w:t>
      </w:r>
      <w:r w:rsidR="00640001" w:rsidRPr="004C29C6">
        <w:t xml:space="preserve">publishing </w:t>
      </w:r>
      <w:r w:rsidRPr="004C29C6">
        <w:t>the review and so that he may bring defamation proceeding</w:t>
      </w:r>
      <w:r w:rsidR="00640001" w:rsidRPr="004C29C6">
        <w:t>s</w:t>
      </w:r>
      <w:r w:rsidRPr="004C29C6">
        <w:t xml:space="preserve"> against that individual or those individuals. </w:t>
      </w:r>
    </w:p>
    <w:p w:rsidR="00323516" w:rsidRPr="004C29C6" w:rsidRDefault="00727D8A" w:rsidP="00323516">
      <w:pPr>
        <w:pStyle w:val="ParaNumbering"/>
      </w:pPr>
      <w:r w:rsidRPr="004C29C6">
        <w:t xml:space="preserve">For the reasons set out below, I consider it appropriate to grant leave to Mr </w:t>
      </w:r>
      <w:proofErr w:type="spellStart"/>
      <w:r w:rsidRPr="004C29C6">
        <w:t>Kukulka</w:t>
      </w:r>
      <w:proofErr w:type="spellEnd"/>
      <w:r w:rsidRPr="004C29C6">
        <w:t xml:space="preserve"> to serve the </w:t>
      </w:r>
      <w:r w:rsidR="00640001" w:rsidRPr="004C29C6">
        <w:t xml:space="preserve">originating application and accompanying documents </w:t>
      </w:r>
      <w:r w:rsidRPr="004C29C6">
        <w:t>on Google</w:t>
      </w:r>
      <w:r w:rsidR="006602FD" w:rsidRPr="004C29C6">
        <w:t xml:space="preserve"> under </w:t>
      </w:r>
      <w:proofErr w:type="spellStart"/>
      <w:r w:rsidR="006602FD" w:rsidRPr="004C29C6">
        <w:t>rr</w:t>
      </w:r>
      <w:proofErr w:type="spellEnd"/>
      <w:r w:rsidR="006602FD" w:rsidRPr="004C29C6">
        <w:t xml:space="preserve"> 10.42, 10.43 and 10.44 of the Rules</w:t>
      </w:r>
      <w:r w:rsidR="001D4736" w:rsidRPr="004C29C6">
        <w:t xml:space="preserve"> by sending </w:t>
      </w:r>
      <w:r w:rsidR="00F53C0A" w:rsidRPr="004C29C6">
        <w:t xml:space="preserve">those documents </w:t>
      </w:r>
      <w:r w:rsidR="00015206" w:rsidRPr="004C29C6">
        <w:t xml:space="preserve">by email to Google at </w:t>
      </w:r>
      <w:hyperlink r:id="rId16" w:history="1">
        <w:r w:rsidR="00015206" w:rsidRPr="004C29C6">
          <w:rPr>
            <w:rStyle w:val="Hyperlink"/>
          </w:rPr>
          <w:t>internationalcivil@google.com</w:t>
        </w:r>
      </w:hyperlink>
      <w:r w:rsidR="00323516" w:rsidRPr="004C29C6">
        <w:t xml:space="preserve">. </w:t>
      </w:r>
      <w:r w:rsidR="00582DF2" w:rsidRPr="004C29C6">
        <w:t xml:space="preserve"> </w:t>
      </w:r>
      <w:r w:rsidR="008050EF" w:rsidRPr="004C29C6">
        <w:t>Nevertheless, I have made an order</w:t>
      </w:r>
      <w:r w:rsidR="00323516" w:rsidRPr="004C29C6">
        <w:t xml:space="preserve"> that service by email is conditional on, and will not be effective until, there is an acknowledgement of receipt by the Respondent.</w:t>
      </w:r>
    </w:p>
    <w:p w:rsidR="00F53C0A" w:rsidRPr="004C29C6" w:rsidRDefault="003A5B85" w:rsidP="00323516">
      <w:pPr>
        <w:pStyle w:val="ParaNumbering"/>
      </w:pPr>
      <w:r w:rsidRPr="004C29C6">
        <w:t xml:space="preserve">I reach this conclusion </w:t>
      </w:r>
      <w:r w:rsidR="00323516" w:rsidRPr="004C29C6">
        <w:t xml:space="preserve">notwithstanding that </w:t>
      </w:r>
      <w:r w:rsidR="00F53C0A" w:rsidRPr="004C29C6">
        <w:t xml:space="preserve">this approach </w:t>
      </w:r>
      <w:r w:rsidR="00323516" w:rsidRPr="004C29C6">
        <w:t xml:space="preserve">requires me to </w:t>
      </w:r>
      <w:r w:rsidR="005C371F" w:rsidRPr="004C29C6">
        <w:t>make an order for su</w:t>
      </w:r>
      <w:r w:rsidR="007972A9" w:rsidRPr="004C29C6">
        <w:t>bstituted service</w:t>
      </w:r>
      <w:r w:rsidR="00B26D0F">
        <w:t xml:space="preserve"> under r 10.24</w:t>
      </w:r>
      <w:r w:rsidR="007972A9" w:rsidRPr="004C29C6">
        <w:t>,</w:t>
      </w:r>
      <w:r w:rsidR="008050EF" w:rsidRPr="004C29C6">
        <w:t xml:space="preserve"> as service by email would not ordinarily be permitted under </w:t>
      </w:r>
      <w:r w:rsidR="005C371F" w:rsidRPr="004C29C6">
        <w:t xml:space="preserve">r </w:t>
      </w:r>
      <w:r w:rsidR="008050EF" w:rsidRPr="004C29C6">
        <w:t>10.43(3)</w:t>
      </w:r>
      <w:r w:rsidR="00323516" w:rsidRPr="004C29C6">
        <w:t xml:space="preserve">. </w:t>
      </w:r>
      <w:r w:rsidR="00582DF2" w:rsidRPr="004C29C6">
        <w:t xml:space="preserve"> </w:t>
      </w:r>
      <w:r w:rsidR="00323516" w:rsidRPr="004C29C6">
        <w:t xml:space="preserve">I consider it appropriate to do </w:t>
      </w:r>
      <w:r w:rsidR="00F53C0A" w:rsidRPr="004C29C6">
        <w:t>so</w:t>
      </w:r>
      <w:r w:rsidR="00C62C4D" w:rsidRPr="004C29C6">
        <w:t xml:space="preserve"> because</w:t>
      </w:r>
      <w:r w:rsidR="00F53C0A" w:rsidRPr="004C29C6">
        <w:t>:</w:t>
      </w:r>
    </w:p>
    <w:p w:rsidR="00F53C0A" w:rsidRPr="004C29C6" w:rsidRDefault="00323516" w:rsidP="00F53C0A">
      <w:pPr>
        <w:pStyle w:val="ListNo1alt"/>
      </w:pPr>
      <w:r w:rsidRPr="004C29C6">
        <w:t xml:space="preserve">the current </w:t>
      </w:r>
      <w:r w:rsidR="008050EF" w:rsidRPr="004C29C6">
        <w:t xml:space="preserve">state of the COVID19 </w:t>
      </w:r>
      <w:r w:rsidRPr="004C29C6">
        <w:t>pandemic</w:t>
      </w:r>
      <w:r w:rsidR="00F53C0A" w:rsidRPr="004C29C6">
        <w:t xml:space="preserve"> </w:t>
      </w:r>
      <w:r w:rsidR="008050EF" w:rsidRPr="004C29C6">
        <w:t xml:space="preserve">means </w:t>
      </w:r>
      <w:r w:rsidR="005C371F" w:rsidRPr="004C29C6">
        <w:t xml:space="preserve">that </w:t>
      </w:r>
      <w:r w:rsidRPr="004C29C6">
        <w:t xml:space="preserve">there are delays and impracticalities </w:t>
      </w:r>
      <w:r w:rsidR="005C371F" w:rsidRPr="004C29C6">
        <w:t xml:space="preserve">associated </w:t>
      </w:r>
      <w:r w:rsidRPr="004C29C6">
        <w:t xml:space="preserve">with </w:t>
      </w:r>
      <w:r w:rsidR="00F53C0A" w:rsidRPr="004C29C6">
        <w:t>international registered post</w:t>
      </w:r>
      <w:r w:rsidR="00C62C4D" w:rsidRPr="004C29C6">
        <w:t>, the ordinary method of service relied on in analogous proceedings</w:t>
      </w:r>
      <w:r w:rsidR="00F53C0A" w:rsidRPr="004C29C6">
        <w:t>; and</w:t>
      </w:r>
    </w:p>
    <w:p w:rsidR="008D7893" w:rsidRPr="004C29C6" w:rsidRDefault="008D7893" w:rsidP="00F53C0A">
      <w:pPr>
        <w:pStyle w:val="ListNo1alt"/>
      </w:pPr>
      <w:r w:rsidRPr="004C29C6">
        <w:lastRenderedPageBreak/>
        <w:t>the originating application and accompanying documents are likely to come to the Respondent’s attention</w:t>
      </w:r>
      <w:r w:rsidR="00323516" w:rsidRPr="004C29C6">
        <w:t xml:space="preserve">, </w:t>
      </w:r>
      <w:r w:rsidR="00C85B80" w:rsidRPr="004C29C6">
        <w:t xml:space="preserve">given that Google </w:t>
      </w:r>
      <w:r w:rsidR="00323516" w:rsidRPr="004C29C6">
        <w:t xml:space="preserve">is a multinational corporation with </w:t>
      </w:r>
      <w:r w:rsidR="00671675" w:rsidRPr="004C29C6">
        <w:t xml:space="preserve">a history of responding to </w:t>
      </w:r>
      <w:r w:rsidR="00C62C4D" w:rsidRPr="004C29C6">
        <w:t xml:space="preserve">similar applications </w:t>
      </w:r>
      <w:r w:rsidR="00671675" w:rsidRPr="004C29C6">
        <w:t xml:space="preserve">at </w:t>
      </w:r>
      <w:r w:rsidR="00C85B80" w:rsidRPr="004C29C6">
        <w:t>the email identified above</w:t>
      </w:r>
      <w:r w:rsidRPr="004C29C6">
        <w:t xml:space="preserve">. </w:t>
      </w:r>
    </w:p>
    <w:p w:rsidR="00640001" w:rsidRPr="004C29C6" w:rsidRDefault="009739C8" w:rsidP="009739C8">
      <w:pPr>
        <w:pStyle w:val="Heading1"/>
      </w:pPr>
      <w:r w:rsidRPr="004C29C6">
        <w:t>B</w:t>
      </w:r>
      <w:r w:rsidRPr="004C29C6">
        <w:tab/>
      </w:r>
      <w:r w:rsidR="00640001" w:rsidRPr="004C29C6">
        <w:t xml:space="preserve">CONSIDERATION </w:t>
      </w:r>
    </w:p>
    <w:p w:rsidR="006C397D" w:rsidRPr="004C29C6" w:rsidRDefault="00640001" w:rsidP="003E4AC3">
      <w:pPr>
        <w:pStyle w:val="ParaNumbering"/>
      </w:pPr>
      <w:r w:rsidRPr="004C29C6">
        <w:t>Rule</w:t>
      </w:r>
      <w:r w:rsidR="006602FD" w:rsidRPr="004C29C6">
        <w:t>s</w:t>
      </w:r>
      <w:r w:rsidRPr="004C29C6">
        <w:t xml:space="preserve"> 10.43(2) </w:t>
      </w:r>
      <w:r w:rsidR="006602FD" w:rsidRPr="004C29C6">
        <w:t xml:space="preserve">and 10.44(1) provide that a party may apply to the Court for leave to </w:t>
      </w:r>
      <w:r w:rsidR="006878FE" w:rsidRPr="004C29C6">
        <w:t xml:space="preserve">serve </w:t>
      </w:r>
      <w:r w:rsidR="006602FD" w:rsidRPr="004C29C6">
        <w:t>an originating application or other document</w:t>
      </w:r>
      <w:r w:rsidR="006C397D" w:rsidRPr="004C29C6">
        <w:t>, respectively,</w:t>
      </w:r>
      <w:r w:rsidR="006602FD" w:rsidRPr="004C29C6">
        <w:t xml:space="preserve"> on a person in a foreign country in accordance with the</w:t>
      </w:r>
      <w:r w:rsidR="003E4AC3" w:rsidRPr="004C29C6">
        <w:t xml:space="preserve"> “Convention on the Service Abroad of Judicial and Extrajudicial Documents in Civil or Commercial Matters” held at the Hague on 15 November 1965 (the </w:t>
      </w:r>
      <w:r w:rsidR="003E4AC3" w:rsidRPr="004C29C6">
        <w:rPr>
          <w:b/>
        </w:rPr>
        <w:t>Hague Service Convention</w:t>
      </w:r>
      <w:r w:rsidR="003E4AC3" w:rsidRPr="004C29C6">
        <w:t>)</w:t>
      </w:r>
      <w:r w:rsidR="006602FD" w:rsidRPr="004C29C6">
        <w:t xml:space="preserve">. </w:t>
      </w:r>
      <w:r w:rsidR="00582DF2" w:rsidRPr="004C29C6">
        <w:t xml:space="preserve"> </w:t>
      </w:r>
      <w:r w:rsidR="006C397D" w:rsidRPr="004C29C6">
        <w:t>Before leave may be granted to serve an originating application or other document on a respondent outside Australia, the Court must be satisfied of four matters set out in r 10.43(3) and (4):</w:t>
      </w:r>
    </w:p>
    <w:p w:rsidR="00E445EB" w:rsidRPr="004C29C6" w:rsidRDefault="006C397D" w:rsidP="004C29C6">
      <w:pPr>
        <w:pStyle w:val="ListNo1alt"/>
        <w:numPr>
          <w:ilvl w:val="0"/>
          <w:numId w:val="30"/>
        </w:numPr>
      </w:pPr>
      <w:r w:rsidRPr="004C29C6">
        <w:t xml:space="preserve">the application must be accompanied by an affidavit which states the foreign country where the person is to be served, the proposed method of service and, if the Hague Service Convention applies, that the proposed method of service is permitted by the Hague Service Convention (r 10.43(3)); </w:t>
      </w:r>
    </w:p>
    <w:p w:rsidR="006C397D" w:rsidRPr="004C29C6" w:rsidRDefault="006C397D" w:rsidP="00D2037B">
      <w:pPr>
        <w:pStyle w:val="ListNo1alt"/>
        <w:numPr>
          <w:ilvl w:val="0"/>
          <w:numId w:val="30"/>
        </w:numPr>
      </w:pPr>
      <w:r w:rsidRPr="004C29C6">
        <w:t xml:space="preserve">that the Court has jurisdiction in the proceeding (r 10.43(4)(a)); </w:t>
      </w:r>
    </w:p>
    <w:p w:rsidR="006C397D" w:rsidRPr="004C29C6" w:rsidRDefault="006C397D" w:rsidP="00D2037B">
      <w:pPr>
        <w:pStyle w:val="ListNo1alt"/>
        <w:numPr>
          <w:ilvl w:val="0"/>
          <w:numId w:val="30"/>
        </w:numPr>
      </w:pPr>
      <w:r w:rsidRPr="004C29C6">
        <w:t>that the proceeding is of a kind mentioned in r 10.42 (r 10.43(4)(b)); and</w:t>
      </w:r>
    </w:p>
    <w:p w:rsidR="004026E1" w:rsidRPr="004C29C6" w:rsidRDefault="006C397D" w:rsidP="00D2037B">
      <w:pPr>
        <w:pStyle w:val="ListNo1alt"/>
        <w:numPr>
          <w:ilvl w:val="0"/>
          <w:numId w:val="30"/>
        </w:numPr>
      </w:pPr>
      <w:r w:rsidRPr="004C29C6">
        <w:t xml:space="preserve">that the applicant has a prima facie case for all or any of the relief claimed in the proceeding (r 10.43(4)(c)). </w:t>
      </w:r>
    </w:p>
    <w:p w:rsidR="00340390" w:rsidRPr="004C29C6" w:rsidRDefault="008050EF" w:rsidP="00340390">
      <w:pPr>
        <w:pStyle w:val="ParaNumbering"/>
      </w:pPr>
      <w:r w:rsidRPr="004C29C6">
        <w:t>In satisfaction of these requirements, t</w:t>
      </w:r>
      <w:r w:rsidR="00EC4252" w:rsidRPr="004C29C6">
        <w:t>he Prospective Applicant relied on orders previousl</w:t>
      </w:r>
      <w:r w:rsidR="003E4AC3" w:rsidRPr="004C29C6">
        <w:t>y made by this Court in similar applications</w:t>
      </w:r>
      <w:r w:rsidR="00340390" w:rsidRPr="004C29C6">
        <w:t xml:space="preserve">. </w:t>
      </w:r>
      <w:r w:rsidR="00582DF2" w:rsidRPr="004C29C6">
        <w:t xml:space="preserve"> </w:t>
      </w:r>
      <w:r w:rsidR="003E4AC3" w:rsidRPr="004C29C6">
        <w:t>For instance, i</w:t>
      </w:r>
      <w:r w:rsidR="00340390" w:rsidRPr="004C29C6">
        <w:t xml:space="preserve">n </w:t>
      </w:r>
      <w:proofErr w:type="spellStart"/>
      <w:r w:rsidR="00340390" w:rsidRPr="004C29C6">
        <w:rPr>
          <w:b/>
          <w:i/>
        </w:rPr>
        <w:t>Kabbabe</w:t>
      </w:r>
      <w:proofErr w:type="spellEnd"/>
      <w:r w:rsidR="00340390" w:rsidRPr="004C29C6">
        <w:rPr>
          <w:i/>
        </w:rPr>
        <w:t xml:space="preserve"> v Google LLC </w:t>
      </w:r>
      <w:r w:rsidR="00340390" w:rsidRPr="004C29C6">
        <w:t>[2020] FCA 126, Murphy J made orders and gave reasons to the effect that the above requirements were satisfied</w:t>
      </w:r>
      <w:r w:rsidR="00671675" w:rsidRPr="004C29C6">
        <w:t xml:space="preserve"> in analogous circumstances</w:t>
      </w:r>
      <w:r w:rsidR="00340390" w:rsidRPr="004C29C6">
        <w:t xml:space="preserve">. </w:t>
      </w:r>
      <w:r w:rsidR="00582DF2" w:rsidRPr="004C29C6">
        <w:t xml:space="preserve"> </w:t>
      </w:r>
      <w:r w:rsidR="00671675" w:rsidRPr="004C29C6">
        <w:t xml:space="preserve">Justice Murphy </w:t>
      </w:r>
      <w:r w:rsidR="00340390" w:rsidRPr="004C29C6">
        <w:t xml:space="preserve">made similar orders </w:t>
      </w:r>
      <w:r w:rsidR="008D7893" w:rsidRPr="004C29C6">
        <w:t xml:space="preserve">on 23 April 2020 </w:t>
      </w:r>
      <w:r w:rsidR="00340390" w:rsidRPr="004C29C6">
        <w:t>in proceeding number VID 94 of 2020 (</w:t>
      </w:r>
      <w:r w:rsidR="00340390" w:rsidRPr="004C29C6">
        <w:rPr>
          <w:b/>
          <w:i/>
        </w:rPr>
        <w:t>Garde-Wilson</w:t>
      </w:r>
      <w:r w:rsidR="00340390" w:rsidRPr="004C29C6">
        <w:rPr>
          <w:i/>
        </w:rPr>
        <w:t xml:space="preserve"> v Google LLC</w:t>
      </w:r>
      <w:r w:rsidR="00340390" w:rsidRPr="004C29C6">
        <w:t xml:space="preserve">), though detailed reasons were not provided. </w:t>
      </w:r>
    </w:p>
    <w:p w:rsidR="00C85B80" w:rsidRPr="004C29C6" w:rsidRDefault="003E4AC3" w:rsidP="008050EF">
      <w:pPr>
        <w:pStyle w:val="ParaNumbering"/>
      </w:pPr>
      <w:r w:rsidRPr="004C29C6">
        <w:t xml:space="preserve">The only material difference in the present application is that the </w:t>
      </w:r>
      <w:r w:rsidR="004B22A1" w:rsidRPr="004C29C6">
        <w:t>Prospective Applicant</w:t>
      </w:r>
      <w:r w:rsidRPr="004C29C6">
        <w:t xml:space="preserve"> submitted that it was not presently practicable to effect service on the Respondent by international registered post, due to the current global pandemic, and orders should be made for substituted service by email</w:t>
      </w:r>
      <w:r w:rsidR="008050EF" w:rsidRPr="004C29C6">
        <w:t xml:space="preserve"> under r 10.24</w:t>
      </w:r>
      <w:r w:rsidRPr="004C29C6">
        <w:t>.</w:t>
      </w:r>
      <w:r w:rsidR="00582DF2" w:rsidRPr="004C29C6">
        <w:t xml:space="preserve"> </w:t>
      </w:r>
      <w:r w:rsidRPr="004C29C6">
        <w:t xml:space="preserve"> For the reasons that follow, </w:t>
      </w:r>
      <w:r w:rsidR="00BF0ECB" w:rsidRPr="004C29C6">
        <w:t xml:space="preserve">I am satisfied that the making of those orders is appropriate, subject to the fact that service will not be deemed </w:t>
      </w:r>
      <w:r w:rsidR="00BF0ECB" w:rsidRPr="004C29C6">
        <w:lastRenderedPageBreak/>
        <w:t xml:space="preserve">effective until the </w:t>
      </w:r>
      <w:r w:rsidR="004B22A1" w:rsidRPr="004C29C6">
        <w:t>Prospective Applicant</w:t>
      </w:r>
      <w:r w:rsidR="00BF0ECB" w:rsidRPr="004C29C6">
        <w:t xml:space="preserve"> obtains an acknowledgement of receipt from the </w:t>
      </w:r>
      <w:r w:rsidR="00C85B80" w:rsidRPr="004C29C6">
        <w:t>Respondent</w:t>
      </w:r>
      <w:r w:rsidR="00BF0ECB" w:rsidRPr="004C29C6">
        <w:t xml:space="preserve">. </w:t>
      </w:r>
    </w:p>
    <w:p w:rsidR="009739C8" w:rsidRPr="004C29C6" w:rsidRDefault="009739C8" w:rsidP="009739C8">
      <w:pPr>
        <w:pStyle w:val="Heading2"/>
      </w:pPr>
      <w:r w:rsidRPr="004C29C6">
        <w:t>B.1</w:t>
      </w:r>
      <w:r w:rsidRPr="004C29C6">
        <w:tab/>
      </w:r>
      <w:r w:rsidR="001D4736" w:rsidRPr="004C29C6">
        <w:t>P</w:t>
      </w:r>
      <w:r w:rsidRPr="004C29C6">
        <w:t>roposed method of service</w:t>
      </w:r>
    </w:p>
    <w:p w:rsidR="00BF0ECB" w:rsidRPr="004C29C6" w:rsidRDefault="006637CA" w:rsidP="00BF0ECB">
      <w:pPr>
        <w:pStyle w:val="ParaNumbering"/>
      </w:pPr>
      <w:r w:rsidRPr="004C29C6">
        <w:t xml:space="preserve">The affidavit of Mr </w:t>
      </w:r>
      <w:proofErr w:type="spellStart"/>
      <w:r w:rsidRPr="004C29C6">
        <w:t>Stanarevic</w:t>
      </w:r>
      <w:proofErr w:type="spellEnd"/>
      <w:r w:rsidRPr="004C29C6">
        <w:t xml:space="preserve">, deposed on 22 June 2020, provides that the Respondent corporation is based in the United States of America and is a party to the Hague </w:t>
      </w:r>
      <w:r w:rsidR="000F54B2" w:rsidRPr="004C29C6">
        <w:t xml:space="preserve">Service </w:t>
      </w:r>
      <w:r w:rsidRPr="004C29C6">
        <w:t xml:space="preserve">Convention. </w:t>
      </w:r>
      <w:r w:rsidR="00582DF2" w:rsidRPr="004C29C6">
        <w:t xml:space="preserve"> </w:t>
      </w:r>
      <w:r w:rsidRPr="004C29C6">
        <w:t xml:space="preserve">The proposed method of service is by </w:t>
      </w:r>
      <w:r w:rsidR="00323516" w:rsidRPr="004C29C6">
        <w:t>email</w:t>
      </w:r>
      <w:r w:rsidR="00BF0ECB" w:rsidRPr="004C29C6">
        <w:t xml:space="preserve"> to </w:t>
      </w:r>
      <w:hyperlink r:id="rId17" w:history="1">
        <w:r w:rsidR="00BF0ECB" w:rsidRPr="004C29C6">
          <w:rPr>
            <w:rStyle w:val="Hyperlink"/>
          </w:rPr>
          <w:t>internationalcivil@google.com</w:t>
        </w:r>
      </w:hyperlink>
      <w:r w:rsidR="00BF0ECB" w:rsidRPr="004C29C6">
        <w:t xml:space="preserve">, an email which the Respondent has a history of responding to in </w:t>
      </w:r>
      <w:r w:rsidR="007972A9" w:rsidRPr="004C29C6">
        <w:t xml:space="preserve">similar </w:t>
      </w:r>
      <w:r w:rsidR="00BF0ECB" w:rsidRPr="004C29C6">
        <w:t xml:space="preserve">preliminary discovery proceedings arising in this Court. </w:t>
      </w:r>
    </w:p>
    <w:p w:rsidR="00541E2E" w:rsidRPr="004C29C6" w:rsidRDefault="00A127CA" w:rsidP="00541E2E">
      <w:pPr>
        <w:pStyle w:val="ParaNumbering"/>
      </w:pPr>
      <w:r w:rsidRPr="004C29C6">
        <w:t>I</w:t>
      </w:r>
      <w:r w:rsidR="00BF0ECB" w:rsidRPr="004C29C6">
        <w:t xml:space="preserve">t is undisputed that the </w:t>
      </w:r>
      <w:r w:rsidR="004B22A1" w:rsidRPr="004C29C6">
        <w:t>Prospective Applicant</w:t>
      </w:r>
      <w:r w:rsidR="00BF0ECB" w:rsidRPr="004C29C6">
        <w:t xml:space="preserve"> has </w:t>
      </w:r>
      <w:r w:rsidR="003E4AC3" w:rsidRPr="004C29C6">
        <w:t xml:space="preserve">leave to serve </w:t>
      </w:r>
      <w:r w:rsidR="00582DF2" w:rsidRPr="004C29C6">
        <w:t xml:space="preserve">the relevant </w:t>
      </w:r>
      <w:r w:rsidR="003E4AC3" w:rsidRPr="004C29C6">
        <w:t xml:space="preserve">documents by international registered post, on the basis that doing so </w:t>
      </w:r>
      <w:r w:rsidR="00582DF2" w:rsidRPr="004C29C6">
        <w:t xml:space="preserve">would be </w:t>
      </w:r>
      <w:r w:rsidR="003E4AC3" w:rsidRPr="004C29C6">
        <w:t>compliant with Art 10(a) of the</w:t>
      </w:r>
      <w:r w:rsidR="004B22A1" w:rsidRPr="004C29C6">
        <w:t xml:space="preserve"> </w:t>
      </w:r>
      <w:r w:rsidR="003E4AC3" w:rsidRPr="004C29C6">
        <w:t>Hague Service Convention</w:t>
      </w:r>
      <w:r w:rsidR="00BF0ECB" w:rsidRPr="004C29C6">
        <w:t xml:space="preserve">: see e.g. </w:t>
      </w:r>
      <w:proofErr w:type="spellStart"/>
      <w:r w:rsidR="00BF0ECB" w:rsidRPr="004C29C6">
        <w:rPr>
          <w:i/>
        </w:rPr>
        <w:t>Kabbabe</w:t>
      </w:r>
      <w:proofErr w:type="spellEnd"/>
      <w:r w:rsidR="00BF0ECB" w:rsidRPr="004C29C6">
        <w:rPr>
          <w:i/>
        </w:rPr>
        <w:t xml:space="preserve"> </w:t>
      </w:r>
      <w:r w:rsidR="00BF0ECB" w:rsidRPr="004C29C6">
        <w:t>at [5]-[9]</w:t>
      </w:r>
      <w:r w:rsidR="00AF3968" w:rsidRPr="004C29C6">
        <w:t xml:space="preserve"> (Murphy J)</w:t>
      </w:r>
      <w:r w:rsidR="00BF0ECB" w:rsidRPr="004C29C6">
        <w:t xml:space="preserve">. </w:t>
      </w:r>
      <w:r w:rsidR="00582DF2" w:rsidRPr="004C29C6">
        <w:t xml:space="preserve"> </w:t>
      </w:r>
      <w:r w:rsidR="00BF0ECB" w:rsidRPr="004C29C6">
        <w:t xml:space="preserve">However, in this instance, the Prospective </w:t>
      </w:r>
      <w:r w:rsidR="00541E2E" w:rsidRPr="004C29C6">
        <w:t xml:space="preserve">Applicant submitted that, due to the current global COVID-19 pandemic, there have been delays with the postal service and it would be impracticable to effect service </w:t>
      </w:r>
      <w:r w:rsidR="007972A9" w:rsidRPr="004C29C6">
        <w:t xml:space="preserve">by these means </w:t>
      </w:r>
      <w:r w:rsidR="00541E2E" w:rsidRPr="004C29C6">
        <w:t xml:space="preserve">in the rapidly changing </w:t>
      </w:r>
      <w:r w:rsidR="00E568DE">
        <w:t>global</w:t>
      </w:r>
      <w:r w:rsidR="00541E2E" w:rsidRPr="004C29C6">
        <w:t xml:space="preserve"> environment.</w:t>
      </w:r>
      <w:r w:rsidR="00582DF2" w:rsidRPr="004C29C6">
        <w:t xml:space="preserve"> </w:t>
      </w:r>
      <w:r w:rsidR="00541E2E" w:rsidRPr="004C29C6">
        <w:t xml:space="preserve"> Accordingly, the Prospective Applicant proposes to serve the Respondent by email</w:t>
      </w:r>
      <w:r w:rsidR="008050EF" w:rsidRPr="004C29C6">
        <w:t>, relying on the provisions for substituted service in r 10.24</w:t>
      </w:r>
      <w:r w:rsidR="00541E2E" w:rsidRPr="004C29C6">
        <w:t xml:space="preserve">. For the reasons that follow, I agree with that approach. </w:t>
      </w:r>
    </w:p>
    <w:p w:rsidR="0099406A" w:rsidRPr="004C29C6" w:rsidRDefault="008050EF" w:rsidP="00541E2E">
      <w:pPr>
        <w:pStyle w:val="ParaNumbering"/>
      </w:pPr>
      <w:r w:rsidRPr="004C29C6">
        <w:t xml:space="preserve">In </w:t>
      </w:r>
      <w:r w:rsidRPr="004C29C6">
        <w:rPr>
          <w:b/>
          <w:i/>
        </w:rPr>
        <w:t>AIA Australia</w:t>
      </w:r>
      <w:r w:rsidRPr="004C29C6">
        <w:rPr>
          <w:i/>
        </w:rPr>
        <w:t xml:space="preserve"> Ltd v Richards </w:t>
      </w:r>
      <w:r w:rsidRPr="004C29C6">
        <w:t>[2017] FCA 84, Allsop J at [7] explained that t</w:t>
      </w:r>
      <w:r w:rsidR="00BF0ECB" w:rsidRPr="004C29C6">
        <w:t>he Hague Serv</w:t>
      </w:r>
      <w:r w:rsidR="00F05238" w:rsidRPr="004C29C6">
        <w:t>ice</w:t>
      </w:r>
      <w:r w:rsidR="00BF0ECB" w:rsidRPr="004C29C6">
        <w:t xml:space="preserve"> Convention </w:t>
      </w:r>
      <w:r w:rsidRPr="004C29C6">
        <w:t xml:space="preserve">contemplates several mechanisms, or channels, for service. </w:t>
      </w:r>
      <w:r w:rsidR="00582DF2" w:rsidRPr="004C29C6">
        <w:t xml:space="preserve"> </w:t>
      </w:r>
      <w:r w:rsidR="007972A9" w:rsidRPr="004C29C6">
        <w:t xml:space="preserve">One such channel </w:t>
      </w:r>
      <w:r w:rsidR="00880BA6" w:rsidRPr="004C29C6">
        <w:t xml:space="preserve">includes transmission through international registered post: </w:t>
      </w:r>
      <w:r w:rsidR="00880BA6" w:rsidRPr="004C29C6">
        <w:rPr>
          <w:i/>
        </w:rPr>
        <w:t xml:space="preserve">AIA Australia </w:t>
      </w:r>
      <w:r w:rsidR="00880BA6" w:rsidRPr="004C29C6">
        <w:t xml:space="preserve">at </w:t>
      </w:r>
      <w:r w:rsidR="0099406A" w:rsidRPr="004C29C6">
        <w:t>[12]-</w:t>
      </w:r>
      <w:r w:rsidR="00880BA6" w:rsidRPr="004C29C6">
        <w:t xml:space="preserve">[13] (Allsop J). </w:t>
      </w:r>
      <w:r w:rsidR="00582DF2" w:rsidRPr="004C29C6">
        <w:t xml:space="preserve"> </w:t>
      </w:r>
      <w:r w:rsidRPr="004C29C6">
        <w:t xml:space="preserve">However, </w:t>
      </w:r>
      <w:r w:rsidR="00880BA6" w:rsidRPr="004C29C6">
        <w:t>the Hague Service Convention does not expressly provide for service by email</w:t>
      </w:r>
      <w:r w:rsidR="0099406A" w:rsidRPr="004C29C6">
        <w:t xml:space="preserve">, which is </w:t>
      </w:r>
      <w:r w:rsidR="003037FE">
        <w:t xml:space="preserve">in many ways unexpected </w:t>
      </w:r>
      <w:r w:rsidR="0099406A" w:rsidRPr="004C29C6">
        <w:t>given that the Convention dates back to 1965</w:t>
      </w:r>
      <w:r w:rsidR="00880BA6" w:rsidRPr="004C29C6">
        <w:t xml:space="preserve">: </w:t>
      </w:r>
      <w:r w:rsidR="00880BA6" w:rsidRPr="004C29C6">
        <w:rPr>
          <w:b/>
          <w:i/>
        </w:rPr>
        <w:t>Practical Handbook</w:t>
      </w:r>
      <w:r w:rsidR="00880BA6" w:rsidRPr="004C29C6">
        <w:rPr>
          <w:i/>
        </w:rPr>
        <w:t xml:space="preserve"> on the Operation of the Hague Service Convention </w:t>
      </w:r>
      <w:r w:rsidR="00880BA6" w:rsidRPr="004C29C6">
        <w:t>(Permanent Bureau of the Hague Conference on Private International Law, 3</w:t>
      </w:r>
      <w:r w:rsidR="00880BA6" w:rsidRPr="004C29C6">
        <w:rPr>
          <w:vertAlign w:val="superscript"/>
        </w:rPr>
        <w:t>rd</w:t>
      </w:r>
      <w:r w:rsidR="00880BA6" w:rsidRPr="004C29C6">
        <w:t xml:space="preserve"> edition at </w:t>
      </w:r>
      <w:r w:rsidR="0099406A" w:rsidRPr="004C29C6">
        <w:t>[245]</w:t>
      </w:r>
      <w:r w:rsidR="00880BA6" w:rsidRPr="004C29C6">
        <w:t xml:space="preserve">). </w:t>
      </w:r>
      <w:r w:rsidR="00582DF2" w:rsidRPr="004C29C6">
        <w:t xml:space="preserve"> </w:t>
      </w:r>
    </w:p>
    <w:p w:rsidR="008050EF" w:rsidRDefault="0099406A" w:rsidP="00541E2E">
      <w:pPr>
        <w:pStyle w:val="ParaNumbering"/>
      </w:pPr>
      <w:r>
        <w:t xml:space="preserve">Of course, technology has evolved since that time and there is overseas jurisprudence which suggests that it may be possible to effect service by email.  This includes, </w:t>
      </w:r>
      <w:r w:rsidR="00880BA6">
        <w:t xml:space="preserve">for example, </w:t>
      </w:r>
      <w:r>
        <w:t xml:space="preserve">situations </w:t>
      </w:r>
      <w:r w:rsidR="00880BA6">
        <w:t>where service by other means is impossible and there is a reasonable probability</w:t>
      </w:r>
      <w:r>
        <w:t xml:space="preserve"> </w:t>
      </w:r>
      <w:r w:rsidR="00880BA6">
        <w:t xml:space="preserve">that service by email would bring the document to the other party’s attention: </w:t>
      </w:r>
      <w:r w:rsidR="003037FE">
        <w:t xml:space="preserve">see e.g. </w:t>
      </w:r>
      <w:r w:rsidR="00880BA6" w:rsidRPr="004C29C6">
        <w:t>Practical Handbook</w:t>
      </w:r>
      <w:r w:rsidR="00880BA6">
        <w:t xml:space="preserve"> at </w:t>
      </w:r>
      <w:r>
        <w:t>[265]-[268]</w:t>
      </w:r>
      <w:r w:rsidR="00880BA6">
        <w:t xml:space="preserve">. </w:t>
      </w:r>
    </w:p>
    <w:p w:rsidR="00880BA6" w:rsidRDefault="00880BA6" w:rsidP="00541E2E">
      <w:pPr>
        <w:pStyle w:val="ParaNumbering"/>
      </w:pPr>
      <w:r>
        <w:t xml:space="preserve">While I am not satisfied that service by email </w:t>
      </w:r>
      <w:r w:rsidR="0099406A">
        <w:t xml:space="preserve">would </w:t>
      </w:r>
      <w:r>
        <w:t xml:space="preserve">necessarily </w:t>
      </w:r>
      <w:r w:rsidR="0099406A">
        <w:t xml:space="preserve">be </w:t>
      </w:r>
      <w:r>
        <w:t>permitted by the Hague Service Convention</w:t>
      </w:r>
      <w:r w:rsidR="0099406A">
        <w:t xml:space="preserve"> in the present circumstances</w:t>
      </w:r>
      <w:r>
        <w:t xml:space="preserve">, I need not decide the issue in this application. </w:t>
      </w:r>
      <w:r w:rsidR="00582DF2">
        <w:t xml:space="preserve"> </w:t>
      </w:r>
      <w:r>
        <w:t xml:space="preserve">This is because the </w:t>
      </w:r>
      <w:r w:rsidR="004B22A1">
        <w:t>Prospective Applicant</w:t>
      </w:r>
      <w:r>
        <w:t xml:space="preserve"> is applying for substituted service under r 10.24</w:t>
      </w:r>
      <w:r w:rsidR="0099406A">
        <w:t xml:space="preserve">. </w:t>
      </w:r>
      <w:r w:rsidR="0099406A">
        <w:lastRenderedPageBreak/>
        <w:t xml:space="preserve">That rule therefore </w:t>
      </w:r>
      <w:r>
        <w:t xml:space="preserve">forms the analytical framework through which to consider whether service is permitted. </w:t>
      </w:r>
    </w:p>
    <w:p w:rsidR="00880BA6" w:rsidRDefault="00880BA6" w:rsidP="00880BA6">
      <w:pPr>
        <w:pStyle w:val="ParaNumbering"/>
      </w:pPr>
      <w:r>
        <w:t xml:space="preserve">On its face, r 10.24 appears to provide for substituted service in a domestic context, whereas r 10.49 relates to substituted service outside Australia. </w:t>
      </w:r>
      <w:r w:rsidR="00582DF2">
        <w:t xml:space="preserve"> </w:t>
      </w:r>
      <w:r>
        <w:t xml:space="preserve">These rules differ insofar as substituted service under r 10.49 is only available where an attempted service, in accordance with a convention, the Hague Convention or the law of a foreign country, was not successful. </w:t>
      </w:r>
      <w:r w:rsidR="00582DF2">
        <w:t xml:space="preserve"> </w:t>
      </w:r>
      <w:r>
        <w:t xml:space="preserve">Conversely, r 10.24 applies in circumstances where </w:t>
      </w:r>
      <w:r w:rsidRPr="00C7138C">
        <w:t xml:space="preserve">it is not practicable to serve a document on a person in a way required by </w:t>
      </w:r>
      <w:r>
        <w:t xml:space="preserve">the </w:t>
      </w:r>
      <w:r w:rsidRPr="00C7138C">
        <w:t>Rules</w:t>
      </w:r>
      <w:r>
        <w:t xml:space="preserve">. In any event, it has been held in this Court, in analogous circumstances, that an order for substituted service may be made under either r 10.24 or r 10.49: </w:t>
      </w:r>
      <w:r w:rsidRPr="004B22A1">
        <w:rPr>
          <w:b/>
          <w:i/>
        </w:rPr>
        <w:t>Australian Information Commission v Facebook</w:t>
      </w:r>
      <w:r w:rsidRPr="00880BA6">
        <w:rPr>
          <w:i/>
        </w:rPr>
        <w:t xml:space="preserve"> </w:t>
      </w:r>
      <w:proofErr w:type="spellStart"/>
      <w:r w:rsidRPr="00880BA6">
        <w:rPr>
          <w:i/>
        </w:rPr>
        <w:t>Inc</w:t>
      </w:r>
      <w:proofErr w:type="spellEnd"/>
      <w:r w:rsidRPr="006A4370">
        <w:t xml:space="preserve"> [2020] FCA 531</w:t>
      </w:r>
      <w:r>
        <w:t xml:space="preserve"> at [66] (Thawley J). </w:t>
      </w:r>
    </w:p>
    <w:p w:rsidR="00880BA6" w:rsidRDefault="00880BA6" w:rsidP="00541E2E">
      <w:pPr>
        <w:pStyle w:val="ParaNumbering"/>
      </w:pPr>
      <w:r>
        <w:t xml:space="preserve">I </w:t>
      </w:r>
      <w:r w:rsidR="0099406A">
        <w:t xml:space="preserve">therefore </w:t>
      </w:r>
      <w:r>
        <w:t xml:space="preserve">proceed on the same basis as </w:t>
      </w:r>
      <w:r w:rsidR="0099406A">
        <w:t>Thawley J</w:t>
      </w:r>
      <w:r w:rsidR="00641AB1">
        <w:t xml:space="preserve"> in </w:t>
      </w:r>
      <w:r w:rsidR="00641AB1">
        <w:rPr>
          <w:i/>
        </w:rPr>
        <w:t>Australian Information Commission v Facebook</w:t>
      </w:r>
      <w:r>
        <w:t xml:space="preserve">, considering whether it would be impracticable to effect service on Google by international registered post, without substantial difficulty. </w:t>
      </w:r>
      <w:r w:rsidR="00582DF2">
        <w:t xml:space="preserve"> </w:t>
      </w:r>
      <w:r>
        <w:t xml:space="preserve">I consider that it would be, and an order for substituted service should be made under r 10.24, for the following reasons. </w:t>
      </w:r>
    </w:p>
    <w:p w:rsidR="00541E2E" w:rsidRDefault="00541E2E" w:rsidP="00541E2E">
      <w:pPr>
        <w:pStyle w:val="ParaNumbering"/>
      </w:pPr>
      <w:r>
        <w:t xml:space="preserve">Firstly, we are in the midst of a global pandemic, where service by international registered post might be </w:t>
      </w:r>
      <w:r w:rsidR="00641AB1">
        <w:t xml:space="preserve">substantially </w:t>
      </w:r>
      <w:r>
        <w:t xml:space="preserve">delayed or </w:t>
      </w:r>
      <w:r w:rsidR="00C62C4D">
        <w:t xml:space="preserve">otherwise </w:t>
      </w:r>
      <w:r w:rsidR="006712B8">
        <w:t xml:space="preserve">impractical. </w:t>
      </w:r>
      <w:r w:rsidR="00582DF2">
        <w:t xml:space="preserve"> </w:t>
      </w:r>
      <w:r w:rsidR="006712B8">
        <w:t xml:space="preserve">While the present state of the </w:t>
      </w:r>
      <w:r w:rsidR="00641AB1">
        <w:t xml:space="preserve">pandemic </w:t>
      </w:r>
      <w:r w:rsidR="006712B8">
        <w:t>may subside in due course, it is not possible to predict that with any confidence or certainty when that will occur:</w:t>
      </w:r>
      <w:r>
        <w:t xml:space="preserve"> see e.g. </w:t>
      </w:r>
      <w:r w:rsidRPr="00C7138C">
        <w:rPr>
          <w:i/>
        </w:rPr>
        <w:t xml:space="preserve">Australian Information Commission v Facebook </w:t>
      </w:r>
      <w:r>
        <w:t>at [</w:t>
      </w:r>
      <w:r w:rsidR="00641AB1">
        <w:t>75</w:t>
      </w:r>
      <w:r>
        <w:t xml:space="preserve">] (Thawley J). </w:t>
      </w:r>
      <w:r w:rsidR="00582DF2">
        <w:t xml:space="preserve"> </w:t>
      </w:r>
      <w:r>
        <w:t xml:space="preserve">To this end, Mr </w:t>
      </w:r>
      <w:proofErr w:type="spellStart"/>
      <w:r>
        <w:t>Stanarevic</w:t>
      </w:r>
      <w:proofErr w:type="spellEnd"/>
      <w:r>
        <w:t xml:space="preserve">, solicitor for the </w:t>
      </w:r>
      <w:r w:rsidR="004B22A1">
        <w:t>Prospective Applicant</w:t>
      </w:r>
      <w:r>
        <w:t>, attests to delays in international certified mail</w:t>
      </w:r>
      <w:r w:rsidR="003037FE">
        <w:t xml:space="preserve"> </w:t>
      </w:r>
      <w:r w:rsidR="008D7EA8">
        <w:t xml:space="preserve">in affidavits dated 22 June 2020 and 17 August 2020, </w:t>
      </w:r>
      <w:r w:rsidR="003037FE">
        <w:t>based on his experience in proceedings of a similar nature</w:t>
      </w:r>
      <w:r>
        <w:t xml:space="preserve">. </w:t>
      </w:r>
    </w:p>
    <w:p w:rsidR="00541E2E" w:rsidRDefault="00541E2E" w:rsidP="00641AB1">
      <w:pPr>
        <w:pStyle w:val="ParaNumbering"/>
      </w:pPr>
      <w:r>
        <w:t xml:space="preserve">Second, I am satisfied that the Respondent has a history of responding to similar requests </w:t>
      </w:r>
      <w:r w:rsidR="00641AB1">
        <w:t xml:space="preserve">for preliminary discovery </w:t>
      </w:r>
      <w:r>
        <w:t xml:space="preserve">at </w:t>
      </w:r>
      <w:hyperlink r:id="rId18" w:history="1">
        <w:r w:rsidR="00641AB1" w:rsidRPr="00410C4C">
          <w:rPr>
            <w:rStyle w:val="Hyperlink"/>
          </w:rPr>
          <w:t>internationalcivil@google.com</w:t>
        </w:r>
      </w:hyperlink>
      <w:r w:rsidR="00641AB1">
        <w:t xml:space="preserve"> </w:t>
      </w:r>
      <w:r>
        <w:t xml:space="preserve">and the </w:t>
      </w:r>
      <w:r w:rsidR="00641AB1">
        <w:t>o</w:t>
      </w:r>
      <w:r>
        <w:t xml:space="preserve">riginating </w:t>
      </w:r>
      <w:r w:rsidR="00641AB1">
        <w:t>a</w:t>
      </w:r>
      <w:r>
        <w:t xml:space="preserve">pplication and accompanying documents are likely to come to the Respondent’s attention. </w:t>
      </w:r>
      <w:r w:rsidR="00582DF2">
        <w:t xml:space="preserve"> </w:t>
      </w:r>
      <w:r w:rsidR="008D7EA8">
        <w:t>In fact, i</w:t>
      </w:r>
      <w:r>
        <w:t xml:space="preserve">t seems highly probable, if not certain, that the relevant and necessary people at Google will be made aware of the documents, </w:t>
      </w:r>
      <w:r w:rsidR="00C62C4D">
        <w:t xml:space="preserve">again for the reasons deposed in the affidavits of Mr </w:t>
      </w:r>
      <w:proofErr w:type="spellStart"/>
      <w:r w:rsidR="00C62C4D">
        <w:t>Stanarevic</w:t>
      </w:r>
      <w:proofErr w:type="spellEnd"/>
      <w:r w:rsidR="00C62C4D">
        <w:t xml:space="preserve"> referred to above</w:t>
      </w:r>
      <w:r>
        <w:t xml:space="preserve">. </w:t>
      </w:r>
    </w:p>
    <w:p w:rsidR="00541E2E" w:rsidRDefault="00541E2E" w:rsidP="00541E2E">
      <w:pPr>
        <w:pStyle w:val="ParaNumbering"/>
      </w:pPr>
      <w:r>
        <w:t xml:space="preserve">Third, notwithstanding the views expressed above, I have made service by email conditional upon the Respondent acknowledging it has received the email. </w:t>
      </w:r>
      <w:r w:rsidR="00641AB1">
        <w:t xml:space="preserve">This provides a further assurance that service will </w:t>
      </w:r>
      <w:r w:rsidR="008D7EA8">
        <w:t xml:space="preserve">be </w:t>
      </w:r>
      <w:r w:rsidR="00641AB1">
        <w:t xml:space="preserve">validly and properly effected. </w:t>
      </w:r>
    </w:p>
    <w:p w:rsidR="00880BA6" w:rsidRDefault="00880BA6" w:rsidP="00541E2E">
      <w:pPr>
        <w:pStyle w:val="ParaNumbering"/>
      </w:pPr>
      <w:r>
        <w:lastRenderedPageBreak/>
        <w:t>If there were to be any doubt about the position expressed above</w:t>
      </w:r>
      <w:r w:rsidR="00641AB1">
        <w:t xml:space="preserve"> as to the suitability of relying on substituted service</w:t>
      </w:r>
      <w:r>
        <w:t>, I would nevertheless be minded to exercise the d</w:t>
      </w:r>
      <w:r w:rsidR="00481D3E">
        <w:t>iscretion afforded to me by r</w:t>
      </w:r>
      <w:r>
        <w:t xml:space="preserve"> 1.34 </w:t>
      </w:r>
      <w:r w:rsidR="00481D3E">
        <w:t xml:space="preserve">of the Rules </w:t>
      </w:r>
      <w:r>
        <w:t xml:space="preserve">to dispense with requirements in </w:t>
      </w:r>
      <w:r w:rsidR="00481D3E">
        <w:t xml:space="preserve">r </w:t>
      </w:r>
      <w:r>
        <w:t>10.43 to otherwise permit service by email</w:t>
      </w:r>
      <w:r w:rsidR="00641AB1">
        <w:t>,</w:t>
      </w:r>
      <w:r>
        <w:t xml:space="preserve"> </w:t>
      </w:r>
      <w:r w:rsidR="00582DF2">
        <w:t>on the conditions I have describe</w:t>
      </w:r>
      <w:r w:rsidR="00641AB1">
        <w:t>d</w:t>
      </w:r>
      <w:r w:rsidR="00582DF2">
        <w:t xml:space="preserve"> above</w:t>
      </w:r>
      <w:r>
        <w:t>.</w:t>
      </w:r>
    </w:p>
    <w:p w:rsidR="009739C8" w:rsidRPr="009739C8" w:rsidRDefault="009739C8" w:rsidP="009739C8">
      <w:pPr>
        <w:pStyle w:val="Heading2"/>
      </w:pPr>
      <w:r w:rsidRPr="009739C8">
        <w:t>B.2</w:t>
      </w:r>
      <w:r w:rsidRPr="009739C8">
        <w:tab/>
        <w:t xml:space="preserve">Court’s jurisdiction in the proceedings </w:t>
      </w:r>
    </w:p>
    <w:p w:rsidR="009739C8" w:rsidRDefault="000F54B2" w:rsidP="009739C8">
      <w:pPr>
        <w:pStyle w:val="ParaNumbering"/>
      </w:pPr>
      <w:r>
        <w:t xml:space="preserve">It is uncontroversial that this Court has jurisdiction to hear an application for preliminary discovery </w:t>
      </w:r>
      <w:r w:rsidR="00D46809">
        <w:t xml:space="preserve">under r 7.22 of the Rules </w:t>
      </w:r>
      <w:r>
        <w:t xml:space="preserve">in a </w:t>
      </w:r>
      <w:r w:rsidR="00D46809">
        <w:t xml:space="preserve">proceeding relating to alleged defamation. </w:t>
      </w:r>
      <w:r w:rsidR="00582DF2">
        <w:t xml:space="preserve"> </w:t>
      </w:r>
      <w:r w:rsidR="00D46809">
        <w:t>The requireme</w:t>
      </w:r>
      <w:r w:rsidR="004B22A1">
        <w:t>nt in 10.43(4)(a) is satisfied.</w:t>
      </w:r>
    </w:p>
    <w:p w:rsidR="009739C8" w:rsidRPr="009739C8" w:rsidRDefault="009739C8" w:rsidP="009739C8">
      <w:pPr>
        <w:pStyle w:val="Heading2"/>
      </w:pPr>
      <w:r>
        <w:t xml:space="preserve">B.3 </w:t>
      </w:r>
      <w:r>
        <w:tab/>
      </w:r>
      <w:r w:rsidRPr="009739C8">
        <w:t>Proceeding of a kind mentioned in r 10.42</w:t>
      </w:r>
    </w:p>
    <w:p w:rsidR="00D46809" w:rsidRDefault="00D46809" w:rsidP="009739C8">
      <w:pPr>
        <w:pStyle w:val="ParaNumbering"/>
      </w:pPr>
      <w:r>
        <w:t xml:space="preserve">It is similarly apparent that the proceeding is of a kind mentioned in r 10.42, as it is proceeding based on a cause of action arising in Australia. </w:t>
      </w:r>
      <w:r w:rsidR="00582DF2">
        <w:t xml:space="preserve"> </w:t>
      </w:r>
      <w:r>
        <w:t>I have reached this conclusion because:</w:t>
      </w:r>
    </w:p>
    <w:p w:rsidR="00D46809" w:rsidRDefault="00D46809" w:rsidP="00C7138C">
      <w:pPr>
        <w:pStyle w:val="ListNo1alt"/>
        <w:numPr>
          <w:ilvl w:val="0"/>
          <w:numId w:val="26"/>
        </w:numPr>
      </w:pPr>
      <w:r>
        <w:t xml:space="preserve">the audience of the allegedly defamatory imputation </w:t>
      </w:r>
      <w:r w:rsidR="00641AB1">
        <w:t xml:space="preserve">is </w:t>
      </w:r>
      <w:r>
        <w:t>based in Australia;</w:t>
      </w:r>
    </w:p>
    <w:p w:rsidR="00D46809" w:rsidRDefault="00D46809" w:rsidP="00C7138C">
      <w:pPr>
        <w:pStyle w:val="ListNo1alt"/>
        <w:numPr>
          <w:ilvl w:val="0"/>
          <w:numId w:val="26"/>
        </w:numPr>
      </w:pPr>
      <w:r>
        <w:t xml:space="preserve">the </w:t>
      </w:r>
      <w:r w:rsidR="004B22A1">
        <w:t>Prospective Applicant</w:t>
      </w:r>
      <w:r>
        <w:t xml:space="preserve"> is an Australian resident and </w:t>
      </w:r>
      <w:r w:rsidR="00481D3E">
        <w:t xml:space="preserve">any </w:t>
      </w:r>
      <w:r>
        <w:t>loss of reputation would be suffered wholly or partly in Australia; and</w:t>
      </w:r>
    </w:p>
    <w:p w:rsidR="009739C8" w:rsidRDefault="00D46809" w:rsidP="00C7138C">
      <w:pPr>
        <w:pStyle w:val="ListNo1alt"/>
        <w:numPr>
          <w:ilvl w:val="0"/>
          <w:numId w:val="26"/>
        </w:numPr>
      </w:pPr>
      <w:r>
        <w:t xml:space="preserve">on the balance of probabilities, the google review was </w:t>
      </w:r>
      <w:r w:rsidR="00641AB1">
        <w:t xml:space="preserve">published </w:t>
      </w:r>
      <w:r>
        <w:t>by an Australian resident</w:t>
      </w:r>
      <w:r w:rsidR="00481D3E">
        <w:t>.  I draw</w:t>
      </w:r>
      <w:r>
        <w:t xml:space="preserve"> </w:t>
      </w:r>
      <w:r w:rsidR="00481D3E">
        <w:t xml:space="preserve">this inference because </w:t>
      </w:r>
      <w:r>
        <w:t>it refers to dealings which mus</w:t>
      </w:r>
      <w:r w:rsidR="00481D3E">
        <w:t>t have occurred in Australia</w:t>
      </w:r>
      <w:r>
        <w:t xml:space="preserve">. </w:t>
      </w:r>
    </w:p>
    <w:p w:rsidR="009739C8" w:rsidRPr="009739C8" w:rsidRDefault="009739C8" w:rsidP="00C7138C">
      <w:pPr>
        <w:pStyle w:val="Heading2"/>
      </w:pPr>
      <w:r>
        <w:t xml:space="preserve">B.4 </w:t>
      </w:r>
      <w:r>
        <w:tab/>
      </w:r>
      <w:r w:rsidR="00FA0677">
        <w:t>Prima f</w:t>
      </w:r>
      <w:r w:rsidRPr="009739C8">
        <w:t xml:space="preserve">acie case for relief </w:t>
      </w:r>
    </w:p>
    <w:p w:rsidR="00347215" w:rsidRDefault="00D46809" w:rsidP="009739C8">
      <w:pPr>
        <w:pStyle w:val="ParaNumbering"/>
      </w:pPr>
      <w:r>
        <w:t xml:space="preserve">I am also satisfied that there may be a prima facie case for </w:t>
      </w:r>
      <w:r w:rsidR="00347215">
        <w:t>preliminary discovery under r 7.22</w:t>
      </w:r>
      <w:r>
        <w:t xml:space="preserve">. </w:t>
      </w:r>
      <w:r w:rsidR="00582DF2">
        <w:t xml:space="preserve"> </w:t>
      </w:r>
      <w:r w:rsidR="00347215">
        <w:t xml:space="preserve">Rule 7.22(1) requires that to obtain an order, the </w:t>
      </w:r>
      <w:r w:rsidR="004B22A1">
        <w:t>Prospective Applicant</w:t>
      </w:r>
      <w:r w:rsidR="00347215">
        <w:t xml:space="preserve"> must satisfy the Court that: </w:t>
      </w:r>
    </w:p>
    <w:p w:rsidR="00347215" w:rsidRDefault="00347215" w:rsidP="004B22A1">
      <w:pPr>
        <w:pStyle w:val="ListNo1alt"/>
        <w:numPr>
          <w:ilvl w:val="0"/>
          <w:numId w:val="29"/>
        </w:numPr>
      </w:pPr>
      <w:r>
        <w:t xml:space="preserve">there may be a right for the </w:t>
      </w:r>
      <w:r w:rsidR="004B22A1">
        <w:t>Prospective Applicant</w:t>
      </w:r>
      <w:r>
        <w:t xml:space="preserve"> to obtain relief against the prospective respondent; </w:t>
      </w:r>
    </w:p>
    <w:p w:rsidR="00347215" w:rsidRDefault="004B22A1" w:rsidP="004B22A1">
      <w:pPr>
        <w:pStyle w:val="ListNo1alt"/>
        <w:numPr>
          <w:ilvl w:val="0"/>
          <w:numId w:val="29"/>
        </w:numPr>
      </w:pPr>
      <w:r>
        <w:t>the Prospective A</w:t>
      </w:r>
      <w:r w:rsidR="00347215">
        <w:t>pplicant is unable to ascertain the description of the prospective respondent, notwithstanding reasonable inquiries having been undertaken in the circumstances; and</w:t>
      </w:r>
    </w:p>
    <w:p w:rsidR="00347215" w:rsidRDefault="00347215" w:rsidP="004B22A1">
      <w:pPr>
        <w:pStyle w:val="ListNo1alt"/>
        <w:numPr>
          <w:ilvl w:val="0"/>
          <w:numId w:val="29"/>
        </w:numPr>
      </w:pPr>
      <w:r>
        <w:t>another person knows, or is likely to know, the description of the prospective respondent, or has, or is likely to have had, control of a document</w:t>
      </w:r>
      <w:r w:rsidR="00481D3E">
        <w:t xml:space="preserve"> or information</w:t>
      </w:r>
      <w:r>
        <w:t xml:space="preserve"> that would help ascertain that description: </w:t>
      </w:r>
      <w:r w:rsidRPr="004B22A1">
        <w:rPr>
          <w:i/>
        </w:rPr>
        <w:t xml:space="preserve">Hooper v </w:t>
      </w:r>
      <w:proofErr w:type="spellStart"/>
      <w:r w:rsidRPr="004B22A1">
        <w:rPr>
          <w:i/>
        </w:rPr>
        <w:t>Kirella</w:t>
      </w:r>
      <w:proofErr w:type="spellEnd"/>
      <w:r>
        <w:rPr>
          <w:i/>
        </w:rPr>
        <w:t xml:space="preserve"> Pty Ltd </w:t>
      </w:r>
      <w:r>
        <w:t xml:space="preserve">[1999] FCA 1584; (1999) 96 FCR 1 at [31]-[34].  </w:t>
      </w:r>
    </w:p>
    <w:p w:rsidR="009739C8" w:rsidRDefault="00641AB1" w:rsidP="00512748">
      <w:pPr>
        <w:pStyle w:val="ParaNumbering"/>
      </w:pPr>
      <w:r>
        <w:lastRenderedPageBreak/>
        <w:t>I</w:t>
      </w:r>
      <w:r w:rsidR="00D46809">
        <w:t xml:space="preserve">t is important </w:t>
      </w:r>
      <w:r w:rsidR="00C7138C">
        <w:t xml:space="preserve">to recognise </w:t>
      </w:r>
      <w:r w:rsidR="00D46809">
        <w:t xml:space="preserve">that the </w:t>
      </w:r>
      <w:r w:rsidR="00B802A5">
        <w:t xml:space="preserve">obligation on the </w:t>
      </w:r>
      <w:r w:rsidR="004B22A1">
        <w:t>Prospective Applicant</w:t>
      </w:r>
      <w:r w:rsidR="00B802A5">
        <w:t xml:space="preserve"> at this stage is not onerous</w:t>
      </w:r>
      <w:r w:rsidR="00C7138C">
        <w:t xml:space="preserve">. </w:t>
      </w:r>
      <w:r w:rsidR="00582DF2">
        <w:t xml:space="preserve"> </w:t>
      </w:r>
      <w:r w:rsidR="00D46809">
        <w:t xml:space="preserve">The </w:t>
      </w:r>
      <w:r w:rsidR="004B22A1">
        <w:t>Prospective Applicant</w:t>
      </w:r>
      <w:r w:rsidR="00D46809">
        <w:t xml:space="preserve"> only needs to show that </w:t>
      </w:r>
      <w:r w:rsidR="00B802A5">
        <w:t xml:space="preserve">he </w:t>
      </w:r>
      <w:r w:rsidR="00D46809">
        <w:rPr>
          <w:i/>
        </w:rPr>
        <w:t>may</w:t>
      </w:r>
      <w:r w:rsidR="00D46809">
        <w:t xml:space="preserve"> have a right to obtain relief</w:t>
      </w:r>
      <w:r w:rsidR="00B802A5">
        <w:t xml:space="preserve"> for the alleged defamatory imputations</w:t>
      </w:r>
      <w:r w:rsidR="00347215">
        <w:t>.</w:t>
      </w:r>
      <w:r w:rsidR="00B802A5">
        <w:t xml:space="preserve"> </w:t>
      </w:r>
      <w:r w:rsidR="00582DF2">
        <w:t xml:space="preserve"> </w:t>
      </w:r>
      <w:r w:rsidR="00347215">
        <w:t xml:space="preserve">This </w:t>
      </w:r>
      <w:r w:rsidR="00481D3E">
        <w:t xml:space="preserve">threshold is </w:t>
      </w:r>
      <w:r w:rsidR="00955783">
        <w:t xml:space="preserve">reached </w:t>
      </w:r>
      <w:r w:rsidR="00C7138C">
        <w:t xml:space="preserve">in the present circumstances, where the </w:t>
      </w:r>
      <w:r w:rsidR="00B802A5">
        <w:t xml:space="preserve">identified Google review </w:t>
      </w:r>
      <w:r w:rsidR="00C7138C">
        <w:t>allege</w:t>
      </w:r>
      <w:r w:rsidR="00B802A5">
        <w:t>s</w:t>
      </w:r>
      <w:r w:rsidR="00C12050">
        <w:t>, by implication,</w:t>
      </w:r>
      <w:r w:rsidR="00C7138C">
        <w:t xml:space="preserve"> that Mr </w:t>
      </w:r>
      <w:proofErr w:type="spellStart"/>
      <w:r w:rsidR="00C7138C">
        <w:t>Kukulka</w:t>
      </w:r>
      <w:proofErr w:type="spellEnd"/>
      <w:r w:rsidR="00C7138C">
        <w:t xml:space="preserve"> is negligent and unfit to be a Gold Dealer and Operations Manager. </w:t>
      </w:r>
      <w:r w:rsidR="00582DF2">
        <w:t xml:space="preserve"> </w:t>
      </w:r>
      <w:r w:rsidR="00C7138C">
        <w:t xml:space="preserve">While those aspersions are not cast against him personally, they can be attributed to him as a member of a limited class of persons involved with the Melbourne Gold Company and Brisbane Gold Company: </w:t>
      </w:r>
      <w:r w:rsidR="00C7138C" w:rsidRPr="004C29C6">
        <w:rPr>
          <w:i/>
        </w:rPr>
        <w:t>Taylor v Network Ten</w:t>
      </w:r>
      <w:r w:rsidR="00C7138C" w:rsidRPr="00512748">
        <w:rPr>
          <w:i/>
        </w:rPr>
        <w:t xml:space="preserve"> (Perth) Pty Ltd </w:t>
      </w:r>
      <w:r w:rsidR="00C7138C">
        <w:t xml:space="preserve">[1999] WASC 264 at </w:t>
      </w:r>
      <w:r w:rsidR="00C12050">
        <w:t xml:space="preserve">[10]-[12], </w:t>
      </w:r>
      <w:r w:rsidR="00C7138C">
        <w:t>[23]</w:t>
      </w:r>
      <w:r w:rsidR="00347215">
        <w:t xml:space="preserve"> (Stone J)</w:t>
      </w:r>
      <w:r w:rsidR="00C7138C">
        <w:t xml:space="preserve">. </w:t>
      </w:r>
    </w:p>
    <w:p w:rsidR="00282CA8" w:rsidRDefault="00282CA8" w:rsidP="00B802A5">
      <w:pPr>
        <w:pStyle w:val="ParaNumbering"/>
      </w:pPr>
      <w:r w:rsidRPr="008050EF">
        <w:t>I am also satisfied</w:t>
      </w:r>
      <w:r w:rsidR="001D0D84" w:rsidRPr="008050EF">
        <w:t xml:space="preserve">, based on the affidavit of Mr </w:t>
      </w:r>
      <w:proofErr w:type="spellStart"/>
      <w:r w:rsidR="001D0D84" w:rsidRPr="008050EF">
        <w:t>Stanarevic</w:t>
      </w:r>
      <w:proofErr w:type="spellEnd"/>
      <w:r w:rsidR="001D0D84" w:rsidRPr="008050EF">
        <w:t xml:space="preserve"> dated 22 June 2020,</w:t>
      </w:r>
      <w:r w:rsidRPr="008050EF">
        <w:t xml:space="preserve"> that Mr </w:t>
      </w:r>
      <w:proofErr w:type="spellStart"/>
      <w:r w:rsidRPr="008050EF">
        <w:t>Kukulka</w:t>
      </w:r>
      <w:proofErr w:type="spellEnd"/>
      <w:r w:rsidRPr="008050EF">
        <w:t xml:space="preserve"> has made reasonable inquiries with Google and taken other appropriate steps to identify the prospective respondent or respondents, but has been unable to ascertain that description. </w:t>
      </w:r>
      <w:r w:rsidR="00582DF2">
        <w:t xml:space="preserve"> </w:t>
      </w:r>
      <w:r w:rsidRPr="008050EF">
        <w:t>Those inquiries need not be exhaustive</w:t>
      </w:r>
      <w:r w:rsidR="00347215">
        <w:t xml:space="preserve"> and I am comfortable that Mr </w:t>
      </w:r>
      <w:proofErr w:type="spellStart"/>
      <w:r w:rsidR="00347215">
        <w:t>Kukulka</w:t>
      </w:r>
      <w:proofErr w:type="spellEnd"/>
      <w:r w:rsidR="00347215">
        <w:t xml:space="preserve"> has made reasonable attempts to have Google remove the review or identify the reviewer: </w:t>
      </w:r>
      <w:r w:rsidR="0067589C">
        <w:t xml:space="preserve">see also </w:t>
      </w:r>
      <w:proofErr w:type="spellStart"/>
      <w:r w:rsidR="00C12050">
        <w:rPr>
          <w:i/>
        </w:rPr>
        <w:t>Kabbabe</w:t>
      </w:r>
      <w:proofErr w:type="spellEnd"/>
      <w:r w:rsidR="00347215" w:rsidRPr="002030DF">
        <w:rPr>
          <w:i/>
        </w:rPr>
        <w:t xml:space="preserve"> </w:t>
      </w:r>
      <w:r w:rsidR="00347215">
        <w:t>at [1</w:t>
      </w:r>
      <w:r w:rsidR="00C12050">
        <w:t>7</w:t>
      </w:r>
      <w:r w:rsidR="00347215">
        <w:t>] (</w:t>
      </w:r>
      <w:r w:rsidR="00C12050">
        <w:t>Murphy J</w:t>
      </w:r>
      <w:r w:rsidR="00347215">
        <w:t xml:space="preserve">). </w:t>
      </w:r>
      <w:r w:rsidR="001D0D84" w:rsidRPr="008050EF">
        <w:t xml:space="preserve"> </w:t>
      </w:r>
    </w:p>
    <w:p w:rsidR="00347215" w:rsidRDefault="00347215" w:rsidP="00347215">
      <w:pPr>
        <w:pStyle w:val="ParaNumbering"/>
      </w:pPr>
      <w:r>
        <w:t xml:space="preserve">Further, I consider it likely that Google has, or have had, control of a document or thing that would assist the </w:t>
      </w:r>
      <w:r w:rsidR="004B22A1">
        <w:t>Prospective Applicant</w:t>
      </w:r>
      <w:r>
        <w:t xml:space="preserve"> to ascertain the description of the prospective respondent, which may include:</w:t>
      </w:r>
    </w:p>
    <w:p w:rsidR="00347215" w:rsidRDefault="00347215" w:rsidP="00347215">
      <w:pPr>
        <w:pStyle w:val="ListNo1alt"/>
        <w:numPr>
          <w:ilvl w:val="0"/>
          <w:numId w:val="28"/>
        </w:numPr>
      </w:pPr>
      <w:r>
        <w:t>the subscriber information for an anonymous account under the name ‘Nick Wood’;</w:t>
      </w:r>
    </w:p>
    <w:p w:rsidR="00347215" w:rsidRDefault="00347215" w:rsidP="00347215">
      <w:pPr>
        <w:pStyle w:val="ListNo1alt"/>
        <w:numPr>
          <w:ilvl w:val="0"/>
          <w:numId w:val="28"/>
        </w:numPr>
      </w:pPr>
      <w:r>
        <w:t xml:space="preserve">the name of the users of that account; </w:t>
      </w:r>
    </w:p>
    <w:p w:rsidR="00347215" w:rsidRDefault="00347215" w:rsidP="00347215">
      <w:pPr>
        <w:pStyle w:val="ListNo1alt"/>
        <w:numPr>
          <w:ilvl w:val="0"/>
          <w:numId w:val="28"/>
        </w:numPr>
      </w:pPr>
      <w:r>
        <w:t xml:space="preserve">the IP address or addresses and associated information relating to that account; </w:t>
      </w:r>
    </w:p>
    <w:p w:rsidR="00347215" w:rsidRDefault="00347215" w:rsidP="00347215">
      <w:pPr>
        <w:pStyle w:val="ListNo1alt"/>
        <w:numPr>
          <w:ilvl w:val="0"/>
          <w:numId w:val="28"/>
        </w:numPr>
      </w:pPr>
      <w:r>
        <w:t xml:space="preserve">any phone numbers associated with that account; </w:t>
      </w:r>
    </w:p>
    <w:p w:rsidR="00347215" w:rsidRDefault="00347215" w:rsidP="00347215">
      <w:pPr>
        <w:pStyle w:val="ListNo1alt"/>
        <w:numPr>
          <w:ilvl w:val="0"/>
          <w:numId w:val="28"/>
        </w:numPr>
      </w:pPr>
      <w:r>
        <w:t xml:space="preserve">any location metadata associated with that account; and </w:t>
      </w:r>
    </w:p>
    <w:p w:rsidR="00347215" w:rsidRPr="008050EF" w:rsidRDefault="00347215" w:rsidP="004B22A1">
      <w:pPr>
        <w:pStyle w:val="ListNo1alt"/>
        <w:numPr>
          <w:ilvl w:val="0"/>
          <w:numId w:val="28"/>
        </w:numPr>
      </w:pPr>
      <w:r>
        <w:t xml:space="preserve">any other Google accounts including their full name and email address and identifying details which may have originated from the same IP address during a similar time period to when the account was accessed to post the </w:t>
      </w:r>
      <w:r w:rsidR="0067589C">
        <w:t xml:space="preserve">relevant </w:t>
      </w:r>
      <w:r>
        <w:t>Google review</w:t>
      </w:r>
      <w:r w:rsidR="00844B87">
        <w:t xml:space="preserve">: </w:t>
      </w:r>
      <w:r w:rsidR="0067589C">
        <w:t xml:space="preserve">see also </w:t>
      </w:r>
      <w:proofErr w:type="spellStart"/>
      <w:r w:rsidR="00844B87">
        <w:rPr>
          <w:i/>
        </w:rPr>
        <w:t>Kabbabe</w:t>
      </w:r>
      <w:proofErr w:type="spellEnd"/>
      <w:r w:rsidR="00844B87" w:rsidRPr="002030DF">
        <w:rPr>
          <w:i/>
        </w:rPr>
        <w:t xml:space="preserve"> </w:t>
      </w:r>
      <w:r w:rsidR="00844B87">
        <w:t xml:space="preserve">at [18] (Murphy J). </w:t>
      </w:r>
      <w:r w:rsidR="00844B87" w:rsidRPr="008050EF">
        <w:t xml:space="preserve"> </w:t>
      </w:r>
    </w:p>
    <w:p w:rsidR="001D0D84" w:rsidRDefault="001D0D84" w:rsidP="001D0D84">
      <w:pPr>
        <w:pStyle w:val="Heading2"/>
      </w:pPr>
      <w:r>
        <w:t xml:space="preserve">B.5 </w:t>
      </w:r>
      <w:r>
        <w:tab/>
        <w:t xml:space="preserve">Residual discretion </w:t>
      </w:r>
    </w:p>
    <w:p w:rsidR="004026E1" w:rsidRDefault="008A4C08" w:rsidP="004026E1">
      <w:pPr>
        <w:pStyle w:val="ParaNumbering"/>
      </w:pPr>
      <w:r>
        <w:t xml:space="preserve">I note for completeness that </w:t>
      </w:r>
      <w:r w:rsidR="000C090E">
        <w:t>t</w:t>
      </w:r>
      <w:r w:rsidR="004026E1">
        <w:t xml:space="preserve">he Court retains a residual discretion to refuse relief even where the requirements for service outside Australia are satisfied: </w:t>
      </w:r>
      <w:r w:rsidR="004026E1" w:rsidRPr="004026E1">
        <w:rPr>
          <w:i/>
        </w:rPr>
        <w:t xml:space="preserve">Humane Society International </w:t>
      </w:r>
      <w:proofErr w:type="spellStart"/>
      <w:r w:rsidR="004026E1" w:rsidRPr="004026E1">
        <w:rPr>
          <w:i/>
        </w:rPr>
        <w:t>Inc</w:t>
      </w:r>
      <w:proofErr w:type="spellEnd"/>
      <w:r w:rsidR="004026E1" w:rsidRPr="004026E1">
        <w:rPr>
          <w:i/>
        </w:rPr>
        <w:t xml:space="preserve"> v Kyodo </w:t>
      </w:r>
      <w:proofErr w:type="spellStart"/>
      <w:r w:rsidR="004026E1" w:rsidRPr="004026E1">
        <w:rPr>
          <w:i/>
        </w:rPr>
        <w:t>Senpaku</w:t>
      </w:r>
      <w:proofErr w:type="spellEnd"/>
      <w:r w:rsidR="004026E1" w:rsidRPr="004026E1">
        <w:rPr>
          <w:i/>
        </w:rPr>
        <w:t xml:space="preserve"> Kaisha Ltd</w:t>
      </w:r>
      <w:r w:rsidR="004026E1">
        <w:t xml:space="preserve"> (2006) 154 FCR 425 at [3] (Black CJ and Finkelstein J) cited in </w:t>
      </w:r>
      <w:r w:rsidR="004026E1" w:rsidRPr="004026E1">
        <w:rPr>
          <w:i/>
        </w:rPr>
        <w:t xml:space="preserve">Australian Information Commission v Facebook </w:t>
      </w:r>
      <w:r w:rsidR="004026E1">
        <w:t xml:space="preserve">at [58] (Thawley J). </w:t>
      </w:r>
      <w:r w:rsidR="00582DF2">
        <w:t xml:space="preserve"> </w:t>
      </w:r>
      <w:r>
        <w:t xml:space="preserve">However, I do not </w:t>
      </w:r>
      <w:r>
        <w:lastRenderedPageBreak/>
        <w:t xml:space="preserve">consider that the present circumstances give rise to any basis to refuse </w:t>
      </w:r>
      <w:r w:rsidR="00844B87">
        <w:t xml:space="preserve">leave </w:t>
      </w:r>
      <w:r>
        <w:t xml:space="preserve">on discretionary grounds. </w:t>
      </w:r>
    </w:p>
    <w:p w:rsidR="006712B8" w:rsidRDefault="00B26D0F" w:rsidP="006712B8">
      <w:pPr>
        <w:pStyle w:val="Heading1"/>
      </w:pPr>
      <w:r>
        <w:t>C</w:t>
      </w:r>
      <w:r>
        <w:tab/>
      </w:r>
      <w:r w:rsidR="006712B8">
        <w:t xml:space="preserve">conclusion </w:t>
      </w:r>
    </w:p>
    <w:p w:rsidR="00516D05" w:rsidRPr="004026E1" w:rsidRDefault="00516D05" w:rsidP="00A13F82">
      <w:pPr>
        <w:pStyle w:val="ParaNumbering"/>
      </w:pPr>
      <w:r>
        <w:t xml:space="preserve">Accordingly, I have made orders for the </w:t>
      </w:r>
      <w:r w:rsidR="004B22A1">
        <w:t>Prospective Applicant</w:t>
      </w:r>
      <w:r w:rsidR="00A13F82">
        <w:t xml:space="preserve"> </w:t>
      </w:r>
      <w:r>
        <w:t xml:space="preserve">to </w:t>
      </w:r>
      <w:r w:rsidR="00A13F82">
        <w:t>serve the</w:t>
      </w:r>
      <w:r w:rsidR="003C1FDA">
        <w:t xml:space="preserve"> originating application and accompanying documents on the</w:t>
      </w:r>
      <w:r w:rsidR="00A13F82">
        <w:t xml:space="preserve"> Respondent by email at </w:t>
      </w:r>
      <w:hyperlink r:id="rId19" w:history="1">
        <w:r w:rsidR="00A13F82" w:rsidRPr="00F67476">
          <w:rPr>
            <w:rStyle w:val="Hyperlink"/>
          </w:rPr>
          <w:t>internationalcivil@google.com</w:t>
        </w:r>
      </w:hyperlink>
      <w:r w:rsidR="00A13F82">
        <w:t xml:space="preserve">, conditional on an acknowledgement of receipt being provided. </w:t>
      </w:r>
    </w:p>
    <w:p w:rsidR="004026E1" w:rsidRDefault="004026E1" w:rsidP="00815065">
      <w:pPr>
        <w:pStyle w:val="BodyText"/>
      </w:pPr>
    </w:p>
    <w:tbl>
      <w:tblPr>
        <w:tblW w:w="0" w:type="auto"/>
        <w:tblLook w:val="04A0" w:firstRow="1" w:lastRow="0" w:firstColumn="1" w:lastColumn="0" w:noHBand="0" w:noVBand="1"/>
      </w:tblPr>
      <w:tblGrid>
        <w:gridCol w:w="3794"/>
      </w:tblGrid>
      <w:tr w:rsidR="00394EB7" w:rsidRPr="00394EB7">
        <w:tc>
          <w:tcPr>
            <w:tcW w:w="3794" w:type="dxa"/>
            <w:shd w:val="clear" w:color="auto" w:fill="auto"/>
          </w:tcPr>
          <w:p w:rsidR="00394EB7" w:rsidRPr="00394EB7" w:rsidRDefault="00394EB7" w:rsidP="00394EB7">
            <w:pPr>
              <w:pStyle w:val="Normal1linespace"/>
            </w:pPr>
            <w:r w:rsidRPr="00394EB7">
              <w:t xml:space="preserve">I certify that the preceding </w:t>
            </w:r>
            <w:bookmarkStart w:id="24" w:name="NumberWord"/>
            <w:r w:rsidR="002A0865">
              <w:t>twenty-six</w:t>
            </w:r>
            <w:bookmarkEnd w:id="24"/>
            <w:r w:rsidRPr="00394EB7">
              <w:t xml:space="preserve"> (</w:t>
            </w:r>
            <w:bookmarkStart w:id="25" w:name="NumberNumeral"/>
            <w:r w:rsidR="002A0865">
              <w:t>26</w:t>
            </w:r>
            <w:bookmarkEnd w:id="25"/>
            <w:r w:rsidRPr="00394EB7">
              <w:t xml:space="preserve">) numbered </w:t>
            </w:r>
            <w:bookmarkStart w:id="26" w:name="CertPara"/>
            <w:r w:rsidR="002A0865">
              <w:t>paragraphs are</w:t>
            </w:r>
            <w:bookmarkEnd w:id="26"/>
            <w:r w:rsidRPr="00394EB7">
              <w:t xml:space="preserve"> a true copy of the Reasons for Judgment of </w:t>
            </w:r>
            <w:bookmarkStart w:id="27" w:name="bkHonourable"/>
            <w:r w:rsidRPr="00394EB7">
              <w:t xml:space="preserve">the Honourable </w:t>
            </w:r>
            <w:bookmarkStart w:id="28" w:name="Justice"/>
            <w:bookmarkEnd w:id="27"/>
            <w:r w:rsidR="002A0865">
              <w:t>Justice Anastassiou</w:t>
            </w:r>
            <w:bookmarkEnd w:id="28"/>
            <w:r w:rsidRPr="00394EB7">
              <w:t>.</w:t>
            </w:r>
          </w:p>
        </w:tc>
      </w:tr>
    </w:tbl>
    <w:p w:rsidR="00516D05" w:rsidRDefault="00516D05" w:rsidP="00815065">
      <w:pPr>
        <w:pStyle w:val="BodyText"/>
      </w:pPr>
    </w:p>
    <w:p w:rsidR="000F63BD" w:rsidRDefault="000F63BD" w:rsidP="00815065">
      <w:pPr>
        <w:pStyle w:val="BodyText"/>
      </w:pPr>
      <w:bookmarkStart w:id="29" w:name="_GoBack"/>
      <w:bookmarkEnd w:id="29"/>
    </w:p>
    <w:p w:rsidR="00394EB7" w:rsidRDefault="00394EB7" w:rsidP="00815065">
      <w:pPr>
        <w:pStyle w:val="BodyText"/>
      </w:pPr>
      <w:r>
        <w:t>Associate:</w:t>
      </w:r>
    </w:p>
    <w:p w:rsidR="000F63BD" w:rsidRDefault="000F63BD" w:rsidP="00815065">
      <w:pPr>
        <w:pStyle w:val="BodyText"/>
      </w:pPr>
    </w:p>
    <w:p w:rsidR="00394EB7" w:rsidRDefault="00394EB7" w:rsidP="00516D05">
      <w:pPr>
        <w:pStyle w:val="BodyText"/>
        <w:tabs>
          <w:tab w:val="left" w:pos="1134"/>
        </w:tabs>
      </w:pPr>
      <w:r>
        <w:t>Dated:</w:t>
      </w:r>
      <w:r>
        <w:tab/>
      </w:r>
      <w:bookmarkStart w:id="30" w:name="CertifyDated"/>
      <w:r w:rsidR="002A0865">
        <w:t>25 August 2020</w:t>
      </w:r>
      <w:bookmarkEnd w:id="30"/>
    </w:p>
    <w:bookmarkEnd w:id="23"/>
    <w:p w:rsidR="0051434F" w:rsidRDefault="0051434F" w:rsidP="00394EB7">
      <w:pPr>
        <w:pStyle w:val="BodyText"/>
      </w:pPr>
    </w:p>
    <w:sectPr w:rsidR="0051434F"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7A" w:rsidRDefault="006C5D7A">
      <w:pPr>
        <w:spacing w:line="20" w:lineRule="exact"/>
      </w:pPr>
    </w:p>
    <w:p w:rsidR="006C5D7A" w:rsidRDefault="006C5D7A"/>
    <w:p w:rsidR="006C5D7A" w:rsidRDefault="006C5D7A"/>
  </w:endnote>
  <w:endnote w:type="continuationSeparator" w:id="0">
    <w:p w:rsidR="006C5D7A" w:rsidRDefault="006C5D7A">
      <w:r>
        <w:t xml:space="preserve"> </w:t>
      </w:r>
    </w:p>
    <w:p w:rsidR="006C5D7A" w:rsidRDefault="006C5D7A"/>
    <w:p w:rsidR="006C5D7A" w:rsidRDefault="006C5D7A"/>
  </w:endnote>
  <w:endnote w:type="continuationNotice" w:id="1">
    <w:p w:rsidR="006C5D7A" w:rsidRDefault="006C5D7A">
      <w:r>
        <w:t xml:space="preserve"> </w:t>
      </w:r>
    </w:p>
    <w:p w:rsidR="006C5D7A" w:rsidRDefault="006C5D7A"/>
    <w:p w:rsidR="006C5D7A" w:rsidRDefault="006C5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3C" w:rsidRDefault="0078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156E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D1E9B3232084D51A124BCCD46F5B27F"/>
        </w:placeholder>
        <w:dataBinding w:prefixMappings="xmlns:ns0='http://schemas.globalmacros.com/FCA'" w:xpath="/ns0:root[1]/ns0:Name[1]" w:storeItemID="{687E7CCB-4AA5-44E7-B148-17BA2B6F57C0}"/>
        <w:text w:multiLine="1"/>
      </w:sdtPr>
      <w:sdtEndPr/>
      <w:sdtContent>
        <w:r w:rsidR="003037FE">
          <w:rPr>
            <w:bCs/>
            <w:sz w:val="18"/>
            <w:szCs w:val="18"/>
          </w:rPr>
          <w:t xml:space="preserve"> </w:t>
        </w:r>
        <w:proofErr w:type="spellStart"/>
        <w:r w:rsidR="003037FE">
          <w:rPr>
            <w:bCs/>
            <w:sz w:val="18"/>
            <w:szCs w:val="18"/>
          </w:rPr>
          <w:t>Kukulka</w:t>
        </w:r>
        <w:proofErr w:type="spellEnd"/>
        <w:r w:rsidR="003037FE">
          <w:rPr>
            <w:bCs/>
            <w:sz w:val="18"/>
            <w:szCs w:val="18"/>
          </w:rPr>
          <w:t xml:space="preserve"> v Google LLC [2020] FCA 1229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2037B">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BAD2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3FA2E2A373B4EABA84A5A1573DE8CAC"/>
        </w:placeholder>
        <w:dataBinding w:prefixMappings="xmlns:ns0='http://schemas.globalmacros.com/FCA'" w:xpath="/ns0:root[1]/ns0:Name[1]" w:storeItemID="{687E7CCB-4AA5-44E7-B148-17BA2B6F57C0}"/>
        <w:text w:multiLine="1"/>
      </w:sdtPr>
      <w:sdtEndPr/>
      <w:sdtContent>
        <w:r w:rsidR="003037FE">
          <w:rPr>
            <w:bCs/>
            <w:sz w:val="18"/>
            <w:szCs w:val="18"/>
          </w:rPr>
          <w:t xml:space="preserve"> </w:t>
        </w:r>
        <w:proofErr w:type="spellStart"/>
        <w:r w:rsidR="003037FE">
          <w:rPr>
            <w:bCs/>
            <w:sz w:val="18"/>
            <w:szCs w:val="18"/>
          </w:rPr>
          <w:t>Kukulka</w:t>
        </w:r>
        <w:proofErr w:type="spellEnd"/>
        <w:r w:rsidR="003037FE">
          <w:rPr>
            <w:bCs/>
            <w:sz w:val="18"/>
            <w:szCs w:val="18"/>
          </w:rPr>
          <w:t xml:space="preserve"> v Google LLC [2020] FCA 1229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12F0">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302E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246D6B2537D4535AECCED6749CE2737"/>
        </w:placeholder>
        <w:dataBinding w:prefixMappings="xmlns:ns0='http://schemas.globalmacros.com/FCA'" w:xpath="/ns0:root[1]/ns0:Name[1]" w:storeItemID="{687E7CCB-4AA5-44E7-B148-17BA2B6F57C0}"/>
        <w:text w:multiLine="1"/>
      </w:sdtPr>
      <w:sdtEndPr/>
      <w:sdtContent>
        <w:r w:rsidR="003037FE">
          <w:rPr>
            <w:bCs/>
            <w:sz w:val="18"/>
            <w:szCs w:val="18"/>
          </w:rPr>
          <w:t xml:space="preserve"> </w:t>
        </w:r>
        <w:proofErr w:type="spellStart"/>
        <w:r w:rsidR="003037FE">
          <w:rPr>
            <w:bCs/>
            <w:sz w:val="18"/>
            <w:szCs w:val="18"/>
          </w:rPr>
          <w:t>Kukulka</w:t>
        </w:r>
        <w:proofErr w:type="spellEnd"/>
        <w:r w:rsidR="003037FE">
          <w:rPr>
            <w:bCs/>
            <w:sz w:val="18"/>
            <w:szCs w:val="18"/>
          </w:rPr>
          <w:t xml:space="preserve"> v Google LLC [2020] FCA 1229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12F0">
      <w:rPr>
        <w:bCs/>
        <w:noProof/>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E09E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03CCA3CFF2B45EB99DEAD4B0E5C5391"/>
        </w:placeholder>
        <w:dataBinding w:prefixMappings="xmlns:ns0='http://schemas.globalmacros.com/FCA'" w:xpath="/ns0:root[1]/ns0:Name[1]" w:storeItemID="{687E7CCB-4AA5-44E7-B148-17BA2B6F57C0}"/>
        <w:text w:multiLine="1"/>
      </w:sdtPr>
      <w:sdtEndPr/>
      <w:sdtContent>
        <w:r w:rsidR="003037FE">
          <w:rPr>
            <w:bCs/>
            <w:sz w:val="18"/>
            <w:szCs w:val="18"/>
          </w:rPr>
          <w:t xml:space="preserve"> </w:t>
        </w:r>
        <w:proofErr w:type="spellStart"/>
        <w:r w:rsidR="003037FE">
          <w:rPr>
            <w:bCs/>
            <w:sz w:val="18"/>
            <w:szCs w:val="18"/>
          </w:rPr>
          <w:t>Kukulka</w:t>
        </w:r>
        <w:proofErr w:type="spellEnd"/>
        <w:r w:rsidR="003037FE">
          <w:rPr>
            <w:bCs/>
            <w:sz w:val="18"/>
            <w:szCs w:val="18"/>
          </w:rPr>
          <w:t xml:space="preserve"> v Google LLC [2020] FCA 1229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12F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7A" w:rsidRDefault="006C5D7A"/>
    <w:p w:rsidR="006C5D7A" w:rsidRDefault="006C5D7A"/>
    <w:p w:rsidR="006C5D7A" w:rsidRDefault="006C5D7A"/>
  </w:footnote>
  <w:footnote w:type="continuationSeparator" w:id="0">
    <w:p w:rsidR="006C5D7A" w:rsidRDefault="006C5D7A">
      <w:r>
        <w:continuationSeparator/>
      </w:r>
    </w:p>
    <w:p w:rsidR="006C5D7A" w:rsidRDefault="006C5D7A"/>
    <w:p w:rsidR="006C5D7A" w:rsidRDefault="006C5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3C" w:rsidRDefault="00784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ICHAEL KUKULKA"/>
    <w:docVar w:name="CounselParties" w:val="Applic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419 of 2020"/>
    <w:docVar w:name="grpRadioJudges" w:val="Justice"/>
    <w:docVar w:name="Initiators" w:val="(and another named in the Schedule)"/>
    <w:docVar w:name="Judgdate" w:val="14 August 2020"/>
    <w:docVar w:name="Judge" w:val="Anastassiou"/>
    <w:docVar w:name="lstEntryList" w:val="-1"/>
    <w:docVar w:name="myEntryList" w:val="Solicitor for the Applicant=Mr Mark Stanarevic of Matrix Legal"/>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Other Federal Jurisdiction"/>
    <w:docVar w:name="RadioJudge" w:val="False"/>
    <w:docVar w:name="RadioJustice" w:val="True"/>
    <w:docVar w:name="RadioJustices" w:val="False"/>
    <w:docVar w:name="RESAndAnother" w:val="True"/>
    <w:docVar w:name="RESAndOthers" w:val="False"/>
    <w:docVar w:name="Respondent" w:val="Google LLC"/>
    <w:docVar w:name="ResState" w:val="Victoria"/>
    <w:docVar w:name="SubArea" w:val="[none]"/>
  </w:docVars>
  <w:rsids>
    <w:rsidRoot w:val="00394EB7"/>
    <w:rsid w:val="00000747"/>
    <w:rsid w:val="000115C5"/>
    <w:rsid w:val="0001469E"/>
    <w:rsid w:val="00015206"/>
    <w:rsid w:val="00015993"/>
    <w:rsid w:val="00021CCB"/>
    <w:rsid w:val="00022289"/>
    <w:rsid w:val="0002672F"/>
    <w:rsid w:val="000271EB"/>
    <w:rsid w:val="00027398"/>
    <w:rsid w:val="0003201A"/>
    <w:rsid w:val="0003207A"/>
    <w:rsid w:val="00032F9F"/>
    <w:rsid w:val="0003678D"/>
    <w:rsid w:val="00041C07"/>
    <w:rsid w:val="00043B81"/>
    <w:rsid w:val="00045BB7"/>
    <w:rsid w:val="00055719"/>
    <w:rsid w:val="0005641B"/>
    <w:rsid w:val="0006196A"/>
    <w:rsid w:val="00063FCA"/>
    <w:rsid w:val="0006753B"/>
    <w:rsid w:val="00081497"/>
    <w:rsid w:val="00085255"/>
    <w:rsid w:val="000A18FD"/>
    <w:rsid w:val="000A2E76"/>
    <w:rsid w:val="000A4807"/>
    <w:rsid w:val="000A4BE4"/>
    <w:rsid w:val="000C023E"/>
    <w:rsid w:val="000C090E"/>
    <w:rsid w:val="000C5195"/>
    <w:rsid w:val="000C62EF"/>
    <w:rsid w:val="000D2137"/>
    <w:rsid w:val="000D3FD2"/>
    <w:rsid w:val="000D4B2E"/>
    <w:rsid w:val="000E3FC8"/>
    <w:rsid w:val="000E7BAE"/>
    <w:rsid w:val="000F133D"/>
    <w:rsid w:val="000F54B2"/>
    <w:rsid w:val="000F63BD"/>
    <w:rsid w:val="001049F5"/>
    <w:rsid w:val="0010536B"/>
    <w:rsid w:val="0011145C"/>
    <w:rsid w:val="001128BD"/>
    <w:rsid w:val="0011419D"/>
    <w:rsid w:val="00114B02"/>
    <w:rsid w:val="001226C0"/>
    <w:rsid w:val="00126EC8"/>
    <w:rsid w:val="0012731C"/>
    <w:rsid w:val="00132054"/>
    <w:rsid w:val="00134964"/>
    <w:rsid w:val="001351B9"/>
    <w:rsid w:val="001426F6"/>
    <w:rsid w:val="001452F1"/>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37CA"/>
    <w:rsid w:val="001C4085"/>
    <w:rsid w:val="001D0D84"/>
    <w:rsid w:val="001D4303"/>
    <w:rsid w:val="001D4736"/>
    <w:rsid w:val="001D6746"/>
    <w:rsid w:val="001E0822"/>
    <w:rsid w:val="001E3B49"/>
    <w:rsid w:val="001E4A05"/>
    <w:rsid w:val="001E7388"/>
    <w:rsid w:val="001F13DD"/>
    <w:rsid w:val="001F2473"/>
    <w:rsid w:val="001F2DBC"/>
    <w:rsid w:val="001F73E8"/>
    <w:rsid w:val="0020262C"/>
    <w:rsid w:val="00211A3E"/>
    <w:rsid w:val="00215BCA"/>
    <w:rsid w:val="00217AC4"/>
    <w:rsid w:val="00221461"/>
    <w:rsid w:val="00224537"/>
    <w:rsid w:val="00235956"/>
    <w:rsid w:val="00242E34"/>
    <w:rsid w:val="00243E5E"/>
    <w:rsid w:val="00247C9A"/>
    <w:rsid w:val="0025160C"/>
    <w:rsid w:val="002535D0"/>
    <w:rsid w:val="002539B3"/>
    <w:rsid w:val="00254A23"/>
    <w:rsid w:val="00256336"/>
    <w:rsid w:val="00257C3E"/>
    <w:rsid w:val="002602C2"/>
    <w:rsid w:val="002666C9"/>
    <w:rsid w:val="00270136"/>
    <w:rsid w:val="00270FD7"/>
    <w:rsid w:val="002712F0"/>
    <w:rsid w:val="00274F5B"/>
    <w:rsid w:val="00280836"/>
    <w:rsid w:val="00282CA8"/>
    <w:rsid w:val="00282E1A"/>
    <w:rsid w:val="002840F1"/>
    <w:rsid w:val="00285887"/>
    <w:rsid w:val="0029113B"/>
    <w:rsid w:val="002934C0"/>
    <w:rsid w:val="00294B0B"/>
    <w:rsid w:val="0029764C"/>
    <w:rsid w:val="002A0865"/>
    <w:rsid w:val="002A1B50"/>
    <w:rsid w:val="002B0269"/>
    <w:rsid w:val="002B0E91"/>
    <w:rsid w:val="002B132C"/>
    <w:rsid w:val="002B3F23"/>
    <w:rsid w:val="002B4EB5"/>
    <w:rsid w:val="002B6779"/>
    <w:rsid w:val="002B71C0"/>
    <w:rsid w:val="002B7A34"/>
    <w:rsid w:val="002C31AD"/>
    <w:rsid w:val="002C7385"/>
    <w:rsid w:val="002D2DBB"/>
    <w:rsid w:val="002D37D8"/>
    <w:rsid w:val="002D54A6"/>
    <w:rsid w:val="002E5BF9"/>
    <w:rsid w:val="002E6A7A"/>
    <w:rsid w:val="002F1E49"/>
    <w:rsid w:val="002F4E9C"/>
    <w:rsid w:val="00302F4E"/>
    <w:rsid w:val="003037FE"/>
    <w:rsid w:val="0031256C"/>
    <w:rsid w:val="00314D6C"/>
    <w:rsid w:val="00316D2A"/>
    <w:rsid w:val="00322A7C"/>
    <w:rsid w:val="00322EEC"/>
    <w:rsid w:val="00323061"/>
    <w:rsid w:val="00323516"/>
    <w:rsid w:val="003402D3"/>
    <w:rsid w:val="00340390"/>
    <w:rsid w:val="00343ABC"/>
    <w:rsid w:val="003463FE"/>
    <w:rsid w:val="00347215"/>
    <w:rsid w:val="00347D41"/>
    <w:rsid w:val="003554B3"/>
    <w:rsid w:val="00356632"/>
    <w:rsid w:val="00357C7E"/>
    <w:rsid w:val="0036464C"/>
    <w:rsid w:val="003653B6"/>
    <w:rsid w:val="00374CC4"/>
    <w:rsid w:val="003774B2"/>
    <w:rsid w:val="00380F2D"/>
    <w:rsid w:val="003845A9"/>
    <w:rsid w:val="003850C9"/>
    <w:rsid w:val="00390883"/>
    <w:rsid w:val="003922F8"/>
    <w:rsid w:val="00394EB7"/>
    <w:rsid w:val="00395B24"/>
    <w:rsid w:val="003A2D38"/>
    <w:rsid w:val="003A5B85"/>
    <w:rsid w:val="003A7ECC"/>
    <w:rsid w:val="003B2C72"/>
    <w:rsid w:val="003B58B4"/>
    <w:rsid w:val="003C1333"/>
    <w:rsid w:val="003C1FDA"/>
    <w:rsid w:val="003C20FF"/>
    <w:rsid w:val="003C550A"/>
    <w:rsid w:val="003C6055"/>
    <w:rsid w:val="003D2650"/>
    <w:rsid w:val="003D560C"/>
    <w:rsid w:val="003D5C00"/>
    <w:rsid w:val="003E3154"/>
    <w:rsid w:val="003E4AC3"/>
    <w:rsid w:val="003E5874"/>
    <w:rsid w:val="003E72D3"/>
    <w:rsid w:val="003F193E"/>
    <w:rsid w:val="003F242C"/>
    <w:rsid w:val="003F34F1"/>
    <w:rsid w:val="004026E1"/>
    <w:rsid w:val="0040432C"/>
    <w:rsid w:val="004104B6"/>
    <w:rsid w:val="00411AE8"/>
    <w:rsid w:val="00413B74"/>
    <w:rsid w:val="004342F3"/>
    <w:rsid w:val="00435C5F"/>
    <w:rsid w:val="00436155"/>
    <w:rsid w:val="00436D87"/>
    <w:rsid w:val="00441E98"/>
    <w:rsid w:val="004456EA"/>
    <w:rsid w:val="00450F3A"/>
    <w:rsid w:val="004532F7"/>
    <w:rsid w:val="00464D51"/>
    <w:rsid w:val="00472027"/>
    <w:rsid w:val="004804CF"/>
    <w:rsid w:val="00481D3E"/>
    <w:rsid w:val="004832E0"/>
    <w:rsid w:val="00484962"/>
    <w:rsid w:val="00484AC9"/>
    <w:rsid w:val="00484F6D"/>
    <w:rsid w:val="00484FB7"/>
    <w:rsid w:val="0048554D"/>
    <w:rsid w:val="0049338A"/>
    <w:rsid w:val="0049417F"/>
    <w:rsid w:val="00496D41"/>
    <w:rsid w:val="004A6602"/>
    <w:rsid w:val="004B22A1"/>
    <w:rsid w:val="004B3EFA"/>
    <w:rsid w:val="004C29C6"/>
    <w:rsid w:val="004C2A87"/>
    <w:rsid w:val="004C4D7B"/>
    <w:rsid w:val="004C4ED3"/>
    <w:rsid w:val="004C667B"/>
    <w:rsid w:val="004C7ECD"/>
    <w:rsid w:val="004D2EA5"/>
    <w:rsid w:val="004D32A6"/>
    <w:rsid w:val="004D53E5"/>
    <w:rsid w:val="004E6DC4"/>
    <w:rsid w:val="004F21C1"/>
    <w:rsid w:val="00501A12"/>
    <w:rsid w:val="0050309C"/>
    <w:rsid w:val="00512748"/>
    <w:rsid w:val="0051327C"/>
    <w:rsid w:val="0051346D"/>
    <w:rsid w:val="00513EAE"/>
    <w:rsid w:val="0051434F"/>
    <w:rsid w:val="00516806"/>
    <w:rsid w:val="00516D05"/>
    <w:rsid w:val="0052098C"/>
    <w:rsid w:val="00525A49"/>
    <w:rsid w:val="005262D1"/>
    <w:rsid w:val="00530876"/>
    <w:rsid w:val="00535613"/>
    <w:rsid w:val="005359EB"/>
    <w:rsid w:val="00541E2E"/>
    <w:rsid w:val="0054254A"/>
    <w:rsid w:val="0054500B"/>
    <w:rsid w:val="005466B5"/>
    <w:rsid w:val="00554314"/>
    <w:rsid w:val="00562829"/>
    <w:rsid w:val="005629B3"/>
    <w:rsid w:val="005724F6"/>
    <w:rsid w:val="00573AC4"/>
    <w:rsid w:val="005801FC"/>
    <w:rsid w:val="00582DF2"/>
    <w:rsid w:val="00585BA9"/>
    <w:rsid w:val="00587359"/>
    <w:rsid w:val="00595016"/>
    <w:rsid w:val="00597AAE"/>
    <w:rsid w:val="005A222C"/>
    <w:rsid w:val="005A2F76"/>
    <w:rsid w:val="005A4DF8"/>
    <w:rsid w:val="005A5B50"/>
    <w:rsid w:val="005A78C8"/>
    <w:rsid w:val="005B1426"/>
    <w:rsid w:val="005C0A8E"/>
    <w:rsid w:val="005C1767"/>
    <w:rsid w:val="005C185C"/>
    <w:rsid w:val="005C371F"/>
    <w:rsid w:val="005C42EF"/>
    <w:rsid w:val="005D58D7"/>
    <w:rsid w:val="005E02F5"/>
    <w:rsid w:val="005E0510"/>
    <w:rsid w:val="005E176E"/>
    <w:rsid w:val="005E218E"/>
    <w:rsid w:val="005E35A0"/>
    <w:rsid w:val="005F0D1B"/>
    <w:rsid w:val="005F1865"/>
    <w:rsid w:val="006007BD"/>
    <w:rsid w:val="006013C8"/>
    <w:rsid w:val="0060270D"/>
    <w:rsid w:val="00603036"/>
    <w:rsid w:val="00604611"/>
    <w:rsid w:val="00611586"/>
    <w:rsid w:val="00612D26"/>
    <w:rsid w:val="00615855"/>
    <w:rsid w:val="00620DA8"/>
    <w:rsid w:val="00621887"/>
    <w:rsid w:val="00624520"/>
    <w:rsid w:val="006271F5"/>
    <w:rsid w:val="00632300"/>
    <w:rsid w:val="00632BB7"/>
    <w:rsid w:val="00635B36"/>
    <w:rsid w:val="00636871"/>
    <w:rsid w:val="00640001"/>
    <w:rsid w:val="00640EE1"/>
    <w:rsid w:val="00640F4E"/>
    <w:rsid w:val="00641AB1"/>
    <w:rsid w:val="00643DE0"/>
    <w:rsid w:val="0064437D"/>
    <w:rsid w:val="00644E85"/>
    <w:rsid w:val="00652C52"/>
    <w:rsid w:val="006602FD"/>
    <w:rsid w:val="0066063F"/>
    <w:rsid w:val="00662BB0"/>
    <w:rsid w:val="006637CA"/>
    <w:rsid w:val="00663878"/>
    <w:rsid w:val="00667773"/>
    <w:rsid w:val="00670743"/>
    <w:rsid w:val="006712B8"/>
    <w:rsid w:val="00671675"/>
    <w:rsid w:val="006747C4"/>
    <w:rsid w:val="0067589C"/>
    <w:rsid w:val="00680A85"/>
    <w:rsid w:val="00681ADF"/>
    <w:rsid w:val="006878FE"/>
    <w:rsid w:val="00690EE2"/>
    <w:rsid w:val="00693854"/>
    <w:rsid w:val="00694BEB"/>
    <w:rsid w:val="006A0E20"/>
    <w:rsid w:val="006A24E3"/>
    <w:rsid w:val="006A4370"/>
    <w:rsid w:val="006A5695"/>
    <w:rsid w:val="006B0439"/>
    <w:rsid w:val="006B3904"/>
    <w:rsid w:val="006B5B7D"/>
    <w:rsid w:val="006C397D"/>
    <w:rsid w:val="006C5B46"/>
    <w:rsid w:val="006C5D7A"/>
    <w:rsid w:val="006C6E39"/>
    <w:rsid w:val="006D0ECF"/>
    <w:rsid w:val="006D3D5B"/>
    <w:rsid w:val="006D4C92"/>
    <w:rsid w:val="006D4EB6"/>
    <w:rsid w:val="006E35BF"/>
    <w:rsid w:val="006E7850"/>
    <w:rsid w:val="006F46D6"/>
    <w:rsid w:val="007028D9"/>
    <w:rsid w:val="00707218"/>
    <w:rsid w:val="00707284"/>
    <w:rsid w:val="00710D04"/>
    <w:rsid w:val="00712B1D"/>
    <w:rsid w:val="00715751"/>
    <w:rsid w:val="007171BA"/>
    <w:rsid w:val="00717616"/>
    <w:rsid w:val="00724105"/>
    <w:rsid w:val="00727D8A"/>
    <w:rsid w:val="007325D9"/>
    <w:rsid w:val="0073583B"/>
    <w:rsid w:val="007360CA"/>
    <w:rsid w:val="007361BB"/>
    <w:rsid w:val="0074667B"/>
    <w:rsid w:val="007470BD"/>
    <w:rsid w:val="00760EC0"/>
    <w:rsid w:val="007711BD"/>
    <w:rsid w:val="0078003A"/>
    <w:rsid w:val="00780771"/>
    <w:rsid w:val="0078433C"/>
    <w:rsid w:val="00787068"/>
    <w:rsid w:val="007929CF"/>
    <w:rsid w:val="007972A9"/>
    <w:rsid w:val="007A0215"/>
    <w:rsid w:val="007A0436"/>
    <w:rsid w:val="007A49E7"/>
    <w:rsid w:val="007A6F28"/>
    <w:rsid w:val="007B03C6"/>
    <w:rsid w:val="007B0DB1"/>
    <w:rsid w:val="007B5673"/>
    <w:rsid w:val="007B7238"/>
    <w:rsid w:val="007B76FF"/>
    <w:rsid w:val="007C3BF6"/>
    <w:rsid w:val="007C67B3"/>
    <w:rsid w:val="007D0FD2"/>
    <w:rsid w:val="007D25D9"/>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0EF"/>
    <w:rsid w:val="008216E7"/>
    <w:rsid w:val="00825BE6"/>
    <w:rsid w:val="008276B4"/>
    <w:rsid w:val="00831927"/>
    <w:rsid w:val="00837288"/>
    <w:rsid w:val="00841BD3"/>
    <w:rsid w:val="0084273D"/>
    <w:rsid w:val="00844B87"/>
    <w:rsid w:val="00844E3F"/>
    <w:rsid w:val="00845A83"/>
    <w:rsid w:val="00846BB9"/>
    <w:rsid w:val="008649D5"/>
    <w:rsid w:val="008702CC"/>
    <w:rsid w:val="008712BB"/>
    <w:rsid w:val="00880BA6"/>
    <w:rsid w:val="008830E7"/>
    <w:rsid w:val="00883F7B"/>
    <w:rsid w:val="00890EDE"/>
    <w:rsid w:val="00892B38"/>
    <w:rsid w:val="008A1741"/>
    <w:rsid w:val="008A2484"/>
    <w:rsid w:val="008A41EB"/>
    <w:rsid w:val="008A4C08"/>
    <w:rsid w:val="008A52F3"/>
    <w:rsid w:val="008C26D9"/>
    <w:rsid w:val="008C6D50"/>
    <w:rsid w:val="008C7167"/>
    <w:rsid w:val="008C7503"/>
    <w:rsid w:val="008D1617"/>
    <w:rsid w:val="008D330F"/>
    <w:rsid w:val="008D48C1"/>
    <w:rsid w:val="008D7893"/>
    <w:rsid w:val="008D7EA8"/>
    <w:rsid w:val="008E6315"/>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4101"/>
    <w:rsid w:val="00955783"/>
    <w:rsid w:val="00957DE8"/>
    <w:rsid w:val="0096030E"/>
    <w:rsid w:val="00960ECB"/>
    <w:rsid w:val="009615D6"/>
    <w:rsid w:val="00967855"/>
    <w:rsid w:val="009739C8"/>
    <w:rsid w:val="00974709"/>
    <w:rsid w:val="00980736"/>
    <w:rsid w:val="00981A39"/>
    <w:rsid w:val="00982D56"/>
    <w:rsid w:val="00983DBF"/>
    <w:rsid w:val="00987097"/>
    <w:rsid w:val="00991123"/>
    <w:rsid w:val="00991CAB"/>
    <w:rsid w:val="0099406A"/>
    <w:rsid w:val="00996E13"/>
    <w:rsid w:val="009A3A9C"/>
    <w:rsid w:val="009B046C"/>
    <w:rsid w:val="009B13FA"/>
    <w:rsid w:val="009B1E2D"/>
    <w:rsid w:val="009C59FB"/>
    <w:rsid w:val="009C6F3B"/>
    <w:rsid w:val="009D1467"/>
    <w:rsid w:val="009E4FA6"/>
    <w:rsid w:val="009E7D93"/>
    <w:rsid w:val="009F3C34"/>
    <w:rsid w:val="009F462C"/>
    <w:rsid w:val="009F4D3C"/>
    <w:rsid w:val="009F5C33"/>
    <w:rsid w:val="00A026F0"/>
    <w:rsid w:val="00A03EAC"/>
    <w:rsid w:val="00A04DBB"/>
    <w:rsid w:val="00A07EA0"/>
    <w:rsid w:val="00A11CA6"/>
    <w:rsid w:val="00A127CA"/>
    <w:rsid w:val="00A13F82"/>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2E79"/>
    <w:rsid w:val="00A950B6"/>
    <w:rsid w:val="00A95D45"/>
    <w:rsid w:val="00AA102D"/>
    <w:rsid w:val="00AB41C1"/>
    <w:rsid w:val="00AB4CF2"/>
    <w:rsid w:val="00AB6CCA"/>
    <w:rsid w:val="00AC223F"/>
    <w:rsid w:val="00AC33B1"/>
    <w:rsid w:val="00AD12A8"/>
    <w:rsid w:val="00AE023F"/>
    <w:rsid w:val="00AF3577"/>
    <w:rsid w:val="00AF35F9"/>
    <w:rsid w:val="00AF3968"/>
    <w:rsid w:val="00B0424C"/>
    <w:rsid w:val="00B05C7D"/>
    <w:rsid w:val="00B15D57"/>
    <w:rsid w:val="00B16347"/>
    <w:rsid w:val="00B17D6E"/>
    <w:rsid w:val="00B204EE"/>
    <w:rsid w:val="00B2435E"/>
    <w:rsid w:val="00B26D0F"/>
    <w:rsid w:val="00B346C3"/>
    <w:rsid w:val="00B4005C"/>
    <w:rsid w:val="00B4227E"/>
    <w:rsid w:val="00B4471C"/>
    <w:rsid w:val="00B451A6"/>
    <w:rsid w:val="00B56D6E"/>
    <w:rsid w:val="00B64347"/>
    <w:rsid w:val="00B65DC6"/>
    <w:rsid w:val="00B67AC2"/>
    <w:rsid w:val="00B722DE"/>
    <w:rsid w:val="00B751E3"/>
    <w:rsid w:val="00B75BA6"/>
    <w:rsid w:val="00B76C44"/>
    <w:rsid w:val="00B802A5"/>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385A"/>
    <w:rsid w:val="00BD22EE"/>
    <w:rsid w:val="00BE183D"/>
    <w:rsid w:val="00BF0ECB"/>
    <w:rsid w:val="00BF5D7A"/>
    <w:rsid w:val="00C01C2E"/>
    <w:rsid w:val="00C02D33"/>
    <w:rsid w:val="00C04B53"/>
    <w:rsid w:val="00C12050"/>
    <w:rsid w:val="00C1232C"/>
    <w:rsid w:val="00C27C6B"/>
    <w:rsid w:val="00C35570"/>
    <w:rsid w:val="00C3594D"/>
    <w:rsid w:val="00C36442"/>
    <w:rsid w:val="00C400CE"/>
    <w:rsid w:val="00C410FD"/>
    <w:rsid w:val="00C457DE"/>
    <w:rsid w:val="00C47DD3"/>
    <w:rsid w:val="00C53562"/>
    <w:rsid w:val="00C539FB"/>
    <w:rsid w:val="00C62C4D"/>
    <w:rsid w:val="00C66E57"/>
    <w:rsid w:val="00C677C1"/>
    <w:rsid w:val="00C7138C"/>
    <w:rsid w:val="00C74150"/>
    <w:rsid w:val="00C75594"/>
    <w:rsid w:val="00C85982"/>
    <w:rsid w:val="00C85B80"/>
    <w:rsid w:val="00CA0466"/>
    <w:rsid w:val="00CA246D"/>
    <w:rsid w:val="00CA50D9"/>
    <w:rsid w:val="00CB3054"/>
    <w:rsid w:val="00CB5636"/>
    <w:rsid w:val="00CC3EE5"/>
    <w:rsid w:val="00CE425C"/>
    <w:rsid w:val="00CE58AC"/>
    <w:rsid w:val="00CF11DB"/>
    <w:rsid w:val="00CF5A80"/>
    <w:rsid w:val="00D045EE"/>
    <w:rsid w:val="00D05091"/>
    <w:rsid w:val="00D10CA6"/>
    <w:rsid w:val="00D10F21"/>
    <w:rsid w:val="00D11CB4"/>
    <w:rsid w:val="00D134CF"/>
    <w:rsid w:val="00D1573B"/>
    <w:rsid w:val="00D2037B"/>
    <w:rsid w:val="00D24806"/>
    <w:rsid w:val="00D34040"/>
    <w:rsid w:val="00D34E69"/>
    <w:rsid w:val="00D36C78"/>
    <w:rsid w:val="00D375EE"/>
    <w:rsid w:val="00D46809"/>
    <w:rsid w:val="00D55AE8"/>
    <w:rsid w:val="00D56056"/>
    <w:rsid w:val="00D6085F"/>
    <w:rsid w:val="00D62699"/>
    <w:rsid w:val="00D778E9"/>
    <w:rsid w:val="00D812BF"/>
    <w:rsid w:val="00D81BBE"/>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047A"/>
    <w:rsid w:val="00DE3067"/>
    <w:rsid w:val="00DF3EEE"/>
    <w:rsid w:val="00DF75E1"/>
    <w:rsid w:val="00E027BC"/>
    <w:rsid w:val="00E10F0D"/>
    <w:rsid w:val="00E14EA5"/>
    <w:rsid w:val="00E2070E"/>
    <w:rsid w:val="00E21133"/>
    <w:rsid w:val="00E2327E"/>
    <w:rsid w:val="00E266EF"/>
    <w:rsid w:val="00E445EB"/>
    <w:rsid w:val="00E47428"/>
    <w:rsid w:val="00E568DE"/>
    <w:rsid w:val="00E56C8E"/>
    <w:rsid w:val="00E5716B"/>
    <w:rsid w:val="00E57F1F"/>
    <w:rsid w:val="00E66B9F"/>
    <w:rsid w:val="00E70A6A"/>
    <w:rsid w:val="00E710D6"/>
    <w:rsid w:val="00E73DA4"/>
    <w:rsid w:val="00E76E45"/>
    <w:rsid w:val="00E777C9"/>
    <w:rsid w:val="00E81DA6"/>
    <w:rsid w:val="00E84212"/>
    <w:rsid w:val="00E90396"/>
    <w:rsid w:val="00E9086C"/>
    <w:rsid w:val="00E90AAA"/>
    <w:rsid w:val="00E90E29"/>
    <w:rsid w:val="00E91A0F"/>
    <w:rsid w:val="00E94A71"/>
    <w:rsid w:val="00E94CBF"/>
    <w:rsid w:val="00EA03CE"/>
    <w:rsid w:val="00EA23E5"/>
    <w:rsid w:val="00EA4E2E"/>
    <w:rsid w:val="00EB2417"/>
    <w:rsid w:val="00EB2CCB"/>
    <w:rsid w:val="00EB732A"/>
    <w:rsid w:val="00EB7A25"/>
    <w:rsid w:val="00EC0F3E"/>
    <w:rsid w:val="00EC4252"/>
    <w:rsid w:val="00EC57A7"/>
    <w:rsid w:val="00ED0817"/>
    <w:rsid w:val="00ED7DD9"/>
    <w:rsid w:val="00EE445B"/>
    <w:rsid w:val="00EE5560"/>
    <w:rsid w:val="00EF3113"/>
    <w:rsid w:val="00EF3F84"/>
    <w:rsid w:val="00F05238"/>
    <w:rsid w:val="00F176AC"/>
    <w:rsid w:val="00F26F28"/>
    <w:rsid w:val="00F27714"/>
    <w:rsid w:val="00F3276E"/>
    <w:rsid w:val="00F33D3C"/>
    <w:rsid w:val="00F37A91"/>
    <w:rsid w:val="00F408A0"/>
    <w:rsid w:val="00F45CF5"/>
    <w:rsid w:val="00F47DB0"/>
    <w:rsid w:val="00F50C3F"/>
    <w:rsid w:val="00F50E34"/>
    <w:rsid w:val="00F53C0A"/>
    <w:rsid w:val="00F53EF7"/>
    <w:rsid w:val="00F54BF2"/>
    <w:rsid w:val="00F56DD3"/>
    <w:rsid w:val="00F775AC"/>
    <w:rsid w:val="00F92355"/>
    <w:rsid w:val="00F93963"/>
    <w:rsid w:val="00F94291"/>
    <w:rsid w:val="00FA0677"/>
    <w:rsid w:val="00FA298A"/>
    <w:rsid w:val="00FA5B66"/>
    <w:rsid w:val="00FB30EB"/>
    <w:rsid w:val="00FB7982"/>
    <w:rsid w:val="00FC0734"/>
    <w:rsid w:val="00FC0FC5"/>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555D17D-3D8B-4E01-9DEE-AF22263E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58836">
      <w:bodyDiv w:val="1"/>
      <w:marLeft w:val="0"/>
      <w:marRight w:val="0"/>
      <w:marTop w:val="0"/>
      <w:marBottom w:val="0"/>
      <w:divBdr>
        <w:top w:val="none" w:sz="0" w:space="0" w:color="auto"/>
        <w:left w:val="none" w:sz="0" w:space="0" w:color="auto"/>
        <w:bottom w:val="none" w:sz="0" w:space="0" w:color="auto"/>
        <w:right w:val="none" w:sz="0" w:space="0" w:color="auto"/>
      </w:divBdr>
    </w:div>
    <w:div w:id="587155566">
      <w:bodyDiv w:val="1"/>
      <w:marLeft w:val="0"/>
      <w:marRight w:val="0"/>
      <w:marTop w:val="0"/>
      <w:marBottom w:val="0"/>
      <w:divBdr>
        <w:top w:val="none" w:sz="0" w:space="0" w:color="auto"/>
        <w:left w:val="none" w:sz="0" w:space="0" w:color="auto"/>
        <w:bottom w:val="none" w:sz="0" w:space="0" w:color="auto"/>
        <w:right w:val="none" w:sz="0" w:space="0" w:color="auto"/>
      </w:divBdr>
    </w:div>
    <w:div w:id="17388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nternationalcivil@google.com"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ternationalcivil@googl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ternationalcivil@google.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internationalcivil@google.com"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internationalcivil@google.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A3AB5A82D4DEF915BF6EE775E084F"/>
        <w:category>
          <w:name w:val="General"/>
          <w:gallery w:val="placeholder"/>
        </w:category>
        <w:types>
          <w:type w:val="bbPlcHdr"/>
        </w:types>
        <w:behaviors>
          <w:behavior w:val="content"/>
        </w:behaviors>
        <w:guid w:val="{344A6B9A-16C1-4B04-BB77-E1AA9A2EA7A5}"/>
      </w:docPartPr>
      <w:docPartBody>
        <w:p w:rsidR="00887AE2" w:rsidRDefault="00887AE2">
          <w:pPr>
            <w:pStyle w:val="CF5A3AB5A82D4DEF915BF6EE775E084F"/>
          </w:pPr>
          <w:r>
            <w:rPr>
              <w:rStyle w:val="PlaceholderText"/>
            </w:rPr>
            <w:t>MNC Text</w:t>
          </w:r>
        </w:p>
      </w:docPartBody>
    </w:docPart>
    <w:docPart>
      <w:docPartPr>
        <w:name w:val="6D1E9B3232084D51A124BCCD46F5B27F"/>
        <w:category>
          <w:name w:val="General"/>
          <w:gallery w:val="placeholder"/>
        </w:category>
        <w:types>
          <w:type w:val="bbPlcHdr"/>
        </w:types>
        <w:behaviors>
          <w:behavior w:val="content"/>
        </w:behaviors>
        <w:guid w:val="{D4E89495-3A12-4128-8EDB-7EA968EF0A90}"/>
      </w:docPartPr>
      <w:docPartBody>
        <w:p w:rsidR="00887AE2" w:rsidRDefault="00887AE2">
          <w:pPr>
            <w:pStyle w:val="6D1E9B3232084D51A124BCCD46F5B27F"/>
          </w:pPr>
          <w:r w:rsidRPr="005C44BE">
            <w:rPr>
              <w:rStyle w:val="PlaceholderText"/>
            </w:rPr>
            <w:t>Click or tap here to enter text.</w:t>
          </w:r>
        </w:p>
      </w:docPartBody>
    </w:docPart>
    <w:docPart>
      <w:docPartPr>
        <w:name w:val="23FA2E2A373B4EABA84A5A1573DE8CAC"/>
        <w:category>
          <w:name w:val="General"/>
          <w:gallery w:val="placeholder"/>
        </w:category>
        <w:types>
          <w:type w:val="bbPlcHdr"/>
        </w:types>
        <w:behaviors>
          <w:behavior w:val="content"/>
        </w:behaviors>
        <w:guid w:val="{53424083-1330-4B4A-9BBC-21CC36405253}"/>
      </w:docPartPr>
      <w:docPartBody>
        <w:p w:rsidR="00887AE2" w:rsidRDefault="00887AE2">
          <w:pPr>
            <w:pStyle w:val="23FA2E2A373B4EABA84A5A1573DE8CAC"/>
          </w:pPr>
          <w:r w:rsidRPr="005C44BE">
            <w:rPr>
              <w:rStyle w:val="PlaceholderText"/>
            </w:rPr>
            <w:t>Click or tap here to enter text.</w:t>
          </w:r>
        </w:p>
      </w:docPartBody>
    </w:docPart>
    <w:docPart>
      <w:docPartPr>
        <w:name w:val="4246D6B2537D4535AECCED6749CE2737"/>
        <w:category>
          <w:name w:val="General"/>
          <w:gallery w:val="placeholder"/>
        </w:category>
        <w:types>
          <w:type w:val="bbPlcHdr"/>
        </w:types>
        <w:behaviors>
          <w:behavior w:val="content"/>
        </w:behaviors>
        <w:guid w:val="{62055857-7734-447B-905F-EAB311B6CE62}"/>
      </w:docPartPr>
      <w:docPartBody>
        <w:p w:rsidR="00887AE2" w:rsidRDefault="00887AE2">
          <w:pPr>
            <w:pStyle w:val="4246D6B2537D4535AECCED6749CE2737"/>
          </w:pPr>
          <w:r w:rsidRPr="005C44BE">
            <w:rPr>
              <w:rStyle w:val="PlaceholderText"/>
            </w:rPr>
            <w:t>Click or tap here to enter text.</w:t>
          </w:r>
        </w:p>
      </w:docPartBody>
    </w:docPart>
    <w:docPart>
      <w:docPartPr>
        <w:name w:val="603CCA3CFF2B45EB99DEAD4B0E5C5391"/>
        <w:category>
          <w:name w:val="General"/>
          <w:gallery w:val="placeholder"/>
        </w:category>
        <w:types>
          <w:type w:val="bbPlcHdr"/>
        </w:types>
        <w:behaviors>
          <w:behavior w:val="content"/>
        </w:behaviors>
        <w:guid w:val="{525B73D9-A7C4-439E-A6C7-6EAC9C895115}"/>
      </w:docPartPr>
      <w:docPartBody>
        <w:p w:rsidR="00887AE2" w:rsidRDefault="00887AE2">
          <w:pPr>
            <w:pStyle w:val="603CCA3CFF2B45EB99DEAD4B0E5C539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E2"/>
    <w:rsid w:val="00036B6F"/>
    <w:rsid w:val="00057323"/>
    <w:rsid w:val="004B62B1"/>
    <w:rsid w:val="00887AE2"/>
    <w:rsid w:val="009E3B40"/>
    <w:rsid w:val="00BF5896"/>
    <w:rsid w:val="00F50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5A3AB5A82D4DEF915BF6EE775E084F">
    <w:name w:val="CF5A3AB5A82D4DEF915BF6EE775E084F"/>
  </w:style>
  <w:style w:type="paragraph" w:customStyle="1" w:styleId="6D1E9B3232084D51A124BCCD46F5B27F">
    <w:name w:val="6D1E9B3232084D51A124BCCD46F5B27F"/>
  </w:style>
  <w:style w:type="paragraph" w:customStyle="1" w:styleId="23FA2E2A373B4EABA84A5A1573DE8CAC">
    <w:name w:val="23FA2E2A373B4EABA84A5A1573DE8CAC"/>
  </w:style>
  <w:style w:type="paragraph" w:customStyle="1" w:styleId="4246D6B2537D4535AECCED6749CE2737">
    <w:name w:val="4246D6B2537D4535AECCED6749CE2737"/>
  </w:style>
  <w:style w:type="paragraph" w:customStyle="1" w:styleId="603CCA3CFF2B45EB99DEAD4B0E5C5391">
    <w:name w:val="603CCA3CFF2B45EB99DEAD4B0E5C5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Kukulka v Google LLC [2020] FCA 1229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348AE7C-F345-47E5-8801-8234B80B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9</Pages>
  <Words>2698</Words>
  <Characters>14597</Characters>
  <Application>Microsoft Office Word</Application>
  <DocSecurity>0</DocSecurity>
  <Lines>317</Lines>
  <Paragraphs>134</Paragraphs>
  <ScaleCrop>false</ScaleCrop>
  <HeadingPairs>
    <vt:vector size="2" baseType="variant">
      <vt:variant>
        <vt:lpstr>Title</vt:lpstr>
      </vt:variant>
      <vt:variant>
        <vt:i4>1</vt:i4>
      </vt:variant>
    </vt:vector>
  </HeadingPairs>
  <TitlesOfParts>
    <vt:vector size="1" baseType="lpstr">
      <vt:lpstr> Kukulka v Google LLC [2020] FCA 1229</vt:lpstr>
    </vt:vector>
  </TitlesOfParts>
  <Company>Federal Court of Australia</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Kukulka v Google LLC [2020] FCA 1229</dc:title>
  <dc:creator>Federal Court of Australia</dc:creator>
  <cp:lastModifiedBy>Federal Court of Australia</cp:lastModifiedBy>
  <cp:revision>5</cp:revision>
  <cp:lastPrinted>2006-02-06T01:31:00Z</cp:lastPrinted>
  <dcterms:created xsi:type="dcterms:W3CDTF">2020-08-25T00:50:00Z</dcterms:created>
  <dcterms:modified xsi:type="dcterms:W3CDTF">2020-08-25T00:51:00Z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Other Federal Jurisdiction</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