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4A0D34" w:rsidP="00A22932">
      <w:pPr>
        <w:pStyle w:val="CourtTitle"/>
      </w:pPr>
      <w:r>
        <w:fldChar w:fldCharType="begin"/>
      </w:r>
      <w:r>
        <w:instrText xml:space="preserve"> DOCPROPERTY  Court  \* MERGEFORMAT </w:instrText>
      </w:r>
      <w:r>
        <w:fldChar w:fldCharType="separate"/>
      </w:r>
      <w:r w:rsidR="002D3A09">
        <w:t>Federal Court of Australia</w:t>
      </w:r>
      <w:r>
        <w:fldChar w:fldCharType="end"/>
      </w:r>
    </w:p>
    <w:p w:rsidR="004D7950" w:rsidRDefault="004D7950">
      <w:pPr>
        <w:pStyle w:val="NormalHeadings"/>
        <w:jc w:val="center"/>
        <w:rPr>
          <w:sz w:val="32"/>
        </w:rPr>
      </w:pPr>
    </w:p>
    <w:bookmarkStart w:id="0" w:name="MNC"/>
    <w:p w:rsidR="00374CC4" w:rsidRDefault="00DE6F76" w:rsidP="001A2B40">
      <w:pPr>
        <w:pStyle w:val="MNC"/>
      </w:pPr>
      <w:sdt>
        <w:sdtPr>
          <w:rPr>
            <w:bCs/>
            <w:color w:val="000000"/>
            <w:szCs w:val="28"/>
            <w:bdr w:val="none" w:sz="0" w:space="0" w:color="auto" w:frame="1"/>
            <w:shd w:val="clear" w:color="auto" w:fill="FFFFFF"/>
          </w:rPr>
          <w:alias w:val="MNC"/>
          <w:tag w:val="MNC"/>
          <w:id w:val="343289786"/>
          <w:lock w:val="sdtLocked"/>
          <w:placeholder>
            <w:docPart w:val="C95ADFF3BB224C1FB6A0B75D127F64CD"/>
          </w:placeholder>
          <w:dataBinding w:prefixMappings="xmlns:ns0='http://schemas.globalmacros.com/FCA'" w:xpath="/ns0:root[1]/ns0:Name[1]" w:storeItemID="{687E7CCB-4AA5-44E7-B148-17BA2B6F57C0}"/>
          <w:text w:multiLine="1"/>
        </w:sdtPr>
        <w:sdtEndPr/>
        <w:sdtContent>
          <w:r w:rsidR="00F65EA4" w:rsidRPr="00F65EA4">
            <w:rPr>
              <w:bCs/>
              <w:color w:val="000000"/>
              <w:szCs w:val="28"/>
              <w:bdr w:val="none" w:sz="0" w:space="0" w:color="auto" w:frame="1"/>
              <w:shd w:val="clear" w:color="auto" w:fill="FFFFFF"/>
            </w:rPr>
            <w:t>CGN17 v Minister for Immigration, Citizenship, Migrant Services and Mul</w:t>
          </w:r>
          <w:r w:rsidR="00F65EA4">
            <w:rPr>
              <w:bCs/>
              <w:color w:val="000000"/>
              <w:szCs w:val="28"/>
              <w:bdr w:val="none" w:sz="0" w:space="0" w:color="auto" w:frame="1"/>
              <w:shd w:val="clear" w:color="auto" w:fill="FFFFFF"/>
            </w:rPr>
            <w:t>ticultural Affairs [2022] FCA 49</w:t>
          </w:r>
          <w:r w:rsidR="00F65EA4" w:rsidRPr="00F65EA4">
            <w:rPr>
              <w:bCs/>
              <w:color w:val="000000"/>
              <w:szCs w:val="28"/>
              <w:bdr w:val="none" w:sz="0" w:space="0" w:color="auto" w:frame="1"/>
              <w:shd w:val="clear" w:color="auto" w:fill="FFFFFF"/>
            </w:rPr>
            <w:t xml:space="preserve">4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A36131" w:rsidTr="00F670E3">
        <w:tc>
          <w:tcPr>
            <w:tcW w:w="3084" w:type="dxa"/>
            <w:shd w:val="clear" w:color="auto" w:fill="auto"/>
          </w:tcPr>
          <w:p w:rsidR="00A36131" w:rsidRDefault="00A36131" w:rsidP="00663878">
            <w:pPr>
              <w:pStyle w:val="Normal1linespace"/>
              <w:widowControl w:val="0"/>
              <w:jc w:val="left"/>
            </w:pPr>
            <w:r>
              <w:t>Appeal from:</w:t>
            </w:r>
          </w:p>
        </w:tc>
        <w:tc>
          <w:tcPr>
            <w:tcW w:w="5989" w:type="dxa"/>
            <w:shd w:val="clear" w:color="auto" w:fill="auto"/>
          </w:tcPr>
          <w:p w:rsidR="00A36131" w:rsidRDefault="00A36131" w:rsidP="00A36131">
            <w:pPr>
              <w:pStyle w:val="Default"/>
            </w:pPr>
            <w:r w:rsidRPr="00A36131">
              <w:rPr>
                <w:rFonts w:ascii="Times New Roman" w:hAnsi="Times New Roman" w:cs="Times New Roman"/>
                <w:i/>
                <w:color w:val="auto"/>
                <w:szCs w:val="20"/>
                <w:lang w:eastAsia="en-US"/>
              </w:rPr>
              <w:t>CGN17 &amp; Ors v Minister for Immigration &amp; Anor</w:t>
            </w:r>
            <w:r w:rsidRPr="00A36131">
              <w:rPr>
                <w:rFonts w:ascii="Times New Roman" w:hAnsi="Times New Roman" w:cs="Times New Roman"/>
                <w:color w:val="auto"/>
                <w:szCs w:val="20"/>
                <w:lang w:eastAsia="en-US"/>
              </w:rPr>
              <w:t xml:space="preserve"> [2019] FCCA 2931 </w:t>
            </w:r>
          </w:p>
        </w:tc>
      </w:tr>
      <w:tr w:rsidR="00F7358A" w:rsidTr="00F670E3">
        <w:tc>
          <w:tcPr>
            <w:tcW w:w="3084" w:type="dxa"/>
            <w:shd w:val="clear" w:color="auto" w:fill="auto"/>
          </w:tcPr>
          <w:p w:rsidR="00F7358A" w:rsidRDefault="00F7358A" w:rsidP="00663878">
            <w:pPr>
              <w:pStyle w:val="Normal1linespace"/>
              <w:widowControl w:val="0"/>
              <w:jc w:val="left"/>
            </w:pPr>
          </w:p>
        </w:tc>
        <w:tc>
          <w:tcPr>
            <w:tcW w:w="5989" w:type="dxa"/>
            <w:shd w:val="clear" w:color="auto" w:fill="auto"/>
          </w:tcPr>
          <w:p w:rsidR="00F7358A" w:rsidRPr="00A36131" w:rsidRDefault="00F7358A" w:rsidP="00A36131">
            <w:pPr>
              <w:pStyle w:val="Default"/>
              <w:rPr>
                <w:rFonts w:ascii="Times New Roman" w:hAnsi="Times New Roman" w:cs="Times New Roman"/>
                <w:i/>
                <w:color w:val="auto"/>
                <w:szCs w:val="20"/>
                <w:lang w:eastAsia="en-US"/>
              </w:rPr>
            </w:pPr>
          </w:p>
        </w:tc>
      </w:tr>
      <w:tr w:rsidR="00F7358A" w:rsidTr="00F670E3">
        <w:tc>
          <w:tcPr>
            <w:tcW w:w="3084" w:type="dxa"/>
            <w:shd w:val="clear" w:color="auto" w:fill="auto"/>
          </w:tcPr>
          <w:p w:rsidR="00F7358A" w:rsidRDefault="00F7358A" w:rsidP="00663878">
            <w:pPr>
              <w:pStyle w:val="Normal1linespace"/>
              <w:widowControl w:val="0"/>
              <w:jc w:val="left"/>
            </w:pPr>
            <w:r>
              <w:t>File number:</w:t>
            </w:r>
          </w:p>
        </w:tc>
        <w:tc>
          <w:tcPr>
            <w:tcW w:w="5989" w:type="dxa"/>
            <w:shd w:val="clear" w:color="auto" w:fill="auto"/>
          </w:tcPr>
          <w:p w:rsidR="00F7358A" w:rsidRPr="00A36131" w:rsidRDefault="00F7358A" w:rsidP="00A36131">
            <w:pPr>
              <w:pStyle w:val="Default"/>
              <w:rPr>
                <w:rFonts w:ascii="Times New Roman" w:hAnsi="Times New Roman" w:cs="Times New Roman"/>
                <w:i/>
                <w:color w:val="auto"/>
                <w:szCs w:val="20"/>
                <w:lang w:eastAsia="en-US"/>
              </w:rPr>
            </w:pPr>
            <w:r w:rsidRPr="00F7358A">
              <w:rPr>
                <w:rFonts w:ascii="Times New Roman" w:hAnsi="Times New Roman" w:cs="Times New Roman"/>
                <w:color w:val="auto"/>
                <w:szCs w:val="20"/>
                <w:lang w:eastAsia="en-US"/>
              </w:rPr>
              <w:fldChar w:fldCharType="begin" w:fldLock="1"/>
            </w:r>
            <w:r w:rsidRPr="00F7358A">
              <w:rPr>
                <w:rFonts w:ascii="Times New Roman" w:hAnsi="Times New Roman" w:cs="Times New Roman"/>
                <w:color w:val="auto"/>
                <w:szCs w:val="20"/>
                <w:lang w:eastAsia="en-US"/>
              </w:rPr>
              <w:instrText xml:space="preserve"> REF  FileNo  \* MERGEFORMAT </w:instrText>
            </w:r>
            <w:r w:rsidRPr="00F7358A">
              <w:rPr>
                <w:rFonts w:ascii="Times New Roman" w:hAnsi="Times New Roman" w:cs="Times New Roman"/>
                <w:color w:val="auto"/>
                <w:szCs w:val="20"/>
                <w:lang w:eastAsia="en-US"/>
              </w:rPr>
              <w:fldChar w:fldCharType="separate"/>
            </w:r>
            <w:r w:rsidRPr="00F7358A">
              <w:rPr>
                <w:rFonts w:ascii="Times New Roman" w:hAnsi="Times New Roman" w:cs="Times New Roman"/>
                <w:color w:val="auto"/>
                <w:szCs w:val="20"/>
                <w:lang w:eastAsia="en-US"/>
              </w:rPr>
              <w:t>VID 1181 of 2019</w:t>
            </w:r>
            <w:r w:rsidRPr="00F7358A">
              <w:rPr>
                <w:rFonts w:ascii="Times New Roman" w:hAnsi="Times New Roman" w:cs="Times New Roman"/>
                <w:color w:val="auto"/>
                <w:szCs w:val="20"/>
                <w:lang w:eastAsia="en-US"/>
              </w:rPr>
              <w:fldChar w:fldCharType="end"/>
            </w:r>
          </w:p>
        </w:tc>
      </w:tr>
      <w:tr w:rsidR="00395B24" w:rsidTr="00F670E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670E3">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2D3A09">
              <w:rPr>
                <w:b/>
              </w:rPr>
              <w:fldChar w:fldCharType="begin" w:fldLock="1"/>
            </w:r>
            <w:r w:rsidRPr="002D3A09">
              <w:rPr>
                <w:b/>
              </w:rPr>
              <w:instrText xml:space="preserve"> REF  Judge  \* MERGEFORMAT </w:instrText>
            </w:r>
            <w:r w:rsidRPr="002D3A09">
              <w:rPr>
                <w:b/>
              </w:rPr>
              <w:fldChar w:fldCharType="separate"/>
            </w:r>
            <w:r w:rsidR="002D3A09" w:rsidRPr="002D3A09">
              <w:rPr>
                <w:b/>
                <w:caps/>
                <w:szCs w:val="24"/>
              </w:rPr>
              <w:t>ANDERSON J</w:t>
            </w:r>
            <w:r w:rsidRPr="002D3A09">
              <w:rPr>
                <w:b/>
              </w:rPr>
              <w:fldChar w:fldCharType="end"/>
            </w:r>
          </w:p>
        </w:tc>
      </w:tr>
      <w:tr w:rsidR="00395B24" w:rsidTr="00F670E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670E3">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2F753B" w:rsidP="002F753B">
            <w:pPr>
              <w:pStyle w:val="Normal1linespace"/>
              <w:widowControl w:val="0"/>
              <w:jc w:val="left"/>
            </w:pPr>
            <w:bookmarkStart w:id="1" w:name="JudgmentDate"/>
            <w:r>
              <w:t>5</w:t>
            </w:r>
            <w:r w:rsidR="002D3A09">
              <w:t xml:space="preserve"> </w:t>
            </w:r>
            <w:r>
              <w:t>May</w:t>
            </w:r>
            <w:r w:rsidR="002D3A09">
              <w:t xml:space="preserve"> 2022</w:t>
            </w:r>
            <w:bookmarkEnd w:id="1"/>
          </w:p>
        </w:tc>
      </w:tr>
      <w:tr w:rsidR="00395B24" w:rsidTr="00F670E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670E3">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C8372B" w:rsidP="007C1886">
            <w:pPr>
              <w:pStyle w:val="Normal1linespace"/>
              <w:widowControl w:val="0"/>
              <w:jc w:val="left"/>
            </w:pPr>
            <w:bookmarkStart w:id="2" w:name="Catchwords"/>
            <w:r>
              <w:rPr>
                <w:b/>
                <w:bCs/>
                <w:color w:val="000000"/>
                <w:sz w:val="27"/>
                <w:szCs w:val="27"/>
                <w:bdr w:val="none" w:sz="0" w:space="0" w:color="auto" w:frame="1"/>
                <w:shd w:val="clear" w:color="auto" w:fill="FFFFFF"/>
              </w:rPr>
              <w:t>MIGRATION </w:t>
            </w:r>
            <w:r w:rsidRPr="00C8372B">
              <w:t xml:space="preserve">– appeal from an order made by the Federal Circuit Court of Australia dismissing </w:t>
            </w:r>
            <w:r w:rsidR="00D90E1C">
              <w:t>the A</w:t>
            </w:r>
            <w:r w:rsidRPr="00C8372B">
              <w:t>ppellant’s application for judicial review of a decision of</w:t>
            </w:r>
            <w:r w:rsidR="00963F9C">
              <w:t xml:space="preserve"> </w:t>
            </w:r>
            <w:r>
              <w:t xml:space="preserve">Administrative Appeals Tribunal </w:t>
            </w:r>
            <w:r w:rsidR="00963F9C" w:rsidRPr="00C8372B">
              <w:t>–</w:t>
            </w:r>
            <w:r w:rsidR="00B17859">
              <w:t xml:space="preserve"> </w:t>
            </w:r>
            <w:r w:rsidR="00B17859" w:rsidRPr="00B17859">
              <w:t xml:space="preserve">whether the </w:t>
            </w:r>
            <w:r w:rsidR="00FC52A7" w:rsidRPr="00C8372B">
              <w:t>Federal Circuit Court</w:t>
            </w:r>
            <w:r w:rsidR="00FC52A7" w:rsidRPr="00B17859">
              <w:t xml:space="preserve"> </w:t>
            </w:r>
            <w:r w:rsidR="00B17859" w:rsidRPr="00B17859">
              <w:t>was correct to conclude that the decision of the Tribunal was not affected by jurisdictional error</w:t>
            </w:r>
            <w:bookmarkEnd w:id="2"/>
            <w:r w:rsidR="00963F9C">
              <w:t xml:space="preserve"> </w:t>
            </w:r>
            <w:r w:rsidR="00963F9C">
              <w:rPr>
                <w:color w:val="000000"/>
                <w:bdr w:val="none" w:sz="0" w:space="0" w:color="auto" w:frame="1"/>
                <w:shd w:val="clear" w:color="auto" w:fill="FFFFFF"/>
              </w:rPr>
              <w:t>–</w:t>
            </w:r>
            <w:r>
              <w:rPr>
                <w:color w:val="000000"/>
                <w:bdr w:val="none" w:sz="0" w:space="0" w:color="auto" w:frame="1"/>
                <w:shd w:val="clear" w:color="auto" w:fill="FFFFFF"/>
              </w:rPr>
              <w:t xml:space="preserve">  </w:t>
            </w:r>
            <w:r w:rsidR="00963F9C">
              <w:rPr>
                <w:color w:val="000000"/>
                <w:bdr w:val="none" w:sz="0" w:space="0" w:color="auto" w:frame="1"/>
                <w:shd w:val="clear" w:color="auto" w:fill="FFFFFF"/>
              </w:rPr>
              <w:t xml:space="preserve">where the </w:t>
            </w:r>
            <w:r w:rsidR="00F4017E">
              <w:rPr>
                <w:color w:val="000000"/>
                <w:bdr w:val="none" w:sz="0" w:space="0" w:color="auto" w:frame="1"/>
                <w:shd w:val="clear" w:color="auto" w:fill="FFFFFF"/>
              </w:rPr>
              <w:t>decision exhibits no jurisdictional error</w:t>
            </w:r>
            <w:r w:rsidR="00963F9C">
              <w:rPr>
                <w:color w:val="000000"/>
                <w:bdr w:val="none" w:sz="0" w:space="0" w:color="auto" w:frame="1"/>
                <w:shd w:val="clear" w:color="auto" w:fill="FFFFFF"/>
              </w:rPr>
              <w:t xml:space="preserve"> – appeal dismissed</w:t>
            </w:r>
          </w:p>
        </w:tc>
      </w:tr>
      <w:tr w:rsidR="00395B24" w:rsidTr="00F670E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670E3">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E14CDE" w:rsidRPr="00E14CDE" w:rsidRDefault="00E14CDE" w:rsidP="00E14CDE">
            <w:pPr>
              <w:pStyle w:val="Default"/>
              <w:spacing w:after="60"/>
              <w:rPr>
                <w:rFonts w:ascii="Times New Roman" w:hAnsi="Times New Roman" w:cs="Times New Roman"/>
                <w:szCs w:val="20"/>
                <w:bdr w:val="none" w:sz="0" w:space="0" w:color="auto" w:frame="1"/>
                <w:shd w:val="clear" w:color="auto" w:fill="FFFFFF"/>
                <w:lang w:eastAsia="en-US"/>
              </w:rPr>
            </w:pPr>
            <w:bookmarkStart w:id="3" w:name="Legislation"/>
            <w:r w:rsidRPr="00E14CDE">
              <w:rPr>
                <w:rFonts w:ascii="Times New Roman" w:hAnsi="Times New Roman" w:cs="Times New Roman"/>
                <w:i/>
                <w:szCs w:val="20"/>
                <w:bdr w:val="none" w:sz="0" w:space="0" w:color="auto" w:frame="1"/>
                <w:shd w:val="clear" w:color="auto" w:fill="FFFFFF"/>
                <w:lang w:eastAsia="en-US"/>
              </w:rPr>
              <w:t>Migration</w:t>
            </w:r>
            <w:r w:rsidRPr="00E14CDE">
              <w:rPr>
                <w:rFonts w:ascii="Times New Roman" w:hAnsi="Times New Roman" w:cs="Times New Roman"/>
                <w:szCs w:val="20"/>
                <w:bdr w:val="none" w:sz="0" w:space="0" w:color="auto" w:frame="1"/>
                <w:shd w:val="clear" w:color="auto" w:fill="FFFFFF"/>
                <w:lang w:eastAsia="en-US"/>
              </w:rPr>
              <w:t xml:space="preserve"> </w:t>
            </w:r>
            <w:r w:rsidRPr="00E14CDE">
              <w:rPr>
                <w:rFonts w:ascii="Times New Roman" w:hAnsi="Times New Roman" w:cs="Times New Roman"/>
                <w:i/>
                <w:szCs w:val="20"/>
                <w:bdr w:val="none" w:sz="0" w:space="0" w:color="auto" w:frame="1"/>
                <w:shd w:val="clear" w:color="auto" w:fill="FFFFFF"/>
                <w:lang w:eastAsia="en-US"/>
              </w:rPr>
              <w:t>Act</w:t>
            </w:r>
            <w:r w:rsidRPr="00E14CDE">
              <w:rPr>
                <w:rFonts w:ascii="Times New Roman" w:hAnsi="Times New Roman" w:cs="Times New Roman"/>
                <w:szCs w:val="20"/>
                <w:bdr w:val="none" w:sz="0" w:space="0" w:color="auto" w:frame="1"/>
                <w:shd w:val="clear" w:color="auto" w:fill="FFFFFF"/>
                <w:lang w:eastAsia="en-US"/>
              </w:rPr>
              <w:t> </w:t>
            </w:r>
            <w:r w:rsidRPr="00E14CDE">
              <w:rPr>
                <w:rFonts w:ascii="Times New Roman" w:hAnsi="Times New Roman" w:cs="Times New Roman"/>
                <w:i/>
                <w:szCs w:val="20"/>
                <w:bdr w:val="none" w:sz="0" w:space="0" w:color="auto" w:frame="1"/>
                <w:shd w:val="clear" w:color="auto" w:fill="FFFFFF"/>
                <w:lang w:eastAsia="en-US"/>
              </w:rPr>
              <w:t>1958</w:t>
            </w:r>
            <w:r w:rsidRPr="00E14CDE">
              <w:rPr>
                <w:rFonts w:ascii="Times New Roman" w:hAnsi="Times New Roman" w:cs="Times New Roman"/>
                <w:szCs w:val="20"/>
                <w:bdr w:val="none" w:sz="0" w:space="0" w:color="auto" w:frame="1"/>
                <w:shd w:val="clear" w:color="auto" w:fill="FFFFFF"/>
                <w:lang w:eastAsia="en-US"/>
              </w:rPr>
              <w:t xml:space="preserve"> (Cth)   </w:t>
            </w:r>
            <w:bookmarkEnd w:id="3"/>
          </w:p>
        </w:tc>
      </w:tr>
      <w:tr w:rsidR="00395B24" w:rsidTr="00F670E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670E3">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E14CDE" w:rsidRPr="00E14CDE" w:rsidRDefault="00E14CDE" w:rsidP="00E14CDE">
            <w:pPr>
              <w:pStyle w:val="CasesLegislationAppealFrom"/>
              <w:spacing w:after="60"/>
            </w:pPr>
            <w:bookmarkStart w:id="4" w:name="Cases_Cited"/>
            <w:r w:rsidRPr="00E14CDE">
              <w:rPr>
                <w:i/>
              </w:rPr>
              <w:t xml:space="preserve">AVQ15 v Minister for Immigration and Border Protection </w:t>
            </w:r>
            <w:r w:rsidRPr="00E14CDE">
              <w:t>(2018) 266 FCR 83</w:t>
            </w:r>
          </w:p>
          <w:p w:rsidR="00E14CDE" w:rsidRPr="00E14CDE" w:rsidRDefault="00E14CDE" w:rsidP="00E14CDE">
            <w:pPr>
              <w:pStyle w:val="CasesLegislationAppealFrom"/>
              <w:spacing w:after="60"/>
              <w:rPr>
                <w:szCs w:val="24"/>
              </w:rPr>
            </w:pPr>
            <w:r w:rsidRPr="00E14CDE">
              <w:rPr>
                <w:i/>
              </w:rPr>
              <w:t>BZB</w:t>
            </w:r>
            <w:r w:rsidRPr="00E14CDE">
              <w:rPr>
                <w:i/>
                <w:szCs w:val="24"/>
              </w:rPr>
              <w:t>16 v Minister for Immigration and Border Protection</w:t>
            </w:r>
            <w:r w:rsidRPr="00E14CDE">
              <w:rPr>
                <w:szCs w:val="24"/>
              </w:rPr>
              <w:t xml:space="preserve"> [2019] FCA 1253</w:t>
            </w:r>
          </w:p>
          <w:p w:rsidR="00E14CDE" w:rsidRPr="00E14CDE" w:rsidRDefault="00E14CDE" w:rsidP="00E14CDE">
            <w:pPr>
              <w:pStyle w:val="CasesLegislationAppealFrom"/>
              <w:spacing w:after="60"/>
            </w:pPr>
            <w:r w:rsidRPr="00E14CDE">
              <w:rPr>
                <w:i/>
              </w:rPr>
              <w:t>Minister for Immigration and Border Protection v SZMTA</w:t>
            </w:r>
            <w:r w:rsidRPr="00E14CDE">
              <w:t xml:space="preserve"> (2019) 264 CLR 421</w:t>
            </w:r>
          </w:p>
          <w:p w:rsidR="00E14CDE" w:rsidRPr="00E14CDE" w:rsidRDefault="00E14CDE" w:rsidP="00E14CDE">
            <w:pPr>
              <w:pStyle w:val="CasesLegislationAppealFrom"/>
              <w:spacing w:after="60"/>
            </w:pPr>
            <w:r w:rsidRPr="00E14CDE">
              <w:rPr>
                <w:i/>
                <w:iCs/>
                <w:color w:val="000000"/>
                <w:szCs w:val="24"/>
                <w:bdr w:val="none" w:sz="0" w:space="0" w:color="auto" w:frame="1"/>
                <w:shd w:val="clear" w:color="auto" w:fill="FFFFFF"/>
              </w:rPr>
              <w:t>MZXLD v Minister for Immigration and Citizenship</w:t>
            </w:r>
            <w:r w:rsidRPr="00E14CDE">
              <w:rPr>
                <w:color w:val="000000"/>
                <w:szCs w:val="24"/>
                <w:bdr w:val="none" w:sz="0" w:space="0" w:color="auto" w:frame="1"/>
                <w:shd w:val="clear" w:color="auto" w:fill="FFFFFF"/>
              </w:rPr>
              <w:t> [2007] FCA 1912</w:t>
            </w:r>
            <w:bookmarkEnd w:id="4"/>
          </w:p>
        </w:tc>
      </w:tr>
      <w:tr w:rsidR="002D3A09" w:rsidTr="00F670E3">
        <w:tc>
          <w:tcPr>
            <w:tcW w:w="3084" w:type="dxa"/>
            <w:shd w:val="clear" w:color="auto" w:fill="auto"/>
          </w:tcPr>
          <w:p w:rsidR="002D3A09" w:rsidRDefault="002D3A09" w:rsidP="002F7154">
            <w:pPr>
              <w:pStyle w:val="Normal1linespace"/>
              <w:widowControl w:val="0"/>
            </w:pPr>
          </w:p>
        </w:tc>
        <w:tc>
          <w:tcPr>
            <w:tcW w:w="5989" w:type="dxa"/>
            <w:shd w:val="clear" w:color="auto" w:fill="auto"/>
          </w:tcPr>
          <w:p w:rsidR="002D3A09" w:rsidRDefault="002D3A09" w:rsidP="002F7154">
            <w:pPr>
              <w:pStyle w:val="Normal1linespace"/>
              <w:widowControl w:val="0"/>
              <w:jc w:val="left"/>
            </w:pPr>
          </w:p>
        </w:tc>
      </w:tr>
      <w:tr w:rsidR="002D3A09" w:rsidTr="00F670E3">
        <w:tc>
          <w:tcPr>
            <w:tcW w:w="3084" w:type="dxa"/>
            <w:shd w:val="clear" w:color="auto" w:fill="auto"/>
          </w:tcPr>
          <w:p w:rsidR="002D3A09" w:rsidRDefault="002D3A09" w:rsidP="00501A12">
            <w:pPr>
              <w:pStyle w:val="Normal1linespace"/>
              <w:widowControl w:val="0"/>
            </w:pPr>
            <w:r>
              <w:t>Division:</w:t>
            </w:r>
          </w:p>
        </w:tc>
        <w:tc>
          <w:tcPr>
            <w:tcW w:w="5989" w:type="dxa"/>
            <w:shd w:val="clear" w:color="auto" w:fill="auto"/>
          </w:tcPr>
          <w:p w:rsidR="002D3A09" w:rsidRPr="00F17599" w:rsidRDefault="00DE6F76" w:rsidP="00501A12">
            <w:pPr>
              <w:pStyle w:val="Normal1linespace"/>
              <w:widowControl w:val="0"/>
              <w:jc w:val="left"/>
            </w:pPr>
            <w:r>
              <w:fldChar w:fldCharType="begin"/>
            </w:r>
            <w:r>
              <w:instrText xml:space="preserve"> DOCPROPERTY  Division </w:instrText>
            </w:r>
            <w:r>
              <w:fldChar w:fldCharType="separate"/>
            </w:r>
            <w:r w:rsidR="002D3A09">
              <w:t>General Division</w:t>
            </w:r>
            <w:r>
              <w:fldChar w:fldCharType="end"/>
            </w:r>
          </w:p>
        </w:tc>
      </w:tr>
      <w:tr w:rsidR="002D3A09" w:rsidTr="00F670E3">
        <w:tc>
          <w:tcPr>
            <w:tcW w:w="3084" w:type="dxa"/>
            <w:shd w:val="clear" w:color="auto" w:fill="auto"/>
          </w:tcPr>
          <w:p w:rsidR="002D3A09" w:rsidRDefault="002D3A09" w:rsidP="00501A12">
            <w:pPr>
              <w:pStyle w:val="Normal1linespace"/>
              <w:widowControl w:val="0"/>
            </w:pPr>
            <w:bookmarkStart w:id="5" w:name="Registry_rows" w:colFirst="0" w:colLast="1"/>
          </w:p>
        </w:tc>
        <w:tc>
          <w:tcPr>
            <w:tcW w:w="5989" w:type="dxa"/>
            <w:shd w:val="clear" w:color="auto" w:fill="auto"/>
          </w:tcPr>
          <w:p w:rsidR="002D3A09" w:rsidRDefault="002D3A09" w:rsidP="00501A12">
            <w:pPr>
              <w:pStyle w:val="Normal1linespace"/>
              <w:widowControl w:val="0"/>
              <w:jc w:val="left"/>
            </w:pPr>
          </w:p>
        </w:tc>
      </w:tr>
      <w:tr w:rsidR="002D3A09" w:rsidTr="00F670E3">
        <w:tc>
          <w:tcPr>
            <w:tcW w:w="3084" w:type="dxa"/>
            <w:shd w:val="clear" w:color="auto" w:fill="auto"/>
          </w:tcPr>
          <w:p w:rsidR="002D3A09" w:rsidRDefault="002D3A09" w:rsidP="00501A12">
            <w:pPr>
              <w:pStyle w:val="Normal1linespace"/>
              <w:widowControl w:val="0"/>
            </w:pPr>
            <w:r>
              <w:t>Registry:</w:t>
            </w:r>
          </w:p>
        </w:tc>
        <w:tc>
          <w:tcPr>
            <w:tcW w:w="5989" w:type="dxa"/>
            <w:shd w:val="clear" w:color="auto" w:fill="auto"/>
          </w:tcPr>
          <w:p w:rsidR="002D3A09" w:rsidRPr="00F17599" w:rsidRDefault="00DE6F76" w:rsidP="00501A12">
            <w:pPr>
              <w:pStyle w:val="Normal1linespace"/>
              <w:widowControl w:val="0"/>
              <w:jc w:val="left"/>
            </w:pPr>
            <w:r>
              <w:fldChar w:fldCharType="begin"/>
            </w:r>
            <w:r>
              <w:instrText xml:space="preserve"> DOCPROPERTY  Registry </w:instrText>
            </w:r>
            <w:r>
              <w:fldChar w:fldCharType="separate"/>
            </w:r>
            <w:r w:rsidR="002D3A09">
              <w:t>Victoria</w:t>
            </w:r>
            <w:r>
              <w:fldChar w:fldCharType="end"/>
            </w:r>
          </w:p>
        </w:tc>
      </w:tr>
      <w:tr w:rsidR="002D3A09" w:rsidTr="00F670E3">
        <w:tc>
          <w:tcPr>
            <w:tcW w:w="3084" w:type="dxa"/>
            <w:shd w:val="clear" w:color="auto" w:fill="auto"/>
          </w:tcPr>
          <w:p w:rsidR="002D3A09" w:rsidRDefault="002D3A09" w:rsidP="00501A12">
            <w:pPr>
              <w:pStyle w:val="Normal1linespace"/>
              <w:widowControl w:val="0"/>
            </w:pPr>
            <w:bookmarkStart w:id="6" w:name="NPARow" w:colFirst="0" w:colLast="1"/>
            <w:bookmarkEnd w:id="5"/>
          </w:p>
        </w:tc>
        <w:tc>
          <w:tcPr>
            <w:tcW w:w="5989" w:type="dxa"/>
            <w:shd w:val="clear" w:color="auto" w:fill="auto"/>
          </w:tcPr>
          <w:p w:rsidR="002D3A09" w:rsidRPr="00F17599" w:rsidRDefault="002D3A09" w:rsidP="00501A12">
            <w:pPr>
              <w:pStyle w:val="Normal1linespace"/>
              <w:widowControl w:val="0"/>
              <w:jc w:val="left"/>
              <w:rPr>
                <w:b/>
              </w:rPr>
            </w:pPr>
          </w:p>
        </w:tc>
      </w:tr>
      <w:tr w:rsidR="002D3A09" w:rsidTr="00F670E3">
        <w:tc>
          <w:tcPr>
            <w:tcW w:w="3084" w:type="dxa"/>
            <w:shd w:val="clear" w:color="auto" w:fill="auto"/>
          </w:tcPr>
          <w:p w:rsidR="002D3A09" w:rsidRDefault="002D3A09" w:rsidP="00501A12">
            <w:pPr>
              <w:pStyle w:val="Normal1linespace"/>
              <w:widowControl w:val="0"/>
            </w:pPr>
            <w:r>
              <w:t>National Practice Area:</w:t>
            </w:r>
          </w:p>
        </w:tc>
        <w:tc>
          <w:tcPr>
            <w:tcW w:w="5989" w:type="dxa"/>
            <w:shd w:val="clear" w:color="auto" w:fill="auto"/>
          </w:tcPr>
          <w:p w:rsidR="002D3A09" w:rsidRPr="00F17599" w:rsidRDefault="00DE6F76" w:rsidP="00171DBB">
            <w:pPr>
              <w:pStyle w:val="Normal1linespace"/>
              <w:widowControl w:val="0"/>
              <w:jc w:val="left"/>
              <w:rPr>
                <w:b/>
              </w:rPr>
            </w:pPr>
            <w:r>
              <w:fldChar w:fldCharType="begin"/>
            </w:r>
            <w:r>
              <w:instrText xml:space="preserve"> DOCPROPERTY  "Practice Area"  \* MERGEFORMAT </w:instrText>
            </w:r>
            <w:r>
              <w:fldChar w:fldCharType="separate"/>
            </w:r>
            <w:r w:rsidR="002D3A09">
              <w:t>Administrative and Constitutional Law and Human Rights</w:t>
            </w:r>
            <w:r>
              <w:fldChar w:fldCharType="end"/>
            </w:r>
          </w:p>
        </w:tc>
      </w:tr>
      <w:bookmarkEnd w:id="6"/>
      <w:tr w:rsidR="002D3A09" w:rsidTr="00F670E3">
        <w:tc>
          <w:tcPr>
            <w:tcW w:w="3084" w:type="dxa"/>
            <w:shd w:val="clear" w:color="auto" w:fill="auto"/>
          </w:tcPr>
          <w:p w:rsidR="002D3A09" w:rsidRDefault="002D3A09" w:rsidP="00501A12">
            <w:pPr>
              <w:pStyle w:val="Normal1linespace"/>
              <w:widowControl w:val="0"/>
            </w:pPr>
          </w:p>
        </w:tc>
        <w:tc>
          <w:tcPr>
            <w:tcW w:w="5989" w:type="dxa"/>
            <w:shd w:val="clear" w:color="auto" w:fill="auto"/>
          </w:tcPr>
          <w:p w:rsidR="002D3A09" w:rsidRDefault="002D3A09" w:rsidP="00501A12">
            <w:pPr>
              <w:pStyle w:val="Normal1linespace"/>
              <w:widowControl w:val="0"/>
              <w:jc w:val="left"/>
            </w:pPr>
          </w:p>
        </w:tc>
      </w:tr>
      <w:tr w:rsidR="002D3A09" w:rsidTr="00F670E3">
        <w:tc>
          <w:tcPr>
            <w:tcW w:w="3084" w:type="dxa"/>
            <w:shd w:val="clear" w:color="auto" w:fill="auto"/>
          </w:tcPr>
          <w:p w:rsidR="002D3A09" w:rsidRDefault="002D3A09" w:rsidP="00501A12">
            <w:pPr>
              <w:pStyle w:val="Normal1linespace"/>
              <w:widowControl w:val="0"/>
            </w:pPr>
            <w:r>
              <w:t>Number of paragraphs:</w:t>
            </w:r>
          </w:p>
        </w:tc>
        <w:tc>
          <w:tcPr>
            <w:tcW w:w="5989" w:type="dxa"/>
            <w:shd w:val="clear" w:color="auto" w:fill="auto"/>
          </w:tcPr>
          <w:p w:rsidR="002D3A09" w:rsidRDefault="00F670E3" w:rsidP="00501A12">
            <w:pPr>
              <w:pStyle w:val="Normal1linespace"/>
              <w:widowControl w:val="0"/>
              <w:jc w:val="left"/>
            </w:pPr>
            <w:bookmarkStart w:id="7" w:name="PlaceCategoryParagraphs"/>
            <w:r>
              <w:t>4</w:t>
            </w:r>
            <w:bookmarkEnd w:id="7"/>
            <w:r w:rsidR="00231417">
              <w:t>3</w:t>
            </w:r>
          </w:p>
        </w:tc>
      </w:tr>
      <w:tr w:rsidR="002D3A09" w:rsidTr="00F670E3">
        <w:tc>
          <w:tcPr>
            <w:tcW w:w="3084" w:type="dxa"/>
            <w:shd w:val="clear" w:color="auto" w:fill="auto"/>
          </w:tcPr>
          <w:p w:rsidR="002D3A09" w:rsidRDefault="002D3A09" w:rsidP="002D3A09">
            <w:pPr>
              <w:pStyle w:val="Normal1linespace"/>
              <w:widowControl w:val="0"/>
              <w:jc w:val="left"/>
            </w:pPr>
          </w:p>
        </w:tc>
        <w:tc>
          <w:tcPr>
            <w:tcW w:w="5989" w:type="dxa"/>
            <w:shd w:val="clear" w:color="auto" w:fill="auto"/>
          </w:tcPr>
          <w:p w:rsidR="002D3A09" w:rsidRDefault="002D3A09" w:rsidP="002D3A09">
            <w:pPr>
              <w:pStyle w:val="Normal1linespace"/>
              <w:widowControl w:val="0"/>
              <w:jc w:val="left"/>
            </w:pPr>
          </w:p>
        </w:tc>
      </w:tr>
      <w:tr w:rsidR="002D3A09" w:rsidTr="00F670E3">
        <w:tc>
          <w:tcPr>
            <w:tcW w:w="3084" w:type="dxa"/>
            <w:shd w:val="clear" w:color="auto" w:fill="auto"/>
          </w:tcPr>
          <w:p w:rsidR="002D3A09" w:rsidRDefault="002D3A09" w:rsidP="002D3A09">
            <w:pPr>
              <w:pStyle w:val="Normal1linespace"/>
              <w:widowControl w:val="0"/>
              <w:jc w:val="left"/>
            </w:pPr>
            <w:bookmarkStart w:id="8" w:name="CounselDate" w:colFirst="0" w:colLast="2"/>
            <w:r w:rsidRPr="006A24E3">
              <w:t>Date of hearing:</w:t>
            </w:r>
          </w:p>
        </w:tc>
        <w:tc>
          <w:tcPr>
            <w:tcW w:w="5989" w:type="dxa"/>
            <w:shd w:val="clear" w:color="auto" w:fill="auto"/>
          </w:tcPr>
          <w:p w:rsidR="002D3A09" w:rsidRDefault="00A36131" w:rsidP="002D3A09">
            <w:pPr>
              <w:pStyle w:val="Normal1linespace"/>
              <w:widowControl w:val="0"/>
              <w:jc w:val="left"/>
            </w:pPr>
            <w:r>
              <w:t>20 April 2022</w:t>
            </w:r>
          </w:p>
        </w:tc>
      </w:tr>
      <w:tr w:rsidR="002D3A09" w:rsidTr="00F670E3">
        <w:tc>
          <w:tcPr>
            <w:tcW w:w="3084" w:type="dxa"/>
            <w:shd w:val="clear" w:color="auto" w:fill="auto"/>
          </w:tcPr>
          <w:p w:rsidR="002D3A09" w:rsidRDefault="002D3A09" w:rsidP="002D3A09">
            <w:pPr>
              <w:pStyle w:val="Normal1linespace"/>
              <w:widowControl w:val="0"/>
              <w:jc w:val="left"/>
            </w:pPr>
          </w:p>
        </w:tc>
        <w:tc>
          <w:tcPr>
            <w:tcW w:w="5989" w:type="dxa"/>
            <w:shd w:val="clear" w:color="auto" w:fill="auto"/>
          </w:tcPr>
          <w:p w:rsidR="002D3A09" w:rsidRDefault="002D3A09" w:rsidP="002D3A09">
            <w:pPr>
              <w:pStyle w:val="Normal1linespace"/>
              <w:widowControl w:val="0"/>
              <w:jc w:val="left"/>
            </w:pPr>
          </w:p>
        </w:tc>
      </w:tr>
      <w:tr w:rsidR="00292C10" w:rsidTr="00F670E3">
        <w:tc>
          <w:tcPr>
            <w:tcW w:w="3084" w:type="dxa"/>
            <w:shd w:val="clear" w:color="auto" w:fill="auto"/>
          </w:tcPr>
          <w:p w:rsidR="00292C10" w:rsidRDefault="00292C10" w:rsidP="00940F9E">
            <w:pPr>
              <w:pStyle w:val="Normal1linespace"/>
              <w:widowControl w:val="0"/>
              <w:jc w:val="left"/>
            </w:pPr>
            <w:r>
              <w:t xml:space="preserve">Counsel for the </w:t>
            </w:r>
            <w:r w:rsidR="00883870">
              <w:t>Appellant</w:t>
            </w:r>
            <w:r w:rsidR="00940F9E">
              <w:t>s</w:t>
            </w:r>
            <w:r>
              <w:t>:</w:t>
            </w:r>
          </w:p>
        </w:tc>
        <w:tc>
          <w:tcPr>
            <w:tcW w:w="5989" w:type="dxa"/>
            <w:shd w:val="clear" w:color="auto" w:fill="auto"/>
          </w:tcPr>
          <w:p w:rsidR="00292C10" w:rsidRDefault="00292C10" w:rsidP="00940F9E">
            <w:pPr>
              <w:pStyle w:val="Normal1linespace"/>
              <w:widowControl w:val="0"/>
              <w:jc w:val="left"/>
            </w:pPr>
            <w:r>
              <w:t>The Appellant</w:t>
            </w:r>
            <w:r w:rsidR="00940F9E">
              <w:t>s</w:t>
            </w:r>
            <w:r>
              <w:t xml:space="preserve"> </w:t>
            </w:r>
            <w:r w:rsidR="00940F9E">
              <w:t>were</w:t>
            </w:r>
            <w:r>
              <w:t xml:space="preserve"> self-represented</w:t>
            </w:r>
            <w:r w:rsidR="00883870">
              <w:t xml:space="preserve"> and appeared with the assistance of an interpreter</w:t>
            </w:r>
          </w:p>
        </w:tc>
      </w:tr>
      <w:tr w:rsidR="00292C10" w:rsidTr="00F670E3">
        <w:tc>
          <w:tcPr>
            <w:tcW w:w="3084" w:type="dxa"/>
            <w:shd w:val="clear" w:color="auto" w:fill="auto"/>
          </w:tcPr>
          <w:p w:rsidR="00292C10" w:rsidRDefault="00292C10" w:rsidP="002D3A09">
            <w:pPr>
              <w:pStyle w:val="Normal1linespace"/>
              <w:widowControl w:val="0"/>
              <w:jc w:val="left"/>
            </w:pPr>
          </w:p>
        </w:tc>
        <w:tc>
          <w:tcPr>
            <w:tcW w:w="5989" w:type="dxa"/>
            <w:shd w:val="clear" w:color="auto" w:fill="auto"/>
          </w:tcPr>
          <w:p w:rsidR="00292C10" w:rsidRDefault="00292C10" w:rsidP="002D3A09">
            <w:pPr>
              <w:pStyle w:val="Normal1linespace"/>
              <w:widowControl w:val="0"/>
              <w:jc w:val="left"/>
            </w:pPr>
          </w:p>
        </w:tc>
      </w:tr>
      <w:tr w:rsidR="00292C10" w:rsidTr="00F670E3">
        <w:tc>
          <w:tcPr>
            <w:tcW w:w="3084" w:type="dxa"/>
            <w:shd w:val="clear" w:color="auto" w:fill="auto"/>
          </w:tcPr>
          <w:p w:rsidR="00292C10" w:rsidRDefault="00292C10" w:rsidP="00033494">
            <w:pPr>
              <w:pStyle w:val="Normal1linespace"/>
              <w:widowControl w:val="0"/>
              <w:jc w:val="left"/>
            </w:pPr>
            <w:r>
              <w:lastRenderedPageBreak/>
              <w:t>Counsel for the</w:t>
            </w:r>
            <w:r w:rsidR="00FA556B">
              <w:t xml:space="preserve"> First</w:t>
            </w:r>
            <w:r>
              <w:t xml:space="preserve"> Respondent:</w:t>
            </w:r>
          </w:p>
        </w:tc>
        <w:tc>
          <w:tcPr>
            <w:tcW w:w="5989" w:type="dxa"/>
            <w:shd w:val="clear" w:color="auto" w:fill="auto"/>
          </w:tcPr>
          <w:p w:rsidR="00292C10" w:rsidRDefault="00292C10" w:rsidP="00292C10">
            <w:pPr>
              <w:pStyle w:val="Normal1linespace"/>
              <w:widowControl w:val="0"/>
              <w:jc w:val="left"/>
            </w:pPr>
            <w:r>
              <w:t>Mr C McDermott</w:t>
            </w:r>
          </w:p>
        </w:tc>
      </w:tr>
      <w:tr w:rsidR="00292C10" w:rsidTr="00F670E3">
        <w:tc>
          <w:tcPr>
            <w:tcW w:w="3084" w:type="dxa"/>
            <w:shd w:val="clear" w:color="auto" w:fill="auto"/>
          </w:tcPr>
          <w:p w:rsidR="00292C10" w:rsidRDefault="00292C10" w:rsidP="00292C10">
            <w:pPr>
              <w:pStyle w:val="Normal1linespace"/>
              <w:widowControl w:val="0"/>
              <w:jc w:val="left"/>
            </w:pPr>
          </w:p>
        </w:tc>
        <w:tc>
          <w:tcPr>
            <w:tcW w:w="5989" w:type="dxa"/>
            <w:shd w:val="clear" w:color="auto" w:fill="auto"/>
          </w:tcPr>
          <w:p w:rsidR="00292C10" w:rsidRDefault="00292C10" w:rsidP="00292C10">
            <w:pPr>
              <w:pStyle w:val="Normal1linespace"/>
              <w:widowControl w:val="0"/>
              <w:jc w:val="left"/>
            </w:pPr>
          </w:p>
        </w:tc>
      </w:tr>
      <w:tr w:rsidR="00292C10" w:rsidTr="00F670E3">
        <w:tc>
          <w:tcPr>
            <w:tcW w:w="3084" w:type="dxa"/>
            <w:shd w:val="clear" w:color="auto" w:fill="auto"/>
          </w:tcPr>
          <w:p w:rsidR="00292C10" w:rsidRDefault="00292C10" w:rsidP="00292C10">
            <w:pPr>
              <w:pStyle w:val="Normal1linespace"/>
              <w:widowControl w:val="0"/>
              <w:jc w:val="left"/>
            </w:pPr>
            <w:r>
              <w:t xml:space="preserve">Solicitor for the </w:t>
            </w:r>
            <w:r w:rsidR="00FA556B">
              <w:t xml:space="preserve">First </w:t>
            </w:r>
            <w:r>
              <w:t>Respondent:</w:t>
            </w:r>
          </w:p>
        </w:tc>
        <w:tc>
          <w:tcPr>
            <w:tcW w:w="5989" w:type="dxa"/>
            <w:shd w:val="clear" w:color="auto" w:fill="auto"/>
          </w:tcPr>
          <w:p w:rsidR="00292C10" w:rsidRDefault="00292C10" w:rsidP="00292C10">
            <w:pPr>
              <w:pStyle w:val="Normal1linespace"/>
              <w:widowControl w:val="0"/>
              <w:jc w:val="left"/>
            </w:pPr>
            <w:r>
              <w:t>Clayton Utz</w:t>
            </w:r>
          </w:p>
        </w:tc>
      </w:tr>
      <w:tr w:rsidR="00292C10" w:rsidTr="00F670E3">
        <w:tc>
          <w:tcPr>
            <w:tcW w:w="3084" w:type="dxa"/>
            <w:shd w:val="clear" w:color="auto" w:fill="auto"/>
          </w:tcPr>
          <w:p w:rsidR="00292C10" w:rsidRDefault="00292C10" w:rsidP="00292C10">
            <w:pPr>
              <w:pStyle w:val="Normal1linespace"/>
              <w:widowControl w:val="0"/>
              <w:jc w:val="left"/>
            </w:pPr>
          </w:p>
        </w:tc>
        <w:tc>
          <w:tcPr>
            <w:tcW w:w="5989" w:type="dxa"/>
            <w:shd w:val="clear" w:color="auto" w:fill="auto"/>
          </w:tcPr>
          <w:p w:rsidR="00292C10" w:rsidRDefault="00292C10" w:rsidP="00292C10">
            <w:pPr>
              <w:pStyle w:val="Normal1linespace"/>
              <w:widowControl w:val="0"/>
              <w:jc w:val="left"/>
            </w:pPr>
          </w:p>
        </w:tc>
      </w:tr>
      <w:tr w:rsidR="00292C10" w:rsidTr="00F670E3">
        <w:tc>
          <w:tcPr>
            <w:tcW w:w="3084" w:type="dxa"/>
            <w:shd w:val="clear" w:color="auto" w:fill="auto"/>
          </w:tcPr>
          <w:p w:rsidR="00292C10" w:rsidRDefault="00292C10" w:rsidP="00292C10">
            <w:pPr>
              <w:pStyle w:val="Normal1linespace"/>
              <w:widowControl w:val="0"/>
              <w:jc w:val="left"/>
            </w:pPr>
          </w:p>
        </w:tc>
        <w:tc>
          <w:tcPr>
            <w:tcW w:w="5989" w:type="dxa"/>
            <w:shd w:val="clear" w:color="auto" w:fill="auto"/>
          </w:tcPr>
          <w:p w:rsidR="00292C10" w:rsidRDefault="00292C10" w:rsidP="00292C10">
            <w:pPr>
              <w:pStyle w:val="Normal1linespace"/>
              <w:widowControl w:val="0"/>
              <w:jc w:val="left"/>
            </w:pPr>
          </w:p>
        </w:tc>
      </w:tr>
    </w:tbl>
    <w:p w:rsidR="00B17D6E" w:rsidRDefault="00B17D6E">
      <w:pPr>
        <w:pStyle w:val="Normal1linespace"/>
      </w:pPr>
      <w:bookmarkStart w:id="9" w:name="CompletionTable"/>
      <w:bookmarkEnd w:id="8"/>
    </w:p>
    <w:bookmarkEnd w:id="9"/>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D3A09" w:rsidP="00E43DE8">
            <w:pPr>
              <w:pStyle w:val="NormalHeadings"/>
              <w:jc w:val="right"/>
            </w:pPr>
            <w:bookmarkStart w:id="10" w:name="FileNo"/>
            <w:r>
              <w:t>VID</w:t>
            </w:r>
            <w:r w:rsidR="00653272">
              <w:t xml:space="preserve"> </w:t>
            </w:r>
            <w:r>
              <w:t>1181</w:t>
            </w:r>
            <w:r w:rsidR="00E43DE8">
              <w:t xml:space="preserve"> of </w:t>
            </w:r>
            <w:r>
              <w:t>2019</w:t>
            </w:r>
            <w:bookmarkEnd w:id="10"/>
          </w:p>
        </w:tc>
      </w:tr>
      <w:tr w:rsidR="00A76C13" w:rsidTr="00F461A4">
        <w:tc>
          <w:tcPr>
            <w:tcW w:w="9242" w:type="dxa"/>
            <w:gridSpan w:val="3"/>
          </w:tcPr>
          <w:p w:rsidR="00A76C13" w:rsidRPr="00A76C13" w:rsidRDefault="002D3A09" w:rsidP="002D3A09">
            <w:pPr>
              <w:pStyle w:val="NormalHeadings"/>
              <w:jc w:val="left"/>
            </w:pPr>
            <w:bookmarkStart w:id="11" w:name="InTheMatterOf"/>
            <w:r>
              <w:t xml:space="preserve"> </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r>
              <w:rPr>
                <w:caps/>
                <w:szCs w:val="24"/>
              </w:rPr>
              <w:t>BETWEEN:</w:t>
            </w:r>
          </w:p>
        </w:tc>
        <w:tc>
          <w:tcPr>
            <w:tcW w:w="6866" w:type="dxa"/>
            <w:gridSpan w:val="2"/>
          </w:tcPr>
          <w:p w:rsidR="002D3A09" w:rsidRDefault="002D3A09" w:rsidP="002D3A09">
            <w:pPr>
              <w:pStyle w:val="NormalHeadings"/>
              <w:jc w:val="left"/>
            </w:pPr>
            <w:bookmarkStart w:id="13" w:name="Applicant"/>
            <w:r>
              <w:t xml:space="preserve">CGN17 </w:t>
            </w:r>
            <w:r w:rsidR="00622C94" w:rsidRPr="00285632">
              <w:rPr>
                <w:b w:val="0"/>
              </w:rPr>
              <w:t>(</w:t>
            </w:r>
            <w:r w:rsidR="00BE0723" w:rsidRPr="00BE0723">
              <w:rPr>
                <w:b w:val="0"/>
                <w:szCs w:val="24"/>
              </w:rPr>
              <w:t>and other</w:t>
            </w:r>
            <w:r w:rsidR="00A8717D">
              <w:rPr>
                <w:b w:val="0"/>
                <w:szCs w:val="24"/>
              </w:rPr>
              <w:t>s</w:t>
            </w:r>
            <w:r w:rsidR="00BE0723" w:rsidRPr="00BE0723">
              <w:rPr>
                <w:b w:val="0"/>
                <w:szCs w:val="24"/>
              </w:rPr>
              <w:t xml:space="preserve"> named in the schedule</w:t>
            </w:r>
            <w:r w:rsidR="00622C94">
              <w:rPr>
                <w:b w:val="0"/>
                <w:szCs w:val="24"/>
              </w:rPr>
              <w:t>)</w:t>
            </w:r>
          </w:p>
          <w:p w:rsidR="002D3A09" w:rsidRDefault="0004221B" w:rsidP="002D3A09">
            <w:pPr>
              <w:pStyle w:val="PartyType"/>
            </w:pPr>
            <w:r>
              <w:t xml:space="preserve">First </w:t>
            </w:r>
            <w:r w:rsidR="00BE0723">
              <w:t>Appell</w:t>
            </w:r>
            <w:r w:rsidR="002D3A09">
              <w:t>ant</w:t>
            </w:r>
          </w:p>
          <w:bookmarkEnd w:id="13"/>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A46CCC" w:rsidRDefault="00BE0723" w:rsidP="002D3A09">
            <w:pPr>
              <w:pStyle w:val="NormalHeadings"/>
              <w:jc w:val="left"/>
              <w:rPr>
                <w:b w:val="0"/>
                <w:szCs w:val="24"/>
              </w:rPr>
            </w:pPr>
            <w:bookmarkStart w:id="14" w:name="Respondent"/>
            <w:bookmarkEnd w:id="14"/>
            <w:r w:rsidRPr="00BE0723">
              <w:t>MINISTER FOR IMMIGRATION</w:t>
            </w:r>
            <w:r w:rsidR="00C45C26">
              <w:t xml:space="preserve"> &amp; BORDER PROTECTION</w:t>
            </w:r>
            <w:r>
              <w:t xml:space="preserve"> </w:t>
            </w:r>
          </w:p>
          <w:p w:rsidR="00BE0723" w:rsidRPr="00DE6F76" w:rsidRDefault="00542D04" w:rsidP="00DE6F76">
            <w:pPr>
              <w:pStyle w:val="PartyType"/>
            </w:pPr>
            <w:r>
              <w:t xml:space="preserve">First </w:t>
            </w:r>
            <w:r w:rsidR="00BE0723">
              <w:t>Respondent</w:t>
            </w:r>
          </w:p>
          <w:p w:rsidR="00542D04" w:rsidRDefault="00542D04" w:rsidP="002D3A09">
            <w:pPr>
              <w:pStyle w:val="NormalHeadings"/>
              <w:jc w:val="left"/>
              <w:rPr>
                <w:b w:val="0"/>
                <w:szCs w:val="24"/>
              </w:rPr>
            </w:pPr>
          </w:p>
          <w:p w:rsidR="00542D04" w:rsidRDefault="00542D04" w:rsidP="00542D04">
            <w:pPr>
              <w:pStyle w:val="001c66be"/>
              <w:spacing w:before="0" w:beforeAutospacing="0" w:after="0" w:afterAutospacing="0"/>
              <w:textAlignment w:val="baseline"/>
              <w:rPr>
                <w:b/>
                <w:bCs/>
                <w:color w:val="000000"/>
                <w:sz w:val="26"/>
                <w:szCs w:val="26"/>
              </w:rPr>
            </w:pPr>
            <w:r w:rsidRPr="00542D04">
              <w:rPr>
                <w:rFonts w:eastAsia="Batang"/>
                <w:b/>
                <w:szCs w:val="20"/>
                <w:lang w:eastAsia="en-US"/>
              </w:rPr>
              <w:t>ADMINISTRATIVE APPEALS TRIBUNAL</w:t>
            </w:r>
          </w:p>
          <w:p w:rsidR="00542D04" w:rsidRPr="00DE6F76" w:rsidRDefault="00542D04" w:rsidP="00DE6F76">
            <w:pPr>
              <w:pStyle w:val="PartyType"/>
            </w:pPr>
            <w:bookmarkStart w:id="15" w:name="_GoBack"/>
            <w:r w:rsidRPr="00542D04">
              <w:t>Second Respondent</w:t>
            </w:r>
          </w:p>
          <w:bookmarkEnd w:id="15"/>
          <w:p w:rsidR="00542D04" w:rsidRPr="006555B4" w:rsidRDefault="00542D04" w:rsidP="002D3A09">
            <w:pPr>
              <w:pStyle w:val="NormalHeadings"/>
              <w:jc w:val="left"/>
            </w:pPr>
          </w:p>
        </w:tc>
      </w:tr>
    </w:tbl>
    <w:p w:rsidR="00395B24" w:rsidRDefault="00395B24">
      <w:pPr>
        <w:pStyle w:val="NormalHeadings"/>
      </w:pPr>
      <w:bookmarkStart w:id="16" w:name="CrossClaimPosition"/>
      <w:bookmarkEnd w:id="12"/>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rsidR="00395B24" w:rsidRDefault="002D3A09">
            <w:pPr>
              <w:pStyle w:val="NormalHeadings"/>
              <w:jc w:val="left"/>
              <w:rPr>
                <w:caps/>
                <w:szCs w:val="24"/>
              </w:rPr>
            </w:pPr>
            <w:bookmarkStart w:id="18" w:name="Judge"/>
            <w:r>
              <w:rPr>
                <w:caps/>
                <w:szCs w:val="24"/>
              </w:rPr>
              <w:t>ANDERSON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C6A22" w:rsidP="009C6A22">
            <w:pPr>
              <w:pStyle w:val="NormalHeadings"/>
              <w:jc w:val="left"/>
              <w:rPr>
                <w:caps/>
                <w:szCs w:val="24"/>
              </w:rPr>
            </w:pPr>
            <w:bookmarkStart w:id="19" w:name="Judgment_Dated"/>
            <w:r>
              <w:rPr>
                <w:caps/>
                <w:szCs w:val="24"/>
              </w:rPr>
              <w:t>5</w:t>
            </w:r>
            <w:r w:rsidR="002D3A09">
              <w:rPr>
                <w:caps/>
                <w:szCs w:val="24"/>
              </w:rPr>
              <w:t xml:space="preserve"> </w:t>
            </w:r>
            <w:r>
              <w:rPr>
                <w:caps/>
                <w:szCs w:val="24"/>
              </w:rPr>
              <w:t>May</w:t>
            </w:r>
            <w:r w:rsidR="002D3A09">
              <w:rPr>
                <w:caps/>
                <w:szCs w:val="24"/>
              </w:rPr>
              <w:t xml:space="preserve"> 2022</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FB07BA" w:rsidP="001A6C52">
      <w:pPr>
        <w:pStyle w:val="Order1"/>
      </w:pPr>
      <w:r>
        <w:t>The appeal be dismissed</w:t>
      </w:r>
      <w:r w:rsidR="00485209">
        <w:t xml:space="preserve"> with costs</w:t>
      </w:r>
      <w:r>
        <w:t>.</w:t>
      </w:r>
    </w:p>
    <w:p w:rsidR="001A6C52" w:rsidRDefault="001A6C52" w:rsidP="001A6C52">
      <w:pPr>
        <w:pStyle w:val="BodyText"/>
      </w:pPr>
    </w:p>
    <w:p w:rsidR="00A431E6" w:rsidRDefault="00A431E6" w:rsidP="001A6C52">
      <w:pPr>
        <w:pStyle w:val="BodyText"/>
      </w:pPr>
    </w:p>
    <w:p w:rsidR="0050309C" w:rsidRDefault="002D3A09"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073435" w:rsidP="005E0510">
      <w:pPr>
        <w:pStyle w:val="NormalHeadings"/>
        <w:spacing w:line="360" w:lineRule="auto"/>
        <w:jc w:val="left"/>
        <w:rPr>
          <w:sz w:val="26"/>
          <w:szCs w:val="26"/>
        </w:rPr>
      </w:pPr>
      <w:r>
        <w:rPr>
          <w:sz w:val="26"/>
          <w:szCs w:val="26"/>
        </w:rPr>
        <w:t>ANDERSON J</w:t>
      </w:r>
      <w:r w:rsidR="00391AB1">
        <w:rPr>
          <w:sz w:val="26"/>
          <w:szCs w:val="26"/>
        </w:rPr>
        <w:t>:</w:t>
      </w:r>
    </w:p>
    <w:p w:rsidR="00883870" w:rsidRDefault="008C0AE7" w:rsidP="00883870">
      <w:pPr>
        <w:pStyle w:val="ParaNumbering"/>
        <w:tabs>
          <w:tab w:val="clear" w:pos="720"/>
        </w:tabs>
      </w:pPr>
      <w:r w:rsidRPr="008C0AE7">
        <w:t xml:space="preserve">This is an appeal from the decision of the primary judge in the Federal Circuit Court </w:t>
      </w:r>
      <w:r w:rsidR="00DF12DF">
        <w:t xml:space="preserve">(now the Federal Circuit and Family Court of Australia) </w:t>
      </w:r>
      <w:r w:rsidRPr="008C0AE7">
        <w:t xml:space="preserve">dismissing the </w:t>
      </w:r>
      <w:r w:rsidR="00FA33ED">
        <w:t xml:space="preserve">First </w:t>
      </w:r>
      <w:r w:rsidR="00B069F9">
        <w:t>A</w:t>
      </w:r>
      <w:r w:rsidRPr="008C0AE7">
        <w:t>ppellant’s application for judicial review of a decision of the Administrative Appeals Tribunal (</w:t>
      </w:r>
      <w:r w:rsidRPr="008C0AE7">
        <w:rPr>
          <w:b/>
        </w:rPr>
        <w:t>Tribunal</w:t>
      </w:r>
      <w:r w:rsidRPr="008C0AE7">
        <w:t xml:space="preserve">) to affirm the decision of the Minister’s delegate to refuse to grant the </w:t>
      </w:r>
      <w:r w:rsidR="00FA33ED">
        <w:t>First A</w:t>
      </w:r>
      <w:r w:rsidRPr="008C0AE7">
        <w:t>ppellant a protection visa</w:t>
      </w:r>
      <w:r w:rsidR="009B7D9A">
        <w:t>.</w:t>
      </w:r>
    </w:p>
    <w:p w:rsidR="00883870" w:rsidRDefault="00883870" w:rsidP="00883870">
      <w:pPr>
        <w:pStyle w:val="ParaNumbering"/>
        <w:tabs>
          <w:tab w:val="clear" w:pos="720"/>
        </w:tabs>
      </w:pPr>
      <w:r>
        <w:t>CGN17 (</w:t>
      </w:r>
      <w:r w:rsidR="007B1BB6" w:rsidRPr="00103263">
        <w:rPr>
          <w:b/>
        </w:rPr>
        <w:t xml:space="preserve">First </w:t>
      </w:r>
      <w:r w:rsidRPr="006253DF">
        <w:rPr>
          <w:b/>
        </w:rPr>
        <w:t>Appellant</w:t>
      </w:r>
      <w:r>
        <w:t>) is the wife of the CGO17 (</w:t>
      </w:r>
      <w:r w:rsidRPr="006253DF">
        <w:rPr>
          <w:b/>
        </w:rPr>
        <w:t>Second</w:t>
      </w:r>
      <w:r>
        <w:t xml:space="preserve"> </w:t>
      </w:r>
      <w:r w:rsidRPr="006253DF">
        <w:rPr>
          <w:b/>
        </w:rPr>
        <w:t>Appellant</w:t>
      </w:r>
      <w:r>
        <w:t>) and the mother of CGP17 (</w:t>
      </w:r>
      <w:r w:rsidRPr="00D37045">
        <w:rPr>
          <w:b/>
        </w:rPr>
        <w:t>Third</w:t>
      </w:r>
      <w:r>
        <w:t xml:space="preserve"> </w:t>
      </w:r>
      <w:r w:rsidRPr="00D37045">
        <w:rPr>
          <w:b/>
        </w:rPr>
        <w:t>Appellant</w:t>
      </w:r>
      <w:r>
        <w:t>), collectively (</w:t>
      </w:r>
      <w:r>
        <w:rPr>
          <w:b/>
        </w:rPr>
        <w:t>the Appellants</w:t>
      </w:r>
      <w:r>
        <w:t>).</w:t>
      </w:r>
    </w:p>
    <w:p w:rsidR="00883870" w:rsidRDefault="00883870" w:rsidP="00883870">
      <w:pPr>
        <w:pStyle w:val="ParaNumbering"/>
        <w:tabs>
          <w:tab w:val="clear" w:pos="720"/>
        </w:tabs>
      </w:pPr>
      <w:r>
        <w:t xml:space="preserve">The Appellants were self-represented at the hearing and were assisted </w:t>
      </w:r>
      <w:r w:rsidR="00DF12DF">
        <w:t>by</w:t>
      </w:r>
      <w:r w:rsidR="009542A8">
        <w:t xml:space="preserve"> an interpreter.</w:t>
      </w:r>
    </w:p>
    <w:p w:rsidR="00FD14BC" w:rsidRDefault="009B7D9A" w:rsidP="007B2FBE">
      <w:pPr>
        <w:pStyle w:val="Heading1"/>
      </w:pPr>
      <w:r>
        <w:t>Background</w:t>
      </w:r>
    </w:p>
    <w:p w:rsidR="008A2BB8" w:rsidRDefault="008A2BB8" w:rsidP="008A2BB8">
      <w:pPr>
        <w:pStyle w:val="ParaNumbering"/>
      </w:pPr>
      <w:r>
        <w:t xml:space="preserve">On 3 January 2006, the </w:t>
      </w:r>
      <w:r w:rsidR="007B1BB6">
        <w:t xml:space="preserve">First </w:t>
      </w:r>
      <w:r>
        <w:t>Appellant applied for a Skilled Independent Regional (Provisional) Visa, which was refused on 21 December 2006.</w:t>
      </w:r>
    </w:p>
    <w:p w:rsidR="008A2BB8" w:rsidRDefault="008A2BB8" w:rsidP="008A2BB8">
      <w:pPr>
        <w:pStyle w:val="ParaNumbering"/>
      </w:pPr>
      <w:r>
        <w:t xml:space="preserve">In November 2008, the Second Appellant was granted a Subclass 572 Vocational Education and Training Student Visa, and </w:t>
      </w:r>
      <w:r w:rsidR="008D6276">
        <w:t xml:space="preserve">he </w:t>
      </w:r>
      <w:r>
        <w:t>then arrived in Australia on 21 January 2009.</w:t>
      </w:r>
    </w:p>
    <w:p w:rsidR="008A2BB8" w:rsidRDefault="008A2BB8" w:rsidP="008A2BB8">
      <w:pPr>
        <w:pStyle w:val="ParaNumbering"/>
      </w:pPr>
      <w:r>
        <w:t xml:space="preserve">On 20 November 2009, the </w:t>
      </w:r>
      <w:r w:rsidR="007B1BB6">
        <w:t xml:space="preserve">First </w:t>
      </w:r>
      <w:r>
        <w:t>Appellant arrived in Australia as a dependent spouse on the Second Appellant's Student Visa.  The Second Appellant's Student Visa was cancelled in December 2009, as he was found to have breached a limitation on the number of hours he could work</w:t>
      </w:r>
      <w:r w:rsidR="00B55762" w:rsidRPr="00B55762">
        <w:t xml:space="preserve"> </w:t>
      </w:r>
      <w:r w:rsidR="00B55762">
        <w:t>per week</w:t>
      </w:r>
      <w:r>
        <w:t>.</w:t>
      </w:r>
    </w:p>
    <w:p w:rsidR="008A2BB8" w:rsidRDefault="008A2BB8" w:rsidP="008A2BB8">
      <w:pPr>
        <w:pStyle w:val="ParaNumbering"/>
      </w:pPr>
      <w:r>
        <w:t>The Appellants first applied for Protection Visas on 31 October 2011.</w:t>
      </w:r>
    </w:p>
    <w:p w:rsidR="008A2BB8" w:rsidRDefault="008A2BB8" w:rsidP="008A2BB8">
      <w:pPr>
        <w:pStyle w:val="ParaNumbering"/>
      </w:pPr>
      <w:r>
        <w:t>On 23 January 2012, a delegate of the Minister refused to grant the Appellants</w:t>
      </w:r>
      <w:r w:rsidR="009412F1">
        <w:t>’</w:t>
      </w:r>
      <w:r>
        <w:t xml:space="preserve"> Protection Visas.  The delegate ultimately found the </w:t>
      </w:r>
      <w:r w:rsidR="007B1BB6">
        <w:t xml:space="preserve">First </w:t>
      </w:r>
      <w:r>
        <w:t>Appellant's claim not to be credible, and concluded, in the alternative, that it would be possible for the Appellants to relocate within India.</w:t>
      </w:r>
    </w:p>
    <w:p w:rsidR="008A2BB8" w:rsidRDefault="008A2BB8" w:rsidP="00DA1EE2">
      <w:pPr>
        <w:pStyle w:val="ParaNumbering"/>
      </w:pPr>
      <w:r>
        <w:t xml:space="preserve">On 23 January 2012, under s 438(1)(b) of the </w:t>
      </w:r>
      <w:r w:rsidRPr="00D2490F">
        <w:rPr>
          <w:i/>
        </w:rPr>
        <w:t>Migration Act 1958</w:t>
      </w:r>
      <w:r>
        <w:t xml:space="preserve"> (Cth) (</w:t>
      </w:r>
      <w:r w:rsidRPr="007E3C0A">
        <w:rPr>
          <w:b/>
        </w:rPr>
        <w:t>Act</w:t>
      </w:r>
      <w:r>
        <w:t xml:space="preserve">), a delegate of the Minister </w:t>
      </w:r>
      <w:r w:rsidR="00231FC2">
        <w:t>(</w:t>
      </w:r>
      <w:r w:rsidR="00231FC2">
        <w:rPr>
          <w:b/>
        </w:rPr>
        <w:t>delegate</w:t>
      </w:r>
      <w:r w:rsidR="00231FC2">
        <w:t xml:space="preserve">) </w:t>
      </w:r>
      <w:r>
        <w:t>notified the Refugee Review Tribunal that certain folios on the Department</w:t>
      </w:r>
      <w:r w:rsidR="007B1BB6">
        <w:t>al</w:t>
      </w:r>
      <w:r>
        <w:t xml:space="preserve"> File should not be disclosed to the Appellants because </w:t>
      </w:r>
      <w:r w:rsidR="00860F06">
        <w:t>disclosure of the documents would reveal</w:t>
      </w:r>
      <w:r>
        <w:t xml:space="preserve"> person</w:t>
      </w:r>
      <w:r w:rsidR="00860F06">
        <w:t>al information of third parties</w:t>
      </w:r>
      <w:r>
        <w:t>.</w:t>
      </w:r>
      <w:r w:rsidR="00DA1EE2" w:rsidRPr="00DA1EE2">
        <w:t xml:space="preserve"> </w:t>
      </w:r>
      <w:r w:rsidR="00DA1EE2">
        <w:t xml:space="preserve"> The </w:t>
      </w:r>
      <w:r w:rsidR="00DC6639">
        <w:t xml:space="preserve">delegate </w:t>
      </w:r>
      <w:r w:rsidR="00DA1EE2">
        <w:t xml:space="preserve">also considered </w:t>
      </w:r>
      <w:r w:rsidR="00DA1EE2">
        <w:lastRenderedPageBreak/>
        <w:t>that certain folios on the Departmental File</w:t>
      </w:r>
      <w:r w:rsidR="00EF3CE4">
        <w:t xml:space="preserve"> should not be disclosed as it “</w:t>
      </w:r>
      <w:r w:rsidR="00DA1EE2">
        <w:t>would be contrary to the public interest because it contains int</w:t>
      </w:r>
      <w:r w:rsidR="001E51B4">
        <w:t>ernal working documents</w:t>
      </w:r>
      <w:r w:rsidR="00EF3CE4">
        <w:t>”</w:t>
      </w:r>
      <w:r w:rsidR="001E51B4">
        <w:t>.</w:t>
      </w:r>
    </w:p>
    <w:p w:rsidR="008A2BB8" w:rsidRDefault="008A2BB8" w:rsidP="008A2BB8">
      <w:pPr>
        <w:pStyle w:val="ParaNumbering"/>
      </w:pPr>
      <w:r>
        <w:t>On 9 February 2012, the Appellants sought merits review of</w:t>
      </w:r>
      <w:r w:rsidR="005E4DFE">
        <w:t xml:space="preserve"> the delegate's decision to the</w:t>
      </w:r>
      <w:r>
        <w:t xml:space="preserve"> Refugee Review Tribunal.</w:t>
      </w:r>
    </w:p>
    <w:p w:rsidR="008A2BB8" w:rsidRDefault="00B67DC1" w:rsidP="008A2BB8">
      <w:pPr>
        <w:pStyle w:val="ParaNumbering"/>
      </w:pPr>
      <w:r>
        <w:t>On 1 May 2012, the</w:t>
      </w:r>
      <w:r w:rsidR="008A2BB8">
        <w:t xml:space="preserve"> Refugee Review Tribunal affirmed the delegate's decision (</w:t>
      </w:r>
      <w:r w:rsidR="008A2BB8" w:rsidRPr="00B67DC1">
        <w:rPr>
          <w:b/>
        </w:rPr>
        <w:t>first</w:t>
      </w:r>
      <w:r w:rsidR="008A2BB8">
        <w:t xml:space="preserve"> </w:t>
      </w:r>
      <w:r w:rsidR="008A2BB8" w:rsidRPr="00B67DC1">
        <w:rPr>
          <w:b/>
        </w:rPr>
        <w:t>Tribunal</w:t>
      </w:r>
      <w:r w:rsidR="008A2BB8">
        <w:t xml:space="preserve"> </w:t>
      </w:r>
      <w:r w:rsidR="008A2BB8" w:rsidRPr="00B67DC1">
        <w:rPr>
          <w:b/>
        </w:rPr>
        <w:t>decision</w:t>
      </w:r>
      <w:r w:rsidR="008A2BB8">
        <w:t>).</w:t>
      </w:r>
    </w:p>
    <w:p w:rsidR="008A2BB8" w:rsidRDefault="008A2BB8" w:rsidP="00283E91">
      <w:pPr>
        <w:pStyle w:val="ParaNumbering"/>
      </w:pPr>
      <w:r>
        <w:t xml:space="preserve">On 23 </w:t>
      </w:r>
      <w:r w:rsidR="00A351D8">
        <w:t>January 2014, the Court below</w:t>
      </w:r>
      <w:r>
        <w:t xml:space="preserve"> set asi</w:t>
      </w:r>
      <w:r w:rsidR="005E2E0E">
        <w:t>de the first Tribunal decision</w:t>
      </w:r>
      <w:r w:rsidR="00283E91">
        <w:t xml:space="preserve">: </w:t>
      </w:r>
      <w:r w:rsidR="00283E91" w:rsidRPr="00283E91">
        <w:rPr>
          <w:i/>
        </w:rPr>
        <w:t xml:space="preserve">MZZYF &amp; </w:t>
      </w:r>
      <w:proofErr w:type="spellStart"/>
      <w:r w:rsidR="00283E91" w:rsidRPr="00283E91">
        <w:rPr>
          <w:i/>
        </w:rPr>
        <w:t>Ors</w:t>
      </w:r>
      <w:proofErr w:type="spellEnd"/>
      <w:r w:rsidR="00283E91" w:rsidRPr="00283E91">
        <w:rPr>
          <w:i/>
        </w:rPr>
        <w:t xml:space="preserve"> v Minister for Immigration &amp; Anor</w:t>
      </w:r>
      <w:r w:rsidR="00283E91" w:rsidRPr="00283E91">
        <w:t xml:space="preserve"> [2014] FCCA 75 (on the grounds of an apprehension</w:t>
      </w:r>
      <w:r w:rsidR="00283E91">
        <w:t xml:space="preserve"> of bias, at [35])</w:t>
      </w:r>
      <w:r w:rsidR="005E2E0E">
        <w:t>.</w:t>
      </w:r>
    </w:p>
    <w:p w:rsidR="008A2BB8" w:rsidRDefault="00CE690A" w:rsidP="008A2BB8">
      <w:pPr>
        <w:pStyle w:val="ParaNumbering"/>
      </w:pPr>
      <w:r>
        <w:t>On 11 June 2014, the</w:t>
      </w:r>
      <w:r w:rsidR="008A2BB8">
        <w:t xml:space="preserve"> Refugee Review Tribunal affirmed the delegate's decision (</w:t>
      </w:r>
      <w:r w:rsidR="008A2BB8" w:rsidRPr="00CE690A">
        <w:rPr>
          <w:b/>
        </w:rPr>
        <w:t>second</w:t>
      </w:r>
      <w:r w:rsidR="008A2BB8">
        <w:t xml:space="preserve"> </w:t>
      </w:r>
      <w:r w:rsidR="008A2BB8" w:rsidRPr="00CE690A">
        <w:rPr>
          <w:b/>
        </w:rPr>
        <w:t>Tribunal</w:t>
      </w:r>
      <w:r w:rsidR="008A2BB8">
        <w:t xml:space="preserve"> </w:t>
      </w:r>
      <w:r w:rsidR="008A2BB8" w:rsidRPr="00CE690A">
        <w:rPr>
          <w:b/>
        </w:rPr>
        <w:t>decision</w:t>
      </w:r>
      <w:r w:rsidR="008A2BB8">
        <w:t>).</w:t>
      </w:r>
    </w:p>
    <w:p w:rsidR="008A2BB8" w:rsidRDefault="008A2BB8" w:rsidP="00283E91">
      <w:pPr>
        <w:pStyle w:val="ParaNumbering"/>
      </w:pPr>
      <w:r>
        <w:t>On 19 February 2016, the Court below, set aside the second Tribunal decision</w:t>
      </w:r>
      <w:r w:rsidR="00283E91">
        <w:t xml:space="preserve">: </w:t>
      </w:r>
      <w:r w:rsidR="00283E91" w:rsidRPr="00283E91">
        <w:rPr>
          <w:i/>
        </w:rPr>
        <w:t xml:space="preserve">MZAHC &amp; </w:t>
      </w:r>
      <w:proofErr w:type="spellStart"/>
      <w:r w:rsidR="00283E91" w:rsidRPr="00283E91">
        <w:rPr>
          <w:i/>
        </w:rPr>
        <w:t>Ors</w:t>
      </w:r>
      <w:proofErr w:type="spellEnd"/>
      <w:r w:rsidR="00283E91" w:rsidRPr="00283E91">
        <w:rPr>
          <w:i/>
        </w:rPr>
        <w:t xml:space="preserve"> v Minister for Immigration &amp; Anor</w:t>
      </w:r>
      <w:r w:rsidR="00283E91" w:rsidRPr="00283E91">
        <w:t xml:space="preserve"> [2016] FCCA 340 (on grounds that the Tribunal had unreasonably refused the Appellant</w:t>
      </w:r>
      <w:r w:rsidR="00283E91">
        <w:t>s an adjournment of a hearing,</w:t>
      </w:r>
      <w:r w:rsidR="00283E91" w:rsidRPr="00283E91">
        <w:t xml:space="preserve"> at [74]).</w:t>
      </w:r>
    </w:p>
    <w:p w:rsidR="008A2BB8" w:rsidRDefault="008A2BB8" w:rsidP="008A2BB8">
      <w:pPr>
        <w:pStyle w:val="ParaNumbering"/>
      </w:pPr>
      <w:r>
        <w:t>On 8 September 2016, and then on 6 February 2017, the Appellants appeared at a hearing before the Tribunal to give evidence and present arguments.</w:t>
      </w:r>
    </w:p>
    <w:p w:rsidR="008A2BB8" w:rsidRDefault="008A2BB8" w:rsidP="008A2BB8">
      <w:pPr>
        <w:pStyle w:val="ParaNumbering"/>
      </w:pPr>
      <w:r>
        <w:t>On 8 May 2017, the Tribunal affirmed the delegate's decision</w:t>
      </w:r>
      <w:r w:rsidR="00AE6F1F">
        <w:t xml:space="preserve"> (</w:t>
      </w:r>
      <w:r w:rsidR="00AE6F1F">
        <w:rPr>
          <w:b/>
        </w:rPr>
        <w:t>Tribunal Reasons</w:t>
      </w:r>
      <w:r w:rsidR="00AE6F1F">
        <w:t>)</w:t>
      </w:r>
      <w:r>
        <w:t>.</w:t>
      </w:r>
    </w:p>
    <w:p w:rsidR="008A2BB8" w:rsidRDefault="008A2BB8" w:rsidP="003739FA">
      <w:pPr>
        <w:pStyle w:val="Heading2"/>
      </w:pPr>
      <w:r>
        <w:t>THE TRIBUNAL'S DECISION</w:t>
      </w:r>
    </w:p>
    <w:p w:rsidR="008A2BB8" w:rsidRDefault="008A2BB8" w:rsidP="00ED2A31">
      <w:pPr>
        <w:pStyle w:val="ParaNumbering"/>
      </w:pPr>
      <w:r>
        <w:t xml:space="preserve">At </w:t>
      </w:r>
      <w:r w:rsidR="00BC1668">
        <w:t xml:space="preserve">Tribunal Reasons </w:t>
      </w:r>
      <w:r w:rsidR="00FA0532">
        <w:t>[25] to [31],</w:t>
      </w:r>
      <w:r w:rsidR="00EF6C5D">
        <w:t xml:space="preserve"> </w:t>
      </w:r>
      <w:r>
        <w:t xml:space="preserve">the Tribunal set out the </w:t>
      </w:r>
      <w:r w:rsidR="001A2961">
        <w:t>Appellant</w:t>
      </w:r>
      <w:r>
        <w:t>s</w:t>
      </w:r>
      <w:r w:rsidR="001A2961">
        <w:t>’</w:t>
      </w:r>
      <w:r>
        <w:t xml:space="preserve"> claims as contained in the application for the Protection Visas. In essence, </w:t>
      </w:r>
      <w:r w:rsidR="00027CAD">
        <w:t>the Appellants’</w:t>
      </w:r>
      <w:r>
        <w:t xml:space="preserve"> claims to engage Australia's protection obligations stemmed from </w:t>
      </w:r>
      <w:r w:rsidR="00617A12">
        <w:t>the</w:t>
      </w:r>
      <w:r>
        <w:t xml:space="preserve"> </w:t>
      </w:r>
      <w:r w:rsidR="007B1BB6">
        <w:t xml:space="preserve">First </w:t>
      </w:r>
      <w:r w:rsidR="00DA7265">
        <w:t>Appellant’s</w:t>
      </w:r>
      <w:r>
        <w:t xml:space="preserve"> high profile as a prominent member and leader of the Telangana Rashtra Samithi (</w:t>
      </w:r>
      <w:r w:rsidRPr="00E131D2">
        <w:rPr>
          <w:b/>
        </w:rPr>
        <w:t>TRS</w:t>
      </w:r>
      <w:r>
        <w:t>).  Because of this affiliation</w:t>
      </w:r>
      <w:r w:rsidR="00EC7D13">
        <w:t xml:space="preserve"> with the TRS</w:t>
      </w:r>
      <w:r>
        <w:t xml:space="preserve">, the </w:t>
      </w:r>
      <w:r w:rsidR="007B1BB6">
        <w:t xml:space="preserve">First </w:t>
      </w:r>
      <w:r>
        <w:t xml:space="preserve">Appellant's family had </w:t>
      </w:r>
      <w:r w:rsidR="003A424B">
        <w:t xml:space="preserve">purportedly </w:t>
      </w:r>
      <w:r>
        <w:t xml:space="preserve">been subjected to harm by different political factions within Provincial and Federal Governments in Telangana. </w:t>
      </w:r>
      <w:r w:rsidR="007B1BB6">
        <w:t xml:space="preserve"> </w:t>
      </w:r>
      <w:r>
        <w:t xml:space="preserve">State </w:t>
      </w:r>
      <w:r w:rsidR="005702C9">
        <w:t>p</w:t>
      </w:r>
      <w:r>
        <w:t xml:space="preserve">rotection would, on the Appellants' claim, be denied to them.  The Appellants also </w:t>
      </w:r>
      <w:r w:rsidR="00484B94">
        <w:t xml:space="preserve">claimed to </w:t>
      </w:r>
      <w:r>
        <w:t xml:space="preserve">fear harm from a gangster, </w:t>
      </w:r>
      <w:r w:rsidR="00DF7936">
        <w:t>“</w:t>
      </w:r>
      <w:r>
        <w:t>N</w:t>
      </w:r>
      <w:r w:rsidR="00DF7936">
        <w:t>”</w:t>
      </w:r>
      <w:r>
        <w:t>, and his criminal network.</w:t>
      </w:r>
    </w:p>
    <w:p w:rsidR="008A2BB8" w:rsidRDefault="008A2BB8" w:rsidP="008A2BB8">
      <w:pPr>
        <w:pStyle w:val="ParaNumbering"/>
      </w:pPr>
      <w:r>
        <w:t xml:space="preserve">The Tribunal accepted that the </w:t>
      </w:r>
      <w:r w:rsidR="001F360F">
        <w:t xml:space="preserve">First </w:t>
      </w:r>
      <w:r>
        <w:t>Appellant's mother was</w:t>
      </w:r>
      <w:r w:rsidR="001F360F">
        <w:t>,</w:t>
      </w:r>
      <w:r>
        <w:t xml:space="preserve"> and is</w:t>
      </w:r>
      <w:r w:rsidR="001F360F">
        <w:t>,</w:t>
      </w:r>
      <w:r>
        <w:t xml:space="preserve"> a prominent member of TRS, and that she, and her family (including the </w:t>
      </w:r>
      <w:r w:rsidR="001A2961">
        <w:t xml:space="preserve">Second and Third </w:t>
      </w:r>
      <w:r>
        <w:t>Appellants), had been threatened and harassed, before Telangana became a separate State in 2014</w:t>
      </w:r>
      <w:r w:rsidR="002E646C">
        <w:t>:</w:t>
      </w:r>
      <w:r>
        <w:t xml:space="preserve"> </w:t>
      </w:r>
      <w:r w:rsidR="006F4900">
        <w:t xml:space="preserve">Tribunal Reasons </w:t>
      </w:r>
      <w:r>
        <w:lastRenderedPageBreak/>
        <w:t xml:space="preserve">at [49] to [50].  The Tribunal accepted the level of prominence of the </w:t>
      </w:r>
      <w:r w:rsidR="001F360F">
        <w:t xml:space="preserve">First </w:t>
      </w:r>
      <w:r>
        <w:t>Appellant's mother within political circles</w:t>
      </w:r>
      <w:r w:rsidR="002E646C">
        <w:t xml:space="preserve">: </w:t>
      </w:r>
      <w:r w:rsidR="006D361A">
        <w:t xml:space="preserve">Tribunal Reasons at </w:t>
      </w:r>
      <w:r>
        <w:t>[51] to [52].  The Tribunal also concluded that there was less than a remote chance that the Appellants would be threatened or harmed or suffer serious harm based on the political tensions arising from the Telangana Separatist Movement</w:t>
      </w:r>
      <w:r w:rsidR="002E646C">
        <w:t>:</w:t>
      </w:r>
      <w:r>
        <w:t xml:space="preserve"> </w:t>
      </w:r>
      <w:r w:rsidR="00072666">
        <w:t xml:space="preserve">Tribunal Reasons at </w:t>
      </w:r>
      <w:r>
        <w:t xml:space="preserve">[55], [67].  In essence, the rise of </w:t>
      </w:r>
      <w:r w:rsidR="00221191">
        <w:t xml:space="preserve">Telangana </w:t>
      </w:r>
      <w:r>
        <w:t>as a separate State was a significant change in circumstances more favourable to the Appellants' position.</w:t>
      </w:r>
    </w:p>
    <w:p w:rsidR="008A2BB8" w:rsidRDefault="008A2BB8" w:rsidP="008A2BB8">
      <w:pPr>
        <w:pStyle w:val="ParaNumbering"/>
      </w:pPr>
      <w:r>
        <w:t xml:space="preserve">At </w:t>
      </w:r>
      <w:r w:rsidR="0096106F">
        <w:t xml:space="preserve">Tribunal Reasons </w:t>
      </w:r>
      <w:r>
        <w:t>[57], the Tribunal did not accept that there was a real chance that the Appellants would suffer serious harm on the basis of being from a lower</w:t>
      </w:r>
      <w:r w:rsidR="0059220E">
        <w:t xml:space="preserve"> </w:t>
      </w:r>
      <w:r>
        <w:t>caste if they were to return to India.</w:t>
      </w:r>
    </w:p>
    <w:p w:rsidR="008A2BB8" w:rsidRDefault="008A2BB8" w:rsidP="008A2BB8">
      <w:pPr>
        <w:pStyle w:val="ParaNumbering"/>
      </w:pPr>
      <w:r>
        <w:t>The Tribunal then went on to consider the experience of the Appella</w:t>
      </w:r>
      <w:r w:rsidR="00621F68">
        <w:t>nts arising from their fear of</w:t>
      </w:r>
      <w:r>
        <w:t xml:space="preserve"> </w:t>
      </w:r>
      <w:r w:rsidR="00FD11B1">
        <w:t>“</w:t>
      </w:r>
      <w:r>
        <w:t>N</w:t>
      </w:r>
      <w:r w:rsidR="00FD11B1">
        <w:t>”</w:t>
      </w:r>
      <w:r>
        <w:t>, and his criminal network.  The Tribunal accepted that the Second Appellant's father's farm had been burnt down in 2008, and that the Appellants had experienced threats over many years</w:t>
      </w:r>
      <w:r w:rsidR="00400B36">
        <w:t>, including threats to the</w:t>
      </w:r>
      <w:r>
        <w:t xml:space="preserve"> Third Appellant</w:t>
      </w:r>
      <w:r w:rsidR="007447C9">
        <w:t>:</w:t>
      </w:r>
      <w:r>
        <w:t xml:space="preserve"> </w:t>
      </w:r>
      <w:r w:rsidR="004C373C">
        <w:t xml:space="preserve">Tribunal Reasons at </w:t>
      </w:r>
      <w:r>
        <w:t xml:space="preserve">[66].  The Tribunal also found that the </w:t>
      </w:r>
      <w:r w:rsidR="001F360F">
        <w:t xml:space="preserve">First </w:t>
      </w:r>
      <w:r>
        <w:t xml:space="preserve">Appellant's mother had continued to be threatened and harassed in her home village after she had been elected to office, and that the </w:t>
      </w:r>
      <w:r w:rsidR="001F360F">
        <w:t xml:space="preserve">First </w:t>
      </w:r>
      <w:r>
        <w:t>Appellant's siblings had experienced minor incidents when they retu</w:t>
      </w:r>
      <w:r w:rsidR="007030E5">
        <w:t>rned to their mother’</w:t>
      </w:r>
      <w:r w:rsidR="007447C9">
        <w:t xml:space="preserve">s village: </w:t>
      </w:r>
      <w:r w:rsidR="004C373C">
        <w:t xml:space="preserve">Tribunal Reasons at </w:t>
      </w:r>
      <w:r>
        <w:t>[68].</w:t>
      </w:r>
    </w:p>
    <w:p w:rsidR="008A2BB8" w:rsidRDefault="00C70EAD" w:rsidP="008A2BB8">
      <w:pPr>
        <w:pStyle w:val="ParaNumbering"/>
      </w:pPr>
      <w:r>
        <w:t>At Tribunal Reasons [</w:t>
      </w:r>
      <w:r w:rsidR="008A2BB8">
        <w:t>69], based on information presented to it,</w:t>
      </w:r>
      <w:r w:rsidR="004A307F">
        <w:t xml:space="preserve"> the Tribunal concluded that</w:t>
      </w:r>
      <w:r w:rsidR="008A2BB8">
        <w:t xml:space="preserve"> </w:t>
      </w:r>
      <w:r w:rsidR="004A307F">
        <w:t>“</w:t>
      </w:r>
      <w:r w:rsidR="008A2BB8">
        <w:t>N</w:t>
      </w:r>
      <w:r w:rsidR="004A307F">
        <w:t>”</w:t>
      </w:r>
      <w:r w:rsidR="008A2BB8">
        <w:t xml:space="preserve"> had been killed in August 2016, and that the police had arrested many members of </w:t>
      </w:r>
      <w:r w:rsidR="002A4CD3">
        <w:t>“</w:t>
      </w:r>
      <w:r w:rsidR="008A2BB8">
        <w:t>N's</w:t>
      </w:r>
      <w:r w:rsidR="002A4CD3">
        <w:t>”</w:t>
      </w:r>
      <w:r w:rsidR="008A2BB8">
        <w:t xml:space="preserve"> criminal network. At</w:t>
      </w:r>
      <w:r w:rsidRPr="00C70EAD">
        <w:t xml:space="preserve"> </w:t>
      </w:r>
      <w:r>
        <w:t xml:space="preserve">Tribunal Reasons </w:t>
      </w:r>
      <w:r w:rsidR="008A2BB8">
        <w:t>[70] and [71], the Tribunal found:</w:t>
      </w:r>
    </w:p>
    <w:p w:rsidR="008A2BB8" w:rsidRDefault="008A2BB8" w:rsidP="00C70EAD">
      <w:pPr>
        <w:pStyle w:val="Quote1"/>
      </w:pPr>
      <w:r>
        <w:t>While the Tribunal has considerable doubts that the remnants of [N's] network would be interested and able to pursue the [Appellants] if they returned to India, the Tribunal also accepts the [</w:t>
      </w:r>
      <w:r w:rsidR="00FA33ED">
        <w:t xml:space="preserve">First </w:t>
      </w:r>
      <w:r>
        <w:t>Appellant's and Second Appellant's] oral evidence that the [</w:t>
      </w:r>
      <w:r w:rsidR="00FA33ED">
        <w:t xml:space="preserve">First </w:t>
      </w:r>
      <w:r>
        <w:t>Appellant's] mother continues to be harassed and threatened about holding meetings in her home village, and that the [</w:t>
      </w:r>
      <w:r w:rsidR="00FA33ED">
        <w:t xml:space="preserve">First </w:t>
      </w:r>
      <w:r>
        <w:t>Appellant's] siblings have experienced minor incidents when visiting their mother's village.</w:t>
      </w:r>
    </w:p>
    <w:p w:rsidR="008A2BB8" w:rsidRDefault="008A2BB8" w:rsidP="00C70EAD">
      <w:pPr>
        <w:pStyle w:val="Quote1"/>
      </w:pPr>
      <w:r>
        <w:t>Therefore, and not without some doubt, the Tribunal accepts there is a real chance the [Appellants] would be threatened and harassed and possibly suffer serious harm, if they returned to the [</w:t>
      </w:r>
      <w:r w:rsidR="00FA33ED">
        <w:t xml:space="preserve">First </w:t>
      </w:r>
      <w:r>
        <w:t>Appellant's] village in India, from local remnants of [N's] network, due to the [</w:t>
      </w:r>
      <w:r w:rsidR="00FA33ED">
        <w:t xml:space="preserve">First </w:t>
      </w:r>
      <w:r>
        <w:t>Appellant's] mother's political opinion.</w:t>
      </w:r>
    </w:p>
    <w:p w:rsidR="008A2BB8" w:rsidRDefault="008A2BB8" w:rsidP="008A2BB8">
      <w:pPr>
        <w:pStyle w:val="ParaNumbering"/>
      </w:pPr>
      <w:r>
        <w:t xml:space="preserve">At </w:t>
      </w:r>
      <w:r w:rsidR="0096106F">
        <w:t xml:space="preserve">Tribunal Reasons </w:t>
      </w:r>
      <w:r>
        <w:t xml:space="preserve">[72] to [103], the Tribunal considered whether the Appellants would face a real chance of serious harm </w:t>
      </w:r>
      <w:r w:rsidR="00B61215">
        <w:t xml:space="preserve">in India. </w:t>
      </w:r>
      <w:r w:rsidR="001F360F">
        <w:t xml:space="preserve"> </w:t>
      </w:r>
      <w:r w:rsidR="00B61215">
        <w:t>T</w:t>
      </w:r>
      <w:r>
        <w:t>he Tribunal:</w:t>
      </w:r>
    </w:p>
    <w:p w:rsidR="008A2BB8" w:rsidRDefault="008A2BB8" w:rsidP="00C70EAD">
      <w:pPr>
        <w:pStyle w:val="ListNo2"/>
      </w:pPr>
      <w:r>
        <w:lastRenderedPageBreak/>
        <w:t xml:space="preserve">did not accept that </w:t>
      </w:r>
      <w:r w:rsidR="007E4CE1">
        <w:t>“</w:t>
      </w:r>
      <w:r>
        <w:t>N's</w:t>
      </w:r>
      <w:r w:rsidR="007E4CE1">
        <w:t>”</w:t>
      </w:r>
      <w:r>
        <w:t xml:space="preserve"> network and associates </w:t>
      </w:r>
      <w:r w:rsidR="00F75360">
        <w:t>existed</w:t>
      </w:r>
      <w:r>
        <w:t xml:space="preserve"> throughout India, or would continue to operate in a coordinated manner t</w:t>
      </w:r>
      <w:r w:rsidR="0096106F">
        <w:t xml:space="preserve">o find and harm the Appellants: </w:t>
      </w:r>
      <w:r w:rsidR="00C70EAD">
        <w:t xml:space="preserve">Tribunal Reasons at </w:t>
      </w:r>
      <w:r w:rsidR="0096106F">
        <w:t>[96]</w:t>
      </w:r>
      <w:r>
        <w:t>;</w:t>
      </w:r>
    </w:p>
    <w:p w:rsidR="008A2BB8" w:rsidRDefault="008A2BB8" w:rsidP="00C70EAD">
      <w:pPr>
        <w:pStyle w:val="ListNo2"/>
      </w:pPr>
      <w:r>
        <w:t>found while there was a risk of serious harm that the Appellant</w:t>
      </w:r>
      <w:r w:rsidR="001F360F">
        <w:t>s</w:t>
      </w:r>
      <w:r>
        <w:t xml:space="preserve"> might face in the </w:t>
      </w:r>
      <w:r w:rsidR="001F360F">
        <w:t xml:space="preserve">First </w:t>
      </w:r>
      <w:r>
        <w:t>Appellant's mother's home village, that risk was "localised and opportunistic, rather than co-ordinated and planned and far-reaching"</w:t>
      </w:r>
      <w:r w:rsidR="0096106F">
        <w:t>:</w:t>
      </w:r>
      <w:r>
        <w:t xml:space="preserve"> </w:t>
      </w:r>
      <w:r w:rsidR="00416A8F">
        <w:t xml:space="preserve">Tribunal Reasons at </w:t>
      </w:r>
      <w:r>
        <w:t>[98].</w:t>
      </w:r>
      <w:r w:rsidR="001F360F">
        <w:t xml:space="preserve"> </w:t>
      </w:r>
      <w:r>
        <w:t xml:space="preserve"> There was no one looking for the Appellant</w:t>
      </w:r>
      <w:r w:rsidR="001F360F">
        <w:t>s</w:t>
      </w:r>
      <w:r>
        <w:t xml:space="preserve"> in India outside of the </w:t>
      </w:r>
      <w:r w:rsidR="001F360F">
        <w:t xml:space="preserve">First </w:t>
      </w:r>
      <w:r>
        <w:t>Appellant's mother's village in any event</w:t>
      </w:r>
      <w:r w:rsidR="0096106F">
        <w:t>:</w:t>
      </w:r>
      <w:r>
        <w:t xml:space="preserve"> </w:t>
      </w:r>
      <w:r w:rsidR="00416A8F">
        <w:t xml:space="preserve">Tribunal Reasons at </w:t>
      </w:r>
      <w:r w:rsidR="0096106F">
        <w:t>[98]</w:t>
      </w:r>
      <w:r>
        <w:t>;</w:t>
      </w:r>
    </w:p>
    <w:p w:rsidR="008A2BB8" w:rsidRDefault="008A2BB8" w:rsidP="00C70EAD">
      <w:pPr>
        <w:pStyle w:val="ListNo2"/>
      </w:pPr>
      <w:r>
        <w:t xml:space="preserve">was satisfied that, having regard to the </w:t>
      </w:r>
      <w:r w:rsidR="001F360F">
        <w:t xml:space="preserve">First </w:t>
      </w:r>
      <w:r>
        <w:t xml:space="preserve">Appellant's and the Second Appellant's qualifications, work experience and language skills, the </w:t>
      </w:r>
      <w:r w:rsidR="001F360F">
        <w:t xml:space="preserve">First </w:t>
      </w:r>
      <w:r>
        <w:t>Appellant and the Second Appellant could find employment and provide for their family on return to India</w:t>
      </w:r>
      <w:r w:rsidR="0096106F">
        <w:t>:</w:t>
      </w:r>
      <w:r>
        <w:t xml:space="preserve"> </w:t>
      </w:r>
      <w:r w:rsidR="00416A8F">
        <w:t xml:space="preserve">Tribunal Reasons at </w:t>
      </w:r>
      <w:r>
        <w:t>[100];</w:t>
      </w:r>
    </w:p>
    <w:p w:rsidR="008A2BB8" w:rsidRDefault="008A2BB8" w:rsidP="00C70EAD">
      <w:pPr>
        <w:pStyle w:val="ListNo2"/>
      </w:pPr>
      <w:r>
        <w:t xml:space="preserve">found that, having regard to the </w:t>
      </w:r>
      <w:r w:rsidR="001F360F">
        <w:t xml:space="preserve">First </w:t>
      </w:r>
      <w:r>
        <w:t>Appellant'</w:t>
      </w:r>
      <w:r w:rsidR="001F360F">
        <w:t>s</w:t>
      </w:r>
      <w:r>
        <w:t xml:space="preserve"> particular circumstances, the Appellants could return to India, and "reasonably, as in practically, relocate away from the risk of harm in the [</w:t>
      </w:r>
      <w:r w:rsidR="001F360F">
        <w:t xml:space="preserve">First </w:t>
      </w:r>
      <w:r>
        <w:t>Appellant's] mother's home village, such as to New Delhi or Chennai or Mumbai"</w:t>
      </w:r>
      <w:r w:rsidR="00314CF1">
        <w:t>:</w:t>
      </w:r>
      <w:r>
        <w:t xml:space="preserve"> </w:t>
      </w:r>
      <w:r w:rsidR="00C856E2">
        <w:t xml:space="preserve">Tribunal Reasons at </w:t>
      </w:r>
      <w:r>
        <w:t>[101].</w:t>
      </w:r>
    </w:p>
    <w:p w:rsidR="008A2BB8" w:rsidRDefault="008A2BB8" w:rsidP="008A2BB8">
      <w:pPr>
        <w:pStyle w:val="ParaNumbering"/>
      </w:pPr>
      <w:r>
        <w:t>The Tribunal concluded that the Appellants would not face a well-founded fear of persecution, and were ineligible for Protection Visas under s 36(2)(a) of the Act</w:t>
      </w:r>
      <w:r w:rsidR="00314CF1">
        <w:t>:</w:t>
      </w:r>
      <w:r>
        <w:t xml:space="preserve"> </w:t>
      </w:r>
      <w:r w:rsidR="00C856E2">
        <w:t xml:space="preserve">Tribunal Reasons at </w:t>
      </w:r>
      <w:r>
        <w:t>[102], [103], and [117].</w:t>
      </w:r>
    </w:p>
    <w:p w:rsidR="008A2BB8" w:rsidRDefault="008A2BB8" w:rsidP="008A2BB8">
      <w:pPr>
        <w:pStyle w:val="ParaNumbering"/>
      </w:pPr>
      <w:r>
        <w:t xml:space="preserve">The Tribunal then considered whether the Appellants were eligible for Protection Visas under s 36(2)(aa) of the Act.  For similar reasons, the Tribunal concluded that the Appellants would face a real risk of being threatened and harassed and might possibly suffer significant harm if they returned to the Appellant's mother's village in India from the local remnants of </w:t>
      </w:r>
      <w:r w:rsidR="005C74C3">
        <w:t>“</w:t>
      </w:r>
      <w:r>
        <w:t>N's</w:t>
      </w:r>
      <w:r w:rsidR="005C74C3">
        <w:t>”</w:t>
      </w:r>
      <w:r>
        <w:t xml:space="preserve"> network due to the </w:t>
      </w:r>
      <w:r w:rsidR="001F360F">
        <w:t xml:space="preserve">First </w:t>
      </w:r>
      <w:r>
        <w:t>Appellant's mother's political opinion</w:t>
      </w:r>
      <w:r w:rsidR="00314CF1">
        <w:t>:</w:t>
      </w:r>
      <w:r>
        <w:t xml:space="preserve"> </w:t>
      </w:r>
      <w:r w:rsidR="00AE3289">
        <w:t xml:space="preserve">Tribunal Reasons at </w:t>
      </w:r>
      <w:r>
        <w:t xml:space="preserve">[107] to [110].  However, the Tribunal similarly concluded that the Appellants would not face a real risk of significant harm if they were to relocate away from the identified risk of harm in the </w:t>
      </w:r>
      <w:r w:rsidR="001F360F">
        <w:t xml:space="preserve">First </w:t>
      </w:r>
      <w:r>
        <w:t>Appellant's mother's village (</w:t>
      </w:r>
      <w:r w:rsidR="00AE3289">
        <w:t xml:space="preserve">Tribunal Reasons at </w:t>
      </w:r>
      <w:r>
        <w:t>[113]).  The Tribunal concluded that the significant risk was deemed not to be a real risk under s 36(2B)(a) of the Act</w:t>
      </w:r>
      <w:r w:rsidR="00314CF1">
        <w:t>:</w:t>
      </w:r>
      <w:r>
        <w:t xml:space="preserve"> </w:t>
      </w:r>
      <w:r w:rsidR="00AE3289">
        <w:t xml:space="preserve">Tribunal Reasons at </w:t>
      </w:r>
      <w:r>
        <w:t>[114].</w:t>
      </w:r>
    </w:p>
    <w:p w:rsidR="008A2BB8" w:rsidRDefault="008A2BB8" w:rsidP="008A2BB8">
      <w:pPr>
        <w:pStyle w:val="ParaNumbering"/>
      </w:pPr>
      <w:r>
        <w:t>The Tribunal concluded that the Appellants were i</w:t>
      </w:r>
      <w:r w:rsidR="004D264E">
        <w:t xml:space="preserve">neligible for Protection Visas </w:t>
      </w:r>
      <w:r w:rsidR="00DA0BB4">
        <w:t>(</w:t>
      </w:r>
      <w:r w:rsidR="00AE3289">
        <w:t xml:space="preserve">Tribunal Reasons at </w:t>
      </w:r>
      <w:r>
        <w:t xml:space="preserve">[115] </w:t>
      </w:r>
      <w:r w:rsidR="004D264E">
        <w:t>to [118]</w:t>
      </w:r>
      <w:r w:rsidR="00DA0BB4">
        <w:t>)</w:t>
      </w:r>
      <w:r>
        <w:t>, and affirmed the delegate's decision</w:t>
      </w:r>
      <w:r w:rsidR="004D264E">
        <w:t xml:space="preserve"> at</w:t>
      </w:r>
      <w:r>
        <w:t xml:space="preserve"> </w:t>
      </w:r>
      <w:r w:rsidR="00AE3289">
        <w:t xml:space="preserve">Tribunal Reasons at </w:t>
      </w:r>
      <w:r>
        <w:t>[119].</w:t>
      </w:r>
    </w:p>
    <w:p w:rsidR="008A2BB8" w:rsidRDefault="008A2BB8" w:rsidP="00AE3289">
      <w:pPr>
        <w:pStyle w:val="Heading1"/>
      </w:pPr>
      <w:r>
        <w:lastRenderedPageBreak/>
        <w:t>PRIMARY JUDGMENT</w:t>
      </w:r>
    </w:p>
    <w:p w:rsidR="008A2BB8" w:rsidRDefault="00A92BC5" w:rsidP="008A2BB8">
      <w:pPr>
        <w:pStyle w:val="ParaNumbering"/>
      </w:pPr>
      <w:r>
        <w:t>In the Primary Judgment, the</w:t>
      </w:r>
      <w:r w:rsidR="00BA12FA">
        <w:t xml:space="preserve"> </w:t>
      </w:r>
      <w:r w:rsidR="00757DB8">
        <w:t>p</w:t>
      </w:r>
      <w:r w:rsidR="00BA12FA">
        <w:t xml:space="preserve">rimary </w:t>
      </w:r>
      <w:r w:rsidR="00757DB8">
        <w:t>j</w:t>
      </w:r>
      <w:r w:rsidR="00BA12FA">
        <w:t>udge</w:t>
      </w:r>
      <w:r w:rsidR="008A2BB8">
        <w:t xml:space="preserve"> </w:t>
      </w:r>
      <w:r>
        <w:t xml:space="preserve">made the following </w:t>
      </w:r>
      <w:r w:rsidR="00EC5968">
        <w:t>observations</w:t>
      </w:r>
      <w:r w:rsidR="008A2BB8">
        <w:t>:</w:t>
      </w:r>
      <w:r w:rsidR="00907776">
        <w:t xml:space="preserve"> </w:t>
      </w:r>
    </w:p>
    <w:p w:rsidR="008A2BB8" w:rsidRDefault="008A2BB8" w:rsidP="00820EE9">
      <w:pPr>
        <w:pStyle w:val="ListNo2"/>
        <w:numPr>
          <w:ilvl w:val="1"/>
          <w:numId w:val="35"/>
        </w:numPr>
      </w:pPr>
      <w:r>
        <w:t xml:space="preserve">The </w:t>
      </w:r>
      <w:r w:rsidR="00757DB8">
        <w:t>p</w:t>
      </w:r>
      <w:r w:rsidR="002B5717">
        <w:t xml:space="preserve">rimary </w:t>
      </w:r>
      <w:r w:rsidR="00757DB8">
        <w:t>j</w:t>
      </w:r>
      <w:r w:rsidR="002B5717">
        <w:t xml:space="preserve">udge </w:t>
      </w:r>
      <w:r>
        <w:t xml:space="preserve">had regard to one of the </w:t>
      </w:r>
      <w:r w:rsidR="00122EAE">
        <w:t>documents that had</w:t>
      </w:r>
      <w:r>
        <w:t xml:space="preserve"> been subject to s 438(1) of the Act, namely the "Community Status Resolution Part 1 - Client Case Plan", which the Appellants asserted gave rise to a denial of procedural fairness because they did not have the opportunity before the Tribunal to comment upon the content therein</w:t>
      </w:r>
      <w:r w:rsidR="00222219">
        <w:t>:</w:t>
      </w:r>
      <w:r>
        <w:t xml:space="preserve"> </w:t>
      </w:r>
      <w:r w:rsidR="0017488E">
        <w:t xml:space="preserve">Primary </w:t>
      </w:r>
      <w:r>
        <w:t>Judgment at [82]-[83], [100].</w:t>
      </w:r>
      <w:r w:rsidR="001F360F">
        <w:t xml:space="preserve"> </w:t>
      </w:r>
      <w:r>
        <w:t xml:space="preserve"> In essence, the Appellants contended that this information undermined their claim to face any risk of harm upon return.</w:t>
      </w:r>
    </w:p>
    <w:p w:rsidR="008A2BB8" w:rsidRDefault="008A2BB8" w:rsidP="00FA556B">
      <w:pPr>
        <w:pStyle w:val="ListNo2"/>
        <w:numPr>
          <w:ilvl w:val="1"/>
          <w:numId w:val="35"/>
        </w:numPr>
      </w:pPr>
      <w:r>
        <w:t xml:space="preserve">The </w:t>
      </w:r>
      <w:r w:rsidR="00757DB8">
        <w:t>p</w:t>
      </w:r>
      <w:r w:rsidR="00514406">
        <w:t xml:space="preserve">rimary </w:t>
      </w:r>
      <w:r w:rsidR="00757DB8">
        <w:t>j</w:t>
      </w:r>
      <w:r w:rsidR="00514406">
        <w:t xml:space="preserve">udge </w:t>
      </w:r>
      <w:r>
        <w:t>concluded that the specific document at [28(a)] could not have led to any realistic possibility of a different outcome if the Appellants had been given the opportunity to comment upon the content</w:t>
      </w:r>
      <w:r w:rsidR="00222219">
        <w:t>:</w:t>
      </w:r>
      <w:r>
        <w:t xml:space="preserve"> </w:t>
      </w:r>
      <w:r w:rsidR="0017488E">
        <w:t xml:space="preserve">Primary </w:t>
      </w:r>
      <w:r>
        <w:t xml:space="preserve">Judgment at [107]-[112]. </w:t>
      </w:r>
      <w:r w:rsidR="001F360F">
        <w:t xml:space="preserve"> </w:t>
      </w:r>
      <w:r>
        <w:t xml:space="preserve">This was because the document had to be viewed in proper factual context (pre-dating the </w:t>
      </w:r>
      <w:r w:rsidR="00581314">
        <w:t>P</w:t>
      </w:r>
      <w:r>
        <w:t xml:space="preserve">rotection </w:t>
      </w:r>
      <w:r w:rsidR="00581314">
        <w:t>V</w:t>
      </w:r>
      <w:r>
        <w:t xml:space="preserve">isa application) and went only to a discrete factual issue (the ability of the Appellants to seek financial assistance to return to India at a particular point in time). </w:t>
      </w:r>
      <w:r w:rsidR="001F360F">
        <w:t xml:space="preserve"> </w:t>
      </w:r>
      <w:r>
        <w:t xml:space="preserve">In any event, the Court below considered that the Tribunal's </w:t>
      </w:r>
      <w:r w:rsidR="001F360F">
        <w:t>R</w:t>
      </w:r>
      <w:r>
        <w:t xml:space="preserve">easons could not fairly be construed as having taken this discrete information into account in its dispositive reasoning. </w:t>
      </w:r>
      <w:r w:rsidR="001F360F">
        <w:t xml:space="preserve"> </w:t>
      </w:r>
      <w:r>
        <w:t>On that footing, there could not possibly have been a different outcome if procedural fairness had been properly afforded before the Tribunal as to the document.</w:t>
      </w:r>
    </w:p>
    <w:p w:rsidR="00FD14BC" w:rsidRDefault="00514406" w:rsidP="00FA556B">
      <w:pPr>
        <w:pStyle w:val="ListNo2"/>
        <w:numPr>
          <w:ilvl w:val="1"/>
          <w:numId w:val="35"/>
        </w:numPr>
      </w:pPr>
      <w:r>
        <w:t xml:space="preserve">The </w:t>
      </w:r>
      <w:r w:rsidR="00757DB8">
        <w:t>p</w:t>
      </w:r>
      <w:r>
        <w:t xml:space="preserve">rimary </w:t>
      </w:r>
      <w:r w:rsidR="00757DB8">
        <w:t>j</w:t>
      </w:r>
      <w:r>
        <w:t xml:space="preserve">udge </w:t>
      </w:r>
      <w:r w:rsidR="008A2BB8">
        <w:t>also considered that none of the other documents could have had any material impact or affect upon the Tribunal's review</w:t>
      </w:r>
      <w:r w:rsidR="00720053">
        <w:t>:</w:t>
      </w:r>
      <w:r w:rsidR="008A2BB8">
        <w:t xml:space="preserve"> </w:t>
      </w:r>
      <w:r w:rsidR="0017488E">
        <w:t xml:space="preserve">Primary </w:t>
      </w:r>
      <w:r w:rsidR="00720053">
        <w:t>Judgment at [103]-[106]</w:t>
      </w:r>
      <w:r w:rsidR="008A2BB8">
        <w:t>.</w:t>
      </w:r>
    </w:p>
    <w:p w:rsidR="009B7D9A" w:rsidRDefault="009B7D9A" w:rsidP="009B7D9A">
      <w:pPr>
        <w:pStyle w:val="Heading1"/>
      </w:pPr>
      <w:r>
        <w:t>Ground</w:t>
      </w:r>
      <w:r w:rsidR="002C4DCD">
        <w:t>s</w:t>
      </w:r>
      <w:r>
        <w:t xml:space="preserve"> of appeal</w:t>
      </w:r>
    </w:p>
    <w:p w:rsidR="009B7D9A" w:rsidRDefault="007A417C" w:rsidP="009B7D9A">
      <w:pPr>
        <w:pStyle w:val="ParaNumbering"/>
      </w:pPr>
      <w:r>
        <w:t xml:space="preserve">The </w:t>
      </w:r>
      <w:r w:rsidR="0042303E">
        <w:t>A</w:t>
      </w:r>
      <w:r>
        <w:t xml:space="preserve">ppellants’ </w:t>
      </w:r>
      <w:r w:rsidR="0042303E">
        <w:t>amended notice of appeal</w:t>
      </w:r>
      <w:r w:rsidR="00C8021C">
        <w:t>,</w:t>
      </w:r>
      <w:r w:rsidR="0042303E">
        <w:t xml:space="preserve"> filed 22 November 2019, </w:t>
      </w:r>
      <w:r w:rsidR="00803B37">
        <w:t>lists eight grounds of appeal.  These are:</w:t>
      </w:r>
    </w:p>
    <w:p w:rsidR="00803B37" w:rsidRDefault="00803B37" w:rsidP="00803B37">
      <w:pPr>
        <w:pStyle w:val="Quote1"/>
      </w:pPr>
      <w:r>
        <w:t>1. That the learned Judge erred in dismissing the review and not according substantial justice to the applicants.</w:t>
      </w:r>
    </w:p>
    <w:p w:rsidR="00803B37" w:rsidRDefault="00803B37" w:rsidP="00803B37">
      <w:pPr>
        <w:pStyle w:val="Quote1"/>
      </w:pPr>
      <w:r>
        <w:t>2. That the learned Judge erred in dismissing the appellants</w:t>
      </w:r>
      <w:r w:rsidR="00061421">
        <w:t>’</w:t>
      </w:r>
      <w:r>
        <w:t xml:space="preserve"> review application at hearing without considering the merits of the case.</w:t>
      </w:r>
    </w:p>
    <w:p w:rsidR="00803B37" w:rsidRDefault="00803B37" w:rsidP="00803B37">
      <w:pPr>
        <w:pStyle w:val="Quote1"/>
      </w:pPr>
      <w:r>
        <w:t>3. That the learned Judge erred in dismissing the appellants' application filed on 26 May</w:t>
      </w:r>
      <w:r w:rsidR="0072242C">
        <w:t xml:space="preserve"> </w:t>
      </w:r>
      <w:r>
        <w:t xml:space="preserve">2017 without hearing the applicant's arguments on documents subject to s 438(1) </w:t>
      </w:r>
      <w:r>
        <w:lastRenderedPageBreak/>
        <w:t>of the Act</w:t>
      </w:r>
    </w:p>
    <w:p w:rsidR="00803B37" w:rsidRDefault="00803B37" w:rsidP="00803B37">
      <w:pPr>
        <w:pStyle w:val="Quote1"/>
      </w:pPr>
      <w:r>
        <w:t>4. The learned Judge erred in not considering Invalid notification will result in jurisdictional error if and only if, the notification is material. Judge erred in not applying High court recent decision CQZ15 v MINISTER FOR IMMIGRATION AND BORDER PROTECTION &amp; ANOR;</w:t>
      </w:r>
    </w:p>
    <w:p w:rsidR="00803B37" w:rsidRDefault="00803B37" w:rsidP="00803B37">
      <w:pPr>
        <w:pStyle w:val="Quote1"/>
      </w:pPr>
      <w:r>
        <w:t>5. The learned Judge erred in finding that the notification is not material, where the relevance of Notification is to be determined by Tribunal not by court.</w:t>
      </w:r>
    </w:p>
    <w:p w:rsidR="00803B37" w:rsidRDefault="00803B37" w:rsidP="00803B37">
      <w:pPr>
        <w:pStyle w:val="Quote1"/>
      </w:pPr>
      <w:r>
        <w:t>6. The learned judge erred in finding that the notification is not material relied on the Immigration Department's policy and policy is not law.</w:t>
      </w:r>
    </w:p>
    <w:p w:rsidR="00803B37" w:rsidRDefault="00803B37" w:rsidP="00803B37">
      <w:pPr>
        <w:pStyle w:val="Quote1"/>
      </w:pPr>
      <w:r>
        <w:t>7. The appellants' application clearly raises an arguable case.</w:t>
      </w:r>
    </w:p>
    <w:p w:rsidR="00803B37" w:rsidRPr="009B7D9A" w:rsidRDefault="00803B37" w:rsidP="00803B37">
      <w:pPr>
        <w:pStyle w:val="Quote1"/>
      </w:pPr>
      <w:r>
        <w:t>8. The learned Judge erred in not remitting the application to Tribunal to decide notification relevance, it failed to accord to the Applicants procedural fairness and natural justice.</w:t>
      </w:r>
    </w:p>
    <w:p w:rsidR="005F74F6" w:rsidRDefault="007E686C" w:rsidP="007E686C">
      <w:pPr>
        <w:pStyle w:val="ParaNumbering"/>
      </w:pPr>
      <w:r>
        <w:t xml:space="preserve">The Appellants also filed an outline of written submissions </w:t>
      </w:r>
      <w:r w:rsidR="00803B37">
        <w:t>dated</w:t>
      </w:r>
      <w:r>
        <w:t xml:space="preserve"> 7 April 2022. </w:t>
      </w:r>
      <w:r w:rsidR="00C11EC8">
        <w:t xml:space="preserve"> </w:t>
      </w:r>
      <w:r>
        <w:t xml:space="preserve">The outline is disconnected from the grounds of appeal. </w:t>
      </w:r>
    </w:p>
    <w:p w:rsidR="008A3548" w:rsidRDefault="007E686C" w:rsidP="007E686C">
      <w:pPr>
        <w:pStyle w:val="ParaNumbering"/>
      </w:pPr>
      <w:r>
        <w:t xml:space="preserve">A sole ground of “review” is </w:t>
      </w:r>
      <w:r w:rsidR="00635223">
        <w:t xml:space="preserve">found </w:t>
      </w:r>
      <w:r w:rsidR="00E9726E">
        <w:t>at</w:t>
      </w:r>
      <w:r>
        <w:t xml:space="preserve"> [</w:t>
      </w:r>
      <w:r w:rsidR="00E9726E">
        <w:t>19</w:t>
      </w:r>
      <w:r>
        <w:t xml:space="preserve">] of the </w:t>
      </w:r>
      <w:r w:rsidR="00E9726E">
        <w:t xml:space="preserve">Appellants’ </w:t>
      </w:r>
      <w:r>
        <w:t>written submission</w:t>
      </w:r>
      <w:r w:rsidR="008A3548">
        <w:t xml:space="preserve"> which states</w:t>
      </w:r>
      <w:r>
        <w:t xml:space="preserve">: “Failed to consider relevant considerations and misconstrued and misapplied s 91R(1) and S(5) of the [Act and] did not comply with Section 414 of [the Act]”. </w:t>
      </w:r>
    </w:p>
    <w:p w:rsidR="007E686C" w:rsidRDefault="007E686C" w:rsidP="007E686C">
      <w:pPr>
        <w:pStyle w:val="ParaNumbering"/>
      </w:pPr>
      <w:r>
        <w:t>Thereafter, the written submissions make the following generic statements:</w:t>
      </w:r>
    </w:p>
    <w:p w:rsidR="007E686C" w:rsidRDefault="007E686C" w:rsidP="0084501C">
      <w:pPr>
        <w:pStyle w:val="ListNo1alt"/>
      </w:pPr>
      <w:r>
        <w:t xml:space="preserve">The Tribunal has to give “proper, genuine and realistic” consideration to the Appellants’ case (see, [20], [23], [24], and [26]). </w:t>
      </w:r>
      <w:r w:rsidR="00C11EC8">
        <w:t xml:space="preserve"> </w:t>
      </w:r>
      <w:r>
        <w:t xml:space="preserve">References are then made to </w:t>
      </w:r>
      <w:r w:rsidRPr="005F74F6">
        <w:rPr>
          <w:i/>
        </w:rPr>
        <w:t>Minister for Home Affa</w:t>
      </w:r>
      <w:r w:rsidR="00965505" w:rsidRPr="005F74F6">
        <w:rPr>
          <w:i/>
        </w:rPr>
        <w:t xml:space="preserve">irs v Omar </w:t>
      </w:r>
      <w:r w:rsidR="00965505">
        <w:t>(2019) 272 FCR 589,</w:t>
      </w:r>
      <w:r>
        <w:t xml:space="preserve"> </w:t>
      </w:r>
      <w:r w:rsidRPr="005F74F6">
        <w:rPr>
          <w:i/>
        </w:rPr>
        <w:t>Hindi v Minister for Immigration &amp; Ethnic Affairs</w:t>
      </w:r>
      <w:r>
        <w:t xml:space="preserve"> (</w:t>
      </w:r>
      <w:r w:rsidR="00965505">
        <w:t>1988) 20 FCR 1,</w:t>
      </w:r>
      <w:r>
        <w:t xml:space="preserve"> and </w:t>
      </w:r>
      <w:r w:rsidRPr="005F74F6">
        <w:rPr>
          <w:i/>
        </w:rPr>
        <w:t>Khatri &amp; Anor v Minister for Immig</w:t>
      </w:r>
      <w:r w:rsidR="00965505" w:rsidRPr="005F74F6">
        <w:rPr>
          <w:i/>
        </w:rPr>
        <w:t>ration &amp; Anor</w:t>
      </w:r>
      <w:r w:rsidR="00965505">
        <w:t xml:space="preserve"> [2015] FCCA 407.</w:t>
      </w:r>
    </w:p>
    <w:p w:rsidR="007E686C" w:rsidRDefault="007E686C" w:rsidP="0084501C">
      <w:pPr>
        <w:pStyle w:val="ListNo1alt"/>
      </w:pPr>
      <w:r>
        <w:t xml:space="preserve">The Tribunal has to afford procedural </w:t>
      </w:r>
      <w:r w:rsidR="00C11EC8" w:rsidRPr="00496194">
        <w:t>fairness</w:t>
      </w:r>
      <w:r w:rsidR="00C11EC8">
        <w:rPr>
          <w:b/>
        </w:rPr>
        <w:t xml:space="preserve"> </w:t>
      </w:r>
      <w:r>
        <w:t xml:space="preserve">by identifying the critical issue not apparent from the decision (see, [21]). </w:t>
      </w:r>
      <w:r w:rsidR="00C11EC8">
        <w:t xml:space="preserve"> </w:t>
      </w:r>
      <w:r>
        <w:t xml:space="preserve">Reference is then made to </w:t>
      </w:r>
      <w:r w:rsidRPr="00965505">
        <w:rPr>
          <w:i/>
        </w:rPr>
        <w:t>Minister for Immigration and Citizensh</w:t>
      </w:r>
      <w:r w:rsidR="00965505" w:rsidRPr="00965505">
        <w:rPr>
          <w:i/>
        </w:rPr>
        <w:t xml:space="preserve">ip v SZGUR </w:t>
      </w:r>
      <w:r w:rsidR="00965505">
        <w:t>(2011) 241 CLR 594.</w:t>
      </w:r>
    </w:p>
    <w:p w:rsidR="007E686C" w:rsidRDefault="007E686C" w:rsidP="0084501C">
      <w:pPr>
        <w:pStyle w:val="ListNo1alt"/>
      </w:pPr>
      <w:r>
        <w:t xml:space="preserve">Reference is then made to </w:t>
      </w:r>
      <w:r w:rsidRPr="00103263">
        <w:rPr>
          <w:i/>
        </w:rPr>
        <w:t>Plaintiff M64/2015 v Minister for Immigration and Border Protection</w:t>
      </w:r>
      <w:r>
        <w:t xml:space="preserve"> (2015) 258 CLR 173 (“considering limited refugee visa number was regarded as relevant and not irrelevant consideration”) (see,</w:t>
      </w:r>
      <w:r w:rsidRPr="007E686C">
        <w:t xml:space="preserve"> </w:t>
      </w:r>
      <w:r>
        <w:t xml:space="preserve">[22]), </w:t>
      </w:r>
      <w:r w:rsidRPr="00965505">
        <w:rPr>
          <w:i/>
        </w:rPr>
        <w:t>Minister for Aboriginal Affairs v Peko Wallsend Ltd</w:t>
      </w:r>
      <w:r>
        <w:t xml:space="preserve"> (1986) 162 CLR 24 (“The Court held that a minister had to consider a third-party mining company’s interest in a native title decision”) (see, [24]), and </w:t>
      </w:r>
      <w:r w:rsidRPr="00965505">
        <w:rPr>
          <w:i/>
        </w:rPr>
        <w:t>AVQ15 v Minister for Immigration and Border Protection</w:t>
      </w:r>
      <w:r>
        <w:t xml:space="preserve"> </w:t>
      </w:r>
      <w:r>
        <w:lastRenderedPageBreak/>
        <w:t>(2018) 266 FCR 83 (“The Tribunal was, with appropriate caution, entitled to rely upon inconsistency in assessing the applicant’s credibility”) (see, [25]).</w:t>
      </w:r>
    </w:p>
    <w:p w:rsidR="00BF3213" w:rsidRDefault="00BF3213" w:rsidP="007E686C">
      <w:pPr>
        <w:pStyle w:val="ParaNumbering"/>
      </w:pPr>
      <w:r>
        <w:t xml:space="preserve">These cases also appear to have no relevant connection to the facts or circumstances </w:t>
      </w:r>
      <w:r w:rsidR="00287750">
        <w:t xml:space="preserve">that </w:t>
      </w:r>
      <w:r w:rsidR="005537B3">
        <w:t>arise in</w:t>
      </w:r>
      <w:r>
        <w:t xml:space="preserve"> this appeal.</w:t>
      </w:r>
    </w:p>
    <w:p w:rsidR="007E686C" w:rsidRDefault="008B0E98" w:rsidP="007E686C">
      <w:pPr>
        <w:pStyle w:val="ParaNumbering"/>
      </w:pPr>
      <w:r w:rsidRPr="00C1551A">
        <w:t xml:space="preserve">The Appellants have also referred to additional cases in their accompanying list of authorities but </w:t>
      </w:r>
      <w:r w:rsidR="00106353">
        <w:t>t</w:t>
      </w:r>
      <w:r w:rsidR="00F53955">
        <w:t>he</w:t>
      </w:r>
      <w:r w:rsidRPr="00C1551A">
        <w:t xml:space="preserve"> cases appear to have no relevant connection to the facts or circumstances of this appeal</w:t>
      </w:r>
      <w:r w:rsidRPr="00DA1E7A">
        <w:t>.</w:t>
      </w:r>
    </w:p>
    <w:p w:rsidR="00D406D7" w:rsidRDefault="00D406D7" w:rsidP="00D406D7">
      <w:pPr>
        <w:pStyle w:val="Heading1"/>
      </w:pPr>
      <w:r>
        <w:t>Minister’s response to the grounds of appeal</w:t>
      </w:r>
    </w:p>
    <w:p w:rsidR="00B7541B" w:rsidRDefault="00D406D7" w:rsidP="00D406D7">
      <w:pPr>
        <w:pStyle w:val="ParaNumbering"/>
      </w:pPr>
      <w:r>
        <w:t xml:space="preserve">The Minister submits that grounds </w:t>
      </w:r>
      <w:r w:rsidR="0052641E">
        <w:t xml:space="preserve">1, </w:t>
      </w:r>
      <w:r>
        <w:t>2</w:t>
      </w:r>
      <w:r w:rsidR="0052641E">
        <w:t xml:space="preserve"> and </w:t>
      </w:r>
      <w:r>
        <w:t xml:space="preserve">7 are no more than generic complaints as to the merits of the </w:t>
      </w:r>
      <w:r w:rsidR="00B7541B">
        <w:t xml:space="preserve">Primary </w:t>
      </w:r>
      <w:r>
        <w:t xml:space="preserve">Judgment, and do not demonstrate </w:t>
      </w:r>
      <w:proofErr w:type="spellStart"/>
      <w:r>
        <w:t>appe</w:t>
      </w:r>
      <w:r w:rsidR="00707B3D">
        <w:t>l</w:t>
      </w:r>
      <w:r w:rsidR="00B17E5D">
        <w:t>l</w:t>
      </w:r>
      <w:r>
        <w:t>able</w:t>
      </w:r>
      <w:proofErr w:type="spellEnd"/>
      <w:r>
        <w:t xml:space="preserve"> error. </w:t>
      </w:r>
    </w:p>
    <w:p w:rsidR="00D406D7" w:rsidRDefault="0052641E" w:rsidP="00D406D7">
      <w:pPr>
        <w:pStyle w:val="ParaNumbering"/>
      </w:pPr>
      <w:r>
        <w:t>As to items 3-</w:t>
      </w:r>
      <w:r w:rsidR="00D406D7">
        <w:t xml:space="preserve">6, the </w:t>
      </w:r>
      <w:r w:rsidR="00B17E5D">
        <w:t>Minister contends:</w:t>
      </w:r>
    </w:p>
    <w:p w:rsidR="00D406D7" w:rsidRDefault="00D406D7" w:rsidP="00E10C12">
      <w:pPr>
        <w:pStyle w:val="ListNo1alt"/>
        <w:numPr>
          <w:ilvl w:val="0"/>
          <w:numId w:val="37"/>
        </w:numPr>
      </w:pPr>
      <w:r>
        <w:t xml:space="preserve">The Appellants were clearly heard and afforded procedural fairness in the Court below as to the arguments they raised about the effect of the invalid notification/certificate under s 438(1) of the Act (see </w:t>
      </w:r>
      <w:r w:rsidR="00FC4137">
        <w:t>P</w:t>
      </w:r>
      <w:r w:rsidR="004E7DC4">
        <w:t xml:space="preserve">rimary </w:t>
      </w:r>
      <w:r>
        <w:t xml:space="preserve">Judgment at [81]-[83], [110]). </w:t>
      </w:r>
      <w:r w:rsidR="00B17E5D">
        <w:t xml:space="preserve"> </w:t>
      </w:r>
      <w:r>
        <w:t>That the Court below did not accept their submission does not mean that they were denied procedural fairness.</w:t>
      </w:r>
    </w:p>
    <w:p w:rsidR="00D406D7" w:rsidRDefault="00D406D7" w:rsidP="00FA556B">
      <w:pPr>
        <w:pStyle w:val="ListNo1alt"/>
        <w:numPr>
          <w:ilvl w:val="0"/>
          <w:numId w:val="37"/>
        </w:numPr>
      </w:pPr>
      <w:r>
        <w:t xml:space="preserve">The Court below clearly had regard to the applicable High Court authority, </w:t>
      </w:r>
      <w:r w:rsidRPr="00FA556B">
        <w:rPr>
          <w:i/>
        </w:rPr>
        <w:t>Minister for Immigration and Border Protection v SZMTA</w:t>
      </w:r>
      <w:r w:rsidRPr="00E14CDE">
        <w:t xml:space="preserve"> (2019) 264 CLR 421 </w:t>
      </w:r>
      <w:r w:rsidR="0093001F">
        <w:t>(see</w:t>
      </w:r>
      <w:r>
        <w:t xml:space="preserve"> </w:t>
      </w:r>
      <w:r w:rsidR="00FC4137">
        <w:t xml:space="preserve">Primary </w:t>
      </w:r>
      <w:r>
        <w:t>Judgment at [89]-[98]).</w:t>
      </w:r>
    </w:p>
    <w:p w:rsidR="00D406D7" w:rsidRDefault="00D406D7" w:rsidP="00FA556B">
      <w:pPr>
        <w:pStyle w:val="ListNo1alt"/>
        <w:numPr>
          <w:ilvl w:val="0"/>
          <w:numId w:val="37"/>
        </w:numPr>
      </w:pPr>
      <w:r>
        <w:t>It was clearly the task of the Court to determine, for itself, whether or not jurisdictional error was manifest by the Tribunal not disclosing the materials subject to the invalid notification/certifi</w:t>
      </w:r>
      <w:r w:rsidR="00AF5043">
        <w:t>cate under s 438(1) of the Act.</w:t>
      </w:r>
    </w:p>
    <w:p w:rsidR="00D406D7" w:rsidRDefault="00D406D7" w:rsidP="00FA556B">
      <w:pPr>
        <w:pStyle w:val="ListNo1alt"/>
        <w:numPr>
          <w:ilvl w:val="0"/>
          <w:numId w:val="37"/>
        </w:numPr>
      </w:pPr>
      <w:r>
        <w:t>The Appellants do not identify (and cannot identify) the Court having applied any “Immigration Policy” erroneously.</w:t>
      </w:r>
    </w:p>
    <w:p w:rsidR="00D406D7" w:rsidRDefault="00D406D7" w:rsidP="00FA556B">
      <w:pPr>
        <w:pStyle w:val="ListNo1alt"/>
        <w:numPr>
          <w:ilvl w:val="0"/>
          <w:numId w:val="37"/>
        </w:numPr>
      </w:pPr>
      <w:r>
        <w:t>For the reasons given by the Court below, it was entirely correct to conclude that there was no “materiality” to the non-disclosure of the materials subject to the invalid notification/certificate under s 438(1) of the Act.</w:t>
      </w:r>
      <w:r w:rsidR="00FC4137">
        <w:t xml:space="preserve"> </w:t>
      </w:r>
      <w:r>
        <w:t xml:space="preserve"> The Appellants bore the onus of establishing t</w:t>
      </w:r>
      <w:r w:rsidR="00216476">
        <w:t>hat there was a material error,</w:t>
      </w:r>
      <w:r>
        <w:t xml:space="preserve"> and failed to discharge that onus in the Court below.</w:t>
      </w:r>
    </w:p>
    <w:p w:rsidR="00867B71" w:rsidRDefault="00D406D7" w:rsidP="00216476">
      <w:pPr>
        <w:pStyle w:val="ParaNumbering"/>
      </w:pPr>
      <w:r w:rsidRPr="00D406D7">
        <w:lastRenderedPageBreak/>
        <w:t xml:space="preserve">As to the written submissions, the Minister’s principal response is that each matter referred to above is no more than an impermissible attempt at merits review of the Tribunal’s decision. </w:t>
      </w:r>
    </w:p>
    <w:p w:rsidR="00D406D7" w:rsidRDefault="00D406D7" w:rsidP="00216476">
      <w:pPr>
        <w:pStyle w:val="ParaNumbering"/>
      </w:pPr>
      <w:r w:rsidRPr="00D406D7">
        <w:t xml:space="preserve">The Appellants make no attempt to identify how there is any jurisdictional error in the process of reasoning, or in the process of hearing, of the Appellants’ claims to engage Australia’s protection obligations. </w:t>
      </w:r>
      <w:r w:rsidR="00FC4137">
        <w:t xml:space="preserve"> </w:t>
      </w:r>
      <w:r w:rsidRPr="00D406D7">
        <w:t>The Tribunal correctly applied the relevant law to the facts, did not deny the Appellants a meaningful opportunity to be heard on the dispositive issu</w:t>
      </w:r>
      <w:r w:rsidR="00216476">
        <w:t>es;</w:t>
      </w:r>
      <w:r w:rsidRPr="00D406D7">
        <w:t xml:space="preserve"> and did not make findings which give rise to any conclusion of irrationality, illogicality or unreasonableness</w:t>
      </w:r>
      <w:r w:rsidR="00216476">
        <w:t xml:space="preserve">: </w:t>
      </w:r>
      <w:r w:rsidR="00621D77">
        <w:t>se</w:t>
      </w:r>
      <w:r w:rsidR="00216476" w:rsidRPr="00216476">
        <w:t xml:space="preserve">, generally, </w:t>
      </w:r>
      <w:r w:rsidR="00216476" w:rsidRPr="00E14CDE">
        <w:rPr>
          <w:i/>
        </w:rPr>
        <w:t xml:space="preserve">AVQ15 v Minister for Immigration and Border Protection </w:t>
      </w:r>
      <w:r w:rsidR="00216476" w:rsidRPr="00E14CDE">
        <w:t>(2018) 266 FCR 83</w:t>
      </w:r>
      <w:r w:rsidR="00216476" w:rsidRPr="00216476">
        <w:t>.</w:t>
      </w:r>
      <w:r w:rsidRPr="00D406D7">
        <w:t xml:space="preserve"> </w:t>
      </w:r>
      <w:r w:rsidR="00FC4137">
        <w:t xml:space="preserve"> </w:t>
      </w:r>
      <w:r w:rsidRPr="00D406D7">
        <w:t xml:space="preserve">The specific cases cited by </w:t>
      </w:r>
      <w:r w:rsidR="00621D77">
        <w:t>the Appellants at [30]</w:t>
      </w:r>
      <w:r w:rsidRPr="00D406D7">
        <w:t xml:space="preserve"> above</w:t>
      </w:r>
      <w:r w:rsidR="00FC4137">
        <w:t>,</w:t>
      </w:r>
      <w:r w:rsidRPr="00D406D7">
        <w:t xml:space="preserve"> either have no direct bearing on the facts and circumstances of this appeal, or are entirely distinguishable in the circumstances.</w:t>
      </w:r>
    </w:p>
    <w:p w:rsidR="008A3548" w:rsidRDefault="008A3548" w:rsidP="008A3548">
      <w:pPr>
        <w:pStyle w:val="Heading1"/>
      </w:pPr>
      <w:r>
        <w:t>Consideration</w:t>
      </w:r>
    </w:p>
    <w:p w:rsidR="008A3548" w:rsidRDefault="002B0DAE" w:rsidP="007E686C">
      <w:pPr>
        <w:pStyle w:val="ParaNumbering"/>
      </w:pPr>
      <w:r>
        <w:t xml:space="preserve">I am not persuaded that the </w:t>
      </w:r>
      <w:r w:rsidR="006412EF">
        <w:t xml:space="preserve">grounds of appeal demonstrate an </w:t>
      </w:r>
      <w:proofErr w:type="spellStart"/>
      <w:r w:rsidR="006412EF">
        <w:t>appe</w:t>
      </w:r>
      <w:r w:rsidR="00FC4137">
        <w:t>l</w:t>
      </w:r>
      <w:r w:rsidR="001477D0">
        <w:t>l</w:t>
      </w:r>
      <w:r w:rsidR="006412EF">
        <w:t>able</w:t>
      </w:r>
      <w:proofErr w:type="spellEnd"/>
      <w:r w:rsidR="006412EF">
        <w:t xml:space="preserve"> error.</w:t>
      </w:r>
    </w:p>
    <w:p w:rsidR="006412EF" w:rsidRDefault="006412EF" w:rsidP="007E686C">
      <w:pPr>
        <w:pStyle w:val="ParaNumbering"/>
      </w:pPr>
      <w:r>
        <w:t>Grounds of appeal 1, 2 and 7 are no more than general complaints and do not articulate any error by the primary judge.</w:t>
      </w:r>
    </w:p>
    <w:p w:rsidR="000E42F2" w:rsidRDefault="006412EF" w:rsidP="00E25ED1">
      <w:pPr>
        <w:pStyle w:val="ParaNumbering"/>
      </w:pPr>
      <w:r w:rsidRPr="000E42F2">
        <w:t>In relation to g</w:t>
      </w:r>
      <w:r w:rsidR="00621D77">
        <w:t>rounds of appeal 3 - 6</w:t>
      </w:r>
      <w:r w:rsidRPr="000E42F2">
        <w:t xml:space="preserve"> </w:t>
      </w:r>
      <w:r w:rsidR="000E42F2" w:rsidRPr="000E42F2">
        <w:t>the Court below did not accept the</w:t>
      </w:r>
      <w:r w:rsidR="00BC476A">
        <w:t xml:space="preserve"> Appellants’</w:t>
      </w:r>
      <w:r w:rsidR="000E42F2" w:rsidRPr="000E42F2">
        <w:t xml:space="preserve"> submission</w:t>
      </w:r>
      <w:r w:rsidR="00243AA3">
        <w:t>s.  T</w:t>
      </w:r>
      <w:r w:rsidR="00BC476A">
        <w:t>his</w:t>
      </w:r>
      <w:r w:rsidR="00243AA3">
        <w:t>,</w:t>
      </w:r>
      <w:r w:rsidR="00BC476A">
        <w:t xml:space="preserve"> of course</w:t>
      </w:r>
      <w:r w:rsidR="00243AA3">
        <w:t>,</w:t>
      </w:r>
      <w:r w:rsidR="000E42F2" w:rsidRPr="000E42F2">
        <w:t xml:space="preserve"> does not mean that they were denied procedural fairness. </w:t>
      </w:r>
    </w:p>
    <w:p w:rsidR="00BC476A" w:rsidRDefault="00BC476A" w:rsidP="00BC476A">
      <w:pPr>
        <w:pStyle w:val="ParaNumbering"/>
      </w:pPr>
      <w:r>
        <w:t>The Court below clearly had regard to the applicable High Court authority,</w:t>
      </w:r>
      <w:r w:rsidR="00243AA3">
        <w:t xml:space="preserve"> including</w:t>
      </w:r>
      <w:r>
        <w:t xml:space="preserve"> </w:t>
      </w:r>
      <w:r w:rsidRPr="00E14CDE">
        <w:rPr>
          <w:i/>
        </w:rPr>
        <w:t xml:space="preserve">Minister for Immigration and Border Protection v SZMTA </w:t>
      </w:r>
      <w:r w:rsidRPr="00C20C7C">
        <w:t>(2019) 264 CLR 421</w:t>
      </w:r>
      <w:r w:rsidR="00F53A39">
        <w:t>:</w:t>
      </w:r>
      <w:r>
        <w:t xml:space="preserve"> Primary Judgment at [89]-[98].</w:t>
      </w:r>
    </w:p>
    <w:p w:rsidR="006412EF" w:rsidRDefault="000E42F2" w:rsidP="000E42F2">
      <w:pPr>
        <w:pStyle w:val="ParaNumbering"/>
      </w:pPr>
      <w:r>
        <w:t>The primary judge</w:t>
      </w:r>
      <w:r w:rsidR="006412EF" w:rsidRPr="006412EF">
        <w:t xml:space="preserve"> was entirely correct to conclude that there was no “materiality” to the non-disclosure of the materials subject to the invalid notification/certificate under s 438(1) of the Act. </w:t>
      </w:r>
      <w:r w:rsidR="006412EF">
        <w:t xml:space="preserve"> </w:t>
      </w:r>
      <w:r w:rsidR="006412EF" w:rsidRPr="006412EF">
        <w:t xml:space="preserve">The Appellants bore the onus of establishing that there was a material error, and failed to discharge that onus in the Court below. </w:t>
      </w:r>
    </w:p>
    <w:p w:rsidR="004F32D5" w:rsidRPr="006412EF" w:rsidRDefault="004F32D5" w:rsidP="000E42F2">
      <w:pPr>
        <w:pStyle w:val="ParaNumbering"/>
      </w:pPr>
      <w:r>
        <w:t xml:space="preserve">During oral submissions, the </w:t>
      </w:r>
      <w:r w:rsidR="00061421">
        <w:t xml:space="preserve">First </w:t>
      </w:r>
      <w:r>
        <w:t xml:space="preserve">Appellant made reference to a public statement from a current member of parliament in India which </w:t>
      </w:r>
      <w:r w:rsidR="00A04110">
        <w:t>he</w:t>
      </w:r>
      <w:r>
        <w:t xml:space="preserve"> said amounted to a threat.  The Second Appellant also made reference to a threatening phone call that was made to the Second Appellant’s father.  The Minister, in oral submissions, submitted that these matters were not before the Tribunal in 2017</w:t>
      </w:r>
      <w:r w:rsidR="007D381F">
        <w:t>,</w:t>
      </w:r>
      <w:r>
        <w:t xml:space="preserve"> and indeed only occurred some five years later.  The Minister submitted that </w:t>
      </w:r>
      <w:r w:rsidRPr="004F32D5">
        <w:t>I cannot consider fresh evidence</w:t>
      </w:r>
      <w:r>
        <w:t xml:space="preserve"> of this kind </w:t>
      </w:r>
      <w:r w:rsidRPr="004F32D5">
        <w:t xml:space="preserve">on an appeal from judicial review </w:t>
      </w:r>
      <w:r w:rsidRPr="004F32D5">
        <w:lastRenderedPageBreak/>
        <w:t>proceedings in the Federal Circuit Court</w:t>
      </w:r>
      <w:r>
        <w:t xml:space="preserve"> citing</w:t>
      </w:r>
      <w:r w:rsidR="00C32589">
        <w:t>:</w:t>
      </w:r>
      <w:r>
        <w:t xml:space="preserve"> </w:t>
      </w:r>
      <w:r w:rsidRPr="00E14CDE">
        <w:rPr>
          <w:i/>
        </w:rPr>
        <w:t>BZB</w:t>
      </w:r>
      <w:r w:rsidRPr="00E14CDE">
        <w:rPr>
          <w:i/>
          <w:szCs w:val="24"/>
        </w:rPr>
        <w:t>16 v Minister for Immigration and Border Protection</w:t>
      </w:r>
      <w:r w:rsidRPr="00E14CDE">
        <w:rPr>
          <w:szCs w:val="24"/>
        </w:rPr>
        <w:t xml:space="preserve"> [2019] FCA 1253</w:t>
      </w:r>
      <w:r w:rsidRPr="004F32D5">
        <w:rPr>
          <w:szCs w:val="24"/>
        </w:rPr>
        <w:t xml:space="preserve"> per Steward J at [17] and </w:t>
      </w:r>
      <w:r w:rsidRPr="00E14CDE">
        <w:rPr>
          <w:i/>
          <w:iCs/>
          <w:color w:val="000000"/>
          <w:szCs w:val="24"/>
          <w:bdr w:val="none" w:sz="0" w:space="0" w:color="auto" w:frame="1"/>
          <w:shd w:val="clear" w:color="auto" w:fill="FFFFFF"/>
        </w:rPr>
        <w:t>MZXLD v Minister for Immigration and Citizenship</w:t>
      </w:r>
      <w:r w:rsidRPr="00E14CDE">
        <w:rPr>
          <w:color w:val="000000"/>
          <w:szCs w:val="24"/>
          <w:bdr w:val="none" w:sz="0" w:space="0" w:color="auto" w:frame="1"/>
          <w:shd w:val="clear" w:color="auto" w:fill="FFFFFF"/>
        </w:rPr>
        <w:t> [2007] FCA 1912</w:t>
      </w:r>
      <w:r w:rsidRPr="004F32D5">
        <w:rPr>
          <w:color w:val="000000"/>
          <w:szCs w:val="24"/>
          <w:bdr w:val="none" w:sz="0" w:space="0" w:color="auto" w:frame="1"/>
          <w:shd w:val="clear" w:color="auto" w:fill="FFFFFF"/>
        </w:rPr>
        <w:t xml:space="preserve"> at [10]-[11] per Gordon J</w:t>
      </w:r>
      <w:r w:rsidRPr="004F32D5">
        <w:rPr>
          <w:szCs w:val="24"/>
        </w:rPr>
        <w:t>.</w:t>
      </w:r>
      <w:r w:rsidR="005C00CC">
        <w:rPr>
          <w:szCs w:val="24"/>
        </w:rPr>
        <w:t xml:space="preserve">  I agree with the Minister</w:t>
      </w:r>
      <w:r w:rsidR="00137D10">
        <w:rPr>
          <w:szCs w:val="24"/>
        </w:rPr>
        <w:t>’s submission</w:t>
      </w:r>
      <w:r w:rsidR="005C00CC">
        <w:rPr>
          <w:szCs w:val="24"/>
        </w:rPr>
        <w:t xml:space="preserve"> and I will not consider these matters</w:t>
      </w:r>
      <w:r w:rsidR="00322F51">
        <w:rPr>
          <w:szCs w:val="24"/>
        </w:rPr>
        <w:t>, which amount to fresh evidence</w:t>
      </w:r>
      <w:r w:rsidR="00E72548">
        <w:rPr>
          <w:szCs w:val="24"/>
        </w:rPr>
        <w:t>,</w:t>
      </w:r>
      <w:r w:rsidR="005C00CC">
        <w:rPr>
          <w:szCs w:val="24"/>
        </w:rPr>
        <w:t xml:space="preserve"> further.</w:t>
      </w:r>
    </w:p>
    <w:p w:rsidR="00D406D7" w:rsidRDefault="00D406D7" w:rsidP="00D406D7">
      <w:pPr>
        <w:pStyle w:val="Heading1"/>
      </w:pPr>
      <w:r>
        <w:t>Disposition</w:t>
      </w:r>
    </w:p>
    <w:p w:rsidR="00D406D7" w:rsidRPr="00D406D7" w:rsidRDefault="005A05F0" w:rsidP="00EF11BC">
      <w:pPr>
        <w:pStyle w:val="ParaNumbering"/>
      </w:pPr>
      <w:r>
        <w:t>For the reasons outlined above, t</w:t>
      </w:r>
      <w:r w:rsidR="00D406D7">
        <w:t>he appeal will be dismissed with costs.</w:t>
      </w:r>
    </w:p>
    <w:tbl>
      <w:tblPr>
        <w:tblW w:w="0" w:type="auto"/>
        <w:tblLook w:val="04A0" w:firstRow="1" w:lastRow="0" w:firstColumn="1" w:lastColumn="0" w:noHBand="0" w:noVBand="1"/>
      </w:tblPr>
      <w:tblGrid>
        <w:gridCol w:w="3794"/>
      </w:tblGrid>
      <w:tr w:rsidR="00F670E3" w:rsidRPr="00F670E3">
        <w:tc>
          <w:tcPr>
            <w:tcW w:w="3794" w:type="dxa"/>
            <w:shd w:val="clear" w:color="auto" w:fill="auto"/>
          </w:tcPr>
          <w:p w:rsidR="00F670E3" w:rsidRPr="00F670E3" w:rsidRDefault="00F670E3" w:rsidP="00DE377A">
            <w:pPr>
              <w:pStyle w:val="Normal1linespace"/>
            </w:pPr>
            <w:bookmarkStart w:id="22" w:name="Certification"/>
            <w:r w:rsidRPr="00F670E3">
              <w:t xml:space="preserve">I certify that the preceding </w:t>
            </w:r>
            <w:bookmarkStart w:id="23" w:name="NumberWord"/>
            <w:r>
              <w:t>forty-</w:t>
            </w:r>
            <w:bookmarkEnd w:id="23"/>
            <w:r w:rsidR="00DE377A">
              <w:t>three</w:t>
            </w:r>
            <w:r w:rsidRPr="00F670E3">
              <w:t xml:space="preserve"> (</w:t>
            </w:r>
            <w:bookmarkStart w:id="24" w:name="NumberNumeral"/>
            <w:r>
              <w:t>4</w:t>
            </w:r>
            <w:bookmarkEnd w:id="24"/>
            <w:r w:rsidR="00DE377A">
              <w:t>3</w:t>
            </w:r>
            <w:r w:rsidRPr="00F670E3">
              <w:t xml:space="preserve">) numbered </w:t>
            </w:r>
            <w:bookmarkStart w:id="25" w:name="CertPara"/>
            <w:r>
              <w:t>paragraphs are</w:t>
            </w:r>
            <w:bookmarkEnd w:id="25"/>
            <w:r w:rsidRPr="00F670E3">
              <w:t xml:space="preserve"> a true copy of the Reasons for Judgment of </w:t>
            </w:r>
            <w:bookmarkStart w:id="26" w:name="bkHonourable"/>
            <w:r w:rsidRPr="00F670E3">
              <w:t xml:space="preserve">the Honourable </w:t>
            </w:r>
            <w:bookmarkStart w:id="27" w:name="Justice"/>
            <w:bookmarkEnd w:id="26"/>
            <w:r>
              <w:t>Justice Anderson</w:t>
            </w:r>
            <w:bookmarkEnd w:id="27"/>
            <w:r w:rsidRPr="00F670E3">
              <w:t>.</w:t>
            </w:r>
          </w:p>
        </w:tc>
      </w:tr>
    </w:tbl>
    <w:p w:rsidR="00F670E3" w:rsidRDefault="00F670E3" w:rsidP="00815065">
      <w:pPr>
        <w:pStyle w:val="BodyText"/>
      </w:pPr>
    </w:p>
    <w:p w:rsidR="00F670E3" w:rsidRDefault="00F670E3" w:rsidP="00815065">
      <w:pPr>
        <w:pStyle w:val="BodyText"/>
      </w:pPr>
      <w:r>
        <w:t xml:space="preserve">Associate: </w:t>
      </w:r>
    </w:p>
    <w:p w:rsidR="00F670E3" w:rsidRDefault="00F670E3" w:rsidP="00815065">
      <w:pPr>
        <w:pStyle w:val="BodyText"/>
      </w:pPr>
    </w:p>
    <w:p w:rsidR="00F670E3" w:rsidRDefault="00F670E3" w:rsidP="00815065">
      <w:pPr>
        <w:pStyle w:val="BodyText"/>
        <w:tabs>
          <w:tab w:val="left" w:pos="1134"/>
        </w:tabs>
      </w:pPr>
      <w:r>
        <w:t>Dated:</w:t>
      </w:r>
      <w:r>
        <w:tab/>
      </w:r>
      <w:bookmarkStart w:id="28" w:name="CertifyDated"/>
      <w:r w:rsidR="00AD7684">
        <w:t>5</w:t>
      </w:r>
      <w:r>
        <w:t xml:space="preserve"> </w:t>
      </w:r>
      <w:r w:rsidR="00AD7684">
        <w:t>May</w:t>
      </w:r>
      <w:r>
        <w:t xml:space="preserve"> 2022</w:t>
      </w:r>
      <w:bookmarkEnd w:id="28"/>
    </w:p>
    <w:p w:rsidR="00F670E3" w:rsidRDefault="00F670E3" w:rsidP="00815065">
      <w:pPr>
        <w:pStyle w:val="BodyText"/>
      </w:pPr>
    </w:p>
    <w:bookmarkEnd w:id="22"/>
    <w:p w:rsidR="0094658A" w:rsidRDefault="0094658A" w:rsidP="00F670E3">
      <w:pPr>
        <w:pStyle w:val="BodyText"/>
      </w:pPr>
    </w:p>
    <w:p w:rsidR="0094658A" w:rsidRDefault="0094658A">
      <w:pPr>
        <w:spacing w:line="240" w:lineRule="auto"/>
        <w:jc w:val="left"/>
      </w:pPr>
      <w:r>
        <w:br w:type="page"/>
      </w:r>
    </w:p>
    <w:p w:rsidR="0094658A" w:rsidRPr="00CD498A" w:rsidRDefault="0094658A" w:rsidP="00E91A0F">
      <w:pPr>
        <w:pStyle w:val="NormalHeadings"/>
        <w:spacing w:before="180" w:line="480" w:lineRule="auto"/>
        <w:jc w:val="center"/>
        <w:rPr>
          <w:sz w:val="28"/>
          <w:szCs w:val="28"/>
        </w:rPr>
      </w:pPr>
      <w:bookmarkStart w:id="29" w:name="SOP_Section"/>
      <w:r w:rsidRPr="00CD498A">
        <w:rPr>
          <w:sz w:val="28"/>
          <w:szCs w:val="28"/>
        </w:rPr>
        <w:lastRenderedPageBreak/>
        <w:t>SCHEDULE OF PARTIES</w:t>
      </w:r>
    </w:p>
    <w:p w:rsidR="0094658A" w:rsidRPr="00663089" w:rsidRDefault="0094658A"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94658A" w:rsidTr="00BD7DCB">
        <w:tc>
          <w:tcPr>
            <w:tcW w:w="3368" w:type="dxa"/>
          </w:tcPr>
          <w:p w:rsidR="0094658A" w:rsidRDefault="0094658A" w:rsidP="004F5197">
            <w:pPr>
              <w:pStyle w:val="NormalHeadings"/>
              <w:jc w:val="left"/>
              <w:rPr>
                <w:caps/>
                <w:szCs w:val="24"/>
              </w:rPr>
            </w:pPr>
          </w:p>
        </w:tc>
        <w:tc>
          <w:tcPr>
            <w:tcW w:w="5874" w:type="dxa"/>
          </w:tcPr>
          <w:p w:rsidR="0094658A" w:rsidRDefault="00DE6F76" w:rsidP="004F5197">
            <w:pPr>
              <w:pStyle w:val="NormalHeadings"/>
              <w:jc w:val="right"/>
            </w:pPr>
            <w:r>
              <w:fldChar w:fldCharType="begin"/>
            </w:r>
            <w:r>
              <w:instrText xml:space="preserve"> REF  FileNo </w:instrText>
            </w:r>
            <w:r>
              <w:fldChar w:fldCharType="separate"/>
            </w:r>
            <w:r w:rsidR="00285632">
              <w:t>VID 1181 of 2019</w:t>
            </w:r>
            <w:r>
              <w:fldChar w:fldCharType="end"/>
            </w:r>
          </w:p>
        </w:tc>
      </w:tr>
      <w:tr w:rsidR="0094658A" w:rsidTr="00BD7DCB">
        <w:trPr>
          <w:trHeight w:val="386"/>
        </w:trPr>
        <w:tc>
          <w:tcPr>
            <w:tcW w:w="3368" w:type="dxa"/>
          </w:tcPr>
          <w:p w:rsidR="0094658A" w:rsidRDefault="0094658A" w:rsidP="0087788E">
            <w:pPr>
              <w:pStyle w:val="BodyTextBold"/>
              <w:spacing w:before="180"/>
              <w:jc w:val="left"/>
            </w:pPr>
            <w:bookmarkStart w:id="30" w:name="SOP_ApplicantsRows" w:colFirst="0" w:colLast="1"/>
            <w:r>
              <w:t>Second Appellant</w:t>
            </w:r>
          </w:p>
        </w:tc>
        <w:tc>
          <w:tcPr>
            <w:tcW w:w="5874" w:type="dxa"/>
            <w:tcMar>
              <w:left w:w="28" w:type="dxa"/>
            </w:tcMar>
          </w:tcPr>
          <w:p w:rsidR="0094658A" w:rsidRDefault="0094658A" w:rsidP="0087788E">
            <w:pPr>
              <w:pStyle w:val="BodyText"/>
              <w:jc w:val="left"/>
            </w:pPr>
            <w:r>
              <w:t>CGO17</w:t>
            </w:r>
          </w:p>
        </w:tc>
      </w:tr>
      <w:tr w:rsidR="0094658A" w:rsidTr="00BD7DCB">
        <w:trPr>
          <w:trHeight w:val="386"/>
        </w:trPr>
        <w:tc>
          <w:tcPr>
            <w:tcW w:w="3368" w:type="dxa"/>
          </w:tcPr>
          <w:p w:rsidR="0094658A" w:rsidRDefault="0094658A" w:rsidP="00F2363B">
            <w:pPr>
              <w:pStyle w:val="BodyText"/>
              <w:spacing w:after="240" w:line="240" w:lineRule="auto"/>
              <w:jc w:val="left"/>
            </w:pPr>
            <w:bookmarkStart w:id="31" w:name="SOP_FirstApplicant"/>
            <w:bookmarkEnd w:id="31"/>
          </w:p>
        </w:tc>
        <w:tc>
          <w:tcPr>
            <w:tcW w:w="5874" w:type="dxa"/>
            <w:tcMar>
              <w:left w:w="28" w:type="dxa"/>
            </w:tcMar>
          </w:tcPr>
          <w:p w:rsidR="0094658A" w:rsidRDefault="0094658A" w:rsidP="00F2363B">
            <w:pPr>
              <w:pStyle w:val="BodyText"/>
              <w:spacing w:after="240" w:line="240" w:lineRule="auto"/>
              <w:jc w:val="left"/>
            </w:pPr>
          </w:p>
        </w:tc>
      </w:tr>
      <w:tr w:rsidR="0094658A" w:rsidTr="00BD7DCB">
        <w:trPr>
          <w:trHeight w:val="386"/>
        </w:trPr>
        <w:tc>
          <w:tcPr>
            <w:tcW w:w="3368" w:type="dxa"/>
          </w:tcPr>
          <w:p w:rsidR="0094658A" w:rsidRDefault="0094658A" w:rsidP="0087788E">
            <w:pPr>
              <w:pStyle w:val="BodyTextBold"/>
              <w:spacing w:before="180"/>
              <w:jc w:val="left"/>
            </w:pPr>
            <w:bookmarkStart w:id="32" w:name="SOP_RespondentsRows" w:colFirst="0" w:colLast="1"/>
            <w:bookmarkEnd w:id="30"/>
            <w:r>
              <w:t>Third Appellant</w:t>
            </w:r>
          </w:p>
        </w:tc>
        <w:tc>
          <w:tcPr>
            <w:tcW w:w="5874" w:type="dxa"/>
            <w:tcMar>
              <w:left w:w="28" w:type="dxa"/>
            </w:tcMar>
          </w:tcPr>
          <w:p w:rsidR="0094658A" w:rsidRDefault="0094658A" w:rsidP="0087788E">
            <w:pPr>
              <w:pStyle w:val="BodyText"/>
              <w:jc w:val="left"/>
            </w:pPr>
            <w:r>
              <w:t>CGP17</w:t>
            </w:r>
          </w:p>
        </w:tc>
      </w:tr>
      <w:tr w:rsidR="0094658A" w:rsidTr="00BD7DCB">
        <w:trPr>
          <w:trHeight w:val="386"/>
        </w:trPr>
        <w:tc>
          <w:tcPr>
            <w:tcW w:w="3368" w:type="dxa"/>
          </w:tcPr>
          <w:p w:rsidR="0094658A" w:rsidRDefault="0094658A" w:rsidP="00F2363B">
            <w:pPr>
              <w:pStyle w:val="BodyText"/>
              <w:spacing w:after="240" w:line="240" w:lineRule="auto"/>
              <w:jc w:val="left"/>
            </w:pPr>
            <w:bookmarkStart w:id="33" w:name="SOP_FirstRespondent"/>
            <w:bookmarkEnd w:id="33"/>
          </w:p>
        </w:tc>
        <w:tc>
          <w:tcPr>
            <w:tcW w:w="5874" w:type="dxa"/>
            <w:tcMar>
              <w:left w:w="28" w:type="dxa"/>
            </w:tcMar>
          </w:tcPr>
          <w:p w:rsidR="0094658A" w:rsidRDefault="0094658A" w:rsidP="00F2363B">
            <w:pPr>
              <w:pStyle w:val="BodyText"/>
              <w:spacing w:after="240" w:line="240" w:lineRule="auto"/>
              <w:jc w:val="left"/>
            </w:pPr>
          </w:p>
        </w:tc>
      </w:tr>
      <w:bookmarkEnd w:id="32"/>
    </w:tbl>
    <w:p w:rsidR="0094658A" w:rsidRDefault="0094658A" w:rsidP="002B0E91">
      <w:pPr>
        <w:pStyle w:val="BodyText"/>
      </w:pPr>
    </w:p>
    <w:bookmarkEnd w:id="29"/>
    <w:p w:rsidR="0094658A" w:rsidRDefault="0094658A" w:rsidP="0094658A">
      <w:pPr>
        <w:pStyle w:val="BodyText"/>
      </w:pPr>
    </w:p>
    <w:sectPr w:rsidR="0094658A"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D0" w:rsidRDefault="00370DD0">
      <w:pPr>
        <w:spacing w:line="20" w:lineRule="exact"/>
      </w:pPr>
    </w:p>
    <w:p w:rsidR="00370DD0" w:rsidRDefault="00370DD0"/>
    <w:p w:rsidR="00370DD0" w:rsidRDefault="00370DD0"/>
  </w:endnote>
  <w:endnote w:type="continuationSeparator" w:id="0">
    <w:p w:rsidR="00370DD0" w:rsidRDefault="00370DD0">
      <w:r>
        <w:t xml:space="preserve"> </w:t>
      </w:r>
    </w:p>
    <w:p w:rsidR="00370DD0" w:rsidRDefault="00370DD0"/>
    <w:p w:rsidR="00370DD0" w:rsidRDefault="00370DD0"/>
  </w:endnote>
  <w:endnote w:type="continuationNotice" w:id="1">
    <w:p w:rsidR="00370DD0" w:rsidRDefault="00370DD0">
      <w:r>
        <w:t xml:space="preserve"> </w:t>
      </w:r>
    </w:p>
    <w:p w:rsidR="00370DD0" w:rsidRDefault="00370DD0"/>
    <w:p w:rsidR="00370DD0" w:rsidRDefault="00370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FD86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65EA4">
          <w:rPr>
            <w:bCs/>
            <w:sz w:val="18"/>
            <w:szCs w:val="18"/>
          </w:rPr>
          <w:t xml:space="preserve">CGN17 v Minister for Immigration, Citizenship, Migrant Services and Multicultural Affairs [2022] FCA 494   </w:t>
        </w:r>
      </w:sdtContent>
    </w:sdt>
  </w:p>
  <w:p w:rsidR="006C6E39" w:rsidRPr="00A436E8" w:rsidRDefault="006C6E39"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BBF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AEE16134A6E4BBCA0E3C503D4A81D14"/>
        </w:placeholder>
        <w:dataBinding w:prefixMappings="xmlns:ns0='http://schemas.globalmacros.com/FCA'" w:xpath="/ns0:root[1]/ns0:Name[1]" w:storeItemID="{687E7CCB-4AA5-44E7-B148-17BA2B6F57C0}"/>
        <w:text w:multiLine="1"/>
      </w:sdtPr>
      <w:sdtEndPr/>
      <w:sdtContent>
        <w:r w:rsidR="00F65EA4">
          <w:rPr>
            <w:bCs/>
            <w:sz w:val="18"/>
            <w:szCs w:val="18"/>
          </w:rPr>
          <w:t xml:space="preserve">CGN17 v Minister for Immigration, Citizenship, Migrant Services and Multicultural Affairs [2022] FCA 494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rsidR="00A84FD0" w:rsidRPr="00A84FD0" w:rsidRDefault="00A84FD0" w:rsidP="00A84FD0">
    <w:pPr>
      <w:pStyle w:val="Footer"/>
      <w:jc w:val="center"/>
      <w:rPr>
        <w:sz w:val="28"/>
      </w:rPr>
    </w:pPr>
    <w:r>
      <w:rPr>
        <w:b/>
        <w:sz w:val="28"/>
      </w:rPr>
      <w:t>DRAFT - Judgment Template v.1</w:t>
    </w:r>
    <w:r w:rsidR="009D328D">
      <w:rPr>
        <w:b/>
        <w:sz w:val="28"/>
      </w:rPr>
      <w:t>.</w:t>
    </w:r>
    <w:r w:rsidR="00E23577">
      <w:rPr>
        <w:b/>
        <w:sz w:val="28"/>
      </w:rPr>
      <w:t>3</w:t>
    </w:r>
    <w:r>
      <w:rPr>
        <w:b/>
        <w:sz w:val="28"/>
      </w:rPr>
      <w:t xml:space="preserve"> - </w:t>
    </w:r>
    <w:r>
      <w:rPr>
        <w:b/>
        <w:sz w:val="28"/>
      </w:rPr>
      <w:fldChar w:fldCharType="begin"/>
    </w:r>
    <w:r>
      <w:rPr>
        <w:b/>
        <w:sz w:val="28"/>
      </w:rPr>
      <w:instrText xml:space="preserve"> DATE  \@ "d MMMM yyyy"  \* MERGEFORMAT </w:instrText>
    </w:r>
    <w:r>
      <w:rPr>
        <w:b/>
        <w:sz w:val="28"/>
      </w:rPr>
      <w:fldChar w:fldCharType="separate"/>
    </w:r>
    <w:r w:rsidR="00DE6F76">
      <w:rPr>
        <w:b/>
        <w:noProof/>
        <w:sz w:val="28"/>
      </w:rPr>
      <w:t>6 May 2022</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DE6F76">
      <w:rPr>
        <w:b/>
        <w:noProof/>
        <w:sz w:val="28"/>
      </w:rPr>
      <w:t>9:06 AM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7C11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EE91EEE99294EE8A5E48424CEA8CF98"/>
        </w:placeholder>
        <w:dataBinding w:prefixMappings="xmlns:ns0='http://schemas.globalmacros.com/FCA'" w:xpath="/ns0:root[1]/ns0:Name[1]" w:storeItemID="{687E7CCB-4AA5-44E7-B148-17BA2B6F57C0}"/>
        <w:text w:multiLine="1"/>
      </w:sdtPr>
      <w:sdtEndPr/>
      <w:sdtContent>
        <w:r w:rsidR="00F65EA4">
          <w:rPr>
            <w:bCs/>
            <w:sz w:val="18"/>
            <w:szCs w:val="18"/>
          </w:rPr>
          <w:t xml:space="preserve">CGN17 v Minister for Immigration, Citizenship, Migrant Services and Multicultural Affairs [2022] FCA 494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6F76">
      <w:rPr>
        <w:bCs/>
        <w:noProof/>
        <w:sz w:val="20"/>
      </w:rPr>
      <w:t>i</w:t>
    </w:r>
    <w:r w:rsidRPr="00EA7F6D">
      <w:rPr>
        <w:bCs/>
        <w:noProof/>
        <w:sz w:val="20"/>
      </w:rPr>
      <w:fldChar w:fldCharType="end"/>
    </w:r>
  </w:p>
  <w:p w:rsidR="00A436E8" w:rsidRPr="00A436E8" w:rsidRDefault="00A436E8"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0BDD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F399E80AB9E4C158622B4158E699297"/>
        </w:placeholder>
        <w:dataBinding w:prefixMappings="xmlns:ns0='http://schemas.globalmacros.com/FCA'" w:xpath="/ns0:root[1]/ns0:Name[1]" w:storeItemID="{687E7CCB-4AA5-44E7-B148-17BA2B6F57C0}"/>
        <w:text w:multiLine="1"/>
      </w:sdtPr>
      <w:sdtEndPr/>
      <w:sdtContent>
        <w:r w:rsidR="00F65EA4">
          <w:rPr>
            <w:bCs/>
            <w:sz w:val="18"/>
            <w:szCs w:val="18"/>
          </w:rPr>
          <w:t xml:space="preserve">CGN17 v Minister for Immigration, Citizenship, Migrant Services and Multicultural Affairs [2022] FCA 494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6F76">
      <w:rPr>
        <w:bCs/>
        <w:noProof/>
        <w:sz w:val="20"/>
      </w:rPr>
      <w:t>10</w:t>
    </w:r>
    <w:r w:rsidRPr="00EA7F6D">
      <w:rPr>
        <w:bCs/>
        <w:noProof/>
        <w:sz w:val="20"/>
      </w:rPr>
      <w:fldChar w:fldCharType="end"/>
    </w:r>
  </w:p>
  <w:p w:rsidR="00395B24" w:rsidRPr="00A84FD0" w:rsidRDefault="00395B24"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D33C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53EA2F5574704312A443EAADC2535297"/>
        </w:placeholder>
        <w:dataBinding w:prefixMappings="xmlns:ns0='http://schemas.globalmacros.com/FCA'" w:xpath="/ns0:root[1]/ns0:Name[1]" w:storeItemID="{687E7CCB-4AA5-44E7-B148-17BA2B6F57C0}"/>
        <w:text w:multiLine="1"/>
      </w:sdtPr>
      <w:sdtEndPr/>
      <w:sdtContent>
        <w:r w:rsidR="00F65EA4">
          <w:rPr>
            <w:bCs/>
            <w:sz w:val="18"/>
            <w:szCs w:val="18"/>
          </w:rPr>
          <w:t xml:space="preserve">CGN17 v Minister for Immigration, Citizenship, Migrant Services and Multicultural Affairs [2022] FCA 494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6F76">
      <w:rPr>
        <w:bCs/>
        <w:noProof/>
        <w:sz w:val="20"/>
      </w:rPr>
      <w:t>1</w:t>
    </w:r>
    <w:r w:rsidRPr="00EA7F6D">
      <w:rPr>
        <w:bCs/>
        <w:noProof/>
        <w:sz w:val="20"/>
      </w:rPr>
      <w:fldChar w:fldCharType="end"/>
    </w:r>
  </w:p>
  <w:p w:rsidR="002F1E49" w:rsidRPr="00A84FD0" w:rsidRDefault="002F1E49"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D0" w:rsidRDefault="00370DD0"/>
  </w:footnote>
  <w:footnote w:type="continuationSeparator" w:id="0">
    <w:p w:rsidR="00370DD0" w:rsidRDefault="00370DD0">
      <w:r>
        <w:continuationSeparator/>
      </w:r>
    </w:p>
    <w:p w:rsidR="00370DD0" w:rsidRDefault="00370DD0"/>
    <w:p w:rsidR="00370DD0" w:rsidRDefault="00370D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83347F"/>
    <w:multiLevelType w:val="hybridMultilevel"/>
    <w:tmpl w:val="CE3B82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2"/>
  </w:num>
  <w:num w:numId="19">
    <w:abstractNumId w:val="19"/>
  </w:num>
  <w:num w:numId="20">
    <w:abstractNumId w:val="16"/>
  </w:num>
  <w:num w:numId="21">
    <w:abstractNumId w:val="17"/>
  </w:num>
  <w:num w:numId="22">
    <w:abstractNumId w:val="20"/>
  </w:num>
  <w:num w:numId="23">
    <w:abstractNumId w:val="11"/>
  </w:num>
  <w:num w:numId="24">
    <w:abstractNumId w:val="11"/>
  </w:num>
  <w:num w:numId="25">
    <w:abstractNumId w:val="13"/>
  </w:num>
  <w:num w:numId="26">
    <w:abstractNumId w:val="18"/>
  </w:num>
  <w:num w:numId="27">
    <w:abstractNumId w:val="18"/>
  </w:num>
  <w:num w:numId="28">
    <w:abstractNumId w:val="18"/>
  </w:num>
  <w:num w:numId="29">
    <w:abstractNumId w:val="15"/>
  </w:num>
  <w:num w:numId="3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num>
  <w:num w:numId="34">
    <w:abstractNumId w:val="15"/>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CGN17 "/>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1181/2019 "/>
    <w:docVar w:name="Initiators" w:val="(and another named in the Schedule)"/>
    <w:docVar w:name="Judgdate" w:val="xx April 2022"/>
    <w:docVar w:name="Judge" w:val="Anderson"/>
    <w:docVar w:name="JudgeType" w:val="Justice"/>
    <w:docVar w:name="lstEntryList" w:val="-1"/>
    <w:docVar w:name="NSD" w:val="NSD "/>
    <w:docVar w:name="NumApps" w:val="1"/>
    <w:docVar w:name="NumApps_" w:val="1"/>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State" w:val="Victoria"/>
    <w:docVar w:name="SubArea" w:val="(none)"/>
  </w:docVars>
  <w:rsids>
    <w:rsidRoot w:val="002D3A09"/>
    <w:rsid w:val="00000747"/>
    <w:rsid w:val="000058D9"/>
    <w:rsid w:val="000115C5"/>
    <w:rsid w:val="00014655"/>
    <w:rsid w:val="0001469E"/>
    <w:rsid w:val="00015993"/>
    <w:rsid w:val="00021CCB"/>
    <w:rsid w:val="00022289"/>
    <w:rsid w:val="000237E9"/>
    <w:rsid w:val="00027398"/>
    <w:rsid w:val="00027CAD"/>
    <w:rsid w:val="0003201A"/>
    <w:rsid w:val="0003207A"/>
    <w:rsid w:val="00032F9F"/>
    <w:rsid w:val="00033494"/>
    <w:rsid w:val="00041C07"/>
    <w:rsid w:val="0004221B"/>
    <w:rsid w:val="00045BB7"/>
    <w:rsid w:val="00055719"/>
    <w:rsid w:val="0005641B"/>
    <w:rsid w:val="00061421"/>
    <w:rsid w:val="0006196A"/>
    <w:rsid w:val="000638E0"/>
    <w:rsid w:val="000650F0"/>
    <w:rsid w:val="00071FB3"/>
    <w:rsid w:val="00072666"/>
    <w:rsid w:val="00073435"/>
    <w:rsid w:val="00077768"/>
    <w:rsid w:val="00081497"/>
    <w:rsid w:val="000831EC"/>
    <w:rsid w:val="00084126"/>
    <w:rsid w:val="00085255"/>
    <w:rsid w:val="000A2E76"/>
    <w:rsid w:val="000A4807"/>
    <w:rsid w:val="000A4BE4"/>
    <w:rsid w:val="000B387E"/>
    <w:rsid w:val="000C023E"/>
    <w:rsid w:val="000C405D"/>
    <w:rsid w:val="000C5195"/>
    <w:rsid w:val="000C62EF"/>
    <w:rsid w:val="000D2137"/>
    <w:rsid w:val="000D3FD2"/>
    <w:rsid w:val="000D4B2E"/>
    <w:rsid w:val="000E3811"/>
    <w:rsid w:val="000E3FC8"/>
    <w:rsid w:val="000E42F2"/>
    <w:rsid w:val="000E7BAE"/>
    <w:rsid w:val="000F133D"/>
    <w:rsid w:val="000F44D3"/>
    <w:rsid w:val="00103263"/>
    <w:rsid w:val="0010536B"/>
    <w:rsid w:val="00106353"/>
    <w:rsid w:val="0011145C"/>
    <w:rsid w:val="001128BD"/>
    <w:rsid w:val="0011419D"/>
    <w:rsid w:val="00114B02"/>
    <w:rsid w:val="00115C67"/>
    <w:rsid w:val="001226C0"/>
    <w:rsid w:val="00122EAE"/>
    <w:rsid w:val="0012454D"/>
    <w:rsid w:val="00126EC8"/>
    <w:rsid w:val="0012731C"/>
    <w:rsid w:val="00132054"/>
    <w:rsid w:val="00134964"/>
    <w:rsid w:val="001351B9"/>
    <w:rsid w:val="00137D10"/>
    <w:rsid w:val="00137D14"/>
    <w:rsid w:val="001477D0"/>
    <w:rsid w:val="00155CD2"/>
    <w:rsid w:val="001727A4"/>
    <w:rsid w:val="0017376C"/>
    <w:rsid w:val="001738AB"/>
    <w:rsid w:val="0017488E"/>
    <w:rsid w:val="001765E0"/>
    <w:rsid w:val="00177759"/>
    <w:rsid w:val="00180BB3"/>
    <w:rsid w:val="00185DD6"/>
    <w:rsid w:val="00185E6B"/>
    <w:rsid w:val="00187BBC"/>
    <w:rsid w:val="00187E6B"/>
    <w:rsid w:val="001932F3"/>
    <w:rsid w:val="001A2961"/>
    <w:rsid w:val="001A2B40"/>
    <w:rsid w:val="001A3DCE"/>
    <w:rsid w:val="001A4309"/>
    <w:rsid w:val="001A46AE"/>
    <w:rsid w:val="001A6C52"/>
    <w:rsid w:val="001B1053"/>
    <w:rsid w:val="001B14AC"/>
    <w:rsid w:val="001B7940"/>
    <w:rsid w:val="001B795F"/>
    <w:rsid w:val="001C171A"/>
    <w:rsid w:val="001C2FE0"/>
    <w:rsid w:val="001C37CA"/>
    <w:rsid w:val="001C4085"/>
    <w:rsid w:val="001D4303"/>
    <w:rsid w:val="001D6746"/>
    <w:rsid w:val="001E0C61"/>
    <w:rsid w:val="001E3B49"/>
    <w:rsid w:val="001E4A05"/>
    <w:rsid w:val="001E51B4"/>
    <w:rsid w:val="001E6A19"/>
    <w:rsid w:val="001E7388"/>
    <w:rsid w:val="001F13DD"/>
    <w:rsid w:val="001F2473"/>
    <w:rsid w:val="001F2DBC"/>
    <w:rsid w:val="001F360F"/>
    <w:rsid w:val="001F73E8"/>
    <w:rsid w:val="0020262C"/>
    <w:rsid w:val="00202723"/>
    <w:rsid w:val="00211A3E"/>
    <w:rsid w:val="00213F20"/>
    <w:rsid w:val="00214055"/>
    <w:rsid w:val="00215A9A"/>
    <w:rsid w:val="00215B76"/>
    <w:rsid w:val="00215BCA"/>
    <w:rsid w:val="002160F5"/>
    <w:rsid w:val="00216476"/>
    <w:rsid w:val="00217AC4"/>
    <w:rsid w:val="00221191"/>
    <w:rsid w:val="00221461"/>
    <w:rsid w:val="00222219"/>
    <w:rsid w:val="00224537"/>
    <w:rsid w:val="00226DB2"/>
    <w:rsid w:val="00231417"/>
    <w:rsid w:val="00231FC2"/>
    <w:rsid w:val="00235956"/>
    <w:rsid w:val="00243AA3"/>
    <w:rsid w:val="00243E5E"/>
    <w:rsid w:val="002467A6"/>
    <w:rsid w:val="00247C9A"/>
    <w:rsid w:val="0025059F"/>
    <w:rsid w:val="0025160C"/>
    <w:rsid w:val="002535D0"/>
    <w:rsid w:val="002539B3"/>
    <w:rsid w:val="00254CBC"/>
    <w:rsid w:val="00256336"/>
    <w:rsid w:val="00257C3E"/>
    <w:rsid w:val="002602C2"/>
    <w:rsid w:val="00261899"/>
    <w:rsid w:val="002666C9"/>
    <w:rsid w:val="00270136"/>
    <w:rsid w:val="00270FD7"/>
    <w:rsid w:val="00274F5B"/>
    <w:rsid w:val="00280836"/>
    <w:rsid w:val="00282E1A"/>
    <w:rsid w:val="00283E91"/>
    <w:rsid w:val="002840F1"/>
    <w:rsid w:val="00285632"/>
    <w:rsid w:val="00285922"/>
    <w:rsid w:val="00287750"/>
    <w:rsid w:val="0029113B"/>
    <w:rsid w:val="00292C10"/>
    <w:rsid w:val="002934C0"/>
    <w:rsid w:val="00293E1F"/>
    <w:rsid w:val="0029764C"/>
    <w:rsid w:val="002A1B50"/>
    <w:rsid w:val="002A4CD3"/>
    <w:rsid w:val="002A5C0A"/>
    <w:rsid w:val="002B0DAE"/>
    <w:rsid w:val="002B0E91"/>
    <w:rsid w:val="002B132C"/>
    <w:rsid w:val="002B3F23"/>
    <w:rsid w:val="002B4EB5"/>
    <w:rsid w:val="002B5717"/>
    <w:rsid w:val="002B5AF5"/>
    <w:rsid w:val="002B6779"/>
    <w:rsid w:val="002B71C0"/>
    <w:rsid w:val="002B7A34"/>
    <w:rsid w:val="002C31AD"/>
    <w:rsid w:val="002C4DCD"/>
    <w:rsid w:val="002C7385"/>
    <w:rsid w:val="002D2DBB"/>
    <w:rsid w:val="002D37D8"/>
    <w:rsid w:val="002D3A09"/>
    <w:rsid w:val="002D52A2"/>
    <w:rsid w:val="002D54A6"/>
    <w:rsid w:val="002E3779"/>
    <w:rsid w:val="002E5BF9"/>
    <w:rsid w:val="002E646C"/>
    <w:rsid w:val="002E6A7A"/>
    <w:rsid w:val="002F1E49"/>
    <w:rsid w:val="002F4E9C"/>
    <w:rsid w:val="002F6E15"/>
    <w:rsid w:val="002F753B"/>
    <w:rsid w:val="00302F4E"/>
    <w:rsid w:val="0031256C"/>
    <w:rsid w:val="00314CF1"/>
    <w:rsid w:val="00314D6C"/>
    <w:rsid w:val="00316D2A"/>
    <w:rsid w:val="003203FA"/>
    <w:rsid w:val="00322A7C"/>
    <w:rsid w:val="00322EEC"/>
    <w:rsid w:val="00322F51"/>
    <w:rsid w:val="00323061"/>
    <w:rsid w:val="003402D3"/>
    <w:rsid w:val="0034068E"/>
    <w:rsid w:val="00343ABC"/>
    <w:rsid w:val="003463FE"/>
    <w:rsid w:val="003472FC"/>
    <w:rsid w:val="00347D41"/>
    <w:rsid w:val="003554B3"/>
    <w:rsid w:val="0035642C"/>
    <w:rsid w:val="00356632"/>
    <w:rsid w:val="00357C7E"/>
    <w:rsid w:val="00357F16"/>
    <w:rsid w:val="003653B6"/>
    <w:rsid w:val="00370327"/>
    <w:rsid w:val="00370DD0"/>
    <w:rsid w:val="003739FA"/>
    <w:rsid w:val="00374CC4"/>
    <w:rsid w:val="003774B2"/>
    <w:rsid w:val="00380F2D"/>
    <w:rsid w:val="003845A9"/>
    <w:rsid w:val="003850C9"/>
    <w:rsid w:val="00390883"/>
    <w:rsid w:val="00391AB1"/>
    <w:rsid w:val="003922F8"/>
    <w:rsid w:val="00395B24"/>
    <w:rsid w:val="003A2D38"/>
    <w:rsid w:val="003A424B"/>
    <w:rsid w:val="003A7ECC"/>
    <w:rsid w:val="003B1F0C"/>
    <w:rsid w:val="003B2C72"/>
    <w:rsid w:val="003B58B4"/>
    <w:rsid w:val="003C1333"/>
    <w:rsid w:val="003C20FF"/>
    <w:rsid w:val="003C5350"/>
    <w:rsid w:val="003C550A"/>
    <w:rsid w:val="003C6055"/>
    <w:rsid w:val="003D1CC2"/>
    <w:rsid w:val="003D2650"/>
    <w:rsid w:val="003D560C"/>
    <w:rsid w:val="003D5C00"/>
    <w:rsid w:val="003E3154"/>
    <w:rsid w:val="003E5874"/>
    <w:rsid w:val="003E72D3"/>
    <w:rsid w:val="003F193E"/>
    <w:rsid w:val="003F242C"/>
    <w:rsid w:val="003F34F1"/>
    <w:rsid w:val="00400B36"/>
    <w:rsid w:val="004031D8"/>
    <w:rsid w:val="004104B6"/>
    <w:rsid w:val="00411AE8"/>
    <w:rsid w:val="00413B74"/>
    <w:rsid w:val="00416A8F"/>
    <w:rsid w:val="0042303E"/>
    <w:rsid w:val="00427A4F"/>
    <w:rsid w:val="004342F3"/>
    <w:rsid w:val="00435C5F"/>
    <w:rsid w:val="00436155"/>
    <w:rsid w:val="00436460"/>
    <w:rsid w:val="00441E98"/>
    <w:rsid w:val="00444DA2"/>
    <w:rsid w:val="00450F3A"/>
    <w:rsid w:val="004532F7"/>
    <w:rsid w:val="00464D51"/>
    <w:rsid w:val="00472027"/>
    <w:rsid w:val="004804CF"/>
    <w:rsid w:val="00483314"/>
    <w:rsid w:val="00483C4A"/>
    <w:rsid w:val="00484962"/>
    <w:rsid w:val="00484B94"/>
    <w:rsid w:val="00484F6D"/>
    <w:rsid w:val="00484FB7"/>
    <w:rsid w:val="00485209"/>
    <w:rsid w:val="0048554D"/>
    <w:rsid w:val="0049338A"/>
    <w:rsid w:val="0049417F"/>
    <w:rsid w:val="00494759"/>
    <w:rsid w:val="00496194"/>
    <w:rsid w:val="00496D41"/>
    <w:rsid w:val="004A0D34"/>
    <w:rsid w:val="004A2B23"/>
    <w:rsid w:val="004A307F"/>
    <w:rsid w:val="004A61D6"/>
    <w:rsid w:val="004A6602"/>
    <w:rsid w:val="004B3EFA"/>
    <w:rsid w:val="004C2A87"/>
    <w:rsid w:val="004C373C"/>
    <w:rsid w:val="004C4D7B"/>
    <w:rsid w:val="004C4ED3"/>
    <w:rsid w:val="004C667B"/>
    <w:rsid w:val="004C7ECD"/>
    <w:rsid w:val="004D264E"/>
    <w:rsid w:val="004D2EA5"/>
    <w:rsid w:val="004D32A6"/>
    <w:rsid w:val="004D53E5"/>
    <w:rsid w:val="004D7950"/>
    <w:rsid w:val="004E6DC4"/>
    <w:rsid w:val="004E7DC4"/>
    <w:rsid w:val="004F21C1"/>
    <w:rsid w:val="004F32D5"/>
    <w:rsid w:val="004F5782"/>
    <w:rsid w:val="00501A12"/>
    <w:rsid w:val="0050309C"/>
    <w:rsid w:val="0051327C"/>
    <w:rsid w:val="0051346D"/>
    <w:rsid w:val="00513EAE"/>
    <w:rsid w:val="0051434F"/>
    <w:rsid w:val="00514406"/>
    <w:rsid w:val="00516806"/>
    <w:rsid w:val="00516D61"/>
    <w:rsid w:val="0052098C"/>
    <w:rsid w:val="0052448D"/>
    <w:rsid w:val="00525A49"/>
    <w:rsid w:val="005262D1"/>
    <w:rsid w:val="0052641E"/>
    <w:rsid w:val="00530876"/>
    <w:rsid w:val="00535613"/>
    <w:rsid w:val="005359EB"/>
    <w:rsid w:val="0054254A"/>
    <w:rsid w:val="00542D04"/>
    <w:rsid w:val="0054500B"/>
    <w:rsid w:val="005466B5"/>
    <w:rsid w:val="005515D8"/>
    <w:rsid w:val="005537B3"/>
    <w:rsid w:val="00554314"/>
    <w:rsid w:val="00562829"/>
    <w:rsid w:val="005629B3"/>
    <w:rsid w:val="005702C9"/>
    <w:rsid w:val="0057128A"/>
    <w:rsid w:val="005724F6"/>
    <w:rsid w:val="00573AC4"/>
    <w:rsid w:val="005801FC"/>
    <w:rsid w:val="00581314"/>
    <w:rsid w:val="00585BA9"/>
    <w:rsid w:val="00587359"/>
    <w:rsid w:val="0059220E"/>
    <w:rsid w:val="00595016"/>
    <w:rsid w:val="00597AAE"/>
    <w:rsid w:val="005A05F0"/>
    <w:rsid w:val="005A222C"/>
    <w:rsid w:val="005A4DF8"/>
    <w:rsid w:val="005A78C8"/>
    <w:rsid w:val="005B1426"/>
    <w:rsid w:val="005C00CC"/>
    <w:rsid w:val="005C0A8E"/>
    <w:rsid w:val="005C1767"/>
    <w:rsid w:val="005C185C"/>
    <w:rsid w:val="005C42EF"/>
    <w:rsid w:val="005C74C3"/>
    <w:rsid w:val="005D7999"/>
    <w:rsid w:val="005E02F5"/>
    <w:rsid w:val="005E0510"/>
    <w:rsid w:val="005E176E"/>
    <w:rsid w:val="005E218E"/>
    <w:rsid w:val="005E2E0E"/>
    <w:rsid w:val="005E35A0"/>
    <w:rsid w:val="005E4DFE"/>
    <w:rsid w:val="005F0D1B"/>
    <w:rsid w:val="005F1865"/>
    <w:rsid w:val="005F74F6"/>
    <w:rsid w:val="006007BD"/>
    <w:rsid w:val="006013C8"/>
    <w:rsid w:val="0060270D"/>
    <w:rsid w:val="00604342"/>
    <w:rsid w:val="00604611"/>
    <w:rsid w:val="00611586"/>
    <w:rsid w:val="00612D26"/>
    <w:rsid w:val="0061350D"/>
    <w:rsid w:val="00615855"/>
    <w:rsid w:val="006171C9"/>
    <w:rsid w:val="00617A12"/>
    <w:rsid w:val="00620DA8"/>
    <w:rsid w:val="00621887"/>
    <w:rsid w:val="00621D77"/>
    <w:rsid w:val="00621F68"/>
    <w:rsid w:val="00622C94"/>
    <w:rsid w:val="00624520"/>
    <w:rsid w:val="006253DF"/>
    <w:rsid w:val="006271F5"/>
    <w:rsid w:val="00632300"/>
    <w:rsid w:val="00632BB7"/>
    <w:rsid w:val="00635223"/>
    <w:rsid w:val="00635B36"/>
    <w:rsid w:val="00636871"/>
    <w:rsid w:val="00640EE1"/>
    <w:rsid w:val="00640F4E"/>
    <w:rsid w:val="006412EF"/>
    <w:rsid w:val="00641EE2"/>
    <w:rsid w:val="00643DE0"/>
    <w:rsid w:val="0064437D"/>
    <w:rsid w:val="00644E85"/>
    <w:rsid w:val="0065087E"/>
    <w:rsid w:val="006516D8"/>
    <w:rsid w:val="00652C52"/>
    <w:rsid w:val="00653272"/>
    <w:rsid w:val="0066063F"/>
    <w:rsid w:val="00662BB0"/>
    <w:rsid w:val="00663878"/>
    <w:rsid w:val="00667773"/>
    <w:rsid w:val="00670743"/>
    <w:rsid w:val="006775AE"/>
    <w:rsid w:val="00680A85"/>
    <w:rsid w:val="00681ADF"/>
    <w:rsid w:val="00690EE2"/>
    <w:rsid w:val="00693854"/>
    <w:rsid w:val="00694BEB"/>
    <w:rsid w:val="006A0E20"/>
    <w:rsid w:val="006A24E3"/>
    <w:rsid w:val="006A4DA4"/>
    <w:rsid w:val="006A5695"/>
    <w:rsid w:val="006B0439"/>
    <w:rsid w:val="006B3904"/>
    <w:rsid w:val="006B5B7D"/>
    <w:rsid w:val="006C19A8"/>
    <w:rsid w:val="006C5B46"/>
    <w:rsid w:val="006C6E39"/>
    <w:rsid w:val="006D0ECF"/>
    <w:rsid w:val="006D361A"/>
    <w:rsid w:val="006D3D5B"/>
    <w:rsid w:val="006D4C92"/>
    <w:rsid w:val="006D4EB6"/>
    <w:rsid w:val="006D7FBC"/>
    <w:rsid w:val="006E3192"/>
    <w:rsid w:val="006E35BF"/>
    <w:rsid w:val="006E7850"/>
    <w:rsid w:val="006F19D8"/>
    <w:rsid w:val="006F464D"/>
    <w:rsid w:val="006F46D6"/>
    <w:rsid w:val="006F4900"/>
    <w:rsid w:val="006F4BBB"/>
    <w:rsid w:val="007028D9"/>
    <w:rsid w:val="007030E5"/>
    <w:rsid w:val="00707218"/>
    <w:rsid w:val="00707B3D"/>
    <w:rsid w:val="00710D04"/>
    <w:rsid w:val="00712B1D"/>
    <w:rsid w:val="00714896"/>
    <w:rsid w:val="00715751"/>
    <w:rsid w:val="007171BA"/>
    <w:rsid w:val="00717616"/>
    <w:rsid w:val="00720053"/>
    <w:rsid w:val="0072242C"/>
    <w:rsid w:val="007325D9"/>
    <w:rsid w:val="0073413F"/>
    <w:rsid w:val="0073583B"/>
    <w:rsid w:val="007360CA"/>
    <w:rsid w:val="007447C9"/>
    <w:rsid w:val="0074667B"/>
    <w:rsid w:val="007470BD"/>
    <w:rsid w:val="0075461E"/>
    <w:rsid w:val="00757DB8"/>
    <w:rsid w:val="00760EC0"/>
    <w:rsid w:val="00766896"/>
    <w:rsid w:val="007711BD"/>
    <w:rsid w:val="0078003A"/>
    <w:rsid w:val="00780771"/>
    <w:rsid w:val="007929CF"/>
    <w:rsid w:val="00797BA8"/>
    <w:rsid w:val="007A081D"/>
    <w:rsid w:val="007A417C"/>
    <w:rsid w:val="007A49E7"/>
    <w:rsid w:val="007A63F8"/>
    <w:rsid w:val="007A6F28"/>
    <w:rsid w:val="007B03C6"/>
    <w:rsid w:val="007B0DB1"/>
    <w:rsid w:val="007B1BB6"/>
    <w:rsid w:val="007B2FBE"/>
    <w:rsid w:val="007B5673"/>
    <w:rsid w:val="007B7238"/>
    <w:rsid w:val="007B76FF"/>
    <w:rsid w:val="007C1886"/>
    <w:rsid w:val="007C3BF6"/>
    <w:rsid w:val="007C5CD7"/>
    <w:rsid w:val="007C67B3"/>
    <w:rsid w:val="007D0FD2"/>
    <w:rsid w:val="007D2EF8"/>
    <w:rsid w:val="007D381F"/>
    <w:rsid w:val="007D561F"/>
    <w:rsid w:val="007D7FD2"/>
    <w:rsid w:val="007E13D9"/>
    <w:rsid w:val="007E2AEC"/>
    <w:rsid w:val="007E3C0A"/>
    <w:rsid w:val="007E41BE"/>
    <w:rsid w:val="007E4CE1"/>
    <w:rsid w:val="007E4DB6"/>
    <w:rsid w:val="007E6733"/>
    <w:rsid w:val="007E686C"/>
    <w:rsid w:val="007E7CD4"/>
    <w:rsid w:val="007F12AC"/>
    <w:rsid w:val="007F4501"/>
    <w:rsid w:val="007F60DF"/>
    <w:rsid w:val="00801800"/>
    <w:rsid w:val="00801861"/>
    <w:rsid w:val="00801B5B"/>
    <w:rsid w:val="00803B37"/>
    <w:rsid w:val="00805A30"/>
    <w:rsid w:val="0082033C"/>
    <w:rsid w:val="00820EE9"/>
    <w:rsid w:val="008216E7"/>
    <w:rsid w:val="00822862"/>
    <w:rsid w:val="00825BE6"/>
    <w:rsid w:val="008276B4"/>
    <w:rsid w:val="00831927"/>
    <w:rsid w:val="00837288"/>
    <w:rsid w:val="00841BD3"/>
    <w:rsid w:val="0084273D"/>
    <w:rsid w:val="00844E3F"/>
    <w:rsid w:val="0084501C"/>
    <w:rsid w:val="00845A83"/>
    <w:rsid w:val="00846BB9"/>
    <w:rsid w:val="00860F06"/>
    <w:rsid w:val="00863C50"/>
    <w:rsid w:val="008649D5"/>
    <w:rsid w:val="00867B71"/>
    <w:rsid w:val="008712BB"/>
    <w:rsid w:val="00873EDD"/>
    <w:rsid w:val="008830E7"/>
    <w:rsid w:val="00883870"/>
    <w:rsid w:val="00890EDE"/>
    <w:rsid w:val="00892B38"/>
    <w:rsid w:val="008A1741"/>
    <w:rsid w:val="008A2484"/>
    <w:rsid w:val="008A2BB8"/>
    <w:rsid w:val="008A3548"/>
    <w:rsid w:val="008A52F3"/>
    <w:rsid w:val="008B0E98"/>
    <w:rsid w:val="008C0AE7"/>
    <w:rsid w:val="008C26D9"/>
    <w:rsid w:val="008C6D50"/>
    <w:rsid w:val="008C7167"/>
    <w:rsid w:val="008C7503"/>
    <w:rsid w:val="008D1617"/>
    <w:rsid w:val="008D330F"/>
    <w:rsid w:val="008D48C1"/>
    <w:rsid w:val="008D6276"/>
    <w:rsid w:val="008E6315"/>
    <w:rsid w:val="008F0480"/>
    <w:rsid w:val="008F07FC"/>
    <w:rsid w:val="008F11E0"/>
    <w:rsid w:val="008F3EA7"/>
    <w:rsid w:val="008F78BC"/>
    <w:rsid w:val="008F7B63"/>
    <w:rsid w:val="008F7D6A"/>
    <w:rsid w:val="00901C86"/>
    <w:rsid w:val="00903603"/>
    <w:rsid w:val="009054CB"/>
    <w:rsid w:val="00907776"/>
    <w:rsid w:val="00911F8D"/>
    <w:rsid w:val="00912F94"/>
    <w:rsid w:val="009171BC"/>
    <w:rsid w:val="0092497E"/>
    <w:rsid w:val="0092590B"/>
    <w:rsid w:val="00925BF3"/>
    <w:rsid w:val="00925E60"/>
    <w:rsid w:val="009264B3"/>
    <w:rsid w:val="0093001F"/>
    <w:rsid w:val="00931E4C"/>
    <w:rsid w:val="009365E0"/>
    <w:rsid w:val="00940F9E"/>
    <w:rsid w:val="009412F1"/>
    <w:rsid w:val="00942BA2"/>
    <w:rsid w:val="009432B7"/>
    <w:rsid w:val="00944C86"/>
    <w:rsid w:val="0094658A"/>
    <w:rsid w:val="00947C02"/>
    <w:rsid w:val="00950BE6"/>
    <w:rsid w:val="009542A8"/>
    <w:rsid w:val="00957DE8"/>
    <w:rsid w:val="00960ECB"/>
    <w:rsid w:val="0096106F"/>
    <w:rsid w:val="009615D6"/>
    <w:rsid w:val="00963F9C"/>
    <w:rsid w:val="00965505"/>
    <w:rsid w:val="00967855"/>
    <w:rsid w:val="00971CD1"/>
    <w:rsid w:val="00972572"/>
    <w:rsid w:val="00974709"/>
    <w:rsid w:val="009801AE"/>
    <w:rsid w:val="00980736"/>
    <w:rsid w:val="00981A39"/>
    <w:rsid w:val="00982D56"/>
    <w:rsid w:val="00983DBF"/>
    <w:rsid w:val="00987097"/>
    <w:rsid w:val="00991123"/>
    <w:rsid w:val="00991CAB"/>
    <w:rsid w:val="009A3A9C"/>
    <w:rsid w:val="009B046C"/>
    <w:rsid w:val="009B13FA"/>
    <w:rsid w:val="009B1E2D"/>
    <w:rsid w:val="009B6502"/>
    <w:rsid w:val="009B7D9A"/>
    <w:rsid w:val="009C59FB"/>
    <w:rsid w:val="009C6A22"/>
    <w:rsid w:val="009C6F3B"/>
    <w:rsid w:val="009D1467"/>
    <w:rsid w:val="009D328D"/>
    <w:rsid w:val="009E4FA6"/>
    <w:rsid w:val="009E7D93"/>
    <w:rsid w:val="009F3C34"/>
    <w:rsid w:val="009F462C"/>
    <w:rsid w:val="009F5C33"/>
    <w:rsid w:val="00A026F0"/>
    <w:rsid w:val="00A03EAC"/>
    <w:rsid w:val="00A04110"/>
    <w:rsid w:val="00A04DBB"/>
    <w:rsid w:val="00A07EA0"/>
    <w:rsid w:val="00A11CA6"/>
    <w:rsid w:val="00A20BCA"/>
    <w:rsid w:val="00A20C49"/>
    <w:rsid w:val="00A22932"/>
    <w:rsid w:val="00A269CA"/>
    <w:rsid w:val="00A336EE"/>
    <w:rsid w:val="00A33F46"/>
    <w:rsid w:val="00A3427E"/>
    <w:rsid w:val="00A351D8"/>
    <w:rsid w:val="00A359AC"/>
    <w:rsid w:val="00A36131"/>
    <w:rsid w:val="00A40F83"/>
    <w:rsid w:val="00A410FB"/>
    <w:rsid w:val="00A41413"/>
    <w:rsid w:val="00A431E6"/>
    <w:rsid w:val="00A436E8"/>
    <w:rsid w:val="00A45FB1"/>
    <w:rsid w:val="00A46A0F"/>
    <w:rsid w:val="00A46CCC"/>
    <w:rsid w:val="00A47996"/>
    <w:rsid w:val="00A51CFE"/>
    <w:rsid w:val="00A5204D"/>
    <w:rsid w:val="00A5688B"/>
    <w:rsid w:val="00A56E77"/>
    <w:rsid w:val="00A61605"/>
    <w:rsid w:val="00A65F97"/>
    <w:rsid w:val="00A708EA"/>
    <w:rsid w:val="00A73B04"/>
    <w:rsid w:val="00A76C13"/>
    <w:rsid w:val="00A84FD0"/>
    <w:rsid w:val="00A8717D"/>
    <w:rsid w:val="00A92BC5"/>
    <w:rsid w:val="00A92E79"/>
    <w:rsid w:val="00A950B6"/>
    <w:rsid w:val="00A95D45"/>
    <w:rsid w:val="00AA3EA8"/>
    <w:rsid w:val="00AB41C1"/>
    <w:rsid w:val="00AB4CF2"/>
    <w:rsid w:val="00AB6CCA"/>
    <w:rsid w:val="00AC223F"/>
    <w:rsid w:val="00AC33B1"/>
    <w:rsid w:val="00AD12A8"/>
    <w:rsid w:val="00AD7684"/>
    <w:rsid w:val="00AE023F"/>
    <w:rsid w:val="00AE3289"/>
    <w:rsid w:val="00AE6F1F"/>
    <w:rsid w:val="00AF3577"/>
    <w:rsid w:val="00AF35F9"/>
    <w:rsid w:val="00AF5043"/>
    <w:rsid w:val="00B0424C"/>
    <w:rsid w:val="00B053A8"/>
    <w:rsid w:val="00B05C7D"/>
    <w:rsid w:val="00B069F9"/>
    <w:rsid w:val="00B15D57"/>
    <w:rsid w:val="00B16347"/>
    <w:rsid w:val="00B17859"/>
    <w:rsid w:val="00B17D6E"/>
    <w:rsid w:val="00B17E5D"/>
    <w:rsid w:val="00B2435E"/>
    <w:rsid w:val="00B27346"/>
    <w:rsid w:val="00B346C3"/>
    <w:rsid w:val="00B4005C"/>
    <w:rsid w:val="00B4227E"/>
    <w:rsid w:val="00B4471C"/>
    <w:rsid w:val="00B451A6"/>
    <w:rsid w:val="00B501B0"/>
    <w:rsid w:val="00B507B7"/>
    <w:rsid w:val="00B55762"/>
    <w:rsid w:val="00B56D6E"/>
    <w:rsid w:val="00B61215"/>
    <w:rsid w:val="00B64347"/>
    <w:rsid w:val="00B65DC6"/>
    <w:rsid w:val="00B67AC2"/>
    <w:rsid w:val="00B67DC1"/>
    <w:rsid w:val="00B722DE"/>
    <w:rsid w:val="00B751E3"/>
    <w:rsid w:val="00B7541B"/>
    <w:rsid w:val="00B75BA6"/>
    <w:rsid w:val="00B76C44"/>
    <w:rsid w:val="00B77304"/>
    <w:rsid w:val="00B8184A"/>
    <w:rsid w:val="00B82283"/>
    <w:rsid w:val="00B828D8"/>
    <w:rsid w:val="00B83F87"/>
    <w:rsid w:val="00B85563"/>
    <w:rsid w:val="00B87CDC"/>
    <w:rsid w:val="00B910C1"/>
    <w:rsid w:val="00B92C2F"/>
    <w:rsid w:val="00BA12FA"/>
    <w:rsid w:val="00BA2CA4"/>
    <w:rsid w:val="00BA2EFA"/>
    <w:rsid w:val="00BA3DBC"/>
    <w:rsid w:val="00BA64E8"/>
    <w:rsid w:val="00BA707A"/>
    <w:rsid w:val="00BB1AFB"/>
    <w:rsid w:val="00BB27AE"/>
    <w:rsid w:val="00BB2DA2"/>
    <w:rsid w:val="00BB56DC"/>
    <w:rsid w:val="00BC1668"/>
    <w:rsid w:val="00BC476A"/>
    <w:rsid w:val="00BD7DCB"/>
    <w:rsid w:val="00BE0723"/>
    <w:rsid w:val="00BE183D"/>
    <w:rsid w:val="00BF24C2"/>
    <w:rsid w:val="00BF2922"/>
    <w:rsid w:val="00BF3213"/>
    <w:rsid w:val="00BF5D7A"/>
    <w:rsid w:val="00C01C2E"/>
    <w:rsid w:val="00C02D33"/>
    <w:rsid w:val="00C04B53"/>
    <w:rsid w:val="00C11EC8"/>
    <w:rsid w:val="00C1232C"/>
    <w:rsid w:val="00C20C7C"/>
    <w:rsid w:val="00C24540"/>
    <w:rsid w:val="00C27C6B"/>
    <w:rsid w:val="00C32589"/>
    <w:rsid w:val="00C3594D"/>
    <w:rsid w:val="00C36442"/>
    <w:rsid w:val="00C400CE"/>
    <w:rsid w:val="00C410FD"/>
    <w:rsid w:val="00C457DE"/>
    <w:rsid w:val="00C45C26"/>
    <w:rsid w:val="00C47DD3"/>
    <w:rsid w:val="00C5316F"/>
    <w:rsid w:val="00C53562"/>
    <w:rsid w:val="00C539FB"/>
    <w:rsid w:val="00C54EBE"/>
    <w:rsid w:val="00C66AA3"/>
    <w:rsid w:val="00C66E57"/>
    <w:rsid w:val="00C70EAD"/>
    <w:rsid w:val="00C724D7"/>
    <w:rsid w:val="00C74150"/>
    <w:rsid w:val="00C75594"/>
    <w:rsid w:val="00C8021C"/>
    <w:rsid w:val="00C8372B"/>
    <w:rsid w:val="00C856E2"/>
    <w:rsid w:val="00C85982"/>
    <w:rsid w:val="00CA0466"/>
    <w:rsid w:val="00CA246D"/>
    <w:rsid w:val="00CA50D9"/>
    <w:rsid w:val="00CB3054"/>
    <w:rsid w:val="00CB5636"/>
    <w:rsid w:val="00CB5F30"/>
    <w:rsid w:val="00CC3EE5"/>
    <w:rsid w:val="00CC5C97"/>
    <w:rsid w:val="00CC6E47"/>
    <w:rsid w:val="00CD1346"/>
    <w:rsid w:val="00CD1E47"/>
    <w:rsid w:val="00CE12AC"/>
    <w:rsid w:val="00CE425C"/>
    <w:rsid w:val="00CE58AC"/>
    <w:rsid w:val="00CE690A"/>
    <w:rsid w:val="00CF000E"/>
    <w:rsid w:val="00CF5A80"/>
    <w:rsid w:val="00D045EE"/>
    <w:rsid w:val="00D05091"/>
    <w:rsid w:val="00D10CA6"/>
    <w:rsid w:val="00D10F21"/>
    <w:rsid w:val="00D134CF"/>
    <w:rsid w:val="00D1573B"/>
    <w:rsid w:val="00D24806"/>
    <w:rsid w:val="00D2490F"/>
    <w:rsid w:val="00D34040"/>
    <w:rsid w:val="00D34E69"/>
    <w:rsid w:val="00D36C78"/>
    <w:rsid w:val="00D37045"/>
    <w:rsid w:val="00D375EE"/>
    <w:rsid w:val="00D406D7"/>
    <w:rsid w:val="00D55AE8"/>
    <w:rsid w:val="00D56056"/>
    <w:rsid w:val="00D6085F"/>
    <w:rsid w:val="00D62699"/>
    <w:rsid w:val="00D7532C"/>
    <w:rsid w:val="00D778E9"/>
    <w:rsid w:val="00D812BF"/>
    <w:rsid w:val="00D82620"/>
    <w:rsid w:val="00D85707"/>
    <w:rsid w:val="00D90E1C"/>
    <w:rsid w:val="00D9725F"/>
    <w:rsid w:val="00DA01B1"/>
    <w:rsid w:val="00DA0BB4"/>
    <w:rsid w:val="00DA11A2"/>
    <w:rsid w:val="00DA14ED"/>
    <w:rsid w:val="00DA1EE2"/>
    <w:rsid w:val="00DA26D6"/>
    <w:rsid w:val="00DA5A66"/>
    <w:rsid w:val="00DA680E"/>
    <w:rsid w:val="00DA7265"/>
    <w:rsid w:val="00DB2EF1"/>
    <w:rsid w:val="00DB3DE1"/>
    <w:rsid w:val="00DB4130"/>
    <w:rsid w:val="00DB5DA0"/>
    <w:rsid w:val="00DB716C"/>
    <w:rsid w:val="00DC5C85"/>
    <w:rsid w:val="00DC6639"/>
    <w:rsid w:val="00DC7C5D"/>
    <w:rsid w:val="00DD4236"/>
    <w:rsid w:val="00DD44F1"/>
    <w:rsid w:val="00DD6957"/>
    <w:rsid w:val="00DD6E7A"/>
    <w:rsid w:val="00DE06AB"/>
    <w:rsid w:val="00DE1D58"/>
    <w:rsid w:val="00DE3067"/>
    <w:rsid w:val="00DE377A"/>
    <w:rsid w:val="00DE6F76"/>
    <w:rsid w:val="00DF12DF"/>
    <w:rsid w:val="00DF3EEE"/>
    <w:rsid w:val="00DF75E1"/>
    <w:rsid w:val="00DF7936"/>
    <w:rsid w:val="00E027BC"/>
    <w:rsid w:val="00E045BE"/>
    <w:rsid w:val="00E10C12"/>
    <w:rsid w:val="00E10F0D"/>
    <w:rsid w:val="00E131D2"/>
    <w:rsid w:val="00E14CDE"/>
    <w:rsid w:val="00E14EA5"/>
    <w:rsid w:val="00E2070E"/>
    <w:rsid w:val="00E21133"/>
    <w:rsid w:val="00E2327E"/>
    <w:rsid w:val="00E23577"/>
    <w:rsid w:val="00E266EF"/>
    <w:rsid w:val="00E27F5C"/>
    <w:rsid w:val="00E326A8"/>
    <w:rsid w:val="00E43DE8"/>
    <w:rsid w:val="00E47428"/>
    <w:rsid w:val="00E56C8E"/>
    <w:rsid w:val="00E5716B"/>
    <w:rsid w:val="00E57F1F"/>
    <w:rsid w:val="00E66B9F"/>
    <w:rsid w:val="00E70A6A"/>
    <w:rsid w:val="00E710D6"/>
    <w:rsid w:val="00E72548"/>
    <w:rsid w:val="00E73DA4"/>
    <w:rsid w:val="00E76E45"/>
    <w:rsid w:val="00E777C9"/>
    <w:rsid w:val="00E81DA6"/>
    <w:rsid w:val="00E84212"/>
    <w:rsid w:val="00E87ECB"/>
    <w:rsid w:val="00E9086C"/>
    <w:rsid w:val="00E90AAA"/>
    <w:rsid w:val="00E91A0F"/>
    <w:rsid w:val="00E94A71"/>
    <w:rsid w:val="00E94CBF"/>
    <w:rsid w:val="00E94D53"/>
    <w:rsid w:val="00E9726E"/>
    <w:rsid w:val="00EA03CE"/>
    <w:rsid w:val="00EA23E5"/>
    <w:rsid w:val="00EA4E2E"/>
    <w:rsid w:val="00EB2417"/>
    <w:rsid w:val="00EB2CCB"/>
    <w:rsid w:val="00EB7A25"/>
    <w:rsid w:val="00EC0F3E"/>
    <w:rsid w:val="00EC57A7"/>
    <w:rsid w:val="00EC5968"/>
    <w:rsid w:val="00EC7D13"/>
    <w:rsid w:val="00ED0817"/>
    <w:rsid w:val="00ED3A9A"/>
    <w:rsid w:val="00ED62D9"/>
    <w:rsid w:val="00ED7DD9"/>
    <w:rsid w:val="00EE025A"/>
    <w:rsid w:val="00EE445B"/>
    <w:rsid w:val="00EF0464"/>
    <w:rsid w:val="00EF11BC"/>
    <w:rsid w:val="00EF3113"/>
    <w:rsid w:val="00EF3CE4"/>
    <w:rsid w:val="00EF3F84"/>
    <w:rsid w:val="00EF6C5D"/>
    <w:rsid w:val="00F05C6F"/>
    <w:rsid w:val="00F176AC"/>
    <w:rsid w:val="00F26F28"/>
    <w:rsid w:val="00F27714"/>
    <w:rsid w:val="00F3276E"/>
    <w:rsid w:val="00F33D3C"/>
    <w:rsid w:val="00F37A91"/>
    <w:rsid w:val="00F4017E"/>
    <w:rsid w:val="00F408A0"/>
    <w:rsid w:val="00F44F15"/>
    <w:rsid w:val="00F45CF5"/>
    <w:rsid w:val="00F47DB0"/>
    <w:rsid w:val="00F50C3F"/>
    <w:rsid w:val="00F50E34"/>
    <w:rsid w:val="00F51AFB"/>
    <w:rsid w:val="00F53955"/>
    <w:rsid w:val="00F53A39"/>
    <w:rsid w:val="00F53EF7"/>
    <w:rsid w:val="00F54BF2"/>
    <w:rsid w:val="00F65EA4"/>
    <w:rsid w:val="00F670E3"/>
    <w:rsid w:val="00F7358A"/>
    <w:rsid w:val="00F73903"/>
    <w:rsid w:val="00F75360"/>
    <w:rsid w:val="00F775AC"/>
    <w:rsid w:val="00F8792F"/>
    <w:rsid w:val="00F9214D"/>
    <w:rsid w:val="00F92355"/>
    <w:rsid w:val="00F93963"/>
    <w:rsid w:val="00F94291"/>
    <w:rsid w:val="00FA0532"/>
    <w:rsid w:val="00FA298A"/>
    <w:rsid w:val="00FA33ED"/>
    <w:rsid w:val="00FA556B"/>
    <w:rsid w:val="00FA5B66"/>
    <w:rsid w:val="00FB07BA"/>
    <w:rsid w:val="00FB0B9C"/>
    <w:rsid w:val="00FB30EB"/>
    <w:rsid w:val="00FB7982"/>
    <w:rsid w:val="00FC0734"/>
    <w:rsid w:val="00FC0FC5"/>
    <w:rsid w:val="00FC4137"/>
    <w:rsid w:val="00FC52A7"/>
    <w:rsid w:val="00FC588F"/>
    <w:rsid w:val="00FC6879"/>
    <w:rsid w:val="00FD11B1"/>
    <w:rsid w:val="00FD14BC"/>
    <w:rsid w:val="00FD43C2"/>
    <w:rsid w:val="00FD57CC"/>
    <w:rsid w:val="00FE0651"/>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720837-2923-4395-92B5-9774AB5B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A36131"/>
    <w:pPr>
      <w:autoSpaceDE w:val="0"/>
      <w:autoSpaceDN w:val="0"/>
      <w:adjustRightInd w:val="0"/>
    </w:pPr>
    <w:rPr>
      <w:rFonts w:ascii="Arial" w:hAnsi="Arial" w:cs="Arial"/>
      <w:color w:val="000000"/>
      <w:sz w:val="24"/>
      <w:szCs w:val="24"/>
    </w:rPr>
  </w:style>
  <w:style w:type="paragraph" w:customStyle="1" w:styleId="001c66be">
    <w:name w:val="001c66be"/>
    <w:basedOn w:val="Normal"/>
    <w:rsid w:val="00542D04"/>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ADFF3BB224C1FB6A0B75D127F64CD"/>
        <w:category>
          <w:name w:val="General"/>
          <w:gallery w:val="placeholder"/>
        </w:category>
        <w:types>
          <w:type w:val="bbPlcHdr"/>
        </w:types>
        <w:behaviors>
          <w:behavior w:val="content"/>
        </w:behaviors>
        <w:guid w:val="{71654758-2C13-4EDD-BD3E-2D763DDA7F54}"/>
      </w:docPartPr>
      <w:docPartBody>
        <w:p w:rsidR="00DB7DA6" w:rsidRDefault="00E42C55">
          <w:pPr>
            <w:pStyle w:val="C95ADFF3BB224C1FB6A0B75D127F64CD"/>
          </w:pPr>
          <w:r>
            <w:rPr>
              <w:rStyle w:val="PlaceholderText"/>
            </w:rPr>
            <w:t>MNC Text</w:t>
          </w:r>
        </w:p>
      </w:docPartBody>
    </w:docPart>
    <w:docPart>
      <w:docPartPr>
        <w:name w:val="EAEE16134A6E4BBCA0E3C503D4A81D14"/>
        <w:category>
          <w:name w:val="General"/>
          <w:gallery w:val="placeholder"/>
        </w:category>
        <w:types>
          <w:type w:val="bbPlcHdr"/>
        </w:types>
        <w:behaviors>
          <w:behavior w:val="content"/>
        </w:behaviors>
        <w:guid w:val="{471004F7-169F-43CC-B9AF-722C9F453464}"/>
      </w:docPartPr>
      <w:docPartBody>
        <w:p w:rsidR="00DB7DA6" w:rsidRDefault="00E42C55">
          <w:pPr>
            <w:pStyle w:val="EAEE16134A6E4BBCA0E3C503D4A81D14"/>
          </w:pPr>
          <w:r w:rsidRPr="005C44BE">
            <w:rPr>
              <w:rStyle w:val="PlaceholderText"/>
            </w:rPr>
            <w:t>Click or tap here to enter text.</w:t>
          </w:r>
        </w:p>
      </w:docPartBody>
    </w:docPart>
    <w:docPart>
      <w:docPartPr>
        <w:name w:val="1EE91EEE99294EE8A5E48424CEA8CF98"/>
        <w:category>
          <w:name w:val="General"/>
          <w:gallery w:val="placeholder"/>
        </w:category>
        <w:types>
          <w:type w:val="bbPlcHdr"/>
        </w:types>
        <w:behaviors>
          <w:behavior w:val="content"/>
        </w:behaviors>
        <w:guid w:val="{68AED542-34C3-4B79-A982-351A06CA92E7}"/>
      </w:docPartPr>
      <w:docPartBody>
        <w:p w:rsidR="00DB7DA6" w:rsidRDefault="00E42C55">
          <w:pPr>
            <w:pStyle w:val="1EE91EEE99294EE8A5E48424CEA8CF98"/>
          </w:pPr>
          <w:r w:rsidRPr="005C44BE">
            <w:rPr>
              <w:rStyle w:val="PlaceholderText"/>
            </w:rPr>
            <w:t>Click or tap here to enter text.</w:t>
          </w:r>
        </w:p>
      </w:docPartBody>
    </w:docPart>
    <w:docPart>
      <w:docPartPr>
        <w:name w:val="2F399E80AB9E4C158622B4158E699297"/>
        <w:category>
          <w:name w:val="General"/>
          <w:gallery w:val="placeholder"/>
        </w:category>
        <w:types>
          <w:type w:val="bbPlcHdr"/>
        </w:types>
        <w:behaviors>
          <w:behavior w:val="content"/>
        </w:behaviors>
        <w:guid w:val="{23AD13F6-50C4-4A4D-B40B-13452D43F291}"/>
      </w:docPartPr>
      <w:docPartBody>
        <w:p w:rsidR="00DB7DA6" w:rsidRDefault="00E42C55">
          <w:pPr>
            <w:pStyle w:val="2F399E80AB9E4C158622B4158E699297"/>
          </w:pPr>
          <w:r w:rsidRPr="005C44BE">
            <w:rPr>
              <w:rStyle w:val="PlaceholderText"/>
            </w:rPr>
            <w:t>Click or tap here to enter text.</w:t>
          </w:r>
        </w:p>
      </w:docPartBody>
    </w:docPart>
    <w:docPart>
      <w:docPartPr>
        <w:name w:val="53EA2F5574704312A443EAADC2535297"/>
        <w:category>
          <w:name w:val="General"/>
          <w:gallery w:val="placeholder"/>
        </w:category>
        <w:types>
          <w:type w:val="bbPlcHdr"/>
        </w:types>
        <w:behaviors>
          <w:behavior w:val="content"/>
        </w:behaviors>
        <w:guid w:val="{7CD5F6EB-9585-46C9-BE5D-89C5A6CB2241}"/>
      </w:docPartPr>
      <w:docPartBody>
        <w:p w:rsidR="00DB7DA6" w:rsidRDefault="00E42C55">
          <w:pPr>
            <w:pStyle w:val="53EA2F5574704312A443EAADC253529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55"/>
    <w:rsid w:val="000C0979"/>
    <w:rsid w:val="0054603F"/>
    <w:rsid w:val="00816AB9"/>
    <w:rsid w:val="00850261"/>
    <w:rsid w:val="008B2195"/>
    <w:rsid w:val="00AD43F9"/>
    <w:rsid w:val="00B41E3C"/>
    <w:rsid w:val="00CC03EB"/>
    <w:rsid w:val="00DB7DA6"/>
    <w:rsid w:val="00E42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5ADFF3BB224C1FB6A0B75D127F64CD">
    <w:name w:val="C95ADFF3BB224C1FB6A0B75D127F64CD"/>
  </w:style>
  <w:style w:type="paragraph" w:customStyle="1" w:styleId="EAEE16134A6E4BBCA0E3C503D4A81D14">
    <w:name w:val="EAEE16134A6E4BBCA0E3C503D4A81D14"/>
  </w:style>
  <w:style w:type="paragraph" w:customStyle="1" w:styleId="1EE91EEE99294EE8A5E48424CEA8CF98">
    <w:name w:val="1EE91EEE99294EE8A5E48424CEA8CF98"/>
  </w:style>
  <w:style w:type="paragraph" w:customStyle="1" w:styleId="2F399E80AB9E4C158622B4158E699297">
    <w:name w:val="2F399E80AB9E4C158622B4158E699297"/>
  </w:style>
  <w:style w:type="paragraph" w:customStyle="1" w:styleId="53EA2F5574704312A443EAADC2535297">
    <w:name w:val="53EA2F5574704312A443EAADC2535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CGN17 v Minister for Immigration, Citizenship, Migrant Services and Multicultural Affairs [2022] FCA 494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3321018-3ED3-4DC2-B8BF-2B0BC168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9</TotalTime>
  <Pages>13</Pages>
  <Words>3316</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CGN17 v Minister for Immigration, Citizenship, Migrant Services and Multicultural Affairs [2022] FCA 494   </vt:lpstr>
    </vt:vector>
  </TitlesOfParts>
  <Company>Federal Court of Australia</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CGN17 v Minister for Immigration, Citizenship, Migrant Services and Multicultural Affairs [2022] FCA 494</dc:title>
  <dc:creator>Federal Court of Australia</dc:creator>
  <dc:description>v1.3</dc:description>
  <cp:lastModifiedBy>Federal Court of Australia</cp:lastModifiedBy>
  <cp:revision>4</cp:revision>
  <cp:lastPrinted>2022-05-04T05:16:00Z</cp:lastPrinted>
  <dcterms:created xsi:type="dcterms:W3CDTF">2022-05-05T22:42:00Z</dcterms:created>
  <dcterms:modified xsi:type="dcterms:W3CDTF">2022-05-05T23:12:00Z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