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EDA7D" w14:textId="77777777" w:rsidR="00395B24" w:rsidRDefault="00E70239" w:rsidP="00A22932">
      <w:pPr>
        <w:pStyle w:val="CourtTitle"/>
      </w:pPr>
      <w:r>
        <w:fldChar w:fldCharType="begin"/>
      </w:r>
      <w:r>
        <w:instrText xml:space="preserve"> DOCPROPERTY  Court  \* MERGEFORMAT </w:instrText>
      </w:r>
      <w:r>
        <w:fldChar w:fldCharType="separate"/>
      </w:r>
      <w:r w:rsidR="00BE2DD0">
        <w:t>Federal Court of Australia</w:t>
      </w:r>
      <w:r>
        <w:fldChar w:fldCharType="end"/>
      </w:r>
    </w:p>
    <w:p w14:paraId="5FE0AB99" w14:textId="77777777" w:rsidR="004D7950" w:rsidRDefault="004D7950">
      <w:pPr>
        <w:pStyle w:val="NormalHeadings"/>
        <w:jc w:val="center"/>
        <w:rPr>
          <w:sz w:val="32"/>
        </w:rPr>
      </w:pPr>
    </w:p>
    <w:bookmarkStart w:id="0" w:name="MNC"/>
    <w:p w14:paraId="492403A5" w14:textId="3C270961" w:rsidR="00374CC4" w:rsidRDefault="004D52A8" w:rsidP="001A2B40">
      <w:pPr>
        <w:pStyle w:val="MNC"/>
      </w:pPr>
      <w:sdt>
        <w:sdtPr>
          <w:alias w:val="MNC"/>
          <w:tag w:val="MNC"/>
          <w:id w:val="343289786"/>
          <w:lock w:val="sdtLocked"/>
          <w:placeholder>
            <w:docPart w:val="436A35C02D004F198CD62CC835EB461F"/>
          </w:placeholder>
          <w:dataBinding w:prefixMappings="xmlns:ns0='http://schemas.globalmacros.com/FCA'" w:xpath="/ns0:root[1]/ns0:Name[1]" w:storeItemID="{687E7CCB-4AA5-44E7-B148-17BA2B6F57C0}"/>
          <w:text w:multiLine="1"/>
        </w:sdtPr>
        <w:sdtEndPr/>
        <w:sdtContent>
          <w:r w:rsidR="0003146D" w:rsidRPr="0003146D">
            <w:t>MetLife Insurance Limited v Australian Financial Complaints Authority Limited [2022] FCAFC 173</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BE2DD0" w14:paraId="512B4ACA" w14:textId="77777777" w:rsidTr="00605192">
        <w:tc>
          <w:tcPr>
            <w:tcW w:w="3084" w:type="dxa"/>
            <w:shd w:val="clear" w:color="auto" w:fill="auto"/>
          </w:tcPr>
          <w:p w14:paraId="05AC9C79" w14:textId="77777777" w:rsidR="00BE2DD0" w:rsidRDefault="00BE2DD0"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49FB8507" w14:textId="045B5586" w:rsidR="00BE2DD0" w:rsidRDefault="00615753" w:rsidP="007A3CF2">
            <w:pPr>
              <w:pStyle w:val="CasesLegislationAppealFrom"/>
              <w:spacing w:after="60"/>
            </w:pPr>
            <w:r w:rsidRPr="007A3CF2">
              <w:rPr>
                <w:i/>
              </w:rPr>
              <w:t xml:space="preserve">MetLife Insurance Limited v Australian Financial Complaints Authority </w:t>
            </w:r>
            <w:fldSimple w:instr=" DOCPROPERTY  AppealFrom  \* MERGEFORMAT ">
              <w:r w:rsidR="00BE2DD0">
                <w:t>[</w:t>
              </w:r>
              <w:r w:rsidR="007A3CF2">
                <w:t>2022</w:t>
              </w:r>
              <w:r w:rsidR="00BE2DD0">
                <w:t xml:space="preserve">] FCA 23 </w:t>
              </w:r>
            </w:fldSimple>
          </w:p>
        </w:tc>
      </w:tr>
      <w:tr w:rsidR="00BE2DD0" w14:paraId="43450508" w14:textId="77777777" w:rsidTr="00605192">
        <w:tc>
          <w:tcPr>
            <w:tcW w:w="3084" w:type="dxa"/>
            <w:shd w:val="clear" w:color="auto" w:fill="auto"/>
          </w:tcPr>
          <w:p w14:paraId="04E0FAC8" w14:textId="77777777" w:rsidR="00BE2DD0" w:rsidRDefault="00BE2DD0" w:rsidP="00663878">
            <w:pPr>
              <w:pStyle w:val="Normal1linespace"/>
              <w:widowControl w:val="0"/>
              <w:jc w:val="left"/>
            </w:pPr>
          </w:p>
        </w:tc>
        <w:tc>
          <w:tcPr>
            <w:tcW w:w="5989" w:type="dxa"/>
            <w:shd w:val="clear" w:color="auto" w:fill="auto"/>
          </w:tcPr>
          <w:p w14:paraId="46018480" w14:textId="77777777" w:rsidR="00BE2DD0" w:rsidRDefault="00BE2DD0" w:rsidP="00663878">
            <w:pPr>
              <w:pStyle w:val="Normal1linespace"/>
              <w:widowControl w:val="0"/>
              <w:jc w:val="left"/>
            </w:pPr>
          </w:p>
        </w:tc>
      </w:tr>
      <w:bookmarkEnd w:id="1"/>
      <w:tr w:rsidR="00395B24" w14:paraId="19F378D3" w14:textId="77777777" w:rsidTr="00605192">
        <w:tc>
          <w:tcPr>
            <w:tcW w:w="3084" w:type="dxa"/>
            <w:shd w:val="clear" w:color="auto" w:fill="auto"/>
          </w:tcPr>
          <w:p w14:paraId="49DED846" w14:textId="77777777" w:rsidR="00395B24" w:rsidRDefault="002C7385" w:rsidP="00663878">
            <w:pPr>
              <w:pStyle w:val="Normal1linespace"/>
              <w:widowControl w:val="0"/>
              <w:jc w:val="left"/>
            </w:pPr>
            <w:r>
              <w:t>File number(s):</w:t>
            </w:r>
          </w:p>
        </w:tc>
        <w:tc>
          <w:tcPr>
            <w:tcW w:w="5989" w:type="dxa"/>
            <w:shd w:val="clear" w:color="auto" w:fill="auto"/>
          </w:tcPr>
          <w:p w14:paraId="051BE381" w14:textId="77777777" w:rsidR="00395B24" w:rsidRPr="00BE2DD0" w:rsidRDefault="002C2364" w:rsidP="00BE2DD0">
            <w:pPr>
              <w:pStyle w:val="Normal1linespace"/>
              <w:jc w:val="left"/>
            </w:pPr>
            <w:fldSimple w:instr=" REF  FileNo  \* MERGEFORMAT " w:fldLock="1">
              <w:r w:rsidR="00BE2DD0" w:rsidRPr="00BE2DD0">
                <w:t>NSD 126 of 2022</w:t>
              </w:r>
            </w:fldSimple>
          </w:p>
        </w:tc>
      </w:tr>
      <w:tr w:rsidR="00395B24" w14:paraId="7D306EA8" w14:textId="77777777" w:rsidTr="00605192">
        <w:tc>
          <w:tcPr>
            <w:tcW w:w="3084" w:type="dxa"/>
            <w:shd w:val="clear" w:color="auto" w:fill="auto"/>
          </w:tcPr>
          <w:p w14:paraId="2C6EE988" w14:textId="77777777" w:rsidR="00395B24" w:rsidRDefault="00395B24" w:rsidP="00663878">
            <w:pPr>
              <w:pStyle w:val="Normal1linespace"/>
              <w:widowControl w:val="0"/>
              <w:jc w:val="left"/>
            </w:pPr>
          </w:p>
        </w:tc>
        <w:tc>
          <w:tcPr>
            <w:tcW w:w="5989" w:type="dxa"/>
            <w:shd w:val="clear" w:color="auto" w:fill="auto"/>
          </w:tcPr>
          <w:p w14:paraId="3601C6B2" w14:textId="77777777" w:rsidR="00395B24" w:rsidRDefault="00395B24" w:rsidP="00663878">
            <w:pPr>
              <w:pStyle w:val="Normal1linespace"/>
              <w:widowControl w:val="0"/>
              <w:jc w:val="left"/>
            </w:pPr>
          </w:p>
        </w:tc>
      </w:tr>
      <w:tr w:rsidR="00395B24" w14:paraId="3436DA4E" w14:textId="77777777" w:rsidTr="00605192">
        <w:tc>
          <w:tcPr>
            <w:tcW w:w="3084" w:type="dxa"/>
            <w:shd w:val="clear" w:color="auto" w:fill="auto"/>
          </w:tcPr>
          <w:p w14:paraId="4612149F"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EADFFB0" w14:textId="09E6E29C" w:rsidR="00395B24" w:rsidRDefault="00615753" w:rsidP="00663878">
            <w:pPr>
              <w:pStyle w:val="Normal1linespace"/>
              <w:widowControl w:val="0"/>
              <w:jc w:val="left"/>
              <w:rPr>
                <w:b/>
              </w:rPr>
            </w:pPr>
            <w:r>
              <w:rPr>
                <w:b/>
              </w:rPr>
              <w:t xml:space="preserve">MIDDLETON, JACKSON AND </w:t>
            </w:r>
            <w:r w:rsidR="002C7385" w:rsidRPr="00BE2DD0">
              <w:rPr>
                <w:b/>
              </w:rPr>
              <w:fldChar w:fldCharType="begin" w:fldLock="1"/>
            </w:r>
            <w:r w:rsidR="002C7385" w:rsidRPr="00BE2DD0">
              <w:rPr>
                <w:b/>
              </w:rPr>
              <w:instrText xml:space="preserve"> REF  Judge  \* MERGEFORMAT </w:instrText>
            </w:r>
            <w:r w:rsidR="002C7385" w:rsidRPr="00BE2DD0">
              <w:rPr>
                <w:b/>
              </w:rPr>
              <w:fldChar w:fldCharType="separate"/>
            </w:r>
            <w:r w:rsidR="00BE2DD0" w:rsidRPr="00BE2DD0">
              <w:rPr>
                <w:b/>
                <w:caps/>
                <w:szCs w:val="24"/>
              </w:rPr>
              <w:t>HALLEY J</w:t>
            </w:r>
            <w:r w:rsidR="002C7385" w:rsidRPr="00BE2DD0">
              <w:rPr>
                <w:b/>
              </w:rPr>
              <w:fldChar w:fldCharType="end"/>
            </w:r>
            <w:r>
              <w:rPr>
                <w:b/>
              </w:rPr>
              <w:t>J</w:t>
            </w:r>
          </w:p>
        </w:tc>
      </w:tr>
      <w:tr w:rsidR="00395B24" w14:paraId="16E9ACCC" w14:textId="77777777" w:rsidTr="00605192">
        <w:tc>
          <w:tcPr>
            <w:tcW w:w="3084" w:type="dxa"/>
            <w:shd w:val="clear" w:color="auto" w:fill="auto"/>
          </w:tcPr>
          <w:p w14:paraId="3761B43C" w14:textId="77777777" w:rsidR="00395B24" w:rsidRDefault="00395B24" w:rsidP="00663878">
            <w:pPr>
              <w:pStyle w:val="Normal1linespace"/>
              <w:widowControl w:val="0"/>
              <w:jc w:val="left"/>
            </w:pPr>
          </w:p>
        </w:tc>
        <w:tc>
          <w:tcPr>
            <w:tcW w:w="5989" w:type="dxa"/>
            <w:shd w:val="clear" w:color="auto" w:fill="auto"/>
          </w:tcPr>
          <w:p w14:paraId="3A4C29BB" w14:textId="77777777" w:rsidR="00395B24" w:rsidRDefault="00395B24" w:rsidP="00663878">
            <w:pPr>
              <w:pStyle w:val="Normal1linespace"/>
              <w:widowControl w:val="0"/>
              <w:jc w:val="left"/>
            </w:pPr>
          </w:p>
        </w:tc>
      </w:tr>
      <w:tr w:rsidR="00395B24" w14:paraId="42468295" w14:textId="77777777" w:rsidTr="00605192">
        <w:tc>
          <w:tcPr>
            <w:tcW w:w="3084" w:type="dxa"/>
            <w:shd w:val="clear" w:color="auto" w:fill="auto"/>
          </w:tcPr>
          <w:p w14:paraId="1D96DAFD" w14:textId="77777777" w:rsidR="00395B24" w:rsidRDefault="002C7385" w:rsidP="00663878">
            <w:pPr>
              <w:pStyle w:val="Normal1linespace"/>
              <w:widowControl w:val="0"/>
              <w:jc w:val="left"/>
            </w:pPr>
            <w:r>
              <w:t>Date of judgment:</w:t>
            </w:r>
          </w:p>
        </w:tc>
        <w:tc>
          <w:tcPr>
            <w:tcW w:w="5989" w:type="dxa"/>
            <w:shd w:val="clear" w:color="auto" w:fill="auto"/>
          </w:tcPr>
          <w:p w14:paraId="3F5BDD53" w14:textId="1DC38F38" w:rsidR="00395B24" w:rsidRDefault="009010FE" w:rsidP="00663878">
            <w:pPr>
              <w:pStyle w:val="Normal1linespace"/>
              <w:widowControl w:val="0"/>
              <w:jc w:val="left"/>
            </w:pPr>
            <w:r>
              <w:t>27 October 2022</w:t>
            </w:r>
          </w:p>
        </w:tc>
      </w:tr>
      <w:tr w:rsidR="00395B24" w14:paraId="0175EE29" w14:textId="77777777" w:rsidTr="00605192">
        <w:tc>
          <w:tcPr>
            <w:tcW w:w="3084" w:type="dxa"/>
            <w:shd w:val="clear" w:color="auto" w:fill="auto"/>
          </w:tcPr>
          <w:p w14:paraId="260C6845" w14:textId="77777777" w:rsidR="00395B24" w:rsidRDefault="00395B24" w:rsidP="00663878">
            <w:pPr>
              <w:pStyle w:val="Normal1linespace"/>
              <w:widowControl w:val="0"/>
              <w:jc w:val="left"/>
            </w:pPr>
          </w:p>
        </w:tc>
        <w:tc>
          <w:tcPr>
            <w:tcW w:w="5989" w:type="dxa"/>
            <w:shd w:val="clear" w:color="auto" w:fill="auto"/>
          </w:tcPr>
          <w:p w14:paraId="4508E640" w14:textId="77777777" w:rsidR="00395B24" w:rsidRDefault="00395B24" w:rsidP="00663878">
            <w:pPr>
              <w:pStyle w:val="Normal1linespace"/>
              <w:widowControl w:val="0"/>
              <w:jc w:val="left"/>
            </w:pPr>
          </w:p>
        </w:tc>
      </w:tr>
      <w:tr w:rsidR="00395B24" w14:paraId="775B6CB9" w14:textId="77777777" w:rsidTr="00605192">
        <w:tc>
          <w:tcPr>
            <w:tcW w:w="3084" w:type="dxa"/>
            <w:shd w:val="clear" w:color="auto" w:fill="auto"/>
          </w:tcPr>
          <w:p w14:paraId="243E4442" w14:textId="77777777" w:rsidR="00395B24" w:rsidRDefault="002C7385" w:rsidP="00663878">
            <w:pPr>
              <w:pStyle w:val="Normal1linespace"/>
              <w:widowControl w:val="0"/>
              <w:jc w:val="left"/>
            </w:pPr>
            <w:r>
              <w:t>Catchwords:</w:t>
            </w:r>
          </w:p>
        </w:tc>
        <w:tc>
          <w:tcPr>
            <w:tcW w:w="5989" w:type="dxa"/>
            <w:shd w:val="clear" w:color="auto" w:fill="auto"/>
          </w:tcPr>
          <w:p w14:paraId="03CD55A6" w14:textId="6FFA1136" w:rsidR="00395B24" w:rsidRDefault="00182931" w:rsidP="00570566">
            <w:pPr>
              <w:pStyle w:val="Normal1linespace"/>
              <w:widowControl w:val="0"/>
              <w:jc w:val="left"/>
            </w:pPr>
            <w:bookmarkStart w:id="2" w:name="Catchwords"/>
            <w:r>
              <w:rPr>
                <w:b/>
              </w:rPr>
              <w:t xml:space="preserve">SUPERANNUATION </w:t>
            </w:r>
            <w:r>
              <w:t xml:space="preserve">– appeal from decision of primary judge, where primary judge decided that respondent </w:t>
            </w:r>
            <w:r w:rsidR="00544F15">
              <w:t>(</w:t>
            </w:r>
            <w:r w:rsidR="00544F15">
              <w:rPr>
                <w:b/>
              </w:rPr>
              <w:t>AFCA</w:t>
            </w:r>
            <w:r w:rsidR="00544F15">
              <w:t xml:space="preserve">) </w:t>
            </w:r>
            <w:r>
              <w:t>has authority to determine complaint relating to superannuation</w:t>
            </w:r>
            <w:r w:rsidR="00544F15">
              <w:t xml:space="preserve"> </w:t>
            </w:r>
            <w:r w:rsidRPr="00182931">
              <w:t>that falls outside ambit of sub-</w:t>
            </w:r>
            <w:proofErr w:type="spellStart"/>
            <w:r w:rsidRPr="00182931">
              <w:t>ss</w:t>
            </w:r>
            <w:proofErr w:type="spellEnd"/>
            <w:r w:rsidRPr="00182931">
              <w:t xml:space="preserve"> 1053(1)(a)-(j)</w:t>
            </w:r>
            <w:r>
              <w:t xml:space="preserve"> of the </w:t>
            </w:r>
            <w:r>
              <w:rPr>
                <w:i/>
              </w:rPr>
              <w:t xml:space="preserve">Corporations Act 2001 </w:t>
            </w:r>
            <w:r>
              <w:t>(</w:t>
            </w:r>
            <w:proofErr w:type="spellStart"/>
            <w:r>
              <w:t>Cth</w:t>
            </w:r>
            <w:proofErr w:type="spellEnd"/>
            <w:r>
              <w:t xml:space="preserve">) </w:t>
            </w:r>
            <w:r w:rsidR="00544F15">
              <w:t>– principles of statutory const</w:t>
            </w:r>
            <w:r w:rsidR="00570566">
              <w:t>ruction – textual analysis of s </w:t>
            </w:r>
            <w:r w:rsidR="00544F15">
              <w:t>1053(1) – statutory context – extrinsic materials considered –</w:t>
            </w:r>
            <w:r w:rsidR="00570566">
              <w:t xml:space="preserve"> </w:t>
            </w:r>
            <w:r w:rsidR="007F33B6">
              <w:t xml:space="preserve">where </w:t>
            </w:r>
            <w:r w:rsidR="00544F15">
              <w:t xml:space="preserve">AFCA </w:t>
            </w:r>
            <w:r w:rsidR="007F33B6">
              <w:t>did not have authority to determine complaint relating to superannuation falling outside sub-</w:t>
            </w:r>
            <w:proofErr w:type="spellStart"/>
            <w:r w:rsidR="007F33B6">
              <w:t>ss</w:t>
            </w:r>
            <w:proofErr w:type="spellEnd"/>
            <w:r w:rsidR="007F33B6">
              <w:t xml:space="preserve"> 1053(1)(a)-(j)</w:t>
            </w:r>
            <w:r w:rsidR="00544F15">
              <w:t xml:space="preserve"> – notice of contention that complaint by second respondent not a </w:t>
            </w:r>
            <w:r w:rsidR="007F33B6">
              <w:t>complaint relating to superannuation</w:t>
            </w:r>
            <w:r w:rsidR="00544F15">
              <w:t xml:space="preserve"> </w:t>
            </w:r>
            <w:r w:rsidR="002F4283">
              <w:t>–</w:t>
            </w:r>
            <w:r w:rsidR="00544F15">
              <w:t xml:space="preserve"> </w:t>
            </w:r>
            <w:r w:rsidR="002F4283">
              <w:t>where c</w:t>
            </w:r>
            <w:r w:rsidR="002F4283" w:rsidRPr="002F4283">
              <w:t>ontractual provisions in AFCA Rules cannot consensually be expanded beyond statutorily defined limits</w:t>
            </w:r>
            <w:r w:rsidR="002F4283">
              <w:t xml:space="preserve"> – where no ad hoc agreement between parties </w:t>
            </w:r>
            <w:r w:rsidR="002F4283" w:rsidRPr="002F4283">
              <w:t xml:space="preserve">that determination </w:t>
            </w:r>
            <w:r w:rsidR="002F4283">
              <w:t xml:space="preserve">of the Superannuation Complaint </w:t>
            </w:r>
            <w:r w:rsidR="002F4283" w:rsidRPr="002F4283">
              <w:t>should proceed independently of AFCA Scheme</w:t>
            </w:r>
            <w:r w:rsidR="002F4283">
              <w:t xml:space="preserve"> </w:t>
            </w:r>
            <w:r w:rsidR="00544F15">
              <w:t>–</w:t>
            </w:r>
            <w:r w:rsidR="00570566">
              <w:t xml:space="preserve"> </w:t>
            </w:r>
            <w:r w:rsidR="007F33B6">
              <w:t>notice of contention</w:t>
            </w:r>
            <w:r w:rsidR="00544F15">
              <w:t xml:space="preserve"> dismissed </w:t>
            </w:r>
            <w:r w:rsidR="002F4283">
              <w:t xml:space="preserve">– </w:t>
            </w:r>
            <w:r w:rsidR="00544F15">
              <w:t>appeal allowed</w:t>
            </w:r>
            <w:r w:rsidR="002C7385">
              <w:t xml:space="preserve"> </w:t>
            </w:r>
            <w:bookmarkEnd w:id="2"/>
          </w:p>
        </w:tc>
      </w:tr>
      <w:tr w:rsidR="00395B24" w14:paraId="1C836584" w14:textId="77777777" w:rsidTr="00605192">
        <w:tc>
          <w:tcPr>
            <w:tcW w:w="3084" w:type="dxa"/>
            <w:shd w:val="clear" w:color="auto" w:fill="auto"/>
          </w:tcPr>
          <w:p w14:paraId="0966EC3C" w14:textId="77777777" w:rsidR="00395B24" w:rsidRDefault="00395B24" w:rsidP="00663878">
            <w:pPr>
              <w:pStyle w:val="Normal1linespace"/>
              <w:widowControl w:val="0"/>
              <w:jc w:val="left"/>
            </w:pPr>
          </w:p>
        </w:tc>
        <w:tc>
          <w:tcPr>
            <w:tcW w:w="5989" w:type="dxa"/>
            <w:shd w:val="clear" w:color="auto" w:fill="auto"/>
          </w:tcPr>
          <w:p w14:paraId="4C816EC5" w14:textId="77777777" w:rsidR="00395B24" w:rsidRDefault="00395B24" w:rsidP="00663878">
            <w:pPr>
              <w:pStyle w:val="Normal1linespace"/>
              <w:widowControl w:val="0"/>
              <w:jc w:val="left"/>
            </w:pPr>
          </w:p>
        </w:tc>
      </w:tr>
      <w:tr w:rsidR="00395B24" w14:paraId="0946823B" w14:textId="77777777" w:rsidTr="00605192">
        <w:tc>
          <w:tcPr>
            <w:tcW w:w="3084" w:type="dxa"/>
            <w:shd w:val="clear" w:color="auto" w:fill="auto"/>
          </w:tcPr>
          <w:p w14:paraId="77DA4CA5" w14:textId="77777777" w:rsidR="00395B24" w:rsidRDefault="002C7385" w:rsidP="00663878">
            <w:pPr>
              <w:pStyle w:val="Normal1linespace"/>
              <w:widowControl w:val="0"/>
              <w:jc w:val="left"/>
            </w:pPr>
            <w:r>
              <w:t>Legislation:</w:t>
            </w:r>
          </w:p>
        </w:tc>
        <w:tc>
          <w:tcPr>
            <w:tcW w:w="5989" w:type="dxa"/>
            <w:shd w:val="clear" w:color="auto" w:fill="auto"/>
          </w:tcPr>
          <w:p w14:paraId="7F5D13B5" w14:textId="2E7D9CC3" w:rsidR="00D07415" w:rsidRDefault="00D07415" w:rsidP="00D82620">
            <w:pPr>
              <w:pStyle w:val="CasesLegislationAppealFrom"/>
              <w:spacing w:after="60"/>
              <w:rPr>
                <w:i/>
              </w:rPr>
            </w:pPr>
            <w:bookmarkStart w:id="3" w:name="Legislation"/>
            <w:r w:rsidRPr="00E6115C">
              <w:rPr>
                <w:i/>
              </w:rPr>
              <w:t>Acts Interpretation Act</w:t>
            </w:r>
            <w:r>
              <w:rPr>
                <w:i/>
              </w:rPr>
              <w:t xml:space="preserve"> 1901 </w:t>
            </w:r>
            <w:r>
              <w:t>(</w:t>
            </w:r>
            <w:proofErr w:type="spellStart"/>
            <w:r>
              <w:t>Cth</w:t>
            </w:r>
            <w:proofErr w:type="spellEnd"/>
            <w:r>
              <w:t>) s 13</w:t>
            </w:r>
          </w:p>
          <w:p w14:paraId="70D4CC99" w14:textId="72138CBB" w:rsidR="00977319" w:rsidRDefault="002F4283" w:rsidP="00D82620">
            <w:pPr>
              <w:pStyle w:val="CasesLegislationAppealFrom"/>
              <w:spacing w:after="60"/>
            </w:pPr>
            <w:r w:rsidRPr="00902305">
              <w:rPr>
                <w:i/>
              </w:rPr>
              <w:t>Corporations Act 2001</w:t>
            </w:r>
            <w:r>
              <w:t xml:space="preserve"> (</w:t>
            </w:r>
            <w:proofErr w:type="spellStart"/>
            <w:r>
              <w:t>Cth</w:t>
            </w:r>
            <w:proofErr w:type="spellEnd"/>
            <w:r>
              <w:t xml:space="preserve">) </w:t>
            </w:r>
            <w:proofErr w:type="spellStart"/>
            <w:r>
              <w:t>ss</w:t>
            </w:r>
            <w:proofErr w:type="spellEnd"/>
            <w:r>
              <w:t xml:space="preserve"> </w:t>
            </w:r>
            <w:r w:rsidR="00977319">
              <w:t xml:space="preserve">761A, 912A, </w:t>
            </w:r>
            <w:r w:rsidR="00D07415">
              <w:t xml:space="preserve">1050, 1051, </w:t>
            </w:r>
            <w:r>
              <w:t>1053</w:t>
            </w:r>
            <w:r w:rsidR="00D07415">
              <w:t>, 1054, 1054A, 1054B, 1054C, 1055, 1057</w:t>
            </w:r>
          </w:p>
          <w:p w14:paraId="244D8550" w14:textId="1B76A3E3" w:rsidR="00D07415" w:rsidRDefault="00D07415" w:rsidP="00D82620">
            <w:pPr>
              <w:pStyle w:val="CasesLegislationAppealFrom"/>
              <w:spacing w:after="60"/>
            </w:pPr>
            <w:r>
              <w:t xml:space="preserve">Revised Explanatory Memorandum, </w:t>
            </w:r>
            <w:r w:rsidRPr="00BE0AD8">
              <w:t>Treasury Laws Amendment (Putting Consumers First</w:t>
            </w:r>
            <w:r>
              <w:t>—</w:t>
            </w:r>
            <w:r w:rsidRPr="00BE0AD8">
              <w:t>Establishment of the Australian Financial Complaints Authority) Bill 2017 (</w:t>
            </w:r>
            <w:proofErr w:type="spellStart"/>
            <w:r w:rsidRPr="00BE0AD8">
              <w:t>Cth</w:t>
            </w:r>
            <w:proofErr w:type="spellEnd"/>
            <w:r w:rsidRPr="00BE0AD8">
              <w:t>)</w:t>
            </w:r>
          </w:p>
          <w:p w14:paraId="4F03B90A" w14:textId="29650A6B" w:rsidR="00D07415" w:rsidRDefault="00D07415" w:rsidP="00D82620">
            <w:pPr>
              <w:pStyle w:val="CasesLegislationAppealFrom"/>
              <w:spacing w:after="60"/>
            </w:pPr>
            <w:r>
              <w:t xml:space="preserve">Second Reading Speech, </w:t>
            </w:r>
            <w:r w:rsidRPr="00BE0AD8">
              <w:t>Treasury Laws Amendment (Putting Consumers First</w:t>
            </w:r>
            <w:r>
              <w:t>—</w:t>
            </w:r>
            <w:r w:rsidRPr="00BE0AD8">
              <w:t>Establishment of the Australian Financial Complaints Authority) Bill 2017 (</w:t>
            </w:r>
            <w:proofErr w:type="spellStart"/>
            <w:r w:rsidRPr="00BE0AD8">
              <w:t>Cth</w:t>
            </w:r>
            <w:proofErr w:type="spellEnd"/>
            <w:r w:rsidRPr="00BE0AD8">
              <w:t>)</w:t>
            </w:r>
          </w:p>
          <w:p w14:paraId="0CBB5207" w14:textId="76E875FF" w:rsidR="00395B24" w:rsidRDefault="00977319" w:rsidP="00D82620">
            <w:pPr>
              <w:pStyle w:val="CasesLegislationAppealFrom"/>
              <w:spacing w:after="60"/>
            </w:pPr>
            <w:r w:rsidRPr="00BE0AD8">
              <w:t>Treasury Laws Amendment (Putting Consumers First</w:t>
            </w:r>
            <w:r>
              <w:t>—</w:t>
            </w:r>
            <w:r w:rsidRPr="00BE0AD8">
              <w:t>Establishment of the Australian Financial Complaints Authority) Bill 2017 (</w:t>
            </w:r>
            <w:proofErr w:type="spellStart"/>
            <w:r w:rsidRPr="00BE0AD8">
              <w:t>Cth</w:t>
            </w:r>
            <w:proofErr w:type="spellEnd"/>
            <w:r w:rsidRPr="00BE0AD8">
              <w:t>)</w:t>
            </w:r>
            <w:r w:rsidR="002C7385">
              <w:t xml:space="preserve"> </w:t>
            </w:r>
            <w:bookmarkEnd w:id="3"/>
          </w:p>
        </w:tc>
      </w:tr>
      <w:tr w:rsidR="00395B24" w14:paraId="478040AF" w14:textId="77777777" w:rsidTr="00605192">
        <w:tc>
          <w:tcPr>
            <w:tcW w:w="3084" w:type="dxa"/>
            <w:shd w:val="clear" w:color="auto" w:fill="auto"/>
          </w:tcPr>
          <w:p w14:paraId="70FEC0EF" w14:textId="77777777" w:rsidR="00395B24" w:rsidRDefault="00395B24" w:rsidP="00663878">
            <w:pPr>
              <w:pStyle w:val="Normal1linespace"/>
              <w:widowControl w:val="0"/>
              <w:jc w:val="left"/>
            </w:pPr>
          </w:p>
        </w:tc>
        <w:tc>
          <w:tcPr>
            <w:tcW w:w="5989" w:type="dxa"/>
            <w:shd w:val="clear" w:color="auto" w:fill="auto"/>
          </w:tcPr>
          <w:p w14:paraId="783C972B" w14:textId="77777777" w:rsidR="00395B24" w:rsidRDefault="00395B24" w:rsidP="00663878">
            <w:pPr>
              <w:pStyle w:val="Normal1linespace"/>
              <w:widowControl w:val="0"/>
              <w:jc w:val="left"/>
            </w:pPr>
          </w:p>
        </w:tc>
      </w:tr>
      <w:tr w:rsidR="00395B24" w14:paraId="05983CC5" w14:textId="77777777" w:rsidTr="00605192">
        <w:tc>
          <w:tcPr>
            <w:tcW w:w="3084" w:type="dxa"/>
            <w:shd w:val="clear" w:color="auto" w:fill="auto"/>
          </w:tcPr>
          <w:p w14:paraId="1E3E615A" w14:textId="77777777" w:rsidR="00395B24" w:rsidRDefault="002C7385" w:rsidP="00663878">
            <w:pPr>
              <w:pStyle w:val="Normal1linespace"/>
              <w:widowControl w:val="0"/>
              <w:jc w:val="left"/>
            </w:pPr>
            <w:r>
              <w:t>Cases cited:</w:t>
            </w:r>
          </w:p>
        </w:tc>
        <w:tc>
          <w:tcPr>
            <w:tcW w:w="5989" w:type="dxa"/>
            <w:shd w:val="clear" w:color="auto" w:fill="auto"/>
          </w:tcPr>
          <w:p w14:paraId="1E82D691" w14:textId="0FF122F8" w:rsidR="00D07415" w:rsidRDefault="00D07415" w:rsidP="00D82620">
            <w:pPr>
              <w:pStyle w:val="CasesLegislationAppealFrom"/>
              <w:spacing w:after="60"/>
              <w:rPr>
                <w:i/>
              </w:rPr>
            </w:pPr>
            <w:bookmarkStart w:id="4" w:name="Cases_Cited"/>
            <w:r w:rsidRPr="00956D9C">
              <w:rPr>
                <w:i/>
              </w:rPr>
              <w:t>Adamson</w:t>
            </w:r>
            <w:r>
              <w:rPr>
                <w:i/>
              </w:rPr>
              <w:t xml:space="preserve"> and Others</w:t>
            </w:r>
            <w:r w:rsidRPr="00956D9C">
              <w:rPr>
                <w:i/>
              </w:rPr>
              <w:t xml:space="preserve"> v New South Wales Rugby League</w:t>
            </w:r>
            <w:r>
              <w:rPr>
                <w:i/>
              </w:rPr>
              <w:t xml:space="preserve"> </w:t>
            </w:r>
            <w:r>
              <w:rPr>
                <w:i/>
              </w:rPr>
              <w:lastRenderedPageBreak/>
              <w:t>Limited and Others</w:t>
            </w:r>
            <w:r>
              <w:t xml:space="preserve"> (1991) 31 FCR 242</w:t>
            </w:r>
          </w:p>
          <w:p w14:paraId="606C016D" w14:textId="364F6282" w:rsidR="00D07415" w:rsidRDefault="00D07415" w:rsidP="00D82620">
            <w:pPr>
              <w:pStyle w:val="CasesLegislationAppealFrom"/>
              <w:spacing w:after="60"/>
              <w:rPr>
                <w:rFonts w:ascii="inherit" w:hAnsi="inherit" w:hint="eastAsia"/>
                <w:i/>
                <w:iCs/>
                <w:bdr w:val="none" w:sz="0" w:space="0" w:color="auto" w:frame="1"/>
                <w:lang w:eastAsia="en-AU"/>
              </w:rPr>
            </w:pPr>
            <w:r w:rsidRPr="000D5801">
              <w:rPr>
                <w:i/>
              </w:rPr>
              <w:t>Australian Alliance Assurance Co</w:t>
            </w:r>
            <w:r>
              <w:rPr>
                <w:i/>
              </w:rPr>
              <w:t>.</w:t>
            </w:r>
            <w:r w:rsidRPr="000D5801">
              <w:rPr>
                <w:i/>
              </w:rPr>
              <w:t xml:space="preserve"> Ltd</w:t>
            </w:r>
            <w:r>
              <w:rPr>
                <w:i/>
              </w:rPr>
              <w:t xml:space="preserve"> </w:t>
            </w:r>
            <w:r w:rsidRPr="000D5801">
              <w:rPr>
                <w:i/>
              </w:rPr>
              <w:t xml:space="preserve">v Attorney-General </w:t>
            </w:r>
            <w:r>
              <w:rPr>
                <w:i/>
              </w:rPr>
              <w:t xml:space="preserve">of Queensland and John </w:t>
            </w:r>
            <w:proofErr w:type="spellStart"/>
            <w:r>
              <w:rPr>
                <w:i/>
              </w:rPr>
              <w:t>Goodwyn</w:t>
            </w:r>
            <w:proofErr w:type="spellEnd"/>
            <w:r>
              <w:t xml:space="preserve"> [1916] St R </w:t>
            </w:r>
            <w:proofErr w:type="spellStart"/>
            <w:r>
              <w:t>Qd</w:t>
            </w:r>
            <w:proofErr w:type="spellEnd"/>
            <w:r>
              <w:t xml:space="preserve"> 135</w:t>
            </w:r>
          </w:p>
          <w:p w14:paraId="28476CE1" w14:textId="558813CA" w:rsidR="00977319" w:rsidRDefault="00977319" w:rsidP="00D82620">
            <w:pPr>
              <w:pStyle w:val="CasesLegislationAppealFrom"/>
              <w:spacing w:after="60"/>
              <w:rPr>
                <w:lang w:eastAsia="en-AU"/>
              </w:rPr>
            </w:pPr>
            <w:r w:rsidRPr="005018F1">
              <w:rPr>
                <w:rFonts w:ascii="inherit" w:hAnsi="inherit"/>
                <w:i/>
                <w:iCs/>
                <w:bdr w:val="none" w:sz="0" w:space="0" w:color="auto" w:frame="1"/>
                <w:lang w:eastAsia="en-AU"/>
              </w:rPr>
              <w:t>Commissioner of Taxation</w:t>
            </w:r>
            <w:r>
              <w:rPr>
                <w:rFonts w:ascii="inherit" w:hAnsi="inherit"/>
                <w:i/>
                <w:iCs/>
                <w:bdr w:val="none" w:sz="0" w:space="0" w:color="auto" w:frame="1"/>
                <w:lang w:eastAsia="en-AU"/>
              </w:rPr>
              <w:t xml:space="preserve"> of the Commonwealth of Australia</w:t>
            </w:r>
            <w:r w:rsidRPr="005018F1">
              <w:rPr>
                <w:rFonts w:ascii="inherit" w:hAnsi="inherit"/>
                <w:i/>
                <w:iCs/>
                <w:bdr w:val="none" w:sz="0" w:space="0" w:color="auto" w:frame="1"/>
                <w:lang w:eastAsia="en-AU"/>
              </w:rPr>
              <w:t xml:space="preserve"> v Consolidated Media Holdings Ltd</w:t>
            </w:r>
            <w:r w:rsidRPr="005018F1">
              <w:rPr>
                <w:lang w:eastAsia="en-AU"/>
              </w:rPr>
              <w:t> </w:t>
            </w:r>
            <w:r w:rsidRPr="005018F1">
              <w:rPr>
                <w:bdr w:val="none" w:sz="0" w:space="0" w:color="auto" w:frame="1"/>
                <w:lang w:eastAsia="en-AU"/>
              </w:rPr>
              <w:t>(2012) 250 CLR 503</w:t>
            </w:r>
            <w:r w:rsidRPr="005018F1">
              <w:rPr>
                <w:lang w:eastAsia="en-AU"/>
              </w:rPr>
              <w:t>;</w:t>
            </w:r>
            <w:r>
              <w:rPr>
                <w:lang w:eastAsia="en-AU"/>
              </w:rPr>
              <w:t xml:space="preserve"> [2012] HCA 55</w:t>
            </w:r>
          </w:p>
          <w:p w14:paraId="5383A525" w14:textId="771114E8" w:rsidR="00D07415" w:rsidRDefault="00D07415" w:rsidP="00D82620">
            <w:pPr>
              <w:pStyle w:val="CasesLegislationAppealFrom"/>
              <w:spacing w:after="60"/>
              <w:rPr>
                <w:lang w:eastAsia="en-AU"/>
              </w:rPr>
            </w:pPr>
            <w:r w:rsidRPr="0068561F">
              <w:rPr>
                <w:i/>
              </w:rPr>
              <w:t>Commonwealth v Baume</w:t>
            </w:r>
            <w:r>
              <w:t xml:space="preserve"> (1905) 2 CLR 405; [1905] HCA 11</w:t>
            </w:r>
          </w:p>
          <w:p w14:paraId="254D94A3" w14:textId="01B2AA01" w:rsidR="00D07415" w:rsidRDefault="00D07415" w:rsidP="00D82620">
            <w:pPr>
              <w:pStyle w:val="CasesLegislationAppealFrom"/>
              <w:spacing w:after="60"/>
              <w:rPr>
                <w:i/>
              </w:rPr>
            </w:pPr>
            <w:r w:rsidRPr="00C649F9">
              <w:rPr>
                <w:i/>
              </w:rPr>
              <w:t>Kostas</w:t>
            </w:r>
            <w:r>
              <w:rPr>
                <w:i/>
              </w:rPr>
              <w:t xml:space="preserve"> and Another</w:t>
            </w:r>
            <w:r w:rsidRPr="00C649F9">
              <w:rPr>
                <w:i/>
              </w:rPr>
              <w:t xml:space="preserve"> v HIA Insurance Services Pty Ltd</w:t>
            </w:r>
            <w:r>
              <w:rPr>
                <w:i/>
              </w:rPr>
              <w:t xml:space="preserve"> and Another</w:t>
            </w:r>
            <w:r>
              <w:t xml:space="preserve"> (2010) 241 CLR 390; [2010] HCA 32</w:t>
            </w:r>
          </w:p>
          <w:p w14:paraId="2DAA1CCD" w14:textId="5C44662E" w:rsidR="00977319" w:rsidRDefault="002F4283" w:rsidP="00D82620">
            <w:pPr>
              <w:pStyle w:val="CasesLegislationAppealFrom"/>
              <w:spacing w:after="60"/>
            </w:pPr>
            <w:r w:rsidRPr="00F44800">
              <w:rPr>
                <w:i/>
              </w:rPr>
              <w:t>MetLife Insurance L</w:t>
            </w:r>
            <w:r>
              <w:rPr>
                <w:i/>
              </w:rPr>
              <w:t>imited</w:t>
            </w:r>
            <w:r w:rsidRPr="00F44800">
              <w:rPr>
                <w:i/>
              </w:rPr>
              <w:t xml:space="preserve"> v Australian Financial Complaints Authority</w:t>
            </w:r>
            <w:r>
              <w:t xml:space="preserve"> (2022) 157 ACSR 542; [2022] FCA 23</w:t>
            </w:r>
          </w:p>
          <w:p w14:paraId="4710C967" w14:textId="6BD091A5" w:rsidR="00D07415" w:rsidRDefault="00D07415" w:rsidP="00D82620">
            <w:pPr>
              <w:pStyle w:val="CasesLegislationAppealFrom"/>
              <w:spacing w:after="60"/>
            </w:pPr>
            <w:r w:rsidRPr="005F4807">
              <w:rPr>
                <w:i/>
              </w:rPr>
              <w:t>MetLife Insurance L</w:t>
            </w:r>
            <w:r>
              <w:rPr>
                <w:i/>
              </w:rPr>
              <w:t>imite</w:t>
            </w:r>
            <w:r w:rsidRPr="005F4807">
              <w:rPr>
                <w:i/>
              </w:rPr>
              <w:t>d v Australian Financial Complaints Authority</w:t>
            </w:r>
            <w:r>
              <w:t xml:space="preserve"> </w:t>
            </w:r>
            <w:r w:rsidRPr="005F4807">
              <w:rPr>
                <w:i/>
              </w:rPr>
              <w:t>(No 3)</w:t>
            </w:r>
            <w:r>
              <w:t xml:space="preserve"> [2022] FCA 849</w:t>
            </w:r>
          </w:p>
          <w:p w14:paraId="2505E28A" w14:textId="074A785F" w:rsidR="00977319" w:rsidRDefault="00977319" w:rsidP="00D82620">
            <w:pPr>
              <w:pStyle w:val="CasesLegislationAppealFrom"/>
              <w:spacing w:after="60"/>
            </w:pPr>
            <w:r>
              <w:rPr>
                <w:i/>
              </w:rPr>
              <w:t xml:space="preserve">Paula Susan </w:t>
            </w:r>
            <w:r w:rsidRPr="00A167C0">
              <w:rPr>
                <w:i/>
              </w:rPr>
              <w:t xml:space="preserve">Chappell as </w:t>
            </w:r>
            <w:r>
              <w:rPr>
                <w:i/>
              </w:rPr>
              <w:t>E</w:t>
            </w:r>
            <w:r w:rsidRPr="00A167C0">
              <w:rPr>
                <w:i/>
              </w:rPr>
              <w:t xml:space="preserve">xecutor of the </w:t>
            </w:r>
            <w:r>
              <w:rPr>
                <w:i/>
              </w:rPr>
              <w:t>E</w:t>
            </w:r>
            <w:r w:rsidRPr="00A167C0">
              <w:rPr>
                <w:i/>
              </w:rPr>
              <w:t xml:space="preserve">state of </w:t>
            </w:r>
            <w:r>
              <w:rPr>
                <w:i/>
              </w:rPr>
              <w:t xml:space="preserve">Robert Hastings </w:t>
            </w:r>
            <w:r w:rsidRPr="00A167C0">
              <w:rPr>
                <w:i/>
              </w:rPr>
              <w:t xml:space="preserve">Hitchcock v </w:t>
            </w:r>
            <w:proofErr w:type="spellStart"/>
            <w:r w:rsidRPr="00A167C0">
              <w:rPr>
                <w:i/>
              </w:rPr>
              <w:t>Goldspan</w:t>
            </w:r>
            <w:proofErr w:type="spellEnd"/>
            <w:r w:rsidRPr="00A167C0">
              <w:rPr>
                <w:i/>
              </w:rPr>
              <w:t xml:space="preserve"> Investments Pty Ltd</w:t>
            </w:r>
            <w:r w:rsidRPr="00A167C0">
              <w:t xml:space="preserve"> [2021] WASCA 205</w:t>
            </w:r>
          </w:p>
          <w:p w14:paraId="6BB8AC95" w14:textId="38880B46" w:rsidR="00977319" w:rsidRDefault="00977319" w:rsidP="00D82620">
            <w:pPr>
              <w:pStyle w:val="CasesLegislationAppealFrom"/>
              <w:spacing w:after="60"/>
              <w:rPr>
                <w:lang w:eastAsia="en-AU"/>
              </w:rPr>
            </w:pPr>
            <w:r w:rsidRPr="005018F1">
              <w:rPr>
                <w:rFonts w:ascii="inherit" w:hAnsi="inherit"/>
                <w:i/>
                <w:iCs/>
                <w:bdr w:val="none" w:sz="0" w:space="0" w:color="auto" w:frame="1"/>
                <w:lang w:eastAsia="en-AU"/>
              </w:rPr>
              <w:t xml:space="preserve">Project Blue Sky </w:t>
            </w:r>
            <w:proofErr w:type="spellStart"/>
            <w:r w:rsidRPr="005018F1">
              <w:rPr>
                <w:rFonts w:ascii="inherit" w:hAnsi="inherit"/>
                <w:i/>
                <w:iCs/>
                <w:bdr w:val="none" w:sz="0" w:space="0" w:color="auto" w:frame="1"/>
                <w:lang w:eastAsia="en-AU"/>
              </w:rPr>
              <w:t>Inc</w:t>
            </w:r>
            <w:proofErr w:type="spellEnd"/>
            <w:r w:rsidRPr="005018F1">
              <w:rPr>
                <w:rFonts w:ascii="inherit" w:hAnsi="inherit"/>
                <w:i/>
                <w:iCs/>
                <w:bdr w:val="none" w:sz="0" w:space="0" w:color="auto" w:frame="1"/>
                <w:lang w:eastAsia="en-AU"/>
              </w:rPr>
              <w:t xml:space="preserve"> and Others v Australian Broadcasting Authority</w:t>
            </w:r>
            <w:r w:rsidRPr="005018F1">
              <w:rPr>
                <w:lang w:eastAsia="en-AU"/>
              </w:rPr>
              <w:t> </w:t>
            </w:r>
            <w:r w:rsidRPr="005018F1">
              <w:rPr>
                <w:bdr w:val="none" w:sz="0" w:space="0" w:color="auto" w:frame="1"/>
                <w:lang w:eastAsia="en-AU"/>
              </w:rPr>
              <w:t>(1998) 194 CLR 355</w:t>
            </w:r>
            <w:r w:rsidRPr="005018F1">
              <w:rPr>
                <w:lang w:eastAsia="en-AU"/>
              </w:rPr>
              <w:t>;</w:t>
            </w:r>
            <w:r>
              <w:rPr>
                <w:lang w:eastAsia="en-AU"/>
              </w:rPr>
              <w:t xml:space="preserve"> [1998] HCA 28</w:t>
            </w:r>
          </w:p>
          <w:p w14:paraId="56254AE1" w14:textId="22BC2EFF" w:rsidR="00D07415" w:rsidRDefault="00D07415" w:rsidP="00D82620">
            <w:pPr>
              <w:pStyle w:val="CasesLegislationAppealFrom"/>
              <w:spacing w:after="60"/>
              <w:rPr>
                <w:lang w:eastAsia="en-AU"/>
              </w:rPr>
            </w:pPr>
            <w:r w:rsidRPr="00C649F9">
              <w:rPr>
                <w:i/>
              </w:rPr>
              <w:t xml:space="preserve">R v </w:t>
            </w:r>
            <w:proofErr w:type="spellStart"/>
            <w:r w:rsidRPr="00C649F9">
              <w:rPr>
                <w:i/>
              </w:rPr>
              <w:t>Khazaal</w:t>
            </w:r>
            <w:proofErr w:type="spellEnd"/>
            <w:r w:rsidRPr="00C649F9">
              <w:rPr>
                <w:i/>
              </w:rPr>
              <w:t xml:space="preserve"> </w:t>
            </w:r>
            <w:r>
              <w:t>(2012) 246 CLR 601; [2012] HCA 26</w:t>
            </w:r>
          </w:p>
          <w:p w14:paraId="37310C4E" w14:textId="6AB17E62" w:rsidR="00977319" w:rsidRDefault="00977319" w:rsidP="00D82620">
            <w:pPr>
              <w:pStyle w:val="CasesLegislationAppealFrom"/>
              <w:spacing w:after="60"/>
            </w:pPr>
            <w:r w:rsidRPr="00A167C0">
              <w:rPr>
                <w:i/>
              </w:rPr>
              <w:t>SZTAL v Minister for Immigration &amp; Border Protection</w:t>
            </w:r>
            <w:r>
              <w:rPr>
                <w:i/>
              </w:rPr>
              <w:t xml:space="preserve"> and Another; SZTGM v Minister for Immigration and Border Protection and Another</w:t>
            </w:r>
            <w:r>
              <w:t xml:space="preserve"> (2017) 262 CLR 362; [2017] HCA 34</w:t>
            </w:r>
          </w:p>
          <w:p w14:paraId="364A77D4" w14:textId="519E3B0F" w:rsidR="00D07415" w:rsidRDefault="00D07415" w:rsidP="00D82620">
            <w:pPr>
              <w:pStyle w:val="CasesLegislationAppealFrom"/>
              <w:spacing w:after="60"/>
            </w:pPr>
            <w:r>
              <w:rPr>
                <w:i/>
              </w:rPr>
              <w:t>The Council of the City of Brisbane</w:t>
            </w:r>
            <w:r w:rsidRPr="0068561F">
              <w:rPr>
                <w:i/>
              </w:rPr>
              <w:t xml:space="preserve"> v </w:t>
            </w:r>
            <w:r>
              <w:rPr>
                <w:i/>
              </w:rPr>
              <w:t>His Majesty’s Attorney-General for the State of Queensland</w:t>
            </w:r>
            <w:r>
              <w:t xml:space="preserve"> (1908) 5 CLR 695; [1908] HCA 8</w:t>
            </w:r>
          </w:p>
          <w:p w14:paraId="5A298320" w14:textId="3268B37F" w:rsidR="00395B24" w:rsidRDefault="00977319" w:rsidP="00D82620">
            <w:pPr>
              <w:pStyle w:val="CasesLegislationAppealFrom"/>
              <w:spacing w:after="60"/>
            </w:pPr>
            <w:r w:rsidRPr="005018F1">
              <w:rPr>
                <w:rFonts w:ascii="inherit" w:hAnsi="inherit"/>
                <w:i/>
                <w:iCs/>
                <w:bdr w:val="none" w:sz="0" w:space="0" w:color="auto" w:frame="1"/>
                <w:lang w:eastAsia="en-AU"/>
              </w:rPr>
              <w:t>Thiess v Collector of Customs</w:t>
            </w:r>
            <w:r>
              <w:rPr>
                <w:rFonts w:ascii="inherit" w:hAnsi="inherit"/>
                <w:i/>
                <w:iCs/>
                <w:bdr w:val="none" w:sz="0" w:space="0" w:color="auto" w:frame="1"/>
                <w:lang w:eastAsia="en-AU"/>
              </w:rPr>
              <w:t xml:space="preserve"> and Others</w:t>
            </w:r>
            <w:r w:rsidRPr="005018F1">
              <w:rPr>
                <w:lang w:eastAsia="en-AU"/>
              </w:rPr>
              <w:t> </w:t>
            </w:r>
            <w:r w:rsidRPr="005018F1">
              <w:rPr>
                <w:bdr w:val="none" w:sz="0" w:space="0" w:color="auto" w:frame="1"/>
                <w:lang w:eastAsia="en-AU"/>
              </w:rPr>
              <w:t>(2014) 250 CLR 664</w:t>
            </w:r>
            <w:r w:rsidRPr="005018F1">
              <w:rPr>
                <w:lang w:eastAsia="en-AU"/>
              </w:rPr>
              <w:t>; </w:t>
            </w:r>
            <w:r>
              <w:rPr>
                <w:lang w:eastAsia="en-AU"/>
              </w:rPr>
              <w:t>[2014] HCA 12</w:t>
            </w:r>
            <w:r w:rsidR="002C7385">
              <w:t xml:space="preserve"> </w:t>
            </w:r>
            <w:bookmarkEnd w:id="4"/>
          </w:p>
        </w:tc>
      </w:tr>
      <w:tr w:rsidR="002F4283" w14:paraId="7DCCEE12" w14:textId="77777777" w:rsidTr="00605192">
        <w:tc>
          <w:tcPr>
            <w:tcW w:w="3084" w:type="dxa"/>
            <w:shd w:val="clear" w:color="auto" w:fill="auto"/>
          </w:tcPr>
          <w:p w14:paraId="7E3D0E43" w14:textId="77777777" w:rsidR="002F4283" w:rsidRDefault="002F4283" w:rsidP="00663878">
            <w:pPr>
              <w:pStyle w:val="Normal1linespace"/>
              <w:widowControl w:val="0"/>
              <w:jc w:val="left"/>
            </w:pPr>
          </w:p>
        </w:tc>
        <w:tc>
          <w:tcPr>
            <w:tcW w:w="5989" w:type="dxa"/>
            <w:shd w:val="clear" w:color="auto" w:fill="auto"/>
          </w:tcPr>
          <w:p w14:paraId="07590978" w14:textId="77777777" w:rsidR="002F4283" w:rsidRPr="00F44800" w:rsidRDefault="002F4283" w:rsidP="00D82620">
            <w:pPr>
              <w:pStyle w:val="CasesLegislationAppealFrom"/>
              <w:spacing w:after="60"/>
              <w:rPr>
                <w:i/>
              </w:rPr>
            </w:pPr>
          </w:p>
        </w:tc>
      </w:tr>
      <w:tr w:rsidR="002F4283" w14:paraId="71F83CD8" w14:textId="77777777" w:rsidTr="00605192">
        <w:tc>
          <w:tcPr>
            <w:tcW w:w="3084" w:type="dxa"/>
            <w:shd w:val="clear" w:color="auto" w:fill="auto"/>
          </w:tcPr>
          <w:p w14:paraId="3436D98F" w14:textId="713862F3" w:rsidR="002F4283" w:rsidRDefault="002F4283" w:rsidP="00663878">
            <w:pPr>
              <w:pStyle w:val="Normal1linespace"/>
              <w:widowControl w:val="0"/>
              <w:jc w:val="left"/>
            </w:pPr>
          </w:p>
        </w:tc>
        <w:tc>
          <w:tcPr>
            <w:tcW w:w="5989" w:type="dxa"/>
            <w:shd w:val="clear" w:color="auto" w:fill="auto"/>
          </w:tcPr>
          <w:p w14:paraId="37452063" w14:textId="54F509A2" w:rsidR="002F4283" w:rsidRPr="002F4283" w:rsidRDefault="002F4283" w:rsidP="00977319">
            <w:pPr>
              <w:pStyle w:val="CasesLegislationAppealFrom"/>
              <w:spacing w:after="60"/>
            </w:pPr>
            <w:r>
              <w:t xml:space="preserve">Treasury, </w:t>
            </w:r>
            <w:r w:rsidRPr="002F4283">
              <w:rPr>
                <w:i/>
              </w:rPr>
              <w:t>Final Report: Review of the financial system external dispute resolution and complaints framework</w:t>
            </w:r>
            <w:r w:rsidR="00977319">
              <w:t>, report prepared by</w:t>
            </w:r>
            <w:r>
              <w:t xml:space="preserve"> </w:t>
            </w:r>
            <w:r w:rsidR="00977319">
              <w:t>Ramsay, I et al (Treasury, Canberra,</w:t>
            </w:r>
            <w:r w:rsidR="00977319" w:rsidRPr="002F4283">
              <w:t xml:space="preserve"> 2017</w:t>
            </w:r>
            <w:r w:rsidR="00977319">
              <w:t>)</w:t>
            </w:r>
          </w:p>
        </w:tc>
      </w:tr>
      <w:tr w:rsidR="00BE2DD0" w14:paraId="58A9A2BC" w14:textId="77777777" w:rsidTr="00605192">
        <w:tc>
          <w:tcPr>
            <w:tcW w:w="3084" w:type="dxa"/>
            <w:shd w:val="clear" w:color="auto" w:fill="auto"/>
          </w:tcPr>
          <w:p w14:paraId="3C5FF263" w14:textId="77777777" w:rsidR="00BE2DD0" w:rsidRDefault="00BE2DD0" w:rsidP="00862AB5">
            <w:pPr>
              <w:pStyle w:val="Normal1linespace"/>
              <w:widowControl w:val="0"/>
            </w:pPr>
          </w:p>
        </w:tc>
        <w:tc>
          <w:tcPr>
            <w:tcW w:w="5989" w:type="dxa"/>
            <w:shd w:val="clear" w:color="auto" w:fill="auto"/>
          </w:tcPr>
          <w:p w14:paraId="47E288DF" w14:textId="77777777" w:rsidR="00BE2DD0" w:rsidRDefault="00BE2DD0" w:rsidP="00862AB5">
            <w:pPr>
              <w:pStyle w:val="Normal1linespace"/>
              <w:widowControl w:val="0"/>
              <w:jc w:val="left"/>
            </w:pPr>
          </w:p>
        </w:tc>
      </w:tr>
      <w:tr w:rsidR="00BE2DD0" w14:paraId="12F7A0A3" w14:textId="77777777" w:rsidTr="00605192">
        <w:tc>
          <w:tcPr>
            <w:tcW w:w="3084" w:type="dxa"/>
            <w:shd w:val="clear" w:color="auto" w:fill="auto"/>
          </w:tcPr>
          <w:p w14:paraId="7ED4EA53" w14:textId="77777777" w:rsidR="00BE2DD0" w:rsidRDefault="00BE2DD0" w:rsidP="00501A12">
            <w:pPr>
              <w:pStyle w:val="Normal1linespace"/>
              <w:widowControl w:val="0"/>
            </w:pPr>
            <w:r>
              <w:t>Division:</w:t>
            </w:r>
          </w:p>
        </w:tc>
        <w:tc>
          <w:tcPr>
            <w:tcW w:w="5989" w:type="dxa"/>
            <w:shd w:val="clear" w:color="auto" w:fill="auto"/>
          </w:tcPr>
          <w:p w14:paraId="492E5ECC" w14:textId="36534F05" w:rsidR="00BE2DD0" w:rsidRPr="00F17599" w:rsidRDefault="002C2364" w:rsidP="006A2C8C">
            <w:pPr>
              <w:pStyle w:val="Normal1linespace"/>
              <w:widowControl w:val="0"/>
              <w:jc w:val="left"/>
            </w:pPr>
            <w:r>
              <w:fldChar w:fldCharType="begin"/>
            </w:r>
            <w:r>
              <w:instrText xml:space="preserve"> DOCPROPERTY  Division </w:instrText>
            </w:r>
            <w:r>
              <w:fldChar w:fldCharType="separate"/>
            </w:r>
            <w:r w:rsidR="006A2C8C">
              <w:t>General</w:t>
            </w:r>
            <w:r w:rsidR="00BE2DD0">
              <w:t xml:space="preserve"> Division</w:t>
            </w:r>
            <w:r>
              <w:fldChar w:fldCharType="end"/>
            </w:r>
          </w:p>
        </w:tc>
      </w:tr>
      <w:tr w:rsidR="00BE2DD0" w14:paraId="54BF5516" w14:textId="77777777" w:rsidTr="00605192">
        <w:tc>
          <w:tcPr>
            <w:tcW w:w="3084" w:type="dxa"/>
            <w:shd w:val="clear" w:color="auto" w:fill="auto"/>
          </w:tcPr>
          <w:p w14:paraId="40DA4F9A" w14:textId="77777777" w:rsidR="00BE2DD0" w:rsidRDefault="00BE2DD0" w:rsidP="00501A12">
            <w:pPr>
              <w:pStyle w:val="Normal1linespace"/>
              <w:widowControl w:val="0"/>
            </w:pPr>
            <w:bookmarkStart w:id="5" w:name="Registry_rows" w:colFirst="0" w:colLast="1"/>
          </w:p>
        </w:tc>
        <w:tc>
          <w:tcPr>
            <w:tcW w:w="5989" w:type="dxa"/>
            <w:shd w:val="clear" w:color="auto" w:fill="auto"/>
          </w:tcPr>
          <w:p w14:paraId="122C9E3D" w14:textId="77777777" w:rsidR="00BE2DD0" w:rsidRDefault="00BE2DD0" w:rsidP="00501A12">
            <w:pPr>
              <w:pStyle w:val="Normal1linespace"/>
              <w:widowControl w:val="0"/>
              <w:jc w:val="left"/>
            </w:pPr>
          </w:p>
        </w:tc>
      </w:tr>
      <w:tr w:rsidR="00BE2DD0" w14:paraId="5FB7D73F" w14:textId="77777777" w:rsidTr="00605192">
        <w:tc>
          <w:tcPr>
            <w:tcW w:w="3084" w:type="dxa"/>
            <w:shd w:val="clear" w:color="auto" w:fill="auto"/>
          </w:tcPr>
          <w:p w14:paraId="4B301F68" w14:textId="77777777" w:rsidR="00BE2DD0" w:rsidRDefault="00BE2DD0" w:rsidP="00501A12">
            <w:pPr>
              <w:pStyle w:val="Normal1linespace"/>
              <w:widowControl w:val="0"/>
            </w:pPr>
            <w:r>
              <w:t>Registry:</w:t>
            </w:r>
          </w:p>
        </w:tc>
        <w:tc>
          <w:tcPr>
            <w:tcW w:w="5989" w:type="dxa"/>
            <w:shd w:val="clear" w:color="auto" w:fill="auto"/>
          </w:tcPr>
          <w:p w14:paraId="1031C0A3" w14:textId="77777777" w:rsidR="00BE2DD0" w:rsidRPr="00F17599" w:rsidRDefault="002C2364" w:rsidP="00501A12">
            <w:pPr>
              <w:pStyle w:val="Normal1linespace"/>
              <w:widowControl w:val="0"/>
              <w:jc w:val="left"/>
            </w:pPr>
            <w:r>
              <w:fldChar w:fldCharType="begin"/>
            </w:r>
            <w:r>
              <w:instrText xml:space="preserve"> DOCPROPERTY  Registry </w:instrText>
            </w:r>
            <w:r>
              <w:fldChar w:fldCharType="separate"/>
            </w:r>
            <w:r w:rsidR="00BE2DD0">
              <w:t>New South Wales</w:t>
            </w:r>
            <w:r>
              <w:fldChar w:fldCharType="end"/>
            </w:r>
          </w:p>
        </w:tc>
      </w:tr>
      <w:tr w:rsidR="00BE2DD0" w14:paraId="3AA26D82" w14:textId="77777777" w:rsidTr="00605192">
        <w:tc>
          <w:tcPr>
            <w:tcW w:w="3084" w:type="dxa"/>
            <w:shd w:val="clear" w:color="auto" w:fill="auto"/>
          </w:tcPr>
          <w:p w14:paraId="2AC98845" w14:textId="77777777" w:rsidR="00BE2DD0" w:rsidRDefault="00BE2DD0" w:rsidP="00501A12">
            <w:pPr>
              <w:pStyle w:val="Normal1linespace"/>
              <w:widowControl w:val="0"/>
            </w:pPr>
            <w:bookmarkStart w:id="6" w:name="NPARow" w:colFirst="0" w:colLast="1"/>
            <w:bookmarkEnd w:id="5"/>
          </w:p>
        </w:tc>
        <w:tc>
          <w:tcPr>
            <w:tcW w:w="5989" w:type="dxa"/>
            <w:shd w:val="clear" w:color="auto" w:fill="auto"/>
          </w:tcPr>
          <w:p w14:paraId="107D86A0" w14:textId="77777777" w:rsidR="00BE2DD0" w:rsidRPr="00F17599" w:rsidRDefault="00BE2DD0" w:rsidP="00501A12">
            <w:pPr>
              <w:pStyle w:val="Normal1linespace"/>
              <w:widowControl w:val="0"/>
              <w:jc w:val="left"/>
              <w:rPr>
                <w:b/>
              </w:rPr>
            </w:pPr>
          </w:p>
        </w:tc>
      </w:tr>
      <w:tr w:rsidR="00BE2DD0" w14:paraId="1F163612" w14:textId="77777777" w:rsidTr="00605192">
        <w:tc>
          <w:tcPr>
            <w:tcW w:w="3084" w:type="dxa"/>
            <w:shd w:val="clear" w:color="auto" w:fill="auto"/>
          </w:tcPr>
          <w:p w14:paraId="044FF5B6" w14:textId="77777777" w:rsidR="00BE2DD0" w:rsidRDefault="00BE2DD0" w:rsidP="00501A12">
            <w:pPr>
              <w:pStyle w:val="Normal1linespace"/>
              <w:widowControl w:val="0"/>
            </w:pPr>
            <w:r>
              <w:t>National Practice Area:</w:t>
            </w:r>
          </w:p>
        </w:tc>
        <w:tc>
          <w:tcPr>
            <w:tcW w:w="5989" w:type="dxa"/>
            <w:shd w:val="clear" w:color="auto" w:fill="auto"/>
          </w:tcPr>
          <w:p w14:paraId="0A9206A9" w14:textId="77777777" w:rsidR="00BE2DD0" w:rsidRPr="00F17599" w:rsidRDefault="002C2364" w:rsidP="00862AB5">
            <w:pPr>
              <w:pStyle w:val="Normal1linespace"/>
              <w:widowControl w:val="0"/>
              <w:jc w:val="left"/>
              <w:rPr>
                <w:b/>
              </w:rPr>
            </w:pPr>
            <w:fldSimple w:instr=" DOCPROPERTY  &quot;Practice Area&quot;  \* MERGEFORMAT ">
              <w:r w:rsidR="00BE2DD0">
                <w:t>Commercial and Corporations</w:t>
              </w:r>
            </w:fldSimple>
          </w:p>
        </w:tc>
      </w:tr>
      <w:tr w:rsidR="00BE2DD0" w14:paraId="077C7F34" w14:textId="77777777" w:rsidTr="00605192">
        <w:tc>
          <w:tcPr>
            <w:tcW w:w="3084" w:type="dxa"/>
            <w:shd w:val="clear" w:color="auto" w:fill="auto"/>
          </w:tcPr>
          <w:p w14:paraId="32251E9E" w14:textId="77777777" w:rsidR="00BE2DD0" w:rsidRDefault="00BE2DD0" w:rsidP="00501A12">
            <w:pPr>
              <w:pStyle w:val="Normal1linespace"/>
              <w:widowControl w:val="0"/>
            </w:pPr>
            <w:bookmarkStart w:id="7" w:name="SubAreaRow" w:colFirst="0" w:colLast="1"/>
            <w:bookmarkEnd w:id="6"/>
          </w:p>
        </w:tc>
        <w:tc>
          <w:tcPr>
            <w:tcW w:w="5989" w:type="dxa"/>
            <w:shd w:val="clear" w:color="auto" w:fill="auto"/>
          </w:tcPr>
          <w:p w14:paraId="55145137" w14:textId="77777777" w:rsidR="00BE2DD0" w:rsidRDefault="00BE2DD0" w:rsidP="00862AB5">
            <w:pPr>
              <w:pStyle w:val="Normal1linespace"/>
              <w:widowControl w:val="0"/>
              <w:jc w:val="left"/>
            </w:pPr>
          </w:p>
        </w:tc>
      </w:tr>
      <w:tr w:rsidR="00BE2DD0" w14:paraId="1D1A647F" w14:textId="77777777" w:rsidTr="00605192">
        <w:tc>
          <w:tcPr>
            <w:tcW w:w="3084" w:type="dxa"/>
            <w:shd w:val="clear" w:color="auto" w:fill="auto"/>
          </w:tcPr>
          <w:p w14:paraId="4E28A7A9" w14:textId="77777777" w:rsidR="00BE2DD0" w:rsidRDefault="00BE2DD0" w:rsidP="00501A12">
            <w:pPr>
              <w:pStyle w:val="Normal1linespace"/>
              <w:widowControl w:val="0"/>
            </w:pPr>
            <w:r>
              <w:t>Sub-area:</w:t>
            </w:r>
          </w:p>
        </w:tc>
        <w:tc>
          <w:tcPr>
            <w:tcW w:w="5989" w:type="dxa"/>
            <w:shd w:val="clear" w:color="auto" w:fill="auto"/>
          </w:tcPr>
          <w:p w14:paraId="08B4D9F6" w14:textId="77777777" w:rsidR="00BE2DD0" w:rsidRPr="00837288" w:rsidRDefault="002C2364" w:rsidP="00862AB5">
            <w:pPr>
              <w:pStyle w:val="Normal1linespace"/>
              <w:widowControl w:val="0"/>
              <w:jc w:val="left"/>
            </w:pPr>
            <w:fldSimple w:instr=" DOCPROPERTY  &quot;Sub Area&quot;  \* MERGEFORMAT ">
              <w:r w:rsidR="00BE2DD0" w:rsidRPr="00BE2DD0">
                <w:rPr>
                  <w:lang w:val="en-US"/>
                </w:rPr>
                <w:t xml:space="preserve">Commercial Contracts, </w:t>
              </w:r>
              <w:r w:rsidR="00BE2DD0">
                <w:t>Banking, Finance and Insurance</w:t>
              </w:r>
            </w:fldSimple>
          </w:p>
        </w:tc>
      </w:tr>
      <w:bookmarkEnd w:id="7"/>
      <w:tr w:rsidR="00BE2DD0" w14:paraId="5CEC552B" w14:textId="77777777" w:rsidTr="00605192">
        <w:tc>
          <w:tcPr>
            <w:tcW w:w="3084" w:type="dxa"/>
            <w:shd w:val="clear" w:color="auto" w:fill="auto"/>
          </w:tcPr>
          <w:p w14:paraId="188E2379" w14:textId="77777777" w:rsidR="00BE2DD0" w:rsidRDefault="00BE2DD0" w:rsidP="00862AB5">
            <w:pPr>
              <w:pStyle w:val="Normal1linespace"/>
              <w:widowControl w:val="0"/>
            </w:pPr>
          </w:p>
        </w:tc>
        <w:tc>
          <w:tcPr>
            <w:tcW w:w="5989" w:type="dxa"/>
            <w:shd w:val="clear" w:color="auto" w:fill="auto"/>
          </w:tcPr>
          <w:p w14:paraId="1FF38970" w14:textId="77777777" w:rsidR="00BE2DD0" w:rsidRDefault="00BE2DD0" w:rsidP="00862AB5">
            <w:pPr>
              <w:pStyle w:val="Normal1linespace"/>
              <w:widowControl w:val="0"/>
              <w:jc w:val="left"/>
            </w:pPr>
          </w:p>
        </w:tc>
      </w:tr>
      <w:tr w:rsidR="00383696" w14:paraId="57E8F78F" w14:textId="77777777" w:rsidTr="00605192">
        <w:tc>
          <w:tcPr>
            <w:tcW w:w="3084" w:type="dxa"/>
            <w:shd w:val="clear" w:color="auto" w:fill="auto"/>
          </w:tcPr>
          <w:p w14:paraId="718C3766" w14:textId="77777777" w:rsidR="00383696" w:rsidRDefault="00383696" w:rsidP="00501A12">
            <w:pPr>
              <w:pStyle w:val="Normal1linespace"/>
              <w:widowControl w:val="0"/>
            </w:pPr>
            <w:r>
              <w:t>Number of paragraphs:</w:t>
            </w:r>
          </w:p>
        </w:tc>
        <w:tc>
          <w:tcPr>
            <w:tcW w:w="5989" w:type="dxa"/>
            <w:shd w:val="clear" w:color="auto" w:fill="auto"/>
          </w:tcPr>
          <w:p w14:paraId="2B3629A9" w14:textId="2C86D89E" w:rsidR="00383696" w:rsidRDefault="00E70239" w:rsidP="00501A12">
            <w:pPr>
              <w:pStyle w:val="Normal1linespace"/>
              <w:widowControl w:val="0"/>
              <w:jc w:val="left"/>
            </w:pPr>
            <w:bookmarkStart w:id="8" w:name="PlaceCategoryParagraphs"/>
            <w:r>
              <w:t>192</w:t>
            </w:r>
            <w:bookmarkEnd w:id="8"/>
          </w:p>
        </w:tc>
      </w:tr>
      <w:tr w:rsidR="00383696" w14:paraId="654DEE96" w14:textId="77777777" w:rsidTr="00605192">
        <w:tc>
          <w:tcPr>
            <w:tcW w:w="3084" w:type="dxa"/>
            <w:shd w:val="clear" w:color="auto" w:fill="auto"/>
          </w:tcPr>
          <w:p w14:paraId="1F6E0783" w14:textId="77777777" w:rsidR="00383696" w:rsidRDefault="00383696" w:rsidP="00383696">
            <w:pPr>
              <w:pStyle w:val="Normal1linespace"/>
              <w:widowControl w:val="0"/>
              <w:jc w:val="left"/>
            </w:pPr>
          </w:p>
        </w:tc>
        <w:tc>
          <w:tcPr>
            <w:tcW w:w="5989" w:type="dxa"/>
            <w:shd w:val="clear" w:color="auto" w:fill="auto"/>
          </w:tcPr>
          <w:p w14:paraId="5B22E8E8" w14:textId="77777777" w:rsidR="00383696" w:rsidRDefault="00383696" w:rsidP="00383696">
            <w:pPr>
              <w:pStyle w:val="Normal1linespace"/>
              <w:widowControl w:val="0"/>
              <w:jc w:val="left"/>
            </w:pPr>
          </w:p>
        </w:tc>
      </w:tr>
      <w:tr w:rsidR="00383696" w14:paraId="40B75945" w14:textId="77777777" w:rsidTr="00605192">
        <w:tc>
          <w:tcPr>
            <w:tcW w:w="3084" w:type="dxa"/>
            <w:shd w:val="clear" w:color="auto" w:fill="auto"/>
          </w:tcPr>
          <w:p w14:paraId="79C6D651" w14:textId="77777777" w:rsidR="00383696" w:rsidRDefault="00383696" w:rsidP="00383696">
            <w:pPr>
              <w:pStyle w:val="Normal1linespace"/>
              <w:widowControl w:val="0"/>
              <w:jc w:val="left"/>
            </w:pPr>
            <w:bookmarkStart w:id="9" w:name="CounselDate" w:colFirst="0" w:colLast="2"/>
            <w:r w:rsidRPr="006A24E3">
              <w:t>Date of hearing:</w:t>
            </w:r>
          </w:p>
        </w:tc>
        <w:tc>
          <w:tcPr>
            <w:tcW w:w="5989" w:type="dxa"/>
            <w:shd w:val="clear" w:color="auto" w:fill="auto"/>
          </w:tcPr>
          <w:p w14:paraId="5C18DBDB" w14:textId="77777777" w:rsidR="00383696" w:rsidRDefault="007E55BE" w:rsidP="00383696">
            <w:pPr>
              <w:pStyle w:val="Normal1linespace"/>
              <w:widowControl w:val="0"/>
              <w:jc w:val="left"/>
            </w:pPr>
            <w:bookmarkStart w:id="10" w:name="HearingDate"/>
            <w:r>
              <w:t>23 August 2022</w:t>
            </w:r>
            <w:r w:rsidR="00383696">
              <w:t xml:space="preserve"> </w:t>
            </w:r>
            <w:bookmarkEnd w:id="10"/>
          </w:p>
        </w:tc>
      </w:tr>
      <w:tr w:rsidR="00383696" w14:paraId="78442321" w14:textId="77777777" w:rsidTr="00605192">
        <w:tc>
          <w:tcPr>
            <w:tcW w:w="3084" w:type="dxa"/>
            <w:shd w:val="clear" w:color="auto" w:fill="auto"/>
          </w:tcPr>
          <w:p w14:paraId="54E87771" w14:textId="77777777" w:rsidR="00383696" w:rsidRDefault="00383696" w:rsidP="00383696">
            <w:pPr>
              <w:pStyle w:val="Normal1linespace"/>
              <w:widowControl w:val="0"/>
              <w:jc w:val="left"/>
            </w:pPr>
          </w:p>
        </w:tc>
        <w:tc>
          <w:tcPr>
            <w:tcW w:w="5989" w:type="dxa"/>
            <w:shd w:val="clear" w:color="auto" w:fill="auto"/>
          </w:tcPr>
          <w:p w14:paraId="753B1FE9" w14:textId="77777777" w:rsidR="00383696" w:rsidRDefault="00383696" w:rsidP="00383696">
            <w:pPr>
              <w:pStyle w:val="Normal1linespace"/>
              <w:widowControl w:val="0"/>
              <w:jc w:val="left"/>
            </w:pPr>
          </w:p>
        </w:tc>
      </w:tr>
      <w:tr w:rsidR="00605192" w14:paraId="4A5F164E" w14:textId="77777777" w:rsidTr="00605192">
        <w:tc>
          <w:tcPr>
            <w:tcW w:w="3081" w:type="dxa"/>
            <w:shd w:val="clear" w:color="auto" w:fill="auto"/>
          </w:tcPr>
          <w:p w14:paraId="1ED85627" w14:textId="0A1F20F4" w:rsidR="00605192" w:rsidRDefault="00605192" w:rsidP="00605192">
            <w:pPr>
              <w:pStyle w:val="Normal1linespace"/>
              <w:widowControl w:val="0"/>
              <w:jc w:val="left"/>
            </w:pPr>
            <w:bookmarkStart w:id="11" w:name="Counsel" w:colFirst="0" w:colLast="2"/>
            <w:bookmarkEnd w:id="9"/>
            <w:r>
              <w:t>Counsel for the Appellant:</w:t>
            </w:r>
          </w:p>
        </w:tc>
        <w:tc>
          <w:tcPr>
            <w:tcW w:w="5989" w:type="dxa"/>
            <w:shd w:val="clear" w:color="auto" w:fill="auto"/>
          </w:tcPr>
          <w:p w14:paraId="6C6DC658" w14:textId="673FEF47" w:rsidR="00605192" w:rsidRDefault="00605192" w:rsidP="00605192">
            <w:pPr>
              <w:pStyle w:val="Normal1linespace"/>
              <w:widowControl w:val="0"/>
              <w:jc w:val="left"/>
            </w:pPr>
            <w:bookmarkStart w:id="12" w:name="AppCounsel"/>
            <w:bookmarkEnd w:id="12"/>
            <w:r>
              <w:t>Mr J Gleeson SC with Ms K Lindeman</w:t>
            </w:r>
          </w:p>
        </w:tc>
      </w:tr>
      <w:tr w:rsidR="00605192" w14:paraId="2CF11DD7" w14:textId="77777777" w:rsidTr="00605192">
        <w:tc>
          <w:tcPr>
            <w:tcW w:w="3081" w:type="dxa"/>
            <w:shd w:val="clear" w:color="auto" w:fill="auto"/>
          </w:tcPr>
          <w:p w14:paraId="1CC8CE67" w14:textId="77777777" w:rsidR="00605192" w:rsidRDefault="00605192" w:rsidP="00605192">
            <w:pPr>
              <w:pStyle w:val="Normal1linespace"/>
              <w:widowControl w:val="0"/>
              <w:jc w:val="left"/>
            </w:pPr>
          </w:p>
        </w:tc>
        <w:tc>
          <w:tcPr>
            <w:tcW w:w="5989" w:type="dxa"/>
            <w:shd w:val="clear" w:color="auto" w:fill="auto"/>
          </w:tcPr>
          <w:p w14:paraId="5EA2F72B" w14:textId="77777777" w:rsidR="00605192" w:rsidRDefault="00605192" w:rsidP="00605192">
            <w:pPr>
              <w:pStyle w:val="Normal1linespace"/>
              <w:widowControl w:val="0"/>
              <w:jc w:val="left"/>
            </w:pPr>
          </w:p>
        </w:tc>
      </w:tr>
      <w:tr w:rsidR="00605192" w14:paraId="1013230F" w14:textId="77777777" w:rsidTr="00605192">
        <w:tc>
          <w:tcPr>
            <w:tcW w:w="3081" w:type="dxa"/>
            <w:shd w:val="clear" w:color="auto" w:fill="auto"/>
          </w:tcPr>
          <w:p w14:paraId="64324B2B" w14:textId="4934BA1C" w:rsidR="00605192" w:rsidRDefault="00605192" w:rsidP="00605192">
            <w:pPr>
              <w:pStyle w:val="Normal1linespace"/>
              <w:widowControl w:val="0"/>
              <w:jc w:val="left"/>
            </w:pPr>
            <w:r>
              <w:t>Solicitor for the Appellant:</w:t>
            </w:r>
          </w:p>
        </w:tc>
        <w:tc>
          <w:tcPr>
            <w:tcW w:w="5989" w:type="dxa"/>
            <w:shd w:val="clear" w:color="auto" w:fill="auto"/>
          </w:tcPr>
          <w:p w14:paraId="787A8A28" w14:textId="06D49ED7" w:rsidR="00605192" w:rsidRDefault="00605192" w:rsidP="00605192">
            <w:pPr>
              <w:pStyle w:val="Normal1linespace"/>
              <w:widowControl w:val="0"/>
              <w:jc w:val="left"/>
            </w:pPr>
            <w:r>
              <w:t>Herbert Smith Freehills</w:t>
            </w:r>
          </w:p>
        </w:tc>
      </w:tr>
      <w:tr w:rsidR="00605192" w14:paraId="19AB51C1" w14:textId="77777777" w:rsidTr="00605192">
        <w:tc>
          <w:tcPr>
            <w:tcW w:w="3081" w:type="dxa"/>
            <w:shd w:val="clear" w:color="auto" w:fill="auto"/>
          </w:tcPr>
          <w:p w14:paraId="18871BE4" w14:textId="77777777" w:rsidR="00605192" w:rsidRDefault="00605192" w:rsidP="00605192">
            <w:pPr>
              <w:pStyle w:val="Normal1linespace"/>
              <w:widowControl w:val="0"/>
              <w:jc w:val="left"/>
            </w:pPr>
          </w:p>
        </w:tc>
        <w:tc>
          <w:tcPr>
            <w:tcW w:w="5989" w:type="dxa"/>
            <w:shd w:val="clear" w:color="auto" w:fill="auto"/>
          </w:tcPr>
          <w:p w14:paraId="1245C536" w14:textId="77777777" w:rsidR="00605192" w:rsidRDefault="00605192" w:rsidP="00605192">
            <w:pPr>
              <w:pStyle w:val="Normal1linespace"/>
              <w:widowControl w:val="0"/>
              <w:jc w:val="left"/>
            </w:pPr>
          </w:p>
        </w:tc>
      </w:tr>
      <w:tr w:rsidR="00605192" w14:paraId="21D1C636" w14:textId="77777777" w:rsidTr="00605192">
        <w:tc>
          <w:tcPr>
            <w:tcW w:w="3081" w:type="dxa"/>
            <w:shd w:val="clear" w:color="auto" w:fill="auto"/>
          </w:tcPr>
          <w:p w14:paraId="771D8C16" w14:textId="07ADD126" w:rsidR="00605192" w:rsidRDefault="00605192" w:rsidP="00605192">
            <w:pPr>
              <w:pStyle w:val="Normal1linespace"/>
              <w:widowControl w:val="0"/>
              <w:jc w:val="left"/>
            </w:pPr>
            <w:r>
              <w:t>Counsel for the First Respondent:</w:t>
            </w:r>
          </w:p>
        </w:tc>
        <w:tc>
          <w:tcPr>
            <w:tcW w:w="5989" w:type="dxa"/>
            <w:shd w:val="clear" w:color="auto" w:fill="auto"/>
          </w:tcPr>
          <w:p w14:paraId="43940D5F" w14:textId="323D55E1" w:rsidR="00605192" w:rsidRDefault="00605192" w:rsidP="00605192">
            <w:pPr>
              <w:pStyle w:val="Normal1linespace"/>
              <w:widowControl w:val="0"/>
              <w:jc w:val="left"/>
            </w:pPr>
            <w:r>
              <w:t>Mr MW Wise KC with Mr AF Solomon-Bridge</w:t>
            </w:r>
          </w:p>
        </w:tc>
      </w:tr>
      <w:tr w:rsidR="00605192" w14:paraId="1EF0F710" w14:textId="77777777" w:rsidTr="00605192">
        <w:tc>
          <w:tcPr>
            <w:tcW w:w="3081" w:type="dxa"/>
            <w:shd w:val="clear" w:color="auto" w:fill="auto"/>
          </w:tcPr>
          <w:p w14:paraId="094F20D1" w14:textId="77777777" w:rsidR="00605192" w:rsidRDefault="00605192" w:rsidP="00605192">
            <w:pPr>
              <w:pStyle w:val="Normal1linespace"/>
              <w:widowControl w:val="0"/>
              <w:jc w:val="left"/>
            </w:pPr>
          </w:p>
        </w:tc>
        <w:tc>
          <w:tcPr>
            <w:tcW w:w="5989" w:type="dxa"/>
            <w:shd w:val="clear" w:color="auto" w:fill="auto"/>
          </w:tcPr>
          <w:p w14:paraId="3BAAB510" w14:textId="77777777" w:rsidR="00605192" w:rsidRDefault="00605192" w:rsidP="00605192">
            <w:pPr>
              <w:pStyle w:val="Normal1linespace"/>
              <w:widowControl w:val="0"/>
              <w:jc w:val="left"/>
            </w:pPr>
          </w:p>
        </w:tc>
      </w:tr>
      <w:tr w:rsidR="00605192" w14:paraId="2454BFAA" w14:textId="77777777" w:rsidTr="00605192">
        <w:tc>
          <w:tcPr>
            <w:tcW w:w="3081" w:type="dxa"/>
            <w:shd w:val="clear" w:color="auto" w:fill="auto"/>
          </w:tcPr>
          <w:p w14:paraId="70E19CE8" w14:textId="624994A7" w:rsidR="00605192" w:rsidRDefault="00605192" w:rsidP="00605192">
            <w:pPr>
              <w:pStyle w:val="Normal1linespace"/>
              <w:widowControl w:val="0"/>
              <w:jc w:val="left"/>
            </w:pPr>
            <w:r>
              <w:t>Solicitor for the First Respondent:</w:t>
            </w:r>
          </w:p>
        </w:tc>
        <w:tc>
          <w:tcPr>
            <w:tcW w:w="5989" w:type="dxa"/>
            <w:shd w:val="clear" w:color="auto" w:fill="auto"/>
          </w:tcPr>
          <w:p w14:paraId="1A4D58CF" w14:textId="3BD8B7D7" w:rsidR="00605192" w:rsidRDefault="00605192" w:rsidP="00605192">
            <w:pPr>
              <w:pStyle w:val="Normal1linespace"/>
              <w:widowControl w:val="0"/>
              <w:jc w:val="left"/>
            </w:pPr>
            <w:proofErr w:type="spellStart"/>
            <w:r>
              <w:t>Arslan</w:t>
            </w:r>
            <w:proofErr w:type="spellEnd"/>
            <w:r>
              <w:t xml:space="preserve"> Lawyers</w:t>
            </w:r>
          </w:p>
        </w:tc>
      </w:tr>
      <w:tr w:rsidR="00605192" w14:paraId="27272738" w14:textId="77777777" w:rsidTr="00605192">
        <w:tc>
          <w:tcPr>
            <w:tcW w:w="3081" w:type="dxa"/>
            <w:shd w:val="clear" w:color="auto" w:fill="auto"/>
          </w:tcPr>
          <w:p w14:paraId="43FCD674" w14:textId="77777777" w:rsidR="00605192" w:rsidRDefault="00605192" w:rsidP="00605192">
            <w:pPr>
              <w:pStyle w:val="Normal1linespace"/>
              <w:widowControl w:val="0"/>
              <w:jc w:val="left"/>
            </w:pPr>
          </w:p>
        </w:tc>
        <w:tc>
          <w:tcPr>
            <w:tcW w:w="5989" w:type="dxa"/>
            <w:shd w:val="clear" w:color="auto" w:fill="auto"/>
          </w:tcPr>
          <w:p w14:paraId="55BBF808" w14:textId="77777777" w:rsidR="00605192" w:rsidRDefault="00605192" w:rsidP="00605192">
            <w:pPr>
              <w:pStyle w:val="Normal1linespace"/>
              <w:widowControl w:val="0"/>
              <w:jc w:val="left"/>
            </w:pPr>
          </w:p>
        </w:tc>
      </w:tr>
      <w:tr w:rsidR="00605192" w14:paraId="2995DDBE" w14:textId="77777777" w:rsidTr="00605192">
        <w:tc>
          <w:tcPr>
            <w:tcW w:w="3081" w:type="dxa"/>
            <w:shd w:val="clear" w:color="auto" w:fill="auto"/>
          </w:tcPr>
          <w:p w14:paraId="58E98205" w14:textId="756893FE" w:rsidR="00605192" w:rsidRDefault="00605192" w:rsidP="00605192">
            <w:pPr>
              <w:pStyle w:val="Normal1linespace"/>
              <w:widowControl w:val="0"/>
              <w:jc w:val="left"/>
            </w:pPr>
            <w:r>
              <w:t>Counsel for the Second Respondent:</w:t>
            </w:r>
          </w:p>
        </w:tc>
        <w:tc>
          <w:tcPr>
            <w:tcW w:w="5989" w:type="dxa"/>
            <w:shd w:val="clear" w:color="auto" w:fill="auto"/>
          </w:tcPr>
          <w:p w14:paraId="112DEAD0" w14:textId="48026C89" w:rsidR="00605192" w:rsidRDefault="00605192" w:rsidP="00605192">
            <w:pPr>
              <w:pStyle w:val="Normal1linespace"/>
              <w:widowControl w:val="0"/>
              <w:jc w:val="left"/>
            </w:pPr>
            <w:r>
              <w:t>The Second Respondent submitted to any order of the Court</w:t>
            </w:r>
          </w:p>
        </w:tc>
      </w:tr>
      <w:bookmarkEnd w:id="11"/>
    </w:tbl>
    <w:p w14:paraId="71C79AF6" w14:textId="77777777" w:rsidR="007470BD" w:rsidRDefault="007470BD">
      <w:pPr>
        <w:pStyle w:val="Normal1linespace"/>
      </w:pPr>
    </w:p>
    <w:p w14:paraId="1190BBB7" w14:textId="77777777" w:rsidR="00E94CBF" w:rsidRDefault="00E94CBF">
      <w:pPr>
        <w:pStyle w:val="Normal1linespace"/>
      </w:pPr>
    </w:p>
    <w:p w14:paraId="787E2821"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1AD6733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80A977C" w14:textId="77777777" w:rsidTr="00E81DA6">
        <w:tc>
          <w:tcPr>
            <w:tcW w:w="6912" w:type="dxa"/>
            <w:gridSpan w:val="2"/>
          </w:tcPr>
          <w:p w14:paraId="300F27A7" w14:textId="77777777" w:rsidR="00A46CCC" w:rsidRPr="001765E0" w:rsidRDefault="00A46CCC" w:rsidP="00525A49">
            <w:pPr>
              <w:pStyle w:val="NormalHeadings"/>
            </w:pPr>
          </w:p>
        </w:tc>
        <w:tc>
          <w:tcPr>
            <w:tcW w:w="2330" w:type="dxa"/>
          </w:tcPr>
          <w:p w14:paraId="5070F241" w14:textId="77777777" w:rsidR="00A46CCC" w:rsidRDefault="00BE2DD0" w:rsidP="00F92355">
            <w:pPr>
              <w:pStyle w:val="NormalHeadings"/>
              <w:jc w:val="right"/>
            </w:pPr>
            <w:bookmarkStart w:id="13" w:name="FileNo"/>
            <w:r>
              <w:t>NSD 126 of 2022</w:t>
            </w:r>
            <w:bookmarkEnd w:id="13"/>
          </w:p>
        </w:tc>
      </w:tr>
      <w:tr w:rsidR="00A76C13" w14:paraId="761070CE" w14:textId="77777777" w:rsidTr="00862AB5">
        <w:tc>
          <w:tcPr>
            <w:tcW w:w="9242" w:type="dxa"/>
            <w:gridSpan w:val="3"/>
          </w:tcPr>
          <w:p w14:paraId="69622ACA" w14:textId="77777777" w:rsidR="00A76C13" w:rsidRPr="00A76C13" w:rsidRDefault="00BE2DD0" w:rsidP="00BE2DD0">
            <w:pPr>
              <w:pStyle w:val="NormalHeadings"/>
              <w:jc w:val="left"/>
            </w:pPr>
            <w:bookmarkStart w:id="14" w:name="InTheMatterOf"/>
            <w:r>
              <w:t xml:space="preserve"> </w:t>
            </w:r>
            <w:bookmarkEnd w:id="14"/>
          </w:p>
        </w:tc>
      </w:tr>
      <w:tr w:rsidR="00A46CCC" w14:paraId="079F39C3" w14:textId="77777777" w:rsidTr="00862AB5">
        <w:trPr>
          <w:trHeight w:val="386"/>
        </w:trPr>
        <w:tc>
          <w:tcPr>
            <w:tcW w:w="2376" w:type="dxa"/>
          </w:tcPr>
          <w:p w14:paraId="6FC47E7A" w14:textId="77777777" w:rsidR="00A46CCC" w:rsidRDefault="00A46CCC" w:rsidP="00862AB5">
            <w:pPr>
              <w:pStyle w:val="NormalHeadings"/>
              <w:jc w:val="left"/>
              <w:rPr>
                <w:caps/>
                <w:szCs w:val="24"/>
              </w:rPr>
            </w:pPr>
            <w:bookmarkStart w:id="15" w:name="Parties"/>
            <w:r>
              <w:rPr>
                <w:caps/>
                <w:szCs w:val="24"/>
              </w:rPr>
              <w:t>BETWEEN:</w:t>
            </w:r>
          </w:p>
        </w:tc>
        <w:tc>
          <w:tcPr>
            <w:tcW w:w="6866" w:type="dxa"/>
            <w:gridSpan w:val="2"/>
          </w:tcPr>
          <w:p w14:paraId="60350109" w14:textId="77777777" w:rsidR="00BE2DD0" w:rsidRDefault="00BE2DD0" w:rsidP="00BE2DD0">
            <w:pPr>
              <w:pStyle w:val="NormalHeadings"/>
              <w:jc w:val="left"/>
            </w:pPr>
            <w:bookmarkStart w:id="16" w:name="Applicant"/>
            <w:r>
              <w:t>METLIFE INSURANCE LIMITED ACN 004 274 882</w:t>
            </w:r>
          </w:p>
          <w:p w14:paraId="6C7593B4" w14:textId="77777777" w:rsidR="00BE2DD0" w:rsidRDefault="00BE2DD0" w:rsidP="00BE2DD0">
            <w:pPr>
              <w:pStyle w:val="PartyType"/>
            </w:pPr>
            <w:r>
              <w:t>Appellant</w:t>
            </w:r>
          </w:p>
          <w:bookmarkEnd w:id="16"/>
          <w:p w14:paraId="75B04DA2" w14:textId="77777777" w:rsidR="00A46CCC" w:rsidRPr="006555B4" w:rsidRDefault="00A46CCC" w:rsidP="00383696">
            <w:pPr>
              <w:pStyle w:val="NormalHeadings"/>
              <w:jc w:val="left"/>
            </w:pPr>
          </w:p>
        </w:tc>
      </w:tr>
      <w:tr w:rsidR="00A46CCC" w14:paraId="4D92696A" w14:textId="77777777" w:rsidTr="00862AB5">
        <w:trPr>
          <w:trHeight w:val="386"/>
        </w:trPr>
        <w:tc>
          <w:tcPr>
            <w:tcW w:w="2376" w:type="dxa"/>
          </w:tcPr>
          <w:p w14:paraId="0277B5B3" w14:textId="77777777" w:rsidR="00A46CCC" w:rsidRDefault="00A46CCC" w:rsidP="00862AB5">
            <w:pPr>
              <w:pStyle w:val="NormalHeadings"/>
              <w:jc w:val="left"/>
              <w:rPr>
                <w:caps/>
                <w:szCs w:val="24"/>
              </w:rPr>
            </w:pPr>
            <w:r>
              <w:rPr>
                <w:caps/>
                <w:szCs w:val="24"/>
              </w:rPr>
              <w:t>AND:</w:t>
            </w:r>
          </w:p>
        </w:tc>
        <w:tc>
          <w:tcPr>
            <w:tcW w:w="6866" w:type="dxa"/>
            <w:gridSpan w:val="2"/>
          </w:tcPr>
          <w:p w14:paraId="45824EEC" w14:textId="77777777" w:rsidR="00BE2DD0" w:rsidRDefault="00BE2DD0" w:rsidP="00BE2DD0">
            <w:pPr>
              <w:pStyle w:val="NormalHeadings"/>
              <w:jc w:val="left"/>
            </w:pPr>
            <w:bookmarkStart w:id="17" w:name="Respondent"/>
            <w:r>
              <w:t>AUSTRALIAN FINANCIAL COMPLAINTS AUTHORITY ACN 620 494 340</w:t>
            </w:r>
          </w:p>
          <w:p w14:paraId="331A84BC" w14:textId="77777777" w:rsidR="00BE2DD0" w:rsidRDefault="00BE2DD0" w:rsidP="00BE2DD0">
            <w:pPr>
              <w:pStyle w:val="PartyType"/>
            </w:pPr>
            <w:r>
              <w:t>First Respondent</w:t>
            </w:r>
          </w:p>
          <w:p w14:paraId="1B62F857" w14:textId="77777777" w:rsidR="00BE2DD0" w:rsidRDefault="00BE2DD0" w:rsidP="00383696">
            <w:pPr>
              <w:pStyle w:val="NormalHeadings"/>
              <w:jc w:val="left"/>
            </w:pPr>
          </w:p>
          <w:p w14:paraId="3EDDE57E" w14:textId="77777777" w:rsidR="00BE2DD0" w:rsidRDefault="00BE2DD0" w:rsidP="00BE2DD0">
            <w:pPr>
              <w:pStyle w:val="NormalHeadings"/>
              <w:jc w:val="left"/>
            </w:pPr>
            <w:r>
              <w:t>BRIAN RONALD EDGECOMBE</w:t>
            </w:r>
          </w:p>
          <w:p w14:paraId="61B9DBFA" w14:textId="77777777" w:rsidR="00BE2DD0" w:rsidRDefault="00BE2DD0" w:rsidP="00BE2DD0">
            <w:pPr>
              <w:pStyle w:val="PartyType"/>
            </w:pPr>
            <w:r>
              <w:t>Second Respondent</w:t>
            </w:r>
          </w:p>
          <w:bookmarkEnd w:id="17"/>
          <w:p w14:paraId="3238F16B" w14:textId="77777777" w:rsidR="00A46CCC" w:rsidRPr="006555B4" w:rsidRDefault="00A46CCC" w:rsidP="00383696">
            <w:pPr>
              <w:pStyle w:val="NormalHeadings"/>
              <w:jc w:val="left"/>
            </w:pPr>
          </w:p>
        </w:tc>
      </w:tr>
    </w:tbl>
    <w:p w14:paraId="04E2F5A8"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14CD114B" w14:textId="77777777">
        <w:tc>
          <w:tcPr>
            <w:tcW w:w="2376" w:type="dxa"/>
          </w:tcPr>
          <w:p w14:paraId="11F6E1F6"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4747491F" w14:textId="46C85C0D" w:rsidR="00395B24" w:rsidRDefault="006A2C8C">
            <w:pPr>
              <w:pStyle w:val="NormalHeadings"/>
              <w:jc w:val="left"/>
              <w:rPr>
                <w:caps/>
                <w:szCs w:val="24"/>
              </w:rPr>
            </w:pPr>
            <w:bookmarkStart w:id="20" w:name="Judge"/>
            <w:r>
              <w:rPr>
                <w:caps/>
                <w:szCs w:val="24"/>
              </w:rPr>
              <w:t xml:space="preserve">MIDDLETON, JACKSON AND </w:t>
            </w:r>
            <w:r w:rsidR="00BE2DD0">
              <w:rPr>
                <w:caps/>
                <w:szCs w:val="24"/>
              </w:rPr>
              <w:t xml:space="preserve">HALLEY </w:t>
            </w:r>
            <w:r w:rsidR="00BE3F33">
              <w:rPr>
                <w:caps/>
                <w:szCs w:val="24"/>
              </w:rPr>
              <w:t>J</w:t>
            </w:r>
            <w:r w:rsidR="00BE2DD0">
              <w:rPr>
                <w:caps/>
                <w:szCs w:val="24"/>
              </w:rPr>
              <w:t>J</w:t>
            </w:r>
            <w:bookmarkEnd w:id="20"/>
          </w:p>
        </w:tc>
      </w:tr>
      <w:tr w:rsidR="00395B24" w14:paraId="4747C3CB" w14:textId="77777777">
        <w:tc>
          <w:tcPr>
            <w:tcW w:w="2376" w:type="dxa"/>
          </w:tcPr>
          <w:p w14:paraId="1A1D145C" w14:textId="77777777" w:rsidR="00395B24" w:rsidRDefault="002C7385">
            <w:pPr>
              <w:pStyle w:val="NormalHeadings"/>
              <w:spacing w:after="120"/>
              <w:jc w:val="left"/>
              <w:rPr>
                <w:caps/>
                <w:szCs w:val="24"/>
              </w:rPr>
            </w:pPr>
            <w:r>
              <w:rPr>
                <w:caps/>
                <w:szCs w:val="24"/>
              </w:rPr>
              <w:t>DATE OF ORDER:</w:t>
            </w:r>
          </w:p>
        </w:tc>
        <w:tc>
          <w:tcPr>
            <w:tcW w:w="6866" w:type="dxa"/>
          </w:tcPr>
          <w:p w14:paraId="68A2C40B" w14:textId="4CB38530" w:rsidR="00395B24" w:rsidRDefault="00570566">
            <w:pPr>
              <w:pStyle w:val="NormalHeadings"/>
              <w:jc w:val="left"/>
              <w:rPr>
                <w:caps/>
                <w:szCs w:val="24"/>
              </w:rPr>
            </w:pPr>
            <w:r>
              <w:rPr>
                <w:caps/>
                <w:szCs w:val="24"/>
              </w:rPr>
              <w:t>27 OCTOBER 2022</w:t>
            </w:r>
          </w:p>
        </w:tc>
      </w:tr>
    </w:tbl>
    <w:p w14:paraId="272F2EDF" w14:textId="77777777" w:rsidR="00395B24" w:rsidRDefault="00395B24">
      <w:pPr>
        <w:pStyle w:val="NormalHeadings"/>
        <w:rPr>
          <w:b w:val="0"/>
        </w:rPr>
      </w:pPr>
    </w:p>
    <w:p w14:paraId="5825D89B" w14:textId="77777777" w:rsidR="008D1617" w:rsidRDefault="008D1617">
      <w:pPr>
        <w:pStyle w:val="NormalHeadings"/>
        <w:rPr>
          <w:b w:val="0"/>
        </w:rPr>
      </w:pPr>
    </w:p>
    <w:p w14:paraId="3EF3A9F8" w14:textId="77777777" w:rsidR="00395B24" w:rsidRDefault="002C7385">
      <w:pPr>
        <w:pStyle w:val="NormalHeadings"/>
      </w:pPr>
      <w:r>
        <w:t>THE COURT ORDERS THAT:</w:t>
      </w:r>
    </w:p>
    <w:p w14:paraId="24CC6C02" w14:textId="77777777" w:rsidR="007F60DF" w:rsidRDefault="007F60DF" w:rsidP="00243E5E">
      <w:pPr>
        <w:pStyle w:val="NormalHeadings"/>
      </w:pPr>
    </w:p>
    <w:p w14:paraId="4AEA4340" w14:textId="59D455E4" w:rsidR="006E6E87" w:rsidRDefault="006E6E87" w:rsidP="006E6E87">
      <w:pPr>
        <w:pStyle w:val="Order1"/>
      </w:pPr>
      <w:r>
        <w:t>Within fourteen (14) days the parties file an agreed form of orders, or in default of agreement, any submissions as to the form of the appropriate orders reflecting the reasons of the Court.</w:t>
      </w:r>
    </w:p>
    <w:p w14:paraId="51584531" w14:textId="3C9E51A7" w:rsidR="001A6C52" w:rsidRDefault="006E6E87" w:rsidP="006E6E87">
      <w:pPr>
        <w:pStyle w:val="Order1"/>
      </w:pPr>
      <w:r>
        <w:t>Subject to any further directions, the final orders of the Court will be made on the papers.</w:t>
      </w:r>
    </w:p>
    <w:p w14:paraId="4263590B" w14:textId="77777777" w:rsidR="001A6C52" w:rsidRDefault="001A6C52" w:rsidP="001A6C52">
      <w:pPr>
        <w:pStyle w:val="BodyText"/>
      </w:pPr>
    </w:p>
    <w:p w14:paraId="785BD894" w14:textId="77777777" w:rsidR="00A431E6" w:rsidRDefault="00A431E6" w:rsidP="001A6C52">
      <w:pPr>
        <w:pStyle w:val="BodyText"/>
      </w:pPr>
    </w:p>
    <w:p w14:paraId="7690A0F2" w14:textId="77777777" w:rsidR="0050309C" w:rsidRDefault="00BE2DD0"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257B556F" w14:textId="77777777" w:rsidR="00E23577" w:rsidRDefault="00E23577" w:rsidP="002B0E91">
      <w:pPr>
        <w:pStyle w:val="BodyText"/>
      </w:pPr>
    </w:p>
    <w:p w14:paraId="07893DFF"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371C1BBB" w14:textId="77777777" w:rsidR="00902305" w:rsidRPr="00045BB7" w:rsidRDefault="00902305" w:rsidP="00902305">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4C60A256" w14:textId="2137AACB" w:rsidR="00902305" w:rsidRDefault="00566036" w:rsidP="00902305">
      <w:pPr>
        <w:pStyle w:val="NormalHeadings"/>
        <w:spacing w:line="360" w:lineRule="auto"/>
        <w:jc w:val="left"/>
        <w:rPr>
          <w:sz w:val="26"/>
          <w:szCs w:val="26"/>
        </w:rPr>
      </w:pPr>
      <w:r>
        <w:rPr>
          <w:sz w:val="26"/>
          <w:szCs w:val="26"/>
        </w:rPr>
        <w:t>THE COURT</w:t>
      </w:r>
      <w:r w:rsidR="00902305">
        <w:rPr>
          <w:sz w:val="26"/>
          <w:szCs w:val="26"/>
        </w:rPr>
        <w:t>:</w:t>
      </w:r>
    </w:p>
    <w:p w14:paraId="32408912" w14:textId="77777777" w:rsidR="00902305" w:rsidRDefault="00902305" w:rsidP="00902305">
      <w:pPr>
        <w:pStyle w:val="Heading1"/>
      </w:pPr>
      <w:r>
        <w:t>I</w:t>
      </w:r>
      <w:r w:rsidR="00BB4183">
        <w:t>ntroduction</w:t>
      </w:r>
    </w:p>
    <w:p w14:paraId="70D74A7B" w14:textId="5C56C863" w:rsidR="00902305" w:rsidRDefault="00902305" w:rsidP="00902305">
      <w:pPr>
        <w:pStyle w:val="ParaNumbering"/>
      </w:pPr>
      <w:r>
        <w:t xml:space="preserve">This appeal </w:t>
      </w:r>
      <w:r w:rsidR="00035B7F">
        <w:t>is concerned with</w:t>
      </w:r>
      <w:r>
        <w:t xml:space="preserve"> the proper construction of s 1053</w:t>
      </w:r>
      <w:r w:rsidR="00035B7F">
        <w:t>(1)</w:t>
      </w:r>
      <w:r>
        <w:t xml:space="preserve"> of the </w:t>
      </w:r>
      <w:r w:rsidRPr="00902305">
        <w:rPr>
          <w:i/>
        </w:rPr>
        <w:t>Corporations Act 2001</w:t>
      </w:r>
      <w:r>
        <w:t xml:space="preserve"> (</w:t>
      </w:r>
      <w:proofErr w:type="spellStart"/>
      <w:r>
        <w:t>Cth</w:t>
      </w:r>
      <w:proofErr w:type="spellEnd"/>
      <w:r>
        <w:t>)</w:t>
      </w:r>
      <w:r w:rsidR="00035B7F">
        <w:t xml:space="preserve"> (</w:t>
      </w:r>
      <w:r w:rsidR="00035B7F" w:rsidRPr="00035B7F">
        <w:rPr>
          <w:b/>
        </w:rPr>
        <w:t>Corporations Act</w:t>
      </w:r>
      <w:r w:rsidR="00BB34FC">
        <w:t>). The question to be determined is whether</w:t>
      </w:r>
      <w:r w:rsidR="00035B7F">
        <w:t xml:space="preserve"> </w:t>
      </w:r>
      <w:r>
        <w:t>the Australian Financial Complaints Authority Limited (</w:t>
      </w:r>
      <w:r w:rsidRPr="00BB34FC">
        <w:rPr>
          <w:b/>
        </w:rPr>
        <w:t>AFCA</w:t>
      </w:r>
      <w:r>
        <w:t>) ha</w:t>
      </w:r>
      <w:r w:rsidR="00BB34FC">
        <w:t>s</w:t>
      </w:r>
      <w:r>
        <w:t xml:space="preserve"> authority to determine a “</w:t>
      </w:r>
      <w:r w:rsidRPr="00BB34FC">
        <w:t>complaint relating to superannuation</w:t>
      </w:r>
      <w:r w:rsidRPr="00902305">
        <w:t>”</w:t>
      </w:r>
      <w:r>
        <w:t xml:space="preserve"> that falls outside the ambit of </w:t>
      </w:r>
      <w:r w:rsidR="00B05326">
        <w:t>sub-</w:t>
      </w:r>
      <w:proofErr w:type="spellStart"/>
      <w:r w:rsidR="00172E56">
        <w:t>s</w:t>
      </w:r>
      <w:r w:rsidR="00C96077">
        <w:t>s</w:t>
      </w:r>
      <w:proofErr w:type="spellEnd"/>
      <w:r>
        <w:t xml:space="preserve"> 1053(1)(a)-(j)</w:t>
      </w:r>
      <w:r w:rsidR="00BB34FC">
        <w:t>.</w:t>
      </w:r>
      <w:r>
        <w:t xml:space="preserve"> The primary judge answered that question in the affirmative</w:t>
      </w:r>
      <w:r w:rsidR="00C96077">
        <w:t xml:space="preserve">: </w:t>
      </w:r>
      <w:r w:rsidR="00F44800" w:rsidRPr="00F44800">
        <w:rPr>
          <w:i/>
        </w:rPr>
        <w:t xml:space="preserve">MetLife Insurance </w:t>
      </w:r>
      <w:r w:rsidR="00A92713" w:rsidRPr="00F44800">
        <w:rPr>
          <w:i/>
        </w:rPr>
        <w:t>L</w:t>
      </w:r>
      <w:r w:rsidR="00A92713">
        <w:rPr>
          <w:i/>
        </w:rPr>
        <w:t>imited</w:t>
      </w:r>
      <w:r w:rsidR="00A92713" w:rsidRPr="00F44800">
        <w:rPr>
          <w:i/>
        </w:rPr>
        <w:t xml:space="preserve"> </w:t>
      </w:r>
      <w:r w:rsidR="00F44800" w:rsidRPr="00F44800">
        <w:rPr>
          <w:i/>
        </w:rPr>
        <w:t>v Australian Financial Complaints Authority</w:t>
      </w:r>
      <w:r w:rsidR="00F44800">
        <w:t xml:space="preserve"> (2022) 157 ACSR 542; [2022] FCA 23 (</w:t>
      </w:r>
      <w:r w:rsidR="00F44800" w:rsidRPr="00F44800">
        <w:rPr>
          <w:b/>
        </w:rPr>
        <w:t>J</w:t>
      </w:r>
      <w:r w:rsidR="00F44800">
        <w:t>)</w:t>
      </w:r>
      <w:r>
        <w:t>.</w:t>
      </w:r>
    </w:p>
    <w:p w14:paraId="0E5153D0" w14:textId="77777777" w:rsidR="00902305" w:rsidRDefault="00902305" w:rsidP="00902305">
      <w:pPr>
        <w:pStyle w:val="ParaNumbering"/>
      </w:pPr>
      <w:r>
        <w:t>The appellant (</w:t>
      </w:r>
      <w:r w:rsidRPr="00902305">
        <w:rPr>
          <w:b/>
        </w:rPr>
        <w:t>MetLife</w:t>
      </w:r>
      <w:r>
        <w:t>) contends that finding was in error.</w:t>
      </w:r>
    </w:p>
    <w:p w14:paraId="6109013E" w14:textId="6F9FEC4F" w:rsidR="00902305" w:rsidRDefault="00BB34FC" w:rsidP="00902305">
      <w:pPr>
        <w:pStyle w:val="ParaNumbering"/>
      </w:pPr>
      <w:r>
        <w:t>MetLife</w:t>
      </w:r>
      <w:r w:rsidR="00902305">
        <w:t xml:space="preserve"> </w:t>
      </w:r>
      <w:r>
        <w:t>submits</w:t>
      </w:r>
      <w:r w:rsidR="00902305">
        <w:t xml:space="preserve"> that the text of s 1053, </w:t>
      </w:r>
      <w:r>
        <w:t xml:space="preserve">its </w:t>
      </w:r>
      <w:r w:rsidR="00902305">
        <w:t>statutory context</w:t>
      </w:r>
      <w:r>
        <w:t>, the legislative history</w:t>
      </w:r>
      <w:r w:rsidR="00902305">
        <w:t xml:space="preserve"> and </w:t>
      </w:r>
      <w:r>
        <w:t xml:space="preserve">other </w:t>
      </w:r>
      <w:r w:rsidR="00902305">
        <w:t>extrinsic material all support the conclusion that AFCA has no authority to determine a “</w:t>
      </w:r>
      <w:r w:rsidR="00902305" w:rsidRPr="00BB34FC">
        <w:t>complaint relating to superannuation</w:t>
      </w:r>
      <w:r w:rsidR="00902305">
        <w:t>” that d</w:t>
      </w:r>
      <w:r w:rsidR="00605192">
        <w:t>oes</w:t>
      </w:r>
      <w:r w:rsidR="00902305">
        <w:t xml:space="preserve"> not fall within any of the categories of complaint set out in </w:t>
      </w:r>
      <w:r w:rsidR="00B05326">
        <w:t>sub-</w:t>
      </w:r>
      <w:proofErr w:type="spellStart"/>
      <w:r w:rsidR="00172E56">
        <w:t>s</w:t>
      </w:r>
      <w:r w:rsidR="00A92713">
        <w:t>s</w:t>
      </w:r>
      <w:proofErr w:type="spellEnd"/>
      <w:r w:rsidR="00902305">
        <w:t xml:space="preserve"> 1053(1)(a)-(j). Accordingly, </w:t>
      </w:r>
      <w:r>
        <w:t xml:space="preserve">it submits that </w:t>
      </w:r>
      <w:r w:rsidR="00902305">
        <w:t>AFCA had no authority to determine a complaint made by the second respondent (</w:t>
      </w:r>
      <w:r w:rsidR="00902305" w:rsidRPr="00902305">
        <w:rPr>
          <w:b/>
        </w:rPr>
        <w:t>Mr Edgecombe</w:t>
      </w:r>
      <w:r w:rsidR="00902305">
        <w:t>) against MetLife in 2018</w:t>
      </w:r>
      <w:r>
        <w:t xml:space="preserve"> </w:t>
      </w:r>
      <w:r w:rsidR="00902305">
        <w:t>(</w:t>
      </w:r>
      <w:r w:rsidR="00902305" w:rsidRPr="00902305">
        <w:rPr>
          <w:b/>
        </w:rPr>
        <w:t>2018 Complaint</w:t>
      </w:r>
      <w:r w:rsidR="00902305">
        <w:t xml:space="preserve">), being a </w:t>
      </w:r>
      <w:r w:rsidR="00A92713">
        <w:t>“</w:t>
      </w:r>
      <w:r w:rsidR="00902305">
        <w:t>complaint relating to superannuation</w:t>
      </w:r>
      <w:r w:rsidR="00A92713">
        <w:t>”</w:t>
      </w:r>
      <w:r w:rsidR="00902305">
        <w:t xml:space="preserve"> that did not fall within any of </w:t>
      </w:r>
      <w:r w:rsidR="00B05326">
        <w:t>sub-</w:t>
      </w:r>
      <w:proofErr w:type="spellStart"/>
      <w:r w:rsidR="00172E56">
        <w:t>s</w:t>
      </w:r>
      <w:r w:rsidR="00A92713">
        <w:t>s</w:t>
      </w:r>
      <w:proofErr w:type="spellEnd"/>
      <w:r w:rsidR="00902305">
        <w:t xml:space="preserve"> 1053(1)(a)-(j). </w:t>
      </w:r>
    </w:p>
    <w:p w14:paraId="31818795" w14:textId="7B44386B" w:rsidR="00BB34FC" w:rsidRDefault="00BB34FC" w:rsidP="00902305">
      <w:pPr>
        <w:pStyle w:val="ParaNumbering"/>
      </w:pPr>
      <w:r>
        <w:t>AFCA submits that the primary judge was correct to determine that s 1053(1) did not preclude it from determining the 2018 Complaint. Further, AFCA contends in its</w:t>
      </w:r>
      <w:r w:rsidR="00FB2FC0">
        <w:t xml:space="preserve"> amended</w:t>
      </w:r>
      <w:r>
        <w:t xml:space="preserve"> notice of contention that the 2018 Complaint was not a “complaint relating to superannuation</w:t>
      </w:r>
      <w:r w:rsidR="00E77A1D">
        <w:t xml:space="preserve">”. AFCA submits that </w:t>
      </w:r>
      <w:r w:rsidR="003567AA">
        <w:t xml:space="preserve">the parties had entered into a contract pursuant to the </w:t>
      </w:r>
      <w:r w:rsidR="00617DBE">
        <w:t xml:space="preserve">AFCA </w:t>
      </w:r>
      <w:r w:rsidR="0006638C">
        <w:t xml:space="preserve">Complaint </w:t>
      </w:r>
      <w:r w:rsidR="00310D0F">
        <w:t xml:space="preserve">Resolution Scheme Rules </w:t>
      </w:r>
      <w:r w:rsidR="00617DBE">
        <w:t>(</w:t>
      </w:r>
      <w:r w:rsidR="00617DBE" w:rsidRPr="00617DBE">
        <w:rPr>
          <w:b/>
        </w:rPr>
        <w:t>AFCA Rules</w:t>
      </w:r>
      <w:r w:rsidR="00617DBE">
        <w:t xml:space="preserve">) </w:t>
      </w:r>
      <w:r w:rsidR="003567AA">
        <w:t>by which MetLife had agreed to comply with binding determinations by AFCA with respect to the 2018 Complaint</w:t>
      </w:r>
      <w:r w:rsidR="00566036">
        <w:t>,</w:t>
      </w:r>
      <w:r w:rsidR="003567AA">
        <w:t xml:space="preserve"> and MetLife had specifically assented by way of an ad hoc agreement to AFCA determining the 2018 Complaint.</w:t>
      </w:r>
      <w:r w:rsidR="0060415C">
        <w:t xml:space="preserve"> </w:t>
      </w:r>
    </w:p>
    <w:p w14:paraId="513B33B9" w14:textId="5A577B87" w:rsidR="003567AA" w:rsidRDefault="003567AA" w:rsidP="00902305">
      <w:pPr>
        <w:pStyle w:val="ParaNumbering"/>
      </w:pPr>
      <w:r>
        <w:t xml:space="preserve">For the reasons that follow, we are satisfied that </w:t>
      </w:r>
      <w:r w:rsidR="00FC1026">
        <w:t>AFCA d</w:t>
      </w:r>
      <w:r w:rsidR="00566036">
        <w:t>oes</w:t>
      </w:r>
      <w:r w:rsidR="00FC1026">
        <w:t xml:space="preserve"> not have </w:t>
      </w:r>
      <w:r w:rsidR="00566036">
        <w:t xml:space="preserve">the </w:t>
      </w:r>
      <w:r w:rsidR="00FC1026">
        <w:t>authority to determine a “</w:t>
      </w:r>
      <w:r w:rsidR="00FC1026" w:rsidRPr="00BB34FC">
        <w:t>complaint relating to superannuation</w:t>
      </w:r>
      <w:r w:rsidR="00FC1026" w:rsidRPr="00902305">
        <w:t>”</w:t>
      </w:r>
      <w:r w:rsidR="00FC1026">
        <w:t xml:space="preserve"> that f</w:t>
      </w:r>
      <w:r w:rsidR="00566036">
        <w:t>alls</w:t>
      </w:r>
      <w:r w:rsidR="00FC1026">
        <w:t xml:space="preserve"> outside the ambit of </w:t>
      </w:r>
      <w:r w:rsidR="00172E56">
        <w:t>s</w:t>
      </w:r>
      <w:r w:rsidR="00B433FE">
        <w:t>ub-</w:t>
      </w:r>
      <w:proofErr w:type="spellStart"/>
      <w:r w:rsidR="00B433FE">
        <w:t>ss</w:t>
      </w:r>
      <w:proofErr w:type="spellEnd"/>
      <w:r w:rsidR="00FC1026">
        <w:t xml:space="preserve"> 1053(1)(a)-(j)</w:t>
      </w:r>
      <w:r w:rsidR="00566036">
        <w:t>,</w:t>
      </w:r>
      <w:r w:rsidR="00FC1026">
        <w:t xml:space="preserve"> and that none of the contentions advanced in the </w:t>
      </w:r>
      <w:r w:rsidR="000C78D5">
        <w:t xml:space="preserve">amended </w:t>
      </w:r>
      <w:r w:rsidR="00FC1026">
        <w:t xml:space="preserve">notice of contention relevantly detract from that conclusion. It follows that the appeal should be allowed and the </w:t>
      </w:r>
      <w:r w:rsidR="000C78D5">
        <w:t xml:space="preserve">amended </w:t>
      </w:r>
      <w:r w:rsidR="00FC1026">
        <w:t>notice of contention should be dismissed.</w:t>
      </w:r>
    </w:p>
    <w:p w14:paraId="673C1CD1" w14:textId="77777777" w:rsidR="00902305" w:rsidRDefault="00902305" w:rsidP="00902305">
      <w:pPr>
        <w:pStyle w:val="Heading1"/>
      </w:pPr>
      <w:r>
        <w:lastRenderedPageBreak/>
        <w:t>B</w:t>
      </w:r>
      <w:r w:rsidR="00BB4183">
        <w:t>ackground</w:t>
      </w:r>
    </w:p>
    <w:p w14:paraId="082A6B40" w14:textId="68A38B68" w:rsidR="008B0C7C" w:rsidRPr="00BE0AD8" w:rsidRDefault="008B0C7C" w:rsidP="00902305">
      <w:pPr>
        <w:pStyle w:val="ParaNumbering"/>
      </w:pPr>
      <w:r w:rsidRPr="00BE0AD8">
        <w:t>The following background facts are taken from the decision of the primary judge.</w:t>
      </w:r>
    </w:p>
    <w:p w14:paraId="1F0AB752" w14:textId="1750F3AE" w:rsidR="00080BEB" w:rsidRPr="00BE0AD8" w:rsidRDefault="00080BEB" w:rsidP="00080BEB">
      <w:pPr>
        <w:pStyle w:val="ParaNumbering"/>
      </w:pPr>
      <w:r w:rsidRPr="00BE0AD8">
        <w:t xml:space="preserve">In 2016, a review of the regulatory requirements concerning external dispute resolution and the complaints framework for providers of financial services was conducted. This review culminated in the </w:t>
      </w:r>
      <w:r w:rsidRPr="00BE0AD8">
        <w:rPr>
          <w:i/>
        </w:rPr>
        <w:t>Final Report: Review of the financial system external dispute resolution and complaints framework</w:t>
      </w:r>
      <w:r w:rsidR="00566036">
        <w:t>,</w:t>
      </w:r>
      <w:r w:rsidRPr="00BE0AD8">
        <w:t xml:space="preserve"> issued in April 2017 (</w:t>
      </w:r>
      <w:r w:rsidRPr="00BE0AD8">
        <w:rPr>
          <w:b/>
        </w:rPr>
        <w:t>Ramsay Report</w:t>
      </w:r>
      <w:r w:rsidRPr="00BE0AD8">
        <w:t>).</w:t>
      </w:r>
      <w:r w:rsidRPr="00BE0AD8">
        <w:rPr>
          <w:b/>
        </w:rPr>
        <w:t xml:space="preserve"> </w:t>
      </w:r>
    </w:p>
    <w:p w14:paraId="79278F90" w14:textId="22604777" w:rsidR="00080BEB" w:rsidRPr="00BE0AD8" w:rsidRDefault="00080BEB" w:rsidP="00080BEB">
      <w:pPr>
        <w:pStyle w:val="ParaNumbering"/>
      </w:pPr>
      <w:r w:rsidRPr="00BE0AD8">
        <w:t>The summary of the findings of the Ramsay Report in the revised explanatory memorandum (</w:t>
      </w:r>
      <w:r w:rsidRPr="00BE0AD8">
        <w:rPr>
          <w:b/>
        </w:rPr>
        <w:t>Revised EM</w:t>
      </w:r>
      <w:r w:rsidRPr="00BE0AD8">
        <w:t>) to the Treasury Laws Amendment (Putting Consumers First</w:t>
      </w:r>
      <w:r w:rsidR="00566036">
        <w:t>—</w:t>
      </w:r>
      <w:r w:rsidRPr="00BE0AD8">
        <w:t>Establishment of the Australian Financial Complaints Authority) Bill 2017 (</w:t>
      </w:r>
      <w:proofErr w:type="spellStart"/>
      <w:r w:rsidRPr="00BE0AD8">
        <w:t>Cth</w:t>
      </w:r>
      <w:proofErr w:type="spellEnd"/>
      <w:r w:rsidRPr="00BE0AD8">
        <w:t>) (</w:t>
      </w:r>
      <w:r w:rsidR="00A0051F">
        <w:rPr>
          <w:b/>
        </w:rPr>
        <w:t xml:space="preserve">AFCA Establishment </w:t>
      </w:r>
      <w:r w:rsidRPr="00BE0AD8">
        <w:rPr>
          <w:b/>
        </w:rPr>
        <w:t>Bill</w:t>
      </w:r>
      <w:r w:rsidRPr="00BE0AD8">
        <w:t>)</w:t>
      </w:r>
      <w:r w:rsidR="00566036">
        <w:t>,</w:t>
      </w:r>
      <w:r w:rsidRPr="00BE0AD8">
        <w:t xml:space="preserve"> at [1.11]</w:t>
      </w:r>
      <w:r w:rsidR="00566036">
        <w:t>,</w:t>
      </w:r>
      <w:r w:rsidRPr="00BE0AD8">
        <w:t xml:space="preserve"> included:</w:t>
      </w:r>
    </w:p>
    <w:p w14:paraId="7DBB9227" w14:textId="0526C15F" w:rsidR="00080BEB" w:rsidRPr="00BE0AD8" w:rsidRDefault="00080BEB" w:rsidP="00080BEB">
      <w:pPr>
        <w:pStyle w:val="Quote1Bullet"/>
      </w:pPr>
      <w:r w:rsidRPr="00BE0AD8">
        <w:t xml:space="preserve">the existence of multiple EDR </w:t>
      </w:r>
      <w:r w:rsidR="00A92615">
        <w:t xml:space="preserve">[external dispute resolution] </w:t>
      </w:r>
      <w:r w:rsidRPr="00BE0AD8">
        <w:t>schemes with overlapping jurisdictions means that it is difficult to achieve comparable outcomes for consumers with similar complaints;</w:t>
      </w:r>
    </w:p>
    <w:p w14:paraId="1FE2D257" w14:textId="77777777" w:rsidR="00080BEB" w:rsidRPr="00BE0AD8" w:rsidRDefault="00080BEB" w:rsidP="00080BEB">
      <w:pPr>
        <w:pStyle w:val="Quote1Bullet"/>
      </w:pPr>
      <w:r w:rsidRPr="00BE0AD8">
        <w:t xml:space="preserve">multiple EDR schemes give rise to a duplication in costs for both industry and ASIC; </w:t>
      </w:r>
    </w:p>
    <w:p w14:paraId="1299DB13" w14:textId="2986F5D9" w:rsidR="00080BEB" w:rsidRPr="00BE0AD8" w:rsidRDefault="00902305" w:rsidP="00080BEB">
      <w:pPr>
        <w:pStyle w:val="ParaNumbering"/>
      </w:pPr>
      <w:r w:rsidRPr="00BE0AD8">
        <w:t>AFCA is a</w:t>
      </w:r>
      <w:r w:rsidR="00A92615">
        <w:t>n external</w:t>
      </w:r>
      <w:r w:rsidRPr="00BE0AD8">
        <w:t xml:space="preserve"> dispute resolution body established under the </w:t>
      </w:r>
      <w:r w:rsidRPr="00BE0AD8">
        <w:rPr>
          <w:i/>
        </w:rPr>
        <w:t>Treasury Laws Amendment (Putting Consumers First</w:t>
      </w:r>
      <w:r w:rsidR="00B73E36" w:rsidRPr="00BE0AD8">
        <w:rPr>
          <w:i/>
        </w:rPr>
        <w:t>—</w:t>
      </w:r>
      <w:r w:rsidRPr="00BE0AD8">
        <w:rPr>
          <w:i/>
        </w:rPr>
        <w:t>Establishment of the Australian Financial Complaints Authority) Act 2018</w:t>
      </w:r>
      <w:r w:rsidR="0060415C" w:rsidRPr="00BE0AD8">
        <w:t xml:space="preserve"> </w:t>
      </w:r>
      <w:r w:rsidRPr="00BE0AD8">
        <w:t>(</w:t>
      </w:r>
      <w:proofErr w:type="spellStart"/>
      <w:r w:rsidRPr="00BE0AD8">
        <w:t>Cth</w:t>
      </w:r>
      <w:proofErr w:type="spellEnd"/>
      <w:r w:rsidRPr="00BE0AD8">
        <w:t>) (</w:t>
      </w:r>
      <w:r w:rsidRPr="00BE0AD8">
        <w:rPr>
          <w:b/>
        </w:rPr>
        <w:t>AFCA Act</w:t>
      </w:r>
      <w:r w:rsidRPr="00BE0AD8">
        <w:t>).</w:t>
      </w:r>
    </w:p>
    <w:p w14:paraId="244616F3" w14:textId="12835CEC" w:rsidR="00080BEB" w:rsidRPr="005018F1" w:rsidRDefault="00080BEB" w:rsidP="007A7B26">
      <w:pPr>
        <w:pStyle w:val="ParaNumbering"/>
      </w:pPr>
      <w:r w:rsidRPr="005018F1">
        <w:t>The AFCA Act</w:t>
      </w:r>
      <w:r w:rsidRPr="005018F1">
        <w:rPr>
          <w:b/>
        </w:rPr>
        <w:t xml:space="preserve"> </w:t>
      </w:r>
      <w:r w:rsidRPr="005018F1">
        <w:t>commenced in 2018. It introduced P</w:t>
      </w:r>
      <w:r w:rsidR="00D44E14">
        <w:t>t</w:t>
      </w:r>
      <w:r w:rsidRPr="005018F1">
        <w:t xml:space="preserve"> 7.10A of the Corporations Act, which provide</w:t>
      </w:r>
      <w:r w:rsidR="00566036">
        <w:t>s</w:t>
      </w:r>
      <w:r w:rsidRPr="005018F1">
        <w:t xml:space="preserve"> for the establishment and operation of </w:t>
      </w:r>
      <w:bookmarkStart w:id="23" w:name="_Ref114221107"/>
      <w:r w:rsidR="006B07CD" w:rsidRPr="005018F1">
        <w:t>a single financial services resolution scheme to be administered by AFCA (</w:t>
      </w:r>
      <w:r w:rsidR="006B07CD" w:rsidRPr="005018F1">
        <w:rPr>
          <w:b/>
        </w:rPr>
        <w:t>AFCA Scheme</w:t>
      </w:r>
      <w:r w:rsidR="006B07CD" w:rsidRPr="005018F1">
        <w:t>).</w:t>
      </w:r>
      <w:bookmarkEnd w:id="23"/>
      <w:r w:rsidR="00BE0AD8" w:rsidRPr="005018F1">
        <w:t xml:space="preserve"> </w:t>
      </w:r>
      <w:r w:rsidRPr="005018F1">
        <w:t xml:space="preserve">It also repealed the legislation which had established the </w:t>
      </w:r>
      <w:r w:rsidR="00566036" w:rsidRPr="005018F1">
        <w:t xml:space="preserve">Superannuation Complaints Tribunal </w:t>
      </w:r>
      <w:r w:rsidR="00566036">
        <w:t>(</w:t>
      </w:r>
      <w:r w:rsidRPr="007A3CF2">
        <w:rPr>
          <w:b/>
        </w:rPr>
        <w:t>SCT</w:t>
      </w:r>
      <w:r w:rsidR="00566036">
        <w:t>)</w:t>
      </w:r>
      <w:r w:rsidRPr="005018F1">
        <w:t xml:space="preserve">, and repealed other parts of the Corporations Act that had permitted </w:t>
      </w:r>
      <w:r w:rsidR="00566036">
        <w:t>the Australian Securities and Investments Commission</w:t>
      </w:r>
      <w:r w:rsidR="00566036" w:rsidRPr="005018F1">
        <w:t xml:space="preserve"> </w:t>
      </w:r>
      <w:r w:rsidR="00566036">
        <w:t>(</w:t>
      </w:r>
      <w:r w:rsidR="00566036">
        <w:rPr>
          <w:b/>
        </w:rPr>
        <w:t>ASIC</w:t>
      </w:r>
      <w:r w:rsidR="00566036">
        <w:t xml:space="preserve">) </w:t>
      </w:r>
      <w:r w:rsidRPr="005018F1">
        <w:t>to authorise competing external dispute resolution schemes.</w:t>
      </w:r>
    </w:p>
    <w:p w14:paraId="5E612A40" w14:textId="46B2020E" w:rsidR="00902305" w:rsidRPr="005018F1" w:rsidRDefault="00902305" w:rsidP="00B73E36">
      <w:pPr>
        <w:pStyle w:val="ParaNumbering"/>
      </w:pPr>
      <w:r w:rsidRPr="005018F1">
        <w:t xml:space="preserve">AFCA replaced several financial services dispute resolution bodies, relevantly </w:t>
      </w:r>
      <w:r w:rsidR="00A92615">
        <w:t xml:space="preserve">the </w:t>
      </w:r>
      <w:r w:rsidRPr="007A3CF2">
        <w:t>SCT</w:t>
      </w:r>
      <w:r w:rsidRPr="005018F1">
        <w:t>, the Financial Ombudsman Service (</w:t>
      </w:r>
      <w:r w:rsidRPr="005018F1">
        <w:rPr>
          <w:b/>
        </w:rPr>
        <w:t>FOS</w:t>
      </w:r>
      <w:r w:rsidRPr="005018F1">
        <w:t>) and the Credit and Investments Ombudsman (</w:t>
      </w:r>
      <w:r w:rsidRPr="005018F1">
        <w:rPr>
          <w:b/>
        </w:rPr>
        <w:t>CIO</w:t>
      </w:r>
      <w:r w:rsidRPr="005018F1">
        <w:t>).</w:t>
      </w:r>
    </w:p>
    <w:p w14:paraId="509EB556" w14:textId="5A158787" w:rsidR="00902305" w:rsidRPr="005018F1" w:rsidRDefault="00902305" w:rsidP="00902305">
      <w:pPr>
        <w:pStyle w:val="ParaNumbering"/>
      </w:pPr>
      <w:r w:rsidRPr="005018F1">
        <w:t xml:space="preserve">The SCT was governed by the </w:t>
      </w:r>
      <w:r w:rsidRPr="005018F1">
        <w:rPr>
          <w:i/>
        </w:rPr>
        <w:t>Superannuation (Resolution of Complaints) Act 1993</w:t>
      </w:r>
      <w:r w:rsidRPr="005018F1">
        <w:t xml:space="preserve"> (</w:t>
      </w:r>
      <w:proofErr w:type="spellStart"/>
      <w:r w:rsidRPr="005018F1">
        <w:t>Cth</w:t>
      </w:r>
      <w:proofErr w:type="spellEnd"/>
      <w:r w:rsidRPr="005018F1">
        <w:t xml:space="preserve">), and had jurisdiction over regulated superannuation funds and other superannuation investments. The </w:t>
      </w:r>
      <w:r w:rsidR="00CE04CC" w:rsidRPr="005018F1">
        <w:t>FOS and CIO dispute resolution</w:t>
      </w:r>
      <w:r w:rsidRPr="005018F1">
        <w:t xml:space="preserve"> schemes were governed by terms of reference approved by </w:t>
      </w:r>
      <w:r w:rsidR="003D2A58" w:rsidRPr="005018F1">
        <w:t>the</w:t>
      </w:r>
      <w:r w:rsidR="00566036">
        <w:t xml:space="preserve"> ASIC</w:t>
      </w:r>
      <w:r w:rsidRPr="005018F1">
        <w:t>, and decisions took effect by agreement</w:t>
      </w:r>
      <w:r w:rsidR="008B0C7C" w:rsidRPr="005018F1">
        <w:t>.</w:t>
      </w:r>
      <w:r w:rsidRPr="005018F1">
        <w:t xml:space="preserve"> </w:t>
      </w:r>
    </w:p>
    <w:p w14:paraId="4A108DA7" w14:textId="49DC39A2" w:rsidR="00CB584F" w:rsidRDefault="00CB584F" w:rsidP="00902305">
      <w:pPr>
        <w:pStyle w:val="ParaNumbering"/>
      </w:pPr>
      <w:r>
        <w:lastRenderedPageBreak/>
        <w:t xml:space="preserve">The </w:t>
      </w:r>
      <w:r w:rsidR="0006638C">
        <w:t>AFCA Scheme</w:t>
      </w:r>
      <w:r>
        <w:t xml:space="preserve"> </w:t>
      </w:r>
      <w:r w:rsidR="00617DBE">
        <w:t>commenced operating on 1 November 2018</w:t>
      </w:r>
      <w:r w:rsidR="00566036">
        <w:t>.</w:t>
      </w:r>
    </w:p>
    <w:p w14:paraId="78171934" w14:textId="48DF5BE4" w:rsidR="00CE04CC" w:rsidRDefault="00902305" w:rsidP="00902305">
      <w:pPr>
        <w:pStyle w:val="ParaNumbering"/>
      </w:pPr>
      <w:r>
        <w:t xml:space="preserve">In </w:t>
      </w:r>
      <w:r w:rsidR="00CE04CC">
        <w:t xml:space="preserve">November </w:t>
      </w:r>
      <w:r>
        <w:t xml:space="preserve">2018, </w:t>
      </w:r>
      <w:r w:rsidR="00CE04CC">
        <w:t xml:space="preserve">after the commencement of the </w:t>
      </w:r>
      <w:r w:rsidR="0006638C">
        <w:t>AFCA Scheme</w:t>
      </w:r>
      <w:r w:rsidR="00CE04CC">
        <w:t xml:space="preserve">, </w:t>
      </w:r>
      <w:r>
        <w:t xml:space="preserve">Mr Edgecombe made </w:t>
      </w:r>
      <w:r w:rsidR="00CE04CC">
        <w:t>the 2018 Complaint</w:t>
      </w:r>
      <w:r w:rsidR="00566036">
        <w:t xml:space="preserve">, which </w:t>
      </w:r>
      <w:r w:rsidR="00AA5E08">
        <w:t xml:space="preserve">was </w:t>
      </w:r>
      <w:r>
        <w:t xml:space="preserve">a complaint </w:t>
      </w:r>
      <w:r w:rsidR="00AA5E08">
        <w:t xml:space="preserve">made </w:t>
      </w:r>
      <w:r>
        <w:t xml:space="preserve">to AFCA in respect of an adverse decision of MetLife </w:t>
      </w:r>
      <w:r w:rsidR="00A92615">
        <w:t xml:space="preserve">concerning </w:t>
      </w:r>
      <w:r>
        <w:t>a total and permanent disability (</w:t>
      </w:r>
      <w:r w:rsidRPr="00902305">
        <w:rPr>
          <w:b/>
        </w:rPr>
        <w:t>TPD</w:t>
      </w:r>
      <w:r>
        <w:t xml:space="preserve">) </w:t>
      </w:r>
      <w:r w:rsidR="00A92615">
        <w:t xml:space="preserve">claim under an </w:t>
      </w:r>
      <w:r>
        <w:t>insurance policy issued by MetLife to the trustee of Mr Edgecombe</w:t>
      </w:r>
      <w:r w:rsidR="00566036">
        <w:t>’</w:t>
      </w:r>
      <w:r>
        <w:t>s superannuation fund</w:t>
      </w:r>
      <w:r w:rsidR="00CE04CC">
        <w:t xml:space="preserve"> (</w:t>
      </w:r>
      <w:r w:rsidR="00CE04CC" w:rsidRPr="00CE04CC">
        <w:rPr>
          <w:b/>
        </w:rPr>
        <w:t>PBR Policy</w:t>
      </w:r>
      <w:r w:rsidR="00CE04CC" w:rsidRPr="00402BE4">
        <w:t>)</w:t>
      </w:r>
      <w:r w:rsidR="00566036">
        <w:t>.</w:t>
      </w:r>
    </w:p>
    <w:p w14:paraId="292EE26B" w14:textId="48450339" w:rsidR="00AA5E08" w:rsidRDefault="00AA5E08" w:rsidP="00902305">
      <w:pPr>
        <w:pStyle w:val="ParaNumbering"/>
      </w:pPr>
      <w:r>
        <w:t xml:space="preserve">AFCA initially accepted an objection from MetLife that the AFCA </w:t>
      </w:r>
      <w:r w:rsidR="00617DBE">
        <w:t>Rules r</w:t>
      </w:r>
      <w:r>
        <w:t>equired the 2018 Complaint to have been made within two years of Mr Edgecombe ceasing work and it was out of time</w:t>
      </w:r>
      <w:r w:rsidR="00566036">
        <w:t>.</w:t>
      </w:r>
    </w:p>
    <w:p w14:paraId="06B0E689" w14:textId="1E7EFED5" w:rsidR="00AA5E08" w:rsidRDefault="00AA5E08" w:rsidP="00902305">
      <w:pPr>
        <w:pStyle w:val="ParaNumbering"/>
      </w:pPr>
      <w:r>
        <w:t xml:space="preserve">On 12 February 2019, </w:t>
      </w:r>
      <w:r w:rsidR="004A586B">
        <w:t xml:space="preserve">however, </w:t>
      </w:r>
      <w:r>
        <w:t>AFCA wrote to MetLife in the following terms:</w:t>
      </w:r>
    </w:p>
    <w:p w14:paraId="4B88CA12" w14:textId="77777777" w:rsidR="00AA5E08" w:rsidRDefault="00AA5E08" w:rsidP="00AA5E08">
      <w:pPr>
        <w:pStyle w:val="Quote1"/>
      </w:pPr>
      <w:r>
        <w:t>It remains the case that the complaint does not meet the time limits for a Superannuation complaint. However, page 126 of the AFCA Operational Guidelines states that, where a fund member does not meet the AFCA time limits for a Superannuation complaint, AFCA ‘may be able to accept a complaint against the insurer under our general jurisdiction’.</w:t>
      </w:r>
    </w:p>
    <w:p w14:paraId="3ED59F23" w14:textId="72B172DD" w:rsidR="00AA5E08" w:rsidRDefault="00AA5E08" w:rsidP="00566036">
      <w:pPr>
        <w:pStyle w:val="Quote1"/>
      </w:pPr>
      <w:r>
        <w:t xml:space="preserve">AFCA has made the decision to exercise this discretion to accept Mr Edgecombe’s complaint against </w:t>
      </w:r>
      <w:proofErr w:type="spellStart"/>
      <w:r>
        <w:t>Metlife</w:t>
      </w:r>
      <w:proofErr w:type="spellEnd"/>
      <w:r>
        <w:t xml:space="preserve"> in relation to the [PBR Policy], because the complaint is otherwise within our Rules under our general jurisdiction as outlined at B.4.3.1.</w:t>
      </w:r>
      <w:r w:rsidR="0060415C">
        <w:t xml:space="preserve"> </w:t>
      </w:r>
    </w:p>
    <w:p w14:paraId="2446D410" w14:textId="0C37A7D6" w:rsidR="00902305" w:rsidRDefault="00CE04CC" w:rsidP="00902305">
      <w:pPr>
        <w:pStyle w:val="ParaNumbering"/>
      </w:pPr>
      <w:r>
        <w:t xml:space="preserve">On 12 April 2019, </w:t>
      </w:r>
      <w:r w:rsidR="00902305">
        <w:t xml:space="preserve">AFCA </w:t>
      </w:r>
      <w:r>
        <w:t>purported to determine</w:t>
      </w:r>
      <w:r w:rsidR="00902305">
        <w:t xml:space="preserve"> the 2018 Complaint adversely to MetLife</w:t>
      </w:r>
      <w:r>
        <w:t xml:space="preserve"> and stated that the adverse determination had been made under the AFCA Rules</w:t>
      </w:r>
      <w:r w:rsidR="00566036">
        <w:t>.</w:t>
      </w:r>
    </w:p>
    <w:p w14:paraId="4C423531" w14:textId="39F21BB7" w:rsidR="00902305" w:rsidRDefault="00AA5E08" w:rsidP="00902305">
      <w:pPr>
        <w:pStyle w:val="ParaNumbering"/>
      </w:pPr>
      <w:r>
        <w:t>In May 2019</w:t>
      </w:r>
      <w:r w:rsidR="003C7E5B">
        <w:t>,</w:t>
      </w:r>
      <w:r>
        <w:t xml:space="preserve"> </w:t>
      </w:r>
      <w:r w:rsidR="00902305">
        <w:t xml:space="preserve">MetLife </w:t>
      </w:r>
      <w:r>
        <w:t>commenced proceedings in this Court seeking</w:t>
      </w:r>
      <w:r w:rsidR="00902305">
        <w:t xml:space="preserve"> a declaration that AFCA</w:t>
      </w:r>
      <w:r w:rsidR="00566036">
        <w:t>’</w:t>
      </w:r>
      <w:r w:rsidR="00902305">
        <w:t xml:space="preserve">s determination was not binding on MetLife on the basis that AFCA lacked the authority to determine the 2018 Complaint, as it was a </w:t>
      </w:r>
      <w:r w:rsidR="003C7E5B">
        <w:t>“</w:t>
      </w:r>
      <w:r w:rsidR="00902305">
        <w:t>complaint relating to superannuation</w:t>
      </w:r>
      <w:r w:rsidR="003C7E5B">
        <w:t>”</w:t>
      </w:r>
      <w:r w:rsidR="00902305">
        <w:t xml:space="preserve"> within the meaning of s 1053 of the Corporations Act, </w:t>
      </w:r>
      <w:r w:rsidR="00F44800">
        <w:t xml:space="preserve">but it </w:t>
      </w:r>
      <w:r w:rsidR="00902305">
        <w:t xml:space="preserve">did not satisfy any of </w:t>
      </w:r>
      <w:r w:rsidR="00B05326">
        <w:t>sub-</w:t>
      </w:r>
      <w:proofErr w:type="spellStart"/>
      <w:r w:rsidR="00902305">
        <w:t>ss</w:t>
      </w:r>
      <w:proofErr w:type="spellEnd"/>
      <w:r w:rsidR="00902305">
        <w:t xml:space="preserve"> 1053(1)(a)-(j)</w:t>
      </w:r>
      <w:r w:rsidR="00902305" w:rsidRPr="00566036">
        <w:t>.</w:t>
      </w:r>
      <w:r w:rsidR="00902305">
        <w:t xml:space="preserve"> </w:t>
      </w:r>
      <w:r>
        <w:t xml:space="preserve">Mr Edgecombe filed a submitting </w:t>
      </w:r>
      <w:r w:rsidR="00BB2484">
        <w:t>notice</w:t>
      </w:r>
      <w:r w:rsidR="00566036">
        <w:t>.</w:t>
      </w:r>
    </w:p>
    <w:p w14:paraId="22FF684D" w14:textId="181E1912" w:rsidR="00902305" w:rsidRDefault="00902305" w:rsidP="00902305">
      <w:pPr>
        <w:pStyle w:val="ParaNumbering"/>
      </w:pPr>
      <w:r>
        <w:t>AFCA filed a cross-claim seeking specific performance of AFCA</w:t>
      </w:r>
      <w:r w:rsidR="00566036">
        <w:t>’</w:t>
      </w:r>
      <w:r>
        <w:t>s determination of the 2018 Complaint</w:t>
      </w:r>
      <w:r w:rsidR="00566036">
        <w:t>.</w:t>
      </w:r>
    </w:p>
    <w:p w14:paraId="3B512119" w14:textId="615E63D1" w:rsidR="00902305" w:rsidRDefault="00902305" w:rsidP="00902305">
      <w:pPr>
        <w:pStyle w:val="ParaNumbering"/>
      </w:pPr>
      <w:r>
        <w:t>The primary judge ordered that the hearing proceed as a separate question</w:t>
      </w:r>
      <w:r w:rsidR="008B0C7C">
        <w:t>. The order was expressed in the following terms</w:t>
      </w:r>
      <w:r w:rsidR="00566036">
        <w:t>:</w:t>
      </w:r>
    </w:p>
    <w:p w14:paraId="7CC35CD1" w14:textId="306C85A7" w:rsidR="00CE04CC" w:rsidRDefault="00902305" w:rsidP="00566036">
      <w:pPr>
        <w:pStyle w:val="Quote1"/>
      </w:pPr>
      <w:r>
        <w:t>The question whether in the events which have occurred and on the proper construction of the relevant statutory provisions and the AFCA Rules, the first respondent had jurisdiction or authority to make a determination in respect of the complain</w:t>
      </w:r>
      <w:r w:rsidR="008B0C7C">
        <w:t>ts</w:t>
      </w:r>
      <w:r>
        <w:t xml:space="preserve"> 600361 </w:t>
      </w:r>
      <w:r w:rsidR="008B0C7C">
        <w:t>and 507677</w:t>
      </w:r>
      <w:r>
        <w:t xml:space="preserve"> dated 12 April 2019 be separately determined.</w:t>
      </w:r>
    </w:p>
    <w:p w14:paraId="6DCCC9AA" w14:textId="583A2EA6" w:rsidR="008B0C7C" w:rsidRDefault="008B0C7C" w:rsidP="008B0C7C">
      <w:pPr>
        <w:pStyle w:val="ParaNumbering"/>
      </w:pPr>
      <w:r>
        <w:lastRenderedPageBreak/>
        <w:t>Complaint 600361 is the 2018 Complaint. Complaint 507677 is a reference to an earlier complaint that is not the subject of this appeal</w:t>
      </w:r>
      <w:r w:rsidR="00566036">
        <w:t>.</w:t>
      </w:r>
    </w:p>
    <w:p w14:paraId="646175D1" w14:textId="77777777" w:rsidR="00094A6E" w:rsidRPr="005018F1" w:rsidRDefault="00BB4183" w:rsidP="00693F34">
      <w:pPr>
        <w:pStyle w:val="Heading1"/>
      </w:pPr>
      <w:r w:rsidRPr="005018F1">
        <w:t xml:space="preserve">Statutory </w:t>
      </w:r>
      <w:r w:rsidR="00D713CA" w:rsidRPr="005018F1">
        <w:t>p</w:t>
      </w:r>
      <w:r w:rsidR="00094A6E" w:rsidRPr="005018F1">
        <w:t>rovisions</w:t>
      </w:r>
      <w:r w:rsidR="00A167C0" w:rsidRPr="005018F1">
        <w:t xml:space="preserve"> and principles</w:t>
      </w:r>
    </w:p>
    <w:p w14:paraId="09F1C4E5" w14:textId="77777777" w:rsidR="00A167C0" w:rsidRPr="005018F1" w:rsidRDefault="00A167C0" w:rsidP="00A167C0">
      <w:pPr>
        <w:pStyle w:val="Heading2"/>
      </w:pPr>
      <w:r w:rsidRPr="005018F1">
        <w:t>Statutory Construction</w:t>
      </w:r>
    </w:p>
    <w:p w14:paraId="1B1B433C" w14:textId="4224BB47" w:rsidR="00A167C0" w:rsidRPr="005018F1" w:rsidRDefault="00A167C0" w:rsidP="00121369">
      <w:pPr>
        <w:pStyle w:val="ParaNumbering"/>
      </w:pPr>
      <w:r w:rsidRPr="005018F1">
        <w:t xml:space="preserve">The principles of statutory construction </w:t>
      </w:r>
      <w:r w:rsidR="006C1801" w:rsidRPr="005018F1">
        <w:t xml:space="preserve">are well settled and </w:t>
      </w:r>
      <w:r w:rsidRPr="005018F1">
        <w:t>were not in issue</w:t>
      </w:r>
      <w:r w:rsidR="00D020F5" w:rsidRPr="005018F1">
        <w:t xml:space="preserve"> on the appeal</w:t>
      </w:r>
      <w:r w:rsidRPr="005018F1">
        <w:t>.</w:t>
      </w:r>
    </w:p>
    <w:p w14:paraId="3BC4C206" w14:textId="5EE96057" w:rsidR="00721406" w:rsidRPr="005018F1" w:rsidRDefault="00214E99" w:rsidP="007A7B26">
      <w:pPr>
        <w:pStyle w:val="ParaNumbering"/>
        <w:rPr>
          <w:lang w:eastAsia="en-AU"/>
        </w:rPr>
      </w:pPr>
      <w:r w:rsidRPr="005018F1">
        <w:rPr>
          <w:lang w:eastAsia="en-AU"/>
        </w:rPr>
        <w:t>T</w:t>
      </w:r>
      <w:r w:rsidR="00721406" w:rsidRPr="005018F1">
        <w:rPr>
          <w:lang w:eastAsia="en-AU"/>
        </w:rPr>
        <w:t xml:space="preserve">he principles of statutory construction </w:t>
      </w:r>
      <w:r w:rsidRPr="005018F1">
        <w:rPr>
          <w:lang w:eastAsia="en-AU"/>
        </w:rPr>
        <w:t>require</w:t>
      </w:r>
      <w:r w:rsidR="00721406" w:rsidRPr="005018F1">
        <w:rPr>
          <w:lang w:eastAsia="en-AU"/>
        </w:rPr>
        <w:t xml:space="preserve"> a consideration of the statutory text, purpose and </w:t>
      </w:r>
      <w:r w:rsidRPr="005018F1">
        <w:rPr>
          <w:lang w:eastAsia="en-AU"/>
        </w:rPr>
        <w:t>context of the legislative provisions in issue</w:t>
      </w:r>
      <w:r w:rsidR="00721406" w:rsidRPr="005018F1">
        <w:rPr>
          <w:lang w:eastAsia="en-AU"/>
        </w:rPr>
        <w:t>: see </w:t>
      </w:r>
      <w:r w:rsidR="00721406" w:rsidRPr="005018F1">
        <w:rPr>
          <w:rFonts w:ascii="inherit" w:hAnsi="inherit"/>
          <w:i/>
          <w:iCs/>
          <w:bdr w:val="none" w:sz="0" w:space="0" w:color="auto" w:frame="1"/>
          <w:lang w:eastAsia="en-AU"/>
        </w:rPr>
        <w:t xml:space="preserve">Project Blue Sky </w:t>
      </w:r>
      <w:proofErr w:type="spellStart"/>
      <w:r w:rsidR="00721406" w:rsidRPr="005018F1">
        <w:rPr>
          <w:rFonts w:ascii="inherit" w:hAnsi="inherit"/>
          <w:i/>
          <w:iCs/>
          <w:bdr w:val="none" w:sz="0" w:space="0" w:color="auto" w:frame="1"/>
          <w:lang w:eastAsia="en-AU"/>
        </w:rPr>
        <w:t>Inc</w:t>
      </w:r>
      <w:proofErr w:type="spellEnd"/>
      <w:r w:rsidR="005018F1" w:rsidRPr="005018F1">
        <w:rPr>
          <w:rFonts w:ascii="inherit" w:hAnsi="inherit"/>
          <w:i/>
          <w:iCs/>
          <w:bdr w:val="none" w:sz="0" w:space="0" w:color="auto" w:frame="1"/>
          <w:lang w:eastAsia="en-AU"/>
        </w:rPr>
        <w:t xml:space="preserve"> and Others</w:t>
      </w:r>
      <w:r w:rsidR="00721406" w:rsidRPr="005018F1">
        <w:rPr>
          <w:rFonts w:ascii="inherit" w:hAnsi="inherit"/>
          <w:i/>
          <w:iCs/>
          <w:bdr w:val="none" w:sz="0" w:space="0" w:color="auto" w:frame="1"/>
          <w:lang w:eastAsia="en-AU"/>
        </w:rPr>
        <w:t xml:space="preserve"> v Australian Broadcasting Authority</w:t>
      </w:r>
      <w:r w:rsidR="00721406" w:rsidRPr="005018F1">
        <w:rPr>
          <w:lang w:eastAsia="en-AU"/>
        </w:rPr>
        <w:t> </w:t>
      </w:r>
      <w:r w:rsidR="00721406" w:rsidRPr="005018F1">
        <w:rPr>
          <w:bdr w:val="none" w:sz="0" w:space="0" w:color="auto" w:frame="1"/>
          <w:lang w:eastAsia="en-AU"/>
        </w:rPr>
        <w:t>(1998) 194 CLR 355</w:t>
      </w:r>
      <w:r w:rsidR="00721406" w:rsidRPr="005018F1">
        <w:rPr>
          <w:lang w:eastAsia="en-AU"/>
        </w:rPr>
        <w:t>;</w:t>
      </w:r>
      <w:r w:rsidR="005018F1">
        <w:rPr>
          <w:lang w:eastAsia="en-AU"/>
        </w:rPr>
        <w:t xml:space="preserve"> [1998] HCA 28</w:t>
      </w:r>
      <w:r w:rsidR="00721406" w:rsidRPr="005018F1">
        <w:rPr>
          <w:lang w:eastAsia="en-AU"/>
        </w:rPr>
        <w:t xml:space="preserve"> at [69]</w:t>
      </w:r>
      <w:r w:rsidR="00640442">
        <w:rPr>
          <w:lang w:eastAsia="en-AU"/>
        </w:rPr>
        <w:t xml:space="preserve"> (McHugh, </w:t>
      </w:r>
      <w:proofErr w:type="spellStart"/>
      <w:r w:rsidR="00640442">
        <w:rPr>
          <w:lang w:eastAsia="en-AU"/>
        </w:rPr>
        <w:t>Gummow</w:t>
      </w:r>
      <w:proofErr w:type="spellEnd"/>
      <w:r w:rsidR="00640442">
        <w:rPr>
          <w:lang w:eastAsia="en-AU"/>
        </w:rPr>
        <w:t>, Kirby and Hay</w:t>
      </w:r>
      <w:r w:rsidR="007A3CF2">
        <w:rPr>
          <w:lang w:eastAsia="en-AU"/>
        </w:rPr>
        <w:t>do</w:t>
      </w:r>
      <w:r w:rsidR="00640442">
        <w:rPr>
          <w:lang w:eastAsia="en-AU"/>
        </w:rPr>
        <w:t>n JJ)</w:t>
      </w:r>
      <w:r w:rsidR="00721406" w:rsidRPr="005018F1">
        <w:rPr>
          <w:lang w:eastAsia="en-AU"/>
        </w:rPr>
        <w:t>; </w:t>
      </w:r>
      <w:r w:rsidR="00721406" w:rsidRPr="005018F1">
        <w:rPr>
          <w:rFonts w:ascii="inherit" w:hAnsi="inherit"/>
          <w:i/>
          <w:iCs/>
          <w:bdr w:val="none" w:sz="0" w:space="0" w:color="auto" w:frame="1"/>
          <w:lang w:eastAsia="en-AU"/>
        </w:rPr>
        <w:t>Commissioner of Taxation</w:t>
      </w:r>
      <w:r w:rsidR="005018F1">
        <w:rPr>
          <w:rFonts w:ascii="inherit" w:hAnsi="inherit"/>
          <w:i/>
          <w:iCs/>
          <w:bdr w:val="none" w:sz="0" w:space="0" w:color="auto" w:frame="1"/>
          <w:lang w:eastAsia="en-AU"/>
        </w:rPr>
        <w:t xml:space="preserve"> of the Commonwealth of Australia</w:t>
      </w:r>
      <w:r w:rsidR="00721406" w:rsidRPr="005018F1">
        <w:rPr>
          <w:rFonts w:ascii="inherit" w:hAnsi="inherit"/>
          <w:i/>
          <w:iCs/>
          <w:bdr w:val="none" w:sz="0" w:space="0" w:color="auto" w:frame="1"/>
          <w:lang w:eastAsia="en-AU"/>
        </w:rPr>
        <w:t xml:space="preserve"> v Consolidated Media Holdings Ltd</w:t>
      </w:r>
      <w:r w:rsidR="00721406" w:rsidRPr="005018F1">
        <w:rPr>
          <w:lang w:eastAsia="en-AU"/>
        </w:rPr>
        <w:t> </w:t>
      </w:r>
      <w:r w:rsidR="00721406" w:rsidRPr="005018F1">
        <w:rPr>
          <w:bdr w:val="none" w:sz="0" w:space="0" w:color="auto" w:frame="1"/>
          <w:lang w:eastAsia="en-AU"/>
        </w:rPr>
        <w:t>(2012) 250 CLR 503</w:t>
      </w:r>
      <w:r w:rsidR="00721406" w:rsidRPr="005018F1">
        <w:rPr>
          <w:lang w:eastAsia="en-AU"/>
        </w:rPr>
        <w:t>;</w:t>
      </w:r>
      <w:r w:rsidR="005018F1">
        <w:rPr>
          <w:lang w:eastAsia="en-AU"/>
        </w:rPr>
        <w:t xml:space="preserve"> [2012] HCA 55</w:t>
      </w:r>
      <w:r w:rsidR="00721406" w:rsidRPr="005018F1">
        <w:rPr>
          <w:lang w:eastAsia="en-AU"/>
        </w:rPr>
        <w:t> (</w:t>
      </w:r>
      <w:r w:rsidR="00721406" w:rsidRPr="005018F1">
        <w:rPr>
          <w:rFonts w:ascii="inherit" w:hAnsi="inherit"/>
          <w:b/>
          <w:i/>
          <w:iCs/>
          <w:bdr w:val="none" w:sz="0" w:space="0" w:color="auto" w:frame="1"/>
          <w:lang w:eastAsia="en-AU"/>
        </w:rPr>
        <w:t>Consolidated Media Holdings</w:t>
      </w:r>
      <w:r w:rsidR="00721406" w:rsidRPr="005018F1">
        <w:rPr>
          <w:lang w:eastAsia="en-AU"/>
        </w:rPr>
        <w:t>) at [39]</w:t>
      </w:r>
      <w:r w:rsidR="00640442">
        <w:rPr>
          <w:lang w:eastAsia="en-AU"/>
        </w:rPr>
        <w:t xml:space="preserve"> (French CJ, Hayne, </w:t>
      </w:r>
      <w:proofErr w:type="spellStart"/>
      <w:r w:rsidR="00640442">
        <w:rPr>
          <w:lang w:eastAsia="en-AU"/>
        </w:rPr>
        <w:t>Crennan</w:t>
      </w:r>
      <w:proofErr w:type="spellEnd"/>
      <w:r w:rsidR="00640442">
        <w:rPr>
          <w:lang w:eastAsia="en-AU"/>
        </w:rPr>
        <w:t xml:space="preserve">, Bell and </w:t>
      </w:r>
      <w:proofErr w:type="spellStart"/>
      <w:r w:rsidR="00640442">
        <w:rPr>
          <w:lang w:eastAsia="en-AU"/>
        </w:rPr>
        <w:t>Gageler</w:t>
      </w:r>
      <w:proofErr w:type="spellEnd"/>
      <w:r w:rsidR="00640442">
        <w:rPr>
          <w:lang w:eastAsia="en-AU"/>
        </w:rPr>
        <w:t xml:space="preserve"> JJ)</w:t>
      </w:r>
      <w:r w:rsidR="00721406" w:rsidRPr="005018F1">
        <w:rPr>
          <w:lang w:eastAsia="en-AU"/>
        </w:rPr>
        <w:t>; </w:t>
      </w:r>
      <w:r w:rsidR="00721406" w:rsidRPr="005018F1">
        <w:rPr>
          <w:rFonts w:ascii="inherit" w:hAnsi="inherit"/>
          <w:i/>
          <w:iCs/>
          <w:bdr w:val="none" w:sz="0" w:space="0" w:color="auto" w:frame="1"/>
          <w:lang w:eastAsia="en-AU"/>
        </w:rPr>
        <w:t>Thiess v Collector of Customs</w:t>
      </w:r>
      <w:r w:rsidR="00BF49A4">
        <w:rPr>
          <w:rFonts w:ascii="inherit" w:hAnsi="inherit"/>
          <w:i/>
          <w:iCs/>
          <w:bdr w:val="none" w:sz="0" w:space="0" w:color="auto" w:frame="1"/>
          <w:lang w:eastAsia="en-AU"/>
        </w:rPr>
        <w:t xml:space="preserve"> and Others</w:t>
      </w:r>
      <w:r w:rsidR="00721406" w:rsidRPr="005018F1">
        <w:rPr>
          <w:lang w:eastAsia="en-AU"/>
        </w:rPr>
        <w:t> </w:t>
      </w:r>
      <w:r w:rsidR="00721406" w:rsidRPr="005018F1">
        <w:rPr>
          <w:bdr w:val="none" w:sz="0" w:space="0" w:color="auto" w:frame="1"/>
          <w:lang w:eastAsia="en-AU"/>
        </w:rPr>
        <w:t>(2014) 250 CLR 664</w:t>
      </w:r>
      <w:r w:rsidR="00721406" w:rsidRPr="005018F1">
        <w:rPr>
          <w:lang w:eastAsia="en-AU"/>
        </w:rPr>
        <w:t>; </w:t>
      </w:r>
      <w:r w:rsidR="005018F1">
        <w:rPr>
          <w:lang w:eastAsia="en-AU"/>
        </w:rPr>
        <w:t>[2014] HCA 12</w:t>
      </w:r>
      <w:r w:rsidR="00721406" w:rsidRPr="005018F1">
        <w:rPr>
          <w:lang w:eastAsia="en-AU"/>
        </w:rPr>
        <w:t> (</w:t>
      </w:r>
      <w:r w:rsidR="00721406" w:rsidRPr="005018F1">
        <w:rPr>
          <w:rFonts w:ascii="inherit" w:hAnsi="inherit"/>
          <w:b/>
          <w:i/>
          <w:iCs/>
          <w:bdr w:val="none" w:sz="0" w:space="0" w:color="auto" w:frame="1"/>
          <w:lang w:eastAsia="en-AU"/>
        </w:rPr>
        <w:t>Thiess</w:t>
      </w:r>
      <w:r w:rsidR="00721406" w:rsidRPr="005018F1">
        <w:rPr>
          <w:lang w:eastAsia="en-AU"/>
        </w:rPr>
        <w:t>) at [22]</w:t>
      </w:r>
      <w:r w:rsidR="00640442">
        <w:rPr>
          <w:lang w:eastAsia="en-AU"/>
        </w:rPr>
        <w:t>-</w:t>
      </w:r>
      <w:r w:rsidR="00721406" w:rsidRPr="005018F1">
        <w:rPr>
          <w:lang w:eastAsia="en-AU"/>
        </w:rPr>
        <w:t>[23</w:t>
      </w:r>
      <w:r w:rsidR="00BF49A4">
        <w:rPr>
          <w:lang w:eastAsia="en-AU"/>
        </w:rPr>
        <w:t>]</w:t>
      </w:r>
      <w:r w:rsidR="00640442">
        <w:rPr>
          <w:lang w:eastAsia="en-AU"/>
        </w:rPr>
        <w:t xml:space="preserve"> (French CJ, Hayne, </w:t>
      </w:r>
      <w:proofErr w:type="spellStart"/>
      <w:r w:rsidR="00640442">
        <w:rPr>
          <w:lang w:eastAsia="en-AU"/>
        </w:rPr>
        <w:t>Kiefel</w:t>
      </w:r>
      <w:proofErr w:type="spellEnd"/>
      <w:r w:rsidR="00640442">
        <w:rPr>
          <w:lang w:eastAsia="en-AU"/>
        </w:rPr>
        <w:t xml:space="preserve">, </w:t>
      </w:r>
      <w:proofErr w:type="spellStart"/>
      <w:r w:rsidR="00640442">
        <w:rPr>
          <w:lang w:eastAsia="en-AU"/>
        </w:rPr>
        <w:t>Gageler</w:t>
      </w:r>
      <w:proofErr w:type="spellEnd"/>
      <w:r w:rsidR="00640442">
        <w:rPr>
          <w:lang w:eastAsia="en-AU"/>
        </w:rPr>
        <w:t xml:space="preserve"> and Keane JJ)</w:t>
      </w:r>
      <w:r w:rsidR="00721406" w:rsidRPr="005018F1">
        <w:rPr>
          <w:lang w:eastAsia="en-AU"/>
        </w:rPr>
        <w:t>.</w:t>
      </w:r>
      <w:r w:rsidRPr="005018F1">
        <w:rPr>
          <w:lang w:eastAsia="en-AU"/>
        </w:rPr>
        <w:t xml:space="preserve"> </w:t>
      </w:r>
      <w:r w:rsidR="00721406" w:rsidRPr="005018F1">
        <w:rPr>
          <w:lang w:eastAsia="en-AU"/>
        </w:rPr>
        <w:t>It must begin and end</w:t>
      </w:r>
      <w:r w:rsidRPr="005018F1">
        <w:rPr>
          <w:lang w:eastAsia="en-AU"/>
        </w:rPr>
        <w:t>, however,</w:t>
      </w:r>
      <w:r w:rsidR="00721406" w:rsidRPr="005018F1">
        <w:rPr>
          <w:lang w:eastAsia="en-AU"/>
        </w:rPr>
        <w:t xml:space="preserve"> with the statutory text: </w:t>
      </w:r>
      <w:r w:rsidR="00721406" w:rsidRPr="005018F1">
        <w:rPr>
          <w:rFonts w:ascii="inherit" w:hAnsi="inherit"/>
          <w:i/>
          <w:iCs/>
          <w:bdr w:val="none" w:sz="0" w:space="0" w:color="auto" w:frame="1"/>
          <w:lang w:eastAsia="en-AU"/>
        </w:rPr>
        <w:t>Thiess</w:t>
      </w:r>
      <w:r w:rsidR="00721406" w:rsidRPr="005018F1">
        <w:rPr>
          <w:lang w:eastAsia="en-AU"/>
        </w:rPr>
        <w:t> at [22] (quoting </w:t>
      </w:r>
      <w:r w:rsidR="00721406" w:rsidRPr="005018F1">
        <w:rPr>
          <w:rFonts w:ascii="inherit" w:hAnsi="inherit"/>
          <w:i/>
          <w:iCs/>
          <w:bdr w:val="none" w:sz="0" w:space="0" w:color="auto" w:frame="1"/>
          <w:lang w:eastAsia="en-AU"/>
        </w:rPr>
        <w:t>Consolidated Media Holdings</w:t>
      </w:r>
      <w:r w:rsidR="00721406" w:rsidRPr="005018F1">
        <w:rPr>
          <w:lang w:eastAsia="en-AU"/>
        </w:rPr>
        <w:t xml:space="preserve"> at [39]). </w:t>
      </w:r>
    </w:p>
    <w:p w14:paraId="7FEF178E" w14:textId="6DBD44F9" w:rsidR="00A167C0" w:rsidRDefault="00A167C0" w:rsidP="00A167C0">
      <w:pPr>
        <w:pStyle w:val="ParaNumbering"/>
      </w:pPr>
      <w:r>
        <w:t xml:space="preserve">As the primary judge stated at </w:t>
      </w:r>
      <w:r w:rsidR="008B0C7C">
        <w:t xml:space="preserve">J </w:t>
      </w:r>
      <w:r>
        <w:t>[58]</w:t>
      </w:r>
      <w:r w:rsidR="00640442">
        <w:t>,</w:t>
      </w:r>
      <w:r>
        <w:t xml:space="preserve"> the</w:t>
      </w:r>
      <w:r w:rsidR="00640442">
        <w:t xml:space="preserve"> principles of statutory construction</w:t>
      </w:r>
      <w:r>
        <w:t xml:space="preserve"> were recently summarised in </w:t>
      </w:r>
      <w:r w:rsidR="003C7E5B">
        <w:rPr>
          <w:i/>
        </w:rPr>
        <w:t xml:space="preserve">Paula Susan </w:t>
      </w:r>
      <w:r w:rsidRPr="00A167C0">
        <w:rPr>
          <w:i/>
        </w:rPr>
        <w:t xml:space="preserve">Chappell as </w:t>
      </w:r>
      <w:r w:rsidR="0089446F">
        <w:rPr>
          <w:i/>
        </w:rPr>
        <w:t>E</w:t>
      </w:r>
      <w:r w:rsidR="0089446F" w:rsidRPr="00A167C0">
        <w:rPr>
          <w:i/>
        </w:rPr>
        <w:t xml:space="preserve">xecutor </w:t>
      </w:r>
      <w:r w:rsidRPr="00A167C0">
        <w:rPr>
          <w:i/>
        </w:rPr>
        <w:t xml:space="preserve">of the </w:t>
      </w:r>
      <w:r w:rsidR="0089446F">
        <w:rPr>
          <w:i/>
        </w:rPr>
        <w:t>E</w:t>
      </w:r>
      <w:r w:rsidR="0089446F" w:rsidRPr="00A167C0">
        <w:rPr>
          <w:i/>
        </w:rPr>
        <w:t xml:space="preserve">state </w:t>
      </w:r>
      <w:r w:rsidRPr="00A167C0">
        <w:rPr>
          <w:i/>
        </w:rPr>
        <w:t xml:space="preserve">of </w:t>
      </w:r>
      <w:r w:rsidR="003C7E5B">
        <w:rPr>
          <w:i/>
        </w:rPr>
        <w:t xml:space="preserve">Robert Hastings </w:t>
      </w:r>
      <w:r w:rsidRPr="00A167C0">
        <w:rPr>
          <w:i/>
        </w:rPr>
        <w:t xml:space="preserve">Hitchcock v </w:t>
      </w:r>
      <w:proofErr w:type="spellStart"/>
      <w:r w:rsidRPr="00A167C0">
        <w:rPr>
          <w:i/>
        </w:rPr>
        <w:t>Goldspan</w:t>
      </w:r>
      <w:proofErr w:type="spellEnd"/>
      <w:r w:rsidRPr="00A167C0">
        <w:rPr>
          <w:i/>
        </w:rPr>
        <w:t xml:space="preserve"> Investments Pty Ltd</w:t>
      </w:r>
      <w:r w:rsidRPr="00A167C0">
        <w:t xml:space="preserve"> [2021] WASCA 205 at [31]</w:t>
      </w:r>
      <w:r w:rsidR="00640442">
        <w:t>-</w:t>
      </w:r>
      <w:r w:rsidRPr="00A167C0">
        <w:t>[35] (Buss P and Mitchell JA) in the following terms:</w:t>
      </w:r>
      <w:r>
        <w:t xml:space="preserve"> </w:t>
      </w:r>
    </w:p>
    <w:p w14:paraId="12679CB9" w14:textId="5AD72D1F" w:rsidR="00A167C0" w:rsidRDefault="00D208EB" w:rsidP="004D52A8">
      <w:pPr>
        <w:pStyle w:val="Quote1"/>
        <w:ind w:left="1440" w:hanging="703"/>
      </w:pPr>
      <w:r>
        <w:t>31</w:t>
      </w:r>
      <w:r>
        <w:tab/>
      </w:r>
      <w:r>
        <w:tab/>
      </w:r>
      <w:r w:rsidR="00A167C0">
        <w:t>The focus of statutory construction is upon the text of the provisions having regard to their context and purpose.</w:t>
      </w:r>
    </w:p>
    <w:p w14:paraId="2BF41BAE" w14:textId="0BEAE059" w:rsidR="00A167C0" w:rsidRDefault="000C78D5" w:rsidP="004D52A8">
      <w:pPr>
        <w:pStyle w:val="Quote1"/>
        <w:ind w:left="1440" w:hanging="703"/>
      </w:pPr>
      <w:r>
        <w:t>32</w:t>
      </w:r>
      <w:r w:rsidR="00D208EB">
        <w:tab/>
      </w:r>
      <w:r w:rsidR="00D208EB">
        <w:tab/>
      </w:r>
      <w:r w:rsidR="00A167C0">
        <w:t>The statutory text is the surest guide to Parliament’s intention. A decision as to the meaning of the text requires consideration of the context, in its widest sense, including the general purpose and policy of the provision</w:t>
      </w:r>
      <w:r w:rsidR="00D208EB">
        <w:t>.</w:t>
      </w:r>
      <w:r w:rsidR="00A167C0">
        <w:t xml:space="preserve"> …</w:t>
      </w:r>
    </w:p>
    <w:p w14:paraId="4ED6BE13" w14:textId="4CAD60E4" w:rsidR="00A167C0" w:rsidRPr="00763F87" w:rsidRDefault="00D208EB" w:rsidP="004D52A8">
      <w:pPr>
        <w:pStyle w:val="Quote1"/>
        <w:ind w:left="1440" w:hanging="703"/>
        <w:rPr>
          <w:b/>
        </w:rPr>
      </w:pPr>
      <w:r>
        <w:t>33</w:t>
      </w:r>
      <w:r>
        <w:tab/>
      </w:r>
      <w:r>
        <w:tab/>
      </w:r>
      <w:r w:rsidR="00A167C0">
        <w:t xml:space="preserve">The context includes the existing state of the law, the history of the legislative scheme and the mischief to which the statute is directed. See </w:t>
      </w:r>
      <w:r w:rsidR="00A167C0" w:rsidRPr="00640442">
        <w:rPr>
          <w:i/>
        </w:rPr>
        <w:t xml:space="preserve">CIC Insurance Ltd v Bankstown Football Club </w:t>
      </w:r>
      <w:proofErr w:type="gramStart"/>
      <w:r w:rsidR="00A167C0" w:rsidRPr="00640442">
        <w:rPr>
          <w:i/>
        </w:rPr>
        <w:t>Ltd</w:t>
      </w:r>
      <w:r w:rsidR="001D79B5">
        <w:t>(</w:t>
      </w:r>
      <w:proofErr w:type="gramEnd"/>
      <w:r w:rsidR="001D79B5">
        <w:t>1997) 187 CLR 384; 141 ALR 618</w:t>
      </w:r>
      <w:r w:rsidR="00A167C0" w:rsidRPr="00640442">
        <w:t>.</w:t>
      </w:r>
    </w:p>
    <w:p w14:paraId="1F46ACE8" w14:textId="326AEB43" w:rsidR="00A167C0" w:rsidRDefault="00D208EB" w:rsidP="004D52A8">
      <w:pPr>
        <w:pStyle w:val="Quote1"/>
        <w:ind w:left="1440" w:hanging="703"/>
      </w:pPr>
      <w:r>
        <w:t>34</w:t>
      </w:r>
      <w:r>
        <w:tab/>
      </w:r>
      <w:r>
        <w:tab/>
      </w:r>
      <w:r w:rsidR="00A167C0">
        <w:t>However, legislative history and extrinsic materials cannot displace the meaning of statutory text. Further, the examination of legislative history and extrinsic materials is not an end in itself</w:t>
      </w:r>
      <w:r>
        <w:t>.</w:t>
      </w:r>
      <w:r w:rsidR="00A167C0">
        <w:t xml:space="preserve"> …</w:t>
      </w:r>
    </w:p>
    <w:p w14:paraId="30E987AA" w14:textId="12C6EBD1" w:rsidR="00D020F5" w:rsidRDefault="00D208EB" w:rsidP="004D52A8">
      <w:pPr>
        <w:pStyle w:val="Quote1"/>
        <w:ind w:left="1440" w:hanging="703"/>
      </w:pPr>
      <w:r>
        <w:t>35</w:t>
      </w:r>
      <w:r>
        <w:tab/>
      </w:r>
      <w:r>
        <w:tab/>
      </w:r>
      <w:r w:rsidR="00A167C0">
        <w:t>The purpose of legislation must be derived from the statutory text and not from any assumption about the desired or desirable reach or operation of the relevant provisions</w:t>
      </w:r>
      <w:r>
        <w:t>.</w:t>
      </w:r>
      <w:r w:rsidR="00A167C0">
        <w:t xml:space="preserve"> </w:t>
      </w:r>
    </w:p>
    <w:p w14:paraId="7563F720" w14:textId="62352822" w:rsidR="00A167C0" w:rsidRDefault="00A167C0" w:rsidP="00BE0AD8">
      <w:pPr>
        <w:pStyle w:val="Quote1"/>
        <w:ind w:left="1440"/>
      </w:pPr>
      <w:r>
        <w:lastRenderedPageBreak/>
        <w:t xml:space="preserve">… </w:t>
      </w:r>
      <w:r w:rsidR="00D020F5">
        <w:tab/>
      </w:r>
      <w:r>
        <w:t xml:space="preserve">The intended reach of a legislative provision is to be discerned from </w:t>
      </w:r>
      <w:proofErr w:type="gramStart"/>
      <w:r>
        <w:t>the</w:t>
      </w:r>
      <w:proofErr w:type="gramEnd"/>
      <w:r>
        <w:t xml:space="preserve"> words of the provision and not by making an a priori assumption about its purpose</w:t>
      </w:r>
      <w:r w:rsidR="00D208EB">
        <w:t>.</w:t>
      </w:r>
      <w:r>
        <w:t xml:space="preserve"> …</w:t>
      </w:r>
    </w:p>
    <w:p w14:paraId="170C8555" w14:textId="1FF275B8" w:rsidR="00A167C0" w:rsidRDefault="0062454C" w:rsidP="00D208EB">
      <w:pPr>
        <w:pStyle w:val="Quote1"/>
        <w:ind w:firstLine="703"/>
      </w:pPr>
      <w:r>
        <w:t>[Footnotes</w:t>
      </w:r>
      <w:r w:rsidR="00A167C0">
        <w:t xml:space="preserve"> omitted</w:t>
      </w:r>
      <w:r w:rsidR="00D208EB">
        <w:t>.</w:t>
      </w:r>
      <w:r>
        <w:t>]</w:t>
      </w:r>
    </w:p>
    <w:p w14:paraId="5663C759" w14:textId="110C014A" w:rsidR="00A167C0" w:rsidRDefault="00A167C0" w:rsidP="00A167C0">
      <w:pPr>
        <w:pStyle w:val="ParaNumbering"/>
      </w:pPr>
      <w:r>
        <w:t xml:space="preserve">The primary judge also referred to the following </w:t>
      </w:r>
      <w:r w:rsidR="005E20CA">
        <w:t>observations</w:t>
      </w:r>
      <w:r w:rsidR="0060415C">
        <w:t xml:space="preserve"> </w:t>
      </w:r>
      <w:r>
        <w:t xml:space="preserve">by </w:t>
      </w:r>
      <w:proofErr w:type="spellStart"/>
      <w:r>
        <w:t>Kiefel</w:t>
      </w:r>
      <w:proofErr w:type="spellEnd"/>
      <w:r>
        <w:t xml:space="preserve"> CJ, Nettle and Gordon</w:t>
      </w:r>
      <w:r w:rsidR="0060415C">
        <w:t xml:space="preserve"> </w:t>
      </w:r>
      <w:r>
        <w:t xml:space="preserve">JJ in </w:t>
      </w:r>
      <w:r w:rsidRPr="00A167C0">
        <w:rPr>
          <w:i/>
        </w:rPr>
        <w:t>SZTAL v Minister for Immigration &amp; Border Protection</w:t>
      </w:r>
      <w:r w:rsidR="00D208EB">
        <w:rPr>
          <w:i/>
        </w:rPr>
        <w:t xml:space="preserve"> and Another; SZTGM v Minister for Immigration and Border Protection and Another</w:t>
      </w:r>
      <w:r>
        <w:t xml:space="preserve"> </w:t>
      </w:r>
      <w:r w:rsidR="00D208EB">
        <w:t xml:space="preserve">(2017) 262 CLR 362; </w:t>
      </w:r>
      <w:r>
        <w:t xml:space="preserve">[2017] HCA 34 at [14] </w:t>
      </w:r>
      <w:r w:rsidR="00D208EB">
        <w:t xml:space="preserve">of their </w:t>
      </w:r>
      <w:r w:rsidR="00640442">
        <w:t xml:space="preserve">Honours’ </w:t>
      </w:r>
      <w:r w:rsidR="00D208EB">
        <w:t>reasons</w:t>
      </w:r>
      <w:r>
        <w:t>:</w:t>
      </w:r>
    </w:p>
    <w:p w14:paraId="4CE38762" w14:textId="77777777" w:rsidR="00A167C0" w:rsidRDefault="00A167C0" w:rsidP="00A167C0">
      <w:pPr>
        <w:pStyle w:val="Quote1"/>
      </w:pPr>
      <w:r>
        <w:t xml:space="preserve">The starting point for the ascertainment of the meaning of a statutory provision is the text of the statute whilst, at the same time, regard is </w:t>
      </w:r>
      <w:proofErr w:type="spellStart"/>
      <w:r>
        <w:t>had</w:t>
      </w:r>
      <w:proofErr w:type="spellEnd"/>
      <w:r>
        <w:t xml:space="preserve"> to its context and purpose. Context should be regarded at this first stage and not at some later stage and it should be regarded in its widest sense. This is not to deny the importance of the natural and ordinary meaning of a word, namely how it is ordinarily understood in discourse, to the process of construction. Considerations of context and purpose simply recognise that, understood in its statutory, historical or other context, some other meaning of a word may be suggested, and so too, if its ordinary meaning is not consistent with the statutory purpose, that meaning must be rejected.</w:t>
      </w:r>
    </w:p>
    <w:p w14:paraId="4FCDA393" w14:textId="543AA92D" w:rsidR="00A167C0" w:rsidRDefault="009546A5" w:rsidP="00A167C0">
      <w:pPr>
        <w:pStyle w:val="Quote1"/>
      </w:pPr>
      <w:r>
        <w:t>[</w:t>
      </w:r>
      <w:r w:rsidR="00531F7F">
        <w:t xml:space="preserve">Footnotes </w:t>
      </w:r>
      <w:r w:rsidR="00A167C0">
        <w:t>omitted</w:t>
      </w:r>
      <w:r>
        <w:t>.]</w:t>
      </w:r>
    </w:p>
    <w:p w14:paraId="69790667" w14:textId="1920F21D" w:rsidR="00214E99" w:rsidRDefault="00214E99" w:rsidP="00214E99">
      <w:pPr>
        <w:pStyle w:val="ParaNumbering"/>
      </w:pPr>
      <w:r w:rsidRPr="00721406">
        <w:rPr>
          <w:lang w:eastAsia="en-AU"/>
        </w:rPr>
        <w:t xml:space="preserve">The starting point is therefore </w:t>
      </w:r>
      <w:r w:rsidR="006C1801">
        <w:rPr>
          <w:lang w:eastAsia="en-AU"/>
        </w:rPr>
        <w:t>a</w:t>
      </w:r>
      <w:r w:rsidRPr="00721406">
        <w:rPr>
          <w:lang w:eastAsia="en-AU"/>
        </w:rPr>
        <w:t xml:space="preserve"> textual analysis, followed by </w:t>
      </w:r>
      <w:r w:rsidR="006C1801">
        <w:rPr>
          <w:lang w:eastAsia="en-AU"/>
        </w:rPr>
        <w:t>a</w:t>
      </w:r>
      <w:r w:rsidRPr="00721406">
        <w:rPr>
          <w:lang w:eastAsia="en-AU"/>
        </w:rPr>
        <w:t xml:space="preserve"> historical contextual analysis in order to ascertain whether that either confirms or produces any different conclusion to the primary textual analysis.</w:t>
      </w:r>
    </w:p>
    <w:p w14:paraId="4083B2C4" w14:textId="77777777" w:rsidR="00A167C0" w:rsidRDefault="00A167C0" w:rsidP="00A167C0">
      <w:pPr>
        <w:pStyle w:val="Heading2"/>
      </w:pPr>
      <w:r>
        <w:t>Corporations Act</w:t>
      </w:r>
    </w:p>
    <w:p w14:paraId="176DE67E" w14:textId="77777777" w:rsidR="00121369" w:rsidRDefault="00121369" w:rsidP="00121369">
      <w:pPr>
        <w:pStyle w:val="ParaNumbering"/>
      </w:pPr>
      <w:r>
        <w:t>Subject to certain exemptions that are not relevant in the current context, s 911A of the Corporations Act provides that</w:t>
      </w:r>
      <w:r w:rsidRPr="00121369">
        <w:t xml:space="preserve"> </w:t>
      </w:r>
      <w:r>
        <w:t>a person who carries on a financial services business in this jurisdiction must hold an Australian financial services licence (</w:t>
      </w:r>
      <w:r w:rsidRPr="00A156F7">
        <w:rPr>
          <w:b/>
        </w:rPr>
        <w:t>AFSL</w:t>
      </w:r>
      <w:r>
        <w:t xml:space="preserve">) covering the provision of the financial services. </w:t>
      </w:r>
    </w:p>
    <w:p w14:paraId="6E3028B7" w14:textId="149A3F0A" w:rsidR="00902305" w:rsidRDefault="00121369" w:rsidP="00902305">
      <w:pPr>
        <w:pStyle w:val="ParaNumbering"/>
      </w:pPr>
      <w:r>
        <w:t>Section 912A(1)(g) provides that if those financial services are provided to</w:t>
      </w:r>
      <w:r w:rsidR="003D2A58">
        <w:t xml:space="preserve"> persons as</w:t>
      </w:r>
      <w:r>
        <w:t xml:space="preserve"> retail clients</w:t>
      </w:r>
      <w:r w:rsidR="003D2A58">
        <w:t>,</w:t>
      </w:r>
      <w:r>
        <w:t xml:space="preserve"> the holder of the AFSL must have a dispute resolution system that complies with s</w:t>
      </w:r>
      <w:r w:rsidR="00640442">
        <w:t> </w:t>
      </w:r>
      <w:r>
        <w:t xml:space="preserve">912A(2) and </w:t>
      </w:r>
      <w:r w:rsidR="00640442">
        <w:t xml:space="preserve">must </w:t>
      </w:r>
      <w:r>
        <w:t>give ASIC the information specified in any legislative instrument made by ASIC pursuant to s 912A(2A).</w:t>
      </w:r>
    </w:p>
    <w:p w14:paraId="4896F67B" w14:textId="77777777" w:rsidR="00121369" w:rsidRDefault="00121369" w:rsidP="00902305">
      <w:pPr>
        <w:pStyle w:val="ParaNumbering"/>
      </w:pPr>
      <w:r>
        <w:t>Section 912A(2) r</w:t>
      </w:r>
      <w:r w:rsidR="005157F4">
        <w:t>equires that the dispute resolution procedure must consist of:</w:t>
      </w:r>
    </w:p>
    <w:p w14:paraId="627AAC37" w14:textId="7C899A05" w:rsidR="00BB4183" w:rsidRDefault="00A156F7" w:rsidP="00BB4183">
      <w:pPr>
        <w:pStyle w:val="Quote2"/>
      </w:pPr>
      <w:r>
        <w:t xml:space="preserve"> </w:t>
      </w:r>
      <w:r w:rsidR="00BB4183">
        <w:t>(a)</w:t>
      </w:r>
      <w:r w:rsidR="0060415C">
        <w:t xml:space="preserve"> </w:t>
      </w:r>
      <w:r w:rsidR="00BB4183">
        <w:tab/>
        <w:t>an internal dispute resolution procedure that:</w:t>
      </w:r>
    </w:p>
    <w:p w14:paraId="172DAA87" w14:textId="45E6A116" w:rsidR="00BB4183" w:rsidRDefault="00BB4183" w:rsidP="004D52A8">
      <w:pPr>
        <w:pStyle w:val="Quote3"/>
        <w:ind w:left="2880" w:hanging="720"/>
      </w:pPr>
      <w:r>
        <w:t xml:space="preserve"> (i)</w:t>
      </w:r>
      <w:r w:rsidR="0060415C">
        <w:t xml:space="preserve"> </w:t>
      </w:r>
      <w:r>
        <w:tab/>
      </w:r>
      <w:proofErr w:type="gramStart"/>
      <w:r>
        <w:t>complies</w:t>
      </w:r>
      <w:proofErr w:type="gramEnd"/>
      <w:r>
        <w:t xml:space="preserve"> with standards, and requirements, made or approved by ASIC in accordance with regulations made for the purposes </w:t>
      </w:r>
      <w:r>
        <w:lastRenderedPageBreak/>
        <w:t>of this subparagraph; and</w:t>
      </w:r>
    </w:p>
    <w:p w14:paraId="4DF3A9C6" w14:textId="3BBE98CB" w:rsidR="00BB4183" w:rsidRDefault="00BB4183" w:rsidP="004D52A8">
      <w:pPr>
        <w:pStyle w:val="Quote3"/>
        <w:ind w:left="2880" w:hanging="720"/>
      </w:pPr>
      <w:r>
        <w:t>(ii)</w:t>
      </w:r>
      <w:r w:rsidR="0060415C">
        <w:t xml:space="preserve"> </w:t>
      </w:r>
      <w:r>
        <w:tab/>
        <w:t>covers complaints against the licensee made by retail clients in connection with the provision of all financial services covered by the licence; and</w:t>
      </w:r>
    </w:p>
    <w:p w14:paraId="17C4FBA1" w14:textId="19F86862" w:rsidR="005157F4" w:rsidRDefault="00BB4183" w:rsidP="00BB4183">
      <w:pPr>
        <w:pStyle w:val="Quote2"/>
      </w:pPr>
      <w:r>
        <w:t>(c)</w:t>
      </w:r>
      <w:r w:rsidR="0060415C">
        <w:t xml:space="preserve"> </w:t>
      </w:r>
      <w:proofErr w:type="gramStart"/>
      <w:r>
        <w:t>membership</w:t>
      </w:r>
      <w:proofErr w:type="gramEnd"/>
      <w:r>
        <w:t xml:space="preserve"> of the AFCA scheme.</w:t>
      </w:r>
    </w:p>
    <w:p w14:paraId="7AF61C23" w14:textId="76E172D0" w:rsidR="00121369" w:rsidRDefault="005157F4" w:rsidP="00902305">
      <w:pPr>
        <w:pStyle w:val="ParaNumbering"/>
      </w:pPr>
      <w:r>
        <w:t xml:space="preserve">The AFCA </w:t>
      </w:r>
      <w:r w:rsidR="00AD65D5">
        <w:t>S</w:t>
      </w:r>
      <w:r>
        <w:t>cheme is defined in s 761A as the “external dispute resolution scheme for which an authorisation under Part 7.10A is in force”.</w:t>
      </w:r>
    </w:p>
    <w:p w14:paraId="4EA263F3" w14:textId="7C711D39" w:rsidR="005157F4" w:rsidRDefault="005157F4" w:rsidP="00902305">
      <w:pPr>
        <w:pStyle w:val="ParaNumbering"/>
      </w:pPr>
      <w:r>
        <w:t xml:space="preserve">A retail client is defined in </w:t>
      </w:r>
      <w:proofErr w:type="spellStart"/>
      <w:r>
        <w:t>ss</w:t>
      </w:r>
      <w:proofErr w:type="spellEnd"/>
      <w:r>
        <w:t xml:space="preserve"> 761G and 761GA. Section 761G provides that a </w:t>
      </w:r>
      <w:r w:rsidR="00C86C83">
        <w:t>“</w:t>
      </w:r>
      <w:r>
        <w:t xml:space="preserve">financial product or a financial service is provided to a person as a </w:t>
      </w:r>
      <w:r w:rsidRPr="00C86C83">
        <w:rPr>
          <w:b/>
          <w:i/>
        </w:rPr>
        <w:t>retail client</w:t>
      </w:r>
      <w:r>
        <w:t xml:space="preserve"> unless sub</w:t>
      </w:r>
      <w:r w:rsidR="00C86C83">
        <w:t>sections (5), (6), (6A) or (7), or section 761GA, provides otherwise</w:t>
      </w:r>
      <w:r w:rsidR="00640442">
        <w:t>” (emphasis in original)</w:t>
      </w:r>
      <w:r w:rsidR="00C86C83">
        <w:t>.</w:t>
      </w:r>
    </w:p>
    <w:p w14:paraId="46E13738" w14:textId="1A7B158F" w:rsidR="008C702F" w:rsidRDefault="008C702F" w:rsidP="00902305">
      <w:pPr>
        <w:pStyle w:val="ParaNumbering"/>
      </w:pPr>
      <w:r>
        <w:t xml:space="preserve">We turn next to consider the relevant provisions of </w:t>
      </w:r>
      <w:r w:rsidR="00D44E14">
        <w:t xml:space="preserve">Pt </w:t>
      </w:r>
      <w:r>
        <w:t xml:space="preserve">7.10A. </w:t>
      </w:r>
    </w:p>
    <w:p w14:paraId="4910464C" w14:textId="69C939C3" w:rsidR="008C702F" w:rsidRDefault="008C702F" w:rsidP="00902305">
      <w:pPr>
        <w:pStyle w:val="ParaNumbering"/>
      </w:pPr>
      <w:r>
        <w:t>Section 1050(1) provides that the Minister may authorise an external dispute mechanism</w:t>
      </w:r>
      <w:r w:rsidR="008F40C0">
        <w:t xml:space="preserve"> by notifiable instrument</w:t>
      </w:r>
      <w:r>
        <w:t xml:space="preserve"> if the Minister is satisfied that the mandatory requirement of s 1051 </w:t>
      </w:r>
      <w:r w:rsidR="008F40C0">
        <w:t>will be</w:t>
      </w:r>
      <w:r>
        <w:t xml:space="preserve"> met. </w:t>
      </w:r>
    </w:p>
    <w:p w14:paraId="10659B1E" w14:textId="77777777" w:rsidR="008C702F" w:rsidRDefault="008C702F" w:rsidP="00902305">
      <w:pPr>
        <w:pStyle w:val="ParaNumbering"/>
      </w:pPr>
      <w:r>
        <w:t>Section 1050(3) makes clear that only one external dispute resolution scheme can be in force at any one point in time.</w:t>
      </w:r>
    </w:p>
    <w:p w14:paraId="24FC88A5" w14:textId="77777777" w:rsidR="00ED0A13" w:rsidRDefault="00ED0A13" w:rsidP="00902305">
      <w:pPr>
        <w:pStyle w:val="ParaNumbering"/>
      </w:pPr>
      <w:r>
        <w:t>The mandatory requirements for an external dispute resolution scheme are specified in s</w:t>
      </w:r>
      <w:r w:rsidR="008C702F">
        <w:t xml:space="preserve"> 1051</w:t>
      </w:r>
      <w:r>
        <w:t>. They relevantly include the following:</w:t>
      </w:r>
    </w:p>
    <w:p w14:paraId="0712E502" w14:textId="38CA494F" w:rsidR="00ED0A13" w:rsidRDefault="008C702F" w:rsidP="00ED0A13">
      <w:pPr>
        <w:pStyle w:val="ListNo1alt"/>
      </w:pPr>
      <w:r>
        <w:t>membership of an external dispute resolution scheme is open to every entity that is required to be a member of the scheme under a Commonwealth law, an instrument made under such a law or the conditions of a licence or permission issued under such a law</w:t>
      </w:r>
      <w:r w:rsidR="00ED0A13">
        <w:t xml:space="preserve"> (s 1051</w:t>
      </w:r>
      <w:r w:rsidR="009268FC">
        <w:t>(2)(a)</w:t>
      </w:r>
      <w:r w:rsidR="00ED0A13">
        <w:t>);</w:t>
      </w:r>
    </w:p>
    <w:p w14:paraId="7AE820A4" w14:textId="5F6A3625" w:rsidR="00ED0A13" w:rsidRDefault="00ED0A13" w:rsidP="00ED0A13">
      <w:pPr>
        <w:pStyle w:val="ListNo1alt"/>
      </w:pPr>
      <w:r>
        <w:t>the operations of the scheme are to be funded by members of the scheme (s 1051</w:t>
      </w:r>
      <w:r w:rsidR="006E565B">
        <w:t>(2)</w:t>
      </w:r>
      <w:r>
        <w:t>(b));</w:t>
      </w:r>
    </w:p>
    <w:p w14:paraId="36392625" w14:textId="77777777" w:rsidR="00ED0A13" w:rsidRDefault="00ED0A13" w:rsidP="00ED0A13">
      <w:pPr>
        <w:pStyle w:val="ListNo1alt"/>
      </w:pPr>
      <w:r>
        <w:t>determinations under the scheme are binding on members of the scheme but not binding on complainants under the scheme (s 1051</w:t>
      </w:r>
      <w:r w:rsidR="006E565B">
        <w:t>(4)</w:t>
      </w:r>
      <w:r>
        <w:t>(e));</w:t>
      </w:r>
    </w:p>
    <w:p w14:paraId="497928F1" w14:textId="05EB61A4" w:rsidR="00ED0A13" w:rsidRDefault="00ED0A13" w:rsidP="00ED0A13">
      <w:pPr>
        <w:pStyle w:val="ListNo1alt"/>
      </w:pPr>
      <w:r>
        <w:t>for superannuation complaints there is no limit on the value of claims that may be made under the scheme or the value of remedies that may be</w:t>
      </w:r>
      <w:r w:rsidR="00DB72BB">
        <w:t xml:space="preserve"> determined under the scheme (s </w:t>
      </w:r>
      <w:r>
        <w:t>1051</w:t>
      </w:r>
      <w:r w:rsidR="009D3F23">
        <w:t>(4)</w:t>
      </w:r>
      <w:r>
        <w:t>(f));</w:t>
      </w:r>
    </w:p>
    <w:p w14:paraId="482474AD" w14:textId="60112D47" w:rsidR="00947A12" w:rsidRDefault="00ED0A13" w:rsidP="00ED0A13">
      <w:pPr>
        <w:pStyle w:val="ListNo1alt"/>
      </w:pPr>
      <w:r>
        <w:lastRenderedPageBreak/>
        <w:t xml:space="preserve">as the operator of the </w:t>
      </w:r>
      <w:r w:rsidR="00947A12">
        <w:t>scheme, AFCA is to ensure that the scheme complies with the conditions of its authorisation</w:t>
      </w:r>
      <w:r w:rsidR="009D3F23">
        <w:t xml:space="preserve"> under s 1050(5)(b)</w:t>
      </w:r>
      <w:r w:rsidR="00947A12">
        <w:t>, regulatory requirements under s</w:t>
      </w:r>
      <w:r w:rsidR="00640442">
        <w:t> </w:t>
      </w:r>
      <w:r w:rsidR="00947A12">
        <w:t xml:space="preserve">1052A, directions given under </w:t>
      </w:r>
      <w:proofErr w:type="spellStart"/>
      <w:r w:rsidR="00947A12">
        <w:t>ss</w:t>
      </w:r>
      <w:proofErr w:type="spellEnd"/>
      <w:r w:rsidR="00947A12">
        <w:t xml:space="preserve"> 1052B, 1052BA or 1052C and the requirements of s 1052E (s 1051</w:t>
      </w:r>
      <w:r w:rsidR="009D3F23">
        <w:t>(5)</w:t>
      </w:r>
      <w:r w:rsidR="00947A12">
        <w:t>(a));</w:t>
      </w:r>
      <w:r w:rsidR="009D3F23">
        <w:t xml:space="preserve"> and</w:t>
      </w:r>
    </w:p>
    <w:p w14:paraId="399CE37F" w14:textId="13492C12" w:rsidR="008C702F" w:rsidRDefault="00947A12" w:rsidP="00ED0A13">
      <w:pPr>
        <w:pStyle w:val="ListNo1alt"/>
      </w:pPr>
      <w:r>
        <w:t>no material changes are to be made to the scheme without the approval of ASIC under s 1052D (s 1051(5)(b)</w:t>
      </w:r>
      <w:r w:rsidR="00640442">
        <w:t>)</w:t>
      </w:r>
      <w:r>
        <w:t xml:space="preserve">. </w:t>
      </w:r>
    </w:p>
    <w:p w14:paraId="52D04006" w14:textId="77777777" w:rsidR="008C702F" w:rsidRDefault="00ED0A13" w:rsidP="00902305">
      <w:pPr>
        <w:pStyle w:val="ParaNumbering"/>
      </w:pPr>
      <w:r>
        <w:t xml:space="preserve">Section </w:t>
      </w:r>
      <w:r w:rsidR="00947A12">
        <w:t>1053(1) provides:</w:t>
      </w:r>
    </w:p>
    <w:p w14:paraId="1A350B8F" w14:textId="521EC02F" w:rsidR="00BB4183" w:rsidRDefault="00BB4183" w:rsidP="00BB4183">
      <w:pPr>
        <w:pStyle w:val="Quote1"/>
        <w:ind w:left="1440" w:hanging="703"/>
      </w:pPr>
      <w:r>
        <w:t>(1)</w:t>
      </w:r>
      <w:r w:rsidR="0060415C">
        <w:t xml:space="preserve"> </w:t>
      </w:r>
      <w:r>
        <w:tab/>
        <w:t>A person may, subject to section 1056, make a complaint relating to superannuation under the AFCA scheme only if the complaint is a complaint:</w:t>
      </w:r>
    </w:p>
    <w:p w14:paraId="00093D94" w14:textId="00BF9B7A" w:rsidR="00BB4183" w:rsidRDefault="00BB4183" w:rsidP="00BB4183">
      <w:pPr>
        <w:pStyle w:val="Quote2"/>
        <w:ind w:left="2160" w:hanging="720"/>
      </w:pPr>
      <w:r>
        <w:t>(a)</w:t>
      </w:r>
      <w:r w:rsidR="0060415C">
        <w:t xml:space="preserve"> </w:t>
      </w:r>
      <w:r>
        <w:tab/>
        <w:t>that the trustee of a regulated superannuation fund or of an approved deposit fund has made a decision (whether before or after the commencement of this section) relating to:</w:t>
      </w:r>
    </w:p>
    <w:p w14:paraId="7D8BF4F5" w14:textId="51BC46F9" w:rsidR="00BB4183" w:rsidRDefault="00BB4183" w:rsidP="004D52A8">
      <w:pPr>
        <w:pStyle w:val="Quote3"/>
        <w:ind w:left="2880" w:hanging="720"/>
      </w:pPr>
      <w:r>
        <w:t>(i)</w:t>
      </w:r>
      <w:r w:rsidR="0060415C">
        <w:t xml:space="preserve"> </w:t>
      </w:r>
      <w:r>
        <w:tab/>
      </w:r>
      <w:proofErr w:type="gramStart"/>
      <w:r>
        <w:t>a</w:t>
      </w:r>
      <w:proofErr w:type="gramEnd"/>
      <w:r>
        <w:t xml:space="preserve"> particular member or a particular former member of a regulated superannuation fund; or</w:t>
      </w:r>
    </w:p>
    <w:p w14:paraId="7D4162EC" w14:textId="3EFBAC61" w:rsidR="00BB4183" w:rsidRDefault="00BB4183" w:rsidP="004D52A8">
      <w:pPr>
        <w:pStyle w:val="Quote3"/>
        <w:ind w:left="2880" w:hanging="720"/>
      </w:pPr>
      <w:r>
        <w:t>(ii)</w:t>
      </w:r>
      <w:r w:rsidR="0060415C">
        <w:t xml:space="preserve"> </w:t>
      </w:r>
      <w:r>
        <w:tab/>
      </w:r>
      <w:proofErr w:type="gramStart"/>
      <w:r>
        <w:t>a</w:t>
      </w:r>
      <w:proofErr w:type="gramEnd"/>
      <w:r>
        <w:t xml:space="preserve"> particular beneficiary or a particular former beneficiary of an approved deposit fund;</w:t>
      </w:r>
    </w:p>
    <w:p w14:paraId="507CF264" w14:textId="77777777" w:rsidR="00BB4183" w:rsidRDefault="00BB4183" w:rsidP="004D52A8">
      <w:pPr>
        <w:pStyle w:val="Quote3"/>
      </w:pPr>
      <w:proofErr w:type="gramStart"/>
      <w:r>
        <w:t>that</w:t>
      </w:r>
      <w:proofErr w:type="gramEnd"/>
      <w:r>
        <w:t xml:space="preserve"> is or was unfair or unreasonable; or</w:t>
      </w:r>
    </w:p>
    <w:p w14:paraId="646BCD81" w14:textId="5810D616" w:rsidR="00BB4183" w:rsidRDefault="00BB4183" w:rsidP="004D52A8">
      <w:pPr>
        <w:pStyle w:val="Quote2"/>
        <w:ind w:left="2160" w:hanging="720"/>
      </w:pPr>
      <w:r>
        <w:t>(b)</w:t>
      </w:r>
      <w:r w:rsidR="0060415C">
        <w:t xml:space="preserve"> </w:t>
      </w:r>
      <w:r>
        <w:tab/>
        <w:t>that a decision, by a trustee maintaining a life policy that covers a member of a life policy fund, to admit the member to the fund was unfair or unreasonable; or</w:t>
      </w:r>
    </w:p>
    <w:p w14:paraId="16B7AC47" w14:textId="18F1E376" w:rsidR="00BB4183" w:rsidRDefault="00BB4183" w:rsidP="004D52A8">
      <w:pPr>
        <w:pStyle w:val="Quote2"/>
        <w:ind w:left="2160" w:hanging="720"/>
      </w:pPr>
      <w:r>
        <w:t>(c)</w:t>
      </w:r>
      <w:r w:rsidR="0060415C">
        <w:t xml:space="preserve"> </w:t>
      </w:r>
      <w:r>
        <w:tab/>
      </w:r>
      <w:proofErr w:type="gramStart"/>
      <w:r>
        <w:t>that</w:t>
      </w:r>
      <w:proofErr w:type="gramEnd"/>
      <w:r>
        <w:t xml:space="preserve"> the conduct (including any act, omission or representation) of an insurer, or of a representative of an insurer, relating to the sale of an annuity policy was unfair or unreasonable; or</w:t>
      </w:r>
    </w:p>
    <w:p w14:paraId="1F58CE2D" w14:textId="77777777" w:rsidR="00BB4183" w:rsidRDefault="00BB4183" w:rsidP="004D52A8">
      <w:pPr>
        <w:pStyle w:val="Quote2"/>
        <w:ind w:left="2160" w:hanging="720"/>
      </w:pPr>
      <w:r>
        <w:t xml:space="preserve">(d) </w:t>
      </w:r>
      <w:r>
        <w:tab/>
      </w:r>
      <w:proofErr w:type="gramStart"/>
      <w:r>
        <w:t>that</w:t>
      </w:r>
      <w:proofErr w:type="gramEnd"/>
      <w:r>
        <w:t xml:space="preserve"> a decision of an insurer under an annuity policy is or was unfair or unreasonable; or</w:t>
      </w:r>
    </w:p>
    <w:p w14:paraId="2CEA5889" w14:textId="12AFD4B3" w:rsidR="00BB4183" w:rsidRDefault="00BB4183" w:rsidP="004D52A8">
      <w:pPr>
        <w:pStyle w:val="Quote2"/>
        <w:ind w:left="2160" w:hanging="720"/>
      </w:pPr>
      <w:r>
        <w:t>(e)</w:t>
      </w:r>
      <w:r w:rsidR="0060415C">
        <w:t xml:space="preserve"> </w:t>
      </w:r>
      <w:r>
        <w:tab/>
        <w:t>that a decision of a superannuation provider to set out, in a statement to which subsection (2) applies, an amount or amounts in respect of a person was unfair or unreasonable; or</w:t>
      </w:r>
    </w:p>
    <w:p w14:paraId="35533E7C" w14:textId="7E7F9EA8" w:rsidR="00BB4183" w:rsidRDefault="00BB4183" w:rsidP="004D52A8">
      <w:pPr>
        <w:pStyle w:val="Quote2"/>
        <w:ind w:left="2160" w:hanging="720"/>
      </w:pPr>
      <w:r>
        <w:t>(f)</w:t>
      </w:r>
      <w:r w:rsidR="0060415C">
        <w:t xml:space="preserve"> </w:t>
      </w:r>
      <w:r>
        <w:tab/>
      </w:r>
      <w:proofErr w:type="gramStart"/>
      <w:r>
        <w:t>that</w:t>
      </w:r>
      <w:proofErr w:type="gramEnd"/>
      <w:r>
        <w:t xml:space="preserve"> the conduct (including any act, omission or representation) of an RSA provider, or of a representative of an RSA provider, relating to the opening of an RSA was unfair or unreasonable; or</w:t>
      </w:r>
    </w:p>
    <w:p w14:paraId="5590F629" w14:textId="00F685C0" w:rsidR="00BB4183" w:rsidRDefault="00BB4183" w:rsidP="004D52A8">
      <w:pPr>
        <w:pStyle w:val="Quote2"/>
        <w:ind w:left="2160" w:hanging="720"/>
      </w:pPr>
      <w:r>
        <w:t>(g)</w:t>
      </w:r>
      <w:r w:rsidR="0060415C">
        <w:t xml:space="preserve"> </w:t>
      </w:r>
      <w:r>
        <w:tab/>
      </w:r>
      <w:proofErr w:type="gramStart"/>
      <w:r>
        <w:t>that</w:t>
      </w:r>
      <w:proofErr w:type="gramEnd"/>
      <w:r>
        <w:t xml:space="preserve"> a decision of an RSA provider relating to a particular RSA holder or former RSA holder is or was unfair or unreasonable; or</w:t>
      </w:r>
    </w:p>
    <w:p w14:paraId="354057F0" w14:textId="0C75CDD3" w:rsidR="00BB4183" w:rsidRDefault="00BB4183" w:rsidP="004D52A8">
      <w:pPr>
        <w:pStyle w:val="Quote2"/>
        <w:ind w:left="2160" w:hanging="720"/>
      </w:pPr>
      <w:r>
        <w:t>(h)</w:t>
      </w:r>
      <w:r w:rsidR="0060415C">
        <w:t xml:space="preserve"> </w:t>
      </w:r>
      <w:r>
        <w:tab/>
      </w:r>
      <w:proofErr w:type="gramStart"/>
      <w:r>
        <w:t>that</w:t>
      </w:r>
      <w:proofErr w:type="gramEnd"/>
      <w:r>
        <w:t xml:space="preserve"> the conduct (including any act, omission or representation) of an insurer, or of a representative of an insurer, relating to the sale of insurance benefits in relation to a contract of insurance where the premiums are paid from an RSA, was unfair or unreasonable; or</w:t>
      </w:r>
    </w:p>
    <w:p w14:paraId="007A7240" w14:textId="1E65DE8A" w:rsidR="00BB4183" w:rsidRDefault="00BB4183" w:rsidP="004D52A8">
      <w:pPr>
        <w:pStyle w:val="Quote2"/>
        <w:ind w:left="2160" w:hanging="720"/>
      </w:pPr>
      <w:r>
        <w:lastRenderedPageBreak/>
        <w:t>(i)</w:t>
      </w:r>
      <w:r w:rsidR="0060415C">
        <w:t xml:space="preserve"> </w:t>
      </w:r>
      <w:r>
        <w:tab/>
      </w:r>
      <w:proofErr w:type="gramStart"/>
      <w:r>
        <w:t>that</w:t>
      </w:r>
      <w:proofErr w:type="gramEnd"/>
      <w:r>
        <w:t xml:space="preserve"> a decision of an insurer relating to a contract of insurance where the premiums are paid from an RSA is or was unfair or unreasonable; or</w:t>
      </w:r>
    </w:p>
    <w:p w14:paraId="747DAF7A" w14:textId="45170CAB" w:rsidR="00BB4183" w:rsidRDefault="00BB4183" w:rsidP="004D52A8">
      <w:pPr>
        <w:pStyle w:val="Quote2"/>
        <w:ind w:left="2160" w:hanging="720"/>
      </w:pPr>
      <w:r>
        <w:t>(j)</w:t>
      </w:r>
      <w:r w:rsidR="0060415C">
        <w:t xml:space="preserve"> </w:t>
      </w:r>
      <w:r>
        <w:tab/>
      </w:r>
      <w:proofErr w:type="gramStart"/>
      <w:r>
        <w:t>that</w:t>
      </w:r>
      <w:proofErr w:type="gramEnd"/>
      <w:r>
        <w:t xml:space="preserve"> a decision by a death benefit decision‑maker relating to the payment of a death benefit is or was unfair or unreasonable.</w:t>
      </w:r>
    </w:p>
    <w:p w14:paraId="14C1DE4D" w14:textId="77777777" w:rsidR="00BB4183" w:rsidRDefault="00BB4183" w:rsidP="00BB4183">
      <w:pPr>
        <w:pStyle w:val="Quote2"/>
        <w:ind w:left="2880" w:hanging="1440"/>
      </w:pPr>
      <w:r>
        <w:t>Note 1:</w:t>
      </w:r>
      <w:r>
        <w:tab/>
        <w:t>Section 1056 provides further limitations on when a superannuation complaint may be made to AFCA in relation to a decision about the payment of a death benefit.</w:t>
      </w:r>
    </w:p>
    <w:p w14:paraId="6C79DC1A" w14:textId="627C9DF0" w:rsidR="00947A12" w:rsidRDefault="00BB4183" w:rsidP="00BB4183">
      <w:pPr>
        <w:pStyle w:val="Quote2"/>
        <w:ind w:left="2880" w:hanging="1440"/>
      </w:pPr>
      <w:r>
        <w:t>Note 2:</w:t>
      </w:r>
      <w:r w:rsidR="0060415C">
        <w:t xml:space="preserve">  </w:t>
      </w:r>
      <w:r>
        <w:t xml:space="preserve"> </w:t>
      </w:r>
      <w:r>
        <w:tab/>
        <w:t>Certain persons are taken to be members of regulated superannuation funds or approved deposit funds, or holders of RSAs (see section 1053A).</w:t>
      </w:r>
    </w:p>
    <w:p w14:paraId="19FDD120" w14:textId="2241104E" w:rsidR="00947A12" w:rsidRDefault="00695707" w:rsidP="00902305">
      <w:pPr>
        <w:pStyle w:val="ParaNumbering"/>
      </w:pPr>
      <w:r>
        <w:t xml:space="preserve">Section 1053(4) provides </w:t>
      </w:r>
      <w:r w:rsidR="007A3CF2">
        <w:t>that a</w:t>
      </w:r>
      <w:r>
        <w:t xml:space="preserve"> complaint </w:t>
      </w:r>
      <w:r w:rsidR="007A3CF2">
        <w:t xml:space="preserve">is  </w:t>
      </w:r>
      <w:r>
        <w:t xml:space="preserve">not </w:t>
      </w:r>
      <w:r w:rsidR="007A3CF2">
        <w:t xml:space="preserve">a </w:t>
      </w:r>
      <w:r>
        <w:t>superannuation complaint to the extent that it is a complaint that:</w:t>
      </w:r>
    </w:p>
    <w:p w14:paraId="46D2D0FA" w14:textId="4010F373" w:rsidR="00BB4183" w:rsidRDefault="00BB4183" w:rsidP="004D52A8">
      <w:pPr>
        <w:pStyle w:val="Quote1"/>
        <w:ind w:left="1440" w:hanging="703"/>
      </w:pPr>
      <w:r>
        <w:t>(a)</w:t>
      </w:r>
      <w:r w:rsidR="0060415C">
        <w:t xml:space="preserve"> </w:t>
      </w:r>
      <w:r>
        <w:tab/>
      </w:r>
      <w:proofErr w:type="gramStart"/>
      <w:r>
        <w:t>a</w:t>
      </w:r>
      <w:proofErr w:type="gramEnd"/>
      <w:r>
        <w:t xml:space="preserve"> decision made by a trustee of a </w:t>
      </w:r>
      <w:proofErr w:type="spellStart"/>
      <w:r>
        <w:t>self managed</w:t>
      </w:r>
      <w:proofErr w:type="spellEnd"/>
      <w:r>
        <w:t xml:space="preserve"> superannuation fund; or</w:t>
      </w:r>
    </w:p>
    <w:p w14:paraId="20A7D26D" w14:textId="61CA02D6" w:rsidR="00BB4183" w:rsidRDefault="00BB4183" w:rsidP="004D52A8">
      <w:pPr>
        <w:pStyle w:val="Quote1"/>
        <w:ind w:left="1440" w:hanging="703"/>
      </w:pPr>
      <w:r>
        <w:t>(b)</w:t>
      </w:r>
      <w:r w:rsidR="0060415C">
        <w:t xml:space="preserve"> </w:t>
      </w:r>
      <w:r>
        <w:tab/>
        <w:t xml:space="preserve">conduct engaged in by an insurer, or by a representative of an insurer, relating to the sale of an annuity policy maintained, or to be maintained, by a trustee of a </w:t>
      </w:r>
      <w:proofErr w:type="spellStart"/>
      <w:r>
        <w:t>self managed</w:t>
      </w:r>
      <w:proofErr w:type="spellEnd"/>
      <w:r>
        <w:t xml:space="preserve"> superannuation fund on behalf of its members; or</w:t>
      </w:r>
    </w:p>
    <w:p w14:paraId="61405DA3" w14:textId="1DDBAB94" w:rsidR="00BB4183" w:rsidRDefault="00BB4183" w:rsidP="004D52A8">
      <w:pPr>
        <w:pStyle w:val="Quote1"/>
        <w:ind w:left="1440" w:hanging="703"/>
      </w:pPr>
      <w:r>
        <w:t>(c)</w:t>
      </w:r>
      <w:r w:rsidR="0060415C">
        <w:t xml:space="preserve"> </w:t>
      </w:r>
      <w:r>
        <w:tab/>
      </w:r>
      <w:proofErr w:type="gramStart"/>
      <w:r>
        <w:t>a</w:t>
      </w:r>
      <w:proofErr w:type="gramEnd"/>
      <w:r>
        <w:t xml:space="preserve"> decision made by an insurer, or by a representative of an insurer, under an annuity policy maintained by a trustee of a </w:t>
      </w:r>
      <w:proofErr w:type="spellStart"/>
      <w:r>
        <w:t>self managed</w:t>
      </w:r>
      <w:proofErr w:type="spellEnd"/>
      <w:r>
        <w:t xml:space="preserve"> superannuation fund on behalf of its members;</w:t>
      </w:r>
    </w:p>
    <w:p w14:paraId="7D551F56" w14:textId="77777777" w:rsidR="00695707" w:rsidRDefault="00BB4183" w:rsidP="009D3F23">
      <w:pPr>
        <w:pStyle w:val="Quote1"/>
      </w:pPr>
      <w:proofErr w:type="gramStart"/>
      <w:r>
        <w:t>is</w:t>
      </w:r>
      <w:proofErr w:type="gramEnd"/>
      <w:r>
        <w:t xml:space="preserve"> unfair or unreasonable.</w:t>
      </w:r>
    </w:p>
    <w:p w14:paraId="45A02060" w14:textId="080CDDB5" w:rsidR="006B2110" w:rsidRDefault="006B2110" w:rsidP="00902305">
      <w:pPr>
        <w:pStyle w:val="ParaNumbering"/>
      </w:pPr>
      <w:r>
        <w:t xml:space="preserve">AFCA is given the following specific powers in relation to superannuation complaints in </w:t>
      </w:r>
      <w:proofErr w:type="spellStart"/>
      <w:r>
        <w:t>Subdiv</w:t>
      </w:r>
      <w:proofErr w:type="spellEnd"/>
      <w:r>
        <w:t xml:space="preserve"> B of </w:t>
      </w:r>
      <w:proofErr w:type="spellStart"/>
      <w:r>
        <w:t>Div</w:t>
      </w:r>
      <w:proofErr w:type="spellEnd"/>
      <w:r>
        <w:t xml:space="preserve"> 3 of Pt 7.10A:</w:t>
      </w:r>
    </w:p>
    <w:p w14:paraId="2B06DFB6" w14:textId="0A1C3786" w:rsidR="006B2110" w:rsidRDefault="00695707" w:rsidP="00094A6E">
      <w:pPr>
        <w:pStyle w:val="ListNo1alt"/>
        <w:numPr>
          <w:ilvl w:val="0"/>
          <w:numId w:val="31"/>
        </w:numPr>
      </w:pPr>
      <w:r>
        <w:t xml:space="preserve">AFCA </w:t>
      </w:r>
      <w:r w:rsidR="006B2110">
        <w:t>may</w:t>
      </w:r>
      <w:r>
        <w:t xml:space="preserve"> join various specified persons to a superannuation complaint</w:t>
      </w:r>
      <w:r w:rsidR="00640442">
        <w:t>,</w:t>
      </w:r>
      <w:r>
        <w:t xml:space="preserve"> including an insurer</w:t>
      </w:r>
      <w:r w:rsidR="006B2110">
        <w:t xml:space="preserve"> (s 1054);</w:t>
      </w:r>
    </w:p>
    <w:p w14:paraId="41C124FB" w14:textId="77777777" w:rsidR="00695707" w:rsidRDefault="003605FB" w:rsidP="004D52A8">
      <w:pPr>
        <w:pStyle w:val="ListNo1alt"/>
        <w:numPr>
          <w:ilvl w:val="0"/>
          <w:numId w:val="31"/>
        </w:numPr>
      </w:pPr>
      <w:r>
        <w:t>AFCA may require any person to provide information and documents relevant to a superannuation complaint, if it has reason to believe the person is capable of providing such information or documents (s 105</w:t>
      </w:r>
      <w:r w:rsidR="007124A6">
        <w:t>4A);</w:t>
      </w:r>
    </w:p>
    <w:p w14:paraId="29B47F30" w14:textId="70A21316" w:rsidR="007124A6" w:rsidRDefault="007124A6" w:rsidP="004D52A8">
      <w:pPr>
        <w:pStyle w:val="ListNo1alt"/>
        <w:numPr>
          <w:ilvl w:val="0"/>
          <w:numId w:val="31"/>
        </w:numPr>
      </w:pPr>
      <w:r>
        <w:t xml:space="preserve">AFCA may require any person to attend a conciliation conference if </w:t>
      </w:r>
      <w:r w:rsidR="009A1DEF">
        <w:t xml:space="preserve">it </w:t>
      </w:r>
      <w:r>
        <w:t xml:space="preserve">considers the person is likely to be able to provide information relevant to a settlement of a complaint or believes </w:t>
      </w:r>
      <w:r w:rsidR="009A1DEF">
        <w:t xml:space="preserve">that person’s </w:t>
      </w:r>
      <w:r>
        <w:t>presence is likely to be conducive to settling the complaint (s</w:t>
      </w:r>
      <w:r w:rsidR="00640442">
        <w:t> </w:t>
      </w:r>
      <w:r>
        <w:t>1054B)</w:t>
      </w:r>
      <w:r w:rsidR="00094A6E">
        <w:t>;</w:t>
      </w:r>
    </w:p>
    <w:p w14:paraId="0C800B4A" w14:textId="77777777" w:rsidR="00094A6E" w:rsidRDefault="00094A6E" w:rsidP="004D52A8">
      <w:pPr>
        <w:pStyle w:val="ListNo1alt"/>
        <w:numPr>
          <w:ilvl w:val="0"/>
          <w:numId w:val="31"/>
        </w:numPr>
      </w:pPr>
      <w:r>
        <w:t>AFCA may</w:t>
      </w:r>
      <w:r w:rsidR="009A1DEF">
        <w:t>,</w:t>
      </w:r>
      <w:r>
        <w:t xml:space="preserve"> in the course of determining a superannuation complaint</w:t>
      </w:r>
      <w:r w:rsidR="009A1DEF">
        <w:t>,</w:t>
      </w:r>
      <w:r>
        <w:t xml:space="preserve"> give directions prohibiting or restricting the disclosure of documents or information relating to a </w:t>
      </w:r>
      <w:r>
        <w:lastRenderedPageBreak/>
        <w:t>complaint and who may be present at any meeting relating to a complaint</w:t>
      </w:r>
      <w:r w:rsidR="00A66B9F">
        <w:t xml:space="preserve"> (s 10</w:t>
      </w:r>
      <w:r w:rsidR="00997E2C">
        <w:t>54BA);</w:t>
      </w:r>
      <w:r w:rsidR="009A1DEF">
        <w:t xml:space="preserve"> and</w:t>
      </w:r>
    </w:p>
    <w:p w14:paraId="273DC7DD" w14:textId="14C324E3" w:rsidR="00997E2C" w:rsidRDefault="00997E2C" w:rsidP="004D52A8">
      <w:pPr>
        <w:pStyle w:val="ListNo1alt"/>
        <w:numPr>
          <w:ilvl w:val="0"/>
          <w:numId w:val="31"/>
        </w:numPr>
      </w:pPr>
      <w:r>
        <w:t>AFCA may refer, on its own initiative or on the request of a party to the superannuation complaint, a question of law for determination by the Federal Court for decision (s</w:t>
      </w:r>
      <w:r w:rsidR="00640442">
        <w:t> </w:t>
      </w:r>
      <w:r>
        <w:t>1054C)</w:t>
      </w:r>
      <w:r w:rsidR="006526A4">
        <w:t>)</w:t>
      </w:r>
      <w:r w:rsidR="009A1DEF">
        <w:t>.</w:t>
      </w:r>
    </w:p>
    <w:p w14:paraId="082922AF" w14:textId="67A8BDDC" w:rsidR="006526A4" w:rsidRDefault="006B2110" w:rsidP="00902305">
      <w:pPr>
        <w:pStyle w:val="ParaNumbering"/>
      </w:pPr>
      <w:r>
        <w:t>Section 105</w:t>
      </w:r>
      <w:r w:rsidR="006526A4">
        <w:t xml:space="preserve">5 confers on </w:t>
      </w:r>
      <w:r>
        <w:t>AFCA</w:t>
      </w:r>
      <w:r w:rsidR="006526A4">
        <w:t>,</w:t>
      </w:r>
      <w:r w:rsidR="006526A4" w:rsidRPr="006526A4">
        <w:t xml:space="preserve"> </w:t>
      </w:r>
      <w:r w:rsidR="006526A4">
        <w:t>in making a determination of a superannuation complaint,</w:t>
      </w:r>
      <w:r>
        <w:t xml:space="preserve"> </w:t>
      </w:r>
      <w:r w:rsidR="006526A4">
        <w:t xml:space="preserve">all the powers, obligations and discretions that are conferred on the trustee, insurer, RSA provider or other person who made a decision, or </w:t>
      </w:r>
      <w:r w:rsidR="00267B61">
        <w:t xml:space="preserve">engaged </w:t>
      </w:r>
      <w:r w:rsidR="006526A4">
        <w:t>in conduct, to which the compl</w:t>
      </w:r>
      <w:r w:rsidR="00267B61">
        <w:t>ain</w:t>
      </w:r>
      <w:r w:rsidR="006526A4">
        <w:t>t relates.</w:t>
      </w:r>
      <w:r>
        <w:t xml:space="preserve"> </w:t>
      </w:r>
    </w:p>
    <w:p w14:paraId="2D244C4C" w14:textId="77777777" w:rsidR="008D162A" w:rsidRDefault="006526A4" w:rsidP="00902305">
      <w:pPr>
        <w:pStyle w:val="ParaNumbering"/>
      </w:pPr>
      <w:r>
        <w:t xml:space="preserve">Section 1057 provides that a party to a superannuation complaint may appeal </w:t>
      </w:r>
      <w:r w:rsidR="00267B61">
        <w:t xml:space="preserve">on </w:t>
      </w:r>
      <w:r>
        <w:t xml:space="preserve">a question of law to the Federal Court </w:t>
      </w:r>
      <w:r w:rsidR="008D162A">
        <w:t>from AFCA’s determination of the complaint.</w:t>
      </w:r>
    </w:p>
    <w:p w14:paraId="448983E6" w14:textId="6AC1F9C8" w:rsidR="00A167C0" w:rsidRDefault="00A167C0" w:rsidP="00A167C0">
      <w:pPr>
        <w:pStyle w:val="Heading1"/>
      </w:pPr>
      <w:r>
        <w:t>Decision of the Primary Judge</w:t>
      </w:r>
    </w:p>
    <w:p w14:paraId="1307279E" w14:textId="4D9ABC0F" w:rsidR="00A167C0" w:rsidRDefault="00A167C0" w:rsidP="00956873">
      <w:pPr>
        <w:pStyle w:val="ParaNumbering"/>
      </w:pPr>
      <w:r>
        <w:t xml:space="preserve">The primary judge noted at J [49] that there was no dispute between the parties that the 2018 Complaint was not a complaint of a kind listed in </w:t>
      </w:r>
      <w:r w:rsidR="00B05326">
        <w:t>sub-</w:t>
      </w:r>
      <w:proofErr w:type="spellStart"/>
      <w:r>
        <w:t>s</w:t>
      </w:r>
      <w:r w:rsidR="00640442">
        <w:t>s</w:t>
      </w:r>
      <w:proofErr w:type="spellEnd"/>
      <w:r>
        <w:t xml:space="preserve"> 1053(1)(a)</w:t>
      </w:r>
      <w:r w:rsidR="00640442">
        <w:t>-</w:t>
      </w:r>
      <w:r>
        <w:t xml:space="preserve">(j). </w:t>
      </w:r>
      <w:r w:rsidR="00233DB9">
        <w:t xml:space="preserve">But there was a </w:t>
      </w:r>
      <w:r>
        <w:t xml:space="preserve">dispute </w:t>
      </w:r>
      <w:r w:rsidR="00233DB9">
        <w:t xml:space="preserve">about </w:t>
      </w:r>
      <w:r>
        <w:t>whether the 2018 Complaint was a complaint relating to superannuation for the purposes of s 1053(1).</w:t>
      </w:r>
      <w:r w:rsidR="00233DB9">
        <w:t xml:space="preserve">  </w:t>
      </w:r>
      <w:r>
        <w:t>The primary judge observed at J [49] that AFCA maintained</w:t>
      </w:r>
      <w:r w:rsidR="00847C58">
        <w:t>,</w:t>
      </w:r>
      <w:r>
        <w:t xml:space="preserve"> in the alternative, that the 2018 Complaint was not a </w:t>
      </w:r>
      <w:r w:rsidR="00B05B9B">
        <w:t>“</w:t>
      </w:r>
      <w:r w:rsidR="00784416">
        <w:t xml:space="preserve">complaint relating to </w:t>
      </w:r>
      <w:r>
        <w:t>superannuation</w:t>
      </w:r>
      <w:r w:rsidR="00B05B9B">
        <w:t>”</w:t>
      </w:r>
      <w:r>
        <w:t xml:space="preserve"> because it was a complaint against MetLife, as an insurer, in respect of the beneficial interest that Mr Edgecombe was alleged to have in </w:t>
      </w:r>
      <w:r w:rsidR="00FB2FC0">
        <w:t xml:space="preserve">a policy that </w:t>
      </w:r>
      <w:r>
        <w:t>the</w:t>
      </w:r>
      <w:r w:rsidR="00FB2FC0">
        <w:t xml:space="preserve"> parties had referred to as the</w:t>
      </w:r>
      <w:r>
        <w:t xml:space="preserve"> </w:t>
      </w:r>
      <w:r w:rsidR="00847C58">
        <w:t>“</w:t>
      </w:r>
      <w:r>
        <w:t>FSS Policy</w:t>
      </w:r>
      <w:r w:rsidR="00847C58">
        <w:t>”</w:t>
      </w:r>
      <w:r>
        <w:t>.</w:t>
      </w:r>
      <w:r w:rsidR="0060415C">
        <w:t xml:space="preserve"> </w:t>
      </w:r>
      <w:r>
        <w:t>His Honour noted that AFCA therefore submitted that even if MetLife succeeded in its construction of s</w:t>
      </w:r>
      <w:r w:rsidR="00640442">
        <w:t> </w:t>
      </w:r>
      <w:r>
        <w:t xml:space="preserve">1053, the 2018 Complaint could be dealt with as a </w:t>
      </w:r>
      <w:r w:rsidR="00784416">
        <w:t>“</w:t>
      </w:r>
      <w:r>
        <w:t>non-superannuation complaint</w:t>
      </w:r>
      <w:r w:rsidR="00784416">
        <w:t>”</w:t>
      </w:r>
      <w:r>
        <w:t xml:space="preserve"> under the AFCA </w:t>
      </w:r>
      <w:r w:rsidR="00617DBE">
        <w:t>Rules</w:t>
      </w:r>
      <w:r>
        <w:t>.</w:t>
      </w:r>
    </w:p>
    <w:p w14:paraId="148798B1" w14:textId="04598040" w:rsidR="00A167C0" w:rsidRDefault="00A167C0" w:rsidP="00A167C0">
      <w:pPr>
        <w:pStyle w:val="ParaNumbering"/>
      </w:pPr>
      <w:r>
        <w:t xml:space="preserve">The primary judge noted at J [50] that </w:t>
      </w:r>
      <w:r w:rsidR="00784416">
        <w:t>r</w:t>
      </w:r>
      <w:r>
        <w:t xml:space="preserve"> B.2</w:t>
      </w:r>
      <w:r w:rsidR="007A3CF2">
        <w:t xml:space="preserve"> of the AFCA Rules</w:t>
      </w:r>
      <w:r w:rsidR="00142EDD">
        <w:t xml:space="preserve"> </w:t>
      </w:r>
      <w:r>
        <w:t>dealt with complaints “other than a Superannuation Complaint” and r B.2.1(e)(i) provided:</w:t>
      </w:r>
    </w:p>
    <w:p w14:paraId="30F96BEF" w14:textId="524274D9" w:rsidR="00A167C0" w:rsidRDefault="00A167C0" w:rsidP="00A167C0">
      <w:pPr>
        <w:pStyle w:val="Quote1"/>
      </w:pPr>
      <w:r w:rsidRPr="0086443A">
        <w:t>A complaint (other than a Superannuation Complaint) must arise from or relate to … a legal or beneficial interest of the Complainant arising out of … a financial investment (such as life insurance, a security or an interest in a managed investment scheme or a superannuation fund).</w:t>
      </w:r>
    </w:p>
    <w:p w14:paraId="6BAE7B0D" w14:textId="2D253600" w:rsidR="00A167C0" w:rsidRDefault="00A167C0" w:rsidP="00A167C0">
      <w:pPr>
        <w:pStyle w:val="ParaNumbering"/>
      </w:pPr>
      <w:r>
        <w:t>His Honour then observed at J [51] that the term “Superannuation Complaint” was defined in r E.1 in the following terms:</w:t>
      </w:r>
    </w:p>
    <w:p w14:paraId="1FB389A7" w14:textId="695B2729" w:rsidR="00A167C0" w:rsidRDefault="00A167C0" w:rsidP="00A167C0">
      <w:pPr>
        <w:pStyle w:val="Quote1"/>
      </w:pPr>
      <w:r>
        <w:t>Superannuation Complaint has the meaning set out in section 1053 of the Corporations Act.</w:t>
      </w:r>
    </w:p>
    <w:p w14:paraId="45B47CBF" w14:textId="77777777" w:rsidR="00A167C0" w:rsidRDefault="00A167C0" w:rsidP="00A167C0">
      <w:pPr>
        <w:pStyle w:val="Quote1"/>
      </w:pPr>
      <w:r>
        <w:lastRenderedPageBreak/>
        <w:t>Accordingly:</w:t>
      </w:r>
    </w:p>
    <w:p w14:paraId="38228441" w14:textId="77777777" w:rsidR="00A167C0" w:rsidRDefault="00A167C0" w:rsidP="00A167C0">
      <w:pPr>
        <w:pStyle w:val="Quote1"/>
        <w:ind w:left="1440" w:hanging="703"/>
      </w:pPr>
      <w:r>
        <w:t>a)</w:t>
      </w:r>
      <w:r>
        <w:tab/>
        <w:t>a complaint about an insurer’s decision under an insurance policy held by the trustee of a Regulated Superannuation Fund or an Approved Deposit Fund will:</w:t>
      </w:r>
    </w:p>
    <w:p w14:paraId="1F38756D" w14:textId="77777777" w:rsidR="00A167C0" w:rsidRDefault="00A167C0" w:rsidP="004D52A8">
      <w:pPr>
        <w:pStyle w:val="Quote2"/>
        <w:ind w:left="2160" w:hanging="720"/>
      </w:pPr>
      <w:r>
        <w:t>(i)</w:t>
      </w:r>
      <w:r>
        <w:tab/>
      </w:r>
      <w:proofErr w:type="gramStart"/>
      <w:r>
        <w:t>if</w:t>
      </w:r>
      <w:proofErr w:type="gramEnd"/>
      <w:r>
        <w:t xml:space="preserve"> all of the time limits in rule B.4.1.1 have been met, be considered as a Superannuation Complaint, by joining the insurer to a complaint against the trustee’s decision;</w:t>
      </w:r>
    </w:p>
    <w:p w14:paraId="53FD98D5" w14:textId="77777777" w:rsidR="00A167C0" w:rsidRDefault="00A167C0" w:rsidP="004D52A8">
      <w:pPr>
        <w:pStyle w:val="Quote2"/>
        <w:ind w:left="2160" w:hanging="720"/>
      </w:pPr>
      <w:r>
        <w:t>(ii)</w:t>
      </w:r>
      <w:r>
        <w:tab/>
      </w:r>
      <w:proofErr w:type="gramStart"/>
      <w:r>
        <w:t>otherwise</w:t>
      </w:r>
      <w:proofErr w:type="gramEnd"/>
      <w:r>
        <w:t>, be considered as a non-superannuation complaint against the insurer; and</w:t>
      </w:r>
    </w:p>
    <w:p w14:paraId="42DD1319" w14:textId="77777777" w:rsidR="00A167C0" w:rsidRDefault="00A167C0" w:rsidP="00A167C0">
      <w:pPr>
        <w:pStyle w:val="Quote1"/>
        <w:ind w:left="1440" w:hanging="703"/>
      </w:pPr>
      <w:r>
        <w:t>b)</w:t>
      </w:r>
      <w:r>
        <w:tab/>
      </w:r>
      <w:proofErr w:type="gramStart"/>
      <w:r>
        <w:t>a</w:t>
      </w:r>
      <w:proofErr w:type="gramEnd"/>
      <w:r>
        <w:t xml:space="preserve"> complaint about financial product advice relating to superannuation is not a Superannuation Complaint unless it is provided by:</w:t>
      </w:r>
    </w:p>
    <w:p w14:paraId="36327941" w14:textId="77777777" w:rsidR="00A167C0" w:rsidRDefault="00A167C0" w:rsidP="004D52A8">
      <w:pPr>
        <w:pStyle w:val="Quote2"/>
        <w:ind w:left="2160" w:hanging="720"/>
      </w:pPr>
      <w:r>
        <w:t>(i)</w:t>
      </w:r>
      <w:r>
        <w:tab/>
        <w:t>the trustee of a Regulated Superannuation Fund or Approved Deposit Fund, an RSA provider or a life company as issuer of an Annuity Policy (superannuation provider); or</w:t>
      </w:r>
    </w:p>
    <w:p w14:paraId="49627DEA" w14:textId="77777777" w:rsidR="00A167C0" w:rsidRDefault="00A167C0" w:rsidP="004D52A8">
      <w:pPr>
        <w:pStyle w:val="Quote2"/>
        <w:ind w:left="2160" w:hanging="720"/>
      </w:pPr>
      <w:r>
        <w:t>(ii)</w:t>
      </w:r>
      <w:r>
        <w:tab/>
        <w:t>an employee or representative of a superannuation provider under the superannuation provider’s licence, to a member of the Regulated Superannuation Fund, a beneficiary of the Approved Deposit Fund, a holder of the RSA or a person with an interest in the Annuity Policy.</w:t>
      </w:r>
    </w:p>
    <w:p w14:paraId="628568E6" w14:textId="68FA4AA0" w:rsidR="00A167C0" w:rsidRDefault="00A167C0" w:rsidP="00A167C0">
      <w:pPr>
        <w:pStyle w:val="Quote1"/>
      </w:pPr>
      <w:r>
        <w:t>Otherwise a complaint about financial product advice relating to superannuation will be considered as a non-superannuation complaint against the Financial Firm providing the advice.</w:t>
      </w:r>
    </w:p>
    <w:p w14:paraId="3316392A" w14:textId="17B9EF30" w:rsidR="00A167C0" w:rsidRDefault="00A167C0" w:rsidP="00A167C0">
      <w:pPr>
        <w:pStyle w:val="ParaNumbering"/>
      </w:pPr>
      <w:r>
        <w:t>The primary judge observed at J [53] that an unusual consequence of para</w:t>
      </w:r>
      <w:r w:rsidR="003E6467">
        <w:t>graph</w:t>
      </w:r>
      <w:r>
        <w:t xml:space="preserve"> (a)(ii) of the definition of a Superannuation Complaint was that if any complaint was made against an insurer in a similar form to that advance</w:t>
      </w:r>
      <w:r w:rsidR="00BB2484">
        <w:t>d</w:t>
      </w:r>
      <w:r>
        <w:t xml:space="preserve"> in the 2018 Complaint, it would be treated as a superannuation </w:t>
      </w:r>
      <w:r w:rsidR="00267B61">
        <w:t xml:space="preserve">complaint </w:t>
      </w:r>
      <w:r>
        <w:t xml:space="preserve">if made within time but, if not, it could be advanced as a non-superannuation complaint. </w:t>
      </w:r>
    </w:p>
    <w:p w14:paraId="769BD287" w14:textId="650DCA31" w:rsidR="00A167C0" w:rsidRDefault="00A167C0" w:rsidP="00A167C0">
      <w:pPr>
        <w:pStyle w:val="ParaNumbering"/>
      </w:pPr>
      <w:r>
        <w:t>In this context we note that r B.4.1.1 impose</w:t>
      </w:r>
      <w:r w:rsidR="00BB2484">
        <w:t>s</w:t>
      </w:r>
      <w:r>
        <w:t xml:space="preserve"> a two year time limit for superannuation complaints that</w:t>
      </w:r>
      <w:r w:rsidR="00BB2484">
        <w:t>,</w:t>
      </w:r>
      <w:r>
        <w:t xml:space="preserve"> by reason of r B.4.4.1</w:t>
      </w:r>
      <w:r w:rsidR="00BB2484">
        <w:t>,</w:t>
      </w:r>
      <w:r>
        <w:t xml:space="preserve"> was not capable of being extended. </w:t>
      </w:r>
    </w:p>
    <w:p w14:paraId="52E86FD1" w14:textId="7A6C5401" w:rsidR="00A167C0" w:rsidRDefault="00A167C0" w:rsidP="00A167C0">
      <w:pPr>
        <w:pStyle w:val="ParaNumbering"/>
      </w:pPr>
      <w:r>
        <w:t>The primary judge then explained at J [55] that</w:t>
      </w:r>
      <w:r w:rsidR="00630B4F">
        <w:t>,</w:t>
      </w:r>
      <w:r>
        <w:t xml:space="preserve"> by reason of MetLife’s contention that it was inappropriate of AFCA as an independent decision maker to be seeking to advance further defences, including estoppel and acquiescence, and the submitting </w:t>
      </w:r>
      <w:r w:rsidR="00BB2484">
        <w:t xml:space="preserve">notice </w:t>
      </w:r>
      <w:r>
        <w:t xml:space="preserve">of Mr Edgecombe </w:t>
      </w:r>
      <w:r w:rsidR="00B05B9B">
        <w:t xml:space="preserve">filed </w:t>
      </w:r>
      <w:r>
        <w:t>in the expectation that those defences would be advanced, that the matter would proceed by way of a determination of the following separate question:</w:t>
      </w:r>
    </w:p>
    <w:p w14:paraId="3A16789F" w14:textId="317C754A" w:rsidR="00A167C0" w:rsidRDefault="00A167C0" w:rsidP="00A167C0">
      <w:pPr>
        <w:pStyle w:val="Quote1"/>
      </w:pPr>
      <w:r w:rsidRPr="00C428B6">
        <w:t>The question whether in the events which have occurred and on the proper construction of the relevant statutory provisions and the AFCA Rules, the first respondent had jurisdiction or authority to make a determination in respect of the complaints 600,361 and 507677 each dated 12 April 2019 be separately determined.</w:t>
      </w:r>
    </w:p>
    <w:p w14:paraId="0B1E417C" w14:textId="0EAC582D" w:rsidR="00A167C0" w:rsidRDefault="00A167C0" w:rsidP="00A167C0">
      <w:pPr>
        <w:pStyle w:val="ParaNumbering"/>
      </w:pPr>
      <w:r>
        <w:lastRenderedPageBreak/>
        <w:t>Complaint 600361 is the 2018 Complaint.</w:t>
      </w:r>
    </w:p>
    <w:p w14:paraId="22C2DDBB" w14:textId="77777777" w:rsidR="00A167C0" w:rsidRDefault="00A167C0" w:rsidP="00A167C0">
      <w:pPr>
        <w:pStyle w:val="ParaNumbering"/>
      </w:pPr>
      <w:r>
        <w:t>The primary judge stated at J [57] that the separate question gave rise to the following issues for determination with respect to the 2018 Complaint:</w:t>
      </w:r>
    </w:p>
    <w:p w14:paraId="28C124CE" w14:textId="77777777" w:rsidR="00A167C0" w:rsidRDefault="00A167C0" w:rsidP="004D52A8">
      <w:pPr>
        <w:pStyle w:val="Quote1"/>
        <w:ind w:left="1440" w:hanging="703"/>
      </w:pPr>
      <w:r>
        <w:t>(1)</w:t>
      </w:r>
      <w:r>
        <w:tab/>
        <w:t>On the proper construction of s 1053(1) of the Corporations Act, does it provide for a category of complaints that includes the 2018 Complaint that cannot be made under the AFCA Scheme?</w:t>
      </w:r>
    </w:p>
    <w:p w14:paraId="14ADAC75" w14:textId="77777777" w:rsidR="00A167C0" w:rsidRDefault="00A167C0" w:rsidP="004D52A8">
      <w:pPr>
        <w:pStyle w:val="Quote1"/>
        <w:ind w:left="1440" w:hanging="703"/>
      </w:pPr>
      <w:r>
        <w:t>(2)</w:t>
      </w:r>
      <w:r>
        <w:tab/>
        <w:t xml:space="preserve">If yes to (1), was there an </w:t>
      </w:r>
      <w:r w:rsidRPr="00763F87">
        <w:rPr>
          <w:i/>
        </w:rPr>
        <w:t>ad hoc</w:t>
      </w:r>
      <w:r>
        <w:t xml:space="preserve"> agreement by which AFCA was to determine the 2018 Complaint outside the AFCA Scheme? </w:t>
      </w:r>
    </w:p>
    <w:p w14:paraId="65BDD221" w14:textId="389A6595" w:rsidR="00A167C0" w:rsidRDefault="00A167C0" w:rsidP="00A167C0">
      <w:pPr>
        <w:pStyle w:val="ParaNumbering"/>
      </w:pPr>
      <w:r>
        <w:t xml:space="preserve">The primary judge stated at J [65] that the construction of s 1053(1) of the Corporations Act advanced by AFCA was to be preferred to that contended for by MetLife. Rather than reading the phrase “only if” as defining an exclusive class of superannuation disputes that could be brought under the </w:t>
      </w:r>
      <w:r w:rsidR="0006638C">
        <w:t>AFCA Scheme</w:t>
      </w:r>
      <w:r>
        <w:t xml:space="preserve">, </w:t>
      </w:r>
      <w:r w:rsidR="00FB2FC0">
        <w:t xml:space="preserve">the primary judge preferred </w:t>
      </w:r>
      <w:r>
        <w:t xml:space="preserve">AFCA’s construction </w:t>
      </w:r>
      <w:r w:rsidR="00A47248">
        <w:t xml:space="preserve">which </w:t>
      </w:r>
      <w:r w:rsidR="00233DB9">
        <w:t xml:space="preserve">at J [62] </w:t>
      </w:r>
      <w:r w:rsidR="00CB06C6">
        <w:t xml:space="preserve">he stated </w:t>
      </w:r>
      <w:r>
        <w:t>involved reading s</w:t>
      </w:r>
      <w:r w:rsidR="0060415C">
        <w:t xml:space="preserve"> </w:t>
      </w:r>
      <w:r>
        <w:t>1053(1) as providing, in effect:</w:t>
      </w:r>
    </w:p>
    <w:p w14:paraId="3E331CB9" w14:textId="006F66D4" w:rsidR="00A167C0" w:rsidRDefault="00A167C0" w:rsidP="00A167C0">
      <w:pPr>
        <w:pStyle w:val="Quote1"/>
      </w:pPr>
      <w:r>
        <w:t xml:space="preserve">A person may, subject to section 1056, make a complaint </w:t>
      </w:r>
      <w:r w:rsidRPr="00912F18">
        <w:rPr>
          <w:i/>
        </w:rPr>
        <w:t>as a complaint</w:t>
      </w:r>
      <w:r>
        <w:t xml:space="preserve"> relating to superannuation under the </w:t>
      </w:r>
      <w:r w:rsidR="0006638C">
        <w:t>AFCA Scheme</w:t>
      </w:r>
      <w:r>
        <w:t xml:space="preserve"> only if the complaint is a complaint [of the kind listed].</w:t>
      </w:r>
    </w:p>
    <w:p w14:paraId="49E1ABCA" w14:textId="4B82E580" w:rsidR="00A167C0" w:rsidRDefault="00CB06C6" w:rsidP="00A167C0">
      <w:pPr>
        <w:pStyle w:val="Quote1"/>
      </w:pPr>
      <w:r>
        <w:t>(</w:t>
      </w:r>
      <w:r w:rsidR="00BB2484">
        <w:t>W</w:t>
      </w:r>
      <w:r w:rsidR="00A167C0">
        <w:t>ords in italics added</w:t>
      </w:r>
      <w:r>
        <w:t>.)</w:t>
      </w:r>
    </w:p>
    <w:p w14:paraId="71884244" w14:textId="1AF81C9D" w:rsidR="00A167C0" w:rsidRDefault="00A167C0" w:rsidP="00A167C0">
      <w:pPr>
        <w:pStyle w:val="ParaNumbering"/>
      </w:pPr>
      <w:r>
        <w:t>The primary judge also found at J [65] that if</w:t>
      </w:r>
      <w:r w:rsidR="00AB6371">
        <w:t>,</w:t>
      </w:r>
      <w:r>
        <w:t xml:space="preserve"> contrary to his finding that AFCA’s construction should be preferred, the construction advanced by MetLife was correct, then AFCA’s alternative contention that the 2018 Complaint was not a “complaint relating to superannuation”, as it was directed at a decision by MetLife, should not be accepted.</w:t>
      </w:r>
    </w:p>
    <w:p w14:paraId="13631B66" w14:textId="4CC87FAC" w:rsidR="00A167C0" w:rsidRDefault="00A167C0" w:rsidP="00A167C0">
      <w:pPr>
        <w:pStyle w:val="ParaNumbering"/>
      </w:pPr>
      <w:r>
        <w:t xml:space="preserve">The primary judge reasoned that the specific statutory provisions for superannuation complaints were directed at ensuring that only certain types of complaints could be made on the basis that they were superannuation complaints rather than precluding complaints from being dealt with under the </w:t>
      </w:r>
      <w:r w:rsidR="0006638C">
        <w:t>AFCA Scheme</w:t>
      </w:r>
      <w:r>
        <w:t xml:space="preserve"> as non-superannuation complaints. His Honour stated:</w:t>
      </w:r>
    </w:p>
    <w:p w14:paraId="5C1ED2B9" w14:textId="77777777" w:rsidR="00A167C0" w:rsidRDefault="00A167C0" w:rsidP="00A167C0">
      <w:pPr>
        <w:pStyle w:val="Quote1"/>
        <w:ind w:left="1440" w:hanging="703"/>
      </w:pPr>
      <w:r>
        <w:t>80</w:t>
      </w:r>
      <w:r>
        <w:tab/>
        <w:t xml:space="preserve">Most importantly, as has been explained, the statutory provisions concerned with superannuation complaints have detailed provisions concerning the manner in which insurers (and others) may be brought in as third parties and the nature and extent of the determinations that may be made that may affect the rights of those third parties. Those provisions also require a different approach to those which may apply to non-superannuation complaints. One manifestation of that difference is the extent to which the determinations by AFCA in relation to superannuation complaints must conform to the law and the provisions of the insurance contract (as distinct from being guided by what </w:t>
      </w:r>
      <w:r>
        <w:lastRenderedPageBreak/>
        <w:t>is fair and reasonable). Another manifestation is the absence of any monetary limit in relation to superannuation claims.</w:t>
      </w:r>
    </w:p>
    <w:p w14:paraId="2586E5AA" w14:textId="77777777" w:rsidR="00A167C0" w:rsidRDefault="00A167C0" w:rsidP="00A167C0">
      <w:pPr>
        <w:pStyle w:val="Quote1"/>
        <w:ind w:left="1440" w:hanging="703"/>
      </w:pPr>
      <w:r>
        <w:t>81</w:t>
      </w:r>
      <w:r>
        <w:tab/>
        <w:t>These are all contextual reasons why s 1053(1) may be concerned, as AFCA contends, to ensure that only certain types of complaints could be made on the basis that they could be dealt with as superannuation complaints and not concerned with curtailing the circumstances in which complaints may be made under the AFCA Scheme as non-superannuation complaints.</w:t>
      </w:r>
    </w:p>
    <w:p w14:paraId="43257829" w14:textId="42D6CD37" w:rsidR="00A167C0" w:rsidRDefault="00A167C0" w:rsidP="00A167C0">
      <w:pPr>
        <w:pStyle w:val="ParaNumbering"/>
      </w:pPr>
      <w:r>
        <w:t xml:space="preserve">The primary judge placed particular reliance on statements in the extrinsic material about the objective of creating a “one-stop shop” </w:t>
      </w:r>
      <w:r w:rsidR="00A47248">
        <w:t>to</w:t>
      </w:r>
      <w:r>
        <w:t xml:space="preserve"> address all complaints that could previously be made under the previous external dispute resolutions schemes. His Honour stated: </w:t>
      </w:r>
    </w:p>
    <w:p w14:paraId="0F7F88BA" w14:textId="77777777" w:rsidR="00A167C0" w:rsidRDefault="00A167C0" w:rsidP="00A167C0">
      <w:pPr>
        <w:pStyle w:val="Quote1"/>
        <w:ind w:left="1440" w:hanging="703"/>
      </w:pPr>
      <w:r>
        <w:t>84</w:t>
      </w:r>
      <w:r>
        <w:tab/>
        <w:t>There is considerable support for the submission to the effect that the purpose of the provisions introduced into the Corporations Act by the AFCA Establishment Act was to continue the scope and structure of the previous regime in terms of the type of complaints that might be brought but bring them within a one-stop shop in the form of the AFCA Scheme. The recommendation of the Ramsay Report was to that effect as were the statements made upon the second reading of the Bill to introduce the AFCA Establishment Act.</w:t>
      </w:r>
    </w:p>
    <w:p w14:paraId="2AACF427" w14:textId="77777777" w:rsidR="00A167C0" w:rsidRDefault="00A167C0" w:rsidP="00A167C0">
      <w:pPr>
        <w:pStyle w:val="Quote1"/>
        <w:ind w:left="1440" w:hanging="703"/>
      </w:pPr>
      <w:r>
        <w:t>85</w:t>
      </w:r>
      <w:r>
        <w:tab/>
        <w:t>Importantly, the provisions enacted by the AFCA Establishment Act reflected the scope of the external dispute resolution schemes that applied previously. In particular (and without being exhaustive), the following aspects were common to both the previous regime and the AFCA Scheme:</w:t>
      </w:r>
    </w:p>
    <w:p w14:paraId="481F58EE" w14:textId="77777777" w:rsidR="00A167C0" w:rsidRDefault="00A167C0" w:rsidP="004D52A8">
      <w:pPr>
        <w:pStyle w:val="Quote2"/>
        <w:ind w:left="2160" w:hanging="720"/>
      </w:pPr>
      <w:r>
        <w:t>(1)</w:t>
      </w:r>
      <w:r>
        <w:tab/>
      </w:r>
      <w:proofErr w:type="gramStart"/>
      <w:r>
        <w:t>there</w:t>
      </w:r>
      <w:proofErr w:type="gramEnd"/>
      <w:r>
        <w:t xml:space="preserve"> is no monetary or compensation limit for superannuation complaints but there is such a limit for other complaints (notably complaints against insurers);</w:t>
      </w:r>
    </w:p>
    <w:p w14:paraId="75A3775A" w14:textId="77777777" w:rsidR="00A167C0" w:rsidRDefault="00A167C0" w:rsidP="004D52A8">
      <w:pPr>
        <w:pStyle w:val="Quote2"/>
        <w:ind w:left="2160" w:hanging="720"/>
      </w:pPr>
      <w:r>
        <w:t>(2)</w:t>
      </w:r>
      <w:r>
        <w:tab/>
      </w:r>
      <w:proofErr w:type="gramStart"/>
      <w:r>
        <w:t>a</w:t>
      </w:r>
      <w:proofErr w:type="gramEnd"/>
      <w:r>
        <w:t xml:space="preserve"> decision by a trustee of a regulated superannuation fund relating to a member of the fund could be the subject of a complaint on the basis that it was unfair or unreasonable;</w:t>
      </w:r>
    </w:p>
    <w:p w14:paraId="1B26B02F" w14:textId="77777777" w:rsidR="00A167C0" w:rsidRDefault="00A167C0" w:rsidP="004D52A8">
      <w:pPr>
        <w:pStyle w:val="Quote2"/>
        <w:ind w:left="2160" w:hanging="720"/>
      </w:pPr>
      <w:r>
        <w:t>(3)</w:t>
      </w:r>
      <w:r>
        <w:tab/>
      </w:r>
      <w:proofErr w:type="gramStart"/>
      <w:r>
        <w:t>they</w:t>
      </w:r>
      <w:proofErr w:type="gramEnd"/>
      <w:r>
        <w:t xml:space="preserve"> provide for the same time limits on bringing complaints;</w:t>
      </w:r>
    </w:p>
    <w:p w14:paraId="3641B18C" w14:textId="77777777" w:rsidR="00A167C0" w:rsidRDefault="00A167C0" w:rsidP="004D52A8">
      <w:pPr>
        <w:pStyle w:val="Quote2"/>
        <w:ind w:left="2160" w:hanging="720"/>
      </w:pPr>
      <w:r>
        <w:t>(4)</w:t>
      </w:r>
      <w:r>
        <w:tab/>
      </w:r>
      <w:proofErr w:type="gramStart"/>
      <w:r>
        <w:t>there</w:t>
      </w:r>
      <w:proofErr w:type="gramEnd"/>
      <w:r>
        <w:t xml:space="preserve"> is power to require third parties such as insurers in the position of </w:t>
      </w:r>
      <w:proofErr w:type="spellStart"/>
      <w:r>
        <w:t>Metlife</w:t>
      </w:r>
      <w:proofErr w:type="spellEnd"/>
      <w:r>
        <w:t xml:space="preserve"> to be joined to a complaint in the case of superannuation complaints but not otherwise;</w:t>
      </w:r>
    </w:p>
    <w:p w14:paraId="114523BA" w14:textId="77777777" w:rsidR="00A167C0" w:rsidRDefault="00A167C0" w:rsidP="004D52A8">
      <w:pPr>
        <w:pStyle w:val="Quote2"/>
        <w:ind w:left="2160" w:hanging="720"/>
      </w:pPr>
      <w:r>
        <w:t>(5)</w:t>
      </w:r>
      <w:r>
        <w:tab/>
      </w:r>
      <w:proofErr w:type="gramStart"/>
      <w:r>
        <w:t>in</w:t>
      </w:r>
      <w:proofErr w:type="gramEnd"/>
      <w:r>
        <w:t xml:space="preserve"> determining the complaint, the decision-maker could exercise all the powers, obligations and discretions of a third party in the case of superannuation complaints but not otherwise;</w:t>
      </w:r>
      <w:r>
        <w:tab/>
        <w:t xml:space="preserve"> </w:t>
      </w:r>
    </w:p>
    <w:p w14:paraId="24783E36" w14:textId="458B9338" w:rsidR="00A167C0" w:rsidRDefault="00A167C0" w:rsidP="004D52A8">
      <w:pPr>
        <w:pStyle w:val="Quote2"/>
        <w:ind w:left="2160" w:hanging="720"/>
      </w:pPr>
      <w:r>
        <w:t>(6)</w:t>
      </w:r>
      <w:r>
        <w:tab/>
      </w:r>
      <w:proofErr w:type="gramStart"/>
      <w:r>
        <w:t>questions</w:t>
      </w:r>
      <w:proofErr w:type="gramEnd"/>
      <w:r>
        <w:t xml:space="preserve"> of law arising in relation to the determination of a</w:t>
      </w:r>
      <w:r w:rsidR="0060415C">
        <w:t xml:space="preserve"> </w:t>
      </w:r>
      <w:r>
        <w:t>superannuation complaint may be referred to this Court but not otherwise; and</w:t>
      </w:r>
    </w:p>
    <w:p w14:paraId="33F75477" w14:textId="77777777" w:rsidR="00A167C0" w:rsidRDefault="00A167C0" w:rsidP="004D52A8">
      <w:pPr>
        <w:pStyle w:val="Quote2"/>
        <w:ind w:left="2160" w:hanging="720"/>
      </w:pPr>
      <w:r>
        <w:t>(7)</w:t>
      </w:r>
      <w:r>
        <w:tab/>
      </w:r>
      <w:proofErr w:type="gramStart"/>
      <w:r>
        <w:t>in</w:t>
      </w:r>
      <w:proofErr w:type="gramEnd"/>
      <w:r>
        <w:t xml:space="preserve"> both cases, the nature of the determination to be made in the case of superannuation complaints is expressed in similar terms and is subject</w:t>
      </w:r>
      <w:r>
        <w:tab/>
        <w:t>to a limitation to the effect that the determination must not be contrary to law, the governing rules of the superannuation fund or the terms and conditions of an insurance policy.</w:t>
      </w:r>
    </w:p>
    <w:p w14:paraId="32703192" w14:textId="77777777" w:rsidR="00A167C0" w:rsidRDefault="00A167C0" w:rsidP="00A167C0">
      <w:pPr>
        <w:pStyle w:val="Quote1"/>
        <w:ind w:left="1440" w:hanging="703"/>
      </w:pPr>
      <w:r>
        <w:lastRenderedPageBreak/>
        <w:t>86</w:t>
      </w:r>
      <w:r>
        <w:tab/>
      </w:r>
      <w:proofErr w:type="gramStart"/>
      <w:r>
        <w:t>Those</w:t>
      </w:r>
      <w:proofErr w:type="gramEnd"/>
      <w:r>
        <w:t xml:space="preserve"> aspects provide considerable support for AFCA’s construction.</w:t>
      </w:r>
    </w:p>
    <w:p w14:paraId="1C8EAA32" w14:textId="77777777" w:rsidR="00A167C0" w:rsidRDefault="00A167C0" w:rsidP="00A167C0">
      <w:pPr>
        <w:pStyle w:val="ParaNumbering"/>
      </w:pPr>
      <w:r>
        <w:t>The primary judge concluded that the context supported a construction of s 1053(1) that preserved all the determinations available under the previous schemes rather than a construction that identified categories of complaints that could no longer be brought:</w:t>
      </w:r>
    </w:p>
    <w:p w14:paraId="282406E6" w14:textId="169B95D3" w:rsidR="00A167C0" w:rsidRDefault="00A167C0" w:rsidP="00A167C0">
      <w:pPr>
        <w:pStyle w:val="Quote1"/>
        <w:ind w:left="1440" w:hanging="703"/>
      </w:pPr>
      <w:r>
        <w:t>100</w:t>
      </w:r>
      <w:r>
        <w:tab/>
        <w:t xml:space="preserve">Having regard to the context, the construction contended for by AFCA is to be preferred. Under the previous regime, a complaint of the kind made by Mr Edgecombe as the 2018 Complaint could be made to the Ombudsman Service (and was not a complaint that had to be made to the Superannuation Complaints Tribunal) provided it was within the monetary limits. A complaint could also be made to the Tribunal concerning the conduct of a superannuation trustee in dealing with an insurer as to an insurance benefit to which the member claimed to be entitled. In such a case, a different procedure was followed with a different type of determination than if the complaint was determined by the Ombudsman Service. Therefore, there were different types of determinations that could be made depending upon whether a complaint was made to the Tribunal or to the Ombudsman Service. An examination of the previous regime and the provisions of the AFCA Establishment Act shows that the provisions in </w:t>
      </w:r>
      <w:proofErr w:type="spellStart"/>
      <w:r>
        <w:t>Div</w:t>
      </w:r>
      <w:proofErr w:type="spellEnd"/>
      <w:r>
        <w:t xml:space="preserve"> 3 of the Corporations Act that were introduced by the AFCA Establishment Act were directed to establishing a one-stop shop rather than changing the types of determinations that could previously be made by the Tribunal and the Ombudsman Service respectively. The terms of the Ramsay Report and the second reading speech support that conclusion. There is no more specific purpose that may be discerned.</w:t>
      </w:r>
    </w:p>
    <w:p w14:paraId="09296B04" w14:textId="77777777" w:rsidR="00A167C0" w:rsidRDefault="00A167C0" w:rsidP="00A167C0">
      <w:pPr>
        <w:pStyle w:val="Quote1"/>
        <w:ind w:left="1440" w:hanging="703"/>
      </w:pPr>
      <w:r>
        <w:t>101</w:t>
      </w:r>
      <w:r>
        <w:tab/>
        <w:t>Therefore, the context supports a construction which continues the availability of the kinds of determinations that could be made under the previous regime rather than a construction which identifies a category of complaints that could no longer be brought before external dispute resolution.</w:t>
      </w:r>
    </w:p>
    <w:p w14:paraId="14FB3A8B" w14:textId="23792C07" w:rsidR="00A167C0" w:rsidRPr="00C12BE3" w:rsidRDefault="00A167C0" w:rsidP="00A167C0">
      <w:pPr>
        <w:pStyle w:val="Quote1"/>
        <w:ind w:left="1440" w:hanging="703"/>
      </w:pPr>
      <w:r>
        <w:t>102</w:t>
      </w:r>
      <w:r>
        <w:tab/>
        <w:t xml:space="preserve">It follows that, having regard to context, the construction advanced by AFCA is to be preferred. The phrase ‘a complaint relating to superannuation under the AFCA Scheme’ means a complaint that relates to superannuation in the sense that </w:t>
      </w:r>
      <w:r w:rsidRPr="00C12BE3">
        <w:t xml:space="preserve">it seeks to invoke the particular statutory authority conferred by </w:t>
      </w:r>
      <w:proofErr w:type="spellStart"/>
      <w:r w:rsidRPr="00C12BE3">
        <w:t>Div</w:t>
      </w:r>
      <w:proofErr w:type="spellEnd"/>
      <w:r w:rsidR="00C12BE3" w:rsidRPr="00C12BE3">
        <w:t> </w:t>
      </w:r>
      <w:r w:rsidRPr="00C12BE3">
        <w:t>3.</w:t>
      </w:r>
    </w:p>
    <w:p w14:paraId="71AF6A1A" w14:textId="101CB13E" w:rsidR="005D3D8E" w:rsidRPr="00C12BE3" w:rsidRDefault="005D3D8E" w:rsidP="005D3D8E">
      <w:pPr>
        <w:pStyle w:val="ParaNumbering"/>
      </w:pPr>
      <w:r w:rsidRPr="00C12BE3">
        <w:t xml:space="preserve">The primary judge then considered </w:t>
      </w:r>
      <w:r w:rsidR="00727592" w:rsidRPr="00C12BE3">
        <w:t xml:space="preserve">and rejected </w:t>
      </w:r>
      <w:r w:rsidRPr="00C12BE3">
        <w:t>AFCA’s alternative case</w:t>
      </w:r>
      <w:r w:rsidR="00D06D9C" w:rsidRPr="00C12BE3">
        <w:t>, including the three contentions the subject of the amended notice of contention</w:t>
      </w:r>
      <w:r w:rsidRPr="00C12BE3">
        <w:t>.</w:t>
      </w:r>
    </w:p>
    <w:p w14:paraId="4B6ED032" w14:textId="0984440C" w:rsidR="005D3D8E" w:rsidRPr="00402BE4" w:rsidRDefault="00727592" w:rsidP="005D3D8E">
      <w:pPr>
        <w:pStyle w:val="ParaNumbering"/>
      </w:pPr>
      <w:r w:rsidRPr="00402BE4">
        <w:rPr>
          <w:i/>
        </w:rPr>
        <w:t>First</w:t>
      </w:r>
      <w:r w:rsidRPr="00402BE4">
        <w:t xml:space="preserve">, the primary judge </w:t>
      </w:r>
      <w:r w:rsidR="005D3D8E" w:rsidRPr="00402BE4">
        <w:t>did not accept that the manner in which Mr Edgecombe framed his complaint was determinative of whether the complaint was a complaint relating to superannuation. H</w:t>
      </w:r>
      <w:r w:rsidRPr="00402BE4">
        <w:t>is Honour</w:t>
      </w:r>
      <w:r w:rsidR="005D3D8E" w:rsidRPr="00402BE4">
        <w:t xml:space="preserve"> concluded </w:t>
      </w:r>
      <w:r w:rsidRPr="00402BE4">
        <w:t xml:space="preserve">at J [104]-[105] </w:t>
      </w:r>
      <w:r w:rsidR="005D3D8E" w:rsidRPr="00402BE4">
        <w:t xml:space="preserve">that on the assumption that the MetLife construction of s 1053(1) was correct, the 2018 Complaint was a complaint relating to superannuation because </w:t>
      </w:r>
      <w:r w:rsidRPr="00402BE4">
        <w:t xml:space="preserve">the insurance policy had been negotiated between the insurer and Mr Edgecombe’s superannuation trustee, the benefit payable under the policy if liability was </w:t>
      </w:r>
      <w:r w:rsidRPr="00402BE4">
        <w:lastRenderedPageBreak/>
        <w:t>established would be paid to Mr Edgecombe as a member of the superannuation fund and his claim arose solely from his status as a member of a superannuation fund.</w:t>
      </w:r>
    </w:p>
    <w:p w14:paraId="0C692F2D" w14:textId="33B5004B" w:rsidR="00AD65D5" w:rsidRPr="00C12BE3" w:rsidRDefault="00D06D9C" w:rsidP="005D3D8E">
      <w:pPr>
        <w:pStyle w:val="ParaNumbering"/>
      </w:pPr>
      <w:r w:rsidRPr="00C12BE3">
        <w:rPr>
          <w:i/>
        </w:rPr>
        <w:t xml:space="preserve">Second, </w:t>
      </w:r>
      <w:r w:rsidRPr="00C12BE3">
        <w:t>the primary judge did not accept that the parties had agreed that the 2018 Complaint could be determined by AFCA under the AFCA Rules</w:t>
      </w:r>
      <w:r w:rsidR="00AD65D5" w:rsidRPr="00C12BE3">
        <w:t>.</w:t>
      </w:r>
      <w:r w:rsidRPr="00C12BE3">
        <w:t xml:space="preserve"> </w:t>
      </w:r>
      <w:r w:rsidR="00AD65D5" w:rsidRPr="00C12BE3">
        <w:t>H</w:t>
      </w:r>
      <w:r w:rsidR="00C12BE3" w:rsidRPr="00C12BE3">
        <w:t>i</w:t>
      </w:r>
      <w:r w:rsidRPr="00C12BE3">
        <w:t xml:space="preserve">s Honour </w:t>
      </w:r>
      <w:r w:rsidR="00AD65D5" w:rsidRPr="00C12BE3">
        <w:t>reasoned at J [125]:</w:t>
      </w:r>
    </w:p>
    <w:p w14:paraId="5A6F0B58" w14:textId="051DAE5F" w:rsidR="00D06D9C" w:rsidRPr="00C12BE3" w:rsidRDefault="00AD65D5" w:rsidP="00AD65D5">
      <w:pPr>
        <w:pStyle w:val="Quote1"/>
      </w:pPr>
      <w:r w:rsidRPr="00C12BE3">
        <w:t>There was no evidence of a consensus to the effect that a decision would be made outside the AFCA Scheme by reference to the AFCA R</w:t>
      </w:r>
      <w:r w:rsidR="00BB2484">
        <w:t xml:space="preserve">ules even though they were not </w:t>
      </w:r>
      <w:r w:rsidRPr="00C12BE3">
        <w:t xml:space="preserve">applicable between the parties. Nor is there evidence from which it may be inferred that the parties agreed by conduct that the 2018 Complaint would be determined on the basis of the AFCA Rules even if the AFCA Scheme did not apply to the 2018 Complaint (because it was a superannuation complaint of a kind that could not be considered under the AFCA Scheme). Therefore, AFCA acquired no further authority than that conferred by the AFCA Scheme to determine the 2018 Complaint. </w:t>
      </w:r>
    </w:p>
    <w:p w14:paraId="096FEFE8" w14:textId="26DB3148" w:rsidR="00727592" w:rsidRPr="00B4089A" w:rsidRDefault="00AD65D5" w:rsidP="005D3D8E">
      <w:pPr>
        <w:pStyle w:val="ParaNumbering"/>
      </w:pPr>
      <w:r w:rsidRPr="00B4089A">
        <w:rPr>
          <w:i/>
        </w:rPr>
        <w:t>Third</w:t>
      </w:r>
      <w:r w:rsidR="00727592" w:rsidRPr="00B4089A">
        <w:rPr>
          <w:i/>
        </w:rPr>
        <w:t xml:space="preserve">, </w:t>
      </w:r>
      <w:r w:rsidR="00727592" w:rsidRPr="00B4089A">
        <w:t xml:space="preserve">the primary judge did not accept that there was any ad hoc agreement by which AFCA was to determine the 2018 Complaint. After summarising the evidence of the communications between AFCA, Mr Edgecombe and MetLife in the period leading up to the determination of the 2018 Complaint, his Honour concluded at J [125] that the </w:t>
      </w:r>
      <w:r w:rsidR="00D06D9C" w:rsidRPr="00B4089A">
        <w:t xml:space="preserve">conduct of </w:t>
      </w:r>
      <w:r w:rsidR="00727592" w:rsidRPr="00B4089A">
        <w:t xml:space="preserve">all three parties throughout that period </w:t>
      </w:r>
      <w:r w:rsidR="00D06D9C" w:rsidRPr="00B4089A">
        <w:t xml:space="preserve">demonstrated that they were proceeding on the basis that AFCA was conducting a determination pursuant to the AFCA </w:t>
      </w:r>
      <w:r w:rsidRPr="00B4089A">
        <w:t>S</w:t>
      </w:r>
      <w:r w:rsidR="00D06D9C" w:rsidRPr="00B4089A">
        <w:t xml:space="preserve">cheme and not some other process. </w:t>
      </w:r>
    </w:p>
    <w:p w14:paraId="0501A1EB" w14:textId="59AB2630" w:rsidR="00A167C0" w:rsidRDefault="00473A29" w:rsidP="00473A29">
      <w:pPr>
        <w:pStyle w:val="Heading1"/>
      </w:pPr>
      <w:r>
        <w:t xml:space="preserve">Ground </w:t>
      </w:r>
      <w:r w:rsidR="00101B8E">
        <w:t>1</w:t>
      </w:r>
    </w:p>
    <w:p w14:paraId="2AAD696C" w14:textId="77777777" w:rsidR="00CE64F4" w:rsidRDefault="00CB6F68" w:rsidP="00CE64F4">
      <w:pPr>
        <w:pStyle w:val="Heading2"/>
      </w:pPr>
      <w:r>
        <w:t>Introduction</w:t>
      </w:r>
    </w:p>
    <w:p w14:paraId="59B21EC9" w14:textId="77777777" w:rsidR="00473A29" w:rsidRDefault="00473A29" w:rsidP="00473A29">
      <w:pPr>
        <w:pStyle w:val="ParaNumbering"/>
      </w:pPr>
      <w:r>
        <w:t>The first ground of appeal advanced by MetLife is that:</w:t>
      </w:r>
    </w:p>
    <w:p w14:paraId="2153FAF5" w14:textId="77777777" w:rsidR="00CE64F4" w:rsidRPr="00CE64F4" w:rsidRDefault="00CE64F4" w:rsidP="00CE64F4">
      <w:pPr>
        <w:pStyle w:val="Quote1"/>
      </w:pPr>
      <w:r w:rsidRPr="00CE64F4">
        <w:t>1.</w:t>
      </w:r>
      <w:r w:rsidRPr="00CE64F4">
        <w:tab/>
        <w:t>The primary judge:</w:t>
      </w:r>
    </w:p>
    <w:p w14:paraId="2DCF5F19" w14:textId="77777777" w:rsidR="00CE64F4" w:rsidRPr="00CE64F4" w:rsidRDefault="00CE64F4" w:rsidP="00CE64F4">
      <w:pPr>
        <w:pStyle w:val="Quote2"/>
        <w:ind w:left="2160" w:hanging="720"/>
      </w:pPr>
      <w:r w:rsidRPr="00CE64F4">
        <w:t>a.</w:t>
      </w:r>
      <w:r w:rsidRPr="00CE64F4">
        <w:tab/>
        <w:t xml:space="preserve">erred in finding that, on the proper construction of s 1053(1) of the </w:t>
      </w:r>
      <w:r w:rsidRPr="00763F87">
        <w:rPr>
          <w:i/>
        </w:rPr>
        <w:t xml:space="preserve">Corporations Act 2001 </w:t>
      </w:r>
      <w:r w:rsidRPr="00CE64F4">
        <w:t>(</w:t>
      </w:r>
      <w:proofErr w:type="spellStart"/>
      <w:r w:rsidRPr="00CE64F4">
        <w:t>Cth</w:t>
      </w:r>
      <w:proofErr w:type="spellEnd"/>
      <w:r w:rsidRPr="00CE64F4">
        <w:t>), the Australian Financial Complaints Authority (</w:t>
      </w:r>
      <w:r w:rsidRPr="00CE64F4">
        <w:rPr>
          <w:b/>
        </w:rPr>
        <w:t>AFCA</w:t>
      </w:r>
      <w:r w:rsidRPr="00CE64F4">
        <w:t xml:space="preserve">) had authority to determine complaint 600361 (the </w:t>
      </w:r>
      <w:r w:rsidRPr="00CE64F4">
        <w:rPr>
          <w:b/>
        </w:rPr>
        <w:t>2018 Complaint</w:t>
      </w:r>
      <w:r w:rsidRPr="00CE64F4">
        <w:t xml:space="preserve">) under the AFCA Scheme, as defined in s 761A of the </w:t>
      </w:r>
      <w:r w:rsidRPr="009E4313">
        <w:rPr>
          <w:i/>
        </w:rPr>
        <w:t>Corporations Act 2001</w:t>
      </w:r>
      <w:r w:rsidRPr="00CE64F4">
        <w:t xml:space="preserve"> (</w:t>
      </w:r>
      <w:proofErr w:type="spellStart"/>
      <w:r w:rsidRPr="00CE64F4">
        <w:t>Cth</w:t>
      </w:r>
      <w:proofErr w:type="spellEnd"/>
      <w:r w:rsidRPr="00CE64F4">
        <w:t>) (see at [19], [65], [100], [101], [102], [147]); and</w:t>
      </w:r>
    </w:p>
    <w:p w14:paraId="0780109C" w14:textId="77777777" w:rsidR="00473A29" w:rsidRDefault="00CE64F4" w:rsidP="00CE64F4">
      <w:pPr>
        <w:pStyle w:val="Quote2"/>
        <w:ind w:left="2160" w:hanging="720"/>
      </w:pPr>
      <w:r w:rsidRPr="00CE64F4">
        <w:t>b.</w:t>
      </w:r>
      <w:r w:rsidRPr="00CE64F4">
        <w:tab/>
        <w:t xml:space="preserve">ought to have found that, on the proper construction of s 1053(1) of the </w:t>
      </w:r>
      <w:r w:rsidRPr="009E4313">
        <w:rPr>
          <w:i/>
        </w:rPr>
        <w:t xml:space="preserve">Corporations Act 2001 </w:t>
      </w:r>
      <w:r w:rsidRPr="00CE64F4">
        <w:t>(</w:t>
      </w:r>
      <w:proofErr w:type="spellStart"/>
      <w:r w:rsidRPr="00CE64F4">
        <w:t>Cth</w:t>
      </w:r>
      <w:proofErr w:type="spellEnd"/>
      <w:r w:rsidRPr="00CE64F4">
        <w:t>), AFCA did not have authority to determine the 2018 Complaint under the AFCA Scheme, such that the separate question should be answered in the negative insofar as it relates to the 2018 Complaint.</w:t>
      </w:r>
    </w:p>
    <w:p w14:paraId="5709F1EF" w14:textId="77777777" w:rsidR="00CE64F4" w:rsidRDefault="00CE64F4" w:rsidP="00CE64F4">
      <w:pPr>
        <w:pStyle w:val="Heading2"/>
      </w:pPr>
      <w:r>
        <w:lastRenderedPageBreak/>
        <w:t>MetLife submissions</w:t>
      </w:r>
    </w:p>
    <w:p w14:paraId="33933FAF" w14:textId="77777777" w:rsidR="00CB6F68" w:rsidRPr="00CB6F68" w:rsidRDefault="00CB6F68" w:rsidP="00CB6F68">
      <w:pPr>
        <w:pStyle w:val="Heading3"/>
      </w:pPr>
      <w:r>
        <w:t>Overview</w:t>
      </w:r>
    </w:p>
    <w:p w14:paraId="32FED898" w14:textId="78534394" w:rsidR="00D90BAE" w:rsidRDefault="00D90BAE" w:rsidP="00567CC2">
      <w:pPr>
        <w:pStyle w:val="ParaNumbering"/>
      </w:pPr>
      <w:r>
        <w:t>MetLife submits that the primary judge ought</w:t>
      </w:r>
      <w:r>
        <w:rPr>
          <w:spacing w:val="-2"/>
        </w:rPr>
        <w:t xml:space="preserve"> </w:t>
      </w:r>
      <w:r>
        <w:t>to</w:t>
      </w:r>
      <w:r>
        <w:rPr>
          <w:spacing w:val="-2"/>
        </w:rPr>
        <w:t xml:space="preserve"> </w:t>
      </w:r>
      <w:r>
        <w:t>have</w:t>
      </w:r>
      <w:r>
        <w:rPr>
          <w:spacing w:val="-2"/>
        </w:rPr>
        <w:t xml:space="preserve"> </w:t>
      </w:r>
      <w:r>
        <w:t>concluded</w:t>
      </w:r>
      <w:r>
        <w:rPr>
          <w:spacing w:val="-2"/>
        </w:rPr>
        <w:t xml:space="preserve"> </w:t>
      </w:r>
      <w:r>
        <w:t>that</w:t>
      </w:r>
      <w:r>
        <w:rPr>
          <w:spacing w:val="-2"/>
        </w:rPr>
        <w:t xml:space="preserve"> </w:t>
      </w:r>
      <w:r>
        <w:t>s</w:t>
      </w:r>
      <w:r>
        <w:rPr>
          <w:spacing w:val="-2"/>
        </w:rPr>
        <w:t xml:space="preserve"> </w:t>
      </w:r>
      <w:r>
        <w:t>1053 is an exclusionary provision, providing that if and to the extent that a complaint was a complaint “</w:t>
      </w:r>
      <w:r w:rsidRPr="009E4313">
        <w:rPr>
          <w:iCs/>
        </w:rPr>
        <w:t>relating to superannuation</w:t>
      </w:r>
      <w:r>
        <w:t xml:space="preserve">” it does not fall within any of the categories of complaint identified in </w:t>
      </w:r>
      <w:r w:rsidR="00B05326">
        <w:t>sub-</w:t>
      </w:r>
      <w:proofErr w:type="spellStart"/>
      <w:r w:rsidR="00CE64F4">
        <w:t>ss</w:t>
      </w:r>
      <w:proofErr w:type="spellEnd"/>
      <w:r w:rsidR="0062454C">
        <w:t> </w:t>
      </w:r>
      <w:r>
        <w:t>1053(1)(a)-(j), it</w:t>
      </w:r>
      <w:r w:rsidR="0060415C">
        <w:t xml:space="preserve"> </w:t>
      </w:r>
      <w:r>
        <w:t xml:space="preserve">may not be brought under the </w:t>
      </w:r>
      <w:r w:rsidR="0006638C">
        <w:t>AFCA Scheme</w:t>
      </w:r>
      <w:r>
        <w:t>. It submits that this flows f</w:t>
      </w:r>
      <w:r w:rsidR="00CE64F4">
        <w:t>r</w:t>
      </w:r>
      <w:r>
        <w:t>om the textual meaning of s 1053, the statutory context, legislative history and other extrinsic materials.</w:t>
      </w:r>
    </w:p>
    <w:p w14:paraId="75C805A6" w14:textId="77777777" w:rsidR="00D90BAE" w:rsidRDefault="00D90BAE" w:rsidP="00D90BAE">
      <w:pPr>
        <w:pStyle w:val="Heading3"/>
      </w:pPr>
      <w:r>
        <w:t xml:space="preserve">Textual meaning </w:t>
      </w:r>
    </w:p>
    <w:p w14:paraId="158DA79F" w14:textId="143FB4E9" w:rsidR="00567CC2" w:rsidRDefault="00567CC2" w:rsidP="00567CC2">
      <w:pPr>
        <w:pStyle w:val="ParaNumbering"/>
      </w:pPr>
      <w:r>
        <w:t>Met</w:t>
      </w:r>
      <w:r w:rsidR="00CB6F68">
        <w:t>L</w:t>
      </w:r>
      <w:r>
        <w:t>ife submits that the ordinary meaning of the phrase in s 1053(</w:t>
      </w:r>
      <w:r w:rsidR="009E4313">
        <w:t>3</w:t>
      </w:r>
      <w:r>
        <w:t>) that “</w:t>
      </w:r>
      <w:r w:rsidR="00362E60">
        <w:t>[a]</w:t>
      </w:r>
      <w:r>
        <w:t xml:space="preserve"> complaint made in accordance with subsection </w:t>
      </w:r>
      <w:r w:rsidR="009E4313">
        <w:t>(1</w:t>
      </w:r>
      <w:r>
        <w:t xml:space="preserve">) of this section is a superannuation complaint” is that where a complaint is properly </w:t>
      </w:r>
      <w:r w:rsidRPr="00567CC2">
        <w:t xml:space="preserve">characterised as a complaint “relating to superannuation”, it can only be made under the </w:t>
      </w:r>
      <w:r w:rsidR="0006638C">
        <w:t>AFCA Scheme</w:t>
      </w:r>
      <w:r w:rsidRPr="00567CC2">
        <w:t xml:space="preserve"> if the complaint falls into one of the 10 categories identified in s 1053(1).</w:t>
      </w:r>
    </w:p>
    <w:p w14:paraId="76642B0B" w14:textId="77777777" w:rsidR="00567CC2" w:rsidRDefault="00567CC2" w:rsidP="00567CC2">
      <w:pPr>
        <w:pStyle w:val="ParaNumbering"/>
      </w:pPr>
      <w:r>
        <w:t>Met</w:t>
      </w:r>
      <w:r w:rsidR="00CB6F68">
        <w:t>L</w:t>
      </w:r>
      <w:r>
        <w:t>ife submits that this construction follows from the following considerations.</w:t>
      </w:r>
    </w:p>
    <w:p w14:paraId="7BD42C3E" w14:textId="2E5AFB83" w:rsidR="00567CC2" w:rsidRDefault="00567CC2" w:rsidP="00567CC2">
      <w:pPr>
        <w:pStyle w:val="ParaNumbering"/>
      </w:pPr>
      <w:r w:rsidRPr="00567CC2">
        <w:rPr>
          <w:i/>
        </w:rPr>
        <w:t>First</w:t>
      </w:r>
      <w:r>
        <w:t xml:space="preserve">, the class of complaints constituting complaints </w:t>
      </w:r>
      <w:r w:rsidR="009E4313">
        <w:t>“</w:t>
      </w:r>
      <w:r>
        <w:t>relating to superannuation</w:t>
      </w:r>
      <w:r w:rsidR="009E4313">
        <w:t>”</w:t>
      </w:r>
      <w:r w:rsidR="0060415C">
        <w:t xml:space="preserve"> </w:t>
      </w:r>
      <w:r>
        <w:t xml:space="preserve">is wider than the specific categories of complaint identified in </w:t>
      </w:r>
      <w:r w:rsidR="00B05326">
        <w:t>sub-</w:t>
      </w:r>
      <w:proofErr w:type="spellStart"/>
      <w:r>
        <w:t>ss</w:t>
      </w:r>
      <w:proofErr w:type="spellEnd"/>
      <w:r>
        <w:t xml:space="preserve"> 1053(1)(a)-(j)</w:t>
      </w:r>
      <w:r w:rsidR="00362E60">
        <w:t>,</w:t>
      </w:r>
      <w:r>
        <w:t xml:space="preserve"> having regard to the ordinary meaning of the phrase </w:t>
      </w:r>
      <w:r w:rsidR="009E4313">
        <w:t>“</w:t>
      </w:r>
      <w:r>
        <w:t>relating to</w:t>
      </w:r>
      <w:r w:rsidR="009E4313">
        <w:t>”</w:t>
      </w:r>
      <w:r>
        <w:t xml:space="preserve">, which here merely requires a nexus between the complaint and superannuation (see </w:t>
      </w:r>
      <w:r w:rsidR="009E4313">
        <w:t xml:space="preserve">J </w:t>
      </w:r>
      <w:r>
        <w:t>[75]).</w:t>
      </w:r>
    </w:p>
    <w:p w14:paraId="15B2526B" w14:textId="45897EA4" w:rsidR="00567CC2" w:rsidRDefault="00567CC2" w:rsidP="00567CC2">
      <w:pPr>
        <w:pStyle w:val="ParaNumbering"/>
      </w:pPr>
      <w:r w:rsidRPr="00567CC2">
        <w:rPr>
          <w:i/>
        </w:rPr>
        <w:t>Second</w:t>
      </w:r>
      <w:r>
        <w:t xml:space="preserve">, and critically, the exclusionary words </w:t>
      </w:r>
      <w:r w:rsidR="009E4313">
        <w:t>“</w:t>
      </w:r>
      <w:r>
        <w:t>only if</w:t>
      </w:r>
      <w:r w:rsidR="009E4313">
        <w:t>”</w:t>
      </w:r>
      <w:r>
        <w:t xml:space="preserve"> operate to impose a limitation on the circumstances in which a specified class of complaint, being </w:t>
      </w:r>
      <w:r w:rsidR="00711DCB">
        <w:t>“</w:t>
      </w:r>
      <w:r>
        <w:t>complaint[s] relating to superannuation</w:t>
      </w:r>
      <w:r w:rsidR="00711DCB">
        <w:t>”</w:t>
      </w:r>
      <w:r>
        <w:t xml:space="preserve">, may be made under the </w:t>
      </w:r>
      <w:r w:rsidR="0006638C">
        <w:t>AFCA Scheme</w:t>
      </w:r>
      <w:r>
        <w:t xml:space="preserve"> (namely, when such complaints fall into a sub-category identified in</w:t>
      </w:r>
      <w:r w:rsidR="00362E60">
        <w:t xml:space="preserve"> </w:t>
      </w:r>
      <w:r>
        <w:t>sub-</w:t>
      </w:r>
      <w:proofErr w:type="spellStart"/>
      <w:r>
        <w:t>ss</w:t>
      </w:r>
      <w:proofErr w:type="spellEnd"/>
      <w:r>
        <w:t xml:space="preserve"> 1053(1)(a)-(j)).</w:t>
      </w:r>
    </w:p>
    <w:p w14:paraId="75108B24" w14:textId="46CC41CE" w:rsidR="00567CC2" w:rsidRDefault="00567CC2" w:rsidP="00567CC2">
      <w:pPr>
        <w:pStyle w:val="ParaNumbering"/>
      </w:pPr>
      <w:r w:rsidRPr="00567CC2">
        <w:rPr>
          <w:i/>
        </w:rPr>
        <w:t>Third</w:t>
      </w:r>
      <w:r>
        <w:t xml:space="preserve">, </w:t>
      </w:r>
      <w:r w:rsidR="009E4313">
        <w:t>“</w:t>
      </w:r>
      <w:r w:rsidR="0006638C">
        <w:t>AFCA Scheme</w:t>
      </w:r>
      <w:r w:rsidR="009E4313">
        <w:t>”</w:t>
      </w:r>
      <w:r>
        <w:t xml:space="preserve"> is a defined term, meaning </w:t>
      </w:r>
      <w:r w:rsidR="009E4313">
        <w:t>“</w:t>
      </w:r>
      <w:r>
        <w:t>the external dispute resolution scheme for which an authorisation under Pt 7.10A is in force</w:t>
      </w:r>
      <w:r w:rsidR="009E4313">
        <w:t>”</w:t>
      </w:r>
      <w:r>
        <w:t xml:space="preserve">: s 761A of the Corporations Act. In light of the definition of </w:t>
      </w:r>
      <w:r w:rsidR="00996237">
        <w:t>“</w:t>
      </w:r>
      <w:r w:rsidR="0006638C">
        <w:t>AFCA Scheme</w:t>
      </w:r>
      <w:r w:rsidR="00996237">
        <w:t>”</w:t>
      </w:r>
      <w:r>
        <w:t>, s 1053 could not be read as imposing a limitation on the circumstances in</w:t>
      </w:r>
      <w:r w:rsidRPr="00567CC2">
        <w:t xml:space="preserve"> </w:t>
      </w:r>
      <w:r>
        <w:t xml:space="preserve">which a “complaint relating to superannuation” may be made within AFCA’s superannuation jurisdiction alone. </w:t>
      </w:r>
      <w:r w:rsidR="000052B7">
        <w:t xml:space="preserve">MetLife </w:t>
      </w:r>
      <w:r>
        <w:t>submits that if a “complaint relating to superannuation” does not satisfy s 1053(1) because</w:t>
      </w:r>
      <w:r w:rsidR="0060415C">
        <w:t xml:space="preserve"> </w:t>
      </w:r>
      <w:r>
        <w:t xml:space="preserve">it is not a “superannuation complaint” for </w:t>
      </w:r>
      <w:r>
        <w:lastRenderedPageBreak/>
        <w:t xml:space="preserve">the purposes of s 1053(3), the words “only if” in s 1053(1) operate to prevent such a complaint being made under the </w:t>
      </w:r>
      <w:r w:rsidR="0006638C">
        <w:t>AFCA Scheme</w:t>
      </w:r>
      <w:r>
        <w:t xml:space="preserve"> at all. It submits that in those circumstances</w:t>
      </w:r>
      <w:r w:rsidR="00F93048">
        <w:t>,</w:t>
      </w:r>
      <w:r>
        <w:t xml:space="preserve"> the complaint is excluded from both AFCA’s superannuation and non-superannuation jurisdictions, given that the definition of “</w:t>
      </w:r>
      <w:r w:rsidR="0006638C">
        <w:t>AFCA Scheme</w:t>
      </w:r>
      <w:r>
        <w:t xml:space="preserve">” in s 761A encompasses the whole of AFCA’s jurisdiction for which it </w:t>
      </w:r>
      <w:r w:rsidR="00F93048">
        <w:t xml:space="preserve">receives </w:t>
      </w:r>
      <w:r>
        <w:t>its authorisation.</w:t>
      </w:r>
    </w:p>
    <w:p w14:paraId="16B6CDBB" w14:textId="77777777" w:rsidR="00D90BAE" w:rsidRDefault="00D90BAE" w:rsidP="00D90BAE">
      <w:pPr>
        <w:pStyle w:val="Heading3"/>
      </w:pPr>
      <w:r>
        <w:t>Statutory context</w:t>
      </w:r>
    </w:p>
    <w:p w14:paraId="7DFF36E7" w14:textId="393BDCE7" w:rsidR="00323B6A" w:rsidRPr="00323B6A" w:rsidRDefault="000052B7" w:rsidP="00323B6A">
      <w:pPr>
        <w:pStyle w:val="ParaNumbering"/>
      </w:pPr>
      <w:r>
        <w:t xml:space="preserve">MetLife </w:t>
      </w:r>
      <w:r w:rsidR="00323B6A">
        <w:t>submits that w</w:t>
      </w:r>
      <w:r w:rsidR="00323B6A" w:rsidRPr="00323B6A">
        <w:t xml:space="preserve">hen s 1053 is read in the context of other provisions in Pt 7.10A, </w:t>
      </w:r>
      <w:proofErr w:type="spellStart"/>
      <w:r w:rsidR="00323B6A" w:rsidRPr="00323B6A">
        <w:t>Div</w:t>
      </w:r>
      <w:proofErr w:type="spellEnd"/>
      <w:r w:rsidR="0060415C">
        <w:t xml:space="preserve"> </w:t>
      </w:r>
      <w:r w:rsidR="00323B6A" w:rsidRPr="00323B6A">
        <w:t>3, it becomes clear that the primary judge’s construction of s 1053 in effect subverts the carefully crafted protections imposed on AFCA’s superannuation jurisdiction, weighing heavily against his Honour’s construction.</w:t>
      </w:r>
      <w:r w:rsidR="00323B6A">
        <w:t xml:space="preserve"> It submits that </w:t>
      </w:r>
      <w:proofErr w:type="spellStart"/>
      <w:r w:rsidR="00323B6A">
        <w:t>Div</w:t>
      </w:r>
      <w:proofErr w:type="spellEnd"/>
      <w:r w:rsidR="00323B6A">
        <w:t xml:space="preserve"> 3 of </w:t>
      </w:r>
      <w:r w:rsidR="00323B6A" w:rsidRPr="00323B6A">
        <w:t>Pt 7.10A</w:t>
      </w:r>
      <w:r w:rsidR="00323B6A">
        <w:t xml:space="preserve"> of the</w:t>
      </w:r>
      <w:r w:rsidR="0060415C">
        <w:t xml:space="preserve"> </w:t>
      </w:r>
      <w:r w:rsidR="00323B6A" w:rsidRPr="00323B6A">
        <w:t xml:space="preserve">Corporations Act confers a range of special powers and obligations on AFCA, and protections on parties, when dealing with </w:t>
      </w:r>
      <w:r w:rsidR="00996237">
        <w:t>“</w:t>
      </w:r>
      <w:r w:rsidR="00323B6A" w:rsidRPr="00323B6A">
        <w:t>superannuation complaints</w:t>
      </w:r>
      <w:r w:rsidR="00996237">
        <w:t>”</w:t>
      </w:r>
      <w:r w:rsidR="00362E60">
        <w:t>,</w:t>
      </w:r>
      <w:r w:rsidR="00323B6A" w:rsidRPr="00323B6A">
        <w:t xml:space="preserve"> that are not applicable in </w:t>
      </w:r>
      <w:r w:rsidR="00996237" w:rsidRPr="00323B6A">
        <w:t>AFCA</w:t>
      </w:r>
      <w:r w:rsidR="00996237">
        <w:t>’</w:t>
      </w:r>
      <w:r w:rsidR="00996237" w:rsidRPr="00323B6A">
        <w:t xml:space="preserve">s </w:t>
      </w:r>
      <w:r w:rsidR="00323B6A" w:rsidRPr="00323B6A">
        <w:t>general jurisdiction.</w:t>
      </w:r>
    </w:p>
    <w:p w14:paraId="42EA300F" w14:textId="4896511A" w:rsidR="00567CC2" w:rsidRDefault="000052B7" w:rsidP="00323B6A">
      <w:pPr>
        <w:pStyle w:val="ParaNumbering"/>
      </w:pPr>
      <w:r>
        <w:t xml:space="preserve">MetLife </w:t>
      </w:r>
      <w:r w:rsidR="00323B6A">
        <w:t>submits that t</w:t>
      </w:r>
      <w:r w:rsidR="00323B6A" w:rsidRPr="00323B6A">
        <w:t xml:space="preserve">he effect of the primary judge’s construction of s 1053 is that a complainant is able to circumvent the powers and protections specifically applicable in AFCA’s superannuation jurisdiction by ensuring that their complaint relating to superannuation is framed so as to fall outside the categories of complaint identified in </w:t>
      </w:r>
      <w:r w:rsidR="00B05326">
        <w:t>sub-</w:t>
      </w:r>
      <w:proofErr w:type="spellStart"/>
      <w:r w:rsidR="00323B6A" w:rsidRPr="00323B6A">
        <w:t>ss</w:t>
      </w:r>
      <w:proofErr w:type="spellEnd"/>
      <w:r w:rsidR="00362E60">
        <w:t> </w:t>
      </w:r>
      <w:r w:rsidR="00323B6A" w:rsidRPr="00323B6A">
        <w:t>1053(1)(a)-(j).</w:t>
      </w:r>
    </w:p>
    <w:p w14:paraId="2D4277E8" w14:textId="77777777" w:rsidR="00D713CA" w:rsidRDefault="00D713CA" w:rsidP="00D713CA">
      <w:pPr>
        <w:pStyle w:val="Heading3"/>
      </w:pPr>
      <w:r>
        <w:t>Legislative history</w:t>
      </w:r>
    </w:p>
    <w:p w14:paraId="69FECB8E" w14:textId="53C65113" w:rsidR="00350B32" w:rsidRDefault="00D90BAE" w:rsidP="00350B32">
      <w:pPr>
        <w:pStyle w:val="ParaNumbering"/>
      </w:pPr>
      <w:r>
        <w:t>MetLife submits that t</w:t>
      </w:r>
      <w:r w:rsidR="00350B32" w:rsidRPr="00323B6A">
        <w:t xml:space="preserve">he existence of certain commonalities between the </w:t>
      </w:r>
      <w:r w:rsidR="0006638C">
        <w:t>AFCA Scheme</w:t>
      </w:r>
      <w:r w:rsidR="00350B32" w:rsidRPr="00323B6A">
        <w:t xml:space="preserve"> and its predecessor scheme as identified at J</w:t>
      </w:r>
      <w:r w:rsidR="009E4313">
        <w:t xml:space="preserve"> </w:t>
      </w:r>
      <w:r w:rsidR="00350B32" w:rsidRPr="00323B6A">
        <w:t xml:space="preserve">[85] does not support an inference that the legislature intended to preserve </w:t>
      </w:r>
      <w:r w:rsidR="00784416" w:rsidRPr="00323B6A">
        <w:t xml:space="preserve">identically </w:t>
      </w:r>
      <w:r w:rsidR="00350B32" w:rsidRPr="00323B6A">
        <w:t xml:space="preserve">the scope of the former external dispute resolution scheme in the newly established </w:t>
      </w:r>
      <w:r w:rsidR="0006638C">
        <w:t>AFCA Scheme</w:t>
      </w:r>
      <w:r w:rsidR="00350B32">
        <w:t xml:space="preserve">. It submits that once the instances of commonality are considered together with instances of departure, nothing can be inferred as to a legislative intention to preserve </w:t>
      </w:r>
      <w:r w:rsidR="00CB06C6">
        <w:t xml:space="preserve">in identical terms </w:t>
      </w:r>
      <w:r w:rsidR="00350B32">
        <w:t xml:space="preserve">the scope of the former regime </w:t>
      </w:r>
      <w:r w:rsidR="00CB06C6">
        <w:t>by</w:t>
      </w:r>
      <w:r w:rsidR="00350B32">
        <w:t xml:space="preserve"> the identification of </w:t>
      </w:r>
      <w:r w:rsidR="00CB06C6">
        <w:t xml:space="preserve">only </w:t>
      </w:r>
      <w:r w:rsidR="00350B32">
        <w:t>certain points of commonality.</w:t>
      </w:r>
    </w:p>
    <w:p w14:paraId="6ED40357" w14:textId="49B21B5A" w:rsidR="00323B6A" w:rsidRPr="00323B6A" w:rsidRDefault="000052B7" w:rsidP="00323B6A">
      <w:pPr>
        <w:pStyle w:val="ParaNumbering"/>
      </w:pPr>
      <w:r>
        <w:t xml:space="preserve">MetLife </w:t>
      </w:r>
      <w:r w:rsidR="00323B6A">
        <w:t>submits that o</w:t>
      </w:r>
      <w:r w:rsidR="00323B6A" w:rsidRPr="00323B6A">
        <w:t xml:space="preserve">ther aspects of s </w:t>
      </w:r>
      <w:r w:rsidR="009E4313" w:rsidRPr="00323B6A">
        <w:t>1053</w:t>
      </w:r>
      <w:r w:rsidR="009E4313">
        <w:t>’</w:t>
      </w:r>
      <w:r w:rsidR="009E4313" w:rsidRPr="00323B6A">
        <w:t xml:space="preserve">s </w:t>
      </w:r>
      <w:r w:rsidR="00323B6A" w:rsidRPr="00323B6A">
        <w:t xml:space="preserve">statutory context support </w:t>
      </w:r>
      <w:r w:rsidR="00323B6A">
        <w:t>its</w:t>
      </w:r>
      <w:r w:rsidR="00323B6A" w:rsidRPr="00323B6A">
        <w:t xml:space="preserve"> construction of the provision. For example, the heading of s 1053 </w:t>
      </w:r>
      <w:r w:rsidR="002D1CA9">
        <w:t>is</w:t>
      </w:r>
      <w:r w:rsidR="00323B6A" w:rsidRPr="00323B6A">
        <w:t xml:space="preserve">: </w:t>
      </w:r>
      <w:r w:rsidR="00996237">
        <w:t>“</w:t>
      </w:r>
      <w:r w:rsidR="00323B6A" w:rsidRPr="00323B6A">
        <w:t xml:space="preserve">When complaints relating to superannuation can be made under the </w:t>
      </w:r>
      <w:r w:rsidR="0006638C">
        <w:t>AFCA Scheme</w:t>
      </w:r>
      <w:r w:rsidR="00996237">
        <w:t>”</w:t>
      </w:r>
      <w:r w:rsidR="00323B6A" w:rsidRPr="00323B6A">
        <w:t xml:space="preserve">. </w:t>
      </w:r>
      <w:r w:rsidR="00784416">
        <w:t>It submits that t</w:t>
      </w:r>
      <w:r w:rsidR="00323B6A" w:rsidRPr="00323B6A">
        <w:t xml:space="preserve">his heading is relevant to the construction exercise </w:t>
      </w:r>
      <w:r w:rsidR="00784416">
        <w:t>by reason of</w:t>
      </w:r>
      <w:r w:rsidR="00323B6A" w:rsidRPr="00323B6A">
        <w:t xml:space="preserve"> s 13(1) of the </w:t>
      </w:r>
      <w:r w:rsidR="00051DD7" w:rsidRPr="00E6115C">
        <w:rPr>
          <w:i/>
        </w:rPr>
        <w:t>Acts Interpretation Act</w:t>
      </w:r>
      <w:r w:rsidR="00051DD7">
        <w:rPr>
          <w:i/>
        </w:rPr>
        <w:t xml:space="preserve"> 1901 </w:t>
      </w:r>
      <w:r w:rsidR="00051DD7">
        <w:t>(</w:t>
      </w:r>
      <w:proofErr w:type="spellStart"/>
      <w:r w:rsidR="00051DD7">
        <w:t>Cth</w:t>
      </w:r>
      <w:proofErr w:type="spellEnd"/>
      <w:r w:rsidR="00051DD7">
        <w:t>) (</w:t>
      </w:r>
      <w:r w:rsidR="00323B6A" w:rsidRPr="007A3CF2">
        <w:rPr>
          <w:b/>
        </w:rPr>
        <w:t>Acts Interpretation Act</w:t>
      </w:r>
      <w:r w:rsidR="00051DD7">
        <w:t>)</w:t>
      </w:r>
      <w:r w:rsidR="00323B6A" w:rsidRPr="00323B6A">
        <w:t>: J</w:t>
      </w:r>
      <w:r w:rsidR="009E4313">
        <w:t xml:space="preserve"> </w:t>
      </w:r>
      <w:r w:rsidR="00323B6A" w:rsidRPr="00323B6A">
        <w:t xml:space="preserve">[72]. In circumstances where the phrase </w:t>
      </w:r>
      <w:r w:rsidR="00996237">
        <w:t>“</w:t>
      </w:r>
      <w:r w:rsidR="0006638C">
        <w:t>AFCA Scheme</w:t>
      </w:r>
      <w:r w:rsidR="00996237">
        <w:t>”</w:t>
      </w:r>
      <w:r w:rsidR="00323B6A" w:rsidRPr="00323B6A">
        <w:t xml:space="preserve"> is </w:t>
      </w:r>
      <w:r w:rsidR="00784416">
        <w:t xml:space="preserve">a defined </w:t>
      </w:r>
      <w:r w:rsidR="00784416">
        <w:lastRenderedPageBreak/>
        <w:t>term</w:t>
      </w:r>
      <w:r w:rsidR="00323B6A" w:rsidRPr="00323B6A">
        <w:t xml:space="preserve">, </w:t>
      </w:r>
      <w:r w:rsidR="00323B6A">
        <w:t xml:space="preserve">MetLife submits that </w:t>
      </w:r>
      <w:r w:rsidR="00323B6A" w:rsidRPr="00323B6A">
        <w:t xml:space="preserve">the heading makes plain that s 1053 should be construed as setting out the parameters of when a complaint </w:t>
      </w:r>
      <w:r w:rsidR="00996237">
        <w:t>“</w:t>
      </w:r>
      <w:r w:rsidR="00323B6A" w:rsidRPr="00323B6A">
        <w:t>relating to superannuation</w:t>
      </w:r>
      <w:r w:rsidR="00996237">
        <w:t>”</w:t>
      </w:r>
      <w:r w:rsidR="00323B6A" w:rsidRPr="00323B6A">
        <w:t xml:space="preserve"> can be made under the </w:t>
      </w:r>
      <w:r w:rsidR="0006638C">
        <w:t>AFCA Scheme</w:t>
      </w:r>
      <w:r w:rsidR="00323B6A" w:rsidRPr="00323B6A">
        <w:t xml:space="preserve"> as a whole, </w:t>
      </w:r>
      <w:r w:rsidR="00784416">
        <w:t>that is,</w:t>
      </w:r>
      <w:r w:rsidR="00323B6A" w:rsidRPr="00323B6A">
        <w:t xml:space="preserve"> in </w:t>
      </w:r>
      <w:r w:rsidR="00784416">
        <w:t xml:space="preserve">either </w:t>
      </w:r>
      <w:r w:rsidR="00323B6A" w:rsidRPr="00323B6A">
        <w:t>AFCA</w:t>
      </w:r>
      <w:r w:rsidR="00D456B8">
        <w:t>’</w:t>
      </w:r>
      <w:r w:rsidR="00323B6A" w:rsidRPr="00323B6A">
        <w:t>s superannuation or general jurisdiction.</w:t>
      </w:r>
    </w:p>
    <w:p w14:paraId="56910B01" w14:textId="7EABA724" w:rsidR="00323B6A" w:rsidRDefault="00323B6A" w:rsidP="00323B6A">
      <w:pPr>
        <w:pStyle w:val="ParaNumbering"/>
      </w:pPr>
      <w:r>
        <w:t xml:space="preserve">MetLife submits that </w:t>
      </w:r>
      <w:r w:rsidRPr="00323B6A">
        <w:t>exclud</w:t>
      </w:r>
      <w:r>
        <w:t>ing</w:t>
      </w:r>
      <w:r w:rsidRPr="00323B6A">
        <w:t xml:space="preserve"> from the </w:t>
      </w:r>
      <w:r w:rsidR="0006638C">
        <w:t>AFCA Scheme</w:t>
      </w:r>
      <w:r w:rsidRPr="00323B6A">
        <w:t xml:space="preserve"> complaints made by members of a superannuation fund such as Mr Edgecombe against insurers in respect of decisions relating to certain insurance policies entered into by a superannuation fund trustee is consistent with AFCA’s role</w:t>
      </w:r>
      <w:r w:rsidR="002D1CA9">
        <w:t>,</w:t>
      </w:r>
      <w:r w:rsidRPr="00323B6A">
        <w:t xml:space="preserve"> which may be described as an external body providing dispute resolution services between financial services licensees and their retail clients. </w:t>
      </w:r>
      <w:r w:rsidR="00CB06C6">
        <w:t>Sub-s</w:t>
      </w:r>
      <w:r w:rsidR="00CB06C6" w:rsidRPr="00323B6A">
        <w:t>ection</w:t>
      </w:r>
      <w:r w:rsidR="00CB06C6">
        <w:t>s</w:t>
      </w:r>
      <w:r w:rsidRPr="00323B6A">
        <w:t xml:space="preserve"> 912A(1)(g) and (2) of the Corporations Act requires financial service licensees who provide financial services to persons as “retail clients” to be members of the </w:t>
      </w:r>
      <w:r w:rsidR="0006638C">
        <w:t>AFCA Scheme</w:t>
      </w:r>
      <w:r w:rsidRPr="00323B6A">
        <w:t xml:space="preserve">: </w:t>
      </w:r>
      <w:r w:rsidR="009E4313">
        <w:t xml:space="preserve">J </w:t>
      </w:r>
      <w:r w:rsidRPr="00323B6A">
        <w:t>[21]-[22].</w:t>
      </w:r>
    </w:p>
    <w:p w14:paraId="155FFC82" w14:textId="77777777" w:rsidR="00D713CA" w:rsidRDefault="00D713CA" w:rsidP="00D713CA">
      <w:pPr>
        <w:pStyle w:val="Heading3"/>
      </w:pPr>
      <w:r>
        <w:t>Other extrinsic material</w:t>
      </w:r>
    </w:p>
    <w:p w14:paraId="1E66C438" w14:textId="635B1760" w:rsidR="006E5246" w:rsidRDefault="006E5246" w:rsidP="002D1CA9">
      <w:pPr>
        <w:pStyle w:val="ParaNumbering"/>
      </w:pPr>
      <w:r>
        <w:t xml:space="preserve">MetLife submits that the primary judge fell into error by relying on the Ramsay Report, the </w:t>
      </w:r>
      <w:r w:rsidR="00CB06C6">
        <w:t xml:space="preserve">second reading speech in respect of the AFCA Establishment </w:t>
      </w:r>
      <w:r w:rsidR="00CB06C6" w:rsidRPr="00763F87">
        <w:t>Bill</w:t>
      </w:r>
      <w:r w:rsidR="00CB06C6" w:rsidRPr="00531F7F">
        <w:t xml:space="preserve"> </w:t>
      </w:r>
      <w:r w:rsidR="00CB06C6">
        <w:t>(</w:t>
      </w:r>
      <w:r w:rsidR="00CB06C6" w:rsidRPr="00902305">
        <w:rPr>
          <w:b/>
        </w:rPr>
        <w:t>Second Reading Speech</w:t>
      </w:r>
      <w:r w:rsidR="00CB06C6">
        <w:t>)</w:t>
      </w:r>
      <w:r w:rsidR="007B2323">
        <w:t xml:space="preserve"> </w:t>
      </w:r>
      <w:r>
        <w:t>and the</w:t>
      </w:r>
      <w:r w:rsidR="00D90BAE">
        <w:t xml:space="preserve"> Revised EM to support an inference that the legislature </w:t>
      </w:r>
      <w:r w:rsidR="00D90BAE" w:rsidRPr="00D90BAE">
        <w:t xml:space="preserve">intended to preserve the scope and structure of the former regime in the </w:t>
      </w:r>
      <w:r w:rsidR="0006638C">
        <w:t>AFCA Scheme</w:t>
      </w:r>
      <w:r w:rsidR="00D90BAE" w:rsidRPr="00D90BAE">
        <w:t xml:space="preserve"> so as to support his </w:t>
      </w:r>
      <w:r w:rsidR="002D1CA9">
        <w:t xml:space="preserve">Honour’s </w:t>
      </w:r>
      <w:r w:rsidR="00D90BAE" w:rsidRPr="00D90BAE">
        <w:t>ultimate construction of s 1053</w:t>
      </w:r>
      <w:r w:rsidR="00D90BAE">
        <w:t>.</w:t>
      </w:r>
    </w:p>
    <w:p w14:paraId="67826CA3" w14:textId="20547710" w:rsidR="00350B32" w:rsidRDefault="000052B7" w:rsidP="00350B32">
      <w:pPr>
        <w:pStyle w:val="ParaNumbering"/>
      </w:pPr>
      <w:r>
        <w:t xml:space="preserve">MetLife </w:t>
      </w:r>
      <w:r w:rsidR="00350B32">
        <w:t xml:space="preserve">submits that </w:t>
      </w:r>
      <w:r w:rsidR="00350B32" w:rsidRPr="00350B32">
        <w:t xml:space="preserve">when the Second Reading Speech and the Ramsay Report are considered in full, together with the </w:t>
      </w:r>
      <w:r w:rsidR="00350B32">
        <w:t>Revised EM</w:t>
      </w:r>
      <w:r w:rsidR="003503CD">
        <w:t>,</w:t>
      </w:r>
      <w:r w:rsidR="00350B32" w:rsidRPr="00350B32">
        <w:t xml:space="preserve"> no legislative intention can be discerned </w:t>
      </w:r>
      <w:r w:rsidR="00350B32">
        <w:t xml:space="preserve">to </w:t>
      </w:r>
      <w:r w:rsidR="00350B32" w:rsidRPr="00350B32">
        <w:t xml:space="preserve">create a “one-stop shop” external dispute resolution scheme </w:t>
      </w:r>
      <w:r w:rsidR="00350B32">
        <w:t xml:space="preserve">by the AFCA Act </w:t>
      </w:r>
      <w:r w:rsidR="00350B32" w:rsidRPr="00350B32">
        <w:t>that otherwise preserved the types of determination that could previously be made by the SCT and FOS</w:t>
      </w:r>
      <w:r w:rsidR="00350B32">
        <w:t>.</w:t>
      </w:r>
      <w:r w:rsidR="00350B32" w:rsidRPr="00350B32">
        <w:t xml:space="preserve"> </w:t>
      </w:r>
      <w:r w:rsidR="00350B32">
        <w:t>It submits that t</w:t>
      </w:r>
      <w:r w:rsidR="00350B32" w:rsidRPr="00350B32">
        <w:t xml:space="preserve">he phrase </w:t>
      </w:r>
      <w:r w:rsidR="00350B32">
        <w:t>“</w:t>
      </w:r>
      <w:r w:rsidR="003503CD">
        <w:t>one-</w:t>
      </w:r>
      <w:r w:rsidR="00350B32">
        <w:t xml:space="preserve">stop shop” </w:t>
      </w:r>
      <w:r w:rsidR="00350B32" w:rsidRPr="00350B32">
        <w:t>is equally capable of being read as a short-hand reference to the replacement of multiple decision-making bodies with a single decision-making body</w:t>
      </w:r>
      <w:r w:rsidR="00350B32">
        <w:t>.</w:t>
      </w:r>
    </w:p>
    <w:p w14:paraId="4AF639E3" w14:textId="77777777" w:rsidR="00A0051F" w:rsidRDefault="000052B7" w:rsidP="00A0051F">
      <w:pPr>
        <w:pStyle w:val="ParaNumbering"/>
      </w:pPr>
      <w:r>
        <w:t xml:space="preserve">MetLife </w:t>
      </w:r>
      <w:r w:rsidR="006E5246">
        <w:t>submits that on a fair and complete reading, the Ramsay Report should be understood to recommend</w:t>
      </w:r>
      <w:r w:rsidR="006E5246">
        <w:rPr>
          <w:spacing w:val="-11"/>
        </w:rPr>
        <w:t xml:space="preserve"> </w:t>
      </w:r>
      <w:r w:rsidR="006E5246">
        <w:t>a</w:t>
      </w:r>
      <w:r w:rsidR="006E5246">
        <w:rPr>
          <w:spacing w:val="-11"/>
        </w:rPr>
        <w:t xml:space="preserve"> </w:t>
      </w:r>
      <w:r w:rsidR="006E5246">
        <w:t>new</w:t>
      </w:r>
      <w:r w:rsidR="006E5246">
        <w:rPr>
          <w:spacing w:val="-11"/>
        </w:rPr>
        <w:t xml:space="preserve"> </w:t>
      </w:r>
      <w:r w:rsidR="006E5246">
        <w:t>external</w:t>
      </w:r>
      <w:r w:rsidR="006E5246">
        <w:rPr>
          <w:spacing w:val="-11"/>
        </w:rPr>
        <w:t xml:space="preserve"> </w:t>
      </w:r>
      <w:r w:rsidR="006E5246">
        <w:t>dispute</w:t>
      </w:r>
      <w:r w:rsidR="006E5246">
        <w:rPr>
          <w:spacing w:val="-11"/>
        </w:rPr>
        <w:t xml:space="preserve"> </w:t>
      </w:r>
      <w:r w:rsidR="006E5246">
        <w:t>resolution</w:t>
      </w:r>
      <w:r w:rsidR="006E5246">
        <w:rPr>
          <w:spacing w:val="-11"/>
        </w:rPr>
        <w:t xml:space="preserve"> </w:t>
      </w:r>
      <w:r w:rsidR="006E5246">
        <w:t>scheme</w:t>
      </w:r>
      <w:r w:rsidR="006E5246">
        <w:rPr>
          <w:spacing w:val="-11"/>
        </w:rPr>
        <w:t xml:space="preserve"> </w:t>
      </w:r>
      <w:r w:rsidR="006E5246">
        <w:t>within</w:t>
      </w:r>
      <w:r w:rsidR="006E5246">
        <w:rPr>
          <w:spacing w:val="-11"/>
        </w:rPr>
        <w:t xml:space="preserve"> </w:t>
      </w:r>
      <w:r w:rsidR="006E5246">
        <w:t>which</w:t>
      </w:r>
      <w:r w:rsidR="006E5246">
        <w:rPr>
          <w:spacing w:val="-11"/>
        </w:rPr>
        <w:t xml:space="preserve"> </w:t>
      </w:r>
      <w:r w:rsidR="006E5246">
        <w:t>a</w:t>
      </w:r>
      <w:r w:rsidR="006E5246">
        <w:rPr>
          <w:spacing w:val="-11"/>
        </w:rPr>
        <w:t xml:space="preserve"> </w:t>
      </w:r>
      <w:r w:rsidR="006E5246">
        <w:t>binary</w:t>
      </w:r>
      <w:r w:rsidR="006E5246">
        <w:rPr>
          <w:spacing w:val="-11"/>
        </w:rPr>
        <w:t xml:space="preserve"> </w:t>
      </w:r>
      <w:r w:rsidR="006E5246">
        <w:t>world</w:t>
      </w:r>
      <w:r w:rsidR="006E5246">
        <w:rPr>
          <w:spacing w:val="-11"/>
        </w:rPr>
        <w:t xml:space="preserve"> </w:t>
      </w:r>
      <w:r w:rsidR="006E5246">
        <w:t>exists</w:t>
      </w:r>
      <w:r w:rsidR="006E5246">
        <w:rPr>
          <w:spacing w:val="-11"/>
        </w:rPr>
        <w:t xml:space="preserve"> </w:t>
      </w:r>
      <w:r w:rsidR="006E5246">
        <w:t>where a complaint relating to superannuation must be dealt with within a discrete superannuation jurisdiction or not at all, whereas non-superannuation complaints are dealt with in a separate general</w:t>
      </w:r>
      <w:r w:rsidR="006E5246">
        <w:rPr>
          <w:spacing w:val="-15"/>
        </w:rPr>
        <w:t xml:space="preserve"> </w:t>
      </w:r>
      <w:r w:rsidR="006E5246">
        <w:t>jurisdiction</w:t>
      </w:r>
      <w:r w:rsidR="006E5246">
        <w:rPr>
          <w:spacing w:val="-15"/>
        </w:rPr>
        <w:t xml:space="preserve"> </w:t>
      </w:r>
      <w:r w:rsidR="006E5246">
        <w:t>with</w:t>
      </w:r>
      <w:r w:rsidR="006E5246">
        <w:rPr>
          <w:spacing w:val="-15"/>
        </w:rPr>
        <w:t xml:space="preserve"> </w:t>
      </w:r>
      <w:r w:rsidR="006E5246">
        <w:t>different</w:t>
      </w:r>
      <w:r w:rsidR="006E5246">
        <w:rPr>
          <w:spacing w:val="-15"/>
        </w:rPr>
        <w:t xml:space="preserve"> </w:t>
      </w:r>
      <w:r w:rsidR="006E5246">
        <w:t>rules</w:t>
      </w:r>
      <w:r w:rsidR="006E5246">
        <w:rPr>
          <w:spacing w:val="-15"/>
        </w:rPr>
        <w:t xml:space="preserve"> </w:t>
      </w:r>
      <w:r w:rsidR="006E5246">
        <w:t>and</w:t>
      </w:r>
      <w:r w:rsidR="006E5246">
        <w:rPr>
          <w:spacing w:val="-15"/>
        </w:rPr>
        <w:t xml:space="preserve"> </w:t>
      </w:r>
      <w:r w:rsidR="006E5246">
        <w:t>procedures.</w:t>
      </w:r>
    </w:p>
    <w:p w14:paraId="68DFDD19" w14:textId="53EEB5EA" w:rsidR="00A0051F" w:rsidRDefault="006E5246" w:rsidP="00CE64F4">
      <w:pPr>
        <w:pStyle w:val="ParaNumbering"/>
      </w:pPr>
      <w:r>
        <w:t xml:space="preserve">MetLife also seeks to rely on the changes made in the text of what ultimately became s 1053 between </w:t>
      </w:r>
      <w:r w:rsidR="005A79FB">
        <w:t>an exposure draft of the proposed legislation to establish AFCA (</w:t>
      </w:r>
      <w:r w:rsidRPr="00A0051F">
        <w:rPr>
          <w:b/>
        </w:rPr>
        <w:t>Exposure Draft</w:t>
      </w:r>
      <w:r w:rsidR="005A79FB">
        <w:t>)</w:t>
      </w:r>
      <w:r>
        <w:t xml:space="preserve"> and the </w:t>
      </w:r>
      <w:r w:rsidR="005A79FB" w:rsidRPr="00A0051F">
        <w:t>AFCA Establishment Bill</w:t>
      </w:r>
      <w:r>
        <w:t xml:space="preserve">. It submits that whereas the draft provision in the Exposure </w:t>
      </w:r>
      <w:r>
        <w:lastRenderedPageBreak/>
        <w:t>Draft was essentially definitional, by introducing the concept of a “</w:t>
      </w:r>
      <w:r w:rsidRPr="00A0051F">
        <w:rPr>
          <w:iCs/>
        </w:rPr>
        <w:t>complaint relating to superannuation</w:t>
      </w:r>
      <w:r>
        <w:t>”, which has a wider ambit than the categories of complaint in the subsections to the provision, and adding words of exclusion (“</w:t>
      </w:r>
      <w:r w:rsidRPr="00A0051F">
        <w:rPr>
          <w:iCs/>
        </w:rPr>
        <w:t>only if</w:t>
      </w:r>
      <w:r>
        <w:t xml:space="preserve">”), the legislature makes clear that there is a class of complaint that cannot be dealt with as part of the </w:t>
      </w:r>
      <w:r w:rsidR="0006638C">
        <w:t>AFCA Scheme</w:t>
      </w:r>
      <w:r>
        <w:t xml:space="preserve"> </w:t>
      </w:r>
      <w:r w:rsidRPr="00A0051F">
        <w:rPr>
          <w:i/>
          <w:iCs/>
        </w:rPr>
        <w:t>at all</w:t>
      </w:r>
      <w:r>
        <w:t>, namely complaints “</w:t>
      </w:r>
      <w:r w:rsidRPr="00A0051F">
        <w:rPr>
          <w:iCs/>
        </w:rPr>
        <w:t>relating to superannuation</w:t>
      </w:r>
      <w:r>
        <w:t xml:space="preserve">” that do not fall within </w:t>
      </w:r>
      <w:r w:rsidR="00172E56">
        <w:t>s</w:t>
      </w:r>
      <w:r w:rsidR="00B433FE">
        <w:t>ub-</w:t>
      </w:r>
      <w:proofErr w:type="spellStart"/>
      <w:r w:rsidR="00B433FE">
        <w:t>ss</w:t>
      </w:r>
      <w:proofErr w:type="spellEnd"/>
      <w:r w:rsidR="0060415C">
        <w:t xml:space="preserve"> </w:t>
      </w:r>
      <w:r>
        <w:t>1053(1)(a)-(j).</w:t>
      </w:r>
    </w:p>
    <w:p w14:paraId="219BFF84" w14:textId="6E5C601B" w:rsidR="00CE64F4" w:rsidRDefault="00CE64F4" w:rsidP="00A0051F">
      <w:pPr>
        <w:pStyle w:val="Heading2"/>
      </w:pPr>
      <w:r>
        <w:t>AFCA submissions</w:t>
      </w:r>
    </w:p>
    <w:p w14:paraId="78A62EC3" w14:textId="77777777" w:rsidR="00CB6F68" w:rsidRPr="00CB6F68" w:rsidRDefault="00CB6F68" w:rsidP="00CB6F68">
      <w:pPr>
        <w:pStyle w:val="Heading3"/>
      </w:pPr>
      <w:r>
        <w:t>Overview</w:t>
      </w:r>
    </w:p>
    <w:p w14:paraId="1A5CD771" w14:textId="5E2A6F4B" w:rsidR="00473A29" w:rsidRDefault="00473A29" w:rsidP="00473A29">
      <w:pPr>
        <w:pStyle w:val="ParaNumbering"/>
      </w:pPr>
      <w:r w:rsidRPr="00473A29">
        <w:t>AFCA supports the primary judge</w:t>
      </w:r>
      <w:r w:rsidR="002D1CA9">
        <w:t>’</w:t>
      </w:r>
      <w:r w:rsidRPr="00473A29">
        <w:t xml:space="preserve">s </w:t>
      </w:r>
      <w:r>
        <w:t xml:space="preserve">finding at </w:t>
      </w:r>
      <w:r w:rsidRPr="00473A29">
        <w:t xml:space="preserve">J [102] that the phrase </w:t>
      </w:r>
      <w:r w:rsidR="00996237">
        <w:t>“</w:t>
      </w:r>
      <w:r w:rsidRPr="00473A29">
        <w:t>a complaint relating to superannuation</w:t>
      </w:r>
      <w:r w:rsidR="00CB584F">
        <w:t>”</w:t>
      </w:r>
      <w:r w:rsidRPr="00473A29">
        <w:t xml:space="preserve"> under the </w:t>
      </w:r>
      <w:r w:rsidR="0006638C">
        <w:t>AFCA Scheme</w:t>
      </w:r>
      <w:r w:rsidRPr="00473A29">
        <w:t xml:space="preserve"> means a complaint that relates to superannuation in the sense that it seeks to invoke the particular statutory authority conferred by </w:t>
      </w:r>
      <w:proofErr w:type="spellStart"/>
      <w:r w:rsidRPr="00473A29">
        <w:t>Div</w:t>
      </w:r>
      <w:proofErr w:type="spellEnd"/>
      <w:r w:rsidRPr="00473A29">
        <w:t xml:space="preserve"> 3 of Pt 7.10A of the Corporations Act. </w:t>
      </w:r>
      <w:r>
        <w:t xml:space="preserve">It submits that this </w:t>
      </w:r>
      <w:r w:rsidRPr="00473A29">
        <w:t xml:space="preserve">is a construction </w:t>
      </w:r>
      <w:r w:rsidR="002D1CA9">
        <w:t>that</w:t>
      </w:r>
      <w:r w:rsidR="002D1CA9" w:rsidRPr="00473A29">
        <w:t xml:space="preserve"> </w:t>
      </w:r>
      <w:r w:rsidRPr="00473A29">
        <w:t xml:space="preserve">is open on the text of </w:t>
      </w:r>
      <w:r>
        <w:t xml:space="preserve">s </w:t>
      </w:r>
      <w:r w:rsidRPr="00473A29">
        <w:t xml:space="preserve">1053, and one </w:t>
      </w:r>
      <w:r w:rsidR="002D1CA9">
        <w:t>that</w:t>
      </w:r>
      <w:r w:rsidR="002D1CA9" w:rsidRPr="00473A29">
        <w:t xml:space="preserve"> </w:t>
      </w:r>
      <w:r w:rsidRPr="00473A29">
        <w:t>is strongly favoured by the legislative context.</w:t>
      </w:r>
    </w:p>
    <w:p w14:paraId="76C1D367" w14:textId="77777777" w:rsidR="00CB6F68" w:rsidRDefault="00CB6F68" w:rsidP="00CB6F68">
      <w:pPr>
        <w:pStyle w:val="Heading3"/>
      </w:pPr>
      <w:r>
        <w:t>Textual meaning</w:t>
      </w:r>
    </w:p>
    <w:p w14:paraId="04D80FF5" w14:textId="1BA619C0" w:rsidR="00AB60E2" w:rsidRPr="00AB60E2" w:rsidRDefault="00473A29" w:rsidP="00AB60E2">
      <w:pPr>
        <w:pStyle w:val="ParaNumbering"/>
      </w:pPr>
      <w:r>
        <w:t>AFCA submits that</w:t>
      </w:r>
      <w:r w:rsidR="002D1CA9">
        <w:t>,</w:t>
      </w:r>
      <w:r w:rsidR="00AB60E2" w:rsidRPr="00AB60E2">
        <w:t xml:space="preserve"> </w:t>
      </w:r>
      <w:r w:rsidR="00AB60E2">
        <w:t>g</w:t>
      </w:r>
      <w:r w:rsidR="00AB60E2" w:rsidRPr="00AB60E2">
        <w:t>iven the strong contextual factors</w:t>
      </w:r>
      <w:r w:rsidR="002D1CA9">
        <w:t>,</w:t>
      </w:r>
      <w:r w:rsidR="00AB60E2">
        <w:t xml:space="preserve"> </w:t>
      </w:r>
      <w:r w:rsidR="00AB60E2" w:rsidRPr="00AB60E2">
        <w:t xml:space="preserve">it is open to read “relating to superannuation” </w:t>
      </w:r>
      <w:r w:rsidR="00AB60E2">
        <w:t xml:space="preserve">in the chapeau to s 1053(1) </w:t>
      </w:r>
      <w:r w:rsidR="00AB60E2" w:rsidRPr="00AB60E2">
        <w:t xml:space="preserve">as an identification of the genus of matters which s 1053 then introduces in </w:t>
      </w:r>
      <w:r w:rsidR="00B05326">
        <w:t>sub-</w:t>
      </w:r>
      <w:proofErr w:type="spellStart"/>
      <w:r w:rsidR="00AB60E2" w:rsidRPr="00AB60E2">
        <w:t>ss</w:t>
      </w:r>
      <w:proofErr w:type="spellEnd"/>
      <w:r w:rsidR="00AB60E2" w:rsidRPr="00AB60E2">
        <w:t xml:space="preserve"> (1)(a)-(j). In this way, </w:t>
      </w:r>
      <w:r w:rsidR="00AB60E2">
        <w:t xml:space="preserve">it submits </w:t>
      </w:r>
      <w:r w:rsidR="003503CD">
        <w:t xml:space="preserve">that </w:t>
      </w:r>
      <w:r w:rsidR="00AB60E2" w:rsidRPr="00AB60E2">
        <w:t xml:space="preserve">“complaint relating to superannuation” is </w:t>
      </w:r>
      <w:r w:rsidR="00AB60E2">
        <w:t xml:space="preserve">to be </w:t>
      </w:r>
      <w:r w:rsidR="00AB60E2" w:rsidRPr="00AB60E2">
        <w:t>construed to mean nothing wider than the matters listed thereunder.</w:t>
      </w:r>
      <w:r w:rsidR="00AB60E2">
        <w:t xml:space="preserve"> It submits that this</w:t>
      </w:r>
      <w:r w:rsidR="00AB60E2" w:rsidRPr="00AB60E2">
        <w:t xml:space="preserve"> is consistent with the fact that s 1053(3) defines a complaint made in accordance with subsection (1) as a </w:t>
      </w:r>
      <w:r w:rsidR="00996237">
        <w:t>“</w:t>
      </w:r>
      <w:r w:rsidR="00AB60E2" w:rsidRPr="00AB60E2">
        <w:t>superannuation complaint</w:t>
      </w:r>
      <w:r w:rsidR="00996237">
        <w:t>”</w:t>
      </w:r>
      <w:r w:rsidR="00AB60E2" w:rsidRPr="00AB60E2">
        <w:t xml:space="preserve"> </w:t>
      </w:r>
      <w:r w:rsidR="002D1CA9">
        <w:t>—</w:t>
      </w:r>
      <w:r w:rsidR="00AB60E2" w:rsidRPr="00AB60E2">
        <w:t xml:space="preserve"> there being intuitive </w:t>
      </w:r>
      <w:r w:rsidR="00EA02C0">
        <w:t>“</w:t>
      </w:r>
      <w:r w:rsidR="00EA02C0" w:rsidRPr="00AB60E2">
        <w:t>synonym</w:t>
      </w:r>
      <w:r w:rsidR="00EA02C0">
        <w:t>ousness”</w:t>
      </w:r>
      <w:r w:rsidR="00EA02C0" w:rsidRPr="00AB60E2">
        <w:t xml:space="preserve"> </w:t>
      </w:r>
      <w:r w:rsidR="00AB60E2" w:rsidRPr="00AB60E2">
        <w:t xml:space="preserve">between </w:t>
      </w:r>
      <w:r w:rsidR="00996237">
        <w:t>“</w:t>
      </w:r>
      <w:r w:rsidR="00EA02C0">
        <w:t xml:space="preserve">a </w:t>
      </w:r>
      <w:r w:rsidR="00AB60E2" w:rsidRPr="00AB60E2">
        <w:t>superannuation complaint</w:t>
      </w:r>
      <w:r w:rsidR="00996237">
        <w:t>”</w:t>
      </w:r>
      <w:r w:rsidR="00AB60E2" w:rsidRPr="00AB60E2">
        <w:t xml:space="preserve"> and </w:t>
      </w:r>
      <w:r w:rsidR="00996237">
        <w:t>“</w:t>
      </w:r>
      <w:r w:rsidR="00AB60E2" w:rsidRPr="00AB60E2">
        <w:t>a complaint relating to superannuation</w:t>
      </w:r>
      <w:r w:rsidR="00996237">
        <w:t>”</w:t>
      </w:r>
      <w:r w:rsidR="00AB60E2" w:rsidRPr="00AB60E2">
        <w:t>.</w:t>
      </w:r>
    </w:p>
    <w:p w14:paraId="6FE8CF17" w14:textId="35CB4C7E" w:rsidR="00473A29" w:rsidRPr="00CB6F68" w:rsidRDefault="00AB60E2">
      <w:pPr>
        <w:pStyle w:val="ParaNumbering"/>
      </w:pPr>
      <w:r>
        <w:t xml:space="preserve">AFCA submits that it is equally open to read the words “only if” as intended to reinforce the fact that it is only </w:t>
      </w:r>
      <w:r w:rsidRPr="00763F87">
        <w:rPr>
          <w:i/>
        </w:rPr>
        <w:t>those</w:t>
      </w:r>
      <w:r>
        <w:t xml:space="preserve"> complaints listed that are affected by the peculiar statutory powers, limitations and appeal rights that apply to superannuation complaints in </w:t>
      </w:r>
      <w:proofErr w:type="spellStart"/>
      <w:r>
        <w:t>Div</w:t>
      </w:r>
      <w:proofErr w:type="spellEnd"/>
      <w:r>
        <w:t xml:space="preserve"> 3 of Pt</w:t>
      </w:r>
      <w:r w:rsidR="00643DE7">
        <w:t> </w:t>
      </w:r>
      <w:r>
        <w:t xml:space="preserve">7.10A of the </w:t>
      </w:r>
      <w:r w:rsidRPr="007A3CF2">
        <w:rPr>
          <w:iCs/>
        </w:rPr>
        <w:t>Corporations Ac</w:t>
      </w:r>
      <w:r w:rsidRPr="00A0051F">
        <w:rPr>
          <w:iCs/>
        </w:rPr>
        <w:t>t</w:t>
      </w:r>
      <w:r>
        <w:t>, and which do not apply to complaints determined in AFCA’s general (non-superannuation) jurisdiction.</w:t>
      </w:r>
      <w:r w:rsidRPr="00AB60E2">
        <w:t xml:space="preserve"> </w:t>
      </w:r>
      <w:r>
        <w:t xml:space="preserve">It submits that </w:t>
      </w:r>
      <w:r w:rsidRPr="00AB60E2">
        <w:t xml:space="preserve">on this approach, the reference in s 1053(1) to complaints “under the </w:t>
      </w:r>
      <w:r w:rsidR="0006638C">
        <w:t>AFCA Scheme</w:t>
      </w:r>
      <w:r w:rsidRPr="00AB60E2">
        <w:t xml:space="preserve">” (which includes AFCA’s general jurisdiction) simply reflects that a complaint under the </w:t>
      </w:r>
      <w:r w:rsidR="0006638C">
        <w:t>AFCA Scheme</w:t>
      </w:r>
      <w:r w:rsidRPr="00AB60E2">
        <w:t xml:space="preserve"> will not attract those peculiar statutory powers, limitations and appeal rights unless it answers the description of a type of complaint listed in s 1053(1).</w:t>
      </w:r>
    </w:p>
    <w:p w14:paraId="515DA22F" w14:textId="77777777" w:rsidR="00CB6F68" w:rsidRDefault="00CB6F68" w:rsidP="00CB6F68">
      <w:pPr>
        <w:pStyle w:val="Heading3"/>
      </w:pPr>
      <w:r>
        <w:lastRenderedPageBreak/>
        <w:t>Statutory context</w:t>
      </w:r>
    </w:p>
    <w:p w14:paraId="1023D698" w14:textId="53425DD5" w:rsidR="004E62AE" w:rsidRDefault="00A964BA" w:rsidP="00A964BA">
      <w:pPr>
        <w:pStyle w:val="ParaNumbering"/>
      </w:pPr>
      <w:r>
        <w:t xml:space="preserve">AFCA submits that the construction propounded by MetLife creates </w:t>
      </w:r>
      <w:r w:rsidRPr="00A964BA">
        <w:t>new lacunae by which complaints that could previously be entertained under contractual external dispute resolution schemes could no longer</w:t>
      </w:r>
      <w:r>
        <w:t xml:space="preserve"> be entertained</w:t>
      </w:r>
      <w:r w:rsidRPr="00A964BA">
        <w:t>. It submit</w:t>
      </w:r>
      <w:r>
        <w:t>s</w:t>
      </w:r>
      <w:r w:rsidRPr="00A964BA">
        <w:t xml:space="preserve"> that that is an anomalous, inconvenient and unreasonable consequence</w:t>
      </w:r>
      <w:r w:rsidR="004E62AE">
        <w:t xml:space="preserve">. It submits that it is a consequence </w:t>
      </w:r>
      <w:r w:rsidRPr="00A964BA">
        <w:t>that should be striven against should there be an alternative reading of the provision which is open.</w:t>
      </w:r>
      <w:r>
        <w:t xml:space="preserve"> </w:t>
      </w:r>
    </w:p>
    <w:p w14:paraId="49EC3FD0" w14:textId="098E0BF3" w:rsidR="00AB60E2" w:rsidRDefault="004E62AE" w:rsidP="00A964BA">
      <w:pPr>
        <w:pStyle w:val="ParaNumbering"/>
      </w:pPr>
      <w:r>
        <w:t>AFCA</w:t>
      </w:r>
      <w:r w:rsidR="00A964BA">
        <w:t xml:space="preserve"> submits that</w:t>
      </w:r>
      <w:r w:rsidR="00A0051F">
        <w:t>,</w:t>
      </w:r>
      <w:r w:rsidR="00A964BA">
        <w:t xml:space="preserve"> contrary to MetLife’s submissions there is no “jurisdictional election”, a complaint either answers the description of the kinds of complaint specified in s 1053(1)</w:t>
      </w:r>
      <w:r w:rsidR="00A0051F">
        <w:t>,</w:t>
      </w:r>
      <w:r w:rsidR="00A964BA">
        <w:t xml:space="preserve"> in which case the “powers and protections” apply</w:t>
      </w:r>
      <w:r w:rsidR="00A0051F">
        <w:t>,</w:t>
      </w:r>
      <w:r w:rsidR="00A964BA">
        <w:t xml:space="preserve"> or it does not, in which case the “powers and protections” do not apply.</w:t>
      </w:r>
    </w:p>
    <w:p w14:paraId="6B64B7AE" w14:textId="680459B2" w:rsidR="004E45D5" w:rsidRDefault="00A964BA" w:rsidP="00C61A1C">
      <w:pPr>
        <w:pStyle w:val="ParaNumbering"/>
      </w:pPr>
      <w:r>
        <w:t>AFCA submits that t</w:t>
      </w:r>
      <w:r w:rsidRPr="00A964BA">
        <w:t>he fact that non-payment by an insurer under a group insurance policy might sometimes be brought as a complaint against the insurer, and sometimes as a complaint against the trustee, reflects, if anything, the peripheral nature of the subject matter to the concept of superannuation at all. It is not a reason to shut out the insured from making financial complaints against the insurer where he or she could previously have done so.</w:t>
      </w:r>
      <w:r>
        <w:t xml:space="preserve"> </w:t>
      </w:r>
    </w:p>
    <w:p w14:paraId="0758EA0E" w14:textId="341688F9" w:rsidR="00A964BA" w:rsidRPr="00A964BA" w:rsidRDefault="004E45D5" w:rsidP="00C61A1C">
      <w:pPr>
        <w:pStyle w:val="ParaNumbering"/>
      </w:pPr>
      <w:r>
        <w:t>AFCA</w:t>
      </w:r>
      <w:r w:rsidR="00A964BA">
        <w:t xml:space="preserve"> submits </w:t>
      </w:r>
      <w:r w:rsidR="00C61A1C">
        <w:t xml:space="preserve">that it is </w:t>
      </w:r>
      <w:r w:rsidR="00C61A1C" w:rsidRPr="00C61A1C">
        <w:t>not per se objectionable that similar subject matter might be treated differently in different jurisdictions</w:t>
      </w:r>
      <w:r w:rsidR="00C61A1C">
        <w:t>. It points to</w:t>
      </w:r>
      <w:r w:rsidR="00C61A1C" w:rsidRPr="00C61A1C">
        <w:t xml:space="preserve"> </w:t>
      </w:r>
      <w:r w:rsidR="00A964BA">
        <w:t>choices that plaintiffs might have to bring claims in the Victorian Civil and Administrative Tribunal or the Victorian Magistrates Court</w:t>
      </w:r>
      <w:r w:rsidR="00C61A1C">
        <w:t>,</w:t>
      </w:r>
      <w:r w:rsidR="00A964BA">
        <w:t xml:space="preserve"> with different rules of evidence and different rights of appeal</w:t>
      </w:r>
      <w:r w:rsidR="00C61A1C">
        <w:t>,</w:t>
      </w:r>
      <w:r w:rsidR="00A964BA">
        <w:t xml:space="preserve"> </w:t>
      </w:r>
      <w:r w:rsidR="00C61A1C">
        <w:t xml:space="preserve">but submits </w:t>
      </w:r>
      <w:r w:rsidR="00A964BA">
        <w:t xml:space="preserve">that the existence of these choices could </w:t>
      </w:r>
      <w:r w:rsidR="00C61A1C">
        <w:t xml:space="preserve">not </w:t>
      </w:r>
      <w:r w:rsidR="00A964BA">
        <w:t>be said to “circumvent and therefore subvert” the rules of either forum.</w:t>
      </w:r>
    </w:p>
    <w:p w14:paraId="7917C63E" w14:textId="6F109A7E" w:rsidR="00A86F98" w:rsidRPr="00551EFC" w:rsidRDefault="00C61A1C" w:rsidP="00A86F98">
      <w:pPr>
        <w:pStyle w:val="ParaNumbering"/>
      </w:pPr>
      <w:r>
        <w:t xml:space="preserve">AFCA submits that the relevant criterion under the </w:t>
      </w:r>
      <w:r w:rsidR="0006638C">
        <w:t>AFCA Scheme</w:t>
      </w:r>
      <w:r>
        <w:t xml:space="preserve"> is that the Minister must be satisfied that </w:t>
      </w:r>
      <w:r w:rsidR="00A86F98" w:rsidRPr="00A86F98">
        <w:t xml:space="preserve">“the complaints mechanism under the scheme is appropriately </w:t>
      </w:r>
      <w:r w:rsidR="00A86F98" w:rsidRPr="0060415C">
        <w:rPr>
          <w:szCs w:val="24"/>
        </w:rPr>
        <w:t xml:space="preserve">accessible to </w:t>
      </w:r>
      <w:r w:rsidR="00A86F98" w:rsidRPr="0060415C">
        <w:rPr>
          <w:szCs w:val="24"/>
          <w:u w:val="single"/>
        </w:rPr>
        <w:t>persons dissatisfied with members of the scheme</w:t>
      </w:r>
      <w:r w:rsidR="00A86F98" w:rsidRPr="0060415C">
        <w:rPr>
          <w:szCs w:val="24"/>
        </w:rPr>
        <w:t xml:space="preserve">” </w:t>
      </w:r>
      <w:r w:rsidR="00A0051F">
        <w:rPr>
          <w:szCs w:val="24"/>
        </w:rPr>
        <w:t>(</w:t>
      </w:r>
      <w:r w:rsidR="00A86F98" w:rsidRPr="0060415C">
        <w:rPr>
          <w:szCs w:val="24"/>
        </w:rPr>
        <w:t>AFCA emphasis</w:t>
      </w:r>
      <w:r w:rsidR="00A0051F">
        <w:rPr>
          <w:szCs w:val="24"/>
        </w:rPr>
        <w:t>)</w:t>
      </w:r>
      <w:r w:rsidR="00A86F98" w:rsidRPr="0060415C">
        <w:rPr>
          <w:szCs w:val="24"/>
        </w:rPr>
        <w:t xml:space="preserve">. It submits that the AFCA Rules do not require the complainant to have been a </w:t>
      </w:r>
      <w:r w:rsidR="00711DCB" w:rsidRPr="0060415C">
        <w:rPr>
          <w:szCs w:val="24"/>
        </w:rPr>
        <w:t>“</w:t>
      </w:r>
      <w:r w:rsidR="00A86F98" w:rsidRPr="0060415C">
        <w:rPr>
          <w:szCs w:val="24"/>
        </w:rPr>
        <w:t>retail client</w:t>
      </w:r>
      <w:r w:rsidR="0060415C" w:rsidRPr="0060415C">
        <w:rPr>
          <w:szCs w:val="24"/>
        </w:rPr>
        <w:t>”</w:t>
      </w:r>
      <w:r w:rsidR="00A86F98" w:rsidRPr="0060415C">
        <w:rPr>
          <w:szCs w:val="24"/>
        </w:rPr>
        <w:t xml:space="preserve"> of the member, </w:t>
      </w:r>
      <w:r w:rsidR="00CB6F68" w:rsidRPr="0060415C">
        <w:rPr>
          <w:szCs w:val="24"/>
        </w:rPr>
        <w:t xml:space="preserve">and that this </w:t>
      </w:r>
      <w:r w:rsidR="00A86F98" w:rsidRPr="0060415C">
        <w:rPr>
          <w:szCs w:val="24"/>
        </w:rPr>
        <w:t xml:space="preserve">accommodates the legislative intention that </w:t>
      </w:r>
      <w:r w:rsidR="00711DCB" w:rsidRPr="0060415C">
        <w:rPr>
          <w:szCs w:val="24"/>
        </w:rPr>
        <w:t>“</w:t>
      </w:r>
      <w:r w:rsidR="00A86F98" w:rsidRPr="0060415C">
        <w:rPr>
          <w:szCs w:val="24"/>
        </w:rPr>
        <w:t>all financial complaints</w:t>
      </w:r>
      <w:r w:rsidR="0060415C" w:rsidRPr="0060415C">
        <w:rPr>
          <w:szCs w:val="24"/>
        </w:rPr>
        <w:t>”</w:t>
      </w:r>
      <w:r w:rsidR="00A86F98" w:rsidRPr="0060415C">
        <w:rPr>
          <w:szCs w:val="24"/>
        </w:rPr>
        <w:t xml:space="preserve"> be brought in the one forum. It submits that once a financial services licensee is a member of AFCA it is bound by th</w:t>
      </w:r>
      <w:r w:rsidR="00A86F98" w:rsidRPr="00EC5792">
        <w:rPr>
          <w:szCs w:val="24"/>
        </w:rPr>
        <w:t xml:space="preserve">e entirety of the AFCA Rules, independently of the occasion for </w:t>
      </w:r>
      <w:r w:rsidR="004E45D5">
        <w:rPr>
          <w:szCs w:val="24"/>
        </w:rPr>
        <w:t>it</w:t>
      </w:r>
      <w:r w:rsidR="004E45D5" w:rsidRPr="00EC5792">
        <w:rPr>
          <w:szCs w:val="24"/>
        </w:rPr>
        <w:t xml:space="preserve"> </w:t>
      </w:r>
      <w:r w:rsidR="00A86F98" w:rsidRPr="00EC5792">
        <w:rPr>
          <w:szCs w:val="24"/>
        </w:rPr>
        <w:t>becoming a member.</w:t>
      </w:r>
    </w:p>
    <w:p w14:paraId="2E1545E6" w14:textId="133E92E7" w:rsidR="00551EFC" w:rsidRPr="00A86F98" w:rsidRDefault="00551EFC" w:rsidP="00A86F98">
      <w:pPr>
        <w:pStyle w:val="ParaNumbering"/>
      </w:pPr>
      <w:r>
        <w:rPr>
          <w:szCs w:val="24"/>
        </w:rPr>
        <w:t>AFCA submits that</w:t>
      </w:r>
      <w:r w:rsidR="00A0051F">
        <w:rPr>
          <w:szCs w:val="24"/>
        </w:rPr>
        <w:t>,</w:t>
      </w:r>
      <w:r>
        <w:rPr>
          <w:szCs w:val="24"/>
        </w:rPr>
        <w:t xml:space="preserve"> </w:t>
      </w:r>
      <w:r w:rsidR="00F4207A">
        <w:rPr>
          <w:szCs w:val="24"/>
        </w:rPr>
        <w:t>contrary to the position advanced by MetLife</w:t>
      </w:r>
      <w:r w:rsidR="00A0051F">
        <w:rPr>
          <w:szCs w:val="24"/>
        </w:rPr>
        <w:t>,</w:t>
      </w:r>
      <w:r w:rsidR="00F4207A">
        <w:rPr>
          <w:szCs w:val="24"/>
        </w:rPr>
        <w:t xml:space="preserve"> a person in the position of Mr Edgecombe may have a complaint against the decision of an insurer but not have a genuine grievance against the trustee and therefore the person would be precluded from being a </w:t>
      </w:r>
      <w:r w:rsidR="00F4207A">
        <w:rPr>
          <w:szCs w:val="24"/>
        </w:rPr>
        <w:lastRenderedPageBreak/>
        <w:t>complaint under s 1053(1)(a). It submits that if a trustee pursued a claim for the benefit of a member pursuant to its duty und</w:t>
      </w:r>
      <w:r w:rsidR="00F4207A" w:rsidRPr="007B2323">
        <w:rPr>
          <w:szCs w:val="24"/>
        </w:rPr>
        <w:t>er s 52(</w:t>
      </w:r>
      <w:r w:rsidR="00B4089A" w:rsidRPr="007B2323">
        <w:rPr>
          <w:szCs w:val="24"/>
        </w:rPr>
        <w:t>7)</w:t>
      </w:r>
      <w:r w:rsidR="00F4207A" w:rsidRPr="007B2323">
        <w:rPr>
          <w:szCs w:val="24"/>
        </w:rPr>
        <w:t>(d) o</w:t>
      </w:r>
      <w:r w:rsidR="00F4207A">
        <w:rPr>
          <w:szCs w:val="24"/>
        </w:rPr>
        <w:t xml:space="preserve">f the </w:t>
      </w:r>
      <w:r w:rsidR="00F4207A" w:rsidRPr="00402BE4">
        <w:rPr>
          <w:i/>
          <w:szCs w:val="24"/>
        </w:rPr>
        <w:t xml:space="preserve">Superannuation Industry </w:t>
      </w:r>
      <w:r w:rsidR="00B4089A">
        <w:rPr>
          <w:i/>
          <w:szCs w:val="24"/>
        </w:rPr>
        <w:t>(Supervision)</w:t>
      </w:r>
      <w:r w:rsidR="00A0051F">
        <w:rPr>
          <w:i/>
          <w:szCs w:val="24"/>
        </w:rPr>
        <w:t xml:space="preserve"> </w:t>
      </w:r>
      <w:r w:rsidR="00F4207A" w:rsidRPr="00402BE4">
        <w:rPr>
          <w:i/>
          <w:szCs w:val="24"/>
        </w:rPr>
        <w:t>Act 1993</w:t>
      </w:r>
      <w:r w:rsidR="00F4207A">
        <w:rPr>
          <w:szCs w:val="24"/>
        </w:rPr>
        <w:t xml:space="preserve"> (</w:t>
      </w:r>
      <w:proofErr w:type="spellStart"/>
      <w:r w:rsidR="00F4207A">
        <w:rPr>
          <w:szCs w:val="24"/>
        </w:rPr>
        <w:t>Cth</w:t>
      </w:r>
      <w:proofErr w:type="spellEnd"/>
      <w:r w:rsidR="00F4207A">
        <w:rPr>
          <w:szCs w:val="24"/>
        </w:rPr>
        <w:t xml:space="preserve">) it would be difficult to see how AFCA could do anything other than affirm the decision of the superannuation trustee. </w:t>
      </w:r>
    </w:p>
    <w:p w14:paraId="201D2A57" w14:textId="77777777" w:rsidR="00CB6F68" w:rsidRDefault="00CB6F68" w:rsidP="00CB6F68">
      <w:pPr>
        <w:pStyle w:val="Heading3"/>
      </w:pPr>
      <w:r>
        <w:t>Legislative history</w:t>
      </w:r>
    </w:p>
    <w:p w14:paraId="19EE2226" w14:textId="6B03D47F" w:rsidR="00664D25" w:rsidRPr="0060415C" w:rsidRDefault="00A86F98" w:rsidP="00A86F98">
      <w:pPr>
        <w:pStyle w:val="ParaNumbering"/>
        <w:rPr>
          <w:szCs w:val="24"/>
        </w:rPr>
      </w:pPr>
      <w:r w:rsidRPr="0060415C">
        <w:rPr>
          <w:szCs w:val="24"/>
        </w:rPr>
        <w:t>AFCA submits that the elements</w:t>
      </w:r>
      <w:r w:rsidRPr="0060415C">
        <w:rPr>
          <w:spacing w:val="-7"/>
          <w:szCs w:val="24"/>
        </w:rPr>
        <w:t xml:space="preserve"> </w:t>
      </w:r>
      <w:r w:rsidRPr="0060415C">
        <w:rPr>
          <w:szCs w:val="24"/>
        </w:rPr>
        <w:t>of</w:t>
      </w:r>
      <w:r w:rsidRPr="0060415C">
        <w:rPr>
          <w:spacing w:val="-7"/>
          <w:szCs w:val="24"/>
        </w:rPr>
        <w:t xml:space="preserve"> </w:t>
      </w:r>
      <w:r w:rsidRPr="0060415C">
        <w:rPr>
          <w:szCs w:val="24"/>
        </w:rPr>
        <w:t>identity</w:t>
      </w:r>
      <w:r w:rsidRPr="0060415C">
        <w:rPr>
          <w:spacing w:val="-7"/>
          <w:szCs w:val="24"/>
        </w:rPr>
        <w:t xml:space="preserve"> </w:t>
      </w:r>
      <w:r w:rsidRPr="0060415C">
        <w:rPr>
          <w:szCs w:val="24"/>
        </w:rPr>
        <w:t>(or</w:t>
      </w:r>
      <w:r w:rsidRPr="0060415C">
        <w:rPr>
          <w:spacing w:val="-7"/>
          <w:szCs w:val="24"/>
        </w:rPr>
        <w:t xml:space="preserve"> </w:t>
      </w:r>
      <w:r w:rsidRPr="0060415C">
        <w:rPr>
          <w:szCs w:val="24"/>
        </w:rPr>
        <w:t>substantial</w:t>
      </w:r>
      <w:r w:rsidRPr="0060415C">
        <w:rPr>
          <w:spacing w:val="-7"/>
          <w:szCs w:val="24"/>
        </w:rPr>
        <w:t xml:space="preserve"> </w:t>
      </w:r>
      <w:r w:rsidRPr="0060415C">
        <w:rPr>
          <w:szCs w:val="24"/>
        </w:rPr>
        <w:t>similarity)</w:t>
      </w:r>
      <w:r w:rsidRPr="0060415C">
        <w:rPr>
          <w:spacing w:val="-7"/>
          <w:szCs w:val="24"/>
        </w:rPr>
        <w:t xml:space="preserve"> between </w:t>
      </w:r>
      <w:r w:rsidRPr="0060415C">
        <w:rPr>
          <w:szCs w:val="24"/>
        </w:rPr>
        <w:t>the</w:t>
      </w:r>
      <w:r w:rsidRPr="0060415C">
        <w:rPr>
          <w:spacing w:val="-12"/>
          <w:szCs w:val="24"/>
        </w:rPr>
        <w:t xml:space="preserve"> </w:t>
      </w:r>
      <w:r w:rsidRPr="0060415C">
        <w:rPr>
          <w:szCs w:val="24"/>
        </w:rPr>
        <w:t>previous</w:t>
      </w:r>
      <w:r w:rsidRPr="0060415C">
        <w:rPr>
          <w:spacing w:val="-11"/>
          <w:szCs w:val="24"/>
        </w:rPr>
        <w:t xml:space="preserve"> </w:t>
      </w:r>
      <w:r w:rsidRPr="0060415C">
        <w:rPr>
          <w:szCs w:val="24"/>
        </w:rPr>
        <w:t>external</w:t>
      </w:r>
      <w:r w:rsidRPr="0060415C">
        <w:rPr>
          <w:spacing w:val="-12"/>
          <w:szCs w:val="24"/>
        </w:rPr>
        <w:t xml:space="preserve"> </w:t>
      </w:r>
      <w:r w:rsidRPr="0060415C">
        <w:rPr>
          <w:szCs w:val="24"/>
        </w:rPr>
        <w:t>dispute</w:t>
      </w:r>
      <w:r w:rsidRPr="0060415C">
        <w:rPr>
          <w:spacing w:val="-12"/>
          <w:szCs w:val="24"/>
        </w:rPr>
        <w:t xml:space="preserve"> </w:t>
      </w:r>
      <w:r w:rsidRPr="0060415C">
        <w:rPr>
          <w:szCs w:val="24"/>
        </w:rPr>
        <w:t>resolution</w:t>
      </w:r>
      <w:r w:rsidRPr="0060415C">
        <w:rPr>
          <w:spacing w:val="-12"/>
          <w:szCs w:val="24"/>
        </w:rPr>
        <w:t xml:space="preserve"> </w:t>
      </w:r>
      <w:r w:rsidRPr="0060415C">
        <w:rPr>
          <w:szCs w:val="24"/>
        </w:rPr>
        <w:t>schemes</w:t>
      </w:r>
      <w:r w:rsidRPr="0060415C">
        <w:rPr>
          <w:spacing w:val="-11"/>
          <w:szCs w:val="24"/>
        </w:rPr>
        <w:t xml:space="preserve"> </w:t>
      </w:r>
      <w:r w:rsidRPr="0060415C">
        <w:rPr>
          <w:szCs w:val="24"/>
        </w:rPr>
        <w:t>and</w:t>
      </w:r>
      <w:r w:rsidRPr="0060415C">
        <w:rPr>
          <w:spacing w:val="-12"/>
          <w:szCs w:val="24"/>
        </w:rPr>
        <w:t xml:space="preserve"> </w:t>
      </w:r>
      <w:r w:rsidRPr="0060415C">
        <w:rPr>
          <w:szCs w:val="24"/>
        </w:rPr>
        <w:t xml:space="preserve">the </w:t>
      </w:r>
      <w:r w:rsidR="0006638C" w:rsidRPr="0060415C">
        <w:rPr>
          <w:szCs w:val="24"/>
        </w:rPr>
        <w:t>AFCA Scheme</w:t>
      </w:r>
      <w:r w:rsidRPr="0060415C">
        <w:rPr>
          <w:szCs w:val="24"/>
        </w:rPr>
        <w:t xml:space="preserve"> which was their successor naturally</w:t>
      </w:r>
      <w:r w:rsidRPr="0060415C">
        <w:rPr>
          <w:spacing w:val="-10"/>
          <w:szCs w:val="24"/>
        </w:rPr>
        <w:t xml:space="preserve"> </w:t>
      </w:r>
      <w:r w:rsidRPr="0060415C">
        <w:rPr>
          <w:szCs w:val="24"/>
        </w:rPr>
        <w:t>militate</w:t>
      </w:r>
      <w:r w:rsidR="00A0051F">
        <w:rPr>
          <w:szCs w:val="24"/>
        </w:rPr>
        <w:t>s</w:t>
      </w:r>
      <w:r w:rsidRPr="0060415C">
        <w:rPr>
          <w:spacing w:val="-7"/>
          <w:szCs w:val="24"/>
        </w:rPr>
        <w:t xml:space="preserve"> </w:t>
      </w:r>
      <w:r w:rsidRPr="0060415C">
        <w:rPr>
          <w:szCs w:val="24"/>
        </w:rPr>
        <w:t>against</w:t>
      </w:r>
      <w:r w:rsidRPr="0060415C">
        <w:rPr>
          <w:spacing w:val="-7"/>
          <w:szCs w:val="24"/>
        </w:rPr>
        <w:t xml:space="preserve"> </w:t>
      </w:r>
      <w:r w:rsidRPr="0060415C">
        <w:rPr>
          <w:szCs w:val="24"/>
        </w:rPr>
        <w:t>a</w:t>
      </w:r>
      <w:r w:rsidRPr="0060415C">
        <w:rPr>
          <w:spacing w:val="-7"/>
          <w:szCs w:val="24"/>
        </w:rPr>
        <w:t xml:space="preserve"> </w:t>
      </w:r>
      <w:r w:rsidRPr="0060415C">
        <w:rPr>
          <w:szCs w:val="24"/>
        </w:rPr>
        <w:t>construction which would significantly diminish the jurisdictional coverage of the new AFCA body as compared with the schemes it succeeded</w:t>
      </w:r>
      <w:r w:rsidR="00567CC2" w:rsidRPr="0060415C">
        <w:rPr>
          <w:szCs w:val="24"/>
        </w:rPr>
        <w:t>.</w:t>
      </w:r>
    </w:p>
    <w:p w14:paraId="5FA0DDC6" w14:textId="77777777" w:rsidR="00567CC2" w:rsidRDefault="00CB6F68" w:rsidP="00CB6F68">
      <w:pPr>
        <w:pStyle w:val="Heading3"/>
      </w:pPr>
      <w:r>
        <w:t>Other extrinsic material</w:t>
      </w:r>
    </w:p>
    <w:p w14:paraId="69742B30" w14:textId="0BED21C8" w:rsidR="00643A04" w:rsidRDefault="00CB6F68" w:rsidP="00CB6F68">
      <w:pPr>
        <w:pStyle w:val="ParaNumbering"/>
      </w:pPr>
      <w:r>
        <w:t xml:space="preserve">AFCA submits that a central </w:t>
      </w:r>
      <w:r w:rsidRPr="00CB6F68">
        <w:t xml:space="preserve">concern of the Ramsay </w:t>
      </w:r>
      <w:r w:rsidR="00D07415">
        <w:t>Report</w:t>
      </w:r>
      <w:r w:rsidRPr="00CB6F68">
        <w:t xml:space="preserve">, the </w:t>
      </w:r>
      <w:r>
        <w:t>Revised EM</w:t>
      </w:r>
      <w:r w:rsidRPr="00CB6F68">
        <w:t xml:space="preserve">, and the Second Reading Speech was </w:t>
      </w:r>
      <w:r w:rsidR="00BC2AF8">
        <w:t>“</w:t>
      </w:r>
      <w:r w:rsidRPr="00CB6F68">
        <w:t xml:space="preserve">the creation of a single external dispute resolution body that would be more </w:t>
      </w:r>
      <w:r w:rsidRPr="00CB6F68">
        <w:rPr>
          <w:u w:val="single"/>
        </w:rPr>
        <w:t>accessible</w:t>
      </w:r>
      <w:r w:rsidRPr="00CB6F68">
        <w:t xml:space="preserve">, and that could deal with </w:t>
      </w:r>
      <w:r w:rsidRPr="00CB6F68">
        <w:rPr>
          <w:u w:val="single"/>
        </w:rPr>
        <w:t>all</w:t>
      </w:r>
      <w:r w:rsidRPr="00CB6F68">
        <w:t xml:space="preserve"> financial disputes (including superannuation disputes)</w:t>
      </w:r>
      <w:r w:rsidR="00BC2AF8">
        <w:t>”</w:t>
      </w:r>
      <w:r>
        <w:t xml:space="preserve"> </w:t>
      </w:r>
      <w:r w:rsidR="00A0051F">
        <w:t>(</w:t>
      </w:r>
      <w:r w:rsidR="004E45D5">
        <w:t xml:space="preserve">AFCA </w:t>
      </w:r>
      <w:r>
        <w:t>emphasis</w:t>
      </w:r>
      <w:r w:rsidR="00A0051F">
        <w:t>)</w:t>
      </w:r>
      <w:r w:rsidR="00BC2AF8">
        <w:t>.</w:t>
      </w:r>
      <w:r>
        <w:t xml:space="preserve"> </w:t>
      </w:r>
    </w:p>
    <w:p w14:paraId="3968EA31" w14:textId="3BEB94AA" w:rsidR="00CB6F68" w:rsidRDefault="00CB6F68" w:rsidP="00CB6F68">
      <w:pPr>
        <w:pStyle w:val="ParaNumbering"/>
      </w:pPr>
      <w:r>
        <w:t>It submits that t</w:t>
      </w:r>
      <w:r w:rsidRPr="00CB6F68">
        <w:t xml:space="preserve">he intention of Parliament to establish </w:t>
      </w:r>
      <w:r w:rsidR="00BC2AF8">
        <w:t>“</w:t>
      </w:r>
      <w:r w:rsidRPr="00CB6F68">
        <w:t>a body which, at the very least, would not have less accumulated coverage than the bodies it succeeded is obvious</w:t>
      </w:r>
      <w:r w:rsidR="00BC2AF8">
        <w:t>”.</w:t>
      </w:r>
    </w:p>
    <w:p w14:paraId="08ED3DE9" w14:textId="184EC3B0" w:rsidR="00CB6F68" w:rsidRDefault="00BC2AF8" w:rsidP="00BC2AF8">
      <w:pPr>
        <w:pStyle w:val="ParaNumbering"/>
      </w:pPr>
      <w:r>
        <w:t xml:space="preserve">AFCA submits that the relevant concern of the Ramsay Report was </w:t>
      </w:r>
      <w:r w:rsidRPr="00BC2AF8">
        <w:t xml:space="preserve">with the </w:t>
      </w:r>
      <w:r>
        <w:t>“</w:t>
      </w:r>
      <w:r w:rsidRPr="00BC2AF8">
        <w:t xml:space="preserve">existence of </w:t>
      </w:r>
      <w:r w:rsidRPr="00BC2AF8">
        <w:rPr>
          <w:u w:val="single"/>
        </w:rPr>
        <w:t>multiple</w:t>
      </w:r>
      <w:r w:rsidRPr="00BC2AF8">
        <w:t xml:space="preserve"> external dispute resolution bodies, not with the internal rules of a </w:t>
      </w:r>
      <w:r w:rsidRPr="00BC2AF8">
        <w:rPr>
          <w:u w:val="single"/>
        </w:rPr>
        <w:t>particular</w:t>
      </w:r>
      <w:r w:rsidRPr="00BC2AF8">
        <w:t xml:space="preserve"> body</w:t>
      </w:r>
      <w:r>
        <w:t>”</w:t>
      </w:r>
      <w:r w:rsidR="00A0051F" w:rsidRPr="00A0051F">
        <w:t xml:space="preserve"> </w:t>
      </w:r>
      <w:r w:rsidR="00A0051F">
        <w:t>(AFCA emphasis)</w:t>
      </w:r>
      <w:r w:rsidRPr="00BC2AF8">
        <w:t>.</w:t>
      </w:r>
      <w:r>
        <w:t xml:space="preserve"> </w:t>
      </w:r>
    </w:p>
    <w:p w14:paraId="20B5F402" w14:textId="113B932B" w:rsidR="00EA02C0" w:rsidRDefault="00EA02C0" w:rsidP="00BC2AF8">
      <w:pPr>
        <w:pStyle w:val="ParaNumbering"/>
      </w:pPr>
      <w:r>
        <w:t xml:space="preserve">AFCA submits that the Exposure Draft provides no assistance in discerning any relevant legislative intention. </w:t>
      </w:r>
      <w:r w:rsidR="006B5AA2">
        <w:t>First, i</w:t>
      </w:r>
      <w:r>
        <w:t xml:space="preserve">t submits that MetLife does not point to any particular cause of the drafting changes </w:t>
      </w:r>
      <w:r w:rsidR="006B5AA2">
        <w:t>and the intention behind the changes remain a matter of speculation. Second, it submits that</w:t>
      </w:r>
      <w:r>
        <w:t xml:space="preserve"> the Exposure Draft is necessarily further removed from the Revised EM and the Second Reading Speech which it submits both provide strong contextual support for the primary judge’s construction.</w:t>
      </w:r>
    </w:p>
    <w:p w14:paraId="106CBA89" w14:textId="77777777" w:rsidR="00E5385C" w:rsidRDefault="00E5385C" w:rsidP="00E5385C">
      <w:pPr>
        <w:pStyle w:val="Heading2"/>
      </w:pPr>
      <w:r>
        <w:lastRenderedPageBreak/>
        <w:t>Consideration</w:t>
      </w:r>
    </w:p>
    <w:p w14:paraId="28A39E43" w14:textId="77777777" w:rsidR="007B2323" w:rsidRDefault="00BD3035" w:rsidP="007B2323">
      <w:pPr>
        <w:pStyle w:val="Heading3"/>
      </w:pPr>
      <w:r>
        <w:t>Textual meaning</w:t>
      </w:r>
    </w:p>
    <w:p w14:paraId="572A4995" w14:textId="6209AFA1" w:rsidR="005F73DC" w:rsidRDefault="005F73DC" w:rsidP="007B2323">
      <w:pPr>
        <w:pStyle w:val="ParaNumbering"/>
      </w:pPr>
      <w:r>
        <w:t>It is both necessary and convenient to commence with an analysis of the text of s 1053(1) before considering the statutory context, legislative history and other extrinsic materials.</w:t>
      </w:r>
    </w:p>
    <w:p w14:paraId="0C55B525" w14:textId="7F224725" w:rsidR="00AF48EE" w:rsidRDefault="00AF48EE" w:rsidP="00006CA6">
      <w:pPr>
        <w:pStyle w:val="ParaNumbering"/>
      </w:pPr>
      <w:r>
        <w:t>As stated above, the chapeau to</w:t>
      </w:r>
      <w:r w:rsidR="0060415C">
        <w:t xml:space="preserve"> </w:t>
      </w:r>
      <w:r>
        <w:t>s 1053(1)(a) provides:</w:t>
      </w:r>
    </w:p>
    <w:p w14:paraId="4F130204" w14:textId="5AA570F2" w:rsidR="00AF48EE" w:rsidRDefault="00AF48EE" w:rsidP="00AF48EE">
      <w:pPr>
        <w:pStyle w:val="Quote1"/>
      </w:pPr>
      <w:r>
        <w:t>A person may, subject to section 1056, make a complaint relating to superannuation under the AFCA scheme only if the complaint is a complaint</w:t>
      </w:r>
      <w:r w:rsidR="0060415C">
        <w:t>:</w:t>
      </w:r>
      <w:r>
        <w:t xml:space="preserve"> [</w:t>
      </w:r>
      <w:r w:rsidR="004E45D5">
        <w:t xml:space="preserve">a complaint </w:t>
      </w:r>
      <w:r>
        <w:t>specified within (a) to (j)]</w:t>
      </w:r>
    </w:p>
    <w:p w14:paraId="2741286C" w14:textId="0AD5150F" w:rsidR="005F73DC" w:rsidRDefault="004E62AE" w:rsidP="00006CA6">
      <w:pPr>
        <w:pStyle w:val="ParaNumbering"/>
      </w:pPr>
      <w:r>
        <w:t>The grammatical and ordinary sense of the words in the chapeau to s</w:t>
      </w:r>
      <w:r w:rsidR="00AF48EE">
        <w:t xml:space="preserve"> 1053(1)(a) is </w:t>
      </w:r>
      <w:r>
        <w:t xml:space="preserve">that </w:t>
      </w:r>
      <w:r w:rsidR="00643A04">
        <w:t xml:space="preserve">a complaint that relates to superannuation can only be made under the AFCA Scheme if it falls within </w:t>
      </w:r>
      <w:r w:rsidR="00AF48EE">
        <w:t xml:space="preserve">the ten types of complaints specified in </w:t>
      </w:r>
      <w:r w:rsidR="00DE74DD">
        <w:t>sub-</w:t>
      </w:r>
      <w:proofErr w:type="spellStart"/>
      <w:r w:rsidR="00DE74DD">
        <w:t>s</w:t>
      </w:r>
      <w:r w:rsidR="00423821">
        <w:t>s</w:t>
      </w:r>
      <w:proofErr w:type="spellEnd"/>
      <w:r w:rsidR="00423821">
        <w:t xml:space="preserve"> 1053(1)(a)-(j). </w:t>
      </w:r>
    </w:p>
    <w:p w14:paraId="09B89054" w14:textId="14A73429" w:rsidR="00AF48EE" w:rsidRDefault="00423821" w:rsidP="0060415C">
      <w:pPr>
        <w:pStyle w:val="ParaNumbering"/>
      </w:pPr>
      <w:r>
        <w:t xml:space="preserve">We do not see any textual support for construing the phrase “only if” as meaning anything other than </w:t>
      </w:r>
      <w:r w:rsidR="007B2323">
        <w:t xml:space="preserve">that </w:t>
      </w:r>
      <w:r>
        <w:t xml:space="preserve">a complaint relating to superannuation may only be advanced under the </w:t>
      </w:r>
      <w:r w:rsidR="0006638C">
        <w:t>AFCA Scheme</w:t>
      </w:r>
      <w:r>
        <w:t xml:space="preserve"> if it falls within one of the ten types of complaints specified in s</w:t>
      </w:r>
      <w:r w:rsidR="00B433FE">
        <w:t>ub-</w:t>
      </w:r>
      <w:proofErr w:type="spellStart"/>
      <w:r w:rsidR="00B433FE">
        <w:t>ss</w:t>
      </w:r>
      <w:proofErr w:type="spellEnd"/>
      <w:r w:rsidR="0060415C">
        <w:t> </w:t>
      </w:r>
      <w:r>
        <w:t xml:space="preserve">1053(1)(a)-(j). This conclusion is reinforced by the heading to </w:t>
      </w:r>
      <w:proofErr w:type="spellStart"/>
      <w:r>
        <w:t>Subdiv</w:t>
      </w:r>
      <w:proofErr w:type="spellEnd"/>
      <w:r>
        <w:t xml:space="preserve"> A of </w:t>
      </w:r>
      <w:proofErr w:type="spellStart"/>
      <w:r w:rsidR="00DE74DD">
        <w:t>Div</w:t>
      </w:r>
      <w:proofErr w:type="spellEnd"/>
      <w:r w:rsidR="00DE74DD">
        <w:t xml:space="preserve"> </w:t>
      </w:r>
      <w:r>
        <w:t>3, namely “</w:t>
      </w:r>
      <w:r w:rsidR="00DE74DD">
        <w:t>[w]</w:t>
      </w:r>
      <w:r w:rsidR="0060415C" w:rsidRPr="0060415C">
        <w:t>hen complaints relating to superannuation can be made under the AFCA scheme</w:t>
      </w:r>
      <w:r>
        <w:t xml:space="preserve">”. </w:t>
      </w:r>
    </w:p>
    <w:p w14:paraId="088598DF" w14:textId="77522EB2" w:rsidR="00233E99" w:rsidRDefault="000D5801" w:rsidP="00A7430F">
      <w:pPr>
        <w:pStyle w:val="ParaNumbering"/>
      </w:pPr>
      <w:r>
        <w:t>W</w:t>
      </w:r>
      <w:r w:rsidR="00233E99">
        <w:t xml:space="preserve">e </w:t>
      </w:r>
      <w:r>
        <w:t xml:space="preserve">do not </w:t>
      </w:r>
      <w:r w:rsidR="00233E99">
        <w:t xml:space="preserve">accept that there is any textual support for </w:t>
      </w:r>
      <w:r w:rsidR="00A47248">
        <w:t xml:space="preserve">AFCA’s contention that </w:t>
      </w:r>
      <w:r w:rsidR="00A7430F">
        <w:t>“a complaint relating to superannuation” in</w:t>
      </w:r>
      <w:r w:rsidR="00233E99">
        <w:t xml:space="preserve"> s 1053(1) </w:t>
      </w:r>
      <w:r w:rsidR="00A47248">
        <w:t xml:space="preserve">is limited to </w:t>
      </w:r>
      <w:r w:rsidR="00D83750">
        <w:t xml:space="preserve">an “identification of the genus of matters which s 1053 then introduces in </w:t>
      </w:r>
      <w:r w:rsidR="004E62AE">
        <w:t>s</w:t>
      </w:r>
      <w:r w:rsidR="0060415C">
        <w:t>ub-</w:t>
      </w:r>
      <w:proofErr w:type="spellStart"/>
      <w:r w:rsidR="0060415C">
        <w:t>ss</w:t>
      </w:r>
      <w:proofErr w:type="spellEnd"/>
      <w:r w:rsidR="004E62AE">
        <w:t xml:space="preserve"> 1053</w:t>
      </w:r>
      <w:r w:rsidR="00D83750">
        <w:t>(1)(a)-(j</w:t>
      </w:r>
      <w:r w:rsidR="004E45D5">
        <w:t>)</w:t>
      </w:r>
      <w:r w:rsidR="00233DB9">
        <w:t>”</w:t>
      </w:r>
      <w:r w:rsidR="004E45D5">
        <w:t xml:space="preserve"> </w:t>
      </w:r>
      <w:r w:rsidR="004E62AE">
        <w:t xml:space="preserve">and a </w:t>
      </w:r>
      <w:r w:rsidR="00D83750">
        <w:t xml:space="preserve">“complaint relating to superannuation” </w:t>
      </w:r>
      <w:r w:rsidR="004E62AE">
        <w:t>can be</w:t>
      </w:r>
      <w:r w:rsidR="00D83750">
        <w:t xml:space="preserve"> construed to mean </w:t>
      </w:r>
      <w:r w:rsidR="00A47248">
        <w:t>“</w:t>
      </w:r>
      <w:r w:rsidR="00D83750">
        <w:t xml:space="preserve">nothing wider </w:t>
      </w:r>
      <w:r w:rsidR="003542A8">
        <w:t xml:space="preserve">than </w:t>
      </w:r>
      <w:r w:rsidR="00D83750">
        <w:t>the matters listed thereunder”.</w:t>
      </w:r>
    </w:p>
    <w:p w14:paraId="084658E4" w14:textId="26D65887" w:rsidR="00D83750" w:rsidRDefault="00D83750" w:rsidP="00A7430F">
      <w:pPr>
        <w:pStyle w:val="ParaNumbering"/>
      </w:pPr>
      <w:r>
        <w:t xml:space="preserve">Such a construction would deprive the words “only if” </w:t>
      </w:r>
      <w:r w:rsidR="00A87896">
        <w:t>of</w:t>
      </w:r>
      <w:r>
        <w:t xml:space="preserve"> any meaning or effect</w:t>
      </w:r>
      <w:r w:rsidR="00B46FA4">
        <w:t>. I</w:t>
      </w:r>
      <w:r w:rsidR="00963000">
        <w:t>t</w:t>
      </w:r>
      <w:r>
        <w:t xml:space="preserve"> would limit a complaint “relating to superannuation” </w:t>
      </w:r>
      <w:r w:rsidR="00B46FA4">
        <w:t>to</w:t>
      </w:r>
      <w:r>
        <w:t xml:space="preserve"> only those complaints specified in s</w:t>
      </w:r>
      <w:r w:rsidR="00B433FE">
        <w:t>ub-</w:t>
      </w:r>
      <w:proofErr w:type="spellStart"/>
      <w:r w:rsidR="00B433FE">
        <w:t>ss</w:t>
      </w:r>
      <w:proofErr w:type="spellEnd"/>
      <w:r w:rsidR="0060415C">
        <w:t> </w:t>
      </w:r>
      <w:r>
        <w:t>1053(1)(a)-(j).</w:t>
      </w:r>
      <w:r w:rsidR="00B46FA4">
        <w:t xml:space="preserve"> </w:t>
      </w:r>
      <w:r w:rsidR="00963000">
        <w:t>If that were the case, there would be no need for the words “only if”. It would effectively be reading the chapeau to s 1053(1) as</w:t>
      </w:r>
      <w:r w:rsidR="004B4E1E">
        <w:t xml:space="preserve"> if it read</w:t>
      </w:r>
      <w:r w:rsidR="00963000">
        <w:t>:</w:t>
      </w:r>
      <w:r>
        <w:t xml:space="preserve"> </w:t>
      </w:r>
    </w:p>
    <w:p w14:paraId="6BC63B9A" w14:textId="0A7A15EE" w:rsidR="00191BC9" w:rsidRDefault="00963000" w:rsidP="00233E99">
      <w:pPr>
        <w:pStyle w:val="Quote1"/>
      </w:pPr>
      <w:r w:rsidRPr="00963000">
        <w:t xml:space="preserve">A person may, subject to section 1056, make a complaint relating to superannuation under the AFCA scheme </w:t>
      </w:r>
      <w:r w:rsidRPr="007B2323">
        <w:rPr>
          <w:i/>
        </w:rPr>
        <w:t>being a complaint</w:t>
      </w:r>
      <w:r w:rsidRPr="00963000">
        <w:t xml:space="preserve"> </w:t>
      </w:r>
      <w:r>
        <w:t>[</w:t>
      </w:r>
      <w:r w:rsidRPr="00963000">
        <w:t>specified within (a) to (j)]:</w:t>
      </w:r>
    </w:p>
    <w:p w14:paraId="08A814F8" w14:textId="5D2F151F" w:rsidR="006C55D7" w:rsidRDefault="007B2323" w:rsidP="00233E99">
      <w:pPr>
        <w:pStyle w:val="Quote1"/>
      </w:pPr>
      <w:r>
        <w:t>(Words in italics added.)</w:t>
      </w:r>
    </w:p>
    <w:p w14:paraId="7150DCE1" w14:textId="77C0A578" w:rsidR="00420DE5" w:rsidRDefault="00420DE5" w:rsidP="00006CA6">
      <w:pPr>
        <w:pStyle w:val="ParaNumbering"/>
      </w:pPr>
      <w:r>
        <w:t>Alternatively, as the primary judge observed at J [62], it would involve construing s 1053(1) as providing:</w:t>
      </w:r>
    </w:p>
    <w:p w14:paraId="3498DD5D" w14:textId="6835D036" w:rsidR="00420DE5" w:rsidRDefault="00420DE5" w:rsidP="00420DE5">
      <w:pPr>
        <w:pStyle w:val="Quote1"/>
      </w:pPr>
      <w:r w:rsidRPr="00420DE5">
        <w:t xml:space="preserve">A person may, subject to section 1056, make a complaint </w:t>
      </w:r>
      <w:r w:rsidRPr="00420DE5">
        <w:rPr>
          <w:i/>
        </w:rPr>
        <w:t>as a complaint</w:t>
      </w:r>
      <w:r>
        <w:t xml:space="preserve"> </w:t>
      </w:r>
      <w:r w:rsidRPr="00420DE5">
        <w:t xml:space="preserve">relating to </w:t>
      </w:r>
      <w:r w:rsidRPr="00420DE5">
        <w:lastRenderedPageBreak/>
        <w:t>superannuation under the AFCA scheme being a complaint [specified within (a) to (j)]:</w:t>
      </w:r>
    </w:p>
    <w:p w14:paraId="73818F2A" w14:textId="76FF2BCD" w:rsidR="006C55D7" w:rsidRDefault="007B2323" w:rsidP="00420DE5">
      <w:pPr>
        <w:pStyle w:val="Quote1"/>
      </w:pPr>
      <w:r>
        <w:t>(Words in italics added.)</w:t>
      </w:r>
    </w:p>
    <w:p w14:paraId="64A42C0A" w14:textId="4BBB2612" w:rsidR="00C649F9" w:rsidRDefault="00C2347C" w:rsidP="00006CA6">
      <w:pPr>
        <w:pStyle w:val="ParaNumbering"/>
      </w:pPr>
      <w:r>
        <w:t>We accept, as the primary judge reasoned at J [75]</w:t>
      </w:r>
      <w:r w:rsidR="007B2350">
        <w:t>,</w:t>
      </w:r>
      <w:r>
        <w:t xml:space="preserve"> citing </w:t>
      </w:r>
      <w:r w:rsidR="00C649F9" w:rsidRPr="00C649F9">
        <w:rPr>
          <w:i/>
        </w:rPr>
        <w:t>Kostas</w:t>
      </w:r>
      <w:r w:rsidR="006C55D7">
        <w:rPr>
          <w:i/>
        </w:rPr>
        <w:t xml:space="preserve"> </w:t>
      </w:r>
      <w:r w:rsidR="00C649F9" w:rsidRPr="00C649F9">
        <w:rPr>
          <w:i/>
        </w:rPr>
        <w:t>v HIA Insurance Services Pty Ltd</w:t>
      </w:r>
      <w:r w:rsidR="006C55D7">
        <w:rPr>
          <w:i/>
        </w:rPr>
        <w:t xml:space="preserve"> </w:t>
      </w:r>
      <w:r w:rsidR="00C649F9">
        <w:t>(2010) 241 CLR 390; [2010] HCA 32 at [24] (French CJ)</w:t>
      </w:r>
      <w:r w:rsidR="006C55D7">
        <w:t>,</w:t>
      </w:r>
      <w:r w:rsidR="00C649F9">
        <w:t xml:space="preserve"> </w:t>
      </w:r>
      <w:r>
        <w:t>that terms such as “in relation to” constitute</w:t>
      </w:r>
      <w:r w:rsidR="00C649F9">
        <w:t xml:space="preserve"> prepositional phrases of indefinite content and </w:t>
      </w:r>
      <w:r w:rsidR="006C55D7">
        <w:t>t</w:t>
      </w:r>
      <w:r w:rsidR="00C649F9">
        <w:t xml:space="preserve">here can be a considerable range in the degree or type of connection that may be connoted by such a phrase. Further, as the primary judge observed, French CJ stated in </w:t>
      </w:r>
      <w:r w:rsidR="00C649F9" w:rsidRPr="00C649F9">
        <w:rPr>
          <w:i/>
        </w:rPr>
        <w:t xml:space="preserve">R v </w:t>
      </w:r>
      <w:proofErr w:type="spellStart"/>
      <w:r w:rsidR="00C649F9" w:rsidRPr="00C649F9">
        <w:rPr>
          <w:i/>
        </w:rPr>
        <w:t>Khazaal</w:t>
      </w:r>
      <w:proofErr w:type="spellEnd"/>
      <w:r w:rsidR="00C649F9" w:rsidRPr="00C649F9">
        <w:rPr>
          <w:i/>
        </w:rPr>
        <w:t xml:space="preserve"> </w:t>
      </w:r>
      <w:r w:rsidR="00C649F9">
        <w:t>(2012) 246 CLR 601; [2012] HCA 26</w:t>
      </w:r>
      <w:r w:rsidR="007B2350">
        <w:t>,</w:t>
      </w:r>
      <w:r w:rsidR="00C649F9">
        <w:t xml:space="preserve"> at [31]:</w:t>
      </w:r>
    </w:p>
    <w:p w14:paraId="12A621E9" w14:textId="13DD0AD1" w:rsidR="00C649F9" w:rsidRDefault="00C649F9" w:rsidP="00C649F9">
      <w:pPr>
        <w:pStyle w:val="Quote1"/>
      </w:pPr>
      <w:r>
        <w:t xml:space="preserve">Relational terms such as </w:t>
      </w:r>
      <w:r w:rsidR="00BF13B5">
        <w:t>“</w:t>
      </w:r>
      <w:r>
        <w:t xml:space="preserve">connected </w:t>
      </w:r>
      <w:r w:rsidR="00BF13B5">
        <w:t xml:space="preserve">with” </w:t>
      </w:r>
      <w:r>
        <w:t xml:space="preserve">appear in a variety of statutory settings. Other examples are: </w:t>
      </w:r>
      <w:r w:rsidR="00402BE4">
        <w:t>“</w:t>
      </w:r>
      <w:r>
        <w:t xml:space="preserve">in relation </w:t>
      </w:r>
      <w:r w:rsidR="00BF13B5">
        <w:t>to”</w:t>
      </w:r>
      <w:r>
        <w:t xml:space="preserve">; </w:t>
      </w:r>
      <w:r w:rsidR="00BF13B5">
        <w:t>“</w:t>
      </w:r>
      <w:r>
        <w:t>in respect of</w:t>
      </w:r>
      <w:r w:rsidR="00BF13B5">
        <w:t>”</w:t>
      </w:r>
      <w:r>
        <w:t xml:space="preserve">; </w:t>
      </w:r>
      <w:r w:rsidR="00BF13B5">
        <w:t>“</w:t>
      </w:r>
      <w:r>
        <w:t>in connection with</w:t>
      </w:r>
      <w:r w:rsidR="00BF13B5">
        <w:t>”</w:t>
      </w:r>
      <w:r>
        <w:t xml:space="preserve">; and </w:t>
      </w:r>
      <w:r w:rsidR="00BF13B5">
        <w:t>“</w:t>
      </w:r>
      <w:r>
        <w:t>in</w:t>
      </w:r>
      <w:r w:rsidR="00BF13B5">
        <w:t>”</w:t>
      </w:r>
      <w:r>
        <w:t>. They may refer to a relationship between two subjects which may be the same or different and may encompass activities, events, persons or things. They may denote relationships which are causal or temporal or relationships of similarity or difference. The task of construing such terms does not involve the resolution of ambiguity. They are ambulatory words and may be designed to cover a variety of subjects and a variety of relationships between those subjects. The nature and breadth of the relationships they cover will depend upon their statutory context and purpose. Generally speaking it is not desirable, in construing relational terms, to go further than is necessary to determine their application in a particular case or class of cases. A more comprehensive approach may be confounded by subsequent cases.</w:t>
      </w:r>
    </w:p>
    <w:p w14:paraId="23C2E37D" w14:textId="5D1BABCC" w:rsidR="00C2347C" w:rsidRDefault="00BF13B5" w:rsidP="00C649F9">
      <w:pPr>
        <w:pStyle w:val="Quote1"/>
      </w:pPr>
      <w:r>
        <w:t xml:space="preserve">[Footnote </w:t>
      </w:r>
      <w:r w:rsidR="00C649F9">
        <w:t>omitted</w:t>
      </w:r>
      <w:r>
        <w:t xml:space="preserve">.] </w:t>
      </w:r>
    </w:p>
    <w:p w14:paraId="6C047CD8" w14:textId="77777777" w:rsidR="00420DE5" w:rsidRDefault="00C649F9" w:rsidP="00006CA6">
      <w:pPr>
        <w:pStyle w:val="ParaNumbering"/>
      </w:pPr>
      <w:r>
        <w:t xml:space="preserve">The </w:t>
      </w:r>
      <w:r w:rsidR="009A4050">
        <w:t>statutory context and purpose may well inform the precise scope of the phrase “relating to” in a particular statutory provision</w:t>
      </w:r>
      <w:r w:rsidR="00E04D58">
        <w:t>.</w:t>
      </w:r>
      <w:r w:rsidR="009A4050">
        <w:t xml:space="preserve"> </w:t>
      </w:r>
      <w:r w:rsidR="00E04D58">
        <w:t>The</w:t>
      </w:r>
      <w:r w:rsidR="009E60EF">
        <w:t xml:space="preserve"> phrase “relating to”, however, </w:t>
      </w:r>
      <w:r w:rsidR="00E04D58">
        <w:t>necessarily</w:t>
      </w:r>
      <w:r w:rsidR="009E60EF">
        <w:t xml:space="preserve"> involves a relationship between two subjects. In the present context, the two subjects are “complaints” and “superannuation”. </w:t>
      </w:r>
      <w:r w:rsidR="0005055E">
        <w:t>The use of the phrase “relating to”</w:t>
      </w:r>
      <w:r w:rsidR="00453006">
        <w:t xml:space="preserve"> confines the type of complaint to a complaint that has a “nexus” with superannuation</w:t>
      </w:r>
      <w:r w:rsidR="00CC1ED1">
        <w:t xml:space="preserve"> but does not identify the nature and breadth of that relationship. For present purposes, the scope of the sufficiency or character of that relationship does not need to be determined. </w:t>
      </w:r>
    </w:p>
    <w:p w14:paraId="27FB2202" w14:textId="080F023F" w:rsidR="00C649F9" w:rsidRDefault="00CC1ED1" w:rsidP="00006CA6">
      <w:pPr>
        <w:pStyle w:val="ParaNumbering"/>
      </w:pPr>
      <w:r>
        <w:t xml:space="preserve">Here, the issue is whether “relating to” can by reference to the statutory context be construed as limiting “a complaint relating to superannuation” to only those types of complaints </w:t>
      </w:r>
      <w:r w:rsidR="009E60EF">
        <w:t>identified</w:t>
      </w:r>
      <w:r w:rsidR="00E04D58">
        <w:t xml:space="preserve"> in </w:t>
      </w:r>
      <w:r w:rsidR="007B2350">
        <w:t>sub-</w:t>
      </w:r>
      <w:proofErr w:type="spellStart"/>
      <w:r w:rsidR="007B2350">
        <w:t>s</w:t>
      </w:r>
      <w:r w:rsidR="00E04D58">
        <w:t>s</w:t>
      </w:r>
      <w:proofErr w:type="spellEnd"/>
      <w:r w:rsidR="00E04D58">
        <w:t xml:space="preserve"> 1053(1)(a)-(j). </w:t>
      </w:r>
      <w:r>
        <w:t>Unlike the primary judge, we do not accept that the detailed provisions concerned with superannuation complaints, including that AFCA</w:t>
      </w:r>
      <w:r w:rsidR="00420DE5">
        <w:t>’s</w:t>
      </w:r>
      <w:r>
        <w:t xml:space="preserve"> determinations of them must conform to the law rather than being guided by what is fair and reasonable</w:t>
      </w:r>
      <w:r w:rsidR="00420DE5">
        <w:t>,</w:t>
      </w:r>
      <w:r>
        <w:t xml:space="preserve"> provide contextual reasons why “a complaint relating to superannuation” can be construed, </w:t>
      </w:r>
      <w:r>
        <w:lastRenderedPageBreak/>
        <w:t>notwithstanding the “only if” qualification</w:t>
      </w:r>
      <w:r w:rsidR="00420DE5">
        <w:t xml:space="preserve"> in s 1053(1)</w:t>
      </w:r>
      <w:r>
        <w:t xml:space="preserve">, </w:t>
      </w:r>
      <w:r w:rsidR="00F84E7A">
        <w:t xml:space="preserve">as limited to </w:t>
      </w:r>
      <w:r>
        <w:t xml:space="preserve">only those types of complaints identified in </w:t>
      </w:r>
      <w:r w:rsidR="007B2350">
        <w:t>sub-</w:t>
      </w:r>
      <w:proofErr w:type="spellStart"/>
      <w:r w:rsidR="007B2350">
        <w:t>s</w:t>
      </w:r>
      <w:r>
        <w:t>s</w:t>
      </w:r>
      <w:proofErr w:type="spellEnd"/>
      <w:r>
        <w:t xml:space="preserve"> 1053(1)(a)-(j).</w:t>
      </w:r>
    </w:p>
    <w:p w14:paraId="03F8FA86" w14:textId="553C465A" w:rsidR="00175185" w:rsidRDefault="00963000" w:rsidP="00006CA6">
      <w:pPr>
        <w:pStyle w:val="ParaNumbering"/>
      </w:pPr>
      <w:r>
        <w:t xml:space="preserve">Further, it would deprive s 1053(3) from having any meaning or effect. Section 1053(3) </w:t>
      </w:r>
      <w:r w:rsidR="00175185">
        <w:t>provides a specific definition of a “</w:t>
      </w:r>
      <w:r w:rsidR="00175185" w:rsidRPr="007A3CF2">
        <w:t>superannuation complaint</w:t>
      </w:r>
      <w:r w:rsidR="00175185">
        <w:t xml:space="preserve">” being a complaint “made in accordance with subsection (1) of this section”. If a complaint “relating to superannuation” is to be construed as </w:t>
      </w:r>
      <w:r w:rsidR="00956873">
        <w:t>being synonymous with</w:t>
      </w:r>
      <w:r w:rsidR="00175185">
        <w:t xml:space="preserve"> </w:t>
      </w:r>
      <w:r w:rsidR="00956873">
        <w:t xml:space="preserve">the </w:t>
      </w:r>
      <w:r w:rsidR="00175185">
        <w:t>complaints identified in s</w:t>
      </w:r>
      <w:r w:rsidR="00B433FE">
        <w:t>ub-</w:t>
      </w:r>
      <w:proofErr w:type="spellStart"/>
      <w:r w:rsidR="00B433FE">
        <w:t>ss</w:t>
      </w:r>
      <w:proofErr w:type="spellEnd"/>
      <w:r w:rsidR="00175185">
        <w:t xml:space="preserve"> 1053(1)(a)-(j) the definition in </w:t>
      </w:r>
      <w:r w:rsidR="00F84E7A">
        <w:t>s </w:t>
      </w:r>
      <w:r w:rsidR="00175185">
        <w:t>1053(3) would be redundant.</w:t>
      </w:r>
      <w:r w:rsidR="00A87896">
        <w:t xml:space="preserve"> </w:t>
      </w:r>
      <w:r w:rsidR="006A5410">
        <w:t xml:space="preserve">As MetLife submits, the legislature could simply have provided in s 1053(1) that </w:t>
      </w:r>
      <w:r w:rsidR="00956873">
        <w:t>“</w:t>
      </w:r>
      <w:r w:rsidR="006A5410">
        <w:t xml:space="preserve">a </w:t>
      </w:r>
      <w:r w:rsidR="00956873">
        <w:t>“</w:t>
      </w:r>
      <w:r w:rsidR="006A5410">
        <w:t>superannuation complain</w:t>
      </w:r>
      <w:r w:rsidR="00956873">
        <w:t>t”</w:t>
      </w:r>
      <w:r w:rsidR="006A5410">
        <w:t xml:space="preserve"> is </w:t>
      </w:r>
      <w:r w:rsidR="00956873">
        <w:t>a complaint</w:t>
      </w:r>
      <w:r w:rsidR="00406F69">
        <w:t xml:space="preserve"> …</w:t>
      </w:r>
      <w:r w:rsidR="00956873">
        <w:t>” and then set out each</w:t>
      </w:r>
      <w:r w:rsidR="006A5410">
        <w:t xml:space="preserve"> </w:t>
      </w:r>
      <w:r w:rsidR="00956873">
        <w:t xml:space="preserve">of </w:t>
      </w:r>
      <w:r w:rsidR="006A5410">
        <w:t xml:space="preserve">the </w:t>
      </w:r>
      <w:r w:rsidR="00956873">
        <w:t>categories of complaint specified in sub-</w:t>
      </w:r>
      <w:proofErr w:type="spellStart"/>
      <w:r w:rsidR="00956873">
        <w:t>ss</w:t>
      </w:r>
      <w:proofErr w:type="spellEnd"/>
      <w:r w:rsidR="00956873">
        <w:t xml:space="preserve"> 1053(1)(a)-(j) rather than introducing in s 1053(1) the language of a “complaint relating to superannuation” and then a specific definition in s 1053(3) confining a “superannuation complaint” to only those categories of complaint identified in sub-</w:t>
      </w:r>
      <w:proofErr w:type="spellStart"/>
      <w:r w:rsidR="00956873">
        <w:t>ss</w:t>
      </w:r>
      <w:proofErr w:type="spellEnd"/>
      <w:r w:rsidR="00956873">
        <w:t xml:space="preserve"> 1053</w:t>
      </w:r>
      <w:r w:rsidR="00406F69">
        <w:t>(1)</w:t>
      </w:r>
      <w:r w:rsidR="00591884">
        <w:t>(a)-(j)</w:t>
      </w:r>
      <w:r w:rsidR="00406F69">
        <w:t>.</w:t>
      </w:r>
    </w:p>
    <w:p w14:paraId="01AF9A89" w14:textId="392D71AC" w:rsidR="0068561F" w:rsidRDefault="0068561F" w:rsidP="00006CA6">
      <w:pPr>
        <w:pStyle w:val="ParaNumbering"/>
      </w:pPr>
      <w:r>
        <w:t xml:space="preserve">It is a </w:t>
      </w:r>
      <w:r w:rsidR="000D5801">
        <w:t>well-established</w:t>
      </w:r>
      <w:r>
        <w:t xml:space="preserve"> principle of statutory construction that</w:t>
      </w:r>
      <w:r w:rsidR="004E45D5">
        <w:t>,</w:t>
      </w:r>
      <w:r>
        <w:t xml:space="preserve"> </w:t>
      </w:r>
      <w:r w:rsidR="000D5801">
        <w:t>if possible</w:t>
      </w:r>
      <w:r w:rsidR="004E45D5">
        <w:t>,</w:t>
      </w:r>
      <w:r w:rsidR="000D5801">
        <w:t xml:space="preserve"> </w:t>
      </w:r>
      <w:r>
        <w:t xml:space="preserve">all words in legislation must be given some meaning or effect: </w:t>
      </w:r>
      <w:r w:rsidRPr="0068561F">
        <w:rPr>
          <w:i/>
        </w:rPr>
        <w:t>Commonwealth v Baume</w:t>
      </w:r>
      <w:r>
        <w:t xml:space="preserve"> (1905) 2 CLR 405</w:t>
      </w:r>
      <w:r w:rsidR="0060415C">
        <w:t>; [1905] HCA 11</w:t>
      </w:r>
      <w:r>
        <w:t xml:space="preserve"> at 414 (Griffith CJ). This is not a situation in which it could be suggested that it is impossible to give a full and accurate meaning to every word or that any infelicitous drafting makes in necessary to give the words a construction “that produces the greatest harmony and the least inconsistency”: </w:t>
      </w:r>
      <w:proofErr w:type="spellStart"/>
      <w:r>
        <w:t>cf</w:t>
      </w:r>
      <w:proofErr w:type="spellEnd"/>
      <w:r>
        <w:t xml:space="preserve"> </w:t>
      </w:r>
      <w:r w:rsidR="0060415C">
        <w:rPr>
          <w:i/>
        </w:rPr>
        <w:t>The Council of the City of Brisbane</w:t>
      </w:r>
      <w:r w:rsidRPr="0068561F">
        <w:rPr>
          <w:i/>
        </w:rPr>
        <w:t xml:space="preserve"> v </w:t>
      </w:r>
      <w:r w:rsidR="0060415C">
        <w:rPr>
          <w:i/>
        </w:rPr>
        <w:t>His Majesty’s Attorney-General for the State of Queensland</w:t>
      </w:r>
      <w:r>
        <w:t xml:space="preserve"> (1908) 5 CLR 695</w:t>
      </w:r>
      <w:r w:rsidR="0060415C">
        <w:t>; [1908] HCA 8</w:t>
      </w:r>
      <w:r>
        <w:t xml:space="preserve"> at 720 (O’Connor J); </w:t>
      </w:r>
      <w:r w:rsidRPr="000D5801">
        <w:rPr>
          <w:i/>
        </w:rPr>
        <w:t>Australian Alliance Assurance Co</w:t>
      </w:r>
      <w:r w:rsidR="00133CFB">
        <w:rPr>
          <w:i/>
        </w:rPr>
        <w:t>.</w:t>
      </w:r>
      <w:r w:rsidRPr="000D5801">
        <w:rPr>
          <w:i/>
        </w:rPr>
        <w:t xml:space="preserve"> Ltd</w:t>
      </w:r>
      <w:r w:rsidR="0060415C">
        <w:rPr>
          <w:i/>
        </w:rPr>
        <w:t xml:space="preserve"> </w:t>
      </w:r>
      <w:r w:rsidRPr="000D5801">
        <w:rPr>
          <w:i/>
        </w:rPr>
        <w:t xml:space="preserve">v Attorney-General </w:t>
      </w:r>
      <w:r w:rsidR="00133CFB">
        <w:rPr>
          <w:i/>
        </w:rPr>
        <w:t xml:space="preserve">of Queensland and John </w:t>
      </w:r>
      <w:proofErr w:type="spellStart"/>
      <w:r w:rsidR="00133CFB">
        <w:rPr>
          <w:i/>
        </w:rPr>
        <w:t>Goodwyn</w:t>
      </w:r>
      <w:proofErr w:type="spellEnd"/>
      <w:r>
        <w:t xml:space="preserve"> [1916] St R </w:t>
      </w:r>
      <w:proofErr w:type="spellStart"/>
      <w:r>
        <w:t>Qd</w:t>
      </w:r>
      <w:proofErr w:type="spellEnd"/>
      <w:r>
        <w:t xml:space="preserve"> 135 at 161 (Cooper CJ).</w:t>
      </w:r>
    </w:p>
    <w:p w14:paraId="48C8218E" w14:textId="6E2CA281" w:rsidR="000D5801" w:rsidRDefault="000D5801" w:rsidP="000D5801">
      <w:pPr>
        <w:pStyle w:val="ParaNumbering"/>
      </w:pPr>
      <w:r>
        <w:t>Nor do we accept AFCA’</w:t>
      </w:r>
      <w:r w:rsidR="0060415C">
        <w:t>s</w:t>
      </w:r>
      <w:r>
        <w:t xml:space="preserve"> fur</w:t>
      </w:r>
      <w:r w:rsidR="00A56657">
        <w:t>th</w:t>
      </w:r>
      <w:r>
        <w:t xml:space="preserve">er textual contention in support of the primary judge’s construction of s 1053(1) that </w:t>
      </w:r>
      <w:r w:rsidRPr="000D5801">
        <w:t xml:space="preserve">the reference in s 1053(1) to the “AFCA scheme” should be read as simply reflecting the fact that a complaint under the </w:t>
      </w:r>
      <w:r w:rsidR="0006638C">
        <w:t>AFCA Scheme</w:t>
      </w:r>
      <w:r w:rsidRPr="000D5801">
        <w:t xml:space="preserve"> will not attract AFCA’s superannuation jurisdiction unless the complaint </w:t>
      </w:r>
      <w:r w:rsidR="00CB584F">
        <w:t>falls within one of the categories specified in</w:t>
      </w:r>
      <w:r w:rsidRPr="000D5801">
        <w:t xml:space="preserve"> </w:t>
      </w:r>
      <w:r>
        <w:t>s</w:t>
      </w:r>
      <w:r w:rsidR="00B433FE">
        <w:t>ub-</w:t>
      </w:r>
      <w:proofErr w:type="spellStart"/>
      <w:r w:rsidR="00B433FE">
        <w:t>ss</w:t>
      </w:r>
      <w:proofErr w:type="spellEnd"/>
      <w:r w:rsidRPr="000D5801">
        <w:t xml:space="preserve"> 1053(1)(a)-(j)</w:t>
      </w:r>
      <w:r w:rsidR="00A56657">
        <w:t>.</w:t>
      </w:r>
    </w:p>
    <w:p w14:paraId="40BC2FBC" w14:textId="0B3CA300" w:rsidR="00A56657" w:rsidRDefault="00566725" w:rsidP="000D5801">
      <w:pPr>
        <w:pStyle w:val="ParaNumbering"/>
      </w:pPr>
      <w:r>
        <w:t xml:space="preserve">The definition of the AFCA Scheme, however, is not limited to AFCA’s superannuation jurisdiction. </w:t>
      </w:r>
      <w:r w:rsidR="00A56657">
        <w:t>If the definition of the “</w:t>
      </w:r>
      <w:r w:rsidR="00A56657" w:rsidRPr="007A3CF2">
        <w:t>AFCA scheme</w:t>
      </w:r>
      <w:r w:rsidR="00A56657">
        <w:t xml:space="preserve">” in s 761A </w:t>
      </w:r>
      <w:r w:rsidR="0060415C">
        <w:t xml:space="preserve">were </w:t>
      </w:r>
      <w:r w:rsidR="00A56657">
        <w:t>incorporated into s 1053(1) it would read as follows:</w:t>
      </w:r>
    </w:p>
    <w:p w14:paraId="0E802667" w14:textId="0129373D" w:rsidR="00A56657" w:rsidRDefault="00A56657" w:rsidP="00A56657">
      <w:pPr>
        <w:pStyle w:val="Quote1"/>
      </w:pPr>
      <w:r w:rsidRPr="00A56657">
        <w:t xml:space="preserve">A person may, subject to section 1056, make a complaint relating to superannuation </w:t>
      </w:r>
      <w:r w:rsidRPr="00A56657">
        <w:lastRenderedPageBreak/>
        <w:t xml:space="preserve">under the </w:t>
      </w:r>
      <w:r w:rsidR="00BD3035">
        <w:t xml:space="preserve">[external dispute resolution scheme for which an authorisation under Part 7.10A is in force] </w:t>
      </w:r>
      <w:r w:rsidRPr="00A56657">
        <w:t>only if the complaint is a complaint</w:t>
      </w:r>
      <w:r w:rsidR="0060415C" w:rsidRPr="00A56657">
        <w:t>:</w:t>
      </w:r>
      <w:r w:rsidRPr="00A56657">
        <w:t xml:space="preserve"> [specified within (a) to (j)]</w:t>
      </w:r>
    </w:p>
    <w:p w14:paraId="654DEE7E" w14:textId="1459C7A5" w:rsidR="00BD3035" w:rsidRDefault="00BD3035" w:rsidP="00BD3035">
      <w:pPr>
        <w:pStyle w:val="ParaNumbering"/>
      </w:pPr>
      <w:r>
        <w:t xml:space="preserve">Textually, there is no room for a construction that a complaint “relating to superannuation” </w:t>
      </w:r>
      <w:r w:rsidR="00566725">
        <w:t>tha</w:t>
      </w:r>
      <w:r w:rsidR="00420DE5">
        <w:t>t</w:t>
      </w:r>
      <w:r w:rsidR="00566725">
        <w:t xml:space="preserve"> falls outside s</w:t>
      </w:r>
      <w:r w:rsidR="00B433FE">
        <w:t>ub-</w:t>
      </w:r>
      <w:proofErr w:type="spellStart"/>
      <w:r w:rsidR="00B433FE">
        <w:t>ss</w:t>
      </w:r>
      <w:proofErr w:type="spellEnd"/>
      <w:r w:rsidR="00566725">
        <w:t xml:space="preserve"> 1053(1)(a)-(j) </w:t>
      </w:r>
      <w:r>
        <w:t>may be made under AFCA’s general jurisdiction.</w:t>
      </w:r>
    </w:p>
    <w:p w14:paraId="79C35700" w14:textId="77777777" w:rsidR="00BD3035" w:rsidRDefault="00F33249" w:rsidP="00816787">
      <w:pPr>
        <w:pStyle w:val="Heading3"/>
      </w:pPr>
      <w:r>
        <w:t>Statutory context</w:t>
      </w:r>
    </w:p>
    <w:p w14:paraId="55ED852C" w14:textId="77777777" w:rsidR="00F33249" w:rsidRDefault="00F33249" w:rsidP="00006CA6">
      <w:pPr>
        <w:pStyle w:val="ParaNumbering"/>
      </w:pPr>
      <w:r>
        <w:t>We turn now to consider the statutory context for s 1053(1).</w:t>
      </w:r>
    </w:p>
    <w:p w14:paraId="141AD1AA" w14:textId="3D4C484A" w:rsidR="00175185" w:rsidRDefault="00F33249" w:rsidP="00006CA6">
      <w:pPr>
        <w:pStyle w:val="ParaNumbering"/>
      </w:pPr>
      <w:r>
        <w:t>The</w:t>
      </w:r>
      <w:r w:rsidR="00816787">
        <w:t xml:space="preserve"> section is </w:t>
      </w:r>
      <w:r w:rsidR="00CB584F">
        <w:t>an integral</w:t>
      </w:r>
      <w:r w:rsidR="00816787">
        <w:t xml:space="preserve"> component</w:t>
      </w:r>
      <w:r w:rsidR="002B138A">
        <w:t xml:space="preserve"> of the specific provisions introduced in </w:t>
      </w:r>
      <w:proofErr w:type="spellStart"/>
      <w:r w:rsidR="002B138A">
        <w:t>Div</w:t>
      </w:r>
      <w:proofErr w:type="spellEnd"/>
      <w:r w:rsidR="002B138A">
        <w:t xml:space="preserve"> 3 of Pt</w:t>
      </w:r>
      <w:r w:rsidR="0060415C">
        <w:t> </w:t>
      </w:r>
      <w:r w:rsidR="002B138A">
        <w:t xml:space="preserve">7.10A </w:t>
      </w:r>
      <w:r w:rsidR="00816787">
        <w:t>to provide</w:t>
      </w:r>
      <w:r w:rsidR="002B138A">
        <w:t xml:space="preserve"> a mechanism for the determination of complaints relating to superannuation under the </w:t>
      </w:r>
      <w:r w:rsidR="0006638C">
        <w:t>AFCA Scheme</w:t>
      </w:r>
      <w:r w:rsidR="002B138A">
        <w:t xml:space="preserve">. It </w:t>
      </w:r>
      <w:r w:rsidR="00816787">
        <w:t>prescribes</w:t>
      </w:r>
      <w:r w:rsidR="002B138A">
        <w:t xml:space="preserve"> what is constituted by a “superannuation complaint”</w:t>
      </w:r>
      <w:r w:rsidR="00A01C00">
        <w:t xml:space="preserve"> </w:t>
      </w:r>
      <w:r w:rsidR="002B138A" w:rsidRPr="00C848B1">
        <w:t>and</w:t>
      </w:r>
      <w:r w:rsidR="002B138A">
        <w:t xml:space="preserve"> at least on a textual analysis</w:t>
      </w:r>
      <w:r w:rsidR="00D44E14">
        <w:t>,</w:t>
      </w:r>
      <w:r w:rsidR="002B138A">
        <w:t xml:space="preserve"> limits complaints relating to superannuation to be dealt with under the </w:t>
      </w:r>
      <w:r w:rsidR="0006638C">
        <w:t>AFCA Scheme</w:t>
      </w:r>
      <w:r w:rsidR="002B138A">
        <w:t xml:space="preserve"> to complaints falling within s</w:t>
      </w:r>
      <w:r w:rsidR="00B433FE">
        <w:t>ub-</w:t>
      </w:r>
      <w:proofErr w:type="spellStart"/>
      <w:r w:rsidR="00B433FE">
        <w:t>ss</w:t>
      </w:r>
      <w:proofErr w:type="spellEnd"/>
      <w:r w:rsidR="002B138A" w:rsidRPr="000D5801">
        <w:t xml:space="preserve"> 1053(1)(a)-(j)</w:t>
      </w:r>
      <w:r w:rsidR="002B138A">
        <w:t>.</w:t>
      </w:r>
    </w:p>
    <w:p w14:paraId="63EA10B7" w14:textId="0E8ADE6B" w:rsidR="002B138A" w:rsidRDefault="002B138A" w:rsidP="00006CA6">
      <w:pPr>
        <w:pStyle w:val="ParaNumbering"/>
      </w:pPr>
      <w:r>
        <w:t xml:space="preserve">We do not accept, contrary to AFCA’s submissions, that the textual construction of s 1053(1) advanced by MetLife </w:t>
      </w:r>
      <w:r w:rsidR="00A14BED">
        <w:t xml:space="preserve">would lead to any new lacunae by which complaints that could previously be dealt with under the external dispute resolution schemes could no longer be dealt with under the </w:t>
      </w:r>
      <w:r w:rsidR="0006638C">
        <w:t>AFCA Scheme</w:t>
      </w:r>
      <w:r w:rsidR="00A14BED">
        <w:t>.</w:t>
      </w:r>
    </w:p>
    <w:p w14:paraId="259031E5" w14:textId="54904F60" w:rsidR="00816787" w:rsidRDefault="00A14BED" w:rsidP="00006CA6">
      <w:pPr>
        <w:pStyle w:val="ParaNumbering"/>
      </w:pPr>
      <w:r>
        <w:t>We accept that the 2018 Complaint, being a complaint against an insurer</w:t>
      </w:r>
      <w:r w:rsidR="0060415C">
        <w:t>,</w:t>
      </w:r>
      <w:r>
        <w:t xml:space="preserve"> not a superannuation trustee, could previously have been dealt with by FOS</w:t>
      </w:r>
      <w:r w:rsidR="00816787">
        <w:t xml:space="preserve">. We also accept that the 2018 Complaint was relevantly </w:t>
      </w:r>
      <w:r>
        <w:t>a complaint “relating to superannuation”</w:t>
      </w:r>
      <w:r w:rsidR="00816787">
        <w:t xml:space="preserve"> </w:t>
      </w:r>
      <w:r w:rsidR="00E6035E" w:rsidRPr="00C848B1">
        <w:t xml:space="preserve">(for the reasons set out in our consideration of Grounds 1 and 2 of AFCA’s Amended Notice of Contention) </w:t>
      </w:r>
      <w:r w:rsidR="00816787">
        <w:t>and therefore</w:t>
      </w:r>
      <w:r>
        <w:t xml:space="preserve"> it would follow from </w:t>
      </w:r>
      <w:r w:rsidR="00816787">
        <w:t>the</w:t>
      </w:r>
      <w:r>
        <w:t xml:space="preserve"> textual construction of s 1053(1)</w:t>
      </w:r>
      <w:r w:rsidR="00816787">
        <w:t xml:space="preserve"> advanced</w:t>
      </w:r>
      <w:r w:rsidR="00566725">
        <w:t xml:space="preserve"> by</w:t>
      </w:r>
      <w:r w:rsidR="00816787">
        <w:t xml:space="preserve"> MetLife</w:t>
      </w:r>
      <w:r>
        <w:t xml:space="preserve"> that it could no longer be made under the </w:t>
      </w:r>
      <w:r w:rsidR="0006638C">
        <w:t>AFCA Scheme</w:t>
      </w:r>
      <w:r w:rsidR="00374001">
        <w:t xml:space="preserve"> against the insurer as claims made against insurers relating to superannuation do not fall within</w:t>
      </w:r>
      <w:r w:rsidR="00374001" w:rsidRPr="00374001">
        <w:t xml:space="preserve"> </w:t>
      </w:r>
      <w:r w:rsidR="00374001">
        <w:t>s</w:t>
      </w:r>
      <w:r w:rsidR="00B433FE">
        <w:t>ub-</w:t>
      </w:r>
      <w:proofErr w:type="spellStart"/>
      <w:r w:rsidR="00B433FE">
        <w:t>ss</w:t>
      </w:r>
      <w:proofErr w:type="spellEnd"/>
      <w:r w:rsidR="00374001" w:rsidRPr="000D5801">
        <w:t xml:space="preserve"> 1053(1)(a)-(j)</w:t>
      </w:r>
      <w:r w:rsidR="00374001">
        <w:t xml:space="preserve">. This does not, however, give rise to any lacunae. </w:t>
      </w:r>
    </w:p>
    <w:p w14:paraId="27D6E9DF" w14:textId="493B0A71" w:rsidR="00A14BED" w:rsidRDefault="00374001" w:rsidP="00006CA6">
      <w:pPr>
        <w:pStyle w:val="ParaNumbering"/>
      </w:pPr>
      <w:r>
        <w:t xml:space="preserve">By reason of s 1053(1)(a), the 2018 Complaint could still have been made under the </w:t>
      </w:r>
      <w:r w:rsidR="0006638C">
        <w:t>AFCA Scheme</w:t>
      </w:r>
      <w:r>
        <w:t xml:space="preserve"> as a complaint against a superannuation trustee that ha</w:t>
      </w:r>
      <w:r w:rsidR="00ED795B">
        <w:t>d</w:t>
      </w:r>
      <w:r>
        <w:t xml:space="preserve"> made a decision that is alleged to be unfair or unreasonable, in the case of the 2018 Complaint </w:t>
      </w:r>
      <w:r w:rsidR="00816787">
        <w:t xml:space="preserve">a decision not to </w:t>
      </w:r>
      <w:r>
        <w:t>pursue the insurer for indemnity, and the insurer could then be joined to the complaint pursuant to s</w:t>
      </w:r>
      <w:r w:rsidR="00BF13B5">
        <w:t> </w:t>
      </w:r>
      <w:r>
        <w:t>1054(1)</w:t>
      </w:r>
      <w:r w:rsidR="00ED795B">
        <w:t>.</w:t>
      </w:r>
      <w:r>
        <w:t xml:space="preserve"> </w:t>
      </w:r>
      <w:r w:rsidR="00C5296C">
        <w:t>On the assumption that there was a bona fide complaint by a member against a decision of an insurer it is not apparent</w:t>
      </w:r>
      <w:r w:rsidR="00566725">
        <w:t xml:space="preserve"> </w:t>
      </w:r>
      <w:r w:rsidR="00C5296C">
        <w:t xml:space="preserve">how a decision by a superannuation trustee not to pursue the insurer could not be the subject of a complaint by the member against their trustee. If </w:t>
      </w:r>
      <w:r w:rsidR="00C5296C">
        <w:lastRenderedPageBreak/>
        <w:t>ultimately, once the insurer is joined</w:t>
      </w:r>
      <w:r w:rsidR="00BF13B5">
        <w:t>,</w:t>
      </w:r>
      <w:r w:rsidR="00C5296C">
        <w:t xml:space="preserve"> AFCA determines that the decision of the insurer was incorrect then it would appear to follow that the member had a sound claim against a superannuation trustee that had not pursed the claim against the insurer. Hence the inability to bring a claim directly against an insurer under the AFCA </w:t>
      </w:r>
      <w:r w:rsidR="00AD65D5">
        <w:t>S</w:t>
      </w:r>
      <w:r w:rsidR="00C5296C">
        <w:t xml:space="preserve">cheme does not appear to give rise to any practical lacuna. </w:t>
      </w:r>
    </w:p>
    <w:p w14:paraId="7AD6D504" w14:textId="5BA3BD84" w:rsidR="00ED795B" w:rsidRDefault="000F23A2" w:rsidP="00074DA6">
      <w:pPr>
        <w:pStyle w:val="ParaNumbering"/>
      </w:pPr>
      <w:r>
        <w:t>A</w:t>
      </w:r>
      <w:r w:rsidR="00ED795B">
        <w:t xml:space="preserve">ny </w:t>
      </w:r>
      <w:r w:rsidR="00927C32">
        <w:t>absence of coverage</w:t>
      </w:r>
      <w:r w:rsidR="00236F9C">
        <w:t xml:space="preserve"> </w:t>
      </w:r>
      <w:r w:rsidR="00ED795B">
        <w:t xml:space="preserve">in the current context </w:t>
      </w:r>
      <w:r w:rsidR="00927C32">
        <w:t xml:space="preserve">only arises </w:t>
      </w:r>
      <w:r w:rsidR="00ED795B">
        <w:t xml:space="preserve">because the 2018 Complaint was not advanced under the </w:t>
      </w:r>
      <w:r w:rsidR="0006638C">
        <w:t>AFCA Scheme</w:t>
      </w:r>
      <w:r w:rsidR="00ED795B">
        <w:t xml:space="preserve"> until after the two year limitation period </w:t>
      </w:r>
      <w:r w:rsidR="00816787">
        <w:t xml:space="preserve">for superannuation complaints stipulated </w:t>
      </w:r>
      <w:r w:rsidR="00ED795B">
        <w:t xml:space="preserve">in the AFCA </w:t>
      </w:r>
      <w:r w:rsidR="00617DBE">
        <w:t>Rules</w:t>
      </w:r>
      <w:r w:rsidR="00ED795B">
        <w:t>.</w:t>
      </w:r>
      <w:r w:rsidR="00927C32">
        <w:t xml:space="preserve">  That is not a lacuna;  it is just an outcome of a time limit imposed by the rules. </w:t>
      </w:r>
    </w:p>
    <w:p w14:paraId="1EB705D2" w14:textId="5EC88D2B" w:rsidR="00D63327" w:rsidRDefault="00D63327" w:rsidP="00074DA6">
      <w:pPr>
        <w:pStyle w:val="ParaNumbering"/>
      </w:pPr>
      <w:r>
        <w:t xml:space="preserve">Further, the statutory context makes plain that </w:t>
      </w:r>
      <w:r w:rsidR="002945B6">
        <w:t>some</w:t>
      </w:r>
      <w:r>
        <w:t xml:space="preserve"> complaints relating to superannuation are expressly excluded from </w:t>
      </w:r>
      <w:r w:rsidR="002945B6">
        <w:t xml:space="preserve">the </w:t>
      </w:r>
      <w:r w:rsidR="0006638C">
        <w:t>AFCA Scheme</w:t>
      </w:r>
      <w:r w:rsidR="002945B6">
        <w:t>. Section 1053(4) provides that complaints about decisions of a trustee of a</w:t>
      </w:r>
      <w:r w:rsidR="00D44E14">
        <w:t xml:space="preserve"> self-managed superannuation fund (</w:t>
      </w:r>
      <w:r w:rsidR="002945B6" w:rsidRPr="007A3CF2">
        <w:rPr>
          <w:b/>
        </w:rPr>
        <w:t>SMSF</w:t>
      </w:r>
      <w:r w:rsidR="00D44E14">
        <w:t>)</w:t>
      </w:r>
      <w:r w:rsidR="002945B6">
        <w:t xml:space="preserve"> and complaints about certain conduct or decisions of an insurer, under an annuity policy maintained by a trustee of a</w:t>
      </w:r>
      <w:r w:rsidR="0060415C">
        <w:t>n</w:t>
      </w:r>
      <w:r w:rsidR="002945B6">
        <w:t xml:space="preserve"> SMSF are not “</w:t>
      </w:r>
      <w:r w:rsidR="002945B6" w:rsidRPr="007A3CF2">
        <w:t>superannuation complaint</w:t>
      </w:r>
      <w:r w:rsidR="0060415C" w:rsidRPr="00D44E14">
        <w:t>[</w:t>
      </w:r>
      <w:r w:rsidR="002945B6" w:rsidRPr="007A3CF2">
        <w:t>s</w:t>
      </w:r>
      <w:r w:rsidR="0060415C" w:rsidRPr="00D44E14">
        <w:t>]</w:t>
      </w:r>
      <w:r w:rsidR="002945B6">
        <w:t>”.</w:t>
      </w:r>
    </w:p>
    <w:p w14:paraId="6E671D6E" w14:textId="77777777" w:rsidR="00926573" w:rsidRDefault="00926573" w:rsidP="00926573">
      <w:pPr>
        <w:pStyle w:val="Heading3"/>
      </w:pPr>
      <w:r>
        <w:t>Extrinsic materials</w:t>
      </w:r>
    </w:p>
    <w:p w14:paraId="04E1047E" w14:textId="560A789A" w:rsidR="00E116D0" w:rsidRDefault="00080BEB" w:rsidP="00006CA6">
      <w:pPr>
        <w:pStyle w:val="ParaNumbering"/>
      </w:pPr>
      <w:r>
        <w:t xml:space="preserve">On balance, </w:t>
      </w:r>
      <w:r w:rsidR="006C1801">
        <w:t xml:space="preserve">we have concluded that </w:t>
      </w:r>
      <w:r>
        <w:t>t</w:t>
      </w:r>
      <w:r w:rsidR="00E116D0">
        <w:t xml:space="preserve">he extrinsic materials reinforce and do not relevantly detract from our view of the correct textual construction </w:t>
      </w:r>
      <w:r w:rsidR="0060415C">
        <w:t xml:space="preserve">of </w:t>
      </w:r>
      <w:r w:rsidR="00E116D0">
        <w:t>s 1053(1).</w:t>
      </w:r>
      <w:r w:rsidR="004A00F7">
        <w:t xml:space="preserve">  </w:t>
      </w:r>
      <w:r w:rsidR="00325A45">
        <w:t>W</w:t>
      </w:r>
      <w:r w:rsidR="004A00F7">
        <w:t xml:space="preserve">e had the </w:t>
      </w:r>
      <w:r w:rsidR="003542A8">
        <w:t>assistance</w:t>
      </w:r>
      <w:r w:rsidR="004A00F7">
        <w:t xml:space="preserve"> of comprehensive submissions on those materials</w:t>
      </w:r>
      <w:r w:rsidR="006B6646">
        <w:t>, which</w:t>
      </w:r>
      <w:r w:rsidR="00325A45">
        <w:t xml:space="preserve"> was </w:t>
      </w:r>
      <w:r w:rsidR="004A00F7">
        <w:t xml:space="preserve">not </w:t>
      </w:r>
      <w:r w:rsidR="003542A8">
        <w:t>given</w:t>
      </w:r>
      <w:r w:rsidR="004A00F7">
        <w:t xml:space="preserve"> to the primary judge. </w:t>
      </w:r>
      <w:r w:rsidR="00927C32">
        <w:t xml:space="preserve"> The materials </w:t>
      </w:r>
      <w:r w:rsidR="00A87896">
        <w:t>suggest</w:t>
      </w:r>
      <w:r w:rsidR="00927C32">
        <w:t xml:space="preserve"> that </w:t>
      </w:r>
      <w:r w:rsidR="006B6646">
        <w:t xml:space="preserve">it </w:t>
      </w:r>
      <w:r w:rsidR="00927C32">
        <w:t xml:space="preserve">was part of the design of the new statutory scheme to reserve complaints relating to superannuation to the superannuation jurisdiction of AFCA, and so </w:t>
      </w:r>
      <w:r w:rsidR="006B6646">
        <w:t>exclude</w:t>
      </w:r>
      <w:r w:rsidR="00927C32">
        <w:t xml:space="preserve"> them from the jurisdiction it inherited from FOS</w:t>
      </w:r>
      <w:r w:rsidR="006B6646">
        <w:t>.  That was one outcome of the rationalisation of</w:t>
      </w:r>
      <w:r w:rsidR="00927C32">
        <w:t xml:space="preserve"> three complaint bodies into a “one-stop shop”.</w:t>
      </w:r>
    </w:p>
    <w:p w14:paraId="2AC7B520" w14:textId="77777777" w:rsidR="006C1801" w:rsidRDefault="006C1801" w:rsidP="00BF13B5">
      <w:pPr>
        <w:pStyle w:val="Heading4"/>
      </w:pPr>
      <w:r>
        <w:t>Revised Explanatory Memorandum</w:t>
      </w:r>
    </w:p>
    <w:p w14:paraId="4A7C5A1A" w14:textId="77777777" w:rsidR="006C1801" w:rsidRDefault="006C1801" w:rsidP="006C1801">
      <w:pPr>
        <w:pStyle w:val="ParaNumbering"/>
      </w:pPr>
      <w:r>
        <w:t>The perceived benefits of what was referred to as a “one-stop shop” were explained in the Revised EM in the following terms:</w:t>
      </w:r>
    </w:p>
    <w:p w14:paraId="1F996A3E" w14:textId="77777777" w:rsidR="006C1801" w:rsidRDefault="006C1801" w:rsidP="006C1801">
      <w:pPr>
        <w:pStyle w:val="Quote1"/>
      </w:pPr>
      <w:r>
        <w:t>1.12</w:t>
      </w:r>
      <w:r>
        <w:tab/>
        <w:t xml:space="preserve"> On 9 May 2017, the Government announced the creation of a new framework for dispute resolution with a ‘one stop shop’ EDR scheme which will be known as AFCA. AFCA will replace FOS, CIO and the SCT and will consider certain disputes about products and services provided by Financial Firms.</w:t>
      </w:r>
    </w:p>
    <w:p w14:paraId="5B8D9B59" w14:textId="77777777" w:rsidR="006C1801" w:rsidRDefault="006C1801" w:rsidP="006C1801">
      <w:pPr>
        <w:pStyle w:val="Quote1"/>
      </w:pPr>
      <w:r>
        <w:t>1.13</w:t>
      </w:r>
      <w:r>
        <w:tab/>
        <w:t xml:space="preserve"> A key benefit of a one stop shop is that it enables consumers to approach a single scheme to resolve all financial complaints.</w:t>
      </w:r>
    </w:p>
    <w:p w14:paraId="70AE5689" w14:textId="1B82F20C" w:rsidR="00784416" w:rsidRDefault="00784416" w:rsidP="006C1801">
      <w:pPr>
        <w:pStyle w:val="ParaNumbering"/>
      </w:pPr>
      <w:r>
        <w:lastRenderedPageBreak/>
        <w:t xml:space="preserve">At the same time, the Revised EM placed particular emphasis on the extent to which AFCA </w:t>
      </w:r>
      <w:r w:rsidR="001009E5">
        <w:t xml:space="preserve">would be provided with additional and bespoke statutory powers to assist it to resolve superannuation complaints and that its determinations of superannuation complaints would be subject to appeals to the Federal Court on questions of law. </w:t>
      </w:r>
    </w:p>
    <w:p w14:paraId="628D8277" w14:textId="4EDC892E" w:rsidR="006C1801" w:rsidRDefault="006C1801" w:rsidP="006C1801">
      <w:pPr>
        <w:pStyle w:val="ParaNumbering"/>
      </w:pPr>
      <w:r>
        <w:t xml:space="preserve">The Revised EM summarised </w:t>
      </w:r>
      <w:proofErr w:type="spellStart"/>
      <w:r>
        <w:t>Div</w:t>
      </w:r>
      <w:proofErr w:type="spellEnd"/>
      <w:r>
        <w:t xml:space="preserve"> 3 of Pt 7.10A in the following terms:</w:t>
      </w:r>
    </w:p>
    <w:p w14:paraId="69D306F7" w14:textId="77777777" w:rsidR="006C1801" w:rsidRPr="00877148" w:rsidRDefault="006C1801" w:rsidP="006C1801">
      <w:pPr>
        <w:pStyle w:val="Quote1"/>
      </w:pPr>
      <w:r>
        <w:t xml:space="preserve">1.33 </w:t>
      </w:r>
      <w:r>
        <w:tab/>
        <w:t xml:space="preserve">Division 3 of Part 7.10A contains additional provisions relating to </w:t>
      </w:r>
      <w:r w:rsidRPr="00877148">
        <w:t>superannuation complaints. This includes providing AFCA with statutory powers which can be used to assist in resolving a superannuation complaint. The Division also includes provisions that deal with how a determination about a superannuation complaint is made, how questions of law about a superannuation complaint can be referred to the Federal Court and how appeals about superannuation complaints can be made to the Federal Court on a question of law.</w:t>
      </w:r>
    </w:p>
    <w:p w14:paraId="5FBF159C" w14:textId="77777777" w:rsidR="006C1801" w:rsidRPr="00877148" w:rsidRDefault="006C1801" w:rsidP="006C1801">
      <w:pPr>
        <w:pStyle w:val="Quote1"/>
      </w:pPr>
      <w:r w:rsidRPr="00877148">
        <w:t xml:space="preserve">1.34 </w:t>
      </w:r>
      <w:r w:rsidRPr="00877148">
        <w:tab/>
        <w:t>AFCA’s statutory powers which can be used to assist in</w:t>
      </w:r>
      <w:r>
        <w:t xml:space="preserve"> </w:t>
      </w:r>
      <w:r w:rsidRPr="00877148">
        <w:t>resolving a superannuation complaint are as follows:</w:t>
      </w:r>
    </w:p>
    <w:p w14:paraId="40ACE062" w14:textId="77777777" w:rsidR="006C1801" w:rsidRPr="00877148" w:rsidRDefault="006C1801" w:rsidP="006C1801">
      <w:pPr>
        <w:pStyle w:val="Quote2Bullet"/>
      </w:pPr>
      <w:r w:rsidRPr="00877148">
        <w:t>the power to join certain third parties to a superannuation</w:t>
      </w:r>
      <w:r>
        <w:t xml:space="preserve"> </w:t>
      </w:r>
      <w:r w:rsidRPr="00877148">
        <w:t>complaint;</w:t>
      </w:r>
    </w:p>
    <w:p w14:paraId="4328D9DB" w14:textId="77777777" w:rsidR="006C1801" w:rsidRPr="00877148" w:rsidRDefault="006C1801" w:rsidP="006C1801">
      <w:pPr>
        <w:pStyle w:val="Quote2Bullet"/>
      </w:pPr>
      <w:r w:rsidRPr="00877148">
        <w:t>the power to obtain information and documents which are</w:t>
      </w:r>
      <w:r>
        <w:t xml:space="preserve"> </w:t>
      </w:r>
      <w:r w:rsidRPr="00877148">
        <w:t>relevant to a superannuation complaint;</w:t>
      </w:r>
    </w:p>
    <w:p w14:paraId="113A80A0" w14:textId="77777777" w:rsidR="006C1801" w:rsidRPr="00877148" w:rsidRDefault="006C1801" w:rsidP="006C1801">
      <w:pPr>
        <w:pStyle w:val="Quote2Bullet"/>
      </w:pPr>
      <w:r w:rsidRPr="00877148">
        <w:t>the power to require people to attend conciliation conferences</w:t>
      </w:r>
      <w:r>
        <w:t xml:space="preserve"> </w:t>
      </w:r>
      <w:r w:rsidRPr="00877148">
        <w:t>to assist in the resolution of a superannuation complaint;</w:t>
      </w:r>
    </w:p>
    <w:p w14:paraId="0C653A58" w14:textId="77777777" w:rsidR="006C1801" w:rsidRPr="00877148" w:rsidRDefault="006C1801" w:rsidP="006C1801">
      <w:pPr>
        <w:pStyle w:val="Quote2Bullet"/>
      </w:pPr>
      <w:r w:rsidRPr="00877148">
        <w:t>the power to issue directions to protect the confidentiality of</w:t>
      </w:r>
      <w:r>
        <w:t xml:space="preserve"> </w:t>
      </w:r>
      <w:r w:rsidRPr="00877148">
        <w:t>information; and</w:t>
      </w:r>
    </w:p>
    <w:p w14:paraId="227BE8A2" w14:textId="77777777" w:rsidR="006C1801" w:rsidRPr="00877148" w:rsidRDefault="006C1801" w:rsidP="006C1801">
      <w:pPr>
        <w:pStyle w:val="Quote2Bullet"/>
      </w:pPr>
      <w:r w:rsidRPr="00877148">
        <w:t>the power to refer a question of law arising in relation to a</w:t>
      </w:r>
      <w:r>
        <w:t xml:space="preserve"> </w:t>
      </w:r>
      <w:r w:rsidRPr="00877148">
        <w:t>superannuation complaint to the Federal Court.</w:t>
      </w:r>
    </w:p>
    <w:p w14:paraId="06985E34" w14:textId="77777777" w:rsidR="006C1801" w:rsidRPr="00877148" w:rsidRDefault="006C1801" w:rsidP="006C1801">
      <w:pPr>
        <w:pStyle w:val="Quote1"/>
      </w:pPr>
      <w:r w:rsidRPr="00877148">
        <w:t xml:space="preserve">1.35 </w:t>
      </w:r>
      <w:r>
        <w:tab/>
      </w:r>
      <w:r w:rsidRPr="00877148">
        <w:t>In relation to the making of a determination of a superannuation</w:t>
      </w:r>
      <w:r>
        <w:t xml:space="preserve"> </w:t>
      </w:r>
      <w:r w:rsidRPr="00877148">
        <w:t>complaint, Division 3 also:</w:t>
      </w:r>
    </w:p>
    <w:p w14:paraId="1E62B215" w14:textId="77777777" w:rsidR="006C1801" w:rsidRPr="00877148" w:rsidRDefault="006C1801" w:rsidP="006C1801">
      <w:pPr>
        <w:pStyle w:val="Quote2Bullet"/>
      </w:pPr>
      <w:r w:rsidRPr="00877148">
        <w:t>sets out the powers, obligations and discretions of AFCA in</w:t>
      </w:r>
      <w:r>
        <w:t xml:space="preserve"> </w:t>
      </w:r>
      <w:r w:rsidRPr="00877148">
        <w:t>making a determination;</w:t>
      </w:r>
    </w:p>
    <w:p w14:paraId="4B568427" w14:textId="77777777" w:rsidR="006C1801" w:rsidRPr="00877148" w:rsidRDefault="006C1801" w:rsidP="006C1801">
      <w:pPr>
        <w:pStyle w:val="Quote2Bullet"/>
      </w:pPr>
      <w:r w:rsidRPr="00877148">
        <w:t>requires AFCA to give written reasons for a determination</w:t>
      </w:r>
      <w:r>
        <w:t xml:space="preserve"> </w:t>
      </w:r>
      <w:r w:rsidRPr="00877148">
        <w:t>relating to a superannuation complaint; and</w:t>
      </w:r>
    </w:p>
    <w:p w14:paraId="5118B2AB" w14:textId="77777777" w:rsidR="006C1801" w:rsidRPr="00877148" w:rsidRDefault="006C1801" w:rsidP="006C1801">
      <w:pPr>
        <w:pStyle w:val="Quote2Bullet"/>
      </w:pPr>
      <w:r w:rsidRPr="00877148">
        <w:t>explains that a determination comes into operation</w:t>
      </w:r>
      <w:r>
        <w:t xml:space="preserve"> </w:t>
      </w:r>
      <w:r w:rsidRPr="00877148">
        <w:t>immediately upon the making of the determination unless</w:t>
      </w:r>
      <w:r>
        <w:t xml:space="preserve"> </w:t>
      </w:r>
      <w:r w:rsidRPr="00877148">
        <w:t>otherwise specified by AFCA.</w:t>
      </w:r>
    </w:p>
    <w:p w14:paraId="3B8B368B" w14:textId="77777777" w:rsidR="006C1801" w:rsidRPr="00877148" w:rsidRDefault="006C1801" w:rsidP="006C1801">
      <w:pPr>
        <w:pStyle w:val="Quote1"/>
      </w:pPr>
      <w:r w:rsidRPr="00877148">
        <w:t xml:space="preserve">1.36 </w:t>
      </w:r>
      <w:r>
        <w:tab/>
      </w:r>
      <w:r w:rsidRPr="00877148">
        <w:t>AFCA’s determinations of superannuation complaints will be</w:t>
      </w:r>
      <w:r>
        <w:t xml:space="preserve"> </w:t>
      </w:r>
      <w:r w:rsidRPr="00877148">
        <w:t>subject to appeal to the Federal Court on a question of law. Division 3</w:t>
      </w:r>
      <w:r>
        <w:t xml:space="preserve"> </w:t>
      </w:r>
      <w:r w:rsidRPr="00877148">
        <w:t>also includes rules about the status of a determination which is subject to</w:t>
      </w:r>
      <w:r>
        <w:t xml:space="preserve"> </w:t>
      </w:r>
      <w:r w:rsidRPr="00877148">
        <w:t>appeal to the Federal Court. A right of appeal is maintained for</w:t>
      </w:r>
      <w:r>
        <w:t xml:space="preserve"> </w:t>
      </w:r>
      <w:r w:rsidRPr="00877148">
        <w:t>superannuation complaints given the compulsory nature of superannuation</w:t>
      </w:r>
      <w:r>
        <w:t xml:space="preserve"> </w:t>
      </w:r>
      <w:r w:rsidRPr="00877148">
        <w:t>and the obligation of trustees to act in the best interests of all beneficiaries</w:t>
      </w:r>
      <w:r>
        <w:t xml:space="preserve"> </w:t>
      </w:r>
      <w:r w:rsidRPr="00877148">
        <w:t>of the fund. The outcome of a superannuation complaint may have wider</w:t>
      </w:r>
      <w:r>
        <w:t xml:space="preserve"> </w:t>
      </w:r>
      <w:r w:rsidRPr="00877148">
        <w:t>implications on the future payment of benefits by a trustee to members.</w:t>
      </w:r>
      <w:r>
        <w:t xml:space="preserve"> </w:t>
      </w:r>
      <w:r w:rsidRPr="00877148">
        <w:t>It is important that these types of decisions can be appealed where the law</w:t>
      </w:r>
      <w:r>
        <w:t xml:space="preserve"> </w:t>
      </w:r>
      <w:r w:rsidRPr="00877148">
        <w:t>may have been incorrectly applied.</w:t>
      </w:r>
    </w:p>
    <w:p w14:paraId="66B845F7" w14:textId="77777777" w:rsidR="006C1801" w:rsidRDefault="006C1801" w:rsidP="006C1801">
      <w:pPr>
        <w:pStyle w:val="Quote1"/>
      </w:pPr>
      <w:r w:rsidRPr="00877148">
        <w:lastRenderedPageBreak/>
        <w:t xml:space="preserve">1.37 </w:t>
      </w:r>
      <w:r>
        <w:tab/>
      </w:r>
      <w:r w:rsidRPr="00877148">
        <w:t>Division 3 also provides that AFCA staff members will be</w:t>
      </w:r>
      <w:r>
        <w:t xml:space="preserve"> </w:t>
      </w:r>
      <w:r w:rsidRPr="00877148">
        <w:t>subject to secrecy requirements in relation to information that is</w:t>
      </w:r>
      <w:r>
        <w:t xml:space="preserve"> </w:t>
      </w:r>
      <w:r w:rsidRPr="00877148">
        <w:t>compulsorily obtained from third parties as part of a superannuation</w:t>
      </w:r>
      <w:r>
        <w:t xml:space="preserve"> </w:t>
      </w:r>
      <w:r w:rsidRPr="00877148">
        <w:t>complaint.</w:t>
      </w:r>
    </w:p>
    <w:p w14:paraId="4660FBE8" w14:textId="5D6181B8" w:rsidR="006C1801" w:rsidRDefault="006C1801" w:rsidP="006C1801">
      <w:pPr>
        <w:pStyle w:val="ParaNumbering"/>
      </w:pPr>
      <w:r>
        <w:t xml:space="preserve">The Revised EM included a table at pages 14 and 15 contrasting the new law with the current law. The table first addressed the AFCA Scheme generally and then dealt with superannuation complaints sourced back </w:t>
      </w:r>
      <w:r w:rsidRPr="00046A19">
        <w:t>to</w:t>
      </w:r>
      <w:r>
        <w:t xml:space="preserve"> the SCT law.</w:t>
      </w:r>
      <w:r w:rsidR="00280E62">
        <w:t xml:space="preserve"> A sharp distinction was drawn between superannuation and non-superannuation complaints.</w:t>
      </w:r>
    </w:p>
    <w:p w14:paraId="11ACD1B2" w14:textId="47091B3F" w:rsidR="006C1801" w:rsidRDefault="001009E5" w:rsidP="006C1801">
      <w:pPr>
        <w:pStyle w:val="ParaNumbering"/>
      </w:pPr>
      <w:r>
        <w:t xml:space="preserve">The perceived need </w:t>
      </w:r>
      <w:r w:rsidR="006C1801">
        <w:t xml:space="preserve">to provide additional powers to AFCA to facilitate the determination of superannuation </w:t>
      </w:r>
      <w:r>
        <w:t xml:space="preserve">complaints </w:t>
      </w:r>
      <w:r w:rsidR="006C1801">
        <w:t xml:space="preserve">was </w:t>
      </w:r>
      <w:r>
        <w:t>explained</w:t>
      </w:r>
      <w:r w:rsidR="006C1801">
        <w:t xml:space="preserve"> in the following paragraphs of the Revised EM:</w:t>
      </w:r>
    </w:p>
    <w:p w14:paraId="2DF5480C" w14:textId="77777777" w:rsidR="006C1801" w:rsidRPr="00877148" w:rsidRDefault="006C1801" w:rsidP="006C1801">
      <w:pPr>
        <w:pStyle w:val="Quote1"/>
      </w:pPr>
      <w:r w:rsidRPr="00877148">
        <w:t xml:space="preserve">1.99 </w:t>
      </w:r>
      <w:r>
        <w:tab/>
      </w:r>
      <w:r w:rsidRPr="00877148">
        <w:t>As superannuation complaints are often complex in nature,</w:t>
      </w:r>
      <w:r>
        <w:t xml:space="preserve"> </w:t>
      </w:r>
      <w:r w:rsidRPr="00877148">
        <w:t>particularly where third parties are involved, this Bill provides additional</w:t>
      </w:r>
      <w:r>
        <w:t xml:space="preserve"> </w:t>
      </w:r>
      <w:r w:rsidRPr="00877148">
        <w:t>powers to AFCA to facilitate the resolution of superannuation complaints.</w:t>
      </w:r>
    </w:p>
    <w:p w14:paraId="35D9B88C" w14:textId="77777777" w:rsidR="006C1801" w:rsidRPr="00877148" w:rsidRDefault="006C1801" w:rsidP="006C1801">
      <w:pPr>
        <w:pStyle w:val="Quote1"/>
      </w:pPr>
      <w:r w:rsidRPr="00877148">
        <w:t xml:space="preserve">1.100 </w:t>
      </w:r>
      <w:r>
        <w:tab/>
      </w:r>
      <w:r w:rsidRPr="00877148">
        <w:t>The additional powers that will apply in relation to</w:t>
      </w:r>
      <w:r>
        <w:t xml:space="preserve"> </w:t>
      </w:r>
      <w:r w:rsidRPr="00877148">
        <w:t>superannuation complaints are as follows:</w:t>
      </w:r>
    </w:p>
    <w:p w14:paraId="7C899192" w14:textId="77777777" w:rsidR="006C1801" w:rsidRPr="00877148" w:rsidRDefault="006C1801" w:rsidP="006C1801">
      <w:pPr>
        <w:pStyle w:val="Quote2Bullet"/>
      </w:pPr>
      <w:r w:rsidRPr="00877148">
        <w:t>a power to join certain persons to a superannuation</w:t>
      </w:r>
      <w:r>
        <w:t xml:space="preserve"> </w:t>
      </w:r>
      <w:r w:rsidRPr="00877148">
        <w:t>complaint;</w:t>
      </w:r>
    </w:p>
    <w:p w14:paraId="44A28F84" w14:textId="77777777" w:rsidR="006C1801" w:rsidRPr="00877148" w:rsidRDefault="006C1801" w:rsidP="006C1801">
      <w:pPr>
        <w:pStyle w:val="Quote2Bullet"/>
      </w:pPr>
      <w:r w:rsidRPr="00877148">
        <w:t>a power to obtain information and documents about a</w:t>
      </w:r>
      <w:r>
        <w:t xml:space="preserve"> </w:t>
      </w:r>
      <w:r w:rsidRPr="00877148">
        <w:t>superannuation complaint;</w:t>
      </w:r>
    </w:p>
    <w:p w14:paraId="2B689000" w14:textId="77777777" w:rsidR="006C1801" w:rsidRPr="00877148" w:rsidRDefault="006C1801" w:rsidP="006C1801">
      <w:pPr>
        <w:pStyle w:val="Quote2Bullet"/>
      </w:pPr>
      <w:r w:rsidRPr="00877148">
        <w:t>a power to require people to attend a conciliation conference</w:t>
      </w:r>
      <w:r>
        <w:t xml:space="preserve"> </w:t>
      </w:r>
      <w:r w:rsidRPr="00877148">
        <w:t>about a superannuation complaint;</w:t>
      </w:r>
    </w:p>
    <w:p w14:paraId="656909B1" w14:textId="77777777" w:rsidR="006C1801" w:rsidRPr="00877148" w:rsidRDefault="006C1801" w:rsidP="006C1801">
      <w:pPr>
        <w:pStyle w:val="Quote2Bullet"/>
      </w:pPr>
      <w:r w:rsidRPr="00877148">
        <w:t>the power to issue directions to protect the confidentiality of</w:t>
      </w:r>
      <w:r>
        <w:t xml:space="preserve"> </w:t>
      </w:r>
      <w:r w:rsidRPr="00877148">
        <w:t>information; and</w:t>
      </w:r>
    </w:p>
    <w:p w14:paraId="09A5C643" w14:textId="77777777" w:rsidR="006C1801" w:rsidRPr="00877148" w:rsidRDefault="006C1801" w:rsidP="006C1801">
      <w:pPr>
        <w:pStyle w:val="Quote2Bullet"/>
      </w:pPr>
      <w:r w:rsidRPr="00877148">
        <w:t>the ability to refer questions of law relating to a</w:t>
      </w:r>
      <w:r>
        <w:t xml:space="preserve"> </w:t>
      </w:r>
      <w:r w:rsidRPr="00877148">
        <w:t>superannuation complaint to the Federal Court.</w:t>
      </w:r>
    </w:p>
    <w:p w14:paraId="37B3AE97" w14:textId="77777777" w:rsidR="006C1801" w:rsidRPr="00877148" w:rsidRDefault="006C1801" w:rsidP="006C1801">
      <w:pPr>
        <w:pStyle w:val="Quote1"/>
      </w:pPr>
      <w:r w:rsidRPr="00877148">
        <w:t xml:space="preserve">1.101 </w:t>
      </w:r>
      <w:r>
        <w:tab/>
      </w:r>
      <w:r w:rsidRPr="00877148">
        <w:t>These additional powers are required for superannuation</w:t>
      </w:r>
      <w:r>
        <w:t xml:space="preserve"> </w:t>
      </w:r>
      <w:r w:rsidRPr="00877148">
        <w:t>complaints because it may be necessary in some cases to require people</w:t>
      </w:r>
      <w:r>
        <w:t xml:space="preserve"> </w:t>
      </w:r>
      <w:r w:rsidRPr="00877148">
        <w:t>who are not originally parties to a complaint to participate in the</w:t>
      </w:r>
      <w:r>
        <w:t xml:space="preserve"> </w:t>
      </w:r>
      <w:r w:rsidRPr="00877148">
        <w:t>superannuation complaints process. The powers are consistent with the</w:t>
      </w:r>
      <w:r>
        <w:t xml:space="preserve"> </w:t>
      </w:r>
      <w:r w:rsidRPr="00877148">
        <w:t>powers that the SCT currently has to resolve superannuation complaints.</w:t>
      </w:r>
    </w:p>
    <w:p w14:paraId="033D9DD1" w14:textId="77777777" w:rsidR="006C1801" w:rsidRPr="00877148" w:rsidRDefault="006C1801" w:rsidP="006C1801">
      <w:pPr>
        <w:pStyle w:val="Quote1"/>
      </w:pPr>
      <w:r w:rsidRPr="00877148">
        <w:t xml:space="preserve">1.102 </w:t>
      </w:r>
      <w:r>
        <w:tab/>
      </w:r>
      <w:r w:rsidRPr="00877148">
        <w:t>This Bill also provides the ability for parties to a superannuation</w:t>
      </w:r>
      <w:r>
        <w:t xml:space="preserve"> </w:t>
      </w:r>
      <w:r w:rsidRPr="00877148">
        <w:t>complaint to appeal determinations to the Federal Court on a question of</w:t>
      </w:r>
      <w:r>
        <w:t xml:space="preserve"> </w:t>
      </w:r>
      <w:r w:rsidRPr="00877148">
        <w:t>law, as is currently the case for SCT determinations. A right of appeal is</w:t>
      </w:r>
      <w:r>
        <w:t xml:space="preserve"> </w:t>
      </w:r>
      <w:r w:rsidRPr="00877148">
        <w:t>maintained for superannuation complaints given the compulsory nature of</w:t>
      </w:r>
      <w:r>
        <w:t xml:space="preserve"> </w:t>
      </w:r>
      <w:r w:rsidRPr="00877148">
        <w:t>superannuation and the obligation of trustees to act in the best interests of</w:t>
      </w:r>
      <w:r>
        <w:t xml:space="preserve"> </w:t>
      </w:r>
      <w:r w:rsidRPr="00877148">
        <w:t>all beneficiaries of the fund. The outcome of a superannuation complaint</w:t>
      </w:r>
      <w:r>
        <w:t xml:space="preserve"> </w:t>
      </w:r>
      <w:r w:rsidRPr="00877148">
        <w:t>may have wider implications on the future payment of benefits by a</w:t>
      </w:r>
      <w:r>
        <w:t xml:space="preserve"> </w:t>
      </w:r>
      <w:r w:rsidRPr="00877148">
        <w:t>trustee to members. It is important that these types of decisions can be</w:t>
      </w:r>
      <w:r>
        <w:t xml:space="preserve"> </w:t>
      </w:r>
      <w:r w:rsidRPr="00877148">
        <w:t>appealed where the law may have been incorrectly applied.</w:t>
      </w:r>
    </w:p>
    <w:p w14:paraId="6DDC0EEC" w14:textId="77777777" w:rsidR="006C1801" w:rsidRDefault="006C1801" w:rsidP="006C1801">
      <w:pPr>
        <w:pStyle w:val="Quote1"/>
      </w:pPr>
      <w:r w:rsidRPr="00877148">
        <w:t xml:space="preserve">1.103 </w:t>
      </w:r>
      <w:r>
        <w:tab/>
      </w:r>
      <w:r w:rsidRPr="00877148">
        <w:t>This Bill also outlines secrecy obligations for AFCA staff</w:t>
      </w:r>
      <w:r>
        <w:t xml:space="preserve"> </w:t>
      </w:r>
      <w:r w:rsidRPr="00877148">
        <w:t>members who receive confidential information obtained compulsorily</w:t>
      </w:r>
      <w:r>
        <w:t xml:space="preserve"> </w:t>
      </w:r>
      <w:r w:rsidRPr="00877148">
        <w:t>under these provisions. Information that is not obtained compulsorily will</w:t>
      </w:r>
      <w:r>
        <w:t xml:space="preserve"> </w:t>
      </w:r>
      <w:r w:rsidRPr="00877148">
        <w:t xml:space="preserve">be protected in accordance with the </w:t>
      </w:r>
      <w:r w:rsidRPr="00877148">
        <w:rPr>
          <w:i/>
        </w:rPr>
        <w:t>Privacy Act 1988</w:t>
      </w:r>
      <w:r w:rsidRPr="00877148">
        <w:t>.</w:t>
      </w:r>
    </w:p>
    <w:p w14:paraId="0FB59315" w14:textId="22D3BD95" w:rsidR="00280E62" w:rsidRDefault="00280E62" w:rsidP="006C1801">
      <w:pPr>
        <w:pStyle w:val="ParaNumbering"/>
      </w:pPr>
      <w:r>
        <w:lastRenderedPageBreak/>
        <w:t xml:space="preserve">The above extract from the Revised EM </w:t>
      </w:r>
      <w:r w:rsidR="001009E5">
        <w:t>clearly evidences</w:t>
      </w:r>
      <w:r>
        <w:t xml:space="preserve"> the legislative intention that a discrete procedure was necessary and would be implemented to deal with complaints relating to superannuation.</w:t>
      </w:r>
    </w:p>
    <w:p w14:paraId="2E357630" w14:textId="01A41B3D" w:rsidR="006C1801" w:rsidRDefault="006C1801" w:rsidP="006C1801">
      <w:pPr>
        <w:pStyle w:val="ParaNumbering"/>
      </w:pPr>
      <w:r>
        <w:t>The Revised EM stated at [1.104] that a complaint relating to superannuation:</w:t>
      </w:r>
    </w:p>
    <w:p w14:paraId="5403E2FB" w14:textId="77777777" w:rsidR="006C1801" w:rsidRDefault="006C1801" w:rsidP="006C1801">
      <w:pPr>
        <w:pStyle w:val="Quote1"/>
      </w:pPr>
      <w:r w:rsidRPr="00877148">
        <w:t>can be made under the</w:t>
      </w:r>
      <w:r>
        <w:t xml:space="preserve"> </w:t>
      </w:r>
      <w:r w:rsidRPr="00877148">
        <w:t>AFCA scheme only if the complaint relates to one of the decisions or</w:t>
      </w:r>
      <w:r>
        <w:t xml:space="preserve"> </w:t>
      </w:r>
      <w:r w:rsidRPr="00877148">
        <w:t>types of conduct outlined below and the complainant alleges that the</w:t>
      </w:r>
      <w:r>
        <w:t xml:space="preserve"> </w:t>
      </w:r>
      <w:r w:rsidRPr="00877148">
        <w:t>decision or conduct was unfair or unreasonable.</w:t>
      </w:r>
    </w:p>
    <w:p w14:paraId="3427A554" w14:textId="45368335" w:rsidR="006C1801" w:rsidRDefault="006C1801" w:rsidP="006C1801">
      <w:pPr>
        <w:pStyle w:val="ParaNumbering"/>
      </w:pPr>
      <w:r>
        <w:t>The decisions or types of conduct that became the ten sub-paragraphs of s 1053(1) were then set out in the Revised EM at [1.105] to [1.113].</w:t>
      </w:r>
    </w:p>
    <w:p w14:paraId="57545C3F" w14:textId="49500A92" w:rsidR="00280E62" w:rsidRDefault="00280E62" w:rsidP="006C1801">
      <w:pPr>
        <w:pStyle w:val="ParaNumbering"/>
      </w:pPr>
      <w:r>
        <w:t>It is significant that the Revised EM at [1.104] refers to the AFCA Scheme as a whole, not the superannuation jurisdiction of the AFCA Scheme. The Revised EM does not contemplate that a complaint relating to superannuation may be made under the non-superannuation jurisdiction of the AFCA Scheme.</w:t>
      </w:r>
      <w:r w:rsidR="00233DB9">
        <w:t xml:space="preserve">  It expresses the contrary.</w:t>
      </w:r>
    </w:p>
    <w:p w14:paraId="6FFE61CD" w14:textId="2D01BEAE" w:rsidR="006C1801" w:rsidRDefault="006C1801" w:rsidP="006C1801">
      <w:pPr>
        <w:pStyle w:val="ParaNumbering"/>
      </w:pPr>
      <w:r>
        <w:t xml:space="preserve">The decision to exclude certain complaints about </w:t>
      </w:r>
      <w:r w:rsidR="00D44E14">
        <w:t xml:space="preserve">SMSFs </w:t>
      </w:r>
      <w:r>
        <w:t>from the AFCA Scheme was explained at [1.117 ] in these terms:</w:t>
      </w:r>
    </w:p>
    <w:p w14:paraId="0CFAF0F5" w14:textId="77777777" w:rsidR="006C1801" w:rsidRPr="00877148" w:rsidRDefault="006C1801" w:rsidP="006C1801">
      <w:pPr>
        <w:pStyle w:val="Quote1"/>
      </w:pPr>
      <w:r w:rsidRPr="00877148">
        <w:t>Certain complaints about self-managed superannuation funds</w:t>
      </w:r>
      <w:r>
        <w:t xml:space="preserve"> </w:t>
      </w:r>
      <w:r w:rsidRPr="00877148">
        <w:t>(SMSFs) cannot be made under the AFCA scheme. A key characteristic of</w:t>
      </w:r>
      <w:r>
        <w:t xml:space="preserve"> </w:t>
      </w:r>
      <w:r w:rsidRPr="00877148">
        <w:t>an SMSF is that the trustees of an SMSF are also members of the SMSF.</w:t>
      </w:r>
      <w:r>
        <w:t xml:space="preserve"> </w:t>
      </w:r>
      <w:r w:rsidRPr="00877148">
        <w:t>For this reason it would not be appropriate for an SMSF member to make</w:t>
      </w:r>
      <w:r>
        <w:t xml:space="preserve"> </w:t>
      </w:r>
      <w:r w:rsidRPr="00877148">
        <w:t>a superannuation complaint relating to an SMSF to AFCA, as the decision</w:t>
      </w:r>
      <w:r>
        <w:t xml:space="preserve"> </w:t>
      </w:r>
      <w:r w:rsidRPr="00877148">
        <w:t>of the trustee is also the decision of the member. These include complaints</w:t>
      </w:r>
      <w:r>
        <w:t xml:space="preserve"> </w:t>
      </w:r>
      <w:r w:rsidRPr="00877148">
        <w:t>relating to:</w:t>
      </w:r>
    </w:p>
    <w:p w14:paraId="11FAA7AC" w14:textId="77777777" w:rsidR="006C1801" w:rsidRPr="00877148" w:rsidRDefault="006C1801" w:rsidP="006C1801">
      <w:pPr>
        <w:pStyle w:val="Quote2Bullet"/>
      </w:pPr>
      <w:r w:rsidRPr="00877148">
        <w:t>a decision made by the trustee of an SMSF;</w:t>
      </w:r>
    </w:p>
    <w:p w14:paraId="57FF1B98" w14:textId="77777777" w:rsidR="006C1801" w:rsidRPr="00877148" w:rsidRDefault="006C1801" w:rsidP="006C1801">
      <w:pPr>
        <w:pStyle w:val="Quote2Bullet"/>
      </w:pPr>
      <w:r w:rsidRPr="00877148">
        <w:t>conduct engaged in by an insurer, or a representative of an</w:t>
      </w:r>
      <w:r>
        <w:t xml:space="preserve"> </w:t>
      </w:r>
      <w:r w:rsidRPr="00877148">
        <w:t>insurer, in relation to the sale of an annuity policy maintained</w:t>
      </w:r>
      <w:r>
        <w:t xml:space="preserve"> </w:t>
      </w:r>
      <w:r w:rsidRPr="00877148">
        <w:t>or to be maintained by the trustee of an SMSF on behalf of</w:t>
      </w:r>
      <w:r>
        <w:t xml:space="preserve"> </w:t>
      </w:r>
      <w:r w:rsidRPr="00877148">
        <w:t>its members; or</w:t>
      </w:r>
    </w:p>
    <w:p w14:paraId="70D27334" w14:textId="77777777" w:rsidR="006C1801" w:rsidRDefault="006C1801" w:rsidP="006C1801">
      <w:pPr>
        <w:pStyle w:val="Quote2Bullet"/>
      </w:pPr>
      <w:r w:rsidRPr="00877148">
        <w:t>a decision made by an insurer, or a representative of an</w:t>
      </w:r>
      <w:r>
        <w:t xml:space="preserve"> </w:t>
      </w:r>
      <w:r w:rsidRPr="00877148">
        <w:t>insurer, under an annuity policy maintained by the trustee of</w:t>
      </w:r>
      <w:r>
        <w:t xml:space="preserve"> </w:t>
      </w:r>
      <w:r w:rsidRPr="00877148">
        <w:t>an SMSF on behalf of its members.</w:t>
      </w:r>
    </w:p>
    <w:p w14:paraId="549A7BB0" w14:textId="77777777" w:rsidR="006C1801" w:rsidRDefault="006C1801" w:rsidP="006C1801">
      <w:pPr>
        <w:pStyle w:val="ParaNumbering"/>
      </w:pPr>
      <w:r>
        <w:t>The Revised EM stated at [1.118]:</w:t>
      </w:r>
    </w:p>
    <w:p w14:paraId="4587FB0F" w14:textId="77777777" w:rsidR="006C1801" w:rsidRDefault="006C1801" w:rsidP="006C1801">
      <w:pPr>
        <w:pStyle w:val="Quote1"/>
      </w:pPr>
      <w:r w:rsidRPr="00877148">
        <w:t>However, members of an SMSF may still lodge</w:t>
      </w:r>
      <w:r>
        <w:t xml:space="preserve"> </w:t>
      </w:r>
      <w:r w:rsidRPr="00877148">
        <w:t>non-superannuation complaints with AFCA. For example, an SMSF may, as a consumer of financial advice, be permitted to bring a</w:t>
      </w:r>
      <w:r>
        <w:t xml:space="preserve"> </w:t>
      </w:r>
      <w:r w:rsidRPr="00877148">
        <w:t>non-superannuation complaint to AFCA regarding a financial adviser.</w:t>
      </w:r>
    </w:p>
    <w:p w14:paraId="0CB74C6A" w14:textId="3A36AD57" w:rsidR="006C1801" w:rsidRDefault="006C1801" w:rsidP="006C1801">
      <w:pPr>
        <w:pStyle w:val="ParaNumbering"/>
      </w:pPr>
      <w:r>
        <w:lastRenderedPageBreak/>
        <w:t xml:space="preserve">The Revised EM then </w:t>
      </w:r>
      <w:r w:rsidR="001009E5">
        <w:t xml:space="preserve">provided </w:t>
      </w:r>
      <w:r>
        <w:t xml:space="preserve">three illustrative examples of how </w:t>
      </w:r>
      <w:r w:rsidR="001009E5">
        <w:t xml:space="preserve">the powers given to AFCA to deal with superannuation complaints </w:t>
      </w:r>
      <w:r>
        <w:t xml:space="preserve">would be exercised. The first example at </w:t>
      </w:r>
      <w:r w:rsidR="001009E5">
        <w:t>[</w:t>
      </w:r>
      <w:r>
        <w:t>1.125</w:t>
      </w:r>
      <w:r w:rsidR="001009E5">
        <w:t>]</w:t>
      </w:r>
      <w:r>
        <w:t xml:space="preserve"> </w:t>
      </w:r>
      <w:r w:rsidR="001048D6">
        <w:t>(</w:t>
      </w:r>
      <w:r w:rsidR="001048D6" w:rsidRPr="00051DD7">
        <w:rPr>
          <w:b/>
        </w:rPr>
        <w:t>Hermione example</w:t>
      </w:r>
      <w:r w:rsidR="001048D6">
        <w:t xml:space="preserve">) </w:t>
      </w:r>
      <w:r>
        <w:t>was directed at the power to join parties and is in the following terms:</w:t>
      </w:r>
    </w:p>
    <w:p w14:paraId="6EFB2970" w14:textId="77777777" w:rsidR="006C1801" w:rsidRPr="002A1480" w:rsidRDefault="006C1801" w:rsidP="006C1801">
      <w:pPr>
        <w:pStyle w:val="Quote1"/>
      </w:pPr>
      <w:r w:rsidRPr="002A1480">
        <w:t>Hermione makes a claim on a TPD insurance policy held by her</w:t>
      </w:r>
      <w:r>
        <w:t xml:space="preserve"> </w:t>
      </w:r>
      <w:r w:rsidRPr="002A1480">
        <w:t>superannuation fund. The claim is declined by the trustee on the basis</w:t>
      </w:r>
      <w:r>
        <w:t xml:space="preserve"> </w:t>
      </w:r>
      <w:r w:rsidRPr="002A1480">
        <w:t>that the superannuation fund’s insurer has determined that Hermione’s</w:t>
      </w:r>
      <w:r>
        <w:t xml:space="preserve"> </w:t>
      </w:r>
      <w:r w:rsidRPr="002A1480">
        <w:t>disability does not meet the definition of a TPD in the policy.</w:t>
      </w:r>
    </w:p>
    <w:p w14:paraId="3471B0F7" w14:textId="77777777" w:rsidR="006C1801" w:rsidRPr="002A1480" w:rsidRDefault="006C1801" w:rsidP="006C1801">
      <w:pPr>
        <w:pStyle w:val="Quote1"/>
      </w:pPr>
      <w:r w:rsidRPr="002A1480">
        <w:t>Hermione makes a complaint under the AFCA scheme about the</w:t>
      </w:r>
      <w:r>
        <w:t xml:space="preserve"> </w:t>
      </w:r>
      <w:r w:rsidRPr="002A1480">
        <w:t>trustee’s decision to reject her claim. AFCA joins the insurer as a party</w:t>
      </w:r>
      <w:r>
        <w:t xml:space="preserve"> </w:t>
      </w:r>
      <w:r w:rsidRPr="002A1480">
        <w:t>to Hermione’s complaint.</w:t>
      </w:r>
    </w:p>
    <w:p w14:paraId="089EB034" w14:textId="77777777" w:rsidR="006C1801" w:rsidRPr="002A1480" w:rsidRDefault="006C1801" w:rsidP="006C1801">
      <w:pPr>
        <w:pStyle w:val="Quote1"/>
      </w:pPr>
      <w:r w:rsidRPr="002A1480">
        <w:t>AFCA can review the decision of the trustee and the insurer.</w:t>
      </w:r>
    </w:p>
    <w:p w14:paraId="4ADA5E68" w14:textId="77777777" w:rsidR="006C1801" w:rsidRPr="002A1480" w:rsidRDefault="006C1801" w:rsidP="006C1801">
      <w:pPr>
        <w:pStyle w:val="Quote1"/>
      </w:pPr>
      <w:r w:rsidRPr="002A1480">
        <w:t>AFCA reviews the information used by the trustee and insurer in</w:t>
      </w:r>
      <w:r>
        <w:t xml:space="preserve"> </w:t>
      </w:r>
      <w:r w:rsidRPr="002A1480">
        <w:t>making their decisions and determines that the insurer did not gather</w:t>
      </w:r>
      <w:r>
        <w:t xml:space="preserve"> </w:t>
      </w:r>
      <w:r w:rsidRPr="002A1480">
        <w:t>sufficient information about Hermione’s illness to properly determine</w:t>
      </w:r>
      <w:r>
        <w:t xml:space="preserve"> </w:t>
      </w:r>
      <w:r w:rsidRPr="002A1480">
        <w:t>whether she has a TPD.</w:t>
      </w:r>
    </w:p>
    <w:p w14:paraId="3664995E" w14:textId="2DDA738C" w:rsidR="006C1801" w:rsidRDefault="006C1801" w:rsidP="006C1801">
      <w:pPr>
        <w:pStyle w:val="Quote1"/>
      </w:pPr>
      <w:r w:rsidRPr="002A1480">
        <w:t>AFCA remits the decision back to the trustee and insurer with</w:t>
      </w:r>
      <w:r>
        <w:t xml:space="preserve"> </w:t>
      </w:r>
      <w:r w:rsidRPr="002A1480">
        <w:t>directions requiring them to obtain further medical information about</w:t>
      </w:r>
      <w:r>
        <w:t xml:space="preserve"> </w:t>
      </w:r>
      <w:r w:rsidRPr="002A1480">
        <w:t>Hermione’s disability.</w:t>
      </w:r>
    </w:p>
    <w:p w14:paraId="308F9EC6" w14:textId="0AA6A571" w:rsidR="00EE3C10" w:rsidRDefault="00EE3C10" w:rsidP="00EE3C10">
      <w:pPr>
        <w:pStyle w:val="ParaNumbering"/>
      </w:pPr>
      <w:r>
        <w:t xml:space="preserve">The 2018 Complaint falls squarely within the parameters of the </w:t>
      </w:r>
      <w:r w:rsidR="001048D6">
        <w:t xml:space="preserve">Hermione </w:t>
      </w:r>
      <w:r>
        <w:t xml:space="preserve">example. The example </w:t>
      </w:r>
      <w:r w:rsidR="001009E5">
        <w:t>reveals a</w:t>
      </w:r>
      <w:r>
        <w:t xml:space="preserve"> legislative intention that complaints relating to superannuation, in this case a TPD insurance policy held by a </w:t>
      </w:r>
      <w:r w:rsidR="001009E5">
        <w:t xml:space="preserve">trustee of a </w:t>
      </w:r>
      <w:r>
        <w:t>superannuation fund</w:t>
      </w:r>
      <w:r w:rsidR="00C57205">
        <w:t>,</w:t>
      </w:r>
      <w:r>
        <w:t xml:space="preserve"> </w:t>
      </w:r>
      <w:r w:rsidR="001048D6">
        <w:t xml:space="preserve">may </w:t>
      </w:r>
      <w:r>
        <w:t xml:space="preserve">be </w:t>
      </w:r>
      <w:r w:rsidR="001009E5">
        <w:t xml:space="preserve">advanced </w:t>
      </w:r>
      <w:r>
        <w:t xml:space="preserve">by </w:t>
      </w:r>
      <w:r w:rsidR="001009E5">
        <w:t xml:space="preserve">making </w:t>
      </w:r>
      <w:r>
        <w:t>a complaint against a decision of a superannu</w:t>
      </w:r>
      <w:r w:rsidR="00280E62">
        <w:t xml:space="preserve">ation trustee pursuant to s 1053(1) and </w:t>
      </w:r>
      <w:r w:rsidR="001009E5">
        <w:t>thus enlivening the</w:t>
      </w:r>
      <w:r w:rsidR="00280E62">
        <w:t xml:space="preserve"> specific statutory framework for dealing with superannuation </w:t>
      </w:r>
      <w:r w:rsidR="001009E5">
        <w:t>complaints</w:t>
      </w:r>
      <w:r w:rsidR="00280E62">
        <w:t>.</w:t>
      </w:r>
      <w:r>
        <w:t xml:space="preserve"> </w:t>
      </w:r>
    </w:p>
    <w:p w14:paraId="4C5C7FF8" w14:textId="77777777" w:rsidR="006C1801" w:rsidRDefault="006C1801" w:rsidP="00C57205">
      <w:pPr>
        <w:pStyle w:val="Heading4"/>
      </w:pPr>
      <w:r>
        <w:t>Second Reading Speech</w:t>
      </w:r>
    </w:p>
    <w:p w14:paraId="13A61840" w14:textId="01512064" w:rsidR="006C1801" w:rsidRDefault="006C1801" w:rsidP="006C1801">
      <w:pPr>
        <w:pStyle w:val="ParaNumbering"/>
      </w:pPr>
      <w:r>
        <w:t xml:space="preserve">The </w:t>
      </w:r>
      <w:r w:rsidRPr="007B2323">
        <w:t>Second Reading Speech</w:t>
      </w:r>
      <w:r>
        <w:t xml:space="preserve"> </w:t>
      </w:r>
      <w:r w:rsidR="00051DD7">
        <w:t xml:space="preserve">records </w:t>
      </w:r>
      <w:r>
        <w:t xml:space="preserve">at page 7318 of the Senate Hansard that the central recommendation of the review undertaken by Professor Ian Ramsay, Ms Julie Abramson and </w:t>
      </w:r>
      <w:r w:rsidR="00A01C00">
        <w:t xml:space="preserve">Mr </w:t>
      </w:r>
      <w:r>
        <w:t xml:space="preserve">Alan Kirkland </w:t>
      </w:r>
      <w:r w:rsidR="006C4E0B">
        <w:t xml:space="preserve">in connection with their preparation of the Ramsay Report </w:t>
      </w:r>
      <w:r>
        <w:t>was “to establish a new one-stop-shop dispute resolution body for all financial disputes, including superannuation disputes”.</w:t>
      </w:r>
    </w:p>
    <w:p w14:paraId="65FD09D8" w14:textId="77777777" w:rsidR="006C1801" w:rsidRDefault="006C1801" w:rsidP="006C1801">
      <w:pPr>
        <w:pStyle w:val="ParaNumbering"/>
      </w:pPr>
      <w:r>
        <w:t>It was then stated in the Second Reading Speech at page 7319 that:</w:t>
      </w:r>
    </w:p>
    <w:p w14:paraId="376F7EF5" w14:textId="77777777" w:rsidR="006C1801" w:rsidRDefault="006C1801" w:rsidP="006C1801">
      <w:pPr>
        <w:pStyle w:val="Quote1"/>
      </w:pPr>
      <w:r>
        <w:t>In line with this recommendation, the Government committed to establishing the Australian Financial Complaints Authority, or AFCA, which will be based on an industry ombudsman model, with additional statutory powers where required.</w:t>
      </w:r>
    </w:p>
    <w:p w14:paraId="4B664E87" w14:textId="77777777" w:rsidR="006C1801" w:rsidRDefault="006C1801" w:rsidP="006C1801">
      <w:pPr>
        <w:pStyle w:val="Quote1"/>
      </w:pPr>
      <w:r>
        <w:t>This approach combines the strengths of both a statutory tribunal and an industry ombudsman scheme.</w:t>
      </w:r>
    </w:p>
    <w:p w14:paraId="2EDF5C7F" w14:textId="77777777" w:rsidR="006C1801" w:rsidRDefault="006C1801" w:rsidP="006C1801">
      <w:pPr>
        <w:pStyle w:val="Quote1"/>
      </w:pPr>
      <w:r>
        <w:t xml:space="preserve">AFCA will replace the Financial Ombudsman Service (FOS), the Credit and Investments Ombudsman (CIO) and the Superannuation Complaints Tribunal (SCT), </w:t>
      </w:r>
      <w:r>
        <w:lastRenderedPageBreak/>
        <w:t>and will reduce the unnecessary duplication and consumer confusion that has been characteristic of the current framework.</w:t>
      </w:r>
    </w:p>
    <w:p w14:paraId="49EC4A9B" w14:textId="77777777" w:rsidR="006C1801" w:rsidRDefault="006C1801" w:rsidP="006C1801">
      <w:pPr>
        <w:pStyle w:val="ParaNumbering"/>
      </w:pPr>
      <w:r>
        <w:t>The need to provide additional powers to facilitate the resolution of superannuation disputes was explained as follows at pages 7319-20 of the Senate Hansard:</w:t>
      </w:r>
    </w:p>
    <w:p w14:paraId="08F6E751" w14:textId="77777777" w:rsidR="006C1801" w:rsidRDefault="006C1801" w:rsidP="006C1801">
      <w:pPr>
        <w:pStyle w:val="Quote1"/>
      </w:pPr>
      <w:r>
        <w:t>The legislation also includes a number of statutory provisions to ensure that AFCA has the necessary powers to effectively resolve superannuation disputes. Additional statutory provisions are required because of the complex nature of some superannuation disputes that involve third parties, such as death benefit disputes.</w:t>
      </w:r>
    </w:p>
    <w:p w14:paraId="0314BB16" w14:textId="77777777" w:rsidR="006C1801" w:rsidRDefault="006C1801" w:rsidP="006C1801">
      <w:pPr>
        <w:pStyle w:val="Quote1"/>
      </w:pPr>
      <w:r>
        <w:t>AFCA will have the power to join third parties to a dispute, require parties to attend conciliation and require the production of documents.</w:t>
      </w:r>
    </w:p>
    <w:p w14:paraId="4D59F85C" w14:textId="77777777" w:rsidR="006C1801" w:rsidRDefault="006C1801" w:rsidP="006C1801">
      <w:pPr>
        <w:pStyle w:val="Quote1"/>
      </w:pPr>
      <w:r>
        <w:t>The statutory provisions available to AFCA will allow timely decisions to be made, to enable prompt payment of death benefit amounts by superannuation funds, to those who may be in need.</w:t>
      </w:r>
    </w:p>
    <w:p w14:paraId="0F99B233" w14:textId="77777777" w:rsidR="006C1801" w:rsidRDefault="006C1801" w:rsidP="006C1801">
      <w:pPr>
        <w:pStyle w:val="ParaNumbering"/>
      </w:pPr>
      <w:r>
        <w:t>It was also stated in the Second Reading Speech at page 7321 of the Senate Hansard that:</w:t>
      </w:r>
    </w:p>
    <w:p w14:paraId="165611AA" w14:textId="443B66DD" w:rsidR="006C1801" w:rsidRDefault="006C1801" w:rsidP="006C1801">
      <w:pPr>
        <w:pStyle w:val="Quote1"/>
      </w:pPr>
      <w:r>
        <w:t xml:space="preserve">The new </w:t>
      </w:r>
      <w:r w:rsidR="001009E5">
        <w:t>[External Dispute Resolution]</w:t>
      </w:r>
      <w:r>
        <w:t xml:space="preserve"> regime will result in significant benefits for consumers and small businesses, with less confusion, increased access to redress and greater accountability for financial firms.</w:t>
      </w:r>
    </w:p>
    <w:p w14:paraId="7EF07701" w14:textId="77777777" w:rsidR="006C1801" w:rsidRDefault="006C1801" w:rsidP="0076741B">
      <w:pPr>
        <w:pStyle w:val="Heading4"/>
      </w:pPr>
      <w:r>
        <w:t>Ramsay Report</w:t>
      </w:r>
    </w:p>
    <w:p w14:paraId="6A124FCE" w14:textId="1FB1385C" w:rsidR="006C1801" w:rsidRDefault="006C1801" w:rsidP="006C1801">
      <w:pPr>
        <w:pStyle w:val="ParaNumbering"/>
      </w:pPr>
      <w:r>
        <w:t xml:space="preserve">By reason of s 15AB(1) of the </w:t>
      </w:r>
      <w:r w:rsidRPr="007A3CF2">
        <w:t>Acts Interpretation Act</w:t>
      </w:r>
      <w:r w:rsidR="00051DD7">
        <w:t>,</w:t>
      </w:r>
      <w:r>
        <w:rPr>
          <w:i/>
        </w:rPr>
        <w:t xml:space="preserve"> </w:t>
      </w:r>
      <w:r w:rsidRPr="00E6115C">
        <w:t>t</w:t>
      </w:r>
      <w:r>
        <w:t xml:space="preserve">he Ramsay Report is capable of assisting </w:t>
      </w:r>
      <w:r w:rsidR="00051DD7">
        <w:t>to</w:t>
      </w:r>
      <w:r>
        <w:t xml:space="preserve"> ascertain the meaning of the AFCA Act, given</w:t>
      </w:r>
      <w:r w:rsidR="00051DD7">
        <w:t xml:space="preserve"> that</w:t>
      </w:r>
      <w:r>
        <w:t xml:space="preserve"> both the Revised EM and the Second Reading Speech expressly referred to it</w:t>
      </w:r>
      <w:r w:rsidR="00051DD7">
        <w:t>,</w:t>
      </w:r>
      <w:r>
        <w:t xml:space="preserve"> and the Revised EM recorded at [5.2] that:</w:t>
      </w:r>
    </w:p>
    <w:p w14:paraId="5B8C8825" w14:textId="77777777" w:rsidR="006C1801" w:rsidRDefault="006C1801" w:rsidP="006C1801">
      <w:pPr>
        <w:pStyle w:val="Quote1"/>
      </w:pPr>
      <w:r>
        <w:t>Treasury has certified that the Ramsay Review and subsequent consultation as a process and analysis equivalent to a Regulation Impact Statement.</w:t>
      </w:r>
    </w:p>
    <w:p w14:paraId="394FEC60" w14:textId="4E500830" w:rsidR="006C1801" w:rsidRDefault="006C1801" w:rsidP="006C1801">
      <w:pPr>
        <w:pStyle w:val="ParaNumbering"/>
      </w:pPr>
      <w:r>
        <w:t>The Ramsay Report placed particular emphasis on the particular structural and legal aspects of superannuation. Under a heading “Preserving the strengths of the existing arrangements”</w:t>
      </w:r>
      <w:r w:rsidR="00051DD7">
        <w:t>,</w:t>
      </w:r>
      <w:r>
        <w:t xml:space="preserve"> it was stated:</w:t>
      </w:r>
    </w:p>
    <w:p w14:paraId="4A2BFF28" w14:textId="77777777" w:rsidR="006C1801" w:rsidRDefault="006C1801" w:rsidP="006C1801">
      <w:pPr>
        <w:pStyle w:val="Quote1"/>
        <w:ind w:left="1440" w:hanging="703"/>
      </w:pPr>
      <w:r>
        <w:t>5.61.</w:t>
      </w:r>
      <w:r>
        <w:tab/>
        <w:t>The Panel has noted there are aspects of superannuation disputes that distinguish them from other financial disputes, including the structural and legal aspects of superannuation (for example, the fiduciary duties of trustees). The Panel has given careful consideration to these issues, including obtaining legal advice.</w:t>
      </w:r>
    </w:p>
    <w:p w14:paraId="14E88B09" w14:textId="77777777" w:rsidR="006C1801" w:rsidRDefault="006C1801" w:rsidP="006C1801">
      <w:pPr>
        <w:pStyle w:val="Quote1"/>
        <w:ind w:left="1440" w:hanging="703"/>
      </w:pPr>
      <w:r>
        <w:t xml:space="preserve">5.62. </w:t>
      </w:r>
      <w:r>
        <w:tab/>
        <w:t>The Panel considers that an informal, accessible and effective industry-based EDR body, in conjunction with careful design and, where necessary, statutory provisions, will be able to effectively manage the unique features of superannuation disputes. This is discussed in detail in Chapter 7.With careful design and, where necessary, statutory provisions, particular structural and legal aspects of superannuation can be accommodated.</w:t>
      </w:r>
    </w:p>
    <w:p w14:paraId="382A8228" w14:textId="074477FA" w:rsidR="006C1801" w:rsidRDefault="006C1801" w:rsidP="006C1801">
      <w:pPr>
        <w:pStyle w:val="ParaNumbering"/>
      </w:pPr>
      <w:r>
        <w:lastRenderedPageBreak/>
        <w:t>A particular concern expressed in the Ramsay Report was the risk of inconsistent outcomes across different external dispute resolution bodies</w:t>
      </w:r>
      <w:r w:rsidR="00051DD7">
        <w:t>,</w:t>
      </w:r>
      <w:r>
        <w:t xml:space="preserve"> given the overlap in their various jurisdictions. The authors of the Ramsay Report explained that:</w:t>
      </w:r>
    </w:p>
    <w:p w14:paraId="51D0009D" w14:textId="77777777" w:rsidR="006C1801" w:rsidRDefault="006C1801" w:rsidP="006C1801">
      <w:pPr>
        <w:pStyle w:val="Quote1"/>
        <w:ind w:left="1440" w:hanging="703"/>
      </w:pPr>
      <w:r>
        <w:t>5.70.</w:t>
      </w:r>
      <w:r>
        <w:tab/>
        <w:t>A key principle guiding this Review is that the outcomes from similar disputes should be comparable. This is critical for consumer confidence in the financial system overall.</w:t>
      </w:r>
    </w:p>
    <w:p w14:paraId="33B456D6" w14:textId="77777777" w:rsidR="006C1801" w:rsidRDefault="006C1801" w:rsidP="006C1801">
      <w:pPr>
        <w:pStyle w:val="Quote1"/>
      </w:pPr>
      <w:r>
        <w:t>5.71.</w:t>
      </w:r>
      <w:r>
        <w:tab/>
        <w:t>At present, the EDR bodies have different:</w:t>
      </w:r>
    </w:p>
    <w:p w14:paraId="28741461" w14:textId="77777777" w:rsidR="006C1801" w:rsidRDefault="006C1801" w:rsidP="006C1801">
      <w:pPr>
        <w:pStyle w:val="Quote2Bullet"/>
      </w:pPr>
      <w:r>
        <w:t>jurisdictions (for example, FOS and CIO have different definitions of ‘financial services’ and SCT and FOS/CIO have different monetary limits);</w:t>
      </w:r>
    </w:p>
    <w:p w14:paraId="083E8F67" w14:textId="77777777" w:rsidR="006C1801" w:rsidRDefault="006C1801" w:rsidP="006C1801">
      <w:pPr>
        <w:pStyle w:val="Quote2Bullet"/>
      </w:pPr>
      <w:r>
        <w:t>processes for dealing with disputes (for example, some schemes have fast-track processes for certain disputes) and different decision making models (for example, decisions by ombudsmen or panels, depending on the nature of the dispute); and</w:t>
      </w:r>
    </w:p>
    <w:p w14:paraId="631024CD" w14:textId="77777777" w:rsidR="006C1801" w:rsidRDefault="006C1801" w:rsidP="006C1801">
      <w:pPr>
        <w:pStyle w:val="Quote2Bullet"/>
      </w:pPr>
      <w:r>
        <w:t>decision making criteria.</w:t>
      </w:r>
    </w:p>
    <w:p w14:paraId="7D60CA20" w14:textId="77777777" w:rsidR="006C1801" w:rsidRDefault="006C1801" w:rsidP="006C1801">
      <w:pPr>
        <w:pStyle w:val="Quote1"/>
        <w:ind w:left="1440" w:hanging="703"/>
      </w:pPr>
      <w:r>
        <w:t>5.72.</w:t>
      </w:r>
      <w:r>
        <w:tab/>
        <w:t>These factors mean that consumers can have different dispute resolution experiences and different outcomes for similar disputes.</w:t>
      </w:r>
    </w:p>
    <w:p w14:paraId="05371EEC" w14:textId="77777777" w:rsidR="006C1801" w:rsidRDefault="006C1801" w:rsidP="006C1801">
      <w:pPr>
        <w:pStyle w:val="Quote1"/>
        <w:ind w:left="1440" w:hanging="703"/>
      </w:pPr>
      <w:r>
        <w:t>5.73.</w:t>
      </w:r>
      <w:r>
        <w:tab/>
        <w:t xml:space="preserve">This is clearly illustrated in the case of life insurance disputes. The mere fact of whether the insurance was obtained within or outside superannuation determines which EDR body (FOS or SCT) deals with the dispute and results in very different experiences for the consumer, given the lengthy delays currently experienced by SCT. </w:t>
      </w:r>
    </w:p>
    <w:p w14:paraId="2EA9E96D" w14:textId="77777777" w:rsidR="006C1801" w:rsidRDefault="006C1801" w:rsidP="006C1801">
      <w:pPr>
        <w:pStyle w:val="Quote1"/>
        <w:ind w:left="1440" w:hanging="703"/>
      </w:pPr>
      <w:r>
        <w:t>[Footnotes omitted.]</w:t>
      </w:r>
    </w:p>
    <w:p w14:paraId="476CBC16" w14:textId="77777777" w:rsidR="006C1801" w:rsidRDefault="006C1801" w:rsidP="006C1801">
      <w:pPr>
        <w:pStyle w:val="ParaNumbering"/>
      </w:pPr>
      <w:r>
        <w:t>A particular concern that had arisen in relation to the overlap between the jurisdictions of the SCT and the FOS was identified at [5.90] of the Ramsay Report in the following terms:</w:t>
      </w:r>
    </w:p>
    <w:p w14:paraId="31786864" w14:textId="77777777" w:rsidR="006C1801" w:rsidRDefault="006C1801" w:rsidP="006C1801">
      <w:pPr>
        <w:pStyle w:val="Quote1"/>
      </w:pPr>
      <w:r>
        <w:t>A separate concern was raised in relation to disputes where there is an overlap between FOS’s and SCT’s jurisdictions. In such cases, it was submitted that it is FOS alone that determines what part of the dispute falls within its jurisdiction. Concerns were raised about ‘subjectiveness’ in what aspects of a matter can be taken by FOS, which can result in fragmentation of disputes to different bodies, in turn resulting in inconsistent outcomes and confusion for consumers who lodge complaints with the incorrect EDR body.</w:t>
      </w:r>
    </w:p>
    <w:p w14:paraId="73499A58" w14:textId="77777777" w:rsidR="006C1801" w:rsidRDefault="006C1801" w:rsidP="006C1801">
      <w:pPr>
        <w:pStyle w:val="Quote1"/>
      </w:pPr>
      <w:r>
        <w:t>[Footnotes omitted.]</w:t>
      </w:r>
    </w:p>
    <w:p w14:paraId="69B30FE3" w14:textId="08426DCB" w:rsidR="006C1801" w:rsidRDefault="006C1801" w:rsidP="006C1801">
      <w:pPr>
        <w:pStyle w:val="ParaNumbering"/>
      </w:pPr>
      <w:r>
        <w:t>The authors of the Ramsay Report concluded</w:t>
      </w:r>
      <w:r w:rsidR="00B11AA7">
        <w:t>,</w:t>
      </w:r>
      <w:r>
        <w:t xml:space="preserve"> at page 109</w:t>
      </w:r>
      <w:r w:rsidR="00B11AA7">
        <w:t>,</w:t>
      </w:r>
      <w:r>
        <w:t xml:space="preserve"> that the current multi-body framework imposed unnecessary costs on consumers because it resulted in inconsistent outcomes and processes for similar disputes, difficulties when firms were members of different </w:t>
      </w:r>
      <w:r w:rsidR="000977B1">
        <w:t>external dispute resolution</w:t>
      </w:r>
      <w:r>
        <w:t xml:space="preserve"> schemes and consumer confidence as to where they should seek redress. </w:t>
      </w:r>
    </w:p>
    <w:p w14:paraId="015A75E5" w14:textId="3BB8391B" w:rsidR="001048D6" w:rsidRDefault="001048D6" w:rsidP="00B11AA7">
      <w:pPr>
        <w:pStyle w:val="Heading4"/>
      </w:pPr>
      <w:r>
        <w:lastRenderedPageBreak/>
        <w:t>Exposure Draft</w:t>
      </w:r>
    </w:p>
    <w:p w14:paraId="257381C6" w14:textId="0B4EFA86" w:rsidR="001048D6" w:rsidRDefault="005A79FB" w:rsidP="006C1801">
      <w:pPr>
        <w:pStyle w:val="ParaNumbering"/>
      </w:pPr>
      <w:r>
        <w:t>The Exposure Draft was released b</w:t>
      </w:r>
      <w:r w:rsidR="001048D6">
        <w:t xml:space="preserve">etween the publication of the Ramsay Report and the introduction of the </w:t>
      </w:r>
      <w:r>
        <w:t>AFCA Establishment Bill</w:t>
      </w:r>
      <w:r w:rsidR="001048D6">
        <w:t xml:space="preserve"> into Parliament.</w:t>
      </w:r>
    </w:p>
    <w:p w14:paraId="49269DDD" w14:textId="55F23227" w:rsidR="005A79FB" w:rsidRDefault="001048D6" w:rsidP="006C1801">
      <w:pPr>
        <w:pStyle w:val="ParaNumbering"/>
      </w:pPr>
      <w:r>
        <w:t>Following a period of public consultation</w:t>
      </w:r>
      <w:r w:rsidR="00B11AA7">
        <w:t>,</w:t>
      </w:r>
      <w:r w:rsidR="005A79FB">
        <w:t xml:space="preserve"> </w:t>
      </w:r>
      <w:r>
        <w:t>a number of changes were made to the text of s 1052 of the Exposure Draft</w:t>
      </w:r>
      <w:r w:rsidR="00B11AA7">
        <w:t>,</w:t>
      </w:r>
      <w:r>
        <w:t xml:space="preserve"> which subsequently became s 1053 in the AFCA Act</w:t>
      </w:r>
      <w:r w:rsidR="005B1297">
        <w:t xml:space="preserve">. </w:t>
      </w:r>
    </w:p>
    <w:p w14:paraId="5E7EDE7B" w14:textId="24721F47" w:rsidR="005B1297" w:rsidRDefault="005B1297" w:rsidP="006C1801">
      <w:pPr>
        <w:pStyle w:val="ParaNumbering"/>
      </w:pPr>
      <w:r>
        <w:t>The principal changes were as follows:</w:t>
      </w:r>
    </w:p>
    <w:p w14:paraId="085B5BE7" w14:textId="5218A463" w:rsidR="005B1297" w:rsidRDefault="005B1297" w:rsidP="00B11AA7">
      <w:pPr>
        <w:pStyle w:val="ListNo1alt"/>
        <w:numPr>
          <w:ilvl w:val="0"/>
          <w:numId w:val="34"/>
        </w:numPr>
      </w:pPr>
      <w:r>
        <w:t xml:space="preserve">the heading to the section was changed from “Meaning of </w:t>
      </w:r>
      <w:r w:rsidRPr="00B11AA7">
        <w:rPr>
          <w:b/>
          <w:i/>
        </w:rPr>
        <w:t>superannuation complaint</w:t>
      </w:r>
      <w:r>
        <w:t>” to “When complaints relating to superannuation can be made under the AFCA scheme”;</w:t>
      </w:r>
    </w:p>
    <w:p w14:paraId="3E41E3A7" w14:textId="6CCBE9E0" w:rsidR="005B1297" w:rsidRDefault="005B1297" w:rsidP="004D52A8">
      <w:pPr>
        <w:pStyle w:val="ListNo1alt"/>
        <w:numPr>
          <w:ilvl w:val="0"/>
          <w:numId w:val="34"/>
        </w:numPr>
      </w:pPr>
      <w:r>
        <w:t xml:space="preserve">the </w:t>
      </w:r>
      <w:r w:rsidR="005A79FB">
        <w:t xml:space="preserve">prefatory words </w:t>
      </w:r>
      <w:r w:rsidR="0063546E">
        <w:t>to</w:t>
      </w:r>
      <w:r w:rsidR="005A79FB">
        <w:t xml:space="preserve"> sub</w:t>
      </w:r>
      <w:r w:rsidR="00B11AA7">
        <w:t>-</w:t>
      </w:r>
      <w:r w:rsidR="005A79FB">
        <w:t>s 1</w:t>
      </w:r>
      <w:r>
        <w:t xml:space="preserve"> “A </w:t>
      </w:r>
      <w:r w:rsidRPr="004D52A8">
        <w:rPr>
          <w:b/>
          <w:i/>
        </w:rPr>
        <w:t>superannuation complaint</w:t>
      </w:r>
      <w:r>
        <w:t xml:space="preserve"> is a complaint, made under an authorised external dispute resolution scheme</w:t>
      </w:r>
      <w:r w:rsidR="0063546E">
        <w:t>, that: [paragraphs (a) to (j)]</w:t>
      </w:r>
      <w:r>
        <w:t>” were replaced by “A person may</w:t>
      </w:r>
      <w:r w:rsidR="0063546E">
        <w:t>, subject to section 1056,</w:t>
      </w:r>
      <w:r>
        <w:t xml:space="preserve"> make a complaint relating to superannuation under the AFCA scheme only if the complaint is a complaint</w:t>
      </w:r>
      <w:r w:rsidR="0063546E">
        <w:t>: [paragraphs (a) to (j)]</w:t>
      </w:r>
      <w:r>
        <w:t>”;</w:t>
      </w:r>
    </w:p>
    <w:p w14:paraId="32755F28" w14:textId="30AA54FF" w:rsidR="005B1297" w:rsidRDefault="005B1297" w:rsidP="004D52A8">
      <w:pPr>
        <w:pStyle w:val="ListNo1alt"/>
        <w:numPr>
          <w:ilvl w:val="0"/>
          <w:numId w:val="34"/>
        </w:numPr>
      </w:pPr>
      <w:proofErr w:type="gramStart"/>
      <w:r>
        <w:t>a</w:t>
      </w:r>
      <w:proofErr w:type="gramEnd"/>
      <w:r>
        <w:t xml:space="preserve"> new sub</w:t>
      </w:r>
      <w:r w:rsidR="00B11AA7">
        <w:t>-</w:t>
      </w:r>
      <w:r>
        <w:t xml:space="preserve">s (3) was added that provided that “A complaint made in accordance with subsection (1) of this section is a </w:t>
      </w:r>
      <w:r w:rsidRPr="007A3CF2">
        <w:rPr>
          <w:b/>
          <w:i/>
        </w:rPr>
        <w:t>superannuation complaint</w:t>
      </w:r>
      <w:r>
        <w:t>”.</w:t>
      </w:r>
    </w:p>
    <w:p w14:paraId="035EB158" w14:textId="6E01CC02" w:rsidR="000977B1" w:rsidRDefault="0063546E" w:rsidP="0063546E">
      <w:pPr>
        <w:pStyle w:val="ParaNumbering"/>
      </w:pPr>
      <w:r>
        <w:t>The changes were significant. Section 1052(1) of the Exposure Draft was directed at providing a definition of “superannuation complaint”</w:t>
      </w:r>
      <w:r w:rsidR="006F23E2">
        <w:t>, that is each of the matters identified in</w:t>
      </w:r>
      <w:r w:rsidR="006F23E2" w:rsidRPr="006F23E2">
        <w:t xml:space="preserve"> </w:t>
      </w:r>
      <w:r w:rsidR="006F23E2">
        <w:t>s</w:t>
      </w:r>
      <w:r w:rsidR="00B11AA7">
        <w:t>ub-</w:t>
      </w:r>
      <w:proofErr w:type="spellStart"/>
      <w:r w:rsidR="00B11AA7">
        <w:t>ss</w:t>
      </w:r>
      <w:proofErr w:type="spellEnd"/>
      <w:r w:rsidR="006F23E2">
        <w:t xml:space="preserve"> 1052(1)(a)</w:t>
      </w:r>
      <w:r w:rsidR="00B11AA7">
        <w:t>-</w:t>
      </w:r>
      <w:r w:rsidR="006F23E2">
        <w:t>(j). T</w:t>
      </w:r>
      <w:r>
        <w:t>he revised s 1053(1)</w:t>
      </w:r>
      <w:r w:rsidR="00B11AA7">
        <w:t>,</w:t>
      </w:r>
      <w:r>
        <w:t xml:space="preserve"> by the introduction of </w:t>
      </w:r>
      <w:r w:rsidR="006F23E2">
        <w:t>the expressions “relating to superannuation” and “only if”</w:t>
      </w:r>
      <w:r w:rsidR="00B11AA7">
        <w:t>,</w:t>
      </w:r>
      <w:r w:rsidR="006F23E2">
        <w:t xml:space="preserve"> goes beyond providing a definition of superannuation complaints that can be made under the AFCA </w:t>
      </w:r>
      <w:r w:rsidR="00E43A11">
        <w:t>S</w:t>
      </w:r>
      <w:r w:rsidR="006F23E2">
        <w:t>cheme by expressly providing that only superannuation complaints that fall within s</w:t>
      </w:r>
      <w:r w:rsidR="00E47002">
        <w:t>ub-</w:t>
      </w:r>
      <w:proofErr w:type="spellStart"/>
      <w:r w:rsidR="00E47002">
        <w:t>ss</w:t>
      </w:r>
      <w:proofErr w:type="spellEnd"/>
      <w:r w:rsidR="006F23E2">
        <w:t xml:space="preserve"> 1053(1)(a)-(j) can </w:t>
      </w:r>
      <w:r w:rsidR="00E43A11">
        <w:t>be made under the scheme</w:t>
      </w:r>
      <w:r w:rsidR="006F23E2">
        <w:t xml:space="preserve">. </w:t>
      </w:r>
    </w:p>
    <w:p w14:paraId="59887F75" w14:textId="7957F153" w:rsidR="000977B1" w:rsidRDefault="000977B1" w:rsidP="007B2323">
      <w:pPr>
        <w:pStyle w:val="ParaNumbering"/>
      </w:pPr>
      <w:r>
        <w:t xml:space="preserve">We do not accept AFCA’s submission that the Exposure Draft is of no assistance. The intention behind the drafting change can be inferred from the terms of the amendments and it cannot </w:t>
      </w:r>
      <w:r w:rsidR="006B5AA2">
        <w:t xml:space="preserve">simply </w:t>
      </w:r>
      <w:r>
        <w:t xml:space="preserve">be dismissed as a matter of speculation. </w:t>
      </w:r>
      <w:r w:rsidR="00E43A11">
        <w:t xml:space="preserve">The amendments </w:t>
      </w:r>
      <w:r>
        <w:t xml:space="preserve">on their face </w:t>
      </w:r>
      <w:r w:rsidR="00E43A11">
        <w:t>reflect</w:t>
      </w:r>
      <w:r>
        <w:t>, or at least are consistent with,</w:t>
      </w:r>
      <w:r w:rsidR="00E43A11">
        <w:t xml:space="preserve"> a legislative recognition that complaints relating to superannuation might extend beyond those identified in sub</w:t>
      </w:r>
      <w:r w:rsidR="00B433FE">
        <w:t>-</w:t>
      </w:r>
      <w:proofErr w:type="spellStart"/>
      <w:r w:rsidR="00B433FE">
        <w:t>ss</w:t>
      </w:r>
      <w:proofErr w:type="spellEnd"/>
      <w:r w:rsidR="00B433FE">
        <w:t xml:space="preserve"> </w:t>
      </w:r>
      <w:r w:rsidR="00E43A11">
        <w:t xml:space="preserve">1052(1)(a)-(j) and a legislative intention that such complaints could not be made under the AFCA scheme. If the legislative intention had been only to define a superannuation complaint for the purpose of the provisions of </w:t>
      </w:r>
      <w:proofErr w:type="spellStart"/>
      <w:r w:rsidR="00E43A11">
        <w:t>Div</w:t>
      </w:r>
      <w:proofErr w:type="spellEnd"/>
      <w:r w:rsidR="00E43A11">
        <w:t xml:space="preserve"> 3</w:t>
      </w:r>
      <w:r w:rsidR="00B11AA7">
        <w:t>,</w:t>
      </w:r>
      <w:r w:rsidR="00E43A11">
        <w:t xml:space="preserve"> no amendments would need to have been made to s 1052(1) of the Exposure Draft.</w:t>
      </w:r>
    </w:p>
    <w:p w14:paraId="4E1BD1AD" w14:textId="7749BB8F" w:rsidR="006C1801" w:rsidRDefault="006C1801" w:rsidP="006C1801">
      <w:pPr>
        <w:pStyle w:val="Heading4"/>
      </w:pPr>
      <w:r>
        <w:lastRenderedPageBreak/>
        <w:t>One-stop shop to resolve all financial complaints</w:t>
      </w:r>
    </w:p>
    <w:p w14:paraId="47760F3E" w14:textId="4B542407" w:rsidR="00E116D0" w:rsidRDefault="00123D47" w:rsidP="00006CA6">
      <w:pPr>
        <w:pStyle w:val="ParaNumbering"/>
      </w:pPr>
      <w:r>
        <w:t>Much reliance was placed by AFCA on the references in the extrinsic materials to the creation of a “one-stop shop</w:t>
      </w:r>
      <w:r w:rsidR="00EC5792">
        <w:t>”</w:t>
      </w:r>
      <w:r>
        <w:t xml:space="preserve"> for the determination of financial complaints to resolve “</w:t>
      </w:r>
      <w:r w:rsidRPr="00763F87">
        <w:rPr>
          <w:u w:val="single"/>
        </w:rPr>
        <w:t>all</w:t>
      </w:r>
      <w:r>
        <w:t xml:space="preserve"> financial complaints”</w:t>
      </w:r>
      <w:r w:rsidR="006B5AA2">
        <w:t xml:space="preserve"> (AFCA emphasis)</w:t>
      </w:r>
      <w:r>
        <w:t xml:space="preserve">. </w:t>
      </w:r>
    </w:p>
    <w:p w14:paraId="3FA879A2" w14:textId="319E0B93" w:rsidR="00C1161D" w:rsidRDefault="00E116D0" w:rsidP="00006CA6">
      <w:pPr>
        <w:pStyle w:val="ParaNumbering"/>
      </w:pPr>
      <w:r>
        <w:t xml:space="preserve">We do not accept that these references support any contention that it was intended </w:t>
      </w:r>
      <w:r w:rsidR="00787B31">
        <w:t xml:space="preserve">by </w:t>
      </w:r>
      <w:r>
        <w:t xml:space="preserve">the legislature that </w:t>
      </w:r>
      <w:r w:rsidRPr="0076741B">
        <w:rPr>
          <w:i/>
        </w:rPr>
        <w:t>all</w:t>
      </w:r>
      <w:r>
        <w:t xml:space="preserve"> methods and alternatives</w:t>
      </w:r>
      <w:r w:rsidRPr="00E116D0">
        <w:t xml:space="preserve"> </w:t>
      </w:r>
      <w:r>
        <w:t xml:space="preserve">for the resolution of complaints provided by the previous external dispute resolution </w:t>
      </w:r>
      <w:r w:rsidR="005B68DB">
        <w:t xml:space="preserve">bodies </w:t>
      </w:r>
      <w:r>
        <w:t xml:space="preserve">must be retained. Such a contention is inconsistent with the </w:t>
      </w:r>
      <w:r w:rsidR="005B68DB">
        <w:t>legislative concern to avoid inconsistency and promote efficiency by having complaints dealt with consistently and subject to the same rules and procedures. That</w:t>
      </w:r>
      <w:r w:rsidR="009A2194">
        <w:t xml:space="preserve"> concern </w:t>
      </w:r>
      <w:r w:rsidR="005B68DB">
        <w:t xml:space="preserve">was expressed </w:t>
      </w:r>
      <w:r w:rsidR="00074DA6">
        <w:t xml:space="preserve">in the Revised EM </w:t>
      </w:r>
      <w:r w:rsidR="009A2194">
        <w:t>as achieving</w:t>
      </w:r>
      <w:r w:rsidR="00074DA6">
        <w:t xml:space="preserve"> “comparable outcomes for consumers with similar complaints”</w:t>
      </w:r>
      <w:r w:rsidR="005B68DB">
        <w:t xml:space="preserve"> (at [1.11])</w:t>
      </w:r>
      <w:r w:rsidR="0081466F">
        <w:t xml:space="preserve"> and </w:t>
      </w:r>
      <w:r w:rsidR="005B68DB">
        <w:t>in the Ramsay Report a</w:t>
      </w:r>
      <w:r w:rsidR="0081466F">
        <w:t xml:space="preserve"> key principle identified </w:t>
      </w:r>
      <w:r w:rsidR="005B68DB">
        <w:t xml:space="preserve">was </w:t>
      </w:r>
      <w:r w:rsidR="0081466F">
        <w:t>that “outcomes from similar disputes should be comparable”</w:t>
      </w:r>
      <w:r w:rsidR="005B68DB">
        <w:t xml:space="preserve"> (at [5.70]</w:t>
      </w:r>
      <w:r w:rsidR="00EC5792">
        <w:t>)</w:t>
      </w:r>
      <w:r w:rsidR="005B68DB">
        <w:t xml:space="preserve">. </w:t>
      </w:r>
      <w:r w:rsidR="009A2194">
        <w:t>This was</w:t>
      </w:r>
      <w:r w:rsidR="00787B31">
        <w:t xml:space="preserve"> </w:t>
      </w:r>
      <w:r w:rsidR="005B68DB">
        <w:t>stated in the Ramsay Report to be</w:t>
      </w:r>
      <w:r w:rsidR="00787B31">
        <w:t xml:space="preserve"> </w:t>
      </w:r>
      <w:r w:rsidR="00C64A44">
        <w:t xml:space="preserve">not </w:t>
      </w:r>
      <w:r w:rsidR="00787B31">
        <w:t xml:space="preserve">currently possible given the </w:t>
      </w:r>
      <w:r w:rsidR="0081466F">
        <w:t>existence of different jurisdictions, processes and decision making criteria that</w:t>
      </w:r>
      <w:r w:rsidR="00787B31">
        <w:t xml:space="preserve"> meant</w:t>
      </w:r>
      <w:r w:rsidR="0081466F">
        <w:t xml:space="preserve"> consumers “can have different dispute resolution experiences and different outcomes for similar disputes”</w:t>
      </w:r>
      <w:r w:rsidR="005B68DB">
        <w:t xml:space="preserve"> (at [5.71]</w:t>
      </w:r>
      <w:r w:rsidR="009A2194">
        <w:t>-[5.72]</w:t>
      </w:r>
      <w:r w:rsidR="005B68DB">
        <w:t>).</w:t>
      </w:r>
      <w:r>
        <w:t xml:space="preserve"> </w:t>
      </w:r>
      <w:r w:rsidR="00C1161D">
        <w:t>In the Second Reading Speech, it was stated that AFCA, as a single decision making body, would “reduce the unnecessary duplication and consumer confusion that has been the characteristic of the current framework”.</w:t>
      </w:r>
    </w:p>
    <w:p w14:paraId="1733A394" w14:textId="62A3077E" w:rsidR="00E116D0" w:rsidRDefault="009A2194" w:rsidP="00006CA6">
      <w:pPr>
        <w:pStyle w:val="ParaNumbering"/>
      </w:pPr>
      <w:r>
        <w:t>Addressing th</w:t>
      </w:r>
      <w:r w:rsidR="00C1161D">
        <w:t xml:space="preserve">is </w:t>
      </w:r>
      <w:r>
        <w:t>legislative concern</w:t>
      </w:r>
      <w:r w:rsidR="00074DA6">
        <w:t xml:space="preserve"> would necessarily include a rationalisation, variation or elimination of procedures and practices</w:t>
      </w:r>
      <w:r w:rsidR="005B68DB">
        <w:t xml:space="preserve"> </w:t>
      </w:r>
      <w:r w:rsidR="00074DA6">
        <w:t xml:space="preserve">that </w:t>
      </w:r>
      <w:r w:rsidR="005B68DB">
        <w:t xml:space="preserve">otherwise might </w:t>
      </w:r>
      <w:r w:rsidR="00074DA6">
        <w:t>give rise to inconsistent outcomes.</w:t>
      </w:r>
      <w:r w:rsidR="00B5498A">
        <w:t xml:space="preserve">  The references in the Ramsay Report to the need for ‘careful design’ </w:t>
      </w:r>
      <w:r w:rsidR="003C2F90">
        <w:t>indicate</w:t>
      </w:r>
      <w:r w:rsidR="00B5498A">
        <w:t xml:space="preserve"> that AFCA’s jurisdiction to decide superannuation complaints </w:t>
      </w:r>
      <w:r w:rsidR="003C2F90">
        <w:t>would</w:t>
      </w:r>
      <w:r w:rsidR="00B5498A">
        <w:t xml:space="preserve"> be the result of intentional decisions about the scope of that jurisdiction, not uncritical replication of the overlap and duplication between the existing schemes.  </w:t>
      </w:r>
    </w:p>
    <w:p w14:paraId="5586AF65" w14:textId="44D16579" w:rsidR="006C1801" w:rsidRDefault="006C1801" w:rsidP="00EE3C10">
      <w:pPr>
        <w:pStyle w:val="Heading4"/>
      </w:pPr>
      <w:r>
        <w:t>Particular characteristics of superannuation complaints</w:t>
      </w:r>
    </w:p>
    <w:p w14:paraId="33172761" w14:textId="5BBEF60A" w:rsidR="00123D47" w:rsidRDefault="00E116D0" w:rsidP="00006CA6">
      <w:pPr>
        <w:pStyle w:val="ParaNumbering"/>
      </w:pPr>
      <w:r>
        <w:t xml:space="preserve">Allied to that concern was a recognition </w:t>
      </w:r>
      <w:r w:rsidR="007F33B6">
        <w:t xml:space="preserve">in the extrinsic materials </w:t>
      </w:r>
      <w:r>
        <w:t xml:space="preserve">that the particular characteristics of </w:t>
      </w:r>
      <w:r w:rsidR="00074DA6">
        <w:t xml:space="preserve">superannuation complaints required the provision of additional powers to AFCA to facilitate the resolution of </w:t>
      </w:r>
      <w:r w:rsidR="007F33B6">
        <w:t xml:space="preserve">complaints relating to </w:t>
      </w:r>
      <w:r w:rsidR="00074DA6">
        <w:t>superannuation.</w:t>
      </w:r>
      <w:r w:rsidR="00F97705">
        <w:t xml:space="preserve"> The statutory powers to join persons including insurers to a complaint, to obtain information and documents, </w:t>
      </w:r>
      <w:r w:rsidR="00F97705">
        <w:lastRenderedPageBreak/>
        <w:t>to require persons to attend conciliation conferences and the ability to refer questions of law to the Federal Court are not given to AFCA in dealing with non-superannuation complaints.</w:t>
      </w:r>
    </w:p>
    <w:p w14:paraId="47F1B35A" w14:textId="6F8D269F" w:rsidR="007F33B6" w:rsidRDefault="007F33B6" w:rsidP="00006CA6">
      <w:pPr>
        <w:pStyle w:val="ParaNumbering"/>
      </w:pPr>
      <w:r>
        <w:t xml:space="preserve">Any construction of s 1053(1) that had the consequence that a complaint relating to superannuation could be made in the non-superannuation jurisdiction of AFCA would be antithetical to the </w:t>
      </w:r>
      <w:r w:rsidR="0037474F">
        <w:t xml:space="preserve">explanations </w:t>
      </w:r>
      <w:r>
        <w:t xml:space="preserve">in the extrinsic materials </w:t>
      </w:r>
      <w:r w:rsidR="0037474F">
        <w:t>that</w:t>
      </w:r>
      <w:r>
        <w:t xml:space="preserve"> the particular characteristics of superannuation complaints require</w:t>
      </w:r>
      <w:r w:rsidR="0037474F">
        <w:t>d</w:t>
      </w:r>
      <w:r>
        <w:t xml:space="preserve"> different procedures to non-superannuation complaints</w:t>
      </w:r>
      <w:r w:rsidR="00B638D1">
        <w:t>.</w:t>
      </w:r>
    </w:p>
    <w:p w14:paraId="1A4E7A13" w14:textId="60357840" w:rsidR="00074DA6" w:rsidRDefault="0037474F" w:rsidP="00006CA6">
      <w:pPr>
        <w:pStyle w:val="ParaNumbering"/>
      </w:pPr>
      <w:r>
        <w:t>At the same time, a</w:t>
      </w:r>
      <w:r w:rsidR="00926573">
        <w:t>ny</w:t>
      </w:r>
      <w:r w:rsidR="00074DA6">
        <w:t xml:space="preserve"> construction of s 1053(1) that had the consequence that a complainant could bring a superannuation complaint to AFCA under its superannuation jurisdiction within two years of the impugned conduct and thereafter in AFCA’s general jurisdiction is antithetical both to the </w:t>
      </w:r>
      <w:r w:rsidR="00F97705">
        <w:t xml:space="preserve">comparable outcomes for comparable complaints objective and the recognition that the particular characteristics of superannuation complaints require different procedures to non-superannuation complaints. </w:t>
      </w:r>
    </w:p>
    <w:p w14:paraId="3ED0C882" w14:textId="67A18837" w:rsidR="00F01614" w:rsidRDefault="00F01614" w:rsidP="00F0418A">
      <w:pPr>
        <w:pStyle w:val="ParaNumbering"/>
      </w:pPr>
      <w:r>
        <w:t xml:space="preserve">The Hermione example in the Revised EM highlights the legislative intention that complaints relating to superannuation made by a person in the position of Mr Edgecombe against an insurer that might previously have been made to FOS are now to be made under the AFCA Scheme against the superannuation trustee under s 1053(1)(a). </w:t>
      </w:r>
    </w:p>
    <w:p w14:paraId="302E0C83" w14:textId="7C7AC2FA" w:rsidR="0037474F" w:rsidRDefault="0037474F" w:rsidP="0037474F">
      <w:pPr>
        <w:pStyle w:val="ParaNumbering"/>
      </w:pPr>
      <w:r>
        <w:t xml:space="preserve">For these reasons, references to “all financial complaints” in the extrinsic materials should be understood as revealing a legislative intention to replace multiple decision-making bodies with a single decision-making body through the </w:t>
      </w:r>
      <w:r w:rsidRPr="0076741B">
        <w:t>introduction of the AFCA Act. That is, it was intended that AFCA would determine “all financial complaints”, in contradistinction to AFCA determining only some financial complaints, with other complaints being determined by a different external dispute resolution scheme.</w:t>
      </w:r>
      <w:r w:rsidR="005E32BB">
        <w:t xml:space="preserve">  That intention makes it unlikely that the single body </w:t>
      </w:r>
      <w:r w:rsidR="00425226">
        <w:t>is</w:t>
      </w:r>
      <w:r w:rsidR="005E32BB">
        <w:t xml:space="preserve"> to deal with a given complaint in one way if its superannuation jurisdiction is invoked and in another way if the same complaint is made in a way that does not invoke that jurisdiction. </w:t>
      </w:r>
    </w:p>
    <w:p w14:paraId="1D161B78" w14:textId="77777777" w:rsidR="00844B0F" w:rsidRPr="00402BE4" w:rsidRDefault="00844B0F" w:rsidP="00844B0F">
      <w:pPr>
        <w:pStyle w:val="Heading4"/>
      </w:pPr>
      <w:r w:rsidRPr="00402BE4">
        <w:t>Cutting down of pre-existing jurisdiction</w:t>
      </w:r>
    </w:p>
    <w:p w14:paraId="74288975" w14:textId="4E4B384C" w:rsidR="00844B0F" w:rsidRPr="00402BE4" w:rsidRDefault="00844B0F" w:rsidP="00844B0F">
      <w:pPr>
        <w:pStyle w:val="ParaNumbering"/>
      </w:pPr>
      <w:r w:rsidRPr="00402BE4">
        <w:t xml:space="preserve">A fundamental premise of AFCA’s contention that the ability of a person in the position of Mr Edgecombe to bring a complaint against a superannuation trustee pursuant to s 1053(1) and then join the insurer does not count against its construction of s 1053(1) is its contention that there was no indication in any of the extrinsic materials that Parliament intended to </w:t>
      </w:r>
      <w:r w:rsidR="0037474F">
        <w:t>“</w:t>
      </w:r>
      <w:r w:rsidRPr="00402BE4">
        <w:t>cut down</w:t>
      </w:r>
      <w:r w:rsidR="0037474F">
        <w:t>”</w:t>
      </w:r>
      <w:r w:rsidRPr="00402BE4">
        <w:t xml:space="preserve"> </w:t>
      </w:r>
      <w:r w:rsidR="00E47002">
        <w:t xml:space="preserve">any of </w:t>
      </w:r>
      <w:r w:rsidRPr="00402BE4">
        <w:t xml:space="preserve">the pre-existing jurisdiction. This contention in turn was based on contentions that </w:t>
      </w:r>
      <w:r w:rsidR="0037474F" w:rsidRPr="0037474F">
        <w:rPr>
          <w:i/>
        </w:rPr>
        <w:t>first</w:t>
      </w:r>
      <w:r w:rsidR="0037474F">
        <w:t xml:space="preserve">, </w:t>
      </w:r>
      <w:r w:rsidRPr="00402BE4">
        <w:lastRenderedPageBreak/>
        <w:t xml:space="preserve">the introduction of the AFCA </w:t>
      </w:r>
      <w:r w:rsidR="00AD65D5" w:rsidRPr="00402BE4">
        <w:t>S</w:t>
      </w:r>
      <w:r w:rsidRPr="00402BE4">
        <w:t>cheme was not intended to disallow types of complaints that could previously be made under external dispute resolution schemes</w:t>
      </w:r>
      <w:r w:rsidR="00C64A44">
        <w:t>,</w:t>
      </w:r>
      <w:r w:rsidRPr="00402BE4">
        <w:t xml:space="preserve"> such as FOS</w:t>
      </w:r>
      <w:r w:rsidR="00C64A44">
        <w:t>,</w:t>
      </w:r>
      <w:r w:rsidRPr="00402BE4">
        <w:t xml:space="preserve"> and </w:t>
      </w:r>
      <w:r w:rsidR="0037474F" w:rsidRPr="0037474F">
        <w:rPr>
          <w:i/>
        </w:rPr>
        <w:t>second</w:t>
      </w:r>
      <w:r w:rsidR="0037474F">
        <w:t xml:space="preserve">, </w:t>
      </w:r>
      <w:r w:rsidRPr="00402BE4">
        <w:t xml:space="preserve">the AFCA </w:t>
      </w:r>
      <w:r w:rsidR="00AD65D5" w:rsidRPr="00402BE4">
        <w:t>S</w:t>
      </w:r>
      <w:r w:rsidRPr="00402BE4">
        <w:t xml:space="preserve">cheme was intended to provide a continuity of jurisdiction, not a new regime whose jurisdiction was written from scratch. </w:t>
      </w:r>
    </w:p>
    <w:p w14:paraId="522E368D" w14:textId="661AC125" w:rsidR="00844B0F" w:rsidRPr="0076741B" w:rsidRDefault="00844B0F" w:rsidP="00844B0F">
      <w:pPr>
        <w:pStyle w:val="ParaNumbering"/>
      </w:pPr>
      <w:r w:rsidRPr="0076741B">
        <w:t>It is not possible, however, to reconcile these contentions with the statutory framework introduced by the AFCA Act for the resolution of financial complaints. Under the former regime a person in the position of Mr Edgecombe could bring a complaint “relating to superannuation” against the insurer directly to FOS</w:t>
      </w:r>
      <w:r w:rsidR="0037474F">
        <w:t xml:space="preserve"> at any time</w:t>
      </w:r>
      <w:r w:rsidRPr="0076741B">
        <w:t xml:space="preserve"> within six years of the date when the applicant first became aware or should reasonably have become aware that they had suffered loss or a complaint</w:t>
      </w:r>
      <w:r w:rsidR="00111FC9">
        <w:t>:</w:t>
      </w:r>
      <w:r w:rsidRPr="0076741B">
        <w:t xml:space="preserve"> </w:t>
      </w:r>
      <w:proofErr w:type="spellStart"/>
      <w:r w:rsidR="00111FC9" w:rsidRPr="00402BE4">
        <w:t>rr</w:t>
      </w:r>
      <w:proofErr w:type="spellEnd"/>
      <w:r w:rsidR="00111FC9" w:rsidRPr="00402BE4">
        <w:t xml:space="preserve"> 4.2(b)(iii) and 6.2 of the FOS terms of reference</w:t>
      </w:r>
      <w:r w:rsidR="00E47002">
        <w:t>.</w:t>
      </w:r>
      <w:r w:rsidR="00111FC9" w:rsidRPr="00402BE4">
        <w:t xml:space="preserve"> </w:t>
      </w:r>
    </w:p>
    <w:p w14:paraId="51EFB289" w14:textId="10126AAC" w:rsidR="00844B0F" w:rsidRPr="00402BE4" w:rsidRDefault="00844B0F" w:rsidP="00844B0F">
      <w:pPr>
        <w:pStyle w:val="ParaNumbering"/>
      </w:pPr>
      <w:r w:rsidRPr="00402BE4">
        <w:t>The construction propounded by AFCA</w:t>
      </w:r>
      <w:r w:rsidR="00E47002">
        <w:t>, and accepted by the primary judge,</w:t>
      </w:r>
      <w:r w:rsidRPr="00402BE4">
        <w:t xml:space="preserve"> leads to the conclusion that a claim </w:t>
      </w:r>
      <w:r w:rsidR="00E47002">
        <w:t>relating to superannuation that fell within sub-</w:t>
      </w:r>
      <w:proofErr w:type="spellStart"/>
      <w:r w:rsidR="00E47002">
        <w:t>ss</w:t>
      </w:r>
      <w:proofErr w:type="spellEnd"/>
      <w:r w:rsidR="00E47002">
        <w:t xml:space="preserve"> 1053(1)(a)-(j)</w:t>
      </w:r>
      <w:r w:rsidRPr="00402BE4">
        <w:t xml:space="preserve"> may be brought under the superannuation jurisdiction of AFCA</w:t>
      </w:r>
      <w:r w:rsidR="00E47002" w:rsidRPr="00E47002">
        <w:t xml:space="preserve"> </w:t>
      </w:r>
      <w:r w:rsidR="00E47002" w:rsidRPr="00402BE4">
        <w:t xml:space="preserve">within </w:t>
      </w:r>
      <w:r w:rsidR="00E47002">
        <w:t xml:space="preserve">the first </w:t>
      </w:r>
      <w:r w:rsidR="00E47002" w:rsidRPr="00402BE4">
        <w:t xml:space="preserve">two years </w:t>
      </w:r>
      <w:r w:rsidR="00E47002">
        <w:t>of becoming aware that they had suffered loss</w:t>
      </w:r>
      <w:r w:rsidRPr="00402BE4">
        <w:t xml:space="preserve"> and then for the next four years under the non-superannuation jurisdiction of AFCA. </w:t>
      </w:r>
    </w:p>
    <w:p w14:paraId="73A12083" w14:textId="1C4C5AC9" w:rsidR="00844B0F" w:rsidRPr="00C417E6" w:rsidRDefault="00844B0F" w:rsidP="00844B0F">
      <w:pPr>
        <w:pStyle w:val="ParaNumbering"/>
      </w:pPr>
      <w:r w:rsidRPr="00C417E6">
        <w:t xml:space="preserve">It follows that AFCA’s own construction leads to the inevitable conclusion that the implementation of the AFCA </w:t>
      </w:r>
      <w:r w:rsidR="00AD65D5" w:rsidRPr="00C417E6">
        <w:t>S</w:t>
      </w:r>
      <w:r w:rsidRPr="00C417E6">
        <w:t xml:space="preserve">cheme has led to a “cutting down” in the pre-existing jurisdiction. Under the former external dispute resolution schemes, a person in the position of Mr Edgecombe could have framed his complaint as a non-superannuation complaint to FOS at any time within six years of suffering loss. Under the AFCA </w:t>
      </w:r>
      <w:r w:rsidR="00AD65D5" w:rsidRPr="00C417E6">
        <w:t>S</w:t>
      </w:r>
      <w:r w:rsidRPr="00C417E6">
        <w:t xml:space="preserve">cheme, on AFCA’s construction, such a person could not bring a complaint relating to superannuation as a non-superannuation complaint within the first two years of suffering loss. </w:t>
      </w:r>
    </w:p>
    <w:p w14:paraId="07692D44" w14:textId="77777777" w:rsidR="00844B0F" w:rsidRPr="00C417E6" w:rsidRDefault="00844B0F" w:rsidP="00E361AE">
      <w:pPr>
        <w:pStyle w:val="Heading4"/>
      </w:pPr>
      <w:r w:rsidRPr="00C417E6">
        <w:t>Election between different jurisdictions</w:t>
      </w:r>
    </w:p>
    <w:p w14:paraId="68FA3DED" w14:textId="33AA5462" w:rsidR="00844B0F" w:rsidRPr="00C417E6" w:rsidRDefault="00E361AE" w:rsidP="00844B0F">
      <w:pPr>
        <w:pStyle w:val="ParaNumbering"/>
      </w:pPr>
      <w:r w:rsidRPr="00C417E6">
        <w:t xml:space="preserve">Another inevitable consequence of the construction propounded by AFCA is that a person making a </w:t>
      </w:r>
      <w:r w:rsidR="00425226" w:rsidRPr="00C417E6">
        <w:t>compl</w:t>
      </w:r>
      <w:r w:rsidR="00425226">
        <w:t>ai</w:t>
      </w:r>
      <w:r w:rsidR="00425226" w:rsidRPr="00C417E6">
        <w:t xml:space="preserve">nt </w:t>
      </w:r>
      <w:r w:rsidRPr="00C417E6">
        <w:t xml:space="preserve">in the nature of the 2018 Complaint </w:t>
      </w:r>
      <w:r w:rsidR="00E47002">
        <w:t>can</w:t>
      </w:r>
      <w:r w:rsidRPr="00C417E6">
        <w:t xml:space="preserve"> choose to make the complaint as a complaint under s 1053(1)(a) and thus attract the superannuation jurisdiction of AFCA or </w:t>
      </w:r>
      <w:r w:rsidR="00E47002">
        <w:t xml:space="preserve">choose to make </w:t>
      </w:r>
      <w:r w:rsidRPr="00C417E6">
        <w:t xml:space="preserve">a direct complaint against the insurer under the general (non-superannuation) jurisdiction of AFCA with </w:t>
      </w:r>
      <w:r w:rsidR="00B433FE">
        <w:t xml:space="preserve">its </w:t>
      </w:r>
      <w:r w:rsidRPr="00C417E6">
        <w:t>different procedures, standards</w:t>
      </w:r>
      <w:r w:rsidR="00B433FE">
        <w:t xml:space="preserve"> and</w:t>
      </w:r>
      <w:r w:rsidRPr="00C417E6">
        <w:t xml:space="preserve"> rights of appeal </w:t>
      </w:r>
      <w:r w:rsidR="00B433FE">
        <w:t xml:space="preserve">leading to </w:t>
      </w:r>
      <w:r w:rsidR="00B433FE" w:rsidRPr="00C417E6">
        <w:t>potentially</w:t>
      </w:r>
      <w:r w:rsidRPr="00C417E6">
        <w:t xml:space="preserve"> different outcomes. Such a result would </w:t>
      </w:r>
      <w:r w:rsidR="00E47002">
        <w:t xml:space="preserve">again </w:t>
      </w:r>
      <w:r w:rsidRPr="00C417E6">
        <w:t xml:space="preserve">be antithetical to the concerns expressed in the extrinsic materials about the need to avoid inconsistent outcomes and </w:t>
      </w:r>
      <w:r w:rsidR="009813F8" w:rsidRPr="00C417E6">
        <w:t xml:space="preserve">the key </w:t>
      </w:r>
      <w:r w:rsidR="009813F8" w:rsidRPr="00C417E6">
        <w:lastRenderedPageBreak/>
        <w:t>guiding principle that the outcomes from similar disputes should be comparable, as expressed by the authors of the Ramsay Report in undertaking their review of the former external dispute resolution schemes.</w:t>
      </w:r>
    </w:p>
    <w:p w14:paraId="0DF1A305" w14:textId="34BFD53C" w:rsidR="00844B0F" w:rsidRPr="00C417E6" w:rsidRDefault="009813F8" w:rsidP="00F0418A">
      <w:pPr>
        <w:pStyle w:val="ParaNumbering"/>
      </w:pPr>
      <w:r w:rsidRPr="00C417E6">
        <w:t>Moreover, the AFCA construction would permit a person, either carelessly or intentionally, to allow the two year period for bringing a complaint against a</w:t>
      </w:r>
      <w:r w:rsidR="00C417E6" w:rsidRPr="00C417E6">
        <w:t xml:space="preserve"> superannuation trustee under s </w:t>
      </w:r>
      <w:r w:rsidRPr="00C417E6">
        <w:t>1053(1)(a) to lapse, thereby transferring the complaint from the superannuation jurisdiction of AFCA to the general jurisdiction of AFCA with its different procedures, standards, rights of appeal and leading to a potentially different outcome for the same complaint.</w:t>
      </w:r>
    </w:p>
    <w:p w14:paraId="5DE26DC5" w14:textId="77777777" w:rsidR="00926573" w:rsidRDefault="00926573" w:rsidP="00926573">
      <w:pPr>
        <w:pStyle w:val="Heading3"/>
      </w:pPr>
      <w:r>
        <w:t>Conclusion</w:t>
      </w:r>
    </w:p>
    <w:p w14:paraId="5299FBDA" w14:textId="49800A7C" w:rsidR="006634E3" w:rsidRDefault="009813F8" w:rsidP="00F0418A">
      <w:pPr>
        <w:pStyle w:val="ParaNumbering"/>
      </w:pPr>
      <w:r>
        <w:t>For these reasons, g</w:t>
      </w:r>
      <w:r w:rsidR="00926573">
        <w:t>round 1 should be upheld.</w:t>
      </w:r>
    </w:p>
    <w:p w14:paraId="785FB980" w14:textId="172EC425" w:rsidR="00926573" w:rsidRDefault="00926573" w:rsidP="00926573">
      <w:pPr>
        <w:pStyle w:val="Heading1"/>
      </w:pPr>
      <w:r>
        <w:t>Ground 2</w:t>
      </w:r>
    </w:p>
    <w:p w14:paraId="0B5C6581" w14:textId="61E046EE" w:rsidR="00926573" w:rsidRDefault="00926573" w:rsidP="00F0418A">
      <w:pPr>
        <w:pStyle w:val="ParaNumbering"/>
      </w:pPr>
      <w:r>
        <w:t xml:space="preserve">Ground 2 of the notice of appeal </w:t>
      </w:r>
      <w:r w:rsidR="006C1801">
        <w:t>was</w:t>
      </w:r>
      <w:r>
        <w:t xml:space="preserve"> not pressed. MetLife submits that it does not require </w:t>
      </w:r>
      <w:r w:rsidR="00EA45C0">
        <w:t>G</w:t>
      </w:r>
      <w:r>
        <w:t>round</w:t>
      </w:r>
      <w:r w:rsidR="007F7330">
        <w:t> </w:t>
      </w:r>
      <w:r>
        <w:t xml:space="preserve">2 having regard to AFCA’s submissions on the appeal, in particular its acceptance that the 2018 Contract was not a complaint falling within any of the categories specified in </w:t>
      </w:r>
      <w:r w:rsidR="000C1418">
        <w:t>sub-</w:t>
      </w:r>
      <w:proofErr w:type="spellStart"/>
      <w:r w:rsidR="000C1418">
        <w:t>s</w:t>
      </w:r>
      <w:r>
        <w:t>s</w:t>
      </w:r>
      <w:proofErr w:type="spellEnd"/>
      <w:r w:rsidR="007F7330">
        <w:t> </w:t>
      </w:r>
      <w:r>
        <w:t>1053(1)(a)-(j).</w:t>
      </w:r>
    </w:p>
    <w:p w14:paraId="72AEBF08" w14:textId="6277FB6F" w:rsidR="00E5385C" w:rsidRDefault="00784416" w:rsidP="00E5385C">
      <w:pPr>
        <w:pStyle w:val="Heading1"/>
      </w:pPr>
      <w:r>
        <w:t xml:space="preserve">Amended </w:t>
      </w:r>
      <w:r w:rsidR="00E5385C">
        <w:t>Notice of Contention</w:t>
      </w:r>
    </w:p>
    <w:p w14:paraId="34E38673" w14:textId="77777777" w:rsidR="00E5385C" w:rsidRDefault="00006CA6" w:rsidP="00E5385C">
      <w:pPr>
        <w:pStyle w:val="Heading2"/>
      </w:pPr>
      <w:r>
        <w:t>Grounds 1 and 2</w:t>
      </w:r>
    </w:p>
    <w:p w14:paraId="17A9BD07" w14:textId="77777777" w:rsidR="005F73DC" w:rsidRPr="005F73DC" w:rsidRDefault="005F73DC" w:rsidP="005F73DC">
      <w:pPr>
        <w:pStyle w:val="Heading3"/>
      </w:pPr>
      <w:r>
        <w:t>Introduction</w:t>
      </w:r>
    </w:p>
    <w:p w14:paraId="65C56173" w14:textId="77777777" w:rsidR="00006CA6" w:rsidRDefault="00006CA6" w:rsidP="00BC2AF8">
      <w:pPr>
        <w:pStyle w:val="ParaNumbering"/>
      </w:pPr>
      <w:r>
        <w:t>AFCA contend</w:t>
      </w:r>
      <w:r w:rsidR="000447B1">
        <w:t>s</w:t>
      </w:r>
      <w:r>
        <w:t xml:space="preserve"> in the first two grounds in its amended notice of contention </w:t>
      </w:r>
      <w:r w:rsidR="005F73DC">
        <w:t xml:space="preserve">that the </w:t>
      </w:r>
      <w:r w:rsidR="000447B1">
        <w:t xml:space="preserve">primary judge should have found that the </w:t>
      </w:r>
      <w:r w:rsidR="005F73DC">
        <w:t xml:space="preserve">2018 Complaint was not a complaint relating to superannuation. </w:t>
      </w:r>
      <w:r w:rsidR="000447B1">
        <w:t>It alleges that</w:t>
      </w:r>
      <w:r w:rsidR="005F73DC">
        <w:t>:</w:t>
      </w:r>
    </w:p>
    <w:p w14:paraId="6038638C" w14:textId="77777777" w:rsidR="00006CA6" w:rsidRDefault="00006CA6" w:rsidP="00006CA6">
      <w:pPr>
        <w:pStyle w:val="Quote1"/>
        <w:ind w:left="1440" w:hanging="703"/>
      </w:pPr>
      <w:r>
        <w:t>1.</w:t>
      </w:r>
      <w:r>
        <w:tab/>
        <w:t xml:space="preserve">The Court erred in fact and law in finding that, if the Appellant’s construction of s 1053(1) of the </w:t>
      </w:r>
      <w:r w:rsidRPr="00763F87">
        <w:rPr>
          <w:i/>
        </w:rPr>
        <w:t>Corporations Act 2001</w:t>
      </w:r>
      <w:r>
        <w:t xml:space="preserve"> (</w:t>
      </w:r>
      <w:proofErr w:type="spellStart"/>
      <w:r>
        <w:t>Cth</w:t>
      </w:r>
      <w:proofErr w:type="spellEnd"/>
      <w:r>
        <w:t xml:space="preserve">) was correct, the complaint submitted by the Second Respondent to the First Respondent (the </w:t>
      </w:r>
      <w:r w:rsidRPr="00763F87">
        <w:rPr>
          <w:b/>
        </w:rPr>
        <w:t>2018 Complaint</w:t>
      </w:r>
      <w:r>
        <w:t>) was a complaint relating to superannuation (J: [104]-[105]).</w:t>
      </w:r>
    </w:p>
    <w:p w14:paraId="6E4FEBD7" w14:textId="7FFA0705" w:rsidR="00E5385C" w:rsidRDefault="00006CA6" w:rsidP="00006CA6">
      <w:pPr>
        <w:pStyle w:val="Quote1"/>
        <w:ind w:left="1440" w:hanging="703"/>
      </w:pPr>
      <w:r>
        <w:t>2.</w:t>
      </w:r>
      <w:r>
        <w:tab/>
        <w:t>The Court should have found that, if the Appellant’s construction of s 1053(1) was correct, the 2018 Complaint was not a complaint relating to superannuation, but rather was a complaint by the Second Respondent about a decision made by the Appellant as insurer.</w:t>
      </w:r>
    </w:p>
    <w:p w14:paraId="0B178C39" w14:textId="216DF849" w:rsidR="00606328" w:rsidRDefault="00606328" w:rsidP="00606328">
      <w:pPr>
        <w:pStyle w:val="ParaNumbering"/>
      </w:pPr>
      <w:r>
        <w:lastRenderedPageBreak/>
        <w:t xml:space="preserve">The primary judge provided the following reasons for rejecting AFCA’s contention that the 2018 Complaint could still be dealt with under the </w:t>
      </w:r>
      <w:r w:rsidR="0006638C">
        <w:t>AFCA Scheme</w:t>
      </w:r>
      <w:r>
        <w:t xml:space="preserve"> because it was not a complaint “relating to superannuation”:</w:t>
      </w:r>
    </w:p>
    <w:p w14:paraId="216B1697" w14:textId="204D468F" w:rsidR="00606328" w:rsidRDefault="00606328" w:rsidP="00606328">
      <w:pPr>
        <w:pStyle w:val="Quote1"/>
        <w:ind w:left="1440" w:hanging="703"/>
      </w:pPr>
      <w:r w:rsidRPr="007A3CF2">
        <w:t>104</w:t>
      </w:r>
      <w:r w:rsidRPr="00763F87">
        <w:rPr>
          <w:b/>
        </w:rPr>
        <w:tab/>
      </w:r>
      <w:r>
        <w:t xml:space="preserve">AFCA says that Mr Edgecombe’s complaint was directed towards the conduct of </w:t>
      </w:r>
      <w:proofErr w:type="spellStart"/>
      <w:r>
        <w:t>Metlife</w:t>
      </w:r>
      <w:proofErr w:type="spellEnd"/>
      <w:r>
        <w:t xml:space="preserve"> and not the conduct of the trustee. I accept that his complaint was expressed in that manner. However, the way in which Mr Edgecombe chose to express his complaint cannot be determinative. If s 1053(1) is construed in the manner that </w:t>
      </w:r>
      <w:proofErr w:type="spellStart"/>
      <w:r>
        <w:t>Metlife</w:t>
      </w:r>
      <w:proofErr w:type="spellEnd"/>
      <w:r>
        <w:t xml:space="preserve"> contends then it does not apply by reference to the way in which a complaint is expressed but by reference to whether the complaint relates to superannuation. The insurance policy the subject of Mr Edgecombe’s complaint was a policy that had been negotiated and agreed between </w:t>
      </w:r>
      <w:proofErr w:type="spellStart"/>
      <w:r>
        <w:t>Metlife</w:t>
      </w:r>
      <w:proofErr w:type="spellEnd"/>
      <w:r>
        <w:t xml:space="preserve"> and the trustee. The benefit that might be received by Mr Edgecombe if there was liability under the policy was as a member of the superannuation fund. Even though he might be said to have a beneficial interest in the moneys to be paid to the trustee, his claim arose solely from his status as a member of the superannuation fund and could only be based upon that status.</w:t>
      </w:r>
    </w:p>
    <w:p w14:paraId="244E54F5" w14:textId="2AFC97AF" w:rsidR="00606328" w:rsidRDefault="00606328" w:rsidP="00606328">
      <w:pPr>
        <w:pStyle w:val="Quote1"/>
        <w:ind w:left="1440" w:hanging="703"/>
      </w:pPr>
      <w:r w:rsidRPr="007A3CF2">
        <w:t>105</w:t>
      </w:r>
      <w:r>
        <w:tab/>
        <w:t xml:space="preserve">For those reasons, on the assumption that </w:t>
      </w:r>
      <w:proofErr w:type="spellStart"/>
      <w:r>
        <w:t>Metlife’s</w:t>
      </w:r>
      <w:proofErr w:type="spellEnd"/>
      <w:r>
        <w:t xml:space="preserve"> construction is correct, the 2018 Complaint was a complaint relating to superannuation within the meaning of those words as used in s 1053(1).</w:t>
      </w:r>
    </w:p>
    <w:p w14:paraId="6C1DF406" w14:textId="77777777" w:rsidR="00006CA6" w:rsidRDefault="00006CA6" w:rsidP="005F73DC">
      <w:pPr>
        <w:pStyle w:val="Heading3"/>
      </w:pPr>
      <w:r>
        <w:t>Submissions</w:t>
      </w:r>
    </w:p>
    <w:p w14:paraId="54276CC9" w14:textId="77777777" w:rsidR="00006CA6" w:rsidRDefault="00006CA6" w:rsidP="00BC2AF8">
      <w:pPr>
        <w:pStyle w:val="ParaNumbering"/>
      </w:pPr>
      <w:r>
        <w:t>AFCA submits that the 2018 Complaint was not a “complaint relating to superannuation” within the meaning of s 1053(1) because it was a “complaint about a decision made by MetLife as insurer”.</w:t>
      </w:r>
      <w:r w:rsidR="00722879">
        <w:t xml:space="preserve"> It further submits that the complaint was not concerned with any conduct or decision of the superannuation trustee, the trustee was not joined to the 2018 Complaint, the complaint was about his interest in an insurance policy, not superannuation and it was entirely incidental that the PBR </w:t>
      </w:r>
      <w:r w:rsidR="00172E56">
        <w:t>P</w:t>
      </w:r>
      <w:r w:rsidR="00722879">
        <w:t>olicy had been transacted by the trustee and not by his employer, his union or himself.</w:t>
      </w:r>
    </w:p>
    <w:p w14:paraId="0785365C" w14:textId="77777777" w:rsidR="009D3803" w:rsidRDefault="009D3803" w:rsidP="00BC2AF8">
      <w:pPr>
        <w:pStyle w:val="ParaNumbering"/>
      </w:pPr>
      <w:r>
        <w:t xml:space="preserve">MetLife submits that none of the matters raised by AFCA impugn the primary judge’s conclusion that the 2018 Complaint was a complaint “relating to superannuation”. </w:t>
      </w:r>
    </w:p>
    <w:p w14:paraId="1C832B02" w14:textId="77777777" w:rsidR="009D3803" w:rsidRDefault="009D3803" w:rsidP="00BC2AF8">
      <w:pPr>
        <w:pStyle w:val="ParaNumbering"/>
      </w:pPr>
      <w:r w:rsidRPr="00F24A64">
        <w:rPr>
          <w:i/>
        </w:rPr>
        <w:t>First</w:t>
      </w:r>
      <w:r>
        <w:t>, MetLife submits that Mr Edgecombe’s complaint can properly be understood as,</w:t>
      </w:r>
      <w:r>
        <w:rPr>
          <w:spacing w:val="-12"/>
        </w:rPr>
        <w:t xml:space="preserve"> </w:t>
      </w:r>
      <w:r>
        <w:t>in</w:t>
      </w:r>
      <w:r>
        <w:rPr>
          <w:spacing w:val="-12"/>
        </w:rPr>
        <w:t xml:space="preserve"> </w:t>
      </w:r>
      <w:r>
        <w:t>essence,</w:t>
      </w:r>
      <w:r>
        <w:rPr>
          <w:spacing w:val="-12"/>
        </w:rPr>
        <w:t xml:space="preserve"> </w:t>
      </w:r>
      <w:r>
        <w:t>a</w:t>
      </w:r>
      <w:r>
        <w:rPr>
          <w:spacing w:val="-12"/>
        </w:rPr>
        <w:t xml:space="preserve"> </w:t>
      </w:r>
      <w:r>
        <w:t>complaint</w:t>
      </w:r>
      <w:r>
        <w:rPr>
          <w:spacing w:val="-12"/>
        </w:rPr>
        <w:t xml:space="preserve"> </w:t>
      </w:r>
      <w:r>
        <w:t>that</w:t>
      </w:r>
      <w:r>
        <w:rPr>
          <w:spacing w:val="-12"/>
        </w:rPr>
        <w:t xml:space="preserve"> </w:t>
      </w:r>
      <w:r>
        <w:t>his</w:t>
      </w:r>
      <w:r>
        <w:rPr>
          <w:spacing w:val="-11"/>
        </w:rPr>
        <w:t xml:space="preserve"> </w:t>
      </w:r>
      <w:r>
        <w:t>superannuation</w:t>
      </w:r>
      <w:r>
        <w:rPr>
          <w:spacing w:val="-11"/>
        </w:rPr>
        <w:t xml:space="preserve"> </w:t>
      </w:r>
      <w:r>
        <w:t>trustee</w:t>
      </w:r>
      <w:r>
        <w:rPr>
          <w:spacing w:val="-12"/>
        </w:rPr>
        <w:t xml:space="preserve"> </w:t>
      </w:r>
      <w:r>
        <w:t>did</w:t>
      </w:r>
      <w:r>
        <w:rPr>
          <w:spacing w:val="-12"/>
        </w:rPr>
        <w:t xml:space="preserve"> </w:t>
      </w:r>
      <w:r>
        <w:t>not</w:t>
      </w:r>
      <w:r>
        <w:rPr>
          <w:spacing w:val="-12"/>
        </w:rPr>
        <w:t xml:space="preserve"> </w:t>
      </w:r>
      <w:r>
        <w:t>pursue</w:t>
      </w:r>
      <w:r>
        <w:rPr>
          <w:spacing w:val="-12"/>
        </w:rPr>
        <w:t xml:space="preserve"> </w:t>
      </w:r>
      <w:r>
        <w:t>MetLife</w:t>
      </w:r>
      <w:r>
        <w:rPr>
          <w:spacing w:val="-12"/>
        </w:rPr>
        <w:t xml:space="preserve"> </w:t>
      </w:r>
      <w:r>
        <w:t>in</w:t>
      </w:r>
      <w:r>
        <w:rPr>
          <w:spacing w:val="-12"/>
        </w:rPr>
        <w:t xml:space="preserve"> </w:t>
      </w:r>
      <w:r>
        <w:t>accordance with its duties, in circumstances where Mr Edgecombe considered that he had a reasonably arguable claim for TPD under the PBR Policy.</w:t>
      </w:r>
    </w:p>
    <w:p w14:paraId="6F15BF6B" w14:textId="77777777" w:rsidR="009D3803" w:rsidRDefault="00F24A64" w:rsidP="009D3803">
      <w:pPr>
        <w:pStyle w:val="ParaNumbering"/>
      </w:pPr>
      <w:r w:rsidRPr="00F24A64">
        <w:rPr>
          <w:i/>
        </w:rPr>
        <w:t>Second</w:t>
      </w:r>
      <w:r>
        <w:t xml:space="preserve">, </w:t>
      </w:r>
      <w:r w:rsidR="009D3803">
        <w:t xml:space="preserve">MetLife submits that the question of whether the trustee was a party to the complaint cannot determine whether the complaint was a complaint relating to superannuation and the </w:t>
      </w:r>
      <w:r w:rsidR="009D3803">
        <w:lastRenderedPageBreak/>
        <w:t>fact that the benefit was an insured benefit rather than an investment benefit does not alter its status as a superannuation benefit.</w:t>
      </w:r>
      <w:r>
        <w:t xml:space="preserve"> </w:t>
      </w:r>
    </w:p>
    <w:p w14:paraId="305D67F4" w14:textId="3753E845" w:rsidR="009D3803" w:rsidRPr="009D3803" w:rsidRDefault="009D3803" w:rsidP="009D3803">
      <w:pPr>
        <w:pStyle w:val="ParaNumbering"/>
      </w:pPr>
      <w:r w:rsidRPr="00F24A64">
        <w:rPr>
          <w:i/>
        </w:rPr>
        <w:t>Third</w:t>
      </w:r>
      <w:r>
        <w:t>, MetLife submits that t</w:t>
      </w:r>
      <w:r w:rsidRPr="009D3803">
        <w:t>he status of Mr Edgecombe’s insurance interest as a superannuation benefit cannot</w:t>
      </w:r>
      <w:r>
        <w:t xml:space="preserve"> </w:t>
      </w:r>
      <w:r w:rsidRPr="009D3803">
        <w:t>be described as “incidental”.</w:t>
      </w:r>
      <w:r>
        <w:t xml:space="preserve"> It submits that t</w:t>
      </w:r>
      <w:r w:rsidRPr="009D3803">
        <w:t>he fact that Mr Edgecombe gained benefits under the PBR Policy via his superannuation fund, rather than through any direct means, was significant from Mr Edgecombe</w:t>
      </w:r>
      <w:r w:rsidR="000C1418">
        <w:t>’</w:t>
      </w:r>
      <w:r w:rsidRPr="009D3803">
        <w:t xml:space="preserve">s perspective, as </w:t>
      </w:r>
      <w:r>
        <w:t>it</w:t>
      </w:r>
      <w:r w:rsidRPr="009D3803">
        <w:t xml:space="preserve"> resulted in Mr Edgecombe obtaining additional rights,</w:t>
      </w:r>
      <w:r>
        <w:t xml:space="preserve"> such as the benefit of obligations of the trustee. In addition, it submits the cost and the scope of coverage may have been </w:t>
      </w:r>
      <w:r w:rsidR="00F24A64">
        <w:t>affected by the fact that the PBR Policy was negotiated and entered into by the superannuation trustee, rather than by Mr Edgecombe personally.</w:t>
      </w:r>
    </w:p>
    <w:p w14:paraId="0A69CDB1" w14:textId="77777777" w:rsidR="00606328" w:rsidRDefault="00606328" w:rsidP="00606328">
      <w:pPr>
        <w:pStyle w:val="Heading3"/>
      </w:pPr>
      <w:r>
        <w:t>Consideration</w:t>
      </w:r>
    </w:p>
    <w:p w14:paraId="1804AECF" w14:textId="0F7AC1B0" w:rsidR="00606328" w:rsidRDefault="00F31EC9" w:rsidP="00606328">
      <w:pPr>
        <w:pStyle w:val="ParaNumbering"/>
      </w:pPr>
      <w:r>
        <w:t>We are satisfied that none of the matters raised by AFCA establish that the 2018 Complaint was not a “complaint relating to superannuation”</w:t>
      </w:r>
      <w:r w:rsidR="00C21C1C">
        <w:t>, essentially</w:t>
      </w:r>
      <w:r w:rsidR="00F24A64">
        <w:t xml:space="preserve"> for the reasons advanced by MetLife</w:t>
      </w:r>
      <w:r>
        <w:t>.</w:t>
      </w:r>
    </w:p>
    <w:p w14:paraId="06B2F4D3" w14:textId="5329FEC3" w:rsidR="00F31EC9" w:rsidRDefault="00F24A64" w:rsidP="00606328">
      <w:pPr>
        <w:pStyle w:val="ParaNumbering"/>
      </w:pPr>
      <w:r>
        <w:t>In particular, we accept that</w:t>
      </w:r>
      <w:r w:rsidR="00C1417E">
        <w:t>,</w:t>
      </w:r>
      <w:r>
        <w:t xml:space="preserve"> g</w:t>
      </w:r>
      <w:r w:rsidR="00F31EC9">
        <w:t xml:space="preserve">iven that the parties to the PBR Policy were the trustee and MetLife, the complaint made by Mr Edgecombe was in substance a complaint that his superannuation trustee had not pursued MetLife in circumstances where he had a reasonably arguable claim </w:t>
      </w:r>
      <w:r w:rsidR="00304555">
        <w:t xml:space="preserve">for TPD under the policy. </w:t>
      </w:r>
      <w:r>
        <w:t>Mr Edgecombe had no right to receive any entitlements under the PBR Policy itself. The trustee of Mr Edgecombe’s superannuation fund was the policyholder and the party with the right to the entitlements under the policy.</w:t>
      </w:r>
    </w:p>
    <w:p w14:paraId="1A66E9EB" w14:textId="77777777" w:rsidR="00171611" w:rsidRDefault="00F24A64" w:rsidP="00606328">
      <w:pPr>
        <w:pStyle w:val="ParaNumbering"/>
      </w:pPr>
      <w:r>
        <w:t>As the primary judge reasoned at J [104]:</w:t>
      </w:r>
    </w:p>
    <w:p w14:paraId="792896BD" w14:textId="77777777" w:rsidR="00F24A64" w:rsidRDefault="00F24A64" w:rsidP="00F24A64">
      <w:pPr>
        <w:pStyle w:val="Quote1"/>
      </w:pPr>
      <w:r>
        <w:t>Even though he might be said to have a beneficial interest in the moneys to be paid to the trustee, his claim arose solely from his status as a member of the superannuation fund and could only be based upon that status.</w:t>
      </w:r>
    </w:p>
    <w:p w14:paraId="252BBD9C" w14:textId="77777777" w:rsidR="00956D9C" w:rsidRDefault="00956D9C" w:rsidP="00956D9C">
      <w:pPr>
        <w:pStyle w:val="ParaNumbering"/>
      </w:pPr>
      <w:r>
        <w:t xml:space="preserve">Grounds 1 and 2 </w:t>
      </w:r>
      <w:r w:rsidR="006634E3">
        <w:t>of</w:t>
      </w:r>
      <w:r>
        <w:t xml:space="preserve"> the amended notice of contention must be dismissed.</w:t>
      </w:r>
    </w:p>
    <w:p w14:paraId="1A15C159" w14:textId="77777777" w:rsidR="00513E29" w:rsidRDefault="00513E29" w:rsidP="00513E29">
      <w:pPr>
        <w:pStyle w:val="Heading2"/>
      </w:pPr>
      <w:r>
        <w:lastRenderedPageBreak/>
        <w:t>Grounds 3 and 4</w:t>
      </w:r>
    </w:p>
    <w:p w14:paraId="4FA7253C" w14:textId="77777777" w:rsidR="00513E29" w:rsidRDefault="00513E29" w:rsidP="00513E29">
      <w:pPr>
        <w:pStyle w:val="Heading3"/>
      </w:pPr>
      <w:r>
        <w:t>Introduction</w:t>
      </w:r>
    </w:p>
    <w:p w14:paraId="5A4C4796" w14:textId="77777777" w:rsidR="00513E29" w:rsidRDefault="000447B1" w:rsidP="00BC2AF8">
      <w:pPr>
        <w:pStyle w:val="ParaNumbering"/>
      </w:pPr>
      <w:r>
        <w:t>AFCA contends that the primary judge erred by not finding that the parties had agreed that the 2018 Complaint could be determined by AFCA as a non-superannuation complaint. It alleges</w:t>
      </w:r>
      <w:r w:rsidRPr="000447B1">
        <w:t xml:space="preserve"> </w:t>
      </w:r>
      <w:r>
        <w:t>in its amended notice of contention that:</w:t>
      </w:r>
    </w:p>
    <w:p w14:paraId="3B6328B3" w14:textId="77777777" w:rsidR="000447B1" w:rsidRDefault="000447B1" w:rsidP="004D52A8">
      <w:pPr>
        <w:pStyle w:val="Quote1"/>
        <w:ind w:left="1440" w:hanging="703"/>
      </w:pPr>
      <w:r>
        <w:t>3.</w:t>
      </w:r>
      <w:r>
        <w:tab/>
        <w:t>The Court did not make a finding whether the parties had agreed that a complaint such as the 2018 Complaint could be determined by the First Respondent, pursuant to Rules B.2.1(e)(i) and E.1 (definition of “Superannuation Complaint”) of the AFCA Rules, or whether any such agreement would be effective (J: [50]-[52], [106]).</w:t>
      </w:r>
    </w:p>
    <w:p w14:paraId="661D2162" w14:textId="77777777" w:rsidR="000447B1" w:rsidRDefault="000447B1" w:rsidP="004D52A8">
      <w:pPr>
        <w:pStyle w:val="Quote1"/>
        <w:ind w:left="1440" w:hanging="703"/>
      </w:pPr>
      <w:r>
        <w:t>4.</w:t>
      </w:r>
      <w:r>
        <w:tab/>
        <w:t>The Court should have found that the parties had agreed that a complaint such as the 2018 Complaint could be determined by AFCA under the AFCA Rules, pursuant to Rules B.2.1(e)(i) and E.1 (definition of “Superannuation Complaint”) of the AFCA Rules, and that that agreement was effective.</w:t>
      </w:r>
    </w:p>
    <w:p w14:paraId="06969BF3" w14:textId="77777777" w:rsidR="00513E29" w:rsidRDefault="00513E29" w:rsidP="00513E29">
      <w:pPr>
        <w:pStyle w:val="Heading3"/>
      </w:pPr>
      <w:r>
        <w:t>Submissions</w:t>
      </w:r>
    </w:p>
    <w:p w14:paraId="5AE9699B" w14:textId="5621D7F6" w:rsidR="00722879" w:rsidRPr="00722879" w:rsidRDefault="00722879" w:rsidP="00722879">
      <w:pPr>
        <w:pStyle w:val="ParaNumbering"/>
      </w:pPr>
      <w:r>
        <w:t>AFCA submits that</w:t>
      </w:r>
      <w:r w:rsidR="000C1418">
        <w:t>,</w:t>
      </w:r>
      <w:r>
        <w:t xml:space="preserve"> </w:t>
      </w:r>
      <w:r w:rsidRPr="00722879">
        <w:t xml:space="preserve">on the making of the </w:t>
      </w:r>
      <w:r w:rsidR="00A01C00">
        <w:t>2018</w:t>
      </w:r>
      <w:r w:rsidR="00A01C00" w:rsidRPr="00722879">
        <w:t xml:space="preserve"> </w:t>
      </w:r>
      <w:r w:rsidRPr="00722879">
        <w:t xml:space="preserve">Complaint by Mr Edgecombe, there arose a contract between AFCA, MetLife and Mr Edgecombe by which MetLife agreed to comply with binding determinations of AFCA in relation to the </w:t>
      </w:r>
      <w:r w:rsidR="00A01C00">
        <w:t>2018</w:t>
      </w:r>
      <w:r w:rsidR="00A01C00" w:rsidRPr="00722879">
        <w:t xml:space="preserve"> </w:t>
      </w:r>
      <w:r w:rsidRPr="00722879">
        <w:t xml:space="preserve">Complaint. </w:t>
      </w:r>
      <w:r>
        <w:t>It submits that the</w:t>
      </w:r>
      <w:r w:rsidR="0060415C">
        <w:t xml:space="preserve"> </w:t>
      </w:r>
      <w:r w:rsidRPr="00722879">
        <w:t>contract was relevantly constituted by the AFCA Rules</w:t>
      </w:r>
      <w:r>
        <w:t xml:space="preserve"> and that cl</w:t>
      </w:r>
      <w:r w:rsidRPr="00722879">
        <w:t xml:space="preserve"> A.15.3 of the AFCA Rules relevantly provided that a determination made by AFCA is final, and is binding upon the parties if accepted by the complainant within 30 days.</w:t>
      </w:r>
    </w:p>
    <w:p w14:paraId="47853F37" w14:textId="290274C9" w:rsidR="00722879" w:rsidRDefault="00722879" w:rsidP="00722879">
      <w:pPr>
        <w:pStyle w:val="ParaNumbering"/>
      </w:pPr>
      <w:r>
        <w:t xml:space="preserve">AFCA submits that </w:t>
      </w:r>
      <w:r w:rsidRPr="00722879">
        <w:t>the arbitral contract that was made between AFCA, MetLife and Mr</w:t>
      </w:r>
      <w:r w:rsidR="000C1418">
        <w:t> </w:t>
      </w:r>
      <w:r w:rsidRPr="00722879">
        <w:t>Edgecombe upon the making of Mr Edgecombe’s complaint did not depend upon Mr Edgecombe’s having had a prior contractual relationship with MetLife.</w:t>
      </w:r>
    </w:p>
    <w:p w14:paraId="5DD70E00" w14:textId="7B90EDD4" w:rsidR="00513E29" w:rsidRDefault="00513E29" w:rsidP="00722879">
      <w:pPr>
        <w:pStyle w:val="ParaNumbering"/>
      </w:pPr>
      <w:r>
        <w:t xml:space="preserve">A </w:t>
      </w:r>
      <w:r w:rsidR="00711DCB">
        <w:t>“</w:t>
      </w:r>
      <w:r w:rsidR="00722879">
        <w:t>Superannuation Complaint</w:t>
      </w:r>
      <w:r w:rsidR="00711DCB">
        <w:t>”</w:t>
      </w:r>
      <w:r w:rsidR="00722879">
        <w:t xml:space="preserve">, mentioned in the chapeau </w:t>
      </w:r>
      <w:r>
        <w:t>to</w:t>
      </w:r>
      <w:r w:rsidR="00722879">
        <w:t xml:space="preserve"> cl B.2.1</w:t>
      </w:r>
      <w:r w:rsidR="00C1417E">
        <w:t xml:space="preserve"> of the AFCA Rules</w:t>
      </w:r>
      <w:r w:rsidR="00722879">
        <w:t xml:space="preserve"> is defined in the glossary to have </w:t>
      </w:r>
      <w:r w:rsidR="00711DCB">
        <w:t>“</w:t>
      </w:r>
      <w:r w:rsidR="00722879">
        <w:t>the meaning set out in s</w:t>
      </w:r>
      <w:r w:rsidR="003D1FE8">
        <w:t>ection</w:t>
      </w:r>
      <w:r w:rsidR="00722879">
        <w:t xml:space="preserve"> 1053 of the Corporations Act</w:t>
      </w:r>
      <w:r w:rsidR="00711DCB">
        <w:t>”</w:t>
      </w:r>
      <w:r w:rsidR="00722879">
        <w:t xml:space="preserve">. </w:t>
      </w:r>
      <w:r>
        <w:t>A</w:t>
      </w:r>
      <w:r w:rsidR="00722879">
        <w:t xml:space="preserve"> </w:t>
      </w:r>
      <w:r w:rsidR="00711DCB">
        <w:t>“</w:t>
      </w:r>
      <w:r w:rsidR="00722879" w:rsidRPr="007A3CF2">
        <w:t>superannuation complaint</w:t>
      </w:r>
      <w:r w:rsidR="00711DCB">
        <w:t>”</w:t>
      </w:r>
      <w:r w:rsidR="00722879">
        <w:t xml:space="preserve"> is defined in s 1053(3) to mean a </w:t>
      </w:r>
      <w:r w:rsidR="00711DCB">
        <w:t>“</w:t>
      </w:r>
      <w:r w:rsidR="00722879">
        <w:t>complaint made in accordance with</w:t>
      </w:r>
      <w:r w:rsidR="00711DCB">
        <w:t>”</w:t>
      </w:r>
      <w:r w:rsidR="00722879">
        <w:t xml:space="preserve"> s 1053(1). </w:t>
      </w:r>
    </w:p>
    <w:p w14:paraId="1E40FADB" w14:textId="77ADA618" w:rsidR="00722879" w:rsidRDefault="00513E29" w:rsidP="00722879">
      <w:pPr>
        <w:pStyle w:val="ParaNumbering"/>
      </w:pPr>
      <w:r>
        <w:t>AFCA submits that</w:t>
      </w:r>
      <w:r w:rsidR="000C1418">
        <w:t>,</w:t>
      </w:r>
      <w:r>
        <w:t xml:space="preserve"> a</w:t>
      </w:r>
      <w:r w:rsidR="00722879">
        <w:t xml:space="preserve">s the parties agree that the 2018 Complaint was not made in accordance with s 1053(1), as a matter of contract, the AFCA Complaint was not a </w:t>
      </w:r>
      <w:r w:rsidR="00711DCB">
        <w:t>“</w:t>
      </w:r>
      <w:r w:rsidR="00722879">
        <w:t>Superannuation Complaint</w:t>
      </w:r>
      <w:r w:rsidR="00711DCB">
        <w:t>”</w:t>
      </w:r>
      <w:r w:rsidR="00722879">
        <w:t xml:space="preserve"> for the purposes of the AFCA Rules.</w:t>
      </w:r>
    </w:p>
    <w:p w14:paraId="3DE469C4" w14:textId="71E79559" w:rsidR="00722879" w:rsidRDefault="00722879" w:rsidP="00722879">
      <w:pPr>
        <w:pStyle w:val="ParaNumbering"/>
      </w:pPr>
      <w:r>
        <w:lastRenderedPageBreak/>
        <w:t xml:space="preserve">The definition of </w:t>
      </w:r>
      <w:r w:rsidR="00025A19">
        <w:t>“</w:t>
      </w:r>
      <w:r>
        <w:t>Superannuation Complaint</w:t>
      </w:r>
      <w:r w:rsidR="00025A19">
        <w:t>”</w:t>
      </w:r>
      <w:r>
        <w:t xml:space="preserve"> in the AFCA Rules provide</w:t>
      </w:r>
      <w:r w:rsidR="00513E29">
        <w:t>s</w:t>
      </w:r>
      <w:r>
        <w:t xml:space="preserve"> relevantly as follows:</w:t>
      </w:r>
    </w:p>
    <w:p w14:paraId="7EBA659B" w14:textId="77777777" w:rsidR="00722879" w:rsidRDefault="00722879" w:rsidP="00513E29">
      <w:pPr>
        <w:pStyle w:val="Quote1"/>
      </w:pPr>
      <w:r>
        <w:t>Accordingly:</w:t>
      </w:r>
    </w:p>
    <w:p w14:paraId="4FD8F09B" w14:textId="5E471511" w:rsidR="00722879" w:rsidRDefault="00722879" w:rsidP="00513E29">
      <w:pPr>
        <w:pStyle w:val="Quote1"/>
        <w:ind w:left="1440" w:hanging="703"/>
      </w:pPr>
      <w:r>
        <w:t>(a)</w:t>
      </w:r>
      <w:r>
        <w:tab/>
        <w:t>a complaint about an insurer</w:t>
      </w:r>
      <w:r w:rsidR="000C1418">
        <w:t>’</w:t>
      </w:r>
      <w:r>
        <w:t>s decision under an insurance policy held by the trustee of a Regulated Superannuation Fund or an Approved Deposit Fund will:</w:t>
      </w:r>
    </w:p>
    <w:p w14:paraId="5093498B" w14:textId="77777777" w:rsidR="00722879" w:rsidRDefault="00513E29" w:rsidP="004D52A8">
      <w:pPr>
        <w:pStyle w:val="Quote2"/>
        <w:ind w:left="2160" w:hanging="720"/>
      </w:pPr>
      <w:r>
        <w:t>(i)</w:t>
      </w:r>
      <w:r>
        <w:tab/>
      </w:r>
      <w:proofErr w:type="gramStart"/>
      <w:r w:rsidR="00722879">
        <w:t>if</w:t>
      </w:r>
      <w:proofErr w:type="gramEnd"/>
      <w:r w:rsidR="00722879">
        <w:t xml:space="preserve"> all of the time limits in rule B.4.1.1 have been met, be considered as a Superannuation Complaint, by joining the insurer to a complaint against the trustee's decision;</w:t>
      </w:r>
    </w:p>
    <w:p w14:paraId="3D792E2A" w14:textId="77777777" w:rsidR="00722879" w:rsidRDefault="00513E29" w:rsidP="004D52A8">
      <w:pPr>
        <w:pStyle w:val="Quote2"/>
        <w:ind w:left="2160" w:hanging="720"/>
      </w:pPr>
      <w:r>
        <w:t>(ii)</w:t>
      </w:r>
      <w:r>
        <w:tab/>
      </w:r>
      <w:proofErr w:type="gramStart"/>
      <w:r w:rsidR="00722879" w:rsidRPr="00513E29">
        <w:t>otherwise</w:t>
      </w:r>
      <w:proofErr w:type="gramEnd"/>
      <w:r w:rsidR="00722879" w:rsidRPr="00513E29">
        <w:t>, be considered as a non-superannuation complaint against the insurer</w:t>
      </w:r>
      <w:r w:rsidR="00722879">
        <w:t>; …</w:t>
      </w:r>
    </w:p>
    <w:p w14:paraId="6CECE4D6" w14:textId="77777777" w:rsidR="00722879" w:rsidRDefault="00A27542" w:rsidP="00722879">
      <w:pPr>
        <w:pStyle w:val="ParaNumbering"/>
      </w:pPr>
      <w:r>
        <w:t>AFCA notes that i</w:t>
      </w:r>
      <w:r w:rsidR="00722879">
        <w:t>t is common ground that the time limits in cl B.4.1.1 had not been met.</w:t>
      </w:r>
    </w:p>
    <w:p w14:paraId="5713CEF1" w14:textId="2D27E3EF" w:rsidR="00A27542" w:rsidRDefault="00A27542" w:rsidP="00A27542">
      <w:pPr>
        <w:pStyle w:val="ParaNumbering"/>
      </w:pPr>
      <w:r>
        <w:t xml:space="preserve">AFCA submits that it therefore follows that </w:t>
      </w:r>
      <w:r w:rsidRPr="00A27542">
        <w:t xml:space="preserve">as a matter of contract, the 2018 Complaint </w:t>
      </w:r>
      <w:r w:rsidR="000C1418">
        <w:t>is</w:t>
      </w:r>
      <w:r w:rsidR="000C1418" w:rsidRPr="00A27542">
        <w:t xml:space="preserve"> </w:t>
      </w:r>
      <w:r w:rsidRPr="00A27542">
        <w:t>able to be considered in AFCA’s “general” (</w:t>
      </w:r>
      <w:r>
        <w:t>that is,</w:t>
      </w:r>
      <w:r w:rsidR="0060415C">
        <w:t xml:space="preserve"> </w:t>
      </w:r>
      <w:r w:rsidRPr="00A27542">
        <w:t>non-superannuation) jurisdiction, pursuant to cl B.2.1</w:t>
      </w:r>
      <w:r w:rsidR="000C1418">
        <w:t>,</w:t>
      </w:r>
      <w:r w:rsidRPr="00A27542">
        <w:t xml:space="preserve"> </w:t>
      </w:r>
      <w:r>
        <w:t>as it was not a superannuation complaint made in accordance with s 1053(1)</w:t>
      </w:r>
      <w:r w:rsidR="00C21C1C">
        <w:t>. It submits that</w:t>
      </w:r>
      <w:r w:rsidR="000C1418">
        <w:t>,</w:t>
      </w:r>
      <w:r w:rsidR="00C21C1C">
        <w:t xml:space="preserve"> </w:t>
      </w:r>
      <w:r>
        <w:t xml:space="preserve">further and in any event, it was specifically contemplated by the AFCA </w:t>
      </w:r>
      <w:r w:rsidR="00617DBE">
        <w:t>R</w:t>
      </w:r>
      <w:r>
        <w:t>ules as a complaint that could be made under AFCA’s general jurisdiction because it had been made after the expiry of the time limits in r B.4.1.1 and therefore it was considered a “non-superannuation complaint”.</w:t>
      </w:r>
    </w:p>
    <w:p w14:paraId="2DF6CE4A" w14:textId="401EACB7" w:rsidR="00A27542" w:rsidRDefault="00A27542" w:rsidP="00A27542">
      <w:pPr>
        <w:pStyle w:val="ParaNumbering"/>
      </w:pPr>
      <w:r>
        <w:t xml:space="preserve">AFCA submits that </w:t>
      </w:r>
      <w:r w:rsidRPr="00A27542">
        <w:t>generally speaking, parties are perfectly free to make arbitral agreements of whatever kind they choose</w:t>
      </w:r>
      <w:r>
        <w:t xml:space="preserve"> and that it is therefore not apparent</w:t>
      </w:r>
      <w:r w:rsidR="000C78D5">
        <w:t>,</w:t>
      </w:r>
      <w:r>
        <w:t xml:space="preserve"> particularly given the one-shop stop objectives of the </w:t>
      </w:r>
      <w:r w:rsidR="0006638C">
        <w:t>AFCA Scheme</w:t>
      </w:r>
      <w:r>
        <w:t>, why</w:t>
      </w:r>
      <w:r w:rsidR="000052B7">
        <w:t xml:space="preserve"> it could be conten</w:t>
      </w:r>
      <w:r w:rsidR="000C78D5">
        <w:t>d</w:t>
      </w:r>
      <w:r w:rsidR="000052B7">
        <w:t xml:space="preserve">ed that </w:t>
      </w:r>
      <w:r w:rsidRPr="00A27542">
        <w:t xml:space="preserve">AFCA should be the </w:t>
      </w:r>
      <w:r w:rsidR="006B5AA2">
        <w:t>“</w:t>
      </w:r>
      <w:r w:rsidRPr="00A27542">
        <w:t>only person in the world</w:t>
      </w:r>
      <w:r w:rsidR="006B5AA2">
        <w:t>”</w:t>
      </w:r>
      <w:r w:rsidRPr="00A27542">
        <w:t xml:space="preserve"> who could not have resolved the dispute between MetLife and Mr Edgecombe by way of arbitration and in accordance with the parties’ contract.</w:t>
      </w:r>
    </w:p>
    <w:p w14:paraId="7054C572" w14:textId="5D9992DA" w:rsidR="00956D9C" w:rsidRDefault="00956D9C" w:rsidP="00956D9C">
      <w:pPr>
        <w:pStyle w:val="ParaNumbering"/>
      </w:pPr>
      <w:r>
        <w:t xml:space="preserve">MetLife submits that </w:t>
      </w:r>
      <w:r w:rsidR="00C21C1C">
        <w:t xml:space="preserve">the </w:t>
      </w:r>
      <w:r w:rsidRPr="00956D9C">
        <w:t xml:space="preserve">central issue </w:t>
      </w:r>
      <w:r>
        <w:t>raised by</w:t>
      </w:r>
      <w:r w:rsidRPr="00956D9C">
        <w:t xml:space="preserve"> Grounds 3 and 4 is whether it is open to AFCA to contractually expand the scope of the </w:t>
      </w:r>
      <w:r w:rsidR="0006638C">
        <w:t>AFCA Scheme</w:t>
      </w:r>
      <w:r>
        <w:t xml:space="preserve"> (being a statutory scheme)</w:t>
      </w:r>
      <w:r w:rsidRPr="00956D9C">
        <w:t xml:space="preserve"> so as to permit AFCA to determine certain categories of complaint within the </w:t>
      </w:r>
      <w:r w:rsidR="0006638C">
        <w:t>AFCA Scheme</w:t>
      </w:r>
      <w:r w:rsidRPr="00956D9C">
        <w:t xml:space="preserve">, notwithstanding </w:t>
      </w:r>
      <w:r w:rsidR="00253851">
        <w:t>that if its construction of s 1</w:t>
      </w:r>
      <w:r w:rsidR="00425226">
        <w:t>0</w:t>
      </w:r>
      <w:r w:rsidR="00253851">
        <w:t>53(1) is accepted,</w:t>
      </w:r>
      <w:r w:rsidRPr="00956D9C">
        <w:t xml:space="preserve"> such complaints </w:t>
      </w:r>
      <w:r w:rsidR="00253851">
        <w:t>would be</w:t>
      </w:r>
      <w:r w:rsidRPr="00956D9C">
        <w:t xml:space="preserve"> excluded from the </w:t>
      </w:r>
      <w:r w:rsidR="0006638C">
        <w:t>AFCA Scheme</w:t>
      </w:r>
      <w:r w:rsidRPr="00956D9C">
        <w:t>.</w:t>
      </w:r>
    </w:p>
    <w:p w14:paraId="7F279B13" w14:textId="79EE58FE" w:rsidR="00956D9C" w:rsidRDefault="00C21C1C" w:rsidP="00956D9C">
      <w:pPr>
        <w:pStyle w:val="ParaNumbering"/>
      </w:pPr>
      <w:r>
        <w:t>MetLife</w:t>
      </w:r>
      <w:r w:rsidR="00956D9C">
        <w:t xml:space="preserve"> submits that although participation in the </w:t>
      </w:r>
      <w:r w:rsidR="0006638C">
        <w:t>AFCA Scheme</w:t>
      </w:r>
      <w:r w:rsidR="00956D9C">
        <w:t xml:space="preserve"> may b</w:t>
      </w:r>
      <w:r>
        <w:t>e</w:t>
      </w:r>
      <w:r w:rsidR="00956D9C">
        <w:t xml:space="preserve"> technically, although perhaps not practically, consensual, the scope of the </w:t>
      </w:r>
      <w:r w:rsidR="0006638C">
        <w:t>AFCA Scheme</w:t>
      </w:r>
      <w:r w:rsidR="00956D9C">
        <w:t xml:space="preserve"> is defined by statute. It submits that to the extent that the </w:t>
      </w:r>
      <w:r w:rsidR="00617DBE">
        <w:t>AFCA</w:t>
      </w:r>
      <w:r w:rsidR="00956D9C">
        <w:t xml:space="preserve"> </w:t>
      </w:r>
      <w:r w:rsidR="00617DBE">
        <w:t>R</w:t>
      </w:r>
      <w:r w:rsidR="00956D9C">
        <w:t xml:space="preserve">ules purport to empower AFCA to determine </w:t>
      </w:r>
      <w:r w:rsidR="00956D9C">
        <w:lastRenderedPageBreak/>
        <w:t xml:space="preserve">complaints with the </w:t>
      </w:r>
      <w:r w:rsidR="0006638C">
        <w:t>AFCA Scheme</w:t>
      </w:r>
      <w:r w:rsidR="00956D9C">
        <w:t xml:space="preserve"> that are excluded from the scheme by the Corporations Act, they are of no effect</w:t>
      </w:r>
      <w:r w:rsidR="000C1418">
        <w:t>:</w:t>
      </w:r>
      <w:r w:rsidR="00956D9C">
        <w:t xml:space="preserve"> citing by way of analogy, </w:t>
      </w:r>
      <w:r w:rsidR="00956D9C" w:rsidRPr="00956D9C">
        <w:rPr>
          <w:i/>
        </w:rPr>
        <w:t>Adamson</w:t>
      </w:r>
      <w:r w:rsidR="000052B7">
        <w:rPr>
          <w:i/>
        </w:rPr>
        <w:t xml:space="preserve"> </w:t>
      </w:r>
      <w:r w:rsidR="00956D9C" w:rsidRPr="00956D9C">
        <w:rPr>
          <w:i/>
        </w:rPr>
        <w:t>v New South Wales Rugby League</w:t>
      </w:r>
      <w:r w:rsidR="000052B7">
        <w:rPr>
          <w:i/>
        </w:rPr>
        <w:t xml:space="preserve"> Limited </w:t>
      </w:r>
      <w:r w:rsidR="00956D9C">
        <w:t>(1991) 31 FCR 242.</w:t>
      </w:r>
    </w:p>
    <w:p w14:paraId="7011C14C" w14:textId="032E3FD5" w:rsidR="00C21C1C" w:rsidRDefault="00C21C1C" w:rsidP="00956D9C">
      <w:pPr>
        <w:pStyle w:val="ParaNumbering"/>
      </w:pPr>
      <w:r>
        <w:t xml:space="preserve">MetLife submits that it </w:t>
      </w:r>
      <w:r w:rsidR="000C1418">
        <w:t xml:space="preserve">is </w:t>
      </w:r>
      <w:r>
        <w:t xml:space="preserve">not suggesting that the AFCA </w:t>
      </w:r>
      <w:r w:rsidR="00AD65D5">
        <w:t>S</w:t>
      </w:r>
      <w:r>
        <w:t xml:space="preserve">cheme would be void to the extent that it </w:t>
      </w:r>
      <w:r w:rsidR="000C1418">
        <w:t xml:space="preserve">is </w:t>
      </w:r>
      <w:r>
        <w:t xml:space="preserve">inconsistent with s 1053, but rather that to the extent that the AFCA rules purporting to define the scope of the AFCA </w:t>
      </w:r>
      <w:r w:rsidR="00AD65D5">
        <w:t>S</w:t>
      </w:r>
      <w:r>
        <w:t xml:space="preserve">cheme </w:t>
      </w:r>
      <w:r w:rsidR="000C1418">
        <w:t xml:space="preserve">are </w:t>
      </w:r>
      <w:r>
        <w:t>inconsistent with s 1053</w:t>
      </w:r>
      <w:r w:rsidR="000C1418">
        <w:t>,</w:t>
      </w:r>
      <w:r>
        <w:t xml:space="preserve"> they would have no effect. </w:t>
      </w:r>
    </w:p>
    <w:p w14:paraId="272020E5" w14:textId="412AB1BE" w:rsidR="00C21C1C" w:rsidRDefault="00C21C1C" w:rsidP="00956D9C">
      <w:pPr>
        <w:pStyle w:val="ParaNumbering"/>
      </w:pPr>
      <w:r>
        <w:t>MetLife acknowledged that if there had been a clear intention between the parties to establish a bespoke scheme through a collateral contract</w:t>
      </w:r>
      <w:r w:rsidR="005D3D8E">
        <w:t xml:space="preserve"> sitting alongside the AFCA </w:t>
      </w:r>
      <w:r w:rsidR="00AD65D5">
        <w:t>S</w:t>
      </w:r>
      <w:r w:rsidR="005D3D8E">
        <w:t>cheme</w:t>
      </w:r>
      <w:r w:rsidR="000C1418">
        <w:t>,</w:t>
      </w:r>
      <w:r w:rsidR="005D3D8E">
        <w:t xml:space="preserve"> that might have given rise to an ad hoc contract, but in this case, as the primary judge found, there was no such clear intention. </w:t>
      </w:r>
    </w:p>
    <w:p w14:paraId="2D752110" w14:textId="77777777" w:rsidR="00253851" w:rsidRDefault="00253851" w:rsidP="00253851">
      <w:pPr>
        <w:pStyle w:val="Heading3"/>
      </w:pPr>
      <w:r>
        <w:t>Consideration</w:t>
      </w:r>
    </w:p>
    <w:p w14:paraId="018231B7" w14:textId="205385AE" w:rsidR="00A725E4" w:rsidRDefault="00174635" w:rsidP="00956D9C">
      <w:pPr>
        <w:pStyle w:val="ParaNumbering"/>
      </w:pPr>
      <w:r>
        <w:t>T</w:t>
      </w:r>
      <w:r w:rsidR="008478EC">
        <w:t xml:space="preserve">he contractual provisions in the AFCA Rules cannot </w:t>
      </w:r>
      <w:r>
        <w:t xml:space="preserve">consensually be expanded beyond statutorily defined limits. </w:t>
      </w:r>
      <w:r w:rsidR="00A725E4">
        <w:t xml:space="preserve">Significant aspects of the </w:t>
      </w:r>
      <w:r w:rsidR="0006638C">
        <w:t>AFCA Scheme</w:t>
      </w:r>
      <w:r w:rsidR="00A725E4">
        <w:t xml:space="preserve"> depended on statutory authority, particularly with respect to “complaint</w:t>
      </w:r>
      <w:r w:rsidR="00940D55">
        <w:t>[</w:t>
      </w:r>
      <w:r w:rsidR="00A725E4">
        <w:t>s</w:t>
      </w:r>
      <w:r w:rsidR="00940D55">
        <w:t>]</w:t>
      </w:r>
      <w:r w:rsidR="00A725E4">
        <w:t xml:space="preserve"> relating to superannuation”. The AFCA Rules </w:t>
      </w:r>
      <w:r w:rsidR="000C1418">
        <w:t xml:space="preserve">do </w:t>
      </w:r>
      <w:r w:rsidR="00A725E4">
        <w:t>not operate solely with contractual authority.</w:t>
      </w:r>
    </w:p>
    <w:p w14:paraId="7AB9F738" w14:textId="442E5033" w:rsidR="00253851" w:rsidRDefault="00253851" w:rsidP="00956D9C">
      <w:pPr>
        <w:pStyle w:val="ParaNumbering"/>
      </w:pPr>
      <w:r>
        <w:t xml:space="preserve">To the extent that the AFCA Rules purport to operate inconsistently with the statutory framework for the establishment and operation of the </w:t>
      </w:r>
      <w:r w:rsidR="0006638C">
        <w:t>AFCA Scheme</w:t>
      </w:r>
      <w:r>
        <w:t xml:space="preserve"> in the Corporations Act</w:t>
      </w:r>
      <w:r w:rsidR="000C1418">
        <w:t>,</w:t>
      </w:r>
      <w:r>
        <w:t xml:space="preserve"> they </w:t>
      </w:r>
      <w:r w:rsidR="005D3D8E">
        <w:t>have no effect</w:t>
      </w:r>
      <w:r>
        <w:t>.</w:t>
      </w:r>
      <w:r w:rsidR="00EE52A2">
        <w:t xml:space="preserve"> </w:t>
      </w:r>
    </w:p>
    <w:p w14:paraId="4B4E12F5" w14:textId="77777777" w:rsidR="008478EC" w:rsidRDefault="00174635" w:rsidP="00956D9C">
      <w:pPr>
        <w:pStyle w:val="ParaNumbering"/>
      </w:pPr>
      <w:r>
        <w:t>We respectfully agree with the primary judge’s reasoning at J</w:t>
      </w:r>
      <w:r w:rsidR="00A725E4">
        <w:t xml:space="preserve"> [106]:</w:t>
      </w:r>
    </w:p>
    <w:p w14:paraId="0D3A30E0" w14:textId="77777777" w:rsidR="00174635" w:rsidRDefault="00174635" w:rsidP="00174635">
      <w:pPr>
        <w:pStyle w:val="Quote1"/>
      </w:pPr>
      <w:r w:rsidRPr="00174635">
        <w:t xml:space="preserve">The consensual manner with which those rules take effect are one of the incidents of the scheme that provide the foundation for the reasoning that they do not involve the exercise of judicial power. However, that does not mean that once submitted to they are exclusively contractual in character. In important respects they depend upon statutory authority for their operation. They operate on the basis that they have been approved by ASIC as rules that give effect to the statutory requirements that must apply to the AFCA Scheme. Those requirements include s 1053. If </w:t>
      </w:r>
      <w:proofErr w:type="spellStart"/>
      <w:r w:rsidRPr="00174635">
        <w:t>Metlife’s</w:t>
      </w:r>
      <w:proofErr w:type="spellEnd"/>
      <w:r w:rsidRPr="00174635">
        <w:t xml:space="preserve"> construction were to be accepted and there was indeed a statutory prohibition upon certain complaints being considered under the AFCA Scheme then it is difficult to see how a provision of the scheme that was contrary to that prohibition might nevertheless operate consensually in the absence of clear manifestation of an intention by the parties to establish a dispute resolution procedure outside the confines of the AFCA Scheme as provided for by the Corporations Act.</w:t>
      </w:r>
    </w:p>
    <w:p w14:paraId="0C71BC1F" w14:textId="77777777" w:rsidR="006634E3" w:rsidRDefault="006634E3" w:rsidP="006634E3">
      <w:pPr>
        <w:pStyle w:val="ParaNumbering"/>
      </w:pPr>
      <w:r>
        <w:t>Grounds 3 and 4 of the amended notice of contention must be dismissed.</w:t>
      </w:r>
    </w:p>
    <w:p w14:paraId="024AB454" w14:textId="77777777" w:rsidR="00722879" w:rsidRDefault="00513E29" w:rsidP="00A27542">
      <w:pPr>
        <w:pStyle w:val="Heading2"/>
      </w:pPr>
      <w:r>
        <w:lastRenderedPageBreak/>
        <w:t>Grounds 5 and 6</w:t>
      </w:r>
    </w:p>
    <w:p w14:paraId="06F49D70" w14:textId="77777777" w:rsidR="00513E29" w:rsidRDefault="00513E29" w:rsidP="00A27542">
      <w:pPr>
        <w:pStyle w:val="Heading3"/>
      </w:pPr>
      <w:r>
        <w:t>Introduction</w:t>
      </w:r>
    </w:p>
    <w:p w14:paraId="71487787" w14:textId="77777777" w:rsidR="000447B1" w:rsidRDefault="000447B1" w:rsidP="00722879">
      <w:pPr>
        <w:pStyle w:val="ParaNumbering"/>
      </w:pPr>
      <w:r>
        <w:t xml:space="preserve">AFCA contends that the primary judge erred in not finding that there was an ad hoc agreement between the </w:t>
      </w:r>
      <w:r w:rsidR="00A9526A">
        <w:t>parties that it could determine the 2018 Complaint. It alleged in its amended notice of contention that:</w:t>
      </w:r>
    </w:p>
    <w:p w14:paraId="041E5C77" w14:textId="77777777" w:rsidR="00A9526A" w:rsidRDefault="00A9526A" w:rsidP="00A9526A">
      <w:pPr>
        <w:pStyle w:val="Quote1"/>
        <w:ind w:left="1440" w:hanging="703"/>
      </w:pPr>
      <w:r>
        <w:t>5.</w:t>
      </w:r>
      <w:r>
        <w:tab/>
        <w:t>The Court erred in fact and law in finding that there was no ad hoc agreement between the parties that the 2018 Complaint could be determined by the First Respondent (J: [125]).</w:t>
      </w:r>
    </w:p>
    <w:p w14:paraId="1BCDF11D" w14:textId="77777777" w:rsidR="00A9526A" w:rsidRDefault="00A9526A" w:rsidP="00A9526A">
      <w:pPr>
        <w:pStyle w:val="Quote1"/>
        <w:ind w:left="1440" w:hanging="703"/>
      </w:pPr>
      <w:r>
        <w:t>6.</w:t>
      </w:r>
      <w:r>
        <w:tab/>
        <w:t>In the alternative to paragraphs 3-4 above, the Court should have found that there was an ad hoc agreement between the parties that the 2018 Complaint could be determined by the First Respondent, on the basis of the matters set out at paragraph 27 of the First Respondent’s Defence dated 4 September 2019.</w:t>
      </w:r>
    </w:p>
    <w:p w14:paraId="46A79BA2" w14:textId="4DF30712" w:rsidR="00A9526A" w:rsidRDefault="00A9526A" w:rsidP="00722879">
      <w:pPr>
        <w:pStyle w:val="ParaNumbering"/>
      </w:pPr>
      <w:r>
        <w:t xml:space="preserve">The matters set out in AFCA’s defence referred to the communications between AFCA in relation to </w:t>
      </w:r>
      <w:r w:rsidR="006B5AA2">
        <w:t xml:space="preserve">an earlier complaint in </w:t>
      </w:r>
      <w:r>
        <w:t xml:space="preserve">2017 and the 2018 Complaint, in particular </w:t>
      </w:r>
      <w:r w:rsidR="001A5AE9">
        <w:t>AFCA’s advice to MetLife and Mr Edgecombe on 12 February 2019 that it considered it had jurisdiction to deal with both complaints (</w:t>
      </w:r>
      <w:r w:rsidR="001A5AE9" w:rsidRPr="00993851">
        <w:rPr>
          <w:b/>
        </w:rPr>
        <w:t>Jurisdiction Decision</w:t>
      </w:r>
      <w:r w:rsidR="001A5AE9">
        <w:t xml:space="preserve">), the </w:t>
      </w:r>
      <w:r>
        <w:t xml:space="preserve">provision of joint submissions by MetLife addressing both complaints on 18 March 2019 and </w:t>
      </w:r>
      <w:r w:rsidR="001A5AE9">
        <w:t>2 April 2019, AFCA’s determination of both complaints on 12 April 2</w:t>
      </w:r>
      <w:r w:rsidR="00BE32C5">
        <w:t>019</w:t>
      </w:r>
      <w:r w:rsidR="00555D4A">
        <w:t xml:space="preserve"> (</w:t>
      </w:r>
      <w:r w:rsidR="00555D4A" w:rsidRPr="00555D4A">
        <w:rPr>
          <w:b/>
        </w:rPr>
        <w:t>Determination</w:t>
      </w:r>
      <w:r w:rsidR="00555D4A">
        <w:t>)</w:t>
      </w:r>
      <w:r w:rsidR="00BE32C5">
        <w:t>, Mr Edgecombe’s acceptance of the Determination on or about 15 April 2019 and the absence of any complaint by MetLife to AFCA</w:t>
      </w:r>
      <w:r w:rsidR="00555D4A">
        <w:t xml:space="preserve"> prior to 15 April 2019 about the Jurisdiction Decision or the Determination. </w:t>
      </w:r>
    </w:p>
    <w:p w14:paraId="270A753D" w14:textId="77777777" w:rsidR="00513E29" w:rsidRDefault="00513E29" w:rsidP="00606328">
      <w:pPr>
        <w:pStyle w:val="Heading3"/>
      </w:pPr>
      <w:r>
        <w:t>Submissions</w:t>
      </w:r>
    </w:p>
    <w:p w14:paraId="57406167" w14:textId="77777777" w:rsidR="00606328" w:rsidRDefault="00676937" w:rsidP="00606328">
      <w:pPr>
        <w:pStyle w:val="ParaNumbering"/>
      </w:pPr>
      <w:r>
        <w:t>AFCA submits that the matters outlined above constituted conduct giving clear assent to AFCA determining the 2018 Complaint.</w:t>
      </w:r>
    </w:p>
    <w:p w14:paraId="5BE587C1" w14:textId="77777777" w:rsidR="00676937" w:rsidRPr="00606328" w:rsidRDefault="00EE52A2" w:rsidP="00EE52A2">
      <w:pPr>
        <w:pStyle w:val="ParaNumbering"/>
      </w:pPr>
      <w:r>
        <w:t xml:space="preserve">MetLife submits that </w:t>
      </w:r>
      <w:r w:rsidRPr="00EE52A2">
        <w:rPr>
          <w:i/>
        </w:rPr>
        <w:t>even if</w:t>
      </w:r>
      <w:r w:rsidRPr="00EE52A2">
        <w:t xml:space="preserve"> the evidence identified by AFCA did support the conclusion that MetLife assented to AFCA determining the 2018 Complaint, on no view could that evidence be said to support the conclusion that MetLife consented to AFCA determining the 2018 Complaint </w:t>
      </w:r>
      <w:r w:rsidRPr="00EE52A2">
        <w:rPr>
          <w:i/>
        </w:rPr>
        <w:t>outside</w:t>
      </w:r>
      <w:r w:rsidRPr="00EE52A2">
        <w:t xml:space="preserve"> the AFCA Scheme.</w:t>
      </w:r>
    </w:p>
    <w:p w14:paraId="0F95E111" w14:textId="77777777" w:rsidR="00513E29" w:rsidRDefault="00513E29" w:rsidP="00606328">
      <w:pPr>
        <w:pStyle w:val="Heading3"/>
      </w:pPr>
      <w:r>
        <w:lastRenderedPageBreak/>
        <w:t>Consideration</w:t>
      </w:r>
    </w:p>
    <w:p w14:paraId="03E7F683" w14:textId="1075FD37" w:rsidR="00606328" w:rsidRDefault="00EE52A2" w:rsidP="00722879">
      <w:pPr>
        <w:pStyle w:val="ParaNumbering"/>
      </w:pPr>
      <w:r>
        <w:t xml:space="preserve">An essential premise to the ad hoc agreement contention sought to be advanced by AFCA in </w:t>
      </w:r>
      <w:r w:rsidR="00EA45C0">
        <w:t xml:space="preserve">Grounds </w:t>
      </w:r>
      <w:r>
        <w:t xml:space="preserve">5 and 6 of the amended notice of contention is that the parties had agreed that the determination should proceed independently of the </w:t>
      </w:r>
      <w:r w:rsidR="0006638C">
        <w:t>AFCA Scheme</w:t>
      </w:r>
      <w:r>
        <w:t>.</w:t>
      </w:r>
      <w:r w:rsidR="005F4807">
        <w:t xml:space="preserve"> </w:t>
      </w:r>
    </w:p>
    <w:p w14:paraId="74E8AEF1" w14:textId="77777777" w:rsidR="005F4807" w:rsidRDefault="005F4807" w:rsidP="00722879">
      <w:pPr>
        <w:pStyle w:val="ParaNumbering"/>
      </w:pPr>
      <w:r>
        <w:t>AFCA, however, does not challenge any of the following factual findings of the primary judge at J [125] that:</w:t>
      </w:r>
    </w:p>
    <w:p w14:paraId="1D8C4BF7" w14:textId="77777777" w:rsidR="005F4807" w:rsidRDefault="005F4807" w:rsidP="005F4807">
      <w:pPr>
        <w:pStyle w:val="Quote1"/>
      </w:pPr>
      <w:r w:rsidRPr="005F4807">
        <w:t>All the dealings of the parties were undertaken on the basis that they were giving effect to the AFCA Rules under the AFCA Scheme. There was no evidence of a consensus to the effect that a decision would be made outside the AFCA Scheme by reference to the AFCA Rules even though they were not applicable between the parties. Nor is there evidence from which it may be inferred that the parties agreed by conduct that the 2018 Complaint would be determined on the basis of the AFCA Rules even if the AFCA Scheme did not apply to the 2018 Complaint (because it was a superannuation complaint of a kind that could not be considered under the AFCA Scheme). Therefore, AFCA acquired no further authority than that conferred by the AFCA Scheme to determine the 2018 Complaint.</w:t>
      </w:r>
    </w:p>
    <w:p w14:paraId="2A4AF250" w14:textId="3F5D8B8E" w:rsidR="005F4807" w:rsidRDefault="005F4807" w:rsidP="005F4807">
      <w:pPr>
        <w:pStyle w:val="ParaNumbering"/>
      </w:pPr>
      <w:r>
        <w:t>There is a further difficulty with the ad hoc agreement contentions advanced by AFCA, given its alleged status as an arbitrator pursuant to an ad hoc agreement.</w:t>
      </w:r>
      <w:r w:rsidR="0060415C">
        <w:t xml:space="preserve"> </w:t>
      </w:r>
      <w:r>
        <w:t xml:space="preserve">As the primary judge recently observed in </w:t>
      </w:r>
      <w:r w:rsidRPr="005F4807">
        <w:rPr>
          <w:i/>
        </w:rPr>
        <w:t>MetLife Insurance L</w:t>
      </w:r>
      <w:r w:rsidR="00A12156">
        <w:rPr>
          <w:i/>
        </w:rPr>
        <w:t>imite</w:t>
      </w:r>
      <w:r w:rsidRPr="005F4807">
        <w:rPr>
          <w:i/>
        </w:rPr>
        <w:t>d v Australian Financial Complaints Authority</w:t>
      </w:r>
      <w:r>
        <w:t xml:space="preserve"> </w:t>
      </w:r>
      <w:r w:rsidRPr="005F4807">
        <w:rPr>
          <w:i/>
        </w:rPr>
        <w:t>(No 3)</w:t>
      </w:r>
      <w:r>
        <w:t xml:space="preserve"> [</w:t>
      </w:r>
      <w:r w:rsidR="00A12156">
        <w:t>2022</w:t>
      </w:r>
      <w:r>
        <w:t>] FCA 849 at [51]:</w:t>
      </w:r>
    </w:p>
    <w:p w14:paraId="183EA7A7" w14:textId="2094A356" w:rsidR="006F2152" w:rsidRDefault="006F2152" w:rsidP="006F2152">
      <w:pPr>
        <w:pStyle w:val="Quote1"/>
      </w:pPr>
      <w:r>
        <w:t xml:space="preserve">… </w:t>
      </w:r>
      <w:r w:rsidRPr="006F2152">
        <w:t xml:space="preserve">AFCA had no interest in advancing a claim that there had been </w:t>
      </w:r>
      <w:r w:rsidRPr="00A12156">
        <w:rPr>
          <w:i/>
        </w:rPr>
        <w:t>ad hoc</w:t>
      </w:r>
      <w:r w:rsidRPr="006F2152">
        <w:t xml:space="preserve"> agreements which bound </w:t>
      </w:r>
      <w:proofErr w:type="spellStart"/>
      <w:r w:rsidRPr="006F2152">
        <w:t>Metlife</w:t>
      </w:r>
      <w:proofErr w:type="spellEnd"/>
      <w:r w:rsidRPr="006F2152">
        <w:t xml:space="preserve"> to the terms of the determinations. If there had been such agreements then they would fall outside the statutory aspects of the AFCA Scheme. In that event, it would be </w:t>
      </w:r>
      <w:r w:rsidR="00A01C00">
        <w:t xml:space="preserve">[a] </w:t>
      </w:r>
      <w:r w:rsidRPr="006F2152">
        <w:t>matter for Mr Edgecombe to seek enforcement. As with any consensual arbitrator, AFCA would have no interest in seeking to enforce its own determination.</w:t>
      </w:r>
    </w:p>
    <w:p w14:paraId="36B27B2C" w14:textId="77777777" w:rsidR="006634E3" w:rsidRDefault="006634E3" w:rsidP="006634E3">
      <w:pPr>
        <w:pStyle w:val="ParaNumbering"/>
      </w:pPr>
      <w:r>
        <w:t xml:space="preserve">Grounds 5 and 6 of the amended notice of contention must be dismissed. </w:t>
      </w:r>
    </w:p>
    <w:p w14:paraId="782C2817" w14:textId="77777777" w:rsidR="006F2152" w:rsidRDefault="006F2152" w:rsidP="006634E3">
      <w:pPr>
        <w:pStyle w:val="Heading1"/>
      </w:pPr>
      <w:r>
        <w:t>Disposition</w:t>
      </w:r>
    </w:p>
    <w:p w14:paraId="510AE3C7" w14:textId="4D0E733A" w:rsidR="006F2152" w:rsidRDefault="006E6E87" w:rsidP="006F2152">
      <w:pPr>
        <w:pStyle w:val="ParaNumbering"/>
      </w:pPr>
      <w:r>
        <w:t>We consider that t</w:t>
      </w:r>
      <w:r w:rsidR="006F2152">
        <w:t>he appeal is to be allowed</w:t>
      </w:r>
      <w:r>
        <w:t xml:space="preserve">, the decision below set aside </w:t>
      </w:r>
      <w:r w:rsidR="006F2152">
        <w:t xml:space="preserve">and </w:t>
      </w:r>
      <w:r>
        <w:t xml:space="preserve">our tentative view is that </w:t>
      </w:r>
      <w:r w:rsidR="006F2152">
        <w:t xml:space="preserve">orders </w:t>
      </w:r>
      <w:r>
        <w:t xml:space="preserve">should be </w:t>
      </w:r>
      <w:r w:rsidR="006F2152">
        <w:t>made:</w:t>
      </w:r>
    </w:p>
    <w:p w14:paraId="29D13903" w14:textId="316F9F3A" w:rsidR="006F2152" w:rsidRDefault="006F2152" w:rsidP="006634E3">
      <w:pPr>
        <w:pStyle w:val="ListNo1alt"/>
        <w:numPr>
          <w:ilvl w:val="0"/>
          <w:numId w:val="32"/>
        </w:numPr>
      </w:pPr>
      <w:r>
        <w:t xml:space="preserve">varying order 2 made by the primary judge on 27 January 2022 to replace “the determinations” with “the determination in respect of complaint 507677 and did not have authority to make the determination in respect of complaint 600361” ; and </w:t>
      </w:r>
    </w:p>
    <w:p w14:paraId="5A84FB42" w14:textId="77777777" w:rsidR="006F2152" w:rsidRDefault="006F2152" w:rsidP="004D52A8">
      <w:pPr>
        <w:pStyle w:val="ListNo1alt"/>
        <w:numPr>
          <w:ilvl w:val="0"/>
          <w:numId w:val="32"/>
        </w:numPr>
      </w:pPr>
      <w:r>
        <w:t>setting aside orders 3 and 4 made by the primary judge on 27 January 2022 and instead providing that:</w:t>
      </w:r>
    </w:p>
    <w:p w14:paraId="3AA804A5" w14:textId="020DB2C6" w:rsidR="006634E3" w:rsidRDefault="006634E3" w:rsidP="004D52A8">
      <w:pPr>
        <w:pStyle w:val="ListNo2alt"/>
        <w:numPr>
          <w:ilvl w:val="1"/>
          <w:numId w:val="32"/>
        </w:numPr>
      </w:pPr>
      <w:r>
        <w:lastRenderedPageBreak/>
        <w:t>the application be allowed insofar as it relates to complaint 600361 and otherwise be dismissed;</w:t>
      </w:r>
      <w:r w:rsidR="00A12156" w:rsidRPr="00A12156">
        <w:t xml:space="preserve"> </w:t>
      </w:r>
      <w:r w:rsidR="00A12156">
        <w:t>and</w:t>
      </w:r>
    </w:p>
    <w:p w14:paraId="5AC6F678" w14:textId="5ED3DCB8" w:rsidR="006634E3" w:rsidRDefault="006634E3" w:rsidP="004D52A8">
      <w:pPr>
        <w:pStyle w:val="ListNo2alt"/>
        <w:numPr>
          <w:ilvl w:val="1"/>
          <w:numId w:val="32"/>
        </w:numPr>
      </w:pPr>
      <w:r>
        <w:t>the cross-claim be allowed insofar as it relates to complaint 507677 and otherwise be dismissed;</w:t>
      </w:r>
      <w:r w:rsidR="000052B7">
        <w:t xml:space="preserve"> </w:t>
      </w:r>
      <w:r w:rsidR="00A12156">
        <w:t>and</w:t>
      </w:r>
    </w:p>
    <w:p w14:paraId="1DEA5334" w14:textId="10E7B4BF" w:rsidR="006634E3" w:rsidRDefault="006634E3" w:rsidP="004D52A8">
      <w:pPr>
        <w:pStyle w:val="ListNo1alt"/>
        <w:numPr>
          <w:ilvl w:val="0"/>
          <w:numId w:val="32"/>
        </w:numPr>
      </w:pPr>
      <w:r>
        <w:t>setting aside order 2 made by the primary judge on 16 February 2022.</w:t>
      </w:r>
    </w:p>
    <w:p w14:paraId="1ABDF7C0" w14:textId="67F5A23F" w:rsidR="006E6E87" w:rsidRDefault="006E6E87" w:rsidP="006E6E87">
      <w:pPr>
        <w:pStyle w:val="ParaNumbering"/>
      </w:pPr>
      <w:r>
        <w:t xml:space="preserve">There remains outstanding the estoppel and acquiescence contentions advanced below before the primary judge. The parties have asked for an opportunity to consider our reasons for judgment before proposing any form of orders for a remittal of these proceedings to the primary judge to address these issues. We will give the parties an opportunity to address this issue and </w:t>
      </w:r>
      <w:r w:rsidR="00606BE9">
        <w:t xml:space="preserve">otherwise </w:t>
      </w:r>
      <w:r>
        <w:t>formulate proposed orders to give effect to these reasons.</w:t>
      </w:r>
    </w:p>
    <w:p w14:paraId="44CC1EDC" w14:textId="6544C81D" w:rsidR="006E6E87" w:rsidRDefault="006E6E87" w:rsidP="006E6E87">
      <w:pPr>
        <w:pStyle w:val="ParaNumbering"/>
      </w:pPr>
      <w:r>
        <w:t>We therefore order that:</w:t>
      </w:r>
    </w:p>
    <w:p w14:paraId="61A8B537" w14:textId="3EDDABD8" w:rsidR="006E6E87" w:rsidRDefault="006E6E87" w:rsidP="00E70239">
      <w:pPr>
        <w:pStyle w:val="ListNo1"/>
      </w:pPr>
      <w:r>
        <w:t>Within fourteen (14) days the parties file an agreed form of orders, or in default of agreement, any submissions as to the form of the appropriate orders reflecting the reasons of the Court.</w:t>
      </w:r>
    </w:p>
    <w:p w14:paraId="7161B819" w14:textId="69508D49" w:rsidR="00E70239" w:rsidRDefault="006E6E87" w:rsidP="00E70239">
      <w:pPr>
        <w:pStyle w:val="ListNo1"/>
      </w:pPr>
      <w:r>
        <w:t>Subject to any further directions, the final orders of the Court will be made on the papers.</w:t>
      </w:r>
    </w:p>
    <w:p w14:paraId="4A146E4D" w14:textId="77777777" w:rsidR="00E70239" w:rsidRDefault="00E70239" w:rsidP="00815065">
      <w:pPr>
        <w:pStyle w:val="BodyText"/>
      </w:pPr>
      <w:bookmarkStart w:id="24" w:name="Certification"/>
    </w:p>
    <w:tbl>
      <w:tblPr>
        <w:tblW w:w="0" w:type="auto"/>
        <w:tblLook w:val="04A0" w:firstRow="1" w:lastRow="0" w:firstColumn="1" w:lastColumn="0" w:noHBand="0" w:noVBand="1"/>
      </w:tblPr>
      <w:tblGrid>
        <w:gridCol w:w="3794"/>
      </w:tblGrid>
      <w:tr w:rsidR="00E70239" w:rsidRPr="00E70239" w14:paraId="62D7D3C9" w14:textId="77777777">
        <w:tc>
          <w:tcPr>
            <w:tcW w:w="3794" w:type="dxa"/>
            <w:shd w:val="clear" w:color="auto" w:fill="auto"/>
          </w:tcPr>
          <w:p w14:paraId="0CD858EA" w14:textId="5AEAEBE5" w:rsidR="00E70239" w:rsidRPr="00E70239" w:rsidRDefault="00E70239" w:rsidP="00E70239">
            <w:pPr>
              <w:pStyle w:val="Normal1linespace"/>
            </w:pPr>
            <w:r w:rsidRPr="00E70239">
              <w:t xml:space="preserve">I certify that the preceding </w:t>
            </w:r>
            <w:bookmarkStart w:id="25" w:name="NumberWord"/>
            <w:r>
              <w:t>one hundred and ninety-two</w:t>
            </w:r>
            <w:bookmarkEnd w:id="25"/>
            <w:r w:rsidRPr="00E70239">
              <w:t xml:space="preserve"> (</w:t>
            </w:r>
            <w:bookmarkStart w:id="26" w:name="NumberNumeral"/>
            <w:r>
              <w:t>192</w:t>
            </w:r>
            <w:bookmarkEnd w:id="26"/>
            <w:r w:rsidRPr="00E70239">
              <w:t xml:space="preserve">) numbered </w:t>
            </w:r>
            <w:bookmarkStart w:id="27" w:name="CertPara"/>
            <w:r>
              <w:t>paragraphs are</w:t>
            </w:r>
            <w:bookmarkEnd w:id="27"/>
            <w:r w:rsidRPr="00E70239">
              <w:t xml:space="preserve"> a true copy of the Reasons for Judgment of </w:t>
            </w:r>
            <w:bookmarkStart w:id="28" w:name="bkHonourable"/>
            <w:r w:rsidRPr="00E70239">
              <w:t xml:space="preserve">the Honourable </w:t>
            </w:r>
            <w:bookmarkEnd w:id="28"/>
            <w:proofErr w:type="spellStart"/>
            <w:r w:rsidR="00BE3F33" w:rsidRPr="00BE3F33">
              <w:t>Honourable</w:t>
            </w:r>
            <w:proofErr w:type="spellEnd"/>
            <w:r w:rsidR="00BE3F33" w:rsidRPr="00BE3F33">
              <w:t xml:space="preserve"> Justices Middleton, Jackson and Halley</w:t>
            </w:r>
            <w:r w:rsidRPr="00E70239">
              <w:t>.</w:t>
            </w:r>
          </w:p>
        </w:tc>
      </w:tr>
    </w:tbl>
    <w:p w14:paraId="0CE4AA80" w14:textId="77777777" w:rsidR="00E70239" w:rsidRDefault="00E70239" w:rsidP="00815065">
      <w:pPr>
        <w:pStyle w:val="BodyText"/>
      </w:pPr>
    </w:p>
    <w:p w14:paraId="3B6DBA3B" w14:textId="77777777" w:rsidR="00E70239" w:rsidRDefault="00E70239" w:rsidP="00815065">
      <w:pPr>
        <w:pStyle w:val="BodyText"/>
      </w:pPr>
    </w:p>
    <w:p w14:paraId="7B8E3914" w14:textId="77777777" w:rsidR="00E70239" w:rsidRDefault="00E70239" w:rsidP="00815065">
      <w:pPr>
        <w:pStyle w:val="BodyText"/>
      </w:pPr>
    </w:p>
    <w:p w14:paraId="1A30B7B1" w14:textId="01828734" w:rsidR="00E70239" w:rsidRDefault="00E70239" w:rsidP="00815065">
      <w:pPr>
        <w:pStyle w:val="BodyText"/>
      </w:pPr>
      <w:r>
        <w:t xml:space="preserve">Associate: </w:t>
      </w:r>
      <w:bookmarkStart w:id="29" w:name="_GoBack"/>
      <w:bookmarkEnd w:id="29"/>
    </w:p>
    <w:p w14:paraId="5A03CBDA" w14:textId="77777777" w:rsidR="00E70239" w:rsidRDefault="00E70239" w:rsidP="00815065">
      <w:pPr>
        <w:pStyle w:val="BodyText"/>
      </w:pPr>
    </w:p>
    <w:p w14:paraId="5EB06022" w14:textId="64AE35CF" w:rsidR="00E70239" w:rsidRDefault="00E70239" w:rsidP="00815065">
      <w:pPr>
        <w:pStyle w:val="BodyText"/>
        <w:tabs>
          <w:tab w:val="left" w:pos="1134"/>
        </w:tabs>
      </w:pPr>
      <w:r>
        <w:t>Dated:</w:t>
      </w:r>
      <w:r>
        <w:tab/>
      </w:r>
      <w:bookmarkStart w:id="30" w:name="CertifyDated"/>
      <w:r>
        <w:t>27 October 2022</w:t>
      </w:r>
      <w:bookmarkEnd w:id="30"/>
    </w:p>
    <w:p w14:paraId="2F64CE72" w14:textId="77777777" w:rsidR="00E70239" w:rsidRDefault="00E70239" w:rsidP="00815065">
      <w:pPr>
        <w:pStyle w:val="BodyText"/>
      </w:pPr>
    </w:p>
    <w:bookmarkEnd w:id="24"/>
    <w:p w14:paraId="524927A0" w14:textId="77777777" w:rsidR="00E70239" w:rsidRDefault="00E70239" w:rsidP="00E70239">
      <w:pPr>
        <w:pStyle w:val="BodyText"/>
      </w:pPr>
    </w:p>
    <w:sectPr w:rsidR="00E70239"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7C5E4" w14:textId="77777777" w:rsidR="009010FE" w:rsidRDefault="009010FE">
      <w:pPr>
        <w:spacing w:line="20" w:lineRule="exact"/>
      </w:pPr>
    </w:p>
    <w:p w14:paraId="426F8F99" w14:textId="77777777" w:rsidR="009010FE" w:rsidRDefault="009010FE"/>
    <w:p w14:paraId="4CE4BD45" w14:textId="77777777" w:rsidR="009010FE" w:rsidRDefault="009010FE"/>
  </w:endnote>
  <w:endnote w:type="continuationSeparator" w:id="0">
    <w:p w14:paraId="24145F85" w14:textId="77777777" w:rsidR="009010FE" w:rsidRDefault="009010FE">
      <w:r>
        <w:t xml:space="preserve"> </w:t>
      </w:r>
    </w:p>
    <w:p w14:paraId="3CA1277D" w14:textId="77777777" w:rsidR="009010FE" w:rsidRDefault="009010FE"/>
    <w:p w14:paraId="0D74CCC4" w14:textId="77777777" w:rsidR="009010FE" w:rsidRDefault="009010FE"/>
  </w:endnote>
  <w:endnote w:type="continuationNotice" w:id="1">
    <w:p w14:paraId="381DD2DE" w14:textId="77777777" w:rsidR="009010FE" w:rsidRDefault="009010FE">
      <w:r>
        <w:t xml:space="preserve"> </w:t>
      </w:r>
    </w:p>
    <w:p w14:paraId="6B2F4EB6" w14:textId="77777777" w:rsidR="009010FE" w:rsidRDefault="009010FE"/>
    <w:p w14:paraId="10EB8193" w14:textId="77777777" w:rsidR="009010FE" w:rsidRDefault="00901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9F25" w14:textId="77777777" w:rsidR="009010FE" w:rsidRDefault="00901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AFF3" w14:textId="6CAB7725" w:rsidR="009010FE" w:rsidRPr="00C47B9D" w:rsidRDefault="009010F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5168" behindDoc="0" locked="0" layoutInCell="1" allowOverlap="1" wp14:anchorId="624D4489" wp14:editId="494B177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BFE43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03146D">
          <w:rPr>
            <w:bCs/>
            <w:sz w:val="18"/>
            <w:szCs w:val="18"/>
          </w:rPr>
          <w:t>MetLife Insurance Limited v Australian Financial Complaints Authority Limited [2022] FCAFC 173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8049" w14:textId="5ADBFE52" w:rsidR="009010FE" w:rsidRPr="00605192" w:rsidRDefault="009010FE" w:rsidP="006051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2DB0" w14:textId="6142193E" w:rsidR="009010FE" w:rsidRPr="00C47B9D" w:rsidRDefault="009010FE"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216" behindDoc="0" locked="0" layoutInCell="1" allowOverlap="1" wp14:anchorId="60D0B01C" wp14:editId="410107A0">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DFF18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A1D65615E56347FC89E25C0D85021D83"/>
        </w:placeholder>
        <w:dataBinding w:prefixMappings="xmlns:ns0='http://schemas.globalmacros.com/FCA'" w:xpath="/ns0:root[1]/ns0:Name[1]" w:storeItemID="{687E7CCB-4AA5-44E7-B148-17BA2B6F57C0}"/>
        <w:text w:multiLine="1"/>
      </w:sdtPr>
      <w:sdtEndPr/>
      <w:sdtContent>
        <w:r w:rsidR="0003146D">
          <w:rPr>
            <w:bCs/>
            <w:sz w:val="18"/>
            <w:szCs w:val="18"/>
          </w:rPr>
          <w:t>MetLife Insurance Limited v Australian Financial Complaints Authority Limited [2022] FCAFC 173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17</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EE60" w14:textId="1AFA56E4" w:rsidR="009010FE" w:rsidRPr="00C47B9D" w:rsidRDefault="009010F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192" behindDoc="0" locked="0" layoutInCell="1" allowOverlap="1" wp14:anchorId="5F8E5CB7" wp14:editId="7387BF4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98193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A9CF75D8C1F74ABDA6F6C429AACCFA41"/>
        </w:placeholder>
        <w:dataBinding w:prefixMappings="xmlns:ns0='http://schemas.globalmacros.com/FCA'" w:xpath="/ns0:root[1]/ns0:Name[1]" w:storeItemID="{687E7CCB-4AA5-44E7-B148-17BA2B6F57C0}"/>
        <w:text w:multiLine="1"/>
      </w:sdtPr>
      <w:sdtEndPr/>
      <w:sdtContent>
        <w:r w:rsidR="0003146D">
          <w:rPr>
            <w:bCs/>
            <w:sz w:val="18"/>
            <w:szCs w:val="18"/>
          </w:rPr>
          <w:t>MetLife Insurance Limited v Australian Financial Complaints Authority Limited [2022] FCAFC 173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D52A8">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1F7C" w14:textId="63FFA376" w:rsidR="009010FE" w:rsidRPr="00C47B9D" w:rsidRDefault="009010F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2336" behindDoc="0" locked="0" layoutInCell="1" allowOverlap="1" wp14:anchorId="39C20F17" wp14:editId="64C9A86A">
              <wp:simplePos x="0" y="0"/>
              <wp:positionH relativeFrom="column">
                <wp:posOffset>-28575</wp:posOffset>
              </wp:positionH>
              <wp:positionV relativeFrom="paragraph">
                <wp:posOffset>21590</wp:posOffset>
              </wp:positionV>
              <wp:extent cx="29432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A0D8E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JAzgEAAAMEAAAOAAAAZHJzL2Uyb0RvYy54bWysU8GO0zAQvSPxD5bvNGko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37zu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gjuJA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095746746"/>
        <w:placeholder>
          <w:docPart w:val="3A53CE9734DF4E01A79397EE55A5901D"/>
        </w:placeholder>
        <w:dataBinding w:prefixMappings="xmlns:ns0='http://schemas.globalmacros.com/FCA'" w:xpath="/ns0:root[1]/ns0:Name[1]" w:storeItemID="{687E7CCB-4AA5-44E7-B148-17BA2B6F57C0}"/>
        <w:text w:multiLine="1"/>
      </w:sdtPr>
      <w:sdtEndPr/>
      <w:sdtContent>
        <w:r w:rsidR="0003146D">
          <w:rPr>
            <w:bCs/>
            <w:sz w:val="18"/>
            <w:szCs w:val="18"/>
          </w:rPr>
          <w:t>MetLife Insurance Limited v Australian Financial Complaints Authority Limited [2022] FCAFC 173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D52A8">
      <w:rPr>
        <w:bCs/>
        <w:noProof/>
        <w:sz w:val="20"/>
      </w:rPr>
      <w:t>43</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1BE53" w14:textId="1D414A85" w:rsidR="009010FE" w:rsidRPr="00C47B9D" w:rsidRDefault="009010F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274EDA27" wp14:editId="1713D65F">
              <wp:simplePos x="0" y="0"/>
              <wp:positionH relativeFrom="column">
                <wp:posOffset>-28575</wp:posOffset>
              </wp:positionH>
              <wp:positionV relativeFrom="paragraph">
                <wp:posOffset>21590</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55D89C"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AGd7ks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1532949365"/>
        <w:placeholder>
          <w:docPart w:val="3E3DD3691C25491AB27CF0C141CA48AA"/>
        </w:placeholder>
        <w:dataBinding w:prefixMappings="xmlns:ns0='http://schemas.globalmacros.com/FCA'" w:xpath="/ns0:root[1]/ns0:Name[1]" w:storeItemID="{687E7CCB-4AA5-44E7-B148-17BA2B6F57C0}"/>
        <w:text w:multiLine="1"/>
      </w:sdtPr>
      <w:sdtEndPr/>
      <w:sdtContent>
        <w:r w:rsidR="0003146D">
          <w:rPr>
            <w:bCs/>
            <w:sz w:val="18"/>
            <w:szCs w:val="18"/>
          </w:rPr>
          <w:t>MetLife Insurance Limited v Australian Financial Complaints Authority Limited [2022] FCAFC 173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E3F33">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387E7" w14:textId="77777777" w:rsidR="009010FE" w:rsidRDefault="009010FE"/>
  </w:footnote>
  <w:footnote w:type="continuationSeparator" w:id="0">
    <w:p w14:paraId="7E5BC2D1" w14:textId="77777777" w:rsidR="009010FE" w:rsidRDefault="009010FE">
      <w:r>
        <w:continuationSeparator/>
      </w:r>
    </w:p>
    <w:p w14:paraId="214DCD41" w14:textId="77777777" w:rsidR="009010FE" w:rsidRDefault="009010FE"/>
    <w:p w14:paraId="40C7FDDF" w14:textId="77777777" w:rsidR="009010FE" w:rsidRDefault="009010FE"/>
  </w:footnote>
  <w:footnote w:type="continuationNotice" w:id="1">
    <w:p w14:paraId="1D648712" w14:textId="77777777" w:rsidR="009010FE" w:rsidRDefault="009010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F16F" w14:textId="77777777" w:rsidR="009010FE" w:rsidRDefault="00901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74158" w14:textId="77777777" w:rsidR="009010FE" w:rsidRDefault="00901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A7FF8" w14:textId="77777777" w:rsidR="009010FE" w:rsidRDefault="009010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0826F" w14:textId="77777777" w:rsidR="009010FE" w:rsidRDefault="009010FE">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D7E9" w14:textId="77777777" w:rsidR="009010FE" w:rsidRDefault="009010FE">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5DA7" w14:textId="77777777" w:rsidR="009010FE" w:rsidRDefault="009010FE"/>
  <w:p w14:paraId="044E822C" w14:textId="77777777" w:rsidR="009010FE" w:rsidRDefault="009010FE"/>
  <w:p w14:paraId="52E495CC" w14:textId="77777777" w:rsidR="009010FE" w:rsidRDefault="009010F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BCF8" w14:textId="77777777" w:rsidR="009010FE" w:rsidRDefault="009010FE">
    <w:pPr>
      <w:tabs>
        <w:tab w:val="center" w:pos="4512"/>
      </w:tabs>
      <w:suppressAutoHyphens/>
    </w:pPr>
  </w:p>
  <w:p w14:paraId="04CD6E5C" w14:textId="77777777" w:rsidR="009010FE" w:rsidRDefault="009010FE"/>
  <w:p w14:paraId="580F6110" w14:textId="77777777" w:rsidR="009010FE" w:rsidRDefault="009010F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6D0A6" w14:textId="77777777" w:rsidR="009010FE" w:rsidRDefault="009010FE" w:rsidP="00A436E8">
    <w:pPr>
      <w:pStyle w:val="Header"/>
      <w:tabs>
        <w:tab w:val="clear" w:pos="4320"/>
        <w:tab w:val="clear" w:pos="8640"/>
      </w:tabs>
    </w:pPr>
  </w:p>
  <w:p w14:paraId="7E4F530F" w14:textId="77777777" w:rsidR="009010FE" w:rsidRDefault="009010FE"/>
  <w:p w14:paraId="44324FB9" w14:textId="77777777" w:rsidR="009010FE" w:rsidRDefault="009010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upperLetter"/>
      <w:lvlText w:val="%1."/>
      <w:lvlJc w:val="left"/>
      <w:pPr>
        <w:ind w:left="675" w:hanging="567"/>
      </w:pPr>
      <w:rPr>
        <w:rFonts w:ascii="Times New Roman" w:hAnsi="Times New Roman" w:cs="Times New Roman"/>
        <w:b/>
        <w:bCs/>
        <w:i w:val="0"/>
        <w:iCs w:val="0"/>
        <w:w w:val="100"/>
        <w:sz w:val="24"/>
        <w:szCs w:val="24"/>
        <w:u w:val="thick"/>
      </w:rPr>
    </w:lvl>
    <w:lvl w:ilvl="1">
      <w:start w:val="1"/>
      <w:numFmt w:val="decimal"/>
      <w:lvlText w:val="%2."/>
      <w:lvlJc w:val="left"/>
      <w:pPr>
        <w:ind w:left="675" w:hanging="567"/>
      </w:pPr>
      <w:rPr>
        <w:rFonts w:ascii="Times New Roman" w:hAnsi="Times New Roman" w:cs="Times New Roman"/>
        <w:b w:val="0"/>
        <w:bCs w:val="0"/>
        <w:i w:val="0"/>
        <w:iCs w:val="0"/>
        <w:w w:val="100"/>
        <w:sz w:val="24"/>
        <w:szCs w:val="24"/>
      </w:rPr>
    </w:lvl>
    <w:lvl w:ilvl="2">
      <w:numFmt w:val="bullet"/>
      <w:lvlText w:val="•"/>
      <w:lvlJc w:val="left"/>
      <w:pPr>
        <w:ind w:left="2517" w:hanging="567"/>
      </w:pPr>
    </w:lvl>
    <w:lvl w:ilvl="3">
      <w:numFmt w:val="bullet"/>
      <w:lvlText w:val="•"/>
      <w:lvlJc w:val="left"/>
      <w:pPr>
        <w:ind w:left="3435" w:hanging="567"/>
      </w:pPr>
    </w:lvl>
    <w:lvl w:ilvl="4">
      <w:numFmt w:val="bullet"/>
      <w:lvlText w:val="•"/>
      <w:lvlJc w:val="left"/>
      <w:pPr>
        <w:ind w:left="4354" w:hanging="567"/>
      </w:pPr>
    </w:lvl>
    <w:lvl w:ilvl="5">
      <w:numFmt w:val="bullet"/>
      <w:lvlText w:val="•"/>
      <w:lvlJc w:val="left"/>
      <w:pPr>
        <w:ind w:left="5272" w:hanging="567"/>
      </w:pPr>
    </w:lvl>
    <w:lvl w:ilvl="6">
      <w:numFmt w:val="bullet"/>
      <w:lvlText w:val="•"/>
      <w:lvlJc w:val="left"/>
      <w:pPr>
        <w:ind w:left="6191" w:hanging="567"/>
      </w:pPr>
    </w:lvl>
    <w:lvl w:ilvl="7">
      <w:numFmt w:val="bullet"/>
      <w:lvlText w:val="•"/>
      <w:lvlJc w:val="left"/>
      <w:pPr>
        <w:ind w:left="7109" w:hanging="567"/>
      </w:pPr>
    </w:lvl>
    <w:lvl w:ilvl="8">
      <w:numFmt w:val="bullet"/>
      <w:lvlText w:val="•"/>
      <w:lvlJc w:val="left"/>
      <w:pPr>
        <w:ind w:left="8028" w:hanging="567"/>
      </w:pPr>
    </w:lvl>
  </w:abstractNum>
  <w:abstractNum w:abstractNumId="11" w15:restartNumberingAfterBreak="0">
    <w:nsid w:val="00000403"/>
    <w:multiLevelType w:val="multilevel"/>
    <w:tmpl w:val="00000886"/>
    <w:lvl w:ilvl="0">
      <w:start w:val="2"/>
      <w:numFmt w:val="decimal"/>
      <w:lvlText w:val="%1."/>
      <w:lvlJc w:val="left"/>
      <w:pPr>
        <w:ind w:left="675" w:hanging="567"/>
      </w:pPr>
      <w:rPr>
        <w:rFonts w:ascii="Times New Roman" w:hAnsi="Times New Roman" w:cs="Times New Roman"/>
        <w:b w:val="0"/>
        <w:bCs w:val="0"/>
        <w:i w:val="0"/>
        <w:iCs w:val="0"/>
        <w:w w:val="100"/>
        <w:sz w:val="24"/>
        <w:szCs w:val="24"/>
      </w:rPr>
    </w:lvl>
    <w:lvl w:ilvl="1">
      <w:start w:val="1"/>
      <w:numFmt w:val="lowerLetter"/>
      <w:lvlText w:val="(%2)"/>
      <w:lvlJc w:val="left"/>
      <w:pPr>
        <w:ind w:left="675" w:hanging="352"/>
      </w:pPr>
      <w:rPr>
        <w:rFonts w:ascii="Times New Roman" w:hAnsi="Times New Roman" w:cs="Times New Roman"/>
        <w:b w:val="0"/>
        <w:bCs w:val="0"/>
        <w:i w:val="0"/>
        <w:iCs w:val="0"/>
        <w:spacing w:val="-1"/>
        <w:w w:val="100"/>
        <w:sz w:val="24"/>
        <w:szCs w:val="24"/>
      </w:rPr>
    </w:lvl>
    <w:lvl w:ilvl="2">
      <w:numFmt w:val="bullet"/>
      <w:lvlText w:val="•"/>
      <w:lvlJc w:val="left"/>
      <w:pPr>
        <w:ind w:left="2198" w:hanging="352"/>
      </w:pPr>
    </w:lvl>
    <w:lvl w:ilvl="3">
      <w:numFmt w:val="bullet"/>
      <w:lvlText w:val="•"/>
      <w:lvlJc w:val="left"/>
      <w:pPr>
        <w:ind w:left="3156" w:hanging="352"/>
      </w:pPr>
    </w:lvl>
    <w:lvl w:ilvl="4">
      <w:numFmt w:val="bullet"/>
      <w:lvlText w:val="•"/>
      <w:lvlJc w:val="left"/>
      <w:pPr>
        <w:ind w:left="4115" w:hanging="352"/>
      </w:pPr>
    </w:lvl>
    <w:lvl w:ilvl="5">
      <w:numFmt w:val="bullet"/>
      <w:lvlText w:val="•"/>
      <w:lvlJc w:val="left"/>
      <w:pPr>
        <w:ind w:left="5073" w:hanging="352"/>
      </w:pPr>
    </w:lvl>
    <w:lvl w:ilvl="6">
      <w:numFmt w:val="bullet"/>
      <w:lvlText w:val="•"/>
      <w:lvlJc w:val="left"/>
      <w:pPr>
        <w:ind w:left="6031" w:hanging="352"/>
      </w:pPr>
    </w:lvl>
    <w:lvl w:ilvl="7">
      <w:numFmt w:val="bullet"/>
      <w:lvlText w:val="•"/>
      <w:lvlJc w:val="left"/>
      <w:pPr>
        <w:ind w:left="6990" w:hanging="352"/>
      </w:pPr>
    </w:lvl>
    <w:lvl w:ilvl="8">
      <w:numFmt w:val="bullet"/>
      <w:lvlText w:val="•"/>
      <w:lvlJc w:val="left"/>
      <w:pPr>
        <w:ind w:left="7948" w:hanging="352"/>
      </w:pPr>
    </w:lvl>
  </w:abstractNum>
  <w:abstractNum w:abstractNumId="12"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3"/>
  </w:num>
  <w:num w:numId="15">
    <w:abstractNumId w:val="26"/>
  </w:num>
  <w:num w:numId="16">
    <w:abstractNumId w:val="15"/>
  </w:num>
  <w:num w:numId="17">
    <w:abstractNumId w:val="25"/>
  </w:num>
  <w:num w:numId="18">
    <w:abstractNumId w:val="13"/>
  </w:num>
  <w:num w:numId="19">
    <w:abstractNumId w:val="20"/>
  </w:num>
  <w:num w:numId="20">
    <w:abstractNumId w:val="17"/>
  </w:num>
  <w:num w:numId="21">
    <w:abstractNumId w:val="18"/>
  </w:num>
  <w:num w:numId="22">
    <w:abstractNumId w:val="21"/>
  </w:num>
  <w:num w:numId="23">
    <w:abstractNumId w:val="12"/>
  </w:num>
  <w:num w:numId="24">
    <w:abstractNumId w:val="12"/>
  </w:num>
  <w:num w:numId="25">
    <w:abstractNumId w:val="14"/>
  </w:num>
  <w:num w:numId="26">
    <w:abstractNumId w:val="19"/>
  </w:num>
  <w:num w:numId="27">
    <w:abstractNumId w:val="19"/>
  </w:num>
  <w:num w:numId="28">
    <w:abstractNumId w:val="19"/>
  </w:num>
  <w:num w:numId="29">
    <w:abstractNumId w:val="10"/>
  </w:num>
  <w:num w:numId="30">
    <w:abstractNumId w:val="11"/>
  </w:num>
  <w:num w:numId="3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2002] FCA 23 "/>
    <w:docVar w:name="Appellant" w:val="METLIFE INSURANCE LIMITED ACN 004 274 882"/>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oA Appeal Division"/>
    <w:docVar w:name="DocCreated" w:val="True"/>
    <w:docVar w:name="FileNumbers" w:val="NSD 126 of 2022"/>
    <w:docVar w:name="Initiators" w:val="(and another named in the Schedule)"/>
    <w:docVar w:name="Judgdate" w:val="27 October 2022"/>
    <w:docVar w:name="Judge" w:val="Halley"/>
    <w:docVar w:name="JudgeType" w:val="Justice"/>
    <w:docVar w:name="lstEntryList" w:val="-1"/>
    <w:docVar w:name="myEntryList" w:val="Counsel for the Appellant=Mr J Gleeson SC with Ms K Lindeman|Solicitor for the Appellant=Herbert Smith Freehills|Counsel for the First Respondent=Mr MW Wise KC with Mr AF Solomon-Bridge|Solicitor for the First Respondent=Arslan Lawyers|Counsel for the Second Respondent=The Second Respondent submitted to any order of the Court"/>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AUSTRALIAN FINANCIAL COMPLAINTS AUTHORITY ACN 620 494 340|BRIAN RONALD EDGECOMBE"/>
    <w:docVar w:name="ResState" w:val="New South Wales"/>
    <w:docVar w:name="SubArea" w:val="Commercial Contracts, Banking, Finance and Insurance (C &amp; C)"/>
  </w:docVars>
  <w:rsids>
    <w:rsidRoot w:val="00383696"/>
    <w:rsid w:val="00000747"/>
    <w:rsid w:val="000052B7"/>
    <w:rsid w:val="00006CA6"/>
    <w:rsid w:val="00007267"/>
    <w:rsid w:val="000115C5"/>
    <w:rsid w:val="0001469E"/>
    <w:rsid w:val="00015993"/>
    <w:rsid w:val="00021CCB"/>
    <w:rsid w:val="00022289"/>
    <w:rsid w:val="000237E9"/>
    <w:rsid w:val="00025A19"/>
    <w:rsid w:val="00027398"/>
    <w:rsid w:val="0003146D"/>
    <w:rsid w:val="0003201A"/>
    <w:rsid w:val="0003207A"/>
    <w:rsid w:val="00032F9F"/>
    <w:rsid w:val="00035B7F"/>
    <w:rsid w:val="00041C07"/>
    <w:rsid w:val="000447B1"/>
    <w:rsid w:val="00045BB7"/>
    <w:rsid w:val="00046A19"/>
    <w:rsid w:val="0004791D"/>
    <w:rsid w:val="0005055E"/>
    <w:rsid w:val="00051DD7"/>
    <w:rsid w:val="00055719"/>
    <w:rsid w:val="00055761"/>
    <w:rsid w:val="0005641B"/>
    <w:rsid w:val="0006196A"/>
    <w:rsid w:val="000650F0"/>
    <w:rsid w:val="0006638C"/>
    <w:rsid w:val="00071FB3"/>
    <w:rsid w:val="00074DA6"/>
    <w:rsid w:val="00077768"/>
    <w:rsid w:val="00080BEB"/>
    <w:rsid w:val="00081497"/>
    <w:rsid w:val="000831EC"/>
    <w:rsid w:val="00084126"/>
    <w:rsid w:val="00085255"/>
    <w:rsid w:val="000907F8"/>
    <w:rsid w:val="00094A6E"/>
    <w:rsid w:val="000977B1"/>
    <w:rsid w:val="00097A8B"/>
    <w:rsid w:val="000A2E76"/>
    <w:rsid w:val="000A4807"/>
    <w:rsid w:val="000A4BE4"/>
    <w:rsid w:val="000B2243"/>
    <w:rsid w:val="000C023E"/>
    <w:rsid w:val="000C1418"/>
    <w:rsid w:val="000C405D"/>
    <w:rsid w:val="000C5195"/>
    <w:rsid w:val="000C62EF"/>
    <w:rsid w:val="000C78D5"/>
    <w:rsid w:val="000D0A22"/>
    <w:rsid w:val="000D2137"/>
    <w:rsid w:val="000D3FD2"/>
    <w:rsid w:val="000D4B2E"/>
    <w:rsid w:val="000D5801"/>
    <w:rsid w:val="000E3FC8"/>
    <w:rsid w:val="000E7BAE"/>
    <w:rsid w:val="000F133D"/>
    <w:rsid w:val="000F23A2"/>
    <w:rsid w:val="001009E5"/>
    <w:rsid w:val="00101B8E"/>
    <w:rsid w:val="001048D6"/>
    <w:rsid w:val="0010536B"/>
    <w:rsid w:val="0010713F"/>
    <w:rsid w:val="00110B04"/>
    <w:rsid w:val="0011145C"/>
    <w:rsid w:val="00111FC9"/>
    <w:rsid w:val="001128BD"/>
    <w:rsid w:val="00113E1A"/>
    <w:rsid w:val="0011419D"/>
    <w:rsid w:val="001144E0"/>
    <w:rsid w:val="00114B02"/>
    <w:rsid w:val="00121369"/>
    <w:rsid w:val="001226C0"/>
    <w:rsid w:val="00123D47"/>
    <w:rsid w:val="00126EC8"/>
    <w:rsid w:val="0012731C"/>
    <w:rsid w:val="00132054"/>
    <w:rsid w:val="00133CFB"/>
    <w:rsid w:val="00134964"/>
    <w:rsid w:val="001351B9"/>
    <w:rsid w:val="00142EDD"/>
    <w:rsid w:val="001478BF"/>
    <w:rsid w:val="00155CD2"/>
    <w:rsid w:val="00171611"/>
    <w:rsid w:val="001727A4"/>
    <w:rsid w:val="00172E56"/>
    <w:rsid w:val="0017376C"/>
    <w:rsid w:val="001738AB"/>
    <w:rsid w:val="00174635"/>
    <w:rsid w:val="00175185"/>
    <w:rsid w:val="001765E0"/>
    <w:rsid w:val="00177759"/>
    <w:rsid w:val="00180BB3"/>
    <w:rsid w:val="00182931"/>
    <w:rsid w:val="00185DD6"/>
    <w:rsid w:val="00185E6B"/>
    <w:rsid w:val="00187BBC"/>
    <w:rsid w:val="00191BC9"/>
    <w:rsid w:val="001932F3"/>
    <w:rsid w:val="001A2B40"/>
    <w:rsid w:val="001A4309"/>
    <w:rsid w:val="001A46AE"/>
    <w:rsid w:val="001A5AE9"/>
    <w:rsid w:val="001A6C52"/>
    <w:rsid w:val="001B1053"/>
    <w:rsid w:val="001B14AC"/>
    <w:rsid w:val="001B7940"/>
    <w:rsid w:val="001C171A"/>
    <w:rsid w:val="001C2FE0"/>
    <w:rsid w:val="001C37CA"/>
    <w:rsid w:val="001C4085"/>
    <w:rsid w:val="001D4303"/>
    <w:rsid w:val="001D6746"/>
    <w:rsid w:val="001D79B5"/>
    <w:rsid w:val="001E0C61"/>
    <w:rsid w:val="001E3B49"/>
    <w:rsid w:val="001E4A05"/>
    <w:rsid w:val="001E6A19"/>
    <w:rsid w:val="001E7388"/>
    <w:rsid w:val="001F13DD"/>
    <w:rsid w:val="001F2473"/>
    <w:rsid w:val="001F2DBC"/>
    <w:rsid w:val="001F611B"/>
    <w:rsid w:val="001F73E8"/>
    <w:rsid w:val="0020262C"/>
    <w:rsid w:val="00202723"/>
    <w:rsid w:val="00207EA9"/>
    <w:rsid w:val="00211A3E"/>
    <w:rsid w:val="00213F20"/>
    <w:rsid w:val="00214055"/>
    <w:rsid w:val="00214E99"/>
    <w:rsid w:val="00215BCA"/>
    <w:rsid w:val="002160F5"/>
    <w:rsid w:val="0021680B"/>
    <w:rsid w:val="00217AC4"/>
    <w:rsid w:val="00221461"/>
    <w:rsid w:val="00224537"/>
    <w:rsid w:val="00233DB9"/>
    <w:rsid w:val="00233E99"/>
    <w:rsid w:val="00235956"/>
    <w:rsid w:val="00236F9C"/>
    <w:rsid w:val="00243E5E"/>
    <w:rsid w:val="002467A6"/>
    <w:rsid w:val="00247C9A"/>
    <w:rsid w:val="0025160C"/>
    <w:rsid w:val="002535D0"/>
    <w:rsid w:val="00253851"/>
    <w:rsid w:val="002539B3"/>
    <w:rsid w:val="00256336"/>
    <w:rsid w:val="00257C3E"/>
    <w:rsid w:val="002602C2"/>
    <w:rsid w:val="00261FF4"/>
    <w:rsid w:val="002642DF"/>
    <w:rsid w:val="002666C9"/>
    <w:rsid w:val="00267B61"/>
    <w:rsid w:val="00270136"/>
    <w:rsid w:val="00270FD7"/>
    <w:rsid w:val="00274F5B"/>
    <w:rsid w:val="00280836"/>
    <w:rsid w:val="00280B79"/>
    <w:rsid w:val="00280E62"/>
    <w:rsid w:val="00282E1A"/>
    <w:rsid w:val="002840F1"/>
    <w:rsid w:val="00285922"/>
    <w:rsid w:val="0029113B"/>
    <w:rsid w:val="002934C0"/>
    <w:rsid w:val="00293E1F"/>
    <w:rsid w:val="002945B6"/>
    <w:rsid w:val="00294E98"/>
    <w:rsid w:val="0029764C"/>
    <w:rsid w:val="002A1480"/>
    <w:rsid w:val="002A1B50"/>
    <w:rsid w:val="002B0E91"/>
    <w:rsid w:val="002B132C"/>
    <w:rsid w:val="002B138A"/>
    <w:rsid w:val="002B3F23"/>
    <w:rsid w:val="002B4EB5"/>
    <w:rsid w:val="002B5AF5"/>
    <w:rsid w:val="002B6779"/>
    <w:rsid w:val="002B71C0"/>
    <w:rsid w:val="002B7A34"/>
    <w:rsid w:val="002C2364"/>
    <w:rsid w:val="002C31AD"/>
    <w:rsid w:val="002C7385"/>
    <w:rsid w:val="002C7F99"/>
    <w:rsid w:val="002D1CA9"/>
    <w:rsid w:val="002D2DBB"/>
    <w:rsid w:val="002D37D8"/>
    <w:rsid w:val="002D54A6"/>
    <w:rsid w:val="002E3779"/>
    <w:rsid w:val="002E5BF9"/>
    <w:rsid w:val="002E6A7A"/>
    <w:rsid w:val="002F1E49"/>
    <w:rsid w:val="002F4283"/>
    <w:rsid w:val="002F4E9C"/>
    <w:rsid w:val="002F6E15"/>
    <w:rsid w:val="00302F4E"/>
    <w:rsid w:val="00304555"/>
    <w:rsid w:val="00310D0F"/>
    <w:rsid w:val="003124FC"/>
    <w:rsid w:val="0031256C"/>
    <w:rsid w:val="00314D6C"/>
    <w:rsid w:val="00316D2A"/>
    <w:rsid w:val="00322A7C"/>
    <w:rsid w:val="00322EEC"/>
    <w:rsid w:val="00323061"/>
    <w:rsid w:val="00323B6A"/>
    <w:rsid w:val="00325A45"/>
    <w:rsid w:val="003402D3"/>
    <w:rsid w:val="0034068E"/>
    <w:rsid w:val="00340DB1"/>
    <w:rsid w:val="003431E0"/>
    <w:rsid w:val="00343ABC"/>
    <w:rsid w:val="003463FE"/>
    <w:rsid w:val="003472FC"/>
    <w:rsid w:val="00347D41"/>
    <w:rsid w:val="003503CD"/>
    <w:rsid w:val="00350B32"/>
    <w:rsid w:val="00351EE1"/>
    <w:rsid w:val="003542A8"/>
    <w:rsid w:val="003554B3"/>
    <w:rsid w:val="00356632"/>
    <w:rsid w:val="003567AA"/>
    <w:rsid w:val="00357C7E"/>
    <w:rsid w:val="003605FB"/>
    <w:rsid w:val="00362E60"/>
    <w:rsid w:val="00363F94"/>
    <w:rsid w:val="00364390"/>
    <w:rsid w:val="00364AD5"/>
    <w:rsid w:val="003653B6"/>
    <w:rsid w:val="00370327"/>
    <w:rsid w:val="00374001"/>
    <w:rsid w:val="0037474F"/>
    <w:rsid w:val="00374CC4"/>
    <w:rsid w:val="003774B2"/>
    <w:rsid w:val="00380B2A"/>
    <w:rsid w:val="00380F2D"/>
    <w:rsid w:val="00383696"/>
    <w:rsid w:val="003845A9"/>
    <w:rsid w:val="003850C9"/>
    <w:rsid w:val="00390883"/>
    <w:rsid w:val="003922F8"/>
    <w:rsid w:val="00395B24"/>
    <w:rsid w:val="003A2D38"/>
    <w:rsid w:val="003A7ECC"/>
    <w:rsid w:val="003B2949"/>
    <w:rsid w:val="003B2C72"/>
    <w:rsid w:val="003B58B4"/>
    <w:rsid w:val="003B6288"/>
    <w:rsid w:val="003C1333"/>
    <w:rsid w:val="003C20FF"/>
    <w:rsid w:val="003C2F90"/>
    <w:rsid w:val="003C3341"/>
    <w:rsid w:val="003C550A"/>
    <w:rsid w:val="003C6055"/>
    <w:rsid w:val="003C7E5B"/>
    <w:rsid w:val="003D1FE8"/>
    <w:rsid w:val="003D2650"/>
    <w:rsid w:val="003D2A58"/>
    <w:rsid w:val="003D560C"/>
    <w:rsid w:val="003D5C00"/>
    <w:rsid w:val="003E3154"/>
    <w:rsid w:val="003E5874"/>
    <w:rsid w:val="003E6467"/>
    <w:rsid w:val="003E72D3"/>
    <w:rsid w:val="003F193E"/>
    <w:rsid w:val="003F242C"/>
    <w:rsid w:val="003F34AA"/>
    <w:rsid w:val="003F34F1"/>
    <w:rsid w:val="003F59C6"/>
    <w:rsid w:val="00400958"/>
    <w:rsid w:val="00402BE4"/>
    <w:rsid w:val="004031D8"/>
    <w:rsid w:val="00405AB7"/>
    <w:rsid w:val="00406F69"/>
    <w:rsid w:val="004104B6"/>
    <w:rsid w:val="00411AE8"/>
    <w:rsid w:val="00413B74"/>
    <w:rsid w:val="004156AB"/>
    <w:rsid w:val="00420DE5"/>
    <w:rsid w:val="00423821"/>
    <w:rsid w:val="00425226"/>
    <w:rsid w:val="004342F3"/>
    <w:rsid w:val="00435C5F"/>
    <w:rsid w:val="00436155"/>
    <w:rsid w:val="00436460"/>
    <w:rsid w:val="0043773A"/>
    <w:rsid w:val="00441E98"/>
    <w:rsid w:val="00450F3A"/>
    <w:rsid w:val="00453006"/>
    <w:rsid w:val="004532F7"/>
    <w:rsid w:val="00464D51"/>
    <w:rsid w:val="004663C8"/>
    <w:rsid w:val="00472027"/>
    <w:rsid w:val="00473A29"/>
    <w:rsid w:val="004804CF"/>
    <w:rsid w:val="00483314"/>
    <w:rsid w:val="00484962"/>
    <w:rsid w:val="00484F6D"/>
    <w:rsid w:val="00484FB7"/>
    <w:rsid w:val="0048554D"/>
    <w:rsid w:val="0049338A"/>
    <w:rsid w:val="0049417F"/>
    <w:rsid w:val="00496D41"/>
    <w:rsid w:val="004A00F7"/>
    <w:rsid w:val="004A586B"/>
    <w:rsid w:val="004A6602"/>
    <w:rsid w:val="004B3EFA"/>
    <w:rsid w:val="004B4E1E"/>
    <w:rsid w:val="004C2A87"/>
    <w:rsid w:val="004C4D7B"/>
    <w:rsid w:val="004C4ED3"/>
    <w:rsid w:val="004C667B"/>
    <w:rsid w:val="004C7ECD"/>
    <w:rsid w:val="004D2EA5"/>
    <w:rsid w:val="004D32A6"/>
    <w:rsid w:val="004D52A8"/>
    <w:rsid w:val="004D53E5"/>
    <w:rsid w:val="004D7950"/>
    <w:rsid w:val="004E45D5"/>
    <w:rsid w:val="004E62AE"/>
    <w:rsid w:val="004E6DC4"/>
    <w:rsid w:val="004F21C1"/>
    <w:rsid w:val="005018F1"/>
    <w:rsid w:val="00501A12"/>
    <w:rsid w:val="0050309C"/>
    <w:rsid w:val="0051327C"/>
    <w:rsid w:val="0051346D"/>
    <w:rsid w:val="00513E29"/>
    <w:rsid w:val="00513EAE"/>
    <w:rsid w:val="0051434F"/>
    <w:rsid w:val="005157F4"/>
    <w:rsid w:val="00516806"/>
    <w:rsid w:val="0052098C"/>
    <w:rsid w:val="00525A49"/>
    <w:rsid w:val="005262D1"/>
    <w:rsid w:val="00530876"/>
    <w:rsid w:val="00531F7F"/>
    <w:rsid w:val="00535613"/>
    <w:rsid w:val="005359EB"/>
    <w:rsid w:val="0054254A"/>
    <w:rsid w:val="00544F15"/>
    <w:rsid w:val="0054500B"/>
    <w:rsid w:val="005466B5"/>
    <w:rsid w:val="00551EFC"/>
    <w:rsid w:val="00554314"/>
    <w:rsid w:val="00555D4A"/>
    <w:rsid w:val="005604F0"/>
    <w:rsid w:val="00562829"/>
    <w:rsid w:val="005629B3"/>
    <w:rsid w:val="00566036"/>
    <w:rsid w:val="00566725"/>
    <w:rsid w:val="00567CC2"/>
    <w:rsid w:val="00570566"/>
    <w:rsid w:val="0057128A"/>
    <w:rsid w:val="005724F6"/>
    <w:rsid w:val="00573AC4"/>
    <w:rsid w:val="005801FC"/>
    <w:rsid w:val="00585BA9"/>
    <w:rsid w:val="00587359"/>
    <w:rsid w:val="00591884"/>
    <w:rsid w:val="00595016"/>
    <w:rsid w:val="00597AAE"/>
    <w:rsid w:val="005A171A"/>
    <w:rsid w:val="005A222C"/>
    <w:rsid w:val="005A4DF8"/>
    <w:rsid w:val="005A78C8"/>
    <w:rsid w:val="005A79FB"/>
    <w:rsid w:val="005B1297"/>
    <w:rsid w:val="005B1426"/>
    <w:rsid w:val="005B68DB"/>
    <w:rsid w:val="005C0A8E"/>
    <w:rsid w:val="005C1767"/>
    <w:rsid w:val="005C185C"/>
    <w:rsid w:val="005C42EF"/>
    <w:rsid w:val="005D3D8E"/>
    <w:rsid w:val="005D4520"/>
    <w:rsid w:val="005E02F5"/>
    <w:rsid w:val="005E0510"/>
    <w:rsid w:val="005E176E"/>
    <w:rsid w:val="005E20CA"/>
    <w:rsid w:val="005E218E"/>
    <w:rsid w:val="005E32BB"/>
    <w:rsid w:val="005E35A0"/>
    <w:rsid w:val="005E6D98"/>
    <w:rsid w:val="005F0D1B"/>
    <w:rsid w:val="005F1865"/>
    <w:rsid w:val="005F4807"/>
    <w:rsid w:val="005F73DC"/>
    <w:rsid w:val="006007BD"/>
    <w:rsid w:val="006013C8"/>
    <w:rsid w:val="0060270D"/>
    <w:rsid w:val="0060415C"/>
    <w:rsid w:val="00604342"/>
    <w:rsid w:val="00604611"/>
    <w:rsid w:val="00605192"/>
    <w:rsid w:val="00606328"/>
    <w:rsid w:val="006064D5"/>
    <w:rsid w:val="00606BE9"/>
    <w:rsid w:val="00611586"/>
    <w:rsid w:val="00612D26"/>
    <w:rsid w:val="00615753"/>
    <w:rsid w:val="00615855"/>
    <w:rsid w:val="00617DBE"/>
    <w:rsid w:val="00620DA8"/>
    <w:rsid w:val="00621887"/>
    <w:rsid w:val="00624520"/>
    <w:rsid w:val="0062454C"/>
    <w:rsid w:val="006271F5"/>
    <w:rsid w:val="00630B4F"/>
    <w:rsid w:val="00631E96"/>
    <w:rsid w:val="00632300"/>
    <w:rsid w:val="00632BB7"/>
    <w:rsid w:val="0063546E"/>
    <w:rsid w:val="00635B36"/>
    <w:rsid w:val="00636871"/>
    <w:rsid w:val="00640442"/>
    <w:rsid w:val="00640EE1"/>
    <w:rsid w:val="00640F4E"/>
    <w:rsid w:val="00643A04"/>
    <w:rsid w:val="00643DE0"/>
    <w:rsid w:val="00643DE7"/>
    <w:rsid w:val="0064437D"/>
    <w:rsid w:val="00644E85"/>
    <w:rsid w:val="006516D8"/>
    <w:rsid w:val="006526A4"/>
    <w:rsid w:val="00652C52"/>
    <w:rsid w:val="0066063F"/>
    <w:rsid w:val="00662BB0"/>
    <w:rsid w:val="006634E3"/>
    <w:rsid w:val="00663878"/>
    <w:rsid w:val="00664D25"/>
    <w:rsid w:val="00666D2B"/>
    <w:rsid w:val="00667773"/>
    <w:rsid w:val="00670743"/>
    <w:rsid w:val="00676937"/>
    <w:rsid w:val="00680A85"/>
    <w:rsid w:val="00681ADF"/>
    <w:rsid w:val="0068561F"/>
    <w:rsid w:val="00690EE2"/>
    <w:rsid w:val="006920CB"/>
    <w:rsid w:val="00693854"/>
    <w:rsid w:val="00693F34"/>
    <w:rsid w:val="00694BEB"/>
    <w:rsid w:val="006952B0"/>
    <w:rsid w:val="00695707"/>
    <w:rsid w:val="00697EF2"/>
    <w:rsid w:val="006A0E20"/>
    <w:rsid w:val="006A24E3"/>
    <w:rsid w:val="006A2C8C"/>
    <w:rsid w:val="006A5410"/>
    <w:rsid w:val="006A5695"/>
    <w:rsid w:val="006B0439"/>
    <w:rsid w:val="006B07CD"/>
    <w:rsid w:val="006B2110"/>
    <w:rsid w:val="006B3904"/>
    <w:rsid w:val="006B5AA2"/>
    <w:rsid w:val="006B5B7D"/>
    <w:rsid w:val="006B6646"/>
    <w:rsid w:val="006C1801"/>
    <w:rsid w:val="006C4E0B"/>
    <w:rsid w:val="006C55D7"/>
    <w:rsid w:val="006C5B46"/>
    <w:rsid w:val="006C6E39"/>
    <w:rsid w:val="006C7D77"/>
    <w:rsid w:val="006D0ECF"/>
    <w:rsid w:val="006D158C"/>
    <w:rsid w:val="006D3D5B"/>
    <w:rsid w:val="006D4C92"/>
    <w:rsid w:val="006D4EB6"/>
    <w:rsid w:val="006D7FBC"/>
    <w:rsid w:val="006E1F11"/>
    <w:rsid w:val="006E35BF"/>
    <w:rsid w:val="006E5246"/>
    <w:rsid w:val="006E565B"/>
    <w:rsid w:val="006E6E87"/>
    <w:rsid w:val="006E7850"/>
    <w:rsid w:val="006F19D8"/>
    <w:rsid w:val="006F2152"/>
    <w:rsid w:val="006F23E2"/>
    <w:rsid w:val="006F46D6"/>
    <w:rsid w:val="006F4BBB"/>
    <w:rsid w:val="006F54CE"/>
    <w:rsid w:val="007028D9"/>
    <w:rsid w:val="0070717B"/>
    <w:rsid w:val="00707218"/>
    <w:rsid w:val="00710D04"/>
    <w:rsid w:val="00711DCB"/>
    <w:rsid w:val="007124A6"/>
    <w:rsid w:val="00712B1D"/>
    <w:rsid w:val="00715751"/>
    <w:rsid w:val="007171BA"/>
    <w:rsid w:val="00717616"/>
    <w:rsid w:val="00721406"/>
    <w:rsid w:val="00722879"/>
    <w:rsid w:val="00727592"/>
    <w:rsid w:val="007325D9"/>
    <w:rsid w:val="0073413F"/>
    <w:rsid w:val="0073583B"/>
    <w:rsid w:val="007360CA"/>
    <w:rsid w:val="00744898"/>
    <w:rsid w:val="0074667B"/>
    <w:rsid w:val="007470BD"/>
    <w:rsid w:val="00760EC0"/>
    <w:rsid w:val="00763F87"/>
    <w:rsid w:val="0076741B"/>
    <w:rsid w:val="007711BD"/>
    <w:rsid w:val="0078003A"/>
    <w:rsid w:val="00780771"/>
    <w:rsid w:val="00784416"/>
    <w:rsid w:val="00787B31"/>
    <w:rsid w:val="00790004"/>
    <w:rsid w:val="007929CF"/>
    <w:rsid w:val="00797BA8"/>
    <w:rsid w:val="007A081D"/>
    <w:rsid w:val="007A3CF2"/>
    <w:rsid w:val="007A49E7"/>
    <w:rsid w:val="007A6F28"/>
    <w:rsid w:val="007A7B26"/>
    <w:rsid w:val="007B03C6"/>
    <w:rsid w:val="007B0DB1"/>
    <w:rsid w:val="007B2323"/>
    <w:rsid w:val="007B2350"/>
    <w:rsid w:val="007B5673"/>
    <w:rsid w:val="007B7238"/>
    <w:rsid w:val="007B76FF"/>
    <w:rsid w:val="007C38A2"/>
    <w:rsid w:val="007C3BF6"/>
    <w:rsid w:val="007C4BF9"/>
    <w:rsid w:val="007C67B3"/>
    <w:rsid w:val="007D0FD2"/>
    <w:rsid w:val="007D2EF8"/>
    <w:rsid w:val="007D561F"/>
    <w:rsid w:val="007D7FD2"/>
    <w:rsid w:val="007E13D9"/>
    <w:rsid w:val="007E2AEC"/>
    <w:rsid w:val="007E41BE"/>
    <w:rsid w:val="007E4DB6"/>
    <w:rsid w:val="007E55BE"/>
    <w:rsid w:val="007E6733"/>
    <w:rsid w:val="007E7CD4"/>
    <w:rsid w:val="007F12AC"/>
    <w:rsid w:val="007F33B6"/>
    <w:rsid w:val="007F4501"/>
    <w:rsid w:val="007F60DF"/>
    <w:rsid w:val="007F7330"/>
    <w:rsid w:val="00801800"/>
    <w:rsid w:val="00801861"/>
    <w:rsid w:val="00801B5B"/>
    <w:rsid w:val="00805A30"/>
    <w:rsid w:val="0081466F"/>
    <w:rsid w:val="00816787"/>
    <w:rsid w:val="00820308"/>
    <w:rsid w:val="008216E7"/>
    <w:rsid w:val="00825BE6"/>
    <w:rsid w:val="008276B4"/>
    <w:rsid w:val="008307A0"/>
    <w:rsid w:val="00831927"/>
    <w:rsid w:val="00833969"/>
    <w:rsid w:val="00837288"/>
    <w:rsid w:val="00841BD3"/>
    <w:rsid w:val="0084273D"/>
    <w:rsid w:val="00844B0F"/>
    <w:rsid w:val="00844E3F"/>
    <w:rsid w:val="00845A83"/>
    <w:rsid w:val="00846BB9"/>
    <w:rsid w:val="008478EC"/>
    <w:rsid w:val="00847C58"/>
    <w:rsid w:val="00862AB5"/>
    <w:rsid w:val="0086443A"/>
    <w:rsid w:val="008649D5"/>
    <w:rsid w:val="008712BB"/>
    <w:rsid w:val="00877148"/>
    <w:rsid w:val="00877E86"/>
    <w:rsid w:val="008830E7"/>
    <w:rsid w:val="008877B2"/>
    <w:rsid w:val="00890EDE"/>
    <w:rsid w:val="00892B38"/>
    <w:rsid w:val="0089446F"/>
    <w:rsid w:val="008A1741"/>
    <w:rsid w:val="008A2484"/>
    <w:rsid w:val="008A52F3"/>
    <w:rsid w:val="008B0215"/>
    <w:rsid w:val="008B0C7C"/>
    <w:rsid w:val="008C00F0"/>
    <w:rsid w:val="008C26D9"/>
    <w:rsid w:val="008C6D50"/>
    <w:rsid w:val="008C702F"/>
    <w:rsid w:val="008C7167"/>
    <w:rsid w:val="008C7503"/>
    <w:rsid w:val="008D1617"/>
    <w:rsid w:val="008D162A"/>
    <w:rsid w:val="008D330F"/>
    <w:rsid w:val="008D48C1"/>
    <w:rsid w:val="008E6315"/>
    <w:rsid w:val="008F0480"/>
    <w:rsid w:val="008F07FC"/>
    <w:rsid w:val="008F11E0"/>
    <w:rsid w:val="008F3EA7"/>
    <w:rsid w:val="008F40C0"/>
    <w:rsid w:val="008F78BC"/>
    <w:rsid w:val="008F7B63"/>
    <w:rsid w:val="008F7D6A"/>
    <w:rsid w:val="009010FE"/>
    <w:rsid w:val="00901C86"/>
    <w:rsid w:val="00902305"/>
    <w:rsid w:val="00903603"/>
    <w:rsid w:val="009054CB"/>
    <w:rsid w:val="00911F8D"/>
    <w:rsid w:val="00912F18"/>
    <w:rsid w:val="00912F94"/>
    <w:rsid w:val="009171BC"/>
    <w:rsid w:val="0092497E"/>
    <w:rsid w:val="0092590B"/>
    <w:rsid w:val="00925BF3"/>
    <w:rsid w:val="00925E60"/>
    <w:rsid w:val="009264B3"/>
    <w:rsid w:val="00926573"/>
    <w:rsid w:val="009268FC"/>
    <w:rsid w:val="00927C32"/>
    <w:rsid w:val="00931E4C"/>
    <w:rsid w:val="009365E0"/>
    <w:rsid w:val="00940D55"/>
    <w:rsid w:val="00942BA2"/>
    <w:rsid w:val="009432B7"/>
    <w:rsid w:val="00944C86"/>
    <w:rsid w:val="00944F78"/>
    <w:rsid w:val="00947A12"/>
    <w:rsid w:val="00947C02"/>
    <w:rsid w:val="00950BE6"/>
    <w:rsid w:val="009546A5"/>
    <w:rsid w:val="00956873"/>
    <w:rsid w:val="00956D9C"/>
    <w:rsid w:val="00957DE8"/>
    <w:rsid w:val="00960ECB"/>
    <w:rsid w:val="009615D6"/>
    <w:rsid w:val="00963000"/>
    <w:rsid w:val="00967855"/>
    <w:rsid w:val="00971CD1"/>
    <w:rsid w:val="00974709"/>
    <w:rsid w:val="00977319"/>
    <w:rsid w:val="009801AE"/>
    <w:rsid w:val="00980736"/>
    <w:rsid w:val="009813F8"/>
    <w:rsid w:val="00981A39"/>
    <w:rsid w:val="00982D56"/>
    <w:rsid w:val="00983DBF"/>
    <w:rsid w:val="00987097"/>
    <w:rsid w:val="00991123"/>
    <w:rsid w:val="00991CAB"/>
    <w:rsid w:val="00993851"/>
    <w:rsid w:val="00996237"/>
    <w:rsid w:val="00997E2C"/>
    <w:rsid w:val="009A1DEF"/>
    <w:rsid w:val="009A2194"/>
    <w:rsid w:val="009A3A9C"/>
    <w:rsid w:val="009A4050"/>
    <w:rsid w:val="009B046C"/>
    <w:rsid w:val="009B13FA"/>
    <w:rsid w:val="009B1E2D"/>
    <w:rsid w:val="009C59FB"/>
    <w:rsid w:val="009C6F3B"/>
    <w:rsid w:val="009D1467"/>
    <w:rsid w:val="009D328D"/>
    <w:rsid w:val="009D3803"/>
    <w:rsid w:val="009D3F23"/>
    <w:rsid w:val="009E4313"/>
    <w:rsid w:val="009E4FA6"/>
    <w:rsid w:val="009E60EF"/>
    <w:rsid w:val="009E7D93"/>
    <w:rsid w:val="009F3C34"/>
    <w:rsid w:val="009F462C"/>
    <w:rsid w:val="009F5C33"/>
    <w:rsid w:val="00A0051F"/>
    <w:rsid w:val="00A01C00"/>
    <w:rsid w:val="00A026F0"/>
    <w:rsid w:val="00A03EAC"/>
    <w:rsid w:val="00A04DBB"/>
    <w:rsid w:val="00A07EA0"/>
    <w:rsid w:val="00A11CA6"/>
    <w:rsid w:val="00A12156"/>
    <w:rsid w:val="00A14BED"/>
    <w:rsid w:val="00A156F7"/>
    <w:rsid w:val="00A167C0"/>
    <w:rsid w:val="00A20C49"/>
    <w:rsid w:val="00A22932"/>
    <w:rsid w:val="00A25F35"/>
    <w:rsid w:val="00A263CD"/>
    <w:rsid w:val="00A269CA"/>
    <w:rsid w:val="00A27542"/>
    <w:rsid w:val="00A306F2"/>
    <w:rsid w:val="00A31E6A"/>
    <w:rsid w:val="00A336EE"/>
    <w:rsid w:val="00A33F46"/>
    <w:rsid w:val="00A3427E"/>
    <w:rsid w:val="00A359AC"/>
    <w:rsid w:val="00A40F83"/>
    <w:rsid w:val="00A410FB"/>
    <w:rsid w:val="00A41413"/>
    <w:rsid w:val="00A431E6"/>
    <w:rsid w:val="00A436E8"/>
    <w:rsid w:val="00A45FB1"/>
    <w:rsid w:val="00A46A0F"/>
    <w:rsid w:val="00A46CCC"/>
    <w:rsid w:val="00A47248"/>
    <w:rsid w:val="00A47996"/>
    <w:rsid w:val="00A51CFE"/>
    <w:rsid w:val="00A5204D"/>
    <w:rsid w:val="00A55D1D"/>
    <w:rsid w:val="00A56657"/>
    <w:rsid w:val="00A56E77"/>
    <w:rsid w:val="00A61605"/>
    <w:rsid w:val="00A65F97"/>
    <w:rsid w:val="00A66B9F"/>
    <w:rsid w:val="00A67EFA"/>
    <w:rsid w:val="00A725E4"/>
    <w:rsid w:val="00A73979"/>
    <w:rsid w:val="00A73B04"/>
    <w:rsid w:val="00A7430F"/>
    <w:rsid w:val="00A76C13"/>
    <w:rsid w:val="00A84FD0"/>
    <w:rsid w:val="00A86F98"/>
    <w:rsid w:val="00A87896"/>
    <w:rsid w:val="00A910D0"/>
    <w:rsid w:val="00A92615"/>
    <w:rsid w:val="00A92713"/>
    <w:rsid w:val="00A92E79"/>
    <w:rsid w:val="00A950B6"/>
    <w:rsid w:val="00A9526A"/>
    <w:rsid w:val="00A95D45"/>
    <w:rsid w:val="00A964BA"/>
    <w:rsid w:val="00AA3EA8"/>
    <w:rsid w:val="00AA5E08"/>
    <w:rsid w:val="00AB41C1"/>
    <w:rsid w:val="00AB4CF2"/>
    <w:rsid w:val="00AB60E2"/>
    <w:rsid w:val="00AB6371"/>
    <w:rsid w:val="00AB6CCA"/>
    <w:rsid w:val="00AC223F"/>
    <w:rsid w:val="00AC33B1"/>
    <w:rsid w:val="00AD12A8"/>
    <w:rsid w:val="00AD65D5"/>
    <w:rsid w:val="00AE023F"/>
    <w:rsid w:val="00AE6400"/>
    <w:rsid w:val="00AF3577"/>
    <w:rsid w:val="00AF35F9"/>
    <w:rsid w:val="00AF48EE"/>
    <w:rsid w:val="00B0424C"/>
    <w:rsid w:val="00B05326"/>
    <w:rsid w:val="00B05B9B"/>
    <w:rsid w:val="00B05C7D"/>
    <w:rsid w:val="00B11AA7"/>
    <w:rsid w:val="00B15D57"/>
    <w:rsid w:val="00B16347"/>
    <w:rsid w:val="00B17D6E"/>
    <w:rsid w:val="00B2435E"/>
    <w:rsid w:val="00B346C3"/>
    <w:rsid w:val="00B4005C"/>
    <w:rsid w:val="00B4089A"/>
    <w:rsid w:val="00B4227E"/>
    <w:rsid w:val="00B433FE"/>
    <w:rsid w:val="00B4471C"/>
    <w:rsid w:val="00B451A6"/>
    <w:rsid w:val="00B46FA4"/>
    <w:rsid w:val="00B5498A"/>
    <w:rsid w:val="00B54CA4"/>
    <w:rsid w:val="00B56D6E"/>
    <w:rsid w:val="00B623D9"/>
    <w:rsid w:val="00B638D1"/>
    <w:rsid w:val="00B64347"/>
    <w:rsid w:val="00B65DC6"/>
    <w:rsid w:val="00B67AC2"/>
    <w:rsid w:val="00B722DE"/>
    <w:rsid w:val="00B73E36"/>
    <w:rsid w:val="00B751E3"/>
    <w:rsid w:val="00B75BA6"/>
    <w:rsid w:val="00B76C44"/>
    <w:rsid w:val="00B773A2"/>
    <w:rsid w:val="00B8184A"/>
    <w:rsid w:val="00B82283"/>
    <w:rsid w:val="00B828D8"/>
    <w:rsid w:val="00B83F87"/>
    <w:rsid w:val="00B87CDC"/>
    <w:rsid w:val="00B910C1"/>
    <w:rsid w:val="00BA2CA4"/>
    <w:rsid w:val="00BA2EFA"/>
    <w:rsid w:val="00BA3DBC"/>
    <w:rsid w:val="00BA707A"/>
    <w:rsid w:val="00BB1AFB"/>
    <w:rsid w:val="00BB2484"/>
    <w:rsid w:val="00BB27AE"/>
    <w:rsid w:val="00BB2DA2"/>
    <w:rsid w:val="00BB34FC"/>
    <w:rsid w:val="00BB4183"/>
    <w:rsid w:val="00BB56DC"/>
    <w:rsid w:val="00BB5EFB"/>
    <w:rsid w:val="00BC2AF8"/>
    <w:rsid w:val="00BD3035"/>
    <w:rsid w:val="00BE0AD8"/>
    <w:rsid w:val="00BE183D"/>
    <w:rsid w:val="00BE2DD0"/>
    <w:rsid w:val="00BE32C5"/>
    <w:rsid w:val="00BE3F33"/>
    <w:rsid w:val="00BF13B5"/>
    <w:rsid w:val="00BF24C2"/>
    <w:rsid w:val="00BF2922"/>
    <w:rsid w:val="00BF497D"/>
    <w:rsid w:val="00BF49A4"/>
    <w:rsid w:val="00BF5D7A"/>
    <w:rsid w:val="00C00955"/>
    <w:rsid w:val="00C01C2E"/>
    <w:rsid w:val="00C02D33"/>
    <w:rsid w:val="00C04B53"/>
    <w:rsid w:val="00C1161D"/>
    <w:rsid w:val="00C1232C"/>
    <w:rsid w:val="00C12BE3"/>
    <w:rsid w:val="00C1417E"/>
    <w:rsid w:val="00C14F04"/>
    <w:rsid w:val="00C15BA7"/>
    <w:rsid w:val="00C21C1C"/>
    <w:rsid w:val="00C2347C"/>
    <w:rsid w:val="00C27C6B"/>
    <w:rsid w:val="00C3594D"/>
    <w:rsid w:val="00C36442"/>
    <w:rsid w:val="00C400CE"/>
    <w:rsid w:val="00C410FD"/>
    <w:rsid w:val="00C417E6"/>
    <w:rsid w:val="00C423B7"/>
    <w:rsid w:val="00C428B6"/>
    <w:rsid w:val="00C457DE"/>
    <w:rsid w:val="00C45CF1"/>
    <w:rsid w:val="00C47DD3"/>
    <w:rsid w:val="00C5296C"/>
    <w:rsid w:val="00C5316F"/>
    <w:rsid w:val="00C53562"/>
    <w:rsid w:val="00C539FB"/>
    <w:rsid w:val="00C57205"/>
    <w:rsid w:val="00C61A1C"/>
    <w:rsid w:val="00C62313"/>
    <w:rsid w:val="00C649F9"/>
    <w:rsid w:val="00C64A44"/>
    <w:rsid w:val="00C65C00"/>
    <w:rsid w:val="00C66AA3"/>
    <w:rsid w:val="00C66E57"/>
    <w:rsid w:val="00C724D7"/>
    <w:rsid w:val="00C74150"/>
    <w:rsid w:val="00C75594"/>
    <w:rsid w:val="00C80931"/>
    <w:rsid w:val="00C848B1"/>
    <w:rsid w:val="00C85982"/>
    <w:rsid w:val="00C86C83"/>
    <w:rsid w:val="00C96077"/>
    <w:rsid w:val="00CA0466"/>
    <w:rsid w:val="00CA246D"/>
    <w:rsid w:val="00CA4A4B"/>
    <w:rsid w:val="00CA50D9"/>
    <w:rsid w:val="00CB06C6"/>
    <w:rsid w:val="00CB3054"/>
    <w:rsid w:val="00CB5636"/>
    <w:rsid w:val="00CB584F"/>
    <w:rsid w:val="00CB5F30"/>
    <w:rsid w:val="00CB6F68"/>
    <w:rsid w:val="00CC1ED1"/>
    <w:rsid w:val="00CC3EE5"/>
    <w:rsid w:val="00CC6E47"/>
    <w:rsid w:val="00CD1346"/>
    <w:rsid w:val="00CD25D7"/>
    <w:rsid w:val="00CE04CC"/>
    <w:rsid w:val="00CE2D18"/>
    <w:rsid w:val="00CE425C"/>
    <w:rsid w:val="00CE58AC"/>
    <w:rsid w:val="00CE64F4"/>
    <w:rsid w:val="00CF5A80"/>
    <w:rsid w:val="00D020F5"/>
    <w:rsid w:val="00D045EE"/>
    <w:rsid w:val="00D05091"/>
    <w:rsid w:val="00D06D9C"/>
    <w:rsid w:val="00D07415"/>
    <w:rsid w:val="00D10CA6"/>
    <w:rsid w:val="00D10F21"/>
    <w:rsid w:val="00D118C5"/>
    <w:rsid w:val="00D134CF"/>
    <w:rsid w:val="00D1573B"/>
    <w:rsid w:val="00D208EB"/>
    <w:rsid w:val="00D24806"/>
    <w:rsid w:val="00D3341D"/>
    <w:rsid w:val="00D34040"/>
    <w:rsid w:val="00D34E69"/>
    <w:rsid w:val="00D36C78"/>
    <w:rsid w:val="00D375EE"/>
    <w:rsid w:val="00D44E14"/>
    <w:rsid w:val="00D456B8"/>
    <w:rsid w:val="00D46727"/>
    <w:rsid w:val="00D55AE8"/>
    <w:rsid w:val="00D56056"/>
    <w:rsid w:val="00D6085F"/>
    <w:rsid w:val="00D62699"/>
    <w:rsid w:val="00D63327"/>
    <w:rsid w:val="00D713CA"/>
    <w:rsid w:val="00D778E9"/>
    <w:rsid w:val="00D812BF"/>
    <w:rsid w:val="00D82620"/>
    <w:rsid w:val="00D83750"/>
    <w:rsid w:val="00D85707"/>
    <w:rsid w:val="00D90BAE"/>
    <w:rsid w:val="00D9725F"/>
    <w:rsid w:val="00DA01B1"/>
    <w:rsid w:val="00DA11A2"/>
    <w:rsid w:val="00DA14ED"/>
    <w:rsid w:val="00DA26D6"/>
    <w:rsid w:val="00DB2EF1"/>
    <w:rsid w:val="00DB3DE1"/>
    <w:rsid w:val="00DB5DA0"/>
    <w:rsid w:val="00DB716C"/>
    <w:rsid w:val="00DB72BB"/>
    <w:rsid w:val="00DC5C85"/>
    <w:rsid w:val="00DC7C5D"/>
    <w:rsid w:val="00DD4236"/>
    <w:rsid w:val="00DD44F1"/>
    <w:rsid w:val="00DD6957"/>
    <w:rsid w:val="00DD6E7A"/>
    <w:rsid w:val="00DE2786"/>
    <w:rsid w:val="00DE3067"/>
    <w:rsid w:val="00DE74DD"/>
    <w:rsid w:val="00DF1762"/>
    <w:rsid w:val="00DF3EEE"/>
    <w:rsid w:val="00DF75E1"/>
    <w:rsid w:val="00E027BC"/>
    <w:rsid w:val="00E045BE"/>
    <w:rsid w:val="00E04D58"/>
    <w:rsid w:val="00E10F0D"/>
    <w:rsid w:val="00E116D0"/>
    <w:rsid w:val="00E12674"/>
    <w:rsid w:val="00E14EA5"/>
    <w:rsid w:val="00E2070E"/>
    <w:rsid w:val="00E21133"/>
    <w:rsid w:val="00E2327E"/>
    <w:rsid w:val="00E23577"/>
    <w:rsid w:val="00E266EF"/>
    <w:rsid w:val="00E326A8"/>
    <w:rsid w:val="00E35B03"/>
    <w:rsid w:val="00E361AE"/>
    <w:rsid w:val="00E43A11"/>
    <w:rsid w:val="00E47002"/>
    <w:rsid w:val="00E47428"/>
    <w:rsid w:val="00E5385C"/>
    <w:rsid w:val="00E54AE2"/>
    <w:rsid w:val="00E56C8E"/>
    <w:rsid w:val="00E5716B"/>
    <w:rsid w:val="00E57F1F"/>
    <w:rsid w:val="00E6035E"/>
    <w:rsid w:val="00E6115C"/>
    <w:rsid w:val="00E615B7"/>
    <w:rsid w:val="00E66B9F"/>
    <w:rsid w:val="00E70239"/>
    <w:rsid w:val="00E70A6A"/>
    <w:rsid w:val="00E710D6"/>
    <w:rsid w:val="00E73DA4"/>
    <w:rsid w:val="00E76E45"/>
    <w:rsid w:val="00E777C9"/>
    <w:rsid w:val="00E77A1D"/>
    <w:rsid w:val="00E81DA6"/>
    <w:rsid w:val="00E84212"/>
    <w:rsid w:val="00E9086C"/>
    <w:rsid w:val="00E90AAA"/>
    <w:rsid w:val="00E91A0F"/>
    <w:rsid w:val="00E94A71"/>
    <w:rsid w:val="00E94CBF"/>
    <w:rsid w:val="00EA02C0"/>
    <w:rsid w:val="00EA03CE"/>
    <w:rsid w:val="00EA23E5"/>
    <w:rsid w:val="00EA45C0"/>
    <w:rsid w:val="00EA4E2E"/>
    <w:rsid w:val="00EB2417"/>
    <w:rsid w:val="00EB2CCB"/>
    <w:rsid w:val="00EB7A25"/>
    <w:rsid w:val="00EC0F3E"/>
    <w:rsid w:val="00EC5792"/>
    <w:rsid w:val="00EC57A7"/>
    <w:rsid w:val="00ED0817"/>
    <w:rsid w:val="00ED0A13"/>
    <w:rsid w:val="00ED1DD4"/>
    <w:rsid w:val="00ED795B"/>
    <w:rsid w:val="00ED7DD9"/>
    <w:rsid w:val="00EE3C10"/>
    <w:rsid w:val="00EE445B"/>
    <w:rsid w:val="00EE52A2"/>
    <w:rsid w:val="00EF3113"/>
    <w:rsid w:val="00EF3F84"/>
    <w:rsid w:val="00F01614"/>
    <w:rsid w:val="00F0418A"/>
    <w:rsid w:val="00F11872"/>
    <w:rsid w:val="00F176AC"/>
    <w:rsid w:val="00F24A64"/>
    <w:rsid w:val="00F26F28"/>
    <w:rsid w:val="00F27714"/>
    <w:rsid w:val="00F31EC9"/>
    <w:rsid w:val="00F3276E"/>
    <w:rsid w:val="00F33249"/>
    <w:rsid w:val="00F33D3C"/>
    <w:rsid w:val="00F37A91"/>
    <w:rsid w:val="00F408A0"/>
    <w:rsid w:val="00F4207A"/>
    <w:rsid w:val="00F44800"/>
    <w:rsid w:val="00F45CF5"/>
    <w:rsid w:val="00F47DB0"/>
    <w:rsid w:val="00F50C3F"/>
    <w:rsid w:val="00F50E34"/>
    <w:rsid w:val="00F51AFB"/>
    <w:rsid w:val="00F53EF7"/>
    <w:rsid w:val="00F54BF2"/>
    <w:rsid w:val="00F775AC"/>
    <w:rsid w:val="00F84E7A"/>
    <w:rsid w:val="00F8792F"/>
    <w:rsid w:val="00F9214D"/>
    <w:rsid w:val="00F92355"/>
    <w:rsid w:val="00F93048"/>
    <w:rsid w:val="00F93963"/>
    <w:rsid w:val="00F94291"/>
    <w:rsid w:val="00F97705"/>
    <w:rsid w:val="00FA298A"/>
    <w:rsid w:val="00FA5B66"/>
    <w:rsid w:val="00FB0B9C"/>
    <w:rsid w:val="00FB2FC0"/>
    <w:rsid w:val="00FB30EB"/>
    <w:rsid w:val="00FB7982"/>
    <w:rsid w:val="00FC0734"/>
    <w:rsid w:val="00FC0FC5"/>
    <w:rsid w:val="00FC1026"/>
    <w:rsid w:val="00FC4EA6"/>
    <w:rsid w:val="00FC588F"/>
    <w:rsid w:val="00FC6879"/>
    <w:rsid w:val="00FD43C2"/>
    <w:rsid w:val="00FD57CC"/>
    <w:rsid w:val="00FE1B30"/>
    <w:rsid w:val="00FE6DE8"/>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265BC7"/>
  <w15:docId w15:val="{741EEBAB-4C80-4F62-B165-634E5EF7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65D5"/>
    <w:pPr>
      <w:spacing w:line="360" w:lineRule="auto"/>
      <w:jc w:val="both"/>
    </w:pPr>
    <w:rPr>
      <w:sz w:val="24"/>
      <w:lang w:eastAsia="en-US"/>
    </w:rPr>
  </w:style>
  <w:style w:type="paragraph" w:styleId="Heading1">
    <w:name w:val="heading 1"/>
    <w:basedOn w:val="Normal"/>
    <w:next w:val="ParaNumbering"/>
    <w:qFormat/>
    <w:rsid w:val="00AD65D5"/>
    <w:pPr>
      <w:keepNext/>
      <w:spacing w:before="240" w:after="60" w:line="240" w:lineRule="auto"/>
      <w:outlineLvl w:val="0"/>
    </w:pPr>
    <w:rPr>
      <w:b/>
      <w:caps/>
      <w:kern w:val="28"/>
    </w:rPr>
  </w:style>
  <w:style w:type="paragraph" w:styleId="Heading2">
    <w:name w:val="heading 2"/>
    <w:basedOn w:val="Normal"/>
    <w:next w:val="ParaNumbering"/>
    <w:qFormat/>
    <w:rsid w:val="00AD65D5"/>
    <w:pPr>
      <w:keepNext/>
      <w:spacing w:before="240" w:after="60" w:line="240" w:lineRule="auto"/>
      <w:outlineLvl w:val="1"/>
    </w:pPr>
    <w:rPr>
      <w:b/>
      <w:szCs w:val="24"/>
    </w:rPr>
  </w:style>
  <w:style w:type="paragraph" w:styleId="Heading3">
    <w:name w:val="heading 3"/>
    <w:basedOn w:val="Normal"/>
    <w:next w:val="ParaNumbering"/>
    <w:qFormat/>
    <w:rsid w:val="00AD65D5"/>
    <w:pPr>
      <w:keepNext/>
      <w:spacing w:before="240" w:after="60" w:line="240" w:lineRule="auto"/>
      <w:outlineLvl w:val="2"/>
    </w:pPr>
    <w:rPr>
      <w:b/>
      <w:i/>
    </w:rPr>
  </w:style>
  <w:style w:type="paragraph" w:styleId="Heading4">
    <w:name w:val="heading 4"/>
    <w:basedOn w:val="Normal"/>
    <w:next w:val="ParaNumbering"/>
    <w:qFormat/>
    <w:rsid w:val="00AD65D5"/>
    <w:pPr>
      <w:keepNext/>
      <w:spacing w:before="240" w:after="60" w:line="240" w:lineRule="auto"/>
      <w:jc w:val="left"/>
      <w:outlineLvl w:val="3"/>
    </w:pPr>
    <w:rPr>
      <w:i/>
      <w:szCs w:val="24"/>
    </w:rPr>
  </w:style>
  <w:style w:type="paragraph" w:styleId="Heading5">
    <w:name w:val="heading 5"/>
    <w:basedOn w:val="fcHeading1"/>
    <w:next w:val="ParaNumbering"/>
    <w:qFormat/>
    <w:rsid w:val="00AD65D5"/>
    <w:pPr>
      <w:outlineLvl w:val="4"/>
    </w:pPr>
    <w:rPr>
      <w:caps w:val="0"/>
    </w:rPr>
  </w:style>
  <w:style w:type="paragraph" w:styleId="Heading6">
    <w:name w:val="heading 6"/>
    <w:basedOn w:val="fcHeading2"/>
    <w:next w:val="ParaNumbering"/>
    <w:qFormat/>
    <w:rsid w:val="00AD65D5"/>
    <w:pPr>
      <w:outlineLvl w:val="5"/>
    </w:pPr>
  </w:style>
  <w:style w:type="paragraph" w:styleId="Heading7">
    <w:name w:val="heading 7"/>
    <w:basedOn w:val="fcHeading3"/>
    <w:next w:val="ParaNumbering"/>
    <w:qFormat/>
    <w:rsid w:val="00AD65D5"/>
    <w:pPr>
      <w:outlineLvl w:val="6"/>
    </w:pPr>
    <w:rPr>
      <w:i w:val="0"/>
    </w:rPr>
  </w:style>
  <w:style w:type="paragraph" w:styleId="Heading8">
    <w:name w:val="heading 8"/>
    <w:basedOn w:val="fcHeading4"/>
    <w:next w:val="ParaNumbering"/>
    <w:rsid w:val="00AD65D5"/>
    <w:pPr>
      <w:outlineLvl w:val="7"/>
    </w:pPr>
    <w:rPr>
      <w:smallCaps w:val="0"/>
    </w:rPr>
  </w:style>
  <w:style w:type="paragraph" w:styleId="Heading9">
    <w:name w:val="heading 9"/>
    <w:basedOn w:val="fcHeading5"/>
    <w:next w:val="ParaNumbering"/>
    <w:rsid w:val="00AD65D5"/>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AD65D5"/>
    <w:pPr>
      <w:spacing w:line="240" w:lineRule="auto"/>
    </w:pPr>
  </w:style>
  <w:style w:type="paragraph" w:styleId="Header">
    <w:name w:val="header"/>
    <w:basedOn w:val="Normal"/>
    <w:semiHidden/>
    <w:rsid w:val="00AD65D5"/>
    <w:pPr>
      <w:tabs>
        <w:tab w:val="center" w:pos="4320"/>
        <w:tab w:val="right" w:pos="8640"/>
      </w:tabs>
    </w:pPr>
  </w:style>
  <w:style w:type="paragraph" w:styleId="Footer">
    <w:name w:val="footer"/>
    <w:basedOn w:val="Normal"/>
    <w:semiHidden/>
    <w:rsid w:val="00AD65D5"/>
    <w:pPr>
      <w:tabs>
        <w:tab w:val="center" w:pos="4320"/>
        <w:tab w:val="right" w:pos="8640"/>
      </w:tabs>
    </w:pPr>
  </w:style>
  <w:style w:type="paragraph" w:customStyle="1" w:styleId="ParaNumbering">
    <w:name w:val="ParaNumbering"/>
    <w:basedOn w:val="Normal"/>
    <w:rsid w:val="004663C8"/>
    <w:pPr>
      <w:numPr>
        <w:numId w:val="1"/>
      </w:numPr>
      <w:spacing w:before="180" w:after="180"/>
    </w:pPr>
  </w:style>
  <w:style w:type="paragraph" w:customStyle="1" w:styleId="Quote1">
    <w:name w:val="Quote1"/>
    <w:rsid w:val="00AD65D5"/>
    <w:pPr>
      <w:widowControl w:val="0"/>
      <w:spacing w:after="180"/>
      <w:ind w:left="737" w:right="737"/>
      <w:jc w:val="both"/>
    </w:pPr>
    <w:rPr>
      <w:sz w:val="22"/>
      <w:lang w:eastAsia="en-US"/>
    </w:rPr>
  </w:style>
  <w:style w:type="paragraph" w:customStyle="1" w:styleId="NormalHeadings">
    <w:name w:val="Normal Headings"/>
    <w:link w:val="NormalHeadingsChar"/>
    <w:rsid w:val="00AD65D5"/>
    <w:pPr>
      <w:widowControl w:val="0"/>
      <w:jc w:val="both"/>
    </w:pPr>
    <w:rPr>
      <w:b/>
      <w:sz w:val="24"/>
      <w:lang w:eastAsia="en-US"/>
    </w:rPr>
  </w:style>
  <w:style w:type="table" w:styleId="TableGrid">
    <w:name w:val="Table Grid"/>
    <w:basedOn w:val="TableNormal"/>
    <w:semiHidden/>
    <w:rsid w:val="00AD65D5"/>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AD65D5"/>
    <w:pPr>
      <w:spacing w:before="20" w:after="20"/>
      <w:jc w:val="center"/>
    </w:pPr>
    <w:rPr>
      <w:b/>
      <w:sz w:val="26"/>
    </w:rPr>
  </w:style>
  <w:style w:type="paragraph" w:customStyle="1" w:styleId="Normal1linespace">
    <w:name w:val="Normal1linespace"/>
    <w:basedOn w:val="Normal"/>
    <w:rsid w:val="00AD65D5"/>
    <w:pPr>
      <w:spacing w:line="240" w:lineRule="auto"/>
    </w:pPr>
  </w:style>
  <w:style w:type="paragraph" w:styleId="BalloonText">
    <w:name w:val="Balloon Text"/>
    <w:basedOn w:val="Normal"/>
    <w:semiHidden/>
    <w:rsid w:val="00AD65D5"/>
    <w:rPr>
      <w:rFonts w:ascii="Tahoma" w:hAnsi="Tahoma" w:cs="Tahoma"/>
      <w:sz w:val="16"/>
      <w:szCs w:val="16"/>
    </w:rPr>
  </w:style>
  <w:style w:type="paragraph" w:customStyle="1" w:styleId="StyleBold">
    <w:name w:val="Style Bold"/>
    <w:basedOn w:val="Normal"/>
    <w:next w:val="BodyText"/>
    <w:semiHidden/>
    <w:rsid w:val="00AD65D5"/>
    <w:rPr>
      <w:szCs w:val="24"/>
    </w:rPr>
  </w:style>
  <w:style w:type="paragraph" w:customStyle="1" w:styleId="Bold">
    <w:name w:val="Bold"/>
    <w:basedOn w:val="Normal"/>
    <w:next w:val="Normal"/>
    <w:semiHidden/>
    <w:rsid w:val="00AD65D5"/>
    <w:pPr>
      <w:suppressAutoHyphens/>
      <w:jc w:val="left"/>
    </w:pPr>
    <w:rPr>
      <w:b/>
      <w:szCs w:val="24"/>
    </w:rPr>
  </w:style>
  <w:style w:type="paragraph" w:customStyle="1" w:styleId="Certify">
    <w:name w:val="Certify"/>
    <w:basedOn w:val="Normal"/>
    <w:link w:val="CertifyChar"/>
    <w:semiHidden/>
    <w:rsid w:val="00AD65D5"/>
    <w:pPr>
      <w:spacing w:line="240" w:lineRule="auto"/>
    </w:pPr>
    <w:rPr>
      <w:szCs w:val="24"/>
    </w:rPr>
  </w:style>
  <w:style w:type="character" w:styleId="CommentReference">
    <w:name w:val="annotation reference"/>
    <w:semiHidden/>
    <w:rsid w:val="00AD65D5"/>
    <w:rPr>
      <w:sz w:val="16"/>
      <w:szCs w:val="16"/>
    </w:rPr>
  </w:style>
  <w:style w:type="paragraph" w:styleId="CommentText">
    <w:name w:val="annotation text"/>
    <w:basedOn w:val="Normal"/>
    <w:semiHidden/>
    <w:rsid w:val="00AD65D5"/>
    <w:rPr>
      <w:sz w:val="20"/>
    </w:rPr>
  </w:style>
  <w:style w:type="paragraph" w:styleId="CommentSubject">
    <w:name w:val="annotation subject"/>
    <w:basedOn w:val="CommentText"/>
    <w:next w:val="CommentText"/>
    <w:semiHidden/>
    <w:rsid w:val="00AD65D5"/>
    <w:rPr>
      <w:b/>
      <w:bCs/>
    </w:rPr>
  </w:style>
  <w:style w:type="paragraph" w:customStyle="1" w:styleId="FCBullets">
    <w:name w:val="FCBullets"/>
    <w:basedOn w:val="Normal"/>
    <w:rsid w:val="00AD65D5"/>
    <w:pPr>
      <w:numPr>
        <w:numId w:val="25"/>
      </w:numPr>
      <w:spacing w:before="60" w:after="60"/>
    </w:pPr>
  </w:style>
  <w:style w:type="paragraph" w:customStyle="1" w:styleId="JudgeStyle">
    <w:name w:val="JudgeStyle"/>
    <w:basedOn w:val="Heading1"/>
    <w:next w:val="ParaNumbering"/>
    <w:semiHidden/>
    <w:rsid w:val="00AD65D5"/>
  </w:style>
  <w:style w:type="paragraph" w:styleId="TOC1">
    <w:name w:val="toc 1"/>
    <w:basedOn w:val="Normal"/>
    <w:next w:val="Normal"/>
    <w:autoRedefine/>
    <w:semiHidden/>
    <w:rsid w:val="00AD65D5"/>
    <w:pPr>
      <w:tabs>
        <w:tab w:val="right" w:leader="dot" w:pos="9071"/>
      </w:tabs>
    </w:pPr>
  </w:style>
  <w:style w:type="paragraph" w:styleId="TOC2">
    <w:name w:val="toc 2"/>
    <w:basedOn w:val="Normal"/>
    <w:next w:val="Normal"/>
    <w:autoRedefine/>
    <w:semiHidden/>
    <w:rsid w:val="00AD65D5"/>
    <w:pPr>
      <w:tabs>
        <w:tab w:val="right" w:leader="dot" w:pos="9071"/>
      </w:tabs>
      <w:ind w:left="240"/>
    </w:pPr>
  </w:style>
  <w:style w:type="paragraph" w:styleId="TOC3">
    <w:name w:val="toc 3"/>
    <w:basedOn w:val="Normal"/>
    <w:next w:val="Normal"/>
    <w:autoRedefine/>
    <w:semiHidden/>
    <w:rsid w:val="00AD65D5"/>
    <w:pPr>
      <w:tabs>
        <w:tab w:val="right" w:leader="dot" w:pos="9071"/>
      </w:tabs>
      <w:ind w:left="480"/>
    </w:pPr>
  </w:style>
  <w:style w:type="paragraph" w:styleId="TOC4">
    <w:name w:val="toc 4"/>
    <w:basedOn w:val="Normal"/>
    <w:next w:val="Normal"/>
    <w:autoRedefine/>
    <w:semiHidden/>
    <w:rsid w:val="00AD65D5"/>
    <w:pPr>
      <w:tabs>
        <w:tab w:val="right" w:leader="dot" w:pos="9071"/>
      </w:tabs>
      <w:ind w:left="720"/>
    </w:pPr>
  </w:style>
  <w:style w:type="paragraph" w:customStyle="1" w:styleId="NoNum">
    <w:name w:val="No Num"/>
    <w:basedOn w:val="Normal1linespace"/>
    <w:rsid w:val="00AD65D5"/>
    <w:pPr>
      <w:spacing w:before="120" w:after="180" w:line="360" w:lineRule="auto"/>
    </w:pPr>
  </w:style>
  <w:style w:type="paragraph" w:customStyle="1" w:styleId="AppealTable">
    <w:name w:val="AppealTable"/>
    <w:basedOn w:val="Normal"/>
    <w:unhideWhenUsed/>
    <w:rsid w:val="00AD65D5"/>
    <w:pPr>
      <w:spacing w:line="240" w:lineRule="auto"/>
      <w:jc w:val="left"/>
    </w:pPr>
    <w:rPr>
      <w:b/>
      <w:caps/>
      <w:sz w:val="22"/>
      <w:szCs w:val="22"/>
    </w:rPr>
  </w:style>
  <w:style w:type="paragraph" w:customStyle="1" w:styleId="Quote3">
    <w:name w:val="Quote3"/>
    <w:basedOn w:val="Quote1"/>
    <w:rsid w:val="00AD65D5"/>
    <w:pPr>
      <w:ind w:left="2160"/>
    </w:pPr>
  </w:style>
  <w:style w:type="paragraph" w:customStyle="1" w:styleId="Quote2">
    <w:name w:val="Quote2"/>
    <w:basedOn w:val="Quote1"/>
    <w:rsid w:val="00AD65D5"/>
    <w:pPr>
      <w:ind w:left="1440"/>
    </w:pPr>
  </w:style>
  <w:style w:type="paragraph" w:customStyle="1" w:styleId="FTOC1">
    <w:name w:val="FTOC 1"/>
    <w:basedOn w:val="Normal"/>
    <w:semiHidden/>
    <w:rsid w:val="00AD65D5"/>
    <w:pPr>
      <w:tabs>
        <w:tab w:val="right" w:leader="dot" w:pos="9072"/>
      </w:tabs>
      <w:spacing w:before="120" w:after="60" w:line="240" w:lineRule="auto"/>
      <w:jc w:val="left"/>
    </w:pPr>
    <w:rPr>
      <w:b/>
      <w:caps/>
      <w:kern w:val="28"/>
    </w:rPr>
  </w:style>
  <w:style w:type="paragraph" w:customStyle="1" w:styleId="ListNo1">
    <w:name w:val="List No 1"/>
    <w:basedOn w:val="Normal"/>
    <w:rsid w:val="00AD65D5"/>
    <w:pPr>
      <w:numPr>
        <w:numId w:val="22"/>
      </w:numPr>
      <w:spacing w:before="60" w:after="60"/>
    </w:pPr>
  </w:style>
  <w:style w:type="paragraph" w:customStyle="1" w:styleId="FTOC2">
    <w:name w:val="FTOC 2"/>
    <w:basedOn w:val="Normal"/>
    <w:semiHidden/>
    <w:rsid w:val="00AD65D5"/>
    <w:pPr>
      <w:tabs>
        <w:tab w:val="right" w:leader="dot" w:pos="9072"/>
      </w:tabs>
      <w:spacing w:before="120" w:after="60" w:line="240" w:lineRule="auto"/>
      <w:ind w:left="238"/>
      <w:jc w:val="left"/>
    </w:pPr>
    <w:rPr>
      <w:b/>
    </w:rPr>
  </w:style>
  <w:style w:type="paragraph" w:customStyle="1" w:styleId="FTOC3">
    <w:name w:val="FTOC 3"/>
    <w:basedOn w:val="Normal"/>
    <w:semiHidden/>
    <w:rsid w:val="00AD65D5"/>
    <w:pPr>
      <w:tabs>
        <w:tab w:val="right" w:leader="dot" w:pos="9072"/>
      </w:tabs>
      <w:spacing w:before="120" w:after="60" w:line="240" w:lineRule="auto"/>
      <w:ind w:left="482"/>
      <w:jc w:val="left"/>
    </w:pPr>
    <w:rPr>
      <w:b/>
      <w:i/>
    </w:rPr>
  </w:style>
  <w:style w:type="paragraph" w:customStyle="1" w:styleId="FTOC4">
    <w:name w:val="FTOC 4"/>
    <w:basedOn w:val="Normal"/>
    <w:semiHidden/>
    <w:rsid w:val="00AD65D5"/>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AD65D5"/>
    <w:pPr>
      <w:tabs>
        <w:tab w:val="right" w:leader="dot" w:pos="9072"/>
      </w:tabs>
      <w:ind w:left="960"/>
    </w:pPr>
  </w:style>
  <w:style w:type="numbering" w:styleId="111111">
    <w:name w:val="Outline List 2"/>
    <w:basedOn w:val="NoList"/>
    <w:semiHidden/>
    <w:rsid w:val="00AD65D5"/>
    <w:pPr>
      <w:numPr>
        <w:numId w:val="12"/>
      </w:numPr>
    </w:pPr>
  </w:style>
  <w:style w:type="numbering" w:styleId="1ai">
    <w:name w:val="Outline List 1"/>
    <w:basedOn w:val="NoList"/>
    <w:semiHidden/>
    <w:rsid w:val="00AD65D5"/>
    <w:pPr>
      <w:numPr>
        <w:numId w:val="13"/>
      </w:numPr>
    </w:pPr>
  </w:style>
  <w:style w:type="numbering" w:styleId="ArticleSection">
    <w:name w:val="Outline List 3"/>
    <w:basedOn w:val="NoList"/>
    <w:semiHidden/>
    <w:rsid w:val="00AD65D5"/>
    <w:pPr>
      <w:numPr>
        <w:numId w:val="14"/>
      </w:numPr>
    </w:pPr>
  </w:style>
  <w:style w:type="paragraph" w:styleId="BodyText">
    <w:name w:val="Body Text"/>
    <w:basedOn w:val="Normal"/>
    <w:link w:val="BodyTextChar"/>
    <w:qFormat/>
    <w:rsid w:val="00AD65D5"/>
  </w:style>
  <w:style w:type="paragraph" w:styleId="BodyText2">
    <w:name w:val="Body Text 2"/>
    <w:basedOn w:val="Normal"/>
    <w:semiHidden/>
    <w:rsid w:val="00AD65D5"/>
    <w:pPr>
      <w:spacing w:after="120" w:line="480" w:lineRule="auto"/>
    </w:pPr>
  </w:style>
  <w:style w:type="paragraph" w:styleId="BodyText3">
    <w:name w:val="Body Text 3"/>
    <w:basedOn w:val="Normal"/>
    <w:semiHidden/>
    <w:rsid w:val="00AD65D5"/>
    <w:pPr>
      <w:spacing w:after="120"/>
    </w:pPr>
    <w:rPr>
      <w:sz w:val="16"/>
      <w:szCs w:val="16"/>
    </w:rPr>
  </w:style>
  <w:style w:type="paragraph" w:styleId="BodyTextFirstIndent">
    <w:name w:val="Body Text First Indent"/>
    <w:basedOn w:val="BodyText"/>
    <w:semiHidden/>
    <w:rsid w:val="00AD65D5"/>
    <w:pPr>
      <w:ind w:firstLine="210"/>
    </w:pPr>
  </w:style>
  <w:style w:type="paragraph" w:styleId="BodyTextIndent">
    <w:name w:val="Body Text Indent"/>
    <w:basedOn w:val="Normal"/>
    <w:semiHidden/>
    <w:rsid w:val="00AD65D5"/>
    <w:pPr>
      <w:spacing w:after="120"/>
      <w:ind w:left="283"/>
    </w:pPr>
  </w:style>
  <w:style w:type="paragraph" w:styleId="BodyTextFirstIndent2">
    <w:name w:val="Body Text First Indent 2"/>
    <w:basedOn w:val="BodyTextIndent"/>
    <w:semiHidden/>
    <w:rsid w:val="00AD65D5"/>
    <w:pPr>
      <w:ind w:firstLine="210"/>
    </w:pPr>
  </w:style>
  <w:style w:type="paragraph" w:styleId="BodyTextIndent2">
    <w:name w:val="Body Text Indent 2"/>
    <w:basedOn w:val="Normal"/>
    <w:semiHidden/>
    <w:rsid w:val="00AD65D5"/>
    <w:pPr>
      <w:spacing w:after="120" w:line="480" w:lineRule="auto"/>
      <w:ind w:left="283"/>
    </w:pPr>
  </w:style>
  <w:style w:type="paragraph" w:styleId="BodyTextIndent3">
    <w:name w:val="Body Text Indent 3"/>
    <w:basedOn w:val="Normal"/>
    <w:semiHidden/>
    <w:rsid w:val="00AD65D5"/>
    <w:pPr>
      <w:spacing w:after="120"/>
      <w:ind w:left="283"/>
    </w:pPr>
    <w:rPr>
      <w:sz w:val="16"/>
      <w:szCs w:val="16"/>
    </w:rPr>
  </w:style>
  <w:style w:type="paragraph" w:styleId="Closing">
    <w:name w:val="Closing"/>
    <w:basedOn w:val="Normal"/>
    <w:semiHidden/>
    <w:rsid w:val="00AD65D5"/>
    <w:pPr>
      <w:ind w:left="4252"/>
    </w:pPr>
  </w:style>
  <w:style w:type="paragraph" w:styleId="Date">
    <w:name w:val="Date"/>
    <w:basedOn w:val="Normal"/>
    <w:next w:val="Normal"/>
    <w:semiHidden/>
    <w:rsid w:val="00AD65D5"/>
  </w:style>
  <w:style w:type="paragraph" w:styleId="E-mailSignature">
    <w:name w:val="E-mail Signature"/>
    <w:basedOn w:val="Normal"/>
    <w:semiHidden/>
    <w:rsid w:val="00AD65D5"/>
  </w:style>
  <w:style w:type="character" w:styleId="Emphasis">
    <w:name w:val="Emphasis"/>
    <w:semiHidden/>
    <w:rsid w:val="00AD65D5"/>
    <w:rPr>
      <w:i/>
      <w:iCs/>
    </w:rPr>
  </w:style>
  <w:style w:type="paragraph" w:styleId="EnvelopeAddress">
    <w:name w:val="envelope address"/>
    <w:basedOn w:val="Normal"/>
    <w:semiHidden/>
    <w:rsid w:val="00AD65D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D65D5"/>
    <w:rPr>
      <w:rFonts w:ascii="Arial" w:hAnsi="Arial" w:cs="Arial"/>
      <w:sz w:val="20"/>
    </w:rPr>
  </w:style>
  <w:style w:type="character" w:styleId="FollowedHyperlink">
    <w:name w:val="FollowedHyperlink"/>
    <w:semiHidden/>
    <w:rsid w:val="00AD65D5"/>
    <w:rPr>
      <w:color w:val="800080"/>
      <w:u w:val="single"/>
    </w:rPr>
  </w:style>
  <w:style w:type="character" w:styleId="HTMLAcronym">
    <w:name w:val="HTML Acronym"/>
    <w:basedOn w:val="DefaultParagraphFont"/>
    <w:semiHidden/>
    <w:rsid w:val="00AD65D5"/>
  </w:style>
  <w:style w:type="paragraph" w:styleId="HTMLAddress">
    <w:name w:val="HTML Address"/>
    <w:basedOn w:val="Normal"/>
    <w:semiHidden/>
    <w:rsid w:val="00AD65D5"/>
    <w:rPr>
      <w:i/>
      <w:iCs/>
    </w:rPr>
  </w:style>
  <w:style w:type="character" w:styleId="HTMLCite">
    <w:name w:val="HTML Cite"/>
    <w:semiHidden/>
    <w:rsid w:val="00AD65D5"/>
    <w:rPr>
      <w:i/>
      <w:iCs/>
    </w:rPr>
  </w:style>
  <w:style w:type="character" w:styleId="HTMLCode">
    <w:name w:val="HTML Code"/>
    <w:semiHidden/>
    <w:rsid w:val="00AD65D5"/>
    <w:rPr>
      <w:rFonts w:ascii="Courier New" w:hAnsi="Courier New" w:cs="Courier New"/>
      <w:sz w:val="20"/>
      <w:szCs w:val="20"/>
    </w:rPr>
  </w:style>
  <w:style w:type="character" w:styleId="HTMLDefinition">
    <w:name w:val="HTML Definition"/>
    <w:semiHidden/>
    <w:rsid w:val="00AD65D5"/>
    <w:rPr>
      <w:i/>
      <w:iCs/>
    </w:rPr>
  </w:style>
  <w:style w:type="character" w:styleId="HTMLKeyboard">
    <w:name w:val="HTML Keyboard"/>
    <w:semiHidden/>
    <w:rsid w:val="00AD65D5"/>
    <w:rPr>
      <w:rFonts w:ascii="Courier New" w:hAnsi="Courier New" w:cs="Courier New"/>
      <w:sz w:val="20"/>
      <w:szCs w:val="20"/>
    </w:rPr>
  </w:style>
  <w:style w:type="paragraph" w:styleId="HTMLPreformatted">
    <w:name w:val="HTML Preformatted"/>
    <w:basedOn w:val="Normal"/>
    <w:semiHidden/>
    <w:rsid w:val="00AD65D5"/>
    <w:rPr>
      <w:rFonts w:ascii="Courier New" w:hAnsi="Courier New" w:cs="Courier New"/>
      <w:sz w:val="20"/>
    </w:rPr>
  </w:style>
  <w:style w:type="character" w:styleId="HTMLSample">
    <w:name w:val="HTML Sample"/>
    <w:semiHidden/>
    <w:rsid w:val="00AD65D5"/>
    <w:rPr>
      <w:rFonts w:ascii="Courier New" w:hAnsi="Courier New" w:cs="Courier New"/>
    </w:rPr>
  </w:style>
  <w:style w:type="character" w:styleId="HTMLTypewriter">
    <w:name w:val="HTML Typewriter"/>
    <w:semiHidden/>
    <w:rsid w:val="00AD65D5"/>
    <w:rPr>
      <w:rFonts w:ascii="Courier New" w:hAnsi="Courier New" w:cs="Courier New"/>
      <w:sz w:val="20"/>
      <w:szCs w:val="20"/>
    </w:rPr>
  </w:style>
  <w:style w:type="character" w:styleId="HTMLVariable">
    <w:name w:val="HTML Variable"/>
    <w:semiHidden/>
    <w:rsid w:val="00AD65D5"/>
    <w:rPr>
      <w:i/>
      <w:iCs/>
    </w:rPr>
  </w:style>
  <w:style w:type="character" w:styleId="Hyperlink">
    <w:name w:val="Hyperlink"/>
    <w:semiHidden/>
    <w:rsid w:val="00AD65D5"/>
    <w:rPr>
      <w:color w:val="0000FF"/>
      <w:u w:val="single"/>
    </w:rPr>
  </w:style>
  <w:style w:type="character" w:styleId="LineNumber">
    <w:name w:val="line number"/>
    <w:basedOn w:val="DefaultParagraphFont"/>
    <w:semiHidden/>
    <w:rsid w:val="00AD65D5"/>
  </w:style>
  <w:style w:type="paragraph" w:styleId="List">
    <w:name w:val="List"/>
    <w:basedOn w:val="Normal"/>
    <w:semiHidden/>
    <w:rsid w:val="00AD65D5"/>
    <w:pPr>
      <w:ind w:left="283" w:hanging="283"/>
    </w:pPr>
  </w:style>
  <w:style w:type="paragraph" w:styleId="List2">
    <w:name w:val="List 2"/>
    <w:basedOn w:val="Normal"/>
    <w:semiHidden/>
    <w:rsid w:val="00AD65D5"/>
    <w:pPr>
      <w:ind w:left="566" w:hanging="283"/>
    </w:pPr>
  </w:style>
  <w:style w:type="paragraph" w:styleId="List3">
    <w:name w:val="List 3"/>
    <w:basedOn w:val="Normal"/>
    <w:semiHidden/>
    <w:rsid w:val="00AD65D5"/>
    <w:pPr>
      <w:ind w:left="849" w:hanging="283"/>
    </w:pPr>
  </w:style>
  <w:style w:type="paragraph" w:styleId="List4">
    <w:name w:val="List 4"/>
    <w:basedOn w:val="Normal"/>
    <w:semiHidden/>
    <w:rsid w:val="00AD65D5"/>
    <w:pPr>
      <w:ind w:left="1132" w:hanging="283"/>
    </w:pPr>
  </w:style>
  <w:style w:type="paragraph" w:styleId="List5">
    <w:name w:val="List 5"/>
    <w:basedOn w:val="Normal"/>
    <w:semiHidden/>
    <w:rsid w:val="00AD65D5"/>
    <w:pPr>
      <w:ind w:left="1415" w:hanging="283"/>
    </w:pPr>
  </w:style>
  <w:style w:type="paragraph" w:styleId="ListBullet">
    <w:name w:val="List Bullet"/>
    <w:basedOn w:val="Normal"/>
    <w:semiHidden/>
    <w:rsid w:val="00AD65D5"/>
    <w:pPr>
      <w:numPr>
        <w:numId w:val="2"/>
      </w:numPr>
    </w:pPr>
  </w:style>
  <w:style w:type="paragraph" w:styleId="ListBullet2">
    <w:name w:val="List Bullet 2"/>
    <w:basedOn w:val="Normal"/>
    <w:semiHidden/>
    <w:rsid w:val="00AD65D5"/>
    <w:pPr>
      <w:numPr>
        <w:numId w:val="3"/>
      </w:numPr>
    </w:pPr>
  </w:style>
  <w:style w:type="paragraph" w:styleId="ListBullet3">
    <w:name w:val="List Bullet 3"/>
    <w:basedOn w:val="Normal"/>
    <w:semiHidden/>
    <w:rsid w:val="00AD65D5"/>
    <w:pPr>
      <w:numPr>
        <w:numId w:val="4"/>
      </w:numPr>
    </w:pPr>
  </w:style>
  <w:style w:type="paragraph" w:styleId="ListBullet4">
    <w:name w:val="List Bullet 4"/>
    <w:basedOn w:val="Normal"/>
    <w:semiHidden/>
    <w:rsid w:val="00AD65D5"/>
    <w:pPr>
      <w:numPr>
        <w:numId w:val="5"/>
      </w:numPr>
    </w:pPr>
  </w:style>
  <w:style w:type="paragraph" w:styleId="ListBullet5">
    <w:name w:val="List Bullet 5"/>
    <w:basedOn w:val="Normal"/>
    <w:semiHidden/>
    <w:rsid w:val="00AD65D5"/>
    <w:pPr>
      <w:numPr>
        <w:numId w:val="6"/>
      </w:numPr>
    </w:pPr>
  </w:style>
  <w:style w:type="paragraph" w:styleId="ListContinue">
    <w:name w:val="List Continue"/>
    <w:basedOn w:val="Normal"/>
    <w:semiHidden/>
    <w:rsid w:val="00AD65D5"/>
    <w:pPr>
      <w:spacing w:after="120"/>
      <w:ind w:left="283"/>
    </w:pPr>
  </w:style>
  <w:style w:type="paragraph" w:styleId="ListContinue2">
    <w:name w:val="List Continue 2"/>
    <w:basedOn w:val="Normal"/>
    <w:semiHidden/>
    <w:rsid w:val="00AD65D5"/>
    <w:pPr>
      <w:spacing w:after="120"/>
      <w:ind w:left="566"/>
    </w:pPr>
  </w:style>
  <w:style w:type="paragraph" w:styleId="ListContinue3">
    <w:name w:val="List Continue 3"/>
    <w:basedOn w:val="Normal"/>
    <w:semiHidden/>
    <w:rsid w:val="00AD65D5"/>
    <w:pPr>
      <w:spacing w:after="120"/>
      <w:ind w:left="849"/>
    </w:pPr>
  </w:style>
  <w:style w:type="paragraph" w:styleId="ListContinue4">
    <w:name w:val="List Continue 4"/>
    <w:basedOn w:val="Normal"/>
    <w:semiHidden/>
    <w:rsid w:val="00AD65D5"/>
    <w:pPr>
      <w:spacing w:after="120"/>
      <w:ind w:left="1132"/>
    </w:pPr>
  </w:style>
  <w:style w:type="paragraph" w:styleId="ListContinue5">
    <w:name w:val="List Continue 5"/>
    <w:basedOn w:val="Normal"/>
    <w:semiHidden/>
    <w:rsid w:val="00AD65D5"/>
    <w:pPr>
      <w:spacing w:after="120"/>
      <w:ind w:left="1415"/>
    </w:pPr>
  </w:style>
  <w:style w:type="paragraph" w:styleId="ListNumber">
    <w:name w:val="List Number"/>
    <w:basedOn w:val="Normal"/>
    <w:semiHidden/>
    <w:rsid w:val="00AD65D5"/>
    <w:pPr>
      <w:numPr>
        <w:numId w:val="7"/>
      </w:numPr>
    </w:pPr>
  </w:style>
  <w:style w:type="paragraph" w:styleId="ListNumber2">
    <w:name w:val="List Number 2"/>
    <w:basedOn w:val="Normal"/>
    <w:semiHidden/>
    <w:rsid w:val="00AD65D5"/>
    <w:pPr>
      <w:numPr>
        <w:numId w:val="8"/>
      </w:numPr>
    </w:pPr>
  </w:style>
  <w:style w:type="paragraph" w:styleId="ListNumber3">
    <w:name w:val="List Number 3"/>
    <w:basedOn w:val="Normal"/>
    <w:semiHidden/>
    <w:rsid w:val="00AD65D5"/>
    <w:pPr>
      <w:numPr>
        <w:numId w:val="9"/>
      </w:numPr>
    </w:pPr>
  </w:style>
  <w:style w:type="paragraph" w:styleId="ListNumber4">
    <w:name w:val="List Number 4"/>
    <w:basedOn w:val="Normal"/>
    <w:semiHidden/>
    <w:rsid w:val="00AD65D5"/>
    <w:pPr>
      <w:numPr>
        <w:numId w:val="10"/>
      </w:numPr>
    </w:pPr>
  </w:style>
  <w:style w:type="paragraph" w:styleId="ListNumber5">
    <w:name w:val="List Number 5"/>
    <w:basedOn w:val="Normal"/>
    <w:semiHidden/>
    <w:rsid w:val="00AD65D5"/>
    <w:pPr>
      <w:numPr>
        <w:numId w:val="11"/>
      </w:numPr>
    </w:pPr>
  </w:style>
  <w:style w:type="paragraph" w:styleId="MessageHeader">
    <w:name w:val="Message Header"/>
    <w:basedOn w:val="Normal"/>
    <w:semiHidden/>
    <w:rsid w:val="00AD65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AD65D5"/>
    <w:rPr>
      <w:szCs w:val="24"/>
    </w:rPr>
  </w:style>
  <w:style w:type="paragraph" w:styleId="NormalIndent">
    <w:name w:val="Normal Indent"/>
    <w:basedOn w:val="Normal"/>
    <w:semiHidden/>
    <w:rsid w:val="00AD65D5"/>
    <w:pPr>
      <w:ind w:left="720"/>
    </w:pPr>
  </w:style>
  <w:style w:type="paragraph" w:styleId="NoteHeading">
    <w:name w:val="Note Heading"/>
    <w:basedOn w:val="Normal"/>
    <w:next w:val="Normal"/>
    <w:semiHidden/>
    <w:rsid w:val="00AD65D5"/>
  </w:style>
  <w:style w:type="character" w:styleId="PageNumber">
    <w:name w:val="page number"/>
    <w:basedOn w:val="DefaultParagraphFont"/>
    <w:semiHidden/>
    <w:rsid w:val="00AD65D5"/>
  </w:style>
  <w:style w:type="paragraph" w:styleId="PlainText">
    <w:name w:val="Plain Text"/>
    <w:basedOn w:val="Normal"/>
    <w:semiHidden/>
    <w:rsid w:val="00AD65D5"/>
    <w:rPr>
      <w:rFonts w:ascii="Courier New" w:hAnsi="Courier New" w:cs="Courier New"/>
      <w:sz w:val="20"/>
    </w:rPr>
  </w:style>
  <w:style w:type="paragraph" w:styleId="Salutation">
    <w:name w:val="Salutation"/>
    <w:basedOn w:val="Normal"/>
    <w:next w:val="Normal"/>
    <w:semiHidden/>
    <w:rsid w:val="00AD65D5"/>
  </w:style>
  <w:style w:type="paragraph" w:styleId="Signature">
    <w:name w:val="Signature"/>
    <w:basedOn w:val="Normal"/>
    <w:semiHidden/>
    <w:rsid w:val="00AD65D5"/>
    <w:pPr>
      <w:ind w:left="4252"/>
    </w:pPr>
  </w:style>
  <w:style w:type="character" w:styleId="Strong">
    <w:name w:val="Strong"/>
    <w:semiHidden/>
    <w:rsid w:val="00AD65D5"/>
    <w:rPr>
      <w:b/>
      <w:bCs/>
    </w:rPr>
  </w:style>
  <w:style w:type="paragraph" w:styleId="Subtitle">
    <w:name w:val="Subtitle"/>
    <w:basedOn w:val="Normal"/>
    <w:semiHidden/>
    <w:rsid w:val="00AD65D5"/>
    <w:pPr>
      <w:spacing w:after="60"/>
      <w:jc w:val="center"/>
      <w:outlineLvl w:val="1"/>
    </w:pPr>
    <w:rPr>
      <w:rFonts w:ascii="Arial" w:hAnsi="Arial" w:cs="Arial"/>
      <w:szCs w:val="24"/>
    </w:rPr>
  </w:style>
  <w:style w:type="table" w:styleId="Table3Deffects1">
    <w:name w:val="Table 3D effects 1"/>
    <w:basedOn w:val="TableNormal"/>
    <w:semiHidden/>
    <w:rsid w:val="00AD65D5"/>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D65D5"/>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D65D5"/>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D65D5"/>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D65D5"/>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D65D5"/>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D65D5"/>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D65D5"/>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D65D5"/>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D65D5"/>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D65D5"/>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D65D5"/>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D65D5"/>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D65D5"/>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D65D5"/>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D65D5"/>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D65D5"/>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D65D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D65D5"/>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D65D5"/>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D65D5"/>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D65D5"/>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D65D5"/>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D65D5"/>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D65D5"/>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D65D5"/>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D65D5"/>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D65D5"/>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D65D5"/>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D65D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D65D5"/>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D65D5"/>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D65D5"/>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D65D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D65D5"/>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D65D5"/>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D65D5"/>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D65D5"/>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D65D5"/>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D65D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D65D5"/>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D65D5"/>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D65D5"/>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AD65D5"/>
    <w:pPr>
      <w:spacing w:before="120" w:after="60" w:line="240" w:lineRule="auto"/>
      <w:jc w:val="left"/>
    </w:pPr>
  </w:style>
  <w:style w:type="paragraph" w:customStyle="1" w:styleId="bTOC2">
    <w:name w:val="bTOC 2"/>
    <w:basedOn w:val="TOC2"/>
    <w:semiHidden/>
    <w:rsid w:val="00AD65D5"/>
    <w:pPr>
      <w:spacing w:before="120" w:after="60" w:line="240" w:lineRule="auto"/>
      <w:ind w:left="238"/>
      <w:jc w:val="left"/>
    </w:pPr>
  </w:style>
  <w:style w:type="paragraph" w:customStyle="1" w:styleId="bTOC3">
    <w:name w:val="bTOC 3"/>
    <w:basedOn w:val="TOC3"/>
    <w:semiHidden/>
    <w:rsid w:val="00AD65D5"/>
    <w:pPr>
      <w:spacing w:before="120" w:after="60" w:line="240" w:lineRule="auto"/>
      <w:ind w:left="482"/>
      <w:jc w:val="left"/>
    </w:pPr>
  </w:style>
  <w:style w:type="paragraph" w:customStyle="1" w:styleId="bTOC4">
    <w:name w:val="bTOC 4"/>
    <w:basedOn w:val="TOC4"/>
    <w:semiHidden/>
    <w:rsid w:val="00AD65D5"/>
    <w:pPr>
      <w:spacing w:before="120" w:after="60" w:line="240" w:lineRule="auto"/>
      <w:jc w:val="left"/>
    </w:pPr>
  </w:style>
  <w:style w:type="paragraph" w:customStyle="1" w:styleId="Counsel">
    <w:name w:val="Counsel"/>
    <w:basedOn w:val="Normal"/>
    <w:unhideWhenUsed/>
    <w:rsid w:val="00AD65D5"/>
    <w:pPr>
      <w:widowControl w:val="0"/>
      <w:suppressAutoHyphens/>
      <w:spacing w:line="240" w:lineRule="auto"/>
    </w:pPr>
  </w:style>
  <w:style w:type="character" w:customStyle="1" w:styleId="CertifyChar">
    <w:name w:val="Certify Char"/>
    <w:link w:val="Certify"/>
    <w:semiHidden/>
    <w:rsid w:val="00AD65D5"/>
    <w:rPr>
      <w:sz w:val="24"/>
      <w:szCs w:val="24"/>
      <w:lang w:eastAsia="en-US"/>
    </w:rPr>
  </w:style>
  <w:style w:type="paragraph" w:customStyle="1" w:styleId="fcHeading1">
    <w:name w:val="fcHeading 1"/>
    <w:basedOn w:val="Normal"/>
    <w:next w:val="ParaNumbering"/>
    <w:semiHidden/>
    <w:rsid w:val="00AD65D5"/>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AD65D5"/>
    <w:pPr>
      <w:keepNext/>
      <w:numPr>
        <w:ilvl w:val="1"/>
        <w:numId w:val="15"/>
      </w:numPr>
      <w:spacing w:before="240" w:after="60" w:line="240" w:lineRule="auto"/>
    </w:pPr>
    <w:rPr>
      <w:b/>
    </w:rPr>
  </w:style>
  <w:style w:type="paragraph" w:customStyle="1" w:styleId="fcHeading3">
    <w:name w:val="fcHeading 3"/>
    <w:basedOn w:val="Normal"/>
    <w:next w:val="ParaNumbering"/>
    <w:semiHidden/>
    <w:rsid w:val="00AD65D5"/>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AD65D5"/>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AD65D5"/>
    <w:pPr>
      <w:keepNext/>
      <w:numPr>
        <w:ilvl w:val="4"/>
        <w:numId w:val="15"/>
      </w:numPr>
      <w:spacing w:before="240" w:after="60" w:line="240" w:lineRule="auto"/>
    </w:pPr>
    <w:rPr>
      <w:b/>
      <w:caps/>
    </w:rPr>
  </w:style>
  <w:style w:type="paragraph" w:customStyle="1" w:styleId="FTOC5">
    <w:name w:val="FTOC 5"/>
    <w:basedOn w:val="Normal"/>
    <w:semiHidden/>
    <w:rsid w:val="00AD65D5"/>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AD65D5"/>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AD65D5"/>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AD65D5"/>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AD65D5"/>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AD65D5"/>
    <w:pPr>
      <w:tabs>
        <w:tab w:val="right" w:leader="dot" w:pos="9072"/>
      </w:tabs>
      <w:spacing w:before="120" w:after="60" w:line="240" w:lineRule="auto"/>
      <w:ind w:left="709" w:hanging="709"/>
      <w:jc w:val="left"/>
    </w:pPr>
  </w:style>
  <w:style w:type="paragraph" w:customStyle="1" w:styleId="bTOC6">
    <w:name w:val="bTOC 6"/>
    <w:basedOn w:val="Normal"/>
    <w:semiHidden/>
    <w:rsid w:val="00AD65D5"/>
    <w:pPr>
      <w:tabs>
        <w:tab w:val="right" w:leader="dot" w:pos="9072"/>
      </w:tabs>
      <w:spacing w:before="120" w:after="60" w:line="240" w:lineRule="auto"/>
      <w:ind w:left="1418" w:hanging="709"/>
      <w:jc w:val="left"/>
    </w:pPr>
  </w:style>
  <w:style w:type="paragraph" w:customStyle="1" w:styleId="bTOC7">
    <w:name w:val="bTOC 7"/>
    <w:basedOn w:val="Normal"/>
    <w:semiHidden/>
    <w:rsid w:val="00AD65D5"/>
    <w:pPr>
      <w:tabs>
        <w:tab w:val="right" w:leader="dot" w:pos="9072"/>
      </w:tabs>
      <w:spacing w:before="120" w:after="60" w:line="240" w:lineRule="auto"/>
      <w:ind w:left="2240" w:hanging="822"/>
      <w:jc w:val="left"/>
    </w:pPr>
  </w:style>
  <w:style w:type="paragraph" w:customStyle="1" w:styleId="bTOC8">
    <w:name w:val="bTOC 8"/>
    <w:basedOn w:val="Normal"/>
    <w:semiHidden/>
    <w:rsid w:val="00AD65D5"/>
    <w:pPr>
      <w:keepNext/>
      <w:tabs>
        <w:tab w:val="right" w:leader="dot" w:pos="9072"/>
      </w:tabs>
      <w:spacing w:before="120" w:after="60" w:line="240" w:lineRule="auto"/>
      <w:ind w:left="3373" w:hanging="1247"/>
      <w:jc w:val="left"/>
    </w:pPr>
  </w:style>
  <w:style w:type="paragraph" w:customStyle="1" w:styleId="bTOC9">
    <w:name w:val="bTOC 9"/>
    <w:basedOn w:val="Normal"/>
    <w:semiHidden/>
    <w:rsid w:val="00AD65D5"/>
    <w:pPr>
      <w:keepNext/>
      <w:tabs>
        <w:tab w:val="right" w:leader="dot" w:pos="9072"/>
      </w:tabs>
      <w:spacing w:before="120" w:after="60" w:line="240" w:lineRule="auto"/>
      <w:ind w:left="4082" w:hanging="1247"/>
      <w:jc w:val="left"/>
    </w:pPr>
  </w:style>
  <w:style w:type="paragraph" w:customStyle="1" w:styleId="ListNo2">
    <w:name w:val="List No 2"/>
    <w:basedOn w:val="ListNo1"/>
    <w:rsid w:val="00AD65D5"/>
    <w:pPr>
      <w:numPr>
        <w:ilvl w:val="1"/>
      </w:numPr>
    </w:pPr>
  </w:style>
  <w:style w:type="paragraph" w:customStyle="1" w:styleId="ListNo3">
    <w:name w:val="List No 3"/>
    <w:basedOn w:val="ListNo2"/>
    <w:rsid w:val="00AD65D5"/>
    <w:pPr>
      <w:numPr>
        <w:ilvl w:val="2"/>
      </w:numPr>
    </w:pPr>
  </w:style>
  <w:style w:type="numbering" w:customStyle="1" w:styleId="FCListNo">
    <w:name w:val="FCListNo"/>
    <w:uiPriority w:val="99"/>
    <w:rsid w:val="00AD65D5"/>
    <w:pPr>
      <w:numPr>
        <w:numId w:val="16"/>
      </w:numPr>
    </w:pPr>
  </w:style>
  <w:style w:type="paragraph" w:customStyle="1" w:styleId="SingleSpace">
    <w:name w:val="SingleSpace"/>
    <w:basedOn w:val="Normal"/>
    <w:rsid w:val="00AD65D5"/>
    <w:pPr>
      <w:spacing w:line="240" w:lineRule="auto"/>
    </w:pPr>
    <w:rPr>
      <w:szCs w:val="22"/>
    </w:rPr>
  </w:style>
  <w:style w:type="paragraph" w:customStyle="1" w:styleId="Quote1Bullet">
    <w:name w:val="Quote1 Bullet"/>
    <w:basedOn w:val="Quote1"/>
    <w:rsid w:val="00AD65D5"/>
    <w:pPr>
      <w:numPr>
        <w:numId w:val="17"/>
      </w:numPr>
      <w:ind w:left="1440" w:hanging="720"/>
    </w:pPr>
  </w:style>
  <w:style w:type="paragraph" w:customStyle="1" w:styleId="Quote2Bullet">
    <w:name w:val="Quote2 Bullet"/>
    <w:basedOn w:val="Quote2"/>
    <w:rsid w:val="00AD65D5"/>
    <w:pPr>
      <w:numPr>
        <w:numId w:val="18"/>
      </w:numPr>
      <w:ind w:hanging="720"/>
    </w:pPr>
  </w:style>
  <w:style w:type="paragraph" w:customStyle="1" w:styleId="Quote3Bullet">
    <w:name w:val="Quote3 Bullet"/>
    <w:basedOn w:val="Quote3"/>
    <w:rsid w:val="00AD65D5"/>
    <w:pPr>
      <w:numPr>
        <w:numId w:val="19"/>
      </w:numPr>
      <w:ind w:hanging="720"/>
    </w:pPr>
  </w:style>
  <w:style w:type="paragraph" w:customStyle="1" w:styleId="Order1">
    <w:name w:val="Order 1"/>
    <w:basedOn w:val="Normal"/>
    <w:rsid w:val="00AD65D5"/>
    <w:pPr>
      <w:numPr>
        <w:numId w:val="20"/>
      </w:numPr>
      <w:spacing w:before="60" w:after="60"/>
    </w:pPr>
  </w:style>
  <w:style w:type="numbering" w:customStyle="1" w:styleId="FCOrders">
    <w:name w:val="FCOrders"/>
    <w:uiPriority w:val="99"/>
    <w:rsid w:val="00AD65D5"/>
    <w:pPr>
      <w:numPr>
        <w:numId w:val="20"/>
      </w:numPr>
    </w:pPr>
  </w:style>
  <w:style w:type="paragraph" w:customStyle="1" w:styleId="BodyTextBold">
    <w:name w:val="Body Text Bold"/>
    <w:basedOn w:val="BodyText"/>
    <w:rsid w:val="00AD65D5"/>
    <w:rPr>
      <w:b/>
    </w:rPr>
  </w:style>
  <w:style w:type="paragraph" w:customStyle="1" w:styleId="GeneralHeading">
    <w:name w:val="General Heading"/>
    <w:basedOn w:val="BodyTextBold"/>
    <w:next w:val="BodyText"/>
    <w:rsid w:val="00AD65D5"/>
    <w:pPr>
      <w:spacing w:line="480" w:lineRule="auto"/>
      <w:jc w:val="center"/>
    </w:pPr>
    <w:rPr>
      <w:sz w:val="28"/>
    </w:rPr>
  </w:style>
  <w:style w:type="paragraph" w:customStyle="1" w:styleId="ReasonJudge">
    <w:name w:val="Reason Judge"/>
    <w:basedOn w:val="BodyText"/>
    <w:next w:val="BodyText"/>
    <w:rsid w:val="00AD65D5"/>
    <w:pPr>
      <w:jc w:val="left"/>
    </w:pPr>
    <w:rPr>
      <w:b/>
      <w:sz w:val="26"/>
    </w:rPr>
  </w:style>
  <w:style w:type="paragraph" w:customStyle="1" w:styleId="FileNo">
    <w:name w:val="FileNo"/>
    <w:basedOn w:val="NormalHeadings"/>
    <w:rsid w:val="00AD65D5"/>
    <w:pPr>
      <w:tabs>
        <w:tab w:val="right" w:pos="3609"/>
      </w:tabs>
      <w:spacing w:line="276" w:lineRule="auto"/>
      <w:jc w:val="right"/>
    </w:pPr>
    <w:rPr>
      <w:szCs w:val="24"/>
    </w:rPr>
  </w:style>
  <w:style w:type="paragraph" w:customStyle="1" w:styleId="CasesLegislationAppealFrom">
    <w:name w:val="Cases Legislation Appeal From"/>
    <w:basedOn w:val="Normal1linespace"/>
    <w:rsid w:val="00AD65D5"/>
    <w:pPr>
      <w:widowControl w:val="0"/>
      <w:spacing w:after="100"/>
      <w:jc w:val="left"/>
    </w:pPr>
  </w:style>
  <w:style w:type="paragraph" w:customStyle="1" w:styleId="PartyName">
    <w:name w:val="Party Name"/>
    <w:basedOn w:val="NormalHeadings"/>
    <w:rsid w:val="00AD65D5"/>
    <w:pPr>
      <w:jc w:val="left"/>
    </w:pPr>
    <w:rPr>
      <w:szCs w:val="24"/>
    </w:rPr>
  </w:style>
  <w:style w:type="paragraph" w:customStyle="1" w:styleId="PartyType">
    <w:name w:val="Party Type"/>
    <w:basedOn w:val="PartyName"/>
    <w:rsid w:val="00AD65D5"/>
    <w:rPr>
      <w:b w:val="0"/>
    </w:rPr>
  </w:style>
  <w:style w:type="paragraph" w:customStyle="1" w:styleId="Small-TableswithinQuotes">
    <w:name w:val="Small - Tables within Quotes"/>
    <w:basedOn w:val="BodyText"/>
    <w:rsid w:val="00AD65D5"/>
    <w:pPr>
      <w:spacing w:line="240" w:lineRule="auto"/>
      <w:jc w:val="left"/>
    </w:pPr>
    <w:rPr>
      <w:sz w:val="22"/>
    </w:rPr>
  </w:style>
  <w:style w:type="character" w:customStyle="1" w:styleId="BodyTextChar">
    <w:name w:val="Body Text Char"/>
    <w:basedOn w:val="DefaultParagraphFont"/>
    <w:link w:val="BodyText"/>
    <w:rsid w:val="00AD65D5"/>
    <w:rPr>
      <w:sz w:val="24"/>
      <w:lang w:eastAsia="en-US"/>
    </w:rPr>
  </w:style>
  <w:style w:type="character" w:customStyle="1" w:styleId="NormalHeadingsChar">
    <w:name w:val="Normal Headings Char"/>
    <w:basedOn w:val="DefaultParagraphFont"/>
    <w:link w:val="NormalHeadings"/>
    <w:rsid w:val="00AD65D5"/>
    <w:rPr>
      <w:b/>
      <w:sz w:val="24"/>
      <w:lang w:eastAsia="en-US"/>
    </w:rPr>
  </w:style>
  <w:style w:type="paragraph" w:customStyle="1" w:styleId="CourtTitle">
    <w:name w:val="CourtTitle"/>
    <w:basedOn w:val="NormalHeadings"/>
    <w:rsid w:val="00AD65D5"/>
    <w:pPr>
      <w:jc w:val="center"/>
    </w:pPr>
    <w:rPr>
      <w:caps/>
      <w:sz w:val="32"/>
    </w:rPr>
  </w:style>
  <w:style w:type="paragraph" w:customStyle="1" w:styleId="MNC">
    <w:name w:val="MNC"/>
    <w:basedOn w:val="MediaNeutralStyle"/>
    <w:rsid w:val="00AD65D5"/>
    <w:pPr>
      <w:spacing w:after="240"/>
    </w:pPr>
    <w:rPr>
      <w:sz w:val="28"/>
    </w:rPr>
  </w:style>
  <w:style w:type="paragraph" w:customStyle="1" w:styleId="Quote4">
    <w:name w:val="Quote4"/>
    <w:basedOn w:val="Quote1"/>
    <w:rsid w:val="00AD65D5"/>
    <w:pPr>
      <w:ind w:left="2880"/>
    </w:pPr>
  </w:style>
  <w:style w:type="paragraph" w:customStyle="1" w:styleId="Quote4Bullet">
    <w:name w:val="Quote4 Bullet"/>
    <w:basedOn w:val="Quote4"/>
    <w:rsid w:val="00AD65D5"/>
    <w:pPr>
      <w:numPr>
        <w:numId w:val="21"/>
      </w:numPr>
      <w:ind w:hanging="720"/>
    </w:pPr>
  </w:style>
  <w:style w:type="character" w:styleId="PlaceholderText">
    <w:name w:val="Placeholder Text"/>
    <w:basedOn w:val="DefaultParagraphFont"/>
    <w:uiPriority w:val="99"/>
    <w:semiHidden/>
    <w:rsid w:val="00AD65D5"/>
    <w:rPr>
      <w:color w:val="808080"/>
    </w:rPr>
  </w:style>
  <w:style w:type="paragraph" w:customStyle="1" w:styleId="Order2">
    <w:name w:val="Order 2"/>
    <w:basedOn w:val="Order1"/>
    <w:rsid w:val="00AD65D5"/>
    <w:pPr>
      <w:numPr>
        <w:ilvl w:val="1"/>
      </w:numPr>
    </w:pPr>
  </w:style>
  <w:style w:type="paragraph" w:customStyle="1" w:styleId="Order3">
    <w:name w:val="Order 3"/>
    <w:basedOn w:val="Order2"/>
    <w:rsid w:val="00AD65D5"/>
    <w:pPr>
      <w:numPr>
        <w:ilvl w:val="2"/>
      </w:numPr>
    </w:pPr>
  </w:style>
  <w:style w:type="paragraph" w:customStyle="1" w:styleId="ListNo1alt">
    <w:name w:val="List No 1 (alt)"/>
    <w:basedOn w:val="Normal"/>
    <w:rsid w:val="00AD65D5"/>
    <w:pPr>
      <w:numPr>
        <w:numId w:val="33"/>
      </w:numPr>
      <w:spacing w:before="60" w:after="60"/>
    </w:pPr>
  </w:style>
  <w:style w:type="paragraph" w:customStyle="1" w:styleId="ListNo2alt">
    <w:name w:val="List No 2 (alt)"/>
    <w:basedOn w:val="ListNo1alt"/>
    <w:rsid w:val="00AD65D5"/>
    <w:pPr>
      <w:numPr>
        <w:ilvl w:val="1"/>
      </w:numPr>
    </w:pPr>
  </w:style>
  <w:style w:type="paragraph" w:customStyle="1" w:styleId="ListNo3alt">
    <w:name w:val="List No 3 (alt)"/>
    <w:basedOn w:val="ListNo2alt"/>
    <w:rsid w:val="00AD65D5"/>
    <w:pPr>
      <w:numPr>
        <w:ilvl w:val="2"/>
      </w:numPr>
    </w:pPr>
  </w:style>
  <w:style w:type="numbering" w:customStyle="1" w:styleId="FCListNoalt">
    <w:name w:val="FC List No (alt)"/>
    <w:uiPriority w:val="99"/>
    <w:rsid w:val="00AD65D5"/>
    <w:pPr>
      <w:numPr>
        <w:numId w:val="23"/>
      </w:numPr>
    </w:pPr>
  </w:style>
  <w:style w:type="paragraph" w:customStyle="1" w:styleId="Order4">
    <w:name w:val="Order 4"/>
    <w:basedOn w:val="Order3"/>
    <w:rsid w:val="00AD65D5"/>
    <w:pPr>
      <w:numPr>
        <w:ilvl w:val="3"/>
      </w:numPr>
    </w:pPr>
  </w:style>
  <w:style w:type="paragraph" w:styleId="FootnoteText">
    <w:name w:val="footnote text"/>
    <w:basedOn w:val="Normal"/>
    <w:link w:val="FootnoteTextChar"/>
    <w:semiHidden/>
    <w:unhideWhenUsed/>
    <w:rsid w:val="00AD65D5"/>
    <w:pPr>
      <w:spacing w:line="240" w:lineRule="auto"/>
    </w:pPr>
    <w:rPr>
      <w:sz w:val="20"/>
    </w:rPr>
  </w:style>
  <w:style w:type="character" w:customStyle="1" w:styleId="FootnoteTextChar">
    <w:name w:val="Footnote Text Char"/>
    <w:basedOn w:val="DefaultParagraphFont"/>
    <w:link w:val="FootnoteText"/>
    <w:semiHidden/>
    <w:rsid w:val="00AD65D5"/>
    <w:rPr>
      <w:lang w:eastAsia="en-US"/>
    </w:rPr>
  </w:style>
  <w:style w:type="character" w:styleId="FootnoteReference">
    <w:name w:val="footnote reference"/>
    <w:basedOn w:val="DefaultParagraphFont"/>
    <w:semiHidden/>
    <w:unhideWhenUsed/>
    <w:rsid w:val="00AD65D5"/>
    <w:rPr>
      <w:vertAlign w:val="superscript"/>
    </w:rPr>
  </w:style>
  <w:style w:type="paragraph" w:customStyle="1" w:styleId="FCBullets2">
    <w:name w:val="FCBullets2"/>
    <w:basedOn w:val="FCBullets"/>
    <w:rsid w:val="00AD65D5"/>
    <w:pPr>
      <w:numPr>
        <w:ilvl w:val="1"/>
      </w:numPr>
    </w:pPr>
  </w:style>
  <w:style w:type="numbering" w:customStyle="1" w:styleId="FCNotes">
    <w:name w:val="FCNotes"/>
    <w:uiPriority w:val="99"/>
    <w:rsid w:val="00AD65D5"/>
    <w:pPr>
      <w:numPr>
        <w:numId w:val="26"/>
      </w:numPr>
    </w:pPr>
  </w:style>
  <w:style w:type="paragraph" w:customStyle="1" w:styleId="Notes">
    <w:name w:val="Notes"/>
    <w:basedOn w:val="Normal"/>
    <w:rsid w:val="00AD65D5"/>
    <w:pPr>
      <w:numPr>
        <w:numId w:val="26"/>
      </w:numPr>
      <w:spacing w:before="60" w:after="60"/>
    </w:pPr>
  </w:style>
  <w:style w:type="paragraph" w:customStyle="1" w:styleId="OrdersHeading1">
    <w:name w:val="Orders Heading 1"/>
    <w:basedOn w:val="Normal"/>
    <w:next w:val="BodyText"/>
    <w:rsid w:val="00AD65D5"/>
    <w:pPr>
      <w:keepNext/>
      <w:spacing w:before="240" w:after="180" w:line="240" w:lineRule="auto"/>
    </w:pPr>
    <w:rPr>
      <w:b/>
      <w:caps/>
    </w:rPr>
  </w:style>
  <w:style w:type="paragraph" w:customStyle="1" w:styleId="OrdersHeading2">
    <w:name w:val="Orders Heading 2"/>
    <w:basedOn w:val="Normal"/>
    <w:next w:val="BodyText"/>
    <w:rsid w:val="00AD65D5"/>
    <w:pPr>
      <w:keepNext/>
      <w:spacing w:before="240" w:after="180" w:line="240" w:lineRule="auto"/>
    </w:pPr>
    <w:rPr>
      <w:b/>
    </w:rPr>
  </w:style>
  <w:style w:type="paragraph" w:styleId="ListParagraph">
    <w:name w:val="List Paragraph"/>
    <w:basedOn w:val="Normal"/>
    <w:uiPriority w:val="1"/>
    <w:qFormat/>
    <w:rsid w:val="00E615B7"/>
    <w:pPr>
      <w:widowControl w:val="0"/>
      <w:autoSpaceDE w:val="0"/>
      <w:autoSpaceDN w:val="0"/>
      <w:adjustRightInd w:val="0"/>
      <w:spacing w:line="240" w:lineRule="auto"/>
      <w:ind w:left="675" w:right="117" w:hanging="567"/>
    </w:pPr>
    <w:rPr>
      <w:rFonts w:eastAsiaTheme="minorEastAsia"/>
      <w:szCs w:val="24"/>
      <w:lang w:eastAsia="en-AU"/>
    </w:rPr>
  </w:style>
  <w:style w:type="paragraph" w:styleId="Revision">
    <w:name w:val="Revision"/>
    <w:hidden/>
    <w:uiPriority w:val="99"/>
    <w:semiHidden/>
    <w:rsid w:val="0006638C"/>
    <w:rPr>
      <w:sz w:val="24"/>
      <w:lang w:eastAsia="en-US"/>
    </w:rPr>
  </w:style>
  <w:style w:type="character" w:customStyle="1" w:styleId="ssit">
    <w:name w:val="ss_it"/>
    <w:basedOn w:val="DefaultParagraphFont"/>
    <w:rsid w:val="00721406"/>
  </w:style>
  <w:style w:type="character" w:customStyle="1" w:styleId="ssbf">
    <w:name w:val="ss_bf"/>
    <w:basedOn w:val="DefaultParagraphFont"/>
    <w:rsid w:val="00721406"/>
  </w:style>
  <w:style w:type="character" w:customStyle="1" w:styleId="sspagshow">
    <w:name w:val="ss_pag_show"/>
    <w:basedOn w:val="DefaultParagraphFont"/>
    <w:rsid w:val="00721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2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6A35C02D004F198CD62CC835EB461F"/>
        <w:category>
          <w:name w:val="General"/>
          <w:gallery w:val="placeholder"/>
        </w:category>
        <w:types>
          <w:type w:val="bbPlcHdr"/>
        </w:types>
        <w:behaviors>
          <w:behavior w:val="content"/>
        </w:behaviors>
        <w:guid w:val="{18BAA725-B7A5-462E-81A0-55780A478BE3}"/>
      </w:docPartPr>
      <w:docPartBody>
        <w:p w:rsidR="006C53B4" w:rsidRDefault="006C53B4">
          <w:pPr>
            <w:pStyle w:val="436A35C02D004F198CD62CC835EB461F"/>
          </w:pPr>
          <w:r>
            <w:rPr>
              <w:rStyle w:val="PlaceholderText"/>
            </w:rPr>
            <w:t>MNC Text</w:t>
          </w:r>
        </w:p>
      </w:docPartBody>
    </w:docPart>
    <w:docPart>
      <w:docPartPr>
        <w:name w:val="A1D65615E56347FC89E25C0D85021D83"/>
        <w:category>
          <w:name w:val="General"/>
          <w:gallery w:val="placeholder"/>
        </w:category>
        <w:types>
          <w:type w:val="bbPlcHdr"/>
        </w:types>
        <w:behaviors>
          <w:behavior w:val="content"/>
        </w:behaviors>
        <w:guid w:val="{E543C4D6-B1C8-471D-B26F-6356B2A8B487}"/>
      </w:docPartPr>
      <w:docPartBody>
        <w:p w:rsidR="006C53B4" w:rsidRDefault="006C53B4">
          <w:pPr>
            <w:pStyle w:val="A1D65615E56347FC89E25C0D85021D83"/>
          </w:pPr>
          <w:r w:rsidRPr="005C44BE">
            <w:rPr>
              <w:rStyle w:val="PlaceholderText"/>
            </w:rPr>
            <w:t>Click or tap here to enter text.</w:t>
          </w:r>
        </w:p>
      </w:docPartBody>
    </w:docPart>
    <w:docPart>
      <w:docPartPr>
        <w:name w:val="A9CF75D8C1F74ABDA6F6C429AACCFA41"/>
        <w:category>
          <w:name w:val="General"/>
          <w:gallery w:val="placeholder"/>
        </w:category>
        <w:types>
          <w:type w:val="bbPlcHdr"/>
        </w:types>
        <w:behaviors>
          <w:behavior w:val="content"/>
        </w:behaviors>
        <w:guid w:val="{21C9C5E4-19E9-434E-AA9D-E8414801C064}"/>
      </w:docPartPr>
      <w:docPartBody>
        <w:p w:rsidR="006C53B4" w:rsidRDefault="006C53B4">
          <w:pPr>
            <w:pStyle w:val="A9CF75D8C1F74ABDA6F6C429AACCFA41"/>
          </w:pPr>
          <w:r w:rsidRPr="005C44BE">
            <w:rPr>
              <w:rStyle w:val="PlaceholderText"/>
            </w:rPr>
            <w:t>Click or tap here to enter text.</w:t>
          </w:r>
        </w:p>
      </w:docPartBody>
    </w:docPart>
    <w:docPart>
      <w:docPartPr>
        <w:name w:val="3A53CE9734DF4E01A79397EE55A5901D"/>
        <w:category>
          <w:name w:val="General"/>
          <w:gallery w:val="placeholder"/>
        </w:category>
        <w:types>
          <w:type w:val="bbPlcHdr"/>
        </w:types>
        <w:behaviors>
          <w:behavior w:val="content"/>
        </w:behaviors>
        <w:guid w:val="{579A768B-EA76-460B-976E-A3FFC8AA7E31}"/>
      </w:docPartPr>
      <w:docPartBody>
        <w:p w:rsidR="006C53B4" w:rsidRDefault="006C53B4">
          <w:pPr>
            <w:pStyle w:val="3A53CE9734DF4E01A79397EE55A5901D"/>
          </w:pPr>
          <w:r w:rsidRPr="005C44BE">
            <w:rPr>
              <w:rStyle w:val="PlaceholderText"/>
            </w:rPr>
            <w:t>Click or tap here to enter text.</w:t>
          </w:r>
        </w:p>
      </w:docPartBody>
    </w:docPart>
    <w:docPart>
      <w:docPartPr>
        <w:name w:val="3E3DD3691C25491AB27CF0C141CA48AA"/>
        <w:category>
          <w:name w:val="General"/>
          <w:gallery w:val="placeholder"/>
        </w:category>
        <w:types>
          <w:type w:val="bbPlcHdr"/>
        </w:types>
        <w:behaviors>
          <w:behavior w:val="content"/>
        </w:behaviors>
        <w:guid w:val="{DE11EC03-DCA4-48C5-A662-9DA4BDD303F8}"/>
      </w:docPartPr>
      <w:docPartBody>
        <w:p w:rsidR="006C53B4" w:rsidRDefault="006C53B4">
          <w:pPr>
            <w:pStyle w:val="3E3DD3691C25491AB27CF0C141CA48AA"/>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B4"/>
    <w:rsid w:val="00030FE9"/>
    <w:rsid w:val="0016076D"/>
    <w:rsid w:val="001A4F54"/>
    <w:rsid w:val="001E1371"/>
    <w:rsid w:val="00250B48"/>
    <w:rsid w:val="002B40A4"/>
    <w:rsid w:val="00377022"/>
    <w:rsid w:val="003F716B"/>
    <w:rsid w:val="00697EA9"/>
    <w:rsid w:val="006C53B4"/>
    <w:rsid w:val="00714414"/>
    <w:rsid w:val="00720B7D"/>
    <w:rsid w:val="00821203"/>
    <w:rsid w:val="009014BF"/>
    <w:rsid w:val="00916E7B"/>
    <w:rsid w:val="00917577"/>
    <w:rsid w:val="009651FA"/>
    <w:rsid w:val="00970172"/>
    <w:rsid w:val="00BA5706"/>
    <w:rsid w:val="00D6043C"/>
    <w:rsid w:val="00DA3A1F"/>
    <w:rsid w:val="00DB1D78"/>
    <w:rsid w:val="00DF078B"/>
    <w:rsid w:val="00E97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6A35C02D004F198CD62CC835EB461F">
    <w:name w:val="436A35C02D004F198CD62CC835EB461F"/>
  </w:style>
  <w:style w:type="paragraph" w:customStyle="1" w:styleId="A1D65615E56347FC89E25C0D85021D83">
    <w:name w:val="A1D65615E56347FC89E25C0D85021D83"/>
  </w:style>
  <w:style w:type="paragraph" w:customStyle="1" w:styleId="A9CF75D8C1F74ABDA6F6C429AACCFA41">
    <w:name w:val="A9CF75D8C1F74ABDA6F6C429AACCFA41"/>
  </w:style>
  <w:style w:type="paragraph" w:customStyle="1" w:styleId="3A53CE9734DF4E01A79397EE55A5901D">
    <w:name w:val="3A53CE9734DF4E01A79397EE55A5901D"/>
  </w:style>
  <w:style w:type="paragraph" w:customStyle="1" w:styleId="3E3DD3691C25491AB27CF0C141CA48AA">
    <w:name w:val="3E3DD3691C25491AB27CF0C141CA4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A3FB0D899F2488084D8E6DC66E51A" ma:contentTypeVersion="8" ma:contentTypeDescription="Create a new document." ma:contentTypeScope="" ma:versionID="8896818fb421de11de7810c86a2a97fe">
  <xsd:schema xmlns:xsd="http://www.w3.org/2001/XMLSchema" xmlns:xs="http://www.w3.org/2001/XMLSchema" xmlns:p="http://schemas.microsoft.com/office/2006/metadata/properties" xmlns:ns3="6c983e10-35e2-4df9-82ad-a8f18fe75841" targetNamespace="http://schemas.microsoft.com/office/2006/metadata/properties" ma:root="true" ma:fieldsID="498b0fbb889daf9ed4bcda9f3ac54126" ns3:_="">
    <xsd:import namespace="6c983e10-35e2-4df9-82ad-a8f18fe75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83e10-35e2-4df9-82ad-a8f18fe7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globalmacros.com/FCA">
  <Name>MetLife Insurance Limited v Australian Financial Complaints Authority Limited [2022] FCAFC 173</Name>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DD26-42DB-40F2-8F0C-8948DE5A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83e10-35e2-4df9-82ad-a8f18fe75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827299E8-0BB7-4FF1-99F0-81CB21EAE281}">
  <ds:schemaRefs>
    <ds:schemaRef ds:uri="http://schemas.microsoft.com/office/infopath/2007/PartnerControls"/>
    <ds:schemaRef ds:uri="6c983e10-35e2-4df9-82ad-a8f18fe75841"/>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D5F5D72-02E7-4373-9917-17D71D890C31}">
  <ds:schemaRefs>
    <ds:schemaRef ds:uri="http://schemas.microsoft.com/sharepoint/v3/contenttype/forms"/>
  </ds:schemaRefs>
</ds:datastoreItem>
</file>

<file path=customXml/itemProps5.xml><?xml version="1.0" encoding="utf-8"?>
<ds:datastoreItem xmlns:ds="http://schemas.openxmlformats.org/officeDocument/2006/customXml" ds:itemID="{B0825AB8-4346-433C-BC45-35EEC7EE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7</TotalTime>
  <Pages>48</Pages>
  <Words>17392</Words>
  <Characters>90748</Characters>
  <Application>Microsoft Office Word</Application>
  <DocSecurity>0</DocSecurity>
  <Lines>1620</Lines>
  <Paragraphs>581</Paragraphs>
  <ScaleCrop>false</ScaleCrop>
  <HeadingPairs>
    <vt:vector size="2" baseType="variant">
      <vt:variant>
        <vt:lpstr>Title</vt:lpstr>
      </vt:variant>
      <vt:variant>
        <vt:i4>1</vt:i4>
      </vt:variant>
    </vt:vector>
  </HeadingPairs>
  <TitlesOfParts>
    <vt:vector size="1" baseType="lpstr">
      <vt:lpstr>umbered paragraphs are a true copy of the Reasons for Judgment of the Honourable Justice Halley.</vt:lpstr>
    </vt:vector>
  </TitlesOfParts>
  <Company>Federal Court of Australia</Company>
  <LinksUpToDate>false</LinksUpToDate>
  <CharactersWithSpaces>107559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umbered paragraphs are a true copy of the Reasons for Judgment of the Honourable Justice Halley.</dc:title>
  <dc:creator>Federal Court of Australia</dc:creator>
  <dc:description>v1.3</dc:description>
  <cp:lastModifiedBy>Federal Court of Australia</cp:lastModifiedBy>
  <cp:revision>4</cp:revision>
  <cp:lastPrinted>2022-10-26T03:48:00Z</cp:lastPrinted>
  <dcterms:created xsi:type="dcterms:W3CDTF">2022-10-26T22:10:00Z</dcterms:created>
  <dcterms:modified xsi:type="dcterms:W3CDTF">2022-10-26T22:17:00Z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Appeal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Commercial Contracts, Banking, Finance and Insurance</vt:lpwstr>
  </property>
  <property fmtid="{D5CDD505-2E9C-101B-9397-08002B2CF9AE}" pid="18" name="AppealFrom">
    <vt:lpwstr>[2002] FCA 23 </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0x010100F05A3FB0D899F2488084D8E6DC66E51A</vt:lpwstr>
  </property>
</Properties>
</file>