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4386" w14:textId="729F410E" w:rsidR="00395B24" w:rsidRDefault="0071710E" w:rsidP="00A22932">
      <w:pPr>
        <w:pStyle w:val="CourtTitle"/>
      </w:pPr>
      <w:r>
        <w:rPr>
          <w:caps w:val="0"/>
        </w:rPr>
        <w:t>FEDERAL COURT OF AUSTRALIA</w:t>
      </w:r>
    </w:p>
    <w:p w14:paraId="77B83B40" w14:textId="77777777" w:rsidR="004D7950" w:rsidRDefault="004D7950">
      <w:pPr>
        <w:pStyle w:val="NormalHeadings"/>
        <w:jc w:val="center"/>
        <w:rPr>
          <w:sz w:val="32"/>
        </w:rPr>
      </w:pPr>
    </w:p>
    <w:bookmarkStart w:id="0" w:name="MNC"/>
    <w:p w14:paraId="71C602B4" w14:textId="241035D3" w:rsidR="00374CC4" w:rsidRDefault="0054222E" w:rsidP="001A2B40">
      <w:pPr>
        <w:pStyle w:val="MNC"/>
      </w:pPr>
      <w:sdt>
        <w:sdtPr>
          <w:rPr>
            <w:color w:val="000000"/>
            <w:szCs w:val="24"/>
            <w:lang w:eastAsia="en-AU"/>
          </w:rPr>
          <w:alias w:val="MNC"/>
          <w:tag w:val="MNC"/>
          <w:id w:val="343289786"/>
          <w:lock w:val="sdtLocked"/>
          <w:placeholder>
            <w:docPart w:val="853D8ABCFC7C4E1A992852583D734941"/>
          </w:placeholder>
          <w:dataBinding w:prefixMappings="xmlns:ns0='http://schemas.globalmacros.com/FCA'" w:xpath="/ns0:root[1]/ns0:Name[1]" w:storeItemID="{687E7CCB-4AA5-44E7-B148-17BA2B6F57C0}"/>
          <w:text w:multiLine="1"/>
        </w:sdtPr>
        <w:sdtEndPr/>
        <w:sdtContent>
          <w:r w:rsidR="007F7FC7">
            <w:rPr>
              <w:color w:val="000000"/>
              <w:szCs w:val="24"/>
              <w:lang w:eastAsia="en-AU"/>
            </w:rPr>
            <w:t xml:space="preserve">Elliott-Carde v McDonald’s Australia Limited </w:t>
          </w:r>
          <w:r w:rsidR="003A7459">
            <w:rPr>
              <w:color w:val="000000"/>
              <w:szCs w:val="24"/>
              <w:lang w:eastAsia="en-AU"/>
            </w:rPr>
            <w:t xml:space="preserve">[2023] FCAFC </w:t>
          </w:r>
          <w:r w:rsidR="00E801BD">
            <w:rPr>
              <w:color w:val="000000"/>
              <w:szCs w:val="24"/>
              <w:lang w:eastAsia="en-AU"/>
            </w:rPr>
            <w:t>162</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E40E90C" w14:textId="77777777" w:rsidTr="0046167A">
        <w:tc>
          <w:tcPr>
            <w:tcW w:w="3084" w:type="dxa"/>
            <w:shd w:val="clear" w:color="auto" w:fill="auto"/>
          </w:tcPr>
          <w:p w14:paraId="5462A85A" w14:textId="77777777" w:rsidR="00395B24" w:rsidRDefault="00061781" w:rsidP="00663878">
            <w:pPr>
              <w:pStyle w:val="Normal1linespace"/>
              <w:widowControl w:val="0"/>
              <w:jc w:val="left"/>
            </w:pPr>
            <w:r>
              <w:t>File numbers</w:t>
            </w:r>
            <w:r w:rsidR="002C7385">
              <w:t>:</w:t>
            </w:r>
          </w:p>
        </w:tc>
        <w:tc>
          <w:tcPr>
            <w:tcW w:w="5989" w:type="dxa"/>
            <w:shd w:val="clear" w:color="auto" w:fill="auto"/>
          </w:tcPr>
          <w:p w14:paraId="67E1735D" w14:textId="77777777" w:rsidR="007F7FC7" w:rsidRPr="007F7FC7" w:rsidRDefault="00A56E77" w:rsidP="007F7FC7">
            <w:pPr>
              <w:pStyle w:val="Normal1linespace"/>
              <w:jc w:val="left"/>
            </w:pPr>
            <w:r w:rsidRPr="007F7FC7">
              <w:fldChar w:fldCharType="begin" w:fldLock="1"/>
            </w:r>
            <w:r w:rsidRPr="007F7FC7">
              <w:instrText xml:space="preserve"> REF  FileNo  \* MERGEFORMAT </w:instrText>
            </w:r>
            <w:r w:rsidRPr="007F7FC7">
              <w:fldChar w:fldCharType="separate"/>
            </w:r>
            <w:r w:rsidR="007F7FC7" w:rsidRPr="007F7FC7">
              <w:t>VID 726 of 2021</w:t>
            </w:r>
          </w:p>
          <w:p w14:paraId="4F139B7D" w14:textId="77777777" w:rsidR="00395B24" w:rsidRPr="001B1053" w:rsidRDefault="007F7FC7" w:rsidP="007F7FC7">
            <w:pPr>
              <w:pStyle w:val="Normal1linespace"/>
              <w:jc w:val="left"/>
            </w:pPr>
            <w:r w:rsidRPr="007F7FC7">
              <w:t>SAD 127 of 2022</w:t>
            </w:r>
            <w:r w:rsidR="00A56E77" w:rsidRPr="007F7FC7">
              <w:fldChar w:fldCharType="end"/>
            </w:r>
          </w:p>
        </w:tc>
      </w:tr>
      <w:tr w:rsidR="00395B24" w14:paraId="3397BDD4" w14:textId="77777777" w:rsidTr="0046167A">
        <w:tc>
          <w:tcPr>
            <w:tcW w:w="3084" w:type="dxa"/>
            <w:shd w:val="clear" w:color="auto" w:fill="auto"/>
          </w:tcPr>
          <w:p w14:paraId="5B3934A5" w14:textId="77777777" w:rsidR="00395B24" w:rsidRDefault="00395B24" w:rsidP="00663878">
            <w:pPr>
              <w:pStyle w:val="Normal1linespace"/>
              <w:widowControl w:val="0"/>
              <w:jc w:val="left"/>
            </w:pPr>
          </w:p>
        </w:tc>
        <w:tc>
          <w:tcPr>
            <w:tcW w:w="5989" w:type="dxa"/>
            <w:shd w:val="clear" w:color="auto" w:fill="auto"/>
          </w:tcPr>
          <w:p w14:paraId="3CA57C20" w14:textId="77777777" w:rsidR="00395B24" w:rsidRDefault="00395B24" w:rsidP="00663878">
            <w:pPr>
              <w:pStyle w:val="Normal1linespace"/>
              <w:widowControl w:val="0"/>
              <w:jc w:val="left"/>
            </w:pPr>
          </w:p>
        </w:tc>
      </w:tr>
      <w:tr w:rsidR="00395B24" w14:paraId="540D5C61" w14:textId="77777777" w:rsidTr="0046167A">
        <w:tc>
          <w:tcPr>
            <w:tcW w:w="3084" w:type="dxa"/>
            <w:shd w:val="clear" w:color="auto" w:fill="auto"/>
          </w:tcPr>
          <w:p w14:paraId="5F5A3E9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41EFE45" w14:textId="77777777" w:rsidR="00395B24" w:rsidRDefault="002C7385" w:rsidP="00663878">
            <w:pPr>
              <w:pStyle w:val="Normal1linespace"/>
              <w:widowControl w:val="0"/>
              <w:jc w:val="left"/>
              <w:rPr>
                <w:b/>
              </w:rPr>
            </w:pPr>
            <w:r w:rsidRPr="007F7FC7">
              <w:rPr>
                <w:b/>
              </w:rPr>
              <w:fldChar w:fldCharType="begin" w:fldLock="1"/>
            </w:r>
            <w:r w:rsidRPr="007F7FC7">
              <w:rPr>
                <w:b/>
              </w:rPr>
              <w:instrText xml:space="preserve"> REF  Judge  \* MERGEFORMAT </w:instrText>
            </w:r>
            <w:r w:rsidRPr="007F7FC7">
              <w:rPr>
                <w:b/>
              </w:rPr>
              <w:fldChar w:fldCharType="separate"/>
            </w:r>
            <w:r w:rsidR="007F7FC7" w:rsidRPr="007F7FC7">
              <w:rPr>
                <w:b/>
                <w:caps/>
                <w:szCs w:val="24"/>
              </w:rPr>
              <w:t xml:space="preserve">BEACH, </w:t>
            </w:r>
            <w:proofErr w:type="gramStart"/>
            <w:r w:rsidR="007F7FC7" w:rsidRPr="007F7FC7">
              <w:rPr>
                <w:b/>
                <w:caps/>
                <w:szCs w:val="24"/>
              </w:rPr>
              <w:t>LEE</w:t>
            </w:r>
            <w:proofErr w:type="gramEnd"/>
            <w:r w:rsidR="007F7FC7" w:rsidRPr="007F7FC7">
              <w:rPr>
                <w:b/>
                <w:caps/>
                <w:szCs w:val="24"/>
              </w:rPr>
              <w:t xml:space="preserve"> AND COLVIN JJ</w:t>
            </w:r>
            <w:r w:rsidRPr="007F7FC7">
              <w:rPr>
                <w:b/>
              </w:rPr>
              <w:fldChar w:fldCharType="end"/>
            </w:r>
          </w:p>
        </w:tc>
      </w:tr>
      <w:tr w:rsidR="00395B24" w14:paraId="5106E65A" w14:textId="77777777" w:rsidTr="0046167A">
        <w:tc>
          <w:tcPr>
            <w:tcW w:w="3084" w:type="dxa"/>
            <w:shd w:val="clear" w:color="auto" w:fill="auto"/>
          </w:tcPr>
          <w:p w14:paraId="1F9DE1BD" w14:textId="77777777" w:rsidR="00395B24" w:rsidRDefault="00395B24" w:rsidP="00663878">
            <w:pPr>
              <w:pStyle w:val="Normal1linespace"/>
              <w:widowControl w:val="0"/>
              <w:jc w:val="left"/>
            </w:pPr>
          </w:p>
        </w:tc>
        <w:tc>
          <w:tcPr>
            <w:tcW w:w="5989" w:type="dxa"/>
            <w:shd w:val="clear" w:color="auto" w:fill="auto"/>
          </w:tcPr>
          <w:p w14:paraId="06E9C3BD" w14:textId="77777777" w:rsidR="00395B24" w:rsidRDefault="00395B24" w:rsidP="00663878">
            <w:pPr>
              <w:pStyle w:val="Normal1linespace"/>
              <w:widowControl w:val="0"/>
              <w:jc w:val="left"/>
            </w:pPr>
          </w:p>
        </w:tc>
      </w:tr>
      <w:tr w:rsidR="00395B24" w14:paraId="45966E39" w14:textId="77777777" w:rsidTr="0046167A">
        <w:tc>
          <w:tcPr>
            <w:tcW w:w="3084" w:type="dxa"/>
            <w:shd w:val="clear" w:color="auto" w:fill="auto"/>
          </w:tcPr>
          <w:p w14:paraId="10BFE97C" w14:textId="77777777" w:rsidR="00395B24" w:rsidRDefault="002C7385" w:rsidP="00663878">
            <w:pPr>
              <w:pStyle w:val="Normal1linespace"/>
              <w:widowControl w:val="0"/>
              <w:jc w:val="left"/>
            </w:pPr>
            <w:r>
              <w:t>Date of judgment:</w:t>
            </w:r>
          </w:p>
        </w:tc>
        <w:tc>
          <w:tcPr>
            <w:tcW w:w="5989" w:type="dxa"/>
            <w:shd w:val="clear" w:color="auto" w:fill="auto"/>
          </w:tcPr>
          <w:p w14:paraId="2D6CE4E8" w14:textId="7545CDC4" w:rsidR="00395B24" w:rsidRDefault="00F5290A" w:rsidP="00663878">
            <w:pPr>
              <w:pStyle w:val="Normal1linespace"/>
              <w:widowControl w:val="0"/>
              <w:jc w:val="left"/>
            </w:pPr>
            <w:bookmarkStart w:id="1" w:name="JudgmentDate"/>
            <w:r>
              <w:t>1</w:t>
            </w:r>
            <w:r w:rsidR="0074279C">
              <w:t>2</w:t>
            </w:r>
            <w:r>
              <w:t xml:space="preserve"> October</w:t>
            </w:r>
            <w:r w:rsidR="007F7FC7">
              <w:t xml:space="preserve"> 2023</w:t>
            </w:r>
            <w:bookmarkEnd w:id="1"/>
          </w:p>
        </w:tc>
      </w:tr>
      <w:tr w:rsidR="00395B24" w14:paraId="135263AA" w14:textId="77777777" w:rsidTr="0046167A">
        <w:tc>
          <w:tcPr>
            <w:tcW w:w="3084" w:type="dxa"/>
            <w:shd w:val="clear" w:color="auto" w:fill="auto"/>
          </w:tcPr>
          <w:p w14:paraId="370F67A9" w14:textId="77777777" w:rsidR="00395B24" w:rsidRDefault="00395B24" w:rsidP="00663878">
            <w:pPr>
              <w:pStyle w:val="Normal1linespace"/>
              <w:widowControl w:val="0"/>
              <w:jc w:val="left"/>
            </w:pPr>
          </w:p>
        </w:tc>
        <w:tc>
          <w:tcPr>
            <w:tcW w:w="5989" w:type="dxa"/>
            <w:shd w:val="clear" w:color="auto" w:fill="auto"/>
          </w:tcPr>
          <w:p w14:paraId="650887E6" w14:textId="77777777" w:rsidR="00395B24" w:rsidRDefault="00395B24" w:rsidP="00663878">
            <w:pPr>
              <w:pStyle w:val="Normal1linespace"/>
              <w:widowControl w:val="0"/>
              <w:jc w:val="left"/>
            </w:pPr>
          </w:p>
        </w:tc>
      </w:tr>
      <w:tr w:rsidR="00395B24" w14:paraId="3221553E" w14:textId="77777777" w:rsidTr="0046167A">
        <w:tc>
          <w:tcPr>
            <w:tcW w:w="3084" w:type="dxa"/>
            <w:shd w:val="clear" w:color="auto" w:fill="auto"/>
          </w:tcPr>
          <w:p w14:paraId="5AC633D1" w14:textId="77777777" w:rsidR="00395B24" w:rsidRDefault="002C7385" w:rsidP="00663878">
            <w:pPr>
              <w:pStyle w:val="Normal1linespace"/>
              <w:widowControl w:val="0"/>
              <w:jc w:val="left"/>
            </w:pPr>
            <w:r>
              <w:t>Catchwords:</w:t>
            </w:r>
          </w:p>
        </w:tc>
        <w:tc>
          <w:tcPr>
            <w:tcW w:w="5989" w:type="dxa"/>
            <w:shd w:val="clear" w:color="auto" w:fill="auto"/>
          </w:tcPr>
          <w:p w14:paraId="7F4AEF53" w14:textId="4B19960F" w:rsidR="007B1F08" w:rsidRPr="00051CA7" w:rsidRDefault="00D916B0" w:rsidP="00597F33">
            <w:pPr>
              <w:pStyle w:val="Normal1linespace"/>
              <w:widowControl w:val="0"/>
              <w:spacing w:after="240"/>
              <w:rPr>
                <w:color w:val="000000"/>
                <w:szCs w:val="24"/>
                <w:shd w:val="clear" w:color="auto" w:fill="FFFFFF"/>
              </w:rPr>
            </w:pPr>
            <w:bookmarkStart w:id="2" w:name="Catchwords"/>
            <w:r w:rsidRPr="00051CA7">
              <w:rPr>
                <w:b/>
                <w:bCs/>
                <w:color w:val="000000"/>
                <w:szCs w:val="24"/>
                <w:shd w:val="clear" w:color="auto" w:fill="FFFFFF"/>
              </w:rPr>
              <w:t>REPRESENTATIVE PROCEEDINGS</w:t>
            </w:r>
            <w:r w:rsidR="00F1183B" w:rsidRPr="00051CA7">
              <w:rPr>
                <w:rFonts w:cs="Cambria"/>
                <w:color w:val="000000"/>
                <w:szCs w:val="24"/>
                <w:shd w:val="clear" w:color="auto" w:fill="FFFFFF"/>
              </w:rPr>
              <w:t xml:space="preserve"> </w:t>
            </w:r>
            <w:r w:rsidR="00666A18" w:rsidRPr="00051CA7">
              <w:rPr>
                <w:color w:val="000000"/>
                <w:szCs w:val="24"/>
                <w:shd w:val="clear" w:color="auto" w:fill="FFFFFF"/>
              </w:rPr>
              <w:t xml:space="preserve">– question reserved </w:t>
            </w:r>
            <w:r w:rsidRPr="00051CA7">
              <w:rPr>
                <w:color w:val="000000"/>
                <w:szCs w:val="24"/>
                <w:shd w:val="clear" w:color="auto" w:fill="FFFFFF"/>
              </w:rPr>
              <w:t>under</w:t>
            </w:r>
            <w:r w:rsidRPr="00051CA7">
              <w:rPr>
                <w:rFonts w:cs="Cambria"/>
                <w:color w:val="000000"/>
                <w:szCs w:val="24"/>
                <w:shd w:val="clear" w:color="auto" w:fill="FFFFFF"/>
              </w:rPr>
              <w:t> </w:t>
            </w:r>
            <w:r w:rsidRPr="00051CA7">
              <w:rPr>
                <w:color w:val="000000"/>
                <w:szCs w:val="24"/>
                <w:shd w:val="clear" w:color="auto" w:fill="FFFFFF"/>
              </w:rPr>
              <w:t>s</w:t>
            </w:r>
            <w:r w:rsidRPr="00051CA7">
              <w:rPr>
                <w:rFonts w:cs="Cambria"/>
                <w:color w:val="000000"/>
                <w:szCs w:val="24"/>
                <w:shd w:val="clear" w:color="auto" w:fill="FFFFFF"/>
              </w:rPr>
              <w:t> </w:t>
            </w:r>
            <w:r w:rsidRPr="00051CA7">
              <w:rPr>
                <w:szCs w:val="24"/>
                <w:shd w:val="clear" w:color="auto" w:fill="FFFFFF"/>
              </w:rPr>
              <w:t>25(6)</w:t>
            </w:r>
            <w:r w:rsidRPr="00051CA7">
              <w:rPr>
                <w:rFonts w:cs="Cambria"/>
                <w:color w:val="000000"/>
                <w:szCs w:val="24"/>
                <w:shd w:val="clear" w:color="auto" w:fill="FFFFFF"/>
              </w:rPr>
              <w:t> </w:t>
            </w:r>
            <w:r w:rsidRPr="00051CA7">
              <w:rPr>
                <w:color w:val="000000"/>
                <w:szCs w:val="24"/>
                <w:shd w:val="clear" w:color="auto" w:fill="FFFFFF"/>
              </w:rPr>
              <w:t>of the</w:t>
            </w:r>
            <w:r w:rsidRPr="00051CA7">
              <w:rPr>
                <w:rFonts w:cs="Cambria"/>
                <w:color w:val="000000"/>
                <w:szCs w:val="24"/>
                <w:shd w:val="clear" w:color="auto" w:fill="FFFFFF"/>
              </w:rPr>
              <w:t> </w:t>
            </w:r>
            <w:r w:rsidRPr="00051CA7">
              <w:rPr>
                <w:i/>
                <w:iCs/>
                <w:color w:val="000000"/>
                <w:szCs w:val="24"/>
                <w:shd w:val="clear" w:color="auto" w:fill="FFFFFF"/>
              </w:rPr>
              <w:t>Federal Court of Australia Act 1976</w:t>
            </w:r>
            <w:r w:rsidRPr="00051CA7">
              <w:rPr>
                <w:rFonts w:cs="Cambria"/>
                <w:szCs w:val="24"/>
                <w:shd w:val="clear" w:color="auto" w:fill="FFFFFF"/>
              </w:rPr>
              <w:t> </w:t>
            </w:r>
            <w:r w:rsidRPr="00051CA7">
              <w:rPr>
                <w:szCs w:val="24"/>
                <w:shd w:val="clear" w:color="auto" w:fill="FFFFFF"/>
              </w:rPr>
              <w:t>(</w:t>
            </w:r>
            <w:proofErr w:type="spellStart"/>
            <w:r w:rsidRPr="00051CA7">
              <w:rPr>
                <w:szCs w:val="24"/>
                <w:shd w:val="clear" w:color="auto" w:fill="FFFFFF"/>
              </w:rPr>
              <w:t>Cth</w:t>
            </w:r>
            <w:proofErr w:type="spellEnd"/>
            <w:r w:rsidRPr="00051CA7">
              <w:rPr>
                <w:szCs w:val="24"/>
                <w:shd w:val="clear" w:color="auto" w:fill="FFFFFF"/>
              </w:rPr>
              <w:t>)</w:t>
            </w:r>
            <w:r w:rsidR="002529BF" w:rsidRPr="00051CA7">
              <w:rPr>
                <w:szCs w:val="24"/>
                <w:shd w:val="clear" w:color="auto" w:fill="FFFFFF"/>
              </w:rPr>
              <w:t xml:space="preserve"> (</w:t>
            </w:r>
            <w:r w:rsidR="002529BF" w:rsidRPr="00051CA7">
              <w:rPr>
                <w:b/>
                <w:szCs w:val="24"/>
                <w:shd w:val="clear" w:color="auto" w:fill="FFFFFF"/>
              </w:rPr>
              <w:t>FCA Act</w:t>
            </w:r>
            <w:r w:rsidR="002529BF" w:rsidRPr="00051CA7">
              <w:rPr>
                <w:szCs w:val="24"/>
                <w:shd w:val="clear" w:color="auto" w:fill="FFFFFF"/>
              </w:rPr>
              <w:t>)</w:t>
            </w:r>
            <w:r w:rsidRPr="00051CA7">
              <w:rPr>
                <w:rFonts w:cs="Cambria"/>
                <w:color w:val="000000"/>
                <w:szCs w:val="24"/>
                <w:shd w:val="clear" w:color="auto" w:fill="FFFFFF"/>
              </w:rPr>
              <w:t> </w:t>
            </w:r>
            <w:r w:rsidRPr="00051CA7">
              <w:rPr>
                <w:color w:val="000000"/>
                <w:szCs w:val="24"/>
                <w:shd w:val="clear" w:color="auto" w:fill="FFFFFF"/>
              </w:rPr>
              <w:t>– wheth</w:t>
            </w:r>
            <w:r w:rsidR="00B761C6" w:rsidRPr="00051CA7">
              <w:rPr>
                <w:color w:val="000000"/>
                <w:szCs w:val="24"/>
                <w:shd w:val="clear" w:color="auto" w:fill="FFFFFF"/>
              </w:rPr>
              <w:t xml:space="preserve">er Court has power pursuant to </w:t>
            </w:r>
            <w:r w:rsidRPr="00051CA7">
              <w:rPr>
                <w:color w:val="000000"/>
                <w:szCs w:val="24"/>
                <w:shd w:val="clear" w:color="auto" w:fill="FFFFFF"/>
              </w:rPr>
              <w:t xml:space="preserve">s 33V of </w:t>
            </w:r>
            <w:r w:rsidR="002529BF" w:rsidRPr="00051CA7">
              <w:rPr>
                <w:color w:val="000000"/>
                <w:szCs w:val="24"/>
                <w:shd w:val="clear" w:color="auto" w:fill="FFFFFF"/>
              </w:rPr>
              <w:t xml:space="preserve">FCA </w:t>
            </w:r>
            <w:r w:rsidRPr="00051CA7">
              <w:rPr>
                <w:color w:val="000000"/>
                <w:szCs w:val="24"/>
                <w:shd w:val="clear" w:color="auto" w:fill="FFFFFF"/>
              </w:rPr>
              <w:t>Act to make a</w:t>
            </w:r>
            <w:r w:rsidR="00D70BFC">
              <w:rPr>
                <w:color w:val="000000"/>
                <w:szCs w:val="24"/>
                <w:shd w:val="clear" w:color="auto" w:fill="FFFFFF"/>
              </w:rPr>
              <w:t xml:space="preserve"> “common fund order” upon </w:t>
            </w:r>
            <w:r w:rsidR="007E7983" w:rsidRPr="00051CA7">
              <w:rPr>
                <w:color w:val="000000"/>
                <w:szCs w:val="24"/>
                <w:shd w:val="clear" w:color="auto" w:fill="FFFFFF"/>
              </w:rPr>
              <w:t>settlement</w:t>
            </w:r>
            <w:r w:rsidR="00D70BFC">
              <w:rPr>
                <w:color w:val="000000"/>
                <w:szCs w:val="24"/>
                <w:shd w:val="clear" w:color="auto" w:fill="FFFFFF"/>
              </w:rPr>
              <w:t xml:space="preserve"> of </w:t>
            </w:r>
            <w:r w:rsidRPr="00051CA7">
              <w:rPr>
                <w:color w:val="000000"/>
                <w:szCs w:val="24"/>
                <w:shd w:val="clear" w:color="auto" w:fill="FFFFFF"/>
              </w:rPr>
              <w:t>proceeding – where no such order has yet been sought</w:t>
            </w:r>
            <w:r w:rsidR="004671B0">
              <w:rPr>
                <w:color w:val="000000"/>
                <w:szCs w:val="24"/>
                <w:shd w:val="clear" w:color="auto" w:fill="FFFFFF"/>
              </w:rPr>
              <w:t xml:space="preserve"> </w:t>
            </w:r>
            <w:r w:rsidRPr="00051CA7">
              <w:rPr>
                <w:color w:val="000000"/>
                <w:szCs w:val="24"/>
                <w:shd w:val="clear" w:color="auto" w:fill="FFFFFF"/>
              </w:rPr>
              <w:t xml:space="preserve">– </w:t>
            </w:r>
            <w:r w:rsidR="007B1F08" w:rsidRPr="00051CA7">
              <w:rPr>
                <w:color w:val="000000"/>
                <w:szCs w:val="24"/>
                <w:shd w:val="clear" w:color="auto" w:fill="FFFFFF"/>
              </w:rPr>
              <w:t xml:space="preserve">anterior questions of </w:t>
            </w:r>
            <w:r w:rsidR="006E6A2B">
              <w:rPr>
                <w:color w:val="000000"/>
                <w:szCs w:val="24"/>
                <w:shd w:val="clear" w:color="auto" w:fill="FFFFFF"/>
              </w:rPr>
              <w:t xml:space="preserve">statutory construction and </w:t>
            </w:r>
            <w:r w:rsidR="007B1F08" w:rsidRPr="00051CA7">
              <w:rPr>
                <w:color w:val="000000"/>
                <w:szCs w:val="24"/>
                <w:shd w:val="clear" w:color="auto" w:fill="FFFFFF"/>
              </w:rPr>
              <w:t xml:space="preserve">jurisdiction </w:t>
            </w:r>
            <w:r w:rsidR="006E6A2B">
              <w:rPr>
                <w:color w:val="000000"/>
                <w:szCs w:val="24"/>
                <w:shd w:val="clear" w:color="auto" w:fill="FFFFFF"/>
              </w:rPr>
              <w:t xml:space="preserve">dismissed </w:t>
            </w:r>
            <w:r w:rsidR="00F2710B">
              <w:rPr>
                <w:color w:val="000000"/>
                <w:szCs w:val="24"/>
                <w:shd w:val="clear" w:color="auto" w:fill="FFFFFF"/>
              </w:rPr>
              <w:t>–</w:t>
            </w:r>
            <w:r w:rsidR="006E6A2B">
              <w:rPr>
                <w:color w:val="000000"/>
                <w:szCs w:val="24"/>
                <w:shd w:val="clear" w:color="auto" w:fill="FFFFFF"/>
              </w:rPr>
              <w:t xml:space="preserve"> </w:t>
            </w:r>
            <w:r w:rsidR="00631A27">
              <w:rPr>
                <w:color w:val="000000"/>
                <w:szCs w:val="24"/>
                <w:shd w:val="clear" w:color="auto" w:fill="FFFFFF"/>
              </w:rPr>
              <w:t xml:space="preserve">challenge to terms of reserved question dismissed – </w:t>
            </w:r>
            <w:r w:rsidR="000264CD" w:rsidRPr="00590E53">
              <w:t xml:space="preserve">statutory foundation </w:t>
            </w:r>
            <w:r w:rsidR="000264CD">
              <w:t>for</w:t>
            </w:r>
            <w:r w:rsidR="000264CD" w:rsidRPr="00590E53">
              <w:t xml:space="preserve"> making</w:t>
            </w:r>
            <w:r w:rsidR="001D4F97" w:rsidRPr="00590E53">
              <w:t xml:space="preserve"> </w:t>
            </w:r>
            <w:r w:rsidR="001D4F97">
              <w:t>settlement common fund order</w:t>
            </w:r>
            <w:r w:rsidR="001D4F97" w:rsidRPr="00590E53">
              <w:t xml:space="preserve"> </w:t>
            </w:r>
            <w:r w:rsidR="000264CD" w:rsidRPr="00590E53">
              <w:t>is</w:t>
            </w:r>
            <w:r w:rsidR="006871EC" w:rsidRPr="00590E53">
              <w:t xml:space="preserve"> </w:t>
            </w:r>
            <w:r w:rsidR="006871EC">
              <w:t>s</w:t>
            </w:r>
            <w:r w:rsidR="006871EC" w:rsidRPr="00590E53">
              <w:t xml:space="preserve"> 33V(2)</w:t>
            </w:r>
            <w:r w:rsidR="006871EC">
              <w:rPr>
                <w:color w:val="000000"/>
                <w:szCs w:val="24"/>
                <w:shd w:val="clear" w:color="auto" w:fill="FFFFFF"/>
              </w:rPr>
              <w:t xml:space="preserve"> </w:t>
            </w:r>
            <w:r w:rsidR="001D4F97">
              <w:rPr>
                <w:color w:val="000000"/>
                <w:szCs w:val="24"/>
                <w:shd w:val="clear" w:color="auto" w:fill="FFFFFF"/>
              </w:rPr>
              <w:t xml:space="preserve">– </w:t>
            </w:r>
            <w:r w:rsidR="00F2710B">
              <w:rPr>
                <w:color w:val="000000"/>
                <w:szCs w:val="24"/>
                <w:shd w:val="clear" w:color="auto" w:fill="FFFFFF"/>
              </w:rPr>
              <w:t>reserved question answered “yes”</w:t>
            </w:r>
          </w:p>
          <w:p w14:paraId="300B06D8" w14:textId="709E1A63" w:rsidR="00F1183B" w:rsidRPr="00051CA7" w:rsidRDefault="00F1183B" w:rsidP="00597F33">
            <w:pPr>
              <w:pStyle w:val="Normal1linespace"/>
              <w:widowControl w:val="0"/>
              <w:spacing w:after="240"/>
              <w:rPr>
                <w:color w:val="000000"/>
                <w:szCs w:val="24"/>
                <w:shd w:val="clear" w:color="auto" w:fill="FFFFFF"/>
              </w:rPr>
            </w:pPr>
            <w:r w:rsidRPr="00051CA7">
              <w:rPr>
                <w:b/>
                <w:bCs/>
                <w:color w:val="000000"/>
                <w:szCs w:val="24"/>
                <w:shd w:val="clear" w:color="auto" w:fill="FFFFFF"/>
              </w:rPr>
              <w:t>REPRESENTATIVE PROCEEDINGS</w:t>
            </w:r>
            <w:r w:rsidRPr="00051CA7">
              <w:rPr>
                <w:rFonts w:cs="Cambria"/>
                <w:color w:val="000000"/>
                <w:szCs w:val="24"/>
                <w:shd w:val="clear" w:color="auto" w:fill="FFFFFF"/>
              </w:rPr>
              <w:t xml:space="preserve"> </w:t>
            </w:r>
            <w:r w:rsidRPr="00051CA7">
              <w:rPr>
                <w:color w:val="000000"/>
                <w:szCs w:val="24"/>
                <w:shd w:val="clear" w:color="auto" w:fill="FFFFFF"/>
              </w:rPr>
              <w:t>– whether</w:t>
            </w:r>
            <w:r w:rsidR="00A348E2">
              <w:rPr>
                <w:color w:val="000000"/>
                <w:szCs w:val="24"/>
                <w:shd w:val="clear" w:color="auto" w:fill="FFFFFF"/>
              </w:rPr>
              <w:t xml:space="preserve"> representative applicant can seek </w:t>
            </w:r>
            <w:r w:rsidR="00A348E2" w:rsidRPr="00A348E2">
              <w:rPr>
                <w:color w:val="000000"/>
                <w:szCs w:val="24"/>
                <w:shd w:val="clear" w:color="auto" w:fill="FFFFFF"/>
              </w:rPr>
              <w:t xml:space="preserve">order in relation to a contravention of a civil remedy provision </w:t>
            </w:r>
            <w:r w:rsidR="004671B0">
              <w:rPr>
                <w:color w:val="000000"/>
                <w:szCs w:val="24"/>
                <w:shd w:val="clear" w:color="auto" w:fill="FFFFFF"/>
              </w:rPr>
              <w:t>pursuant to</w:t>
            </w:r>
            <w:r w:rsidRPr="00051CA7">
              <w:rPr>
                <w:color w:val="000000"/>
                <w:szCs w:val="24"/>
                <w:shd w:val="clear" w:color="auto" w:fill="FFFFFF"/>
              </w:rPr>
              <w:t xml:space="preserve"> </w:t>
            </w:r>
            <w:r w:rsidR="00A67B60" w:rsidRPr="00051CA7">
              <w:rPr>
                <w:color w:val="000000"/>
                <w:szCs w:val="24"/>
                <w:shd w:val="clear" w:color="auto" w:fill="FFFFFF"/>
              </w:rPr>
              <w:t xml:space="preserve">ss 539 and 540 of </w:t>
            </w:r>
            <w:r w:rsidR="00A67B60" w:rsidRPr="00051CA7">
              <w:rPr>
                <w:i/>
                <w:color w:val="000000"/>
                <w:szCs w:val="24"/>
                <w:shd w:val="clear" w:color="auto" w:fill="FFFFFF"/>
              </w:rPr>
              <w:t xml:space="preserve">Fair Work Act 2009 </w:t>
            </w:r>
            <w:r w:rsidR="00A67B60" w:rsidRPr="00051CA7">
              <w:rPr>
                <w:color w:val="000000"/>
                <w:szCs w:val="24"/>
                <w:shd w:val="clear" w:color="auto" w:fill="FFFFFF"/>
              </w:rPr>
              <w:t>(</w:t>
            </w:r>
            <w:proofErr w:type="spellStart"/>
            <w:r w:rsidR="00A67B60" w:rsidRPr="00051CA7">
              <w:rPr>
                <w:color w:val="000000"/>
                <w:szCs w:val="24"/>
                <w:shd w:val="clear" w:color="auto" w:fill="FFFFFF"/>
              </w:rPr>
              <w:t>Cth</w:t>
            </w:r>
            <w:proofErr w:type="spellEnd"/>
            <w:r w:rsidR="00A67B60" w:rsidRPr="00051CA7">
              <w:rPr>
                <w:color w:val="000000"/>
                <w:szCs w:val="24"/>
                <w:shd w:val="clear" w:color="auto" w:fill="FFFFFF"/>
              </w:rPr>
              <w:t>) (</w:t>
            </w:r>
            <w:r w:rsidR="00A67B60" w:rsidRPr="00051CA7">
              <w:rPr>
                <w:b/>
                <w:color w:val="000000"/>
                <w:szCs w:val="24"/>
                <w:shd w:val="clear" w:color="auto" w:fill="FFFFFF"/>
              </w:rPr>
              <w:t>FW Act</w:t>
            </w:r>
            <w:r w:rsidR="00A67B60" w:rsidRPr="00051CA7">
              <w:rPr>
                <w:color w:val="000000"/>
                <w:szCs w:val="24"/>
                <w:shd w:val="clear" w:color="auto" w:fill="FFFFFF"/>
              </w:rPr>
              <w:t xml:space="preserve">) </w:t>
            </w:r>
            <w:r w:rsidR="004F35EA">
              <w:rPr>
                <w:color w:val="000000"/>
                <w:szCs w:val="24"/>
                <w:shd w:val="clear" w:color="auto" w:fill="FFFFFF"/>
              </w:rPr>
              <w:t xml:space="preserve">– </w:t>
            </w:r>
            <w:r w:rsidR="00EF1C59">
              <w:rPr>
                <w:color w:val="000000"/>
                <w:szCs w:val="24"/>
                <w:shd w:val="clear" w:color="auto" w:fill="FFFFFF"/>
              </w:rPr>
              <w:t xml:space="preserve">whether ss 539 and 540 </w:t>
            </w:r>
            <w:r w:rsidR="006E3E8A">
              <w:rPr>
                <w:color w:val="000000"/>
                <w:szCs w:val="24"/>
                <w:shd w:val="clear" w:color="auto" w:fill="FFFFFF"/>
              </w:rPr>
              <w:t xml:space="preserve">impliedly repeal s 33D of the FCA Act to extent of </w:t>
            </w:r>
            <w:r w:rsidR="00EF1C59">
              <w:rPr>
                <w:color w:val="000000"/>
                <w:szCs w:val="24"/>
                <w:shd w:val="clear" w:color="auto" w:fill="FFFFFF"/>
              </w:rPr>
              <w:t>incon</w:t>
            </w:r>
            <w:r w:rsidR="006E3E8A">
              <w:rPr>
                <w:color w:val="000000"/>
                <w:szCs w:val="24"/>
                <w:shd w:val="clear" w:color="auto" w:fill="FFFFFF"/>
              </w:rPr>
              <w:t xml:space="preserve">sistency </w:t>
            </w:r>
            <w:r w:rsidR="00DD4FF0" w:rsidRPr="00051CA7">
              <w:rPr>
                <w:color w:val="000000"/>
                <w:szCs w:val="24"/>
                <w:shd w:val="clear" w:color="auto" w:fill="FFFFFF"/>
              </w:rPr>
              <w:t xml:space="preserve">– </w:t>
            </w:r>
            <w:r w:rsidR="00302644" w:rsidRPr="00051CA7">
              <w:rPr>
                <w:color w:val="000000"/>
                <w:szCs w:val="24"/>
                <w:shd w:val="clear" w:color="auto" w:fill="FFFFFF"/>
              </w:rPr>
              <w:t>observations on “representative” capacity of industrial association</w:t>
            </w:r>
            <w:r w:rsidR="00197287" w:rsidRPr="00051CA7">
              <w:rPr>
                <w:color w:val="000000"/>
                <w:szCs w:val="24"/>
                <w:shd w:val="clear" w:color="auto" w:fill="FFFFFF"/>
              </w:rPr>
              <w:t>s</w:t>
            </w:r>
            <w:r w:rsidR="00302644" w:rsidRPr="00051CA7">
              <w:rPr>
                <w:color w:val="000000"/>
                <w:szCs w:val="24"/>
                <w:shd w:val="clear" w:color="auto" w:fill="FFFFFF"/>
              </w:rPr>
              <w:t xml:space="preserve"> – </w:t>
            </w:r>
            <w:r w:rsidR="006E6A2B">
              <w:rPr>
                <w:color w:val="000000"/>
                <w:szCs w:val="24"/>
                <w:shd w:val="clear" w:color="auto" w:fill="FFFFFF"/>
              </w:rPr>
              <w:t xml:space="preserve">consideration of </w:t>
            </w:r>
            <w:r w:rsidR="00E77C2D">
              <w:rPr>
                <w:color w:val="000000"/>
                <w:szCs w:val="24"/>
                <w:shd w:val="clear" w:color="auto" w:fill="FFFFFF"/>
              </w:rPr>
              <w:t xml:space="preserve">matters in reach of Pt IVA scheme – </w:t>
            </w:r>
            <w:r w:rsidR="00302644" w:rsidRPr="00051CA7">
              <w:rPr>
                <w:color w:val="000000"/>
                <w:szCs w:val="24"/>
                <w:shd w:val="clear" w:color="auto" w:fill="FFFFFF"/>
              </w:rPr>
              <w:t xml:space="preserve">no </w:t>
            </w:r>
            <w:proofErr w:type="gramStart"/>
            <w:r w:rsidR="00B3286E" w:rsidRPr="00051CA7">
              <w:rPr>
                <w:color w:val="000000"/>
                <w:szCs w:val="24"/>
                <w:shd w:val="clear" w:color="auto" w:fill="FFFFFF"/>
              </w:rPr>
              <w:t>inconsistency</w:t>
            </w:r>
            <w:proofErr w:type="gramEnd"/>
          </w:p>
          <w:p w14:paraId="4CEF7AE7" w14:textId="6A12F076" w:rsidR="00740A17" w:rsidRPr="00051CA7" w:rsidRDefault="00197287" w:rsidP="00597F33">
            <w:pPr>
              <w:pStyle w:val="Normal1linespace"/>
              <w:widowControl w:val="0"/>
              <w:spacing w:after="240"/>
              <w:rPr>
                <w:color w:val="000000"/>
                <w:szCs w:val="24"/>
                <w:shd w:val="clear" w:color="auto" w:fill="FFFFFF"/>
              </w:rPr>
            </w:pPr>
            <w:r w:rsidRPr="00051CA7">
              <w:rPr>
                <w:b/>
                <w:szCs w:val="24"/>
              </w:rPr>
              <w:t xml:space="preserve">HIGH COURT AND FEDERAL COURT </w:t>
            </w:r>
            <w:r w:rsidRPr="00051CA7">
              <w:rPr>
                <w:szCs w:val="24"/>
              </w:rPr>
              <w:t>– federal jurisdiction – whether reserved question merely advisory and beyond judicial power –</w:t>
            </w:r>
            <w:r w:rsidR="0083653B">
              <w:rPr>
                <w:color w:val="000000"/>
                <w:szCs w:val="24"/>
                <w:shd w:val="clear" w:color="auto" w:fill="FFFFFF"/>
              </w:rPr>
              <w:t xml:space="preserve"> </w:t>
            </w:r>
            <w:r w:rsidR="00D916B0" w:rsidRPr="00051CA7">
              <w:rPr>
                <w:color w:val="000000"/>
                <w:szCs w:val="24"/>
                <w:shd w:val="clear" w:color="auto" w:fill="FFFFFF"/>
              </w:rPr>
              <w:t>question whether common fund order</w:t>
            </w:r>
            <w:r w:rsidR="0020124C">
              <w:rPr>
                <w:color w:val="000000"/>
                <w:szCs w:val="24"/>
                <w:shd w:val="clear" w:color="auto" w:fill="FFFFFF"/>
              </w:rPr>
              <w:t xml:space="preserve"> can be made at settlement</w:t>
            </w:r>
            <w:r w:rsidR="00D916B0" w:rsidRPr="00051CA7">
              <w:rPr>
                <w:color w:val="000000"/>
                <w:szCs w:val="24"/>
                <w:shd w:val="clear" w:color="auto" w:fill="FFFFFF"/>
              </w:rPr>
              <w:t xml:space="preserve"> not hypothetical and ought </w:t>
            </w:r>
            <w:proofErr w:type="gramStart"/>
            <w:r w:rsidR="00D916B0" w:rsidRPr="00051CA7">
              <w:rPr>
                <w:color w:val="000000"/>
                <w:szCs w:val="24"/>
                <w:shd w:val="clear" w:color="auto" w:fill="FFFFFF"/>
              </w:rPr>
              <w:t>be</w:t>
            </w:r>
            <w:proofErr w:type="gramEnd"/>
            <w:r w:rsidR="00D916B0" w:rsidRPr="00051CA7">
              <w:rPr>
                <w:color w:val="000000"/>
                <w:szCs w:val="24"/>
                <w:shd w:val="clear" w:color="auto" w:fill="FFFFFF"/>
              </w:rPr>
              <w:t xml:space="preserve"> answered</w:t>
            </w:r>
            <w:bookmarkEnd w:id="2"/>
          </w:p>
          <w:p w14:paraId="00BEC893" w14:textId="1CDD8C65" w:rsidR="00F2710B" w:rsidRPr="004A0517" w:rsidRDefault="00740A17" w:rsidP="00284B90">
            <w:pPr>
              <w:pStyle w:val="Normal1linespace"/>
              <w:widowControl w:val="0"/>
              <w:rPr>
                <w:szCs w:val="24"/>
              </w:rPr>
            </w:pPr>
            <w:r w:rsidRPr="00051CA7">
              <w:rPr>
                <w:b/>
                <w:szCs w:val="24"/>
              </w:rPr>
              <w:t xml:space="preserve">HIGH COURT AND FEDERAL COURT </w:t>
            </w:r>
            <w:r w:rsidRPr="00051CA7">
              <w:rPr>
                <w:szCs w:val="24"/>
              </w:rPr>
              <w:t xml:space="preserve">– </w:t>
            </w:r>
            <w:r w:rsidR="005A6E38">
              <w:rPr>
                <w:szCs w:val="24"/>
              </w:rPr>
              <w:t xml:space="preserve">federal jurisdiction – </w:t>
            </w:r>
            <w:r w:rsidR="006E64AE" w:rsidRPr="00051CA7">
              <w:rPr>
                <w:szCs w:val="24"/>
              </w:rPr>
              <w:t xml:space="preserve">whether making of common fund order upon settlement within judicial power of </w:t>
            </w:r>
            <w:r w:rsidR="00286FF2" w:rsidRPr="00051CA7">
              <w:rPr>
                <w:szCs w:val="24"/>
              </w:rPr>
              <w:t>Commonwealth</w:t>
            </w:r>
            <w:r w:rsidR="00DA15A8">
              <w:rPr>
                <w:szCs w:val="24"/>
              </w:rPr>
              <w:t xml:space="preserve"> – </w:t>
            </w:r>
            <w:r w:rsidR="007618D9">
              <w:rPr>
                <w:szCs w:val="24"/>
              </w:rPr>
              <w:t xml:space="preserve">creation of rights and liabilities an exercise of </w:t>
            </w:r>
            <w:r w:rsidR="003302ED">
              <w:rPr>
                <w:szCs w:val="24"/>
              </w:rPr>
              <w:t xml:space="preserve">judicial power </w:t>
            </w:r>
            <w:r w:rsidR="007618D9">
              <w:rPr>
                <w:szCs w:val="24"/>
              </w:rPr>
              <w:t>– consideration of funder’s return</w:t>
            </w:r>
            <w:r w:rsidR="006A66B8">
              <w:rPr>
                <w:szCs w:val="24"/>
              </w:rPr>
              <w:t>s</w:t>
            </w:r>
            <w:r w:rsidR="007618D9">
              <w:rPr>
                <w:szCs w:val="24"/>
              </w:rPr>
              <w:t xml:space="preserve"> not an impermissible foray into policy – making of settlement common fund order within judicial power</w:t>
            </w:r>
          </w:p>
        </w:tc>
      </w:tr>
      <w:tr w:rsidR="00395B24" w14:paraId="1AFF2948" w14:textId="77777777" w:rsidTr="0046167A">
        <w:tc>
          <w:tcPr>
            <w:tcW w:w="3084" w:type="dxa"/>
            <w:shd w:val="clear" w:color="auto" w:fill="auto"/>
          </w:tcPr>
          <w:p w14:paraId="43CFFAF3" w14:textId="77777777" w:rsidR="00395B24" w:rsidRDefault="00395B24" w:rsidP="00663878">
            <w:pPr>
              <w:pStyle w:val="Normal1linespace"/>
              <w:widowControl w:val="0"/>
              <w:jc w:val="left"/>
            </w:pPr>
          </w:p>
        </w:tc>
        <w:tc>
          <w:tcPr>
            <w:tcW w:w="5989" w:type="dxa"/>
            <w:shd w:val="clear" w:color="auto" w:fill="auto"/>
          </w:tcPr>
          <w:p w14:paraId="1CDB0FF0" w14:textId="77777777" w:rsidR="00395B24" w:rsidRPr="00D916B0" w:rsidRDefault="00395B24" w:rsidP="00486ED1">
            <w:pPr>
              <w:pStyle w:val="Normal1linespace"/>
              <w:widowControl w:val="0"/>
            </w:pPr>
          </w:p>
        </w:tc>
      </w:tr>
      <w:tr w:rsidR="00395B24" w14:paraId="16A82F5A" w14:textId="77777777" w:rsidTr="00486ED1">
        <w:trPr>
          <w:trHeight w:val="4962"/>
        </w:trPr>
        <w:tc>
          <w:tcPr>
            <w:tcW w:w="3084" w:type="dxa"/>
            <w:shd w:val="clear" w:color="auto" w:fill="auto"/>
          </w:tcPr>
          <w:p w14:paraId="49DF6062" w14:textId="77777777" w:rsidR="00395B24" w:rsidRDefault="002C7385" w:rsidP="00663878">
            <w:pPr>
              <w:pStyle w:val="Normal1linespace"/>
              <w:widowControl w:val="0"/>
              <w:jc w:val="left"/>
            </w:pPr>
            <w:r>
              <w:lastRenderedPageBreak/>
              <w:t>Legislation:</w:t>
            </w:r>
          </w:p>
        </w:tc>
        <w:tc>
          <w:tcPr>
            <w:tcW w:w="5989" w:type="dxa"/>
            <w:shd w:val="clear" w:color="auto" w:fill="auto"/>
          </w:tcPr>
          <w:p w14:paraId="1D7174F0" w14:textId="49633072" w:rsidR="00200924" w:rsidRPr="002E0B4D" w:rsidRDefault="00200924" w:rsidP="00486ED1">
            <w:pPr>
              <w:pStyle w:val="CasesLegislationAppealFrom"/>
              <w:spacing w:after="60"/>
              <w:jc w:val="both"/>
            </w:pPr>
            <w:bookmarkStart w:id="3" w:name="Legislation"/>
            <w:r w:rsidRPr="001C4CA6">
              <w:rPr>
                <w:i/>
                <w:iCs/>
              </w:rPr>
              <w:t>Constitution</w:t>
            </w:r>
            <w:r w:rsidRPr="00F0152C">
              <w:t xml:space="preserve"> </w:t>
            </w:r>
            <w:r w:rsidR="0073155E">
              <w:t>C</w:t>
            </w:r>
            <w:r w:rsidR="00730558">
              <w:t xml:space="preserve">h III, </w:t>
            </w:r>
            <w:r>
              <w:t xml:space="preserve">ss </w:t>
            </w:r>
            <w:r w:rsidR="00C74DB1">
              <w:t xml:space="preserve">73, </w:t>
            </w:r>
            <w:r>
              <w:t>76, 77</w:t>
            </w:r>
          </w:p>
          <w:p w14:paraId="30C18AED" w14:textId="46D629BA" w:rsidR="007D4BB3" w:rsidRDefault="00200924" w:rsidP="00486ED1">
            <w:pPr>
              <w:pStyle w:val="CasesLegislationAppealFrom"/>
              <w:spacing w:after="60"/>
              <w:jc w:val="both"/>
            </w:pPr>
            <w:r>
              <w:rPr>
                <w:i/>
                <w:iCs/>
              </w:rPr>
              <w:t xml:space="preserve">Fair Work Act 2009 </w:t>
            </w:r>
            <w:r>
              <w:t>(</w:t>
            </w:r>
            <w:proofErr w:type="spellStart"/>
            <w:r>
              <w:t>Cth</w:t>
            </w:r>
            <w:proofErr w:type="spellEnd"/>
            <w:r>
              <w:t>)</w:t>
            </w:r>
            <w:r w:rsidR="007052FD">
              <w:t xml:space="preserve"> Pt 4-1,</w:t>
            </w:r>
            <w:r>
              <w:t xml:space="preserve"> ss 3, 12, </w:t>
            </w:r>
            <w:r w:rsidR="00CE7483">
              <w:t xml:space="preserve">45, 50, </w:t>
            </w:r>
            <w:r w:rsidR="00571D77" w:rsidRPr="00571D77">
              <w:t xml:space="preserve">539, 540, 544, 545, </w:t>
            </w:r>
            <w:r w:rsidR="005773A9">
              <w:t xml:space="preserve">546, 550, 558B, </w:t>
            </w:r>
            <w:r w:rsidR="00571D77" w:rsidRPr="00571D77">
              <w:t>562, 564, 570</w:t>
            </w:r>
          </w:p>
          <w:p w14:paraId="22469BBE" w14:textId="5A9567F2" w:rsidR="00200924" w:rsidRDefault="00200924" w:rsidP="00486ED1">
            <w:pPr>
              <w:pStyle w:val="CasesLegislationAppealFrom"/>
              <w:spacing w:after="60"/>
              <w:jc w:val="both"/>
              <w:rPr>
                <w:szCs w:val="24"/>
              </w:rPr>
            </w:pPr>
            <w:r>
              <w:rPr>
                <w:i/>
                <w:szCs w:val="24"/>
              </w:rPr>
              <w:t xml:space="preserve">Fair Work (Registered Organisations) Act 2009 </w:t>
            </w:r>
            <w:r>
              <w:rPr>
                <w:szCs w:val="24"/>
              </w:rPr>
              <w:t>(</w:t>
            </w:r>
            <w:proofErr w:type="spellStart"/>
            <w:r>
              <w:rPr>
                <w:szCs w:val="24"/>
              </w:rPr>
              <w:t>Cth</w:t>
            </w:r>
            <w:proofErr w:type="spellEnd"/>
            <w:r>
              <w:rPr>
                <w:szCs w:val="24"/>
              </w:rPr>
              <w:t>) ss 19, 20</w:t>
            </w:r>
          </w:p>
          <w:p w14:paraId="09D1858B" w14:textId="10B5674C" w:rsidR="00200924" w:rsidRDefault="00200924" w:rsidP="00486ED1">
            <w:pPr>
              <w:pStyle w:val="CasesLegislationAppealFrom"/>
              <w:spacing w:after="60"/>
              <w:jc w:val="both"/>
            </w:pPr>
            <w:r w:rsidRPr="00400540">
              <w:rPr>
                <w:i/>
                <w:szCs w:val="24"/>
              </w:rPr>
              <w:t>Fair</w:t>
            </w:r>
            <w:r w:rsidRPr="00400540">
              <w:rPr>
                <w:i/>
                <w:spacing w:val="-4"/>
                <w:szCs w:val="24"/>
              </w:rPr>
              <w:t xml:space="preserve"> </w:t>
            </w:r>
            <w:r w:rsidRPr="00400540">
              <w:rPr>
                <w:i/>
                <w:szCs w:val="24"/>
              </w:rPr>
              <w:t>Work</w:t>
            </w:r>
            <w:r w:rsidRPr="00400540">
              <w:rPr>
                <w:i/>
                <w:spacing w:val="-4"/>
                <w:szCs w:val="24"/>
              </w:rPr>
              <w:t xml:space="preserve"> </w:t>
            </w:r>
            <w:r w:rsidRPr="00400540">
              <w:rPr>
                <w:i/>
                <w:szCs w:val="24"/>
              </w:rPr>
              <w:t>(Transitional</w:t>
            </w:r>
            <w:r w:rsidRPr="00400540">
              <w:rPr>
                <w:i/>
                <w:spacing w:val="-4"/>
                <w:szCs w:val="24"/>
              </w:rPr>
              <w:t xml:space="preserve"> </w:t>
            </w:r>
            <w:r w:rsidRPr="00400540">
              <w:rPr>
                <w:i/>
                <w:szCs w:val="24"/>
              </w:rPr>
              <w:t>Provisions</w:t>
            </w:r>
            <w:r w:rsidRPr="00400540">
              <w:rPr>
                <w:i/>
                <w:spacing w:val="-4"/>
                <w:szCs w:val="24"/>
              </w:rPr>
              <w:t xml:space="preserve"> </w:t>
            </w:r>
            <w:r w:rsidRPr="00400540">
              <w:rPr>
                <w:i/>
                <w:szCs w:val="24"/>
              </w:rPr>
              <w:t>and</w:t>
            </w:r>
            <w:r w:rsidRPr="00400540">
              <w:rPr>
                <w:i/>
                <w:spacing w:val="-4"/>
                <w:szCs w:val="24"/>
              </w:rPr>
              <w:t xml:space="preserve"> </w:t>
            </w:r>
            <w:r w:rsidRPr="00400540">
              <w:rPr>
                <w:i/>
                <w:szCs w:val="24"/>
              </w:rPr>
              <w:t>Consequential</w:t>
            </w:r>
            <w:r w:rsidRPr="00400540">
              <w:rPr>
                <w:i/>
                <w:spacing w:val="-4"/>
                <w:szCs w:val="24"/>
              </w:rPr>
              <w:t xml:space="preserve"> </w:t>
            </w:r>
            <w:r w:rsidRPr="00400540">
              <w:rPr>
                <w:i/>
                <w:szCs w:val="24"/>
              </w:rPr>
              <w:t>Amendments)</w:t>
            </w:r>
            <w:r w:rsidRPr="00400540">
              <w:rPr>
                <w:i/>
                <w:spacing w:val="-4"/>
                <w:szCs w:val="24"/>
              </w:rPr>
              <w:t xml:space="preserve"> </w:t>
            </w:r>
            <w:r w:rsidRPr="00400540">
              <w:rPr>
                <w:i/>
                <w:szCs w:val="24"/>
              </w:rPr>
              <w:t>Act</w:t>
            </w:r>
            <w:r w:rsidRPr="00400540">
              <w:rPr>
                <w:i/>
                <w:spacing w:val="-4"/>
                <w:szCs w:val="24"/>
              </w:rPr>
              <w:t xml:space="preserve"> </w:t>
            </w:r>
            <w:r w:rsidRPr="00400540">
              <w:rPr>
                <w:i/>
                <w:szCs w:val="24"/>
              </w:rPr>
              <w:t xml:space="preserve">2009 </w:t>
            </w:r>
            <w:r w:rsidRPr="00400540">
              <w:rPr>
                <w:szCs w:val="24"/>
              </w:rPr>
              <w:t>(</w:t>
            </w:r>
            <w:proofErr w:type="spellStart"/>
            <w:r w:rsidRPr="00400540">
              <w:rPr>
                <w:szCs w:val="24"/>
              </w:rPr>
              <w:t>Cth</w:t>
            </w:r>
            <w:proofErr w:type="spellEnd"/>
            <w:r w:rsidRPr="00400540">
              <w:rPr>
                <w:szCs w:val="24"/>
              </w:rPr>
              <w:t>)</w:t>
            </w:r>
            <w:r w:rsidR="00986CFD">
              <w:rPr>
                <w:szCs w:val="24"/>
              </w:rPr>
              <w:t xml:space="preserve"> </w:t>
            </w:r>
            <w:r w:rsidR="0073155E">
              <w:rPr>
                <w:szCs w:val="24"/>
              </w:rPr>
              <w:t>S</w:t>
            </w:r>
            <w:r w:rsidR="00986CFD">
              <w:rPr>
                <w:szCs w:val="24"/>
              </w:rPr>
              <w:t>ch 17</w:t>
            </w:r>
          </w:p>
          <w:p w14:paraId="49FCAAB9" w14:textId="097885F7" w:rsidR="00604112" w:rsidRDefault="00200924" w:rsidP="00486ED1">
            <w:pPr>
              <w:pStyle w:val="CasesLegislationAppealFrom"/>
              <w:spacing w:after="60"/>
              <w:jc w:val="both"/>
            </w:pPr>
            <w:r>
              <w:rPr>
                <w:i/>
                <w:iCs/>
              </w:rPr>
              <w:t xml:space="preserve">Federal Court of Australia Act 1976 </w:t>
            </w:r>
            <w:r>
              <w:t>(</w:t>
            </w:r>
            <w:proofErr w:type="spellStart"/>
            <w:r>
              <w:t>Cth</w:t>
            </w:r>
            <w:proofErr w:type="spellEnd"/>
            <w:r>
              <w:t>)</w:t>
            </w:r>
            <w:r w:rsidR="007052FD">
              <w:t xml:space="preserve"> Pt IVA,</w:t>
            </w:r>
            <w:r>
              <w:t xml:space="preserve"> ss </w:t>
            </w:r>
            <w:r w:rsidR="00193FF4">
              <w:t xml:space="preserve">21, 22, </w:t>
            </w:r>
            <w:r>
              <w:t>23,</w:t>
            </w:r>
            <w:r w:rsidR="007C4020">
              <w:t xml:space="preserve"> 25</w:t>
            </w:r>
            <w:r w:rsidR="009D0DA5">
              <w:t>,</w:t>
            </w:r>
            <w:r>
              <w:t xml:space="preserve"> 33C, 33D, </w:t>
            </w:r>
            <w:r w:rsidR="007E3C5B">
              <w:t xml:space="preserve">33E, </w:t>
            </w:r>
            <w:r>
              <w:t>33J,</w:t>
            </w:r>
            <w:r w:rsidR="009B69B7">
              <w:t xml:space="preserve"> 33M, 33Q, 33R, 33S,</w:t>
            </w:r>
            <w:r>
              <w:t xml:space="preserve"> 33</w:t>
            </w:r>
            <w:r w:rsidR="009B69B7">
              <w:t>V</w:t>
            </w:r>
            <w:r>
              <w:t>, 33</w:t>
            </w:r>
            <w:r w:rsidR="009B69B7">
              <w:t>X</w:t>
            </w:r>
            <w:r>
              <w:t>, 33Y,</w:t>
            </w:r>
            <w:r w:rsidR="00855E1B">
              <w:t xml:space="preserve"> </w:t>
            </w:r>
            <w:r>
              <w:t xml:space="preserve">33Z, 33ZA, </w:t>
            </w:r>
            <w:r w:rsidR="009B69B7">
              <w:t xml:space="preserve">33ZB, </w:t>
            </w:r>
            <w:r w:rsidR="00F55999">
              <w:t xml:space="preserve">33ZE, </w:t>
            </w:r>
            <w:r>
              <w:t>33ZF, 33ZG, 33ZJ</w:t>
            </w:r>
          </w:p>
          <w:p w14:paraId="10D771BA" w14:textId="77777777" w:rsidR="00200924" w:rsidRDefault="00200924" w:rsidP="00486ED1">
            <w:pPr>
              <w:pStyle w:val="CasesLegislationAppealFrom"/>
              <w:spacing w:after="60"/>
              <w:jc w:val="both"/>
              <w:rPr>
                <w:szCs w:val="24"/>
              </w:rPr>
            </w:pPr>
            <w:r w:rsidRPr="00F1725A">
              <w:rPr>
                <w:i/>
                <w:szCs w:val="24"/>
              </w:rPr>
              <w:t xml:space="preserve">Industrial Relations Act 1988 </w:t>
            </w:r>
            <w:r w:rsidRPr="00F1725A">
              <w:rPr>
                <w:szCs w:val="24"/>
              </w:rPr>
              <w:t>(</w:t>
            </w:r>
            <w:proofErr w:type="spellStart"/>
            <w:r w:rsidRPr="00F1725A">
              <w:rPr>
                <w:szCs w:val="24"/>
              </w:rPr>
              <w:t>Cth</w:t>
            </w:r>
            <w:proofErr w:type="spellEnd"/>
            <w:r w:rsidRPr="00F1725A">
              <w:rPr>
                <w:szCs w:val="24"/>
              </w:rPr>
              <w:t>)</w:t>
            </w:r>
            <w:r>
              <w:rPr>
                <w:szCs w:val="24"/>
              </w:rPr>
              <w:t xml:space="preserve"> s 178</w:t>
            </w:r>
          </w:p>
          <w:p w14:paraId="3432A046" w14:textId="30226A07" w:rsidR="00200924" w:rsidRDefault="00200924" w:rsidP="00486ED1">
            <w:pPr>
              <w:pStyle w:val="CasesLegislationAppealFrom"/>
              <w:spacing w:after="60"/>
              <w:jc w:val="both"/>
              <w:rPr>
                <w:szCs w:val="24"/>
              </w:rPr>
            </w:pPr>
            <w:r w:rsidRPr="00B55042">
              <w:rPr>
                <w:i/>
                <w:iCs/>
                <w:szCs w:val="24"/>
              </w:rPr>
              <w:t>Judiciary</w:t>
            </w:r>
            <w:r w:rsidRPr="00304D27">
              <w:rPr>
                <w:i/>
                <w:iCs/>
                <w:szCs w:val="24"/>
              </w:rPr>
              <w:t xml:space="preserve"> </w:t>
            </w:r>
            <w:r w:rsidRPr="00304D27">
              <w:rPr>
                <w:i/>
                <w:szCs w:val="24"/>
              </w:rPr>
              <w:t>Act</w:t>
            </w:r>
            <w:r w:rsidRPr="00B55042">
              <w:rPr>
                <w:szCs w:val="24"/>
              </w:rPr>
              <w:t xml:space="preserve"> </w:t>
            </w:r>
            <w:r>
              <w:rPr>
                <w:i/>
                <w:szCs w:val="24"/>
              </w:rPr>
              <w:t xml:space="preserve">1903 </w:t>
            </w:r>
            <w:r>
              <w:rPr>
                <w:szCs w:val="24"/>
              </w:rPr>
              <w:t>(</w:t>
            </w:r>
            <w:proofErr w:type="spellStart"/>
            <w:r>
              <w:rPr>
                <w:szCs w:val="24"/>
              </w:rPr>
              <w:t>Cth</w:t>
            </w:r>
            <w:proofErr w:type="spellEnd"/>
            <w:r>
              <w:rPr>
                <w:szCs w:val="24"/>
              </w:rPr>
              <w:t>) ss 39B, 78B</w:t>
            </w:r>
          </w:p>
          <w:p w14:paraId="153B5DA5" w14:textId="77777777" w:rsidR="00200924" w:rsidRDefault="00200924" w:rsidP="00486ED1">
            <w:pPr>
              <w:pStyle w:val="CasesLegislationAppealFrom"/>
              <w:spacing w:after="60"/>
              <w:jc w:val="both"/>
              <w:rPr>
                <w:szCs w:val="24"/>
              </w:rPr>
            </w:pPr>
            <w:r w:rsidRPr="00400540">
              <w:rPr>
                <w:i/>
                <w:szCs w:val="24"/>
              </w:rPr>
              <w:t>Workplace Relations Act 1996</w:t>
            </w:r>
            <w:r w:rsidRPr="00400540">
              <w:rPr>
                <w:szCs w:val="24"/>
              </w:rPr>
              <w:t xml:space="preserve"> </w:t>
            </w:r>
            <w:r>
              <w:rPr>
                <w:szCs w:val="24"/>
              </w:rPr>
              <w:t>(</w:t>
            </w:r>
            <w:proofErr w:type="spellStart"/>
            <w:r>
              <w:rPr>
                <w:szCs w:val="24"/>
              </w:rPr>
              <w:t>Cth</w:t>
            </w:r>
            <w:proofErr w:type="spellEnd"/>
            <w:r>
              <w:rPr>
                <w:szCs w:val="24"/>
              </w:rPr>
              <w:t>) ss 178, 718</w:t>
            </w:r>
          </w:p>
          <w:p w14:paraId="2E4A1CD3" w14:textId="6C40A52A" w:rsidR="002E0B4D" w:rsidRDefault="002E0B4D" w:rsidP="00486ED1">
            <w:pPr>
              <w:pStyle w:val="CasesLegislationAppealFrom"/>
              <w:spacing w:after="60"/>
              <w:jc w:val="both"/>
            </w:pPr>
            <w:r w:rsidRPr="00F1725A">
              <w:rPr>
                <w:i/>
                <w:szCs w:val="24"/>
              </w:rPr>
              <w:t>Commonwealth</w:t>
            </w:r>
            <w:r w:rsidRPr="00F1725A">
              <w:rPr>
                <w:i/>
                <w:spacing w:val="-2"/>
                <w:szCs w:val="24"/>
              </w:rPr>
              <w:t xml:space="preserve"> </w:t>
            </w:r>
            <w:r w:rsidRPr="00F1725A">
              <w:rPr>
                <w:i/>
                <w:szCs w:val="24"/>
              </w:rPr>
              <w:t>Conciliation</w:t>
            </w:r>
            <w:r w:rsidRPr="00F1725A">
              <w:rPr>
                <w:i/>
                <w:spacing w:val="-2"/>
                <w:szCs w:val="24"/>
              </w:rPr>
              <w:t xml:space="preserve"> </w:t>
            </w:r>
            <w:r>
              <w:rPr>
                <w:i/>
                <w:szCs w:val="24"/>
              </w:rPr>
              <w:t>and</w:t>
            </w:r>
            <w:r w:rsidRPr="00F1725A">
              <w:rPr>
                <w:i/>
                <w:spacing w:val="-2"/>
                <w:szCs w:val="24"/>
              </w:rPr>
              <w:t xml:space="preserve"> </w:t>
            </w:r>
            <w:r w:rsidRPr="00F1725A">
              <w:rPr>
                <w:i/>
                <w:szCs w:val="24"/>
              </w:rPr>
              <w:t>Arbitration</w:t>
            </w:r>
            <w:r w:rsidRPr="00F1725A">
              <w:rPr>
                <w:i/>
                <w:spacing w:val="-2"/>
                <w:szCs w:val="24"/>
              </w:rPr>
              <w:t xml:space="preserve"> </w:t>
            </w:r>
            <w:r w:rsidRPr="00F1725A">
              <w:rPr>
                <w:i/>
                <w:szCs w:val="24"/>
              </w:rPr>
              <w:t>Act</w:t>
            </w:r>
            <w:r w:rsidRPr="00F1725A">
              <w:rPr>
                <w:i/>
                <w:spacing w:val="-2"/>
                <w:szCs w:val="24"/>
              </w:rPr>
              <w:t xml:space="preserve"> </w:t>
            </w:r>
            <w:r w:rsidRPr="00F1725A">
              <w:rPr>
                <w:i/>
                <w:szCs w:val="24"/>
              </w:rPr>
              <w:t>1904</w:t>
            </w:r>
            <w:r>
              <w:rPr>
                <w:i/>
                <w:szCs w:val="24"/>
              </w:rPr>
              <w:t xml:space="preserve"> </w:t>
            </w:r>
            <w:r>
              <w:rPr>
                <w:iCs/>
                <w:szCs w:val="24"/>
              </w:rPr>
              <w:t>(</w:t>
            </w:r>
            <w:proofErr w:type="spellStart"/>
            <w:r>
              <w:rPr>
                <w:iCs/>
                <w:szCs w:val="24"/>
              </w:rPr>
              <w:t>Cth</w:t>
            </w:r>
            <w:proofErr w:type="spellEnd"/>
            <w:r>
              <w:rPr>
                <w:iCs/>
                <w:szCs w:val="24"/>
              </w:rPr>
              <w:t>)</w:t>
            </w:r>
            <w:r>
              <w:rPr>
                <w:i/>
                <w:szCs w:val="24"/>
              </w:rPr>
              <w:t xml:space="preserve"> </w:t>
            </w:r>
            <w:r>
              <w:rPr>
                <w:iCs/>
                <w:szCs w:val="24"/>
              </w:rPr>
              <w:t>ss 44, 119 (repealed)</w:t>
            </w:r>
          </w:p>
          <w:p w14:paraId="21844FF8" w14:textId="77777777" w:rsidR="00200924" w:rsidRDefault="00200924" w:rsidP="00486ED1">
            <w:pPr>
              <w:pStyle w:val="CasesLegislationAppealFrom"/>
              <w:spacing w:after="60"/>
              <w:jc w:val="both"/>
              <w:rPr>
                <w:iCs/>
                <w:szCs w:val="24"/>
              </w:rPr>
            </w:pPr>
            <w:r>
              <w:t xml:space="preserve">Explanatory Memorandum, </w:t>
            </w:r>
            <w:r w:rsidRPr="005E0425">
              <w:rPr>
                <w:iCs/>
                <w:szCs w:val="24"/>
              </w:rPr>
              <w:t>Fair Work Bill</w:t>
            </w:r>
            <w:r>
              <w:rPr>
                <w:iCs/>
                <w:szCs w:val="24"/>
              </w:rPr>
              <w:t xml:space="preserve"> 2008 (</w:t>
            </w:r>
            <w:proofErr w:type="spellStart"/>
            <w:r>
              <w:rPr>
                <w:iCs/>
                <w:szCs w:val="24"/>
              </w:rPr>
              <w:t>Cth</w:t>
            </w:r>
            <w:proofErr w:type="spellEnd"/>
            <w:r>
              <w:rPr>
                <w:iCs/>
                <w:szCs w:val="24"/>
              </w:rPr>
              <w:t>)</w:t>
            </w:r>
          </w:p>
          <w:p w14:paraId="6BFCAC71" w14:textId="77777777" w:rsidR="00200924" w:rsidRDefault="00200924" w:rsidP="00486ED1">
            <w:pPr>
              <w:pStyle w:val="CasesLegislationAppealFrom"/>
              <w:spacing w:after="60"/>
              <w:jc w:val="both"/>
              <w:rPr>
                <w:iCs/>
                <w:szCs w:val="24"/>
              </w:rPr>
            </w:pPr>
            <w:r>
              <w:rPr>
                <w:iCs/>
                <w:szCs w:val="24"/>
              </w:rPr>
              <w:t>Explanatory Memorandum, Federal Court of Australia Amendment Bill 1991 (</w:t>
            </w:r>
            <w:proofErr w:type="spellStart"/>
            <w:r>
              <w:rPr>
                <w:iCs/>
                <w:szCs w:val="24"/>
              </w:rPr>
              <w:t>Cth</w:t>
            </w:r>
            <w:proofErr w:type="spellEnd"/>
            <w:r>
              <w:rPr>
                <w:iCs/>
                <w:szCs w:val="24"/>
              </w:rPr>
              <w:t>)</w:t>
            </w:r>
          </w:p>
          <w:p w14:paraId="5770529A" w14:textId="77777777" w:rsidR="00200924" w:rsidRDefault="00200924" w:rsidP="00486ED1">
            <w:pPr>
              <w:pStyle w:val="CasesLegislationAppealFrom"/>
              <w:spacing w:after="60"/>
              <w:jc w:val="both"/>
              <w:rPr>
                <w:iCs/>
                <w:szCs w:val="24"/>
              </w:rPr>
            </w:pPr>
            <w:r>
              <w:rPr>
                <w:iCs/>
                <w:szCs w:val="24"/>
              </w:rPr>
              <w:t>Second Reading Speech, Federal Court of Australia Amendment Bill 1991 (</w:t>
            </w:r>
            <w:proofErr w:type="spellStart"/>
            <w:r>
              <w:rPr>
                <w:iCs/>
                <w:szCs w:val="24"/>
              </w:rPr>
              <w:t>Cth</w:t>
            </w:r>
            <w:proofErr w:type="spellEnd"/>
            <w:r>
              <w:rPr>
                <w:iCs/>
                <w:szCs w:val="24"/>
              </w:rPr>
              <w:t>)</w:t>
            </w:r>
          </w:p>
          <w:p w14:paraId="759F5134" w14:textId="25BE0765" w:rsidR="00D53ACB" w:rsidRDefault="00D53ACB" w:rsidP="00486ED1">
            <w:pPr>
              <w:pStyle w:val="CasesLegislationAppealFrom"/>
              <w:spacing w:after="60"/>
              <w:jc w:val="both"/>
              <w:rPr>
                <w:iCs/>
                <w:szCs w:val="24"/>
              </w:rPr>
            </w:pPr>
            <w:r>
              <w:t xml:space="preserve">Australian Law Reform Commission, Report 134 </w:t>
            </w:r>
            <w:r w:rsidRPr="00855466">
              <w:rPr>
                <w:i/>
              </w:rPr>
              <w:t>Integrity, Fairness and Efficiency—An Inquiry into Class Action Proceedings and Third-Party Litigation</w:t>
            </w:r>
            <w:r w:rsidRPr="00855466">
              <w:rPr>
                <w:i/>
                <w:spacing w:val="31"/>
              </w:rPr>
              <w:t xml:space="preserve"> </w:t>
            </w:r>
            <w:r w:rsidRPr="00855466">
              <w:rPr>
                <w:i/>
              </w:rPr>
              <w:t>Funders</w:t>
            </w:r>
            <w:r w:rsidRPr="00855466">
              <w:rPr>
                <w:i/>
                <w:spacing w:val="-2"/>
              </w:rPr>
              <w:t xml:space="preserve"> </w:t>
            </w:r>
            <w:r w:rsidRPr="00855466">
              <w:t>(2018)</w:t>
            </w:r>
          </w:p>
          <w:p w14:paraId="0B1DB8FD" w14:textId="77777777" w:rsidR="00200924" w:rsidRPr="006C52B2" w:rsidRDefault="00200924" w:rsidP="00486ED1">
            <w:pPr>
              <w:pStyle w:val="CasesLegislationAppealFrom"/>
              <w:spacing w:after="60"/>
              <w:jc w:val="both"/>
            </w:pPr>
            <w:r>
              <w:t xml:space="preserve">Australian Law Reform Commission, Report 46 </w:t>
            </w:r>
            <w:r>
              <w:rPr>
                <w:i/>
                <w:iCs/>
              </w:rPr>
              <w:t xml:space="preserve">Grouped Proceedings in the Federal Court </w:t>
            </w:r>
            <w:r>
              <w:t>(1988)</w:t>
            </w:r>
          </w:p>
          <w:p w14:paraId="19817668" w14:textId="0A5FB655" w:rsidR="00395B24" w:rsidRPr="001D1273" w:rsidRDefault="00200924" w:rsidP="00486ED1">
            <w:pPr>
              <w:pStyle w:val="CasesLegislationAppealFrom"/>
              <w:spacing w:after="60"/>
              <w:jc w:val="both"/>
              <w:rPr>
                <w:iCs/>
              </w:rPr>
            </w:pPr>
            <w:r>
              <w:t xml:space="preserve">Australian Law Reform Commission, Report 46 </w:t>
            </w:r>
            <w:r w:rsidRPr="00C2300B">
              <w:rPr>
                <w:i/>
              </w:rPr>
              <w:t>Summary</w:t>
            </w:r>
            <w:r w:rsidRPr="00C2300B">
              <w:rPr>
                <w:i/>
                <w:spacing w:val="-10"/>
              </w:rPr>
              <w:t xml:space="preserve"> </w:t>
            </w:r>
            <w:r w:rsidRPr="00C2300B">
              <w:rPr>
                <w:i/>
              </w:rPr>
              <w:t>of</w:t>
            </w:r>
            <w:r w:rsidRPr="00C2300B">
              <w:rPr>
                <w:i/>
                <w:spacing w:val="-10"/>
              </w:rPr>
              <w:t xml:space="preserve"> </w:t>
            </w:r>
            <w:r w:rsidRPr="00C2300B">
              <w:rPr>
                <w:i/>
              </w:rPr>
              <w:t>Report</w:t>
            </w:r>
            <w:r w:rsidRPr="00C2300B">
              <w:rPr>
                <w:i/>
                <w:spacing w:val="-10"/>
              </w:rPr>
              <w:t xml:space="preserve"> </w:t>
            </w:r>
            <w:r w:rsidRPr="00C2300B">
              <w:rPr>
                <w:i/>
              </w:rPr>
              <w:t>and</w:t>
            </w:r>
            <w:r w:rsidRPr="00C2300B">
              <w:rPr>
                <w:i/>
                <w:spacing w:val="-10"/>
              </w:rPr>
              <w:t xml:space="preserve"> </w:t>
            </w:r>
            <w:r w:rsidRPr="00C2300B">
              <w:rPr>
                <w:i/>
              </w:rPr>
              <w:t>Draft</w:t>
            </w:r>
            <w:r w:rsidRPr="00C2300B">
              <w:rPr>
                <w:i/>
                <w:spacing w:val="-10"/>
              </w:rPr>
              <w:t xml:space="preserve"> </w:t>
            </w:r>
            <w:r w:rsidRPr="00C2300B">
              <w:rPr>
                <w:i/>
              </w:rPr>
              <w:t>Legislation</w:t>
            </w:r>
            <w:r>
              <w:rPr>
                <w:i/>
              </w:rPr>
              <w:t xml:space="preserve"> </w:t>
            </w:r>
            <w:r>
              <w:rPr>
                <w:iCs/>
              </w:rPr>
              <w:t>(1988)</w:t>
            </w:r>
            <w:r w:rsidR="002C7385">
              <w:t xml:space="preserve"> </w:t>
            </w:r>
            <w:bookmarkEnd w:id="3"/>
          </w:p>
        </w:tc>
      </w:tr>
      <w:tr w:rsidR="00395B24" w14:paraId="7DB965C9" w14:textId="77777777" w:rsidTr="0046167A">
        <w:tc>
          <w:tcPr>
            <w:tcW w:w="3084" w:type="dxa"/>
            <w:shd w:val="clear" w:color="auto" w:fill="auto"/>
          </w:tcPr>
          <w:p w14:paraId="4D2D52AE" w14:textId="77777777" w:rsidR="00395B24" w:rsidRDefault="00395B24" w:rsidP="00663878">
            <w:pPr>
              <w:pStyle w:val="Normal1linespace"/>
              <w:widowControl w:val="0"/>
              <w:jc w:val="left"/>
            </w:pPr>
          </w:p>
        </w:tc>
        <w:tc>
          <w:tcPr>
            <w:tcW w:w="5989" w:type="dxa"/>
            <w:shd w:val="clear" w:color="auto" w:fill="auto"/>
          </w:tcPr>
          <w:p w14:paraId="5EC9C5E2" w14:textId="77777777" w:rsidR="00395B24" w:rsidRDefault="00395B24" w:rsidP="00663878">
            <w:pPr>
              <w:pStyle w:val="Normal1linespace"/>
              <w:widowControl w:val="0"/>
              <w:jc w:val="left"/>
            </w:pPr>
          </w:p>
        </w:tc>
      </w:tr>
      <w:tr w:rsidR="00395B24" w14:paraId="6C326E3E" w14:textId="77777777" w:rsidTr="0046167A">
        <w:tc>
          <w:tcPr>
            <w:tcW w:w="3084" w:type="dxa"/>
            <w:shd w:val="clear" w:color="auto" w:fill="auto"/>
          </w:tcPr>
          <w:p w14:paraId="4C82C56F" w14:textId="77777777" w:rsidR="00395B24" w:rsidRDefault="002C7385" w:rsidP="00663878">
            <w:pPr>
              <w:pStyle w:val="Normal1linespace"/>
              <w:widowControl w:val="0"/>
              <w:jc w:val="left"/>
            </w:pPr>
            <w:r>
              <w:t>Cases cited:</w:t>
            </w:r>
          </w:p>
        </w:tc>
        <w:tc>
          <w:tcPr>
            <w:tcW w:w="5989" w:type="dxa"/>
            <w:shd w:val="clear" w:color="auto" w:fill="auto"/>
          </w:tcPr>
          <w:p w14:paraId="6470E571" w14:textId="77777777" w:rsidR="001F5DE6" w:rsidRPr="001F5DE6" w:rsidRDefault="001F5DE6" w:rsidP="00486ED1">
            <w:pPr>
              <w:pStyle w:val="CasesLegislationAppealFrom"/>
              <w:spacing w:after="60"/>
              <w:jc w:val="both"/>
              <w:rPr>
                <w:i/>
              </w:rPr>
            </w:pPr>
            <w:bookmarkStart w:id="4" w:name="Cases_Cited"/>
            <w:r w:rsidRPr="001F5DE6">
              <w:rPr>
                <w:i/>
              </w:rPr>
              <w:t>Ainsworth v Criminal Justice Commission</w:t>
            </w:r>
            <w:r w:rsidRPr="001F5DE6">
              <w:t> (1992) 175 CLR 564</w:t>
            </w:r>
          </w:p>
          <w:p w14:paraId="5A1F0248" w14:textId="77777777" w:rsidR="001F5DE6" w:rsidRDefault="001F5DE6" w:rsidP="00486ED1">
            <w:pPr>
              <w:pStyle w:val="CasesLegislationAppealFrom"/>
              <w:spacing w:after="60"/>
              <w:jc w:val="both"/>
              <w:rPr>
                <w:i/>
              </w:rPr>
            </w:pPr>
            <w:proofErr w:type="spellStart"/>
            <w:r w:rsidRPr="000B27B8">
              <w:rPr>
                <w:i/>
                <w:szCs w:val="24"/>
              </w:rPr>
              <w:t>Alqudsi</w:t>
            </w:r>
            <w:proofErr w:type="spellEnd"/>
            <w:r w:rsidRPr="000B27B8">
              <w:rPr>
                <w:i/>
                <w:szCs w:val="24"/>
              </w:rPr>
              <w:t xml:space="preserve"> v The Queen </w:t>
            </w:r>
            <w:r w:rsidRPr="000B27B8">
              <w:rPr>
                <w:szCs w:val="24"/>
              </w:rPr>
              <w:t>(2016) 258 CLR 203</w:t>
            </w:r>
          </w:p>
          <w:p w14:paraId="645153D6" w14:textId="6C13AD43" w:rsidR="001F5DE6" w:rsidRPr="001F5DE6" w:rsidRDefault="001F5DE6" w:rsidP="00486ED1">
            <w:pPr>
              <w:pStyle w:val="CasesLegislationAppealFrom"/>
              <w:spacing w:after="60"/>
              <w:jc w:val="both"/>
            </w:pPr>
            <w:proofErr w:type="spellStart"/>
            <w:r>
              <w:rPr>
                <w:i/>
              </w:rPr>
              <w:t>Asirifi</w:t>
            </w:r>
            <w:proofErr w:type="spellEnd"/>
            <w:r>
              <w:rPr>
                <w:i/>
              </w:rPr>
              <w:t xml:space="preserve">-Otchere v Swann Insurance (Aust) Pty Ltd (No 3) </w:t>
            </w:r>
            <w:r>
              <w:t xml:space="preserve">(2020) 385 ALR </w:t>
            </w:r>
            <w:r w:rsidRPr="00E63B77">
              <w:t>625</w:t>
            </w:r>
          </w:p>
          <w:p w14:paraId="1F0A270A" w14:textId="77777777" w:rsidR="001F5DE6" w:rsidRDefault="001F5DE6" w:rsidP="00486ED1">
            <w:pPr>
              <w:pStyle w:val="CasesLegislationAppealFrom"/>
              <w:spacing w:after="60"/>
              <w:jc w:val="both"/>
            </w:pPr>
            <w:r>
              <w:rPr>
                <w:i/>
                <w:szCs w:val="24"/>
              </w:rPr>
              <w:t xml:space="preserve">Attorney-General for the Commonwealth v Alinta Ltd </w:t>
            </w:r>
            <w:r>
              <w:rPr>
                <w:szCs w:val="24"/>
              </w:rPr>
              <w:t>(2008) 233 CLR 542</w:t>
            </w:r>
          </w:p>
          <w:p w14:paraId="63886C7E" w14:textId="77777777" w:rsidR="001F5DE6" w:rsidRPr="001F5DE6" w:rsidRDefault="001F5DE6" w:rsidP="00486ED1">
            <w:pPr>
              <w:pStyle w:val="CasesLegislationAppealFrom"/>
              <w:spacing w:after="60"/>
              <w:jc w:val="both"/>
            </w:pPr>
            <w:r w:rsidRPr="001F5DE6">
              <w:rPr>
                <w:i/>
              </w:rPr>
              <w:t>Augusta Pool 1 UK Ltd v Williamson</w:t>
            </w:r>
            <w:r w:rsidRPr="001F5DE6">
              <w:t xml:space="preserve"> [2023] NSWCA 93</w:t>
            </w:r>
          </w:p>
          <w:p w14:paraId="03B71104" w14:textId="49EADE99" w:rsidR="001F5DE6" w:rsidRPr="001F5DE6" w:rsidRDefault="001F5DE6" w:rsidP="00486ED1">
            <w:pPr>
              <w:pStyle w:val="CasesLegislationAppealFrom"/>
              <w:spacing w:after="60"/>
              <w:jc w:val="both"/>
            </w:pPr>
            <w:r w:rsidRPr="001F5DE6">
              <w:rPr>
                <w:i/>
              </w:rPr>
              <w:t xml:space="preserve">Australian Federation of Air Pilots v Regional Express Holdings Limited </w:t>
            </w:r>
            <w:r w:rsidRPr="001F5DE6">
              <w:t>(2021) 290 FCR 239</w:t>
            </w:r>
          </w:p>
          <w:p w14:paraId="211487DE" w14:textId="77777777" w:rsidR="001F5DE6" w:rsidRPr="00A01E91" w:rsidRDefault="001F5DE6" w:rsidP="00486ED1">
            <w:pPr>
              <w:pStyle w:val="CasesLegislationAppealFrom"/>
              <w:spacing w:after="60"/>
              <w:jc w:val="both"/>
            </w:pPr>
            <w:r w:rsidRPr="00A01E91">
              <w:rPr>
                <w:i/>
                <w:iCs/>
              </w:rPr>
              <w:t xml:space="preserve">Australian Securities and Investments Commission v Richards </w:t>
            </w:r>
            <w:r w:rsidRPr="00A01E91">
              <w:t>[2013] FCAFC 89</w:t>
            </w:r>
          </w:p>
          <w:p w14:paraId="2BAD1914" w14:textId="77777777" w:rsidR="001F5DE6" w:rsidRDefault="001F5DE6" w:rsidP="00486ED1">
            <w:pPr>
              <w:pStyle w:val="CasesLegislationAppealFrom"/>
              <w:spacing w:after="60"/>
              <w:jc w:val="both"/>
            </w:pPr>
            <w:r>
              <w:rPr>
                <w:i/>
              </w:rPr>
              <w:t xml:space="preserve">AZC20 v Minister for Immigration, Citizenship, Migrant Services and Multicultural Affairs </w:t>
            </w:r>
            <w:r>
              <w:t>[2023] HCA 26</w:t>
            </w:r>
          </w:p>
          <w:p w14:paraId="2AA7EE68" w14:textId="526A7CB5" w:rsidR="001F5DE6" w:rsidRPr="001F5DE6" w:rsidRDefault="001F5DE6" w:rsidP="00486ED1">
            <w:pPr>
              <w:pStyle w:val="CasesLegislationAppealFrom"/>
              <w:spacing w:after="60"/>
              <w:jc w:val="both"/>
            </w:pPr>
            <w:r w:rsidRPr="001F5DE6">
              <w:rPr>
                <w:i/>
              </w:rPr>
              <w:t xml:space="preserve">BHP Group Limited v </w:t>
            </w:r>
            <w:proofErr w:type="spellStart"/>
            <w:r w:rsidRPr="001F5DE6">
              <w:rPr>
                <w:i/>
              </w:rPr>
              <w:t>Impiombato</w:t>
            </w:r>
            <w:proofErr w:type="spellEnd"/>
            <w:r w:rsidRPr="001F5DE6">
              <w:t xml:space="preserve"> (2022) 96 ALJR 956</w:t>
            </w:r>
          </w:p>
          <w:p w14:paraId="34B716A3" w14:textId="173B8372" w:rsidR="001F5DE6" w:rsidRPr="00A01E91" w:rsidRDefault="001F5DE6" w:rsidP="00486ED1">
            <w:pPr>
              <w:pStyle w:val="CasesLegislationAppealFrom"/>
              <w:spacing w:after="60"/>
              <w:jc w:val="both"/>
            </w:pPr>
            <w:r w:rsidRPr="00CE383A">
              <w:rPr>
                <w:i/>
              </w:rPr>
              <w:t xml:space="preserve">Blairgowrie Trading Ltd v </w:t>
            </w:r>
            <w:proofErr w:type="spellStart"/>
            <w:r w:rsidRPr="00CE383A">
              <w:rPr>
                <w:i/>
              </w:rPr>
              <w:t>Allco</w:t>
            </w:r>
            <w:proofErr w:type="spellEnd"/>
            <w:r w:rsidRPr="00CE383A">
              <w:rPr>
                <w:i/>
              </w:rPr>
              <w:t xml:space="preserve"> Finance Group Ltd (in </w:t>
            </w:r>
            <w:proofErr w:type="spellStart"/>
            <w:r w:rsidRPr="00CE383A">
              <w:rPr>
                <w:i/>
              </w:rPr>
              <w:t>liq</w:t>
            </w:r>
            <w:proofErr w:type="spellEnd"/>
            <w:r w:rsidRPr="00CE383A">
              <w:rPr>
                <w:i/>
              </w:rPr>
              <w:t>) (No 3)</w:t>
            </w:r>
            <w:r w:rsidRPr="00CE383A">
              <w:t xml:space="preserve"> (2017) 343 ALR 476</w:t>
            </w:r>
          </w:p>
          <w:p w14:paraId="00A243B5" w14:textId="1B2C244F" w:rsidR="001F5DE6" w:rsidRPr="001F5DE6" w:rsidRDefault="001F5DE6" w:rsidP="00486ED1">
            <w:pPr>
              <w:pStyle w:val="CasesLegislationAppealFrom"/>
              <w:spacing w:after="60"/>
              <w:jc w:val="both"/>
            </w:pPr>
            <w:r>
              <w:rPr>
                <w:i/>
              </w:rPr>
              <w:lastRenderedPageBreak/>
              <w:t xml:space="preserve">BMW Australia Ltd v Brewster </w:t>
            </w:r>
            <w:r>
              <w:t>(2019) 269 CLR 574</w:t>
            </w:r>
          </w:p>
          <w:p w14:paraId="27390814" w14:textId="16EFE26E" w:rsidR="001F5DE6" w:rsidRPr="001F5DE6" w:rsidRDefault="001F5DE6" w:rsidP="00486ED1">
            <w:pPr>
              <w:pStyle w:val="CasesLegislationAppealFrom"/>
              <w:spacing w:after="60"/>
              <w:jc w:val="both"/>
            </w:pPr>
            <w:proofErr w:type="spellStart"/>
            <w:r w:rsidRPr="00A01E91">
              <w:rPr>
                <w:i/>
                <w:iCs/>
              </w:rPr>
              <w:t>Botsman</w:t>
            </w:r>
            <w:proofErr w:type="spellEnd"/>
            <w:r w:rsidRPr="00A01E91">
              <w:rPr>
                <w:i/>
                <w:iCs/>
              </w:rPr>
              <w:t xml:space="preserve"> v Bolitho </w:t>
            </w:r>
            <w:r w:rsidRPr="00A01E91">
              <w:t>(2018) 57 VR 68</w:t>
            </w:r>
          </w:p>
          <w:p w14:paraId="24FDA56B" w14:textId="2C9904C3" w:rsidR="001F5DE6" w:rsidRPr="001F5DE6" w:rsidRDefault="001F5DE6" w:rsidP="00486ED1">
            <w:pPr>
              <w:pStyle w:val="CasesLegislationAppealFrom"/>
              <w:spacing w:after="60"/>
              <w:jc w:val="both"/>
            </w:pPr>
            <w:r w:rsidRPr="001F5DE6">
              <w:rPr>
                <w:i/>
              </w:rPr>
              <w:t xml:space="preserve">Bradshaw v BSA Limited (No 2) </w:t>
            </w:r>
            <w:r w:rsidRPr="001F5DE6">
              <w:t>[2022] FCA 1440</w:t>
            </w:r>
          </w:p>
          <w:p w14:paraId="31BFC660" w14:textId="77777777" w:rsidR="001F5DE6" w:rsidRDefault="001F5DE6" w:rsidP="00486ED1">
            <w:pPr>
              <w:pStyle w:val="CasesLegislationAppealFrom"/>
              <w:spacing w:after="60"/>
              <w:jc w:val="both"/>
            </w:pPr>
            <w:r>
              <w:rPr>
                <w:i/>
                <w:iCs/>
              </w:rPr>
              <w:t xml:space="preserve">Cantor v Audi Australia Pty Ltd (No 5) </w:t>
            </w:r>
            <w:r>
              <w:t>[2020] FCA 637</w:t>
            </w:r>
          </w:p>
          <w:p w14:paraId="252A15D0" w14:textId="77777777" w:rsidR="001F5DE6" w:rsidRDefault="001F5DE6" w:rsidP="00486ED1">
            <w:pPr>
              <w:pStyle w:val="CasesLegislationAppealFrom"/>
              <w:spacing w:after="60"/>
              <w:jc w:val="both"/>
            </w:pPr>
            <w:r>
              <w:rPr>
                <w:i/>
              </w:rPr>
              <w:t xml:space="preserve">Cardile v LED Builders Pty Ltd </w:t>
            </w:r>
            <w:r>
              <w:t>(1999) 198 CLR 380</w:t>
            </w:r>
          </w:p>
          <w:p w14:paraId="5A93843C" w14:textId="77777777" w:rsidR="001F5DE6" w:rsidRPr="001F5DE6" w:rsidRDefault="001F5DE6" w:rsidP="00486ED1">
            <w:pPr>
              <w:pStyle w:val="CasesLegislationAppealFrom"/>
              <w:spacing w:after="60"/>
              <w:jc w:val="both"/>
            </w:pPr>
            <w:r w:rsidRPr="001F5DE6">
              <w:rPr>
                <w:i/>
              </w:rPr>
              <w:t>Clime Capital Ltd v UGL Pty Ltd</w:t>
            </w:r>
            <w:r w:rsidRPr="001F5DE6">
              <w:t xml:space="preserve"> [2020] FCA 66</w:t>
            </w:r>
          </w:p>
          <w:p w14:paraId="3208A09B" w14:textId="543296AD" w:rsidR="001F5DE6" w:rsidRPr="00596FB9" w:rsidRDefault="001F5DE6" w:rsidP="00486ED1">
            <w:pPr>
              <w:pStyle w:val="CasesLegislationAppealFrom"/>
              <w:spacing w:after="60"/>
              <w:jc w:val="both"/>
            </w:pPr>
            <w:r w:rsidRPr="00944B01">
              <w:rPr>
                <w:i/>
              </w:rPr>
              <w:t>Clubb v Edwards</w:t>
            </w:r>
            <w:r w:rsidRPr="00944B01">
              <w:t xml:space="preserve"> (2019) 267 CLR 171</w:t>
            </w:r>
          </w:p>
          <w:p w14:paraId="10061727" w14:textId="77777777" w:rsidR="001F5DE6" w:rsidRPr="001F5DE6" w:rsidRDefault="001F5DE6" w:rsidP="00486ED1">
            <w:pPr>
              <w:pStyle w:val="CasesLegislationAppealFrom"/>
              <w:spacing w:after="60"/>
              <w:jc w:val="both"/>
            </w:pPr>
            <w:r w:rsidRPr="001F5DE6">
              <w:rPr>
                <w:i/>
              </w:rPr>
              <w:t>Cominos v Cominos</w:t>
            </w:r>
            <w:r w:rsidRPr="001F5DE6">
              <w:t xml:space="preserve"> (1972) 127 CLR 588</w:t>
            </w:r>
          </w:p>
          <w:p w14:paraId="54B2F986" w14:textId="77777777" w:rsidR="001F5DE6" w:rsidRPr="00A01E91" w:rsidRDefault="001F5DE6" w:rsidP="00486ED1">
            <w:pPr>
              <w:pStyle w:val="CasesLegislationAppealFrom"/>
              <w:spacing w:after="60"/>
              <w:jc w:val="both"/>
            </w:pPr>
            <w:r w:rsidRPr="00A01E91">
              <w:rPr>
                <w:i/>
                <w:iCs/>
              </w:rPr>
              <w:t xml:space="preserve">Commonwealth of Australia v SCI Operations Pty Ltd </w:t>
            </w:r>
            <w:r w:rsidRPr="00A01E91">
              <w:t>(1998) 192 CLR 285</w:t>
            </w:r>
          </w:p>
          <w:p w14:paraId="45FEB1DF" w14:textId="66304136" w:rsidR="001F5DE6" w:rsidRPr="00A01E91" w:rsidRDefault="001F5DE6" w:rsidP="00486ED1">
            <w:pPr>
              <w:pStyle w:val="CasesLegislationAppealFrom"/>
              <w:spacing w:after="60"/>
              <w:jc w:val="both"/>
            </w:pPr>
            <w:r w:rsidRPr="001F5DE6">
              <w:rPr>
                <w:i/>
              </w:rPr>
              <w:t xml:space="preserve">Court v Spotless Group Holdings Limited </w:t>
            </w:r>
            <w:r w:rsidRPr="001F5DE6">
              <w:t>[2020] FCA 1730</w:t>
            </w:r>
          </w:p>
          <w:p w14:paraId="66A5DF43" w14:textId="38420B89" w:rsidR="001F5DE6" w:rsidRPr="00A01E91" w:rsidRDefault="001F5DE6" w:rsidP="00486ED1">
            <w:pPr>
              <w:pStyle w:val="CasesLegislationAppealFrom"/>
              <w:spacing w:after="60"/>
              <w:jc w:val="both"/>
            </w:pPr>
            <w:r w:rsidRPr="001F5DE6">
              <w:rPr>
                <w:i/>
                <w:iCs/>
              </w:rPr>
              <w:t>Davaria Pty Limited v 7-Eleven Stores Pty Ltd (No 13)</w:t>
            </w:r>
            <w:r w:rsidRPr="001F5DE6">
              <w:t> [2023] FCA 84</w:t>
            </w:r>
          </w:p>
          <w:p w14:paraId="2B5913EF" w14:textId="58DB1C4B" w:rsidR="001F5DE6" w:rsidRPr="001F5DE6" w:rsidRDefault="001F5DE6" w:rsidP="00486ED1">
            <w:pPr>
              <w:pStyle w:val="CasesLegislationAppealFrom"/>
              <w:spacing w:after="60"/>
              <w:jc w:val="both"/>
            </w:pPr>
            <w:r>
              <w:rPr>
                <w:i/>
                <w:iCs/>
              </w:rPr>
              <w:t xml:space="preserve">Davaria Pty Ltd v 7-Eleven Stores Pty Ltd </w:t>
            </w:r>
            <w:r>
              <w:t>(2020) 281 FCR 501</w:t>
            </w:r>
          </w:p>
          <w:p w14:paraId="135E8228" w14:textId="77777777" w:rsidR="001F5DE6" w:rsidRDefault="001F5DE6" w:rsidP="00486ED1">
            <w:pPr>
              <w:pStyle w:val="CasesLegislationAppealFrom"/>
              <w:spacing w:after="60"/>
              <w:jc w:val="both"/>
              <w:rPr>
                <w:szCs w:val="24"/>
              </w:rPr>
            </w:pPr>
            <w:proofErr w:type="spellStart"/>
            <w:r w:rsidRPr="00D52F22">
              <w:rPr>
                <w:i/>
              </w:rPr>
              <w:t>Dorajay</w:t>
            </w:r>
            <w:proofErr w:type="spellEnd"/>
            <w:r w:rsidRPr="00D52F22">
              <w:rPr>
                <w:i/>
              </w:rPr>
              <w:t xml:space="preserve"> Pty Ltd v Aristocrat Leisure Ltd</w:t>
            </w:r>
            <w:r>
              <w:t xml:space="preserve"> [2009] FCA 19</w:t>
            </w:r>
          </w:p>
          <w:p w14:paraId="2BB3F334" w14:textId="77777777" w:rsidR="001F5DE6" w:rsidRPr="00A01E91" w:rsidRDefault="001F5DE6" w:rsidP="00486ED1">
            <w:pPr>
              <w:pStyle w:val="CasesLegislationAppealFrom"/>
              <w:spacing w:after="60"/>
              <w:jc w:val="both"/>
            </w:pPr>
            <w:proofErr w:type="spellStart"/>
            <w:r w:rsidRPr="00A01E91">
              <w:rPr>
                <w:i/>
                <w:iCs/>
              </w:rPr>
              <w:t>Earglow</w:t>
            </w:r>
            <w:proofErr w:type="spellEnd"/>
            <w:r w:rsidRPr="00A01E91">
              <w:rPr>
                <w:i/>
                <w:iCs/>
              </w:rPr>
              <w:t xml:space="preserve"> Pty Ltd v Newcrest Mining Limited</w:t>
            </w:r>
            <w:r w:rsidRPr="00A01E91">
              <w:t xml:space="preserve"> [2016] FCA 1433</w:t>
            </w:r>
          </w:p>
          <w:p w14:paraId="753C09F2" w14:textId="76E82AC1" w:rsidR="001F5DE6" w:rsidRPr="001F5DE6" w:rsidRDefault="001F5DE6" w:rsidP="00486ED1">
            <w:pPr>
              <w:pStyle w:val="CasesLegislationAppealFrom"/>
              <w:spacing w:after="60"/>
              <w:jc w:val="both"/>
              <w:rPr>
                <w:szCs w:val="24"/>
              </w:rPr>
            </w:pPr>
            <w:r w:rsidRPr="00F53E26">
              <w:rPr>
                <w:i/>
                <w:iCs/>
                <w:szCs w:val="24"/>
              </w:rPr>
              <w:t>Edwards v Santos</w:t>
            </w:r>
            <w:r>
              <w:rPr>
                <w:i/>
                <w:iCs/>
                <w:szCs w:val="24"/>
              </w:rPr>
              <w:t xml:space="preserve"> L</w:t>
            </w:r>
            <w:r w:rsidR="007E45CE">
              <w:rPr>
                <w:i/>
                <w:iCs/>
                <w:szCs w:val="24"/>
              </w:rPr>
              <w:t>imi</w:t>
            </w:r>
            <w:r>
              <w:rPr>
                <w:i/>
                <w:iCs/>
                <w:szCs w:val="24"/>
              </w:rPr>
              <w:t>t</w:t>
            </w:r>
            <w:r w:rsidR="007E45CE">
              <w:rPr>
                <w:i/>
                <w:iCs/>
                <w:szCs w:val="24"/>
              </w:rPr>
              <w:t>e</w:t>
            </w:r>
            <w:r>
              <w:rPr>
                <w:i/>
                <w:iCs/>
                <w:szCs w:val="24"/>
              </w:rPr>
              <w:t xml:space="preserve">d </w:t>
            </w:r>
            <w:r>
              <w:rPr>
                <w:iCs/>
                <w:szCs w:val="24"/>
              </w:rPr>
              <w:t>(2011) 242 CLR 421</w:t>
            </w:r>
          </w:p>
          <w:p w14:paraId="1B567B1B" w14:textId="5B050ADB" w:rsidR="001F5DE6" w:rsidRDefault="001F5DE6" w:rsidP="00486ED1">
            <w:pPr>
              <w:pStyle w:val="CasesLegislationAppealFrom"/>
              <w:spacing w:after="60"/>
              <w:jc w:val="both"/>
              <w:rPr>
                <w:szCs w:val="24"/>
              </w:rPr>
            </w:pPr>
            <w:r w:rsidRPr="00400540">
              <w:rPr>
                <w:i/>
                <w:szCs w:val="24"/>
              </w:rPr>
              <w:t>Electrolux Home Products Pty Ltd v Australian Workers</w:t>
            </w:r>
            <w:r w:rsidR="005D6770">
              <w:rPr>
                <w:i/>
                <w:szCs w:val="24"/>
              </w:rPr>
              <w:t>’</w:t>
            </w:r>
            <w:r w:rsidRPr="00400540">
              <w:rPr>
                <w:i/>
                <w:szCs w:val="24"/>
              </w:rPr>
              <w:t xml:space="preserve"> Union </w:t>
            </w:r>
            <w:r w:rsidRPr="00400540">
              <w:rPr>
                <w:szCs w:val="24"/>
              </w:rPr>
              <w:t>(2004) 221 CLR 309</w:t>
            </w:r>
          </w:p>
          <w:p w14:paraId="5FBD8DC1" w14:textId="77777777" w:rsidR="001F5DE6" w:rsidRPr="00A01E91" w:rsidRDefault="001F5DE6" w:rsidP="00486ED1">
            <w:pPr>
              <w:pStyle w:val="CasesLegislationAppealFrom"/>
              <w:spacing w:after="60"/>
              <w:jc w:val="both"/>
            </w:pPr>
            <w:r w:rsidRPr="00A01E91">
              <w:rPr>
                <w:i/>
                <w:iCs/>
              </w:rPr>
              <w:t>ENT19 v Minister for Home Affairs</w:t>
            </w:r>
            <w:r w:rsidRPr="00A01E91">
              <w:t xml:space="preserve"> [2023] HCA 18</w:t>
            </w:r>
          </w:p>
          <w:p w14:paraId="05F401E1" w14:textId="77777777" w:rsidR="001F5DE6" w:rsidRDefault="001F5DE6" w:rsidP="00486ED1">
            <w:pPr>
              <w:pStyle w:val="CasesLegislationAppealFrom"/>
              <w:spacing w:after="60"/>
              <w:jc w:val="both"/>
            </w:pPr>
            <w:r>
              <w:rPr>
                <w:i/>
                <w:iCs/>
              </w:rPr>
              <w:t xml:space="preserve">Evans v </w:t>
            </w:r>
            <w:proofErr w:type="spellStart"/>
            <w:r>
              <w:rPr>
                <w:i/>
                <w:iCs/>
              </w:rPr>
              <w:t>Davantage</w:t>
            </w:r>
            <w:proofErr w:type="spellEnd"/>
            <w:r>
              <w:rPr>
                <w:i/>
                <w:iCs/>
              </w:rPr>
              <w:t xml:space="preserve"> Group Pty Ltd (No 2) </w:t>
            </w:r>
            <w:r>
              <w:t>[2020] FCA 473</w:t>
            </w:r>
          </w:p>
          <w:p w14:paraId="7CF8C344" w14:textId="77777777" w:rsidR="001F5DE6" w:rsidRPr="001F5DE6" w:rsidRDefault="001F5DE6" w:rsidP="00486ED1">
            <w:pPr>
              <w:pStyle w:val="CasesLegislationAppealFrom"/>
              <w:spacing w:after="60"/>
              <w:jc w:val="both"/>
            </w:pPr>
            <w:r w:rsidRPr="001F5DE6">
              <w:rPr>
                <w:i/>
              </w:rPr>
              <w:t xml:space="preserve">Evans v </w:t>
            </w:r>
            <w:proofErr w:type="spellStart"/>
            <w:r w:rsidRPr="001F5DE6">
              <w:rPr>
                <w:i/>
              </w:rPr>
              <w:t>Davantage</w:t>
            </w:r>
            <w:proofErr w:type="spellEnd"/>
            <w:r w:rsidRPr="001F5DE6">
              <w:rPr>
                <w:i/>
              </w:rPr>
              <w:t xml:space="preserve"> Group Pty Ltd (No 3) </w:t>
            </w:r>
            <w:r w:rsidRPr="001F5DE6">
              <w:t>[2021] FCA 70</w:t>
            </w:r>
          </w:p>
          <w:p w14:paraId="6E68002F" w14:textId="77777777" w:rsidR="001F5DE6" w:rsidRDefault="001F5DE6" w:rsidP="00486ED1">
            <w:pPr>
              <w:pStyle w:val="CasesLegislationAppealFrom"/>
              <w:spacing w:after="60"/>
              <w:jc w:val="both"/>
              <w:rPr>
                <w:szCs w:val="24"/>
              </w:rPr>
            </w:pPr>
            <w:r>
              <w:rPr>
                <w:i/>
                <w:szCs w:val="24"/>
              </w:rPr>
              <w:t xml:space="preserve">Fakhouri v Secretary, NSW Ministry of Health </w:t>
            </w:r>
            <w:r>
              <w:rPr>
                <w:szCs w:val="24"/>
              </w:rPr>
              <w:t>(2022) 316 IR 221</w:t>
            </w:r>
          </w:p>
          <w:p w14:paraId="26DC0E47" w14:textId="77777777" w:rsidR="001F5DE6" w:rsidRDefault="001F5DE6" w:rsidP="00486ED1">
            <w:pPr>
              <w:pStyle w:val="CasesLegislationAppealFrom"/>
              <w:spacing w:after="60"/>
              <w:jc w:val="both"/>
              <w:rPr>
                <w:szCs w:val="24"/>
              </w:rPr>
            </w:pPr>
            <w:proofErr w:type="spellStart"/>
            <w:r>
              <w:rPr>
                <w:i/>
              </w:rPr>
              <w:t>Fardon</w:t>
            </w:r>
            <w:proofErr w:type="spellEnd"/>
            <w:r>
              <w:rPr>
                <w:i/>
              </w:rPr>
              <w:t xml:space="preserve"> v Attorney-General for the State of Queensland </w:t>
            </w:r>
            <w:r>
              <w:t>(2004) 223 CLR 575</w:t>
            </w:r>
          </w:p>
          <w:p w14:paraId="631C6F5D" w14:textId="2E084ADA" w:rsidR="001F5DE6" w:rsidRPr="001F5DE6" w:rsidRDefault="001F5DE6" w:rsidP="00486ED1">
            <w:pPr>
              <w:pStyle w:val="CasesLegislationAppealFrom"/>
              <w:spacing w:after="60"/>
              <w:jc w:val="both"/>
            </w:pPr>
            <w:r w:rsidRPr="001F5DE6">
              <w:rPr>
                <w:i/>
              </w:rPr>
              <w:t>Ferdinands v Commissioner for Public Employment</w:t>
            </w:r>
            <w:r w:rsidRPr="001F5DE6">
              <w:t xml:space="preserve"> (2006) 225 CLR 130</w:t>
            </w:r>
          </w:p>
          <w:p w14:paraId="1300DDFE" w14:textId="1BE35E3E" w:rsidR="001F5DE6" w:rsidRPr="001F5DE6" w:rsidRDefault="001F5DE6" w:rsidP="00486ED1">
            <w:pPr>
              <w:pStyle w:val="CasesLegislationAppealFrom"/>
              <w:spacing w:after="60"/>
              <w:jc w:val="both"/>
              <w:rPr>
                <w:szCs w:val="24"/>
              </w:rPr>
            </w:pPr>
            <w:r w:rsidRPr="00C946BE">
              <w:rPr>
                <w:i/>
                <w:szCs w:val="24"/>
              </w:rPr>
              <w:t xml:space="preserve">Firebird Global Master Fund II Ltd v Republic of Nauru </w:t>
            </w:r>
            <w:r w:rsidRPr="00C946BE">
              <w:rPr>
                <w:szCs w:val="24"/>
              </w:rPr>
              <w:t>(2015) 258 CLR 31</w:t>
            </w:r>
          </w:p>
          <w:p w14:paraId="7737D55C" w14:textId="4AC9BC64" w:rsidR="001F5DE6" w:rsidRPr="001F5DE6" w:rsidRDefault="001F5DE6" w:rsidP="00486ED1">
            <w:pPr>
              <w:pStyle w:val="CasesLegislationAppealFrom"/>
              <w:spacing w:after="60"/>
              <w:jc w:val="both"/>
            </w:pPr>
            <w:r w:rsidRPr="00A01E91">
              <w:rPr>
                <w:i/>
                <w:iCs/>
              </w:rPr>
              <w:t xml:space="preserve">Fisher (trustee for the </w:t>
            </w:r>
            <w:proofErr w:type="spellStart"/>
            <w:r w:rsidRPr="00A01E91">
              <w:rPr>
                <w:i/>
                <w:iCs/>
              </w:rPr>
              <w:t>Tramik</w:t>
            </w:r>
            <w:proofErr w:type="spellEnd"/>
            <w:r w:rsidRPr="00A01E91">
              <w:rPr>
                <w:i/>
                <w:iCs/>
              </w:rPr>
              <w:t xml:space="preserve"> Super Fund Trust) v </w:t>
            </w:r>
            <w:proofErr w:type="spellStart"/>
            <w:r w:rsidRPr="00A01E91">
              <w:rPr>
                <w:i/>
                <w:iCs/>
              </w:rPr>
              <w:t>Vocus</w:t>
            </w:r>
            <w:proofErr w:type="spellEnd"/>
            <w:r w:rsidRPr="00A01E91">
              <w:rPr>
                <w:i/>
                <w:iCs/>
              </w:rPr>
              <w:t xml:space="preserve"> Group Limited (No 2) </w:t>
            </w:r>
            <w:r w:rsidRPr="00A01E91">
              <w:t>[2020] FCA 579</w:t>
            </w:r>
          </w:p>
          <w:p w14:paraId="34011B44" w14:textId="77777777" w:rsidR="001F5DE6" w:rsidRPr="00A01E91" w:rsidRDefault="001F5DE6" w:rsidP="00486ED1">
            <w:pPr>
              <w:pStyle w:val="CasesLegislationAppealFrom"/>
              <w:spacing w:after="60"/>
              <w:jc w:val="both"/>
            </w:pPr>
            <w:r w:rsidRPr="00A01E91">
              <w:rPr>
                <w:i/>
                <w:iCs/>
              </w:rPr>
              <w:t>Fowkes v Boston Scientific Corporation</w:t>
            </w:r>
            <w:r w:rsidRPr="00A01E91">
              <w:t xml:space="preserve"> [2023] FCA 230</w:t>
            </w:r>
          </w:p>
          <w:p w14:paraId="297FC876" w14:textId="77777777" w:rsidR="001F5DE6" w:rsidRPr="001F5DE6" w:rsidRDefault="001F5DE6" w:rsidP="00486ED1">
            <w:pPr>
              <w:pStyle w:val="CasesLegislationAppealFrom"/>
              <w:spacing w:after="60"/>
              <w:jc w:val="both"/>
            </w:pPr>
            <w:r w:rsidRPr="001F5DE6">
              <w:rPr>
                <w:i/>
              </w:rPr>
              <w:t xml:space="preserve">Gill v Ethicon </w:t>
            </w:r>
            <w:proofErr w:type="spellStart"/>
            <w:r w:rsidRPr="001F5DE6">
              <w:rPr>
                <w:i/>
              </w:rPr>
              <w:t>Sàrl</w:t>
            </w:r>
            <w:proofErr w:type="spellEnd"/>
            <w:r w:rsidRPr="001F5DE6">
              <w:rPr>
                <w:i/>
              </w:rPr>
              <w:t xml:space="preserve"> (No 10)</w:t>
            </w:r>
            <w:r w:rsidRPr="001F5DE6">
              <w:t xml:space="preserve"> [2023] FCA 228</w:t>
            </w:r>
          </w:p>
          <w:p w14:paraId="263A18A8" w14:textId="77777777" w:rsidR="001F5DE6" w:rsidRPr="001F5DE6" w:rsidRDefault="001F5DE6" w:rsidP="00486ED1">
            <w:pPr>
              <w:pStyle w:val="CasesLegislationAppealFrom"/>
              <w:spacing w:after="60"/>
              <w:jc w:val="both"/>
            </w:pPr>
            <w:r w:rsidRPr="001F5DE6">
              <w:rPr>
                <w:i/>
              </w:rPr>
              <w:t xml:space="preserve">Hall v Arnold Bloch </w:t>
            </w:r>
            <w:proofErr w:type="spellStart"/>
            <w:r w:rsidRPr="001F5DE6">
              <w:rPr>
                <w:i/>
              </w:rPr>
              <w:t>Leibler</w:t>
            </w:r>
            <w:proofErr w:type="spellEnd"/>
            <w:r w:rsidRPr="001F5DE6">
              <w:rPr>
                <w:i/>
              </w:rPr>
              <w:t xml:space="preserve"> (a firm) (No 2) </w:t>
            </w:r>
            <w:r w:rsidRPr="001F5DE6">
              <w:t>[2022] FCA 163</w:t>
            </w:r>
          </w:p>
          <w:p w14:paraId="1DD0AAF1" w14:textId="77777777" w:rsidR="001F5DE6" w:rsidRPr="001F5DE6" w:rsidRDefault="001F5DE6" w:rsidP="00486ED1">
            <w:pPr>
              <w:pStyle w:val="CasesLegislationAppealFrom"/>
              <w:spacing w:after="60"/>
              <w:jc w:val="both"/>
            </w:pPr>
            <w:r w:rsidRPr="001F5DE6">
              <w:rPr>
                <w:i/>
              </w:rPr>
              <w:t>Hall v Pitcher Partners (a firm)</w:t>
            </w:r>
            <w:r w:rsidRPr="001F5DE6">
              <w:t xml:space="preserve"> [2022] FCA 1524</w:t>
            </w:r>
          </w:p>
          <w:p w14:paraId="693AA515" w14:textId="77777777" w:rsidR="001F5DE6" w:rsidRPr="001F5DE6" w:rsidRDefault="001F5DE6" w:rsidP="00486ED1">
            <w:pPr>
              <w:pStyle w:val="CasesLegislationAppealFrom"/>
              <w:spacing w:after="60"/>
              <w:jc w:val="both"/>
            </w:pPr>
            <w:proofErr w:type="spellStart"/>
            <w:r w:rsidRPr="001F5DE6">
              <w:rPr>
                <w:i/>
              </w:rPr>
              <w:t>Haselhurst</w:t>
            </w:r>
            <w:proofErr w:type="spellEnd"/>
            <w:r w:rsidRPr="001F5DE6">
              <w:rPr>
                <w:i/>
              </w:rPr>
              <w:t xml:space="preserve"> v Toyota Motor Corporation Australia Ltd t/as Toyota Australia; </w:t>
            </w:r>
            <w:proofErr w:type="spellStart"/>
            <w:r w:rsidRPr="001F5DE6">
              <w:rPr>
                <w:i/>
              </w:rPr>
              <w:t>Whisson</w:t>
            </w:r>
            <w:proofErr w:type="spellEnd"/>
            <w:r w:rsidRPr="001F5DE6">
              <w:rPr>
                <w:i/>
              </w:rPr>
              <w:t xml:space="preserve"> v Subaru (Aust) Pty Ltd; </w:t>
            </w:r>
            <w:proofErr w:type="spellStart"/>
            <w:r w:rsidRPr="001F5DE6">
              <w:rPr>
                <w:i/>
              </w:rPr>
              <w:t>Kularathne</w:t>
            </w:r>
            <w:proofErr w:type="spellEnd"/>
            <w:r w:rsidRPr="001F5DE6">
              <w:rPr>
                <w:i/>
              </w:rPr>
              <w:t xml:space="preserve"> v Honda Australia Pty Ltd; Brewster v BMW Australia Ltd; Bond v Nissan Motor Co (Australia) Pty Ltd; Coates v Mazda Australia Pty Ltd </w:t>
            </w:r>
            <w:r w:rsidRPr="001F5DE6">
              <w:t>[2022] NSWSC 1076</w:t>
            </w:r>
          </w:p>
          <w:p w14:paraId="09DC060D" w14:textId="77777777" w:rsidR="001F5DE6" w:rsidRDefault="001F5DE6" w:rsidP="00486ED1">
            <w:pPr>
              <w:pStyle w:val="CasesLegislationAppealFrom"/>
              <w:spacing w:after="60"/>
              <w:jc w:val="both"/>
            </w:pPr>
            <w:r w:rsidRPr="00D5019A">
              <w:rPr>
                <w:i/>
              </w:rPr>
              <w:t>In re</w:t>
            </w:r>
            <w:r>
              <w:rPr>
                <w:i/>
              </w:rPr>
              <w:t xml:space="preserve"> the </w:t>
            </w:r>
            <w:r w:rsidRPr="00813F86">
              <w:rPr>
                <w:i/>
              </w:rPr>
              <w:t>Judiciary</w:t>
            </w:r>
            <w:r>
              <w:rPr>
                <w:i/>
              </w:rPr>
              <w:t xml:space="preserve"> Act 1903</w:t>
            </w:r>
            <w:r w:rsidRPr="00813F86">
              <w:rPr>
                <w:i/>
              </w:rPr>
              <w:t xml:space="preserve"> and</w:t>
            </w:r>
            <w:r>
              <w:rPr>
                <w:i/>
              </w:rPr>
              <w:t xml:space="preserve"> the </w:t>
            </w:r>
            <w:r w:rsidRPr="00813F86">
              <w:rPr>
                <w:i/>
              </w:rPr>
              <w:t>Navigation Act</w:t>
            </w:r>
            <w:r>
              <w:rPr>
                <w:i/>
              </w:rPr>
              <w:t xml:space="preserve"> 1912</w:t>
            </w:r>
            <w:r>
              <w:t xml:space="preserve"> (1921) 29 CLR 257</w:t>
            </w:r>
          </w:p>
          <w:p w14:paraId="58E0D805" w14:textId="77777777" w:rsidR="001F5DE6" w:rsidRDefault="001F5DE6" w:rsidP="00486ED1">
            <w:pPr>
              <w:pStyle w:val="CasesLegislationAppealFrom"/>
              <w:spacing w:after="60"/>
              <w:jc w:val="both"/>
              <w:rPr>
                <w:szCs w:val="24"/>
              </w:rPr>
            </w:pPr>
            <w:r>
              <w:rPr>
                <w:i/>
                <w:szCs w:val="24"/>
              </w:rPr>
              <w:t xml:space="preserve">IW v The City of Perth </w:t>
            </w:r>
            <w:r>
              <w:rPr>
                <w:szCs w:val="24"/>
              </w:rPr>
              <w:t>(1997) 191 CLR 1</w:t>
            </w:r>
          </w:p>
          <w:p w14:paraId="44CC139B" w14:textId="77777777" w:rsidR="001F5DE6" w:rsidRDefault="001F5DE6" w:rsidP="00486ED1">
            <w:pPr>
              <w:pStyle w:val="CasesLegislationAppealFrom"/>
              <w:spacing w:after="60"/>
              <w:jc w:val="both"/>
            </w:pPr>
            <w:r>
              <w:rPr>
                <w:i/>
              </w:rPr>
              <w:t xml:space="preserve">Kable v Director of Public Prosecutions (NSW) </w:t>
            </w:r>
            <w:r>
              <w:t>(1996) 189 CLR 51</w:t>
            </w:r>
          </w:p>
          <w:p w14:paraId="6418E857" w14:textId="384D36B3" w:rsidR="001F5DE6" w:rsidRPr="001F5DE6" w:rsidRDefault="001F5DE6" w:rsidP="00486ED1">
            <w:pPr>
              <w:pStyle w:val="CasesLegislationAppealFrom"/>
              <w:spacing w:after="60"/>
              <w:jc w:val="both"/>
            </w:pPr>
            <w:proofErr w:type="spellStart"/>
            <w:r w:rsidRPr="001F5DE6">
              <w:rPr>
                <w:i/>
              </w:rPr>
              <w:t>Klemweb</w:t>
            </w:r>
            <w:proofErr w:type="spellEnd"/>
            <w:r w:rsidRPr="001F5DE6">
              <w:rPr>
                <w:i/>
              </w:rPr>
              <w:t xml:space="preserve"> Nominees Pty Ltd (as trustee for the </w:t>
            </w:r>
            <w:proofErr w:type="spellStart"/>
            <w:r w:rsidRPr="001F5DE6">
              <w:rPr>
                <w:i/>
              </w:rPr>
              <w:t>Klemweb</w:t>
            </w:r>
            <w:proofErr w:type="spellEnd"/>
            <w:r w:rsidRPr="001F5DE6">
              <w:rPr>
                <w:i/>
              </w:rPr>
              <w:t xml:space="preserve"> Superannuation Fund) v BHP Group Limited</w:t>
            </w:r>
            <w:r w:rsidRPr="001F5DE6">
              <w:t xml:space="preserve"> (2019) 369 ALR 583</w:t>
            </w:r>
          </w:p>
          <w:p w14:paraId="2A9632F0" w14:textId="77777777" w:rsidR="001F5DE6" w:rsidRDefault="001F5DE6" w:rsidP="00486ED1">
            <w:pPr>
              <w:pStyle w:val="CasesLegislationAppealFrom"/>
              <w:spacing w:after="60"/>
              <w:jc w:val="both"/>
            </w:pPr>
            <w:r w:rsidRPr="007F7360">
              <w:rPr>
                <w:i/>
                <w:szCs w:val="24"/>
              </w:rPr>
              <w:t xml:space="preserve">Knight v FP Special Assets Ltd </w:t>
            </w:r>
            <w:r w:rsidRPr="00FA5506">
              <w:rPr>
                <w:szCs w:val="24"/>
              </w:rPr>
              <w:t>(1992) 174 CLR 178</w:t>
            </w:r>
          </w:p>
          <w:p w14:paraId="5F2CF927" w14:textId="053839DD" w:rsidR="001F5DE6" w:rsidRPr="001F5DE6" w:rsidRDefault="001F5DE6" w:rsidP="00486ED1">
            <w:pPr>
              <w:pStyle w:val="CasesLegislationAppealFrom"/>
              <w:spacing w:after="60"/>
              <w:jc w:val="both"/>
            </w:pPr>
            <w:proofErr w:type="spellStart"/>
            <w:r w:rsidRPr="001F5DE6">
              <w:rPr>
                <w:i/>
              </w:rPr>
              <w:t>Lenthall</w:t>
            </w:r>
            <w:proofErr w:type="spellEnd"/>
            <w:r w:rsidRPr="001F5DE6">
              <w:rPr>
                <w:i/>
              </w:rPr>
              <w:t xml:space="preserve"> v Westpac Banking Corporation (No 2) </w:t>
            </w:r>
            <w:r w:rsidRPr="001F5DE6">
              <w:t>(2020) 144 ACSR 573</w:t>
            </w:r>
          </w:p>
          <w:p w14:paraId="5B5F3072" w14:textId="77777777" w:rsidR="001F5DE6" w:rsidRPr="001F5DE6" w:rsidRDefault="001F5DE6" w:rsidP="00486ED1">
            <w:pPr>
              <w:pStyle w:val="CasesLegislationAppealFrom"/>
              <w:spacing w:after="60"/>
              <w:jc w:val="both"/>
            </w:pPr>
            <w:r w:rsidRPr="001F5DE6">
              <w:rPr>
                <w:i/>
              </w:rPr>
              <w:t>Liverpool City Council v McGraw</w:t>
            </w:r>
            <w:r w:rsidRPr="001F5DE6">
              <w:rPr>
                <w:i/>
              </w:rPr>
              <w:noBreakHyphen/>
              <w:t>Hill Financial, Inc (now known as S&amp;P Global Inc)</w:t>
            </w:r>
            <w:r w:rsidRPr="001F5DE6">
              <w:t> [2018] FCA 1289</w:t>
            </w:r>
          </w:p>
          <w:p w14:paraId="3E7CC5AB" w14:textId="4389C72E" w:rsidR="001F5DE6" w:rsidRPr="001F5DE6" w:rsidRDefault="001F5DE6" w:rsidP="00486ED1">
            <w:pPr>
              <w:pStyle w:val="CasesLegislationAppealFrom"/>
              <w:spacing w:after="60"/>
              <w:jc w:val="both"/>
            </w:pPr>
            <w:r w:rsidRPr="001F5DE6">
              <w:rPr>
                <w:i/>
              </w:rPr>
              <w:t>McKay Super Solutions Pty Ltd (Trustee) v Bellamy’s Australia Ltd (No 3)</w:t>
            </w:r>
            <w:r w:rsidRPr="001F5DE6">
              <w:t xml:space="preserve"> [2020] FCA 461</w:t>
            </w:r>
          </w:p>
          <w:p w14:paraId="53B80843" w14:textId="77777777" w:rsidR="001F5DE6" w:rsidRDefault="001F5DE6" w:rsidP="00486ED1">
            <w:pPr>
              <w:pStyle w:val="CasesLegislationAppealFrom"/>
              <w:spacing w:after="60"/>
              <w:jc w:val="both"/>
            </w:pPr>
            <w:proofErr w:type="spellStart"/>
            <w:r>
              <w:rPr>
                <w:i/>
              </w:rPr>
              <w:t>Mellifont</w:t>
            </w:r>
            <w:proofErr w:type="spellEnd"/>
            <w:r>
              <w:rPr>
                <w:i/>
              </w:rPr>
              <w:t xml:space="preserve"> v Attorney-General for the State of Queensland </w:t>
            </w:r>
            <w:r>
              <w:t>(1991) 173 CLR 289</w:t>
            </w:r>
          </w:p>
          <w:p w14:paraId="5621D5B2" w14:textId="77777777" w:rsidR="001F5DE6" w:rsidRPr="001F5DE6" w:rsidRDefault="001F5DE6" w:rsidP="00486ED1">
            <w:pPr>
              <w:pStyle w:val="CasesLegislationAppealFrom"/>
              <w:spacing w:after="60"/>
              <w:jc w:val="both"/>
            </w:pPr>
            <w:proofErr w:type="spellStart"/>
            <w:r w:rsidRPr="001F5DE6">
              <w:rPr>
                <w:i/>
              </w:rPr>
              <w:t>Miliangos</w:t>
            </w:r>
            <w:proofErr w:type="spellEnd"/>
            <w:r w:rsidRPr="001F5DE6">
              <w:rPr>
                <w:i/>
              </w:rPr>
              <w:t xml:space="preserve"> v George Frank (Textiles)</w:t>
            </w:r>
            <w:r w:rsidRPr="001F5DE6">
              <w:t xml:space="preserve"> </w:t>
            </w:r>
            <w:r w:rsidRPr="001F5DE6">
              <w:rPr>
                <w:i/>
              </w:rPr>
              <w:t xml:space="preserve">Ltd </w:t>
            </w:r>
            <w:r w:rsidRPr="001F5DE6">
              <w:t>[1976] AC 443</w:t>
            </w:r>
          </w:p>
          <w:p w14:paraId="6B0FE1F5" w14:textId="77777777" w:rsidR="001F5DE6" w:rsidRDefault="001F5DE6" w:rsidP="00486ED1">
            <w:pPr>
              <w:pStyle w:val="CasesLegislationAppealFrom"/>
              <w:spacing w:after="60"/>
              <w:jc w:val="both"/>
            </w:pPr>
            <w:r w:rsidRPr="00944B01">
              <w:rPr>
                <w:i/>
              </w:rPr>
              <w:t>Mineralogy</w:t>
            </w:r>
            <w:r>
              <w:rPr>
                <w:i/>
              </w:rPr>
              <w:t xml:space="preserve"> Pty Ltd</w:t>
            </w:r>
            <w:r w:rsidRPr="00944B01">
              <w:rPr>
                <w:i/>
              </w:rPr>
              <w:t xml:space="preserve"> v Western Australia</w:t>
            </w:r>
            <w:r w:rsidRPr="00944B01">
              <w:t xml:space="preserve"> (2021) </w:t>
            </w:r>
            <w:r>
              <w:t>274 CLR 219</w:t>
            </w:r>
          </w:p>
          <w:p w14:paraId="5B5C5B1B" w14:textId="77777777" w:rsidR="001F5DE6" w:rsidRDefault="001F5DE6" w:rsidP="00486ED1">
            <w:pPr>
              <w:pStyle w:val="CasesLegislationAppealFrom"/>
              <w:spacing w:after="60"/>
              <w:jc w:val="both"/>
            </w:pPr>
            <w:r w:rsidRPr="000B27B8">
              <w:rPr>
                <w:i/>
                <w:szCs w:val="24"/>
              </w:rPr>
              <w:t>Momcilovic v The Queen</w:t>
            </w:r>
            <w:r w:rsidRPr="000B27B8">
              <w:rPr>
                <w:szCs w:val="24"/>
              </w:rPr>
              <w:t xml:space="preserve"> (2011) 245 CLR 1</w:t>
            </w:r>
          </w:p>
          <w:p w14:paraId="419D5A1D" w14:textId="046B65F0" w:rsidR="001F5DE6" w:rsidRPr="001F5DE6" w:rsidRDefault="001F5DE6" w:rsidP="00486ED1">
            <w:pPr>
              <w:pStyle w:val="CasesLegislationAppealFrom"/>
              <w:spacing w:after="60"/>
              <w:jc w:val="both"/>
              <w:rPr>
                <w:szCs w:val="24"/>
              </w:rPr>
            </w:pPr>
            <w:r w:rsidRPr="004B769A">
              <w:rPr>
                <w:i/>
                <w:iCs/>
              </w:rPr>
              <w:t>Money Max Int Pty Ltd (Trustee) v QBE Insurance Group Limited</w:t>
            </w:r>
            <w:r w:rsidRPr="004B769A">
              <w:t xml:space="preserve"> (2016) 245 FCR 191</w:t>
            </w:r>
          </w:p>
          <w:p w14:paraId="4C96F4B6" w14:textId="5312CD7F" w:rsidR="001F5DE6" w:rsidRPr="001F5DE6" w:rsidRDefault="001F5DE6" w:rsidP="00486ED1">
            <w:pPr>
              <w:pStyle w:val="CasesLegislationAppealFrom"/>
              <w:spacing w:after="60"/>
              <w:jc w:val="both"/>
            </w:pPr>
            <w:r w:rsidRPr="001F5DE6">
              <w:rPr>
                <w:i/>
              </w:rPr>
              <w:t>National Australia Bank Ltd v Nautilus Insurance Pte Ltd (No 2)</w:t>
            </w:r>
            <w:r w:rsidRPr="001F5DE6">
              <w:t xml:space="preserve"> (2019) 377 ALR 627</w:t>
            </w:r>
          </w:p>
          <w:p w14:paraId="5636B7D1" w14:textId="0E17675E" w:rsidR="001F5DE6" w:rsidRPr="001F5DE6" w:rsidRDefault="001F5DE6" w:rsidP="00486ED1">
            <w:pPr>
              <w:pStyle w:val="CasesLegislationAppealFrom"/>
              <w:spacing w:after="60"/>
              <w:jc w:val="both"/>
            </w:pPr>
            <w:r w:rsidRPr="001F5DE6">
              <w:rPr>
                <w:i/>
              </w:rPr>
              <w:t>Nixon v Philip Morris (Australia) Ltd</w:t>
            </w:r>
            <w:r w:rsidRPr="001F5DE6">
              <w:t xml:space="preserve"> (1999) 95 FCR 453</w:t>
            </w:r>
          </w:p>
          <w:p w14:paraId="0C36B4A1" w14:textId="77777777" w:rsidR="001F5DE6" w:rsidRPr="001F5DE6" w:rsidRDefault="001F5DE6" w:rsidP="00486ED1">
            <w:pPr>
              <w:pStyle w:val="CasesLegislationAppealFrom"/>
              <w:spacing w:after="60"/>
              <w:jc w:val="both"/>
            </w:pPr>
            <w:proofErr w:type="spellStart"/>
            <w:r w:rsidRPr="001F5DE6">
              <w:rPr>
                <w:i/>
              </w:rPr>
              <w:t>Norbis</w:t>
            </w:r>
            <w:proofErr w:type="spellEnd"/>
            <w:r w:rsidRPr="001F5DE6">
              <w:rPr>
                <w:i/>
              </w:rPr>
              <w:t xml:space="preserve"> v </w:t>
            </w:r>
            <w:proofErr w:type="spellStart"/>
            <w:r w:rsidRPr="001F5DE6">
              <w:rPr>
                <w:i/>
              </w:rPr>
              <w:t>Norbis</w:t>
            </w:r>
            <w:proofErr w:type="spellEnd"/>
            <w:r w:rsidRPr="001F5DE6">
              <w:t> (1986) 161 CLR 513 </w:t>
            </w:r>
          </w:p>
          <w:p w14:paraId="29BC46F4" w14:textId="77777777" w:rsidR="001F5DE6" w:rsidRPr="00A01E91" w:rsidRDefault="001F5DE6" w:rsidP="00486ED1">
            <w:pPr>
              <w:pStyle w:val="CasesLegislationAppealFrom"/>
              <w:spacing w:after="60"/>
              <w:jc w:val="both"/>
            </w:pPr>
            <w:r w:rsidRPr="00A01E91">
              <w:rPr>
                <w:i/>
                <w:iCs/>
              </w:rPr>
              <w:t xml:space="preserve">Owners of the Ship, Shin Kobe Maru v Empire Shipping Company Inc </w:t>
            </w:r>
            <w:r w:rsidRPr="00A01E91">
              <w:t>(1994) 181 CLR 404</w:t>
            </w:r>
          </w:p>
          <w:p w14:paraId="36FAB68A" w14:textId="77777777" w:rsidR="001F5DE6" w:rsidRDefault="001F5DE6" w:rsidP="00486ED1">
            <w:pPr>
              <w:pStyle w:val="CasesLegislationAppealFrom"/>
              <w:spacing w:after="60"/>
              <w:jc w:val="both"/>
            </w:pPr>
            <w:r>
              <w:rPr>
                <w:i/>
                <w:iCs/>
              </w:rPr>
              <w:t xml:space="preserve">Palmer v Ayres </w:t>
            </w:r>
            <w:r>
              <w:t>(2017) 259 CLR 478</w:t>
            </w:r>
          </w:p>
          <w:p w14:paraId="4B3992F1" w14:textId="77777777" w:rsidR="001F5DE6" w:rsidRPr="00A01E91" w:rsidRDefault="001F5DE6" w:rsidP="00486ED1">
            <w:pPr>
              <w:pStyle w:val="CasesLegislationAppealFrom"/>
              <w:spacing w:after="60"/>
              <w:jc w:val="both"/>
            </w:pPr>
            <w:r w:rsidRPr="00A01E91">
              <w:rPr>
                <w:i/>
                <w:iCs/>
              </w:rPr>
              <w:t>Petersen Superannuation Fund Pty Ltd v Bank of Queensland Limited (No 3)</w:t>
            </w:r>
            <w:r w:rsidRPr="00A01E91">
              <w:t xml:space="preserve"> [2018] FCA 1842</w:t>
            </w:r>
          </w:p>
          <w:p w14:paraId="7AC6F3F9" w14:textId="77777777" w:rsidR="001F5DE6" w:rsidRDefault="001F5DE6" w:rsidP="00486ED1">
            <w:pPr>
              <w:pStyle w:val="CasesLegislationAppealFrom"/>
              <w:spacing w:after="60"/>
              <w:jc w:val="both"/>
            </w:pPr>
            <w:r>
              <w:rPr>
                <w:i/>
                <w:iCs/>
              </w:rPr>
              <w:t xml:space="preserve">Poe v. Ullman </w:t>
            </w:r>
            <w:r>
              <w:t>367 US 497 (1961)</w:t>
            </w:r>
          </w:p>
          <w:p w14:paraId="3D8AA226" w14:textId="77777777" w:rsidR="001F5DE6" w:rsidRDefault="001F5DE6" w:rsidP="00486ED1">
            <w:pPr>
              <w:pStyle w:val="CasesLegislationAppealFrom"/>
              <w:spacing w:after="60"/>
              <w:jc w:val="both"/>
            </w:pPr>
            <w:r w:rsidRPr="000B27B8">
              <w:rPr>
                <w:i/>
                <w:szCs w:val="24"/>
              </w:rPr>
              <w:t>Precision Data Holdings Ltd v Wills</w:t>
            </w:r>
            <w:r w:rsidRPr="00FA5506">
              <w:rPr>
                <w:szCs w:val="24"/>
              </w:rPr>
              <w:t xml:space="preserve"> (1991) 173 CLR 167</w:t>
            </w:r>
          </w:p>
          <w:p w14:paraId="0A7B6E0A" w14:textId="77777777" w:rsidR="001F5DE6" w:rsidRPr="001F5DE6" w:rsidRDefault="001F5DE6" w:rsidP="00486ED1">
            <w:pPr>
              <w:pStyle w:val="CasesLegislationAppealFrom"/>
              <w:spacing w:after="60"/>
              <w:jc w:val="both"/>
            </w:pPr>
            <w:r w:rsidRPr="001F5DE6">
              <w:rPr>
                <w:i/>
              </w:rPr>
              <w:t>Quirk v Suncorp Portfolio Services Ltd in its capacity as trustee for the Suncorp Master Trust (No 2)</w:t>
            </w:r>
            <w:r w:rsidRPr="001F5DE6">
              <w:t> [2022] NSWSC 1457</w:t>
            </w:r>
          </w:p>
          <w:p w14:paraId="3C392E21" w14:textId="77777777" w:rsidR="001F5DE6" w:rsidRPr="001F5DE6" w:rsidRDefault="001F5DE6" w:rsidP="00486ED1">
            <w:pPr>
              <w:pStyle w:val="CasesLegislationAppealFrom"/>
              <w:spacing w:after="60"/>
              <w:jc w:val="both"/>
            </w:pPr>
            <w:r w:rsidRPr="001F5DE6">
              <w:rPr>
                <w:i/>
              </w:rPr>
              <w:t>R v Davison</w:t>
            </w:r>
            <w:r w:rsidRPr="001F5DE6">
              <w:t xml:space="preserve"> (1954) 90 CLR 353</w:t>
            </w:r>
          </w:p>
          <w:p w14:paraId="78AB802D" w14:textId="77777777" w:rsidR="001F5DE6" w:rsidRPr="001F5DE6" w:rsidRDefault="001F5DE6" w:rsidP="00486ED1">
            <w:pPr>
              <w:pStyle w:val="CasesLegislationAppealFrom"/>
              <w:spacing w:after="60"/>
              <w:jc w:val="both"/>
            </w:pPr>
            <w:r w:rsidRPr="001F5DE6">
              <w:rPr>
                <w:i/>
              </w:rPr>
              <w:t xml:space="preserve">R v Dunlop Rubber Australia Limited; Ex </w:t>
            </w:r>
            <w:proofErr w:type="spellStart"/>
            <w:r w:rsidRPr="001F5DE6">
              <w:rPr>
                <w:i/>
              </w:rPr>
              <w:t>parte</w:t>
            </w:r>
            <w:proofErr w:type="spellEnd"/>
            <w:r w:rsidRPr="001F5DE6">
              <w:rPr>
                <w:i/>
              </w:rPr>
              <w:t xml:space="preserve"> Federated Miscellaneous Workers’ Union of Australia</w:t>
            </w:r>
            <w:r w:rsidRPr="001F5DE6">
              <w:t> (1957) 97 CLR 71</w:t>
            </w:r>
          </w:p>
          <w:p w14:paraId="66613688" w14:textId="77777777" w:rsidR="001F5DE6" w:rsidRPr="001F5DE6" w:rsidRDefault="001F5DE6" w:rsidP="00486ED1">
            <w:pPr>
              <w:pStyle w:val="CasesLegislationAppealFrom"/>
              <w:spacing w:after="60"/>
              <w:jc w:val="both"/>
            </w:pPr>
            <w:r w:rsidRPr="001F5DE6">
              <w:rPr>
                <w:i/>
              </w:rPr>
              <w:t xml:space="preserve">R v Kirby; Ex </w:t>
            </w:r>
            <w:proofErr w:type="spellStart"/>
            <w:r w:rsidRPr="001F5DE6">
              <w:rPr>
                <w:i/>
              </w:rPr>
              <w:t>parte</w:t>
            </w:r>
            <w:proofErr w:type="spellEnd"/>
            <w:r w:rsidRPr="001F5DE6">
              <w:rPr>
                <w:i/>
              </w:rPr>
              <w:t xml:space="preserve"> Boilermakers’ Society of Australia</w:t>
            </w:r>
            <w:r w:rsidRPr="001F5DE6">
              <w:t xml:space="preserve"> (1956) 94 CLR 254</w:t>
            </w:r>
          </w:p>
          <w:p w14:paraId="3A75E6BC" w14:textId="77777777" w:rsidR="001F5DE6" w:rsidRPr="001F5DE6" w:rsidRDefault="001F5DE6" w:rsidP="00486ED1">
            <w:pPr>
              <w:pStyle w:val="CasesLegislationAppealFrom"/>
              <w:spacing w:after="60"/>
              <w:jc w:val="both"/>
            </w:pPr>
            <w:r w:rsidRPr="001F5DE6">
              <w:rPr>
                <w:i/>
              </w:rPr>
              <w:t xml:space="preserve">R&amp;B Investments Pty Ltd (Trustee) v Blue Sky Alternative Investments Limited (Administrators Appointed) (in </w:t>
            </w:r>
            <w:proofErr w:type="spellStart"/>
            <w:r w:rsidRPr="001F5DE6">
              <w:rPr>
                <w:i/>
              </w:rPr>
              <w:t>liq</w:t>
            </w:r>
            <w:proofErr w:type="spellEnd"/>
            <w:r w:rsidRPr="001F5DE6">
              <w:rPr>
                <w:i/>
              </w:rPr>
              <w:t xml:space="preserve">) (Carriage Application No 2) </w:t>
            </w:r>
            <w:r w:rsidRPr="001F5DE6">
              <w:t>[2023] FCA 142</w:t>
            </w:r>
          </w:p>
          <w:p w14:paraId="58218047" w14:textId="77777777" w:rsidR="001F5DE6" w:rsidRPr="001F5DE6" w:rsidRDefault="001F5DE6" w:rsidP="00486ED1">
            <w:pPr>
              <w:pStyle w:val="CasesLegislationAppealFrom"/>
              <w:spacing w:after="60"/>
              <w:jc w:val="both"/>
            </w:pPr>
            <w:r w:rsidRPr="001F5DE6">
              <w:rPr>
                <w:i/>
              </w:rPr>
              <w:t xml:space="preserve">Re Wakim; Ex </w:t>
            </w:r>
            <w:proofErr w:type="spellStart"/>
            <w:r w:rsidRPr="001F5DE6">
              <w:rPr>
                <w:i/>
              </w:rPr>
              <w:t>parte</w:t>
            </w:r>
            <w:proofErr w:type="spellEnd"/>
            <w:r w:rsidRPr="001F5DE6">
              <w:rPr>
                <w:i/>
              </w:rPr>
              <w:t xml:space="preserve"> McNally</w:t>
            </w:r>
            <w:r w:rsidRPr="001F5DE6">
              <w:t xml:space="preserve"> (1999) 198 CLR 511</w:t>
            </w:r>
          </w:p>
          <w:p w14:paraId="184316A9" w14:textId="77777777" w:rsidR="001F5DE6" w:rsidRDefault="001F5DE6" w:rsidP="00486ED1">
            <w:pPr>
              <w:pStyle w:val="CasesLegislationAppealFrom"/>
              <w:spacing w:after="60"/>
              <w:jc w:val="both"/>
              <w:rPr>
                <w:szCs w:val="24"/>
              </w:rPr>
            </w:pPr>
            <w:r w:rsidRPr="00400540">
              <w:rPr>
                <w:i/>
                <w:szCs w:val="24"/>
              </w:rPr>
              <w:t xml:space="preserve">Regional Express Holdings Ltd v Australian Federation of Air Pilots </w:t>
            </w:r>
            <w:r w:rsidRPr="00400540">
              <w:rPr>
                <w:szCs w:val="24"/>
              </w:rPr>
              <w:t>(2016) 244 FCR 344</w:t>
            </w:r>
          </w:p>
          <w:p w14:paraId="60C91654" w14:textId="77777777" w:rsidR="001F5DE6" w:rsidRPr="001F5DE6" w:rsidRDefault="001F5DE6" w:rsidP="00486ED1">
            <w:pPr>
              <w:pStyle w:val="CasesLegislationAppealFrom"/>
              <w:spacing w:after="60"/>
              <w:jc w:val="both"/>
            </w:pPr>
            <w:r w:rsidRPr="001F5DE6">
              <w:rPr>
                <w:i/>
              </w:rPr>
              <w:t>Sanda v PTTEP Australasia (Ashmore Cartier) Pty Ltd (Settlement Approval)</w:t>
            </w:r>
            <w:r w:rsidRPr="001F5DE6">
              <w:t xml:space="preserve"> [2023] FCA 143</w:t>
            </w:r>
          </w:p>
          <w:p w14:paraId="1D6A728E" w14:textId="77777777" w:rsidR="001F5DE6" w:rsidRDefault="001F5DE6" w:rsidP="00486ED1">
            <w:pPr>
              <w:pStyle w:val="CasesLegislationAppealFrom"/>
              <w:spacing w:after="60"/>
              <w:jc w:val="both"/>
            </w:pPr>
            <w:r w:rsidRPr="00C946BE">
              <w:rPr>
                <w:i/>
                <w:szCs w:val="24"/>
              </w:rPr>
              <w:t xml:space="preserve">Saraswati v </w:t>
            </w:r>
            <w:r>
              <w:rPr>
                <w:i/>
                <w:szCs w:val="24"/>
              </w:rPr>
              <w:t>The Queen</w:t>
            </w:r>
            <w:r w:rsidRPr="00C946BE">
              <w:rPr>
                <w:i/>
                <w:szCs w:val="24"/>
              </w:rPr>
              <w:t xml:space="preserve"> </w:t>
            </w:r>
            <w:r>
              <w:rPr>
                <w:szCs w:val="24"/>
              </w:rPr>
              <w:t>(1991) 172 CLR 1</w:t>
            </w:r>
          </w:p>
          <w:p w14:paraId="17B9637E" w14:textId="77777777" w:rsidR="001F5DE6" w:rsidRDefault="001F5DE6" w:rsidP="00486ED1">
            <w:pPr>
              <w:pStyle w:val="CasesLegislationAppealFrom"/>
              <w:spacing w:after="60"/>
              <w:jc w:val="both"/>
            </w:pPr>
            <w:r>
              <w:rPr>
                <w:i/>
              </w:rPr>
              <w:t xml:space="preserve">Stanwell Corporation Ltd v LCM Funding Pty Ltd </w:t>
            </w:r>
            <w:r>
              <w:t>(2021) 157 ACSR 401</w:t>
            </w:r>
          </w:p>
          <w:p w14:paraId="3E2A8B33" w14:textId="7E4DF88C" w:rsidR="001F5DE6" w:rsidRPr="001F5DE6" w:rsidRDefault="001F5DE6" w:rsidP="00486ED1">
            <w:pPr>
              <w:pStyle w:val="CasesLegislationAppealFrom"/>
              <w:spacing w:after="60"/>
              <w:jc w:val="both"/>
            </w:pPr>
            <w:r w:rsidRPr="001F5DE6">
              <w:rPr>
                <w:i/>
              </w:rPr>
              <w:t>SZGME v Minister for Immigration and Citizenship</w:t>
            </w:r>
            <w:r w:rsidRPr="001F5DE6">
              <w:t xml:space="preserve"> (2002) 168 FCR 487</w:t>
            </w:r>
          </w:p>
          <w:p w14:paraId="012B06BD" w14:textId="77777777" w:rsidR="001F5DE6" w:rsidRDefault="001F5DE6" w:rsidP="00486ED1">
            <w:pPr>
              <w:pStyle w:val="CasesLegislationAppealFrom"/>
              <w:spacing w:after="60"/>
              <w:jc w:val="both"/>
              <w:rPr>
                <w:szCs w:val="24"/>
              </w:rPr>
            </w:pPr>
            <w:r>
              <w:rPr>
                <w:i/>
                <w:iCs/>
                <w:szCs w:val="24"/>
              </w:rPr>
              <w:t xml:space="preserve">The Queen v Davison </w:t>
            </w:r>
            <w:r>
              <w:rPr>
                <w:szCs w:val="24"/>
              </w:rPr>
              <w:t>(1954) 90 CLR 353</w:t>
            </w:r>
          </w:p>
          <w:p w14:paraId="6AAE20A7" w14:textId="77777777" w:rsidR="001F5DE6" w:rsidRDefault="001F5DE6" w:rsidP="00486ED1">
            <w:pPr>
              <w:pStyle w:val="CasesLegislationAppealFrom"/>
              <w:spacing w:after="60"/>
              <w:jc w:val="both"/>
            </w:pPr>
            <w:r>
              <w:rPr>
                <w:i/>
                <w:iCs/>
              </w:rPr>
              <w:t>The Queen</w:t>
            </w:r>
            <w:r>
              <w:rPr>
                <w:i/>
              </w:rPr>
              <w:t xml:space="preserve"> v Joske; Ex </w:t>
            </w:r>
            <w:proofErr w:type="spellStart"/>
            <w:r>
              <w:rPr>
                <w:i/>
              </w:rPr>
              <w:t>parte</w:t>
            </w:r>
            <w:proofErr w:type="spellEnd"/>
            <w:r>
              <w:rPr>
                <w:i/>
              </w:rPr>
              <w:t xml:space="preserve"> Shop Distributive and Allied Employees’ Association </w:t>
            </w:r>
            <w:r>
              <w:t>(1976) 135 CLR 194</w:t>
            </w:r>
          </w:p>
          <w:p w14:paraId="4AB2D33F" w14:textId="1FF01EB9" w:rsidR="001F5DE6" w:rsidRPr="009E4B71" w:rsidRDefault="001F5DE6" w:rsidP="00486ED1">
            <w:pPr>
              <w:pStyle w:val="CasesLegislationAppealFrom"/>
              <w:spacing w:after="60"/>
              <w:jc w:val="both"/>
            </w:pPr>
            <w:r>
              <w:rPr>
                <w:i/>
              </w:rPr>
              <w:t xml:space="preserve">Thomas v Mowbray </w:t>
            </w:r>
            <w:r>
              <w:t>(2007) 233 CLR 307</w:t>
            </w:r>
          </w:p>
          <w:p w14:paraId="495EEFC7" w14:textId="36D35AFE" w:rsidR="001F5DE6" w:rsidRPr="001F5DE6" w:rsidRDefault="001F5DE6" w:rsidP="00486ED1">
            <w:pPr>
              <w:pStyle w:val="CasesLegislationAppealFrom"/>
              <w:spacing w:after="60"/>
              <w:jc w:val="both"/>
            </w:pPr>
            <w:r w:rsidRPr="001F5DE6">
              <w:rPr>
                <w:i/>
              </w:rPr>
              <w:t>Tomlinson v Ramsey Food Processing Pty Limited</w:t>
            </w:r>
            <w:r w:rsidRPr="001F5DE6">
              <w:t xml:space="preserve"> (2015) 256 CLR 507</w:t>
            </w:r>
          </w:p>
          <w:p w14:paraId="5A21819A" w14:textId="6556A314" w:rsidR="001F5DE6" w:rsidRPr="001F5DE6" w:rsidRDefault="001F5DE6" w:rsidP="00486ED1">
            <w:pPr>
              <w:pStyle w:val="CasesLegislationAppealFrom"/>
              <w:spacing w:after="60"/>
              <w:jc w:val="both"/>
            </w:pPr>
            <w:r w:rsidRPr="001F5DE6">
              <w:rPr>
                <w:i/>
              </w:rPr>
              <w:t>Transport Workers’ Union of Australia v Qantas Airways Limited (No 4)</w:t>
            </w:r>
            <w:r w:rsidRPr="001F5DE6">
              <w:t xml:space="preserve"> (2021) 312 IR 13</w:t>
            </w:r>
          </w:p>
          <w:p w14:paraId="5275E8C1" w14:textId="47BB2A2E" w:rsidR="001F5DE6" w:rsidRPr="001F5DE6" w:rsidRDefault="001F5DE6" w:rsidP="00486ED1">
            <w:pPr>
              <w:pStyle w:val="CasesLegislationAppealFrom"/>
              <w:spacing w:after="60"/>
              <w:jc w:val="both"/>
            </w:pPr>
            <w:r w:rsidRPr="001F5DE6">
              <w:rPr>
                <w:i/>
              </w:rPr>
              <w:t>Union Shipping New Zealand Ltd v Morgan</w:t>
            </w:r>
            <w:r w:rsidRPr="001F5DE6">
              <w:t xml:space="preserve"> (2002) 54 NSWLR 690</w:t>
            </w:r>
          </w:p>
          <w:p w14:paraId="106F1EF7" w14:textId="77777777" w:rsidR="001F5DE6" w:rsidRPr="001F5DE6" w:rsidRDefault="001F5DE6" w:rsidP="00486ED1">
            <w:pPr>
              <w:pStyle w:val="CasesLegislationAppealFrom"/>
              <w:spacing w:after="60"/>
              <w:jc w:val="both"/>
            </w:pPr>
            <w:r w:rsidRPr="001F5DE6">
              <w:rPr>
                <w:i/>
              </w:rPr>
              <w:t>Uren v RMBL Investments Ltd</w:t>
            </w:r>
            <w:r w:rsidRPr="001F5DE6">
              <w:t xml:space="preserve"> </w:t>
            </w:r>
            <w:r w:rsidRPr="001F5DE6">
              <w:rPr>
                <w:i/>
              </w:rPr>
              <w:t>(No 2)</w:t>
            </w:r>
            <w:r w:rsidRPr="001F5DE6">
              <w:t xml:space="preserve"> [2020] FCA 647</w:t>
            </w:r>
          </w:p>
          <w:p w14:paraId="12039DF5" w14:textId="77777777" w:rsidR="001F5DE6" w:rsidRPr="001F5DE6" w:rsidRDefault="001F5DE6" w:rsidP="00486ED1">
            <w:pPr>
              <w:pStyle w:val="CasesLegislationAppealFrom"/>
              <w:spacing w:after="60"/>
              <w:jc w:val="both"/>
            </w:pPr>
            <w:r w:rsidRPr="001F5DE6">
              <w:rPr>
                <w:i/>
              </w:rPr>
              <w:t>Webster (Trustee) v Murray Goulburn Co-Operative Co Limited (No 4)</w:t>
            </w:r>
            <w:r w:rsidRPr="001F5DE6">
              <w:t xml:space="preserve"> [2020] FCA 1053</w:t>
            </w:r>
          </w:p>
          <w:p w14:paraId="48063F65" w14:textId="0F0EF606" w:rsidR="001F5DE6" w:rsidRPr="001F5DE6" w:rsidRDefault="001F5DE6" w:rsidP="00486ED1">
            <w:pPr>
              <w:pStyle w:val="CasesLegislationAppealFrom"/>
              <w:spacing w:after="60"/>
              <w:jc w:val="both"/>
            </w:pPr>
            <w:r>
              <w:rPr>
                <w:i/>
                <w:iCs/>
              </w:rPr>
              <w:t xml:space="preserve">Westpac Banking Corporation v </w:t>
            </w:r>
            <w:proofErr w:type="spellStart"/>
            <w:r>
              <w:rPr>
                <w:i/>
                <w:iCs/>
              </w:rPr>
              <w:t>Lenthall</w:t>
            </w:r>
            <w:proofErr w:type="spellEnd"/>
            <w:r>
              <w:rPr>
                <w:i/>
                <w:iCs/>
              </w:rPr>
              <w:t xml:space="preserve"> </w:t>
            </w:r>
            <w:r>
              <w:t>(2019) 265 FCR 21</w:t>
            </w:r>
          </w:p>
          <w:p w14:paraId="32BAD7AA" w14:textId="77777777" w:rsidR="001F5DE6" w:rsidRPr="001F5DE6" w:rsidRDefault="001F5DE6" w:rsidP="00486ED1">
            <w:pPr>
              <w:pStyle w:val="CasesLegislationAppealFrom"/>
              <w:spacing w:after="60"/>
              <w:jc w:val="both"/>
            </w:pPr>
            <w:proofErr w:type="spellStart"/>
            <w:r w:rsidRPr="001F5DE6">
              <w:rPr>
                <w:i/>
              </w:rPr>
              <w:t>Wetdal</w:t>
            </w:r>
            <w:proofErr w:type="spellEnd"/>
            <w:r w:rsidRPr="001F5DE6">
              <w:rPr>
                <w:i/>
              </w:rPr>
              <w:t xml:space="preserve"> Pty Ltd as Trustee for the </w:t>
            </w:r>
            <w:proofErr w:type="spellStart"/>
            <w:r w:rsidRPr="001F5DE6">
              <w:rPr>
                <w:i/>
              </w:rPr>
              <w:t>BlueCo</w:t>
            </w:r>
            <w:proofErr w:type="spellEnd"/>
            <w:r w:rsidRPr="001F5DE6">
              <w:rPr>
                <w:i/>
              </w:rPr>
              <w:t xml:space="preserve"> Two Superannuation Fund v Estia Health Limited</w:t>
            </w:r>
            <w:r w:rsidRPr="001F5DE6">
              <w:t xml:space="preserve"> [2021] FCA 475</w:t>
            </w:r>
          </w:p>
          <w:p w14:paraId="44F063A8" w14:textId="66B0BD3A" w:rsidR="001F5DE6" w:rsidRPr="001F5DE6" w:rsidRDefault="001F5DE6" w:rsidP="00486ED1">
            <w:pPr>
              <w:pStyle w:val="CasesLegislationAppealFrom"/>
              <w:spacing w:after="60"/>
              <w:jc w:val="both"/>
            </w:pPr>
            <w:r w:rsidRPr="001F5DE6">
              <w:rPr>
                <w:i/>
              </w:rPr>
              <w:t>Williams v Toyota Motor Corporation Australia Limited</w:t>
            </w:r>
            <w:r w:rsidR="009E4B71">
              <w:t xml:space="preserve"> </w:t>
            </w:r>
            <w:r w:rsidRPr="001F5DE6">
              <w:t>(2021) 288 FCR 282</w:t>
            </w:r>
          </w:p>
          <w:p w14:paraId="552C0822" w14:textId="77777777" w:rsidR="001F5DE6" w:rsidRPr="001F5DE6" w:rsidRDefault="001F5DE6" w:rsidP="00486ED1">
            <w:pPr>
              <w:pStyle w:val="CasesLegislationAppealFrom"/>
              <w:spacing w:after="60"/>
              <w:jc w:val="both"/>
            </w:pPr>
            <w:r w:rsidRPr="001F5DE6">
              <w:rPr>
                <w:i/>
              </w:rPr>
              <w:t>Wills v Woolworths Group Ltd</w:t>
            </w:r>
            <w:r w:rsidRPr="001F5DE6">
              <w:t xml:space="preserve"> [2022] FCA 1545</w:t>
            </w:r>
          </w:p>
          <w:p w14:paraId="1540F3F8" w14:textId="484CEF75" w:rsidR="001F5DE6" w:rsidRPr="001F5DE6" w:rsidRDefault="001F5DE6" w:rsidP="00486ED1">
            <w:pPr>
              <w:pStyle w:val="CasesLegislationAppealFrom"/>
              <w:spacing w:after="60"/>
              <w:jc w:val="both"/>
            </w:pPr>
            <w:r w:rsidRPr="001F5DE6">
              <w:rPr>
                <w:i/>
              </w:rPr>
              <w:t xml:space="preserve">Wong v </w:t>
            </w:r>
            <w:proofErr w:type="spellStart"/>
            <w:r w:rsidRPr="001F5DE6">
              <w:rPr>
                <w:i/>
              </w:rPr>
              <w:t>Silkfield</w:t>
            </w:r>
            <w:proofErr w:type="spellEnd"/>
            <w:r w:rsidRPr="001F5DE6">
              <w:rPr>
                <w:i/>
              </w:rPr>
              <w:t> Pty Ltd</w:t>
            </w:r>
            <w:r w:rsidRPr="001F5DE6">
              <w:t xml:space="preserve"> (1999) 199 CLR 255</w:t>
            </w:r>
          </w:p>
          <w:p w14:paraId="4FDCFF13" w14:textId="77DC2EFB" w:rsidR="00395B24" w:rsidRDefault="001F5DE6" w:rsidP="00486ED1">
            <w:pPr>
              <w:pStyle w:val="CasesLegislationAppealFrom"/>
              <w:spacing w:after="60"/>
              <w:jc w:val="both"/>
            </w:pPr>
            <w:proofErr w:type="spellStart"/>
            <w:r w:rsidRPr="001F5DE6">
              <w:rPr>
                <w:i/>
              </w:rPr>
              <w:t>Zantran</w:t>
            </w:r>
            <w:proofErr w:type="spellEnd"/>
            <w:r w:rsidRPr="001F5DE6">
              <w:rPr>
                <w:i/>
              </w:rPr>
              <w:t xml:space="preserve"> Pty Limited v Crown Resorts Limited (No 4)</w:t>
            </w:r>
            <w:r w:rsidRPr="001F5DE6">
              <w:t xml:space="preserve"> [2022] FCA 500</w:t>
            </w:r>
            <w:bookmarkEnd w:id="4"/>
          </w:p>
        </w:tc>
      </w:tr>
      <w:tr w:rsidR="007F7FC7" w14:paraId="103CAA7D" w14:textId="77777777" w:rsidTr="0046167A">
        <w:tc>
          <w:tcPr>
            <w:tcW w:w="3084" w:type="dxa"/>
            <w:shd w:val="clear" w:color="auto" w:fill="auto"/>
          </w:tcPr>
          <w:p w14:paraId="65BC2167" w14:textId="77777777" w:rsidR="007F7FC7" w:rsidRDefault="007F7FC7" w:rsidP="005F3639">
            <w:pPr>
              <w:pStyle w:val="Normal1linespace"/>
              <w:widowControl w:val="0"/>
            </w:pPr>
          </w:p>
        </w:tc>
        <w:tc>
          <w:tcPr>
            <w:tcW w:w="5989" w:type="dxa"/>
            <w:shd w:val="clear" w:color="auto" w:fill="auto"/>
          </w:tcPr>
          <w:p w14:paraId="7D5A675F" w14:textId="77777777" w:rsidR="007F7FC7" w:rsidRDefault="007F7FC7" w:rsidP="005F3639">
            <w:pPr>
              <w:pStyle w:val="Normal1linespace"/>
              <w:widowControl w:val="0"/>
              <w:jc w:val="left"/>
            </w:pPr>
          </w:p>
        </w:tc>
      </w:tr>
      <w:tr w:rsidR="00115C24" w14:paraId="2A35B365" w14:textId="77777777" w:rsidTr="0046167A">
        <w:tc>
          <w:tcPr>
            <w:tcW w:w="3084" w:type="dxa"/>
            <w:shd w:val="clear" w:color="auto" w:fill="auto"/>
          </w:tcPr>
          <w:p w14:paraId="260C1380" w14:textId="77777777" w:rsidR="00115C24" w:rsidRDefault="00115C24" w:rsidP="005F3639">
            <w:pPr>
              <w:pStyle w:val="Normal1linespace"/>
              <w:widowControl w:val="0"/>
            </w:pPr>
          </w:p>
        </w:tc>
        <w:tc>
          <w:tcPr>
            <w:tcW w:w="5989" w:type="dxa"/>
            <w:shd w:val="clear" w:color="auto" w:fill="auto"/>
          </w:tcPr>
          <w:p w14:paraId="32D36FFD" w14:textId="747C03DD" w:rsidR="00074C3F" w:rsidRDefault="00074C3F" w:rsidP="00115C24">
            <w:pPr>
              <w:pStyle w:val="CasesLegislationAppealFrom"/>
              <w:spacing w:after="60"/>
              <w:rPr>
                <w:szCs w:val="24"/>
              </w:rPr>
            </w:pPr>
            <w:r w:rsidRPr="00870247">
              <w:rPr>
                <w:i/>
              </w:rPr>
              <w:t>Class</w:t>
            </w:r>
            <w:r w:rsidRPr="00870247">
              <w:rPr>
                <w:i/>
                <w:spacing w:val="-1"/>
              </w:rPr>
              <w:t xml:space="preserve"> </w:t>
            </w:r>
            <w:r w:rsidRPr="00870247">
              <w:rPr>
                <w:i/>
              </w:rPr>
              <w:t>Actions</w:t>
            </w:r>
            <w:r w:rsidRPr="00870247">
              <w:rPr>
                <w:i/>
                <w:spacing w:val="-1"/>
              </w:rPr>
              <w:t xml:space="preserve"> </w:t>
            </w:r>
            <w:r w:rsidRPr="00870247">
              <w:rPr>
                <w:i/>
              </w:rPr>
              <w:t>Practice</w:t>
            </w:r>
            <w:r w:rsidRPr="00870247">
              <w:rPr>
                <w:i/>
                <w:spacing w:val="-2"/>
              </w:rPr>
              <w:t xml:space="preserve"> </w:t>
            </w:r>
            <w:r w:rsidRPr="00870247">
              <w:rPr>
                <w:i/>
              </w:rPr>
              <w:t>Note</w:t>
            </w:r>
            <w:r w:rsidRPr="00250577">
              <w:rPr>
                <w:spacing w:val="-2"/>
              </w:rPr>
              <w:t xml:space="preserve"> </w:t>
            </w:r>
            <w:r w:rsidRPr="00250577">
              <w:t>(</w:t>
            </w:r>
            <w:r w:rsidRPr="00870247">
              <w:t>GPN-CA</w:t>
            </w:r>
            <w:r w:rsidRPr="00250577">
              <w:t>)</w:t>
            </w:r>
          </w:p>
          <w:p w14:paraId="22B0CBC4" w14:textId="027B710E" w:rsidR="00115C24" w:rsidRDefault="00115C24" w:rsidP="00115C24">
            <w:pPr>
              <w:pStyle w:val="CasesLegislationAppealFrom"/>
              <w:spacing w:after="60"/>
            </w:pPr>
            <w:r w:rsidRPr="00400540">
              <w:rPr>
                <w:szCs w:val="24"/>
              </w:rPr>
              <w:t>Meagher</w:t>
            </w:r>
            <w:r w:rsidR="00651E3B">
              <w:rPr>
                <w:szCs w:val="24"/>
              </w:rPr>
              <w:t>,</w:t>
            </w:r>
            <w:r w:rsidRPr="00400540">
              <w:rPr>
                <w:spacing w:val="-2"/>
                <w:szCs w:val="24"/>
              </w:rPr>
              <w:t xml:space="preserve"> </w:t>
            </w:r>
            <w:r w:rsidRPr="00400540">
              <w:rPr>
                <w:szCs w:val="24"/>
              </w:rPr>
              <w:t>L,</w:t>
            </w:r>
            <w:r w:rsidRPr="00400540">
              <w:rPr>
                <w:spacing w:val="-5"/>
                <w:szCs w:val="24"/>
              </w:rPr>
              <w:t xml:space="preserve"> </w:t>
            </w:r>
            <w:r w:rsidRPr="00473B69">
              <w:rPr>
                <w:i/>
                <w:iCs/>
                <w:szCs w:val="24"/>
              </w:rPr>
              <w:t>Employment</w:t>
            </w:r>
            <w:r w:rsidRPr="00473B69">
              <w:rPr>
                <w:i/>
                <w:iCs/>
                <w:spacing w:val="-1"/>
                <w:szCs w:val="24"/>
              </w:rPr>
              <w:t xml:space="preserve"> </w:t>
            </w:r>
            <w:r w:rsidRPr="00473B69">
              <w:rPr>
                <w:i/>
                <w:iCs/>
                <w:szCs w:val="24"/>
              </w:rPr>
              <w:t>Class</w:t>
            </w:r>
            <w:r w:rsidRPr="00473B69">
              <w:rPr>
                <w:i/>
                <w:iCs/>
                <w:spacing w:val="-2"/>
                <w:szCs w:val="24"/>
              </w:rPr>
              <w:t xml:space="preserve"> </w:t>
            </w:r>
            <w:r w:rsidRPr="00473B69">
              <w:rPr>
                <w:i/>
                <w:iCs/>
                <w:szCs w:val="24"/>
              </w:rPr>
              <w:t>Actions:</w:t>
            </w:r>
            <w:r w:rsidRPr="00473B69">
              <w:rPr>
                <w:i/>
                <w:iCs/>
                <w:spacing w:val="-1"/>
                <w:szCs w:val="24"/>
              </w:rPr>
              <w:t xml:space="preserve"> </w:t>
            </w:r>
            <w:r w:rsidRPr="00473B69">
              <w:rPr>
                <w:i/>
                <w:iCs/>
                <w:szCs w:val="24"/>
              </w:rPr>
              <w:t>Past</w:t>
            </w:r>
            <w:r w:rsidRPr="00473B69">
              <w:rPr>
                <w:i/>
                <w:iCs/>
                <w:spacing w:val="-1"/>
                <w:szCs w:val="24"/>
              </w:rPr>
              <w:t xml:space="preserve"> </w:t>
            </w:r>
            <w:r w:rsidRPr="00473B69">
              <w:rPr>
                <w:i/>
                <w:iCs/>
                <w:szCs w:val="24"/>
              </w:rPr>
              <w:t>Use</w:t>
            </w:r>
            <w:r w:rsidRPr="00473B69">
              <w:rPr>
                <w:i/>
                <w:iCs/>
                <w:spacing w:val="-2"/>
                <w:szCs w:val="24"/>
              </w:rPr>
              <w:t xml:space="preserve"> </w:t>
            </w:r>
            <w:r w:rsidRPr="00473B69">
              <w:rPr>
                <w:i/>
                <w:iCs/>
                <w:szCs w:val="24"/>
              </w:rPr>
              <w:t>and</w:t>
            </w:r>
            <w:r w:rsidRPr="00473B69">
              <w:rPr>
                <w:i/>
                <w:iCs/>
                <w:spacing w:val="-2"/>
                <w:szCs w:val="24"/>
              </w:rPr>
              <w:t xml:space="preserve"> </w:t>
            </w:r>
            <w:r w:rsidRPr="00473B69">
              <w:rPr>
                <w:i/>
                <w:iCs/>
                <w:szCs w:val="24"/>
              </w:rPr>
              <w:t>Present Utility</w:t>
            </w:r>
            <w:r w:rsidRPr="00400540">
              <w:rPr>
                <w:szCs w:val="24"/>
              </w:rPr>
              <w:t xml:space="preserve">, </w:t>
            </w:r>
            <w:r>
              <w:rPr>
                <w:szCs w:val="24"/>
              </w:rPr>
              <w:t xml:space="preserve">[2022] No 4 </w:t>
            </w:r>
            <w:r w:rsidRPr="00400540">
              <w:rPr>
                <w:i/>
                <w:szCs w:val="24"/>
              </w:rPr>
              <w:t>UNSW Law Journal Forum</w:t>
            </w:r>
          </w:p>
          <w:p w14:paraId="3854D9D6" w14:textId="7385D1E7" w:rsidR="00115C24" w:rsidRDefault="00115C24" w:rsidP="00115C24">
            <w:pPr>
              <w:pStyle w:val="Normal1linespace"/>
              <w:widowControl w:val="0"/>
              <w:jc w:val="left"/>
            </w:pPr>
            <w:r>
              <w:t xml:space="preserve">Morabito, V, </w:t>
            </w:r>
            <w:r>
              <w:rPr>
                <w:i/>
              </w:rPr>
              <w:t>Empirical perspectives on twenty-one years of funded class actions in Australia</w:t>
            </w:r>
            <w:r>
              <w:t>, April 2023</w:t>
            </w:r>
          </w:p>
        </w:tc>
      </w:tr>
      <w:tr w:rsidR="00115C24" w14:paraId="5E84AB69" w14:textId="77777777" w:rsidTr="0046167A">
        <w:tc>
          <w:tcPr>
            <w:tcW w:w="3084" w:type="dxa"/>
            <w:shd w:val="clear" w:color="auto" w:fill="auto"/>
          </w:tcPr>
          <w:p w14:paraId="1A0642D3" w14:textId="77777777" w:rsidR="00115C24" w:rsidRDefault="00115C24" w:rsidP="005F3639">
            <w:pPr>
              <w:pStyle w:val="Normal1linespace"/>
              <w:widowControl w:val="0"/>
            </w:pPr>
          </w:p>
        </w:tc>
        <w:tc>
          <w:tcPr>
            <w:tcW w:w="5989" w:type="dxa"/>
            <w:shd w:val="clear" w:color="auto" w:fill="auto"/>
          </w:tcPr>
          <w:p w14:paraId="7D3E6A65" w14:textId="77777777" w:rsidR="00115C24" w:rsidRDefault="00115C24" w:rsidP="005F3639">
            <w:pPr>
              <w:pStyle w:val="Normal1linespace"/>
              <w:widowControl w:val="0"/>
              <w:jc w:val="left"/>
            </w:pPr>
          </w:p>
        </w:tc>
      </w:tr>
      <w:tr w:rsidR="007F7FC7" w14:paraId="544011AE" w14:textId="77777777" w:rsidTr="0046167A">
        <w:tc>
          <w:tcPr>
            <w:tcW w:w="3084" w:type="dxa"/>
            <w:shd w:val="clear" w:color="auto" w:fill="auto"/>
          </w:tcPr>
          <w:p w14:paraId="0265445F" w14:textId="77777777" w:rsidR="007F7FC7" w:rsidRDefault="007F7FC7" w:rsidP="00501A12">
            <w:pPr>
              <w:pStyle w:val="Normal1linespace"/>
              <w:widowControl w:val="0"/>
            </w:pPr>
            <w:r>
              <w:t>Division:</w:t>
            </w:r>
          </w:p>
        </w:tc>
        <w:tc>
          <w:tcPr>
            <w:tcW w:w="5989" w:type="dxa"/>
            <w:shd w:val="clear" w:color="auto" w:fill="auto"/>
          </w:tcPr>
          <w:p w14:paraId="01FCA484" w14:textId="57C58945" w:rsidR="007F7FC7" w:rsidRPr="00F17599" w:rsidRDefault="007F7FC7" w:rsidP="007F7FC7">
            <w:pPr>
              <w:pStyle w:val="Normal1linespace"/>
              <w:widowControl w:val="0"/>
              <w:jc w:val="left"/>
            </w:pPr>
            <w:r>
              <w:t>Fair Work Division</w:t>
            </w:r>
          </w:p>
        </w:tc>
      </w:tr>
      <w:tr w:rsidR="007F7FC7" w14:paraId="01A2EAAD" w14:textId="77777777" w:rsidTr="0046167A">
        <w:tc>
          <w:tcPr>
            <w:tcW w:w="3084" w:type="dxa"/>
            <w:shd w:val="clear" w:color="auto" w:fill="auto"/>
          </w:tcPr>
          <w:p w14:paraId="38F313C1" w14:textId="77777777" w:rsidR="007F7FC7" w:rsidRDefault="007F7FC7" w:rsidP="00501A12">
            <w:pPr>
              <w:pStyle w:val="Normal1linespace"/>
              <w:widowControl w:val="0"/>
            </w:pPr>
            <w:bookmarkStart w:id="5" w:name="Registry_rows" w:colFirst="0" w:colLast="1"/>
          </w:p>
        </w:tc>
        <w:tc>
          <w:tcPr>
            <w:tcW w:w="5989" w:type="dxa"/>
            <w:shd w:val="clear" w:color="auto" w:fill="auto"/>
          </w:tcPr>
          <w:p w14:paraId="60499340" w14:textId="77777777" w:rsidR="007F7FC7" w:rsidRDefault="007F7FC7" w:rsidP="00501A12">
            <w:pPr>
              <w:pStyle w:val="Normal1linespace"/>
              <w:widowControl w:val="0"/>
              <w:jc w:val="left"/>
            </w:pPr>
          </w:p>
        </w:tc>
      </w:tr>
      <w:tr w:rsidR="007F7FC7" w14:paraId="781029CC" w14:textId="77777777" w:rsidTr="0046167A">
        <w:tc>
          <w:tcPr>
            <w:tcW w:w="3084" w:type="dxa"/>
            <w:shd w:val="clear" w:color="auto" w:fill="auto"/>
          </w:tcPr>
          <w:p w14:paraId="62119BF4" w14:textId="77777777" w:rsidR="007F7FC7" w:rsidRDefault="007F7FC7" w:rsidP="00501A12">
            <w:pPr>
              <w:pStyle w:val="Normal1linespace"/>
              <w:widowControl w:val="0"/>
            </w:pPr>
            <w:r>
              <w:t>Registry:</w:t>
            </w:r>
          </w:p>
        </w:tc>
        <w:tc>
          <w:tcPr>
            <w:tcW w:w="5989" w:type="dxa"/>
            <w:shd w:val="clear" w:color="auto" w:fill="auto"/>
          </w:tcPr>
          <w:p w14:paraId="5898C6D1" w14:textId="5C4CC7B1" w:rsidR="007F7FC7" w:rsidRPr="00F17599" w:rsidRDefault="007F7FC7" w:rsidP="00501A12">
            <w:pPr>
              <w:pStyle w:val="Normal1linespace"/>
              <w:widowControl w:val="0"/>
              <w:jc w:val="left"/>
            </w:pPr>
            <w:r>
              <w:t>Victoria</w:t>
            </w:r>
          </w:p>
        </w:tc>
      </w:tr>
      <w:tr w:rsidR="007F7FC7" w14:paraId="70F5E7D1" w14:textId="77777777" w:rsidTr="0046167A">
        <w:tc>
          <w:tcPr>
            <w:tcW w:w="3084" w:type="dxa"/>
            <w:shd w:val="clear" w:color="auto" w:fill="auto"/>
          </w:tcPr>
          <w:p w14:paraId="1F206A34" w14:textId="77777777" w:rsidR="007F7FC7" w:rsidRDefault="007F7FC7" w:rsidP="00501A12">
            <w:pPr>
              <w:pStyle w:val="Normal1linespace"/>
              <w:widowControl w:val="0"/>
            </w:pPr>
            <w:bookmarkStart w:id="6" w:name="NPARow" w:colFirst="0" w:colLast="1"/>
            <w:bookmarkEnd w:id="5"/>
          </w:p>
        </w:tc>
        <w:tc>
          <w:tcPr>
            <w:tcW w:w="5989" w:type="dxa"/>
            <w:shd w:val="clear" w:color="auto" w:fill="auto"/>
          </w:tcPr>
          <w:p w14:paraId="3997005E" w14:textId="77777777" w:rsidR="007F7FC7" w:rsidRPr="00F17599" w:rsidRDefault="007F7FC7" w:rsidP="00501A12">
            <w:pPr>
              <w:pStyle w:val="Normal1linespace"/>
              <w:widowControl w:val="0"/>
              <w:jc w:val="left"/>
              <w:rPr>
                <w:b/>
              </w:rPr>
            </w:pPr>
          </w:p>
        </w:tc>
      </w:tr>
      <w:tr w:rsidR="007F7FC7" w14:paraId="70844D4F" w14:textId="77777777" w:rsidTr="0046167A">
        <w:tc>
          <w:tcPr>
            <w:tcW w:w="3084" w:type="dxa"/>
            <w:shd w:val="clear" w:color="auto" w:fill="auto"/>
          </w:tcPr>
          <w:p w14:paraId="24CB3CAE" w14:textId="77777777" w:rsidR="007F7FC7" w:rsidRDefault="007F7FC7" w:rsidP="00501A12">
            <w:pPr>
              <w:pStyle w:val="Normal1linespace"/>
              <w:widowControl w:val="0"/>
            </w:pPr>
            <w:r>
              <w:t>National Practice Area:</w:t>
            </w:r>
          </w:p>
        </w:tc>
        <w:tc>
          <w:tcPr>
            <w:tcW w:w="5989" w:type="dxa"/>
            <w:shd w:val="clear" w:color="auto" w:fill="auto"/>
          </w:tcPr>
          <w:p w14:paraId="23E3AD83" w14:textId="77777777" w:rsidR="007F7FC7" w:rsidRPr="00F17599" w:rsidRDefault="007F7FC7" w:rsidP="005F3639">
            <w:pPr>
              <w:pStyle w:val="Normal1linespace"/>
              <w:widowControl w:val="0"/>
              <w:jc w:val="left"/>
              <w:rPr>
                <w:b/>
              </w:rPr>
            </w:pPr>
            <w:r>
              <w:t>Employment and Industrial Relations</w:t>
            </w:r>
          </w:p>
        </w:tc>
      </w:tr>
      <w:tr w:rsidR="007F7FC7" w14:paraId="7013EE5B" w14:textId="77777777" w:rsidTr="0046167A">
        <w:tc>
          <w:tcPr>
            <w:tcW w:w="3084" w:type="dxa"/>
            <w:shd w:val="clear" w:color="auto" w:fill="auto"/>
          </w:tcPr>
          <w:p w14:paraId="1E96BDEC" w14:textId="77777777" w:rsidR="007F7FC7" w:rsidRDefault="007F7FC7" w:rsidP="00501A12">
            <w:pPr>
              <w:pStyle w:val="Normal1linespace"/>
              <w:widowControl w:val="0"/>
            </w:pPr>
            <w:bookmarkStart w:id="7" w:name="SubAreaRow" w:colFirst="0" w:colLast="1"/>
            <w:bookmarkEnd w:id="6"/>
          </w:p>
        </w:tc>
        <w:tc>
          <w:tcPr>
            <w:tcW w:w="5989" w:type="dxa"/>
            <w:shd w:val="clear" w:color="auto" w:fill="auto"/>
          </w:tcPr>
          <w:p w14:paraId="1800C1B5" w14:textId="77777777" w:rsidR="007F7FC7" w:rsidRDefault="007F7FC7" w:rsidP="005F3639">
            <w:pPr>
              <w:pStyle w:val="Normal1linespace"/>
              <w:widowControl w:val="0"/>
              <w:jc w:val="left"/>
            </w:pPr>
          </w:p>
        </w:tc>
      </w:tr>
      <w:bookmarkEnd w:id="7"/>
      <w:tr w:rsidR="00061781" w14:paraId="0C6F0F8F" w14:textId="77777777" w:rsidTr="0046167A">
        <w:tc>
          <w:tcPr>
            <w:tcW w:w="3084" w:type="dxa"/>
            <w:shd w:val="clear" w:color="auto" w:fill="auto"/>
          </w:tcPr>
          <w:p w14:paraId="47ABFC57" w14:textId="77777777" w:rsidR="00061781" w:rsidRDefault="00061781" w:rsidP="00501A12">
            <w:pPr>
              <w:pStyle w:val="Normal1linespace"/>
              <w:widowControl w:val="0"/>
            </w:pPr>
            <w:r>
              <w:t>Number of paragraphs:</w:t>
            </w:r>
          </w:p>
        </w:tc>
        <w:tc>
          <w:tcPr>
            <w:tcW w:w="5989" w:type="dxa"/>
            <w:shd w:val="clear" w:color="auto" w:fill="auto"/>
          </w:tcPr>
          <w:p w14:paraId="2BFC6302" w14:textId="17F95237" w:rsidR="00061781" w:rsidRDefault="00B13C80" w:rsidP="00501A12">
            <w:pPr>
              <w:pStyle w:val="Normal1linespace"/>
              <w:widowControl w:val="0"/>
              <w:jc w:val="left"/>
            </w:pPr>
            <w:r>
              <w:t>509</w:t>
            </w:r>
          </w:p>
        </w:tc>
      </w:tr>
      <w:tr w:rsidR="00061781" w14:paraId="25368184" w14:textId="77777777" w:rsidTr="0046167A">
        <w:tc>
          <w:tcPr>
            <w:tcW w:w="3084" w:type="dxa"/>
            <w:shd w:val="clear" w:color="auto" w:fill="auto"/>
          </w:tcPr>
          <w:p w14:paraId="1BB48D89" w14:textId="77777777" w:rsidR="00061781" w:rsidRDefault="00061781" w:rsidP="00061781">
            <w:pPr>
              <w:pStyle w:val="Normal1linespace"/>
              <w:widowControl w:val="0"/>
              <w:jc w:val="left"/>
            </w:pPr>
          </w:p>
        </w:tc>
        <w:tc>
          <w:tcPr>
            <w:tcW w:w="5989" w:type="dxa"/>
            <w:shd w:val="clear" w:color="auto" w:fill="auto"/>
          </w:tcPr>
          <w:p w14:paraId="78A6772A" w14:textId="77777777" w:rsidR="00061781" w:rsidRDefault="00061781" w:rsidP="00061781">
            <w:pPr>
              <w:pStyle w:val="Normal1linespace"/>
              <w:widowControl w:val="0"/>
              <w:jc w:val="left"/>
            </w:pPr>
          </w:p>
        </w:tc>
      </w:tr>
      <w:tr w:rsidR="00061781" w14:paraId="1925C86A" w14:textId="77777777" w:rsidTr="0046167A">
        <w:tc>
          <w:tcPr>
            <w:tcW w:w="3084" w:type="dxa"/>
            <w:shd w:val="clear" w:color="auto" w:fill="auto"/>
          </w:tcPr>
          <w:p w14:paraId="37137726" w14:textId="460498D3" w:rsidR="00061781" w:rsidRDefault="00061781" w:rsidP="00061781">
            <w:pPr>
              <w:pStyle w:val="Normal1linespace"/>
              <w:widowControl w:val="0"/>
              <w:jc w:val="left"/>
            </w:pPr>
            <w:r>
              <w:t xml:space="preserve">Date of last </w:t>
            </w:r>
            <w:r w:rsidR="002A6186">
              <w:t>submission</w:t>
            </w:r>
            <w:r>
              <w:t>s:</w:t>
            </w:r>
          </w:p>
        </w:tc>
        <w:tc>
          <w:tcPr>
            <w:tcW w:w="5989" w:type="dxa"/>
            <w:shd w:val="clear" w:color="auto" w:fill="auto"/>
          </w:tcPr>
          <w:p w14:paraId="00CED09D" w14:textId="19EC7FB8" w:rsidR="00061781" w:rsidRDefault="00662BB9" w:rsidP="00061781">
            <w:pPr>
              <w:pStyle w:val="Normal1linespace"/>
              <w:widowControl w:val="0"/>
              <w:jc w:val="left"/>
            </w:pPr>
            <w:r>
              <w:t>19 May 2023</w:t>
            </w:r>
          </w:p>
        </w:tc>
      </w:tr>
      <w:tr w:rsidR="00061781" w14:paraId="0D79FEAC" w14:textId="77777777" w:rsidTr="0046167A">
        <w:tc>
          <w:tcPr>
            <w:tcW w:w="3084" w:type="dxa"/>
            <w:shd w:val="clear" w:color="auto" w:fill="auto"/>
          </w:tcPr>
          <w:p w14:paraId="598658E2" w14:textId="77777777" w:rsidR="00061781" w:rsidRDefault="00061781" w:rsidP="00061781">
            <w:pPr>
              <w:pStyle w:val="Normal1linespace"/>
              <w:widowControl w:val="0"/>
              <w:jc w:val="left"/>
            </w:pPr>
          </w:p>
        </w:tc>
        <w:tc>
          <w:tcPr>
            <w:tcW w:w="5989" w:type="dxa"/>
            <w:shd w:val="clear" w:color="auto" w:fill="auto"/>
          </w:tcPr>
          <w:p w14:paraId="120CBB4C" w14:textId="77777777" w:rsidR="00061781" w:rsidRDefault="00061781" w:rsidP="00061781">
            <w:pPr>
              <w:pStyle w:val="Normal1linespace"/>
              <w:widowControl w:val="0"/>
              <w:jc w:val="left"/>
            </w:pPr>
          </w:p>
        </w:tc>
      </w:tr>
      <w:tr w:rsidR="00061781" w14:paraId="33EF85F5" w14:textId="77777777" w:rsidTr="0046167A">
        <w:tc>
          <w:tcPr>
            <w:tcW w:w="3084" w:type="dxa"/>
            <w:shd w:val="clear" w:color="auto" w:fill="auto"/>
          </w:tcPr>
          <w:p w14:paraId="1C2BB878" w14:textId="77777777" w:rsidR="00061781" w:rsidRDefault="00061781" w:rsidP="00061781">
            <w:pPr>
              <w:pStyle w:val="Normal1linespace"/>
              <w:widowControl w:val="0"/>
              <w:jc w:val="left"/>
            </w:pPr>
            <w:bookmarkStart w:id="8" w:name="CounselDate" w:colFirst="0" w:colLast="2"/>
            <w:r w:rsidRPr="006A24E3">
              <w:t>Date of hearing:</w:t>
            </w:r>
          </w:p>
        </w:tc>
        <w:tc>
          <w:tcPr>
            <w:tcW w:w="5989" w:type="dxa"/>
            <w:shd w:val="clear" w:color="auto" w:fill="auto"/>
          </w:tcPr>
          <w:p w14:paraId="54509EF8" w14:textId="77777777" w:rsidR="00061781" w:rsidRDefault="00061781" w:rsidP="00061781">
            <w:pPr>
              <w:pStyle w:val="Normal1linespace"/>
              <w:widowControl w:val="0"/>
              <w:jc w:val="left"/>
            </w:pPr>
            <w:bookmarkStart w:id="9" w:name="HearingDate"/>
            <w:r>
              <w:t xml:space="preserve">6 March 2023 </w:t>
            </w:r>
            <w:bookmarkEnd w:id="9"/>
          </w:p>
        </w:tc>
      </w:tr>
      <w:tr w:rsidR="00061781" w14:paraId="3A17311A" w14:textId="77777777" w:rsidTr="0046167A">
        <w:tc>
          <w:tcPr>
            <w:tcW w:w="3084" w:type="dxa"/>
            <w:shd w:val="clear" w:color="auto" w:fill="auto"/>
          </w:tcPr>
          <w:p w14:paraId="06F2D722" w14:textId="77777777" w:rsidR="00061781" w:rsidRDefault="00061781" w:rsidP="00061781">
            <w:pPr>
              <w:pStyle w:val="Normal1linespace"/>
              <w:widowControl w:val="0"/>
              <w:jc w:val="left"/>
            </w:pPr>
          </w:p>
        </w:tc>
        <w:tc>
          <w:tcPr>
            <w:tcW w:w="5989" w:type="dxa"/>
            <w:shd w:val="clear" w:color="auto" w:fill="auto"/>
          </w:tcPr>
          <w:p w14:paraId="2D33DFA3" w14:textId="77777777" w:rsidR="00061781" w:rsidRDefault="00061781" w:rsidP="00061781">
            <w:pPr>
              <w:pStyle w:val="Normal1linespace"/>
              <w:widowControl w:val="0"/>
              <w:jc w:val="left"/>
            </w:pPr>
          </w:p>
        </w:tc>
      </w:tr>
      <w:tr w:rsidR="007A3000" w14:paraId="456E2E90" w14:textId="77777777" w:rsidTr="0046167A">
        <w:tc>
          <w:tcPr>
            <w:tcW w:w="3084" w:type="dxa"/>
            <w:shd w:val="clear" w:color="auto" w:fill="auto"/>
          </w:tcPr>
          <w:p w14:paraId="7BDEC936" w14:textId="2736E455" w:rsidR="007A3000" w:rsidRDefault="007A3000" w:rsidP="00061781">
            <w:pPr>
              <w:pStyle w:val="Normal1linespace"/>
              <w:widowControl w:val="0"/>
              <w:jc w:val="left"/>
            </w:pPr>
            <w:r>
              <w:t>Counsel for the applicants</w:t>
            </w:r>
            <w:r w:rsidR="00B20CA2">
              <w:t xml:space="preserve"> in VID 726</w:t>
            </w:r>
            <w:r w:rsidR="00793DBB">
              <w:t xml:space="preserve"> of 2021</w:t>
            </w:r>
            <w:r>
              <w:t>:</w:t>
            </w:r>
          </w:p>
        </w:tc>
        <w:tc>
          <w:tcPr>
            <w:tcW w:w="5989" w:type="dxa"/>
            <w:shd w:val="clear" w:color="auto" w:fill="auto"/>
          </w:tcPr>
          <w:p w14:paraId="2CDA1541" w14:textId="4C77A050" w:rsidR="007A3000" w:rsidRDefault="006D49B0" w:rsidP="00061781">
            <w:pPr>
              <w:pStyle w:val="Normal1linespace"/>
              <w:widowControl w:val="0"/>
              <w:jc w:val="left"/>
            </w:pPr>
            <w:r>
              <w:t xml:space="preserve">Mr L Armstrong KC with </w:t>
            </w:r>
            <w:r w:rsidR="006D4402">
              <w:t xml:space="preserve">Ms S Kelly, </w:t>
            </w:r>
            <w:r>
              <w:t xml:space="preserve">Dr P </w:t>
            </w:r>
            <w:proofErr w:type="gramStart"/>
            <w:r>
              <w:t>Turner</w:t>
            </w:r>
            <w:proofErr w:type="gramEnd"/>
            <w:r>
              <w:t xml:space="preserve"> and Mr D Murphy</w:t>
            </w:r>
          </w:p>
        </w:tc>
      </w:tr>
      <w:tr w:rsidR="007A3000" w14:paraId="0CD9B9EC" w14:textId="77777777" w:rsidTr="0046167A">
        <w:tc>
          <w:tcPr>
            <w:tcW w:w="3084" w:type="dxa"/>
            <w:shd w:val="clear" w:color="auto" w:fill="auto"/>
          </w:tcPr>
          <w:p w14:paraId="39A36942" w14:textId="77777777" w:rsidR="007A3000" w:rsidRDefault="007A3000" w:rsidP="00061781">
            <w:pPr>
              <w:pStyle w:val="Normal1linespace"/>
              <w:widowControl w:val="0"/>
              <w:jc w:val="left"/>
            </w:pPr>
          </w:p>
        </w:tc>
        <w:tc>
          <w:tcPr>
            <w:tcW w:w="5989" w:type="dxa"/>
            <w:shd w:val="clear" w:color="auto" w:fill="auto"/>
          </w:tcPr>
          <w:p w14:paraId="4D09D268" w14:textId="77777777" w:rsidR="007A3000" w:rsidRDefault="007A3000" w:rsidP="00061781">
            <w:pPr>
              <w:pStyle w:val="Normal1linespace"/>
              <w:widowControl w:val="0"/>
              <w:jc w:val="left"/>
            </w:pPr>
          </w:p>
        </w:tc>
      </w:tr>
      <w:tr w:rsidR="007A3000" w14:paraId="2EB05485" w14:textId="77777777" w:rsidTr="0046167A">
        <w:tc>
          <w:tcPr>
            <w:tcW w:w="3084" w:type="dxa"/>
            <w:shd w:val="clear" w:color="auto" w:fill="auto"/>
          </w:tcPr>
          <w:p w14:paraId="17BE59EB" w14:textId="3173B4D8" w:rsidR="007A3000" w:rsidRDefault="007A3000" w:rsidP="00061781">
            <w:pPr>
              <w:pStyle w:val="Normal1linespace"/>
              <w:widowControl w:val="0"/>
              <w:jc w:val="left"/>
            </w:pPr>
            <w:r>
              <w:t>Solicitors for the applicants</w:t>
            </w:r>
            <w:r w:rsidR="00793DBB">
              <w:t xml:space="preserve"> in VID 726 of 2021</w:t>
            </w:r>
            <w:r>
              <w:t>:</w:t>
            </w:r>
          </w:p>
        </w:tc>
        <w:tc>
          <w:tcPr>
            <w:tcW w:w="5989" w:type="dxa"/>
            <w:shd w:val="clear" w:color="auto" w:fill="auto"/>
          </w:tcPr>
          <w:p w14:paraId="7C8C5546" w14:textId="40CB6115" w:rsidR="007A3000" w:rsidRDefault="002E76D1" w:rsidP="00061781">
            <w:pPr>
              <w:pStyle w:val="Normal1linespace"/>
              <w:widowControl w:val="0"/>
              <w:jc w:val="left"/>
            </w:pPr>
            <w:r w:rsidRPr="002E76D1">
              <w:t>Shine Lawyers</w:t>
            </w:r>
          </w:p>
        </w:tc>
      </w:tr>
      <w:tr w:rsidR="007A3000" w14:paraId="665618EB" w14:textId="77777777" w:rsidTr="0046167A">
        <w:tc>
          <w:tcPr>
            <w:tcW w:w="3084" w:type="dxa"/>
            <w:shd w:val="clear" w:color="auto" w:fill="auto"/>
          </w:tcPr>
          <w:p w14:paraId="50135A7A" w14:textId="77777777" w:rsidR="007A3000" w:rsidRDefault="007A3000" w:rsidP="00061781">
            <w:pPr>
              <w:pStyle w:val="Normal1linespace"/>
              <w:widowControl w:val="0"/>
              <w:jc w:val="left"/>
            </w:pPr>
          </w:p>
        </w:tc>
        <w:tc>
          <w:tcPr>
            <w:tcW w:w="5989" w:type="dxa"/>
            <w:shd w:val="clear" w:color="auto" w:fill="auto"/>
          </w:tcPr>
          <w:p w14:paraId="1182E9F5" w14:textId="77777777" w:rsidR="007A3000" w:rsidRDefault="007A3000" w:rsidP="00061781">
            <w:pPr>
              <w:pStyle w:val="Normal1linespace"/>
              <w:widowControl w:val="0"/>
              <w:jc w:val="left"/>
            </w:pPr>
          </w:p>
        </w:tc>
      </w:tr>
      <w:tr w:rsidR="00912795" w14:paraId="417DB3FF" w14:textId="77777777" w:rsidTr="0046167A">
        <w:tc>
          <w:tcPr>
            <w:tcW w:w="3084" w:type="dxa"/>
            <w:shd w:val="clear" w:color="auto" w:fill="auto"/>
          </w:tcPr>
          <w:p w14:paraId="4CBD86CD" w14:textId="2BF104EC" w:rsidR="00912795" w:rsidRDefault="00912795" w:rsidP="00912795">
            <w:pPr>
              <w:pStyle w:val="Normal1linespace"/>
              <w:widowControl w:val="0"/>
              <w:jc w:val="left"/>
            </w:pPr>
            <w:r>
              <w:t>Counsel for the applicant in</w:t>
            </w:r>
          </w:p>
          <w:p w14:paraId="7F0D0F67" w14:textId="1DE94CD4" w:rsidR="00912795" w:rsidRDefault="00912795" w:rsidP="00912795">
            <w:pPr>
              <w:pStyle w:val="Normal1linespace"/>
              <w:widowControl w:val="0"/>
              <w:jc w:val="left"/>
            </w:pPr>
            <w:r>
              <w:t>SAD 127 of 2022:</w:t>
            </w:r>
          </w:p>
        </w:tc>
        <w:tc>
          <w:tcPr>
            <w:tcW w:w="5989" w:type="dxa"/>
            <w:shd w:val="clear" w:color="auto" w:fill="auto"/>
          </w:tcPr>
          <w:p w14:paraId="3314D6B5" w14:textId="0F6189D2" w:rsidR="00912795" w:rsidRDefault="00912795" w:rsidP="00912795">
            <w:pPr>
              <w:pStyle w:val="Normal1linespace"/>
              <w:widowControl w:val="0"/>
              <w:jc w:val="left"/>
            </w:pPr>
            <w:r>
              <w:t>Mr A Manos with Mr R Glavas</w:t>
            </w:r>
          </w:p>
        </w:tc>
      </w:tr>
      <w:tr w:rsidR="00912795" w14:paraId="3E5A09C2" w14:textId="77777777" w:rsidTr="0046167A">
        <w:tc>
          <w:tcPr>
            <w:tcW w:w="3084" w:type="dxa"/>
            <w:shd w:val="clear" w:color="auto" w:fill="auto"/>
          </w:tcPr>
          <w:p w14:paraId="4BF3E73C" w14:textId="159EFD21" w:rsidR="00912795" w:rsidRDefault="00912795" w:rsidP="00912795">
            <w:pPr>
              <w:pStyle w:val="Normal1linespace"/>
              <w:widowControl w:val="0"/>
              <w:jc w:val="left"/>
            </w:pPr>
          </w:p>
        </w:tc>
        <w:tc>
          <w:tcPr>
            <w:tcW w:w="5989" w:type="dxa"/>
            <w:shd w:val="clear" w:color="auto" w:fill="auto"/>
          </w:tcPr>
          <w:p w14:paraId="66FACB67" w14:textId="760414CD" w:rsidR="00912795" w:rsidRDefault="00912795" w:rsidP="00912795">
            <w:pPr>
              <w:pStyle w:val="Normal1linespace"/>
              <w:widowControl w:val="0"/>
              <w:jc w:val="left"/>
            </w:pPr>
          </w:p>
        </w:tc>
      </w:tr>
      <w:tr w:rsidR="007A3000" w14:paraId="53BDA07E" w14:textId="77777777" w:rsidTr="0046167A">
        <w:tc>
          <w:tcPr>
            <w:tcW w:w="3084" w:type="dxa"/>
            <w:shd w:val="clear" w:color="auto" w:fill="auto"/>
          </w:tcPr>
          <w:p w14:paraId="005A380F" w14:textId="13672227" w:rsidR="007A3000" w:rsidRDefault="00912795" w:rsidP="007A3000">
            <w:pPr>
              <w:pStyle w:val="Normal1linespace"/>
              <w:widowControl w:val="0"/>
              <w:jc w:val="left"/>
            </w:pPr>
            <w:r>
              <w:t>Solicitors for the applicant in SAD 127 of 2022:</w:t>
            </w:r>
          </w:p>
        </w:tc>
        <w:tc>
          <w:tcPr>
            <w:tcW w:w="5989" w:type="dxa"/>
            <w:shd w:val="clear" w:color="auto" w:fill="auto"/>
          </w:tcPr>
          <w:p w14:paraId="2025586A" w14:textId="70EDCD39" w:rsidR="007A3000" w:rsidRDefault="00912795" w:rsidP="00061781">
            <w:pPr>
              <w:pStyle w:val="Normal1linespace"/>
              <w:widowControl w:val="0"/>
              <w:jc w:val="left"/>
            </w:pPr>
            <w:proofErr w:type="spellStart"/>
            <w:r w:rsidRPr="00F5133D">
              <w:t>Lieschke</w:t>
            </w:r>
            <w:proofErr w:type="spellEnd"/>
            <w:r w:rsidRPr="00F5133D">
              <w:t xml:space="preserve"> &amp; Weatherill</w:t>
            </w:r>
          </w:p>
        </w:tc>
      </w:tr>
      <w:tr w:rsidR="007A3000" w14:paraId="3B35D689" w14:textId="77777777" w:rsidTr="0046167A">
        <w:tc>
          <w:tcPr>
            <w:tcW w:w="3084" w:type="dxa"/>
            <w:shd w:val="clear" w:color="auto" w:fill="auto"/>
          </w:tcPr>
          <w:p w14:paraId="4FE32B3D" w14:textId="77777777" w:rsidR="007A3000" w:rsidRDefault="007A3000" w:rsidP="00061781">
            <w:pPr>
              <w:pStyle w:val="Normal1linespace"/>
              <w:widowControl w:val="0"/>
              <w:jc w:val="left"/>
            </w:pPr>
          </w:p>
        </w:tc>
        <w:tc>
          <w:tcPr>
            <w:tcW w:w="5989" w:type="dxa"/>
            <w:shd w:val="clear" w:color="auto" w:fill="auto"/>
          </w:tcPr>
          <w:p w14:paraId="58FE9F65" w14:textId="77777777" w:rsidR="007A3000" w:rsidRDefault="007A3000" w:rsidP="00061781">
            <w:pPr>
              <w:pStyle w:val="Normal1linespace"/>
              <w:widowControl w:val="0"/>
              <w:jc w:val="left"/>
            </w:pPr>
          </w:p>
        </w:tc>
      </w:tr>
      <w:tr w:rsidR="006757EB" w14:paraId="4077BD5B" w14:textId="77777777" w:rsidTr="0046167A">
        <w:tc>
          <w:tcPr>
            <w:tcW w:w="3084" w:type="dxa"/>
            <w:shd w:val="clear" w:color="auto" w:fill="auto"/>
          </w:tcPr>
          <w:p w14:paraId="23EDE9BC" w14:textId="2585BC70" w:rsidR="006757EB" w:rsidRDefault="006757EB" w:rsidP="00912795">
            <w:pPr>
              <w:pStyle w:val="Normal1linespace"/>
              <w:widowControl w:val="0"/>
              <w:jc w:val="left"/>
            </w:pPr>
            <w:r>
              <w:t>Counsel for the respondent in VID 726 of 2021 and second respondent in SAD 127 of 2022:</w:t>
            </w:r>
          </w:p>
        </w:tc>
        <w:tc>
          <w:tcPr>
            <w:tcW w:w="5989" w:type="dxa"/>
            <w:shd w:val="clear" w:color="auto" w:fill="auto"/>
          </w:tcPr>
          <w:p w14:paraId="792CA30A" w14:textId="534C1F0D" w:rsidR="006757EB" w:rsidRDefault="006757EB" w:rsidP="00912795">
            <w:pPr>
              <w:pStyle w:val="Normal1linespace"/>
              <w:widowControl w:val="0"/>
              <w:jc w:val="left"/>
            </w:pPr>
            <w:r>
              <w:t>Mr D Snyder</w:t>
            </w:r>
          </w:p>
        </w:tc>
      </w:tr>
      <w:tr w:rsidR="006757EB" w14:paraId="479A56DA" w14:textId="77777777" w:rsidTr="0046167A">
        <w:tc>
          <w:tcPr>
            <w:tcW w:w="3084" w:type="dxa"/>
            <w:shd w:val="clear" w:color="auto" w:fill="auto"/>
          </w:tcPr>
          <w:p w14:paraId="20769800" w14:textId="77777777" w:rsidR="006757EB" w:rsidRDefault="006757EB" w:rsidP="00912795">
            <w:pPr>
              <w:pStyle w:val="Normal1linespace"/>
              <w:widowControl w:val="0"/>
              <w:jc w:val="left"/>
            </w:pPr>
          </w:p>
        </w:tc>
        <w:tc>
          <w:tcPr>
            <w:tcW w:w="5989" w:type="dxa"/>
            <w:shd w:val="clear" w:color="auto" w:fill="auto"/>
          </w:tcPr>
          <w:p w14:paraId="00B1FF43" w14:textId="77777777" w:rsidR="006757EB" w:rsidRPr="002E76D1" w:rsidRDefault="006757EB" w:rsidP="00912795">
            <w:pPr>
              <w:pStyle w:val="Normal1linespace"/>
              <w:widowControl w:val="0"/>
              <w:jc w:val="left"/>
            </w:pPr>
          </w:p>
        </w:tc>
      </w:tr>
      <w:tr w:rsidR="007A3000" w14:paraId="2D786782" w14:textId="77777777" w:rsidTr="0046167A">
        <w:tc>
          <w:tcPr>
            <w:tcW w:w="3084" w:type="dxa"/>
            <w:shd w:val="clear" w:color="auto" w:fill="auto"/>
          </w:tcPr>
          <w:p w14:paraId="1B740E61" w14:textId="21BEEBF3" w:rsidR="007A3000" w:rsidRDefault="007A3000" w:rsidP="007A3000">
            <w:pPr>
              <w:pStyle w:val="Normal1linespace"/>
              <w:widowControl w:val="0"/>
              <w:jc w:val="left"/>
            </w:pPr>
            <w:r>
              <w:t xml:space="preserve">Solicitors for </w:t>
            </w:r>
            <w:r w:rsidR="009A5FE8">
              <w:t>the respondent</w:t>
            </w:r>
            <w:r w:rsidR="00792B27">
              <w:t xml:space="preserve"> in VID 726 of 2021 and </w:t>
            </w:r>
            <w:r w:rsidR="006B592A">
              <w:t xml:space="preserve">second respondent in </w:t>
            </w:r>
            <w:r w:rsidR="00792B27">
              <w:t xml:space="preserve">SAD 127 of </w:t>
            </w:r>
            <w:r w:rsidR="009F1CC8">
              <w:t>2022</w:t>
            </w:r>
            <w:r>
              <w:t>:</w:t>
            </w:r>
          </w:p>
        </w:tc>
        <w:tc>
          <w:tcPr>
            <w:tcW w:w="5989" w:type="dxa"/>
            <w:shd w:val="clear" w:color="auto" w:fill="auto"/>
          </w:tcPr>
          <w:p w14:paraId="4E585317" w14:textId="5B299EAA" w:rsidR="007A3000" w:rsidRDefault="002E76D1" w:rsidP="00061781">
            <w:pPr>
              <w:pStyle w:val="Normal1linespace"/>
              <w:widowControl w:val="0"/>
              <w:jc w:val="left"/>
            </w:pPr>
            <w:r w:rsidRPr="002E76D1">
              <w:t>Ashurst Australia</w:t>
            </w:r>
          </w:p>
        </w:tc>
      </w:tr>
      <w:tr w:rsidR="009A5FE8" w14:paraId="62C59610" w14:textId="77777777" w:rsidTr="0046167A">
        <w:tc>
          <w:tcPr>
            <w:tcW w:w="3084" w:type="dxa"/>
            <w:shd w:val="clear" w:color="auto" w:fill="auto"/>
          </w:tcPr>
          <w:p w14:paraId="25EF5E3F" w14:textId="77777777" w:rsidR="009A5FE8" w:rsidRDefault="009A5FE8" w:rsidP="009A5FE8">
            <w:pPr>
              <w:pStyle w:val="Normal1linespace"/>
              <w:widowControl w:val="0"/>
              <w:jc w:val="left"/>
            </w:pPr>
          </w:p>
        </w:tc>
        <w:tc>
          <w:tcPr>
            <w:tcW w:w="5989" w:type="dxa"/>
            <w:shd w:val="clear" w:color="auto" w:fill="auto"/>
          </w:tcPr>
          <w:p w14:paraId="6AFF64A9" w14:textId="77777777" w:rsidR="009A5FE8" w:rsidRDefault="009A5FE8" w:rsidP="00061781">
            <w:pPr>
              <w:pStyle w:val="Normal1linespace"/>
              <w:widowControl w:val="0"/>
              <w:jc w:val="left"/>
            </w:pPr>
          </w:p>
        </w:tc>
      </w:tr>
      <w:tr w:rsidR="00551CD1" w14:paraId="46089253" w14:textId="77777777" w:rsidTr="0046167A">
        <w:tc>
          <w:tcPr>
            <w:tcW w:w="3084" w:type="dxa"/>
            <w:shd w:val="clear" w:color="auto" w:fill="auto"/>
          </w:tcPr>
          <w:p w14:paraId="1C584B2F" w14:textId="445D6A4B" w:rsidR="00551CD1" w:rsidRDefault="005C50B0" w:rsidP="009A5FE8">
            <w:pPr>
              <w:pStyle w:val="Normal1linespace"/>
              <w:widowControl w:val="0"/>
              <w:jc w:val="left"/>
            </w:pPr>
            <w:r>
              <w:t xml:space="preserve">Counsel for </w:t>
            </w:r>
            <w:r w:rsidR="00DA2125">
              <w:t>the Attorney-General of the Commonwealth</w:t>
            </w:r>
            <w:r w:rsidR="00335CE5">
              <w:t xml:space="preserve"> (Intervener)</w:t>
            </w:r>
            <w:r w:rsidR="00DA2125">
              <w:t>:</w:t>
            </w:r>
          </w:p>
        </w:tc>
        <w:tc>
          <w:tcPr>
            <w:tcW w:w="5989" w:type="dxa"/>
            <w:shd w:val="clear" w:color="auto" w:fill="auto"/>
          </w:tcPr>
          <w:p w14:paraId="02490319" w14:textId="4C324B95" w:rsidR="00551CD1" w:rsidRDefault="006F1AE5" w:rsidP="00061781">
            <w:pPr>
              <w:pStyle w:val="Normal1linespace"/>
              <w:widowControl w:val="0"/>
              <w:jc w:val="left"/>
            </w:pPr>
            <w:r>
              <w:t xml:space="preserve">Mr S Lloyd </w:t>
            </w:r>
            <w:r w:rsidR="0047251B">
              <w:t xml:space="preserve">SC </w:t>
            </w:r>
            <w:r>
              <w:t xml:space="preserve">with Ms K Pham and Mr J </w:t>
            </w:r>
            <w:proofErr w:type="spellStart"/>
            <w:r>
              <w:t>Wherrett</w:t>
            </w:r>
            <w:proofErr w:type="spellEnd"/>
          </w:p>
        </w:tc>
      </w:tr>
      <w:tr w:rsidR="00551CD1" w14:paraId="117A179D" w14:textId="77777777" w:rsidTr="0046167A">
        <w:tc>
          <w:tcPr>
            <w:tcW w:w="3084" w:type="dxa"/>
            <w:shd w:val="clear" w:color="auto" w:fill="auto"/>
          </w:tcPr>
          <w:p w14:paraId="7558C719" w14:textId="77777777" w:rsidR="00551CD1" w:rsidRDefault="00551CD1" w:rsidP="009A5FE8">
            <w:pPr>
              <w:pStyle w:val="Normal1linespace"/>
              <w:widowControl w:val="0"/>
              <w:jc w:val="left"/>
            </w:pPr>
          </w:p>
        </w:tc>
        <w:tc>
          <w:tcPr>
            <w:tcW w:w="5989" w:type="dxa"/>
            <w:shd w:val="clear" w:color="auto" w:fill="auto"/>
          </w:tcPr>
          <w:p w14:paraId="69DAFF1E" w14:textId="77777777" w:rsidR="00551CD1" w:rsidRDefault="00551CD1" w:rsidP="00061781">
            <w:pPr>
              <w:pStyle w:val="Normal1linespace"/>
              <w:widowControl w:val="0"/>
              <w:jc w:val="left"/>
            </w:pPr>
          </w:p>
        </w:tc>
      </w:tr>
      <w:tr w:rsidR="00DA2125" w14:paraId="2F2CA4C0" w14:textId="77777777" w:rsidTr="0046167A">
        <w:tc>
          <w:tcPr>
            <w:tcW w:w="3084" w:type="dxa"/>
            <w:shd w:val="clear" w:color="auto" w:fill="auto"/>
          </w:tcPr>
          <w:p w14:paraId="5401C03C" w14:textId="11AA6E45" w:rsidR="00DA2125" w:rsidRDefault="00DA2125" w:rsidP="009A5FE8">
            <w:pPr>
              <w:pStyle w:val="Normal1linespace"/>
              <w:widowControl w:val="0"/>
              <w:jc w:val="left"/>
            </w:pPr>
            <w:r>
              <w:t>Solicitors for the Attorney-General of the Commonwealth</w:t>
            </w:r>
            <w:r w:rsidR="00956D9A">
              <w:t xml:space="preserve"> (Intervener)</w:t>
            </w:r>
            <w:r>
              <w:t>:</w:t>
            </w:r>
          </w:p>
        </w:tc>
        <w:tc>
          <w:tcPr>
            <w:tcW w:w="5989" w:type="dxa"/>
            <w:shd w:val="clear" w:color="auto" w:fill="auto"/>
          </w:tcPr>
          <w:p w14:paraId="62389157" w14:textId="13E22F87" w:rsidR="00DA2125" w:rsidRDefault="00F235CF" w:rsidP="00061781">
            <w:pPr>
              <w:pStyle w:val="Normal1linespace"/>
              <w:widowControl w:val="0"/>
              <w:jc w:val="left"/>
            </w:pPr>
            <w:r>
              <w:t>Australian Government Solicitor</w:t>
            </w:r>
          </w:p>
        </w:tc>
      </w:tr>
      <w:tr w:rsidR="00DA2125" w14:paraId="12A55B73" w14:textId="77777777" w:rsidTr="0046167A">
        <w:tc>
          <w:tcPr>
            <w:tcW w:w="3084" w:type="dxa"/>
            <w:shd w:val="clear" w:color="auto" w:fill="auto"/>
          </w:tcPr>
          <w:p w14:paraId="1A018158" w14:textId="77777777" w:rsidR="00DA2125" w:rsidRDefault="00DA2125" w:rsidP="009A5FE8">
            <w:pPr>
              <w:pStyle w:val="Normal1linespace"/>
              <w:widowControl w:val="0"/>
              <w:jc w:val="left"/>
            </w:pPr>
          </w:p>
        </w:tc>
        <w:tc>
          <w:tcPr>
            <w:tcW w:w="5989" w:type="dxa"/>
            <w:shd w:val="clear" w:color="auto" w:fill="auto"/>
          </w:tcPr>
          <w:p w14:paraId="46CBC730" w14:textId="77777777" w:rsidR="00DA2125" w:rsidRDefault="00DA2125" w:rsidP="00061781">
            <w:pPr>
              <w:pStyle w:val="Normal1linespace"/>
              <w:widowControl w:val="0"/>
              <w:jc w:val="left"/>
            </w:pPr>
          </w:p>
        </w:tc>
      </w:tr>
      <w:tr w:rsidR="00DA2125" w14:paraId="12A874E8" w14:textId="77777777" w:rsidTr="0046167A">
        <w:tc>
          <w:tcPr>
            <w:tcW w:w="3084" w:type="dxa"/>
            <w:shd w:val="clear" w:color="auto" w:fill="auto"/>
          </w:tcPr>
          <w:p w14:paraId="2F6F45AC" w14:textId="002D51C0" w:rsidR="00DA2125" w:rsidRDefault="00DA2125" w:rsidP="00993E58">
            <w:pPr>
              <w:pStyle w:val="Normal1linespace"/>
              <w:widowControl w:val="0"/>
              <w:jc w:val="left"/>
            </w:pPr>
            <w:r>
              <w:t xml:space="preserve">Counsel for the </w:t>
            </w:r>
            <w:r w:rsidR="00993E58" w:rsidRPr="00993E58">
              <w:t xml:space="preserve">Minister </w:t>
            </w:r>
            <w:r w:rsidR="00AD12D0">
              <w:t>f</w:t>
            </w:r>
            <w:r w:rsidR="00993E58" w:rsidRPr="00993E58">
              <w:t xml:space="preserve">or Employment </w:t>
            </w:r>
            <w:r w:rsidR="00F57AE4">
              <w:t>a</w:t>
            </w:r>
            <w:r w:rsidR="00993E58" w:rsidRPr="00993E58">
              <w:t>nd Workplace Relations</w:t>
            </w:r>
            <w:r w:rsidR="00335CE5">
              <w:t xml:space="preserve"> (Intervener)</w:t>
            </w:r>
            <w:r w:rsidR="00E34EB1">
              <w:t>:</w:t>
            </w:r>
          </w:p>
        </w:tc>
        <w:tc>
          <w:tcPr>
            <w:tcW w:w="5989" w:type="dxa"/>
            <w:shd w:val="clear" w:color="auto" w:fill="auto"/>
          </w:tcPr>
          <w:p w14:paraId="5AD0ADCD" w14:textId="55F78D65" w:rsidR="00DA2125" w:rsidRDefault="00104BDC" w:rsidP="00061781">
            <w:pPr>
              <w:pStyle w:val="Normal1linespace"/>
              <w:widowControl w:val="0"/>
              <w:jc w:val="left"/>
            </w:pPr>
            <w:r>
              <w:t xml:space="preserve">Mr D Star </w:t>
            </w:r>
            <w:r w:rsidR="00933408">
              <w:t xml:space="preserve">KC </w:t>
            </w:r>
            <w:r>
              <w:t>with Mr B Bromberg</w:t>
            </w:r>
          </w:p>
        </w:tc>
      </w:tr>
      <w:tr w:rsidR="00E34EB1" w14:paraId="6C177A96" w14:textId="77777777" w:rsidTr="0046167A">
        <w:tc>
          <w:tcPr>
            <w:tcW w:w="3084" w:type="dxa"/>
            <w:shd w:val="clear" w:color="auto" w:fill="auto"/>
          </w:tcPr>
          <w:p w14:paraId="668817AF" w14:textId="77777777" w:rsidR="00E34EB1" w:rsidRDefault="00E34EB1" w:rsidP="00993E58">
            <w:pPr>
              <w:pStyle w:val="Normal1linespace"/>
              <w:widowControl w:val="0"/>
              <w:jc w:val="left"/>
            </w:pPr>
          </w:p>
        </w:tc>
        <w:tc>
          <w:tcPr>
            <w:tcW w:w="5989" w:type="dxa"/>
            <w:shd w:val="clear" w:color="auto" w:fill="auto"/>
          </w:tcPr>
          <w:p w14:paraId="0E0189FD" w14:textId="77777777" w:rsidR="00E34EB1" w:rsidRDefault="00E34EB1" w:rsidP="00061781">
            <w:pPr>
              <w:pStyle w:val="Normal1linespace"/>
              <w:widowControl w:val="0"/>
              <w:jc w:val="left"/>
            </w:pPr>
          </w:p>
        </w:tc>
      </w:tr>
      <w:tr w:rsidR="00E34EB1" w14:paraId="18FCD3E8" w14:textId="77777777" w:rsidTr="0046167A">
        <w:tc>
          <w:tcPr>
            <w:tcW w:w="3084" w:type="dxa"/>
            <w:shd w:val="clear" w:color="auto" w:fill="auto"/>
          </w:tcPr>
          <w:p w14:paraId="0EF24DFE" w14:textId="3F6BA8F0" w:rsidR="00E34EB1" w:rsidRDefault="00E34EB1" w:rsidP="00993E58">
            <w:pPr>
              <w:pStyle w:val="Normal1linespace"/>
              <w:widowControl w:val="0"/>
              <w:jc w:val="left"/>
            </w:pPr>
            <w:r>
              <w:t xml:space="preserve">Solicitors for the </w:t>
            </w:r>
            <w:r w:rsidRPr="00993E58">
              <w:t xml:space="preserve">Minister </w:t>
            </w:r>
            <w:r w:rsidR="00FA0357">
              <w:t>for</w:t>
            </w:r>
            <w:r w:rsidRPr="00993E58">
              <w:t xml:space="preserve"> Employment </w:t>
            </w:r>
            <w:r w:rsidR="00FA0357">
              <w:t>a</w:t>
            </w:r>
            <w:r w:rsidRPr="00993E58">
              <w:t>nd Workplace Relations</w:t>
            </w:r>
            <w:r w:rsidR="00335CE5">
              <w:t xml:space="preserve"> </w:t>
            </w:r>
            <w:r w:rsidR="00FA0357">
              <w:t>(Intervener):</w:t>
            </w:r>
          </w:p>
        </w:tc>
        <w:tc>
          <w:tcPr>
            <w:tcW w:w="5989" w:type="dxa"/>
            <w:shd w:val="clear" w:color="auto" w:fill="auto"/>
          </w:tcPr>
          <w:p w14:paraId="00A6C5BF" w14:textId="4A135E5C" w:rsidR="00E34EB1" w:rsidRDefault="00104BDC" w:rsidP="00061781">
            <w:pPr>
              <w:pStyle w:val="Normal1linespace"/>
              <w:widowControl w:val="0"/>
              <w:jc w:val="left"/>
            </w:pPr>
            <w:r>
              <w:t>Australian Government Solicitor</w:t>
            </w:r>
          </w:p>
        </w:tc>
      </w:tr>
      <w:tr w:rsidR="00DA2125" w14:paraId="1B9286A1" w14:textId="77777777" w:rsidTr="0046167A">
        <w:tc>
          <w:tcPr>
            <w:tcW w:w="3084" w:type="dxa"/>
            <w:shd w:val="clear" w:color="auto" w:fill="auto"/>
          </w:tcPr>
          <w:p w14:paraId="37DCE158" w14:textId="77777777" w:rsidR="00DA2125" w:rsidRDefault="00DA2125" w:rsidP="009A5FE8">
            <w:pPr>
              <w:pStyle w:val="Normal1linespace"/>
              <w:widowControl w:val="0"/>
              <w:jc w:val="left"/>
            </w:pPr>
          </w:p>
        </w:tc>
        <w:tc>
          <w:tcPr>
            <w:tcW w:w="5989" w:type="dxa"/>
            <w:shd w:val="clear" w:color="auto" w:fill="auto"/>
          </w:tcPr>
          <w:p w14:paraId="2FBDB341" w14:textId="77777777" w:rsidR="00DA2125" w:rsidRDefault="00DA2125" w:rsidP="00061781">
            <w:pPr>
              <w:pStyle w:val="Normal1linespace"/>
              <w:widowControl w:val="0"/>
              <w:jc w:val="left"/>
            </w:pPr>
          </w:p>
        </w:tc>
      </w:tr>
      <w:tr w:rsidR="00680065" w14:paraId="36559AF6" w14:textId="77777777" w:rsidTr="0046167A">
        <w:tc>
          <w:tcPr>
            <w:tcW w:w="3084" w:type="dxa"/>
            <w:shd w:val="clear" w:color="auto" w:fill="auto"/>
          </w:tcPr>
          <w:p w14:paraId="3B54E4F5" w14:textId="4F2054C9" w:rsidR="00680065" w:rsidRDefault="002826EF" w:rsidP="009A5FE8">
            <w:pPr>
              <w:pStyle w:val="Normal1linespace"/>
              <w:widowControl w:val="0"/>
              <w:jc w:val="left"/>
            </w:pPr>
            <w:r>
              <w:t>Contradictor</w:t>
            </w:r>
            <w:r w:rsidR="001D57E3">
              <w:t>:</w:t>
            </w:r>
          </w:p>
        </w:tc>
        <w:tc>
          <w:tcPr>
            <w:tcW w:w="5989" w:type="dxa"/>
            <w:shd w:val="clear" w:color="auto" w:fill="auto"/>
          </w:tcPr>
          <w:p w14:paraId="42E06A2A" w14:textId="70C152FA" w:rsidR="00680065" w:rsidRDefault="007F26B7" w:rsidP="00061781">
            <w:pPr>
              <w:pStyle w:val="Normal1linespace"/>
              <w:widowControl w:val="0"/>
              <w:jc w:val="left"/>
            </w:pPr>
            <w:r>
              <w:t xml:space="preserve">Mr G Donnellan with Mr </w:t>
            </w:r>
            <w:r w:rsidR="00483308">
              <w:t xml:space="preserve">B </w:t>
            </w:r>
            <w:r>
              <w:t>Yin</w:t>
            </w:r>
          </w:p>
        </w:tc>
      </w:tr>
      <w:tr w:rsidR="00680065" w14:paraId="7C49C771" w14:textId="77777777" w:rsidTr="0046167A">
        <w:tc>
          <w:tcPr>
            <w:tcW w:w="3084" w:type="dxa"/>
            <w:shd w:val="clear" w:color="auto" w:fill="auto"/>
          </w:tcPr>
          <w:p w14:paraId="439037F9" w14:textId="77777777" w:rsidR="00680065" w:rsidRDefault="00680065" w:rsidP="009A5FE8">
            <w:pPr>
              <w:pStyle w:val="Normal1linespace"/>
              <w:widowControl w:val="0"/>
              <w:jc w:val="left"/>
            </w:pPr>
          </w:p>
        </w:tc>
        <w:tc>
          <w:tcPr>
            <w:tcW w:w="5989" w:type="dxa"/>
            <w:shd w:val="clear" w:color="auto" w:fill="auto"/>
          </w:tcPr>
          <w:p w14:paraId="0EC024A0" w14:textId="77777777" w:rsidR="00680065" w:rsidRDefault="00680065" w:rsidP="00061781">
            <w:pPr>
              <w:pStyle w:val="Normal1linespace"/>
              <w:widowControl w:val="0"/>
              <w:jc w:val="left"/>
            </w:pPr>
          </w:p>
        </w:tc>
      </w:tr>
      <w:bookmarkEnd w:id="8"/>
    </w:tbl>
    <w:p w14:paraId="11C24A5B" w14:textId="77777777" w:rsidR="00E94CBF" w:rsidRDefault="00E94CBF">
      <w:pPr>
        <w:pStyle w:val="Normal1linespace"/>
      </w:pPr>
    </w:p>
    <w:p w14:paraId="65AB4040"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75CCC41E" w14:textId="77777777" w:rsidR="008C7167" w:rsidRPr="00045BB7" w:rsidRDefault="0011419D"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D333C8D" w14:textId="77777777" w:rsidTr="00E81DA6">
        <w:tc>
          <w:tcPr>
            <w:tcW w:w="6912" w:type="dxa"/>
            <w:gridSpan w:val="2"/>
          </w:tcPr>
          <w:p w14:paraId="4B8CB02E" w14:textId="77777777" w:rsidR="00A46CCC" w:rsidRPr="001765E0" w:rsidRDefault="00A46CCC" w:rsidP="00525A49">
            <w:pPr>
              <w:pStyle w:val="NormalHeadings"/>
            </w:pPr>
          </w:p>
        </w:tc>
        <w:tc>
          <w:tcPr>
            <w:tcW w:w="2330" w:type="dxa"/>
          </w:tcPr>
          <w:p w14:paraId="6F4FA329" w14:textId="77777777" w:rsidR="00A46CCC" w:rsidRDefault="007F7FC7" w:rsidP="00486862">
            <w:pPr>
              <w:pStyle w:val="NormalHeadings"/>
              <w:jc w:val="right"/>
            </w:pPr>
            <w:bookmarkStart w:id="10" w:name="FileNo"/>
            <w:r>
              <w:t>VID 726 of 2021</w:t>
            </w:r>
            <w:bookmarkEnd w:id="10"/>
          </w:p>
        </w:tc>
      </w:tr>
      <w:tr w:rsidR="00A76C13" w14:paraId="4806ED46" w14:textId="77777777" w:rsidTr="005F3639">
        <w:tc>
          <w:tcPr>
            <w:tcW w:w="9242" w:type="dxa"/>
            <w:gridSpan w:val="3"/>
          </w:tcPr>
          <w:p w14:paraId="11A6D35A" w14:textId="77777777" w:rsidR="00A76C13" w:rsidRPr="00A76C13" w:rsidRDefault="007F7FC7" w:rsidP="007F7FC7">
            <w:pPr>
              <w:pStyle w:val="NormalHeadings"/>
              <w:jc w:val="left"/>
            </w:pPr>
            <w:bookmarkStart w:id="11" w:name="InTheMatterOf"/>
            <w:r>
              <w:t xml:space="preserve"> </w:t>
            </w:r>
            <w:bookmarkEnd w:id="11"/>
          </w:p>
        </w:tc>
      </w:tr>
      <w:tr w:rsidR="00A46CCC" w14:paraId="23874F4B" w14:textId="77777777" w:rsidTr="005F3639">
        <w:trPr>
          <w:trHeight w:val="386"/>
        </w:trPr>
        <w:tc>
          <w:tcPr>
            <w:tcW w:w="2376" w:type="dxa"/>
          </w:tcPr>
          <w:p w14:paraId="4CC97E81" w14:textId="77777777" w:rsidR="00A46CCC" w:rsidRDefault="00A46CCC" w:rsidP="005F3639">
            <w:pPr>
              <w:pStyle w:val="NormalHeadings"/>
              <w:jc w:val="left"/>
              <w:rPr>
                <w:caps/>
                <w:szCs w:val="24"/>
              </w:rPr>
            </w:pPr>
            <w:bookmarkStart w:id="12" w:name="Parties"/>
            <w:r>
              <w:rPr>
                <w:caps/>
                <w:szCs w:val="24"/>
              </w:rPr>
              <w:t>BETWEEN:</w:t>
            </w:r>
          </w:p>
        </w:tc>
        <w:tc>
          <w:tcPr>
            <w:tcW w:w="6866" w:type="dxa"/>
            <w:gridSpan w:val="2"/>
          </w:tcPr>
          <w:p w14:paraId="6907002A" w14:textId="77777777" w:rsidR="007F7FC7" w:rsidRDefault="007F7FC7" w:rsidP="007F7FC7">
            <w:pPr>
              <w:pStyle w:val="NormalHeadings"/>
              <w:jc w:val="left"/>
            </w:pPr>
            <w:bookmarkStart w:id="13" w:name="Applicant"/>
            <w:r>
              <w:t>JADE ELLIOTT-CARDE</w:t>
            </w:r>
          </w:p>
          <w:p w14:paraId="4C9E3B46" w14:textId="77777777" w:rsidR="007F7FC7" w:rsidRDefault="007F7FC7" w:rsidP="007F7FC7">
            <w:pPr>
              <w:pStyle w:val="PartyType"/>
            </w:pPr>
            <w:r>
              <w:t>First Applicant</w:t>
            </w:r>
          </w:p>
          <w:p w14:paraId="6D54DB79" w14:textId="77777777" w:rsidR="007F7FC7" w:rsidRDefault="007F7FC7" w:rsidP="005F3639">
            <w:pPr>
              <w:pStyle w:val="NormalHeadings"/>
              <w:jc w:val="left"/>
            </w:pPr>
          </w:p>
          <w:p w14:paraId="6B749223" w14:textId="77777777" w:rsidR="007F7FC7" w:rsidRDefault="007F7FC7" w:rsidP="007F7FC7">
            <w:pPr>
              <w:pStyle w:val="NormalHeadings"/>
              <w:jc w:val="left"/>
            </w:pPr>
            <w:r>
              <w:t>DARCY DUNLOP</w:t>
            </w:r>
          </w:p>
          <w:p w14:paraId="7217392E" w14:textId="77777777" w:rsidR="007F7FC7" w:rsidRDefault="007F7FC7" w:rsidP="007F7FC7">
            <w:pPr>
              <w:pStyle w:val="PartyType"/>
            </w:pPr>
            <w:r>
              <w:t>Second Applicant</w:t>
            </w:r>
          </w:p>
          <w:bookmarkEnd w:id="13"/>
          <w:p w14:paraId="7FF98C46" w14:textId="77777777" w:rsidR="00A46CCC" w:rsidRPr="006555B4" w:rsidRDefault="00A46CCC" w:rsidP="005F3639">
            <w:pPr>
              <w:pStyle w:val="NormalHeadings"/>
              <w:jc w:val="left"/>
            </w:pPr>
          </w:p>
        </w:tc>
      </w:tr>
      <w:tr w:rsidR="00A46CCC" w14:paraId="3519AE43" w14:textId="77777777" w:rsidTr="005F3639">
        <w:trPr>
          <w:trHeight w:val="386"/>
        </w:trPr>
        <w:tc>
          <w:tcPr>
            <w:tcW w:w="2376" w:type="dxa"/>
          </w:tcPr>
          <w:p w14:paraId="18F9BF73" w14:textId="77777777" w:rsidR="00A46CCC" w:rsidRDefault="00A46CCC" w:rsidP="005F3639">
            <w:pPr>
              <w:pStyle w:val="NormalHeadings"/>
              <w:jc w:val="left"/>
              <w:rPr>
                <w:caps/>
                <w:szCs w:val="24"/>
              </w:rPr>
            </w:pPr>
            <w:r>
              <w:rPr>
                <w:caps/>
                <w:szCs w:val="24"/>
              </w:rPr>
              <w:t>AND:</w:t>
            </w:r>
          </w:p>
        </w:tc>
        <w:tc>
          <w:tcPr>
            <w:tcW w:w="6866" w:type="dxa"/>
            <w:gridSpan w:val="2"/>
          </w:tcPr>
          <w:p w14:paraId="40325207" w14:textId="77777777" w:rsidR="007F7FC7" w:rsidRDefault="007F7FC7" w:rsidP="007F7FC7">
            <w:pPr>
              <w:pStyle w:val="NormalHeadings"/>
              <w:jc w:val="left"/>
            </w:pPr>
            <w:bookmarkStart w:id="14" w:name="Respondent"/>
            <w:r>
              <w:t>MCDONALD’S AUSTRALIA LIMITED (ACN 008 496 928)</w:t>
            </w:r>
          </w:p>
          <w:p w14:paraId="6581B9AC" w14:textId="77777777" w:rsidR="007F7FC7" w:rsidRDefault="007F7FC7" w:rsidP="007F7FC7">
            <w:pPr>
              <w:pStyle w:val="PartyType"/>
            </w:pPr>
            <w:r>
              <w:t>Respondent</w:t>
            </w:r>
          </w:p>
          <w:bookmarkEnd w:id="14"/>
          <w:p w14:paraId="3CBCE13D" w14:textId="77777777" w:rsidR="00A46CCC" w:rsidRPr="006555B4" w:rsidRDefault="00A46CCC" w:rsidP="005F3639">
            <w:pPr>
              <w:pStyle w:val="NormalHeadings"/>
              <w:jc w:val="left"/>
            </w:pPr>
          </w:p>
        </w:tc>
      </w:tr>
    </w:tbl>
    <w:p w14:paraId="353F16A9" w14:textId="77777777" w:rsidR="00395B24" w:rsidRDefault="00395B24">
      <w:pPr>
        <w:pStyle w:val="NormalHeadings"/>
      </w:pPr>
      <w:bookmarkStart w:id="15" w:name="CrossClaimPosition"/>
      <w:bookmarkEnd w:id="12"/>
      <w:bookmarkEnd w:id="15"/>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486862" w14:paraId="4DC3F4F8" w14:textId="77777777" w:rsidTr="00486862">
        <w:tc>
          <w:tcPr>
            <w:tcW w:w="6912" w:type="dxa"/>
            <w:gridSpan w:val="2"/>
          </w:tcPr>
          <w:p w14:paraId="50550E76" w14:textId="77777777" w:rsidR="00486862" w:rsidRPr="001765E0" w:rsidRDefault="00486862" w:rsidP="005F3639">
            <w:pPr>
              <w:pStyle w:val="NormalHeadings"/>
            </w:pPr>
          </w:p>
        </w:tc>
        <w:tc>
          <w:tcPr>
            <w:tcW w:w="2330" w:type="dxa"/>
          </w:tcPr>
          <w:p w14:paraId="6A18A021" w14:textId="77777777" w:rsidR="00486862" w:rsidRDefault="00486862" w:rsidP="00486862">
            <w:pPr>
              <w:pStyle w:val="NormalHeadings"/>
              <w:jc w:val="right"/>
            </w:pPr>
            <w:r>
              <w:t>SAD 127 of 2022</w:t>
            </w:r>
          </w:p>
        </w:tc>
      </w:tr>
      <w:tr w:rsidR="00486862" w14:paraId="2E7EB0FD" w14:textId="77777777" w:rsidTr="00486862">
        <w:tc>
          <w:tcPr>
            <w:tcW w:w="9242" w:type="dxa"/>
            <w:gridSpan w:val="3"/>
          </w:tcPr>
          <w:p w14:paraId="7199A5E8" w14:textId="77777777" w:rsidR="00486862" w:rsidRPr="00A76C13" w:rsidRDefault="00486862" w:rsidP="005F3639">
            <w:pPr>
              <w:pStyle w:val="NormalHeadings"/>
              <w:jc w:val="left"/>
            </w:pPr>
            <w:r>
              <w:t xml:space="preserve"> </w:t>
            </w:r>
          </w:p>
        </w:tc>
      </w:tr>
      <w:tr w:rsidR="00486862" w14:paraId="5AE231C8" w14:textId="77777777" w:rsidTr="00486862">
        <w:trPr>
          <w:trHeight w:val="386"/>
        </w:trPr>
        <w:tc>
          <w:tcPr>
            <w:tcW w:w="2376" w:type="dxa"/>
          </w:tcPr>
          <w:p w14:paraId="4D58AF8D" w14:textId="77777777" w:rsidR="00486862" w:rsidRDefault="00486862" w:rsidP="00486862">
            <w:pPr>
              <w:pStyle w:val="NormalHeadings"/>
              <w:jc w:val="left"/>
              <w:rPr>
                <w:caps/>
                <w:szCs w:val="24"/>
              </w:rPr>
            </w:pPr>
            <w:r>
              <w:rPr>
                <w:caps/>
                <w:szCs w:val="24"/>
              </w:rPr>
              <w:t>BETWEEN:</w:t>
            </w:r>
          </w:p>
        </w:tc>
        <w:tc>
          <w:tcPr>
            <w:tcW w:w="6866" w:type="dxa"/>
            <w:gridSpan w:val="2"/>
          </w:tcPr>
          <w:p w14:paraId="5E53A5AA" w14:textId="4FD24A0A" w:rsidR="00486862" w:rsidRDefault="00486862" w:rsidP="00486862">
            <w:pPr>
              <w:pStyle w:val="NormalHeadings"/>
              <w:jc w:val="left"/>
            </w:pPr>
            <w:r>
              <w:t>SHOP, DISTRIBUTIVE AND ALLIED EMPLOYEES</w:t>
            </w:r>
            <w:r w:rsidR="005D531F">
              <w:t>’</w:t>
            </w:r>
            <w:r>
              <w:t xml:space="preserve"> ASSOCIATION</w:t>
            </w:r>
          </w:p>
          <w:p w14:paraId="4A0744BF" w14:textId="77777777" w:rsidR="00486862" w:rsidRDefault="00486862" w:rsidP="00486862">
            <w:pPr>
              <w:pStyle w:val="PartyType"/>
            </w:pPr>
            <w:r>
              <w:t>Applicant</w:t>
            </w:r>
          </w:p>
          <w:p w14:paraId="13E53300" w14:textId="77777777" w:rsidR="00486862" w:rsidRPr="006555B4" w:rsidRDefault="00486862" w:rsidP="00486862">
            <w:pPr>
              <w:pStyle w:val="NormalHeadings"/>
              <w:jc w:val="left"/>
            </w:pPr>
          </w:p>
        </w:tc>
      </w:tr>
      <w:tr w:rsidR="00486862" w14:paraId="0C1AC02B" w14:textId="77777777" w:rsidTr="00486862">
        <w:trPr>
          <w:trHeight w:val="386"/>
        </w:trPr>
        <w:tc>
          <w:tcPr>
            <w:tcW w:w="2376" w:type="dxa"/>
          </w:tcPr>
          <w:p w14:paraId="329CBAFF" w14:textId="77777777" w:rsidR="00486862" w:rsidRDefault="00486862" w:rsidP="00486862">
            <w:pPr>
              <w:pStyle w:val="NormalHeadings"/>
              <w:jc w:val="left"/>
              <w:rPr>
                <w:caps/>
                <w:szCs w:val="24"/>
              </w:rPr>
            </w:pPr>
            <w:r>
              <w:rPr>
                <w:caps/>
                <w:szCs w:val="24"/>
              </w:rPr>
              <w:t>AND:</w:t>
            </w:r>
          </w:p>
        </w:tc>
        <w:tc>
          <w:tcPr>
            <w:tcW w:w="6866" w:type="dxa"/>
            <w:gridSpan w:val="2"/>
          </w:tcPr>
          <w:p w14:paraId="41BE8D59" w14:textId="77777777" w:rsidR="00486862" w:rsidRDefault="00486862" w:rsidP="00486862">
            <w:pPr>
              <w:pStyle w:val="NormalHeadings"/>
              <w:jc w:val="left"/>
            </w:pPr>
            <w:r>
              <w:t>BANDEC PTY LTD</w:t>
            </w:r>
          </w:p>
          <w:p w14:paraId="46415876" w14:textId="77777777" w:rsidR="00486862" w:rsidRDefault="00486862" w:rsidP="00486862">
            <w:pPr>
              <w:pStyle w:val="PartyType"/>
            </w:pPr>
            <w:r>
              <w:t>First Respondent</w:t>
            </w:r>
          </w:p>
          <w:p w14:paraId="53EB8B7F" w14:textId="77777777" w:rsidR="00486862" w:rsidRDefault="00486862" w:rsidP="00486862">
            <w:pPr>
              <w:pStyle w:val="NormalHeadings"/>
              <w:jc w:val="left"/>
            </w:pPr>
          </w:p>
          <w:p w14:paraId="0E535ECE" w14:textId="124F8C33" w:rsidR="00486862" w:rsidRDefault="00486862" w:rsidP="00486862">
            <w:pPr>
              <w:pStyle w:val="NormalHeadings"/>
              <w:jc w:val="left"/>
            </w:pPr>
            <w:r>
              <w:t>MCDONALD</w:t>
            </w:r>
            <w:r w:rsidR="002F499C">
              <w:t>’</w:t>
            </w:r>
            <w:r>
              <w:t>S AUSTRALIA LTD</w:t>
            </w:r>
          </w:p>
          <w:p w14:paraId="2F68CC3E" w14:textId="77777777" w:rsidR="00486862" w:rsidRDefault="00486862" w:rsidP="00486862">
            <w:pPr>
              <w:pStyle w:val="PartyType"/>
            </w:pPr>
            <w:r>
              <w:t>Second Respondent</w:t>
            </w:r>
          </w:p>
          <w:p w14:paraId="62704455" w14:textId="77777777" w:rsidR="00486862" w:rsidRDefault="00486862" w:rsidP="00486862">
            <w:pPr>
              <w:pStyle w:val="NormalHeadings"/>
              <w:jc w:val="left"/>
            </w:pPr>
          </w:p>
          <w:p w14:paraId="07FA5A9B" w14:textId="77777777" w:rsidR="00486862" w:rsidRDefault="00486862" w:rsidP="00486862">
            <w:pPr>
              <w:pStyle w:val="NormalHeadings"/>
              <w:jc w:val="left"/>
            </w:pPr>
            <w:r>
              <w:t xml:space="preserve">AK GAZ PTY LTD </w:t>
            </w:r>
            <w:r w:rsidRPr="003A7459">
              <w:rPr>
                <w:b w:val="0"/>
              </w:rPr>
              <w:t>(and others named in the Schedule)</w:t>
            </w:r>
          </w:p>
          <w:p w14:paraId="2A72AB1A" w14:textId="77777777" w:rsidR="00486862" w:rsidRPr="006555B4" w:rsidRDefault="00486862" w:rsidP="00486862">
            <w:pPr>
              <w:pStyle w:val="PartyType"/>
            </w:pPr>
            <w:r>
              <w:t>Third Respondent</w:t>
            </w:r>
          </w:p>
        </w:tc>
      </w:tr>
    </w:tbl>
    <w:p w14:paraId="794ADC2D" w14:textId="77777777" w:rsidR="00486862" w:rsidRDefault="00486862">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2EC3D4D5" w14:textId="77777777">
        <w:tc>
          <w:tcPr>
            <w:tcW w:w="2376" w:type="dxa"/>
          </w:tcPr>
          <w:p w14:paraId="47EDB125"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04B1A998" w14:textId="77777777" w:rsidR="00395B24" w:rsidRDefault="007F7FC7">
            <w:pPr>
              <w:pStyle w:val="NormalHeadings"/>
              <w:jc w:val="left"/>
              <w:rPr>
                <w:caps/>
                <w:szCs w:val="24"/>
              </w:rPr>
            </w:pPr>
            <w:bookmarkStart w:id="17" w:name="Judge"/>
            <w:r>
              <w:rPr>
                <w:caps/>
                <w:szCs w:val="24"/>
              </w:rPr>
              <w:t xml:space="preserve">BEACH, </w:t>
            </w:r>
            <w:proofErr w:type="gramStart"/>
            <w:r>
              <w:rPr>
                <w:caps/>
                <w:szCs w:val="24"/>
              </w:rPr>
              <w:t>LEE</w:t>
            </w:r>
            <w:proofErr w:type="gramEnd"/>
            <w:r>
              <w:rPr>
                <w:caps/>
                <w:szCs w:val="24"/>
              </w:rPr>
              <w:t xml:space="preserve"> AND COLVIN JJ</w:t>
            </w:r>
            <w:bookmarkEnd w:id="17"/>
          </w:p>
        </w:tc>
      </w:tr>
      <w:tr w:rsidR="00395B24" w14:paraId="20403CAE" w14:textId="77777777">
        <w:tc>
          <w:tcPr>
            <w:tcW w:w="2376" w:type="dxa"/>
          </w:tcPr>
          <w:p w14:paraId="29C8B417" w14:textId="77777777" w:rsidR="00395B24" w:rsidRDefault="002C7385">
            <w:pPr>
              <w:pStyle w:val="NormalHeadings"/>
              <w:spacing w:after="120"/>
              <w:jc w:val="left"/>
              <w:rPr>
                <w:caps/>
                <w:szCs w:val="24"/>
              </w:rPr>
            </w:pPr>
            <w:r>
              <w:rPr>
                <w:caps/>
                <w:szCs w:val="24"/>
              </w:rPr>
              <w:t>DATE OF ORDER:</w:t>
            </w:r>
          </w:p>
        </w:tc>
        <w:tc>
          <w:tcPr>
            <w:tcW w:w="6866" w:type="dxa"/>
          </w:tcPr>
          <w:p w14:paraId="13B19F7D" w14:textId="50D095FA" w:rsidR="00395B24" w:rsidRDefault="00F5290A">
            <w:pPr>
              <w:pStyle w:val="NormalHeadings"/>
              <w:jc w:val="left"/>
              <w:rPr>
                <w:caps/>
                <w:szCs w:val="24"/>
              </w:rPr>
            </w:pPr>
            <w:bookmarkStart w:id="18" w:name="Judgment_Dated"/>
            <w:r>
              <w:rPr>
                <w:caps/>
                <w:szCs w:val="24"/>
              </w:rPr>
              <w:t>1</w:t>
            </w:r>
            <w:r w:rsidR="0074279C">
              <w:rPr>
                <w:caps/>
                <w:szCs w:val="24"/>
              </w:rPr>
              <w:t>2</w:t>
            </w:r>
            <w:r>
              <w:rPr>
                <w:caps/>
                <w:szCs w:val="24"/>
              </w:rPr>
              <w:t xml:space="preserve"> OCTOBER</w:t>
            </w:r>
            <w:r w:rsidR="007F7FC7">
              <w:rPr>
                <w:caps/>
                <w:szCs w:val="24"/>
              </w:rPr>
              <w:t xml:space="preserve"> 2023</w:t>
            </w:r>
            <w:bookmarkEnd w:id="18"/>
          </w:p>
        </w:tc>
      </w:tr>
    </w:tbl>
    <w:p w14:paraId="3C08DF5C" w14:textId="77777777" w:rsidR="008D1617" w:rsidRDefault="008D1617">
      <w:pPr>
        <w:pStyle w:val="NormalHeadings"/>
        <w:rPr>
          <w:b w:val="0"/>
        </w:rPr>
      </w:pPr>
    </w:p>
    <w:p w14:paraId="79288327" w14:textId="347D3E03" w:rsidR="007F60DF" w:rsidRPr="00D916B0" w:rsidRDefault="002C7385" w:rsidP="00CA721F">
      <w:pPr>
        <w:pStyle w:val="NormalHeadings"/>
        <w:spacing w:line="360" w:lineRule="auto"/>
      </w:pPr>
      <w:r>
        <w:t>THE COURT ORDERS THAT:</w:t>
      </w:r>
    </w:p>
    <w:p w14:paraId="7D28F729" w14:textId="05A05109" w:rsidR="00D916B0" w:rsidRPr="004804EB" w:rsidRDefault="0071710E" w:rsidP="0071710E">
      <w:pPr>
        <w:pStyle w:val="Order1"/>
        <w:numPr>
          <w:ilvl w:val="0"/>
          <w:numId w:val="0"/>
        </w:numPr>
        <w:tabs>
          <w:tab w:val="left" w:pos="720"/>
        </w:tabs>
        <w:ind w:left="720" w:hanging="720"/>
        <w:rPr>
          <w:szCs w:val="24"/>
        </w:rPr>
      </w:pPr>
      <w:r w:rsidRPr="004804EB">
        <w:rPr>
          <w:szCs w:val="24"/>
        </w:rPr>
        <w:t>1.</w:t>
      </w:r>
      <w:r w:rsidRPr="004804EB">
        <w:rPr>
          <w:szCs w:val="24"/>
        </w:rPr>
        <w:tab/>
      </w:r>
      <w:r w:rsidR="00D916B0" w:rsidRPr="004804EB">
        <w:rPr>
          <w:color w:val="000000"/>
          <w:szCs w:val="24"/>
        </w:rPr>
        <w:t>The question reserved under</w:t>
      </w:r>
      <w:r w:rsidR="002D0601">
        <w:rPr>
          <w:rFonts w:cs="Cambria"/>
          <w:color w:val="000000"/>
          <w:szCs w:val="24"/>
        </w:rPr>
        <w:t xml:space="preserve"> </w:t>
      </w:r>
      <w:r w:rsidR="00D916B0" w:rsidRPr="004804EB">
        <w:rPr>
          <w:color w:val="000000"/>
          <w:szCs w:val="24"/>
        </w:rPr>
        <w:t>s</w:t>
      </w:r>
      <w:r w:rsidR="002D0601">
        <w:rPr>
          <w:rFonts w:cs="Cambria"/>
          <w:color w:val="000000"/>
          <w:szCs w:val="24"/>
        </w:rPr>
        <w:t xml:space="preserve"> </w:t>
      </w:r>
      <w:r w:rsidR="00D916B0" w:rsidRPr="004804EB">
        <w:rPr>
          <w:color w:val="000000"/>
          <w:szCs w:val="24"/>
        </w:rPr>
        <w:t>25(6)</w:t>
      </w:r>
      <w:r w:rsidR="002D0601">
        <w:rPr>
          <w:rFonts w:cs="Cambria"/>
          <w:color w:val="000000"/>
          <w:szCs w:val="24"/>
        </w:rPr>
        <w:t xml:space="preserve"> </w:t>
      </w:r>
      <w:r w:rsidR="00D916B0" w:rsidRPr="004804EB">
        <w:rPr>
          <w:color w:val="000000"/>
          <w:szCs w:val="24"/>
        </w:rPr>
        <w:t>of the</w:t>
      </w:r>
      <w:r w:rsidR="002D0601">
        <w:rPr>
          <w:rFonts w:cs="Cambria"/>
          <w:color w:val="000000"/>
          <w:szCs w:val="24"/>
        </w:rPr>
        <w:t xml:space="preserve"> </w:t>
      </w:r>
      <w:r w:rsidR="00D916B0" w:rsidRPr="004804EB">
        <w:rPr>
          <w:i/>
          <w:iCs/>
          <w:color w:val="000000"/>
          <w:szCs w:val="24"/>
        </w:rPr>
        <w:t>Federal Court of Australia Act 1976</w:t>
      </w:r>
      <w:r w:rsidR="00D916B0" w:rsidRPr="004804EB">
        <w:rPr>
          <w:rFonts w:cs="Cambria"/>
          <w:color w:val="000000"/>
          <w:szCs w:val="24"/>
        </w:rPr>
        <w:t> </w:t>
      </w:r>
      <w:r w:rsidR="00D916B0" w:rsidRPr="004804EB">
        <w:rPr>
          <w:color w:val="000000"/>
          <w:szCs w:val="24"/>
        </w:rPr>
        <w:t>(</w:t>
      </w:r>
      <w:proofErr w:type="spellStart"/>
      <w:r w:rsidR="00D916B0" w:rsidRPr="004804EB">
        <w:rPr>
          <w:color w:val="000000"/>
          <w:szCs w:val="24"/>
        </w:rPr>
        <w:t>Cth</w:t>
      </w:r>
      <w:proofErr w:type="spellEnd"/>
      <w:r w:rsidR="00D916B0" w:rsidRPr="004804EB">
        <w:rPr>
          <w:color w:val="000000"/>
          <w:szCs w:val="24"/>
        </w:rPr>
        <w:t>)</w:t>
      </w:r>
      <w:r w:rsidR="00D916B0" w:rsidRPr="004804EB">
        <w:rPr>
          <w:rFonts w:cs="Cambria"/>
          <w:color w:val="000000"/>
          <w:szCs w:val="24"/>
        </w:rPr>
        <w:t> </w:t>
      </w:r>
      <w:r w:rsidR="00D916B0" w:rsidRPr="004804EB">
        <w:rPr>
          <w:color w:val="000000"/>
          <w:szCs w:val="24"/>
        </w:rPr>
        <w:t>for hearing and determination by the Full Court being:</w:t>
      </w:r>
    </w:p>
    <w:p w14:paraId="06425C13" w14:textId="3D3B527E" w:rsidR="00D916B0" w:rsidRPr="004804EB" w:rsidRDefault="00D916B0" w:rsidP="004804EB">
      <w:pPr>
        <w:pStyle w:val="Quote1"/>
        <w:ind w:left="1440"/>
        <w:rPr>
          <w:szCs w:val="22"/>
        </w:rPr>
      </w:pPr>
      <w:r w:rsidRPr="004804EB">
        <w:rPr>
          <w:szCs w:val="22"/>
        </w:rPr>
        <w:t xml:space="preserve">If it was just to do so, does the Court have the statutory power, pursuant to s 33V of the </w:t>
      </w:r>
      <w:r w:rsidRPr="004804EB">
        <w:rPr>
          <w:i/>
          <w:szCs w:val="22"/>
        </w:rPr>
        <w:t>Federal Court of Australia Act 1976</w:t>
      </w:r>
      <w:r w:rsidRPr="004804EB">
        <w:rPr>
          <w:szCs w:val="22"/>
        </w:rPr>
        <w:t> (</w:t>
      </w:r>
      <w:proofErr w:type="spellStart"/>
      <w:r w:rsidRPr="004804EB">
        <w:rPr>
          <w:szCs w:val="22"/>
        </w:rPr>
        <w:t>Cth</w:t>
      </w:r>
      <w:proofErr w:type="spellEnd"/>
      <w:r w:rsidRPr="004804EB">
        <w:rPr>
          <w:szCs w:val="22"/>
        </w:rPr>
        <w:t xml:space="preserve">), to make an order distributing money paid under a settlement in the form of a “Settlement CFO”, as that term is defined in </w:t>
      </w:r>
      <w:r w:rsidRPr="004804EB">
        <w:rPr>
          <w:i/>
          <w:szCs w:val="22"/>
        </w:rPr>
        <w:t>Davaria Pty Ltd v 7-Eleven Stores Pty Ltd</w:t>
      </w:r>
      <w:r w:rsidRPr="004804EB">
        <w:rPr>
          <w:szCs w:val="22"/>
        </w:rPr>
        <w:t xml:space="preserve"> [2020] FCAFC 183; (2020) 281 FCR 501 (at 506–507 [19], [22]–[25])?</w:t>
      </w:r>
    </w:p>
    <w:p w14:paraId="12AF2BF0" w14:textId="5A9A5D4E" w:rsidR="00D916B0" w:rsidRPr="004804EB" w:rsidRDefault="00D916B0" w:rsidP="00D916B0">
      <w:pPr>
        <w:pStyle w:val="NormalWeb"/>
        <w:shd w:val="clear" w:color="auto" w:fill="FFFFFF"/>
        <w:ind w:firstLine="720"/>
        <w:rPr>
          <w:color w:val="000000"/>
        </w:rPr>
      </w:pPr>
      <w:r w:rsidRPr="004804EB">
        <w:rPr>
          <w:color w:val="000000"/>
        </w:rPr>
        <w:t xml:space="preserve">should be </w:t>
      </w:r>
      <w:r w:rsidR="004804EB">
        <w:rPr>
          <w:color w:val="000000"/>
        </w:rPr>
        <w:t>answered as follows</w:t>
      </w:r>
      <w:r w:rsidRPr="004804EB">
        <w:rPr>
          <w:color w:val="000000"/>
        </w:rPr>
        <w:t>:</w:t>
      </w:r>
    </w:p>
    <w:p w14:paraId="562E29DD" w14:textId="371CCF74" w:rsidR="00D916B0" w:rsidRPr="004804EB" w:rsidRDefault="00D916B0" w:rsidP="004804EB">
      <w:pPr>
        <w:pStyle w:val="Quote1"/>
        <w:ind w:left="2143" w:hanging="703"/>
        <w:rPr>
          <w:i/>
          <w:sz w:val="24"/>
          <w:szCs w:val="24"/>
        </w:rPr>
      </w:pPr>
      <w:r w:rsidRPr="004804EB">
        <w:rPr>
          <w:i/>
          <w:sz w:val="24"/>
          <w:szCs w:val="24"/>
        </w:rPr>
        <w:t>Yes.</w:t>
      </w:r>
    </w:p>
    <w:p w14:paraId="53F056B2" w14:textId="5A0B7BFC" w:rsidR="00A431E6" w:rsidRPr="00CA721F" w:rsidRDefault="0071710E" w:rsidP="0071710E">
      <w:pPr>
        <w:pStyle w:val="Order1"/>
        <w:numPr>
          <w:ilvl w:val="0"/>
          <w:numId w:val="0"/>
        </w:numPr>
        <w:tabs>
          <w:tab w:val="left" w:pos="720"/>
        </w:tabs>
        <w:ind w:left="720" w:hanging="720"/>
        <w:rPr>
          <w:color w:val="000000"/>
          <w:szCs w:val="24"/>
        </w:rPr>
      </w:pPr>
      <w:r w:rsidRPr="00CA721F">
        <w:rPr>
          <w:color w:val="000000"/>
          <w:szCs w:val="24"/>
        </w:rPr>
        <w:t>2.</w:t>
      </w:r>
      <w:r w:rsidRPr="00CA721F">
        <w:rPr>
          <w:color w:val="000000"/>
          <w:szCs w:val="24"/>
        </w:rPr>
        <w:tab/>
      </w:r>
      <w:r w:rsidR="00D916B0" w:rsidRPr="004804EB">
        <w:rPr>
          <w:color w:val="000000"/>
          <w:szCs w:val="24"/>
        </w:rPr>
        <w:t>There be no order as to costs.</w:t>
      </w:r>
    </w:p>
    <w:p w14:paraId="463AC2DB" w14:textId="77777777" w:rsidR="0050309C" w:rsidRDefault="007F7FC7"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57521D61" w14:textId="77777777" w:rsidR="00E23577" w:rsidRDefault="00E23577" w:rsidP="002B0E91">
      <w:pPr>
        <w:pStyle w:val="BodyText"/>
      </w:pPr>
    </w:p>
    <w:p w14:paraId="043DF992"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11C71895" w14:textId="77777777" w:rsidR="00BC64F4" w:rsidRPr="00045BB7" w:rsidRDefault="00BC64F4" w:rsidP="00BC64F4">
      <w:pPr>
        <w:pStyle w:val="NormalHeadings"/>
        <w:spacing w:line="480" w:lineRule="auto"/>
        <w:jc w:val="center"/>
        <w:rPr>
          <w:sz w:val="28"/>
          <w:szCs w:val="28"/>
        </w:rPr>
      </w:pPr>
      <w:bookmarkStart w:id="20" w:name="ReasonsPage"/>
      <w:bookmarkEnd w:id="20"/>
      <w:r w:rsidRPr="00045BB7">
        <w:rPr>
          <w:sz w:val="28"/>
          <w:szCs w:val="28"/>
        </w:rPr>
        <w:t>REASONS FOR JUDGMENT</w:t>
      </w:r>
    </w:p>
    <w:p w14:paraId="1E06CAD9" w14:textId="77777777" w:rsidR="00BC64F4" w:rsidRDefault="00BC64F4" w:rsidP="00BC64F4">
      <w:pPr>
        <w:pStyle w:val="NormalHeadings"/>
        <w:spacing w:line="360" w:lineRule="auto"/>
        <w:jc w:val="left"/>
        <w:rPr>
          <w:sz w:val="26"/>
          <w:szCs w:val="26"/>
        </w:rPr>
      </w:pPr>
      <w:r>
        <w:rPr>
          <w:sz w:val="26"/>
          <w:szCs w:val="26"/>
        </w:rPr>
        <w:t>BEACH J:</w:t>
      </w:r>
    </w:p>
    <w:p w14:paraId="05A09B96" w14:textId="433C2FFF" w:rsidR="00BC64F4" w:rsidRDefault="0071710E" w:rsidP="0071710E">
      <w:pPr>
        <w:pStyle w:val="ParaNumbering"/>
        <w:numPr>
          <w:ilvl w:val="0"/>
          <w:numId w:val="0"/>
        </w:numPr>
        <w:tabs>
          <w:tab w:val="left" w:pos="720"/>
        </w:tabs>
        <w:ind w:hanging="720"/>
      </w:pPr>
      <w:r>
        <w:rPr>
          <w:sz w:val="20"/>
        </w:rPr>
        <w:t>1</w:t>
      </w:r>
      <w:r>
        <w:rPr>
          <w:sz w:val="20"/>
        </w:rPr>
        <w:tab/>
      </w:r>
      <w:r w:rsidR="00BC64F4">
        <w:t>Before the Full Court are various issues that have been raised concerning the existence and exercise of statutory power to make a settlement common fund order (CFO) under s 33</w:t>
      </w:r>
      <w:proofErr w:type="gramStart"/>
      <w:r w:rsidR="00BC64F4">
        <w:t>V(</w:t>
      </w:r>
      <w:proofErr w:type="gramEnd"/>
      <w:r w:rsidR="00BC64F4">
        <w:t xml:space="preserve">2) of the </w:t>
      </w:r>
      <w:r w:rsidR="00BC64F4">
        <w:rPr>
          <w:i/>
          <w:iCs/>
        </w:rPr>
        <w:t xml:space="preserve">Federal Court of Australia Act 1976 </w:t>
      </w:r>
      <w:r w:rsidR="00BC64F4">
        <w:t>(</w:t>
      </w:r>
      <w:proofErr w:type="spellStart"/>
      <w:r w:rsidR="00BC64F4">
        <w:t>Cth</w:t>
      </w:r>
      <w:proofErr w:type="spellEnd"/>
      <w:r w:rsidR="00BC64F4">
        <w:t xml:space="preserve">). </w:t>
      </w:r>
    </w:p>
    <w:p w14:paraId="7D7D782B" w14:textId="4FC492AF" w:rsidR="00BC64F4" w:rsidRDefault="0071710E" w:rsidP="0071710E">
      <w:pPr>
        <w:pStyle w:val="ParaNumbering"/>
        <w:numPr>
          <w:ilvl w:val="0"/>
          <w:numId w:val="0"/>
        </w:numPr>
        <w:tabs>
          <w:tab w:val="left" w:pos="720"/>
        </w:tabs>
        <w:ind w:hanging="720"/>
      </w:pPr>
      <w:r>
        <w:rPr>
          <w:sz w:val="20"/>
        </w:rPr>
        <w:t>2</w:t>
      </w:r>
      <w:r>
        <w:rPr>
          <w:sz w:val="20"/>
        </w:rPr>
        <w:tab/>
      </w:r>
      <w:r w:rsidR="00BC64F4">
        <w:t>The occasion for the Full Court to consider these issues has arisen because of a question reserved for our determination under s 25(6) of the FCA Act by the docket judge, Lee J in the following terms:</w:t>
      </w:r>
    </w:p>
    <w:p w14:paraId="5178100B" w14:textId="77777777" w:rsidR="00BC64F4" w:rsidRPr="005E0425" w:rsidRDefault="00BC64F4" w:rsidP="00BC64F4">
      <w:pPr>
        <w:pStyle w:val="Quote1"/>
      </w:pPr>
      <w:r w:rsidRPr="005E0425">
        <w:t xml:space="preserve">If it was just to do so, does the Court have the statutory power, pursuant to s 33V of the </w:t>
      </w:r>
      <w:r w:rsidRPr="005E0425">
        <w:rPr>
          <w:i/>
          <w:iCs/>
        </w:rPr>
        <w:t>Federal Court of Australia Act 1976</w:t>
      </w:r>
      <w:r w:rsidRPr="005E0425">
        <w:t xml:space="preserve"> (</w:t>
      </w:r>
      <w:proofErr w:type="spellStart"/>
      <w:r w:rsidRPr="005E0425">
        <w:t>Cth</w:t>
      </w:r>
      <w:proofErr w:type="spellEnd"/>
      <w:r w:rsidRPr="005E0425">
        <w:t xml:space="preserve">), to make an order distributing money paid under a settlement in the form of a “Settlement CFO”, as that term is defined in </w:t>
      </w:r>
      <w:r w:rsidRPr="005E0425">
        <w:rPr>
          <w:i/>
          <w:iCs/>
        </w:rPr>
        <w:t>Davaria Pty Ltd v 7-Eleven Stores Pty Ltd</w:t>
      </w:r>
      <w:r w:rsidRPr="005E0425">
        <w:t xml:space="preserve"> [2020] FCAFC 183; (2020) 281 FCR 501 (at 506-507 [19], [22]-[25])?</w:t>
      </w:r>
    </w:p>
    <w:p w14:paraId="060C4ABE" w14:textId="72916B0C" w:rsidR="00BC64F4" w:rsidRDefault="0071710E" w:rsidP="0071710E">
      <w:pPr>
        <w:pStyle w:val="ParaNumbering"/>
        <w:numPr>
          <w:ilvl w:val="0"/>
          <w:numId w:val="0"/>
        </w:numPr>
        <w:tabs>
          <w:tab w:val="left" w:pos="720"/>
        </w:tabs>
        <w:ind w:hanging="720"/>
      </w:pPr>
      <w:r>
        <w:rPr>
          <w:sz w:val="20"/>
        </w:rPr>
        <w:t>3</w:t>
      </w:r>
      <w:r>
        <w:rPr>
          <w:sz w:val="20"/>
        </w:rPr>
        <w:tab/>
      </w:r>
      <w:r w:rsidR="00BC64F4">
        <w:t xml:space="preserve">His Honour has been case managing two related and in one sense competing proceedings from which the question reserved has been conceived.  </w:t>
      </w:r>
    </w:p>
    <w:p w14:paraId="209C1F36" w14:textId="6DD3D4A3" w:rsidR="00BC64F4" w:rsidRDefault="0071710E" w:rsidP="0071710E">
      <w:pPr>
        <w:pStyle w:val="ParaNumbering"/>
        <w:numPr>
          <w:ilvl w:val="0"/>
          <w:numId w:val="0"/>
        </w:numPr>
        <w:tabs>
          <w:tab w:val="left" w:pos="720"/>
        </w:tabs>
        <w:ind w:hanging="720"/>
      </w:pPr>
      <w:r>
        <w:rPr>
          <w:sz w:val="20"/>
        </w:rPr>
        <w:t>4</w:t>
      </w:r>
      <w:r>
        <w:rPr>
          <w:sz w:val="20"/>
        </w:rPr>
        <w:tab/>
      </w:r>
      <w:r w:rsidR="00BC64F4">
        <w:t xml:space="preserve">The first proceeding is a representative proceeding under Part IVA of the FCA Act brought by two applicants against McDonald’s Australia Limited (the Elliott-Carde proceeding) asserting various contraventions of the </w:t>
      </w:r>
      <w:r w:rsidR="00BC64F4">
        <w:rPr>
          <w:i/>
          <w:iCs/>
        </w:rPr>
        <w:t xml:space="preserve">Fair Work Act 2009 </w:t>
      </w:r>
      <w:r w:rsidR="00BC64F4">
        <w:t>(</w:t>
      </w:r>
      <w:proofErr w:type="spellStart"/>
      <w:r w:rsidR="00BC64F4">
        <w:t>Cth</w:t>
      </w:r>
      <w:proofErr w:type="spellEnd"/>
      <w:r w:rsidR="00BC64F4">
        <w:t xml:space="preserve">) and claims concerning workplace entitlements.  </w:t>
      </w:r>
    </w:p>
    <w:p w14:paraId="20661956" w14:textId="300C9599" w:rsidR="00BC64F4" w:rsidRPr="002B5020" w:rsidRDefault="0071710E" w:rsidP="0071710E">
      <w:pPr>
        <w:pStyle w:val="ParaNumbering"/>
        <w:numPr>
          <w:ilvl w:val="0"/>
          <w:numId w:val="0"/>
        </w:numPr>
        <w:tabs>
          <w:tab w:val="left" w:pos="720"/>
        </w:tabs>
        <w:ind w:hanging="720"/>
        <w:rPr>
          <w:b/>
          <w:bCs/>
        </w:rPr>
      </w:pPr>
      <w:r w:rsidRPr="002B5020">
        <w:rPr>
          <w:sz w:val="20"/>
        </w:rPr>
        <w:t>5</w:t>
      </w:r>
      <w:r w:rsidRPr="002B5020">
        <w:rPr>
          <w:sz w:val="20"/>
        </w:rPr>
        <w:tab/>
      </w:r>
      <w:r w:rsidR="00BC64F4">
        <w:t xml:space="preserve">The first applicant was a McDonald’s employee.  The second applicant was an employee of a McDonald’s franchisee.  They represent group members who were McDonald’s employees or employees of McDonald’s franchisees.  They have brought claims in a representative capacity for declarations, </w:t>
      </w:r>
      <w:proofErr w:type="gramStart"/>
      <w:r w:rsidR="00BC64F4">
        <w:t>compensation</w:t>
      </w:r>
      <w:proofErr w:type="gramEnd"/>
      <w:r w:rsidR="00BC64F4">
        <w:t xml:space="preserve"> and pecuniary penalties for contraventions of ss 45, 50, 550 and 558B of the FW Act; some of their claims assert a failure to comply with a 2013 enterprise agreement and a 2010 award. </w:t>
      </w:r>
      <w:r w:rsidR="00BC64F4">
        <w:rPr>
          <w:b/>
          <w:bCs/>
        </w:rPr>
        <w:t xml:space="preserve"> </w:t>
      </w:r>
      <w:r w:rsidR="00BC64F4">
        <w:t xml:space="preserve">Orders for compensation are sought under s 545.  A declaration is sought under s 550.  And an order for a pecuniary penalty is sought under s 546. </w:t>
      </w:r>
    </w:p>
    <w:p w14:paraId="07E6ACFF" w14:textId="7EF249F7" w:rsidR="00BC64F4" w:rsidRDefault="0071710E" w:rsidP="0071710E">
      <w:pPr>
        <w:pStyle w:val="ParaNumbering"/>
        <w:numPr>
          <w:ilvl w:val="0"/>
          <w:numId w:val="0"/>
        </w:numPr>
        <w:tabs>
          <w:tab w:val="left" w:pos="720"/>
        </w:tabs>
        <w:ind w:hanging="720"/>
      </w:pPr>
      <w:r>
        <w:rPr>
          <w:sz w:val="20"/>
        </w:rPr>
        <w:t>6</w:t>
      </w:r>
      <w:r>
        <w:rPr>
          <w:sz w:val="20"/>
        </w:rPr>
        <w:tab/>
      </w:r>
      <w:r w:rsidR="00BC64F4">
        <w:t xml:space="preserve">The second proceeding has been brought by the Shop, Distributive and Allied Employees Association (the SDA) against McDonald’s Australia Ltd and its franchisees involving analogous claims (the SDA proceeding). </w:t>
      </w:r>
    </w:p>
    <w:p w14:paraId="37876151" w14:textId="1BED701A" w:rsidR="00BC64F4" w:rsidRPr="002B5020" w:rsidRDefault="0071710E" w:rsidP="0071710E">
      <w:pPr>
        <w:pStyle w:val="ParaNumbering"/>
        <w:numPr>
          <w:ilvl w:val="0"/>
          <w:numId w:val="0"/>
        </w:numPr>
        <w:tabs>
          <w:tab w:val="left" w:pos="720"/>
        </w:tabs>
        <w:ind w:hanging="720"/>
        <w:rPr>
          <w:b/>
          <w:bCs/>
        </w:rPr>
      </w:pPr>
      <w:r w:rsidRPr="002B5020">
        <w:rPr>
          <w:sz w:val="20"/>
        </w:rPr>
        <w:t>7</w:t>
      </w:r>
      <w:r w:rsidRPr="002B5020">
        <w:rPr>
          <w:sz w:val="20"/>
        </w:rPr>
        <w:tab/>
      </w:r>
      <w:r w:rsidR="00BC64F4">
        <w:t xml:space="preserve">The SDA, being a registered organisation under the FW Act, has brought its proceeding asserting that it is “entitled to represent the industrial interests” of in essence the same employees the subject of the Elliott-Carde proceeding under the relevant 2013 enterprise agreement and the 2010 award.  The SDA asserts similar contraventions of the FW Act and a failure to comply with the said agreement and award as asserted in the Elliott-Carde proceeding. </w:t>
      </w:r>
      <w:r w:rsidR="00BC64F4">
        <w:rPr>
          <w:b/>
          <w:bCs/>
        </w:rPr>
        <w:t xml:space="preserve"> </w:t>
      </w:r>
      <w:r w:rsidR="00BC64F4">
        <w:t xml:space="preserve">As a registered organisation, it also seeks declarations, orders for compensation and pecuniary penalties under ss 545, 546, 547 and 547A. </w:t>
      </w:r>
    </w:p>
    <w:p w14:paraId="5FAD407B" w14:textId="13CF89FD" w:rsidR="00BC64F4" w:rsidRDefault="0071710E" w:rsidP="0071710E">
      <w:pPr>
        <w:pStyle w:val="ParaNumbering"/>
        <w:numPr>
          <w:ilvl w:val="0"/>
          <w:numId w:val="0"/>
        </w:numPr>
        <w:tabs>
          <w:tab w:val="left" w:pos="720"/>
        </w:tabs>
        <w:ind w:hanging="720"/>
      </w:pPr>
      <w:r>
        <w:rPr>
          <w:sz w:val="20"/>
        </w:rPr>
        <w:t>8</w:t>
      </w:r>
      <w:r>
        <w:rPr>
          <w:sz w:val="20"/>
        </w:rPr>
        <w:tab/>
      </w:r>
      <w:r w:rsidR="00BC64F4">
        <w:t xml:space="preserve">In the context of both the SDA proceeding and the Elliott-Carde proceeding, there are to my mind five issues that require our determination.  How such issues have arisen as between the respective sets of parties, how they have been set up for our resolution and why they require our determination now has been cogently explained in the reasons of Lee J, a draft of which I have had the advantage of considering.  Let me identify these five issues, although I accept that the fourth and fifth issues could be seen as one issue with two dimensions. </w:t>
      </w:r>
    </w:p>
    <w:p w14:paraId="148FA9A5" w14:textId="0FBE5500" w:rsidR="00BC64F4" w:rsidRDefault="0071710E" w:rsidP="0071710E">
      <w:pPr>
        <w:pStyle w:val="ParaNumbering"/>
        <w:numPr>
          <w:ilvl w:val="0"/>
          <w:numId w:val="0"/>
        </w:numPr>
        <w:tabs>
          <w:tab w:val="left" w:pos="720"/>
        </w:tabs>
        <w:ind w:hanging="720"/>
      </w:pPr>
      <w:r>
        <w:rPr>
          <w:sz w:val="20"/>
        </w:rPr>
        <w:t>9</w:t>
      </w:r>
      <w:r>
        <w:rPr>
          <w:sz w:val="20"/>
        </w:rPr>
        <w:tab/>
      </w:r>
      <w:r w:rsidR="00BC64F4">
        <w:t xml:space="preserve">The first issue concerns the operation of ss 539 and 540 of the FW Act.  </w:t>
      </w:r>
      <w:proofErr w:type="gramStart"/>
      <w:r w:rsidR="00BC64F4">
        <w:t>In unabashedly pushing the envelope, it</w:t>
      </w:r>
      <w:proofErr w:type="gramEnd"/>
      <w:r w:rsidR="00BC64F4">
        <w:t xml:space="preserve"> is said by the SDA that these provisions, which permit proceedings to be brought on behalf of employees concerning workplace entitlements, exclude utilising the procedures of Part IVA of the FCA Act to pursue such claims in a representative proceeding under Part IVA.  In essence it is said that s 33D of the FCA Act has been partially impliedly repealed by ss 539 and 540 of the FW Act, such that the applicants in the Elliott-Carde proceeding do not have standing to pursue a Part IVA proceeding concerning the FW Act contraventions.  I would reject this argument. </w:t>
      </w:r>
    </w:p>
    <w:p w14:paraId="666BD530" w14:textId="59403857" w:rsidR="00BC64F4" w:rsidRDefault="0071710E" w:rsidP="0071710E">
      <w:pPr>
        <w:pStyle w:val="ParaNumbering"/>
        <w:numPr>
          <w:ilvl w:val="0"/>
          <w:numId w:val="0"/>
        </w:numPr>
        <w:tabs>
          <w:tab w:val="left" w:pos="720"/>
        </w:tabs>
        <w:ind w:hanging="720"/>
      </w:pPr>
      <w:r>
        <w:rPr>
          <w:sz w:val="20"/>
        </w:rPr>
        <w:t>10</w:t>
      </w:r>
      <w:r>
        <w:rPr>
          <w:sz w:val="20"/>
        </w:rPr>
        <w:tab/>
      </w:r>
      <w:r w:rsidR="00BC64F4">
        <w:t>The second issue, which only arises in the present context if I have rejected the SDA’s position on the first issue, is whether as a matter of statutory construction s 33</w:t>
      </w:r>
      <w:proofErr w:type="gramStart"/>
      <w:r w:rsidR="00BC64F4">
        <w:t>V(</w:t>
      </w:r>
      <w:proofErr w:type="gramEnd"/>
      <w:r w:rsidR="00BC64F4">
        <w:t xml:space="preserve">2) of the FCA Act empowers the making of settlement CFOs.  In my view, it does, and so the reserved question should be answered in the affirmative. </w:t>
      </w:r>
    </w:p>
    <w:p w14:paraId="51DE7FC2" w14:textId="3DF77494" w:rsidR="00BC64F4" w:rsidRDefault="0071710E" w:rsidP="0071710E">
      <w:pPr>
        <w:pStyle w:val="ParaNumbering"/>
        <w:numPr>
          <w:ilvl w:val="0"/>
          <w:numId w:val="0"/>
        </w:numPr>
        <w:tabs>
          <w:tab w:val="left" w:pos="720"/>
        </w:tabs>
        <w:ind w:hanging="720"/>
      </w:pPr>
      <w:r>
        <w:rPr>
          <w:sz w:val="20"/>
        </w:rPr>
        <w:t>11</w:t>
      </w:r>
      <w:r>
        <w:rPr>
          <w:sz w:val="20"/>
        </w:rPr>
        <w:tab/>
      </w:r>
      <w:r w:rsidR="00BC64F4">
        <w:t xml:space="preserve">The third issue is whether, in a constitutional sense (ss 76 and 77 of the Constitution), there is currently a matter before the Court.  There clearly is, if only because there has been a live controversy before us concerning the first and second issues. </w:t>
      </w:r>
      <w:proofErr w:type="gramStart"/>
      <w:r w:rsidR="00BC64F4">
        <w:t>Alternatively</w:t>
      </w:r>
      <w:proofErr w:type="gramEnd"/>
      <w:r w:rsidR="00BC64F4">
        <w:t xml:space="preserve"> it may be said that these issues are part of a broader matter.  I have put this third issue in this part of the sequence because it is convenient to how I propose to discuss these issues.  But this is not to deny its primacy above all else, including whether it is even appropriate to embark on the second issue. </w:t>
      </w:r>
    </w:p>
    <w:p w14:paraId="5FD80FD7" w14:textId="0BEDD455" w:rsidR="00BC64F4" w:rsidRDefault="0071710E" w:rsidP="0071710E">
      <w:pPr>
        <w:pStyle w:val="ParaNumbering"/>
        <w:numPr>
          <w:ilvl w:val="0"/>
          <w:numId w:val="0"/>
        </w:numPr>
        <w:tabs>
          <w:tab w:val="left" w:pos="720"/>
        </w:tabs>
        <w:ind w:hanging="720"/>
      </w:pPr>
      <w:r>
        <w:rPr>
          <w:sz w:val="20"/>
        </w:rPr>
        <w:t>12</w:t>
      </w:r>
      <w:r>
        <w:rPr>
          <w:sz w:val="20"/>
        </w:rPr>
        <w:tab/>
      </w:r>
      <w:r w:rsidR="00BC64F4">
        <w:t>The fourth issue, on the assumption of an affirmative answer to both the second and third issues, is whether the exercise of power under s 33</w:t>
      </w:r>
      <w:proofErr w:type="gramStart"/>
      <w:r w:rsidR="00BC64F4">
        <w:t>V(</w:t>
      </w:r>
      <w:proofErr w:type="gramEnd"/>
      <w:r w:rsidR="00BC64F4">
        <w:t xml:space="preserve">2) to make a settlement CFO is in a constitutional sense the exercise of judicial power given that such an order is said to create new rights and obligations.  Now even if such a characterisation of such an order is correct, that does not entail that the exercise of judicial power is not involved. </w:t>
      </w:r>
    </w:p>
    <w:p w14:paraId="7EE48730" w14:textId="50C40B2E" w:rsidR="00BC64F4" w:rsidRDefault="0071710E" w:rsidP="0071710E">
      <w:pPr>
        <w:pStyle w:val="ParaNumbering"/>
        <w:numPr>
          <w:ilvl w:val="0"/>
          <w:numId w:val="0"/>
        </w:numPr>
        <w:tabs>
          <w:tab w:val="left" w:pos="720"/>
        </w:tabs>
        <w:ind w:hanging="720"/>
      </w:pPr>
      <w:r>
        <w:rPr>
          <w:sz w:val="20"/>
        </w:rPr>
        <w:t>13</w:t>
      </w:r>
      <w:r>
        <w:rPr>
          <w:sz w:val="20"/>
        </w:rPr>
        <w:tab/>
      </w:r>
      <w:r w:rsidR="00BC64F4">
        <w:t xml:space="preserve">The fifth issue, on the assumption of the correctness of my views on the second to fourth issues, is whether an exercise of judicial power is involved in making a settlement CFO given that it is said that there is no objective standard to set a rate, the Court would be the market setter and policy issues would be involved.  There is no substance to this point. </w:t>
      </w:r>
    </w:p>
    <w:p w14:paraId="202345B5" w14:textId="56FA05F9" w:rsidR="00BC64F4" w:rsidRDefault="0071710E" w:rsidP="0071710E">
      <w:pPr>
        <w:pStyle w:val="ParaNumbering"/>
        <w:numPr>
          <w:ilvl w:val="0"/>
          <w:numId w:val="0"/>
        </w:numPr>
        <w:tabs>
          <w:tab w:val="left" w:pos="720"/>
        </w:tabs>
        <w:ind w:hanging="720"/>
      </w:pPr>
      <w:r>
        <w:rPr>
          <w:sz w:val="20"/>
        </w:rPr>
        <w:t>14</w:t>
      </w:r>
      <w:r>
        <w:rPr>
          <w:sz w:val="20"/>
        </w:rPr>
        <w:tab/>
      </w:r>
      <w:r w:rsidR="00BC64F4">
        <w:t xml:space="preserve">Let me turn to the first question concerning s 33D of the FCA Act. </w:t>
      </w:r>
    </w:p>
    <w:p w14:paraId="0436019B" w14:textId="77777777" w:rsidR="00BC64F4" w:rsidRDefault="00BC64F4" w:rsidP="00BC64F4">
      <w:pPr>
        <w:pStyle w:val="Heading2"/>
      </w:pPr>
      <w:r>
        <w:t>Standing – the implied partial repeal of s 33D</w:t>
      </w:r>
    </w:p>
    <w:p w14:paraId="26E84A69" w14:textId="39212BD3" w:rsidR="00BC64F4" w:rsidRDefault="0071710E" w:rsidP="0071710E">
      <w:pPr>
        <w:pStyle w:val="ParaNumbering"/>
        <w:numPr>
          <w:ilvl w:val="0"/>
          <w:numId w:val="0"/>
        </w:numPr>
        <w:tabs>
          <w:tab w:val="left" w:pos="720"/>
        </w:tabs>
        <w:ind w:hanging="720"/>
        <w:rPr>
          <w:szCs w:val="24"/>
        </w:rPr>
      </w:pPr>
      <w:bookmarkStart w:id="21" w:name="_Hlk145941947"/>
      <w:r>
        <w:rPr>
          <w:sz w:val="20"/>
          <w:szCs w:val="24"/>
        </w:rPr>
        <w:t>15</w:t>
      </w:r>
      <w:r>
        <w:rPr>
          <w:sz w:val="20"/>
          <w:szCs w:val="24"/>
        </w:rPr>
        <w:tab/>
      </w:r>
      <w:r w:rsidR="00BC64F4">
        <w:rPr>
          <w:szCs w:val="24"/>
        </w:rPr>
        <w:t xml:space="preserve">Let me begin by setting out the SDA’s position, which was opposed by the Elliott-Carde applicants </w:t>
      </w:r>
      <w:proofErr w:type="gramStart"/>
      <w:r w:rsidR="00BC64F4">
        <w:rPr>
          <w:szCs w:val="24"/>
        </w:rPr>
        <w:t>and also</w:t>
      </w:r>
      <w:proofErr w:type="gramEnd"/>
      <w:r w:rsidR="00BC64F4">
        <w:rPr>
          <w:szCs w:val="24"/>
        </w:rPr>
        <w:t xml:space="preserve"> by the Minister for Employment and Workplace Relations who was given leave to intervene, and for that purpose identify the relevant statutory provisions. </w:t>
      </w:r>
    </w:p>
    <w:p w14:paraId="387B7357" w14:textId="13D04CDB" w:rsidR="00BC64F4" w:rsidRDefault="0071710E" w:rsidP="0071710E">
      <w:pPr>
        <w:pStyle w:val="ParaNumbering"/>
        <w:numPr>
          <w:ilvl w:val="0"/>
          <w:numId w:val="0"/>
        </w:numPr>
        <w:tabs>
          <w:tab w:val="left" w:pos="720"/>
        </w:tabs>
        <w:ind w:hanging="720"/>
        <w:rPr>
          <w:szCs w:val="24"/>
        </w:rPr>
      </w:pPr>
      <w:r>
        <w:rPr>
          <w:sz w:val="20"/>
          <w:szCs w:val="24"/>
        </w:rPr>
        <w:t>16</w:t>
      </w:r>
      <w:r>
        <w:rPr>
          <w:sz w:val="20"/>
          <w:szCs w:val="24"/>
        </w:rPr>
        <w:tab/>
      </w:r>
      <w:r w:rsidR="00BC64F4">
        <w:rPr>
          <w:szCs w:val="24"/>
        </w:rPr>
        <w:t>Sections 539 and 540 of the FW Act provide:</w:t>
      </w:r>
    </w:p>
    <w:p w14:paraId="7304983C" w14:textId="77777777" w:rsidR="00BC64F4" w:rsidRDefault="00BC64F4" w:rsidP="00BC64F4">
      <w:pPr>
        <w:pStyle w:val="Quote1"/>
        <w:ind w:left="1418" w:hanging="709"/>
      </w:pPr>
      <w:r>
        <w:rPr>
          <w:b/>
          <w:bCs/>
        </w:rPr>
        <w:t>539</w:t>
      </w:r>
      <w:r>
        <w:rPr>
          <w:b/>
          <w:bCs/>
        </w:rPr>
        <w:tab/>
        <w:t>Applications for orders in relation to contraventions of civil remedy provisions</w:t>
      </w:r>
    </w:p>
    <w:p w14:paraId="12512884" w14:textId="1C6CC50D" w:rsidR="00BC64F4" w:rsidRDefault="0071710E" w:rsidP="0071710E">
      <w:pPr>
        <w:pStyle w:val="Quote1"/>
        <w:ind w:left="1418" w:hanging="681"/>
      </w:pPr>
      <w:r>
        <w:t>(1)</w:t>
      </w:r>
      <w:r>
        <w:tab/>
      </w:r>
      <w:r w:rsidR="00BC64F4">
        <w:t xml:space="preserve">A provision referred to in column 1 of an item in the table in subsection (2) is a </w:t>
      </w:r>
      <w:r w:rsidR="00BC64F4">
        <w:rPr>
          <w:b/>
          <w:bCs/>
          <w:i/>
          <w:iCs/>
        </w:rPr>
        <w:t>civil remedy provision</w:t>
      </w:r>
      <w:r w:rsidR="00BC64F4">
        <w:t xml:space="preserve">. </w:t>
      </w:r>
    </w:p>
    <w:p w14:paraId="4E8C0706" w14:textId="32A26E43" w:rsidR="00BC64F4" w:rsidRPr="00765228" w:rsidRDefault="0071710E" w:rsidP="0071710E">
      <w:pPr>
        <w:pStyle w:val="Quote1"/>
        <w:ind w:left="1418" w:hanging="681"/>
      </w:pPr>
      <w:r w:rsidRPr="00765228">
        <w:t>(2)</w:t>
      </w:r>
      <w:r w:rsidRPr="00765228">
        <w:tab/>
      </w:r>
      <w:r w:rsidR="00BC64F4">
        <w:rPr>
          <w:color w:val="000000"/>
          <w:szCs w:val="22"/>
          <w:shd w:val="clear" w:color="auto" w:fill="FFFFFF"/>
        </w:rPr>
        <w:t xml:space="preserve">For </w:t>
      </w:r>
      <w:r w:rsidR="00BC64F4" w:rsidRPr="00E26F3B">
        <w:rPr>
          <w:color w:val="000000"/>
          <w:szCs w:val="22"/>
          <w:shd w:val="clear" w:color="auto" w:fill="FFFFFF"/>
        </w:rPr>
        <w:t xml:space="preserve">each civil remedy provision, the persons referred to in column 2 of the item may, subject to sections 540 and 544 and Subdivision B, apply to the courts referred to in column 3 of the item for orders in relation to a contravention or proposed contravention of the provision, including the maximum penalty referred to in column 4 of the item. </w:t>
      </w:r>
    </w:p>
    <w:p w14:paraId="6CF65E6C" w14:textId="77777777" w:rsidR="00BC64F4" w:rsidRDefault="00BC64F4" w:rsidP="00BC64F4">
      <w:pPr>
        <w:pStyle w:val="Quote1"/>
        <w:ind w:left="1097" w:firstLine="321"/>
        <w:rPr>
          <w:color w:val="000000"/>
          <w:szCs w:val="22"/>
          <w:shd w:val="clear" w:color="auto" w:fill="FFFFFF"/>
        </w:rPr>
      </w:pPr>
      <w:r>
        <w:rPr>
          <w:color w:val="000000"/>
          <w:szCs w:val="22"/>
          <w:shd w:val="clear" w:color="auto" w:fill="FFFFFF"/>
        </w:rPr>
        <w:t>(</w:t>
      </w:r>
      <w:proofErr w:type="gramStart"/>
      <w:r>
        <w:rPr>
          <w:color w:val="000000"/>
          <w:szCs w:val="22"/>
          <w:shd w:val="clear" w:color="auto" w:fill="FFFFFF"/>
        </w:rPr>
        <w:t>table</w:t>
      </w:r>
      <w:proofErr w:type="gramEnd"/>
      <w:r>
        <w:rPr>
          <w:color w:val="000000"/>
          <w:szCs w:val="22"/>
          <w:shd w:val="clear" w:color="auto" w:fill="FFFFFF"/>
        </w:rPr>
        <w:t xml:space="preserve"> omitted) </w:t>
      </w:r>
    </w:p>
    <w:p w14:paraId="42914EFE" w14:textId="66DC75DC" w:rsidR="00BC64F4" w:rsidRPr="00EF4336" w:rsidRDefault="0071710E" w:rsidP="0071710E">
      <w:pPr>
        <w:pStyle w:val="Quote1"/>
        <w:ind w:left="1418" w:hanging="681"/>
      </w:pPr>
      <w:r w:rsidRPr="00EF4336">
        <w:t>(3)</w:t>
      </w:r>
      <w:r w:rsidRPr="00EF4336">
        <w:tab/>
      </w:r>
      <w:r w:rsidR="00BC64F4">
        <w:rPr>
          <w:color w:val="000000"/>
          <w:szCs w:val="22"/>
          <w:shd w:val="clear" w:color="auto" w:fill="FFFFFF"/>
        </w:rPr>
        <w:t>The regulations may provide that a provision set out in the regulations is a </w:t>
      </w:r>
      <w:r w:rsidR="00BC64F4">
        <w:rPr>
          <w:b/>
          <w:bCs/>
          <w:i/>
          <w:iCs/>
          <w:color w:val="000000"/>
          <w:szCs w:val="22"/>
          <w:shd w:val="clear" w:color="auto" w:fill="FFFFFF"/>
        </w:rPr>
        <w:t>civil remedy provision</w:t>
      </w:r>
      <w:r w:rsidR="00BC64F4">
        <w:rPr>
          <w:color w:val="000000"/>
          <w:szCs w:val="22"/>
          <w:shd w:val="clear" w:color="auto" w:fill="FFFFFF"/>
        </w:rPr>
        <w:t>.</w:t>
      </w:r>
    </w:p>
    <w:p w14:paraId="5B90468E" w14:textId="68C19E22" w:rsidR="00BC64F4" w:rsidRDefault="0071710E" w:rsidP="0071710E">
      <w:pPr>
        <w:pStyle w:val="Quote1"/>
        <w:ind w:left="1418" w:hanging="681"/>
        <w:rPr>
          <w:color w:val="000000"/>
          <w:szCs w:val="22"/>
          <w:shd w:val="clear" w:color="auto" w:fill="FFFFFF"/>
        </w:rPr>
      </w:pPr>
      <w:r>
        <w:rPr>
          <w:color w:val="000000"/>
          <w:szCs w:val="22"/>
        </w:rPr>
        <w:t>(4)</w:t>
      </w:r>
      <w:r>
        <w:rPr>
          <w:color w:val="000000"/>
          <w:szCs w:val="22"/>
        </w:rPr>
        <w:tab/>
      </w:r>
      <w:r w:rsidR="00BC64F4">
        <w:rPr>
          <w:color w:val="000000"/>
          <w:szCs w:val="22"/>
          <w:shd w:val="clear" w:color="auto" w:fill="FFFFFF"/>
        </w:rPr>
        <w:t xml:space="preserve">… </w:t>
      </w:r>
    </w:p>
    <w:p w14:paraId="48EF9F16" w14:textId="77777777" w:rsidR="00BC64F4" w:rsidRPr="00765228" w:rsidRDefault="00BC64F4" w:rsidP="00BC64F4">
      <w:pPr>
        <w:pStyle w:val="Quote1"/>
        <w:ind w:left="1418" w:hanging="709"/>
        <w:rPr>
          <w:color w:val="000000"/>
          <w:sz w:val="12"/>
          <w:szCs w:val="12"/>
          <w:shd w:val="clear" w:color="auto" w:fill="FFFFFF"/>
        </w:rPr>
      </w:pPr>
    </w:p>
    <w:p w14:paraId="2BB6DF3E" w14:textId="77777777" w:rsidR="00BC64F4" w:rsidRDefault="00BC64F4" w:rsidP="00BC64F4">
      <w:pPr>
        <w:pStyle w:val="Quote1"/>
        <w:ind w:left="1418" w:hanging="709"/>
        <w:rPr>
          <w:b/>
          <w:bCs/>
        </w:rPr>
      </w:pPr>
      <w:r>
        <w:rPr>
          <w:b/>
          <w:bCs/>
        </w:rPr>
        <w:t>540</w:t>
      </w:r>
      <w:r>
        <w:rPr>
          <w:b/>
          <w:bCs/>
        </w:rPr>
        <w:tab/>
        <w:t xml:space="preserve">Limitations on who may apply for orders </w:t>
      </w:r>
      <w:proofErr w:type="gramStart"/>
      <w:r>
        <w:rPr>
          <w:b/>
          <w:bCs/>
        </w:rPr>
        <w:t>etc</w:t>
      </w:r>
      <w:proofErr w:type="gramEnd"/>
    </w:p>
    <w:p w14:paraId="219F159B" w14:textId="77777777" w:rsidR="00BC64F4" w:rsidRPr="00EF4336" w:rsidRDefault="00BC64F4" w:rsidP="00BC64F4">
      <w:pPr>
        <w:pStyle w:val="Quote1"/>
        <w:ind w:left="1418"/>
        <w:rPr>
          <w:i/>
          <w:iCs/>
        </w:rPr>
      </w:pPr>
      <w:r>
        <w:rPr>
          <w:i/>
          <w:iCs/>
        </w:rPr>
        <w:t xml:space="preserve">Employees, employers, </w:t>
      </w:r>
      <w:proofErr w:type="gramStart"/>
      <w:r>
        <w:rPr>
          <w:i/>
          <w:iCs/>
        </w:rPr>
        <w:t>outworkers</w:t>
      </w:r>
      <w:proofErr w:type="gramEnd"/>
      <w:r>
        <w:rPr>
          <w:i/>
          <w:iCs/>
        </w:rPr>
        <w:t xml:space="preserve"> and outworker entities </w:t>
      </w:r>
    </w:p>
    <w:p w14:paraId="6F0CAB1B" w14:textId="7CF1F143" w:rsidR="00BC64F4" w:rsidRDefault="0071710E" w:rsidP="0071710E">
      <w:pPr>
        <w:pStyle w:val="Quote1"/>
        <w:ind w:left="1418" w:hanging="681"/>
      </w:pPr>
      <w:r>
        <w:t>(1)</w:t>
      </w:r>
      <w:r>
        <w:tab/>
      </w:r>
      <w:r w:rsidR="00BC64F4" w:rsidRPr="00EF4336">
        <w:t>The following persons may apply for an order under this Division, in relation to a contravention or proposed contravention of a civil remedy provision, only if the person is affected by the contravention, or will be affected by the proposed contravention:</w:t>
      </w:r>
    </w:p>
    <w:p w14:paraId="540D15CE" w14:textId="728BEC37" w:rsidR="00BC64F4" w:rsidRPr="00EF4336" w:rsidRDefault="0071710E" w:rsidP="0054222E">
      <w:pPr>
        <w:pStyle w:val="Quote2"/>
      </w:pPr>
      <w:r w:rsidRPr="00EF4336">
        <w:t>(a)</w:t>
      </w:r>
      <w:r w:rsidRPr="00EF4336">
        <w:tab/>
      </w:r>
      <w:r w:rsidR="00BC64F4">
        <w:rPr>
          <w:shd w:val="clear" w:color="auto" w:fill="FFFFFF"/>
        </w:rPr>
        <w:t xml:space="preserve">an </w:t>
      </w:r>
      <w:proofErr w:type="gramStart"/>
      <w:r w:rsidR="00BC64F4">
        <w:rPr>
          <w:shd w:val="clear" w:color="auto" w:fill="FFFFFF"/>
        </w:rPr>
        <w:t>employee;</w:t>
      </w:r>
      <w:proofErr w:type="gramEnd"/>
    </w:p>
    <w:p w14:paraId="150A685D" w14:textId="77777777" w:rsidR="00BC64F4" w:rsidRDefault="00BC64F4" w:rsidP="0054222E">
      <w:pPr>
        <w:pStyle w:val="Quote2"/>
        <w:rPr>
          <w:shd w:val="clear" w:color="auto" w:fill="FFFFFF"/>
        </w:rPr>
      </w:pPr>
      <w:r>
        <w:t>(aa)</w:t>
      </w:r>
      <w:r>
        <w:tab/>
      </w:r>
      <w:r>
        <w:rPr>
          <w:shd w:val="clear" w:color="auto" w:fill="FFFFFF"/>
        </w:rPr>
        <w:t xml:space="preserve">a prospective </w:t>
      </w:r>
      <w:proofErr w:type="gramStart"/>
      <w:r>
        <w:rPr>
          <w:shd w:val="clear" w:color="auto" w:fill="FFFFFF"/>
        </w:rPr>
        <w:t>employee;</w:t>
      </w:r>
      <w:proofErr w:type="gramEnd"/>
    </w:p>
    <w:p w14:paraId="4B527A2C" w14:textId="2A17EA80" w:rsidR="00BC64F4" w:rsidRPr="00EF4336" w:rsidRDefault="0071710E" w:rsidP="0054222E">
      <w:pPr>
        <w:pStyle w:val="Quote2"/>
      </w:pPr>
      <w:r w:rsidRPr="00EF4336">
        <w:t>(b)</w:t>
      </w:r>
      <w:r w:rsidRPr="00EF4336">
        <w:tab/>
      </w:r>
      <w:r w:rsidR="00BC64F4">
        <w:rPr>
          <w:shd w:val="clear" w:color="auto" w:fill="FFFFFF"/>
        </w:rPr>
        <w:t xml:space="preserve">an </w:t>
      </w:r>
      <w:proofErr w:type="gramStart"/>
      <w:r w:rsidR="00BC64F4">
        <w:rPr>
          <w:shd w:val="clear" w:color="auto" w:fill="FFFFFF"/>
        </w:rPr>
        <w:t>employer;</w:t>
      </w:r>
      <w:proofErr w:type="gramEnd"/>
    </w:p>
    <w:p w14:paraId="3625C147" w14:textId="23811539" w:rsidR="00BC64F4" w:rsidRPr="00EF4336" w:rsidRDefault="0071710E" w:rsidP="0054222E">
      <w:pPr>
        <w:pStyle w:val="Quote2"/>
      </w:pPr>
      <w:r w:rsidRPr="00EF4336">
        <w:t>(c)</w:t>
      </w:r>
      <w:r w:rsidRPr="00EF4336">
        <w:tab/>
      </w:r>
      <w:r w:rsidR="00BC64F4">
        <w:rPr>
          <w:shd w:val="clear" w:color="auto" w:fill="FFFFFF"/>
        </w:rPr>
        <w:t xml:space="preserve">an </w:t>
      </w:r>
      <w:proofErr w:type="gramStart"/>
      <w:r w:rsidR="00BC64F4">
        <w:rPr>
          <w:shd w:val="clear" w:color="auto" w:fill="FFFFFF"/>
        </w:rPr>
        <w:t>outworker;</w:t>
      </w:r>
      <w:proofErr w:type="gramEnd"/>
    </w:p>
    <w:p w14:paraId="61748BB8" w14:textId="4859438B" w:rsidR="00BC64F4" w:rsidRPr="00EF4336" w:rsidRDefault="0071710E" w:rsidP="0054222E">
      <w:pPr>
        <w:pStyle w:val="Quote2"/>
      </w:pPr>
      <w:r w:rsidRPr="00EF4336">
        <w:t>(d)</w:t>
      </w:r>
      <w:r w:rsidRPr="00EF4336">
        <w:tab/>
      </w:r>
      <w:r w:rsidR="00BC64F4">
        <w:rPr>
          <w:shd w:val="clear" w:color="auto" w:fill="FFFFFF"/>
        </w:rPr>
        <w:t>an outworker entity.</w:t>
      </w:r>
    </w:p>
    <w:p w14:paraId="4F210442" w14:textId="77777777" w:rsidR="00BC64F4" w:rsidRDefault="00BC64F4" w:rsidP="00BC64F4">
      <w:pPr>
        <w:pStyle w:val="Quote1"/>
        <w:ind w:firstLine="681"/>
        <w:rPr>
          <w:i/>
          <w:iCs/>
          <w:color w:val="000000"/>
          <w:szCs w:val="22"/>
          <w:shd w:val="clear" w:color="auto" w:fill="FFFFFF"/>
        </w:rPr>
      </w:pPr>
      <w:r>
        <w:rPr>
          <w:i/>
          <w:iCs/>
          <w:color w:val="000000"/>
          <w:szCs w:val="22"/>
          <w:shd w:val="clear" w:color="auto" w:fill="FFFFFF"/>
        </w:rPr>
        <w:t>Employee organisations and registered employee associations</w:t>
      </w:r>
    </w:p>
    <w:p w14:paraId="40AD3FD4" w14:textId="2C2CA8EC" w:rsidR="00BC64F4" w:rsidRPr="00EF4336" w:rsidRDefault="0071710E" w:rsidP="0071710E">
      <w:pPr>
        <w:pStyle w:val="Quote1"/>
        <w:ind w:left="1418" w:hanging="681"/>
      </w:pPr>
      <w:r w:rsidRPr="00EF4336">
        <w:t>(2)</w:t>
      </w:r>
      <w:r w:rsidRPr="00EF4336">
        <w:tab/>
      </w:r>
      <w:r w:rsidR="00BC64F4">
        <w:rPr>
          <w:color w:val="000000"/>
          <w:szCs w:val="22"/>
          <w:shd w:val="clear" w:color="auto" w:fill="FFFFFF"/>
        </w:rPr>
        <w:t>An employee organisation or a registered employee association may apply for an order under this Division, in relation to a contravention or proposed contravention of a civil remedy provision in relation to an employee, only if:</w:t>
      </w:r>
    </w:p>
    <w:p w14:paraId="5176786A" w14:textId="6A35C753" w:rsidR="00BC64F4" w:rsidRPr="00EF4336" w:rsidRDefault="0071710E" w:rsidP="0054222E">
      <w:pPr>
        <w:pStyle w:val="Quote2"/>
        <w:ind w:left="2160" w:hanging="720"/>
      </w:pPr>
      <w:r w:rsidRPr="00EF4336">
        <w:t>(a)</w:t>
      </w:r>
      <w:r w:rsidRPr="00EF4336">
        <w:tab/>
      </w:r>
      <w:r w:rsidR="00BC64F4">
        <w:rPr>
          <w:shd w:val="clear" w:color="auto" w:fill="FFFFFF"/>
        </w:rPr>
        <w:t>the employee is affected by the contravention, or will be affected by the proposed contravention; and</w:t>
      </w:r>
    </w:p>
    <w:p w14:paraId="48F65086" w14:textId="079B41BE" w:rsidR="00BC64F4" w:rsidRPr="00EF4336" w:rsidRDefault="0071710E" w:rsidP="0054222E">
      <w:pPr>
        <w:pStyle w:val="Quote2"/>
        <w:ind w:left="2160" w:hanging="720"/>
      </w:pPr>
      <w:r w:rsidRPr="00EF4336">
        <w:t>(b)</w:t>
      </w:r>
      <w:r w:rsidRPr="00EF4336">
        <w:tab/>
      </w:r>
      <w:r w:rsidR="00BC64F4">
        <w:rPr>
          <w:shd w:val="clear" w:color="auto" w:fill="FFFFFF"/>
        </w:rPr>
        <w:t>the organisation or association is entitled to represent the industrial interests of the employee.</w:t>
      </w:r>
    </w:p>
    <w:p w14:paraId="2C7C129A" w14:textId="77777777" w:rsidR="00BC64F4" w:rsidRDefault="00BC64F4" w:rsidP="00BC64F4">
      <w:pPr>
        <w:pStyle w:val="Quote1"/>
        <w:ind w:left="1418" w:hanging="681"/>
        <w:rPr>
          <w:color w:val="000000"/>
          <w:szCs w:val="22"/>
          <w:shd w:val="clear" w:color="auto" w:fill="FFFFFF"/>
        </w:rPr>
      </w:pPr>
      <w:r>
        <w:rPr>
          <w:color w:val="000000"/>
          <w:szCs w:val="22"/>
          <w:shd w:val="clear" w:color="auto" w:fill="FFFFFF"/>
        </w:rPr>
        <w:t>(3)</w:t>
      </w:r>
      <w:r>
        <w:rPr>
          <w:color w:val="000000"/>
          <w:szCs w:val="22"/>
          <w:shd w:val="clear" w:color="auto" w:fill="FFFFFF"/>
        </w:rPr>
        <w:tab/>
        <w:t>However, subsection (2) does not apply in relation to:</w:t>
      </w:r>
    </w:p>
    <w:p w14:paraId="2EE26355" w14:textId="77777777" w:rsidR="00BC64F4" w:rsidRDefault="00BC64F4" w:rsidP="00D97DAA">
      <w:pPr>
        <w:pStyle w:val="Quote2"/>
        <w:ind w:left="2160" w:hanging="720"/>
        <w:rPr>
          <w:shd w:val="clear" w:color="auto" w:fill="FFFFFF"/>
        </w:rPr>
      </w:pPr>
      <w:r>
        <w:t>(a)</w:t>
      </w:r>
      <w:r>
        <w:tab/>
      </w:r>
      <w:r>
        <w:rPr>
          <w:shd w:val="clear" w:color="auto" w:fill="FFFFFF"/>
        </w:rPr>
        <w:t>items 4, 7 and 14 in the table in subsection 539(2); or</w:t>
      </w:r>
    </w:p>
    <w:p w14:paraId="3E096EFF" w14:textId="77777777" w:rsidR="00BC64F4" w:rsidRDefault="00BC64F4" w:rsidP="00D97DAA">
      <w:pPr>
        <w:pStyle w:val="Quote2"/>
        <w:ind w:left="2160" w:hanging="720"/>
        <w:rPr>
          <w:shd w:val="clear" w:color="auto" w:fill="FFFFFF"/>
        </w:rPr>
      </w:pPr>
      <w:r>
        <w:t>(b)</w:t>
      </w:r>
      <w:r>
        <w:tab/>
      </w:r>
      <w:r>
        <w:rPr>
          <w:shd w:val="clear" w:color="auto" w:fill="FFFFFF"/>
        </w:rPr>
        <w:t>a contravention or proposed contravention of:</w:t>
      </w:r>
    </w:p>
    <w:p w14:paraId="0AF4128B" w14:textId="77777777" w:rsidR="00BC64F4" w:rsidRDefault="00BC64F4" w:rsidP="00D97DAA">
      <w:pPr>
        <w:pStyle w:val="Quote3"/>
        <w:ind w:left="2880" w:hanging="720"/>
        <w:rPr>
          <w:shd w:val="clear" w:color="auto" w:fill="FFFFFF"/>
        </w:rPr>
      </w:pPr>
      <w:r>
        <w:t>(</w:t>
      </w:r>
      <w:proofErr w:type="spellStart"/>
      <w:r>
        <w:t>i</w:t>
      </w:r>
      <w:proofErr w:type="spellEnd"/>
      <w:r>
        <w:t xml:space="preserve">) </w:t>
      </w:r>
      <w:r>
        <w:tab/>
      </w:r>
      <w:r>
        <w:rPr>
          <w:shd w:val="clear" w:color="auto" w:fill="FFFFFF"/>
        </w:rPr>
        <w:t>an outworker term in a modern award; or</w:t>
      </w:r>
    </w:p>
    <w:p w14:paraId="5078132C" w14:textId="77777777" w:rsidR="00BC64F4" w:rsidRDefault="00BC64F4" w:rsidP="00D97DAA">
      <w:pPr>
        <w:pStyle w:val="Quote3"/>
        <w:ind w:left="2880" w:hanging="720"/>
        <w:rPr>
          <w:shd w:val="clear" w:color="auto" w:fill="FFFFFF"/>
        </w:rPr>
      </w:pPr>
      <w:r>
        <w:t>(ii)</w:t>
      </w:r>
      <w:r>
        <w:tab/>
      </w:r>
      <w:r>
        <w:rPr>
          <w:shd w:val="clear" w:color="auto" w:fill="FFFFFF"/>
        </w:rPr>
        <w:t>a term in an enterprise agreement that would be an outworker term if it were included in a modern award.</w:t>
      </w:r>
    </w:p>
    <w:p w14:paraId="29844D10" w14:textId="77777777" w:rsidR="00BC64F4" w:rsidRDefault="00BC64F4" w:rsidP="00BC64F4">
      <w:pPr>
        <w:pStyle w:val="Quote1"/>
        <w:ind w:left="1418" w:hanging="709"/>
        <w:rPr>
          <w:color w:val="000000"/>
          <w:szCs w:val="22"/>
          <w:shd w:val="clear" w:color="auto" w:fill="FFFFFF"/>
        </w:rPr>
      </w:pPr>
      <w:r>
        <w:t xml:space="preserve">(4) </w:t>
      </w:r>
      <w:r>
        <w:tab/>
        <w:t>…</w:t>
      </w:r>
    </w:p>
    <w:p w14:paraId="538D1CA1" w14:textId="77777777" w:rsidR="00BC64F4" w:rsidRDefault="00BC64F4" w:rsidP="00BC64F4">
      <w:pPr>
        <w:pStyle w:val="Quote1"/>
        <w:ind w:firstLine="681"/>
      </w:pPr>
      <w:r>
        <w:rPr>
          <w:i/>
          <w:iCs/>
        </w:rPr>
        <w:t xml:space="preserve">Employer organisations </w:t>
      </w:r>
    </w:p>
    <w:p w14:paraId="679020B5" w14:textId="343C47CD" w:rsidR="00BC64F4" w:rsidRPr="004948B0" w:rsidRDefault="0071710E" w:rsidP="0071710E">
      <w:pPr>
        <w:pStyle w:val="Quote1"/>
        <w:ind w:left="1418" w:hanging="709"/>
      </w:pPr>
      <w:r w:rsidRPr="004948B0">
        <w:t>(5)</w:t>
      </w:r>
      <w:r w:rsidRPr="004948B0">
        <w:tab/>
      </w:r>
      <w:r w:rsidR="00BC64F4">
        <w:rPr>
          <w:color w:val="000000"/>
          <w:szCs w:val="22"/>
          <w:shd w:val="clear" w:color="auto" w:fill="FFFFFF"/>
        </w:rPr>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14:paraId="1F439FE4" w14:textId="77777777" w:rsidR="00BC64F4" w:rsidRDefault="00BC64F4" w:rsidP="00BC64F4">
      <w:pPr>
        <w:pStyle w:val="Quote1"/>
        <w:ind w:left="709" w:firstLine="709"/>
        <w:rPr>
          <w:color w:val="000000"/>
          <w:szCs w:val="22"/>
          <w:shd w:val="clear" w:color="auto" w:fill="FFFFFF"/>
        </w:rPr>
      </w:pPr>
      <w:r>
        <w:rPr>
          <w:i/>
          <w:iCs/>
          <w:color w:val="000000"/>
          <w:szCs w:val="22"/>
          <w:shd w:val="clear" w:color="auto" w:fill="FFFFFF"/>
        </w:rPr>
        <w:t>Industrial associations</w:t>
      </w:r>
    </w:p>
    <w:p w14:paraId="0059A308" w14:textId="6018D8A6" w:rsidR="00BC64F4" w:rsidRPr="004948B0" w:rsidRDefault="0071710E" w:rsidP="0071710E">
      <w:pPr>
        <w:pStyle w:val="Quote1"/>
        <w:ind w:left="1418" w:hanging="681"/>
      </w:pPr>
      <w:r w:rsidRPr="004948B0">
        <w:t>(6)</w:t>
      </w:r>
      <w:r w:rsidRPr="004948B0">
        <w:tab/>
      </w:r>
      <w:r w:rsidR="00BC64F4">
        <w:rPr>
          <w:color w:val="000000"/>
          <w:szCs w:val="22"/>
          <w:shd w:val="clear" w:color="auto" w:fill="FFFFFF"/>
        </w:rPr>
        <w:t>An industrial association may apply for an order under this Division, in relation to a contravention or proposed contravention of a civil remedy provision, only if:</w:t>
      </w:r>
    </w:p>
    <w:p w14:paraId="09D01C09" w14:textId="2B9722A5" w:rsidR="00BC64F4" w:rsidRPr="004948B0" w:rsidRDefault="0071710E" w:rsidP="0054222E">
      <w:pPr>
        <w:pStyle w:val="Quote2"/>
        <w:ind w:left="2160" w:hanging="720"/>
      </w:pPr>
      <w:r w:rsidRPr="004948B0">
        <w:t>(a)</w:t>
      </w:r>
      <w:r w:rsidRPr="004948B0">
        <w:tab/>
      </w:r>
      <w:r w:rsidR="00BC64F4">
        <w:rPr>
          <w:shd w:val="clear" w:color="auto" w:fill="FFFFFF"/>
        </w:rPr>
        <w:t>the industrial association is affected by the contravention, or will be affected by the proposed contravention; or</w:t>
      </w:r>
    </w:p>
    <w:p w14:paraId="0FD04C9B" w14:textId="38E7B1A7" w:rsidR="00BC64F4" w:rsidRPr="004948B0" w:rsidRDefault="0071710E" w:rsidP="0054222E">
      <w:pPr>
        <w:pStyle w:val="Quote2"/>
        <w:ind w:left="2160" w:hanging="720"/>
      </w:pPr>
      <w:r w:rsidRPr="004948B0">
        <w:t>(b)</w:t>
      </w:r>
      <w:r w:rsidRPr="004948B0">
        <w:tab/>
      </w:r>
      <w:r w:rsidR="00BC64F4">
        <w:rPr>
          <w:shd w:val="clear" w:color="auto" w:fill="FFFFFF"/>
        </w:rPr>
        <w:t>if the contravention is in relation to a person:</w:t>
      </w:r>
    </w:p>
    <w:p w14:paraId="4517952A" w14:textId="2AA93875" w:rsidR="00BC64F4" w:rsidRPr="004948B0" w:rsidRDefault="0071710E" w:rsidP="0054222E">
      <w:pPr>
        <w:pStyle w:val="Quote3"/>
        <w:ind w:left="2880" w:hanging="720"/>
      </w:pPr>
      <w:r w:rsidRPr="004948B0">
        <w:t>(</w:t>
      </w:r>
      <w:proofErr w:type="spellStart"/>
      <w:r w:rsidRPr="004948B0">
        <w:t>i</w:t>
      </w:r>
      <w:proofErr w:type="spellEnd"/>
      <w:r w:rsidRPr="004948B0">
        <w:t>)</w:t>
      </w:r>
      <w:r w:rsidRPr="004948B0">
        <w:tab/>
      </w:r>
      <w:r w:rsidR="00BC64F4">
        <w:rPr>
          <w:shd w:val="clear" w:color="auto" w:fill="FFFFFF"/>
        </w:rPr>
        <w:t>the person is affected by the contravention, or will be affected by the proposed contravention; and</w:t>
      </w:r>
    </w:p>
    <w:p w14:paraId="34C2460F" w14:textId="5B0D5CAD" w:rsidR="00BC64F4" w:rsidRPr="004948B0" w:rsidRDefault="0071710E" w:rsidP="0054222E">
      <w:pPr>
        <w:pStyle w:val="Quote3"/>
        <w:ind w:left="2880" w:hanging="720"/>
      </w:pPr>
      <w:r w:rsidRPr="004948B0">
        <w:t>(ii)</w:t>
      </w:r>
      <w:r w:rsidRPr="004948B0">
        <w:tab/>
      </w:r>
      <w:r w:rsidR="00BC64F4">
        <w:rPr>
          <w:shd w:val="clear" w:color="auto" w:fill="FFFFFF"/>
        </w:rPr>
        <w:t>the industrial association is entitled to represent the industrial interests of the person.</w:t>
      </w:r>
    </w:p>
    <w:p w14:paraId="1C068EDC" w14:textId="1DFF0271" w:rsidR="00BC64F4" w:rsidRPr="004948B0" w:rsidRDefault="0071710E" w:rsidP="0071710E">
      <w:pPr>
        <w:pStyle w:val="Quote1"/>
        <w:ind w:left="1418" w:hanging="709"/>
      </w:pPr>
      <w:r w:rsidRPr="004948B0">
        <w:t>(7)</w:t>
      </w:r>
      <w:r w:rsidRPr="004948B0">
        <w:tab/>
      </w:r>
      <w:r w:rsidR="00BC64F4">
        <w:rPr>
          <w:color w:val="000000"/>
          <w:szCs w:val="22"/>
          <w:shd w:val="clear" w:color="auto" w:fill="FFFFFF"/>
        </w:rPr>
        <w:t xml:space="preserve">If an item in column 2 of the table in subsection 539(2) refers to an industrial </w:t>
      </w:r>
      <w:proofErr w:type="gramStart"/>
      <w:r w:rsidR="00BC64F4">
        <w:rPr>
          <w:color w:val="000000"/>
          <w:szCs w:val="22"/>
          <w:shd w:val="clear" w:color="auto" w:fill="FFFFFF"/>
        </w:rPr>
        <w:t>association</w:t>
      </w:r>
      <w:proofErr w:type="gramEnd"/>
      <w:r w:rsidR="00BC64F4">
        <w:rPr>
          <w:color w:val="000000"/>
          <w:szCs w:val="22"/>
          <w:shd w:val="clear" w:color="auto" w:fill="FFFFFF"/>
        </w:rPr>
        <w:t xml:space="preserve">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subsection (6).</w:t>
      </w:r>
    </w:p>
    <w:p w14:paraId="42A3467E" w14:textId="6775670B" w:rsidR="00BC64F4" w:rsidRPr="004948B0" w:rsidRDefault="0071710E" w:rsidP="0071710E">
      <w:pPr>
        <w:pStyle w:val="Quote1"/>
        <w:ind w:left="1418" w:hanging="709"/>
      </w:pPr>
      <w:r w:rsidRPr="004948B0">
        <w:t>(8)</w:t>
      </w:r>
      <w:r w:rsidRPr="004948B0">
        <w:tab/>
      </w:r>
      <w:r w:rsidR="00BC64F4">
        <w:rPr>
          <w:color w:val="000000"/>
          <w:szCs w:val="22"/>
          <w:shd w:val="clear" w:color="auto" w:fill="FFFFFF"/>
        </w:rPr>
        <w:t xml:space="preserve">… </w:t>
      </w:r>
    </w:p>
    <w:p w14:paraId="0CD42EF0" w14:textId="16201294" w:rsidR="00BC64F4" w:rsidRDefault="0071710E" w:rsidP="0071710E">
      <w:pPr>
        <w:pStyle w:val="ParaNumbering"/>
        <w:numPr>
          <w:ilvl w:val="0"/>
          <w:numId w:val="0"/>
        </w:numPr>
        <w:tabs>
          <w:tab w:val="left" w:pos="720"/>
        </w:tabs>
        <w:ind w:hanging="720"/>
        <w:rPr>
          <w:szCs w:val="24"/>
        </w:rPr>
      </w:pPr>
      <w:r>
        <w:rPr>
          <w:sz w:val="20"/>
          <w:szCs w:val="24"/>
        </w:rPr>
        <w:t>17</w:t>
      </w:r>
      <w:r>
        <w:rPr>
          <w:sz w:val="20"/>
          <w:szCs w:val="24"/>
        </w:rPr>
        <w:tab/>
      </w:r>
      <w:r w:rsidR="00BC64F4">
        <w:rPr>
          <w:szCs w:val="24"/>
        </w:rPr>
        <w:t xml:space="preserve">It is convenient here to set out items 1, 2, 4, 11 and 12 of the table in s 539(2):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7"/>
        <w:gridCol w:w="1842"/>
        <w:gridCol w:w="1842"/>
        <w:gridCol w:w="1995"/>
        <w:gridCol w:w="2305"/>
      </w:tblGrid>
      <w:tr w:rsidR="00BC64F4" w:rsidRPr="002C0809" w14:paraId="3DCC8062" w14:textId="77777777" w:rsidTr="0054222E">
        <w:trPr>
          <w:trHeight w:val="497"/>
        </w:trPr>
        <w:tc>
          <w:tcPr>
            <w:tcW w:w="5000" w:type="pct"/>
            <w:gridSpan w:val="5"/>
          </w:tcPr>
          <w:p w14:paraId="43195486" w14:textId="77777777" w:rsidR="00BC64F4" w:rsidRPr="002C0809" w:rsidRDefault="00BC64F4" w:rsidP="001971D2">
            <w:pPr>
              <w:pStyle w:val="ParaNumbering"/>
              <w:numPr>
                <w:ilvl w:val="0"/>
                <w:numId w:val="0"/>
              </w:numPr>
              <w:rPr>
                <w:b/>
                <w:bCs/>
                <w:sz w:val="20"/>
              </w:rPr>
            </w:pPr>
            <w:r w:rsidRPr="002C0809">
              <w:rPr>
                <w:b/>
                <w:bCs/>
                <w:sz w:val="20"/>
              </w:rPr>
              <w:t>Standing, jurisdiction and maximum penalties</w:t>
            </w:r>
          </w:p>
        </w:tc>
      </w:tr>
      <w:tr w:rsidR="00BC64F4" w:rsidRPr="002C0809" w14:paraId="3EEE23CF" w14:textId="77777777" w:rsidTr="0054222E">
        <w:trPr>
          <w:trHeight w:val="547"/>
        </w:trPr>
        <w:tc>
          <w:tcPr>
            <w:tcW w:w="570" w:type="pct"/>
            <w:hideMark/>
          </w:tcPr>
          <w:p w14:paraId="6965F210" w14:textId="77777777" w:rsidR="00BC64F4" w:rsidRPr="002C0809" w:rsidRDefault="00BC64F4" w:rsidP="001971D2">
            <w:pPr>
              <w:spacing w:before="60" w:after="40" w:line="240" w:lineRule="atLeast"/>
              <w:jc w:val="left"/>
              <w:rPr>
                <w:rFonts w:eastAsia="Times New Roman"/>
                <w:color w:val="000000"/>
                <w:sz w:val="20"/>
                <w:lang w:eastAsia="en-AU"/>
              </w:rPr>
            </w:pPr>
            <w:r w:rsidRPr="002C0809">
              <w:rPr>
                <w:rFonts w:eastAsia="Times New Roman"/>
                <w:b/>
                <w:bCs/>
                <w:color w:val="000000"/>
                <w:sz w:val="20"/>
                <w:lang w:eastAsia="en-AU"/>
              </w:rPr>
              <w:t>Item</w:t>
            </w:r>
          </w:p>
        </w:tc>
        <w:tc>
          <w:tcPr>
            <w:tcW w:w="1022" w:type="pct"/>
            <w:hideMark/>
          </w:tcPr>
          <w:p w14:paraId="07042E13" w14:textId="77777777" w:rsidR="00BC64F4" w:rsidRPr="002C0809" w:rsidRDefault="00BC64F4" w:rsidP="001971D2">
            <w:pPr>
              <w:spacing w:before="60" w:after="40" w:line="240" w:lineRule="atLeast"/>
              <w:jc w:val="left"/>
              <w:rPr>
                <w:rFonts w:eastAsia="Times New Roman"/>
                <w:color w:val="000000"/>
                <w:sz w:val="20"/>
                <w:lang w:eastAsia="en-AU"/>
              </w:rPr>
            </w:pPr>
            <w:r w:rsidRPr="002C0809">
              <w:rPr>
                <w:rFonts w:eastAsia="Times New Roman"/>
                <w:b/>
                <w:bCs/>
                <w:color w:val="000000"/>
                <w:sz w:val="20"/>
                <w:lang w:eastAsia="en-AU"/>
              </w:rPr>
              <w:t>Column 1</w:t>
            </w:r>
            <w:r w:rsidRPr="002C0809">
              <w:rPr>
                <w:rFonts w:eastAsia="Times New Roman"/>
                <w:b/>
                <w:bCs/>
                <w:color w:val="000000"/>
                <w:sz w:val="20"/>
                <w:lang w:eastAsia="en-AU"/>
              </w:rPr>
              <w:br/>
              <w:t>Civil remedy provision</w:t>
            </w:r>
          </w:p>
        </w:tc>
        <w:tc>
          <w:tcPr>
            <w:tcW w:w="1022" w:type="pct"/>
            <w:hideMark/>
          </w:tcPr>
          <w:p w14:paraId="466855B6" w14:textId="77777777" w:rsidR="00BC64F4" w:rsidRPr="002C0809" w:rsidRDefault="00BC64F4" w:rsidP="001971D2">
            <w:pPr>
              <w:spacing w:before="60" w:after="40" w:line="240" w:lineRule="atLeast"/>
              <w:jc w:val="left"/>
              <w:rPr>
                <w:rFonts w:eastAsia="Times New Roman"/>
                <w:color w:val="000000"/>
                <w:sz w:val="20"/>
                <w:lang w:eastAsia="en-AU"/>
              </w:rPr>
            </w:pPr>
            <w:r w:rsidRPr="002C0809">
              <w:rPr>
                <w:rFonts w:eastAsia="Times New Roman"/>
                <w:b/>
                <w:bCs/>
                <w:color w:val="000000"/>
                <w:sz w:val="20"/>
                <w:lang w:eastAsia="en-AU"/>
              </w:rPr>
              <w:t>Column 2</w:t>
            </w:r>
            <w:r w:rsidRPr="002C0809">
              <w:rPr>
                <w:rFonts w:eastAsia="Times New Roman"/>
                <w:b/>
                <w:bCs/>
                <w:color w:val="000000"/>
                <w:sz w:val="20"/>
                <w:lang w:eastAsia="en-AU"/>
              </w:rPr>
              <w:br/>
              <w:t>Persons</w:t>
            </w:r>
          </w:p>
        </w:tc>
        <w:tc>
          <w:tcPr>
            <w:tcW w:w="1107" w:type="pct"/>
            <w:hideMark/>
          </w:tcPr>
          <w:p w14:paraId="2BACF38C" w14:textId="77777777" w:rsidR="00BC64F4" w:rsidRPr="002C0809" w:rsidRDefault="00BC64F4" w:rsidP="001971D2">
            <w:pPr>
              <w:spacing w:before="60" w:after="40" w:line="240" w:lineRule="atLeast"/>
              <w:jc w:val="left"/>
              <w:rPr>
                <w:rFonts w:eastAsia="Times New Roman"/>
                <w:color w:val="000000"/>
                <w:sz w:val="20"/>
                <w:lang w:eastAsia="en-AU"/>
              </w:rPr>
            </w:pPr>
            <w:r w:rsidRPr="002C0809">
              <w:rPr>
                <w:rFonts w:eastAsia="Times New Roman"/>
                <w:b/>
                <w:bCs/>
                <w:color w:val="000000"/>
                <w:sz w:val="20"/>
                <w:lang w:eastAsia="en-AU"/>
              </w:rPr>
              <w:t>Column 3</w:t>
            </w:r>
            <w:r w:rsidRPr="002C0809">
              <w:rPr>
                <w:rFonts w:eastAsia="Times New Roman"/>
                <w:b/>
                <w:bCs/>
                <w:color w:val="000000"/>
                <w:sz w:val="20"/>
                <w:lang w:eastAsia="en-AU"/>
              </w:rPr>
              <w:br/>
              <w:t>Courts</w:t>
            </w:r>
          </w:p>
        </w:tc>
        <w:tc>
          <w:tcPr>
            <w:tcW w:w="1278" w:type="pct"/>
            <w:hideMark/>
          </w:tcPr>
          <w:p w14:paraId="2507FFD4" w14:textId="77777777" w:rsidR="00BC64F4" w:rsidRPr="002C0809" w:rsidRDefault="00BC64F4" w:rsidP="001971D2">
            <w:pPr>
              <w:spacing w:before="60" w:after="40" w:line="240" w:lineRule="atLeast"/>
              <w:jc w:val="left"/>
              <w:rPr>
                <w:rFonts w:eastAsia="Times New Roman"/>
                <w:color w:val="000000"/>
                <w:sz w:val="20"/>
                <w:lang w:eastAsia="en-AU"/>
              </w:rPr>
            </w:pPr>
            <w:r w:rsidRPr="002C0809">
              <w:rPr>
                <w:rFonts w:eastAsia="Times New Roman"/>
                <w:b/>
                <w:bCs/>
                <w:color w:val="000000"/>
                <w:sz w:val="20"/>
                <w:lang w:eastAsia="en-AU"/>
              </w:rPr>
              <w:t>Column 4</w:t>
            </w:r>
            <w:r w:rsidRPr="002C0809">
              <w:rPr>
                <w:rFonts w:eastAsia="Times New Roman"/>
                <w:b/>
                <w:bCs/>
                <w:color w:val="000000"/>
                <w:sz w:val="20"/>
                <w:lang w:eastAsia="en-AU"/>
              </w:rPr>
              <w:br/>
              <w:t>Maximum penalty</w:t>
            </w:r>
          </w:p>
        </w:tc>
      </w:tr>
      <w:tr w:rsidR="00BC64F4" w:rsidRPr="002C0809" w14:paraId="529E12AB" w14:textId="77777777" w:rsidTr="0054222E">
        <w:trPr>
          <w:trHeight w:val="465"/>
        </w:trPr>
        <w:tc>
          <w:tcPr>
            <w:tcW w:w="5000" w:type="pct"/>
            <w:gridSpan w:val="5"/>
          </w:tcPr>
          <w:p w14:paraId="50E09417" w14:textId="77777777" w:rsidR="00BC64F4" w:rsidRPr="002C0809" w:rsidRDefault="00BC64F4" w:rsidP="001971D2">
            <w:pPr>
              <w:pStyle w:val="ParaNumbering"/>
              <w:numPr>
                <w:ilvl w:val="0"/>
                <w:numId w:val="0"/>
              </w:numPr>
              <w:spacing w:before="100" w:after="0"/>
              <w:rPr>
                <w:b/>
                <w:bCs/>
                <w:sz w:val="20"/>
              </w:rPr>
            </w:pPr>
            <w:r w:rsidRPr="002C0809">
              <w:rPr>
                <w:b/>
                <w:bCs/>
                <w:sz w:val="20"/>
              </w:rPr>
              <w:t>Part 2-1—</w:t>
            </w:r>
            <w:r w:rsidRPr="002C0809">
              <w:rPr>
                <w:b/>
                <w:bCs/>
                <w:color w:val="000000"/>
                <w:sz w:val="20"/>
                <w:shd w:val="clear" w:color="auto" w:fill="FFFFFF"/>
              </w:rPr>
              <w:t>Core provisions</w:t>
            </w:r>
          </w:p>
        </w:tc>
      </w:tr>
      <w:tr w:rsidR="00BC64F4" w:rsidRPr="002C0809" w14:paraId="7F192AC8" w14:textId="77777777" w:rsidTr="0054222E">
        <w:trPr>
          <w:trHeight w:val="1660"/>
        </w:trPr>
        <w:tc>
          <w:tcPr>
            <w:tcW w:w="570" w:type="pct"/>
            <w:hideMark/>
          </w:tcPr>
          <w:p w14:paraId="153EFB92"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1</w:t>
            </w:r>
          </w:p>
        </w:tc>
        <w:tc>
          <w:tcPr>
            <w:tcW w:w="1022" w:type="pct"/>
            <w:hideMark/>
          </w:tcPr>
          <w:p w14:paraId="2C45D486"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44</w:t>
            </w:r>
          </w:p>
        </w:tc>
        <w:tc>
          <w:tcPr>
            <w:tcW w:w="1022" w:type="pct"/>
            <w:hideMark/>
          </w:tcPr>
          <w:p w14:paraId="0DF6F345"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an </w:t>
            </w:r>
            <w:proofErr w:type="gramStart"/>
            <w:r w:rsidRPr="002C0809">
              <w:rPr>
                <w:rFonts w:eastAsia="Times New Roman"/>
                <w:color w:val="000000"/>
                <w:sz w:val="20"/>
                <w:lang w:eastAsia="en-AU"/>
              </w:rPr>
              <w:t>employee;</w:t>
            </w:r>
            <w:proofErr w:type="gramEnd"/>
          </w:p>
          <w:p w14:paraId="55DF68B2"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(b) an employee </w:t>
            </w:r>
            <w:proofErr w:type="gramStart"/>
            <w:r w:rsidRPr="002C0809">
              <w:rPr>
                <w:rFonts w:eastAsia="Times New Roman"/>
                <w:color w:val="000000"/>
                <w:sz w:val="20"/>
                <w:lang w:eastAsia="en-AU"/>
              </w:rPr>
              <w:t>organisation;</w:t>
            </w:r>
            <w:proofErr w:type="gramEnd"/>
          </w:p>
          <w:p w14:paraId="76C04B34"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inspector</w:t>
            </w:r>
          </w:p>
        </w:tc>
        <w:tc>
          <w:tcPr>
            <w:tcW w:w="1107" w:type="pct"/>
            <w:hideMark/>
          </w:tcPr>
          <w:p w14:paraId="4A12023A"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the Federal </w:t>
            </w:r>
            <w:proofErr w:type="gramStart"/>
            <w:r w:rsidRPr="002C0809">
              <w:rPr>
                <w:rFonts w:eastAsia="Times New Roman"/>
                <w:color w:val="000000"/>
                <w:sz w:val="20"/>
                <w:lang w:eastAsia="en-AU"/>
              </w:rPr>
              <w:t>Court;</w:t>
            </w:r>
            <w:proofErr w:type="gramEnd"/>
          </w:p>
          <w:p w14:paraId="2FEC3A1F"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(b) the Federal Circuit and Family Court of Australia (Division 2</w:t>
            </w:r>
            <w:proofErr w:type="gramStart"/>
            <w:r w:rsidRPr="002C0809">
              <w:rPr>
                <w:rFonts w:eastAsia="Times New Roman"/>
                <w:color w:val="000000"/>
                <w:sz w:val="20"/>
                <w:lang w:eastAsia="en-AU"/>
              </w:rPr>
              <w:t>);</w:t>
            </w:r>
            <w:proofErr w:type="gramEnd"/>
          </w:p>
          <w:p w14:paraId="147E82F1"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eligible State or Territory court</w:t>
            </w:r>
          </w:p>
        </w:tc>
        <w:tc>
          <w:tcPr>
            <w:tcW w:w="1278" w:type="pct"/>
            <w:hideMark/>
          </w:tcPr>
          <w:p w14:paraId="54721C8F"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for a serious contravention—600 penalty units; or</w:t>
            </w:r>
          </w:p>
          <w:p w14:paraId="38BE7EF4"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otherwise—60 penalty units</w:t>
            </w:r>
          </w:p>
        </w:tc>
      </w:tr>
      <w:tr w:rsidR="00BC64F4" w:rsidRPr="002C0809" w14:paraId="5E6A1471" w14:textId="77777777" w:rsidTr="0054222E">
        <w:tc>
          <w:tcPr>
            <w:tcW w:w="570" w:type="pct"/>
            <w:hideMark/>
          </w:tcPr>
          <w:p w14:paraId="038B3A30"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2</w:t>
            </w:r>
          </w:p>
        </w:tc>
        <w:tc>
          <w:tcPr>
            <w:tcW w:w="1022" w:type="pct"/>
            <w:hideMark/>
          </w:tcPr>
          <w:p w14:paraId="0F43FCE9"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45 (other than in relation to a contravention or proposed contravention of an outworker term)</w:t>
            </w:r>
          </w:p>
        </w:tc>
        <w:tc>
          <w:tcPr>
            <w:tcW w:w="1022" w:type="pct"/>
            <w:hideMark/>
          </w:tcPr>
          <w:p w14:paraId="3E4A3656"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an </w:t>
            </w:r>
            <w:proofErr w:type="gramStart"/>
            <w:r w:rsidRPr="002C0809">
              <w:rPr>
                <w:rFonts w:eastAsia="Times New Roman"/>
                <w:color w:val="000000"/>
                <w:sz w:val="20"/>
                <w:lang w:eastAsia="en-AU"/>
              </w:rPr>
              <w:t>employee;</w:t>
            </w:r>
            <w:proofErr w:type="gramEnd"/>
          </w:p>
          <w:p w14:paraId="401343DB"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(b) an </w:t>
            </w:r>
            <w:proofErr w:type="gramStart"/>
            <w:r w:rsidRPr="002C0809">
              <w:rPr>
                <w:rFonts w:eastAsia="Times New Roman"/>
                <w:color w:val="000000"/>
                <w:sz w:val="20"/>
                <w:lang w:eastAsia="en-AU"/>
              </w:rPr>
              <w:t>employer;</w:t>
            </w:r>
            <w:proofErr w:type="gramEnd"/>
          </w:p>
          <w:p w14:paraId="3E1EEE64"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(c) an employee </w:t>
            </w:r>
            <w:proofErr w:type="gramStart"/>
            <w:r w:rsidRPr="002C0809">
              <w:rPr>
                <w:rFonts w:eastAsia="Times New Roman"/>
                <w:color w:val="000000"/>
                <w:sz w:val="20"/>
                <w:lang w:eastAsia="en-AU"/>
              </w:rPr>
              <w:t>organisation;</w:t>
            </w:r>
            <w:proofErr w:type="gramEnd"/>
          </w:p>
          <w:p w14:paraId="43AC5742"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(d) an employer </w:t>
            </w:r>
            <w:proofErr w:type="gramStart"/>
            <w:r w:rsidRPr="002C0809">
              <w:rPr>
                <w:rFonts w:eastAsia="Times New Roman"/>
                <w:color w:val="000000"/>
                <w:sz w:val="20"/>
                <w:lang w:eastAsia="en-AU"/>
              </w:rPr>
              <w:t>organisation;</w:t>
            </w:r>
            <w:proofErr w:type="gramEnd"/>
          </w:p>
          <w:p w14:paraId="459C4C27"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(e) an inspector</w:t>
            </w:r>
          </w:p>
        </w:tc>
        <w:tc>
          <w:tcPr>
            <w:tcW w:w="1107" w:type="pct"/>
            <w:hideMark/>
          </w:tcPr>
          <w:p w14:paraId="18225175"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the Federal </w:t>
            </w:r>
            <w:proofErr w:type="gramStart"/>
            <w:r w:rsidRPr="002C0809">
              <w:rPr>
                <w:rFonts w:eastAsia="Times New Roman"/>
                <w:color w:val="000000"/>
                <w:sz w:val="20"/>
                <w:lang w:eastAsia="en-AU"/>
              </w:rPr>
              <w:t>Court;</w:t>
            </w:r>
            <w:proofErr w:type="gramEnd"/>
          </w:p>
          <w:p w14:paraId="779BAE72"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(b) the Federal Circuit and Family Court of Australia (Division 2</w:t>
            </w:r>
            <w:proofErr w:type="gramStart"/>
            <w:r w:rsidRPr="002C0809">
              <w:rPr>
                <w:rFonts w:eastAsia="Times New Roman"/>
                <w:color w:val="000000"/>
                <w:sz w:val="20"/>
                <w:lang w:eastAsia="en-AU"/>
              </w:rPr>
              <w:t>);</w:t>
            </w:r>
            <w:proofErr w:type="gramEnd"/>
          </w:p>
          <w:p w14:paraId="2A804D6B"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eligible State or Territory court</w:t>
            </w:r>
          </w:p>
        </w:tc>
        <w:tc>
          <w:tcPr>
            <w:tcW w:w="1278" w:type="pct"/>
            <w:hideMark/>
          </w:tcPr>
          <w:p w14:paraId="1726BB0B"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for a serious contravention—600 penalty units; or</w:t>
            </w:r>
          </w:p>
          <w:p w14:paraId="43E25F2D"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otherwise—60 penalty units</w:t>
            </w:r>
          </w:p>
        </w:tc>
      </w:tr>
      <w:tr w:rsidR="00BC64F4" w14:paraId="41451B67" w14:textId="77777777" w:rsidTr="0054222E">
        <w:trPr>
          <w:trHeight w:val="521"/>
        </w:trPr>
        <w:tc>
          <w:tcPr>
            <w:tcW w:w="5000" w:type="pct"/>
            <w:gridSpan w:val="5"/>
          </w:tcPr>
          <w:p w14:paraId="269F1DC0" w14:textId="77777777" w:rsidR="00BC64F4" w:rsidRDefault="00BC64F4" w:rsidP="001971D2">
            <w:pPr>
              <w:pStyle w:val="ParaNumbering"/>
              <w:numPr>
                <w:ilvl w:val="0"/>
                <w:numId w:val="0"/>
              </w:numPr>
              <w:rPr>
                <w:szCs w:val="24"/>
              </w:rPr>
            </w:pPr>
            <w:r>
              <w:rPr>
                <w:szCs w:val="24"/>
              </w:rPr>
              <w:t>…</w:t>
            </w:r>
          </w:p>
        </w:tc>
      </w:tr>
      <w:tr w:rsidR="00BC64F4" w:rsidRPr="002C0809" w14:paraId="50FD0A7A" w14:textId="77777777" w:rsidTr="0054222E">
        <w:tc>
          <w:tcPr>
            <w:tcW w:w="570" w:type="pct"/>
            <w:hideMark/>
          </w:tcPr>
          <w:p w14:paraId="1339114B"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4</w:t>
            </w:r>
          </w:p>
        </w:tc>
        <w:tc>
          <w:tcPr>
            <w:tcW w:w="1022" w:type="pct"/>
            <w:hideMark/>
          </w:tcPr>
          <w:p w14:paraId="0F5919AE"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50 (other than in relation to a contravention or proposed contravention of a term that would be an outworker term if it were included in a modern award)</w:t>
            </w:r>
          </w:p>
        </w:tc>
        <w:tc>
          <w:tcPr>
            <w:tcW w:w="1022" w:type="pct"/>
            <w:hideMark/>
          </w:tcPr>
          <w:p w14:paraId="683ADADC"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an </w:t>
            </w:r>
            <w:proofErr w:type="gramStart"/>
            <w:r w:rsidRPr="002C0809">
              <w:rPr>
                <w:rFonts w:eastAsia="Times New Roman"/>
                <w:color w:val="000000"/>
                <w:sz w:val="20"/>
                <w:lang w:eastAsia="en-AU"/>
              </w:rPr>
              <w:t>employee;</w:t>
            </w:r>
            <w:proofErr w:type="gramEnd"/>
          </w:p>
          <w:p w14:paraId="34EB2208"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(b) an </w:t>
            </w:r>
            <w:proofErr w:type="gramStart"/>
            <w:r w:rsidRPr="002C0809">
              <w:rPr>
                <w:rFonts w:eastAsia="Times New Roman"/>
                <w:color w:val="000000"/>
                <w:sz w:val="20"/>
                <w:lang w:eastAsia="en-AU"/>
              </w:rPr>
              <w:t>employer;</w:t>
            </w:r>
            <w:proofErr w:type="gramEnd"/>
          </w:p>
          <w:p w14:paraId="3B856D44"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(c) an employee organisation to which the enterprise agreement concerned </w:t>
            </w:r>
            <w:proofErr w:type="gramStart"/>
            <w:r w:rsidRPr="002C0809">
              <w:rPr>
                <w:rFonts w:eastAsia="Times New Roman"/>
                <w:color w:val="000000"/>
                <w:sz w:val="20"/>
                <w:lang w:eastAsia="en-AU"/>
              </w:rPr>
              <w:t>applies;</w:t>
            </w:r>
            <w:proofErr w:type="gramEnd"/>
          </w:p>
          <w:p w14:paraId="08BD93D0"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(d) an inspector</w:t>
            </w:r>
          </w:p>
        </w:tc>
        <w:tc>
          <w:tcPr>
            <w:tcW w:w="1107" w:type="pct"/>
            <w:hideMark/>
          </w:tcPr>
          <w:p w14:paraId="6BDC3853"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the Federal </w:t>
            </w:r>
            <w:proofErr w:type="gramStart"/>
            <w:r w:rsidRPr="002C0809">
              <w:rPr>
                <w:rFonts w:eastAsia="Times New Roman"/>
                <w:color w:val="000000"/>
                <w:sz w:val="20"/>
                <w:lang w:eastAsia="en-AU"/>
              </w:rPr>
              <w:t>Court;</w:t>
            </w:r>
            <w:proofErr w:type="gramEnd"/>
          </w:p>
          <w:p w14:paraId="7A69B6F8"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(b) the Federal Circuit and Family Court of Australia (Division 2</w:t>
            </w:r>
            <w:proofErr w:type="gramStart"/>
            <w:r w:rsidRPr="002C0809">
              <w:rPr>
                <w:rFonts w:eastAsia="Times New Roman"/>
                <w:color w:val="000000"/>
                <w:sz w:val="20"/>
                <w:lang w:eastAsia="en-AU"/>
              </w:rPr>
              <w:t>);</w:t>
            </w:r>
            <w:proofErr w:type="gramEnd"/>
          </w:p>
          <w:p w14:paraId="449D3ACF"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eligible State or Territory court</w:t>
            </w:r>
          </w:p>
        </w:tc>
        <w:tc>
          <w:tcPr>
            <w:tcW w:w="1278" w:type="pct"/>
            <w:hideMark/>
          </w:tcPr>
          <w:p w14:paraId="5EE5F4A2"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for a serious contravention—600 penalty units; or</w:t>
            </w:r>
          </w:p>
          <w:p w14:paraId="36E6D819"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otherwise—60 penalty units</w:t>
            </w:r>
          </w:p>
        </w:tc>
      </w:tr>
      <w:tr w:rsidR="00BC64F4" w14:paraId="72717F92" w14:textId="77777777" w:rsidTr="0054222E">
        <w:trPr>
          <w:trHeight w:val="521"/>
        </w:trPr>
        <w:tc>
          <w:tcPr>
            <w:tcW w:w="5000" w:type="pct"/>
            <w:gridSpan w:val="5"/>
          </w:tcPr>
          <w:p w14:paraId="1687CA88" w14:textId="77777777" w:rsidR="00BC64F4" w:rsidRDefault="00BC64F4" w:rsidP="001971D2">
            <w:pPr>
              <w:pStyle w:val="ParaNumbering"/>
              <w:numPr>
                <w:ilvl w:val="0"/>
                <w:numId w:val="0"/>
              </w:numPr>
              <w:rPr>
                <w:szCs w:val="24"/>
              </w:rPr>
            </w:pPr>
            <w:r>
              <w:rPr>
                <w:szCs w:val="24"/>
              </w:rPr>
              <w:t xml:space="preserve">… </w:t>
            </w:r>
          </w:p>
        </w:tc>
      </w:tr>
      <w:tr w:rsidR="00BC64F4" w14:paraId="0A35B9CA" w14:textId="77777777" w:rsidTr="0054222E">
        <w:trPr>
          <w:trHeight w:val="521"/>
        </w:trPr>
        <w:tc>
          <w:tcPr>
            <w:tcW w:w="5000" w:type="pct"/>
            <w:gridSpan w:val="5"/>
          </w:tcPr>
          <w:p w14:paraId="0737FEC7" w14:textId="77777777" w:rsidR="00BC64F4" w:rsidRDefault="00BC64F4" w:rsidP="001971D2">
            <w:pPr>
              <w:pStyle w:val="ParaNumbering"/>
              <w:numPr>
                <w:ilvl w:val="0"/>
                <w:numId w:val="0"/>
              </w:numPr>
              <w:rPr>
                <w:szCs w:val="24"/>
              </w:rPr>
            </w:pPr>
            <w:r>
              <w:rPr>
                <w:b/>
                <w:bCs/>
                <w:color w:val="000000"/>
                <w:sz w:val="20"/>
                <w:shd w:val="clear" w:color="auto" w:fill="FFFFFF"/>
              </w:rPr>
              <w:t>Part 3</w:t>
            </w:r>
            <w:r>
              <w:rPr>
                <w:b/>
                <w:bCs/>
                <w:color w:val="000000"/>
                <w:sz w:val="20"/>
                <w:shd w:val="clear" w:color="auto" w:fill="FFFFFF"/>
              </w:rPr>
              <w:noBreakHyphen/>
              <w:t>1—General protections</w:t>
            </w:r>
          </w:p>
        </w:tc>
      </w:tr>
      <w:tr w:rsidR="00BC64F4" w:rsidRPr="002C0809" w14:paraId="5DCD83A8" w14:textId="77777777" w:rsidTr="0054222E">
        <w:tc>
          <w:tcPr>
            <w:tcW w:w="570" w:type="pct"/>
            <w:hideMark/>
          </w:tcPr>
          <w:p w14:paraId="4A253547"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11</w:t>
            </w:r>
          </w:p>
        </w:tc>
        <w:tc>
          <w:tcPr>
            <w:tcW w:w="1022" w:type="pct"/>
            <w:hideMark/>
          </w:tcPr>
          <w:p w14:paraId="1079B5CB"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340(1)</w:t>
            </w:r>
            <w:r w:rsidRPr="002C0809">
              <w:rPr>
                <w:rFonts w:eastAsia="Times New Roman"/>
                <w:color w:val="000000"/>
                <w:sz w:val="20"/>
                <w:lang w:eastAsia="en-AU"/>
              </w:rPr>
              <w:br/>
              <w:t>340(2)</w:t>
            </w:r>
            <w:r w:rsidRPr="002C0809">
              <w:rPr>
                <w:rFonts w:eastAsia="Times New Roman"/>
                <w:color w:val="000000"/>
                <w:sz w:val="20"/>
                <w:lang w:eastAsia="en-AU"/>
              </w:rPr>
              <w:br/>
              <w:t>343(1)</w:t>
            </w:r>
            <w:r w:rsidRPr="002C0809">
              <w:rPr>
                <w:rFonts w:eastAsia="Times New Roman"/>
                <w:color w:val="000000"/>
                <w:sz w:val="20"/>
                <w:lang w:eastAsia="en-AU"/>
              </w:rPr>
              <w:br/>
              <w:t>344</w:t>
            </w:r>
            <w:r w:rsidRPr="002C0809">
              <w:rPr>
                <w:rFonts w:eastAsia="Times New Roman"/>
                <w:color w:val="000000"/>
                <w:sz w:val="20"/>
                <w:lang w:eastAsia="en-AU"/>
              </w:rPr>
              <w:br/>
              <w:t>345(1)</w:t>
            </w:r>
            <w:r w:rsidRPr="002C0809">
              <w:rPr>
                <w:rFonts w:eastAsia="Times New Roman"/>
                <w:color w:val="000000"/>
                <w:sz w:val="20"/>
                <w:lang w:eastAsia="en-AU"/>
              </w:rPr>
              <w:br/>
              <w:t>346</w:t>
            </w:r>
            <w:r w:rsidRPr="002C0809">
              <w:rPr>
                <w:rFonts w:eastAsia="Times New Roman"/>
                <w:color w:val="000000"/>
                <w:sz w:val="20"/>
                <w:lang w:eastAsia="en-AU"/>
              </w:rPr>
              <w:br/>
              <w:t>348</w:t>
            </w:r>
            <w:r w:rsidRPr="002C0809">
              <w:rPr>
                <w:rFonts w:eastAsia="Times New Roman"/>
                <w:color w:val="000000"/>
                <w:sz w:val="20"/>
                <w:lang w:eastAsia="en-AU"/>
              </w:rPr>
              <w:br/>
              <w:t>349(1)</w:t>
            </w:r>
            <w:r w:rsidRPr="002C0809">
              <w:rPr>
                <w:rFonts w:eastAsia="Times New Roman"/>
                <w:color w:val="000000"/>
                <w:sz w:val="20"/>
                <w:lang w:eastAsia="en-AU"/>
              </w:rPr>
              <w:br/>
              <w:t>350(1)</w:t>
            </w:r>
            <w:r w:rsidRPr="002C0809">
              <w:rPr>
                <w:rFonts w:eastAsia="Times New Roman"/>
                <w:color w:val="000000"/>
                <w:sz w:val="20"/>
                <w:lang w:eastAsia="en-AU"/>
              </w:rPr>
              <w:br/>
              <w:t>350(2)</w:t>
            </w:r>
            <w:r w:rsidRPr="002C0809">
              <w:rPr>
                <w:rFonts w:eastAsia="Times New Roman"/>
                <w:color w:val="000000"/>
                <w:sz w:val="20"/>
                <w:lang w:eastAsia="en-AU"/>
              </w:rPr>
              <w:br/>
              <w:t>351(1)</w:t>
            </w:r>
            <w:r w:rsidRPr="002C0809">
              <w:rPr>
                <w:rFonts w:eastAsia="Times New Roman"/>
                <w:color w:val="000000"/>
                <w:sz w:val="20"/>
                <w:lang w:eastAsia="en-AU"/>
              </w:rPr>
              <w:br/>
              <w:t>352</w:t>
            </w:r>
            <w:r w:rsidRPr="002C0809">
              <w:rPr>
                <w:rFonts w:eastAsia="Times New Roman"/>
                <w:color w:val="000000"/>
                <w:sz w:val="20"/>
                <w:lang w:eastAsia="en-AU"/>
              </w:rPr>
              <w:br/>
              <w:t>353(1)</w:t>
            </w:r>
            <w:r w:rsidRPr="002C0809">
              <w:rPr>
                <w:rFonts w:eastAsia="Times New Roman"/>
                <w:color w:val="000000"/>
                <w:sz w:val="20"/>
                <w:lang w:eastAsia="en-AU"/>
              </w:rPr>
              <w:br/>
              <w:t>354(1)</w:t>
            </w:r>
            <w:r w:rsidRPr="002C0809">
              <w:rPr>
                <w:rFonts w:eastAsia="Times New Roman"/>
                <w:color w:val="000000"/>
                <w:sz w:val="20"/>
                <w:lang w:eastAsia="en-AU"/>
              </w:rPr>
              <w:br/>
              <w:t>355</w:t>
            </w:r>
            <w:r w:rsidRPr="002C0809">
              <w:rPr>
                <w:rFonts w:eastAsia="Times New Roman"/>
                <w:color w:val="000000"/>
                <w:sz w:val="20"/>
                <w:lang w:eastAsia="en-AU"/>
              </w:rPr>
              <w:br/>
              <w:t>357(1)</w:t>
            </w:r>
            <w:r w:rsidRPr="002C0809">
              <w:rPr>
                <w:rFonts w:eastAsia="Times New Roman"/>
                <w:color w:val="000000"/>
                <w:sz w:val="20"/>
                <w:lang w:eastAsia="en-AU"/>
              </w:rPr>
              <w:br/>
              <w:t>358</w:t>
            </w:r>
            <w:r w:rsidRPr="002C0809">
              <w:rPr>
                <w:rFonts w:eastAsia="Times New Roman"/>
                <w:color w:val="000000"/>
                <w:sz w:val="20"/>
                <w:lang w:eastAsia="en-AU"/>
              </w:rPr>
              <w:br/>
              <w:t>359</w:t>
            </w:r>
            <w:r w:rsidRPr="002C0809">
              <w:rPr>
                <w:rFonts w:eastAsia="Times New Roman"/>
                <w:color w:val="000000"/>
                <w:sz w:val="20"/>
                <w:lang w:eastAsia="en-AU"/>
              </w:rPr>
              <w:br/>
              <w:t>369(3)</w:t>
            </w:r>
          </w:p>
        </w:tc>
        <w:tc>
          <w:tcPr>
            <w:tcW w:w="1022" w:type="pct"/>
            <w:hideMark/>
          </w:tcPr>
          <w:p w14:paraId="283FEDC9"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a person affected by the </w:t>
            </w:r>
            <w:proofErr w:type="gramStart"/>
            <w:r w:rsidRPr="002C0809">
              <w:rPr>
                <w:rFonts w:eastAsia="Times New Roman"/>
                <w:color w:val="000000"/>
                <w:sz w:val="20"/>
                <w:lang w:eastAsia="en-AU"/>
              </w:rPr>
              <w:t>contravention;</w:t>
            </w:r>
            <w:proofErr w:type="gramEnd"/>
          </w:p>
          <w:p w14:paraId="379204F9"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(b) an industrial </w:t>
            </w:r>
            <w:proofErr w:type="gramStart"/>
            <w:r w:rsidRPr="002C0809">
              <w:rPr>
                <w:rFonts w:eastAsia="Times New Roman"/>
                <w:color w:val="000000"/>
                <w:sz w:val="20"/>
                <w:lang w:eastAsia="en-AU"/>
              </w:rPr>
              <w:t>association;</w:t>
            </w:r>
            <w:proofErr w:type="gramEnd"/>
          </w:p>
          <w:p w14:paraId="77D58CD6"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inspector</w:t>
            </w:r>
          </w:p>
        </w:tc>
        <w:tc>
          <w:tcPr>
            <w:tcW w:w="1107" w:type="pct"/>
            <w:hideMark/>
          </w:tcPr>
          <w:p w14:paraId="5688D96A"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the Federal </w:t>
            </w:r>
            <w:proofErr w:type="gramStart"/>
            <w:r w:rsidRPr="002C0809">
              <w:rPr>
                <w:rFonts w:eastAsia="Times New Roman"/>
                <w:color w:val="000000"/>
                <w:sz w:val="20"/>
                <w:lang w:eastAsia="en-AU"/>
              </w:rPr>
              <w:t>Court;</w:t>
            </w:r>
            <w:proofErr w:type="gramEnd"/>
          </w:p>
          <w:p w14:paraId="5B099218"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(b) the Federal Circuit and Family Court of Australia (Division 2)</w:t>
            </w:r>
          </w:p>
        </w:tc>
        <w:tc>
          <w:tcPr>
            <w:tcW w:w="1278" w:type="pct"/>
            <w:hideMark/>
          </w:tcPr>
          <w:p w14:paraId="193693B7"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60 penalty units</w:t>
            </w:r>
          </w:p>
        </w:tc>
      </w:tr>
      <w:tr w:rsidR="00BC64F4" w:rsidRPr="002C0809" w14:paraId="6B1A8D62" w14:textId="77777777" w:rsidTr="0054222E">
        <w:tc>
          <w:tcPr>
            <w:tcW w:w="570" w:type="pct"/>
            <w:hideMark/>
          </w:tcPr>
          <w:p w14:paraId="3040BC5E"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12</w:t>
            </w:r>
          </w:p>
        </w:tc>
        <w:tc>
          <w:tcPr>
            <w:tcW w:w="1022" w:type="pct"/>
            <w:hideMark/>
          </w:tcPr>
          <w:p w14:paraId="3E87310C"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378</w:t>
            </w:r>
          </w:p>
        </w:tc>
        <w:tc>
          <w:tcPr>
            <w:tcW w:w="1022" w:type="pct"/>
            <w:hideMark/>
          </w:tcPr>
          <w:p w14:paraId="63717D76"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a person to whom the costs are </w:t>
            </w:r>
            <w:proofErr w:type="gramStart"/>
            <w:r w:rsidRPr="002C0809">
              <w:rPr>
                <w:rFonts w:eastAsia="Times New Roman"/>
                <w:color w:val="000000"/>
                <w:sz w:val="20"/>
                <w:lang w:eastAsia="en-AU"/>
              </w:rPr>
              <w:t>payable;</w:t>
            </w:r>
            <w:proofErr w:type="gramEnd"/>
          </w:p>
          <w:p w14:paraId="13E70B7C"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(b) an industrial </w:t>
            </w:r>
            <w:proofErr w:type="gramStart"/>
            <w:r w:rsidRPr="002C0809">
              <w:rPr>
                <w:rFonts w:eastAsia="Times New Roman"/>
                <w:color w:val="000000"/>
                <w:sz w:val="20"/>
                <w:lang w:eastAsia="en-AU"/>
              </w:rPr>
              <w:t>association;</w:t>
            </w:r>
            <w:proofErr w:type="gramEnd"/>
          </w:p>
          <w:p w14:paraId="21B051F1"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(c) an inspector</w:t>
            </w:r>
          </w:p>
        </w:tc>
        <w:tc>
          <w:tcPr>
            <w:tcW w:w="1107" w:type="pct"/>
            <w:hideMark/>
          </w:tcPr>
          <w:p w14:paraId="04443F61"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 xml:space="preserve">(a) the Federal </w:t>
            </w:r>
            <w:proofErr w:type="gramStart"/>
            <w:r w:rsidRPr="002C0809">
              <w:rPr>
                <w:rFonts w:eastAsia="Times New Roman"/>
                <w:color w:val="000000"/>
                <w:sz w:val="20"/>
                <w:lang w:eastAsia="en-AU"/>
              </w:rPr>
              <w:t>Court;</w:t>
            </w:r>
            <w:proofErr w:type="gramEnd"/>
          </w:p>
          <w:p w14:paraId="494021E3" w14:textId="77777777" w:rsidR="00BC64F4" w:rsidRPr="002C0809" w:rsidRDefault="00BC64F4" w:rsidP="001971D2">
            <w:pPr>
              <w:spacing w:before="60" w:line="240" w:lineRule="auto"/>
              <w:ind w:left="284" w:hanging="284"/>
              <w:jc w:val="left"/>
              <w:rPr>
                <w:rFonts w:eastAsia="Times New Roman"/>
                <w:color w:val="000000"/>
                <w:sz w:val="20"/>
                <w:lang w:eastAsia="en-AU"/>
              </w:rPr>
            </w:pPr>
            <w:r w:rsidRPr="002C0809">
              <w:rPr>
                <w:rFonts w:eastAsia="Times New Roman"/>
                <w:color w:val="000000"/>
                <w:sz w:val="20"/>
                <w:lang w:eastAsia="en-AU"/>
              </w:rPr>
              <w:t>(b) the Federal Circuit and Family Court of Australia (Division 2)</w:t>
            </w:r>
          </w:p>
        </w:tc>
        <w:tc>
          <w:tcPr>
            <w:tcW w:w="1278" w:type="pct"/>
            <w:hideMark/>
          </w:tcPr>
          <w:p w14:paraId="3C60DD67" w14:textId="77777777" w:rsidR="00BC64F4" w:rsidRPr="002C0809" w:rsidRDefault="00BC64F4" w:rsidP="001971D2">
            <w:pPr>
              <w:spacing w:before="60" w:line="240" w:lineRule="atLeast"/>
              <w:jc w:val="left"/>
              <w:rPr>
                <w:rFonts w:eastAsia="Times New Roman"/>
                <w:color w:val="000000"/>
                <w:sz w:val="20"/>
                <w:lang w:eastAsia="en-AU"/>
              </w:rPr>
            </w:pPr>
            <w:r w:rsidRPr="002C0809">
              <w:rPr>
                <w:rFonts w:eastAsia="Times New Roman"/>
                <w:color w:val="000000"/>
                <w:sz w:val="20"/>
                <w:lang w:eastAsia="en-AU"/>
              </w:rPr>
              <w:t>60 penalty units</w:t>
            </w:r>
          </w:p>
        </w:tc>
      </w:tr>
      <w:tr w:rsidR="00BC64F4" w14:paraId="750939E0" w14:textId="77777777" w:rsidTr="0054222E">
        <w:trPr>
          <w:trHeight w:val="521"/>
        </w:trPr>
        <w:tc>
          <w:tcPr>
            <w:tcW w:w="5000" w:type="pct"/>
            <w:gridSpan w:val="5"/>
          </w:tcPr>
          <w:p w14:paraId="74AEE80D" w14:textId="77777777" w:rsidR="00BC64F4" w:rsidRDefault="00BC64F4" w:rsidP="001971D2">
            <w:pPr>
              <w:pStyle w:val="ParaNumbering"/>
              <w:numPr>
                <w:ilvl w:val="0"/>
                <w:numId w:val="0"/>
              </w:numPr>
              <w:rPr>
                <w:szCs w:val="24"/>
              </w:rPr>
            </w:pPr>
            <w:r>
              <w:rPr>
                <w:szCs w:val="24"/>
              </w:rPr>
              <w:t>…</w:t>
            </w:r>
          </w:p>
        </w:tc>
      </w:tr>
    </w:tbl>
    <w:p w14:paraId="7DFE29A7" w14:textId="7A4A7965" w:rsidR="00BC64F4" w:rsidRDefault="0071710E" w:rsidP="0071710E">
      <w:pPr>
        <w:pStyle w:val="ParaNumbering"/>
        <w:numPr>
          <w:ilvl w:val="0"/>
          <w:numId w:val="0"/>
        </w:numPr>
        <w:tabs>
          <w:tab w:val="left" w:pos="720"/>
        </w:tabs>
        <w:ind w:hanging="720"/>
        <w:rPr>
          <w:szCs w:val="24"/>
        </w:rPr>
      </w:pPr>
      <w:r>
        <w:rPr>
          <w:sz w:val="20"/>
          <w:szCs w:val="24"/>
        </w:rPr>
        <w:t>18</w:t>
      </w:r>
      <w:r>
        <w:rPr>
          <w:sz w:val="20"/>
          <w:szCs w:val="24"/>
        </w:rPr>
        <w:tab/>
      </w:r>
      <w:r w:rsidR="00BC64F4">
        <w:rPr>
          <w:szCs w:val="24"/>
        </w:rPr>
        <w:t>T</w:t>
      </w:r>
      <w:r w:rsidR="00BC64F4" w:rsidRPr="00400540">
        <w:rPr>
          <w:szCs w:val="24"/>
        </w:rPr>
        <w:t xml:space="preserve">he SDA contends that ss 539 and 540 of the FW Act impliedly repeal s 33D of the FCA Act to the extent that s 33D confers standing on current or former employees </w:t>
      </w:r>
      <w:r w:rsidR="00BC64F4">
        <w:rPr>
          <w:szCs w:val="24"/>
        </w:rPr>
        <w:t xml:space="preserve">in a representative capacity </w:t>
      </w:r>
      <w:r w:rsidR="00BC64F4" w:rsidRPr="00400540">
        <w:rPr>
          <w:szCs w:val="24"/>
        </w:rPr>
        <w:t xml:space="preserve">to apply for an order in relation to a </w:t>
      </w:r>
      <w:r w:rsidR="00BC64F4" w:rsidRPr="00C946BE">
        <w:rPr>
          <w:szCs w:val="24"/>
        </w:rPr>
        <w:t>contravention of a civil remedy provision of the FW Act</w:t>
      </w:r>
      <w:r w:rsidR="00BC64F4">
        <w:rPr>
          <w:szCs w:val="24"/>
        </w:rPr>
        <w:t xml:space="preserve"> on behalf of other employees. </w:t>
      </w:r>
    </w:p>
    <w:p w14:paraId="1A90DF6F" w14:textId="2AA0EA55" w:rsidR="00BC64F4" w:rsidRDefault="0071710E" w:rsidP="0071710E">
      <w:pPr>
        <w:pStyle w:val="ParaNumbering"/>
        <w:numPr>
          <w:ilvl w:val="0"/>
          <w:numId w:val="0"/>
        </w:numPr>
        <w:tabs>
          <w:tab w:val="left" w:pos="720"/>
        </w:tabs>
        <w:ind w:hanging="720"/>
        <w:rPr>
          <w:szCs w:val="24"/>
        </w:rPr>
      </w:pPr>
      <w:r>
        <w:rPr>
          <w:sz w:val="20"/>
          <w:szCs w:val="24"/>
        </w:rPr>
        <w:t>19</w:t>
      </w:r>
      <w:r>
        <w:rPr>
          <w:sz w:val="20"/>
          <w:szCs w:val="24"/>
        </w:rPr>
        <w:tab/>
      </w:r>
      <w:r w:rsidR="00BC64F4">
        <w:rPr>
          <w:szCs w:val="24"/>
        </w:rPr>
        <w:t>Now it is convenient to note at this point that ss 33C and 33D of the FCA Act provide:</w:t>
      </w:r>
    </w:p>
    <w:p w14:paraId="42D8713A" w14:textId="77777777" w:rsidR="00BC64F4" w:rsidRDefault="00BC64F4" w:rsidP="00BC64F4">
      <w:pPr>
        <w:pStyle w:val="Quote1"/>
        <w:ind w:left="1418" w:hanging="709"/>
      </w:pPr>
      <w:r>
        <w:rPr>
          <w:b/>
          <w:bCs/>
        </w:rPr>
        <w:t>33C</w:t>
      </w:r>
      <w:r>
        <w:rPr>
          <w:b/>
          <w:bCs/>
        </w:rPr>
        <w:tab/>
        <w:t>Commencement of proceeding</w:t>
      </w:r>
    </w:p>
    <w:p w14:paraId="047C97FD" w14:textId="220EBE22" w:rsidR="00BC64F4" w:rsidRDefault="0071710E" w:rsidP="0071710E">
      <w:pPr>
        <w:pStyle w:val="Quote1"/>
        <w:ind w:left="1097" w:hanging="360"/>
      </w:pPr>
      <w:r>
        <w:t>(1)</w:t>
      </w:r>
      <w:r>
        <w:tab/>
      </w:r>
      <w:r w:rsidR="00BC64F4">
        <w:t>Subject to this Part, where:</w:t>
      </w:r>
    </w:p>
    <w:p w14:paraId="3ADF7730" w14:textId="5D5BB3D4" w:rsidR="00BC64F4" w:rsidRDefault="0071710E" w:rsidP="0054222E">
      <w:pPr>
        <w:pStyle w:val="Quote2"/>
        <w:ind w:left="2160" w:hanging="720"/>
      </w:pPr>
      <w:r>
        <w:t>(a)</w:t>
      </w:r>
      <w:r>
        <w:tab/>
      </w:r>
      <w:r w:rsidR="00BC64F4">
        <w:t>7 or more persons have claims against the same person; and</w:t>
      </w:r>
    </w:p>
    <w:p w14:paraId="29EC41B5" w14:textId="7CC99B67" w:rsidR="00BC64F4" w:rsidRDefault="0071710E" w:rsidP="0054222E">
      <w:pPr>
        <w:pStyle w:val="Quote2"/>
        <w:ind w:left="2160" w:hanging="720"/>
      </w:pPr>
      <w:r>
        <w:t>(b)</w:t>
      </w:r>
      <w:r>
        <w:tab/>
      </w:r>
      <w:r w:rsidR="00BC64F4">
        <w:t xml:space="preserve">the claims of all those persons are in respect of, or arise out of, the same, </w:t>
      </w:r>
      <w:proofErr w:type="gramStart"/>
      <w:r w:rsidR="00BC64F4">
        <w:t>similar</w:t>
      </w:r>
      <w:proofErr w:type="gramEnd"/>
      <w:r w:rsidR="00BC64F4">
        <w:t xml:space="preserve"> or related circumstances; and</w:t>
      </w:r>
    </w:p>
    <w:p w14:paraId="67A18B5A" w14:textId="51747C19" w:rsidR="00BC64F4" w:rsidRDefault="0071710E" w:rsidP="0054222E">
      <w:pPr>
        <w:pStyle w:val="Quote2"/>
        <w:ind w:left="2160" w:hanging="720"/>
      </w:pPr>
      <w:r>
        <w:t>(c)</w:t>
      </w:r>
      <w:r>
        <w:tab/>
      </w:r>
      <w:r w:rsidR="00BC64F4">
        <w:t xml:space="preserve">the claims of all those persons give rise to a substantial common issue of law or </w:t>
      </w:r>
      <w:proofErr w:type="gramStart"/>
      <w:r w:rsidR="00BC64F4">
        <w:t>fact;</w:t>
      </w:r>
      <w:proofErr w:type="gramEnd"/>
    </w:p>
    <w:p w14:paraId="3B6BEA4A" w14:textId="77777777" w:rsidR="00BC64F4" w:rsidRDefault="00BC64F4" w:rsidP="0054222E">
      <w:pPr>
        <w:pStyle w:val="Quote2"/>
        <w:ind w:left="2160" w:hanging="720"/>
      </w:pPr>
      <w:r>
        <w:t xml:space="preserve">a proceeding may be commenced by one or more of those persons as representing some of all of them. </w:t>
      </w:r>
    </w:p>
    <w:p w14:paraId="3607F69E" w14:textId="1150525D" w:rsidR="00BC64F4" w:rsidRPr="00D13C95" w:rsidRDefault="0071710E" w:rsidP="0071710E">
      <w:pPr>
        <w:pStyle w:val="Quote1"/>
        <w:ind w:left="1418" w:hanging="681"/>
      </w:pPr>
      <w:r w:rsidRPr="00D13C95">
        <w:t>(2)</w:t>
      </w:r>
      <w:r w:rsidRPr="00D13C95">
        <w:tab/>
      </w:r>
      <w:r w:rsidR="00BC64F4">
        <w:rPr>
          <w:color w:val="000000"/>
          <w:szCs w:val="22"/>
          <w:shd w:val="clear" w:color="auto" w:fill="FFFFFF"/>
        </w:rPr>
        <w:t>A representative proceeding may be commenced:</w:t>
      </w:r>
    </w:p>
    <w:p w14:paraId="6A8CEE27" w14:textId="24CE16E0" w:rsidR="00BC64F4" w:rsidRPr="00D13C95" w:rsidRDefault="0071710E" w:rsidP="0054222E">
      <w:pPr>
        <w:pStyle w:val="Quote2"/>
      </w:pPr>
      <w:r w:rsidRPr="00D13C95">
        <w:t>(a)</w:t>
      </w:r>
      <w:r w:rsidRPr="00D13C95">
        <w:tab/>
      </w:r>
      <w:r w:rsidR="00BC64F4">
        <w:rPr>
          <w:shd w:val="clear" w:color="auto" w:fill="FFFFFF"/>
        </w:rPr>
        <w:t xml:space="preserve">whether or not the relief sought: </w:t>
      </w:r>
    </w:p>
    <w:p w14:paraId="3B993771" w14:textId="4B6CB7A5" w:rsidR="00BC64F4" w:rsidRPr="00D13C95" w:rsidRDefault="0071710E" w:rsidP="0054222E">
      <w:pPr>
        <w:pStyle w:val="Quote3"/>
        <w:ind w:left="2880" w:hanging="720"/>
      </w:pPr>
      <w:r w:rsidRPr="00D13C95">
        <w:t>(</w:t>
      </w:r>
      <w:proofErr w:type="spellStart"/>
      <w:r w:rsidRPr="00D13C95">
        <w:t>i</w:t>
      </w:r>
      <w:proofErr w:type="spellEnd"/>
      <w:r w:rsidRPr="00D13C95">
        <w:t>)</w:t>
      </w:r>
      <w:r w:rsidRPr="00D13C95">
        <w:tab/>
      </w:r>
      <w:r w:rsidR="00BC64F4" w:rsidRPr="00D13C95">
        <w:rPr>
          <w:shd w:val="clear" w:color="auto" w:fill="FFFFFF"/>
        </w:rPr>
        <w:t xml:space="preserve">is, or includes, equitable </w:t>
      </w:r>
      <w:proofErr w:type="gramStart"/>
      <w:r w:rsidR="00BC64F4" w:rsidRPr="00D13C95">
        <w:rPr>
          <w:shd w:val="clear" w:color="auto" w:fill="FFFFFF"/>
        </w:rPr>
        <w:t>relief;</w:t>
      </w:r>
      <w:proofErr w:type="gramEnd"/>
    </w:p>
    <w:p w14:paraId="7FF0CBC1" w14:textId="75AB65C9" w:rsidR="00BC64F4" w:rsidRPr="00D13C95" w:rsidRDefault="0071710E" w:rsidP="0054222E">
      <w:pPr>
        <w:pStyle w:val="Quote3"/>
        <w:ind w:left="2880" w:hanging="720"/>
      </w:pPr>
      <w:r w:rsidRPr="00D13C95">
        <w:t>(ii)</w:t>
      </w:r>
      <w:r w:rsidRPr="00D13C95">
        <w:tab/>
      </w:r>
      <w:r w:rsidR="00BC64F4">
        <w:rPr>
          <w:shd w:val="clear" w:color="auto" w:fill="FFFFFF"/>
        </w:rPr>
        <w:t xml:space="preserve">consists of, or </w:t>
      </w:r>
      <w:proofErr w:type="gramStart"/>
      <w:r w:rsidR="00BC64F4">
        <w:rPr>
          <w:shd w:val="clear" w:color="auto" w:fill="FFFFFF"/>
        </w:rPr>
        <w:t>includes,</w:t>
      </w:r>
      <w:proofErr w:type="gramEnd"/>
      <w:r w:rsidR="00BC64F4">
        <w:rPr>
          <w:shd w:val="clear" w:color="auto" w:fill="FFFFFF"/>
        </w:rPr>
        <w:t xml:space="preserve"> damages; or</w:t>
      </w:r>
    </w:p>
    <w:p w14:paraId="53C5A5EB" w14:textId="4D3E9A1F" w:rsidR="00BC64F4" w:rsidRPr="00D13C95" w:rsidRDefault="0071710E" w:rsidP="0054222E">
      <w:pPr>
        <w:pStyle w:val="Quote3"/>
        <w:ind w:left="2880" w:hanging="720"/>
      </w:pPr>
      <w:r w:rsidRPr="00D13C95">
        <w:t>(iii)</w:t>
      </w:r>
      <w:r w:rsidRPr="00D13C95">
        <w:tab/>
      </w:r>
      <w:r w:rsidR="00BC64F4">
        <w:rPr>
          <w:shd w:val="clear" w:color="auto" w:fill="FFFFFF"/>
        </w:rPr>
        <w:t>includes claims for damages that would require individual assessment; or</w:t>
      </w:r>
    </w:p>
    <w:p w14:paraId="607B1D7B" w14:textId="0F01A5B4" w:rsidR="00BC64F4" w:rsidRPr="00D13C95" w:rsidRDefault="0071710E" w:rsidP="0054222E">
      <w:pPr>
        <w:pStyle w:val="Quote3"/>
        <w:ind w:left="2880" w:hanging="720"/>
      </w:pPr>
      <w:r w:rsidRPr="00D13C95">
        <w:t>(iv)</w:t>
      </w:r>
      <w:r w:rsidRPr="00D13C95">
        <w:tab/>
      </w:r>
      <w:r w:rsidR="00BC64F4">
        <w:rPr>
          <w:shd w:val="clear" w:color="auto" w:fill="FFFFFF"/>
        </w:rPr>
        <w:t>is the same for each person represented; and</w:t>
      </w:r>
    </w:p>
    <w:p w14:paraId="6E26F436" w14:textId="684A8C9F" w:rsidR="00BC64F4" w:rsidRPr="00D13C95" w:rsidRDefault="0071710E" w:rsidP="0071710E">
      <w:pPr>
        <w:pStyle w:val="Quote1"/>
        <w:ind w:left="1985" w:hanging="567"/>
      </w:pPr>
      <w:r w:rsidRPr="00D13C95">
        <w:rPr>
          <w:color w:val="000000"/>
        </w:rPr>
        <w:t>(b)</w:t>
      </w:r>
      <w:r w:rsidRPr="00D13C95">
        <w:rPr>
          <w:color w:val="000000"/>
        </w:rPr>
        <w:tab/>
      </w:r>
      <w:r w:rsidR="00BC64F4">
        <w:rPr>
          <w:color w:val="000000"/>
          <w:szCs w:val="22"/>
          <w:shd w:val="clear" w:color="auto" w:fill="FFFFFF"/>
        </w:rPr>
        <w:t>whether or not the proceeding:</w:t>
      </w:r>
    </w:p>
    <w:p w14:paraId="6773B779" w14:textId="2476453A" w:rsidR="00BC64F4" w:rsidRPr="00D13C95" w:rsidRDefault="0071710E" w:rsidP="0054222E">
      <w:pPr>
        <w:pStyle w:val="Quote3"/>
        <w:ind w:left="2880" w:hanging="720"/>
      </w:pPr>
      <w:r w:rsidRPr="00D13C95">
        <w:t>(</w:t>
      </w:r>
      <w:proofErr w:type="spellStart"/>
      <w:r w:rsidRPr="00D13C95">
        <w:t>i</w:t>
      </w:r>
      <w:proofErr w:type="spellEnd"/>
      <w:r w:rsidRPr="00D13C95">
        <w:t>)</w:t>
      </w:r>
      <w:r w:rsidRPr="00D13C95">
        <w:tab/>
      </w:r>
      <w:r w:rsidR="00BC64F4">
        <w:rPr>
          <w:shd w:val="clear" w:color="auto" w:fill="FFFFFF"/>
        </w:rPr>
        <w:t>is concerned with separate contracts or transactions between the respondent in the proceeding and individual group members; or</w:t>
      </w:r>
    </w:p>
    <w:p w14:paraId="5D528089" w14:textId="720AD40F" w:rsidR="00BC64F4" w:rsidRPr="00D13C95" w:rsidRDefault="0071710E" w:rsidP="0054222E">
      <w:pPr>
        <w:pStyle w:val="Quote3"/>
        <w:ind w:left="2880" w:hanging="720"/>
      </w:pPr>
      <w:r w:rsidRPr="00D13C95">
        <w:t>(ii)</w:t>
      </w:r>
      <w:r w:rsidRPr="00D13C95">
        <w:tab/>
      </w:r>
      <w:r w:rsidR="00BC64F4">
        <w:rPr>
          <w:shd w:val="clear" w:color="auto" w:fill="FFFFFF"/>
        </w:rPr>
        <w:t>involves separate acts or omissions of the respondent done or omitted to be done in relation to individual group members.</w:t>
      </w:r>
    </w:p>
    <w:p w14:paraId="4119F0F8" w14:textId="77777777" w:rsidR="00BC64F4" w:rsidRDefault="00BC64F4" w:rsidP="00BC64F4">
      <w:pPr>
        <w:pStyle w:val="Quote1"/>
        <w:ind w:left="1418" w:hanging="709"/>
        <w:rPr>
          <w:b/>
          <w:bCs/>
          <w:color w:val="000000"/>
          <w:szCs w:val="22"/>
          <w:shd w:val="clear" w:color="auto" w:fill="FFFFFF"/>
        </w:rPr>
      </w:pPr>
      <w:r>
        <w:rPr>
          <w:b/>
          <w:bCs/>
          <w:color w:val="000000"/>
          <w:szCs w:val="22"/>
          <w:shd w:val="clear" w:color="auto" w:fill="FFFFFF"/>
        </w:rPr>
        <w:t>33D</w:t>
      </w:r>
      <w:r>
        <w:rPr>
          <w:b/>
          <w:bCs/>
          <w:color w:val="000000"/>
          <w:szCs w:val="22"/>
          <w:shd w:val="clear" w:color="auto" w:fill="FFFFFF"/>
        </w:rPr>
        <w:tab/>
        <w:t>Standing</w:t>
      </w:r>
    </w:p>
    <w:p w14:paraId="1B3E34D6" w14:textId="447906E8" w:rsidR="00BC64F4" w:rsidRDefault="0071710E" w:rsidP="0071710E">
      <w:pPr>
        <w:pStyle w:val="Quote1"/>
        <w:ind w:left="1418" w:hanging="709"/>
        <w:rPr>
          <w:color w:val="000000"/>
          <w:szCs w:val="22"/>
          <w:shd w:val="clear" w:color="auto" w:fill="FFFFFF"/>
        </w:rPr>
      </w:pPr>
      <w:r>
        <w:rPr>
          <w:color w:val="000000"/>
          <w:szCs w:val="22"/>
        </w:rPr>
        <w:t>(1)</w:t>
      </w:r>
      <w:r>
        <w:rPr>
          <w:color w:val="000000"/>
          <w:szCs w:val="22"/>
        </w:rPr>
        <w:tab/>
      </w:r>
      <w:r w:rsidR="00BC64F4" w:rsidRPr="00D13C95">
        <w:rPr>
          <w:color w:val="000000"/>
          <w:szCs w:val="22"/>
          <w:shd w:val="clear" w:color="auto" w:fill="FFFFFF"/>
        </w:rPr>
        <w:t>A person referred to in paragraph 33C(1)(a) who has a sufficient interest to commence a proceeding on his or her own behalf against another person has a sufficient interest to commence a representative proceeding against that other person on behalf of other persons referred to in that paragraph.</w:t>
      </w:r>
    </w:p>
    <w:p w14:paraId="3C7DA7F2" w14:textId="2E9926FA" w:rsidR="00BC64F4" w:rsidRDefault="0071710E" w:rsidP="0071710E">
      <w:pPr>
        <w:pStyle w:val="Quote1"/>
        <w:ind w:left="1418" w:hanging="698"/>
        <w:rPr>
          <w:color w:val="000000"/>
          <w:szCs w:val="22"/>
          <w:shd w:val="clear" w:color="auto" w:fill="FFFFFF"/>
        </w:rPr>
      </w:pPr>
      <w:r>
        <w:rPr>
          <w:color w:val="000000"/>
          <w:szCs w:val="22"/>
        </w:rPr>
        <w:t>(2)</w:t>
      </w:r>
      <w:r>
        <w:rPr>
          <w:color w:val="000000"/>
          <w:szCs w:val="22"/>
        </w:rPr>
        <w:tab/>
      </w:r>
      <w:r w:rsidR="00BC64F4" w:rsidRPr="00332D64">
        <w:rPr>
          <w:color w:val="000000"/>
          <w:szCs w:val="22"/>
          <w:shd w:val="clear" w:color="auto" w:fill="FFFFFF"/>
        </w:rPr>
        <w:t xml:space="preserve">…      </w:t>
      </w:r>
    </w:p>
    <w:p w14:paraId="3BA0BD37" w14:textId="668C4753" w:rsidR="00BC64F4" w:rsidRPr="00332D64" w:rsidRDefault="0071710E" w:rsidP="0071710E">
      <w:pPr>
        <w:pStyle w:val="ParaNumbering"/>
        <w:numPr>
          <w:ilvl w:val="0"/>
          <w:numId w:val="0"/>
        </w:numPr>
        <w:tabs>
          <w:tab w:val="left" w:pos="720"/>
        </w:tabs>
        <w:ind w:hanging="720"/>
        <w:rPr>
          <w:shd w:val="clear" w:color="auto" w:fill="FFFFFF"/>
        </w:rPr>
      </w:pPr>
      <w:r w:rsidRPr="00332D64">
        <w:rPr>
          <w:sz w:val="20"/>
        </w:rPr>
        <w:t>20</w:t>
      </w:r>
      <w:r w:rsidRPr="00332D64">
        <w:rPr>
          <w:sz w:val="20"/>
        </w:rPr>
        <w:tab/>
      </w:r>
      <w:r w:rsidR="00BC64F4">
        <w:rPr>
          <w:shd w:val="clear" w:color="auto" w:fill="FFFFFF"/>
        </w:rPr>
        <w:t xml:space="preserve">Save for the SDA’s contention, it is not in issue for present purposes that the applicants in the Elliott-Carde proceeding have satisfied ss 33C and 33D. </w:t>
      </w:r>
    </w:p>
    <w:p w14:paraId="2087B9B4" w14:textId="20A14978" w:rsidR="00BC64F4" w:rsidRDefault="0071710E" w:rsidP="0071710E">
      <w:pPr>
        <w:pStyle w:val="ParaNumbering"/>
        <w:numPr>
          <w:ilvl w:val="0"/>
          <w:numId w:val="0"/>
        </w:numPr>
        <w:tabs>
          <w:tab w:val="left" w:pos="720"/>
        </w:tabs>
        <w:ind w:hanging="720"/>
        <w:rPr>
          <w:szCs w:val="24"/>
        </w:rPr>
      </w:pPr>
      <w:r>
        <w:rPr>
          <w:sz w:val="20"/>
          <w:szCs w:val="24"/>
        </w:rPr>
        <w:t>21</w:t>
      </w:r>
      <w:r>
        <w:rPr>
          <w:sz w:val="20"/>
          <w:szCs w:val="24"/>
        </w:rPr>
        <w:tab/>
      </w:r>
      <w:r w:rsidR="00BC64F4">
        <w:rPr>
          <w:szCs w:val="24"/>
        </w:rPr>
        <w:t>Now t</w:t>
      </w:r>
      <w:r w:rsidR="00BC64F4" w:rsidRPr="00400540">
        <w:rPr>
          <w:szCs w:val="24"/>
        </w:rPr>
        <w:t xml:space="preserve">he orders sought in the </w:t>
      </w:r>
      <w:r w:rsidR="00BC64F4">
        <w:rPr>
          <w:szCs w:val="24"/>
        </w:rPr>
        <w:t xml:space="preserve">Elliott-Carde proceeding </w:t>
      </w:r>
      <w:r w:rsidR="00BC64F4" w:rsidRPr="00400540">
        <w:rPr>
          <w:szCs w:val="24"/>
        </w:rPr>
        <w:t>for group members are orders under Part 4-1 Division 1 and in relation to contravention</w:t>
      </w:r>
      <w:r w:rsidR="00BC64F4">
        <w:rPr>
          <w:szCs w:val="24"/>
        </w:rPr>
        <w:t>s</w:t>
      </w:r>
      <w:r w:rsidR="00BC64F4" w:rsidRPr="00400540">
        <w:rPr>
          <w:szCs w:val="24"/>
        </w:rPr>
        <w:t xml:space="preserve"> of </w:t>
      </w:r>
      <w:r w:rsidR="00BC64F4">
        <w:rPr>
          <w:szCs w:val="24"/>
        </w:rPr>
        <w:t xml:space="preserve">the </w:t>
      </w:r>
      <w:r w:rsidR="00BC64F4" w:rsidRPr="00400540">
        <w:rPr>
          <w:szCs w:val="24"/>
        </w:rPr>
        <w:t>civil penalty provisions</w:t>
      </w:r>
      <w:r w:rsidR="00BC64F4">
        <w:rPr>
          <w:szCs w:val="24"/>
        </w:rPr>
        <w:t xml:space="preserve"> (s 539(2)). </w:t>
      </w:r>
    </w:p>
    <w:p w14:paraId="11EBF640" w14:textId="3D0269CA" w:rsidR="00BC64F4" w:rsidRDefault="0071710E" w:rsidP="0071710E">
      <w:pPr>
        <w:pStyle w:val="ParaNumbering"/>
        <w:numPr>
          <w:ilvl w:val="0"/>
          <w:numId w:val="0"/>
        </w:numPr>
        <w:tabs>
          <w:tab w:val="left" w:pos="720"/>
        </w:tabs>
        <w:ind w:hanging="720"/>
      </w:pPr>
      <w:r>
        <w:rPr>
          <w:sz w:val="20"/>
        </w:rPr>
        <w:t>22</w:t>
      </w:r>
      <w:r>
        <w:rPr>
          <w:sz w:val="20"/>
        </w:rPr>
        <w:tab/>
      </w:r>
      <w:r w:rsidR="00BC64F4">
        <w:t xml:space="preserve">Now SDA says </w:t>
      </w:r>
      <w:r w:rsidR="00BC64F4" w:rsidRPr="00C32414">
        <w:t xml:space="preserve">that </w:t>
      </w:r>
      <w:r w:rsidR="00BC64F4">
        <w:t>ss</w:t>
      </w:r>
      <w:r w:rsidR="00BC64F4" w:rsidRPr="00C32414">
        <w:t xml:space="preserve"> 539 and 540 of the </w:t>
      </w:r>
      <w:r w:rsidR="00BC64F4" w:rsidRPr="00C32414">
        <w:rPr>
          <w:iCs/>
        </w:rPr>
        <w:t>FW Act</w:t>
      </w:r>
      <w:r w:rsidR="00BC64F4" w:rsidRPr="00C32414">
        <w:t xml:space="preserve"> were enacted </w:t>
      </w:r>
      <w:r w:rsidR="00BC64F4">
        <w:t xml:space="preserve">to </w:t>
      </w:r>
      <w:r w:rsidR="00BC64F4" w:rsidRPr="00C32414">
        <w:t xml:space="preserve">confer rights on employees, groups of employees acting for others, and organisations to apply for orders in relation to a contravention of a civil remedy provision only if certain conditions </w:t>
      </w:r>
      <w:r w:rsidR="00BC64F4">
        <w:t>were</w:t>
      </w:r>
      <w:r w:rsidR="00BC64F4" w:rsidRPr="00C32414">
        <w:t xml:space="preserve"> met.</w:t>
      </w:r>
    </w:p>
    <w:p w14:paraId="2452B025" w14:textId="612E01A8" w:rsidR="00BC64F4" w:rsidRDefault="0071710E" w:rsidP="0071710E">
      <w:pPr>
        <w:pStyle w:val="ParaNumbering"/>
        <w:numPr>
          <w:ilvl w:val="0"/>
          <w:numId w:val="0"/>
        </w:numPr>
        <w:tabs>
          <w:tab w:val="left" w:pos="720"/>
        </w:tabs>
        <w:ind w:hanging="720"/>
        <w:rPr>
          <w:szCs w:val="24"/>
        </w:rPr>
      </w:pPr>
      <w:r>
        <w:rPr>
          <w:sz w:val="20"/>
          <w:szCs w:val="24"/>
        </w:rPr>
        <w:t>23</w:t>
      </w:r>
      <w:r>
        <w:rPr>
          <w:sz w:val="20"/>
          <w:szCs w:val="24"/>
        </w:rPr>
        <w:tab/>
      </w:r>
      <w:r w:rsidR="00BC64F4">
        <w:rPr>
          <w:szCs w:val="24"/>
        </w:rPr>
        <w:t>But it is said that i</w:t>
      </w:r>
      <w:r w:rsidR="00BC64F4" w:rsidRPr="00400540">
        <w:rPr>
          <w:szCs w:val="24"/>
        </w:rPr>
        <w:t xml:space="preserve">n this case the conditions </w:t>
      </w:r>
      <w:r w:rsidR="00BC64F4">
        <w:rPr>
          <w:szCs w:val="24"/>
        </w:rPr>
        <w:t xml:space="preserve">have not been met by </w:t>
      </w:r>
      <w:r w:rsidR="00BC64F4" w:rsidRPr="00400540">
        <w:rPr>
          <w:szCs w:val="24"/>
        </w:rPr>
        <w:t>the</w:t>
      </w:r>
      <w:r w:rsidR="00BC64F4">
        <w:rPr>
          <w:szCs w:val="24"/>
        </w:rPr>
        <w:t xml:space="preserve"> applicants in the Elliott-Carde proceeding</w:t>
      </w:r>
      <w:r w:rsidR="00BC64F4" w:rsidRPr="00400540">
        <w:rPr>
          <w:szCs w:val="24"/>
        </w:rPr>
        <w:t xml:space="preserve">, other than in relation to the Part 4.1 Division 1 orders sought concerning the contraventions that affect Ms </w:t>
      </w:r>
      <w:r w:rsidR="00016A82">
        <w:rPr>
          <w:szCs w:val="24"/>
        </w:rPr>
        <w:t>Elliott-</w:t>
      </w:r>
      <w:r w:rsidR="00BC64F4" w:rsidRPr="00400540">
        <w:rPr>
          <w:szCs w:val="24"/>
        </w:rPr>
        <w:t xml:space="preserve">Carde and Mr Dunlop personally.  </w:t>
      </w:r>
    </w:p>
    <w:p w14:paraId="133C4C71" w14:textId="51987785" w:rsidR="00BC64F4" w:rsidRPr="00400540" w:rsidRDefault="0071710E" w:rsidP="0071710E">
      <w:pPr>
        <w:pStyle w:val="ParaNumbering"/>
        <w:numPr>
          <w:ilvl w:val="0"/>
          <w:numId w:val="0"/>
        </w:numPr>
        <w:tabs>
          <w:tab w:val="left" w:pos="720"/>
        </w:tabs>
        <w:ind w:hanging="720"/>
        <w:rPr>
          <w:szCs w:val="24"/>
        </w:rPr>
      </w:pPr>
      <w:r w:rsidRPr="00400540">
        <w:rPr>
          <w:sz w:val="20"/>
          <w:szCs w:val="24"/>
        </w:rPr>
        <w:t>24</w:t>
      </w:r>
      <w:r w:rsidRPr="00400540">
        <w:rPr>
          <w:sz w:val="20"/>
          <w:szCs w:val="24"/>
        </w:rPr>
        <w:tab/>
      </w:r>
      <w:r w:rsidR="00BC64F4">
        <w:rPr>
          <w:szCs w:val="24"/>
        </w:rPr>
        <w:t>Now by way of background the SDA has said that i</w:t>
      </w:r>
      <w:r w:rsidR="00BC64F4" w:rsidRPr="00400540">
        <w:rPr>
          <w:szCs w:val="24"/>
        </w:rPr>
        <w:t>n 2009 the FW Act expanded the types of representative actions that could be brought under the FW Act.  It</w:t>
      </w:r>
      <w:r w:rsidR="00BC64F4">
        <w:rPr>
          <w:szCs w:val="24"/>
        </w:rPr>
        <w:t xml:space="preserve"> is said that it</w:t>
      </w:r>
      <w:r w:rsidR="00BC64F4" w:rsidRPr="00400540">
        <w:rPr>
          <w:szCs w:val="24"/>
        </w:rPr>
        <w:t xml:space="preserve"> created a new scheme in s 539 and s 540 that elaborately and exhaustively defines who can make applications for orders in relation to contraventions, the conditions those applicants must meet to do so, and limit</w:t>
      </w:r>
      <w:r w:rsidR="00BC64F4" w:rsidRPr="005E0425">
        <w:rPr>
          <w:szCs w:val="24"/>
        </w:rPr>
        <w:t>s</w:t>
      </w:r>
      <w:r w:rsidR="00BC64F4" w:rsidRPr="00400540">
        <w:rPr>
          <w:szCs w:val="24"/>
        </w:rPr>
        <w:t xml:space="preserve"> the types of contraventions that can be the subject of those applications.</w:t>
      </w:r>
    </w:p>
    <w:p w14:paraId="0B4D4C18" w14:textId="743FE09A" w:rsidR="00BC64F4" w:rsidRDefault="0071710E" w:rsidP="0071710E">
      <w:pPr>
        <w:pStyle w:val="ParaNumbering"/>
        <w:numPr>
          <w:ilvl w:val="0"/>
          <w:numId w:val="0"/>
        </w:numPr>
        <w:tabs>
          <w:tab w:val="left" w:pos="720"/>
        </w:tabs>
        <w:ind w:hanging="720"/>
        <w:rPr>
          <w:szCs w:val="24"/>
        </w:rPr>
      </w:pPr>
      <w:r>
        <w:rPr>
          <w:sz w:val="20"/>
          <w:szCs w:val="24"/>
        </w:rPr>
        <w:t>25</w:t>
      </w:r>
      <w:r>
        <w:rPr>
          <w:sz w:val="20"/>
          <w:szCs w:val="24"/>
        </w:rPr>
        <w:tab/>
      </w:r>
      <w:r w:rsidR="00BC64F4">
        <w:rPr>
          <w:szCs w:val="24"/>
        </w:rPr>
        <w:t>It is said that t</w:t>
      </w:r>
      <w:r w:rsidR="00BC64F4" w:rsidRPr="00400540">
        <w:rPr>
          <w:szCs w:val="24"/>
        </w:rPr>
        <w:t xml:space="preserve">he text, context, </w:t>
      </w:r>
      <w:proofErr w:type="gramStart"/>
      <w:r w:rsidR="00BC64F4" w:rsidRPr="00400540">
        <w:rPr>
          <w:szCs w:val="24"/>
        </w:rPr>
        <w:t>purpose</w:t>
      </w:r>
      <w:proofErr w:type="gramEnd"/>
      <w:r w:rsidR="00BC64F4" w:rsidRPr="00400540">
        <w:rPr>
          <w:szCs w:val="24"/>
        </w:rPr>
        <w:t xml:space="preserve"> and history of ss 539 and 540 evince a legislative intention to restrict the standing of applicants identified in s 540 to apply for such orders to those who are not excluded by the newly created limitations.  </w:t>
      </w:r>
    </w:p>
    <w:p w14:paraId="2F6CDB4F" w14:textId="102B9D58" w:rsidR="00BC64F4" w:rsidRDefault="0071710E" w:rsidP="0071710E">
      <w:pPr>
        <w:pStyle w:val="ParaNumbering"/>
        <w:numPr>
          <w:ilvl w:val="0"/>
          <w:numId w:val="0"/>
        </w:numPr>
        <w:tabs>
          <w:tab w:val="left" w:pos="720"/>
        </w:tabs>
        <w:ind w:hanging="720"/>
        <w:rPr>
          <w:szCs w:val="24"/>
        </w:rPr>
      </w:pPr>
      <w:r>
        <w:rPr>
          <w:sz w:val="20"/>
          <w:szCs w:val="24"/>
        </w:rPr>
        <w:t>26</w:t>
      </w:r>
      <w:r>
        <w:rPr>
          <w:sz w:val="20"/>
          <w:szCs w:val="24"/>
        </w:rPr>
        <w:tab/>
      </w:r>
      <w:r w:rsidR="00BC64F4">
        <w:rPr>
          <w:szCs w:val="24"/>
        </w:rPr>
        <w:t xml:space="preserve">It is said that this </w:t>
      </w:r>
      <w:r w:rsidR="00BC64F4" w:rsidRPr="00400540">
        <w:rPr>
          <w:szCs w:val="24"/>
        </w:rPr>
        <w:t xml:space="preserve">scheme impliedly repeals and is inconsistent with s 33D of the </w:t>
      </w:r>
      <w:r w:rsidR="00BC64F4">
        <w:rPr>
          <w:szCs w:val="24"/>
        </w:rPr>
        <w:t>F</w:t>
      </w:r>
      <w:r w:rsidR="00BC64F4" w:rsidRPr="00400540">
        <w:rPr>
          <w:szCs w:val="24"/>
        </w:rPr>
        <w:t>CA Act to the extent</w:t>
      </w:r>
      <w:r w:rsidR="00BC64F4">
        <w:rPr>
          <w:szCs w:val="24"/>
        </w:rPr>
        <w:t xml:space="preserve"> that</w:t>
      </w:r>
      <w:r w:rsidR="00BC64F4" w:rsidRPr="00400540">
        <w:rPr>
          <w:szCs w:val="24"/>
        </w:rPr>
        <w:t xml:space="preserve"> s 33D confers standing on employees and groups of employees to apply for an order </w:t>
      </w:r>
      <w:r w:rsidR="00BC64F4">
        <w:rPr>
          <w:szCs w:val="24"/>
        </w:rPr>
        <w:t xml:space="preserve">in a representative capacity </w:t>
      </w:r>
      <w:r w:rsidR="00BC64F4" w:rsidRPr="00400540">
        <w:rPr>
          <w:szCs w:val="24"/>
        </w:rPr>
        <w:t>in relation to a contravention of a civil remedy provision.</w:t>
      </w:r>
      <w:r w:rsidR="00BC64F4">
        <w:rPr>
          <w:szCs w:val="24"/>
        </w:rPr>
        <w:t xml:space="preserve">  </w:t>
      </w:r>
      <w:r w:rsidR="00BC64F4" w:rsidRPr="004473BD">
        <w:rPr>
          <w:szCs w:val="24"/>
        </w:rPr>
        <w:t xml:space="preserve">It is said that the implied repeal arises as the result of necessary implication.  </w:t>
      </w:r>
    </w:p>
    <w:p w14:paraId="7E262E14" w14:textId="3DAF7BC2" w:rsidR="00BC64F4" w:rsidRPr="004473BD" w:rsidRDefault="0071710E" w:rsidP="0071710E">
      <w:pPr>
        <w:pStyle w:val="ParaNumbering"/>
        <w:numPr>
          <w:ilvl w:val="0"/>
          <w:numId w:val="0"/>
        </w:numPr>
        <w:tabs>
          <w:tab w:val="left" w:pos="720"/>
        </w:tabs>
        <w:ind w:hanging="720"/>
        <w:rPr>
          <w:szCs w:val="24"/>
        </w:rPr>
      </w:pPr>
      <w:r w:rsidRPr="004473BD">
        <w:rPr>
          <w:sz w:val="20"/>
          <w:szCs w:val="24"/>
        </w:rPr>
        <w:t>27</w:t>
      </w:r>
      <w:r w:rsidRPr="004473BD">
        <w:rPr>
          <w:sz w:val="20"/>
          <w:szCs w:val="24"/>
        </w:rPr>
        <w:tab/>
      </w:r>
      <w:r w:rsidR="00BC64F4">
        <w:rPr>
          <w:szCs w:val="24"/>
        </w:rPr>
        <w:t>It is said that t</w:t>
      </w:r>
      <w:r w:rsidR="00BC64F4" w:rsidRPr="004473BD">
        <w:rPr>
          <w:szCs w:val="24"/>
        </w:rPr>
        <w:t>he limits in ss 540(1), (2), (5) and (6) that allow applications “only if” certain conditions are met are inconsistent with the s 33D scheme allowing applications regardless of those limits.</w:t>
      </w:r>
    </w:p>
    <w:p w14:paraId="19C2A0F1" w14:textId="3A3FD3DC" w:rsidR="00BC64F4" w:rsidRPr="00400540" w:rsidRDefault="0071710E" w:rsidP="0071710E">
      <w:pPr>
        <w:pStyle w:val="ParaNumbering"/>
        <w:numPr>
          <w:ilvl w:val="0"/>
          <w:numId w:val="0"/>
        </w:numPr>
        <w:tabs>
          <w:tab w:val="left" w:pos="720"/>
        </w:tabs>
        <w:ind w:hanging="720"/>
        <w:rPr>
          <w:szCs w:val="24"/>
        </w:rPr>
      </w:pPr>
      <w:r w:rsidRPr="00400540">
        <w:rPr>
          <w:sz w:val="20"/>
          <w:szCs w:val="24"/>
        </w:rPr>
        <w:t>28</w:t>
      </w:r>
      <w:r w:rsidRPr="00400540">
        <w:rPr>
          <w:sz w:val="20"/>
          <w:szCs w:val="24"/>
        </w:rPr>
        <w:tab/>
      </w:r>
      <w:r w:rsidR="00BC64F4">
        <w:rPr>
          <w:szCs w:val="24"/>
        </w:rPr>
        <w:t xml:space="preserve">Now the SDA accepts that prior to 2009, s 33D conferred standing to make representative claims </w:t>
      </w:r>
      <w:r w:rsidR="00BC64F4" w:rsidRPr="00400540">
        <w:rPr>
          <w:szCs w:val="24"/>
        </w:rPr>
        <w:t xml:space="preserve">in relation to contraventions of the </w:t>
      </w:r>
      <w:r w:rsidR="00BC64F4" w:rsidRPr="00400540">
        <w:rPr>
          <w:i/>
          <w:szCs w:val="24"/>
        </w:rPr>
        <w:t>Workplace Relations Act 1996</w:t>
      </w:r>
      <w:r w:rsidR="00BC64F4" w:rsidRPr="00400540">
        <w:rPr>
          <w:szCs w:val="24"/>
        </w:rPr>
        <w:t xml:space="preserve"> </w:t>
      </w:r>
      <w:r w:rsidR="00BC64F4">
        <w:rPr>
          <w:szCs w:val="24"/>
        </w:rPr>
        <w:t>(</w:t>
      </w:r>
      <w:proofErr w:type="spellStart"/>
      <w:r w:rsidR="00BC64F4">
        <w:rPr>
          <w:szCs w:val="24"/>
        </w:rPr>
        <w:t>Cth</w:t>
      </w:r>
      <w:proofErr w:type="spellEnd"/>
      <w:r w:rsidR="00BC64F4">
        <w:rPr>
          <w:szCs w:val="24"/>
        </w:rPr>
        <w:t xml:space="preserve">) </w:t>
      </w:r>
      <w:r w:rsidR="00BC64F4" w:rsidRPr="00400540">
        <w:rPr>
          <w:szCs w:val="24"/>
        </w:rPr>
        <w:t xml:space="preserve">and its predecessors.  </w:t>
      </w:r>
      <w:r w:rsidR="00BC64F4">
        <w:rPr>
          <w:szCs w:val="24"/>
        </w:rPr>
        <w:t>But it is said that i</w:t>
      </w:r>
      <w:r w:rsidR="00BC64F4" w:rsidRPr="00400540">
        <w:rPr>
          <w:szCs w:val="24"/>
        </w:rPr>
        <w:t>n 2009 “the legislature introduced a standing provision which departed substantially from its predecessor”</w:t>
      </w:r>
      <w:r w:rsidR="00BC64F4">
        <w:rPr>
          <w:szCs w:val="24"/>
        </w:rPr>
        <w:t xml:space="preserve"> (</w:t>
      </w:r>
      <w:r w:rsidR="00BC64F4" w:rsidRPr="00400540">
        <w:rPr>
          <w:i/>
          <w:szCs w:val="24"/>
        </w:rPr>
        <w:t xml:space="preserve">Regional Express Holdings Ltd v Australian Federation of Air Pilots </w:t>
      </w:r>
      <w:r w:rsidR="00BC64F4" w:rsidRPr="00400540">
        <w:rPr>
          <w:szCs w:val="24"/>
        </w:rPr>
        <w:t>(2016) 244 FCR 344 at [59]</w:t>
      </w:r>
      <w:r w:rsidR="00BC64F4">
        <w:rPr>
          <w:szCs w:val="24"/>
        </w:rPr>
        <w:t xml:space="preserve"> per Jessup J, North and White JJ concurring)</w:t>
      </w:r>
      <w:r w:rsidR="00BC64F4" w:rsidRPr="00400540">
        <w:rPr>
          <w:szCs w:val="24"/>
        </w:rPr>
        <w:t>.</w:t>
      </w:r>
    </w:p>
    <w:p w14:paraId="5AA4F1C6" w14:textId="6C19F102" w:rsidR="00BC64F4" w:rsidRDefault="0071710E" w:rsidP="0071710E">
      <w:pPr>
        <w:pStyle w:val="ParaNumbering"/>
        <w:numPr>
          <w:ilvl w:val="0"/>
          <w:numId w:val="0"/>
        </w:numPr>
        <w:tabs>
          <w:tab w:val="left" w:pos="720"/>
        </w:tabs>
        <w:ind w:hanging="720"/>
        <w:rPr>
          <w:szCs w:val="24"/>
        </w:rPr>
      </w:pPr>
      <w:r>
        <w:rPr>
          <w:sz w:val="20"/>
          <w:szCs w:val="24"/>
        </w:rPr>
        <w:t>29</w:t>
      </w:r>
      <w:r>
        <w:rPr>
          <w:sz w:val="20"/>
          <w:szCs w:val="24"/>
        </w:rPr>
        <w:tab/>
      </w:r>
      <w:r w:rsidR="00BC64F4">
        <w:rPr>
          <w:szCs w:val="24"/>
        </w:rPr>
        <w:t>It is said that t</w:t>
      </w:r>
      <w:r w:rsidR="00BC64F4" w:rsidRPr="00400540">
        <w:rPr>
          <w:szCs w:val="24"/>
        </w:rPr>
        <w:t xml:space="preserve">he </w:t>
      </w:r>
      <w:r w:rsidR="00BC64F4">
        <w:rPr>
          <w:szCs w:val="24"/>
        </w:rPr>
        <w:t>e</w:t>
      </w:r>
      <w:r w:rsidR="00BC64F4" w:rsidRPr="00400540">
        <w:rPr>
          <w:szCs w:val="24"/>
        </w:rPr>
        <w:t xml:space="preserve">xplanatory </w:t>
      </w:r>
      <w:r w:rsidR="00BC64F4">
        <w:rPr>
          <w:szCs w:val="24"/>
        </w:rPr>
        <w:t>m</w:t>
      </w:r>
      <w:r w:rsidR="00BC64F4" w:rsidRPr="00400540">
        <w:rPr>
          <w:szCs w:val="24"/>
        </w:rPr>
        <w:t xml:space="preserve">emorandum to the </w:t>
      </w:r>
      <w:r w:rsidR="00BC64F4">
        <w:rPr>
          <w:szCs w:val="24"/>
        </w:rPr>
        <w:t xml:space="preserve">relevant </w:t>
      </w:r>
      <w:r w:rsidR="00BC64F4" w:rsidRPr="005E0425">
        <w:rPr>
          <w:iCs/>
          <w:szCs w:val="24"/>
        </w:rPr>
        <w:t>Fair Work Bill</w:t>
      </w:r>
      <w:r w:rsidR="00BC64F4" w:rsidRPr="00400540">
        <w:rPr>
          <w:szCs w:val="24"/>
        </w:rPr>
        <w:t xml:space="preserve"> identified </w:t>
      </w:r>
      <w:r w:rsidR="00BC64F4">
        <w:rPr>
          <w:szCs w:val="24"/>
        </w:rPr>
        <w:t xml:space="preserve">(pp </w:t>
      </w:r>
      <w:proofErr w:type="spellStart"/>
      <w:r w:rsidR="00BC64F4">
        <w:rPr>
          <w:szCs w:val="24"/>
        </w:rPr>
        <w:t>i</w:t>
      </w:r>
      <w:proofErr w:type="spellEnd"/>
      <w:r w:rsidR="00BC64F4">
        <w:rPr>
          <w:szCs w:val="24"/>
        </w:rPr>
        <w:t xml:space="preserve"> to iii) </w:t>
      </w:r>
      <w:r w:rsidR="00BC64F4" w:rsidRPr="00400540">
        <w:rPr>
          <w:szCs w:val="24"/>
        </w:rPr>
        <w:t>that a major reform was that the new Act “enhances compliance with the new workplace relations system by providing a single, accessible compliance system”. It declare</w:t>
      </w:r>
      <w:r w:rsidR="00BC64F4">
        <w:rPr>
          <w:szCs w:val="24"/>
        </w:rPr>
        <w:t>d</w:t>
      </w:r>
      <w:r w:rsidR="00BC64F4" w:rsidRPr="00400540">
        <w:rPr>
          <w:szCs w:val="24"/>
        </w:rPr>
        <w:t xml:space="preserve"> </w:t>
      </w:r>
      <w:r w:rsidR="00BC64F4">
        <w:rPr>
          <w:szCs w:val="24"/>
        </w:rPr>
        <w:t xml:space="preserve">(at [2120]) </w:t>
      </w:r>
      <w:r w:rsidR="00BC64F4" w:rsidRPr="00400540">
        <w:rPr>
          <w:szCs w:val="24"/>
        </w:rPr>
        <w:t xml:space="preserve">that “Part 4-1 establishes a single compliance framework for the new workplace relations system”. </w:t>
      </w:r>
    </w:p>
    <w:p w14:paraId="04DC29ED" w14:textId="58CA833F" w:rsidR="00BC64F4" w:rsidRPr="00400540" w:rsidRDefault="0071710E" w:rsidP="0071710E">
      <w:pPr>
        <w:pStyle w:val="ParaNumbering"/>
        <w:numPr>
          <w:ilvl w:val="0"/>
          <w:numId w:val="0"/>
        </w:numPr>
        <w:tabs>
          <w:tab w:val="left" w:pos="720"/>
        </w:tabs>
        <w:ind w:hanging="720"/>
        <w:rPr>
          <w:szCs w:val="24"/>
        </w:rPr>
      </w:pPr>
      <w:r w:rsidRPr="00400540">
        <w:rPr>
          <w:sz w:val="20"/>
          <w:szCs w:val="24"/>
        </w:rPr>
        <w:t>30</w:t>
      </w:r>
      <w:r w:rsidRPr="00400540">
        <w:rPr>
          <w:sz w:val="20"/>
          <w:szCs w:val="24"/>
        </w:rPr>
        <w:tab/>
      </w:r>
      <w:r w:rsidR="00BC64F4">
        <w:rPr>
          <w:szCs w:val="24"/>
        </w:rPr>
        <w:t>Generally, it is said that i</w:t>
      </w:r>
      <w:r w:rsidR="00BC64F4" w:rsidRPr="00400540">
        <w:rPr>
          <w:szCs w:val="24"/>
        </w:rPr>
        <w:t xml:space="preserve">n 2009 the FW Act introduced a specific and comprehensive standing scheme that defined the types of representative actions that could be brought and provided that those actions could be brought </w:t>
      </w:r>
      <w:r w:rsidR="00BC64F4">
        <w:rPr>
          <w:szCs w:val="24"/>
        </w:rPr>
        <w:t>“</w:t>
      </w:r>
      <w:r w:rsidR="00BC64F4" w:rsidRPr="00400540">
        <w:rPr>
          <w:szCs w:val="24"/>
        </w:rPr>
        <w:t>only if</w:t>
      </w:r>
      <w:r w:rsidR="00BC64F4">
        <w:rPr>
          <w:szCs w:val="24"/>
        </w:rPr>
        <w:t>”</w:t>
      </w:r>
      <w:r w:rsidR="00BC64F4" w:rsidRPr="00400540">
        <w:rPr>
          <w:szCs w:val="24"/>
        </w:rPr>
        <w:t xml:space="preserve"> certain conditions were met.</w:t>
      </w:r>
    </w:p>
    <w:p w14:paraId="0D411948" w14:textId="6C717CB8" w:rsidR="00BC64F4" w:rsidRDefault="0071710E" w:rsidP="0071710E">
      <w:pPr>
        <w:pStyle w:val="ParaNumbering"/>
        <w:numPr>
          <w:ilvl w:val="0"/>
          <w:numId w:val="0"/>
        </w:numPr>
        <w:tabs>
          <w:tab w:val="left" w:pos="720"/>
        </w:tabs>
        <w:ind w:hanging="720"/>
        <w:rPr>
          <w:szCs w:val="24"/>
        </w:rPr>
      </w:pPr>
      <w:r>
        <w:rPr>
          <w:sz w:val="20"/>
          <w:szCs w:val="24"/>
        </w:rPr>
        <w:t>31</w:t>
      </w:r>
      <w:r>
        <w:rPr>
          <w:sz w:val="20"/>
          <w:szCs w:val="24"/>
        </w:rPr>
        <w:tab/>
      </w:r>
      <w:r w:rsidR="00BC64F4">
        <w:rPr>
          <w:szCs w:val="24"/>
        </w:rPr>
        <w:t>It is said that t</w:t>
      </w:r>
      <w:r w:rsidR="00BC64F4" w:rsidRPr="00400540">
        <w:rPr>
          <w:szCs w:val="24"/>
        </w:rPr>
        <w:t xml:space="preserve">he text and context support the conclusion that s 540 was intended to limit the standing of employees, groups of employees and organisations to apply for Division 1 orders in relation to contraventions of civil remedy provisions to those who satisfy the limitations in s 540.  </w:t>
      </w:r>
      <w:r w:rsidR="00BC64F4">
        <w:rPr>
          <w:szCs w:val="24"/>
        </w:rPr>
        <w:t>It is said that t</w:t>
      </w:r>
      <w:r w:rsidR="00BC64F4" w:rsidRPr="00400540">
        <w:rPr>
          <w:szCs w:val="24"/>
        </w:rPr>
        <w:t>he substantive right to apply for relief is conferred by s 539, subject to s</w:t>
      </w:r>
      <w:r w:rsidR="00BC64F4">
        <w:rPr>
          <w:szCs w:val="24"/>
        </w:rPr>
        <w:t> </w:t>
      </w:r>
      <w:r w:rsidR="00BC64F4" w:rsidRPr="00400540">
        <w:rPr>
          <w:szCs w:val="24"/>
        </w:rPr>
        <w:t xml:space="preserve">540.  It does not contemplate an alternative means of enforcing awards and enterprise agreements.  Section 540 is titled “limitations on who may apply for orders etc.”  </w:t>
      </w:r>
    </w:p>
    <w:p w14:paraId="15738AC4" w14:textId="37A267B6" w:rsidR="00BC64F4" w:rsidRDefault="0071710E" w:rsidP="0071710E">
      <w:pPr>
        <w:pStyle w:val="ParaNumbering"/>
        <w:numPr>
          <w:ilvl w:val="0"/>
          <w:numId w:val="0"/>
        </w:numPr>
        <w:tabs>
          <w:tab w:val="left" w:pos="720"/>
        </w:tabs>
        <w:ind w:hanging="720"/>
        <w:rPr>
          <w:szCs w:val="24"/>
        </w:rPr>
      </w:pPr>
      <w:r>
        <w:rPr>
          <w:sz w:val="20"/>
          <w:szCs w:val="24"/>
        </w:rPr>
        <w:t>32</w:t>
      </w:r>
      <w:r>
        <w:rPr>
          <w:sz w:val="20"/>
          <w:szCs w:val="24"/>
        </w:rPr>
        <w:tab/>
      </w:r>
      <w:r w:rsidR="00BC64F4">
        <w:rPr>
          <w:szCs w:val="24"/>
        </w:rPr>
        <w:t>It is said that s</w:t>
      </w:r>
      <w:r w:rsidR="00BC64F4" w:rsidRPr="00400540">
        <w:rPr>
          <w:szCs w:val="24"/>
        </w:rPr>
        <w:t xml:space="preserve"> 539(2) confers a right of standing on 13 types</w:t>
      </w:r>
      <w:r w:rsidR="00BC64F4">
        <w:rPr>
          <w:szCs w:val="24"/>
        </w:rPr>
        <w:t xml:space="preserve"> of </w:t>
      </w:r>
      <w:proofErr w:type="gramStart"/>
      <w:r w:rsidR="00BC64F4">
        <w:rPr>
          <w:szCs w:val="24"/>
        </w:rPr>
        <w:t>person</w:t>
      </w:r>
      <w:proofErr w:type="gramEnd"/>
      <w:r w:rsidR="00BC64F4">
        <w:rPr>
          <w:szCs w:val="24"/>
        </w:rPr>
        <w:t xml:space="preserve"> to apply for orders “in relation to contraventions”</w:t>
      </w:r>
      <w:r w:rsidR="00BC64F4" w:rsidRPr="00400540">
        <w:rPr>
          <w:szCs w:val="24"/>
        </w:rPr>
        <w:t xml:space="preserve"> of civil remedy provisions: </w:t>
      </w:r>
      <w:proofErr w:type="spellStart"/>
      <w:r w:rsidR="00BC64F4" w:rsidRPr="00400540">
        <w:rPr>
          <w:szCs w:val="24"/>
        </w:rPr>
        <w:t>cf</w:t>
      </w:r>
      <w:proofErr w:type="spellEnd"/>
      <w:r w:rsidR="00BC64F4" w:rsidRPr="00400540">
        <w:rPr>
          <w:szCs w:val="24"/>
        </w:rPr>
        <w:t xml:space="preserve"> s 718(1) of the </w:t>
      </w:r>
      <w:r w:rsidR="00BC64F4" w:rsidRPr="004934C8">
        <w:rPr>
          <w:szCs w:val="24"/>
        </w:rPr>
        <w:t>WR Act</w:t>
      </w:r>
      <w:r w:rsidR="00BC64F4" w:rsidRPr="00400540">
        <w:rPr>
          <w:szCs w:val="24"/>
        </w:rPr>
        <w:t>.  Subsections 540(1), (2), (5) and (6) impose limitations on the right of standing on 9 of those 13</w:t>
      </w:r>
      <w:r w:rsidR="00BC64F4">
        <w:rPr>
          <w:szCs w:val="24"/>
        </w:rPr>
        <w:t>,</w:t>
      </w:r>
      <w:r w:rsidR="00BC64F4" w:rsidRPr="00400540">
        <w:rPr>
          <w:szCs w:val="24"/>
        </w:rPr>
        <w:t xml:space="preserve"> including limits on the right of standing of employees and, through s 540(6), groups of employees.  </w:t>
      </w:r>
    </w:p>
    <w:p w14:paraId="0C9F501B" w14:textId="54540DCE" w:rsidR="00BC64F4" w:rsidRDefault="0071710E" w:rsidP="0071710E">
      <w:pPr>
        <w:pStyle w:val="ParaNumbering"/>
        <w:numPr>
          <w:ilvl w:val="0"/>
          <w:numId w:val="0"/>
        </w:numPr>
        <w:tabs>
          <w:tab w:val="left" w:pos="720"/>
        </w:tabs>
        <w:ind w:hanging="720"/>
        <w:rPr>
          <w:szCs w:val="24"/>
        </w:rPr>
      </w:pPr>
      <w:r>
        <w:rPr>
          <w:sz w:val="20"/>
          <w:szCs w:val="24"/>
        </w:rPr>
        <w:t>33</w:t>
      </w:r>
      <w:r>
        <w:rPr>
          <w:sz w:val="20"/>
          <w:szCs w:val="24"/>
        </w:rPr>
        <w:tab/>
      </w:r>
      <w:r w:rsidR="00BC64F4">
        <w:rPr>
          <w:szCs w:val="24"/>
        </w:rPr>
        <w:t>It is said that t</w:t>
      </w:r>
      <w:r w:rsidR="00BC64F4" w:rsidRPr="00400540">
        <w:rPr>
          <w:szCs w:val="24"/>
        </w:rPr>
        <w:t xml:space="preserve">he rights of standing granted to employees by ss 539(2) and items 2 and 4, read with the limits in s 540(1), confer on an employee the right to apply for a </w:t>
      </w:r>
      <w:proofErr w:type="gramStart"/>
      <w:r w:rsidR="00BC64F4" w:rsidRPr="00400540">
        <w:rPr>
          <w:szCs w:val="24"/>
        </w:rPr>
        <w:t>Division</w:t>
      </w:r>
      <w:proofErr w:type="gramEnd"/>
      <w:r w:rsidR="00BC64F4" w:rsidRPr="00400540">
        <w:rPr>
          <w:szCs w:val="24"/>
        </w:rPr>
        <w:t xml:space="preserve"> 1 order in relation to a contravention of an award or enterprise agreement “only if the person is affected by the contravention”.  </w:t>
      </w:r>
      <w:r w:rsidR="00BC64F4">
        <w:rPr>
          <w:szCs w:val="24"/>
        </w:rPr>
        <w:t>It is said that t</w:t>
      </w:r>
      <w:r w:rsidR="00BC64F4" w:rsidRPr="00400540">
        <w:rPr>
          <w:szCs w:val="24"/>
        </w:rPr>
        <w:t xml:space="preserve">he words “only if” in this context mean “if and not otherwise”.  The intent is to limit the standing of an employee to apply for an order in relation to the </w:t>
      </w:r>
      <w:proofErr w:type="gramStart"/>
      <w:r w:rsidR="00BC64F4" w:rsidRPr="00400540">
        <w:rPr>
          <w:szCs w:val="24"/>
        </w:rPr>
        <w:t>particular contravention</w:t>
      </w:r>
      <w:proofErr w:type="gramEnd"/>
      <w:r w:rsidR="00BC64F4" w:rsidRPr="00400540">
        <w:rPr>
          <w:szCs w:val="24"/>
        </w:rPr>
        <w:t xml:space="preserve"> that affected that particular employee, and not confer standing on an employee in relation to contraventions that only affect other employees.</w:t>
      </w:r>
    </w:p>
    <w:p w14:paraId="56D0D98C" w14:textId="3E295FFC" w:rsidR="00BC64F4" w:rsidRDefault="0071710E" w:rsidP="0071710E">
      <w:pPr>
        <w:pStyle w:val="ParaNumbering"/>
        <w:numPr>
          <w:ilvl w:val="0"/>
          <w:numId w:val="0"/>
        </w:numPr>
        <w:tabs>
          <w:tab w:val="left" w:pos="720"/>
        </w:tabs>
        <w:ind w:hanging="720"/>
        <w:rPr>
          <w:szCs w:val="24"/>
        </w:rPr>
      </w:pPr>
      <w:r>
        <w:rPr>
          <w:sz w:val="20"/>
          <w:szCs w:val="24"/>
        </w:rPr>
        <w:t>34</w:t>
      </w:r>
      <w:r>
        <w:rPr>
          <w:sz w:val="20"/>
          <w:szCs w:val="24"/>
        </w:rPr>
        <w:tab/>
      </w:r>
      <w:r w:rsidR="00BC64F4">
        <w:rPr>
          <w:szCs w:val="24"/>
        </w:rPr>
        <w:t>It is said that t</w:t>
      </w:r>
      <w:r w:rsidR="00BC64F4" w:rsidRPr="00400540">
        <w:rPr>
          <w:szCs w:val="24"/>
        </w:rPr>
        <w:t>he limits imposed by s 540(1) are incompatible with a concurrent s 33D right of standing.</w:t>
      </w:r>
    </w:p>
    <w:p w14:paraId="2536C37A" w14:textId="07D980A8" w:rsidR="00BC64F4" w:rsidRPr="00332D64" w:rsidRDefault="0071710E" w:rsidP="0071710E">
      <w:pPr>
        <w:pStyle w:val="ParaNumbering"/>
        <w:numPr>
          <w:ilvl w:val="0"/>
          <w:numId w:val="0"/>
        </w:numPr>
        <w:tabs>
          <w:tab w:val="left" w:pos="720"/>
        </w:tabs>
        <w:ind w:hanging="720"/>
        <w:rPr>
          <w:szCs w:val="24"/>
        </w:rPr>
      </w:pPr>
      <w:r w:rsidRPr="00332D64">
        <w:rPr>
          <w:sz w:val="20"/>
          <w:szCs w:val="24"/>
        </w:rPr>
        <w:t>35</w:t>
      </w:r>
      <w:r w:rsidRPr="00332D64">
        <w:rPr>
          <w:sz w:val="20"/>
          <w:szCs w:val="24"/>
        </w:rPr>
        <w:tab/>
      </w:r>
      <w:r w:rsidR="00BC64F4">
        <w:rPr>
          <w:szCs w:val="24"/>
        </w:rPr>
        <w:t>Section</w:t>
      </w:r>
      <w:r w:rsidR="00BC64F4" w:rsidRPr="00400540">
        <w:rPr>
          <w:szCs w:val="24"/>
        </w:rPr>
        <w:t xml:space="preserve"> 33D permits an application by an employee in relation to contraventions that do not affect the applicant employee.</w:t>
      </w:r>
      <w:r w:rsidR="00BC64F4">
        <w:rPr>
          <w:szCs w:val="24"/>
        </w:rPr>
        <w:t xml:space="preserve">  But i</w:t>
      </w:r>
      <w:r w:rsidR="00BC64F4" w:rsidRPr="00332D64">
        <w:rPr>
          <w:szCs w:val="24"/>
        </w:rPr>
        <w:t>t is said that an employee who has a right under ss</w:t>
      </w:r>
      <w:r w:rsidR="00BC64F4">
        <w:rPr>
          <w:szCs w:val="24"/>
        </w:rPr>
        <w:t> </w:t>
      </w:r>
      <w:r w:rsidR="00BC64F4" w:rsidRPr="00332D64">
        <w:rPr>
          <w:szCs w:val="24"/>
        </w:rPr>
        <w:t>539 and 540 to seek orders against an employer would not have a right to seek orders against the employer for or on behalf of employees who were not employed by that employer.  But it is said that if s 33D operates concurrently, the employee would be able to seek orders for those employees.  In that circumstance it is said that the limit in the FW Act would thereby be circumvented by allowing that concurrent operation.</w:t>
      </w:r>
    </w:p>
    <w:p w14:paraId="40F5DD36" w14:textId="301745B2" w:rsidR="00BC64F4" w:rsidRPr="00400540" w:rsidRDefault="0071710E" w:rsidP="0071710E">
      <w:pPr>
        <w:pStyle w:val="ParaNumbering"/>
        <w:numPr>
          <w:ilvl w:val="0"/>
          <w:numId w:val="0"/>
        </w:numPr>
        <w:tabs>
          <w:tab w:val="left" w:pos="720"/>
        </w:tabs>
        <w:ind w:hanging="720"/>
        <w:rPr>
          <w:szCs w:val="24"/>
        </w:rPr>
      </w:pPr>
      <w:r w:rsidRPr="00400540">
        <w:rPr>
          <w:sz w:val="20"/>
          <w:szCs w:val="24"/>
        </w:rPr>
        <w:t>36</w:t>
      </w:r>
      <w:r w:rsidRPr="00400540">
        <w:rPr>
          <w:sz w:val="20"/>
          <w:szCs w:val="24"/>
        </w:rPr>
        <w:tab/>
      </w:r>
      <w:r w:rsidR="00BC64F4">
        <w:rPr>
          <w:szCs w:val="24"/>
        </w:rPr>
        <w:t xml:space="preserve">Further, it is said that </w:t>
      </w:r>
      <w:r w:rsidR="00BC64F4" w:rsidRPr="00400540">
        <w:rPr>
          <w:szCs w:val="24"/>
        </w:rPr>
        <w:t xml:space="preserve">a concurrent s 33D right of standing is not consistent with the words “only if” in s 540(1).  </w:t>
      </w:r>
      <w:r w:rsidR="00BC64F4">
        <w:rPr>
          <w:szCs w:val="24"/>
        </w:rPr>
        <w:t>And it is said that t</w:t>
      </w:r>
      <w:r w:rsidR="00BC64F4" w:rsidRPr="00400540">
        <w:rPr>
          <w:szCs w:val="24"/>
        </w:rPr>
        <w:t xml:space="preserve">hose words or similar words of limitation were not contained in </w:t>
      </w:r>
      <w:r w:rsidR="00BC64F4" w:rsidRPr="005E0425">
        <w:rPr>
          <w:szCs w:val="24"/>
        </w:rPr>
        <w:t>the</w:t>
      </w:r>
      <w:r w:rsidR="00BC64F4">
        <w:rPr>
          <w:szCs w:val="24"/>
        </w:rPr>
        <w:t xml:space="preserve"> </w:t>
      </w:r>
      <w:r w:rsidR="00BC64F4" w:rsidRPr="00400540">
        <w:rPr>
          <w:szCs w:val="24"/>
        </w:rPr>
        <w:t>predecessor of s 540</w:t>
      </w:r>
      <w:r w:rsidR="00BC64F4">
        <w:rPr>
          <w:szCs w:val="24"/>
        </w:rPr>
        <w:t>; see</w:t>
      </w:r>
      <w:r w:rsidR="00BC64F4" w:rsidRPr="00400540">
        <w:rPr>
          <w:szCs w:val="24"/>
        </w:rPr>
        <w:t xml:space="preserve"> s 718 of the </w:t>
      </w:r>
      <w:r w:rsidR="00BC64F4">
        <w:rPr>
          <w:szCs w:val="24"/>
        </w:rPr>
        <w:t>WR Act</w:t>
      </w:r>
      <w:r w:rsidR="00BC64F4" w:rsidRPr="00400540">
        <w:rPr>
          <w:szCs w:val="24"/>
        </w:rPr>
        <w:t xml:space="preserve">.  </w:t>
      </w:r>
      <w:r w:rsidR="00BC64F4">
        <w:rPr>
          <w:szCs w:val="24"/>
        </w:rPr>
        <w:t>It is said that t</w:t>
      </w:r>
      <w:r w:rsidR="00BC64F4" w:rsidRPr="00400540">
        <w:rPr>
          <w:szCs w:val="24"/>
        </w:rPr>
        <w:t>he words “only if” in s 540(1) should not be read as “if</w:t>
      </w:r>
      <w:r w:rsidR="00BC64F4">
        <w:rPr>
          <w:szCs w:val="24"/>
        </w:rPr>
        <w:t>”</w:t>
      </w:r>
      <w:r w:rsidR="00BC64F4" w:rsidRPr="00400540">
        <w:rPr>
          <w:szCs w:val="24"/>
        </w:rPr>
        <w:t xml:space="preserve">.  </w:t>
      </w:r>
      <w:r w:rsidR="00BC64F4">
        <w:rPr>
          <w:szCs w:val="24"/>
        </w:rPr>
        <w:t xml:space="preserve">And it is said that such words </w:t>
      </w:r>
      <w:r w:rsidR="00BC64F4" w:rsidRPr="00400540">
        <w:rPr>
          <w:szCs w:val="24"/>
        </w:rPr>
        <w:t>reflected the legislative intention to create a single compliance framework.</w:t>
      </w:r>
    </w:p>
    <w:p w14:paraId="33343BCE" w14:textId="0273D0A0" w:rsidR="00BC64F4" w:rsidRPr="00400540" w:rsidRDefault="0071710E" w:rsidP="0071710E">
      <w:pPr>
        <w:pStyle w:val="ParaNumbering"/>
        <w:numPr>
          <w:ilvl w:val="0"/>
          <w:numId w:val="0"/>
        </w:numPr>
        <w:tabs>
          <w:tab w:val="left" w:pos="720"/>
        </w:tabs>
        <w:ind w:hanging="720"/>
        <w:rPr>
          <w:szCs w:val="24"/>
        </w:rPr>
      </w:pPr>
      <w:r w:rsidRPr="00400540">
        <w:rPr>
          <w:sz w:val="20"/>
          <w:szCs w:val="24"/>
        </w:rPr>
        <w:t>37</w:t>
      </w:r>
      <w:r w:rsidRPr="00400540">
        <w:rPr>
          <w:sz w:val="20"/>
          <w:szCs w:val="24"/>
        </w:rPr>
        <w:tab/>
      </w:r>
      <w:r w:rsidR="00BC64F4">
        <w:rPr>
          <w:szCs w:val="24"/>
        </w:rPr>
        <w:t>Now a</w:t>
      </w:r>
      <w:r w:rsidR="00BC64F4" w:rsidRPr="00400540">
        <w:rPr>
          <w:szCs w:val="24"/>
        </w:rPr>
        <w:t>ctions by employee organisations, registered employee associations, and industrial associations are all types of representative actions.  The applicants in those actions are each entitled to represent the interests</w:t>
      </w:r>
      <w:r w:rsidR="00BC64F4" w:rsidRPr="00400540">
        <w:rPr>
          <w:spacing w:val="-2"/>
          <w:szCs w:val="24"/>
        </w:rPr>
        <w:t xml:space="preserve"> </w:t>
      </w:r>
      <w:r w:rsidR="00BC64F4" w:rsidRPr="00400540">
        <w:rPr>
          <w:szCs w:val="24"/>
        </w:rPr>
        <w:t>of a class</w:t>
      </w:r>
      <w:r w:rsidR="00BC64F4">
        <w:rPr>
          <w:szCs w:val="24"/>
        </w:rPr>
        <w:t xml:space="preserve"> (</w:t>
      </w:r>
      <w:r w:rsidR="00BC64F4" w:rsidRPr="00400540">
        <w:rPr>
          <w:szCs w:val="24"/>
        </w:rPr>
        <w:t>s</w:t>
      </w:r>
      <w:r w:rsidR="00BC64F4" w:rsidRPr="00400540">
        <w:rPr>
          <w:spacing w:val="-1"/>
          <w:szCs w:val="24"/>
        </w:rPr>
        <w:t xml:space="preserve"> </w:t>
      </w:r>
      <w:r w:rsidR="00BC64F4" w:rsidRPr="00400540">
        <w:rPr>
          <w:szCs w:val="24"/>
        </w:rPr>
        <w:t>540(6)(b)(ii)</w:t>
      </w:r>
      <w:r w:rsidR="00BC64F4">
        <w:rPr>
          <w:szCs w:val="24"/>
        </w:rPr>
        <w:t>)</w:t>
      </w:r>
      <w:r w:rsidR="00BC64F4" w:rsidRPr="00400540">
        <w:rPr>
          <w:szCs w:val="24"/>
        </w:rPr>
        <w:t xml:space="preserve">. </w:t>
      </w:r>
    </w:p>
    <w:p w14:paraId="75E729D8" w14:textId="64EA0FFA" w:rsidR="00BC64F4" w:rsidRDefault="0071710E" w:rsidP="0071710E">
      <w:pPr>
        <w:pStyle w:val="ParaNumbering"/>
        <w:numPr>
          <w:ilvl w:val="0"/>
          <w:numId w:val="0"/>
        </w:numPr>
        <w:tabs>
          <w:tab w:val="left" w:pos="720"/>
        </w:tabs>
        <w:ind w:hanging="720"/>
        <w:rPr>
          <w:szCs w:val="24"/>
        </w:rPr>
      </w:pPr>
      <w:r>
        <w:rPr>
          <w:sz w:val="20"/>
          <w:szCs w:val="24"/>
        </w:rPr>
        <w:t>38</w:t>
      </w:r>
      <w:r>
        <w:rPr>
          <w:sz w:val="20"/>
          <w:szCs w:val="24"/>
        </w:rPr>
        <w:tab/>
      </w:r>
      <w:r w:rsidR="00BC64F4">
        <w:rPr>
          <w:szCs w:val="24"/>
        </w:rPr>
        <w:t>It is said that ss</w:t>
      </w:r>
      <w:r w:rsidR="00BC64F4" w:rsidRPr="00400540">
        <w:rPr>
          <w:szCs w:val="24"/>
        </w:rPr>
        <w:t xml:space="preserve"> 539 and 540 </w:t>
      </w:r>
      <w:r w:rsidR="00BC64F4">
        <w:rPr>
          <w:szCs w:val="24"/>
        </w:rPr>
        <w:t xml:space="preserve">delineate </w:t>
      </w:r>
      <w:r w:rsidR="00BC64F4" w:rsidRPr="00400540">
        <w:rPr>
          <w:szCs w:val="24"/>
        </w:rPr>
        <w:t>the contraventions that ca</w:t>
      </w:r>
      <w:r w:rsidR="00BC64F4" w:rsidRPr="005E0425">
        <w:rPr>
          <w:szCs w:val="24"/>
        </w:rPr>
        <w:t>n be</w:t>
      </w:r>
      <w:r w:rsidR="00BC64F4">
        <w:rPr>
          <w:szCs w:val="24"/>
        </w:rPr>
        <w:t xml:space="preserve"> </w:t>
      </w:r>
      <w:r w:rsidR="00BC64F4" w:rsidRPr="00400540">
        <w:rPr>
          <w:szCs w:val="24"/>
        </w:rPr>
        <w:t>the subject of each type of representative action</w:t>
      </w:r>
      <w:r w:rsidR="00BC64F4">
        <w:rPr>
          <w:szCs w:val="24"/>
        </w:rPr>
        <w:t>; see</w:t>
      </w:r>
      <w:r w:rsidR="00BC64F4" w:rsidRPr="00400540">
        <w:rPr>
          <w:szCs w:val="24"/>
        </w:rPr>
        <w:t xml:space="preserve"> </w:t>
      </w:r>
      <w:r w:rsidR="00BC64F4">
        <w:rPr>
          <w:szCs w:val="24"/>
        </w:rPr>
        <w:t>for example</w:t>
      </w:r>
      <w:r w:rsidR="00BC64F4" w:rsidRPr="00400540">
        <w:rPr>
          <w:szCs w:val="24"/>
        </w:rPr>
        <w:t xml:space="preserve"> the limited rights of industrial associations in s</w:t>
      </w:r>
      <w:r w:rsidR="00BC64F4">
        <w:rPr>
          <w:szCs w:val="24"/>
        </w:rPr>
        <w:t> </w:t>
      </w:r>
      <w:r w:rsidR="00BC64F4" w:rsidRPr="00400540">
        <w:rPr>
          <w:szCs w:val="24"/>
        </w:rPr>
        <w:t>539(2) items 11</w:t>
      </w:r>
      <w:r w:rsidR="00BC64F4">
        <w:rPr>
          <w:szCs w:val="24"/>
        </w:rPr>
        <w:t xml:space="preserve"> and</w:t>
      </w:r>
      <w:r w:rsidR="00BC64F4" w:rsidRPr="00400540">
        <w:rPr>
          <w:szCs w:val="24"/>
        </w:rPr>
        <w:t xml:space="preserve"> 12.  </w:t>
      </w:r>
    </w:p>
    <w:p w14:paraId="403D45C5" w14:textId="52676DBF" w:rsidR="00BC64F4" w:rsidRPr="00400540" w:rsidRDefault="0071710E" w:rsidP="0071710E">
      <w:pPr>
        <w:pStyle w:val="ParaNumbering"/>
        <w:numPr>
          <w:ilvl w:val="0"/>
          <w:numId w:val="0"/>
        </w:numPr>
        <w:tabs>
          <w:tab w:val="left" w:pos="720"/>
        </w:tabs>
        <w:ind w:hanging="720"/>
        <w:rPr>
          <w:szCs w:val="24"/>
        </w:rPr>
      </w:pPr>
      <w:r w:rsidRPr="00400540">
        <w:rPr>
          <w:sz w:val="20"/>
          <w:szCs w:val="24"/>
        </w:rPr>
        <w:t>39</w:t>
      </w:r>
      <w:r w:rsidRPr="00400540">
        <w:rPr>
          <w:sz w:val="20"/>
          <w:szCs w:val="24"/>
        </w:rPr>
        <w:tab/>
      </w:r>
      <w:r w:rsidR="00BC64F4">
        <w:rPr>
          <w:szCs w:val="24"/>
        </w:rPr>
        <w:t>It is said that t</w:t>
      </w:r>
      <w:r w:rsidR="00BC64F4" w:rsidRPr="00400540">
        <w:rPr>
          <w:szCs w:val="24"/>
        </w:rPr>
        <w:t>he creation of that scheme in 2009 was not intended to operate concurrently with s</w:t>
      </w:r>
      <w:r w:rsidR="00BC64F4">
        <w:rPr>
          <w:szCs w:val="24"/>
        </w:rPr>
        <w:t> </w:t>
      </w:r>
      <w:r w:rsidR="00BC64F4" w:rsidRPr="00400540">
        <w:rPr>
          <w:szCs w:val="24"/>
        </w:rPr>
        <w:t xml:space="preserve">33D </w:t>
      </w:r>
      <w:r w:rsidR="00BC64F4">
        <w:rPr>
          <w:szCs w:val="24"/>
        </w:rPr>
        <w:t>and the Part IVA</w:t>
      </w:r>
      <w:r w:rsidR="00BC64F4" w:rsidRPr="00400540">
        <w:rPr>
          <w:szCs w:val="24"/>
        </w:rPr>
        <w:t xml:space="preserve"> scheme that creates a form of representative proceeding free of those restrictions.</w:t>
      </w:r>
    </w:p>
    <w:p w14:paraId="09AA6B9D" w14:textId="3C382EC7" w:rsidR="00BC64F4" w:rsidRPr="00387E76" w:rsidRDefault="0071710E" w:rsidP="0071710E">
      <w:pPr>
        <w:pStyle w:val="ParaNumbering"/>
        <w:numPr>
          <w:ilvl w:val="0"/>
          <w:numId w:val="0"/>
        </w:numPr>
        <w:tabs>
          <w:tab w:val="left" w:pos="720"/>
        </w:tabs>
        <w:ind w:hanging="720"/>
        <w:rPr>
          <w:szCs w:val="24"/>
        </w:rPr>
      </w:pPr>
      <w:r w:rsidRPr="00387E76">
        <w:rPr>
          <w:sz w:val="20"/>
          <w:szCs w:val="24"/>
        </w:rPr>
        <w:t>40</w:t>
      </w:r>
      <w:r w:rsidRPr="00387E76">
        <w:rPr>
          <w:sz w:val="20"/>
          <w:szCs w:val="24"/>
        </w:rPr>
        <w:tab/>
      </w:r>
      <w:r w:rsidR="00BC64F4">
        <w:rPr>
          <w:szCs w:val="24"/>
        </w:rPr>
        <w:t>Now the SDA accepts that p</w:t>
      </w:r>
      <w:r w:rsidR="00BC64F4" w:rsidRPr="00400540">
        <w:rPr>
          <w:szCs w:val="24"/>
        </w:rPr>
        <w:t>rior to the enactment of the FW Act the persons who had standing to apply for relief on “the employee side” were employees, types of registered or recognised organisations and, through s 33D, certain employees on behalf of other employees</w:t>
      </w:r>
      <w:r w:rsidR="00BC64F4">
        <w:rPr>
          <w:szCs w:val="24"/>
        </w:rPr>
        <w:t xml:space="preserve"> (see </w:t>
      </w:r>
      <w:r w:rsidR="00BC64F4" w:rsidRPr="00400540">
        <w:rPr>
          <w:szCs w:val="24"/>
        </w:rPr>
        <w:t xml:space="preserve">s 718 of the </w:t>
      </w:r>
      <w:r w:rsidR="00BC64F4" w:rsidRPr="004934C8">
        <w:rPr>
          <w:szCs w:val="24"/>
        </w:rPr>
        <w:t>WR Act</w:t>
      </w:r>
      <w:r w:rsidR="00BC64F4">
        <w:rPr>
          <w:szCs w:val="24"/>
        </w:rPr>
        <w:t>)</w:t>
      </w:r>
      <w:r w:rsidR="00BC64F4" w:rsidRPr="004934C8">
        <w:rPr>
          <w:szCs w:val="24"/>
        </w:rPr>
        <w:t>.</w:t>
      </w:r>
      <w:r w:rsidR="00BC64F4">
        <w:rPr>
          <w:szCs w:val="24"/>
        </w:rPr>
        <w:t xml:space="preserve">  But it is said that i</w:t>
      </w:r>
      <w:r w:rsidR="00BC64F4" w:rsidRPr="00387E76">
        <w:rPr>
          <w:szCs w:val="24"/>
        </w:rPr>
        <w:t>n</w:t>
      </w:r>
      <w:r w:rsidR="00BC64F4" w:rsidRPr="00387E76">
        <w:rPr>
          <w:spacing w:val="-9"/>
          <w:szCs w:val="24"/>
        </w:rPr>
        <w:t xml:space="preserve"> </w:t>
      </w:r>
      <w:r w:rsidR="00BC64F4" w:rsidRPr="00387E76">
        <w:rPr>
          <w:szCs w:val="24"/>
        </w:rPr>
        <w:t>2009</w:t>
      </w:r>
      <w:r w:rsidR="00BC64F4" w:rsidRPr="00387E76">
        <w:rPr>
          <w:spacing w:val="-10"/>
          <w:szCs w:val="24"/>
        </w:rPr>
        <w:t xml:space="preserve"> </w:t>
      </w:r>
      <w:r w:rsidR="00BC64F4" w:rsidRPr="00387E76">
        <w:rPr>
          <w:szCs w:val="24"/>
        </w:rPr>
        <w:t>the</w:t>
      </w:r>
      <w:r w:rsidR="00BC64F4" w:rsidRPr="00387E76">
        <w:rPr>
          <w:spacing w:val="-9"/>
          <w:szCs w:val="24"/>
        </w:rPr>
        <w:t xml:space="preserve"> </w:t>
      </w:r>
      <w:r w:rsidR="00BC64F4" w:rsidRPr="00387E76">
        <w:rPr>
          <w:szCs w:val="24"/>
        </w:rPr>
        <w:t>FW</w:t>
      </w:r>
      <w:r w:rsidR="00BC64F4" w:rsidRPr="00387E76">
        <w:rPr>
          <w:spacing w:val="-9"/>
          <w:szCs w:val="24"/>
        </w:rPr>
        <w:t xml:space="preserve"> </w:t>
      </w:r>
      <w:r w:rsidR="00BC64F4" w:rsidRPr="00387E76">
        <w:rPr>
          <w:szCs w:val="24"/>
        </w:rPr>
        <w:t>Act</w:t>
      </w:r>
      <w:r w:rsidR="00BC64F4" w:rsidRPr="00387E76">
        <w:rPr>
          <w:spacing w:val="-9"/>
          <w:szCs w:val="24"/>
        </w:rPr>
        <w:t xml:space="preserve"> </w:t>
      </w:r>
      <w:r w:rsidR="00BC64F4" w:rsidRPr="00387E76">
        <w:rPr>
          <w:szCs w:val="24"/>
        </w:rPr>
        <w:t>replaced</w:t>
      </w:r>
      <w:r w:rsidR="00BC64F4" w:rsidRPr="00387E76">
        <w:rPr>
          <w:spacing w:val="-10"/>
          <w:szCs w:val="24"/>
        </w:rPr>
        <w:t xml:space="preserve"> </w:t>
      </w:r>
      <w:r w:rsidR="00BC64F4" w:rsidRPr="00387E76">
        <w:rPr>
          <w:szCs w:val="24"/>
        </w:rPr>
        <w:t>the</w:t>
      </w:r>
      <w:r w:rsidR="00BC64F4" w:rsidRPr="00387E76">
        <w:rPr>
          <w:spacing w:val="-9"/>
          <w:szCs w:val="24"/>
        </w:rPr>
        <w:t xml:space="preserve"> </w:t>
      </w:r>
      <w:r w:rsidR="00BC64F4" w:rsidRPr="00387E76">
        <w:rPr>
          <w:szCs w:val="24"/>
        </w:rPr>
        <w:t>former</w:t>
      </w:r>
      <w:r w:rsidR="00BC64F4" w:rsidRPr="00387E76">
        <w:rPr>
          <w:spacing w:val="-9"/>
          <w:szCs w:val="24"/>
        </w:rPr>
        <w:t xml:space="preserve"> </w:t>
      </w:r>
      <w:r w:rsidR="00BC64F4" w:rsidRPr="00387E76">
        <w:rPr>
          <w:szCs w:val="24"/>
        </w:rPr>
        <w:t>scheme</w:t>
      </w:r>
      <w:r w:rsidR="00BC64F4" w:rsidRPr="00387E76">
        <w:rPr>
          <w:spacing w:val="-10"/>
          <w:szCs w:val="24"/>
        </w:rPr>
        <w:t xml:space="preserve"> </w:t>
      </w:r>
      <w:r w:rsidR="00BC64F4" w:rsidRPr="00387E76">
        <w:rPr>
          <w:szCs w:val="24"/>
        </w:rPr>
        <w:t>and conferred</w:t>
      </w:r>
      <w:r w:rsidR="00BC64F4" w:rsidRPr="00387E76">
        <w:rPr>
          <w:spacing w:val="-9"/>
          <w:szCs w:val="24"/>
        </w:rPr>
        <w:t xml:space="preserve"> </w:t>
      </w:r>
      <w:r w:rsidR="00BC64F4" w:rsidRPr="00387E76">
        <w:rPr>
          <w:szCs w:val="24"/>
        </w:rPr>
        <w:t>standing</w:t>
      </w:r>
      <w:r w:rsidR="00BC64F4" w:rsidRPr="00387E76">
        <w:rPr>
          <w:spacing w:val="-9"/>
          <w:szCs w:val="24"/>
        </w:rPr>
        <w:t xml:space="preserve"> </w:t>
      </w:r>
      <w:r w:rsidR="00BC64F4" w:rsidRPr="00387E76">
        <w:rPr>
          <w:szCs w:val="24"/>
        </w:rPr>
        <w:t>for</w:t>
      </w:r>
      <w:r w:rsidR="00BC64F4" w:rsidRPr="00387E76">
        <w:rPr>
          <w:spacing w:val="-8"/>
          <w:szCs w:val="24"/>
        </w:rPr>
        <w:t xml:space="preserve"> </w:t>
      </w:r>
      <w:r w:rsidR="00BC64F4" w:rsidRPr="00387E76">
        <w:rPr>
          <w:szCs w:val="24"/>
        </w:rPr>
        <w:t>the</w:t>
      </w:r>
      <w:r w:rsidR="00BC64F4" w:rsidRPr="00387E76">
        <w:rPr>
          <w:spacing w:val="-8"/>
          <w:szCs w:val="24"/>
        </w:rPr>
        <w:t xml:space="preserve"> </w:t>
      </w:r>
      <w:r w:rsidR="00BC64F4" w:rsidRPr="00387E76">
        <w:rPr>
          <w:szCs w:val="24"/>
        </w:rPr>
        <w:t>first</w:t>
      </w:r>
      <w:r w:rsidR="00BC64F4" w:rsidRPr="00387E76">
        <w:rPr>
          <w:spacing w:val="-8"/>
          <w:szCs w:val="24"/>
        </w:rPr>
        <w:t xml:space="preserve"> </w:t>
      </w:r>
      <w:r w:rsidR="00BC64F4" w:rsidRPr="00387E76">
        <w:rPr>
          <w:szCs w:val="24"/>
        </w:rPr>
        <w:t>time</w:t>
      </w:r>
      <w:r w:rsidR="00BC64F4" w:rsidRPr="00387E76">
        <w:rPr>
          <w:spacing w:val="-9"/>
          <w:szCs w:val="24"/>
        </w:rPr>
        <w:t xml:space="preserve"> </w:t>
      </w:r>
      <w:r w:rsidR="00BC64F4" w:rsidRPr="00387E76">
        <w:rPr>
          <w:szCs w:val="24"/>
        </w:rPr>
        <w:t>on</w:t>
      </w:r>
      <w:r w:rsidR="00BC64F4" w:rsidRPr="00387E76">
        <w:rPr>
          <w:spacing w:val="-6"/>
          <w:szCs w:val="24"/>
        </w:rPr>
        <w:t xml:space="preserve"> </w:t>
      </w:r>
      <w:r w:rsidR="00BC64F4" w:rsidRPr="00387E76">
        <w:rPr>
          <w:szCs w:val="24"/>
        </w:rPr>
        <w:t>an</w:t>
      </w:r>
      <w:r w:rsidR="00BC64F4" w:rsidRPr="00387E76">
        <w:rPr>
          <w:spacing w:val="-8"/>
          <w:szCs w:val="24"/>
        </w:rPr>
        <w:t xml:space="preserve"> </w:t>
      </w:r>
      <w:r w:rsidR="00BC64F4" w:rsidRPr="00387E76">
        <w:rPr>
          <w:szCs w:val="24"/>
        </w:rPr>
        <w:t>informal</w:t>
      </w:r>
      <w:r w:rsidR="00BC64F4" w:rsidRPr="00387E76">
        <w:rPr>
          <w:spacing w:val="-10"/>
          <w:szCs w:val="24"/>
        </w:rPr>
        <w:t xml:space="preserve"> </w:t>
      </w:r>
      <w:r w:rsidR="00BC64F4" w:rsidRPr="00387E76">
        <w:rPr>
          <w:szCs w:val="24"/>
        </w:rPr>
        <w:t>association</w:t>
      </w:r>
      <w:r w:rsidR="00BC64F4" w:rsidRPr="00387E76">
        <w:rPr>
          <w:spacing w:val="-8"/>
          <w:szCs w:val="24"/>
        </w:rPr>
        <w:t xml:space="preserve"> </w:t>
      </w:r>
      <w:r w:rsidR="00BC64F4" w:rsidRPr="00387E76">
        <w:rPr>
          <w:szCs w:val="24"/>
        </w:rPr>
        <w:t>consisting</w:t>
      </w:r>
      <w:r w:rsidR="00BC64F4" w:rsidRPr="00387E76">
        <w:rPr>
          <w:spacing w:val="-9"/>
          <w:szCs w:val="24"/>
        </w:rPr>
        <w:t xml:space="preserve"> </w:t>
      </w:r>
      <w:r w:rsidR="00BC64F4" w:rsidRPr="00387E76">
        <w:rPr>
          <w:szCs w:val="24"/>
        </w:rPr>
        <w:t>of</w:t>
      </w:r>
      <w:r w:rsidR="00BC64F4" w:rsidRPr="00387E76">
        <w:rPr>
          <w:spacing w:val="-5"/>
          <w:szCs w:val="24"/>
        </w:rPr>
        <w:t xml:space="preserve"> </w:t>
      </w:r>
      <w:r w:rsidR="004F32E7">
        <w:rPr>
          <w:spacing w:val="-5"/>
          <w:szCs w:val="24"/>
        </w:rPr>
        <w:t xml:space="preserve">a </w:t>
      </w:r>
      <w:r w:rsidR="00BC64F4" w:rsidRPr="00387E76">
        <w:rPr>
          <w:szCs w:val="24"/>
        </w:rPr>
        <w:t>group</w:t>
      </w:r>
      <w:r w:rsidR="00BC64F4" w:rsidRPr="00387E76">
        <w:rPr>
          <w:spacing w:val="-9"/>
          <w:szCs w:val="24"/>
        </w:rPr>
        <w:t xml:space="preserve"> </w:t>
      </w:r>
      <w:r w:rsidR="00BC64F4" w:rsidRPr="00387E76">
        <w:rPr>
          <w:szCs w:val="24"/>
        </w:rPr>
        <w:t>of</w:t>
      </w:r>
      <w:r w:rsidR="00BC64F4" w:rsidRPr="00387E76">
        <w:rPr>
          <w:spacing w:val="-8"/>
          <w:szCs w:val="24"/>
        </w:rPr>
        <w:t xml:space="preserve"> </w:t>
      </w:r>
      <w:r w:rsidR="00BC64F4" w:rsidRPr="00387E76">
        <w:rPr>
          <w:szCs w:val="24"/>
        </w:rPr>
        <w:t>employees to apply for relief for some contraventions: s 539 and s 540(6).  It is said that this reform was significant in two</w:t>
      </w:r>
      <w:r w:rsidR="00BC64F4" w:rsidRPr="00387E76">
        <w:rPr>
          <w:spacing w:val="-15"/>
          <w:szCs w:val="24"/>
        </w:rPr>
        <w:t xml:space="preserve"> </w:t>
      </w:r>
      <w:r w:rsidR="00BC64F4" w:rsidRPr="00387E76">
        <w:rPr>
          <w:szCs w:val="24"/>
        </w:rPr>
        <w:t>respects.</w:t>
      </w:r>
    </w:p>
    <w:p w14:paraId="69EF1FBA" w14:textId="60FBF022" w:rsidR="00BC64F4" w:rsidRPr="00400540" w:rsidRDefault="0071710E" w:rsidP="0071710E">
      <w:pPr>
        <w:pStyle w:val="ParaNumbering"/>
        <w:numPr>
          <w:ilvl w:val="0"/>
          <w:numId w:val="0"/>
        </w:numPr>
        <w:tabs>
          <w:tab w:val="left" w:pos="720"/>
        </w:tabs>
        <w:ind w:hanging="720"/>
        <w:rPr>
          <w:szCs w:val="24"/>
        </w:rPr>
      </w:pPr>
      <w:r w:rsidRPr="00400540">
        <w:rPr>
          <w:sz w:val="20"/>
          <w:szCs w:val="24"/>
        </w:rPr>
        <w:t>41</w:t>
      </w:r>
      <w:r w:rsidRPr="00400540">
        <w:rPr>
          <w:sz w:val="20"/>
          <w:szCs w:val="24"/>
        </w:rPr>
        <w:tab/>
      </w:r>
      <w:r w:rsidR="00BC64F4" w:rsidRPr="00400540">
        <w:rPr>
          <w:szCs w:val="24"/>
        </w:rPr>
        <w:t>First,</w:t>
      </w:r>
      <w:r w:rsidR="00BC64F4" w:rsidRPr="00400540">
        <w:rPr>
          <w:spacing w:val="-15"/>
          <w:szCs w:val="24"/>
        </w:rPr>
        <w:t xml:space="preserve"> </w:t>
      </w:r>
      <w:r w:rsidR="00BC64F4" w:rsidRPr="00400540">
        <w:rPr>
          <w:szCs w:val="24"/>
        </w:rPr>
        <w:t>it</w:t>
      </w:r>
      <w:r w:rsidR="00BC64F4" w:rsidRPr="00400540">
        <w:rPr>
          <w:spacing w:val="-15"/>
          <w:szCs w:val="24"/>
        </w:rPr>
        <w:t xml:space="preserve"> </w:t>
      </w:r>
      <w:r w:rsidR="00BC64F4" w:rsidRPr="00400540">
        <w:rPr>
          <w:szCs w:val="24"/>
        </w:rPr>
        <w:t>created</w:t>
      </w:r>
      <w:r w:rsidR="00BC64F4" w:rsidRPr="00400540">
        <w:rPr>
          <w:spacing w:val="-15"/>
          <w:szCs w:val="24"/>
        </w:rPr>
        <w:t xml:space="preserve"> </w:t>
      </w:r>
      <w:r w:rsidR="00BC64F4" w:rsidRPr="00400540">
        <w:rPr>
          <w:szCs w:val="24"/>
        </w:rPr>
        <w:t>a</w:t>
      </w:r>
      <w:r w:rsidR="00BC64F4" w:rsidRPr="00400540">
        <w:rPr>
          <w:spacing w:val="-15"/>
          <w:szCs w:val="24"/>
        </w:rPr>
        <w:t xml:space="preserve"> </w:t>
      </w:r>
      <w:r w:rsidR="00BC64F4" w:rsidRPr="00400540">
        <w:rPr>
          <w:szCs w:val="24"/>
        </w:rPr>
        <w:t>representative</w:t>
      </w:r>
      <w:r w:rsidR="00BC64F4" w:rsidRPr="00400540">
        <w:rPr>
          <w:spacing w:val="-15"/>
          <w:szCs w:val="24"/>
        </w:rPr>
        <w:t xml:space="preserve"> </w:t>
      </w:r>
      <w:r w:rsidR="00BC64F4" w:rsidRPr="00400540">
        <w:rPr>
          <w:szCs w:val="24"/>
        </w:rPr>
        <w:t>action</w:t>
      </w:r>
      <w:r w:rsidR="00BC64F4" w:rsidRPr="00400540">
        <w:rPr>
          <w:spacing w:val="-15"/>
          <w:szCs w:val="24"/>
        </w:rPr>
        <w:t xml:space="preserve"> </w:t>
      </w:r>
      <w:r w:rsidR="00BC64F4" w:rsidRPr="00400540">
        <w:rPr>
          <w:szCs w:val="24"/>
        </w:rPr>
        <w:t>scheme</w:t>
      </w:r>
      <w:r w:rsidR="00BC64F4" w:rsidRPr="00400540">
        <w:rPr>
          <w:spacing w:val="-15"/>
          <w:szCs w:val="24"/>
        </w:rPr>
        <w:t xml:space="preserve"> </w:t>
      </w:r>
      <w:r w:rsidR="00BC64F4" w:rsidRPr="00400540">
        <w:rPr>
          <w:szCs w:val="24"/>
        </w:rPr>
        <w:t>available</w:t>
      </w:r>
      <w:r w:rsidR="00BC64F4" w:rsidRPr="00400540">
        <w:rPr>
          <w:spacing w:val="-15"/>
          <w:szCs w:val="24"/>
        </w:rPr>
        <w:t xml:space="preserve"> </w:t>
      </w:r>
      <w:r w:rsidR="00BC64F4" w:rsidRPr="00400540">
        <w:rPr>
          <w:szCs w:val="24"/>
        </w:rPr>
        <w:t>to</w:t>
      </w:r>
      <w:r w:rsidR="00BC64F4" w:rsidRPr="00400540">
        <w:rPr>
          <w:spacing w:val="-15"/>
          <w:szCs w:val="24"/>
        </w:rPr>
        <w:t xml:space="preserve"> </w:t>
      </w:r>
      <w:r w:rsidR="00BC64F4" w:rsidRPr="00400540">
        <w:rPr>
          <w:szCs w:val="24"/>
        </w:rPr>
        <w:t>members</w:t>
      </w:r>
      <w:r w:rsidR="00BC64F4" w:rsidRPr="00400540">
        <w:rPr>
          <w:spacing w:val="-15"/>
          <w:szCs w:val="24"/>
        </w:rPr>
        <w:t xml:space="preserve"> </w:t>
      </w:r>
      <w:r w:rsidR="00BC64F4" w:rsidRPr="00400540">
        <w:rPr>
          <w:szCs w:val="24"/>
        </w:rPr>
        <w:t>and</w:t>
      </w:r>
      <w:r w:rsidR="00BC64F4" w:rsidRPr="00400540">
        <w:rPr>
          <w:spacing w:val="-15"/>
          <w:szCs w:val="24"/>
        </w:rPr>
        <w:t xml:space="preserve"> </w:t>
      </w:r>
      <w:r w:rsidR="00BC64F4" w:rsidRPr="00400540">
        <w:rPr>
          <w:szCs w:val="24"/>
        </w:rPr>
        <w:t>non-union members unique to the FW Act.</w:t>
      </w:r>
    </w:p>
    <w:p w14:paraId="15A11D88" w14:textId="495BC75C" w:rsidR="00BC64F4" w:rsidRPr="00400540" w:rsidRDefault="0071710E" w:rsidP="0071710E">
      <w:pPr>
        <w:pStyle w:val="ParaNumbering"/>
        <w:numPr>
          <w:ilvl w:val="0"/>
          <w:numId w:val="0"/>
        </w:numPr>
        <w:tabs>
          <w:tab w:val="left" w:pos="720"/>
        </w:tabs>
        <w:ind w:hanging="720"/>
        <w:rPr>
          <w:szCs w:val="24"/>
        </w:rPr>
      </w:pPr>
      <w:r w:rsidRPr="00400540">
        <w:rPr>
          <w:sz w:val="20"/>
          <w:szCs w:val="24"/>
        </w:rPr>
        <w:t>42</w:t>
      </w:r>
      <w:r w:rsidRPr="00400540">
        <w:rPr>
          <w:sz w:val="20"/>
          <w:szCs w:val="24"/>
        </w:rPr>
        <w:tab/>
      </w:r>
      <w:r w:rsidR="00BC64F4" w:rsidRPr="00400540">
        <w:rPr>
          <w:szCs w:val="24"/>
        </w:rPr>
        <w:t xml:space="preserve">Second, it altered how s 540 </w:t>
      </w:r>
      <w:r w:rsidR="00BC64F4">
        <w:rPr>
          <w:szCs w:val="24"/>
        </w:rPr>
        <w:t>was</w:t>
      </w:r>
      <w:r w:rsidR="00BC64F4" w:rsidRPr="00400540">
        <w:rPr>
          <w:szCs w:val="24"/>
        </w:rPr>
        <w:t xml:space="preserve"> to be construed.  </w:t>
      </w:r>
      <w:r w:rsidR="00BC64F4">
        <w:rPr>
          <w:szCs w:val="24"/>
        </w:rPr>
        <w:t>Now it is said that t</w:t>
      </w:r>
      <w:r w:rsidR="00BC64F4" w:rsidRPr="00400540">
        <w:rPr>
          <w:szCs w:val="24"/>
        </w:rPr>
        <w:t>he text construed</w:t>
      </w:r>
      <w:r w:rsidR="00BC64F4" w:rsidRPr="00400540">
        <w:rPr>
          <w:spacing w:val="-7"/>
          <w:szCs w:val="24"/>
        </w:rPr>
        <w:t xml:space="preserve"> </w:t>
      </w:r>
      <w:r w:rsidR="00BC64F4" w:rsidRPr="00400540">
        <w:rPr>
          <w:szCs w:val="24"/>
        </w:rPr>
        <w:t>includes</w:t>
      </w:r>
      <w:r w:rsidR="00BC64F4" w:rsidRPr="00400540">
        <w:rPr>
          <w:spacing w:val="-7"/>
          <w:szCs w:val="24"/>
        </w:rPr>
        <w:t xml:space="preserve"> </w:t>
      </w:r>
      <w:r w:rsidR="00BC64F4" w:rsidRPr="00400540">
        <w:rPr>
          <w:szCs w:val="24"/>
        </w:rPr>
        <w:t>the</w:t>
      </w:r>
      <w:r w:rsidR="00BC64F4" w:rsidRPr="00400540">
        <w:rPr>
          <w:spacing w:val="-6"/>
          <w:szCs w:val="24"/>
        </w:rPr>
        <w:t xml:space="preserve"> </w:t>
      </w:r>
      <w:r w:rsidR="00BC64F4" w:rsidRPr="00400540">
        <w:rPr>
          <w:szCs w:val="24"/>
        </w:rPr>
        <w:t>defined</w:t>
      </w:r>
      <w:r w:rsidR="00BC64F4" w:rsidRPr="00400540">
        <w:rPr>
          <w:spacing w:val="-7"/>
          <w:szCs w:val="24"/>
        </w:rPr>
        <w:t xml:space="preserve"> </w:t>
      </w:r>
      <w:r w:rsidR="00BC64F4" w:rsidRPr="00400540">
        <w:rPr>
          <w:szCs w:val="24"/>
        </w:rPr>
        <w:t>terms</w:t>
      </w:r>
      <w:r w:rsidR="00BC64F4" w:rsidRPr="00400540">
        <w:rPr>
          <w:spacing w:val="-7"/>
          <w:szCs w:val="24"/>
        </w:rPr>
        <w:t xml:space="preserve"> </w:t>
      </w:r>
      <w:r w:rsidR="00BC64F4" w:rsidRPr="00400540">
        <w:rPr>
          <w:szCs w:val="24"/>
        </w:rPr>
        <w:t>in</w:t>
      </w:r>
      <w:r w:rsidR="00BC64F4" w:rsidRPr="00400540">
        <w:rPr>
          <w:spacing w:val="-7"/>
          <w:szCs w:val="24"/>
        </w:rPr>
        <w:t xml:space="preserve"> </w:t>
      </w:r>
      <w:r w:rsidR="00BC64F4" w:rsidRPr="00400540">
        <w:rPr>
          <w:szCs w:val="24"/>
        </w:rPr>
        <w:t>it.</w:t>
      </w:r>
      <w:r w:rsidR="00BC64F4" w:rsidRPr="00400540">
        <w:rPr>
          <w:spacing w:val="-7"/>
          <w:szCs w:val="24"/>
        </w:rPr>
        <w:t xml:space="preserve">  </w:t>
      </w:r>
      <w:r w:rsidR="00BC64F4" w:rsidRPr="00400540">
        <w:rPr>
          <w:szCs w:val="24"/>
        </w:rPr>
        <w:t>The</w:t>
      </w:r>
      <w:r w:rsidR="00BC64F4" w:rsidRPr="00400540">
        <w:rPr>
          <w:spacing w:val="-6"/>
          <w:szCs w:val="24"/>
        </w:rPr>
        <w:t xml:space="preserve"> </w:t>
      </w:r>
      <w:r w:rsidR="00BC64F4" w:rsidRPr="00400540">
        <w:rPr>
          <w:szCs w:val="24"/>
        </w:rPr>
        <w:t>words</w:t>
      </w:r>
      <w:r w:rsidR="00BC64F4" w:rsidRPr="00400540">
        <w:rPr>
          <w:spacing w:val="-6"/>
          <w:szCs w:val="24"/>
        </w:rPr>
        <w:t xml:space="preserve"> </w:t>
      </w:r>
      <w:r w:rsidR="00BC64F4" w:rsidRPr="00400540">
        <w:rPr>
          <w:szCs w:val="24"/>
        </w:rPr>
        <w:t>of</w:t>
      </w:r>
      <w:r w:rsidR="00BC64F4" w:rsidRPr="00400540">
        <w:rPr>
          <w:spacing w:val="-5"/>
          <w:szCs w:val="24"/>
        </w:rPr>
        <w:t xml:space="preserve"> </w:t>
      </w:r>
      <w:r w:rsidR="00BC64F4" w:rsidRPr="00400540">
        <w:rPr>
          <w:szCs w:val="24"/>
        </w:rPr>
        <w:t>the</w:t>
      </w:r>
      <w:r w:rsidR="00BC64F4" w:rsidRPr="00400540">
        <w:rPr>
          <w:spacing w:val="-6"/>
          <w:szCs w:val="24"/>
        </w:rPr>
        <w:t xml:space="preserve"> </w:t>
      </w:r>
      <w:r w:rsidR="00BC64F4" w:rsidRPr="00400540">
        <w:rPr>
          <w:szCs w:val="24"/>
        </w:rPr>
        <w:t>definition</w:t>
      </w:r>
      <w:r w:rsidR="00BC64F4" w:rsidRPr="00400540">
        <w:rPr>
          <w:spacing w:val="-6"/>
          <w:szCs w:val="24"/>
        </w:rPr>
        <w:t xml:space="preserve"> </w:t>
      </w:r>
      <w:r w:rsidR="00BC64F4" w:rsidRPr="00400540">
        <w:rPr>
          <w:szCs w:val="24"/>
        </w:rPr>
        <w:t>of</w:t>
      </w:r>
      <w:r w:rsidR="00BC64F4" w:rsidRPr="00400540">
        <w:rPr>
          <w:spacing w:val="-5"/>
          <w:szCs w:val="24"/>
        </w:rPr>
        <w:t xml:space="preserve"> </w:t>
      </w:r>
      <w:r w:rsidR="00BC64F4" w:rsidRPr="00400540">
        <w:rPr>
          <w:szCs w:val="24"/>
        </w:rPr>
        <w:t>“industrial</w:t>
      </w:r>
      <w:r w:rsidR="00BC64F4" w:rsidRPr="00400540">
        <w:rPr>
          <w:spacing w:val="-6"/>
          <w:szCs w:val="24"/>
        </w:rPr>
        <w:t xml:space="preserve"> </w:t>
      </w:r>
      <w:r w:rsidR="00BC64F4" w:rsidRPr="00400540">
        <w:rPr>
          <w:szCs w:val="24"/>
        </w:rPr>
        <w:t>association” from s</w:t>
      </w:r>
      <w:r w:rsidR="00BC64F4" w:rsidRPr="00400540">
        <w:rPr>
          <w:spacing w:val="-1"/>
          <w:szCs w:val="24"/>
        </w:rPr>
        <w:t xml:space="preserve"> </w:t>
      </w:r>
      <w:r w:rsidR="00BC64F4" w:rsidRPr="00400540">
        <w:rPr>
          <w:szCs w:val="24"/>
        </w:rPr>
        <w:t>12</w:t>
      </w:r>
      <w:r w:rsidR="00BC64F4" w:rsidRPr="00400540">
        <w:rPr>
          <w:spacing w:val="-1"/>
          <w:szCs w:val="24"/>
        </w:rPr>
        <w:t xml:space="preserve"> </w:t>
      </w:r>
      <w:r w:rsidR="00BC64F4" w:rsidRPr="00400540">
        <w:rPr>
          <w:szCs w:val="24"/>
        </w:rPr>
        <w:t>are substituted for that defined</w:t>
      </w:r>
      <w:r w:rsidR="00BC64F4" w:rsidRPr="00400540">
        <w:rPr>
          <w:spacing w:val="-1"/>
          <w:szCs w:val="24"/>
        </w:rPr>
        <w:t xml:space="preserve"> </w:t>
      </w:r>
      <w:r w:rsidR="00BC64F4" w:rsidRPr="00400540">
        <w:rPr>
          <w:szCs w:val="24"/>
        </w:rPr>
        <w:t>term in</w:t>
      </w:r>
      <w:r w:rsidR="00BC64F4" w:rsidRPr="00400540">
        <w:rPr>
          <w:spacing w:val="-1"/>
          <w:szCs w:val="24"/>
        </w:rPr>
        <w:t xml:space="preserve"> </w:t>
      </w:r>
      <w:r w:rsidR="00BC64F4" w:rsidRPr="00400540">
        <w:rPr>
          <w:szCs w:val="24"/>
        </w:rPr>
        <w:t>s 540(6)</w:t>
      </w:r>
      <w:r w:rsidR="00BC64F4" w:rsidRPr="00400540">
        <w:rPr>
          <w:spacing w:val="-1"/>
          <w:szCs w:val="24"/>
        </w:rPr>
        <w:t xml:space="preserve"> </w:t>
      </w:r>
      <w:r w:rsidR="00BC64F4" w:rsidRPr="00400540">
        <w:rPr>
          <w:szCs w:val="24"/>
        </w:rPr>
        <w:t>and</w:t>
      </w:r>
      <w:r w:rsidR="00BC64F4" w:rsidRPr="00400540">
        <w:rPr>
          <w:spacing w:val="-1"/>
          <w:szCs w:val="24"/>
        </w:rPr>
        <w:t xml:space="preserve"> </w:t>
      </w:r>
      <w:r w:rsidR="00BC64F4" w:rsidRPr="00400540">
        <w:rPr>
          <w:szCs w:val="24"/>
        </w:rPr>
        <w:t>then</w:t>
      </w:r>
      <w:r w:rsidR="00BC64F4" w:rsidRPr="00400540">
        <w:rPr>
          <w:spacing w:val="-1"/>
          <w:szCs w:val="24"/>
        </w:rPr>
        <w:t xml:space="preserve"> </w:t>
      </w:r>
      <w:r w:rsidR="00BC64F4" w:rsidRPr="00400540">
        <w:rPr>
          <w:szCs w:val="24"/>
        </w:rPr>
        <w:t xml:space="preserve">the substantive enactment is construed in its context.  </w:t>
      </w:r>
      <w:proofErr w:type="gramStart"/>
      <w:r w:rsidR="00BC64F4" w:rsidRPr="00400540">
        <w:rPr>
          <w:szCs w:val="24"/>
        </w:rPr>
        <w:t>As a consequence</w:t>
      </w:r>
      <w:proofErr w:type="gramEnd"/>
      <w:r w:rsidR="00BC64F4" w:rsidRPr="00400540">
        <w:rPr>
          <w:szCs w:val="24"/>
        </w:rPr>
        <w:t>, s 540(6) may be read as:</w:t>
      </w:r>
    </w:p>
    <w:p w14:paraId="60F6A0A7" w14:textId="77777777" w:rsidR="00BC64F4" w:rsidRPr="00400540" w:rsidRDefault="00BC64F4" w:rsidP="00BC64F4">
      <w:pPr>
        <w:pStyle w:val="Quote1"/>
      </w:pPr>
      <w:r w:rsidRPr="00400540">
        <w:t>An association of employees … (whether formed</w:t>
      </w:r>
      <w:r w:rsidRPr="00400540">
        <w:rPr>
          <w:spacing w:val="-5"/>
        </w:rPr>
        <w:t xml:space="preserve"> </w:t>
      </w:r>
      <w:r w:rsidRPr="00400540">
        <w:t>formally</w:t>
      </w:r>
      <w:r w:rsidRPr="00400540">
        <w:rPr>
          <w:spacing w:val="-5"/>
        </w:rPr>
        <w:t xml:space="preserve"> </w:t>
      </w:r>
      <w:r w:rsidRPr="00400540">
        <w:t>or</w:t>
      </w:r>
      <w:r w:rsidRPr="00400540">
        <w:rPr>
          <w:spacing w:val="-6"/>
        </w:rPr>
        <w:t xml:space="preserve"> </w:t>
      </w:r>
      <w:r w:rsidRPr="00400540">
        <w:t>informally),</w:t>
      </w:r>
      <w:r w:rsidRPr="00400540">
        <w:rPr>
          <w:spacing w:val="-5"/>
        </w:rPr>
        <w:t xml:space="preserve"> </w:t>
      </w:r>
      <w:r w:rsidRPr="00400540">
        <w:t>a</w:t>
      </w:r>
      <w:r w:rsidRPr="00400540">
        <w:rPr>
          <w:spacing w:val="-4"/>
        </w:rPr>
        <w:t xml:space="preserve"> </w:t>
      </w:r>
      <w:r w:rsidRPr="00400540">
        <w:t>purpose</w:t>
      </w:r>
      <w:r w:rsidRPr="00400540">
        <w:rPr>
          <w:spacing w:val="-5"/>
        </w:rPr>
        <w:t xml:space="preserve"> </w:t>
      </w:r>
      <w:r w:rsidRPr="00400540">
        <w:t>of</w:t>
      </w:r>
      <w:r w:rsidRPr="00400540">
        <w:rPr>
          <w:spacing w:val="-5"/>
        </w:rPr>
        <w:t xml:space="preserve"> </w:t>
      </w:r>
      <w:r w:rsidRPr="00400540">
        <w:t>which</w:t>
      </w:r>
      <w:r w:rsidRPr="007B4CD0">
        <w:t xml:space="preserve"> </w:t>
      </w:r>
      <w:r w:rsidRPr="00400540">
        <w:t>is</w:t>
      </w:r>
      <w:r w:rsidRPr="007B4CD0">
        <w:t xml:space="preserve"> </w:t>
      </w:r>
      <w:r w:rsidRPr="00400540">
        <w:t>the</w:t>
      </w:r>
      <w:r w:rsidRPr="007B4CD0">
        <w:t xml:space="preserve"> </w:t>
      </w:r>
      <w:r w:rsidRPr="00400540">
        <w:t>protection</w:t>
      </w:r>
      <w:r w:rsidRPr="007B4CD0">
        <w:t xml:space="preserve"> </w:t>
      </w:r>
      <w:r w:rsidRPr="00400540">
        <w:t>and</w:t>
      </w:r>
      <w:r w:rsidRPr="007B4CD0">
        <w:t xml:space="preserve"> </w:t>
      </w:r>
      <w:r w:rsidRPr="00400540">
        <w:t>promotion</w:t>
      </w:r>
      <w:r w:rsidRPr="007B4CD0">
        <w:t xml:space="preserve"> </w:t>
      </w:r>
      <w:r w:rsidRPr="00400540">
        <w:t>of</w:t>
      </w:r>
      <w:r w:rsidRPr="007B4CD0">
        <w:t xml:space="preserve"> </w:t>
      </w:r>
      <w:r w:rsidRPr="00400540">
        <w:t xml:space="preserve">their </w:t>
      </w:r>
      <w:r w:rsidRPr="007B4CD0">
        <w:t xml:space="preserve">interests in matters concerning their employment … may apply for an order under this Division, </w:t>
      </w:r>
      <w:r w:rsidRPr="00400540">
        <w:t>in</w:t>
      </w:r>
      <w:r w:rsidRPr="007B4CD0">
        <w:t xml:space="preserve"> </w:t>
      </w:r>
      <w:r w:rsidRPr="00400540">
        <w:t>relation</w:t>
      </w:r>
      <w:r w:rsidRPr="007B4CD0">
        <w:t xml:space="preserve"> </w:t>
      </w:r>
      <w:r w:rsidRPr="00400540">
        <w:t>to</w:t>
      </w:r>
      <w:r w:rsidRPr="007B4CD0">
        <w:t xml:space="preserve"> </w:t>
      </w:r>
      <w:r w:rsidRPr="00400540">
        <w:t>a</w:t>
      </w:r>
      <w:r w:rsidRPr="007B4CD0">
        <w:t xml:space="preserve"> </w:t>
      </w:r>
      <w:r w:rsidRPr="00400540">
        <w:t>contravention</w:t>
      </w:r>
      <w:r w:rsidRPr="007B4CD0">
        <w:t xml:space="preserve"> </w:t>
      </w:r>
      <w:r w:rsidRPr="00400540">
        <w:t>or</w:t>
      </w:r>
      <w:r w:rsidRPr="007B4CD0">
        <w:t xml:space="preserve"> </w:t>
      </w:r>
      <w:r w:rsidRPr="00400540">
        <w:t>proposed</w:t>
      </w:r>
      <w:r w:rsidRPr="007B4CD0">
        <w:t xml:space="preserve"> </w:t>
      </w:r>
      <w:r w:rsidRPr="00400540">
        <w:t>contravention</w:t>
      </w:r>
      <w:r w:rsidRPr="00400540">
        <w:rPr>
          <w:spacing w:val="-15"/>
        </w:rPr>
        <w:t xml:space="preserve"> </w:t>
      </w:r>
      <w:r w:rsidRPr="00400540">
        <w:t>of</w:t>
      </w:r>
      <w:r w:rsidRPr="00400540">
        <w:rPr>
          <w:spacing w:val="-16"/>
        </w:rPr>
        <w:t xml:space="preserve"> </w:t>
      </w:r>
      <w:r w:rsidRPr="00400540">
        <w:t>a</w:t>
      </w:r>
      <w:r w:rsidRPr="00400540">
        <w:rPr>
          <w:spacing w:val="-16"/>
        </w:rPr>
        <w:t xml:space="preserve"> </w:t>
      </w:r>
      <w:r w:rsidRPr="00400540">
        <w:t>civil</w:t>
      </w:r>
      <w:r w:rsidRPr="00400540">
        <w:rPr>
          <w:spacing w:val="-15"/>
        </w:rPr>
        <w:t xml:space="preserve"> </w:t>
      </w:r>
      <w:r w:rsidRPr="00400540">
        <w:t>remedy</w:t>
      </w:r>
      <w:r w:rsidRPr="00400540">
        <w:rPr>
          <w:spacing w:val="-16"/>
        </w:rPr>
        <w:t xml:space="preserve"> </w:t>
      </w:r>
      <w:r w:rsidRPr="00400540">
        <w:t>provision,</w:t>
      </w:r>
      <w:r w:rsidRPr="00400540">
        <w:rPr>
          <w:spacing w:val="-16"/>
        </w:rPr>
        <w:t xml:space="preserve"> </w:t>
      </w:r>
      <w:r w:rsidRPr="00400540">
        <w:t>only</w:t>
      </w:r>
      <w:r w:rsidRPr="00400540">
        <w:rPr>
          <w:spacing w:val="-15"/>
        </w:rPr>
        <w:t xml:space="preserve"> </w:t>
      </w:r>
      <w:r w:rsidRPr="00400540">
        <w:t>if …</w:t>
      </w:r>
    </w:p>
    <w:p w14:paraId="707E13FC" w14:textId="3D6E3E60" w:rsidR="00BC64F4" w:rsidRDefault="0071710E" w:rsidP="0071710E">
      <w:pPr>
        <w:pStyle w:val="ParaNumbering"/>
        <w:numPr>
          <w:ilvl w:val="0"/>
          <w:numId w:val="0"/>
        </w:numPr>
        <w:tabs>
          <w:tab w:val="left" w:pos="720"/>
        </w:tabs>
        <w:ind w:hanging="720"/>
        <w:rPr>
          <w:szCs w:val="24"/>
        </w:rPr>
      </w:pPr>
      <w:r>
        <w:rPr>
          <w:sz w:val="20"/>
          <w:szCs w:val="24"/>
        </w:rPr>
        <w:t>43</w:t>
      </w:r>
      <w:r>
        <w:rPr>
          <w:sz w:val="20"/>
          <w:szCs w:val="24"/>
        </w:rPr>
        <w:tab/>
      </w:r>
      <w:r w:rsidR="00BC64F4" w:rsidRPr="00400540">
        <w:rPr>
          <w:szCs w:val="24"/>
        </w:rPr>
        <w:t xml:space="preserve">The association need not have corporate status.  </w:t>
      </w:r>
      <w:r w:rsidR="00BC64F4">
        <w:rPr>
          <w:szCs w:val="24"/>
        </w:rPr>
        <w:t>And i</w:t>
      </w:r>
      <w:r w:rsidR="00BC64F4" w:rsidRPr="00400540">
        <w:rPr>
          <w:szCs w:val="24"/>
        </w:rPr>
        <w:t>t can simply be a group of employees who come together informally for the identified purpose</w:t>
      </w:r>
      <w:r w:rsidR="00BC64F4">
        <w:rPr>
          <w:szCs w:val="24"/>
        </w:rPr>
        <w:t xml:space="preserve">. </w:t>
      </w:r>
      <w:r w:rsidR="00BC64F4" w:rsidRPr="00400540">
        <w:rPr>
          <w:szCs w:val="24"/>
        </w:rPr>
        <w:t xml:space="preserve"> The intention is to confer a right of standing on groups of employees in a manner </w:t>
      </w:r>
      <w:proofErr w:type="gramStart"/>
      <w:r w:rsidR="00BC64F4" w:rsidRPr="00400540">
        <w:rPr>
          <w:szCs w:val="24"/>
        </w:rPr>
        <w:t>similar to</w:t>
      </w:r>
      <w:proofErr w:type="gramEnd"/>
      <w:r w:rsidR="00BC64F4" w:rsidRPr="00400540">
        <w:rPr>
          <w:szCs w:val="24"/>
        </w:rPr>
        <w:t xml:space="preserve"> the standing conferred in s 33D.  However, the new right is subject to conditions, and for limited purposes.  </w:t>
      </w:r>
    </w:p>
    <w:p w14:paraId="2FD1AB46" w14:textId="70F68C38" w:rsidR="00BC64F4" w:rsidRPr="00400540" w:rsidRDefault="0071710E" w:rsidP="0071710E">
      <w:pPr>
        <w:pStyle w:val="ParaNumbering"/>
        <w:numPr>
          <w:ilvl w:val="0"/>
          <w:numId w:val="0"/>
        </w:numPr>
        <w:tabs>
          <w:tab w:val="left" w:pos="720"/>
        </w:tabs>
        <w:ind w:hanging="720"/>
        <w:rPr>
          <w:szCs w:val="24"/>
        </w:rPr>
      </w:pPr>
      <w:r w:rsidRPr="00400540">
        <w:rPr>
          <w:sz w:val="20"/>
          <w:szCs w:val="24"/>
        </w:rPr>
        <w:t>44</w:t>
      </w:r>
      <w:r w:rsidRPr="00400540">
        <w:rPr>
          <w:sz w:val="20"/>
          <w:szCs w:val="24"/>
        </w:rPr>
        <w:tab/>
      </w:r>
      <w:r w:rsidR="00BC64F4">
        <w:rPr>
          <w:szCs w:val="24"/>
        </w:rPr>
        <w:t>It is said that t</w:t>
      </w:r>
      <w:r w:rsidR="00BC64F4" w:rsidRPr="00400540">
        <w:rPr>
          <w:szCs w:val="24"/>
        </w:rPr>
        <w:t>he creation of the new scheme is inconsistent with the s 33D scheme operating concurrently without those limits and for different purposes.</w:t>
      </w:r>
    </w:p>
    <w:p w14:paraId="19A478AB" w14:textId="02E39C79" w:rsidR="00BC64F4" w:rsidRPr="00400540" w:rsidRDefault="0071710E" w:rsidP="0071710E">
      <w:pPr>
        <w:pStyle w:val="ParaNumbering"/>
        <w:numPr>
          <w:ilvl w:val="0"/>
          <w:numId w:val="0"/>
        </w:numPr>
        <w:tabs>
          <w:tab w:val="left" w:pos="720"/>
        </w:tabs>
        <w:ind w:hanging="720"/>
        <w:rPr>
          <w:szCs w:val="24"/>
        </w:rPr>
      </w:pPr>
      <w:r w:rsidRPr="00400540">
        <w:rPr>
          <w:sz w:val="20"/>
          <w:szCs w:val="24"/>
        </w:rPr>
        <w:t>45</w:t>
      </w:r>
      <w:r w:rsidRPr="00400540">
        <w:rPr>
          <w:sz w:val="20"/>
          <w:szCs w:val="24"/>
        </w:rPr>
        <w:tab/>
      </w:r>
      <w:r w:rsidR="00BC64F4" w:rsidRPr="00400540">
        <w:rPr>
          <w:szCs w:val="24"/>
        </w:rPr>
        <w:t>The right of employee organisations to bring enforcement proceedings attracts a strict regulatory environment.  Registration as an employee</w:t>
      </w:r>
      <w:r w:rsidR="00BC64F4" w:rsidRPr="00400540">
        <w:rPr>
          <w:spacing w:val="-1"/>
          <w:szCs w:val="24"/>
        </w:rPr>
        <w:t xml:space="preserve"> </w:t>
      </w:r>
      <w:r w:rsidR="00BC64F4" w:rsidRPr="00400540">
        <w:rPr>
          <w:szCs w:val="24"/>
        </w:rPr>
        <w:t>organisation is only</w:t>
      </w:r>
      <w:r w:rsidR="00BC64F4" w:rsidRPr="00400540">
        <w:rPr>
          <w:spacing w:val="-1"/>
          <w:szCs w:val="24"/>
        </w:rPr>
        <w:t xml:space="preserve"> </w:t>
      </w:r>
      <w:r w:rsidR="00BC64F4" w:rsidRPr="00400540">
        <w:rPr>
          <w:szCs w:val="24"/>
        </w:rPr>
        <w:t>available</w:t>
      </w:r>
      <w:r w:rsidR="00BC64F4" w:rsidRPr="00400540">
        <w:rPr>
          <w:spacing w:val="-1"/>
          <w:szCs w:val="24"/>
        </w:rPr>
        <w:t xml:space="preserve"> </w:t>
      </w:r>
      <w:r w:rsidR="00BC64F4" w:rsidRPr="00400540">
        <w:rPr>
          <w:szCs w:val="24"/>
        </w:rPr>
        <w:t>to</w:t>
      </w:r>
      <w:r w:rsidR="00BC64F4" w:rsidRPr="00400540">
        <w:rPr>
          <w:spacing w:val="-1"/>
          <w:szCs w:val="24"/>
        </w:rPr>
        <w:t xml:space="preserve"> </w:t>
      </w:r>
      <w:r w:rsidR="00BC64F4" w:rsidRPr="00400540">
        <w:rPr>
          <w:szCs w:val="24"/>
        </w:rPr>
        <w:t>genuine associations,</w:t>
      </w:r>
      <w:r w:rsidR="00BC64F4" w:rsidRPr="00400540">
        <w:rPr>
          <w:spacing w:val="-1"/>
          <w:szCs w:val="24"/>
        </w:rPr>
        <w:t xml:space="preserve"> </w:t>
      </w:r>
      <w:r w:rsidR="00BC64F4" w:rsidRPr="00400540">
        <w:rPr>
          <w:szCs w:val="24"/>
        </w:rPr>
        <w:t>formed</w:t>
      </w:r>
      <w:r w:rsidR="00BC64F4" w:rsidRPr="00400540">
        <w:rPr>
          <w:spacing w:val="-2"/>
          <w:szCs w:val="24"/>
        </w:rPr>
        <w:t xml:space="preserve"> </w:t>
      </w:r>
      <w:r w:rsidR="00BC64F4" w:rsidRPr="00400540">
        <w:rPr>
          <w:szCs w:val="24"/>
        </w:rPr>
        <w:t>for</w:t>
      </w:r>
      <w:r w:rsidR="00BC64F4" w:rsidRPr="00400540">
        <w:rPr>
          <w:spacing w:val="-1"/>
          <w:szCs w:val="24"/>
        </w:rPr>
        <w:t xml:space="preserve"> </w:t>
      </w:r>
      <w:r w:rsidR="00BC64F4" w:rsidRPr="00400540">
        <w:rPr>
          <w:szCs w:val="24"/>
        </w:rPr>
        <w:t>protective</w:t>
      </w:r>
      <w:r w:rsidR="00BC64F4" w:rsidRPr="00400540">
        <w:rPr>
          <w:spacing w:val="-1"/>
          <w:szCs w:val="24"/>
        </w:rPr>
        <w:t xml:space="preserve"> </w:t>
      </w:r>
      <w:r w:rsidR="00BC64F4" w:rsidRPr="00400540">
        <w:rPr>
          <w:szCs w:val="24"/>
        </w:rPr>
        <w:t>purposes which</w:t>
      </w:r>
      <w:r w:rsidR="00BC64F4" w:rsidRPr="00400540">
        <w:rPr>
          <w:spacing w:val="-3"/>
          <w:szCs w:val="24"/>
        </w:rPr>
        <w:t xml:space="preserve"> </w:t>
      </w:r>
      <w:r w:rsidR="00BC64F4" w:rsidRPr="00400540">
        <w:rPr>
          <w:szCs w:val="24"/>
        </w:rPr>
        <w:t>are</w:t>
      </w:r>
      <w:r w:rsidR="00BC64F4" w:rsidRPr="00400540">
        <w:rPr>
          <w:spacing w:val="-2"/>
          <w:szCs w:val="24"/>
        </w:rPr>
        <w:t xml:space="preserve"> </w:t>
      </w:r>
      <w:r w:rsidR="00BC64F4" w:rsidRPr="00400540">
        <w:rPr>
          <w:szCs w:val="24"/>
        </w:rPr>
        <w:t>free</w:t>
      </w:r>
      <w:r w:rsidR="00BC64F4" w:rsidRPr="00400540">
        <w:rPr>
          <w:spacing w:val="-2"/>
          <w:szCs w:val="24"/>
        </w:rPr>
        <w:t xml:space="preserve"> </w:t>
      </w:r>
      <w:r w:rsidR="00BC64F4" w:rsidRPr="00400540">
        <w:rPr>
          <w:szCs w:val="24"/>
        </w:rPr>
        <w:t>from</w:t>
      </w:r>
      <w:r w:rsidR="00BC64F4" w:rsidRPr="00400540">
        <w:rPr>
          <w:spacing w:val="-2"/>
          <w:szCs w:val="24"/>
        </w:rPr>
        <w:t xml:space="preserve"> </w:t>
      </w:r>
      <w:r w:rsidR="00BC64F4" w:rsidRPr="00400540">
        <w:rPr>
          <w:szCs w:val="24"/>
        </w:rPr>
        <w:t>control</w:t>
      </w:r>
      <w:r w:rsidR="00BC64F4" w:rsidRPr="00400540">
        <w:rPr>
          <w:spacing w:val="-2"/>
          <w:szCs w:val="24"/>
        </w:rPr>
        <w:t xml:space="preserve"> </w:t>
      </w:r>
      <w:r w:rsidR="00BC64F4" w:rsidRPr="00400540">
        <w:rPr>
          <w:szCs w:val="24"/>
        </w:rPr>
        <w:t>by,</w:t>
      </w:r>
      <w:r w:rsidR="00BC64F4" w:rsidRPr="00400540">
        <w:rPr>
          <w:spacing w:val="-3"/>
          <w:szCs w:val="24"/>
        </w:rPr>
        <w:t xml:space="preserve"> </w:t>
      </w:r>
      <w:r w:rsidR="00BC64F4" w:rsidRPr="00400540">
        <w:rPr>
          <w:szCs w:val="24"/>
        </w:rPr>
        <w:t>or</w:t>
      </w:r>
      <w:r w:rsidR="00BC64F4" w:rsidRPr="00400540">
        <w:rPr>
          <w:spacing w:val="-2"/>
          <w:szCs w:val="24"/>
        </w:rPr>
        <w:t xml:space="preserve"> </w:t>
      </w:r>
      <w:r w:rsidR="00BC64F4" w:rsidRPr="00400540">
        <w:rPr>
          <w:szCs w:val="24"/>
        </w:rPr>
        <w:t>improper</w:t>
      </w:r>
      <w:r w:rsidR="00BC64F4" w:rsidRPr="00400540">
        <w:rPr>
          <w:spacing w:val="-2"/>
          <w:szCs w:val="24"/>
        </w:rPr>
        <w:t xml:space="preserve"> </w:t>
      </w:r>
      <w:r w:rsidR="00BC64F4" w:rsidRPr="00400540">
        <w:rPr>
          <w:szCs w:val="24"/>
        </w:rPr>
        <w:t>influence</w:t>
      </w:r>
      <w:r w:rsidR="00BC64F4" w:rsidRPr="00400540">
        <w:rPr>
          <w:spacing w:val="-2"/>
          <w:szCs w:val="24"/>
        </w:rPr>
        <w:t xml:space="preserve"> </w:t>
      </w:r>
      <w:r w:rsidR="00BC64F4" w:rsidRPr="00400540">
        <w:rPr>
          <w:szCs w:val="24"/>
        </w:rPr>
        <w:t>from,</w:t>
      </w:r>
      <w:r w:rsidR="00BC64F4" w:rsidRPr="00400540">
        <w:rPr>
          <w:spacing w:val="-2"/>
          <w:szCs w:val="24"/>
        </w:rPr>
        <w:t xml:space="preserve"> </w:t>
      </w:r>
      <w:r w:rsidR="00BC64F4" w:rsidRPr="00400540">
        <w:rPr>
          <w:szCs w:val="24"/>
        </w:rPr>
        <w:t>an</w:t>
      </w:r>
      <w:r w:rsidR="00BC64F4" w:rsidRPr="00400540">
        <w:rPr>
          <w:spacing w:val="-2"/>
          <w:szCs w:val="24"/>
        </w:rPr>
        <w:t xml:space="preserve"> </w:t>
      </w:r>
      <w:r w:rsidR="00BC64F4">
        <w:rPr>
          <w:szCs w:val="24"/>
        </w:rPr>
        <w:t>employer; see</w:t>
      </w:r>
      <w:r w:rsidR="00BC64F4" w:rsidRPr="00400540">
        <w:rPr>
          <w:spacing w:val="-3"/>
          <w:szCs w:val="24"/>
        </w:rPr>
        <w:t xml:space="preserve"> </w:t>
      </w:r>
      <w:r w:rsidR="00BC64F4" w:rsidRPr="00400540">
        <w:rPr>
          <w:szCs w:val="24"/>
        </w:rPr>
        <w:t>s</w:t>
      </w:r>
      <w:r w:rsidR="00BC64F4" w:rsidRPr="00400540">
        <w:rPr>
          <w:spacing w:val="-3"/>
          <w:szCs w:val="24"/>
        </w:rPr>
        <w:t xml:space="preserve"> </w:t>
      </w:r>
      <w:r w:rsidR="00BC64F4" w:rsidRPr="00400540">
        <w:rPr>
          <w:szCs w:val="24"/>
        </w:rPr>
        <w:t>19(1)</w:t>
      </w:r>
      <w:r w:rsidR="00BC64F4">
        <w:rPr>
          <w:szCs w:val="24"/>
        </w:rPr>
        <w:t>(a) and (b)</w:t>
      </w:r>
      <w:r w:rsidR="00BC64F4" w:rsidRPr="00400540">
        <w:rPr>
          <w:spacing w:val="-3"/>
          <w:szCs w:val="24"/>
        </w:rPr>
        <w:t xml:space="preserve"> </w:t>
      </w:r>
      <w:r w:rsidR="00BC64F4" w:rsidRPr="00400540">
        <w:rPr>
          <w:szCs w:val="24"/>
        </w:rPr>
        <w:t>and</w:t>
      </w:r>
      <w:r w:rsidR="00BC64F4" w:rsidRPr="00400540">
        <w:rPr>
          <w:spacing w:val="-3"/>
          <w:szCs w:val="24"/>
        </w:rPr>
        <w:t xml:space="preserve"> </w:t>
      </w:r>
      <w:r w:rsidR="00BC64F4">
        <w:rPr>
          <w:spacing w:val="-3"/>
          <w:szCs w:val="24"/>
        </w:rPr>
        <w:t xml:space="preserve">s </w:t>
      </w:r>
      <w:r w:rsidR="00BC64F4" w:rsidRPr="00400540">
        <w:rPr>
          <w:szCs w:val="24"/>
        </w:rPr>
        <w:t>20(1)</w:t>
      </w:r>
      <w:r w:rsidR="00BC64F4">
        <w:rPr>
          <w:szCs w:val="24"/>
        </w:rPr>
        <w:t>(a) and (b)</w:t>
      </w:r>
      <w:r w:rsidR="00BC64F4" w:rsidRPr="00400540">
        <w:rPr>
          <w:spacing w:val="-3"/>
          <w:szCs w:val="24"/>
        </w:rPr>
        <w:t xml:space="preserve"> </w:t>
      </w:r>
      <w:r w:rsidR="00BC64F4" w:rsidRPr="00400540">
        <w:rPr>
          <w:szCs w:val="24"/>
        </w:rPr>
        <w:t>of the</w:t>
      </w:r>
      <w:r w:rsidR="00BC64F4" w:rsidRPr="00400540">
        <w:rPr>
          <w:spacing w:val="-6"/>
          <w:szCs w:val="24"/>
        </w:rPr>
        <w:t xml:space="preserve"> </w:t>
      </w:r>
      <w:r w:rsidR="00BC64F4">
        <w:rPr>
          <w:i/>
          <w:szCs w:val="24"/>
        </w:rPr>
        <w:t xml:space="preserve">Fair Work (Registered Organisations) Act 2009 </w:t>
      </w:r>
      <w:r w:rsidR="00BC64F4">
        <w:rPr>
          <w:szCs w:val="24"/>
        </w:rPr>
        <w:t>(</w:t>
      </w:r>
      <w:proofErr w:type="spellStart"/>
      <w:r w:rsidR="00BC64F4">
        <w:rPr>
          <w:szCs w:val="24"/>
        </w:rPr>
        <w:t>Cth</w:t>
      </w:r>
      <w:proofErr w:type="spellEnd"/>
      <w:r w:rsidR="00BC64F4">
        <w:rPr>
          <w:szCs w:val="24"/>
        </w:rPr>
        <w:t>)</w:t>
      </w:r>
      <w:r w:rsidR="00BC64F4" w:rsidRPr="00400540">
        <w:rPr>
          <w:szCs w:val="24"/>
        </w:rPr>
        <w:t>.</w:t>
      </w:r>
      <w:r w:rsidR="00BC64F4" w:rsidRPr="00400540">
        <w:rPr>
          <w:spacing w:val="-7"/>
          <w:szCs w:val="24"/>
        </w:rPr>
        <w:t xml:space="preserve">  </w:t>
      </w:r>
      <w:r w:rsidR="00BC64F4" w:rsidRPr="00400540">
        <w:rPr>
          <w:szCs w:val="24"/>
        </w:rPr>
        <w:t>These</w:t>
      </w:r>
      <w:r w:rsidR="00BC64F4" w:rsidRPr="00400540">
        <w:rPr>
          <w:spacing w:val="-6"/>
          <w:szCs w:val="24"/>
        </w:rPr>
        <w:t xml:space="preserve"> </w:t>
      </w:r>
      <w:r w:rsidR="00BC64F4" w:rsidRPr="00400540">
        <w:rPr>
          <w:szCs w:val="24"/>
        </w:rPr>
        <w:t>restrictions</w:t>
      </w:r>
      <w:r w:rsidR="00BC64F4" w:rsidRPr="00400540">
        <w:rPr>
          <w:spacing w:val="-5"/>
          <w:szCs w:val="24"/>
        </w:rPr>
        <w:t xml:space="preserve"> </w:t>
      </w:r>
      <w:r w:rsidR="00BC64F4" w:rsidRPr="00400540">
        <w:rPr>
          <w:szCs w:val="24"/>
        </w:rPr>
        <w:t>articulate</w:t>
      </w:r>
      <w:r w:rsidR="00BC64F4" w:rsidRPr="00400540">
        <w:rPr>
          <w:spacing w:val="-4"/>
          <w:szCs w:val="24"/>
        </w:rPr>
        <w:t xml:space="preserve"> </w:t>
      </w:r>
      <w:r w:rsidR="00BC64F4" w:rsidRPr="00400540">
        <w:rPr>
          <w:szCs w:val="24"/>
        </w:rPr>
        <w:t>a</w:t>
      </w:r>
      <w:r w:rsidR="00BC64F4" w:rsidRPr="00400540">
        <w:rPr>
          <w:spacing w:val="-8"/>
          <w:szCs w:val="24"/>
        </w:rPr>
        <w:t xml:space="preserve"> </w:t>
      </w:r>
      <w:r w:rsidR="00BC64F4" w:rsidRPr="00400540">
        <w:rPr>
          <w:szCs w:val="24"/>
        </w:rPr>
        <w:t>legislative</w:t>
      </w:r>
      <w:r w:rsidR="00BC64F4" w:rsidRPr="00400540">
        <w:rPr>
          <w:spacing w:val="-6"/>
          <w:szCs w:val="24"/>
        </w:rPr>
        <w:t xml:space="preserve"> </w:t>
      </w:r>
      <w:r w:rsidR="00BC64F4" w:rsidRPr="00400540">
        <w:rPr>
          <w:szCs w:val="24"/>
        </w:rPr>
        <w:t>concern,</w:t>
      </w:r>
      <w:r w:rsidR="00BC64F4" w:rsidRPr="00400540">
        <w:rPr>
          <w:spacing w:val="-8"/>
          <w:szCs w:val="24"/>
        </w:rPr>
        <w:t xml:space="preserve"> </w:t>
      </w:r>
      <w:r w:rsidR="00BC64F4" w:rsidRPr="00400540">
        <w:rPr>
          <w:szCs w:val="24"/>
        </w:rPr>
        <w:t>reflected</w:t>
      </w:r>
      <w:r w:rsidR="00BC64F4" w:rsidRPr="00400540">
        <w:rPr>
          <w:spacing w:val="-7"/>
          <w:szCs w:val="24"/>
        </w:rPr>
        <w:t xml:space="preserve"> </w:t>
      </w:r>
      <w:r w:rsidR="00BC64F4" w:rsidRPr="00400540">
        <w:rPr>
          <w:szCs w:val="24"/>
        </w:rPr>
        <w:t>in</w:t>
      </w:r>
      <w:r w:rsidR="00BC64F4" w:rsidRPr="00400540">
        <w:rPr>
          <w:spacing w:val="-7"/>
          <w:szCs w:val="24"/>
        </w:rPr>
        <w:t xml:space="preserve"> </w:t>
      </w:r>
      <w:r w:rsidR="00BC64F4" w:rsidRPr="00400540">
        <w:rPr>
          <w:szCs w:val="24"/>
        </w:rPr>
        <w:t>the</w:t>
      </w:r>
      <w:r w:rsidR="00BC64F4" w:rsidRPr="00400540">
        <w:rPr>
          <w:spacing w:val="-6"/>
          <w:szCs w:val="24"/>
        </w:rPr>
        <w:t xml:space="preserve"> </w:t>
      </w:r>
      <w:r w:rsidR="00BC64F4" w:rsidRPr="00400540">
        <w:rPr>
          <w:szCs w:val="24"/>
        </w:rPr>
        <w:t>definition</w:t>
      </w:r>
      <w:r w:rsidR="00BC64F4" w:rsidRPr="00400540">
        <w:rPr>
          <w:spacing w:val="-6"/>
          <w:szCs w:val="24"/>
        </w:rPr>
        <w:t xml:space="preserve"> </w:t>
      </w:r>
      <w:r w:rsidR="00BC64F4" w:rsidRPr="00400540">
        <w:rPr>
          <w:szCs w:val="24"/>
        </w:rPr>
        <w:t>in</w:t>
      </w:r>
      <w:r w:rsidR="00BC64F4" w:rsidRPr="00400540">
        <w:rPr>
          <w:spacing w:val="-7"/>
          <w:szCs w:val="24"/>
        </w:rPr>
        <w:t xml:space="preserve"> </w:t>
      </w:r>
      <w:r w:rsidR="00BC64F4" w:rsidRPr="00400540">
        <w:rPr>
          <w:szCs w:val="24"/>
        </w:rPr>
        <w:t>s 12 of industrial associations, that those who take representative enforcement actions should be limited</w:t>
      </w:r>
      <w:r w:rsidR="00BC64F4" w:rsidRPr="00400540">
        <w:rPr>
          <w:spacing w:val="-9"/>
          <w:szCs w:val="24"/>
        </w:rPr>
        <w:t xml:space="preserve"> </w:t>
      </w:r>
      <w:r w:rsidR="00BC64F4" w:rsidRPr="00400540">
        <w:rPr>
          <w:szCs w:val="24"/>
        </w:rPr>
        <w:t>to</w:t>
      </w:r>
      <w:r w:rsidR="00BC64F4" w:rsidRPr="00400540">
        <w:rPr>
          <w:spacing w:val="-7"/>
          <w:szCs w:val="24"/>
        </w:rPr>
        <w:t xml:space="preserve"> </w:t>
      </w:r>
      <w:r w:rsidR="00BC64F4" w:rsidRPr="00400540">
        <w:rPr>
          <w:szCs w:val="24"/>
        </w:rPr>
        <w:t>groups</w:t>
      </w:r>
      <w:r w:rsidR="00BC64F4" w:rsidRPr="00400540">
        <w:rPr>
          <w:spacing w:val="-8"/>
          <w:szCs w:val="24"/>
        </w:rPr>
        <w:t xml:space="preserve"> </w:t>
      </w:r>
      <w:r w:rsidR="00BC64F4" w:rsidRPr="00400540">
        <w:rPr>
          <w:szCs w:val="24"/>
        </w:rPr>
        <w:t>of</w:t>
      </w:r>
      <w:r w:rsidR="00BC64F4" w:rsidRPr="00400540">
        <w:rPr>
          <w:spacing w:val="-7"/>
          <w:szCs w:val="24"/>
        </w:rPr>
        <w:t xml:space="preserve"> </w:t>
      </w:r>
      <w:r w:rsidR="00BC64F4" w:rsidRPr="00400540">
        <w:rPr>
          <w:szCs w:val="24"/>
        </w:rPr>
        <w:t>employees</w:t>
      </w:r>
      <w:r w:rsidR="00BC64F4" w:rsidRPr="00400540">
        <w:rPr>
          <w:spacing w:val="-8"/>
          <w:szCs w:val="24"/>
        </w:rPr>
        <w:t xml:space="preserve"> </w:t>
      </w:r>
      <w:r w:rsidR="00BC64F4" w:rsidRPr="00400540">
        <w:rPr>
          <w:szCs w:val="24"/>
        </w:rPr>
        <w:t>formed</w:t>
      </w:r>
      <w:r w:rsidR="00BC64F4" w:rsidRPr="00400540">
        <w:rPr>
          <w:spacing w:val="-8"/>
          <w:szCs w:val="24"/>
        </w:rPr>
        <w:t xml:space="preserve"> </w:t>
      </w:r>
      <w:r w:rsidR="00BC64F4" w:rsidRPr="00400540">
        <w:rPr>
          <w:szCs w:val="24"/>
        </w:rPr>
        <w:t>for</w:t>
      </w:r>
      <w:r w:rsidR="00BC64F4" w:rsidRPr="00400540">
        <w:rPr>
          <w:spacing w:val="-7"/>
          <w:szCs w:val="24"/>
        </w:rPr>
        <w:t xml:space="preserve"> </w:t>
      </w:r>
      <w:r w:rsidR="00BC64F4" w:rsidRPr="00400540">
        <w:rPr>
          <w:szCs w:val="24"/>
        </w:rPr>
        <w:t>protective</w:t>
      </w:r>
      <w:r w:rsidR="00BC64F4" w:rsidRPr="00400540">
        <w:rPr>
          <w:spacing w:val="-7"/>
          <w:szCs w:val="24"/>
        </w:rPr>
        <w:t xml:space="preserve"> </w:t>
      </w:r>
      <w:r w:rsidR="00BC64F4" w:rsidRPr="00400540">
        <w:rPr>
          <w:szCs w:val="24"/>
        </w:rPr>
        <w:t>purposes.</w:t>
      </w:r>
      <w:r w:rsidR="00BC64F4" w:rsidRPr="00400540">
        <w:rPr>
          <w:spacing w:val="-7"/>
          <w:szCs w:val="24"/>
        </w:rPr>
        <w:t xml:space="preserve">  </w:t>
      </w:r>
      <w:r w:rsidR="00BC64F4" w:rsidRPr="00400540">
        <w:rPr>
          <w:szCs w:val="24"/>
        </w:rPr>
        <w:t>It</w:t>
      </w:r>
      <w:r w:rsidR="00BC64F4" w:rsidRPr="00400540">
        <w:rPr>
          <w:spacing w:val="-7"/>
          <w:szCs w:val="24"/>
        </w:rPr>
        <w:t xml:space="preserve"> </w:t>
      </w:r>
      <w:r w:rsidR="00BC64F4" w:rsidRPr="00400540">
        <w:rPr>
          <w:szCs w:val="24"/>
        </w:rPr>
        <w:t>ensures</w:t>
      </w:r>
      <w:r w:rsidR="00BC64F4" w:rsidRPr="00400540">
        <w:rPr>
          <w:spacing w:val="-8"/>
          <w:szCs w:val="24"/>
        </w:rPr>
        <w:t xml:space="preserve"> </w:t>
      </w:r>
      <w:r w:rsidR="00BC64F4" w:rsidRPr="00400540">
        <w:rPr>
          <w:szCs w:val="24"/>
        </w:rPr>
        <w:t>that</w:t>
      </w:r>
      <w:r w:rsidR="00BC64F4" w:rsidRPr="00400540">
        <w:rPr>
          <w:spacing w:val="-7"/>
          <w:szCs w:val="24"/>
        </w:rPr>
        <w:t xml:space="preserve"> </w:t>
      </w:r>
      <w:r w:rsidR="00BC64F4" w:rsidRPr="00400540">
        <w:rPr>
          <w:szCs w:val="24"/>
        </w:rPr>
        <w:t>the</w:t>
      </w:r>
      <w:r w:rsidR="00BC64F4" w:rsidRPr="00400540">
        <w:rPr>
          <w:spacing w:val="-7"/>
          <w:szCs w:val="24"/>
        </w:rPr>
        <w:t xml:space="preserve"> </w:t>
      </w:r>
      <w:r w:rsidR="00BC64F4" w:rsidRPr="00400540">
        <w:rPr>
          <w:szCs w:val="24"/>
        </w:rPr>
        <w:t>core</w:t>
      </w:r>
      <w:r w:rsidR="00BC64F4" w:rsidRPr="00400540">
        <w:rPr>
          <w:spacing w:val="-7"/>
          <w:szCs w:val="24"/>
        </w:rPr>
        <w:t xml:space="preserve"> </w:t>
      </w:r>
      <w:r w:rsidR="00BC64F4" w:rsidRPr="00400540">
        <w:rPr>
          <w:szCs w:val="24"/>
        </w:rPr>
        <w:t>function of those taking the actions is to protect employees.</w:t>
      </w:r>
    </w:p>
    <w:p w14:paraId="55B60299" w14:textId="49815D43" w:rsidR="00BC64F4" w:rsidRPr="00400540" w:rsidRDefault="0071710E" w:rsidP="0071710E">
      <w:pPr>
        <w:pStyle w:val="ParaNumbering"/>
        <w:numPr>
          <w:ilvl w:val="0"/>
          <w:numId w:val="0"/>
        </w:numPr>
        <w:tabs>
          <w:tab w:val="left" w:pos="720"/>
        </w:tabs>
        <w:ind w:hanging="720"/>
        <w:rPr>
          <w:szCs w:val="24"/>
        </w:rPr>
      </w:pPr>
      <w:r w:rsidRPr="00400540">
        <w:rPr>
          <w:sz w:val="20"/>
          <w:szCs w:val="24"/>
        </w:rPr>
        <w:t>46</w:t>
      </w:r>
      <w:r w:rsidRPr="00400540">
        <w:rPr>
          <w:sz w:val="20"/>
          <w:szCs w:val="24"/>
        </w:rPr>
        <w:tab/>
      </w:r>
      <w:r w:rsidR="00BC64F4">
        <w:rPr>
          <w:szCs w:val="24"/>
        </w:rPr>
        <w:t>It is said that p</w:t>
      </w:r>
      <w:r w:rsidR="00BC64F4" w:rsidRPr="00400540">
        <w:rPr>
          <w:szCs w:val="24"/>
        </w:rPr>
        <w:t>ermitting s 33D to have a concurrent operation allows for the prosecution of representative actions without that protection.</w:t>
      </w:r>
    </w:p>
    <w:p w14:paraId="428E968D" w14:textId="6834B7F0" w:rsidR="00BC64F4" w:rsidRDefault="0071710E" w:rsidP="0071710E">
      <w:pPr>
        <w:pStyle w:val="ParaNumbering"/>
        <w:numPr>
          <w:ilvl w:val="0"/>
          <w:numId w:val="0"/>
        </w:numPr>
        <w:tabs>
          <w:tab w:val="left" w:pos="720"/>
        </w:tabs>
        <w:ind w:hanging="720"/>
        <w:rPr>
          <w:szCs w:val="24"/>
        </w:rPr>
      </w:pPr>
      <w:r>
        <w:rPr>
          <w:sz w:val="20"/>
          <w:szCs w:val="24"/>
        </w:rPr>
        <w:t>47</w:t>
      </w:r>
      <w:r>
        <w:rPr>
          <w:sz w:val="20"/>
          <w:szCs w:val="24"/>
        </w:rPr>
        <w:tab/>
      </w:r>
      <w:r w:rsidR="00BC64F4">
        <w:rPr>
          <w:szCs w:val="24"/>
        </w:rPr>
        <w:t xml:space="preserve">Now I would reject the SDA’s position. </w:t>
      </w:r>
    </w:p>
    <w:p w14:paraId="7332796F" w14:textId="21662F63" w:rsidR="00BC64F4" w:rsidRPr="00C946BE" w:rsidRDefault="0071710E" w:rsidP="0071710E">
      <w:pPr>
        <w:pStyle w:val="ParaNumbering"/>
        <w:numPr>
          <w:ilvl w:val="0"/>
          <w:numId w:val="0"/>
        </w:numPr>
        <w:tabs>
          <w:tab w:val="left" w:pos="720"/>
        </w:tabs>
        <w:ind w:hanging="720"/>
        <w:rPr>
          <w:szCs w:val="24"/>
        </w:rPr>
      </w:pPr>
      <w:r w:rsidRPr="00C946BE">
        <w:rPr>
          <w:sz w:val="20"/>
          <w:szCs w:val="24"/>
        </w:rPr>
        <w:t>48</w:t>
      </w:r>
      <w:r w:rsidRPr="00C946BE">
        <w:rPr>
          <w:sz w:val="20"/>
          <w:szCs w:val="24"/>
        </w:rPr>
        <w:tab/>
      </w:r>
      <w:r w:rsidR="00BC64F4" w:rsidRPr="00C946BE">
        <w:rPr>
          <w:szCs w:val="24"/>
        </w:rPr>
        <w:t xml:space="preserve">Part IVA of the FCA Act can apply to the types of claims under the FW Act advanced in the </w:t>
      </w:r>
      <w:r w:rsidR="00BC64F4">
        <w:rPr>
          <w:szCs w:val="24"/>
        </w:rPr>
        <w:t>Elliott-Carde</w:t>
      </w:r>
      <w:r w:rsidR="00BC64F4" w:rsidRPr="00C946BE">
        <w:rPr>
          <w:szCs w:val="24"/>
        </w:rPr>
        <w:t xml:space="preserve"> </w:t>
      </w:r>
      <w:r w:rsidR="00BC64F4" w:rsidRPr="00C946BE">
        <w:rPr>
          <w:spacing w:val="-2"/>
          <w:szCs w:val="24"/>
        </w:rPr>
        <w:t>proceeding.</w:t>
      </w:r>
    </w:p>
    <w:p w14:paraId="72698BD6" w14:textId="547ED961" w:rsidR="00BC64F4" w:rsidRPr="00C946BE" w:rsidRDefault="0071710E" w:rsidP="0071710E">
      <w:pPr>
        <w:pStyle w:val="ParaNumbering"/>
        <w:numPr>
          <w:ilvl w:val="0"/>
          <w:numId w:val="0"/>
        </w:numPr>
        <w:tabs>
          <w:tab w:val="left" w:pos="720"/>
        </w:tabs>
        <w:ind w:hanging="720"/>
        <w:rPr>
          <w:szCs w:val="24"/>
        </w:rPr>
      </w:pPr>
      <w:r w:rsidRPr="00C946BE">
        <w:rPr>
          <w:sz w:val="20"/>
          <w:szCs w:val="24"/>
        </w:rPr>
        <w:t>49</w:t>
      </w:r>
      <w:r w:rsidRPr="00C946BE">
        <w:rPr>
          <w:sz w:val="20"/>
          <w:szCs w:val="24"/>
        </w:rPr>
        <w:tab/>
      </w:r>
      <w:r w:rsidR="00BC64F4" w:rsidRPr="00C946BE">
        <w:rPr>
          <w:szCs w:val="24"/>
        </w:rPr>
        <w:t>Now as</w:t>
      </w:r>
      <w:r w:rsidR="00BC64F4" w:rsidRPr="00C946BE">
        <w:rPr>
          <w:spacing w:val="-1"/>
          <w:szCs w:val="24"/>
        </w:rPr>
        <w:t xml:space="preserve"> </w:t>
      </w:r>
      <w:r w:rsidR="00BC64F4" w:rsidRPr="00C946BE">
        <w:rPr>
          <w:szCs w:val="24"/>
        </w:rPr>
        <w:t>to</w:t>
      </w:r>
      <w:r w:rsidR="00BC64F4" w:rsidRPr="00C946BE">
        <w:rPr>
          <w:spacing w:val="-1"/>
          <w:szCs w:val="24"/>
        </w:rPr>
        <w:t xml:space="preserve"> </w:t>
      </w:r>
      <w:r w:rsidR="00BC64F4" w:rsidRPr="00C946BE">
        <w:rPr>
          <w:szCs w:val="24"/>
        </w:rPr>
        <w:t>the</w:t>
      </w:r>
      <w:r w:rsidR="00BC64F4" w:rsidRPr="00C946BE">
        <w:rPr>
          <w:spacing w:val="-1"/>
          <w:szCs w:val="24"/>
        </w:rPr>
        <w:t xml:space="preserve"> </w:t>
      </w:r>
      <w:r w:rsidR="00BC64F4" w:rsidRPr="00C946BE">
        <w:rPr>
          <w:szCs w:val="24"/>
        </w:rPr>
        <w:t>doctrine</w:t>
      </w:r>
      <w:r w:rsidR="00BC64F4" w:rsidRPr="00C946BE">
        <w:rPr>
          <w:spacing w:val="-1"/>
          <w:szCs w:val="24"/>
        </w:rPr>
        <w:t xml:space="preserve"> </w:t>
      </w:r>
      <w:r w:rsidR="00BC64F4" w:rsidRPr="00C946BE">
        <w:rPr>
          <w:szCs w:val="24"/>
        </w:rPr>
        <w:t>of</w:t>
      </w:r>
      <w:r w:rsidR="00BC64F4" w:rsidRPr="00C946BE">
        <w:rPr>
          <w:spacing w:val="-1"/>
          <w:szCs w:val="24"/>
        </w:rPr>
        <w:t xml:space="preserve"> </w:t>
      </w:r>
      <w:r w:rsidR="00BC64F4" w:rsidRPr="00C946BE">
        <w:rPr>
          <w:szCs w:val="24"/>
        </w:rPr>
        <w:t>implied</w:t>
      </w:r>
      <w:r w:rsidR="00BC64F4" w:rsidRPr="00C946BE">
        <w:rPr>
          <w:spacing w:val="-3"/>
          <w:szCs w:val="24"/>
        </w:rPr>
        <w:t xml:space="preserve"> </w:t>
      </w:r>
      <w:r w:rsidR="00BC64F4" w:rsidRPr="00C946BE">
        <w:rPr>
          <w:szCs w:val="24"/>
        </w:rPr>
        <w:t>repeal</w:t>
      </w:r>
      <w:r w:rsidR="00BC64F4" w:rsidRPr="00C946BE">
        <w:rPr>
          <w:spacing w:val="-2"/>
          <w:szCs w:val="24"/>
        </w:rPr>
        <w:t xml:space="preserve"> </w:t>
      </w:r>
      <w:r w:rsidR="00BC64F4" w:rsidRPr="00C946BE">
        <w:rPr>
          <w:szCs w:val="24"/>
        </w:rPr>
        <w:t>by</w:t>
      </w:r>
      <w:r w:rsidR="00BC64F4" w:rsidRPr="00C946BE">
        <w:rPr>
          <w:spacing w:val="-1"/>
          <w:szCs w:val="24"/>
        </w:rPr>
        <w:t xml:space="preserve"> </w:t>
      </w:r>
      <w:r w:rsidR="00BC64F4" w:rsidRPr="00C946BE">
        <w:rPr>
          <w:szCs w:val="24"/>
        </w:rPr>
        <w:t xml:space="preserve">later </w:t>
      </w:r>
      <w:r w:rsidR="00BC64F4">
        <w:rPr>
          <w:spacing w:val="-2"/>
          <w:szCs w:val="24"/>
        </w:rPr>
        <w:t xml:space="preserve">statute, it was said in </w:t>
      </w:r>
      <w:r w:rsidR="00BC64F4" w:rsidRPr="00C946BE">
        <w:rPr>
          <w:i/>
          <w:szCs w:val="24"/>
        </w:rPr>
        <w:t xml:space="preserve">Saraswati v </w:t>
      </w:r>
      <w:r w:rsidR="00BC64F4">
        <w:rPr>
          <w:i/>
          <w:szCs w:val="24"/>
        </w:rPr>
        <w:t>The Queen</w:t>
      </w:r>
      <w:r w:rsidR="00BC64F4" w:rsidRPr="00C946BE">
        <w:rPr>
          <w:i/>
          <w:szCs w:val="24"/>
        </w:rPr>
        <w:t xml:space="preserve"> </w:t>
      </w:r>
      <w:r w:rsidR="00BC64F4">
        <w:rPr>
          <w:szCs w:val="24"/>
        </w:rPr>
        <w:t xml:space="preserve">(1991) 172 CLR 1 at 17 by </w:t>
      </w:r>
      <w:proofErr w:type="spellStart"/>
      <w:r w:rsidR="00BC64F4">
        <w:rPr>
          <w:szCs w:val="24"/>
        </w:rPr>
        <w:t>Gaudron</w:t>
      </w:r>
      <w:proofErr w:type="spellEnd"/>
      <w:r w:rsidR="00BC64F4">
        <w:rPr>
          <w:szCs w:val="24"/>
        </w:rPr>
        <w:t xml:space="preserve"> J that</w:t>
      </w:r>
      <w:r w:rsidR="00BC64F4" w:rsidRPr="00C946BE">
        <w:rPr>
          <w:szCs w:val="24"/>
        </w:rPr>
        <w:t xml:space="preserve">: </w:t>
      </w:r>
    </w:p>
    <w:p w14:paraId="56267BF7" w14:textId="77777777" w:rsidR="00BC64F4" w:rsidRPr="00C946BE" w:rsidRDefault="00BC64F4" w:rsidP="00BC64F4">
      <w:pPr>
        <w:pStyle w:val="Quote1"/>
      </w:pPr>
      <w:r w:rsidRPr="00C946BE">
        <w:t xml:space="preserve">It is a basic rule of construction that, in the absence of express words, an earlier statutory provision is not repealed, </w:t>
      </w:r>
      <w:proofErr w:type="gramStart"/>
      <w:r w:rsidRPr="00C946BE">
        <w:t>altered</w:t>
      </w:r>
      <w:proofErr w:type="gramEnd"/>
      <w:r w:rsidRPr="00C946BE">
        <w:t xml:space="preserve"> or derogated from by a later</w:t>
      </w:r>
      <w:r w:rsidRPr="00C946BE">
        <w:rPr>
          <w:spacing w:val="-1"/>
        </w:rPr>
        <w:t xml:space="preserve"> </w:t>
      </w:r>
      <w:r w:rsidRPr="00C946BE">
        <w:t>provision</w:t>
      </w:r>
      <w:r w:rsidRPr="00C946BE">
        <w:rPr>
          <w:spacing w:val="-1"/>
        </w:rPr>
        <w:t xml:space="preserve"> </w:t>
      </w:r>
      <w:r w:rsidRPr="00C946BE">
        <w:t>unless</w:t>
      </w:r>
      <w:r w:rsidRPr="00C946BE">
        <w:rPr>
          <w:spacing w:val="-1"/>
        </w:rPr>
        <w:t xml:space="preserve"> </w:t>
      </w:r>
      <w:r w:rsidRPr="00C946BE">
        <w:t>an</w:t>
      </w:r>
      <w:r w:rsidRPr="00C946BE">
        <w:rPr>
          <w:spacing w:val="-3"/>
        </w:rPr>
        <w:t xml:space="preserve"> </w:t>
      </w:r>
      <w:r w:rsidRPr="00C946BE">
        <w:t>intention</w:t>
      </w:r>
      <w:r w:rsidRPr="00C946BE">
        <w:rPr>
          <w:spacing w:val="-1"/>
        </w:rPr>
        <w:t xml:space="preserve"> </w:t>
      </w:r>
      <w:r w:rsidRPr="00C946BE">
        <w:t>to</w:t>
      </w:r>
      <w:r w:rsidRPr="00C946BE">
        <w:rPr>
          <w:spacing w:val="-3"/>
        </w:rPr>
        <w:t xml:space="preserve"> </w:t>
      </w:r>
      <w:r w:rsidRPr="00C946BE">
        <w:t>that</w:t>
      </w:r>
      <w:r w:rsidRPr="00C946BE">
        <w:rPr>
          <w:spacing w:val="-1"/>
        </w:rPr>
        <w:t xml:space="preserve"> </w:t>
      </w:r>
      <w:r w:rsidRPr="00C946BE">
        <w:t>effect</w:t>
      </w:r>
      <w:r w:rsidRPr="00C946BE">
        <w:rPr>
          <w:spacing w:val="-1"/>
        </w:rPr>
        <w:t xml:space="preserve"> </w:t>
      </w:r>
      <w:r w:rsidRPr="00C946BE">
        <w:t>is</w:t>
      </w:r>
      <w:r w:rsidRPr="00C946BE">
        <w:rPr>
          <w:spacing w:val="-2"/>
        </w:rPr>
        <w:t xml:space="preserve"> </w:t>
      </w:r>
      <w:r w:rsidRPr="00C946BE">
        <w:t>necessarily</w:t>
      </w:r>
      <w:r w:rsidRPr="00C946BE">
        <w:rPr>
          <w:spacing w:val="-3"/>
        </w:rPr>
        <w:t xml:space="preserve"> </w:t>
      </w:r>
      <w:r w:rsidRPr="00C946BE">
        <w:t>to</w:t>
      </w:r>
      <w:r w:rsidRPr="00C946BE">
        <w:rPr>
          <w:spacing w:val="-1"/>
        </w:rPr>
        <w:t xml:space="preserve"> </w:t>
      </w:r>
      <w:r w:rsidRPr="00C946BE">
        <w:t>be</w:t>
      </w:r>
      <w:r w:rsidRPr="00C946BE">
        <w:rPr>
          <w:spacing w:val="-1"/>
        </w:rPr>
        <w:t xml:space="preserve"> </w:t>
      </w:r>
      <w:r w:rsidRPr="00C946BE">
        <w:t>implied. There</w:t>
      </w:r>
      <w:r w:rsidRPr="00C946BE">
        <w:rPr>
          <w:spacing w:val="-3"/>
        </w:rPr>
        <w:t xml:space="preserve"> </w:t>
      </w:r>
      <w:r w:rsidRPr="00C946BE">
        <w:t>must</w:t>
      </w:r>
      <w:r w:rsidRPr="00C946BE">
        <w:rPr>
          <w:spacing w:val="-3"/>
        </w:rPr>
        <w:t xml:space="preserve"> </w:t>
      </w:r>
      <w:r w:rsidRPr="00C946BE">
        <w:t>be</w:t>
      </w:r>
      <w:r w:rsidRPr="00C946BE">
        <w:rPr>
          <w:spacing w:val="-3"/>
        </w:rPr>
        <w:t xml:space="preserve"> </w:t>
      </w:r>
      <w:r w:rsidRPr="00C946BE">
        <w:t>very</w:t>
      </w:r>
      <w:r w:rsidRPr="00C946BE">
        <w:rPr>
          <w:spacing w:val="-3"/>
        </w:rPr>
        <w:t xml:space="preserve"> </w:t>
      </w:r>
      <w:r w:rsidRPr="00C946BE">
        <w:t>strong</w:t>
      </w:r>
      <w:r w:rsidRPr="00C946BE">
        <w:rPr>
          <w:spacing w:val="-3"/>
        </w:rPr>
        <w:t xml:space="preserve"> </w:t>
      </w:r>
      <w:r w:rsidRPr="00C946BE">
        <w:t>grounds</w:t>
      </w:r>
      <w:r w:rsidRPr="00C946BE">
        <w:rPr>
          <w:spacing w:val="-3"/>
        </w:rPr>
        <w:t xml:space="preserve"> </w:t>
      </w:r>
      <w:r w:rsidRPr="00C946BE">
        <w:t>to</w:t>
      </w:r>
      <w:r w:rsidRPr="00C946BE">
        <w:rPr>
          <w:spacing w:val="-3"/>
        </w:rPr>
        <w:t xml:space="preserve"> </w:t>
      </w:r>
      <w:r w:rsidRPr="00C946BE">
        <w:t>support</w:t>
      </w:r>
      <w:r w:rsidRPr="00C946BE">
        <w:rPr>
          <w:spacing w:val="-3"/>
        </w:rPr>
        <w:t xml:space="preserve"> </w:t>
      </w:r>
      <w:r w:rsidRPr="00C946BE">
        <w:t>that</w:t>
      </w:r>
      <w:r w:rsidRPr="00C946BE">
        <w:rPr>
          <w:spacing w:val="-3"/>
        </w:rPr>
        <w:t xml:space="preserve"> </w:t>
      </w:r>
      <w:r w:rsidRPr="00C946BE">
        <w:t>implication,</w:t>
      </w:r>
      <w:r w:rsidRPr="00C946BE">
        <w:rPr>
          <w:spacing w:val="-3"/>
        </w:rPr>
        <w:t xml:space="preserve"> </w:t>
      </w:r>
      <w:r w:rsidRPr="00C946BE">
        <w:t>for</w:t>
      </w:r>
      <w:r w:rsidRPr="00C946BE">
        <w:rPr>
          <w:spacing w:val="-3"/>
        </w:rPr>
        <w:t xml:space="preserve"> </w:t>
      </w:r>
      <w:r w:rsidRPr="00C946BE">
        <w:t>there</w:t>
      </w:r>
      <w:r w:rsidRPr="00C946BE">
        <w:rPr>
          <w:spacing w:val="-4"/>
        </w:rPr>
        <w:t xml:space="preserve"> </w:t>
      </w:r>
      <w:r w:rsidRPr="00C946BE">
        <w:t>is</w:t>
      </w:r>
      <w:r w:rsidRPr="00C946BE">
        <w:rPr>
          <w:spacing w:val="-3"/>
        </w:rPr>
        <w:t xml:space="preserve"> </w:t>
      </w:r>
      <w:r w:rsidRPr="00C946BE">
        <w:t>a general presumption that the legislature intended both provisions should operate and that, to the extent they would otherwise overlap, one should be read as subject to the other.</w:t>
      </w:r>
    </w:p>
    <w:p w14:paraId="1D6E89E0" w14:textId="43D81A89" w:rsidR="00BC64F4" w:rsidRPr="00C946BE" w:rsidRDefault="0071710E" w:rsidP="0071710E">
      <w:pPr>
        <w:pStyle w:val="ParaNumbering"/>
        <w:numPr>
          <w:ilvl w:val="0"/>
          <w:numId w:val="0"/>
        </w:numPr>
        <w:tabs>
          <w:tab w:val="left" w:pos="720"/>
        </w:tabs>
        <w:ind w:hanging="720"/>
        <w:rPr>
          <w:szCs w:val="24"/>
        </w:rPr>
      </w:pPr>
      <w:r w:rsidRPr="00C946BE">
        <w:rPr>
          <w:sz w:val="20"/>
          <w:szCs w:val="24"/>
        </w:rPr>
        <w:t>50</w:t>
      </w:r>
      <w:r w:rsidRPr="00C946BE">
        <w:rPr>
          <w:sz w:val="20"/>
          <w:szCs w:val="24"/>
        </w:rPr>
        <w:tab/>
      </w:r>
      <w:r w:rsidR="00BC64F4">
        <w:rPr>
          <w:szCs w:val="24"/>
        </w:rPr>
        <w:t xml:space="preserve">And </w:t>
      </w:r>
      <w:r w:rsidR="00BC64F4" w:rsidRPr="00C946BE">
        <w:rPr>
          <w:szCs w:val="24"/>
        </w:rPr>
        <w:t xml:space="preserve">in </w:t>
      </w:r>
      <w:r w:rsidR="00BC64F4" w:rsidRPr="00C946BE">
        <w:rPr>
          <w:i/>
          <w:szCs w:val="24"/>
        </w:rPr>
        <w:t xml:space="preserve">Firebird Global Master Fund II Ltd v Republic of Nauru </w:t>
      </w:r>
      <w:r w:rsidR="00BC64F4" w:rsidRPr="00C946BE">
        <w:rPr>
          <w:szCs w:val="24"/>
        </w:rPr>
        <w:t>(2015) 258 CLR 31 at [87]</w:t>
      </w:r>
      <w:r w:rsidR="00BC64F4">
        <w:rPr>
          <w:szCs w:val="24"/>
        </w:rPr>
        <w:t xml:space="preserve">, </w:t>
      </w:r>
      <w:r w:rsidR="00BC64F4" w:rsidRPr="00C946BE">
        <w:rPr>
          <w:szCs w:val="24"/>
        </w:rPr>
        <w:t xml:space="preserve">French CJ and Kiefel J </w:t>
      </w:r>
      <w:r w:rsidR="00BC64F4">
        <w:rPr>
          <w:szCs w:val="24"/>
        </w:rPr>
        <w:t>said</w:t>
      </w:r>
      <w:r w:rsidR="00BC64F4" w:rsidRPr="00C946BE">
        <w:rPr>
          <w:szCs w:val="24"/>
        </w:rPr>
        <w:t xml:space="preserve">: </w:t>
      </w:r>
    </w:p>
    <w:p w14:paraId="34AC135E" w14:textId="77777777" w:rsidR="00BC64F4" w:rsidRDefault="00BC64F4" w:rsidP="00BC64F4">
      <w:pPr>
        <w:pStyle w:val="Quote1"/>
      </w:pPr>
      <w:r w:rsidRPr="00C946BE">
        <w:t>For a court to conclude that a later statute impliedly repeals an earlier statute the court</w:t>
      </w:r>
      <w:r w:rsidRPr="00C946BE">
        <w:rPr>
          <w:spacing w:val="-2"/>
        </w:rPr>
        <w:t xml:space="preserve"> </w:t>
      </w:r>
      <w:r w:rsidRPr="00C946BE">
        <w:t>must</w:t>
      </w:r>
      <w:r w:rsidRPr="00C946BE">
        <w:rPr>
          <w:spacing w:val="-2"/>
        </w:rPr>
        <w:t xml:space="preserve"> </w:t>
      </w:r>
      <w:r w:rsidRPr="00C946BE">
        <w:t>be</w:t>
      </w:r>
      <w:r w:rsidRPr="00C946BE">
        <w:rPr>
          <w:spacing w:val="-2"/>
        </w:rPr>
        <w:t xml:space="preserve"> </w:t>
      </w:r>
      <w:r w:rsidRPr="00C946BE">
        <w:t>satisfied</w:t>
      </w:r>
      <w:r w:rsidRPr="00C946BE">
        <w:rPr>
          <w:spacing w:val="-2"/>
        </w:rPr>
        <w:t xml:space="preserve"> </w:t>
      </w:r>
      <w:r w:rsidRPr="00C946BE">
        <w:t>that</w:t>
      </w:r>
      <w:r w:rsidRPr="00C946BE">
        <w:rPr>
          <w:spacing w:val="-2"/>
        </w:rPr>
        <w:t xml:space="preserve"> </w:t>
      </w:r>
      <w:r w:rsidRPr="00C946BE">
        <w:t>the</w:t>
      </w:r>
      <w:r w:rsidRPr="00C946BE">
        <w:rPr>
          <w:spacing w:val="-3"/>
        </w:rPr>
        <w:t xml:space="preserve"> </w:t>
      </w:r>
      <w:r w:rsidRPr="00C946BE">
        <w:t>two</w:t>
      </w:r>
      <w:r w:rsidRPr="00C946BE">
        <w:rPr>
          <w:spacing w:val="-2"/>
        </w:rPr>
        <w:t xml:space="preserve"> </w:t>
      </w:r>
      <w:r w:rsidRPr="00C946BE">
        <w:t>statutes</w:t>
      </w:r>
      <w:r w:rsidRPr="00C946BE">
        <w:rPr>
          <w:spacing w:val="-2"/>
        </w:rPr>
        <w:t xml:space="preserve"> </w:t>
      </w:r>
      <w:r w:rsidRPr="00C946BE">
        <w:t>are</w:t>
      </w:r>
      <w:r w:rsidRPr="00C946BE">
        <w:rPr>
          <w:spacing w:val="-3"/>
        </w:rPr>
        <w:t xml:space="preserve"> </w:t>
      </w:r>
      <w:r w:rsidRPr="00C946BE">
        <w:t>so</w:t>
      </w:r>
      <w:r w:rsidRPr="00C946BE">
        <w:rPr>
          <w:spacing w:val="-4"/>
        </w:rPr>
        <w:t xml:space="preserve"> </w:t>
      </w:r>
      <w:r w:rsidRPr="00C946BE">
        <w:t>inconsistent</w:t>
      </w:r>
      <w:r w:rsidRPr="00C946BE">
        <w:rPr>
          <w:spacing w:val="-3"/>
        </w:rPr>
        <w:t xml:space="preserve"> </w:t>
      </w:r>
      <w:r w:rsidRPr="00C946BE">
        <w:t>that</w:t>
      </w:r>
      <w:r w:rsidRPr="00C946BE">
        <w:rPr>
          <w:spacing w:val="-3"/>
        </w:rPr>
        <w:t xml:space="preserve"> </w:t>
      </w:r>
      <w:r w:rsidRPr="00C946BE">
        <w:t>they</w:t>
      </w:r>
      <w:r w:rsidRPr="00C946BE">
        <w:rPr>
          <w:spacing w:val="-2"/>
        </w:rPr>
        <w:t xml:space="preserve"> </w:t>
      </w:r>
      <w:r w:rsidRPr="00C946BE">
        <w:t>cannot</w:t>
      </w:r>
      <w:r w:rsidRPr="00C946BE">
        <w:rPr>
          <w:spacing w:val="-2"/>
        </w:rPr>
        <w:t xml:space="preserve"> </w:t>
      </w:r>
      <w:r w:rsidRPr="00C946BE">
        <w:t xml:space="preserve">stand or live together. This will be so only if the provisions of the two statutes cannot be reconciled. </w:t>
      </w:r>
    </w:p>
    <w:p w14:paraId="486FD171" w14:textId="77777777" w:rsidR="00BC64F4" w:rsidRPr="00C946BE" w:rsidRDefault="00BC64F4" w:rsidP="00BC64F4">
      <w:pPr>
        <w:pStyle w:val="Quote1"/>
      </w:pPr>
      <w:r>
        <w:t>(</w:t>
      </w:r>
      <w:proofErr w:type="gramStart"/>
      <w:r>
        <w:t>footnote</w:t>
      </w:r>
      <w:proofErr w:type="gramEnd"/>
      <w:r>
        <w:t xml:space="preserve"> omitted)</w:t>
      </w:r>
    </w:p>
    <w:p w14:paraId="04C2C328" w14:textId="2049A1FD" w:rsidR="00BC64F4" w:rsidRDefault="0071710E" w:rsidP="0071710E">
      <w:pPr>
        <w:pStyle w:val="ParaNumbering"/>
        <w:numPr>
          <w:ilvl w:val="0"/>
          <w:numId w:val="0"/>
        </w:numPr>
        <w:tabs>
          <w:tab w:val="left" w:pos="720"/>
        </w:tabs>
        <w:ind w:hanging="720"/>
        <w:rPr>
          <w:szCs w:val="24"/>
        </w:rPr>
      </w:pPr>
      <w:r>
        <w:rPr>
          <w:sz w:val="20"/>
          <w:szCs w:val="24"/>
        </w:rPr>
        <w:t>51</w:t>
      </w:r>
      <w:r>
        <w:rPr>
          <w:sz w:val="20"/>
          <w:szCs w:val="24"/>
        </w:rPr>
        <w:tab/>
      </w:r>
      <w:r w:rsidR="00BC64F4">
        <w:t xml:space="preserve">Further, we have had our attention drawn to the decision of Beech-Jones CJ at Common Law in </w:t>
      </w:r>
      <w:r w:rsidR="00BC64F4">
        <w:rPr>
          <w:i/>
        </w:rPr>
        <w:t xml:space="preserve">Fakhouri v Secretary, NSW Ministry of Health </w:t>
      </w:r>
      <w:r w:rsidR="00BC64F4">
        <w:t>(2022) 316 IR 221 at [39] to [51].  Of course, he was dealing with different statutory provisions and so it is unproductive to draw too much from his detailed analysis.  But I would endorse his statement that the notion or principle (call it what you will) of implied repeal is “a rule of last resort to be deployed if one cannot determine that one set of provisions is subject to the other”.</w:t>
      </w:r>
    </w:p>
    <w:p w14:paraId="3EC5869C" w14:textId="7F7E0318" w:rsidR="00BC64F4" w:rsidRPr="00C946BE" w:rsidRDefault="0071710E" w:rsidP="0071710E">
      <w:pPr>
        <w:pStyle w:val="ParaNumbering"/>
        <w:numPr>
          <w:ilvl w:val="0"/>
          <w:numId w:val="0"/>
        </w:numPr>
        <w:tabs>
          <w:tab w:val="left" w:pos="720"/>
        </w:tabs>
        <w:ind w:hanging="720"/>
        <w:rPr>
          <w:szCs w:val="24"/>
        </w:rPr>
      </w:pPr>
      <w:r w:rsidRPr="00C946BE">
        <w:rPr>
          <w:sz w:val="20"/>
          <w:szCs w:val="24"/>
        </w:rPr>
        <w:t>52</w:t>
      </w:r>
      <w:r w:rsidRPr="00C946BE">
        <w:rPr>
          <w:sz w:val="20"/>
          <w:szCs w:val="24"/>
        </w:rPr>
        <w:tab/>
      </w:r>
      <w:r w:rsidR="00BC64F4">
        <w:rPr>
          <w:szCs w:val="24"/>
        </w:rPr>
        <w:t>In the present case t</w:t>
      </w:r>
      <w:r w:rsidR="00BC64F4" w:rsidRPr="00C946BE">
        <w:rPr>
          <w:szCs w:val="24"/>
        </w:rPr>
        <w:t>he text of the</w:t>
      </w:r>
      <w:r w:rsidR="00BC64F4">
        <w:rPr>
          <w:szCs w:val="24"/>
        </w:rPr>
        <w:t xml:space="preserve"> relevant</w:t>
      </w:r>
      <w:r w:rsidR="00BC64F4" w:rsidRPr="00C946BE">
        <w:rPr>
          <w:szCs w:val="24"/>
        </w:rPr>
        <w:t xml:space="preserve"> provisions discloses no inconsistency, because the provisions are directed at different ends.  Sections 539 and 540 regulate the standing of a party principal.  They control standing by limiting the persons permitted to apply, and the contraventions to which their applications can relate.</w:t>
      </w:r>
    </w:p>
    <w:p w14:paraId="3AC9E78A" w14:textId="664EFE48" w:rsidR="00BC64F4" w:rsidRDefault="0071710E" w:rsidP="0071710E">
      <w:pPr>
        <w:pStyle w:val="ParaNumbering"/>
        <w:numPr>
          <w:ilvl w:val="0"/>
          <w:numId w:val="0"/>
        </w:numPr>
        <w:tabs>
          <w:tab w:val="left" w:pos="720"/>
        </w:tabs>
        <w:ind w:hanging="720"/>
        <w:rPr>
          <w:szCs w:val="24"/>
        </w:rPr>
      </w:pPr>
      <w:r>
        <w:rPr>
          <w:sz w:val="20"/>
          <w:szCs w:val="24"/>
        </w:rPr>
        <w:t>53</w:t>
      </w:r>
      <w:r>
        <w:rPr>
          <w:sz w:val="20"/>
          <w:szCs w:val="24"/>
        </w:rPr>
        <w:tab/>
      </w:r>
      <w:r w:rsidR="00BC64F4">
        <w:rPr>
          <w:szCs w:val="24"/>
        </w:rPr>
        <w:t>But s</w:t>
      </w:r>
      <w:r w:rsidR="00BC64F4" w:rsidRPr="00400540">
        <w:rPr>
          <w:szCs w:val="24"/>
        </w:rPr>
        <w:t xml:space="preserve"> 33D does not derogate from these controls.  It does not purport to expand the classes of permitted person or contraventions beyond the limits contemplated by ss 539 and 540.  </w:t>
      </w:r>
      <w:r w:rsidR="00BC64F4">
        <w:rPr>
          <w:szCs w:val="24"/>
        </w:rPr>
        <w:t xml:space="preserve">Rather, its </w:t>
      </w:r>
      <w:r w:rsidR="00BC64F4" w:rsidRPr="00400540">
        <w:rPr>
          <w:szCs w:val="24"/>
        </w:rPr>
        <w:t>work is different</w:t>
      </w:r>
      <w:r w:rsidR="00BC64F4">
        <w:rPr>
          <w:szCs w:val="24"/>
        </w:rPr>
        <w:t xml:space="preserve"> and </w:t>
      </w:r>
      <w:r w:rsidR="00BC64F4" w:rsidRPr="00400540">
        <w:rPr>
          <w:szCs w:val="24"/>
        </w:rPr>
        <w:t xml:space="preserve">authorises a person to commence a proceeding on others’ behalf provided </w:t>
      </w:r>
      <w:r w:rsidR="00BC64F4">
        <w:rPr>
          <w:szCs w:val="24"/>
        </w:rPr>
        <w:t>that the terms of s 33</w:t>
      </w:r>
      <w:proofErr w:type="gramStart"/>
      <w:r w:rsidR="00BC64F4">
        <w:rPr>
          <w:szCs w:val="24"/>
        </w:rPr>
        <w:t>D(</w:t>
      </w:r>
      <w:proofErr w:type="gramEnd"/>
      <w:r w:rsidR="00BC64F4">
        <w:rPr>
          <w:szCs w:val="24"/>
        </w:rPr>
        <w:t xml:space="preserve">1) are met. </w:t>
      </w:r>
      <w:r w:rsidR="00BC64F4" w:rsidRPr="00400540">
        <w:rPr>
          <w:szCs w:val="24"/>
        </w:rPr>
        <w:t xml:space="preserve">  </w:t>
      </w:r>
    </w:p>
    <w:p w14:paraId="6EC45CF1" w14:textId="46D14B9F" w:rsidR="00BC64F4" w:rsidRPr="00400540" w:rsidRDefault="0071710E" w:rsidP="0071710E">
      <w:pPr>
        <w:pStyle w:val="ParaNumbering"/>
        <w:numPr>
          <w:ilvl w:val="0"/>
          <w:numId w:val="0"/>
        </w:numPr>
        <w:tabs>
          <w:tab w:val="left" w:pos="720"/>
        </w:tabs>
        <w:ind w:hanging="720"/>
        <w:rPr>
          <w:szCs w:val="24"/>
        </w:rPr>
      </w:pPr>
      <w:r w:rsidRPr="00400540">
        <w:rPr>
          <w:sz w:val="20"/>
          <w:szCs w:val="24"/>
        </w:rPr>
        <w:t>54</w:t>
      </w:r>
      <w:r w:rsidRPr="00400540">
        <w:rPr>
          <w:sz w:val="20"/>
          <w:szCs w:val="24"/>
        </w:rPr>
        <w:tab/>
      </w:r>
      <w:r w:rsidR="00BC64F4">
        <w:rPr>
          <w:szCs w:val="24"/>
        </w:rPr>
        <w:t xml:space="preserve">Moreover, </w:t>
      </w:r>
      <w:r w:rsidR="00BC64F4" w:rsidRPr="00400540">
        <w:rPr>
          <w:szCs w:val="24"/>
        </w:rPr>
        <w:t>Part IVA</w:t>
      </w:r>
      <w:r w:rsidR="00BC64F4">
        <w:rPr>
          <w:szCs w:val="24"/>
        </w:rPr>
        <w:t xml:space="preserve"> including </w:t>
      </w:r>
      <w:r w:rsidR="00BC64F4" w:rsidRPr="00400540">
        <w:rPr>
          <w:szCs w:val="24"/>
        </w:rPr>
        <w:t xml:space="preserve">ss 33C and 33D establish a limited </w:t>
      </w:r>
      <w:r w:rsidR="00BC64F4">
        <w:rPr>
          <w:szCs w:val="24"/>
        </w:rPr>
        <w:t xml:space="preserve">form of </w:t>
      </w:r>
      <w:r w:rsidR="00BC64F4" w:rsidRPr="00400540">
        <w:rPr>
          <w:szCs w:val="24"/>
        </w:rPr>
        <w:t xml:space="preserve">statutory agency between the lead applicant and the group members.  </w:t>
      </w:r>
      <w:r w:rsidR="00BC64F4">
        <w:rPr>
          <w:szCs w:val="24"/>
        </w:rPr>
        <w:t xml:space="preserve">In one sense therefore, </w:t>
      </w:r>
      <w:r w:rsidR="00BC64F4" w:rsidRPr="00400540">
        <w:rPr>
          <w:szCs w:val="24"/>
        </w:rPr>
        <w:t xml:space="preserve">a class action under Part IVA </w:t>
      </w:r>
      <w:r w:rsidR="00BC64F4">
        <w:rPr>
          <w:szCs w:val="24"/>
        </w:rPr>
        <w:t xml:space="preserve">involves </w:t>
      </w:r>
      <w:r w:rsidR="00BC64F4" w:rsidRPr="00400540">
        <w:rPr>
          <w:szCs w:val="24"/>
        </w:rPr>
        <w:t xml:space="preserve">each group member </w:t>
      </w:r>
      <w:r w:rsidR="00BC64F4">
        <w:rPr>
          <w:szCs w:val="24"/>
        </w:rPr>
        <w:t xml:space="preserve">through the representative applicant applying </w:t>
      </w:r>
      <w:r w:rsidR="00BC64F4" w:rsidRPr="00400540">
        <w:rPr>
          <w:szCs w:val="24"/>
        </w:rPr>
        <w:t>for orders pertaining to the contraventions t</w:t>
      </w:r>
      <w:r w:rsidR="00BC64F4">
        <w:rPr>
          <w:szCs w:val="24"/>
        </w:rPr>
        <w:t>hat t</w:t>
      </w:r>
      <w:r w:rsidR="00BC64F4" w:rsidRPr="00400540">
        <w:rPr>
          <w:szCs w:val="24"/>
        </w:rPr>
        <w:t>he</w:t>
      </w:r>
      <w:r w:rsidR="00BC64F4">
        <w:rPr>
          <w:szCs w:val="24"/>
        </w:rPr>
        <w:t xml:space="preserve"> group members</w:t>
      </w:r>
      <w:r w:rsidR="00BC64F4" w:rsidRPr="00400540">
        <w:rPr>
          <w:szCs w:val="24"/>
        </w:rPr>
        <w:t xml:space="preserve"> are “affected by”.  </w:t>
      </w:r>
      <w:r w:rsidR="00BC64F4">
        <w:rPr>
          <w:szCs w:val="24"/>
        </w:rPr>
        <w:t>Accordingly, there is no inconsistency with s </w:t>
      </w:r>
      <w:r w:rsidR="00BC64F4" w:rsidRPr="00400540">
        <w:rPr>
          <w:szCs w:val="24"/>
        </w:rPr>
        <w:t>540</w:t>
      </w:r>
      <w:r w:rsidR="00BC64F4">
        <w:rPr>
          <w:szCs w:val="24"/>
        </w:rPr>
        <w:t xml:space="preserve">, particularly s 540(1)(a).  An employee has standing to pursue the relevant rights under s 540(1)(a).  But s 540(1) says nothing whatsoever to deny that the employee may act in a representative capacity. </w:t>
      </w:r>
    </w:p>
    <w:p w14:paraId="7E2E7226" w14:textId="6F345C99" w:rsidR="00BC64F4" w:rsidRDefault="0071710E" w:rsidP="0071710E">
      <w:pPr>
        <w:pStyle w:val="ParaNumbering"/>
        <w:numPr>
          <w:ilvl w:val="0"/>
          <w:numId w:val="0"/>
        </w:numPr>
        <w:tabs>
          <w:tab w:val="left" w:pos="720"/>
        </w:tabs>
        <w:ind w:hanging="720"/>
        <w:rPr>
          <w:szCs w:val="24"/>
        </w:rPr>
      </w:pPr>
      <w:r>
        <w:rPr>
          <w:sz w:val="20"/>
          <w:szCs w:val="24"/>
        </w:rPr>
        <w:t>55</w:t>
      </w:r>
      <w:r>
        <w:rPr>
          <w:sz w:val="20"/>
          <w:szCs w:val="24"/>
        </w:rPr>
        <w:tab/>
      </w:r>
      <w:r w:rsidR="00BC64F4">
        <w:rPr>
          <w:szCs w:val="24"/>
        </w:rPr>
        <w:t>Now t</w:t>
      </w:r>
      <w:r w:rsidR="00BC64F4" w:rsidRPr="00400540">
        <w:rPr>
          <w:szCs w:val="24"/>
        </w:rPr>
        <w:t xml:space="preserve">he SDA conceives of the </w:t>
      </w:r>
      <w:r w:rsidR="00BC64F4">
        <w:rPr>
          <w:szCs w:val="24"/>
        </w:rPr>
        <w:t xml:space="preserve">relevant </w:t>
      </w:r>
      <w:r w:rsidR="00BC64F4" w:rsidRPr="00400540">
        <w:rPr>
          <w:szCs w:val="24"/>
        </w:rPr>
        <w:t>provisions as equivalents dealing with like subject matter.  The SDA deal</w:t>
      </w:r>
      <w:r w:rsidR="00BC64F4">
        <w:rPr>
          <w:szCs w:val="24"/>
        </w:rPr>
        <w:t>s with the standing afforded by s </w:t>
      </w:r>
      <w:r w:rsidR="00BC64F4" w:rsidRPr="00CF78F3">
        <w:rPr>
          <w:szCs w:val="24"/>
        </w:rPr>
        <w:t xml:space="preserve">540(6) to industrial </w:t>
      </w:r>
      <w:proofErr w:type="gramStart"/>
      <w:r w:rsidR="00BC64F4" w:rsidRPr="00CF78F3">
        <w:rPr>
          <w:szCs w:val="24"/>
        </w:rPr>
        <w:t>associations, and</w:t>
      </w:r>
      <w:proofErr w:type="gramEnd"/>
      <w:r w:rsidR="00BC64F4" w:rsidRPr="00CF78F3">
        <w:rPr>
          <w:szCs w:val="24"/>
        </w:rPr>
        <w:t xml:space="preserve"> contends that the intention is to confer a right of standing on groups of employees in a manner similar to the standing conferred</w:t>
      </w:r>
      <w:r w:rsidR="00BC64F4">
        <w:rPr>
          <w:szCs w:val="24"/>
        </w:rPr>
        <w:t xml:space="preserve"> under</w:t>
      </w:r>
      <w:r w:rsidR="00BC64F4" w:rsidRPr="00CF78F3">
        <w:rPr>
          <w:szCs w:val="24"/>
        </w:rPr>
        <w:t xml:space="preserve"> s 33D.  </w:t>
      </w:r>
    </w:p>
    <w:p w14:paraId="56DE0B86" w14:textId="4EFA30F1" w:rsidR="00BC64F4" w:rsidRPr="00B31C1C" w:rsidRDefault="0071710E" w:rsidP="0071710E">
      <w:pPr>
        <w:pStyle w:val="ParaNumbering"/>
        <w:numPr>
          <w:ilvl w:val="0"/>
          <w:numId w:val="0"/>
        </w:numPr>
        <w:tabs>
          <w:tab w:val="left" w:pos="720"/>
        </w:tabs>
        <w:ind w:hanging="720"/>
        <w:rPr>
          <w:szCs w:val="24"/>
        </w:rPr>
      </w:pPr>
      <w:r w:rsidRPr="00B31C1C">
        <w:rPr>
          <w:sz w:val="20"/>
          <w:szCs w:val="24"/>
        </w:rPr>
        <w:t>56</w:t>
      </w:r>
      <w:r w:rsidRPr="00B31C1C">
        <w:rPr>
          <w:sz w:val="20"/>
          <w:szCs w:val="24"/>
        </w:rPr>
        <w:tab/>
      </w:r>
      <w:r w:rsidR="00BC64F4" w:rsidRPr="00CF78F3">
        <w:rPr>
          <w:szCs w:val="24"/>
        </w:rPr>
        <w:t xml:space="preserve">But </w:t>
      </w:r>
      <w:r w:rsidR="00BC64F4">
        <w:rPr>
          <w:szCs w:val="24"/>
        </w:rPr>
        <w:t>p</w:t>
      </w:r>
      <w:r w:rsidR="00BC64F4" w:rsidRPr="00CF78F3">
        <w:rPr>
          <w:szCs w:val="24"/>
        </w:rPr>
        <w:t xml:space="preserve">utting </w:t>
      </w:r>
      <w:r w:rsidR="00BC64F4">
        <w:rPr>
          <w:szCs w:val="24"/>
        </w:rPr>
        <w:t xml:space="preserve">to one side for the moment </w:t>
      </w:r>
      <w:r w:rsidR="00BC64F4" w:rsidRPr="00CF78F3">
        <w:rPr>
          <w:szCs w:val="24"/>
        </w:rPr>
        <w:t xml:space="preserve">that industrial associations have no standing to commence proceedings for contraventions of the National Employment Standards, enterprise agreements or awards (see s 539, items 1, 2 and 4), ss 539 and 540 do not give rise to any relationship of privity between </w:t>
      </w:r>
      <w:r w:rsidR="00BC64F4">
        <w:rPr>
          <w:szCs w:val="24"/>
        </w:rPr>
        <w:t xml:space="preserve">an industrial association </w:t>
      </w:r>
      <w:r w:rsidR="00BC64F4" w:rsidRPr="00CF78F3">
        <w:rPr>
          <w:szCs w:val="24"/>
        </w:rPr>
        <w:t xml:space="preserve">and the employee affected and do not </w:t>
      </w:r>
      <w:proofErr w:type="gramStart"/>
      <w:r w:rsidR="00BC64F4" w:rsidRPr="00CF78F3">
        <w:rPr>
          <w:szCs w:val="24"/>
        </w:rPr>
        <w:t>found</w:t>
      </w:r>
      <w:proofErr w:type="gramEnd"/>
      <w:r w:rsidR="00BC64F4" w:rsidRPr="00CF78F3">
        <w:rPr>
          <w:szCs w:val="24"/>
        </w:rPr>
        <w:t xml:space="preserve"> any relationship of agency. </w:t>
      </w:r>
      <w:r w:rsidR="00BC64F4">
        <w:rPr>
          <w:szCs w:val="24"/>
        </w:rPr>
        <w:t xml:space="preserve"> Section 540(6)(b) does not involve derivative standing.  And the association does not stand in the shoes of the employees, as Lee J has explained.  E</w:t>
      </w:r>
      <w:r w:rsidR="00BC64F4" w:rsidRPr="00B31C1C">
        <w:rPr>
          <w:szCs w:val="24"/>
        </w:rPr>
        <w:t xml:space="preserve">mployees </w:t>
      </w:r>
      <w:proofErr w:type="gramStart"/>
      <w:r w:rsidR="00BC64F4" w:rsidRPr="00B31C1C">
        <w:rPr>
          <w:szCs w:val="24"/>
        </w:rPr>
        <w:t>are able to</w:t>
      </w:r>
      <w:proofErr w:type="gramEnd"/>
      <w:r w:rsidR="00BC64F4" w:rsidRPr="00B31C1C">
        <w:rPr>
          <w:szCs w:val="24"/>
        </w:rPr>
        <w:t xml:space="preserve"> pursue for themselves the relevant statutory rights and to do so using representative mechanisms such as Part IVA as they see fit. </w:t>
      </w:r>
    </w:p>
    <w:p w14:paraId="1F6CE6ED" w14:textId="4373DD36" w:rsidR="00BC64F4" w:rsidRPr="00400540" w:rsidRDefault="0071710E" w:rsidP="0071710E">
      <w:pPr>
        <w:pStyle w:val="ParaNumbering"/>
        <w:numPr>
          <w:ilvl w:val="0"/>
          <w:numId w:val="0"/>
        </w:numPr>
        <w:tabs>
          <w:tab w:val="left" w:pos="720"/>
        </w:tabs>
        <w:ind w:hanging="720"/>
        <w:rPr>
          <w:szCs w:val="24"/>
        </w:rPr>
      </w:pPr>
      <w:r w:rsidRPr="00400540">
        <w:rPr>
          <w:sz w:val="20"/>
          <w:szCs w:val="24"/>
        </w:rPr>
        <w:t>57</w:t>
      </w:r>
      <w:r w:rsidRPr="00400540">
        <w:rPr>
          <w:sz w:val="20"/>
          <w:szCs w:val="24"/>
        </w:rPr>
        <w:tab/>
      </w:r>
      <w:r w:rsidR="00BC64F4">
        <w:rPr>
          <w:szCs w:val="24"/>
        </w:rPr>
        <w:t xml:space="preserve">Accordingly, </w:t>
      </w:r>
      <w:r w:rsidR="00BC64F4" w:rsidRPr="00400540">
        <w:rPr>
          <w:szCs w:val="24"/>
        </w:rPr>
        <w:t>the SDA’s submissions about the limitations on standing in</w:t>
      </w:r>
      <w:r w:rsidR="00BC64F4">
        <w:rPr>
          <w:szCs w:val="24"/>
        </w:rPr>
        <w:t xml:space="preserve"> the relevant provisions of </w:t>
      </w:r>
      <w:r w:rsidR="00BC64F4" w:rsidRPr="00400540">
        <w:rPr>
          <w:szCs w:val="24"/>
        </w:rPr>
        <w:t xml:space="preserve">the FW Act </w:t>
      </w:r>
      <w:r w:rsidR="00BC64F4">
        <w:rPr>
          <w:szCs w:val="24"/>
        </w:rPr>
        <w:t>go nowhere</w:t>
      </w:r>
      <w:r w:rsidR="00BC64F4" w:rsidRPr="00400540">
        <w:rPr>
          <w:szCs w:val="24"/>
        </w:rPr>
        <w:t xml:space="preserve">.  Those provisions may be elaborate and specific, but apart from dictating who has a sufficient interest they do not otherwise interfere with representative proceedings of the kind authorised by Part IVA of the FCA Act. </w:t>
      </w:r>
    </w:p>
    <w:p w14:paraId="2FE3E45F" w14:textId="630B4C1D" w:rsidR="00BC64F4" w:rsidRDefault="0071710E" w:rsidP="0071710E">
      <w:pPr>
        <w:pStyle w:val="ParaNumbering"/>
        <w:numPr>
          <w:ilvl w:val="0"/>
          <w:numId w:val="0"/>
        </w:numPr>
        <w:tabs>
          <w:tab w:val="left" w:pos="720"/>
        </w:tabs>
        <w:ind w:hanging="720"/>
        <w:rPr>
          <w:szCs w:val="24"/>
        </w:rPr>
      </w:pPr>
      <w:r>
        <w:rPr>
          <w:sz w:val="20"/>
          <w:szCs w:val="24"/>
        </w:rPr>
        <w:t>58</w:t>
      </w:r>
      <w:r>
        <w:rPr>
          <w:sz w:val="20"/>
          <w:szCs w:val="24"/>
        </w:rPr>
        <w:tab/>
      </w:r>
      <w:r w:rsidR="00BC64F4" w:rsidRPr="00A46287">
        <w:rPr>
          <w:szCs w:val="24"/>
        </w:rPr>
        <w:t>Moreover, this</w:t>
      </w:r>
      <w:r w:rsidR="00BC64F4" w:rsidRPr="00A46287">
        <w:rPr>
          <w:spacing w:val="-2"/>
          <w:szCs w:val="24"/>
        </w:rPr>
        <w:t xml:space="preserve"> </w:t>
      </w:r>
      <w:r w:rsidR="00BC64F4" w:rsidRPr="00A46287">
        <w:rPr>
          <w:szCs w:val="24"/>
        </w:rPr>
        <w:t>construction</w:t>
      </w:r>
      <w:r w:rsidR="00BC64F4" w:rsidRPr="00A46287">
        <w:rPr>
          <w:spacing w:val="-5"/>
          <w:szCs w:val="24"/>
        </w:rPr>
        <w:t xml:space="preserve"> </w:t>
      </w:r>
      <w:r w:rsidR="00BC64F4" w:rsidRPr="00A46287">
        <w:rPr>
          <w:szCs w:val="24"/>
        </w:rPr>
        <w:t>is</w:t>
      </w:r>
      <w:r w:rsidR="00BC64F4" w:rsidRPr="00A46287">
        <w:rPr>
          <w:spacing w:val="-2"/>
          <w:szCs w:val="24"/>
        </w:rPr>
        <w:t xml:space="preserve"> </w:t>
      </w:r>
      <w:r w:rsidR="00BC64F4" w:rsidRPr="00A46287">
        <w:rPr>
          <w:szCs w:val="24"/>
        </w:rPr>
        <w:t>supported</w:t>
      </w:r>
      <w:r w:rsidR="00BC64F4" w:rsidRPr="00A46287">
        <w:rPr>
          <w:spacing w:val="-2"/>
          <w:szCs w:val="24"/>
        </w:rPr>
        <w:t xml:space="preserve"> </w:t>
      </w:r>
      <w:r w:rsidR="00BC64F4" w:rsidRPr="00A46287">
        <w:rPr>
          <w:szCs w:val="24"/>
        </w:rPr>
        <w:t>by</w:t>
      </w:r>
      <w:r w:rsidR="00BC64F4" w:rsidRPr="00A46287">
        <w:rPr>
          <w:spacing w:val="-2"/>
          <w:szCs w:val="24"/>
        </w:rPr>
        <w:t xml:space="preserve"> </w:t>
      </w:r>
      <w:r w:rsidR="00BC64F4" w:rsidRPr="00A46287">
        <w:rPr>
          <w:szCs w:val="24"/>
        </w:rPr>
        <w:t>the</w:t>
      </w:r>
      <w:r w:rsidR="00BC64F4" w:rsidRPr="00A46287">
        <w:rPr>
          <w:spacing w:val="-4"/>
          <w:szCs w:val="24"/>
        </w:rPr>
        <w:t xml:space="preserve"> </w:t>
      </w:r>
      <w:r w:rsidR="00BC64F4" w:rsidRPr="00A46287">
        <w:rPr>
          <w:szCs w:val="24"/>
        </w:rPr>
        <w:t>relevant</w:t>
      </w:r>
      <w:r w:rsidR="00BC64F4" w:rsidRPr="00A46287">
        <w:rPr>
          <w:spacing w:val="-1"/>
          <w:szCs w:val="24"/>
        </w:rPr>
        <w:t xml:space="preserve"> </w:t>
      </w:r>
      <w:r w:rsidR="00BC64F4" w:rsidRPr="00A46287">
        <w:rPr>
          <w:szCs w:val="24"/>
        </w:rPr>
        <w:t>purposes</w:t>
      </w:r>
      <w:r w:rsidR="00BC64F4" w:rsidRPr="00A46287">
        <w:rPr>
          <w:spacing w:val="-4"/>
          <w:szCs w:val="24"/>
        </w:rPr>
        <w:t xml:space="preserve"> </w:t>
      </w:r>
      <w:r w:rsidR="00BC64F4" w:rsidRPr="00A46287">
        <w:rPr>
          <w:szCs w:val="24"/>
        </w:rPr>
        <w:t>of</w:t>
      </w:r>
      <w:r w:rsidR="00BC64F4" w:rsidRPr="00A46287">
        <w:rPr>
          <w:spacing w:val="-1"/>
          <w:szCs w:val="24"/>
        </w:rPr>
        <w:t xml:space="preserve"> </w:t>
      </w:r>
      <w:r w:rsidR="00BC64F4" w:rsidRPr="00A46287">
        <w:rPr>
          <w:szCs w:val="24"/>
        </w:rPr>
        <w:t>each</w:t>
      </w:r>
      <w:r w:rsidR="00BC64F4" w:rsidRPr="00A46287">
        <w:rPr>
          <w:spacing w:val="-2"/>
          <w:szCs w:val="24"/>
        </w:rPr>
        <w:t xml:space="preserve"> </w:t>
      </w:r>
      <w:r w:rsidR="00BC64F4" w:rsidRPr="00A46287">
        <w:rPr>
          <w:szCs w:val="24"/>
        </w:rPr>
        <w:t>statute.</w:t>
      </w:r>
      <w:r w:rsidR="00BC64F4" w:rsidRPr="00A46287">
        <w:rPr>
          <w:spacing w:val="-2"/>
          <w:szCs w:val="24"/>
        </w:rPr>
        <w:t xml:space="preserve">  </w:t>
      </w:r>
      <w:r w:rsidR="00BC64F4" w:rsidRPr="00A46287">
        <w:rPr>
          <w:szCs w:val="24"/>
        </w:rPr>
        <w:t>Both</w:t>
      </w:r>
      <w:r w:rsidR="00BC64F4" w:rsidRPr="00A46287">
        <w:rPr>
          <w:spacing w:val="-2"/>
          <w:szCs w:val="24"/>
        </w:rPr>
        <w:t xml:space="preserve"> </w:t>
      </w:r>
      <w:r w:rsidR="00BC64F4" w:rsidRPr="00A46287">
        <w:rPr>
          <w:szCs w:val="24"/>
        </w:rPr>
        <w:t>the</w:t>
      </w:r>
      <w:r w:rsidR="00BC64F4" w:rsidRPr="00A46287">
        <w:rPr>
          <w:spacing w:val="-2"/>
          <w:szCs w:val="24"/>
        </w:rPr>
        <w:t xml:space="preserve"> </w:t>
      </w:r>
      <w:r w:rsidR="00BC64F4" w:rsidRPr="00A46287">
        <w:rPr>
          <w:szCs w:val="24"/>
        </w:rPr>
        <w:t>FW</w:t>
      </w:r>
      <w:r w:rsidR="00BC64F4" w:rsidRPr="00A46287">
        <w:rPr>
          <w:spacing w:val="-2"/>
          <w:szCs w:val="24"/>
        </w:rPr>
        <w:t xml:space="preserve"> </w:t>
      </w:r>
      <w:r w:rsidR="00BC64F4" w:rsidRPr="00A46287">
        <w:rPr>
          <w:szCs w:val="24"/>
        </w:rPr>
        <w:t>Act</w:t>
      </w:r>
      <w:r w:rsidR="00BC64F4" w:rsidRPr="00A46287">
        <w:rPr>
          <w:spacing w:val="-4"/>
          <w:szCs w:val="24"/>
        </w:rPr>
        <w:t xml:space="preserve"> </w:t>
      </w:r>
      <w:r w:rsidR="00BC64F4" w:rsidRPr="00A46287">
        <w:rPr>
          <w:szCs w:val="24"/>
        </w:rPr>
        <w:t xml:space="preserve">and Part IVA are intended to enhance access to justice.  Now </w:t>
      </w:r>
      <w:r w:rsidR="00BC64F4">
        <w:rPr>
          <w:szCs w:val="24"/>
        </w:rPr>
        <w:t>n</w:t>
      </w:r>
      <w:r w:rsidR="00BC64F4" w:rsidRPr="00A46287">
        <w:rPr>
          <w:szCs w:val="24"/>
        </w:rPr>
        <w:t xml:space="preserve">othing further need be said concerning </w:t>
      </w:r>
      <w:r w:rsidR="00BC64F4">
        <w:rPr>
          <w:szCs w:val="24"/>
        </w:rPr>
        <w:t xml:space="preserve">the obvious purpose of </w:t>
      </w:r>
      <w:r w:rsidR="00BC64F4" w:rsidRPr="00A46287">
        <w:rPr>
          <w:szCs w:val="24"/>
        </w:rPr>
        <w:t>Part IVA</w:t>
      </w:r>
      <w:r w:rsidR="00BC64F4">
        <w:rPr>
          <w:szCs w:val="24"/>
        </w:rPr>
        <w:t>.  But let me refer to s 3 of the FW Act.</w:t>
      </w:r>
    </w:p>
    <w:p w14:paraId="54BCD4EC" w14:textId="5BFBB994" w:rsidR="00BC64F4" w:rsidRPr="00A46287" w:rsidRDefault="0071710E" w:rsidP="0071710E">
      <w:pPr>
        <w:pStyle w:val="ParaNumbering"/>
        <w:numPr>
          <w:ilvl w:val="0"/>
          <w:numId w:val="0"/>
        </w:numPr>
        <w:tabs>
          <w:tab w:val="left" w:pos="720"/>
        </w:tabs>
        <w:ind w:hanging="720"/>
        <w:rPr>
          <w:szCs w:val="24"/>
        </w:rPr>
      </w:pPr>
      <w:r w:rsidRPr="00A46287">
        <w:rPr>
          <w:sz w:val="20"/>
          <w:szCs w:val="24"/>
        </w:rPr>
        <w:t>59</w:t>
      </w:r>
      <w:r w:rsidRPr="00A46287">
        <w:rPr>
          <w:sz w:val="20"/>
          <w:szCs w:val="24"/>
        </w:rPr>
        <w:tab/>
      </w:r>
      <w:r w:rsidR="00BC64F4" w:rsidRPr="00A46287">
        <w:rPr>
          <w:szCs w:val="24"/>
        </w:rPr>
        <w:t>Section 3</w:t>
      </w:r>
      <w:r w:rsidR="00BC64F4" w:rsidRPr="00A46287">
        <w:rPr>
          <w:spacing w:val="-1"/>
          <w:szCs w:val="24"/>
        </w:rPr>
        <w:t xml:space="preserve"> </w:t>
      </w:r>
      <w:r w:rsidR="00BC64F4" w:rsidRPr="00A46287">
        <w:rPr>
          <w:szCs w:val="24"/>
        </w:rPr>
        <w:t>of</w:t>
      </w:r>
      <w:r w:rsidR="00BC64F4" w:rsidRPr="00A46287">
        <w:rPr>
          <w:spacing w:val="-3"/>
          <w:szCs w:val="24"/>
        </w:rPr>
        <w:t xml:space="preserve"> </w:t>
      </w:r>
      <w:r w:rsidR="00BC64F4" w:rsidRPr="00A46287">
        <w:rPr>
          <w:szCs w:val="24"/>
        </w:rPr>
        <w:t>the</w:t>
      </w:r>
      <w:r w:rsidR="00BC64F4" w:rsidRPr="00A46287">
        <w:rPr>
          <w:spacing w:val="-1"/>
          <w:szCs w:val="24"/>
        </w:rPr>
        <w:t xml:space="preserve"> </w:t>
      </w:r>
      <w:r w:rsidR="00BC64F4" w:rsidRPr="00A46287">
        <w:rPr>
          <w:szCs w:val="24"/>
        </w:rPr>
        <w:t>FW</w:t>
      </w:r>
      <w:r w:rsidR="00BC64F4" w:rsidRPr="00A46287">
        <w:rPr>
          <w:spacing w:val="-1"/>
          <w:szCs w:val="24"/>
        </w:rPr>
        <w:t xml:space="preserve"> </w:t>
      </w:r>
      <w:r w:rsidR="00BC64F4" w:rsidRPr="00A46287">
        <w:rPr>
          <w:szCs w:val="24"/>
        </w:rPr>
        <w:t>Act</w:t>
      </w:r>
      <w:r w:rsidR="00BC64F4" w:rsidRPr="00A46287">
        <w:rPr>
          <w:spacing w:val="-3"/>
          <w:szCs w:val="24"/>
        </w:rPr>
        <w:t xml:space="preserve"> </w:t>
      </w:r>
      <w:r w:rsidR="00BC64F4" w:rsidRPr="00A46287">
        <w:rPr>
          <w:szCs w:val="24"/>
        </w:rPr>
        <w:t>provides</w:t>
      </w:r>
      <w:r w:rsidR="00BC64F4" w:rsidRPr="00A46287">
        <w:rPr>
          <w:spacing w:val="-3"/>
          <w:szCs w:val="24"/>
        </w:rPr>
        <w:t xml:space="preserve"> </w:t>
      </w:r>
      <w:r w:rsidR="00BC64F4" w:rsidRPr="00A46287">
        <w:rPr>
          <w:szCs w:val="24"/>
        </w:rPr>
        <w:t>that an</w:t>
      </w:r>
      <w:r w:rsidR="00BC64F4" w:rsidRPr="00A46287">
        <w:rPr>
          <w:spacing w:val="-1"/>
          <w:szCs w:val="24"/>
        </w:rPr>
        <w:t xml:space="preserve"> </w:t>
      </w:r>
      <w:r w:rsidR="00BC64F4" w:rsidRPr="00A46287">
        <w:rPr>
          <w:szCs w:val="24"/>
        </w:rPr>
        <w:t>object of</w:t>
      </w:r>
      <w:r w:rsidR="00BC64F4" w:rsidRPr="00A46287">
        <w:rPr>
          <w:spacing w:val="-3"/>
          <w:szCs w:val="24"/>
        </w:rPr>
        <w:t xml:space="preserve"> </w:t>
      </w:r>
      <w:r w:rsidR="00BC64F4" w:rsidRPr="00A46287">
        <w:rPr>
          <w:szCs w:val="24"/>
        </w:rPr>
        <w:t>the</w:t>
      </w:r>
      <w:r w:rsidR="00BC64F4" w:rsidRPr="00A46287">
        <w:rPr>
          <w:spacing w:val="-1"/>
          <w:szCs w:val="24"/>
        </w:rPr>
        <w:t xml:space="preserve"> </w:t>
      </w:r>
      <w:r w:rsidR="00BC64F4" w:rsidRPr="00A46287">
        <w:rPr>
          <w:szCs w:val="24"/>
        </w:rPr>
        <w:t>Act</w:t>
      </w:r>
      <w:r w:rsidR="00BC64F4" w:rsidRPr="00A46287">
        <w:rPr>
          <w:spacing w:val="-3"/>
          <w:szCs w:val="24"/>
        </w:rPr>
        <w:t xml:space="preserve"> </w:t>
      </w:r>
      <w:r w:rsidR="00BC64F4" w:rsidRPr="00A46287">
        <w:rPr>
          <w:szCs w:val="24"/>
        </w:rPr>
        <w:t>is</w:t>
      </w:r>
      <w:r w:rsidR="00BC64F4" w:rsidRPr="00A46287">
        <w:rPr>
          <w:spacing w:val="-3"/>
          <w:szCs w:val="24"/>
        </w:rPr>
        <w:t xml:space="preserve"> </w:t>
      </w:r>
      <w:r w:rsidR="00BC64F4" w:rsidRPr="00A46287">
        <w:rPr>
          <w:szCs w:val="24"/>
        </w:rPr>
        <w:t>to</w:t>
      </w:r>
      <w:r w:rsidR="00BC64F4" w:rsidRPr="00A46287">
        <w:rPr>
          <w:spacing w:val="-1"/>
          <w:szCs w:val="24"/>
        </w:rPr>
        <w:t xml:space="preserve"> </w:t>
      </w:r>
      <w:r w:rsidR="00BC64F4" w:rsidRPr="00A46287">
        <w:rPr>
          <w:szCs w:val="24"/>
        </w:rPr>
        <w:t>ensure</w:t>
      </w:r>
      <w:r w:rsidR="00BC64F4" w:rsidRPr="00A46287">
        <w:rPr>
          <w:spacing w:val="-1"/>
          <w:szCs w:val="24"/>
        </w:rPr>
        <w:t xml:space="preserve"> </w:t>
      </w:r>
      <w:r w:rsidR="00BC64F4" w:rsidRPr="00A46287">
        <w:rPr>
          <w:szCs w:val="24"/>
        </w:rPr>
        <w:t>a</w:t>
      </w:r>
      <w:r w:rsidR="00BC64F4" w:rsidRPr="00A46287">
        <w:rPr>
          <w:spacing w:val="-3"/>
          <w:szCs w:val="24"/>
        </w:rPr>
        <w:t xml:space="preserve"> </w:t>
      </w:r>
      <w:r w:rsidR="00BC64F4" w:rsidRPr="00A46287">
        <w:rPr>
          <w:szCs w:val="24"/>
        </w:rPr>
        <w:t>“guaranteed safety net of fair, relevant and enforceable minimum terms and conditions through the National Employment Standards</w:t>
      </w:r>
      <w:r w:rsidR="00BC64F4" w:rsidRPr="00A46287">
        <w:rPr>
          <w:i/>
          <w:szCs w:val="24"/>
        </w:rPr>
        <w:t>…</w:t>
      </w:r>
      <w:r w:rsidR="00BC64F4" w:rsidRPr="00A46287">
        <w:rPr>
          <w:szCs w:val="24"/>
        </w:rPr>
        <w:t>” and speaks of “effective compliance mechanisms”.</w:t>
      </w:r>
    </w:p>
    <w:p w14:paraId="6B41355A" w14:textId="4139A856" w:rsidR="00BC64F4" w:rsidRPr="00CF78F3" w:rsidRDefault="0071710E" w:rsidP="0071710E">
      <w:pPr>
        <w:pStyle w:val="ParaNumbering"/>
        <w:numPr>
          <w:ilvl w:val="0"/>
          <w:numId w:val="0"/>
        </w:numPr>
        <w:tabs>
          <w:tab w:val="left" w:pos="720"/>
        </w:tabs>
        <w:ind w:hanging="720"/>
        <w:rPr>
          <w:szCs w:val="24"/>
        </w:rPr>
      </w:pPr>
      <w:r w:rsidRPr="00CF78F3">
        <w:rPr>
          <w:sz w:val="20"/>
          <w:szCs w:val="24"/>
        </w:rPr>
        <w:t>60</w:t>
      </w:r>
      <w:r w:rsidRPr="00CF78F3">
        <w:rPr>
          <w:sz w:val="20"/>
          <w:szCs w:val="24"/>
        </w:rPr>
        <w:tab/>
      </w:r>
      <w:r w:rsidR="00BC64F4">
        <w:rPr>
          <w:szCs w:val="24"/>
        </w:rPr>
        <w:t>Clearly, the relevant aspects of b</w:t>
      </w:r>
      <w:r w:rsidR="00BC64F4" w:rsidRPr="00CF78F3">
        <w:rPr>
          <w:szCs w:val="24"/>
        </w:rPr>
        <w:t>oth statut</w:t>
      </w:r>
      <w:r w:rsidR="00BC64F4">
        <w:rPr>
          <w:szCs w:val="24"/>
        </w:rPr>
        <w:t>ory regimes concerning the standing question</w:t>
      </w:r>
      <w:r w:rsidR="00BC64F4" w:rsidRPr="00CF78F3">
        <w:rPr>
          <w:szCs w:val="24"/>
        </w:rPr>
        <w:t xml:space="preserve"> have a remedial purpose and should be construed broadly, not narrowly. </w:t>
      </w:r>
      <w:r w:rsidR="00BC64F4">
        <w:rPr>
          <w:szCs w:val="24"/>
        </w:rPr>
        <w:t xml:space="preserve"> </w:t>
      </w:r>
      <w:r w:rsidR="00BC64F4" w:rsidRPr="00CF78F3">
        <w:rPr>
          <w:szCs w:val="24"/>
        </w:rPr>
        <w:t xml:space="preserve">A liberal rather than literal construction should be taken to remedial legislation. </w:t>
      </w:r>
    </w:p>
    <w:p w14:paraId="3FA8B2CF" w14:textId="2F53E9B6" w:rsidR="00BC64F4" w:rsidRDefault="0071710E" w:rsidP="0071710E">
      <w:pPr>
        <w:pStyle w:val="ParaNumbering"/>
        <w:numPr>
          <w:ilvl w:val="0"/>
          <w:numId w:val="0"/>
        </w:numPr>
        <w:tabs>
          <w:tab w:val="left" w:pos="720"/>
        </w:tabs>
        <w:ind w:hanging="720"/>
        <w:rPr>
          <w:szCs w:val="24"/>
        </w:rPr>
      </w:pPr>
      <w:r>
        <w:rPr>
          <w:sz w:val="20"/>
          <w:szCs w:val="24"/>
        </w:rPr>
        <w:t>61</w:t>
      </w:r>
      <w:r>
        <w:rPr>
          <w:sz w:val="20"/>
          <w:szCs w:val="24"/>
        </w:rPr>
        <w:tab/>
      </w:r>
      <w:r w:rsidR="00BC64F4">
        <w:rPr>
          <w:szCs w:val="24"/>
        </w:rPr>
        <w:t xml:space="preserve">In </w:t>
      </w:r>
      <w:r w:rsidR="00BC64F4">
        <w:rPr>
          <w:i/>
          <w:szCs w:val="24"/>
        </w:rPr>
        <w:t xml:space="preserve">IW v The City of Perth </w:t>
      </w:r>
      <w:r w:rsidR="00BC64F4">
        <w:rPr>
          <w:szCs w:val="24"/>
        </w:rPr>
        <w:t xml:space="preserve">(1997) 191 CLR 1, Brennan CJ and McHugh J said (at 12): </w:t>
      </w:r>
    </w:p>
    <w:p w14:paraId="45E08571" w14:textId="77777777" w:rsidR="00BC64F4" w:rsidRDefault="00BC64F4" w:rsidP="00BC64F4">
      <w:pPr>
        <w:pStyle w:val="Quote1"/>
      </w:pPr>
      <w:r w:rsidRPr="00E81BA3">
        <w:t xml:space="preserve">The injunction contained in s 18 of the Interpretation Act is reinforced by the rule of construction that beneficial and remedial legislation, like the Act, is to </w:t>
      </w:r>
      <w:r>
        <w:t>be given a liberal construction</w:t>
      </w:r>
      <w:r w:rsidRPr="00E81BA3">
        <w:t>. It is to be given “a fair, large and liberal” interpretation rather than one which is “literal or technical”. Nevertheless, the task remains one of statutory construction. Although a provision of the Act must be given a liberal and beneficial construction, a court or tribunal is not at liberty to give it a construction that is unreasonable or unnatural. </w:t>
      </w:r>
    </w:p>
    <w:p w14:paraId="516C1C83" w14:textId="77777777" w:rsidR="00BC64F4" w:rsidRDefault="00BC64F4" w:rsidP="00BC64F4">
      <w:pPr>
        <w:pStyle w:val="Quote1"/>
      </w:pPr>
      <w:r>
        <w:t>(</w:t>
      </w:r>
      <w:proofErr w:type="gramStart"/>
      <w:r>
        <w:t>footnotes</w:t>
      </w:r>
      <w:proofErr w:type="gramEnd"/>
      <w:r>
        <w:t xml:space="preserve"> omitted)</w:t>
      </w:r>
    </w:p>
    <w:p w14:paraId="3B8EACF9" w14:textId="00FAC493" w:rsidR="00BC64F4" w:rsidRDefault="0071710E" w:rsidP="0071710E">
      <w:pPr>
        <w:pStyle w:val="ParaNumbering"/>
        <w:numPr>
          <w:ilvl w:val="0"/>
          <w:numId w:val="0"/>
        </w:numPr>
        <w:tabs>
          <w:tab w:val="left" w:pos="720"/>
        </w:tabs>
        <w:ind w:hanging="720"/>
      </w:pPr>
      <w:r>
        <w:rPr>
          <w:sz w:val="20"/>
        </w:rPr>
        <w:t>62</w:t>
      </w:r>
      <w:r>
        <w:rPr>
          <w:sz w:val="20"/>
        </w:rPr>
        <w:tab/>
      </w:r>
      <w:r w:rsidR="00BC64F4">
        <w:t xml:space="preserve">Gummow J said (at 39): </w:t>
      </w:r>
    </w:p>
    <w:p w14:paraId="6B8EAF0F" w14:textId="77777777" w:rsidR="00BC64F4" w:rsidRDefault="00BC64F4" w:rsidP="00BC64F4">
      <w:pPr>
        <w:pStyle w:val="Quote1"/>
      </w:pPr>
      <w:r w:rsidRPr="00E81BA3">
        <w:t xml:space="preserve">There is ample authority that remedial legislation, such as that found here, is to be accorded “a fair, large and liberal” interpretation rather than one which is “literal or technical”. These were the phrases used by Thorp J in </w:t>
      </w:r>
      <w:r w:rsidRPr="00E81BA3">
        <w:rPr>
          <w:i/>
        </w:rPr>
        <w:t>Coburn v Human Rights Commission</w:t>
      </w:r>
      <w:r w:rsidRPr="00E81BA3">
        <w:t xml:space="preserve">. They are of importance in this case, particularly in construing the term “services” as it appears in the statutory phrases “a person who … provides goods or services” and “by refusing to provide the other person with those goods or services” in s 66K of the Act. Nevertheless, as will appear, the legislation must be read </w:t>
      </w:r>
      <w:proofErr w:type="gramStart"/>
      <w:r w:rsidRPr="00E81BA3">
        <w:t>as a whole</w:t>
      </w:r>
      <w:proofErr w:type="gramEnd"/>
      <w:r w:rsidRPr="00E81BA3">
        <w:t xml:space="preserve"> and such a term must be construed in the context in which it appears. </w:t>
      </w:r>
    </w:p>
    <w:p w14:paraId="5BDED426" w14:textId="77777777" w:rsidR="00BC64F4" w:rsidRPr="00E81BA3" w:rsidRDefault="00BC64F4" w:rsidP="00BC64F4">
      <w:pPr>
        <w:pStyle w:val="Quote1"/>
      </w:pPr>
      <w:r>
        <w:t>(</w:t>
      </w:r>
      <w:proofErr w:type="gramStart"/>
      <w:r>
        <w:t>footnotes</w:t>
      </w:r>
      <w:proofErr w:type="gramEnd"/>
      <w:r>
        <w:t xml:space="preserve"> omitted)</w:t>
      </w:r>
    </w:p>
    <w:p w14:paraId="0E7D9FD5" w14:textId="5E3DB94E" w:rsidR="00BC64F4" w:rsidRDefault="0071710E" w:rsidP="0071710E">
      <w:pPr>
        <w:pStyle w:val="ParaNumbering"/>
        <w:numPr>
          <w:ilvl w:val="0"/>
          <w:numId w:val="0"/>
        </w:numPr>
        <w:tabs>
          <w:tab w:val="left" w:pos="720"/>
        </w:tabs>
        <w:ind w:hanging="720"/>
        <w:rPr>
          <w:szCs w:val="24"/>
        </w:rPr>
      </w:pPr>
      <w:r>
        <w:rPr>
          <w:sz w:val="20"/>
          <w:szCs w:val="24"/>
        </w:rPr>
        <w:t>63</w:t>
      </w:r>
      <w:r>
        <w:rPr>
          <w:sz w:val="20"/>
          <w:szCs w:val="24"/>
        </w:rPr>
        <w:tab/>
      </w:r>
      <w:r w:rsidR="00BC64F4">
        <w:rPr>
          <w:szCs w:val="24"/>
        </w:rPr>
        <w:t xml:space="preserve">Now if the </w:t>
      </w:r>
      <w:r w:rsidR="00BC64F4" w:rsidRPr="00400540">
        <w:rPr>
          <w:szCs w:val="24"/>
        </w:rPr>
        <w:t>SDA</w:t>
      </w:r>
      <w:r w:rsidR="00BC64F4">
        <w:rPr>
          <w:szCs w:val="24"/>
        </w:rPr>
        <w:t>’s</w:t>
      </w:r>
      <w:r w:rsidR="00BC64F4" w:rsidRPr="00400540">
        <w:rPr>
          <w:szCs w:val="24"/>
        </w:rPr>
        <w:t xml:space="preserve"> contention</w:t>
      </w:r>
      <w:r w:rsidR="00BC64F4">
        <w:rPr>
          <w:szCs w:val="24"/>
        </w:rPr>
        <w:t>s were to be accepted,</w:t>
      </w:r>
      <w:r w:rsidR="00BC64F4" w:rsidRPr="00400540">
        <w:rPr>
          <w:szCs w:val="24"/>
        </w:rPr>
        <w:t xml:space="preserve"> groups of employees subject to a breach of an enterprise agreement or award </w:t>
      </w:r>
      <w:r w:rsidR="00BC64F4">
        <w:rPr>
          <w:szCs w:val="24"/>
        </w:rPr>
        <w:t xml:space="preserve">and </w:t>
      </w:r>
      <w:r w:rsidR="00BC64F4" w:rsidRPr="00400540">
        <w:rPr>
          <w:szCs w:val="24"/>
        </w:rPr>
        <w:t xml:space="preserve">who could not afford prohibitive litigation costs could do nothing except hope that the Fair Work Ombudsman or a registered organisation might take up their claims. Even then, in respect of enterprise agreement contraventions the registered organisation would need to be covered by the relevant enterprise agreement </w:t>
      </w:r>
      <w:proofErr w:type="gramStart"/>
      <w:r w:rsidR="00BC64F4" w:rsidRPr="00400540">
        <w:rPr>
          <w:szCs w:val="24"/>
        </w:rPr>
        <w:t>in order to</w:t>
      </w:r>
      <w:proofErr w:type="gramEnd"/>
      <w:r w:rsidR="00BC64F4" w:rsidRPr="00400540">
        <w:rPr>
          <w:szCs w:val="24"/>
        </w:rPr>
        <w:t xml:space="preserve"> do so (see s 539, item 4, column 2).</w:t>
      </w:r>
    </w:p>
    <w:p w14:paraId="046962AF" w14:textId="57EDF0DA" w:rsidR="00BC64F4" w:rsidRPr="00A46287" w:rsidRDefault="0071710E" w:rsidP="0071710E">
      <w:pPr>
        <w:pStyle w:val="ParaNumbering"/>
        <w:numPr>
          <w:ilvl w:val="0"/>
          <w:numId w:val="0"/>
        </w:numPr>
        <w:tabs>
          <w:tab w:val="left" w:pos="720"/>
        </w:tabs>
        <w:ind w:hanging="720"/>
        <w:rPr>
          <w:szCs w:val="24"/>
        </w:rPr>
      </w:pPr>
      <w:r w:rsidRPr="00A46287">
        <w:rPr>
          <w:sz w:val="20"/>
          <w:szCs w:val="24"/>
        </w:rPr>
        <w:t>64</w:t>
      </w:r>
      <w:r w:rsidRPr="00A46287">
        <w:rPr>
          <w:sz w:val="20"/>
          <w:szCs w:val="24"/>
        </w:rPr>
        <w:tab/>
      </w:r>
      <w:r w:rsidR="00BC64F4" w:rsidRPr="00A46287">
        <w:rPr>
          <w:szCs w:val="24"/>
        </w:rPr>
        <w:t>Let me now say something about matters of history which the SDA prayed in aid.  A key premise of its stance was that</w:t>
      </w:r>
      <w:r w:rsidR="00BC64F4" w:rsidRPr="00A46287">
        <w:rPr>
          <w:spacing w:val="-3"/>
          <w:szCs w:val="24"/>
        </w:rPr>
        <w:t xml:space="preserve"> </w:t>
      </w:r>
      <w:r w:rsidR="00BC64F4" w:rsidRPr="00A46287">
        <w:rPr>
          <w:szCs w:val="24"/>
        </w:rPr>
        <w:t>the</w:t>
      </w:r>
      <w:r w:rsidR="00BC64F4" w:rsidRPr="00A46287">
        <w:rPr>
          <w:spacing w:val="-4"/>
          <w:szCs w:val="24"/>
        </w:rPr>
        <w:t xml:space="preserve"> </w:t>
      </w:r>
      <w:r w:rsidR="00BC64F4" w:rsidRPr="00A46287">
        <w:rPr>
          <w:szCs w:val="24"/>
        </w:rPr>
        <w:t>enactment</w:t>
      </w:r>
      <w:r w:rsidR="00BC64F4" w:rsidRPr="00A46287">
        <w:rPr>
          <w:spacing w:val="-1"/>
          <w:szCs w:val="24"/>
        </w:rPr>
        <w:t xml:space="preserve"> </w:t>
      </w:r>
      <w:r w:rsidR="00BC64F4" w:rsidRPr="00A46287">
        <w:rPr>
          <w:szCs w:val="24"/>
        </w:rPr>
        <w:t>of</w:t>
      </w:r>
      <w:r w:rsidR="00BC64F4" w:rsidRPr="00A46287">
        <w:rPr>
          <w:spacing w:val="-1"/>
          <w:szCs w:val="24"/>
        </w:rPr>
        <w:t xml:space="preserve"> </w:t>
      </w:r>
      <w:r w:rsidR="00BC64F4" w:rsidRPr="00A46287">
        <w:rPr>
          <w:szCs w:val="24"/>
        </w:rPr>
        <w:t>the</w:t>
      </w:r>
      <w:r w:rsidR="00BC64F4" w:rsidRPr="00A46287">
        <w:rPr>
          <w:spacing w:val="-2"/>
          <w:szCs w:val="24"/>
        </w:rPr>
        <w:t xml:space="preserve"> </w:t>
      </w:r>
      <w:r w:rsidR="00BC64F4" w:rsidRPr="00A46287">
        <w:rPr>
          <w:szCs w:val="24"/>
        </w:rPr>
        <w:t>FW</w:t>
      </w:r>
      <w:r w:rsidR="00BC64F4" w:rsidRPr="00A46287">
        <w:rPr>
          <w:spacing w:val="-2"/>
          <w:szCs w:val="24"/>
        </w:rPr>
        <w:t xml:space="preserve"> </w:t>
      </w:r>
      <w:r w:rsidR="00BC64F4" w:rsidRPr="00A46287">
        <w:rPr>
          <w:szCs w:val="24"/>
        </w:rPr>
        <w:t>Act</w:t>
      </w:r>
      <w:r w:rsidR="00BC64F4" w:rsidRPr="00A46287">
        <w:rPr>
          <w:spacing w:val="-1"/>
          <w:szCs w:val="24"/>
        </w:rPr>
        <w:t xml:space="preserve"> </w:t>
      </w:r>
      <w:r w:rsidR="00BC64F4" w:rsidRPr="00A46287">
        <w:rPr>
          <w:szCs w:val="24"/>
        </w:rPr>
        <w:t>comprised</w:t>
      </w:r>
      <w:r w:rsidR="00BC64F4" w:rsidRPr="00A46287">
        <w:rPr>
          <w:spacing w:val="-2"/>
          <w:szCs w:val="24"/>
        </w:rPr>
        <w:t xml:space="preserve"> </w:t>
      </w:r>
      <w:r w:rsidR="00BC64F4" w:rsidRPr="00A46287">
        <w:rPr>
          <w:szCs w:val="24"/>
        </w:rPr>
        <w:t xml:space="preserve">a major reform to the standing provisions.  </w:t>
      </w:r>
      <w:r w:rsidR="00BC64F4">
        <w:rPr>
          <w:szCs w:val="24"/>
        </w:rPr>
        <w:t xml:space="preserve">But this </w:t>
      </w:r>
      <w:r w:rsidR="00BC64F4" w:rsidRPr="00A46287">
        <w:rPr>
          <w:szCs w:val="24"/>
        </w:rPr>
        <w:t xml:space="preserve">premise </w:t>
      </w:r>
      <w:r w:rsidR="00BC64F4">
        <w:rPr>
          <w:szCs w:val="24"/>
        </w:rPr>
        <w:t xml:space="preserve">was </w:t>
      </w:r>
      <w:r w:rsidR="00BC64F4" w:rsidRPr="00A46287">
        <w:rPr>
          <w:szCs w:val="24"/>
        </w:rPr>
        <w:t>exaggerated.</w:t>
      </w:r>
    </w:p>
    <w:p w14:paraId="59FB7ECE" w14:textId="141DD7D6" w:rsidR="00BC64F4" w:rsidRPr="00A46287" w:rsidRDefault="0071710E" w:rsidP="0071710E">
      <w:pPr>
        <w:pStyle w:val="ParaNumbering"/>
        <w:numPr>
          <w:ilvl w:val="0"/>
          <w:numId w:val="0"/>
        </w:numPr>
        <w:tabs>
          <w:tab w:val="left" w:pos="720"/>
        </w:tabs>
        <w:ind w:hanging="720"/>
        <w:rPr>
          <w:szCs w:val="24"/>
        </w:rPr>
      </w:pPr>
      <w:r w:rsidRPr="00A46287">
        <w:rPr>
          <w:sz w:val="20"/>
          <w:szCs w:val="24"/>
        </w:rPr>
        <w:t>65</w:t>
      </w:r>
      <w:r w:rsidRPr="00A46287">
        <w:rPr>
          <w:sz w:val="20"/>
          <w:szCs w:val="24"/>
        </w:rPr>
        <w:tab/>
      </w:r>
      <w:r w:rsidR="00BC64F4" w:rsidRPr="00A46287">
        <w:rPr>
          <w:szCs w:val="24"/>
        </w:rPr>
        <w:t xml:space="preserve">Of course ss 539 and 540 depart from the antecedent standing provisions.  But </w:t>
      </w:r>
      <w:r w:rsidR="00BC64F4">
        <w:rPr>
          <w:szCs w:val="24"/>
        </w:rPr>
        <w:t>w</w:t>
      </w:r>
      <w:r w:rsidR="00BC64F4" w:rsidRPr="00A46287">
        <w:rPr>
          <w:szCs w:val="24"/>
        </w:rPr>
        <w:t xml:space="preserve">hilst </w:t>
      </w:r>
      <w:r w:rsidR="00BC64F4" w:rsidRPr="00A46287">
        <w:rPr>
          <w:i/>
          <w:szCs w:val="24"/>
        </w:rPr>
        <w:t>Regional Express</w:t>
      </w:r>
      <w:r w:rsidR="00BC64F4" w:rsidRPr="00A46287">
        <w:rPr>
          <w:szCs w:val="24"/>
        </w:rPr>
        <w:t xml:space="preserve"> at [59] said </w:t>
      </w:r>
      <w:r w:rsidR="00BC64F4">
        <w:rPr>
          <w:szCs w:val="24"/>
        </w:rPr>
        <w:t xml:space="preserve">that </w:t>
      </w:r>
      <w:r w:rsidR="00BC64F4" w:rsidRPr="00A46287">
        <w:rPr>
          <w:szCs w:val="24"/>
        </w:rPr>
        <w:t>“the legislature introduced a standing provision which departed substantially from its predecessor”, the Full Court was addressing</w:t>
      </w:r>
      <w:r w:rsidR="00BC64F4" w:rsidRPr="00A46287">
        <w:rPr>
          <w:spacing w:val="-1"/>
          <w:szCs w:val="24"/>
        </w:rPr>
        <w:t xml:space="preserve"> </w:t>
      </w:r>
      <w:r w:rsidR="00BC64F4" w:rsidRPr="00A46287">
        <w:rPr>
          <w:szCs w:val="24"/>
        </w:rPr>
        <w:t>two specific changes, namely, the consolidation of what was previously a miscellany of standing provisions into ss 539 and 540, and the removal of the express requirement</w:t>
      </w:r>
      <w:r w:rsidR="00BC64F4" w:rsidRPr="00A46287">
        <w:rPr>
          <w:spacing w:val="-3"/>
          <w:szCs w:val="24"/>
        </w:rPr>
        <w:t xml:space="preserve"> </w:t>
      </w:r>
      <w:r w:rsidR="00BC64F4" w:rsidRPr="00A46287">
        <w:rPr>
          <w:szCs w:val="24"/>
        </w:rPr>
        <w:t>that a</w:t>
      </w:r>
      <w:r w:rsidR="00BC64F4" w:rsidRPr="00A46287">
        <w:rPr>
          <w:spacing w:val="-1"/>
          <w:szCs w:val="24"/>
        </w:rPr>
        <w:t xml:space="preserve"> </w:t>
      </w:r>
      <w:r w:rsidR="00BC64F4" w:rsidRPr="00A46287">
        <w:rPr>
          <w:szCs w:val="24"/>
        </w:rPr>
        <w:t>person</w:t>
      </w:r>
      <w:r w:rsidR="00BC64F4" w:rsidRPr="00A46287">
        <w:rPr>
          <w:spacing w:val="-1"/>
          <w:szCs w:val="24"/>
        </w:rPr>
        <w:t xml:space="preserve"> </w:t>
      </w:r>
      <w:r w:rsidR="00BC64F4" w:rsidRPr="00A46287">
        <w:rPr>
          <w:szCs w:val="24"/>
        </w:rPr>
        <w:t>affected</w:t>
      </w:r>
      <w:r w:rsidR="00BC64F4" w:rsidRPr="00A46287">
        <w:rPr>
          <w:spacing w:val="-1"/>
          <w:szCs w:val="24"/>
        </w:rPr>
        <w:t xml:space="preserve"> </w:t>
      </w:r>
      <w:r w:rsidR="00BC64F4" w:rsidRPr="00A46287">
        <w:rPr>
          <w:szCs w:val="24"/>
        </w:rPr>
        <w:t>by</w:t>
      </w:r>
      <w:r w:rsidR="00BC64F4" w:rsidRPr="00A46287">
        <w:rPr>
          <w:spacing w:val="-1"/>
          <w:szCs w:val="24"/>
        </w:rPr>
        <w:t xml:space="preserve"> </w:t>
      </w:r>
      <w:r w:rsidR="00BC64F4" w:rsidRPr="00A46287">
        <w:rPr>
          <w:szCs w:val="24"/>
        </w:rPr>
        <w:t>a</w:t>
      </w:r>
      <w:r w:rsidR="00BC64F4" w:rsidRPr="00A46287">
        <w:rPr>
          <w:spacing w:val="-3"/>
          <w:szCs w:val="24"/>
        </w:rPr>
        <w:t xml:space="preserve"> </w:t>
      </w:r>
      <w:r w:rsidR="00BC64F4" w:rsidRPr="00A46287">
        <w:rPr>
          <w:szCs w:val="24"/>
        </w:rPr>
        <w:t>contravention</w:t>
      </w:r>
      <w:r w:rsidR="00BC64F4" w:rsidRPr="00A46287">
        <w:rPr>
          <w:spacing w:val="-6"/>
          <w:szCs w:val="24"/>
        </w:rPr>
        <w:t xml:space="preserve"> </w:t>
      </w:r>
      <w:r w:rsidR="00BC64F4" w:rsidRPr="00A46287">
        <w:rPr>
          <w:szCs w:val="24"/>
        </w:rPr>
        <w:t>be</w:t>
      </w:r>
      <w:r w:rsidR="00BC64F4" w:rsidRPr="00A46287">
        <w:rPr>
          <w:spacing w:val="-1"/>
          <w:szCs w:val="24"/>
        </w:rPr>
        <w:t xml:space="preserve"> </w:t>
      </w:r>
      <w:r w:rsidR="00BC64F4" w:rsidRPr="00A46287">
        <w:rPr>
          <w:szCs w:val="24"/>
        </w:rPr>
        <w:t>a</w:t>
      </w:r>
      <w:r w:rsidR="00BC64F4" w:rsidRPr="00A46287">
        <w:rPr>
          <w:spacing w:val="-3"/>
          <w:szCs w:val="24"/>
        </w:rPr>
        <w:t xml:space="preserve"> </w:t>
      </w:r>
      <w:r w:rsidR="00BC64F4" w:rsidRPr="00A46287">
        <w:rPr>
          <w:szCs w:val="24"/>
        </w:rPr>
        <w:t>member of</w:t>
      </w:r>
      <w:r w:rsidR="00BC64F4" w:rsidRPr="00A46287">
        <w:rPr>
          <w:spacing w:val="-3"/>
          <w:szCs w:val="24"/>
        </w:rPr>
        <w:t xml:space="preserve"> </w:t>
      </w:r>
      <w:r w:rsidR="00BC64F4" w:rsidRPr="00A46287">
        <w:rPr>
          <w:szCs w:val="24"/>
        </w:rPr>
        <w:t>an</w:t>
      </w:r>
      <w:r w:rsidR="00BC64F4" w:rsidRPr="00A46287">
        <w:rPr>
          <w:spacing w:val="-1"/>
          <w:szCs w:val="24"/>
        </w:rPr>
        <w:t xml:space="preserve"> </w:t>
      </w:r>
      <w:r w:rsidR="00BC64F4" w:rsidRPr="00A46287">
        <w:rPr>
          <w:szCs w:val="24"/>
        </w:rPr>
        <w:t>organisation</w:t>
      </w:r>
      <w:r w:rsidR="00BC64F4" w:rsidRPr="00A46287">
        <w:rPr>
          <w:spacing w:val="-4"/>
          <w:szCs w:val="24"/>
        </w:rPr>
        <w:t xml:space="preserve"> </w:t>
      </w:r>
      <w:r w:rsidR="00BC64F4" w:rsidRPr="00A46287">
        <w:rPr>
          <w:szCs w:val="24"/>
        </w:rPr>
        <w:t>for that organisation to have standing in respect of the contravention.</w:t>
      </w:r>
    </w:p>
    <w:p w14:paraId="203C9D9F" w14:textId="72D5EE24" w:rsidR="00BC64F4" w:rsidRPr="0086005C" w:rsidRDefault="0071710E" w:rsidP="0071710E">
      <w:pPr>
        <w:pStyle w:val="ParaNumbering"/>
        <w:numPr>
          <w:ilvl w:val="0"/>
          <w:numId w:val="0"/>
        </w:numPr>
        <w:tabs>
          <w:tab w:val="left" w:pos="720"/>
        </w:tabs>
        <w:ind w:hanging="720"/>
        <w:rPr>
          <w:szCs w:val="24"/>
        </w:rPr>
      </w:pPr>
      <w:r w:rsidRPr="0086005C">
        <w:rPr>
          <w:sz w:val="20"/>
          <w:szCs w:val="24"/>
        </w:rPr>
        <w:t>66</w:t>
      </w:r>
      <w:r w:rsidRPr="0086005C">
        <w:rPr>
          <w:sz w:val="20"/>
          <w:szCs w:val="24"/>
        </w:rPr>
        <w:tab/>
      </w:r>
      <w:r w:rsidR="00BC64F4">
        <w:rPr>
          <w:szCs w:val="24"/>
        </w:rPr>
        <w:t>So, the Full Court was</w:t>
      </w:r>
      <w:r w:rsidR="00BC64F4" w:rsidRPr="00400540">
        <w:rPr>
          <w:szCs w:val="24"/>
        </w:rPr>
        <w:t xml:space="preserve"> concerned with the construction of the phrase </w:t>
      </w:r>
      <w:r w:rsidR="00BC64F4">
        <w:rPr>
          <w:szCs w:val="24"/>
        </w:rPr>
        <w:t>“</w:t>
      </w:r>
      <w:r w:rsidR="00BC64F4" w:rsidRPr="005065B9">
        <w:rPr>
          <w:szCs w:val="24"/>
        </w:rPr>
        <w:t>entitled to represent the industrial interests</w:t>
      </w:r>
      <w:r w:rsidR="00BC64F4">
        <w:rPr>
          <w:szCs w:val="24"/>
        </w:rPr>
        <w:t>”</w:t>
      </w:r>
      <w:r w:rsidR="00BC64F4" w:rsidRPr="00400540">
        <w:rPr>
          <w:szCs w:val="24"/>
        </w:rPr>
        <w:t xml:space="preserve"> in s</w:t>
      </w:r>
      <w:r w:rsidR="00BC64F4">
        <w:rPr>
          <w:szCs w:val="24"/>
        </w:rPr>
        <w:t>s</w:t>
      </w:r>
      <w:r w:rsidR="00BC64F4" w:rsidRPr="00400540">
        <w:rPr>
          <w:szCs w:val="24"/>
        </w:rPr>
        <w:t xml:space="preserve"> 540(2) and (6).  That phrase control</w:t>
      </w:r>
      <w:r w:rsidR="00BC64F4">
        <w:rPr>
          <w:szCs w:val="24"/>
        </w:rPr>
        <w:t>led</w:t>
      </w:r>
      <w:r w:rsidR="00BC64F4" w:rsidRPr="00400540">
        <w:rPr>
          <w:szCs w:val="24"/>
        </w:rPr>
        <w:t xml:space="preserve"> the standing of organisatio</w:t>
      </w:r>
      <w:r w:rsidR="00BC64F4">
        <w:rPr>
          <w:szCs w:val="24"/>
        </w:rPr>
        <w:t xml:space="preserve">ns and industrial associations.  But the Full Court </w:t>
      </w:r>
      <w:r w:rsidR="00BC64F4" w:rsidRPr="00400540">
        <w:rPr>
          <w:szCs w:val="24"/>
        </w:rPr>
        <w:t>did not consider the standing of employees</w:t>
      </w:r>
      <w:r w:rsidR="00BC64F4" w:rsidRPr="00400540">
        <w:rPr>
          <w:spacing w:val="-1"/>
          <w:szCs w:val="24"/>
        </w:rPr>
        <w:t xml:space="preserve"> </w:t>
      </w:r>
      <w:r w:rsidR="00BC64F4" w:rsidRPr="00400540">
        <w:rPr>
          <w:szCs w:val="24"/>
        </w:rPr>
        <w:t>under</w:t>
      </w:r>
      <w:r w:rsidR="00BC64F4" w:rsidRPr="00400540">
        <w:rPr>
          <w:spacing w:val="-3"/>
          <w:szCs w:val="24"/>
        </w:rPr>
        <w:t xml:space="preserve"> </w:t>
      </w:r>
      <w:r w:rsidR="00BC64F4" w:rsidRPr="00400540">
        <w:rPr>
          <w:szCs w:val="24"/>
        </w:rPr>
        <w:t>s</w:t>
      </w:r>
      <w:r w:rsidR="00BC64F4">
        <w:rPr>
          <w:spacing w:val="-1"/>
          <w:szCs w:val="24"/>
        </w:rPr>
        <w:t> </w:t>
      </w:r>
      <w:r w:rsidR="00BC64F4" w:rsidRPr="00400540">
        <w:rPr>
          <w:szCs w:val="24"/>
        </w:rPr>
        <w:t>540(1)(a).</w:t>
      </w:r>
      <w:r w:rsidR="00BC64F4" w:rsidRPr="00400540">
        <w:rPr>
          <w:spacing w:val="-1"/>
          <w:szCs w:val="24"/>
        </w:rPr>
        <w:t xml:space="preserve">  </w:t>
      </w:r>
    </w:p>
    <w:p w14:paraId="5077AF1B" w14:textId="63D80F75" w:rsidR="00BC64F4" w:rsidRPr="0086005C" w:rsidRDefault="0071710E" w:rsidP="0071710E">
      <w:pPr>
        <w:pStyle w:val="ParaNumbering"/>
        <w:numPr>
          <w:ilvl w:val="0"/>
          <w:numId w:val="0"/>
        </w:numPr>
        <w:tabs>
          <w:tab w:val="left" w:pos="720"/>
        </w:tabs>
        <w:ind w:hanging="720"/>
        <w:rPr>
          <w:szCs w:val="24"/>
        </w:rPr>
      </w:pPr>
      <w:r w:rsidRPr="0086005C">
        <w:rPr>
          <w:sz w:val="20"/>
          <w:szCs w:val="24"/>
        </w:rPr>
        <w:t>67</w:t>
      </w:r>
      <w:r w:rsidRPr="0086005C">
        <w:rPr>
          <w:sz w:val="20"/>
          <w:szCs w:val="24"/>
        </w:rPr>
        <w:tab/>
      </w:r>
      <w:r w:rsidR="00BC64F4">
        <w:rPr>
          <w:szCs w:val="24"/>
        </w:rPr>
        <w:t xml:space="preserve">And when one correctly focuses on the present context where the SDA’s argument is that it is </w:t>
      </w:r>
      <w:r w:rsidR="00BC64F4" w:rsidRPr="0086005C">
        <w:rPr>
          <w:szCs w:val="24"/>
        </w:rPr>
        <w:t>the</w:t>
      </w:r>
      <w:r w:rsidR="00BC64F4" w:rsidRPr="0086005C">
        <w:rPr>
          <w:spacing w:val="-1"/>
          <w:szCs w:val="24"/>
        </w:rPr>
        <w:t xml:space="preserve"> </w:t>
      </w:r>
      <w:r w:rsidR="00BC64F4" w:rsidRPr="0086005C">
        <w:rPr>
          <w:szCs w:val="24"/>
        </w:rPr>
        <w:t>FW</w:t>
      </w:r>
      <w:r w:rsidR="00BC64F4" w:rsidRPr="0086005C">
        <w:rPr>
          <w:spacing w:val="-1"/>
          <w:szCs w:val="24"/>
        </w:rPr>
        <w:t xml:space="preserve"> </w:t>
      </w:r>
      <w:r w:rsidR="00BC64F4" w:rsidRPr="0086005C">
        <w:rPr>
          <w:szCs w:val="24"/>
        </w:rPr>
        <w:t>Act’s</w:t>
      </w:r>
      <w:r w:rsidR="00BC64F4" w:rsidRPr="0086005C">
        <w:rPr>
          <w:spacing w:val="-3"/>
          <w:szCs w:val="24"/>
        </w:rPr>
        <w:t xml:space="preserve"> </w:t>
      </w:r>
      <w:r w:rsidR="00BC64F4" w:rsidRPr="0086005C">
        <w:rPr>
          <w:szCs w:val="24"/>
        </w:rPr>
        <w:t>conferral of standing</w:t>
      </w:r>
      <w:r w:rsidR="00BC64F4" w:rsidRPr="0086005C">
        <w:rPr>
          <w:spacing w:val="-4"/>
          <w:szCs w:val="24"/>
        </w:rPr>
        <w:t xml:space="preserve"> </w:t>
      </w:r>
      <w:r w:rsidR="00BC64F4" w:rsidRPr="0086005C">
        <w:rPr>
          <w:szCs w:val="24"/>
        </w:rPr>
        <w:t>on</w:t>
      </w:r>
      <w:r w:rsidR="00BC64F4" w:rsidRPr="0086005C">
        <w:rPr>
          <w:spacing w:val="-1"/>
          <w:szCs w:val="24"/>
        </w:rPr>
        <w:t xml:space="preserve"> </w:t>
      </w:r>
      <w:r w:rsidR="00BC64F4" w:rsidRPr="0086005C">
        <w:rPr>
          <w:szCs w:val="24"/>
        </w:rPr>
        <w:t>employees</w:t>
      </w:r>
      <w:r w:rsidR="00BC64F4" w:rsidRPr="0086005C">
        <w:rPr>
          <w:spacing w:val="-1"/>
          <w:szCs w:val="24"/>
        </w:rPr>
        <w:t xml:space="preserve"> </w:t>
      </w:r>
      <w:r w:rsidR="00BC64F4" w:rsidRPr="0086005C">
        <w:rPr>
          <w:szCs w:val="24"/>
        </w:rPr>
        <w:t>that</w:t>
      </w:r>
      <w:r w:rsidR="00BC64F4" w:rsidRPr="0086005C">
        <w:rPr>
          <w:spacing w:val="-5"/>
          <w:szCs w:val="24"/>
        </w:rPr>
        <w:t xml:space="preserve"> </w:t>
      </w:r>
      <w:r w:rsidR="00BC64F4" w:rsidRPr="0086005C">
        <w:rPr>
          <w:szCs w:val="24"/>
        </w:rPr>
        <w:t>brings</w:t>
      </w:r>
      <w:r w:rsidR="00BC64F4" w:rsidRPr="0086005C">
        <w:rPr>
          <w:spacing w:val="-1"/>
          <w:szCs w:val="24"/>
        </w:rPr>
        <w:t xml:space="preserve"> </w:t>
      </w:r>
      <w:r w:rsidR="00BC64F4" w:rsidRPr="0086005C">
        <w:rPr>
          <w:szCs w:val="24"/>
        </w:rPr>
        <w:t>it</w:t>
      </w:r>
      <w:r w:rsidR="00BC64F4" w:rsidRPr="0086005C">
        <w:rPr>
          <w:spacing w:val="-3"/>
          <w:szCs w:val="24"/>
        </w:rPr>
        <w:t xml:space="preserve"> </w:t>
      </w:r>
      <w:r w:rsidR="00BC64F4" w:rsidRPr="0086005C">
        <w:rPr>
          <w:szCs w:val="24"/>
        </w:rPr>
        <w:t>into</w:t>
      </w:r>
      <w:r w:rsidR="00BC64F4" w:rsidRPr="0086005C">
        <w:rPr>
          <w:spacing w:val="-4"/>
          <w:szCs w:val="24"/>
        </w:rPr>
        <w:t xml:space="preserve"> </w:t>
      </w:r>
      <w:r w:rsidR="00BC64F4" w:rsidRPr="0086005C">
        <w:rPr>
          <w:szCs w:val="24"/>
        </w:rPr>
        <w:t>conflict with</w:t>
      </w:r>
      <w:r w:rsidR="00BC64F4" w:rsidRPr="0086005C">
        <w:rPr>
          <w:spacing w:val="-4"/>
          <w:szCs w:val="24"/>
        </w:rPr>
        <w:t xml:space="preserve"> </w:t>
      </w:r>
      <w:r w:rsidR="00BC64F4" w:rsidRPr="0086005C">
        <w:rPr>
          <w:szCs w:val="24"/>
        </w:rPr>
        <w:t>Part IVA</w:t>
      </w:r>
      <w:r w:rsidR="00BC64F4" w:rsidRPr="0086005C">
        <w:rPr>
          <w:spacing w:val="-2"/>
          <w:szCs w:val="24"/>
        </w:rPr>
        <w:t xml:space="preserve"> </w:t>
      </w:r>
      <w:r w:rsidR="00BC64F4" w:rsidRPr="0086005C">
        <w:rPr>
          <w:szCs w:val="24"/>
        </w:rPr>
        <w:t>and</w:t>
      </w:r>
      <w:r w:rsidR="00BC64F4" w:rsidRPr="0086005C">
        <w:rPr>
          <w:spacing w:val="-5"/>
          <w:szCs w:val="24"/>
        </w:rPr>
        <w:t xml:space="preserve"> </w:t>
      </w:r>
      <w:r w:rsidR="00BC64F4" w:rsidRPr="0086005C">
        <w:rPr>
          <w:szCs w:val="24"/>
        </w:rPr>
        <w:t>creates</w:t>
      </w:r>
      <w:r w:rsidR="00BC64F4" w:rsidRPr="0086005C">
        <w:rPr>
          <w:spacing w:val="-1"/>
          <w:szCs w:val="24"/>
        </w:rPr>
        <w:t xml:space="preserve"> </w:t>
      </w:r>
      <w:r w:rsidR="00BC64F4" w:rsidRPr="0086005C">
        <w:rPr>
          <w:szCs w:val="24"/>
        </w:rPr>
        <w:t>the</w:t>
      </w:r>
      <w:r w:rsidR="00BC64F4" w:rsidRPr="0086005C">
        <w:rPr>
          <w:spacing w:val="-3"/>
          <w:szCs w:val="24"/>
        </w:rPr>
        <w:t xml:space="preserve"> </w:t>
      </w:r>
      <w:r w:rsidR="00BC64F4" w:rsidRPr="0086005C">
        <w:rPr>
          <w:szCs w:val="24"/>
        </w:rPr>
        <w:t>implied</w:t>
      </w:r>
      <w:r w:rsidR="00BC64F4" w:rsidRPr="0086005C">
        <w:rPr>
          <w:spacing w:val="-1"/>
          <w:szCs w:val="24"/>
        </w:rPr>
        <w:t xml:space="preserve"> </w:t>
      </w:r>
      <w:r w:rsidR="00BC64F4" w:rsidRPr="0086005C">
        <w:rPr>
          <w:szCs w:val="24"/>
        </w:rPr>
        <w:t>repeal</w:t>
      </w:r>
      <w:r w:rsidR="00BC64F4">
        <w:rPr>
          <w:szCs w:val="24"/>
        </w:rPr>
        <w:t>, w</w:t>
      </w:r>
      <w:r w:rsidR="00BC64F4" w:rsidRPr="0086005C">
        <w:rPr>
          <w:szCs w:val="24"/>
        </w:rPr>
        <w:t>hen that specific issue of employees’ standing is compared with its antecedents, little changed</w:t>
      </w:r>
      <w:r w:rsidR="00BC64F4">
        <w:rPr>
          <w:szCs w:val="24"/>
        </w:rPr>
        <w:t>.  Section </w:t>
      </w:r>
      <w:r w:rsidR="00BC64F4" w:rsidRPr="0086005C">
        <w:rPr>
          <w:szCs w:val="24"/>
        </w:rPr>
        <w:t>540(1)(a) controls standing for employees by limiting it to employees who are “affected</w:t>
      </w:r>
      <w:r w:rsidR="00BC64F4" w:rsidRPr="0086005C">
        <w:rPr>
          <w:spacing w:val="-4"/>
          <w:szCs w:val="24"/>
        </w:rPr>
        <w:t xml:space="preserve"> </w:t>
      </w:r>
      <w:r w:rsidR="00BC64F4" w:rsidRPr="0086005C">
        <w:rPr>
          <w:szCs w:val="24"/>
        </w:rPr>
        <w:t>by”</w:t>
      </w:r>
      <w:r w:rsidR="00BC64F4" w:rsidRPr="0086005C">
        <w:rPr>
          <w:spacing w:val="-3"/>
          <w:szCs w:val="24"/>
        </w:rPr>
        <w:t xml:space="preserve"> </w:t>
      </w:r>
      <w:r w:rsidR="00BC64F4" w:rsidRPr="0086005C">
        <w:rPr>
          <w:szCs w:val="24"/>
        </w:rPr>
        <w:t>the</w:t>
      </w:r>
      <w:r w:rsidR="00BC64F4" w:rsidRPr="0086005C">
        <w:rPr>
          <w:spacing w:val="-3"/>
          <w:szCs w:val="24"/>
        </w:rPr>
        <w:t xml:space="preserve"> </w:t>
      </w:r>
      <w:r w:rsidR="00BC64F4" w:rsidRPr="0086005C">
        <w:rPr>
          <w:szCs w:val="24"/>
        </w:rPr>
        <w:t>contravention.</w:t>
      </w:r>
      <w:r w:rsidR="00BC64F4" w:rsidRPr="0086005C">
        <w:rPr>
          <w:spacing w:val="-1"/>
          <w:szCs w:val="24"/>
        </w:rPr>
        <w:t xml:space="preserve">  </w:t>
      </w:r>
      <w:r w:rsidR="00BC64F4">
        <w:rPr>
          <w:spacing w:val="-1"/>
          <w:szCs w:val="24"/>
        </w:rPr>
        <w:t>But t</w:t>
      </w:r>
      <w:r w:rsidR="00BC64F4" w:rsidRPr="0086005C">
        <w:rPr>
          <w:szCs w:val="24"/>
        </w:rPr>
        <w:t>his</w:t>
      </w:r>
      <w:r w:rsidR="00BC64F4" w:rsidRPr="0086005C">
        <w:rPr>
          <w:spacing w:val="-1"/>
          <w:szCs w:val="24"/>
        </w:rPr>
        <w:t xml:space="preserve"> </w:t>
      </w:r>
      <w:r w:rsidR="00BC64F4" w:rsidRPr="0086005C">
        <w:rPr>
          <w:szCs w:val="24"/>
        </w:rPr>
        <w:t>controlling</w:t>
      </w:r>
      <w:r w:rsidR="00BC64F4" w:rsidRPr="0086005C">
        <w:rPr>
          <w:spacing w:val="-1"/>
          <w:szCs w:val="24"/>
        </w:rPr>
        <w:t xml:space="preserve"> </w:t>
      </w:r>
      <w:r w:rsidR="00BC64F4" w:rsidRPr="0086005C">
        <w:rPr>
          <w:szCs w:val="24"/>
        </w:rPr>
        <w:t>device</w:t>
      </w:r>
      <w:r w:rsidR="00BC64F4" w:rsidRPr="0086005C">
        <w:rPr>
          <w:spacing w:val="-3"/>
          <w:szCs w:val="24"/>
        </w:rPr>
        <w:t xml:space="preserve"> </w:t>
      </w:r>
      <w:r w:rsidR="00BC64F4" w:rsidRPr="0086005C">
        <w:rPr>
          <w:szCs w:val="24"/>
        </w:rPr>
        <w:t>has</w:t>
      </w:r>
      <w:r w:rsidR="00BC64F4" w:rsidRPr="0086005C">
        <w:rPr>
          <w:spacing w:val="-1"/>
          <w:szCs w:val="24"/>
        </w:rPr>
        <w:t xml:space="preserve"> </w:t>
      </w:r>
      <w:r w:rsidR="00BC64F4" w:rsidRPr="0086005C">
        <w:rPr>
          <w:szCs w:val="24"/>
        </w:rPr>
        <w:t>been</w:t>
      </w:r>
      <w:r w:rsidR="00BC64F4" w:rsidRPr="0086005C">
        <w:rPr>
          <w:spacing w:val="-1"/>
          <w:szCs w:val="24"/>
        </w:rPr>
        <w:t xml:space="preserve"> </w:t>
      </w:r>
      <w:r w:rsidR="00BC64F4" w:rsidRPr="0086005C">
        <w:rPr>
          <w:szCs w:val="24"/>
        </w:rPr>
        <w:t>employed</w:t>
      </w:r>
      <w:r w:rsidR="00BC64F4" w:rsidRPr="0086005C">
        <w:rPr>
          <w:spacing w:val="-4"/>
          <w:szCs w:val="24"/>
        </w:rPr>
        <w:t xml:space="preserve"> </w:t>
      </w:r>
      <w:r w:rsidR="00BC64F4" w:rsidRPr="0086005C">
        <w:rPr>
          <w:szCs w:val="24"/>
        </w:rPr>
        <w:t>in</w:t>
      </w:r>
      <w:r w:rsidR="00BC64F4" w:rsidRPr="0086005C">
        <w:rPr>
          <w:spacing w:val="-4"/>
          <w:szCs w:val="24"/>
        </w:rPr>
        <w:t xml:space="preserve"> </w:t>
      </w:r>
      <w:r w:rsidR="00BC64F4" w:rsidRPr="0086005C">
        <w:rPr>
          <w:szCs w:val="24"/>
        </w:rPr>
        <w:t>each</w:t>
      </w:r>
      <w:r w:rsidR="00BC64F4" w:rsidRPr="0086005C">
        <w:rPr>
          <w:spacing w:val="-4"/>
          <w:szCs w:val="24"/>
        </w:rPr>
        <w:t xml:space="preserve"> </w:t>
      </w:r>
      <w:r w:rsidR="00BC64F4" w:rsidRPr="0086005C">
        <w:rPr>
          <w:szCs w:val="24"/>
        </w:rPr>
        <w:t>iteration</w:t>
      </w:r>
      <w:r w:rsidR="00BC64F4" w:rsidRPr="0086005C">
        <w:rPr>
          <w:spacing w:val="-2"/>
          <w:szCs w:val="24"/>
        </w:rPr>
        <w:t xml:space="preserve"> </w:t>
      </w:r>
      <w:r w:rsidR="00BC64F4" w:rsidRPr="0086005C">
        <w:rPr>
          <w:szCs w:val="24"/>
        </w:rPr>
        <w:t xml:space="preserve">of the predecessor legislation </w:t>
      </w:r>
      <w:r w:rsidR="00BC64F4">
        <w:rPr>
          <w:szCs w:val="24"/>
        </w:rPr>
        <w:t xml:space="preserve">since </w:t>
      </w:r>
      <w:r w:rsidR="00BC64F4" w:rsidRPr="0086005C">
        <w:rPr>
          <w:szCs w:val="24"/>
        </w:rPr>
        <w:t>1904.</w:t>
      </w:r>
    </w:p>
    <w:p w14:paraId="1A85908D" w14:textId="61B7D0F4" w:rsidR="00BC64F4" w:rsidRPr="00F1725A" w:rsidRDefault="0071710E" w:rsidP="0071710E">
      <w:pPr>
        <w:pStyle w:val="ParaNumbering"/>
        <w:numPr>
          <w:ilvl w:val="0"/>
          <w:numId w:val="0"/>
        </w:numPr>
        <w:tabs>
          <w:tab w:val="left" w:pos="720"/>
        </w:tabs>
        <w:ind w:hanging="720"/>
        <w:rPr>
          <w:szCs w:val="24"/>
        </w:rPr>
      </w:pPr>
      <w:r w:rsidRPr="00F1725A">
        <w:rPr>
          <w:sz w:val="20"/>
          <w:szCs w:val="24"/>
        </w:rPr>
        <w:t>68</w:t>
      </w:r>
      <w:r w:rsidRPr="00F1725A">
        <w:rPr>
          <w:sz w:val="20"/>
          <w:szCs w:val="24"/>
        </w:rPr>
        <w:tab/>
      </w:r>
      <w:r w:rsidR="00BC64F4" w:rsidRPr="00F1725A">
        <w:rPr>
          <w:szCs w:val="24"/>
        </w:rPr>
        <w:t>The</w:t>
      </w:r>
      <w:r w:rsidR="00BC64F4" w:rsidRPr="00F1725A">
        <w:rPr>
          <w:spacing w:val="-2"/>
          <w:szCs w:val="24"/>
        </w:rPr>
        <w:t xml:space="preserve"> </w:t>
      </w:r>
      <w:r w:rsidR="00BC64F4" w:rsidRPr="00F1725A">
        <w:rPr>
          <w:i/>
          <w:szCs w:val="24"/>
        </w:rPr>
        <w:t>Commonwealth</w:t>
      </w:r>
      <w:r w:rsidR="00BC64F4" w:rsidRPr="00F1725A">
        <w:rPr>
          <w:i/>
          <w:spacing w:val="-2"/>
          <w:szCs w:val="24"/>
        </w:rPr>
        <w:t xml:space="preserve"> </w:t>
      </w:r>
      <w:r w:rsidR="00BC64F4" w:rsidRPr="00F1725A">
        <w:rPr>
          <w:i/>
          <w:szCs w:val="24"/>
        </w:rPr>
        <w:t>Conciliation</w:t>
      </w:r>
      <w:r w:rsidR="00BC64F4" w:rsidRPr="00F1725A">
        <w:rPr>
          <w:i/>
          <w:spacing w:val="-2"/>
          <w:szCs w:val="24"/>
        </w:rPr>
        <w:t xml:space="preserve"> </w:t>
      </w:r>
      <w:r w:rsidR="00BC64F4">
        <w:rPr>
          <w:i/>
          <w:szCs w:val="24"/>
        </w:rPr>
        <w:t>and</w:t>
      </w:r>
      <w:r w:rsidR="00BC64F4" w:rsidRPr="00F1725A">
        <w:rPr>
          <w:i/>
          <w:spacing w:val="-2"/>
          <w:szCs w:val="24"/>
        </w:rPr>
        <w:t xml:space="preserve"> </w:t>
      </w:r>
      <w:r w:rsidR="00BC64F4" w:rsidRPr="00F1725A">
        <w:rPr>
          <w:i/>
          <w:szCs w:val="24"/>
        </w:rPr>
        <w:t>Arbitration</w:t>
      </w:r>
      <w:r w:rsidR="00BC64F4" w:rsidRPr="00F1725A">
        <w:rPr>
          <w:i/>
          <w:spacing w:val="-2"/>
          <w:szCs w:val="24"/>
        </w:rPr>
        <w:t xml:space="preserve"> </w:t>
      </w:r>
      <w:r w:rsidR="00BC64F4" w:rsidRPr="00F1725A">
        <w:rPr>
          <w:i/>
          <w:szCs w:val="24"/>
        </w:rPr>
        <w:t>Act</w:t>
      </w:r>
      <w:r w:rsidR="00BC64F4" w:rsidRPr="00F1725A">
        <w:rPr>
          <w:i/>
          <w:spacing w:val="-2"/>
          <w:szCs w:val="24"/>
        </w:rPr>
        <w:t xml:space="preserve"> </w:t>
      </w:r>
      <w:r w:rsidR="00BC64F4" w:rsidRPr="00F1725A">
        <w:rPr>
          <w:i/>
          <w:szCs w:val="24"/>
        </w:rPr>
        <w:t>1904</w:t>
      </w:r>
      <w:r w:rsidR="00BC64F4" w:rsidRPr="00F1725A">
        <w:rPr>
          <w:spacing w:val="-2"/>
          <w:szCs w:val="24"/>
        </w:rPr>
        <w:t xml:space="preserve"> </w:t>
      </w:r>
      <w:r w:rsidR="00BC64F4" w:rsidRPr="00F1725A">
        <w:rPr>
          <w:szCs w:val="24"/>
        </w:rPr>
        <w:t>(as</w:t>
      </w:r>
      <w:r w:rsidR="00BC64F4" w:rsidRPr="00F1725A">
        <w:rPr>
          <w:spacing w:val="-2"/>
          <w:szCs w:val="24"/>
        </w:rPr>
        <w:t xml:space="preserve"> </w:t>
      </w:r>
      <w:r w:rsidR="00BC64F4" w:rsidRPr="00F1725A">
        <w:rPr>
          <w:szCs w:val="24"/>
        </w:rPr>
        <w:t>originally enacted</w:t>
      </w:r>
      <w:r w:rsidR="00BC64F4">
        <w:rPr>
          <w:szCs w:val="24"/>
        </w:rPr>
        <w:t>)</w:t>
      </w:r>
      <w:r w:rsidR="00BC64F4" w:rsidRPr="00F1725A">
        <w:rPr>
          <w:szCs w:val="24"/>
        </w:rPr>
        <w:t xml:space="preserve"> at s</w:t>
      </w:r>
      <w:r w:rsidR="00BC64F4">
        <w:rPr>
          <w:szCs w:val="24"/>
        </w:rPr>
        <w:t> </w:t>
      </w:r>
      <w:r w:rsidR="00BC64F4" w:rsidRPr="00F1725A">
        <w:rPr>
          <w:szCs w:val="24"/>
        </w:rPr>
        <w:t>44(2) provided that a breach of an order or award could be the subject of a proceeding commenced by “any member of any organisation who is</w:t>
      </w:r>
      <w:r w:rsidR="00BC64F4" w:rsidRPr="00F1725A">
        <w:rPr>
          <w:spacing w:val="40"/>
          <w:szCs w:val="24"/>
        </w:rPr>
        <w:t xml:space="preserve"> </w:t>
      </w:r>
      <w:r w:rsidR="00BC64F4" w:rsidRPr="00F1725A">
        <w:rPr>
          <w:szCs w:val="24"/>
        </w:rPr>
        <w:t>affected by the breach</w:t>
      </w:r>
      <w:r w:rsidR="00BC64F4">
        <w:rPr>
          <w:szCs w:val="24"/>
        </w:rPr>
        <w:t xml:space="preserve"> or non-observance”</w:t>
      </w:r>
      <w:r w:rsidR="00BC64F4" w:rsidRPr="00F1725A">
        <w:rPr>
          <w:szCs w:val="24"/>
        </w:rPr>
        <w:t xml:space="preserve">.  This provision was later </w:t>
      </w:r>
      <w:r w:rsidR="00BC64F4">
        <w:rPr>
          <w:szCs w:val="24"/>
        </w:rPr>
        <w:t>re-ordered to s 119(2) but</w:t>
      </w:r>
      <w:r w:rsidR="00BC64F4" w:rsidRPr="00F1725A">
        <w:rPr>
          <w:szCs w:val="24"/>
        </w:rPr>
        <w:t xml:space="preserve"> remained </w:t>
      </w:r>
      <w:r w:rsidR="00BC64F4">
        <w:rPr>
          <w:szCs w:val="24"/>
        </w:rPr>
        <w:t>until that</w:t>
      </w:r>
      <w:r w:rsidR="00BC64F4" w:rsidRPr="00F1725A">
        <w:rPr>
          <w:szCs w:val="24"/>
        </w:rPr>
        <w:t xml:space="preserve"> Act was repealed. </w:t>
      </w:r>
    </w:p>
    <w:p w14:paraId="110740BA" w14:textId="78D6C105" w:rsidR="00BC64F4" w:rsidRDefault="0071710E" w:rsidP="0071710E">
      <w:pPr>
        <w:pStyle w:val="ParaNumbering"/>
        <w:numPr>
          <w:ilvl w:val="0"/>
          <w:numId w:val="0"/>
        </w:numPr>
        <w:tabs>
          <w:tab w:val="left" w:pos="720"/>
        </w:tabs>
        <w:ind w:hanging="720"/>
        <w:rPr>
          <w:szCs w:val="24"/>
        </w:rPr>
      </w:pPr>
      <w:r>
        <w:rPr>
          <w:sz w:val="20"/>
          <w:szCs w:val="24"/>
        </w:rPr>
        <w:t>69</w:t>
      </w:r>
      <w:r>
        <w:rPr>
          <w:sz w:val="20"/>
          <w:szCs w:val="24"/>
        </w:rPr>
        <w:tab/>
      </w:r>
      <w:r w:rsidR="00BC64F4" w:rsidRPr="00F1725A">
        <w:rPr>
          <w:szCs w:val="24"/>
        </w:rPr>
        <w:t xml:space="preserve">The </w:t>
      </w:r>
      <w:r w:rsidR="00BC64F4" w:rsidRPr="00F1725A">
        <w:rPr>
          <w:i/>
          <w:szCs w:val="24"/>
        </w:rPr>
        <w:t xml:space="preserve">Industrial Relations Act 1988 </w:t>
      </w:r>
      <w:r w:rsidR="00BC64F4" w:rsidRPr="00F1725A">
        <w:rPr>
          <w:szCs w:val="24"/>
        </w:rPr>
        <w:t>(</w:t>
      </w:r>
      <w:proofErr w:type="spellStart"/>
      <w:r w:rsidR="00BC64F4" w:rsidRPr="00F1725A">
        <w:rPr>
          <w:szCs w:val="24"/>
        </w:rPr>
        <w:t>Cth</w:t>
      </w:r>
      <w:proofErr w:type="spellEnd"/>
      <w:r w:rsidR="00BC64F4" w:rsidRPr="00F1725A">
        <w:rPr>
          <w:szCs w:val="24"/>
        </w:rPr>
        <w:t>) (in force at 18 December 1996) at s 178(</w:t>
      </w:r>
      <w:proofErr w:type="gramStart"/>
      <w:r w:rsidR="00BC64F4" w:rsidRPr="00F1725A">
        <w:rPr>
          <w:szCs w:val="24"/>
        </w:rPr>
        <w:t>5)(</w:t>
      </w:r>
      <w:proofErr w:type="gramEnd"/>
      <w:r w:rsidR="00BC64F4" w:rsidRPr="00F1725A">
        <w:rPr>
          <w:szCs w:val="24"/>
        </w:rPr>
        <w:t>ca) provided that a penalty for a breach of a term of an award or order may be sued for and recovered by</w:t>
      </w:r>
      <w:r w:rsidR="00BC64F4">
        <w:rPr>
          <w:szCs w:val="24"/>
        </w:rPr>
        <w:t>:</w:t>
      </w:r>
    </w:p>
    <w:p w14:paraId="5E4AC854" w14:textId="77777777" w:rsidR="00BC64F4" w:rsidRDefault="00BC64F4" w:rsidP="00BC64F4">
      <w:pPr>
        <w:pStyle w:val="Quote1"/>
      </w:pPr>
      <w:r>
        <w:t>(ca)</w:t>
      </w:r>
      <w:r>
        <w:tab/>
        <w:t>a person:</w:t>
      </w:r>
    </w:p>
    <w:p w14:paraId="75F43786" w14:textId="5797E270" w:rsidR="00BC64F4" w:rsidRDefault="0071710E" w:rsidP="0054222E">
      <w:pPr>
        <w:pStyle w:val="Quote2"/>
        <w:ind w:left="2160" w:hanging="720"/>
      </w:pPr>
      <w:r>
        <w:t>(</w:t>
      </w:r>
      <w:proofErr w:type="spellStart"/>
      <w:r>
        <w:t>i</w:t>
      </w:r>
      <w:proofErr w:type="spellEnd"/>
      <w:r>
        <w:t>)</w:t>
      </w:r>
      <w:r>
        <w:tab/>
      </w:r>
      <w:r w:rsidR="00BC64F4">
        <w:t>whose employment is, or at the time of the breach was, subject to the award; and</w:t>
      </w:r>
    </w:p>
    <w:p w14:paraId="3502F6EF" w14:textId="57A45D30" w:rsidR="00BC64F4" w:rsidRPr="00A10143" w:rsidRDefault="0071710E" w:rsidP="0054222E">
      <w:pPr>
        <w:pStyle w:val="Quote2"/>
        <w:ind w:left="2160" w:hanging="720"/>
      </w:pPr>
      <w:r w:rsidRPr="00A10143">
        <w:t>(ii)</w:t>
      </w:r>
      <w:r w:rsidRPr="00A10143">
        <w:tab/>
      </w:r>
      <w:r w:rsidR="00BC64F4">
        <w:t xml:space="preserve">who is affected by the </w:t>
      </w:r>
      <w:proofErr w:type="gramStart"/>
      <w:r w:rsidR="00BC64F4">
        <w:t>breach;</w:t>
      </w:r>
      <w:proofErr w:type="gramEnd"/>
    </w:p>
    <w:p w14:paraId="4DC7EDFD" w14:textId="046FFF5E" w:rsidR="00BC64F4" w:rsidRDefault="0071710E" w:rsidP="0071710E">
      <w:pPr>
        <w:pStyle w:val="ParaNumbering"/>
        <w:numPr>
          <w:ilvl w:val="0"/>
          <w:numId w:val="0"/>
        </w:numPr>
        <w:tabs>
          <w:tab w:val="left" w:pos="720"/>
        </w:tabs>
        <w:ind w:hanging="720"/>
      </w:pPr>
      <w:r>
        <w:rPr>
          <w:sz w:val="20"/>
        </w:rPr>
        <w:t>70</w:t>
      </w:r>
      <w:r>
        <w:rPr>
          <w:sz w:val="20"/>
        </w:rPr>
        <w:tab/>
      </w:r>
      <w:r w:rsidR="00BC64F4" w:rsidRPr="0086005C">
        <w:rPr>
          <w:szCs w:val="24"/>
        </w:rPr>
        <w:t>The WR Act before WorkChoices</w:t>
      </w:r>
      <w:r w:rsidR="00BC64F4" w:rsidRPr="0086005C">
        <w:rPr>
          <w:i/>
          <w:szCs w:val="24"/>
        </w:rPr>
        <w:t xml:space="preserve"> </w:t>
      </w:r>
      <w:r w:rsidR="00BC64F4" w:rsidRPr="0086005C">
        <w:rPr>
          <w:szCs w:val="24"/>
        </w:rPr>
        <w:t>(in force at 10 June 2003) at s 178(</w:t>
      </w:r>
      <w:proofErr w:type="gramStart"/>
      <w:r w:rsidR="00BC64F4" w:rsidRPr="0086005C">
        <w:rPr>
          <w:szCs w:val="24"/>
        </w:rPr>
        <w:t>5)(</w:t>
      </w:r>
      <w:proofErr w:type="gramEnd"/>
      <w:r w:rsidR="00BC64F4" w:rsidRPr="0086005C">
        <w:rPr>
          <w:szCs w:val="24"/>
        </w:rPr>
        <w:t>ca) similarly provided</w:t>
      </w:r>
      <w:r w:rsidR="00BC64F4">
        <w:rPr>
          <w:szCs w:val="24"/>
        </w:rPr>
        <w:t>.</w:t>
      </w:r>
    </w:p>
    <w:p w14:paraId="0A01E179" w14:textId="0D294CB2" w:rsidR="00BC64F4" w:rsidRPr="00074500" w:rsidRDefault="0071710E" w:rsidP="0071710E">
      <w:pPr>
        <w:pStyle w:val="ParaNumbering"/>
        <w:numPr>
          <w:ilvl w:val="0"/>
          <w:numId w:val="0"/>
        </w:numPr>
        <w:tabs>
          <w:tab w:val="left" w:pos="720"/>
        </w:tabs>
        <w:ind w:hanging="720"/>
        <w:rPr>
          <w:szCs w:val="24"/>
        </w:rPr>
      </w:pPr>
      <w:r w:rsidRPr="00074500">
        <w:rPr>
          <w:sz w:val="20"/>
          <w:szCs w:val="24"/>
        </w:rPr>
        <w:t>71</w:t>
      </w:r>
      <w:r w:rsidRPr="00074500">
        <w:rPr>
          <w:sz w:val="20"/>
          <w:szCs w:val="24"/>
        </w:rPr>
        <w:tab/>
      </w:r>
      <w:r w:rsidR="00BC64F4" w:rsidRPr="00F1725A">
        <w:rPr>
          <w:szCs w:val="24"/>
        </w:rPr>
        <w:t>The WR Act (in force immediately prior to the enactment</w:t>
      </w:r>
      <w:r w:rsidR="00BC64F4" w:rsidRPr="00F1725A">
        <w:rPr>
          <w:spacing w:val="-3"/>
          <w:szCs w:val="24"/>
        </w:rPr>
        <w:t xml:space="preserve"> </w:t>
      </w:r>
      <w:r w:rsidR="00BC64F4" w:rsidRPr="00F1725A">
        <w:rPr>
          <w:szCs w:val="24"/>
        </w:rPr>
        <w:t>of</w:t>
      </w:r>
      <w:r w:rsidR="00BC64F4" w:rsidRPr="00F1725A">
        <w:rPr>
          <w:spacing w:val="-3"/>
          <w:szCs w:val="24"/>
        </w:rPr>
        <w:t xml:space="preserve"> </w:t>
      </w:r>
      <w:r w:rsidR="00BC64F4" w:rsidRPr="00F1725A">
        <w:rPr>
          <w:szCs w:val="24"/>
        </w:rPr>
        <w:t>the</w:t>
      </w:r>
      <w:r w:rsidR="00BC64F4" w:rsidRPr="00F1725A">
        <w:rPr>
          <w:spacing w:val="-1"/>
          <w:szCs w:val="24"/>
        </w:rPr>
        <w:t xml:space="preserve"> </w:t>
      </w:r>
      <w:r w:rsidR="00BC64F4" w:rsidRPr="00F1725A">
        <w:rPr>
          <w:szCs w:val="24"/>
        </w:rPr>
        <w:t>Fair</w:t>
      </w:r>
      <w:r w:rsidR="00BC64F4" w:rsidRPr="00F1725A">
        <w:rPr>
          <w:spacing w:val="-3"/>
          <w:szCs w:val="24"/>
        </w:rPr>
        <w:t xml:space="preserve"> </w:t>
      </w:r>
      <w:r w:rsidR="00BC64F4" w:rsidRPr="00F1725A">
        <w:rPr>
          <w:szCs w:val="24"/>
        </w:rPr>
        <w:t>Work</w:t>
      </w:r>
      <w:r w:rsidR="00BC64F4" w:rsidRPr="00F1725A">
        <w:rPr>
          <w:spacing w:val="-4"/>
          <w:szCs w:val="24"/>
        </w:rPr>
        <w:t xml:space="preserve"> </w:t>
      </w:r>
      <w:r w:rsidR="00BC64F4" w:rsidRPr="00F1725A">
        <w:rPr>
          <w:szCs w:val="24"/>
        </w:rPr>
        <w:t>reforms)</w:t>
      </w:r>
      <w:r w:rsidR="00BC64F4" w:rsidRPr="00F1725A">
        <w:rPr>
          <w:spacing w:val="-3"/>
          <w:szCs w:val="24"/>
        </w:rPr>
        <w:t xml:space="preserve"> </w:t>
      </w:r>
      <w:r w:rsidR="00BC64F4" w:rsidRPr="00F1725A">
        <w:rPr>
          <w:szCs w:val="24"/>
        </w:rPr>
        <w:t>at</w:t>
      </w:r>
      <w:r w:rsidR="00BC64F4" w:rsidRPr="00F1725A">
        <w:rPr>
          <w:spacing w:val="-3"/>
          <w:szCs w:val="24"/>
        </w:rPr>
        <w:t xml:space="preserve"> </w:t>
      </w:r>
      <w:r w:rsidR="00BC64F4" w:rsidRPr="00F1725A">
        <w:rPr>
          <w:szCs w:val="24"/>
        </w:rPr>
        <w:t>s</w:t>
      </w:r>
      <w:r w:rsidR="00BC64F4">
        <w:rPr>
          <w:szCs w:val="24"/>
        </w:rPr>
        <w:t>s</w:t>
      </w:r>
      <w:r w:rsidR="00BC64F4" w:rsidRPr="00F1725A">
        <w:rPr>
          <w:spacing w:val="-1"/>
          <w:szCs w:val="24"/>
        </w:rPr>
        <w:t xml:space="preserve"> </w:t>
      </w:r>
      <w:r w:rsidR="00BC64F4" w:rsidRPr="00F1725A">
        <w:rPr>
          <w:szCs w:val="24"/>
        </w:rPr>
        <w:t>718(1)</w:t>
      </w:r>
      <w:r w:rsidR="00BC64F4" w:rsidRPr="00F1725A">
        <w:rPr>
          <w:spacing w:val="-3"/>
          <w:szCs w:val="24"/>
        </w:rPr>
        <w:t xml:space="preserve"> </w:t>
      </w:r>
      <w:r w:rsidR="00BC64F4" w:rsidRPr="00F1725A">
        <w:rPr>
          <w:szCs w:val="24"/>
        </w:rPr>
        <w:t>and</w:t>
      </w:r>
      <w:r w:rsidR="00BC64F4" w:rsidRPr="00F1725A">
        <w:rPr>
          <w:spacing w:val="-1"/>
          <w:szCs w:val="24"/>
        </w:rPr>
        <w:t xml:space="preserve"> </w:t>
      </w:r>
      <w:r w:rsidR="00BC64F4" w:rsidRPr="00F1725A">
        <w:rPr>
          <w:szCs w:val="24"/>
        </w:rPr>
        <w:t>(2) relevantly</w:t>
      </w:r>
      <w:r w:rsidR="00BC64F4" w:rsidRPr="00F1725A">
        <w:rPr>
          <w:spacing w:val="-1"/>
          <w:szCs w:val="24"/>
        </w:rPr>
        <w:t xml:space="preserve"> </w:t>
      </w:r>
      <w:r w:rsidR="00BC64F4" w:rsidRPr="00F1725A">
        <w:rPr>
          <w:szCs w:val="24"/>
        </w:rPr>
        <w:t>provided</w:t>
      </w:r>
      <w:r w:rsidR="00BC64F4" w:rsidRPr="00F1725A">
        <w:rPr>
          <w:spacing w:val="-4"/>
          <w:szCs w:val="24"/>
        </w:rPr>
        <w:t xml:space="preserve"> </w:t>
      </w:r>
      <w:r w:rsidR="00BC64F4" w:rsidRPr="00F1725A">
        <w:rPr>
          <w:szCs w:val="24"/>
        </w:rPr>
        <w:t>standing</w:t>
      </w:r>
      <w:r w:rsidR="00BC64F4" w:rsidRPr="00F1725A">
        <w:rPr>
          <w:spacing w:val="-1"/>
          <w:szCs w:val="24"/>
        </w:rPr>
        <w:t xml:space="preserve"> </w:t>
      </w:r>
      <w:r w:rsidR="00BC64F4" w:rsidRPr="00F1725A">
        <w:rPr>
          <w:szCs w:val="24"/>
        </w:rPr>
        <w:t>for employees whose employment was subject to the Australian Fair Pay and Conditions Standard, awards and collective agreements (items 2, 3 and 4) and who were “affected by the breach of the applicable provision”.</w:t>
      </w:r>
      <w:r w:rsidR="00BC64F4">
        <w:rPr>
          <w:szCs w:val="24"/>
        </w:rPr>
        <w:t xml:space="preserve">  </w:t>
      </w:r>
      <w:r w:rsidR="00BC64F4" w:rsidRPr="00074500">
        <w:rPr>
          <w:szCs w:val="24"/>
        </w:rPr>
        <w:t>Self-evidently this continuity is not consistent with the SDA’s inconsistency thesis.  The FW Act did not involve</w:t>
      </w:r>
      <w:r w:rsidR="00BC64F4" w:rsidRPr="00074500">
        <w:rPr>
          <w:spacing w:val="40"/>
          <w:szCs w:val="24"/>
        </w:rPr>
        <w:t xml:space="preserve"> </w:t>
      </w:r>
      <w:r w:rsidR="00BC64F4" w:rsidRPr="00074500">
        <w:rPr>
          <w:szCs w:val="24"/>
        </w:rPr>
        <w:t>any</w:t>
      </w:r>
      <w:r w:rsidR="00BC64F4" w:rsidRPr="00074500">
        <w:rPr>
          <w:spacing w:val="-1"/>
          <w:szCs w:val="24"/>
        </w:rPr>
        <w:t xml:space="preserve"> </w:t>
      </w:r>
      <w:r w:rsidR="00BC64F4" w:rsidRPr="00074500">
        <w:rPr>
          <w:szCs w:val="24"/>
        </w:rPr>
        <w:t>major</w:t>
      </w:r>
      <w:r w:rsidR="00BC64F4" w:rsidRPr="00074500">
        <w:rPr>
          <w:spacing w:val="-3"/>
          <w:szCs w:val="24"/>
        </w:rPr>
        <w:t xml:space="preserve"> </w:t>
      </w:r>
      <w:r w:rsidR="00BC64F4" w:rsidRPr="00074500">
        <w:rPr>
          <w:szCs w:val="24"/>
        </w:rPr>
        <w:t>reform</w:t>
      </w:r>
      <w:r w:rsidR="00BC64F4" w:rsidRPr="00074500">
        <w:rPr>
          <w:spacing w:val="-3"/>
          <w:szCs w:val="24"/>
        </w:rPr>
        <w:t xml:space="preserve"> </w:t>
      </w:r>
      <w:r w:rsidR="00BC64F4" w:rsidRPr="00074500">
        <w:rPr>
          <w:szCs w:val="24"/>
        </w:rPr>
        <w:t>to</w:t>
      </w:r>
      <w:r w:rsidR="00BC64F4" w:rsidRPr="00074500">
        <w:rPr>
          <w:spacing w:val="-4"/>
          <w:szCs w:val="24"/>
        </w:rPr>
        <w:t xml:space="preserve"> </w:t>
      </w:r>
      <w:r w:rsidR="00BC64F4" w:rsidRPr="00074500">
        <w:rPr>
          <w:szCs w:val="24"/>
        </w:rPr>
        <w:t>standing</w:t>
      </w:r>
      <w:r w:rsidR="00BC64F4" w:rsidRPr="00074500">
        <w:rPr>
          <w:spacing w:val="-1"/>
          <w:szCs w:val="24"/>
        </w:rPr>
        <w:t xml:space="preserve"> </w:t>
      </w:r>
      <w:r w:rsidR="00BC64F4" w:rsidRPr="00074500">
        <w:rPr>
          <w:szCs w:val="24"/>
        </w:rPr>
        <w:t>for employees.</w:t>
      </w:r>
      <w:r w:rsidR="00BC64F4" w:rsidRPr="00074500">
        <w:rPr>
          <w:spacing w:val="-1"/>
          <w:szCs w:val="24"/>
        </w:rPr>
        <w:t xml:space="preserve">  </w:t>
      </w:r>
      <w:r w:rsidR="00BC64F4" w:rsidRPr="00074500">
        <w:rPr>
          <w:szCs w:val="24"/>
        </w:rPr>
        <w:t>The</w:t>
      </w:r>
      <w:r w:rsidR="00BC64F4" w:rsidRPr="00074500">
        <w:rPr>
          <w:spacing w:val="-3"/>
          <w:szCs w:val="24"/>
        </w:rPr>
        <w:t xml:space="preserve"> </w:t>
      </w:r>
      <w:r w:rsidR="00BC64F4" w:rsidRPr="00074500">
        <w:rPr>
          <w:szCs w:val="24"/>
        </w:rPr>
        <w:t>introduction</w:t>
      </w:r>
      <w:r w:rsidR="00BC64F4" w:rsidRPr="00074500">
        <w:rPr>
          <w:spacing w:val="-1"/>
          <w:szCs w:val="24"/>
        </w:rPr>
        <w:t xml:space="preserve"> </w:t>
      </w:r>
      <w:r w:rsidR="00BC64F4" w:rsidRPr="00074500">
        <w:rPr>
          <w:szCs w:val="24"/>
        </w:rPr>
        <w:t xml:space="preserve">of the words “only if” in ss 539 and 540 did no more than make explicit an already extant reality. </w:t>
      </w:r>
    </w:p>
    <w:p w14:paraId="05339B47" w14:textId="44E12A87" w:rsidR="00BC64F4" w:rsidRPr="00074500" w:rsidRDefault="0071710E" w:rsidP="0071710E">
      <w:pPr>
        <w:pStyle w:val="ParaNumbering"/>
        <w:numPr>
          <w:ilvl w:val="0"/>
          <w:numId w:val="0"/>
        </w:numPr>
        <w:tabs>
          <w:tab w:val="left" w:pos="720"/>
        </w:tabs>
        <w:ind w:hanging="720"/>
      </w:pPr>
      <w:r w:rsidRPr="00074500">
        <w:rPr>
          <w:sz w:val="20"/>
        </w:rPr>
        <w:t>72</w:t>
      </w:r>
      <w:r w:rsidRPr="00074500">
        <w:rPr>
          <w:sz w:val="20"/>
        </w:rPr>
        <w:tab/>
      </w:r>
      <w:r w:rsidR="00BC64F4">
        <w:t>Further, the b</w:t>
      </w:r>
      <w:r w:rsidR="00BC64F4" w:rsidRPr="00400540">
        <w:t>roader statutory context discloses no inconsistency</w:t>
      </w:r>
      <w:r w:rsidR="00BC64F4">
        <w:t xml:space="preserve">.  Of course, </w:t>
      </w:r>
      <w:r w:rsidR="00BC64F4" w:rsidRPr="00074500">
        <w:rPr>
          <w:szCs w:val="24"/>
        </w:rPr>
        <w:t xml:space="preserve">it may be accepted that the FW Act provides a comprehensive scheme of enforcement, with specific mechanisms for obtaining orders in relation to contraventions of the FW Act.  </w:t>
      </w:r>
      <w:r w:rsidR="00BC64F4">
        <w:rPr>
          <w:szCs w:val="24"/>
        </w:rPr>
        <w:t>But</w:t>
      </w:r>
      <w:r w:rsidR="00BC64F4" w:rsidRPr="00074500">
        <w:rPr>
          <w:szCs w:val="24"/>
        </w:rPr>
        <w:t xml:space="preserve"> nothing in the text of the FW Act evinces an intention that the scheme is to operate to the exclusion of other mechanisms available to an applicant to enforce their rights, or for a group of applicants to collectively enforce their rights, under federal law.</w:t>
      </w:r>
    </w:p>
    <w:p w14:paraId="27D8AEBD" w14:textId="6BD0D0A5" w:rsidR="00BC64F4" w:rsidRPr="00400540" w:rsidRDefault="0071710E" w:rsidP="0071710E">
      <w:pPr>
        <w:pStyle w:val="ParaNumbering"/>
        <w:numPr>
          <w:ilvl w:val="0"/>
          <w:numId w:val="0"/>
        </w:numPr>
        <w:tabs>
          <w:tab w:val="left" w:pos="720"/>
        </w:tabs>
        <w:ind w:hanging="720"/>
        <w:rPr>
          <w:szCs w:val="24"/>
        </w:rPr>
      </w:pPr>
      <w:r w:rsidRPr="00400540">
        <w:rPr>
          <w:sz w:val="20"/>
          <w:szCs w:val="24"/>
        </w:rPr>
        <w:t>73</w:t>
      </w:r>
      <w:r w:rsidRPr="00400540">
        <w:rPr>
          <w:sz w:val="20"/>
          <w:szCs w:val="24"/>
        </w:rPr>
        <w:tab/>
      </w:r>
      <w:r w:rsidR="00BC64F4" w:rsidRPr="00400540">
        <w:rPr>
          <w:szCs w:val="24"/>
        </w:rPr>
        <w:t xml:space="preserve">First, nothing in the </w:t>
      </w:r>
      <w:r w:rsidR="00BC64F4" w:rsidRPr="008968AF">
        <w:rPr>
          <w:szCs w:val="24"/>
        </w:rPr>
        <w:t>FW Act expressly excludes</w:t>
      </w:r>
      <w:r w:rsidR="00BC64F4">
        <w:rPr>
          <w:szCs w:val="24"/>
        </w:rPr>
        <w:t xml:space="preserve"> the operation of Part IVA</w:t>
      </w:r>
      <w:r w:rsidR="00BC64F4" w:rsidRPr="00400540">
        <w:rPr>
          <w:szCs w:val="24"/>
        </w:rPr>
        <w:t>.</w:t>
      </w:r>
      <w:r w:rsidR="00BC64F4" w:rsidRPr="00400540">
        <w:rPr>
          <w:spacing w:val="40"/>
          <w:szCs w:val="24"/>
        </w:rPr>
        <w:t xml:space="preserve"> </w:t>
      </w:r>
      <w:r w:rsidR="00BC64F4" w:rsidRPr="00400540">
        <w:rPr>
          <w:szCs w:val="24"/>
        </w:rPr>
        <w:t>The lack of a provision in the FW Act expressly excluding the powers conferred</w:t>
      </w:r>
      <w:r w:rsidR="00BC64F4" w:rsidRPr="00400540">
        <w:rPr>
          <w:spacing w:val="-2"/>
          <w:szCs w:val="24"/>
        </w:rPr>
        <w:t xml:space="preserve"> </w:t>
      </w:r>
      <w:r w:rsidR="00BC64F4" w:rsidRPr="00400540">
        <w:rPr>
          <w:szCs w:val="24"/>
        </w:rPr>
        <w:t>on</w:t>
      </w:r>
      <w:r w:rsidR="00BC64F4" w:rsidRPr="00400540">
        <w:rPr>
          <w:spacing w:val="-4"/>
          <w:szCs w:val="24"/>
        </w:rPr>
        <w:t xml:space="preserve"> </w:t>
      </w:r>
      <w:r w:rsidR="00BC64F4" w:rsidRPr="00400540">
        <w:rPr>
          <w:szCs w:val="24"/>
        </w:rPr>
        <w:t>the</w:t>
      </w:r>
      <w:r w:rsidR="00BC64F4" w:rsidRPr="00400540">
        <w:rPr>
          <w:spacing w:val="-2"/>
          <w:szCs w:val="24"/>
        </w:rPr>
        <w:t xml:space="preserve"> </w:t>
      </w:r>
      <w:r w:rsidR="00BC64F4" w:rsidRPr="00400540">
        <w:rPr>
          <w:szCs w:val="24"/>
        </w:rPr>
        <w:t>Federal</w:t>
      </w:r>
      <w:r w:rsidR="00BC64F4" w:rsidRPr="00400540">
        <w:rPr>
          <w:spacing w:val="-3"/>
          <w:szCs w:val="24"/>
        </w:rPr>
        <w:t xml:space="preserve"> </w:t>
      </w:r>
      <w:r w:rsidR="00BC64F4" w:rsidRPr="00400540">
        <w:rPr>
          <w:szCs w:val="24"/>
        </w:rPr>
        <w:t>Court</w:t>
      </w:r>
      <w:r w:rsidR="00BC64F4" w:rsidRPr="00400540">
        <w:rPr>
          <w:spacing w:val="-2"/>
          <w:szCs w:val="24"/>
        </w:rPr>
        <w:t xml:space="preserve"> </w:t>
      </w:r>
      <w:r w:rsidR="00BC64F4" w:rsidRPr="00400540">
        <w:rPr>
          <w:szCs w:val="24"/>
        </w:rPr>
        <w:t>by</w:t>
      </w:r>
      <w:r w:rsidR="00BC64F4" w:rsidRPr="00400540">
        <w:rPr>
          <w:spacing w:val="-2"/>
          <w:szCs w:val="24"/>
        </w:rPr>
        <w:t xml:space="preserve"> </w:t>
      </w:r>
      <w:r w:rsidR="00BC64F4" w:rsidRPr="00400540">
        <w:rPr>
          <w:szCs w:val="24"/>
        </w:rPr>
        <w:t>Part</w:t>
      </w:r>
      <w:r w:rsidR="00BC64F4" w:rsidRPr="00400540">
        <w:rPr>
          <w:spacing w:val="-2"/>
          <w:szCs w:val="24"/>
        </w:rPr>
        <w:t xml:space="preserve"> </w:t>
      </w:r>
      <w:r w:rsidR="00BC64F4" w:rsidRPr="00400540">
        <w:rPr>
          <w:szCs w:val="24"/>
        </w:rPr>
        <w:t>IVA</w:t>
      </w:r>
      <w:r w:rsidR="00BC64F4" w:rsidRPr="00400540">
        <w:rPr>
          <w:spacing w:val="-3"/>
          <w:szCs w:val="24"/>
        </w:rPr>
        <w:t xml:space="preserve"> </w:t>
      </w:r>
      <w:r w:rsidR="00BC64F4" w:rsidRPr="00400540">
        <w:rPr>
          <w:szCs w:val="24"/>
        </w:rPr>
        <w:t>is</w:t>
      </w:r>
      <w:r w:rsidR="00BC64F4" w:rsidRPr="00400540">
        <w:rPr>
          <w:spacing w:val="-2"/>
          <w:szCs w:val="24"/>
        </w:rPr>
        <w:t xml:space="preserve"> </w:t>
      </w:r>
      <w:r w:rsidR="00BC64F4" w:rsidRPr="00400540">
        <w:rPr>
          <w:szCs w:val="24"/>
        </w:rPr>
        <w:t>not</w:t>
      </w:r>
      <w:r w:rsidR="00BC64F4" w:rsidRPr="00400540">
        <w:rPr>
          <w:spacing w:val="-2"/>
          <w:szCs w:val="24"/>
        </w:rPr>
        <w:t xml:space="preserve"> </w:t>
      </w:r>
      <w:r w:rsidR="00BC64F4" w:rsidRPr="00400540">
        <w:rPr>
          <w:szCs w:val="24"/>
        </w:rPr>
        <w:t>determinative,</w:t>
      </w:r>
      <w:r w:rsidR="00BC64F4" w:rsidRPr="00400540">
        <w:rPr>
          <w:spacing w:val="-2"/>
          <w:szCs w:val="24"/>
        </w:rPr>
        <w:t xml:space="preserve"> </w:t>
      </w:r>
      <w:r w:rsidR="00BC64F4" w:rsidRPr="00400540">
        <w:rPr>
          <w:szCs w:val="24"/>
        </w:rPr>
        <w:t>but</w:t>
      </w:r>
      <w:r w:rsidR="00BC64F4" w:rsidRPr="00400540">
        <w:rPr>
          <w:spacing w:val="-2"/>
          <w:szCs w:val="24"/>
        </w:rPr>
        <w:t xml:space="preserve"> </w:t>
      </w:r>
      <w:r w:rsidR="00BC64F4">
        <w:rPr>
          <w:spacing w:val="-2"/>
          <w:szCs w:val="24"/>
        </w:rPr>
        <w:t>this hardly assists the SDA.</w:t>
      </w:r>
    </w:p>
    <w:p w14:paraId="3EB44820" w14:textId="024352EC" w:rsidR="00BC64F4" w:rsidRPr="00E405A3" w:rsidRDefault="0071710E" w:rsidP="0071710E">
      <w:pPr>
        <w:pStyle w:val="ParaNumbering"/>
        <w:numPr>
          <w:ilvl w:val="0"/>
          <w:numId w:val="0"/>
        </w:numPr>
        <w:tabs>
          <w:tab w:val="left" w:pos="720"/>
        </w:tabs>
        <w:ind w:hanging="720"/>
        <w:rPr>
          <w:szCs w:val="24"/>
        </w:rPr>
      </w:pPr>
      <w:r w:rsidRPr="00E405A3">
        <w:rPr>
          <w:sz w:val="20"/>
          <w:szCs w:val="24"/>
        </w:rPr>
        <w:t>74</w:t>
      </w:r>
      <w:r w:rsidRPr="00E405A3">
        <w:rPr>
          <w:sz w:val="20"/>
          <w:szCs w:val="24"/>
        </w:rPr>
        <w:tab/>
      </w:r>
      <w:r w:rsidR="00BC64F4">
        <w:rPr>
          <w:szCs w:val="24"/>
        </w:rPr>
        <w:t xml:space="preserve">Second, </w:t>
      </w:r>
      <w:r w:rsidR="00BC64F4" w:rsidRPr="00400540">
        <w:rPr>
          <w:szCs w:val="24"/>
        </w:rPr>
        <w:t>the</w:t>
      </w:r>
      <w:r w:rsidR="00BC64F4" w:rsidRPr="00400540">
        <w:rPr>
          <w:spacing w:val="-2"/>
          <w:szCs w:val="24"/>
        </w:rPr>
        <w:t xml:space="preserve"> </w:t>
      </w:r>
      <w:r w:rsidR="00BC64F4" w:rsidRPr="00400540">
        <w:rPr>
          <w:szCs w:val="24"/>
        </w:rPr>
        <w:t>FW</w:t>
      </w:r>
      <w:r w:rsidR="00BC64F4" w:rsidRPr="00400540">
        <w:rPr>
          <w:spacing w:val="-3"/>
          <w:szCs w:val="24"/>
        </w:rPr>
        <w:t xml:space="preserve"> </w:t>
      </w:r>
      <w:r w:rsidR="00BC64F4" w:rsidRPr="00400540">
        <w:rPr>
          <w:szCs w:val="24"/>
        </w:rPr>
        <w:t>Act</w:t>
      </w:r>
      <w:r w:rsidR="00BC64F4" w:rsidRPr="00400540">
        <w:rPr>
          <w:spacing w:val="-2"/>
          <w:szCs w:val="24"/>
        </w:rPr>
        <w:t xml:space="preserve"> </w:t>
      </w:r>
      <w:proofErr w:type="gramStart"/>
      <w:r w:rsidR="00BC64F4" w:rsidRPr="00400540">
        <w:rPr>
          <w:szCs w:val="24"/>
        </w:rPr>
        <w:t>as</w:t>
      </w:r>
      <w:r w:rsidR="00BC64F4" w:rsidRPr="00400540">
        <w:rPr>
          <w:spacing w:val="-2"/>
          <w:szCs w:val="24"/>
        </w:rPr>
        <w:t xml:space="preserve"> </w:t>
      </w:r>
      <w:r w:rsidR="00BC64F4" w:rsidRPr="00400540">
        <w:rPr>
          <w:szCs w:val="24"/>
        </w:rPr>
        <w:t>a</w:t>
      </w:r>
      <w:r w:rsidR="00BC64F4" w:rsidRPr="00400540">
        <w:rPr>
          <w:spacing w:val="-2"/>
          <w:szCs w:val="24"/>
        </w:rPr>
        <w:t xml:space="preserve"> </w:t>
      </w:r>
      <w:r w:rsidR="00BC64F4" w:rsidRPr="00400540">
        <w:rPr>
          <w:szCs w:val="24"/>
        </w:rPr>
        <w:t>whole</w:t>
      </w:r>
      <w:r w:rsidR="00BC64F4" w:rsidRPr="00400540">
        <w:rPr>
          <w:spacing w:val="-2"/>
          <w:szCs w:val="24"/>
        </w:rPr>
        <w:t xml:space="preserve"> </w:t>
      </w:r>
      <w:r w:rsidR="00BC64F4" w:rsidRPr="00400540">
        <w:rPr>
          <w:szCs w:val="24"/>
        </w:rPr>
        <w:t>demonstrates</w:t>
      </w:r>
      <w:proofErr w:type="gramEnd"/>
      <w:r w:rsidR="00BC64F4" w:rsidRPr="00400540">
        <w:rPr>
          <w:spacing w:val="-2"/>
          <w:szCs w:val="24"/>
        </w:rPr>
        <w:t xml:space="preserve"> </w:t>
      </w:r>
      <w:r w:rsidR="00BC64F4" w:rsidRPr="00400540">
        <w:rPr>
          <w:szCs w:val="24"/>
        </w:rPr>
        <w:t>an</w:t>
      </w:r>
      <w:r w:rsidR="00BC64F4" w:rsidRPr="00400540">
        <w:rPr>
          <w:spacing w:val="-2"/>
          <w:szCs w:val="24"/>
        </w:rPr>
        <w:t xml:space="preserve"> </w:t>
      </w:r>
      <w:r w:rsidR="00BC64F4" w:rsidRPr="00400540">
        <w:rPr>
          <w:szCs w:val="24"/>
        </w:rPr>
        <w:t>intention</w:t>
      </w:r>
      <w:r w:rsidR="00BC64F4" w:rsidRPr="00400540">
        <w:rPr>
          <w:spacing w:val="-2"/>
          <w:szCs w:val="24"/>
        </w:rPr>
        <w:t xml:space="preserve"> </w:t>
      </w:r>
      <w:r w:rsidR="00BC64F4" w:rsidRPr="00400540">
        <w:rPr>
          <w:szCs w:val="24"/>
        </w:rPr>
        <w:t>to</w:t>
      </w:r>
      <w:r w:rsidR="00BC64F4" w:rsidRPr="00400540">
        <w:rPr>
          <w:spacing w:val="-2"/>
          <w:szCs w:val="24"/>
        </w:rPr>
        <w:t xml:space="preserve"> </w:t>
      </w:r>
      <w:r w:rsidR="00BC64F4" w:rsidRPr="00400540">
        <w:rPr>
          <w:szCs w:val="24"/>
        </w:rPr>
        <w:t>work alongside the general</w:t>
      </w:r>
      <w:r w:rsidR="00BC64F4">
        <w:rPr>
          <w:szCs w:val="24"/>
        </w:rPr>
        <w:t xml:space="preserve"> statutory</w:t>
      </w:r>
      <w:r w:rsidR="00BC64F4" w:rsidRPr="00400540">
        <w:rPr>
          <w:szCs w:val="24"/>
        </w:rPr>
        <w:t xml:space="preserve"> powers </w:t>
      </w:r>
      <w:r w:rsidR="00BC64F4">
        <w:rPr>
          <w:szCs w:val="24"/>
        </w:rPr>
        <w:t xml:space="preserve">conferred on </w:t>
      </w:r>
      <w:r w:rsidR="00BC64F4" w:rsidRPr="00400540">
        <w:rPr>
          <w:szCs w:val="24"/>
        </w:rPr>
        <w:t>the Federal Court.</w:t>
      </w:r>
      <w:r w:rsidR="00BC64F4">
        <w:rPr>
          <w:szCs w:val="24"/>
        </w:rPr>
        <w:t xml:space="preserve">  </w:t>
      </w:r>
      <w:r w:rsidR="00BC64F4" w:rsidRPr="00074500">
        <w:rPr>
          <w:szCs w:val="24"/>
        </w:rPr>
        <w:t>So, for example, s</w:t>
      </w:r>
      <w:r w:rsidR="00BC64F4" w:rsidRPr="00074500">
        <w:rPr>
          <w:spacing w:val="-2"/>
          <w:szCs w:val="24"/>
        </w:rPr>
        <w:t xml:space="preserve"> </w:t>
      </w:r>
      <w:r w:rsidR="00BC64F4" w:rsidRPr="00074500">
        <w:rPr>
          <w:szCs w:val="24"/>
        </w:rPr>
        <w:t>545(1)</w:t>
      </w:r>
      <w:r w:rsidR="00BC64F4" w:rsidRPr="00074500">
        <w:rPr>
          <w:spacing w:val="-2"/>
          <w:szCs w:val="24"/>
        </w:rPr>
        <w:t xml:space="preserve"> </w:t>
      </w:r>
      <w:r w:rsidR="00BC64F4" w:rsidRPr="00074500">
        <w:rPr>
          <w:szCs w:val="24"/>
        </w:rPr>
        <w:t>is</w:t>
      </w:r>
      <w:r w:rsidR="00BC64F4" w:rsidRPr="00074500">
        <w:rPr>
          <w:spacing w:val="-2"/>
          <w:szCs w:val="24"/>
        </w:rPr>
        <w:t xml:space="preserve"> </w:t>
      </w:r>
      <w:r w:rsidR="00BC64F4" w:rsidRPr="00074500">
        <w:rPr>
          <w:szCs w:val="24"/>
        </w:rPr>
        <w:t>cast</w:t>
      </w:r>
      <w:r w:rsidR="00BC64F4" w:rsidRPr="00074500">
        <w:rPr>
          <w:spacing w:val="-2"/>
          <w:szCs w:val="24"/>
        </w:rPr>
        <w:t xml:space="preserve"> </w:t>
      </w:r>
      <w:r w:rsidR="00BC64F4" w:rsidRPr="00074500">
        <w:rPr>
          <w:szCs w:val="24"/>
        </w:rPr>
        <w:t>in</w:t>
      </w:r>
      <w:r w:rsidR="00BC64F4" w:rsidRPr="00074500">
        <w:rPr>
          <w:spacing w:val="-2"/>
          <w:szCs w:val="24"/>
        </w:rPr>
        <w:t xml:space="preserve"> </w:t>
      </w:r>
      <w:r w:rsidR="00BC64F4" w:rsidRPr="00074500">
        <w:rPr>
          <w:szCs w:val="24"/>
        </w:rPr>
        <w:t>the</w:t>
      </w:r>
      <w:r w:rsidR="00BC64F4" w:rsidRPr="00074500">
        <w:rPr>
          <w:spacing w:val="-2"/>
          <w:szCs w:val="24"/>
        </w:rPr>
        <w:t xml:space="preserve"> </w:t>
      </w:r>
      <w:r w:rsidR="00BC64F4" w:rsidRPr="00074500">
        <w:rPr>
          <w:szCs w:val="24"/>
        </w:rPr>
        <w:t>broadest</w:t>
      </w:r>
      <w:r w:rsidR="00BC64F4" w:rsidRPr="00074500">
        <w:rPr>
          <w:spacing w:val="-2"/>
          <w:szCs w:val="24"/>
        </w:rPr>
        <w:t xml:space="preserve"> </w:t>
      </w:r>
      <w:r w:rsidR="00BC64F4" w:rsidRPr="00074500">
        <w:rPr>
          <w:szCs w:val="24"/>
        </w:rPr>
        <w:t>terms</w:t>
      </w:r>
      <w:r w:rsidR="00BC64F4" w:rsidRPr="00074500">
        <w:rPr>
          <w:spacing w:val="-2"/>
          <w:szCs w:val="24"/>
        </w:rPr>
        <w:t xml:space="preserve"> </w:t>
      </w:r>
      <w:r w:rsidR="00BC64F4" w:rsidRPr="00074500">
        <w:rPr>
          <w:szCs w:val="24"/>
        </w:rPr>
        <w:t>and</w:t>
      </w:r>
      <w:r w:rsidR="00BC64F4" w:rsidRPr="00074500">
        <w:rPr>
          <w:spacing w:val="-3"/>
          <w:szCs w:val="24"/>
        </w:rPr>
        <w:t xml:space="preserve"> </w:t>
      </w:r>
      <w:r w:rsidR="00BC64F4" w:rsidRPr="00074500">
        <w:rPr>
          <w:szCs w:val="24"/>
        </w:rPr>
        <w:t>allows</w:t>
      </w:r>
      <w:r w:rsidR="00BC64F4" w:rsidRPr="00074500">
        <w:rPr>
          <w:spacing w:val="-2"/>
          <w:szCs w:val="24"/>
        </w:rPr>
        <w:t xml:space="preserve"> </w:t>
      </w:r>
      <w:r w:rsidR="00BC64F4" w:rsidRPr="00074500">
        <w:rPr>
          <w:szCs w:val="24"/>
        </w:rPr>
        <w:t>the Federal Court to “make any order the court considers appropriate”.  Further, s</w:t>
      </w:r>
      <w:r w:rsidR="00BC64F4" w:rsidRPr="00074500">
        <w:rPr>
          <w:spacing w:val="-2"/>
          <w:szCs w:val="24"/>
        </w:rPr>
        <w:t xml:space="preserve"> </w:t>
      </w:r>
      <w:r w:rsidR="00BC64F4" w:rsidRPr="00074500">
        <w:rPr>
          <w:szCs w:val="24"/>
        </w:rPr>
        <w:t>562</w:t>
      </w:r>
      <w:r w:rsidR="00BC64F4" w:rsidRPr="00074500">
        <w:rPr>
          <w:spacing w:val="-4"/>
          <w:szCs w:val="24"/>
        </w:rPr>
        <w:t xml:space="preserve"> </w:t>
      </w:r>
      <w:r w:rsidR="00BC64F4" w:rsidRPr="00074500">
        <w:rPr>
          <w:szCs w:val="24"/>
        </w:rPr>
        <w:t>confers</w:t>
      </w:r>
      <w:r w:rsidR="00BC64F4" w:rsidRPr="00074500">
        <w:rPr>
          <w:spacing w:val="-2"/>
          <w:szCs w:val="24"/>
        </w:rPr>
        <w:t xml:space="preserve"> </w:t>
      </w:r>
      <w:r w:rsidR="00BC64F4" w:rsidRPr="00074500">
        <w:rPr>
          <w:szCs w:val="24"/>
        </w:rPr>
        <w:t>broad</w:t>
      </w:r>
      <w:r w:rsidR="00BC64F4" w:rsidRPr="00074500">
        <w:rPr>
          <w:spacing w:val="-2"/>
          <w:szCs w:val="24"/>
        </w:rPr>
        <w:t xml:space="preserve"> </w:t>
      </w:r>
      <w:r w:rsidR="00BC64F4" w:rsidRPr="00074500">
        <w:rPr>
          <w:szCs w:val="24"/>
        </w:rPr>
        <w:t>jurisdiction</w:t>
      </w:r>
      <w:r w:rsidR="00BC64F4" w:rsidRPr="00074500">
        <w:rPr>
          <w:spacing w:val="-2"/>
          <w:szCs w:val="24"/>
        </w:rPr>
        <w:t xml:space="preserve"> </w:t>
      </w:r>
      <w:r w:rsidR="00BC64F4" w:rsidRPr="00074500">
        <w:rPr>
          <w:szCs w:val="24"/>
        </w:rPr>
        <w:t>on</w:t>
      </w:r>
      <w:r w:rsidR="00BC64F4" w:rsidRPr="00074500">
        <w:rPr>
          <w:spacing w:val="-2"/>
          <w:szCs w:val="24"/>
        </w:rPr>
        <w:t xml:space="preserve"> </w:t>
      </w:r>
      <w:r w:rsidR="00BC64F4" w:rsidRPr="00074500">
        <w:rPr>
          <w:szCs w:val="24"/>
        </w:rPr>
        <w:t>the</w:t>
      </w:r>
      <w:r w:rsidR="00BC64F4" w:rsidRPr="00074500">
        <w:rPr>
          <w:spacing w:val="-2"/>
          <w:szCs w:val="24"/>
        </w:rPr>
        <w:t xml:space="preserve"> </w:t>
      </w:r>
      <w:r w:rsidR="00BC64F4" w:rsidRPr="00074500">
        <w:rPr>
          <w:szCs w:val="24"/>
        </w:rPr>
        <w:t>Federal</w:t>
      </w:r>
      <w:r w:rsidR="00BC64F4" w:rsidRPr="00074500">
        <w:rPr>
          <w:spacing w:val="-2"/>
          <w:szCs w:val="24"/>
        </w:rPr>
        <w:t xml:space="preserve"> </w:t>
      </w:r>
      <w:r w:rsidR="00BC64F4" w:rsidRPr="00074500">
        <w:rPr>
          <w:szCs w:val="24"/>
        </w:rPr>
        <w:t>Court</w:t>
      </w:r>
      <w:r w:rsidR="00BC64F4" w:rsidRPr="00074500">
        <w:rPr>
          <w:spacing w:val="-2"/>
          <w:szCs w:val="24"/>
        </w:rPr>
        <w:t xml:space="preserve"> </w:t>
      </w:r>
      <w:r w:rsidR="00BC64F4" w:rsidRPr="00074500">
        <w:rPr>
          <w:szCs w:val="24"/>
        </w:rPr>
        <w:t>in</w:t>
      </w:r>
      <w:r w:rsidR="00BC64F4" w:rsidRPr="00074500">
        <w:rPr>
          <w:spacing w:val="-4"/>
          <w:szCs w:val="24"/>
        </w:rPr>
        <w:t xml:space="preserve"> </w:t>
      </w:r>
      <w:r w:rsidR="00BC64F4" w:rsidRPr="00074500">
        <w:rPr>
          <w:szCs w:val="24"/>
        </w:rPr>
        <w:t>relation</w:t>
      </w:r>
      <w:r w:rsidR="00BC64F4" w:rsidRPr="00074500">
        <w:rPr>
          <w:spacing w:val="-4"/>
          <w:szCs w:val="24"/>
        </w:rPr>
        <w:t xml:space="preserve"> </w:t>
      </w:r>
      <w:r w:rsidR="00BC64F4" w:rsidRPr="00074500">
        <w:rPr>
          <w:szCs w:val="24"/>
        </w:rPr>
        <w:t>to</w:t>
      </w:r>
      <w:r w:rsidR="00BC64F4" w:rsidRPr="00074500">
        <w:rPr>
          <w:spacing w:val="-2"/>
          <w:szCs w:val="24"/>
        </w:rPr>
        <w:t xml:space="preserve"> </w:t>
      </w:r>
      <w:r w:rsidR="00BC64F4" w:rsidRPr="00074500">
        <w:rPr>
          <w:szCs w:val="24"/>
        </w:rPr>
        <w:t>any matter arising under the FW Act.  Further, s 564 expressly provides that nothing in the FW Act limits the Federal Court’s powers under ss 21, 22 or 23 of the FCA Act.  The explanatory memorandum (at [2213]) stated that the cognate clause was “intended to address authorities which have held that federal industrial laws exhaustively contain the remedies available to enforce those laws”.</w:t>
      </w:r>
    </w:p>
    <w:p w14:paraId="253FC7B2" w14:textId="4EFE0645" w:rsidR="00BC64F4" w:rsidRPr="00CA686F" w:rsidRDefault="0071710E" w:rsidP="0071710E">
      <w:pPr>
        <w:pStyle w:val="ParaNumbering"/>
        <w:numPr>
          <w:ilvl w:val="0"/>
          <w:numId w:val="0"/>
        </w:numPr>
        <w:tabs>
          <w:tab w:val="left" w:pos="720"/>
        </w:tabs>
        <w:ind w:hanging="720"/>
      </w:pPr>
      <w:r w:rsidRPr="00CA686F">
        <w:rPr>
          <w:sz w:val="20"/>
        </w:rPr>
        <w:t>75</w:t>
      </w:r>
      <w:r w:rsidRPr="00CA686F">
        <w:rPr>
          <w:sz w:val="20"/>
        </w:rPr>
        <w:tab/>
      </w:r>
      <w:r w:rsidR="00BC64F4">
        <w:t>Further</w:t>
      </w:r>
      <w:r w:rsidR="00BC64F4" w:rsidRPr="00400540">
        <w:t>,</w:t>
      </w:r>
      <w:r w:rsidR="00BC64F4" w:rsidRPr="00400540">
        <w:rPr>
          <w:spacing w:val="-1"/>
        </w:rPr>
        <w:t xml:space="preserve"> </w:t>
      </w:r>
      <w:r w:rsidR="00BC64F4" w:rsidRPr="00400540">
        <w:t>the</w:t>
      </w:r>
      <w:r w:rsidR="00BC64F4" w:rsidRPr="00400540">
        <w:rPr>
          <w:spacing w:val="-2"/>
        </w:rPr>
        <w:t xml:space="preserve"> </w:t>
      </w:r>
      <w:r w:rsidR="00BC64F4" w:rsidRPr="00400540">
        <w:t>enactment</w:t>
      </w:r>
      <w:r w:rsidR="00BC64F4" w:rsidRPr="00400540">
        <w:rPr>
          <w:spacing w:val="-1"/>
        </w:rPr>
        <w:t xml:space="preserve"> </w:t>
      </w:r>
      <w:r w:rsidR="00BC64F4" w:rsidRPr="00400540">
        <w:t>of</w:t>
      </w:r>
      <w:r w:rsidR="00BC64F4" w:rsidRPr="00400540">
        <w:rPr>
          <w:spacing w:val="-2"/>
        </w:rPr>
        <w:t xml:space="preserve"> </w:t>
      </w:r>
      <w:r w:rsidR="00BC64F4" w:rsidRPr="00400540">
        <w:t>the</w:t>
      </w:r>
      <w:r w:rsidR="00BC64F4" w:rsidRPr="00400540">
        <w:rPr>
          <w:spacing w:val="-1"/>
        </w:rPr>
        <w:t xml:space="preserve"> </w:t>
      </w:r>
      <w:r w:rsidR="00BC64F4" w:rsidRPr="00400540">
        <w:t>FW</w:t>
      </w:r>
      <w:r w:rsidR="00BC64F4" w:rsidRPr="00400540">
        <w:rPr>
          <w:spacing w:val="-4"/>
        </w:rPr>
        <w:t xml:space="preserve"> </w:t>
      </w:r>
      <w:r w:rsidR="00BC64F4" w:rsidRPr="00400540">
        <w:t>Act</w:t>
      </w:r>
      <w:r w:rsidR="00BC64F4" w:rsidRPr="00400540">
        <w:rPr>
          <w:spacing w:val="-1"/>
        </w:rPr>
        <w:t xml:space="preserve"> </w:t>
      </w:r>
      <w:r w:rsidR="00BC64F4" w:rsidRPr="00400540">
        <w:t>in</w:t>
      </w:r>
      <w:r w:rsidR="00BC64F4" w:rsidRPr="00400540">
        <w:rPr>
          <w:spacing w:val="-1"/>
        </w:rPr>
        <w:t xml:space="preserve"> </w:t>
      </w:r>
      <w:r w:rsidR="00BC64F4" w:rsidRPr="00400540">
        <w:t>2009</w:t>
      </w:r>
      <w:r w:rsidR="00BC64F4" w:rsidRPr="00400540">
        <w:rPr>
          <w:spacing w:val="-1"/>
        </w:rPr>
        <w:t xml:space="preserve"> </w:t>
      </w:r>
      <w:r w:rsidR="00BC64F4" w:rsidRPr="00400540">
        <w:t>was</w:t>
      </w:r>
      <w:r w:rsidR="00BC64F4" w:rsidRPr="00400540">
        <w:rPr>
          <w:spacing w:val="-1"/>
        </w:rPr>
        <w:t xml:space="preserve"> </w:t>
      </w:r>
      <w:r w:rsidR="00BC64F4" w:rsidRPr="00400540">
        <w:t>accompanied</w:t>
      </w:r>
      <w:r w:rsidR="00BC64F4" w:rsidRPr="00400540">
        <w:rPr>
          <w:spacing w:val="-1"/>
        </w:rPr>
        <w:t xml:space="preserve"> </w:t>
      </w:r>
      <w:r w:rsidR="00BC64F4" w:rsidRPr="00400540">
        <w:t>by</w:t>
      </w:r>
      <w:r w:rsidR="00BC64F4" w:rsidRPr="00400540">
        <w:rPr>
          <w:spacing w:val="-1"/>
        </w:rPr>
        <w:t xml:space="preserve"> </w:t>
      </w:r>
      <w:r w:rsidR="00BC64F4" w:rsidRPr="00400540">
        <w:t>the</w:t>
      </w:r>
      <w:r w:rsidR="00BC64F4" w:rsidRPr="00400540">
        <w:rPr>
          <w:spacing w:val="-1"/>
        </w:rPr>
        <w:t xml:space="preserve"> </w:t>
      </w:r>
      <w:r w:rsidR="00BC64F4" w:rsidRPr="00400540">
        <w:t>enactment</w:t>
      </w:r>
      <w:r w:rsidR="00BC64F4" w:rsidRPr="00400540">
        <w:rPr>
          <w:spacing w:val="-1"/>
        </w:rPr>
        <w:t xml:space="preserve"> </w:t>
      </w:r>
      <w:r w:rsidR="00BC64F4" w:rsidRPr="00400540">
        <w:t>of the</w:t>
      </w:r>
      <w:r w:rsidR="00BC64F4" w:rsidRPr="00400540">
        <w:rPr>
          <w:spacing w:val="-4"/>
        </w:rPr>
        <w:t xml:space="preserve"> </w:t>
      </w:r>
      <w:r w:rsidR="00BC64F4" w:rsidRPr="00400540">
        <w:rPr>
          <w:i/>
        </w:rPr>
        <w:t>Fair</w:t>
      </w:r>
      <w:r w:rsidR="00BC64F4" w:rsidRPr="00400540">
        <w:rPr>
          <w:i/>
          <w:spacing w:val="-4"/>
        </w:rPr>
        <w:t xml:space="preserve"> </w:t>
      </w:r>
      <w:r w:rsidR="00BC64F4" w:rsidRPr="00400540">
        <w:rPr>
          <w:i/>
        </w:rPr>
        <w:t>Work</w:t>
      </w:r>
      <w:r w:rsidR="00BC64F4" w:rsidRPr="00400540">
        <w:rPr>
          <w:i/>
          <w:spacing w:val="-4"/>
        </w:rPr>
        <w:t xml:space="preserve"> </w:t>
      </w:r>
      <w:r w:rsidR="00BC64F4" w:rsidRPr="00400540">
        <w:rPr>
          <w:i/>
        </w:rPr>
        <w:t>(Transitional</w:t>
      </w:r>
      <w:r w:rsidR="00BC64F4" w:rsidRPr="00400540">
        <w:rPr>
          <w:i/>
          <w:spacing w:val="-4"/>
        </w:rPr>
        <w:t xml:space="preserve"> </w:t>
      </w:r>
      <w:r w:rsidR="00BC64F4" w:rsidRPr="00400540">
        <w:rPr>
          <w:i/>
        </w:rPr>
        <w:t>Provisions</w:t>
      </w:r>
      <w:r w:rsidR="00BC64F4" w:rsidRPr="00400540">
        <w:rPr>
          <w:i/>
          <w:spacing w:val="-4"/>
        </w:rPr>
        <w:t xml:space="preserve"> </w:t>
      </w:r>
      <w:r w:rsidR="00BC64F4" w:rsidRPr="00400540">
        <w:rPr>
          <w:i/>
        </w:rPr>
        <w:t>and</w:t>
      </w:r>
      <w:r w:rsidR="00BC64F4" w:rsidRPr="00400540">
        <w:rPr>
          <w:i/>
          <w:spacing w:val="-4"/>
        </w:rPr>
        <w:t xml:space="preserve"> </w:t>
      </w:r>
      <w:r w:rsidR="00BC64F4" w:rsidRPr="00400540">
        <w:rPr>
          <w:i/>
        </w:rPr>
        <w:t>Consequential</w:t>
      </w:r>
      <w:r w:rsidR="00BC64F4" w:rsidRPr="00400540">
        <w:rPr>
          <w:i/>
          <w:spacing w:val="-4"/>
        </w:rPr>
        <w:t xml:space="preserve"> </w:t>
      </w:r>
      <w:r w:rsidR="00BC64F4" w:rsidRPr="00400540">
        <w:rPr>
          <w:i/>
        </w:rPr>
        <w:t>Amendments)</w:t>
      </w:r>
      <w:r w:rsidR="00BC64F4" w:rsidRPr="00400540">
        <w:rPr>
          <w:i/>
          <w:spacing w:val="-4"/>
        </w:rPr>
        <w:t xml:space="preserve"> </w:t>
      </w:r>
      <w:r w:rsidR="00BC64F4" w:rsidRPr="00400540">
        <w:rPr>
          <w:i/>
        </w:rPr>
        <w:t>Act</w:t>
      </w:r>
      <w:r w:rsidR="00BC64F4" w:rsidRPr="00400540">
        <w:rPr>
          <w:i/>
          <w:spacing w:val="-4"/>
        </w:rPr>
        <w:t xml:space="preserve"> </w:t>
      </w:r>
      <w:r w:rsidR="00BC64F4" w:rsidRPr="00400540">
        <w:rPr>
          <w:i/>
        </w:rPr>
        <w:t xml:space="preserve">2009 </w:t>
      </w:r>
      <w:r w:rsidR="00BC64F4" w:rsidRPr="00400540">
        <w:t>(</w:t>
      </w:r>
      <w:proofErr w:type="spellStart"/>
      <w:r w:rsidR="00BC64F4" w:rsidRPr="00400540">
        <w:t>Cth</w:t>
      </w:r>
      <w:proofErr w:type="spellEnd"/>
      <w:r w:rsidR="00BC64F4" w:rsidRPr="00400540">
        <w:t>)</w:t>
      </w:r>
      <w:r w:rsidR="00BC64F4">
        <w:t xml:space="preserve">.  </w:t>
      </w:r>
      <w:r w:rsidR="00BC64F4" w:rsidRPr="00400540">
        <w:t xml:space="preserve">Schedule 17 </w:t>
      </w:r>
      <w:r w:rsidR="00BC64F4">
        <w:t xml:space="preserve">to that Act </w:t>
      </w:r>
      <w:r w:rsidR="00BC64F4" w:rsidRPr="00400540">
        <w:t xml:space="preserve">made </w:t>
      </w:r>
      <w:r w:rsidR="00BC64F4">
        <w:t xml:space="preserve">various </w:t>
      </w:r>
      <w:r w:rsidR="00BC64F4" w:rsidRPr="00400540">
        <w:t>amendments to the FCA Act.  This shows that Parliament</w:t>
      </w:r>
      <w:r w:rsidR="00BC64F4" w:rsidRPr="00400540">
        <w:rPr>
          <w:spacing w:val="-2"/>
        </w:rPr>
        <w:t xml:space="preserve"> </w:t>
      </w:r>
      <w:r w:rsidR="00BC64F4" w:rsidRPr="00400540">
        <w:t>turned</w:t>
      </w:r>
      <w:r w:rsidR="00BC64F4" w:rsidRPr="00400540">
        <w:rPr>
          <w:spacing w:val="-2"/>
        </w:rPr>
        <w:t xml:space="preserve"> </w:t>
      </w:r>
      <w:r w:rsidR="00BC64F4" w:rsidRPr="00400540">
        <w:t>its</w:t>
      </w:r>
      <w:r w:rsidR="00BC64F4" w:rsidRPr="00400540">
        <w:rPr>
          <w:spacing w:val="-2"/>
        </w:rPr>
        <w:t xml:space="preserve"> </w:t>
      </w:r>
      <w:r w:rsidR="00BC64F4" w:rsidRPr="00400540">
        <w:t>mind</w:t>
      </w:r>
      <w:r w:rsidR="00BC64F4" w:rsidRPr="00400540">
        <w:rPr>
          <w:spacing w:val="-2"/>
        </w:rPr>
        <w:t xml:space="preserve"> </w:t>
      </w:r>
      <w:r w:rsidR="00BC64F4" w:rsidRPr="00400540">
        <w:t>to</w:t>
      </w:r>
      <w:r w:rsidR="00BC64F4" w:rsidRPr="00400540">
        <w:rPr>
          <w:spacing w:val="-2"/>
        </w:rPr>
        <w:t xml:space="preserve"> </w:t>
      </w:r>
      <w:r w:rsidR="00BC64F4" w:rsidRPr="00400540">
        <w:t>the</w:t>
      </w:r>
      <w:r w:rsidR="00BC64F4" w:rsidRPr="00400540">
        <w:rPr>
          <w:spacing w:val="-2"/>
        </w:rPr>
        <w:t xml:space="preserve"> </w:t>
      </w:r>
      <w:r w:rsidR="00BC64F4" w:rsidRPr="00400540">
        <w:t>way</w:t>
      </w:r>
      <w:r w:rsidR="00BC64F4" w:rsidRPr="00400540">
        <w:rPr>
          <w:spacing w:val="-2"/>
        </w:rPr>
        <w:t xml:space="preserve"> </w:t>
      </w:r>
      <w:r w:rsidR="00BC64F4" w:rsidRPr="00400540">
        <w:t>in</w:t>
      </w:r>
      <w:r w:rsidR="00BC64F4" w:rsidRPr="00400540">
        <w:rPr>
          <w:spacing w:val="-2"/>
        </w:rPr>
        <w:t xml:space="preserve"> </w:t>
      </w:r>
      <w:r w:rsidR="00BC64F4" w:rsidRPr="00400540">
        <w:t>which</w:t>
      </w:r>
      <w:r w:rsidR="00BC64F4" w:rsidRPr="00400540">
        <w:rPr>
          <w:spacing w:val="-2"/>
        </w:rPr>
        <w:t xml:space="preserve"> </w:t>
      </w:r>
      <w:r w:rsidR="00BC64F4" w:rsidRPr="00400540">
        <w:t>the</w:t>
      </w:r>
      <w:r w:rsidR="00BC64F4" w:rsidRPr="00400540">
        <w:rPr>
          <w:spacing w:val="-2"/>
        </w:rPr>
        <w:t xml:space="preserve"> </w:t>
      </w:r>
      <w:r w:rsidR="00BC64F4" w:rsidRPr="00400540">
        <w:t>FW</w:t>
      </w:r>
      <w:r w:rsidR="00BC64F4" w:rsidRPr="00400540">
        <w:rPr>
          <w:spacing w:val="-5"/>
        </w:rPr>
        <w:t xml:space="preserve"> </w:t>
      </w:r>
      <w:r w:rsidR="00BC64F4" w:rsidRPr="00400540">
        <w:t>Act</w:t>
      </w:r>
      <w:r w:rsidR="00BC64F4" w:rsidRPr="00400540">
        <w:rPr>
          <w:spacing w:val="-1"/>
        </w:rPr>
        <w:t xml:space="preserve"> </w:t>
      </w:r>
      <w:r w:rsidR="00BC64F4" w:rsidRPr="00400540">
        <w:t>would</w:t>
      </w:r>
      <w:r w:rsidR="00BC64F4" w:rsidRPr="00400540">
        <w:rPr>
          <w:spacing w:val="-2"/>
        </w:rPr>
        <w:t xml:space="preserve"> </w:t>
      </w:r>
      <w:r w:rsidR="00BC64F4" w:rsidRPr="00400540">
        <w:t>interact</w:t>
      </w:r>
      <w:r w:rsidR="00BC64F4" w:rsidRPr="00400540">
        <w:rPr>
          <w:spacing w:val="-2"/>
        </w:rPr>
        <w:t xml:space="preserve"> </w:t>
      </w:r>
      <w:r w:rsidR="00BC64F4" w:rsidRPr="00400540">
        <w:t>with</w:t>
      </w:r>
      <w:r w:rsidR="00BC64F4" w:rsidRPr="00400540">
        <w:rPr>
          <w:spacing w:val="-4"/>
        </w:rPr>
        <w:t xml:space="preserve"> </w:t>
      </w:r>
      <w:r w:rsidR="00BC64F4" w:rsidRPr="00400540">
        <w:t>the FCA Act and made changes to the FCA Act to reflect its intention.  However, Parliament did not indicate any intention to exclude representative proceedings under P</w:t>
      </w:r>
      <w:r w:rsidR="00BC64F4">
        <w:t>art</w:t>
      </w:r>
      <w:r w:rsidR="00BC64F4" w:rsidRPr="00400540">
        <w:t xml:space="preserve"> IVA from claims arising from contraventions of the FW </w:t>
      </w:r>
      <w:r w:rsidR="00BC64F4" w:rsidRPr="00400540">
        <w:rPr>
          <w:spacing w:val="-4"/>
        </w:rPr>
        <w:t>Act.</w:t>
      </w:r>
    </w:p>
    <w:p w14:paraId="1ADCC9DD" w14:textId="7B538ABA" w:rsidR="00BC64F4" w:rsidRDefault="0071710E" w:rsidP="0071710E">
      <w:pPr>
        <w:pStyle w:val="ParaNumbering"/>
        <w:numPr>
          <w:ilvl w:val="0"/>
          <w:numId w:val="0"/>
        </w:numPr>
        <w:tabs>
          <w:tab w:val="left" w:pos="720"/>
        </w:tabs>
        <w:ind w:hanging="720"/>
      </w:pPr>
      <w:r>
        <w:rPr>
          <w:sz w:val="20"/>
        </w:rPr>
        <w:t>76</w:t>
      </w:r>
      <w:r>
        <w:rPr>
          <w:sz w:val="20"/>
        </w:rPr>
        <w:tab/>
      </w:r>
      <w:r w:rsidR="00BC64F4">
        <w:t xml:space="preserve">Further, </w:t>
      </w:r>
      <w:r w:rsidR="00BC64F4" w:rsidRPr="00CF78F3">
        <w:t>Division 3 of Part 6-1 of the FW Act prohibits certain applications under the FW Act where an application has been made in relation to the same conduct under other legislation.</w:t>
      </w:r>
      <w:r w:rsidR="00BC64F4">
        <w:t xml:space="preserve">  </w:t>
      </w:r>
      <w:r w:rsidR="00BC64F4" w:rsidRPr="00CF78F3">
        <w:t xml:space="preserve">So, the legislature was aware of the coextensive relationship between the FW Act and other remedial legislation and the potential for conflict.  </w:t>
      </w:r>
    </w:p>
    <w:p w14:paraId="2338E0BA" w14:textId="45702BF7" w:rsidR="00BC64F4" w:rsidRPr="00CF78F3" w:rsidRDefault="0071710E" w:rsidP="0071710E">
      <w:pPr>
        <w:pStyle w:val="ParaNumbering"/>
        <w:numPr>
          <w:ilvl w:val="0"/>
          <w:numId w:val="0"/>
        </w:numPr>
        <w:tabs>
          <w:tab w:val="left" w:pos="720"/>
        </w:tabs>
        <w:ind w:hanging="720"/>
        <w:rPr>
          <w:szCs w:val="24"/>
        </w:rPr>
      </w:pPr>
      <w:r w:rsidRPr="00CF78F3">
        <w:rPr>
          <w:sz w:val="20"/>
          <w:szCs w:val="24"/>
        </w:rPr>
        <w:t>77</w:t>
      </w:r>
      <w:r w:rsidRPr="00CF78F3">
        <w:rPr>
          <w:sz w:val="20"/>
          <w:szCs w:val="24"/>
        </w:rPr>
        <w:tab/>
      </w:r>
      <w:r w:rsidR="00BC64F4">
        <w:rPr>
          <w:szCs w:val="24"/>
        </w:rPr>
        <w:t xml:space="preserve">The legislature </w:t>
      </w:r>
      <w:r w:rsidR="00BC64F4" w:rsidRPr="00CF78F3">
        <w:rPr>
          <w:szCs w:val="24"/>
        </w:rPr>
        <w:t>sought to impose controls where necessary but omitted any express exclusion of Part IVA.  So, there was no manifestation of intention that the FW Act would not work in parallel with Part IVA</w:t>
      </w:r>
      <w:r w:rsidR="00BC64F4" w:rsidRPr="005E0425">
        <w:rPr>
          <w:szCs w:val="24"/>
        </w:rPr>
        <w:t>.  A</w:t>
      </w:r>
      <w:r w:rsidR="00BC64F4">
        <w:rPr>
          <w:szCs w:val="24"/>
        </w:rPr>
        <w:t xml:space="preserve">dmittedly the nature of the overlap dealt with in Division 3 of Part 6-1 is qualitatively distinct from what I am addressing.  But </w:t>
      </w:r>
      <w:proofErr w:type="gramStart"/>
      <w:r w:rsidR="00BC64F4">
        <w:rPr>
          <w:szCs w:val="24"/>
        </w:rPr>
        <w:t>nevertheless</w:t>
      </w:r>
      <w:proofErr w:type="gramEnd"/>
      <w:r w:rsidR="00BC64F4">
        <w:rPr>
          <w:szCs w:val="24"/>
        </w:rPr>
        <w:t xml:space="preserve"> such provisions indirectly confirm the thesis that Part IVA was not intended not to work in parallel. </w:t>
      </w:r>
    </w:p>
    <w:p w14:paraId="5812174F" w14:textId="4BE5AECF" w:rsidR="00BC64F4" w:rsidRPr="00CA686F" w:rsidRDefault="0071710E" w:rsidP="0071710E">
      <w:pPr>
        <w:pStyle w:val="ParaNumbering"/>
        <w:numPr>
          <w:ilvl w:val="0"/>
          <w:numId w:val="0"/>
        </w:numPr>
        <w:tabs>
          <w:tab w:val="left" w:pos="720"/>
        </w:tabs>
        <w:ind w:hanging="720"/>
        <w:rPr>
          <w:szCs w:val="24"/>
        </w:rPr>
      </w:pPr>
      <w:r w:rsidRPr="00CA686F">
        <w:rPr>
          <w:sz w:val="20"/>
          <w:szCs w:val="24"/>
        </w:rPr>
        <w:t>78</w:t>
      </w:r>
      <w:r w:rsidRPr="00CA686F">
        <w:rPr>
          <w:sz w:val="20"/>
          <w:szCs w:val="24"/>
        </w:rPr>
        <w:tab/>
      </w:r>
      <w:r w:rsidR="00BC64F4">
        <w:rPr>
          <w:szCs w:val="24"/>
        </w:rPr>
        <w:t xml:space="preserve">Generally, the legislature </w:t>
      </w:r>
      <w:r w:rsidR="00BC64F4" w:rsidRPr="00CA686F">
        <w:rPr>
          <w:szCs w:val="24"/>
        </w:rPr>
        <w:t>turned</w:t>
      </w:r>
      <w:r w:rsidR="00BC64F4" w:rsidRPr="00CA686F">
        <w:rPr>
          <w:spacing w:val="-3"/>
          <w:szCs w:val="24"/>
        </w:rPr>
        <w:t xml:space="preserve"> </w:t>
      </w:r>
      <w:r w:rsidR="00BC64F4">
        <w:rPr>
          <w:szCs w:val="24"/>
        </w:rPr>
        <w:t>its</w:t>
      </w:r>
      <w:r w:rsidR="00BC64F4" w:rsidRPr="00CA686F">
        <w:rPr>
          <w:spacing w:val="-3"/>
          <w:szCs w:val="24"/>
        </w:rPr>
        <w:t xml:space="preserve"> </w:t>
      </w:r>
      <w:r w:rsidR="00BC64F4" w:rsidRPr="00CA686F">
        <w:rPr>
          <w:szCs w:val="24"/>
        </w:rPr>
        <w:t>mind</w:t>
      </w:r>
      <w:r w:rsidR="00BC64F4" w:rsidRPr="00CA686F">
        <w:rPr>
          <w:spacing w:val="-3"/>
          <w:szCs w:val="24"/>
        </w:rPr>
        <w:t xml:space="preserve"> </w:t>
      </w:r>
      <w:r w:rsidR="00BC64F4" w:rsidRPr="00CA686F">
        <w:rPr>
          <w:szCs w:val="24"/>
        </w:rPr>
        <w:t>to</w:t>
      </w:r>
      <w:r w:rsidR="00BC64F4" w:rsidRPr="00CA686F">
        <w:rPr>
          <w:spacing w:val="-3"/>
          <w:szCs w:val="24"/>
        </w:rPr>
        <w:t xml:space="preserve"> </w:t>
      </w:r>
      <w:r w:rsidR="00BC64F4" w:rsidRPr="00CA686F">
        <w:rPr>
          <w:szCs w:val="24"/>
        </w:rPr>
        <w:t>the</w:t>
      </w:r>
      <w:r w:rsidR="00BC64F4" w:rsidRPr="00CA686F">
        <w:rPr>
          <w:spacing w:val="-3"/>
          <w:szCs w:val="24"/>
        </w:rPr>
        <w:t xml:space="preserve"> </w:t>
      </w:r>
      <w:r w:rsidR="00BC64F4" w:rsidRPr="00CA686F">
        <w:rPr>
          <w:szCs w:val="24"/>
        </w:rPr>
        <w:t>Court’s</w:t>
      </w:r>
      <w:r w:rsidR="00BC64F4" w:rsidRPr="00CA686F">
        <w:rPr>
          <w:spacing w:val="-3"/>
          <w:szCs w:val="24"/>
        </w:rPr>
        <w:t xml:space="preserve"> </w:t>
      </w:r>
      <w:r w:rsidR="00BC64F4" w:rsidRPr="00CA686F">
        <w:rPr>
          <w:szCs w:val="24"/>
        </w:rPr>
        <w:t>powers</w:t>
      </w:r>
      <w:r w:rsidR="00BC64F4" w:rsidRPr="00CA686F">
        <w:rPr>
          <w:spacing w:val="-3"/>
          <w:szCs w:val="24"/>
        </w:rPr>
        <w:t xml:space="preserve"> </w:t>
      </w:r>
      <w:r w:rsidR="00BC64F4" w:rsidRPr="00CA686F">
        <w:rPr>
          <w:szCs w:val="24"/>
        </w:rPr>
        <w:t>under</w:t>
      </w:r>
      <w:r w:rsidR="00BC64F4" w:rsidRPr="00CA686F">
        <w:rPr>
          <w:spacing w:val="-3"/>
          <w:szCs w:val="24"/>
        </w:rPr>
        <w:t xml:space="preserve"> </w:t>
      </w:r>
      <w:r w:rsidR="00BC64F4" w:rsidRPr="00CA686F">
        <w:rPr>
          <w:szCs w:val="24"/>
        </w:rPr>
        <w:t>the FCA</w:t>
      </w:r>
      <w:r w:rsidR="00BC64F4" w:rsidRPr="00CA686F">
        <w:rPr>
          <w:spacing w:val="-3"/>
          <w:szCs w:val="24"/>
        </w:rPr>
        <w:t xml:space="preserve"> </w:t>
      </w:r>
      <w:r w:rsidR="00BC64F4" w:rsidRPr="00CA686F">
        <w:rPr>
          <w:szCs w:val="24"/>
        </w:rPr>
        <w:t>Act</w:t>
      </w:r>
      <w:r w:rsidR="00BC64F4" w:rsidRPr="00CA686F">
        <w:rPr>
          <w:spacing w:val="-2"/>
          <w:szCs w:val="24"/>
        </w:rPr>
        <w:t xml:space="preserve"> </w:t>
      </w:r>
      <w:r w:rsidR="00BC64F4" w:rsidRPr="00CA686F">
        <w:rPr>
          <w:szCs w:val="24"/>
        </w:rPr>
        <w:t>and</w:t>
      </w:r>
      <w:r w:rsidR="00BC64F4" w:rsidRPr="00CA686F">
        <w:rPr>
          <w:spacing w:val="-2"/>
          <w:szCs w:val="24"/>
        </w:rPr>
        <w:t xml:space="preserve"> </w:t>
      </w:r>
      <w:r w:rsidR="00BC64F4" w:rsidRPr="00CA686F">
        <w:rPr>
          <w:szCs w:val="24"/>
        </w:rPr>
        <w:t>the</w:t>
      </w:r>
      <w:r w:rsidR="00BC64F4" w:rsidRPr="00CA686F">
        <w:rPr>
          <w:spacing w:val="-2"/>
          <w:szCs w:val="24"/>
        </w:rPr>
        <w:t xml:space="preserve"> </w:t>
      </w:r>
      <w:r w:rsidR="00BC64F4" w:rsidRPr="00CA686F">
        <w:rPr>
          <w:szCs w:val="24"/>
        </w:rPr>
        <w:t>way</w:t>
      </w:r>
      <w:r w:rsidR="00BC64F4" w:rsidRPr="00CA686F">
        <w:rPr>
          <w:spacing w:val="-2"/>
          <w:szCs w:val="24"/>
        </w:rPr>
        <w:t xml:space="preserve"> </w:t>
      </w:r>
      <w:r w:rsidR="00BC64F4" w:rsidRPr="00CA686F">
        <w:rPr>
          <w:szCs w:val="24"/>
        </w:rPr>
        <w:t>in</w:t>
      </w:r>
      <w:r w:rsidR="00BC64F4" w:rsidRPr="00CA686F">
        <w:rPr>
          <w:spacing w:val="-4"/>
          <w:szCs w:val="24"/>
        </w:rPr>
        <w:t xml:space="preserve"> </w:t>
      </w:r>
      <w:r w:rsidR="00BC64F4" w:rsidRPr="00CA686F">
        <w:rPr>
          <w:szCs w:val="24"/>
        </w:rPr>
        <w:t>which</w:t>
      </w:r>
      <w:r w:rsidR="00BC64F4" w:rsidRPr="00CA686F">
        <w:rPr>
          <w:spacing w:val="-2"/>
          <w:szCs w:val="24"/>
        </w:rPr>
        <w:t xml:space="preserve"> </w:t>
      </w:r>
      <w:r w:rsidR="00BC64F4" w:rsidRPr="00CA686F">
        <w:rPr>
          <w:szCs w:val="24"/>
        </w:rPr>
        <w:t>the</w:t>
      </w:r>
      <w:r w:rsidR="00BC64F4" w:rsidRPr="00CA686F">
        <w:rPr>
          <w:spacing w:val="-2"/>
          <w:szCs w:val="24"/>
        </w:rPr>
        <w:t xml:space="preserve"> </w:t>
      </w:r>
      <w:r w:rsidR="00BC64F4" w:rsidRPr="00CA686F">
        <w:rPr>
          <w:szCs w:val="24"/>
        </w:rPr>
        <w:t>FW</w:t>
      </w:r>
      <w:r w:rsidR="00BC64F4" w:rsidRPr="00CA686F">
        <w:rPr>
          <w:spacing w:val="-3"/>
          <w:szCs w:val="24"/>
        </w:rPr>
        <w:t xml:space="preserve"> </w:t>
      </w:r>
      <w:r w:rsidR="00BC64F4" w:rsidRPr="00CA686F">
        <w:rPr>
          <w:szCs w:val="24"/>
        </w:rPr>
        <w:t>Act</w:t>
      </w:r>
      <w:r w:rsidR="00BC64F4" w:rsidRPr="00CA686F">
        <w:rPr>
          <w:spacing w:val="-2"/>
          <w:szCs w:val="24"/>
        </w:rPr>
        <w:t xml:space="preserve"> </w:t>
      </w:r>
      <w:r w:rsidR="00BC64F4" w:rsidRPr="00CA686F">
        <w:rPr>
          <w:szCs w:val="24"/>
        </w:rPr>
        <w:t>would</w:t>
      </w:r>
      <w:r w:rsidR="00BC64F4" w:rsidRPr="00CA686F">
        <w:rPr>
          <w:spacing w:val="-2"/>
          <w:szCs w:val="24"/>
        </w:rPr>
        <w:t xml:space="preserve"> </w:t>
      </w:r>
      <w:r w:rsidR="00BC64F4" w:rsidRPr="00CA686F">
        <w:rPr>
          <w:szCs w:val="24"/>
        </w:rPr>
        <w:t>interact</w:t>
      </w:r>
      <w:r w:rsidR="00BC64F4" w:rsidRPr="00CA686F">
        <w:rPr>
          <w:spacing w:val="-2"/>
          <w:szCs w:val="24"/>
        </w:rPr>
        <w:t xml:space="preserve"> </w:t>
      </w:r>
      <w:r w:rsidR="00BC64F4" w:rsidRPr="00CA686F">
        <w:rPr>
          <w:szCs w:val="24"/>
        </w:rPr>
        <w:t>with</w:t>
      </w:r>
      <w:r w:rsidR="00BC64F4" w:rsidRPr="00CA686F">
        <w:rPr>
          <w:spacing w:val="-2"/>
          <w:szCs w:val="24"/>
        </w:rPr>
        <w:t xml:space="preserve"> </w:t>
      </w:r>
      <w:r w:rsidR="00BC64F4" w:rsidRPr="00CA686F">
        <w:rPr>
          <w:szCs w:val="24"/>
        </w:rPr>
        <w:t>them.</w:t>
      </w:r>
      <w:r w:rsidR="00BC64F4">
        <w:rPr>
          <w:szCs w:val="24"/>
        </w:rPr>
        <w:t xml:space="preserve">  And h</w:t>
      </w:r>
      <w:r w:rsidR="00BC64F4" w:rsidRPr="00CA686F">
        <w:rPr>
          <w:szCs w:val="24"/>
        </w:rPr>
        <w:t>aving turned its mind to how the FW Act would work together with the powers</w:t>
      </w:r>
      <w:r w:rsidR="00BC64F4" w:rsidRPr="00CA686F">
        <w:rPr>
          <w:spacing w:val="-3"/>
          <w:szCs w:val="24"/>
        </w:rPr>
        <w:t xml:space="preserve"> </w:t>
      </w:r>
      <w:r w:rsidR="00BC64F4" w:rsidRPr="00CA686F">
        <w:rPr>
          <w:szCs w:val="24"/>
        </w:rPr>
        <w:t>of</w:t>
      </w:r>
      <w:r w:rsidR="00BC64F4" w:rsidRPr="00CA686F">
        <w:rPr>
          <w:spacing w:val="-4"/>
          <w:szCs w:val="24"/>
        </w:rPr>
        <w:t xml:space="preserve"> </w:t>
      </w:r>
      <w:r w:rsidR="00BC64F4" w:rsidRPr="00CA686F">
        <w:rPr>
          <w:szCs w:val="24"/>
        </w:rPr>
        <w:t>the</w:t>
      </w:r>
      <w:r w:rsidR="00BC64F4" w:rsidRPr="00CA686F">
        <w:rPr>
          <w:spacing w:val="-3"/>
          <w:szCs w:val="24"/>
        </w:rPr>
        <w:t xml:space="preserve"> </w:t>
      </w:r>
      <w:r w:rsidR="00BC64F4" w:rsidRPr="00CA686F">
        <w:rPr>
          <w:szCs w:val="24"/>
        </w:rPr>
        <w:t>Federal</w:t>
      </w:r>
      <w:r w:rsidR="00BC64F4" w:rsidRPr="00CA686F">
        <w:rPr>
          <w:spacing w:val="-3"/>
          <w:szCs w:val="24"/>
        </w:rPr>
        <w:t xml:space="preserve"> </w:t>
      </w:r>
      <w:r w:rsidR="00BC64F4" w:rsidRPr="00CA686F">
        <w:rPr>
          <w:szCs w:val="24"/>
        </w:rPr>
        <w:t>Court,</w:t>
      </w:r>
      <w:r w:rsidR="00BC64F4" w:rsidRPr="00CA686F">
        <w:rPr>
          <w:spacing w:val="-3"/>
          <w:szCs w:val="24"/>
        </w:rPr>
        <w:t xml:space="preserve"> </w:t>
      </w:r>
      <w:r w:rsidR="00BC64F4">
        <w:rPr>
          <w:spacing w:val="-3"/>
          <w:szCs w:val="24"/>
        </w:rPr>
        <w:t xml:space="preserve">the legislature </w:t>
      </w:r>
      <w:r w:rsidR="00BC64F4" w:rsidRPr="00CA686F">
        <w:rPr>
          <w:szCs w:val="24"/>
        </w:rPr>
        <w:t>could</w:t>
      </w:r>
      <w:r w:rsidR="00BC64F4" w:rsidRPr="00CA686F">
        <w:rPr>
          <w:spacing w:val="-3"/>
          <w:szCs w:val="24"/>
        </w:rPr>
        <w:t xml:space="preserve"> </w:t>
      </w:r>
      <w:r w:rsidR="00BC64F4" w:rsidRPr="00CA686F">
        <w:rPr>
          <w:szCs w:val="24"/>
        </w:rPr>
        <w:t>have</w:t>
      </w:r>
      <w:r w:rsidR="00BC64F4" w:rsidRPr="00CA686F">
        <w:rPr>
          <w:spacing w:val="-3"/>
          <w:szCs w:val="24"/>
        </w:rPr>
        <w:t xml:space="preserve"> </w:t>
      </w:r>
      <w:r w:rsidR="00BC64F4" w:rsidRPr="00CA686F">
        <w:rPr>
          <w:szCs w:val="24"/>
        </w:rPr>
        <w:t>but</w:t>
      </w:r>
      <w:r w:rsidR="00BC64F4" w:rsidRPr="00CA686F">
        <w:rPr>
          <w:spacing w:val="-3"/>
          <w:szCs w:val="24"/>
        </w:rPr>
        <w:t xml:space="preserve"> </w:t>
      </w:r>
      <w:r w:rsidR="00BC64F4" w:rsidRPr="00CA686F">
        <w:rPr>
          <w:szCs w:val="24"/>
        </w:rPr>
        <w:t>did</w:t>
      </w:r>
      <w:r w:rsidR="00BC64F4" w:rsidRPr="00CA686F">
        <w:rPr>
          <w:spacing w:val="-3"/>
          <w:szCs w:val="24"/>
        </w:rPr>
        <w:t xml:space="preserve"> </w:t>
      </w:r>
      <w:r w:rsidR="00BC64F4" w:rsidRPr="00CA686F">
        <w:rPr>
          <w:szCs w:val="24"/>
        </w:rPr>
        <w:t>not</w:t>
      </w:r>
      <w:r w:rsidR="00BC64F4" w:rsidRPr="00CA686F">
        <w:rPr>
          <w:spacing w:val="-3"/>
          <w:szCs w:val="24"/>
        </w:rPr>
        <w:t xml:space="preserve"> </w:t>
      </w:r>
      <w:r w:rsidR="00BC64F4" w:rsidRPr="00CA686F">
        <w:rPr>
          <w:szCs w:val="24"/>
        </w:rPr>
        <w:t>express</w:t>
      </w:r>
      <w:r w:rsidR="00BC64F4" w:rsidRPr="00CA686F">
        <w:rPr>
          <w:spacing w:val="-3"/>
          <w:szCs w:val="24"/>
        </w:rPr>
        <w:t xml:space="preserve"> </w:t>
      </w:r>
      <w:r w:rsidR="00BC64F4" w:rsidRPr="00CA686F">
        <w:rPr>
          <w:szCs w:val="24"/>
        </w:rPr>
        <w:t>in s</w:t>
      </w:r>
      <w:r w:rsidR="00BC64F4">
        <w:rPr>
          <w:spacing w:val="-2"/>
          <w:szCs w:val="24"/>
        </w:rPr>
        <w:t> </w:t>
      </w:r>
      <w:r w:rsidR="00BC64F4" w:rsidRPr="00CA686F">
        <w:rPr>
          <w:szCs w:val="24"/>
        </w:rPr>
        <w:t>564</w:t>
      </w:r>
      <w:r w:rsidR="00BC64F4" w:rsidRPr="00CA686F">
        <w:rPr>
          <w:spacing w:val="-2"/>
          <w:szCs w:val="24"/>
        </w:rPr>
        <w:t xml:space="preserve"> </w:t>
      </w:r>
      <w:r w:rsidR="00BC64F4" w:rsidRPr="00CA686F">
        <w:rPr>
          <w:szCs w:val="24"/>
        </w:rPr>
        <w:t>or</w:t>
      </w:r>
      <w:r w:rsidR="00BC64F4" w:rsidRPr="00CA686F">
        <w:rPr>
          <w:spacing w:val="-2"/>
          <w:szCs w:val="24"/>
        </w:rPr>
        <w:t xml:space="preserve"> </w:t>
      </w:r>
      <w:r w:rsidR="00BC64F4" w:rsidRPr="00CA686F">
        <w:rPr>
          <w:szCs w:val="24"/>
        </w:rPr>
        <w:t>provide</w:t>
      </w:r>
      <w:r w:rsidR="00BC64F4" w:rsidRPr="00CA686F">
        <w:rPr>
          <w:spacing w:val="-2"/>
          <w:szCs w:val="24"/>
        </w:rPr>
        <w:t xml:space="preserve"> </w:t>
      </w:r>
      <w:r w:rsidR="00BC64F4" w:rsidRPr="00CA686F">
        <w:rPr>
          <w:szCs w:val="24"/>
        </w:rPr>
        <w:t>in</w:t>
      </w:r>
      <w:r w:rsidR="00BC64F4" w:rsidRPr="00CA686F">
        <w:rPr>
          <w:spacing w:val="-2"/>
          <w:szCs w:val="24"/>
        </w:rPr>
        <w:t xml:space="preserve"> </w:t>
      </w:r>
      <w:r w:rsidR="00BC64F4" w:rsidRPr="00CA686F">
        <w:rPr>
          <w:szCs w:val="24"/>
        </w:rPr>
        <w:t>any</w:t>
      </w:r>
      <w:r w:rsidR="00BC64F4" w:rsidRPr="00CA686F">
        <w:rPr>
          <w:spacing w:val="-4"/>
          <w:szCs w:val="24"/>
        </w:rPr>
        <w:t xml:space="preserve"> </w:t>
      </w:r>
      <w:r w:rsidR="00BC64F4" w:rsidRPr="00CA686F">
        <w:rPr>
          <w:szCs w:val="24"/>
        </w:rPr>
        <w:t>other</w:t>
      </w:r>
      <w:r w:rsidR="00BC64F4" w:rsidRPr="00CA686F">
        <w:rPr>
          <w:spacing w:val="-2"/>
          <w:szCs w:val="24"/>
        </w:rPr>
        <w:t xml:space="preserve"> </w:t>
      </w:r>
      <w:r w:rsidR="00BC64F4" w:rsidRPr="00CA686F">
        <w:rPr>
          <w:szCs w:val="24"/>
        </w:rPr>
        <w:t>provision</w:t>
      </w:r>
      <w:r w:rsidR="00BC64F4" w:rsidRPr="00CA686F">
        <w:rPr>
          <w:spacing w:val="-2"/>
          <w:szCs w:val="24"/>
        </w:rPr>
        <w:t xml:space="preserve"> </w:t>
      </w:r>
      <w:r w:rsidR="00BC64F4" w:rsidRPr="00CA686F">
        <w:rPr>
          <w:szCs w:val="24"/>
        </w:rPr>
        <w:t>an</w:t>
      </w:r>
      <w:r w:rsidR="00BC64F4" w:rsidRPr="00CA686F">
        <w:rPr>
          <w:spacing w:val="-2"/>
          <w:szCs w:val="24"/>
        </w:rPr>
        <w:t xml:space="preserve"> </w:t>
      </w:r>
      <w:r w:rsidR="00BC64F4" w:rsidRPr="00CA686F">
        <w:rPr>
          <w:szCs w:val="24"/>
        </w:rPr>
        <w:t>intention</w:t>
      </w:r>
      <w:r w:rsidR="00BC64F4" w:rsidRPr="00CA686F">
        <w:rPr>
          <w:spacing w:val="-2"/>
          <w:szCs w:val="24"/>
        </w:rPr>
        <w:t xml:space="preserve"> </w:t>
      </w:r>
      <w:r w:rsidR="00BC64F4" w:rsidRPr="00CA686F">
        <w:rPr>
          <w:szCs w:val="24"/>
        </w:rPr>
        <w:t>to</w:t>
      </w:r>
      <w:r w:rsidR="00BC64F4" w:rsidRPr="00CA686F">
        <w:rPr>
          <w:spacing w:val="-2"/>
          <w:szCs w:val="24"/>
        </w:rPr>
        <w:t xml:space="preserve"> </w:t>
      </w:r>
      <w:r w:rsidR="00BC64F4" w:rsidRPr="00CA686F">
        <w:rPr>
          <w:szCs w:val="24"/>
        </w:rPr>
        <w:t>exclude</w:t>
      </w:r>
      <w:r w:rsidR="00BC64F4" w:rsidRPr="00CA686F">
        <w:rPr>
          <w:spacing w:val="-2"/>
          <w:szCs w:val="24"/>
        </w:rPr>
        <w:t xml:space="preserve"> </w:t>
      </w:r>
      <w:r w:rsidR="00BC64F4" w:rsidRPr="00CA686F">
        <w:rPr>
          <w:szCs w:val="24"/>
        </w:rPr>
        <w:t>the</w:t>
      </w:r>
      <w:r w:rsidR="00BC64F4" w:rsidRPr="00CA686F">
        <w:rPr>
          <w:spacing w:val="-2"/>
          <w:szCs w:val="24"/>
        </w:rPr>
        <w:t xml:space="preserve"> </w:t>
      </w:r>
      <w:r w:rsidR="00BC64F4" w:rsidRPr="00CA686F">
        <w:rPr>
          <w:szCs w:val="24"/>
        </w:rPr>
        <w:t>powers</w:t>
      </w:r>
      <w:r w:rsidR="00BC64F4" w:rsidRPr="00CA686F">
        <w:rPr>
          <w:spacing w:val="-2"/>
          <w:szCs w:val="24"/>
        </w:rPr>
        <w:t xml:space="preserve"> </w:t>
      </w:r>
      <w:r w:rsidR="00BC64F4" w:rsidRPr="00CA686F">
        <w:rPr>
          <w:szCs w:val="24"/>
        </w:rPr>
        <w:t xml:space="preserve">of the Federal Court under Part IVA. </w:t>
      </w:r>
    </w:p>
    <w:p w14:paraId="49152670" w14:textId="06537CC1" w:rsidR="00BC64F4" w:rsidRPr="00400540" w:rsidRDefault="0071710E" w:rsidP="0071710E">
      <w:pPr>
        <w:pStyle w:val="ParaNumbering"/>
        <w:numPr>
          <w:ilvl w:val="0"/>
          <w:numId w:val="0"/>
        </w:numPr>
        <w:tabs>
          <w:tab w:val="left" w:pos="720"/>
        </w:tabs>
        <w:ind w:hanging="720"/>
        <w:rPr>
          <w:szCs w:val="24"/>
        </w:rPr>
      </w:pPr>
      <w:r w:rsidRPr="00400540">
        <w:rPr>
          <w:sz w:val="20"/>
          <w:szCs w:val="24"/>
        </w:rPr>
        <w:t>79</w:t>
      </w:r>
      <w:r w:rsidRPr="00400540">
        <w:rPr>
          <w:sz w:val="20"/>
          <w:szCs w:val="24"/>
        </w:rPr>
        <w:tab/>
      </w:r>
      <w:r w:rsidR="00BC64F4">
        <w:rPr>
          <w:szCs w:val="24"/>
        </w:rPr>
        <w:t xml:space="preserve">Third, </w:t>
      </w:r>
      <w:r w:rsidR="00BC64F4" w:rsidRPr="00400540">
        <w:rPr>
          <w:szCs w:val="24"/>
        </w:rPr>
        <w:t>the FW Act does not provide for representative proceedings within the meaning of or akin to those in P</w:t>
      </w:r>
      <w:r w:rsidR="00BC64F4">
        <w:rPr>
          <w:szCs w:val="24"/>
        </w:rPr>
        <w:t>ar</w:t>
      </w:r>
      <w:r w:rsidR="00BC64F4" w:rsidRPr="00400540">
        <w:rPr>
          <w:szCs w:val="24"/>
        </w:rPr>
        <w:t>t IVA.  The standing in ss 539 and 540 of the FW Act provided to employee organisations and to a limited extent</w:t>
      </w:r>
      <w:r w:rsidR="00BC64F4" w:rsidRPr="00400540">
        <w:rPr>
          <w:spacing w:val="-5"/>
          <w:szCs w:val="24"/>
        </w:rPr>
        <w:t xml:space="preserve"> </w:t>
      </w:r>
      <w:r w:rsidR="00BC64F4" w:rsidRPr="00400540">
        <w:rPr>
          <w:szCs w:val="24"/>
        </w:rPr>
        <w:t>industrial</w:t>
      </w:r>
      <w:r w:rsidR="00BC64F4" w:rsidRPr="00400540">
        <w:rPr>
          <w:spacing w:val="-3"/>
          <w:szCs w:val="24"/>
        </w:rPr>
        <w:t xml:space="preserve"> </w:t>
      </w:r>
      <w:r w:rsidR="00BC64F4" w:rsidRPr="00400540">
        <w:rPr>
          <w:szCs w:val="24"/>
        </w:rPr>
        <w:t>associations</w:t>
      </w:r>
      <w:r w:rsidR="00BC64F4" w:rsidRPr="00400540">
        <w:rPr>
          <w:spacing w:val="-3"/>
          <w:szCs w:val="24"/>
        </w:rPr>
        <w:t xml:space="preserve"> </w:t>
      </w:r>
      <w:r w:rsidR="00BC64F4" w:rsidRPr="00400540">
        <w:rPr>
          <w:szCs w:val="24"/>
        </w:rPr>
        <w:t>is</w:t>
      </w:r>
      <w:r w:rsidR="00BC64F4" w:rsidRPr="00400540">
        <w:rPr>
          <w:spacing w:val="-3"/>
          <w:szCs w:val="24"/>
        </w:rPr>
        <w:t xml:space="preserve"> </w:t>
      </w:r>
      <w:r w:rsidR="00BC64F4" w:rsidRPr="00400540">
        <w:rPr>
          <w:szCs w:val="24"/>
        </w:rPr>
        <w:t>provided</w:t>
      </w:r>
      <w:r w:rsidR="00BC64F4" w:rsidRPr="00400540">
        <w:rPr>
          <w:spacing w:val="-3"/>
          <w:szCs w:val="24"/>
        </w:rPr>
        <w:t xml:space="preserve"> </w:t>
      </w:r>
      <w:r w:rsidR="00BC64F4" w:rsidRPr="00400540">
        <w:rPr>
          <w:szCs w:val="24"/>
        </w:rPr>
        <w:t>to</w:t>
      </w:r>
      <w:r w:rsidR="00BC64F4" w:rsidRPr="00400540">
        <w:rPr>
          <w:spacing w:val="-3"/>
          <w:szCs w:val="24"/>
        </w:rPr>
        <w:t xml:space="preserve"> </w:t>
      </w:r>
      <w:r w:rsidR="00BC64F4" w:rsidRPr="00400540">
        <w:rPr>
          <w:szCs w:val="24"/>
        </w:rPr>
        <w:t>both</w:t>
      </w:r>
      <w:r w:rsidR="00BC64F4" w:rsidRPr="00400540">
        <w:rPr>
          <w:spacing w:val="-5"/>
          <w:szCs w:val="24"/>
        </w:rPr>
        <w:t xml:space="preserve"> </w:t>
      </w:r>
      <w:r w:rsidR="00BC64F4" w:rsidRPr="00400540">
        <w:rPr>
          <w:szCs w:val="24"/>
        </w:rPr>
        <w:t>as</w:t>
      </w:r>
      <w:r w:rsidR="00BC64F4" w:rsidRPr="00400540">
        <w:rPr>
          <w:spacing w:val="-3"/>
          <w:szCs w:val="24"/>
        </w:rPr>
        <w:t xml:space="preserve"> </w:t>
      </w:r>
      <w:r w:rsidR="00BC64F4" w:rsidRPr="00400540">
        <w:rPr>
          <w:szCs w:val="24"/>
        </w:rPr>
        <w:t>party</w:t>
      </w:r>
      <w:r w:rsidR="00BC64F4" w:rsidRPr="00400540">
        <w:rPr>
          <w:spacing w:val="-3"/>
          <w:szCs w:val="24"/>
        </w:rPr>
        <w:t xml:space="preserve"> </w:t>
      </w:r>
      <w:r w:rsidR="00BC64F4" w:rsidRPr="00400540">
        <w:rPr>
          <w:szCs w:val="24"/>
        </w:rPr>
        <w:t xml:space="preserve">principals.  Claims brought by </w:t>
      </w:r>
      <w:r w:rsidR="00BC64F4" w:rsidRPr="005E0425">
        <w:rPr>
          <w:szCs w:val="24"/>
        </w:rPr>
        <w:t>either</w:t>
      </w:r>
      <w:r w:rsidR="00BC64F4">
        <w:rPr>
          <w:szCs w:val="24"/>
        </w:rPr>
        <w:t xml:space="preserve"> </w:t>
      </w:r>
      <w:r w:rsidR="00BC64F4" w:rsidRPr="00400540">
        <w:rPr>
          <w:szCs w:val="24"/>
        </w:rPr>
        <w:t>of</w:t>
      </w:r>
      <w:r w:rsidR="00BC64F4" w:rsidRPr="00400540">
        <w:rPr>
          <w:spacing w:val="-1"/>
          <w:szCs w:val="24"/>
        </w:rPr>
        <w:t xml:space="preserve"> </w:t>
      </w:r>
      <w:r w:rsidR="00BC64F4" w:rsidRPr="00400540">
        <w:rPr>
          <w:szCs w:val="24"/>
        </w:rPr>
        <w:t>them</w:t>
      </w:r>
      <w:r w:rsidR="00BC64F4" w:rsidRPr="00400540">
        <w:rPr>
          <w:spacing w:val="-1"/>
          <w:szCs w:val="24"/>
        </w:rPr>
        <w:t xml:space="preserve"> </w:t>
      </w:r>
      <w:r w:rsidR="00BC64F4" w:rsidRPr="00400540">
        <w:rPr>
          <w:szCs w:val="24"/>
        </w:rPr>
        <w:t>under the FW</w:t>
      </w:r>
      <w:r w:rsidR="00BC64F4" w:rsidRPr="00400540">
        <w:rPr>
          <w:spacing w:val="-1"/>
          <w:szCs w:val="24"/>
        </w:rPr>
        <w:t xml:space="preserve"> </w:t>
      </w:r>
      <w:r w:rsidR="00BC64F4" w:rsidRPr="00400540">
        <w:rPr>
          <w:szCs w:val="24"/>
        </w:rPr>
        <w:t xml:space="preserve">Act are </w:t>
      </w:r>
      <w:r w:rsidR="00BC64F4" w:rsidRPr="00CA686F">
        <w:rPr>
          <w:iCs/>
          <w:szCs w:val="24"/>
        </w:rPr>
        <w:t>not</w:t>
      </w:r>
      <w:r w:rsidR="00BC64F4" w:rsidRPr="00400540">
        <w:rPr>
          <w:i/>
          <w:szCs w:val="24"/>
        </w:rPr>
        <w:t xml:space="preserve"> </w:t>
      </w:r>
      <w:r w:rsidR="00BC64F4" w:rsidRPr="00400540">
        <w:rPr>
          <w:szCs w:val="24"/>
        </w:rPr>
        <w:t>brought</w:t>
      </w:r>
      <w:r w:rsidR="00BC64F4" w:rsidRPr="00400540">
        <w:rPr>
          <w:spacing w:val="-1"/>
          <w:szCs w:val="24"/>
        </w:rPr>
        <w:t xml:space="preserve"> </w:t>
      </w:r>
      <w:r w:rsidR="00BC64F4" w:rsidRPr="00400540">
        <w:rPr>
          <w:szCs w:val="24"/>
        </w:rPr>
        <w:t>in a</w:t>
      </w:r>
      <w:r w:rsidR="00BC64F4" w:rsidRPr="00400540">
        <w:rPr>
          <w:spacing w:val="-1"/>
          <w:szCs w:val="24"/>
        </w:rPr>
        <w:t xml:space="preserve"> </w:t>
      </w:r>
      <w:r w:rsidR="00BC64F4" w:rsidRPr="00400540">
        <w:rPr>
          <w:szCs w:val="24"/>
        </w:rPr>
        <w:t>representative</w:t>
      </w:r>
      <w:r w:rsidR="00BC64F4" w:rsidRPr="00400540">
        <w:rPr>
          <w:spacing w:val="-1"/>
          <w:szCs w:val="24"/>
        </w:rPr>
        <w:t xml:space="preserve"> </w:t>
      </w:r>
      <w:r w:rsidR="00BC64F4" w:rsidRPr="00400540">
        <w:rPr>
          <w:szCs w:val="24"/>
        </w:rPr>
        <w:t>capacity</w:t>
      </w:r>
      <w:r w:rsidR="00BC64F4" w:rsidRPr="00400540">
        <w:rPr>
          <w:spacing w:val="-3"/>
          <w:szCs w:val="24"/>
        </w:rPr>
        <w:t xml:space="preserve"> </w:t>
      </w:r>
      <w:r w:rsidR="00BC64F4" w:rsidRPr="00400540">
        <w:rPr>
          <w:szCs w:val="24"/>
        </w:rPr>
        <w:t>and</w:t>
      </w:r>
      <w:r w:rsidR="00BC64F4" w:rsidRPr="00400540">
        <w:rPr>
          <w:spacing w:val="-1"/>
          <w:szCs w:val="24"/>
        </w:rPr>
        <w:t xml:space="preserve"> </w:t>
      </w:r>
      <w:r w:rsidR="00BC64F4" w:rsidRPr="00400540">
        <w:rPr>
          <w:szCs w:val="24"/>
        </w:rPr>
        <w:t>are</w:t>
      </w:r>
      <w:r w:rsidR="00BC64F4" w:rsidRPr="00400540">
        <w:rPr>
          <w:spacing w:val="-2"/>
          <w:szCs w:val="24"/>
        </w:rPr>
        <w:t xml:space="preserve"> </w:t>
      </w:r>
      <w:r w:rsidR="00BC64F4" w:rsidRPr="00400540">
        <w:rPr>
          <w:szCs w:val="24"/>
        </w:rPr>
        <w:t>to</w:t>
      </w:r>
      <w:r w:rsidR="00BC64F4" w:rsidRPr="00400540">
        <w:rPr>
          <w:spacing w:val="-2"/>
          <w:szCs w:val="24"/>
        </w:rPr>
        <w:t xml:space="preserve"> </w:t>
      </w:r>
      <w:r w:rsidR="00BC64F4" w:rsidRPr="00400540">
        <w:rPr>
          <w:szCs w:val="24"/>
        </w:rPr>
        <w:t>be</w:t>
      </w:r>
      <w:r w:rsidR="00BC64F4" w:rsidRPr="00400540">
        <w:rPr>
          <w:spacing w:val="-1"/>
          <w:szCs w:val="24"/>
        </w:rPr>
        <w:t xml:space="preserve"> </w:t>
      </w:r>
      <w:r w:rsidR="00BC64F4" w:rsidRPr="00400540">
        <w:rPr>
          <w:szCs w:val="24"/>
        </w:rPr>
        <w:t>distinguished</w:t>
      </w:r>
      <w:r w:rsidR="00BC64F4" w:rsidRPr="00400540">
        <w:rPr>
          <w:spacing w:val="-1"/>
          <w:szCs w:val="24"/>
        </w:rPr>
        <w:t xml:space="preserve"> </w:t>
      </w:r>
      <w:r w:rsidR="00BC64F4" w:rsidRPr="00400540">
        <w:rPr>
          <w:szCs w:val="24"/>
        </w:rPr>
        <w:t>from</w:t>
      </w:r>
      <w:r w:rsidR="00BC64F4" w:rsidRPr="00400540">
        <w:rPr>
          <w:spacing w:val="-3"/>
          <w:szCs w:val="24"/>
        </w:rPr>
        <w:t xml:space="preserve"> </w:t>
      </w:r>
      <w:r w:rsidR="00BC64F4" w:rsidRPr="00400540">
        <w:rPr>
          <w:szCs w:val="24"/>
        </w:rPr>
        <w:t>proceedings</w:t>
      </w:r>
      <w:r w:rsidR="00BC64F4" w:rsidRPr="00400540">
        <w:rPr>
          <w:spacing w:val="-1"/>
          <w:szCs w:val="24"/>
        </w:rPr>
        <w:t xml:space="preserve"> </w:t>
      </w:r>
      <w:r w:rsidR="00BC64F4" w:rsidRPr="00400540">
        <w:rPr>
          <w:szCs w:val="24"/>
        </w:rPr>
        <w:t>brought</w:t>
      </w:r>
      <w:r w:rsidR="00BC64F4" w:rsidRPr="00400540">
        <w:rPr>
          <w:spacing w:val="-1"/>
          <w:szCs w:val="24"/>
        </w:rPr>
        <w:t xml:space="preserve"> </w:t>
      </w:r>
      <w:r w:rsidR="00BC64F4" w:rsidRPr="00400540">
        <w:rPr>
          <w:szCs w:val="24"/>
        </w:rPr>
        <w:t>under Part IVA</w:t>
      </w:r>
      <w:r w:rsidR="00BC64F4">
        <w:rPr>
          <w:szCs w:val="24"/>
        </w:rPr>
        <w:t xml:space="preserve">.  </w:t>
      </w:r>
      <w:r w:rsidR="00BC64F4" w:rsidRPr="00400540">
        <w:rPr>
          <w:szCs w:val="24"/>
        </w:rPr>
        <w:t>Relevantly, there is no equivalent or analogue to Part IVA in the FW Act.</w:t>
      </w:r>
    </w:p>
    <w:p w14:paraId="4B707060" w14:textId="607868A5" w:rsidR="00BC64F4" w:rsidRPr="00E405A3" w:rsidRDefault="0071710E" w:rsidP="0071710E">
      <w:pPr>
        <w:pStyle w:val="ParaNumbering"/>
        <w:numPr>
          <w:ilvl w:val="0"/>
          <w:numId w:val="0"/>
        </w:numPr>
        <w:tabs>
          <w:tab w:val="left" w:pos="720"/>
        </w:tabs>
        <w:ind w:hanging="720"/>
        <w:rPr>
          <w:szCs w:val="24"/>
        </w:rPr>
      </w:pPr>
      <w:r w:rsidRPr="00E405A3">
        <w:rPr>
          <w:sz w:val="20"/>
          <w:szCs w:val="24"/>
        </w:rPr>
        <w:t>80</w:t>
      </w:r>
      <w:r w:rsidRPr="00E405A3">
        <w:rPr>
          <w:sz w:val="20"/>
          <w:szCs w:val="24"/>
        </w:rPr>
        <w:tab/>
      </w:r>
      <w:r w:rsidR="00BC64F4" w:rsidRPr="00400540">
        <w:rPr>
          <w:szCs w:val="24"/>
        </w:rPr>
        <w:t>F</w:t>
      </w:r>
      <w:r w:rsidR="00BC64F4">
        <w:rPr>
          <w:szCs w:val="24"/>
        </w:rPr>
        <w:t>ourth,</w:t>
      </w:r>
      <w:r w:rsidR="00BC64F4" w:rsidRPr="00400540">
        <w:rPr>
          <w:szCs w:val="24"/>
        </w:rPr>
        <w:t xml:space="preserve"> </w:t>
      </w:r>
      <w:proofErr w:type="gramStart"/>
      <w:r w:rsidR="00BC64F4" w:rsidRPr="00400540">
        <w:rPr>
          <w:szCs w:val="24"/>
        </w:rPr>
        <w:t>a number of</w:t>
      </w:r>
      <w:proofErr w:type="gramEnd"/>
      <w:r w:rsidR="00BC64F4" w:rsidRPr="00400540">
        <w:rPr>
          <w:szCs w:val="24"/>
        </w:rPr>
        <w:t xml:space="preserve"> representative proceedings under Part IVA were brought to enforce contraventions of predecessor workplace laws in the period between the enactment of Part IVA and</w:t>
      </w:r>
      <w:r w:rsidR="00BC64F4">
        <w:rPr>
          <w:szCs w:val="24"/>
        </w:rPr>
        <w:t xml:space="preserve"> the commencement of the FW Act.  </w:t>
      </w:r>
      <w:r w:rsidR="00BC64F4" w:rsidRPr="00400540">
        <w:t>In</w:t>
      </w:r>
      <w:r w:rsidR="00BC64F4" w:rsidRPr="00E405A3">
        <w:rPr>
          <w:spacing w:val="-2"/>
        </w:rPr>
        <w:t xml:space="preserve"> </w:t>
      </w:r>
      <w:r w:rsidR="00BC64F4" w:rsidRPr="00400540">
        <w:t>the</w:t>
      </w:r>
      <w:r w:rsidR="00BC64F4" w:rsidRPr="00E405A3">
        <w:rPr>
          <w:spacing w:val="-2"/>
        </w:rPr>
        <w:t xml:space="preserve"> </w:t>
      </w:r>
      <w:r w:rsidR="00BC64F4">
        <w:t>many</w:t>
      </w:r>
      <w:r w:rsidR="00BC64F4" w:rsidRPr="00E405A3">
        <w:rPr>
          <w:spacing w:val="-5"/>
        </w:rPr>
        <w:t xml:space="preserve"> </w:t>
      </w:r>
      <w:r w:rsidR="00BC64F4" w:rsidRPr="00400540">
        <w:t>years</w:t>
      </w:r>
      <w:r w:rsidR="00BC64F4" w:rsidRPr="00E405A3">
        <w:rPr>
          <w:spacing w:val="-4"/>
        </w:rPr>
        <w:t xml:space="preserve"> </w:t>
      </w:r>
      <w:r w:rsidR="00BC64F4" w:rsidRPr="00400540">
        <w:t>between</w:t>
      </w:r>
      <w:r w:rsidR="00BC64F4" w:rsidRPr="00E405A3">
        <w:rPr>
          <w:spacing w:val="-2"/>
        </w:rPr>
        <w:t xml:space="preserve"> </w:t>
      </w:r>
      <w:r w:rsidR="00BC64F4" w:rsidRPr="00400540">
        <w:t>the</w:t>
      </w:r>
      <w:r w:rsidR="00BC64F4" w:rsidRPr="00E405A3">
        <w:rPr>
          <w:spacing w:val="-2"/>
        </w:rPr>
        <w:t xml:space="preserve"> </w:t>
      </w:r>
      <w:r w:rsidR="00BC64F4" w:rsidRPr="00400540">
        <w:t>commencement</w:t>
      </w:r>
      <w:r w:rsidR="00BC64F4" w:rsidRPr="00E405A3">
        <w:rPr>
          <w:spacing w:val="-1"/>
        </w:rPr>
        <w:t xml:space="preserve"> </w:t>
      </w:r>
      <w:r w:rsidR="00BC64F4" w:rsidRPr="00400540">
        <w:t>of</w:t>
      </w:r>
      <w:r w:rsidR="00BC64F4" w:rsidRPr="00E405A3">
        <w:rPr>
          <w:spacing w:val="-1"/>
        </w:rPr>
        <w:t xml:space="preserve"> </w:t>
      </w:r>
      <w:r w:rsidR="00BC64F4" w:rsidRPr="00400540">
        <w:t>Part</w:t>
      </w:r>
      <w:r w:rsidR="00BC64F4" w:rsidRPr="00E405A3">
        <w:rPr>
          <w:spacing w:val="-1"/>
        </w:rPr>
        <w:t xml:space="preserve"> </w:t>
      </w:r>
      <w:r w:rsidR="00BC64F4" w:rsidRPr="00400540">
        <w:t>IVA</w:t>
      </w:r>
      <w:r w:rsidR="00BC64F4" w:rsidRPr="00E405A3">
        <w:rPr>
          <w:spacing w:val="-3"/>
        </w:rPr>
        <w:t xml:space="preserve"> </w:t>
      </w:r>
      <w:r w:rsidR="00BC64F4" w:rsidRPr="00400540">
        <w:t>and</w:t>
      </w:r>
      <w:r w:rsidR="00BC64F4" w:rsidRPr="00E405A3">
        <w:rPr>
          <w:spacing w:val="-2"/>
        </w:rPr>
        <w:t xml:space="preserve"> </w:t>
      </w:r>
      <w:r w:rsidR="00BC64F4" w:rsidRPr="00400540">
        <w:t>the</w:t>
      </w:r>
      <w:r w:rsidR="00BC64F4" w:rsidRPr="00E405A3">
        <w:rPr>
          <w:spacing w:val="-2"/>
        </w:rPr>
        <w:t xml:space="preserve"> </w:t>
      </w:r>
      <w:r w:rsidR="00BC64F4" w:rsidRPr="00400540">
        <w:t>commencement</w:t>
      </w:r>
      <w:r w:rsidR="00BC64F4" w:rsidRPr="00E405A3">
        <w:rPr>
          <w:spacing w:val="-1"/>
        </w:rPr>
        <w:t xml:space="preserve"> </w:t>
      </w:r>
      <w:r w:rsidR="00BC64F4" w:rsidRPr="00400540">
        <w:t>of the FW Act</w:t>
      </w:r>
      <w:r w:rsidR="00BC64F4">
        <w:t xml:space="preserve">, more than 30 class </w:t>
      </w:r>
      <w:r w:rsidR="00BC64F4" w:rsidRPr="00400540">
        <w:t xml:space="preserve">actions </w:t>
      </w:r>
      <w:r w:rsidR="00BC64F4">
        <w:t xml:space="preserve">concerning subject matter arising under the WR Act </w:t>
      </w:r>
      <w:r w:rsidR="00BC64F4" w:rsidRPr="00400540">
        <w:t>were commenced</w:t>
      </w:r>
      <w:r w:rsidR="00BC64F4" w:rsidRPr="00E405A3">
        <w:rPr>
          <w:spacing w:val="-2"/>
        </w:rPr>
        <w:t xml:space="preserve"> </w:t>
      </w:r>
      <w:r w:rsidR="00BC64F4" w:rsidRPr="00400540">
        <w:t>(Meagher</w:t>
      </w:r>
      <w:r w:rsidR="00BC64F4" w:rsidRPr="00E405A3">
        <w:rPr>
          <w:spacing w:val="-2"/>
        </w:rPr>
        <w:t xml:space="preserve"> </w:t>
      </w:r>
      <w:r w:rsidR="00BC64F4" w:rsidRPr="00400540">
        <w:t>L,</w:t>
      </w:r>
      <w:r w:rsidR="00BC64F4" w:rsidRPr="00E405A3">
        <w:rPr>
          <w:spacing w:val="-5"/>
        </w:rPr>
        <w:t xml:space="preserve"> </w:t>
      </w:r>
      <w:r w:rsidR="00BC64F4" w:rsidRPr="00E405A3">
        <w:rPr>
          <w:i/>
          <w:iCs/>
        </w:rPr>
        <w:t>Employment</w:t>
      </w:r>
      <w:r w:rsidR="00BC64F4" w:rsidRPr="00E405A3">
        <w:rPr>
          <w:i/>
          <w:iCs/>
          <w:spacing w:val="-1"/>
        </w:rPr>
        <w:t xml:space="preserve"> </w:t>
      </w:r>
      <w:r w:rsidR="00BC64F4" w:rsidRPr="00E405A3">
        <w:rPr>
          <w:i/>
          <w:iCs/>
        </w:rPr>
        <w:t>Class</w:t>
      </w:r>
      <w:r w:rsidR="00BC64F4" w:rsidRPr="00E405A3">
        <w:rPr>
          <w:i/>
          <w:iCs/>
          <w:spacing w:val="-2"/>
        </w:rPr>
        <w:t xml:space="preserve"> </w:t>
      </w:r>
      <w:r w:rsidR="00BC64F4" w:rsidRPr="00E405A3">
        <w:rPr>
          <w:i/>
          <w:iCs/>
        </w:rPr>
        <w:t>Actions:</w:t>
      </w:r>
      <w:r w:rsidR="00BC64F4" w:rsidRPr="00E405A3">
        <w:rPr>
          <w:i/>
          <w:iCs/>
          <w:spacing w:val="-1"/>
        </w:rPr>
        <w:t xml:space="preserve"> </w:t>
      </w:r>
      <w:r w:rsidR="00BC64F4" w:rsidRPr="00E405A3">
        <w:rPr>
          <w:i/>
          <w:iCs/>
        </w:rPr>
        <w:t>Past</w:t>
      </w:r>
      <w:r w:rsidR="00BC64F4" w:rsidRPr="00E405A3">
        <w:rPr>
          <w:i/>
          <w:iCs/>
          <w:spacing w:val="-1"/>
        </w:rPr>
        <w:t xml:space="preserve"> </w:t>
      </w:r>
      <w:r w:rsidR="00BC64F4" w:rsidRPr="00E405A3">
        <w:rPr>
          <w:i/>
          <w:iCs/>
        </w:rPr>
        <w:t>Use</w:t>
      </w:r>
      <w:r w:rsidR="00BC64F4" w:rsidRPr="00E405A3">
        <w:rPr>
          <w:i/>
          <w:iCs/>
          <w:spacing w:val="-2"/>
        </w:rPr>
        <w:t xml:space="preserve"> </w:t>
      </w:r>
      <w:r w:rsidR="00BC64F4" w:rsidRPr="00E405A3">
        <w:rPr>
          <w:i/>
          <w:iCs/>
        </w:rPr>
        <w:t>and</w:t>
      </w:r>
      <w:r w:rsidR="00BC64F4" w:rsidRPr="00E405A3">
        <w:rPr>
          <w:i/>
          <w:iCs/>
          <w:spacing w:val="-2"/>
        </w:rPr>
        <w:t xml:space="preserve"> </w:t>
      </w:r>
      <w:r w:rsidR="00BC64F4" w:rsidRPr="00E405A3">
        <w:rPr>
          <w:i/>
          <w:iCs/>
        </w:rPr>
        <w:t>Present Utility</w:t>
      </w:r>
      <w:r w:rsidR="00BC64F4" w:rsidRPr="00400540">
        <w:t xml:space="preserve">, </w:t>
      </w:r>
      <w:r w:rsidR="00BC64F4">
        <w:t xml:space="preserve">[2022] No 4 </w:t>
      </w:r>
      <w:r w:rsidR="00BC64F4" w:rsidRPr="00E405A3">
        <w:rPr>
          <w:i/>
        </w:rPr>
        <w:t>UNSW Law Journal Forum</w:t>
      </w:r>
      <w:r w:rsidR="00BC64F4" w:rsidRPr="00400540">
        <w:t xml:space="preserve"> p 6).  </w:t>
      </w:r>
      <w:r w:rsidR="00BC64F4">
        <w:t xml:space="preserve">Some were the subject of published decisions. </w:t>
      </w:r>
    </w:p>
    <w:p w14:paraId="3393FCF9" w14:textId="003731A6" w:rsidR="00BC64F4" w:rsidRPr="00400540" w:rsidRDefault="0071710E" w:rsidP="0071710E">
      <w:pPr>
        <w:pStyle w:val="ParaNumbering"/>
        <w:numPr>
          <w:ilvl w:val="0"/>
          <w:numId w:val="0"/>
        </w:numPr>
        <w:tabs>
          <w:tab w:val="left" w:pos="720"/>
        </w:tabs>
        <w:ind w:hanging="720"/>
        <w:rPr>
          <w:szCs w:val="24"/>
        </w:rPr>
      </w:pPr>
      <w:r w:rsidRPr="00400540">
        <w:rPr>
          <w:sz w:val="20"/>
          <w:szCs w:val="24"/>
        </w:rPr>
        <w:t>81</w:t>
      </w:r>
      <w:r w:rsidRPr="00400540">
        <w:rPr>
          <w:sz w:val="20"/>
          <w:szCs w:val="24"/>
        </w:rPr>
        <w:tab/>
      </w:r>
      <w:r w:rsidR="00BC64F4" w:rsidRPr="00400540">
        <w:rPr>
          <w:szCs w:val="24"/>
        </w:rPr>
        <w:t>The legislature may be taken to have been aware of these decisions</w:t>
      </w:r>
      <w:r w:rsidR="00BC64F4">
        <w:rPr>
          <w:szCs w:val="24"/>
        </w:rPr>
        <w:t>.  I</w:t>
      </w:r>
      <w:r w:rsidR="00BC64F4" w:rsidRPr="00400540">
        <w:rPr>
          <w:szCs w:val="24"/>
        </w:rPr>
        <w:t>n that context</w:t>
      </w:r>
      <w:r w:rsidR="00BC64F4">
        <w:rPr>
          <w:szCs w:val="24"/>
        </w:rPr>
        <w:t>,</w:t>
      </w:r>
      <w:r w:rsidR="00BC64F4" w:rsidRPr="00400540">
        <w:rPr>
          <w:szCs w:val="24"/>
        </w:rPr>
        <w:t xml:space="preserve"> its decision to omit any express exclusion of Part IVA proceedings </w:t>
      </w:r>
      <w:r w:rsidR="00BC64F4">
        <w:rPr>
          <w:szCs w:val="24"/>
        </w:rPr>
        <w:t>in the FW Act is significant.</w:t>
      </w:r>
    </w:p>
    <w:p w14:paraId="4F5CBE17" w14:textId="3A7045EC" w:rsidR="00BC64F4" w:rsidRDefault="0071710E" w:rsidP="0071710E">
      <w:pPr>
        <w:pStyle w:val="ParaNumbering"/>
        <w:numPr>
          <w:ilvl w:val="0"/>
          <w:numId w:val="0"/>
        </w:numPr>
        <w:tabs>
          <w:tab w:val="left" w:pos="720"/>
        </w:tabs>
        <w:ind w:hanging="720"/>
        <w:rPr>
          <w:szCs w:val="24"/>
        </w:rPr>
      </w:pPr>
      <w:r>
        <w:rPr>
          <w:sz w:val="20"/>
          <w:szCs w:val="24"/>
        </w:rPr>
        <w:t>82</w:t>
      </w:r>
      <w:r>
        <w:rPr>
          <w:sz w:val="20"/>
          <w:szCs w:val="24"/>
        </w:rPr>
        <w:tab/>
      </w:r>
      <w:r w:rsidR="00BC64F4">
        <w:rPr>
          <w:szCs w:val="24"/>
        </w:rPr>
        <w:t xml:space="preserve">In </w:t>
      </w:r>
      <w:r w:rsidR="00BC64F4" w:rsidRPr="00400540">
        <w:rPr>
          <w:i/>
          <w:szCs w:val="24"/>
        </w:rPr>
        <w:t xml:space="preserve">Electrolux Home Products Pty Ltd v Australian Workers' Union </w:t>
      </w:r>
      <w:r w:rsidR="00BC64F4" w:rsidRPr="00400540">
        <w:rPr>
          <w:szCs w:val="24"/>
        </w:rPr>
        <w:t>(2004) 221 CLR 309</w:t>
      </w:r>
      <w:r w:rsidR="00BC64F4">
        <w:rPr>
          <w:szCs w:val="24"/>
        </w:rPr>
        <w:t>,</w:t>
      </w:r>
      <w:r w:rsidR="00BC64F4" w:rsidRPr="00400540">
        <w:rPr>
          <w:szCs w:val="24"/>
        </w:rPr>
        <w:t xml:space="preserve"> McHugh J</w:t>
      </w:r>
      <w:r w:rsidR="00BC64F4">
        <w:rPr>
          <w:szCs w:val="24"/>
        </w:rPr>
        <w:t xml:space="preserve"> at [81] said: </w:t>
      </w:r>
    </w:p>
    <w:p w14:paraId="33F545D5" w14:textId="77777777" w:rsidR="00BC64F4" w:rsidRDefault="00BC64F4" w:rsidP="00BC64F4">
      <w:pPr>
        <w:pStyle w:val="Quote1"/>
      </w:pPr>
      <w:r w:rsidRPr="0086005C">
        <w:t xml:space="preserve">Nothing in the Act suggests that this approach is no longer applicable. The Act still defines “industrial dispute” in s 4(1) as a dispute “about matters pertaining to the relationship between employers and employees”. Division 3 agreements operate in respect of “industrial disputes” (see, </w:t>
      </w:r>
      <w:proofErr w:type="spellStart"/>
      <w:r w:rsidRPr="0086005C">
        <w:t>eg</w:t>
      </w:r>
      <w:proofErr w:type="spellEnd"/>
      <w:r w:rsidRPr="0086005C">
        <w:t>, s 170LN). These provisions give rise to the inference that Div 2 and Div 3 agreements have a common element, namely, that for such an agreement to be certifiable, it must be about matters pertaining to the requisite relationship or to “the relationship between employers and employees”</w:t>
      </w:r>
      <w:r>
        <w:t xml:space="preserve"> </w:t>
      </w:r>
      <w:r w:rsidRPr="0086005C">
        <w:rPr>
          <w:i/>
          <w:iCs/>
        </w:rPr>
        <w:t>in their capacity as such</w:t>
      </w:r>
      <w:r w:rsidRPr="0086005C">
        <w:t xml:space="preserve">. Because the Federal Parliament enacted the Act two years after the </w:t>
      </w:r>
      <w:r w:rsidRPr="0086005C">
        <w:rPr>
          <w:i/>
        </w:rPr>
        <w:t>Re Alcan</w:t>
      </w:r>
      <w:r w:rsidRPr="0086005C">
        <w:t xml:space="preserve"> decision, the drafters of the Act almost certainly knew of the decision and the interpretation applied by this Court to the expression “about matters pertaining to the relationship between employers and employees”. The principle that the re-enactment of a rule after judicial consideration is to be regarded as an </w:t>
      </w:r>
      <w:r w:rsidRPr="0086005C">
        <w:rPr>
          <w:i/>
          <w:iCs/>
        </w:rPr>
        <w:t>endorsement</w:t>
      </w:r>
      <w:r w:rsidRPr="0086005C">
        <w:t> of its judicial interpretation has been criticised, and the principle may not apply to provisions re-enact</w:t>
      </w:r>
      <w:r>
        <w:t>ed in “replacement” legislation</w:t>
      </w:r>
      <w:r w:rsidRPr="0086005C">
        <w:t xml:space="preserve">. However, industrial relations </w:t>
      </w:r>
      <w:proofErr w:type="gramStart"/>
      <w:r w:rsidRPr="0086005C">
        <w:t>is</w:t>
      </w:r>
      <w:proofErr w:type="gramEnd"/>
      <w:r w:rsidRPr="0086005C">
        <w:t xml:space="preserve"> a specialised and politically sensitive field with a designated Minister and Department of State. It is no fiction to attribute to the Minister and his or her </w:t>
      </w:r>
      <w:proofErr w:type="gramStart"/>
      <w:r w:rsidRPr="0086005C">
        <w:t>Department</w:t>
      </w:r>
      <w:proofErr w:type="gramEnd"/>
      <w:r w:rsidRPr="0086005C">
        <w:t xml:space="preserve"> and, through them, the Parliament, knowledge of court decisions — or at all events decisions of this Court — dealing with that portfolio. Indeed, it would be astonishing if the Department, its </w:t>
      </w:r>
      <w:proofErr w:type="gramStart"/>
      <w:r w:rsidRPr="0086005C">
        <w:t>officers</w:t>
      </w:r>
      <w:proofErr w:type="gramEnd"/>
      <w:r w:rsidRPr="0086005C">
        <w:t xml:space="preserve"> and those advising on the drafting of the Act would have been unaware of </w:t>
      </w:r>
      <w:r w:rsidRPr="0086005C">
        <w:rPr>
          <w:i/>
        </w:rPr>
        <w:t>Re Alcan</w:t>
      </w:r>
      <w:r w:rsidRPr="0086005C">
        <w:t>.</w:t>
      </w:r>
    </w:p>
    <w:p w14:paraId="6384CF2C" w14:textId="77777777" w:rsidR="00BC64F4" w:rsidRDefault="00BC64F4" w:rsidP="00BC64F4">
      <w:pPr>
        <w:pStyle w:val="Quote1"/>
      </w:pPr>
      <w:r>
        <w:t>(</w:t>
      </w:r>
      <w:proofErr w:type="gramStart"/>
      <w:r>
        <w:t>emphasis</w:t>
      </w:r>
      <w:proofErr w:type="gramEnd"/>
      <w:r>
        <w:t xml:space="preserve"> in original, footnote omitted). </w:t>
      </w:r>
    </w:p>
    <w:p w14:paraId="790CC02B" w14:textId="79793842" w:rsidR="00BC64F4" w:rsidRPr="00400540" w:rsidRDefault="0071710E" w:rsidP="0071710E">
      <w:pPr>
        <w:pStyle w:val="ParaNumbering"/>
        <w:numPr>
          <w:ilvl w:val="0"/>
          <w:numId w:val="0"/>
        </w:numPr>
        <w:tabs>
          <w:tab w:val="left" w:pos="720"/>
        </w:tabs>
        <w:ind w:hanging="720"/>
        <w:rPr>
          <w:szCs w:val="24"/>
        </w:rPr>
      </w:pPr>
      <w:r w:rsidRPr="00400540">
        <w:rPr>
          <w:sz w:val="20"/>
          <w:szCs w:val="24"/>
        </w:rPr>
        <w:t>83</w:t>
      </w:r>
      <w:r w:rsidRPr="00400540">
        <w:rPr>
          <w:sz w:val="20"/>
          <w:szCs w:val="24"/>
        </w:rPr>
        <w:tab/>
      </w:r>
      <w:r w:rsidR="00BC64F4" w:rsidRPr="00400540">
        <w:rPr>
          <w:szCs w:val="24"/>
        </w:rPr>
        <w:t xml:space="preserve">Nothing in the text of the FW Act or in </w:t>
      </w:r>
      <w:r w:rsidR="00BC64F4">
        <w:rPr>
          <w:szCs w:val="24"/>
        </w:rPr>
        <w:t xml:space="preserve">relevant </w:t>
      </w:r>
      <w:r w:rsidR="00BC64F4" w:rsidRPr="00400540">
        <w:rPr>
          <w:szCs w:val="24"/>
        </w:rPr>
        <w:t xml:space="preserve">extrinsic material suggests that </w:t>
      </w:r>
      <w:r w:rsidR="00BC64F4">
        <w:rPr>
          <w:szCs w:val="24"/>
        </w:rPr>
        <w:t xml:space="preserve">the legislature </w:t>
      </w:r>
      <w:r w:rsidR="00BC64F4" w:rsidRPr="00400540">
        <w:rPr>
          <w:szCs w:val="24"/>
        </w:rPr>
        <w:t>sought to change that existing practice.</w:t>
      </w:r>
    </w:p>
    <w:p w14:paraId="7935351E" w14:textId="404D8878" w:rsidR="00BC64F4" w:rsidRPr="00E405A3" w:rsidRDefault="0071710E" w:rsidP="0071710E">
      <w:pPr>
        <w:pStyle w:val="ParaNumbering"/>
        <w:numPr>
          <w:ilvl w:val="0"/>
          <w:numId w:val="0"/>
        </w:numPr>
        <w:tabs>
          <w:tab w:val="left" w:pos="720"/>
        </w:tabs>
        <w:ind w:hanging="720"/>
        <w:rPr>
          <w:szCs w:val="24"/>
        </w:rPr>
      </w:pPr>
      <w:r w:rsidRPr="00E405A3">
        <w:rPr>
          <w:sz w:val="20"/>
          <w:szCs w:val="24"/>
        </w:rPr>
        <w:t>84</w:t>
      </w:r>
      <w:r w:rsidRPr="00E405A3">
        <w:rPr>
          <w:sz w:val="20"/>
          <w:szCs w:val="24"/>
        </w:rPr>
        <w:tab/>
      </w:r>
      <w:r w:rsidR="00BC64F4">
        <w:rPr>
          <w:szCs w:val="24"/>
        </w:rPr>
        <w:t xml:space="preserve">Fifth, although the explanatory memorandum stated (at [2120]) </w:t>
      </w:r>
      <w:r w:rsidR="00BC64F4" w:rsidRPr="00400540">
        <w:rPr>
          <w:szCs w:val="24"/>
        </w:rPr>
        <w:t>that “</w:t>
      </w:r>
      <w:r w:rsidR="00BC64F4" w:rsidRPr="005065B9">
        <w:rPr>
          <w:szCs w:val="24"/>
        </w:rPr>
        <w:t>Part 4-1 establishes a single compliance framework for the</w:t>
      </w:r>
      <w:r w:rsidR="00BC64F4" w:rsidRPr="005065B9">
        <w:rPr>
          <w:spacing w:val="-2"/>
          <w:szCs w:val="24"/>
        </w:rPr>
        <w:t xml:space="preserve"> </w:t>
      </w:r>
      <w:r w:rsidR="00BC64F4" w:rsidRPr="005065B9">
        <w:rPr>
          <w:szCs w:val="24"/>
        </w:rPr>
        <w:t>new</w:t>
      </w:r>
      <w:r w:rsidR="00BC64F4" w:rsidRPr="005065B9">
        <w:rPr>
          <w:spacing w:val="-3"/>
          <w:szCs w:val="24"/>
        </w:rPr>
        <w:t xml:space="preserve"> </w:t>
      </w:r>
      <w:r w:rsidR="00BC64F4" w:rsidRPr="005065B9">
        <w:rPr>
          <w:szCs w:val="24"/>
        </w:rPr>
        <w:t>workplace</w:t>
      </w:r>
      <w:r w:rsidR="00BC64F4" w:rsidRPr="005065B9">
        <w:rPr>
          <w:spacing w:val="-2"/>
          <w:szCs w:val="24"/>
        </w:rPr>
        <w:t xml:space="preserve"> </w:t>
      </w:r>
      <w:r w:rsidR="00BC64F4" w:rsidRPr="005065B9">
        <w:rPr>
          <w:szCs w:val="24"/>
        </w:rPr>
        <w:t>relations</w:t>
      </w:r>
      <w:r w:rsidR="00BC64F4" w:rsidRPr="005065B9">
        <w:rPr>
          <w:spacing w:val="-2"/>
          <w:szCs w:val="24"/>
        </w:rPr>
        <w:t xml:space="preserve"> </w:t>
      </w:r>
      <w:r w:rsidR="00BC64F4" w:rsidRPr="005065B9">
        <w:rPr>
          <w:szCs w:val="24"/>
        </w:rPr>
        <w:t>system</w:t>
      </w:r>
      <w:r w:rsidR="00BC64F4" w:rsidRPr="00400540">
        <w:rPr>
          <w:szCs w:val="24"/>
        </w:rPr>
        <w:t>”</w:t>
      </w:r>
      <w:r w:rsidR="00BC64F4">
        <w:rPr>
          <w:szCs w:val="24"/>
        </w:rPr>
        <w:t>,</w:t>
      </w:r>
      <w:r w:rsidR="00BC64F4" w:rsidRPr="00400540">
        <w:rPr>
          <w:spacing w:val="-1"/>
          <w:szCs w:val="24"/>
        </w:rPr>
        <w:t xml:space="preserve"> </w:t>
      </w:r>
      <w:r w:rsidR="00BC64F4">
        <w:rPr>
          <w:spacing w:val="-1"/>
          <w:szCs w:val="24"/>
        </w:rPr>
        <w:t xml:space="preserve">the </w:t>
      </w:r>
      <w:r w:rsidR="00BC64F4">
        <w:rPr>
          <w:szCs w:val="24"/>
        </w:rPr>
        <w:t>explanatory memorandum</w:t>
      </w:r>
      <w:r w:rsidR="00BC64F4" w:rsidRPr="00400540">
        <w:rPr>
          <w:szCs w:val="24"/>
        </w:rPr>
        <w:t xml:space="preserve"> is here referring to the consolidation of</w:t>
      </w:r>
      <w:r w:rsidR="00BC64F4" w:rsidRPr="00400540">
        <w:rPr>
          <w:spacing w:val="40"/>
          <w:szCs w:val="24"/>
        </w:rPr>
        <w:t xml:space="preserve"> </w:t>
      </w:r>
      <w:r w:rsidR="00BC64F4" w:rsidRPr="00400540">
        <w:rPr>
          <w:szCs w:val="24"/>
        </w:rPr>
        <w:t xml:space="preserve">the </w:t>
      </w:r>
      <w:r w:rsidR="00BC64F4" w:rsidRPr="005065B9">
        <w:rPr>
          <w:szCs w:val="24"/>
        </w:rPr>
        <w:t>miscellany of standing provisions</w:t>
      </w:r>
      <w:r w:rsidR="00BC64F4" w:rsidRPr="00400540">
        <w:rPr>
          <w:szCs w:val="24"/>
        </w:rPr>
        <w:t xml:space="preserve"> into one place. </w:t>
      </w:r>
      <w:r w:rsidR="00BC64F4">
        <w:rPr>
          <w:szCs w:val="24"/>
        </w:rPr>
        <w:t xml:space="preserve"> So, although </w:t>
      </w:r>
      <w:r w:rsidR="00BC64F4" w:rsidRPr="00400540">
        <w:rPr>
          <w:szCs w:val="24"/>
        </w:rPr>
        <w:t>the stan</w:t>
      </w:r>
      <w:r w:rsidR="00BC64F4">
        <w:rPr>
          <w:szCs w:val="24"/>
        </w:rPr>
        <w:t>ding and compliance provisions had been</w:t>
      </w:r>
      <w:r w:rsidR="00BC64F4" w:rsidRPr="00400540">
        <w:rPr>
          <w:szCs w:val="24"/>
        </w:rPr>
        <w:t xml:space="preserve"> scattered throughout the predecessor legislation, the FW Act integrated them into ss 539 and 540.</w:t>
      </w:r>
      <w:r w:rsidR="00BC64F4">
        <w:rPr>
          <w:szCs w:val="24"/>
        </w:rPr>
        <w:t xml:space="preserve">  </w:t>
      </w:r>
      <w:r w:rsidR="00BC64F4" w:rsidRPr="00E405A3">
        <w:rPr>
          <w:szCs w:val="24"/>
        </w:rPr>
        <w:t xml:space="preserve">So, the explanatory memorandum (at [2121]) said: </w:t>
      </w:r>
    </w:p>
    <w:p w14:paraId="0943B7B6" w14:textId="77777777" w:rsidR="00BC64F4" w:rsidRDefault="00BC64F4" w:rsidP="00BC64F4">
      <w:pPr>
        <w:pStyle w:val="Quote1"/>
      </w:pPr>
      <w:r w:rsidRPr="005065B9">
        <w:t xml:space="preserve">having a single compliance framework ensures consistency across the Bill in terms of when </w:t>
      </w:r>
      <w:proofErr w:type="gramStart"/>
      <w:r w:rsidRPr="005065B9">
        <w:t>particular persons</w:t>
      </w:r>
      <w:proofErr w:type="gramEnd"/>
      <w:r w:rsidRPr="005065B9">
        <w:t xml:space="preserve"> can apply for orders and the types of orders that the courts can make</w:t>
      </w:r>
      <w:r w:rsidRPr="00400540">
        <w:t xml:space="preserve">. </w:t>
      </w:r>
      <w:r>
        <w:t xml:space="preserve"> </w:t>
      </w:r>
    </w:p>
    <w:p w14:paraId="05EB85AE" w14:textId="2AB6C26D" w:rsidR="00BC64F4" w:rsidRDefault="0071710E" w:rsidP="0071710E">
      <w:pPr>
        <w:pStyle w:val="ParaNumbering"/>
        <w:numPr>
          <w:ilvl w:val="0"/>
          <w:numId w:val="0"/>
        </w:numPr>
        <w:tabs>
          <w:tab w:val="left" w:pos="720"/>
        </w:tabs>
        <w:ind w:hanging="720"/>
        <w:rPr>
          <w:szCs w:val="24"/>
        </w:rPr>
      </w:pPr>
      <w:r>
        <w:rPr>
          <w:sz w:val="20"/>
          <w:szCs w:val="24"/>
        </w:rPr>
        <w:t>85</w:t>
      </w:r>
      <w:r>
        <w:rPr>
          <w:sz w:val="20"/>
          <w:szCs w:val="24"/>
        </w:rPr>
        <w:tab/>
      </w:r>
      <w:r w:rsidR="00BC64F4" w:rsidRPr="00400540">
        <w:rPr>
          <w:szCs w:val="24"/>
        </w:rPr>
        <w:t>The reference to</w:t>
      </w:r>
      <w:r w:rsidR="00BC64F4" w:rsidRPr="00400540">
        <w:rPr>
          <w:spacing w:val="-1"/>
          <w:szCs w:val="24"/>
        </w:rPr>
        <w:t xml:space="preserve"> </w:t>
      </w:r>
      <w:r w:rsidR="00BC64F4" w:rsidRPr="00400540">
        <w:rPr>
          <w:szCs w:val="24"/>
        </w:rPr>
        <w:t>a</w:t>
      </w:r>
      <w:r w:rsidR="00BC64F4" w:rsidRPr="00400540">
        <w:rPr>
          <w:spacing w:val="-3"/>
          <w:szCs w:val="24"/>
        </w:rPr>
        <w:t xml:space="preserve"> </w:t>
      </w:r>
      <w:r w:rsidR="00BC64F4" w:rsidRPr="00400540">
        <w:rPr>
          <w:szCs w:val="24"/>
        </w:rPr>
        <w:t>single</w:t>
      </w:r>
      <w:r w:rsidR="00BC64F4" w:rsidRPr="00400540">
        <w:rPr>
          <w:spacing w:val="-3"/>
          <w:szCs w:val="24"/>
        </w:rPr>
        <w:t xml:space="preserve"> </w:t>
      </w:r>
      <w:r w:rsidR="00BC64F4" w:rsidRPr="00400540">
        <w:rPr>
          <w:szCs w:val="24"/>
        </w:rPr>
        <w:t>compliance</w:t>
      </w:r>
      <w:r w:rsidR="00BC64F4" w:rsidRPr="00400540">
        <w:rPr>
          <w:spacing w:val="-1"/>
          <w:szCs w:val="24"/>
        </w:rPr>
        <w:t xml:space="preserve"> </w:t>
      </w:r>
      <w:r w:rsidR="00BC64F4" w:rsidRPr="00400540">
        <w:rPr>
          <w:szCs w:val="24"/>
        </w:rPr>
        <w:t>scheme</w:t>
      </w:r>
      <w:r w:rsidR="00BC64F4" w:rsidRPr="00400540">
        <w:rPr>
          <w:spacing w:val="-3"/>
          <w:szCs w:val="24"/>
        </w:rPr>
        <w:t xml:space="preserve"> </w:t>
      </w:r>
      <w:r w:rsidR="00BC64F4" w:rsidRPr="00400540">
        <w:rPr>
          <w:szCs w:val="24"/>
        </w:rPr>
        <w:t>is</w:t>
      </w:r>
      <w:r w:rsidR="00BC64F4" w:rsidRPr="00400540">
        <w:rPr>
          <w:spacing w:val="-3"/>
          <w:szCs w:val="24"/>
        </w:rPr>
        <w:t xml:space="preserve"> </w:t>
      </w:r>
      <w:r w:rsidR="00BC64F4" w:rsidRPr="00400540">
        <w:rPr>
          <w:szCs w:val="24"/>
        </w:rPr>
        <w:t>not</w:t>
      </w:r>
      <w:r w:rsidR="00BC64F4" w:rsidRPr="00400540">
        <w:rPr>
          <w:spacing w:val="-3"/>
          <w:szCs w:val="24"/>
        </w:rPr>
        <w:t xml:space="preserve"> </w:t>
      </w:r>
      <w:r w:rsidR="00BC64F4" w:rsidRPr="00400540">
        <w:rPr>
          <w:szCs w:val="24"/>
        </w:rPr>
        <w:t>a</w:t>
      </w:r>
      <w:r w:rsidR="00BC64F4" w:rsidRPr="00400540">
        <w:rPr>
          <w:spacing w:val="-1"/>
          <w:szCs w:val="24"/>
        </w:rPr>
        <w:t xml:space="preserve"> </w:t>
      </w:r>
      <w:r w:rsidR="00BC64F4" w:rsidRPr="00400540">
        <w:rPr>
          <w:szCs w:val="24"/>
        </w:rPr>
        <w:t>reference</w:t>
      </w:r>
      <w:r w:rsidR="00BC64F4" w:rsidRPr="00400540">
        <w:rPr>
          <w:spacing w:val="-3"/>
          <w:szCs w:val="24"/>
        </w:rPr>
        <w:t xml:space="preserve"> </w:t>
      </w:r>
      <w:r w:rsidR="00BC64F4" w:rsidRPr="00400540">
        <w:rPr>
          <w:szCs w:val="24"/>
        </w:rPr>
        <w:t>to</w:t>
      </w:r>
      <w:r w:rsidR="00BC64F4" w:rsidRPr="00400540">
        <w:rPr>
          <w:spacing w:val="-1"/>
          <w:szCs w:val="24"/>
        </w:rPr>
        <w:t xml:space="preserve"> </w:t>
      </w:r>
      <w:r w:rsidR="00BC64F4" w:rsidRPr="00400540">
        <w:rPr>
          <w:szCs w:val="24"/>
        </w:rPr>
        <w:t>an</w:t>
      </w:r>
      <w:r w:rsidR="00BC64F4" w:rsidRPr="00400540">
        <w:rPr>
          <w:spacing w:val="-1"/>
          <w:szCs w:val="24"/>
        </w:rPr>
        <w:t xml:space="preserve"> </w:t>
      </w:r>
      <w:r w:rsidR="00BC64F4" w:rsidRPr="00400540">
        <w:rPr>
          <w:szCs w:val="24"/>
        </w:rPr>
        <w:t>exclusive compliance</w:t>
      </w:r>
      <w:r w:rsidR="00BC64F4" w:rsidRPr="00400540">
        <w:rPr>
          <w:spacing w:val="-1"/>
          <w:szCs w:val="24"/>
        </w:rPr>
        <w:t xml:space="preserve"> </w:t>
      </w:r>
      <w:r w:rsidR="00BC64F4" w:rsidRPr="00400540">
        <w:rPr>
          <w:szCs w:val="24"/>
        </w:rPr>
        <w:t>scheme,</w:t>
      </w:r>
      <w:r w:rsidR="00BC64F4" w:rsidRPr="00400540">
        <w:rPr>
          <w:spacing w:val="-1"/>
          <w:szCs w:val="24"/>
        </w:rPr>
        <w:t xml:space="preserve"> </w:t>
      </w:r>
      <w:r w:rsidR="00BC64F4" w:rsidRPr="00400540">
        <w:rPr>
          <w:szCs w:val="24"/>
        </w:rPr>
        <w:t>in</w:t>
      </w:r>
      <w:r w:rsidR="00BC64F4" w:rsidRPr="00400540">
        <w:rPr>
          <w:spacing w:val="-4"/>
          <w:szCs w:val="24"/>
        </w:rPr>
        <w:t xml:space="preserve"> </w:t>
      </w:r>
      <w:r w:rsidR="00BC64F4" w:rsidRPr="00400540">
        <w:rPr>
          <w:szCs w:val="24"/>
        </w:rPr>
        <w:t xml:space="preserve">the sense that it </w:t>
      </w:r>
      <w:r w:rsidR="00BC64F4">
        <w:rPr>
          <w:szCs w:val="24"/>
        </w:rPr>
        <w:t>indicates</w:t>
      </w:r>
      <w:r w:rsidR="00BC64F4" w:rsidRPr="00400540">
        <w:rPr>
          <w:szCs w:val="24"/>
        </w:rPr>
        <w:t xml:space="preserve"> any intenti</w:t>
      </w:r>
      <w:r w:rsidR="00BC64F4">
        <w:rPr>
          <w:szCs w:val="24"/>
        </w:rPr>
        <w:t>on to exclude another enactment</w:t>
      </w:r>
      <w:r w:rsidR="00BC64F4" w:rsidRPr="00400540">
        <w:rPr>
          <w:szCs w:val="24"/>
        </w:rPr>
        <w:t xml:space="preserve"> </w:t>
      </w:r>
      <w:r w:rsidR="00BC64F4">
        <w:rPr>
          <w:szCs w:val="24"/>
        </w:rPr>
        <w:t>such as</w:t>
      </w:r>
      <w:r w:rsidR="00BC64F4" w:rsidRPr="00400540">
        <w:rPr>
          <w:szCs w:val="24"/>
        </w:rPr>
        <w:t xml:space="preserve"> Part IVA.</w:t>
      </w:r>
    </w:p>
    <w:p w14:paraId="37741F68" w14:textId="7BACAEB1" w:rsidR="00BC64F4" w:rsidRDefault="0071710E" w:rsidP="0071710E">
      <w:pPr>
        <w:pStyle w:val="ParaNumbering"/>
        <w:numPr>
          <w:ilvl w:val="0"/>
          <w:numId w:val="0"/>
        </w:numPr>
        <w:tabs>
          <w:tab w:val="left" w:pos="720"/>
        </w:tabs>
        <w:ind w:hanging="720"/>
        <w:rPr>
          <w:szCs w:val="24"/>
        </w:rPr>
      </w:pPr>
      <w:r>
        <w:rPr>
          <w:sz w:val="20"/>
          <w:szCs w:val="24"/>
        </w:rPr>
        <w:t>86</w:t>
      </w:r>
      <w:r>
        <w:rPr>
          <w:sz w:val="20"/>
          <w:szCs w:val="24"/>
        </w:rPr>
        <w:tab/>
      </w:r>
      <w:r w:rsidR="00BC64F4">
        <w:rPr>
          <w:szCs w:val="24"/>
        </w:rPr>
        <w:t>In my view, t</w:t>
      </w:r>
      <w:r w:rsidR="00BC64F4" w:rsidRPr="00400540">
        <w:rPr>
          <w:szCs w:val="24"/>
        </w:rPr>
        <w:t>here is no inconsistency</w:t>
      </w:r>
      <w:r w:rsidR="00BC64F4" w:rsidRPr="00400540">
        <w:rPr>
          <w:spacing w:val="-2"/>
          <w:szCs w:val="24"/>
        </w:rPr>
        <w:t xml:space="preserve"> </w:t>
      </w:r>
      <w:r w:rsidR="00BC64F4" w:rsidRPr="00400540">
        <w:rPr>
          <w:szCs w:val="24"/>
        </w:rPr>
        <w:t>between</w:t>
      </w:r>
      <w:r w:rsidR="00BC64F4" w:rsidRPr="00400540">
        <w:rPr>
          <w:spacing w:val="-2"/>
          <w:szCs w:val="24"/>
        </w:rPr>
        <w:t xml:space="preserve"> </w:t>
      </w:r>
      <w:r w:rsidR="00BC64F4" w:rsidRPr="00400540">
        <w:rPr>
          <w:szCs w:val="24"/>
        </w:rPr>
        <w:t>Part</w:t>
      </w:r>
      <w:r w:rsidR="00BC64F4" w:rsidRPr="00400540">
        <w:rPr>
          <w:spacing w:val="-2"/>
          <w:szCs w:val="24"/>
        </w:rPr>
        <w:t xml:space="preserve"> </w:t>
      </w:r>
      <w:r w:rsidR="00BC64F4" w:rsidRPr="00400540">
        <w:rPr>
          <w:szCs w:val="24"/>
        </w:rPr>
        <w:t>IVA</w:t>
      </w:r>
      <w:r w:rsidR="00BC64F4">
        <w:rPr>
          <w:spacing w:val="-3"/>
          <w:szCs w:val="24"/>
        </w:rPr>
        <w:t xml:space="preserve"> </w:t>
      </w:r>
      <w:r w:rsidR="00BC64F4" w:rsidRPr="00400540">
        <w:rPr>
          <w:szCs w:val="24"/>
        </w:rPr>
        <w:t>and</w:t>
      </w:r>
      <w:r w:rsidR="00BC64F4" w:rsidRPr="00400540">
        <w:rPr>
          <w:spacing w:val="-2"/>
          <w:szCs w:val="24"/>
        </w:rPr>
        <w:t xml:space="preserve"> </w:t>
      </w:r>
      <w:r w:rsidR="00BC64F4" w:rsidRPr="00400540">
        <w:rPr>
          <w:szCs w:val="24"/>
        </w:rPr>
        <w:t>ss</w:t>
      </w:r>
      <w:r w:rsidR="00BC64F4" w:rsidRPr="00400540">
        <w:rPr>
          <w:spacing w:val="-2"/>
          <w:szCs w:val="24"/>
        </w:rPr>
        <w:t xml:space="preserve"> </w:t>
      </w:r>
      <w:r w:rsidR="00BC64F4" w:rsidRPr="00400540">
        <w:rPr>
          <w:szCs w:val="24"/>
        </w:rPr>
        <w:t>539</w:t>
      </w:r>
      <w:r w:rsidR="00BC64F4" w:rsidRPr="00400540">
        <w:rPr>
          <w:spacing w:val="-2"/>
          <w:szCs w:val="24"/>
        </w:rPr>
        <w:t xml:space="preserve"> </w:t>
      </w:r>
      <w:r w:rsidR="00BC64F4" w:rsidRPr="00400540">
        <w:rPr>
          <w:szCs w:val="24"/>
        </w:rPr>
        <w:t>and</w:t>
      </w:r>
      <w:r w:rsidR="00BC64F4" w:rsidRPr="00400540">
        <w:rPr>
          <w:spacing w:val="-4"/>
          <w:szCs w:val="24"/>
        </w:rPr>
        <w:t xml:space="preserve"> </w:t>
      </w:r>
      <w:r w:rsidR="00BC64F4" w:rsidRPr="00400540">
        <w:rPr>
          <w:szCs w:val="24"/>
        </w:rPr>
        <w:t>540</w:t>
      </w:r>
      <w:r w:rsidR="00BC64F4" w:rsidRPr="00400540">
        <w:rPr>
          <w:spacing w:val="-2"/>
          <w:szCs w:val="24"/>
        </w:rPr>
        <w:t xml:space="preserve"> </w:t>
      </w:r>
      <w:r w:rsidR="00BC64F4" w:rsidRPr="00400540">
        <w:rPr>
          <w:szCs w:val="24"/>
        </w:rPr>
        <w:t>of</w:t>
      </w:r>
      <w:r w:rsidR="00BC64F4" w:rsidRPr="00400540">
        <w:rPr>
          <w:spacing w:val="-3"/>
          <w:szCs w:val="24"/>
        </w:rPr>
        <w:t xml:space="preserve"> </w:t>
      </w:r>
      <w:r w:rsidR="00BC64F4" w:rsidRPr="00400540">
        <w:rPr>
          <w:szCs w:val="24"/>
        </w:rPr>
        <w:t>the</w:t>
      </w:r>
      <w:r w:rsidR="00BC64F4" w:rsidRPr="00400540">
        <w:rPr>
          <w:spacing w:val="-2"/>
          <w:szCs w:val="24"/>
        </w:rPr>
        <w:t xml:space="preserve"> </w:t>
      </w:r>
      <w:r w:rsidR="00BC64F4" w:rsidRPr="00400540">
        <w:rPr>
          <w:szCs w:val="24"/>
        </w:rPr>
        <w:t>FW</w:t>
      </w:r>
      <w:r w:rsidR="00BC64F4" w:rsidRPr="00400540">
        <w:rPr>
          <w:spacing w:val="-3"/>
          <w:szCs w:val="24"/>
        </w:rPr>
        <w:t xml:space="preserve"> </w:t>
      </w:r>
      <w:r w:rsidR="00BC64F4" w:rsidRPr="00400540">
        <w:rPr>
          <w:szCs w:val="24"/>
        </w:rPr>
        <w:t>Act</w:t>
      </w:r>
      <w:r w:rsidR="00BC64F4" w:rsidRPr="00400540">
        <w:rPr>
          <w:spacing w:val="-2"/>
          <w:szCs w:val="24"/>
        </w:rPr>
        <w:t xml:space="preserve"> </w:t>
      </w:r>
      <w:r w:rsidR="00BC64F4" w:rsidRPr="00400540">
        <w:rPr>
          <w:szCs w:val="24"/>
        </w:rPr>
        <w:t>and they may operate in parallel.</w:t>
      </w:r>
      <w:r w:rsidR="00BC64F4" w:rsidRPr="00400540">
        <w:rPr>
          <w:spacing w:val="40"/>
          <w:szCs w:val="24"/>
        </w:rPr>
        <w:t xml:space="preserve">  </w:t>
      </w:r>
      <w:r w:rsidR="00BC64F4" w:rsidRPr="00400540">
        <w:rPr>
          <w:szCs w:val="24"/>
        </w:rPr>
        <w:t>Sections 539 and 540 of the FW Act work harmoniously with s</w:t>
      </w:r>
      <w:r w:rsidR="00BC64F4">
        <w:rPr>
          <w:szCs w:val="24"/>
        </w:rPr>
        <w:t> </w:t>
      </w:r>
      <w:r w:rsidR="00BC64F4" w:rsidRPr="00400540">
        <w:rPr>
          <w:szCs w:val="24"/>
        </w:rPr>
        <w:t>33</w:t>
      </w:r>
      <w:proofErr w:type="gramStart"/>
      <w:r w:rsidR="00BC64F4" w:rsidRPr="00400540">
        <w:rPr>
          <w:szCs w:val="24"/>
        </w:rPr>
        <w:t>D(</w:t>
      </w:r>
      <w:proofErr w:type="gramEnd"/>
      <w:r w:rsidR="00BC64F4" w:rsidRPr="00400540">
        <w:rPr>
          <w:szCs w:val="24"/>
        </w:rPr>
        <w:t>1) of the FCA Act, so that where a person satisfies the standing requirements of those FW Act provisions, they have a sufficient interest to commence a Part IVA proceeding on behalf of 7 or more persons who have claims against the same person.</w:t>
      </w:r>
    </w:p>
    <w:p w14:paraId="7CE59F49" w14:textId="5BFFB417" w:rsidR="00BC64F4" w:rsidRDefault="0071710E" w:rsidP="0071710E">
      <w:pPr>
        <w:pStyle w:val="ParaNumbering"/>
        <w:numPr>
          <w:ilvl w:val="0"/>
          <w:numId w:val="0"/>
        </w:numPr>
        <w:tabs>
          <w:tab w:val="left" w:pos="720"/>
        </w:tabs>
        <w:ind w:hanging="720"/>
      </w:pPr>
      <w:r>
        <w:rPr>
          <w:sz w:val="20"/>
        </w:rPr>
        <w:t>87</w:t>
      </w:r>
      <w:r>
        <w:rPr>
          <w:sz w:val="20"/>
        </w:rPr>
        <w:tab/>
      </w:r>
      <w:r w:rsidR="00BC64F4">
        <w:t>P</w:t>
      </w:r>
      <w:r w:rsidR="00BC64F4" w:rsidRPr="00400540">
        <w:t xml:space="preserve">roperly construed, ss 539 and 540 of the FW Act do not by themselves evince an intention </w:t>
      </w:r>
      <w:r w:rsidR="00BC64F4" w:rsidRPr="008968AF">
        <w:t>to impliedly exclude</w:t>
      </w:r>
      <w:r w:rsidR="00BC64F4" w:rsidRPr="00400540">
        <w:t xml:space="preserve"> Part IVA.  Sections 539 and 540</w:t>
      </w:r>
      <w:r w:rsidR="00BC64F4" w:rsidRPr="00400540">
        <w:rPr>
          <w:spacing w:val="-2"/>
        </w:rPr>
        <w:t xml:space="preserve"> </w:t>
      </w:r>
      <w:r w:rsidR="00BC64F4" w:rsidRPr="00400540">
        <w:t>are</w:t>
      </w:r>
      <w:r w:rsidR="00BC64F4" w:rsidRPr="00400540">
        <w:rPr>
          <w:spacing w:val="-2"/>
        </w:rPr>
        <w:t xml:space="preserve"> </w:t>
      </w:r>
      <w:r w:rsidR="00BC64F4" w:rsidRPr="00400540">
        <w:t>concerned</w:t>
      </w:r>
      <w:r w:rsidR="00BC64F4" w:rsidRPr="00400540">
        <w:rPr>
          <w:spacing w:val="-2"/>
        </w:rPr>
        <w:t xml:space="preserve"> </w:t>
      </w:r>
      <w:r w:rsidR="00BC64F4" w:rsidRPr="00400540">
        <w:t>with</w:t>
      </w:r>
      <w:r w:rsidR="00BC64F4" w:rsidRPr="00400540">
        <w:rPr>
          <w:spacing w:val="-4"/>
        </w:rPr>
        <w:t xml:space="preserve"> </w:t>
      </w:r>
      <w:r w:rsidR="00BC64F4" w:rsidRPr="00400540">
        <w:t>an</w:t>
      </w:r>
      <w:r w:rsidR="00BC64F4" w:rsidRPr="00400540">
        <w:rPr>
          <w:spacing w:val="-2"/>
        </w:rPr>
        <w:t xml:space="preserve"> </w:t>
      </w:r>
      <w:r w:rsidR="00BC64F4" w:rsidRPr="00400540">
        <w:t>applicant’s</w:t>
      </w:r>
      <w:r w:rsidR="00BC64F4" w:rsidRPr="00400540">
        <w:rPr>
          <w:spacing w:val="-2"/>
        </w:rPr>
        <w:t xml:space="preserve"> </w:t>
      </w:r>
      <w:r w:rsidR="00BC64F4" w:rsidRPr="00400540">
        <w:t>standing</w:t>
      </w:r>
      <w:r w:rsidR="00BC64F4" w:rsidRPr="00400540">
        <w:rPr>
          <w:spacing w:val="-4"/>
        </w:rPr>
        <w:t xml:space="preserve"> </w:t>
      </w:r>
      <w:r w:rsidR="00BC64F4" w:rsidRPr="00400540">
        <w:t>to</w:t>
      </w:r>
      <w:r w:rsidR="00BC64F4" w:rsidRPr="00400540">
        <w:rPr>
          <w:spacing w:val="-4"/>
        </w:rPr>
        <w:t xml:space="preserve"> </w:t>
      </w:r>
      <w:r w:rsidR="00BC64F4" w:rsidRPr="00400540">
        <w:t>enforce</w:t>
      </w:r>
      <w:r w:rsidR="00BC64F4" w:rsidRPr="00400540">
        <w:rPr>
          <w:spacing w:val="-2"/>
        </w:rPr>
        <w:t xml:space="preserve"> </w:t>
      </w:r>
      <w:r w:rsidR="00BC64F4" w:rsidRPr="00400540">
        <w:t>civil</w:t>
      </w:r>
      <w:r w:rsidR="00BC64F4" w:rsidRPr="00400540">
        <w:rPr>
          <w:spacing w:val="-2"/>
        </w:rPr>
        <w:t xml:space="preserve"> </w:t>
      </w:r>
      <w:r w:rsidR="00BC64F4" w:rsidRPr="00400540">
        <w:t>remedy</w:t>
      </w:r>
      <w:r w:rsidR="00BC64F4" w:rsidRPr="00400540">
        <w:rPr>
          <w:spacing w:val="-2"/>
        </w:rPr>
        <w:t xml:space="preserve"> </w:t>
      </w:r>
      <w:r w:rsidR="00BC64F4" w:rsidRPr="00400540">
        <w:t>provisions</w:t>
      </w:r>
      <w:r w:rsidR="00BC64F4" w:rsidRPr="00400540">
        <w:rPr>
          <w:spacing w:val="-2"/>
        </w:rPr>
        <w:t xml:space="preserve"> </w:t>
      </w:r>
      <w:r w:rsidR="00BC64F4" w:rsidRPr="00400540">
        <w:t xml:space="preserve">of the FW Act.  The phrase </w:t>
      </w:r>
      <w:r w:rsidR="00BC64F4" w:rsidRPr="005065B9">
        <w:t xml:space="preserve">“affected by the </w:t>
      </w:r>
      <w:proofErr w:type="gramStart"/>
      <w:r w:rsidR="00BC64F4" w:rsidRPr="005065B9">
        <w:t>contravention, or</w:t>
      </w:r>
      <w:proofErr w:type="gramEnd"/>
      <w:r w:rsidR="00BC64F4" w:rsidRPr="005065B9">
        <w:t xml:space="preserve"> will be affected by the proposed contravention”</w:t>
      </w:r>
      <w:r w:rsidR="00BC64F4" w:rsidRPr="00400540">
        <w:rPr>
          <w:i/>
        </w:rPr>
        <w:t xml:space="preserve"> </w:t>
      </w:r>
      <w:r w:rsidR="00BC64F4" w:rsidRPr="00400540">
        <w:t>in s 540(1) is a statutory expression of ordinary common law standing principles.  The phrase does not of itself evince an intention to exclude the operation of Part IVA.</w:t>
      </w:r>
    </w:p>
    <w:p w14:paraId="101CB0CE" w14:textId="777EF165" w:rsidR="00BC64F4" w:rsidRDefault="0071710E" w:rsidP="0071710E">
      <w:pPr>
        <w:pStyle w:val="ParaNumbering"/>
        <w:numPr>
          <w:ilvl w:val="0"/>
          <w:numId w:val="0"/>
        </w:numPr>
        <w:tabs>
          <w:tab w:val="left" w:pos="720"/>
        </w:tabs>
        <w:ind w:hanging="720"/>
      </w:pPr>
      <w:r>
        <w:rPr>
          <w:sz w:val="20"/>
        </w:rPr>
        <w:t>88</w:t>
      </w:r>
      <w:r>
        <w:rPr>
          <w:sz w:val="20"/>
        </w:rPr>
        <w:tab/>
      </w:r>
      <w:r w:rsidR="00BC64F4">
        <w:t>So,</w:t>
      </w:r>
      <w:r w:rsidR="00BC64F4">
        <w:rPr>
          <w:spacing w:val="-1"/>
        </w:rPr>
        <w:t xml:space="preserve"> </w:t>
      </w:r>
      <w:r w:rsidR="00BC64F4" w:rsidRPr="00400540">
        <w:t>there</w:t>
      </w:r>
      <w:r w:rsidR="00BC64F4" w:rsidRPr="00400540">
        <w:rPr>
          <w:spacing w:val="-6"/>
        </w:rPr>
        <w:t xml:space="preserve"> </w:t>
      </w:r>
      <w:r w:rsidR="00BC64F4" w:rsidRPr="00400540">
        <w:t>is</w:t>
      </w:r>
      <w:r w:rsidR="00BC64F4" w:rsidRPr="00400540">
        <w:rPr>
          <w:spacing w:val="-1"/>
        </w:rPr>
        <w:t xml:space="preserve"> </w:t>
      </w:r>
      <w:r w:rsidR="00BC64F4" w:rsidRPr="00400540">
        <w:t>no</w:t>
      </w:r>
      <w:r w:rsidR="00BC64F4" w:rsidRPr="00400540">
        <w:rPr>
          <w:spacing w:val="-4"/>
        </w:rPr>
        <w:t xml:space="preserve"> </w:t>
      </w:r>
      <w:r w:rsidR="00BC64F4" w:rsidRPr="00400540">
        <w:t>inconsistency</w:t>
      </w:r>
      <w:r w:rsidR="00BC64F4" w:rsidRPr="00400540">
        <w:rPr>
          <w:spacing w:val="-4"/>
        </w:rPr>
        <w:t xml:space="preserve"> </w:t>
      </w:r>
      <w:r w:rsidR="00BC64F4" w:rsidRPr="00400540">
        <w:t>in</w:t>
      </w:r>
      <w:r w:rsidR="00BC64F4" w:rsidRPr="00400540">
        <w:rPr>
          <w:spacing w:val="-4"/>
        </w:rPr>
        <w:t xml:space="preserve"> </w:t>
      </w:r>
      <w:r w:rsidR="00BC64F4" w:rsidRPr="00400540">
        <w:t>the</w:t>
      </w:r>
      <w:r w:rsidR="00BC64F4" w:rsidRPr="00400540">
        <w:rPr>
          <w:spacing w:val="-3"/>
        </w:rPr>
        <w:t xml:space="preserve"> </w:t>
      </w:r>
      <w:r w:rsidR="00BC64F4" w:rsidRPr="00400540">
        <w:t>text of</w:t>
      </w:r>
      <w:r w:rsidR="00BC64F4" w:rsidRPr="00400540">
        <w:rPr>
          <w:spacing w:val="-3"/>
        </w:rPr>
        <w:t xml:space="preserve"> </w:t>
      </w:r>
      <w:r w:rsidR="00BC64F4" w:rsidRPr="00400540">
        <w:t>the</w:t>
      </w:r>
      <w:r w:rsidR="00BC64F4" w:rsidRPr="00400540">
        <w:rPr>
          <w:spacing w:val="-3"/>
        </w:rPr>
        <w:t xml:space="preserve"> </w:t>
      </w:r>
      <w:r w:rsidR="00BC64F4">
        <w:rPr>
          <w:spacing w:val="-3"/>
        </w:rPr>
        <w:t xml:space="preserve">respective </w:t>
      </w:r>
      <w:r w:rsidR="00BC64F4" w:rsidRPr="00400540">
        <w:t>provisions</w:t>
      </w:r>
      <w:r w:rsidR="00BC64F4">
        <w:t xml:space="preserve"> when read in context</w:t>
      </w:r>
      <w:r w:rsidR="00BC64F4" w:rsidRPr="00400540">
        <w:t>,</w:t>
      </w:r>
      <w:r w:rsidR="00BC64F4" w:rsidRPr="00400540">
        <w:rPr>
          <w:spacing w:val="-1"/>
        </w:rPr>
        <w:t xml:space="preserve"> </w:t>
      </w:r>
      <w:r w:rsidR="00BC64F4" w:rsidRPr="00400540">
        <w:t>let alone</w:t>
      </w:r>
      <w:r w:rsidR="00BC64F4" w:rsidRPr="00400540">
        <w:rPr>
          <w:spacing w:val="-1"/>
        </w:rPr>
        <w:t xml:space="preserve"> </w:t>
      </w:r>
      <w:r w:rsidR="00BC64F4" w:rsidRPr="00400540">
        <w:t>an inconsistency</w:t>
      </w:r>
      <w:r w:rsidR="00BC64F4">
        <w:t xml:space="preserve"> such as </w:t>
      </w:r>
      <w:r w:rsidR="00BC64F4" w:rsidRPr="00400540">
        <w:t xml:space="preserve">to engage the </w:t>
      </w:r>
      <w:r w:rsidR="00BC64F4">
        <w:t xml:space="preserve">rarely successfully applied </w:t>
      </w:r>
      <w:r w:rsidR="00BC64F4" w:rsidRPr="00400540">
        <w:t>doctrine of implied repeal.</w:t>
      </w:r>
    </w:p>
    <w:bookmarkEnd w:id="21"/>
    <w:p w14:paraId="37B776EC" w14:textId="6CEA6704" w:rsidR="00BC64F4" w:rsidRDefault="0071710E" w:rsidP="0071710E">
      <w:pPr>
        <w:pStyle w:val="ParaNumbering"/>
        <w:numPr>
          <w:ilvl w:val="0"/>
          <w:numId w:val="0"/>
        </w:numPr>
        <w:ind w:hanging="720"/>
        <w:rPr>
          <w:szCs w:val="24"/>
        </w:rPr>
      </w:pPr>
      <w:r>
        <w:rPr>
          <w:sz w:val="20"/>
          <w:szCs w:val="24"/>
        </w:rPr>
        <w:t>89</w:t>
      </w:r>
      <w:r>
        <w:rPr>
          <w:sz w:val="20"/>
          <w:szCs w:val="24"/>
        </w:rPr>
        <w:tab/>
      </w:r>
      <w:r w:rsidR="00BC64F4" w:rsidRPr="005C52B9">
        <w:rPr>
          <w:szCs w:val="24"/>
        </w:rPr>
        <w:t>In summary, I would reject the SDA’s argument</w:t>
      </w:r>
      <w:r w:rsidR="00BC64F4">
        <w:rPr>
          <w:szCs w:val="24"/>
        </w:rPr>
        <w:t xml:space="preserve"> </w:t>
      </w:r>
      <w:r w:rsidR="00BC64F4" w:rsidRPr="005C52B9">
        <w:rPr>
          <w:szCs w:val="24"/>
        </w:rPr>
        <w:t xml:space="preserve">that the </w:t>
      </w:r>
      <w:r w:rsidR="00BC64F4">
        <w:rPr>
          <w:szCs w:val="24"/>
        </w:rPr>
        <w:t xml:space="preserve">applicants in the Elliott-Carde proceeding </w:t>
      </w:r>
      <w:r w:rsidR="00BC64F4" w:rsidRPr="005C52B9">
        <w:rPr>
          <w:szCs w:val="24"/>
        </w:rPr>
        <w:t xml:space="preserve">lack standing under s 33D of the FCA Act. </w:t>
      </w:r>
    </w:p>
    <w:p w14:paraId="145A1C65" w14:textId="77777777" w:rsidR="00BC64F4" w:rsidRDefault="00BC64F4" w:rsidP="00BC64F4">
      <w:pPr>
        <w:pStyle w:val="Heading2"/>
      </w:pPr>
      <w:r>
        <w:t>Does s 33</w:t>
      </w:r>
      <w:proofErr w:type="gramStart"/>
      <w:r>
        <w:t>V(</w:t>
      </w:r>
      <w:proofErr w:type="gramEnd"/>
      <w:r>
        <w:t>2) empower the making of a settlement CFO?</w:t>
      </w:r>
    </w:p>
    <w:p w14:paraId="60000E4E" w14:textId="471788DD" w:rsidR="00BC64F4" w:rsidRDefault="0071710E" w:rsidP="0071710E">
      <w:pPr>
        <w:pStyle w:val="ParaNumbering"/>
        <w:numPr>
          <w:ilvl w:val="0"/>
          <w:numId w:val="0"/>
        </w:numPr>
        <w:tabs>
          <w:tab w:val="left" w:pos="720"/>
        </w:tabs>
        <w:ind w:hanging="720"/>
      </w:pPr>
      <w:r>
        <w:rPr>
          <w:sz w:val="20"/>
        </w:rPr>
        <w:t>90</w:t>
      </w:r>
      <w:r>
        <w:rPr>
          <w:sz w:val="20"/>
        </w:rPr>
        <w:tab/>
      </w:r>
      <w:r w:rsidR="00BC64F4">
        <w:t>The question of the existence of the relevant power to make a settlement CFO under s 33</w:t>
      </w:r>
      <w:proofErr w:type="gramStart"/>
      <w:r w:rsidR="00BC64F4">
        <w:t>V(</w:t>
      </w:r>
      <w:proofErr w:type="gramEnd"/>
      <w:r w:rsidR="00BC64F4">
        <w:t xml:space="preserve">2) has arisen in two respects. </w:t>
      </w:r>
    </w:p>
    <w:p w14:paraId="7D31A857" w14:textId="7B31F882" w:rsidR="00BC64F4" w:rsidRDefault="0071710E" w:rsidP="0071710E">
      <w:pPr>
        <w:pStyle w:val="ParaNumbering"/>
        <w:numPr>
          <w:ilvl w:val="0"/>
          <w:numId w:val="0"/>
        </w:numPr>
        <w:tabs>
          <w:tab w:val="left" w:pos="720"/>
        </w:tabs>
        <w:ind w:hanging="720"/>
      </w:pPr>
      <w:r>
        <w:rPr>
          <w:sz w:val="20"/>
        </w:rPr>
        <w:t>91</w:t>
      </w:r>
      <w:r>
        <w:rPr>
          <w:sz w:val="20"/>
        </w:rPr>
        <w:tab/>
      </w:r>
      <w:r w:rsidR="00BC64F4">
        <w:t>First, it goes to the SDA’s stay application concerning the Elliott-Carde proceeding and the relevant comparison between the competing proceedings and the different funding models proposed. Moreover, if the stay application fails, group members in the Elliott-Carde proceeding may have to choose between that proceeding and the SDA proceeding</w:t>
      </w:r>
      <w:r w:rsidR="00BC64F4" w:rsidRPr="00266EB2">
        <w:t xml:space="preserve">. </w:t>
      </w:r>
      <w:r w:rsidR="00BC64F4">
        <w:t xml:space="preserve"> In that regard, a </w:t>
      </w:r>
      <w:r w:rsidR="00BC64F4" w:rsidRPr="00266EB2">
        <w:t xml:space="preserve">consideration </w:t>
      </w:r>
      <w:r w:rsidR="00BC64F4">
        <w:t xml:space="preserve">is the likely ultimate </w:t>
      </w:r>
      <w:r w:rsidR="00BC64F4" w:rsidRPr="00266EB2">
        <w:t xml:space="preserve">cost to </w:t>
      </w:r>
      <w:r w:rsidR="00BC64F4">
        <w:t xml:space="preserve">group members depending upon the </w:t>
      </w:r>
      <w:proofErr w:type="gramStart"/>
      <w:r w:rsidR="00BC64F4">
        <w:t>particular proceeding</w:t>
      </w:r>
      <w:proofErr w:type="gramEnd"/>
      <w:r w:rsidR="00BC64F4">
        <w:t xml:space="preserve"> that they choose to participate in.  Clearly the potential making of a settlement CFO in the Elliott-Carde proceeding will feed into that calculus. </w:t>
      </w:r>
    </w:p>
    <w:p w14:paraId="751401EC" w14:textId="62EEB8BC" w:rsidR="00BC64F4" w:rsidRDefault="0071710E" w:rsidP="0071710E">
      <w:pPr>
        <w:pStyle w:val="ParaNumbering"/>
        <w:numPr>
          <w:ilvl w:val="0"/>
          <w:numId w:val="0"/>
        </w:numPr>
        <w:tabs>
          <w:tab w:val="left" w:pos="720"/>
        </w:tabs>
        <w:ind w:hanging="720"/>
      </w:pPr>
      <w:r>
        <w:rPr>
          <w:sz w:val="20"/>
        </w:rPr>
        <w:t>92</w:t>
      </w:r>
      <w:r>
        <w:rPr>
          <w:sz w:val="20"/>
        </w:rPr>
        <w:tab/>
      </w:r>
      <w:r w:rsidR="00BC64F4">
        <w:t>Second, the question of the existence of the relevant power goes to the question of whether the proposed ss 33X and 33Y notices may or may not be misleading.  T</w:t>
      </w:r>
      <w:r w:rsidR="00BC64F4" w:rsidRPr="00266EB2">
        <w:t xml:space="preserve">he proposed notices to </w:t>
      </w:r>
      <w:r w:rsidR="00BC64F4">
        <w:t xml:space="preserve">group </w:t>
      </w:r>
      <w:r w:rsidR="00BC64F4" w:rsidRPr="00266EB2">
        <w:t>members</w:t>
      </w:r>
      <w:r w:rsidR="00BC64F4">
        <w:t xml:space="preserve"> in the Elliott-Carde proceeding</w:t>
      </w:r>
      <w:r w:rsidR="00BC64F4" w:rsidRPr="00266EB2">
        <w:t xml:space="preserve"> </w:t>
      </w:r>
      <w:r w:rsidR="00BC64F4">
        <w:t xml:space="preserve">have </w:t>
      </w:r>
      <w:r w:rsidR="00BC64F4" w:rsidRPr="00266EB2">
        <w:t xml:space="preserve">foreshadowed a potential </w:t>
      </w:r>
      <w:r w:rsidR="00BC64F4">
        <w:t xml:space="preserve">settlement </w:t>
      </w:r>
      <w:r w:rsidR="00BC64F4" w:rsidRPr="00266EB2">
        <w:t>CFO in the event of a successful outcome</w:t>
      </w:r>
      <w:r w:rsidR="00BC64F4">
        <w:t xml:space="preserve">. </w:t>
      </w:r>
      <w:r w:rsidR="00BC64F4" w:rsidRPr="00266EB2">
        <w:t xml:space="preserve">But such a notice would </w:t>
      </w:r>
      <w:r w:rsidR="00BC64F4">
        <w:t>be</w:t>
      </w:r>
      <w:r w:rsidR="00BC64F4" w:rsidRPr="00266EB2">
        <w:t xml:space="preserve"> misleading </w:t>
      </w:r>
      <w:r w:rsidR="00BC64F4">
        <w:t xml:space="preserve">if there was no statutory power to make a settlement </w:t>
      </w:r>
      <w:r w:rsidR="00BC64F4" w:rsidRPr="00266EB2">
        <w:t>CFO.</w:t>
      </w:r>
      <w:r w:rsidR="00BC64F4">
        <w:t xml:space="preserve"> </w:t>
      </w:r>
    </w:p>
    <w:p w14:paraId="1B9A9F5E" w14:textId="7B0DFEA3" w:rsidR="00BC64F4" w:rsidRDefault="0071710E" w:rsidP="0071710E">
      <w:pPr>
        <w:pStyle w:val="ParaNumbering"/>
        <w:numPr>
          <w:ilvl w:val="0"/>
          <w:numId w:val="0"/>
        </w:numPr>
        <w:tabs>
          <w:tab w:val="left" w:pos="720"/>
        </w:tabs>
        <w:ind w:hanging="720"/>
      </w:pPr>
      <w:r>
        <w:rPr>
          <w:sz w:val="20"/>
        </w:rPr>
        <w:t>93</w:t>
      </w:r>
      <w:r>
        <w:rPr>
          <w:sz w:val="20"/>
        </w:rPr>
        <w:tab/>
      </w:r>
      <w:r w:rsidR="00BC64F4">
        <w:t>Now in my view such controversies as to carriage, the possible choice for group members as to which proceeding to stay in, and the content of such notices provide an appropriate vehicle for determining the question whether s 33</w:t>
      </w:r>
      <w:proofErr w:type="gramStart"/>
      <w:r w:rsidR="00BC64F4">
        <w:t>V(</w:t>
      </w:r>
      <w:proofErr w:type="gramEnd"/>
      <w:r w:rsidR="00BC64F4">
        <w:t xml:space="preserve">2) empowers the making of a settlement CFO.  </w:t>
      </w:r>
    </w:p>
    <w:p w14:paraId="15E08A87" w14:textId="66879939" w:rsidR="00BC64F4" w:rsidRDefault="0071710E" w:rsidP="0071710E">
      <w:pPr>
        <w:pStyle w:val="ParaNumbering"/>
        <w:numPr>
          <w:ilvl w:val="0"/>
          <w:numId w:val="0"/>
        </w:numPr>
        <w:tabs>
          <w:tab w:val="left" w:pos="720"/>
        </w:tabs>
        <w:ind w:hanging="720"/>
      </w:pPr>
      <w:r>
        <w:rPr>
          <w:sz w:val="20"/>
        </w:rPr>
        <w:t>94</w:t>
      </w:r>
      <w:r>
        <w:rPr>
          <w:sz w:val="20"/>
        </w:rPr>
        <w:tab/>
      </w:r>
      <w:r w:rsidR="00BC64F4">
        <w:t>I will return to the “matter” question later.  But for the moment let me concentrate on the question of whether there is statutory power under s 33</w:t>
      </w:r>
      <w:proofErr w:type="gramStart"/>
      <w:r w:rsidR="00BC64F4">
        <w:t>V(</w:t>
      </w:r>
      <w:proofErr w:type="gramEnd"/>
      <w:r w:rsidR="00BC64F4">
        <w:t xml:space="preserve">2) to make a settlement CFO. </w:t>
      </w:r>
    </w:p>
    <w:p w14:paraId="622F2B6B" w14:textId="77777777" w:rsidR="00BC64F4" w:rsidRDefault="00BC64F4" w:rsidP="00BC64F4">
      <w:pPr>
        <w:pStyle w:val="Heading4"/>
        <w:rPr>
          <w:lang w:eastAsia="en-AU"/>
        </w:rPr>
      </w:pPr>
      <w:r>
        <w:rPr>
          <w:lang w:eastAsia="en-AU"/>
        </w:rPr>
        <w:t xml:space="preserve">The relevant statutory power </w:t>
      </w:r>
    </w:p>
    <w:p w14:paraId="46A1818F" w14:textId="7ED25804" w:rsidR="00BC64F4" w:rsidRDefault="0071710E" w:rsidP="0071710E">
      <w:pPr>
        <w:pStyle w:val="ParaNumbering"/>
        <w:numPr>
          <w:ilvl w:val="0"/>
          <w:numId w:val="0"/>
        </w:numPr>
        <w:tabs>
          <w:tab w:val="left" w:pos="720"/>
        </w:tabs>
        <w:ind w:hanging="720"/>
        <w:rPr>
          <w:lang w:eastAsia="en-AU"/>
        </w:rPr>
      </w:pPr>
      <w:r>
        <w:rPr>
          <w:sz w:val="20"/>
          <w:lang w:eastAsia="en-AU"/>
        </w:rPr>
        <w:t>95</w:t>
      </w:r>
      <w:r>
        <w:rPr>
          <w:sz w:val="20"/>
          <w:lang w:eastAsia="en-AU"/>
        </w:rPr>
        <w:tab/>
      </w:r>
      <w:r w:rsidR="00BC64F4">
        <w:rPr>
          <w:lang w:eastAsia="en-AU"/>
        </w:rPr>
        <w:t>Section 33V provides:</w:t>
      </w:r>
    </w:p>
    <w:p w14:paraId="3CF4350C" w14:textId="22C51C10" w:rsidR="00BC64F4" w:rsidRDefault="0071710E" w:rsidP="0054222E">
      <w:pPr>
        <w:pStyle w:val="Quote1"/>
        <w:ind w:left="1440" w:hanging="703"/>
        <w:rPr>
          <w:lang w:eastAsia="en-AU"/>
        </w:rPr>
      </w:pPr>
      <w:r>
        <w:rPr>
          <w:lang w:eastAsia="en-AU"/>
        </w:rPr>
        <w:t>(1)</w:t>
      </w:r>
      <w:r>
        <w:rPr>
          <w:lang w:eastAsia="en-AU"/>
        </w:rPr>
        <w:tab/>
      </w:r>
      <w:r w:rsidR="00BC64F4">
        <w:rPr>
          <w:lang w:eastAsia="en-AU"/>
        </w:rPr>
        <w:t>A representative proceeding may not be settled or discontinued without the approval of the Court.</w:t>
      </w:r>
    </w:p>
    <w:p w14:paraId="7FA3EEFD" w14:textId="4015E37D" w:rsidR="00BC64F4" w:rsidRDefault="0071710E" w:rsidP="0054222E">
      <w:pPr>
        <w:pStyle w:val="Quote1"/>
        <w:ind w:left="1440" w:hanging="703"/>
        <w:rPr>
          <w:lang w:eastAsia="en-AU"/>
        </w:rPr>
      </w:pPr>
      <w:r>
        <w:rPr>
          <w:lang w:eastAsia="en-AU"/>
        </w:rPr>
        <w:t>(2)</w:t>
      </w:r>
      <w:r>
        <w:rPr>
          <w:lang w:eastAsia="en-AU"/>
        </w:rPr>
        <w:tab/>
      </w:r>
      <w:r w:rsidR="00BC64F4">
        <w:rPr>
          <w:lang w:eastAsia="en-AU"/>
        </w:rPr>
        <w:t xml:space="preserve">If the Court gives such an approval, it may make such orders as are just with respect to the distribution of any money paid under a settlement or paid into the Court. </w:t>
      </w:r>
    </w:p>
    <w:p w14:paraId="4F1453C0" w14:textId="004DB498" w:rsidR="00BC64F4" w:rsidRDefault="0071710E" w:rsidP="0071710E">
      <w:pPr>
        <w:pStyle w:val="ParaNumbering"/>
        <w:numPr>
          <w:ilvl w:val="0"/>
          <w:numId w:val="0"/>
        </w:numPr>
        <w:tabs>
          <w:tab w:val="left" w:pos="720"/>
        </w:tabs>
        <w:ind w:hanging="720"/>
        <w:rPr>
          <w:lang w:eastAsia="en-AU"/>
        </w:rPr>
      </w:pPr>
      <w:r>
        <w:rPr>
          <w:sz w:val="20"/>
          <w:lang w:eastAsia="en-AU"/>
        </w:rPr>
        <w:t>96</w:t>
      </w:r>
      <w:r>
        <w:rPr>
          <w:sz w:val="20"/>
          <w:lang w:eastAsia="en-AU"/>
        </w:rPr>
        <w:tab/>
      </w:r>
      <w:r w:rsidR="00BC64F4">
        <w:rPr>
          <w:lang w:eastAsia="en-AU"/>
        </w:rPr>
        <w:t xml:space="preserve">Its proper construction and ambit is to be determined by its text, context, and purpose. </w:t>
      </w:r>
    </w:p>
    <w:p w14:paraId="59DDBFB2" w14:textId="2A00EB40" w:rsidR="00BC64F4" w:rsidRDefault="0071710E" w:rsidP="0071710E">
      <w:pPr>
        <w:pStyle w:val="ParaNumbering"/>
        <w:numPr>
          <w:ilvl w:val="0"/>
          <w:numId w:val="0"/>
        </w:numPr>
        <w:tabs>
          <w:tab w:val="left" w:pos="720"/>
        </w:tabs>
        <w:ind w:hanging="720"/>
        <w:rPr>
          <w:lang w:eastAsia="en-AU"/>
        </w:rPr>
      </w:pPr>
      <w:r>
        <w:rPr>
          <w:sz w:val="20"/>
          <w:lang w:eastAsia="en-AU"/>
        </w:rPr>
        <w:t>97</w:t>
      </w:r>
      <w:r>
        <w:rPr>
          <w:sz w:val="20"/>
          <w:lang w:eastAsia="en-AU"/>
        </w:rPr>
        <w:tab/>
      </w:r>
      <w:r w:rsidR="00BC64F4">
        <w:rPr>
          <w:lang w:eastAsia="en-AU"/>
        </w:rPr>
        <w:t>Section 33</w:t>
      </w:r>
      <w:proofErr w:type="gramStart"/>
      <w:r w:rsidR="00BC64F4">
        <w:rPr>
          <w:lang w:eastAsia="en-AU"/>
        </w:rPr>
        <w:t>V(</w:t>
      </w:r>
      <w:proofErr w:type="gramEnd"/>
      <w:r w:rsidR="00BC64F4">
        <w:rPr>
          <w:lang w:eastAsia="en-AU"/>
        </w:rPr>
        <w:t xml:space="preserve">2) employs language importing a wide judicial discretion.  As it stipulates, the Court “may make such orders as are just”.  And the only requirement beyond justness is that the orders be “with respect to the distribution of any money paid under a settlement or paid into the Court”.  Moreover, the phrase “with respect to” is itself of wide import. </w:t>
      </w:r>
    </w:p>
    <w:p w14:paraId="2B0FEC6D" w14:textId="6AA07DA4" w:rsidR="00BC64F4" w:rsidRDefault="0071710E" w:rsidP="0071710E">
      <w:pPr>
        <w:pStyle w:val="ParaNumbering"/>
        <w:numPr>
          <w:ilvl w:val="0"/>
          <w:numId w:val="0"/>
        </w:numPr>
        <w:tabs>
          <w:tab w:val="left" w:pos="720"/>
        </w:tabs>
        <w:ind w:hanging="720"/>
        <w:rPr>
          <w:lang w:eastAsia="en-AU"/>
        </w:rPr>
      </w:pPr>
      <w:r>
        <w:rPr>
          <w:sz w:val="20"/>
          <w:lang w:eastAsia="en-AU"/>
        </w:rPr>
        <w:t>98</w:t>
      </w:r>
      <w:r>
        <w:rPr>
          <w:sz w:val="20"/>
          <w:lang w:eastAsia="en-AU"/>
        </w:rPr>
        <w:tab/>
      </w:r>
      <w:r w:rsidR="00BC64F4">
        <w:rPr>
          <w:lang w:eastAsia="en-AU"/>
        </w:rPr>
        <w:t>Now the broad discretion conferred by s 33</w:t>
      </w:r>
      <w:proofErr w:type="gramStart"/>
      <w:r w:rsidR="00BC64F4">
        <w:rPr>
          <w:lang w:eastAsia="en-AU"/>
        </w:rPr>
        <w:t>V(</w:t>
      </w:r>
      <w:proofErr w:type="gramEnd"/>
      <w:r w:rsidR="00BC64F4">
        <w:rPr>
          <w:lang w:eastAsia="en-AU"/>
        </w:rPr>
        <w:t xml:space="preserve">2) is not to be read down by reference to implications or limitations not found in its express words, construed according to their natural meaning and in their proper context.  </w:t>
      </w:r>
    </w:p>
    <w:p w14:paraId="1CEDE67E" w14:textId="3347F576" w:rsidR="00BC64F4" w:rsidRDefault="0071710E" w:rsidP="0071710E">
      <w:pPr>
        <w:pStyle w:val="ParaNumbering"/>
        <w:numPr>
          <w:ilvl w:val="0"/>
          <w:numId w:val="0"/>
        </w:numPr>
        <w:tabs>
          <w:tab w:val="left" w:pos="720"/>
        </w:tabs>
        <w:ind w:hanging="720"/>
        <w:rPr>
          <w:lang w:eastAsia="en-AU"/>
        </w:rPr>
      </w:pPr>
      <w:r>
        <w:rPr>
          <w:sz w:val="20"/>
          <w:lang w:eastAsia="en-AU"/>
        </w:rPr>
        <w:t>99</w:t>
      </w:r>
      <w:r>
        <w:rPr>
          <w:sz w:val="20"/>
          <w:lang w:eastAsia="en-AU"/>
        </w:rPr>
        <w:tab/>
      </w:r>
      <w:r w:rsidR="00BC64F4">
        <w:rPr>
          <w:lang w:eastAsia="en-AU"/>
        </w:rPr>
        <w:t>In my view, none of the terms used in s 33</w:t>
      </w:r>
      <w:proofErr w:type="gramStart"/>
      <w:r w:rsidR="00BC64F4">
        <w:rPr>
          <w:lang w:eastAsia="en-AU"/>
        </w:rPr>
        <w:t>V(</w:t>
      </w:r>
      <w:proofErr w:type="gramEnd"/>
      <w:r w:rsidR="00BC64F4">
        <w:rPr>
          <w:lang w:eastAsia="en-AU"/>
        </w:rPr>
        <w:t>2) would, as a matter of natural meaning, be read as precluding a settlement CFO.  “Distribution” refers to the function and exercise of allocation.  It says or implies nothing about the identity of the recipient.  Even more clearly, “paid” describes the action of the respondent. And again, it implies nothing about the ultimate recipient.  Moreover, “paid” could not merely imply only payment to the applicant or group members.  Such a narrow reading would preclude the Court from invoking s 33</w:t>
      </w:r>
      <w:proofErr w:type="gramStart"/>
      <w:r w:rsidR="00BC64F4">
        <w:rPr>
          <w:lang w:eastAsia="en-AU"/>
        </w:rPr>
        <w:t>V(</w:t>
      </w:r>
      <w:proofErr w:type="gramEnd"/>
      <w:r w:rsidR="00BC64F4">
        <w:rPr>
          <w:lang w:eastAsia="en-AU"/>
        </w:rPr>
        <w:t xml:space="preserve">2) to require that settlement funds be used to pay the legal costs incurred by the class applicant; s 33ZJ would not be available on such occasions as it only addresses an award of damages and not a settlement. </w:t>
      </w:r>
    </w:p>
    <w:p w14:paraId="6DB041E4" w14:textId="66A3C1A0" w:rsidR="00BC64F4" w:rsidRDefault="0071710E" w:rsidP="0071710E">
      <w:pPr>
        <w:pStyle w:val="ParaNumbering"/>
        <w:numPr>
          <w:ilvl w:val="0"/>
          <w:numId w:val="0"/>
        </w:numPr>
        <w:tabs>
          <w:tab w:val="left" w:pos="720"/>
        </w:tabs>
        <w:ind w:hanging="720"/>
      </w:pPr>
      <w:r>
        <w:rPr>
          <w:sz w:val="20"/>
        </w:rPr>
        <w:t>100</w:t>
      </w:r>
      <w:r>
        <w:rPr>
          <w:sz w:val="20"/>
        </w:rPr>
        <w:tab/>
      </w:r>
      <w:r w:rsidR="00BC64F4">
        <w:t>It would appear uncontroversial, for example, that s 33</w:t>
      </w:r>
      <w:proofErr w:type="gramStart"/>
      <w:r w:rsidR="00BC64F4">
        <w:t>V(</w:t>
      </w:r>
      <w:proofErr w:type="gramEnd"/>
      <w:r w:rsidR="00BC64F4">
        <w:t>2) could be used to make an order for the payment of legal</w:t>
      </w:r>
      <w:r w:rsidR="00BC64F4">
        <w:rPr>
          <w:spacing w:val="-1"/>
        </w:rPr>
        <w:t xml:space="preserve"> </w:t>
      </w:r>
      <w:r w:rsidR="00BC64F4">
        <w:t>fees to lawyers directly from</w:t>
      </w:r>
      <w:r w:rsidR="00BC64F4">
        <w:rPr>
          <w:spacing w:val="-1"/>
        </w:rPr>
        <w:t xml:space="preserve"> </w:t>
      </w:r>
      <w:r w:rsidR="00BC64F4">
        <w:t>the</w:t>
      </w:r>
      <w:r w:rsidR="00BC64F4">
        <w:rPr>
          <w:spacing w:val="-1"/>
        </w:rPr>
        <w:t xml:space="preserve"> </w:t>
      </w:r>
      <w:r w:rsidR="00BC64F4">
        <w:t>settlement</w:t>
      </w:r>
      <w:r w:rsidR="00BC64F4">
        <w:rPr>
          <w:spacing w:val="-1"/>
        </w:rPr>
        <w:t xml:space="preserve"> </w:t>
      </w:r>
      <w:r w:rsidR="00BC64F4">
        <w:t>proceeds.</w:t>
      </w:r>
      <w:r w:rsidR="00BC64F4">
        <w:rPr>
          <w:spacing w:val="40"/>
        </w:rPr>
        <w:t xml:space="preserve">  </w:t>
      </w:r>
      <w:r w:rsidR="00BC64F4">
        <w:t>If that</w:t>
      </w:r>
      <w:r w:rsidR="00BC64F4">
        <w:rPr>
          <w:spacing w:val="-1"/>
        </w:rPr>
        <w:t xml:space="preserve"> </w:t>
      </w:r>
      <w:r w:rsidR="00BC64F4">
        <w:t>is accepted, there is no reason in</w:t>
      </w:r>
      <w:r w:rsidR="00BC64F4">
        <w:rPr>
          <w:spacing w:val="-2"/>
        </w:rPr>
        <w:t xml:space="preserve"> </w:t>
      </w:r>
      <w:r w:rsidR="00BC64F4">
        <w:t>principle</w:t>
      </w:r>
      <w:r w:rsidR="00BC64F4">
        <w:rPr>
          <w:spacing w:val="-4"/>
        </w:rPr>
        <w:t xml:space="preserve"> </w:t>
      </w:r>
      <w:r w:rsidR="00BC64F4">
        <w:t>why</w:t>
      </w:r>
      <w:r w:rsidR="00BC64F4">
        <w:rPr>
          <w:spacing w:val="-2"/>
        </w:rPr>
        <w:t xml:space="preserve"> </w:t>
      </w:r>
      <w:r w:rsidR="00BC64F4">
        <w:t>s</w:t>
      </w:r>
      <w:r w:rsidR="00BC64F4">
        <w:rPr>
          <w:spacing w:val="-1"/>
        </w:rPr>
        <w:t xml:space="preserve"> </w:t>
      </w:r>
      <w:r w:rsidR="00BC64F4">
        <w:t>33</w:t>
      </w:r>
      <w:proofErr w:type="gramStart"/>
      <w:r w:rsidR="00BC64F4">
        <w:t>V(</w:t>
      </w:r>
      <w:proofErr w:type="gramEnd"/>
      <w:r w:rsidR="00BC64F4">
        <w:t>2)</w:t>
      </w:r>
      <w:r w:rsidR="00BC64F4">
        <w:rPr>
          <w:spacing w:val="-2"/>
        </w:rPr>
        <w:t xml:space="preserve"> </w:t>
      </w:r>
      <w:r w:rsidR="00BC64F4">
        <w:t>could</w:t>
      </w:r>
      <w:r w:rsidR="00BC64F4">
        <w:rPr>
          <w:spacing w:val="-2"/>
        </w:rPr>
        <w:t xml:space="preserve"> </w:t>
      </w:r>
      <w:r w:rsidR="00BC64F4">
        <w:t>not</w:t>
      </w:r>
      <w:r w:rsidR="00BC64F4">
        <w:rPr>
          <w:spacing w:val="-4"/>
        </w:rPr>
        <w:t xml:space="preserve"> </w:t>
      </w:r>
      <w:r w:rsidR="00BC64F4">
        <w:t>similarly</w:t>
      </w:r>
      <w:r w:rsidR="00BC64F4">
        <w:rPr>
          <w:spacing w:val="-2"/>
        </w:rPr>
        <w:t xml:space="preserve"> </w:t>
      </w:r>
      <w:r w:rsidR="00BC64F4">
        <w:t>be</w:t>
      </w:r>
      <w:r w:rsidR="00BC64F4">
        <w:rPr>
          <w:spacing w:val="-4"/>
        </w:rPr>
        <w:t xml:space="preserve"> </w:t>
      </w:r>
      <w:r w:rsidR="00BC64F4">
        <w:t>used</w:t>
      </w:r>
      <w:r w:rsidR="00BC64F4">
        <w:rPr>
          <w:spacing w:val="-2"/>
        </w:rPr>
        <w:t xml:space="preserve"> </w:t>
      </w:r>
      <w:r w:rsidR="00BC64F4">
        <w:t>to</w:t>
      </w:r>
      <w:r w:rsidR="00BC64F4">
        <w:rPr>
          <w:spacing w:val="-2"/>
        </w:rPr>
        <w:t xml:space="preserve"> </w:t>
      </w:r>
      <w:r w:rsidR="00BC64F4">
        <w:t>make an</w:t>
      </w:r>
      <w:r w:rsidR="00BC64F4">
        <w:rPr>
          <w:spacing w:val="-2"/>
        </w:rPr>
        <w:t xml:space="preserve"> </w:t>
      </w:r>
      <w:r w:rsidR="00BC64F4">
        <w:t>order</w:t>
      </w:r>
      <w:r w:rsidR="00BC64F4">
        <w:rPr>
          <w:spacing w:val="-2"/>
        </w:rPr>
        <w:t xml:space="preserve"> </w:t>
      </w:r>
      <w:r w:rsidR="00BC64F4">
        <w:t>for</w:t>
      </w:r>
      <w:r w:rsidR="00BC64F4">
        <w:rPr>
          <w:spacing w:val="-2"/>
        </w:rPr>
        <w:t xml:space="preserve"> </w:t>
      </w:r>
      <w:r w:rsidR="00BC64F4">
        <w:t>the</w:t>
      </w:r>
      <w:r w:rsidR="00BC64F4">
        <w:rPr>
          <w:spacing w:val="-4"/>
        </w:rPr>
        <w:t xml:space="preserve"> </w:t>
      </w:r>
      <w:r w:rsidR="00BC64F4">
        <w:t>payment</w:t>
      </w:r>
      <w:r w:rsidR="00BC64F4">
        <w:rPr>
          <w:spacing w:val="-4"/>
        </w:rPr>
        <w:t xml:space="preserve"> </w:t>
      </w:r>
      <w:r w:rsidR="00BC64F4">
        <w:t>of</w:t>
      </w:r>
      <w:r w:rsidR="00BC64F4">
        <w:rPr>
          <w:spacing w:val="-2"/>
        </w:rPr>
        <w:t xml:space="preserve"> </w:t>
      </w:r>
      <w:r w:rsidR="00BC64F4">
        <w:t>fees</w:t>
      </w:r>
      <w:r w:rsidR="00BC64F4">
        <w:rPr>
          <w:spacing w:val="-1"/>
        </w:rPr>
        <w:t xml:space="preserve"> </w:t>
      </w:r>
      <w:r w:rsidR="00BC64F4">
        <w:t>to a litigation funder for their services, albeit that the fee is expressed by way of a percentage funding commission, because of the nature of the financial services provided.</w:t>
      </w:r>
      <w:r w:rsidR="00BC64F4">
        <w:rPr>
          <w:spacing w:val="40"/>
        </w:rPr>
        <w:t xml:space="preserve">  </w:t>
      </w:r>
      <w:proofErr w:type="gramStart"/>
      <w:r w:rsidR="00BC64F4" w:rsidRPr="007B0364">
        <w:t>So</w:t>
      </w:r>
      <w:proofErr w:type="gramEnd"/>
      <w:r w:rsidR="00BC64F4" w:rsidRPr="007B0364">
        <w:t xml:space="preserve"> what t</w:t>
      </w:r>
      <w:r w:rsidR="00BC64F4">
        <w:t>hat the litigation funder may have been self-interested in providing the funding?</w:t>
      </w:r>
      <w:r w:rsidR="00BC64F4">
        <w:rPr>
          <w:spacing w:val="-3"/>
        </w:rPr>
        <w:t xml:space="preserve"> </w:t>
      </w:r>
    </w:p>
    <w:p w14:paraId="1DDCCB08" w14:textId="36DD6621" w:rsidR="00BC64F4" w:rsidRDefault="0071710E" w:rsidP="0071710E">
      <w:pPr>
        <w:pStyle w:val="ParaNumbering"/>
        <w:numPr>
          <w:ilvl w:val="0"/>
          <w:numId w:val="0"/>
        </w:numPr>
        <w:tabs>
          <w:tab w:val="left" w:pos="720"/>
        </w:tabs>
        <w:ind w:hanging="720"/>
        <w:rPr>
          <w:lang w:eastAsia="en-AU"/>
        </w:rPr>
      </w:pPr>
      <w:r>
        <w:rPr>
          <w:sz w:val="20"/>
          <w:lang w:eastAsia="en-AU"/>
        </w:rPr>
        <w:t>101</w:t>
      </w:r>
      <w:r>
        <w:rPr>
          <w:sz w:val="20"/>
          <w:lang w:eastAsia="en-AU"/>
        </w:rPr>
        <w:tab/>
      </w:r>
      <w:r w:rsidR="00BC64F4">
        <w:rPr>
          <w:lang w:eastAsia="en-AU"/>
        </w:rPr>
        <w:t>And as to context, s 33</w:t>
      </w:r>
      <w:proofErr w:type="gramStart"/>
      <w:r w:rsidR="00BC64F4">
        <w:rPr>
          <w:lang w:eastAsia="en-AU"/>
        </w:rPr>
        <w:t>V(</w:t>
      </w:r>
      <w:proofErr w:type="gramEnd"/>
      <w:r w:rsidR="00BC64F4">
        <w:rPr>
          <w:lang w:eastAsia="en-AU"/>
        </w:rPr>
        <w:t xml:space="preserve">2) is a settlement specific power, which is qualitatively different from the ambulatory but limited gap-filling power in s 33ZF. </w:t>
      </w:r>
    </w:p>
    <w:p w14:paraId="3A65A77B" w14:textId="0DACBD0D" w:rsidR="00BC64F4" w:rsidRPr="00C2300B" w:rsidRDefault="0071710E" w:rsidP="0071710E">
      <w:pPr>
        <w:pStyle w:val="ParaNumbering"/>
        <w:numPr>
          <w:ilvl w:val="0"/>
          <w:numId w:val="0"/>
        </w:numPr>
        <w:tabs>
          <w:tab w:val="left" w:pos="720"/>
        </w:tabs>
        <w:ind w:hanging="720"/>
      </w:pPr>
      <w:r w:rsidRPr="00C2300B">
        <w:rPr>
          <w:sz w:val="20"/>
        </w:rPr>
        <w:t>102</w:t>
      </w:r>
      <w:r w:rsidRPr="00C2300B">
        <w:rPr>
          <w:sz w:val="20"/>
        </w:rPr>
        <w:tab/>
      </w:r>
      <w:r w:rsidR="00BC64F4">
        <w:rPr>
          <w:lang w:eastAsia="en-AU"/>
        </w:rPr>
        <w:t>Further, as to the question</w:t>
      </w:r>
      <w:r w:rsidR="00BC64F4" w:rsidRPr="00324F96">
        <w:rPr>
          <w:lang w:eastAsia="en-AU"/>
        </w:rPr>
        <w:t xml:space="preserve"> </w:t>
      </w:r>
      <w:r w:rsidR="00BC64F4">
        <w:rPr>
          <w:lang w:eastAsia="en-AU"/>
        </w:rPr>
        <w:t>of</w:t>
      </w:r>
      <w:r w:rsidR="00BC64F4" w:rsidRPr="00324F96">
        <w:rPr>
          <w:lang w:eastAsia="en-AU"/>
        </w:rPr>
        <w:t xml:space="preserve"> </w:t>
      </w:r>
      <w:r w:rsidR="00BC64F4">
        <w:rPr>
          <w:lang w:eastAsia="en-AU"/>
        </w:rPr>
        <w:t>purpose, no</w:t>
      </w:r>
      <w:r w:rsidR="00BC64F4" w:rsidRPr="00324F96">
        <w:rPr>
          <w:lang w:eastAsia="en-AU"/>
        </w:rPr>
        <w:t xml:space="preserve"> specific </w:t>
      </w:r>
      <w:r w:rsidR="00BC64F4">
        <w:rPr>
          <w:lang w:eastAsia="en-AU"/>
        </w:rPr>
        <w:t>guidance</w:t>
      </w:r>
      <w:r w:rsidR="00BC64F4" w:rsidRPr="00324F96">
        <w:rPr>
          <w:lang w:eastAsia="en-AU"/>
        </w:rPr>
        <w:t xml:space="preserve"> </w:t>
      </w:r>
      <w:r w:rsidR="00BC64F4">
        <w:rPr>
          <w:lang w:eastAsia="en-AU"/>
        </w:rPr>
        <w:t>is</w:t>
      </w:r>
      <w:r w:rsidR="00BC64F4" w:rsidRPr="00324F96">
        <w:rPr>
          <w:lang w:eastAsia="en-AU"/>
        </w:rPr>
        <w:t xml:space="preserve"> </w:t>
      </w:r>
      <w:r w:rsidR="00BC64F4">
        <w:rPr>
          <w:lang w:eastAsia="en-AU"/>
        </w:rPr>
        <w:t>obtained</w:t>
      </w:r>
      <w:r w:rsidR="00BC64F4" w:rsidRPr="00324F96">
        <w:rPr>
          <w:lang w:eastAsia="en-AU"/>
        </w:rPr>
        <w:t xml:space="preserve"> </w:t>
      </w:r>
      <w:r w:rsidR="00BC64F4">
        <w:rPr>
          <w:lang w:eastAsia="en-AU"/>
        </w:rPr>
        <w:t>from</w:t>
      </w:r>
      <w:r w:rsidR="00BC64F4" w:rsidRPr="00324F96">
        <w:rPr>
          <w:lang w:eastAsia="en-AU"/>
        </w:rPr>
        <w:t xml:space="preserve"> </w:t>
      </w:r>
      <w:r w:rsidR="00BC64F4">
        <w:rPr>
          <w:lang w:eastAsia="en-AU"/>
        </w:rPr>
        <w:t>the</w:t>
      </w:r>
      <w:r w:rsidR="00BC64F4" w:rsidRPr="00324F96">
        <w:rPr>
          <w:lang w:eastAsia="en-AU"/>
        </w:rPr>
        <w:t xml:space="preserve"> </w:t>
      </w:r>
      <w:r w:rsidR="00BC64F4">
        <w:rPr>
          <w:lang w:eastAsia="en-AU"/>
        </w:rPr>
        <w:t>relevant</w:t>
      </w:r>
      <w:r w:rsidR="00BC64F4" w:rsidRPr="00324F96">
        <w:rPr>
          <w:lang w:eastAsia="en-AU"/>
        </w:rPr>
        <w:t xml:space="preserve"> </w:t>
      </w:r>
      <w:r w:rsidR="00BC64F4">
        <w:rPr>
          <w:lang w:eastAsia="en-AU"/>
        </w:rPr>
        <w:t>extrinsic</w:t>
      </w:r>
      <w:r w:rsidR="00BC64F4">
        <w:t xml:space="preserve"> materials.</w:t>
      </w:r>
      <w:r w:rsidR="00BC64F4" w:rsidRPr="00C2300B">
        <w:rPr>
          <w:spacing w:val="80"/>
        </w:rPr>
        <w:t xml:space="preserve"> </w:t>
      </w:r>
      <w:r w:rsidR="00BC64F4">
        <w:t>The 1991 Second Reading Speech was silent as to class action financing (Hansard, House of Representatives, 14 November 1991 at 3174 to 3176).  The</w:t>
      </w:r>
      <w:r w:rsidR="00BC64F4" w:rsidRPr="00C2300B">
        <w:rPr>
          <w:spacing w:val="-10"/>
        </w:rPr>
        <w:t xml:space="preserve"> </w:t>
      </w:r>
      <w:r w:rsidR="00BC64F4">
        <w:t>explanatory</w:t>
      </w:r>
      <w:r w:rsidR="00BC64F4" w:rsidRPr="00C2300B">
        <w:rPr>
          <w:spacing w:val="-10"/>
        </w:rPr>
        <w:t xml:space="preserve"> </w:t>
      </w:r>
      <w:r w:rsidR="00BC64F4">
        <w:t>memorandum</w:t>
      </w:r>
      <w:r w:rsidR="00BC64F4" w:rsidRPr="00C2300B">
        <w:rPr>
          <w:spacing w:val="-10"/>
        </w:rPr>
        <w:t xml:space="preserve"> </w:t>
      </w:r>
      <w:r w:rsidR="00BC64F4">
        <w:t>adds</w:t>
      </w:r>
      <w:r w:rsidR="00BC64F4" w:rsidRPr="00C2300B">
        <w:rPr>
          <w:spacing w:val="-10"/>
        </w:rPr>
        <w:t xml:space="preserve"> </w:t>
      </w:r>
      <w:r w:rsidR="00BC64F4">
        <w:t>nothing</w:t>
      </w:r>
      <w:r w:rsidR="00BC64F4" w:rsidRPr="00C2300B">
        <w:rPr>
          <w:spacing w:val="-10"/>
        </w:rPr>
        <w:t xml:space="preserve"> </w:t>
      </w:r>
      <w:r w:rsidR="00BC64F4">
        <w:t>to</w:t>
      </w:r>
      <w:r w:rsidR="00BC64F4" w:rsidRPr="00C2300B">
        <w:rPr>
          <w:spacing w:val="-10"/>
        </w:rPr>
        <w:t xml:space="preserve"> </w:t>
      </w:r>
      <w:r w:rsidR="00BC64F4">
        <w:t>the</w:t>
      </w:r>
      <w:r w:rsidR="00BC64F4" w:rsidRPr="00C2300B">
        <w:rPr>
          <w:spacing w:val="-10"/>
        </w:rPr>
        <w:t xml:space="preserve"> </w:t>
      </w:r>
      <w:r w:rsidR="00BC64F4">
        <w:t>language</w:t>
      </w:r>
      <w:r w:rsidR="00BC64F4" w:rsidRPr="00C2300B">
        <w:rPr>
          <w:spacing w:val="-10"/>
        </w:rPr>
        <w:t xml:space="preserve"> </w:t>
      </w:r>
      <w:r w:rsidR="00BC64F4">
        <w:t>of</w:t>
      </w:r>
      <w:r w:rsidR="00BC64F4" w:rsidRPr="00C2300B">
        <w:rPr>
          <w:spacing w:val="-10"/>
        </w:rPr>
        <w:t xml:space="preserve"> </w:t>
      </w:r>
      <w:r w:rsidR="00BC64F4">
        <w:t>Part</w:t>
      </w:r>
      <w:r w:rsidR="00BC64F4" w:rsidRPr="00C2300B">
        <w:rPr>
          <w:spacing w:val="-10"/>
        </w:rPr>
        <w:t xml:space="preserve"> </w:t>
      </w:r>
      <w:r w:rsidR="00BC64F4">
        <w:t>IVA</w:t>
      </w:r>
      <w:r w:rsidR="00BC64F4" w:rsidRPr="00C2300B">
        <w:rPr>
          <w:spacing w:val="-10"/>
        </w:rPr>
        <w:t xml:space="preserve"> </w:t>
      </w:r>
      <w:r w:rsidR="00BC64F4">
        <w:t>as enacted.</w:t>
      </w:r>
      <w:r w:rsidR="00BC64F4" w:rsidRPr="00C2300B">
        <w:rPr>
          <w:spacing w:val="40"/>
        </w:rPr>
        <w:t xml:space="preserve">  </w:t>
      </w:r>
      <w:r w:rsidR="00BC64F4">
        <w:t>The 1988 ARLC Report 46 “</w:t>
      </w:r>
      <w:r w:rsidR="00BC64F4" w:rsidRPr="00C2300B">
        <w:rPr>
          <w:i/>
        </w:rPr>
        <w:t>Grouped Proceedings in the Federal Court</w:t>
      </w:r>
      <w:r w:rsidR="00BC64F4">
        <w:t xml:space="preserve">” acknowledged the possibility of private third-party finance for class actions, including </w:t>
      </w:r>
      <w:proofErr w:type="gramStart"/>
      <w:r w:rsidR="00BC64F4">
        <w:t>making reference</w:t>
      </w:r>
      <w:proofErr w:type="gramEnd"/>
      <w:r w:rsidR="00BC64F4">
        <w:t xml:space="preserve"> to financing from trade unions and special interest groups (at [315]).</w:t>
      </w:r>
      <w:r w:rsidR="00BC64F4" w:rsidRPr="00C2300B">
        <w:rPr>
          <w:spacing w:val="39"/>
        </w:rPr>
        <w:t xml:space="preserve"> </w:t>
      </w:r>
      <w:r w:rsidR="00BC64F4">
        <w:t>It</w:t>
      </w:r>
      <w:r w:rsidR="00BC64F4" w:rsidRPr="00C2300B">
        <w:rPr>
          <w:spacing w:val="-11"/>
        </w:rPr>
        <w:t xml:space="preserve"> </w:t>
      </w:r>
      <w:r w:rsidR="00BC64F4">
        <w:t>recommended</w:t>
      </w:r>
      <w:r w:rsidR="00BC64F4" w:rsidRPr="00C2300B">
        <w:rPr>
          <w:spacing w:val="-11"/>
        </w:rPr>
        <w:t xml:space="preserve"> </w:t>
      </w:r>
      <w:r w:rsidR="00BC64F4">
        <w:t>a</w:t>
      </w:r>
      <w:r w:rsidR="00BC64F4" w:rsidRPr="00C2300B">
        <w:rPr>
          <w:spacing w:val="-11"/>
        </w:rPr>
        <w:t xml:space="preserve"> </w:t>
      </w:r>
      <w:r w:rsidR="00BC64F4">
        <w:t>limited</w:t>
      </w:r>
      <w:r w:rsidR="00BC64F4" w:rsidRPr="00C2300B">
        <w:rPr>
          <w:spacing w:val="-11"/>
        </w:rPr>
        <w:t xml:space="preserve"> </w:t>
      </w:r>
      <w:r w:rsidR="00BC64F4">
        <w:t>abolition</w:t>
      </w:r>
      <w:r w:rsidR="00BC64F4" w:rsidRPr="00C2300B">
        <w:rPr>
          <w:spacing w:val="-11"/>
        </w:rPr>
        <w:t xml:space="preserve"> </w:t>
      </w:r>
      <w:r w:rsidR="00BC64F4">
        <w:t>of</w:t>
      </w:r>
      <w:r w:rsidR="00BC64F4" w:rsidRPr="00C2300B">
        <w:rPr>
          <w:spacing w:val="-11"/>
        </w:rPr>
        <w:t xml:space="preserve"> </w:t>
      </w:r>
      <w:r w:rsidR="00BC64F4">
        <w:t>the</w:t>
      </w:r>
      <w:r w:rsidR="00BC64F4" w:rsidRPr="00C2300B">
        <w:rPr>
          <w:spacing w:val="-11"/>
        </w:rPr>
        <w:t xml:space="preserve"> </w:t>
      </w:r>
      <w:r w:rsidR="00BC64F4">
        <w:t>prohibition</w:t>
      </w:r>
      <w:r w:rsidR="00BC64F4" w:rsidRPr="00C2300B">
        <w:rPr>
          <w:spacing w:val="-11"/>
        </w:rPr>
        <w:t xml:space="preserve"> </w:t>
      </w:r>
      <w:r w:rsidR="00BC64F4">
        <w:t>on</w:t>
      </w:r>
      <w:r w:rsidR="00BC64F4" w:rsidRPr="00C2300B">
        <w:rPr>
          <w:spacing w:val="-11"/>
        </w:rPr>
        <w:t xml:space="preserve"> </w:t>
      </w:r>
      <w:r w:rsidR="00BC64F4">
        <w:t>maintenance,</w:t>
      </w:r>
      <w:r w:rsidR="00BC64F4" w:rsidRPr="00C2300B">
        <w:rPr>
          <w:spacing w:val="-11"/>
        </w:rPr>
        <w:t xml:space="preserve"> </w:t>
      </w:r>
      <w:r w:rsidR="00BC64F4">
        <w:t>but not of champerty (at [318]).</w:t>
      </w:r>
      <w:r w:rsidR="00BC64F4" w:rsidRPr="00C2300B">
        <w:rPr>
          <w:spacing w:val="40"/>
        </w:rPr>
        <w:t xml:space="preserve"> </w:t>
      </w:r>
      <w:r w:rsidR="00BC64F4">
        <w:rPr>
          <w:spacing w:val="40"/>
        </w:rPr>
        <w:t xml:space="preserve"> </w:t>
      </w:r>
      <w:r w:rsidR="00BC64F4">
        <w:t xml:space="preserve">The suggested draft legislation was to like effect: see ALRC Report 46 </w:t>
      </w:r>
      <w:r w:rsidR="00BC64F4" w:rsidRPr="00C2300B">
        <w:rPr>
          <w:i/>
        </w:rPr>
        <w:t>Summary</w:t>
      </w:r>
      <w:r w:rsidR="00BC64F4" w:rsidRPr="00C2300B">
        <w:rPr>
          <w:i/>
          <w:spacing w:val="-10"/>
        </w:rPr>
        <w:t xml:space="preserve"> </w:t>
      </w:r>
      <w:r w:rsidR="00BC64F4" w:rsidRPr="00C2300B">
        <w:rPr>
          <w:i/>
        </w:rPr>
        <w:t>of</w:t>
      </w:r>
      <w:r w:rsidR="00BC64F4" w:rsidRPr="00C2300B">
        <w:rPr>
          <w:i/>
          <w:spacing w:val="-10"/>
        </w:rPr>
        <w:t xml:space="preserve"> </w:t>
      </w:r>
      <w:r w:rsidR="00BC64F4" w:rsidRPr="00C2300B">
        <w:rPr>
          <w:i/>
        </w:rPr>
        <w:t>Report</w:t>
      </w:r>
      <w:r w:rsidR="00BC64F4" w:rsidRPr="00C2300B">
        <w:rPr>
          <w:i/>
          <w:spacing w:val="-10"/>
        </w:rPr>
        <w:t xml:space="preserve"> </w:t>
      </w:r>
      <w:r w:rsidR="00BC64F4" w:rsidRPr="00C2300B">
        <w:rPr>
          <w:i/>
        </w:rPr>
        <w:t>and</w:t>
      </w:r>
      <w:r w:rsidR="00BC64F4" w:rsidRPr="00C2300B">
        <w:rPr>
          <w:i/>
          <w:spacing w:val="-10"/>
        </w:rPr>
        <w:t xml:space="preserve"> </w:t>
      </w:r>
      <w:r w:rsidR="00BC64F4" w:rsidRPr="00C2300B">
        <w:rPr>
          <w:i/>
        </w:rPr>
        <w:t>Draft</w:t>
      </w:r>
      <w:r w:rsidR="00BC64F4" w:rsidRPr="00C2300B">
        <w:rPr>
          <w:i/>
          <w:spacing w:val="-10"/>
        </w:rPr>
        <w:t xml:space="preserve"> </w:t>
      </w:r>
      <w:r w:rsidR="00BC64F4" w:rsidRPr="00C2300B">
        <w:rPr>
          <w:i/>
        </w:rPr>
        <w:t>Legislation</w:t>
      </w:r>
      <w:r w:rsidR="00BC64F4" w:rsidRPr="00C2300B">
        <w:rPr>
          <w:i/>
          <w:spacing w:val="-11"/>
        </w:rPr>
        <w:t xml:space="preserve"> </w:t>
      </w:r>
      <w:r w:rsidR="00BC64F4">
        <w:t>at</w:t>
      </w:r>
      <w:r w:rsidR="00BC64F4" w:rsidRPr="00C2300B">
        <w:rPr>
          <w:spacing w:val="-10"/>
        </w:rPr>
        <w:t xml:space="preserve"> </w:t>
      </w:r>
      <w:r w:rsidR="00BC64F4">
        <w:t>[25]</w:t>
      </w:r>
      <w:r w:rsidR="00BC64F4" w:rsidRPr="00C2300B">
        <w:rPr>
          <w:spacing w:val="-10"/>
        </w:rPr>
        <w:t xml:space="preserve"> </w:t>
      </w:r>
      <w:r w:rsidR="00BC64F4">
        <w:t>and</w:t>
      </w:r>
      <w:r w:rsidR="00BC64F4" w:rsidRPr="00C2300B">
        <w:rPr>
          <w:spacing w:val="-10"/>
        </w:rPr>
        <w:t xml:space="preserve"> </w:t>
      </w:r>
      <w:r w:rsidR="00BC64F4">
        <w:t>draft</w:t>
      </w:r>
      <w:r w:rsidR="00BC64F4" w:rsidRPr="00C2300B">
        <w:rPr>
          <w:spacing w:val="-10"/>
        </w:rPr>
        <w:t xml:space="preserve"> </w:t>
      </w:r>
      <w:r w:rsidR="00BC64F4">
        <w:t>ss 28(4)</w:t>
      </w:r>
      <w:r w:rsidR="00BC64F4" w:rsidRPr="00C2300B">
        <w:rPr>
          <w:spacing w:val="-10"/>
        </w:rPr>
        <w:t xml:space="preserve"> </w:t>
      </w:r>
      <w:r w:rsidR="00BC64F4">
        <w:t>and</w:t>
      </w:r>
      <w:r w:rsidR="00BC64F4" w:rsidRPr="00C2300B">
        <w:rPr>
          <w:spacing w:val="-10"/>
        </w:rPr>
        <w:t xml:space="preserve"> </w:t>
      </w:r>
      <w:r w:rsidR="00BC64F4">
        <w:t>33.  So, the</w:t>
      </w:r>
      <w:r w:rsidR="00BC64F4" w:rsidRPr="00C2300B">
        <w:rPr>
          <w:spacing w:val="-13"/>
        </w:rPr>
        <w:t xml:space="preserve"> </w:t>
      </w:r>
      <w:r w:rsidR="00BC64F4">
        <w:t>relevant</w:t>
      </w:r>
      <w:r w:rsidR="00BC64F4" w:rsidRPr="00C2300B">
        <w:rPr>
          <w:spacing w:val="-13"/>
        </w:rPr>
        <w:t xml:space="preserve"> </w:t>
      </w:r>
      <w:r w:rsidR="00BC64F4">
        <w:t>extrinsic</w:t>
      </w:r>
      <w:r w:rsidR="00BC64F4" w:rsidRPr="00C2300B">
        <w:rPr>
          <w:spacing w:val="-13"/>
        </w:rPr>
        <w:t xml:space="preserve"> </w:t>
      </w:r>
      <w:r w:rsidR="00BC64F4">
        <w:t>materials</w:t>
      </w:r>
      <w:r w:rsidR="00BC64F4" w:rsidRPr="00C2300B">
        <w:rPr>
          <w:spacing w:val="-13"/>
        </w:rPr>
        <w:t xml:space="preserve"> </w:t>
      </w:r>
      <w:r w:rsidR="00BC64F4">
        <w:t>do</w:t>
      </w:r>
      <w:r w:rsidR="00BC64F4" w:rsidRPr="00C2300B">
        <w:rPr>
          <w:spacing w:val="-13"/>
        </w:rPr>
        <w:t xml:space="preserve"> </w:t>
      </w:r>
      <w:r w:rsidR="00BC64F4">
        <w:t>not</w:t>
      </w:r>
      <w:r w:rsidR="00BC64F4" w:rsidRPr="00C2300B">
        <w:rPr>
          <w:spacing w:val="-13"/>
        </w:rPr>
        <w:t xml:space="preserve"> </w:t>
      </w:r>
      <w:r w:rsidR="00BC64F4">
        <w:t>assist</w:t>
      </w:r>
      <w:r w:rsidR="00BC64F4" w:rsidRPr="00C2300B">
        <w:rPr>
          <w:spacing w:val="-13"/>
        </w:rPr>
        <w:t xml:space="preserve"> </w:t>
      </w:r>
      <w:r w:rsidR="00BC64F4">
        <w:t>in</w:t>
      </w:r>
      <w:r w:rsidR="00BC64F4" w:rsidRPr="00C2300B">
        <w:rPr>
          <w:spacing w:val="-13"/>
        </w:rPr>
        <w:t xml:space="preserve"> </w:t>
      </w:r>
      <w:r w:rsidR="00BC64F4">
        <w:t>construing s 33</w:t>
      </w:r>
      <w:proofErr w:type="gramStart"/>
      <w:r w:rsidR="00BC64F4">
        <w:t>V(</w:t>
      </w:r>
      <w:proofErr w:type="gramEnd"/>
      <w:r w:rsidR="00BC64F4">
        <w:t>2).</w:t>
      </w:r>
      <w:r w:rsidR="00BC64F4" w:rsidRPr="00C2300B">
        <w:rPr>
          <w:spacing w:val="40"/>
        </w:rPr>
        <w:t xml:space="preserve"> </w:t>
      </w:r>
    </w:p>
    <w:p w14:paraId="68D6EEA6" w14:textId="7891D531" w:rsidR="00BC64F4" w:rsidRPr="00324F96" w:rsidRDefault="0071710E" w:rsidP="0071710E">
      <w:pPr>
        <w:pStyle w:val="ParaNumbering"/>
        <w:numPr>
          <w:ilvl w:val="0"/>
          <w:numId w:val="0"/>
        </w:numPr>
        <w:tabs>
          <w:tab w:val="left" w:pos="720"/>
        </w:tabs>
        <w:ind w:hanging="720"/>
      </w:pPr>
      <w:r w:rsidRPr="00324F96">
        <w:rPr>
          <w:sz w:val="20"/>
        </w:rPr>
        <w:t>103</w:t>
      </w:r>
      <w:r w:rsidRPr="00324F96">
        <w:rPr>
          <w:sz w:val="20"/>
        </w:rPr>
        <w:tab/>
      </w:r>
      <w:r w:rsidR="00BC64F4">
        <w:t>But it is not in doubt that the purpose of Part IVA is</w:t>
      </w:r>
      <w:r w:rsidR="00BC64F4" w:rsidRPr="00324F96">
        <w:t xml:space="preserve"> </w:t>
      </w:r>
      <w:r w:rsidR="00BC64F4">
        <w:t>to</w:t>
      </w:r>
      <w:r w:rsidR="00BC64F4" w:rsidRPr="00324F96">
        <w:t xml:space="preserve"> </w:t>
      </w:r>
      <w:r w:rsidR="00BC64F4">
        <w:t>enhance</w:t>
      </w:r>
      <w:r w:rsidR="00BC64F4" w:rsidRPr="00324F96">
        <w:t xml:space="preserve"> </w:t>
      </w:r>
      <w:r w:rsidR="00BC64F4">
        <w:t>access</w:t>
      </w:r>
      <w:r w:rsidR="00BC64F4" w:rsidRPr="00324F96">
        <w:t xml:space="preserve"> </w:t>
      </w:r>
      <w:r w:rsidR="00BC64F4">
        <w:t>to</w:t>
      </w:r>
      <w:r w:rsidR="00BC64F4" w:rsidRPr="00324F96">
        <w:t xml:space="preserve"> </w:t>
      </w:r>
      <w:r w:rsidR="00BC64F4">
        <w:t>justice</w:t>
      </w:r>
      <w:r w:rsidR="00BC64F4" w:rsidRPr="00324F96">
        <w:t xml:space="preserve"> </w:t>
      </w:r>
      <w:r w:rsidR="00BC64F4">
        <w:t>by</w:t>
      </w:r>
      <w:r w:rsidR="00BC64F4" w:rsidRPr="00324F96">
        <w:t xml:space="preserve"> </w:t>
      </w:r>
      <w:r w:rsidR="00BC64F4">
        <w:t>making</w:t>
      </w:r>
      <w:r w:rsidR="00BC64F4" w:rsidRPr="00324F96">
        <w:t xml:space="preserve"> </w:t>
      </w:r>
      <w:r w:rsidR="00BC64F4">
        <w:t>some</w:t>
      </w:r>
      <w:r w:rsidR="00BC64F4" w:rsidRPr="00324F96">
        <w:t xml:space="preserve"> </w:t>
      </w:r>
      <w:r w:rsidR="00BC64F4">
        <w:t>small</w:t>
      </w:r>
      <w:r w:rsidR="00BC64F4" w:rsidRPr="00324F96">
        <w:t xml:space="preserve"> </w:t>
      </w:r>
      <w:r w:rsidR="00BC64F4">
        <w:t>claims</w:t>
      </w:r>
      <w:r w:rsidR="00BC64F4" w:rsidRPr="00324F96">
        <w:t xml:space="preserve"> </w:t>
      </w:r>
      <w:r w:rsidR="00BC64F4">
        <w:t>economically</w:t>
      </w:r>
      <w:r w:rsidR="00BC64F4" w:rsidRPr="00324F96">
        <w:t xml:space="preserve"> </w:t>
      </w:r>
      <w:r w:rsidR="00BC64F4">
        <w:t>viable</w:t>
      </w:r>
      <w:r w:rsidR="00BC64F4" w:rsidRPr="00324F96">
        <w:t xml:space="preserve"> </w:t>
      </w:r>
      <w:r w:rsidR="00BC64F4">
        <w:t>to litigate,</w:t>
      </w:r>
      <w:r w:rsidR="00BC64F4" w:rsidRPr="00324F96">
        <w:t xml:space="preserve"> </w:t>
      </w:r>
      <w:r w:rsidR="00BC64F4">
        <w:t>and</w:t>
      </w:r>
      <w:r w:rsidR="00BC64F4" w:rsidRPr="00324F96">
        <w:t xml:space="preserve"> to enhance </w:t>
      </w:r>
      <w:r w:rsidR="00BC64F4">
        <w:t>efficiency</w:t>
      </w:r>
      <w:r w:rsidR="00BC64F4" w:rsidRPr="00324F96">
        <w:t xml:space="preserve"> </w:t>
      </w:r>
      <w:r w:rsidR="00BC64F4">
        <w:t>in</w:t>
      </w:r>
      <w:r w:rsidR="00BC64F4" w:rsidRPr="00324F96">
        <w:t xml:space="preserve"> </w:t>
      </w:r>
      <w:r w:rsidR="00BC64F4">
        <w:t>the</w:t>
      </w:r>
      <w:r w:rsidR="00BC64F4" w:rsidRPr="00324F96">
        <w:t xml:space="preserve"> </w:t>
      </w:r>
      <w:r w:rsidR="00BC64F4">
        <w:t>administration</w:t>
      </w:r>
      <w:r w:rsidR="00BC64F4" w:rsidRPr="00324F96">
        <w:t xml:space="preserve"> </w:t>
      </w:r>
      <w:r w:rsidR="00BC64F4">
        <w:t>of</w:t>
      </w:r>
      <w:r w:rsidR="00BC64F4" w:rsidRPr="00324F96">
        <w:t xml:space="preserve"> </w:t>
      </w:r>
      <w:r w:rsidR="00BC64F4">
        <w:t>justice</w:t>
      </w:r>
      <w:r w:rsidR="00BC64F4" w:rsidRPr="00324F96">
        <w:t xml:space="preserve"> </w:t>
      </w:r>
      <w:r w:rsidR="00BC64F4">
        <w:t>by</w:t>
      </w:r>
      <w:r w:rsidR="00BC64F4" w:rsidRPr="00324F96">
        <w:t xml:space="preserve"> </w:t>
      </w:r>
      <w:r w:rsidR="00BC64F4">
        <w:t>enabling</w:t>
      </w:r>
      <w:r w:rsidR="00BC64F4" w:rsidRPr="00324F96">
        <w:t xml:space="preserve"> </w:t>
      </w:r>
      <w:r w:rsidR="00BC64F4">
        <w:t>the</w:t>
      </w:r>
      <w:r w:rsidR="00BC64F4" w:rsidRPr="00324F96">
        <w:t xml:space="preserve"> </w:t>
      </w:r>
      <w:r w:rsidR="00BC64F4">
        <w:t>Court</w:t>
      </w:r>
      <w:r w:rsidR="00BC64F4" w:rsidRPr="00324F96">
        <w:t xml:space="preserve"> </w:t>
      </w:r>
      <w:r w:rsidR="00BC64F4">
        <w:t>to</w:t>
      </w:r>
      <w:r w:rsidR="00BC64F4" w:rsidRPr="00324F96">
        <w:t xml:space="preserve"> </w:t>
      </w:r>
      <w:r w:rsidR="00BC64F4">
        <w:t>deal</w:t>
      </w:r>
      <w:r w:rsidR="00BC64F4" w:rsidRPr="00324F96">
        <w:t xml:space="preserve"> </w:t>
      </w:r>
      <w:r w:rsidR="00BC64F4">
        <w:t xml:space="preserve">with common questions once and for all related claims.  And it is not in doubt that commercial litigation funding has been firmly established as being conducive to the achievement of the legislative objectives of Part IVA.  And in that regard CFOs and funding equalisation orders (FEOs) are also conducive to such objectives. </w:t>
      </w:r>
    </w:p>
    <w:p w14:paraId="188E55C3" w14:textId="79C79451" w:rsidR="00BC64F4" w:rsidRDefault="0071710E" w:rsidP="0071710E">
      <w:pPr>
        <w:pStyle w:val="ParaNumbering"/>
        <w:numPr>
          <w:ilvl w:val="0"/>
          <w:numId w:val="0"/>
        </w:numPr>
        <w:tabs>
          <w:tab w:val="left" w:pos="720"/>
        </w:tabs>
        <w:ind w:hanging="720"/>
        <w:rPr>
          <w:lang w:eastAsia="en-AU"/>
        </w:rPr>
      </w:pPr>
      <w:r>
        <w:rPr>
          <w:sz w:val="20"/>
          <w:lang w:eastAsia="en-AU"/>
        </w:rPr>
        <w:t>104</w:t>
      </w:r>
      <w:r>
        <w:rPr>
          <w:sz w:val="20"/>
          <w:lang w:eastAsia="en-AU"/>
        </w:rPr>
        <w:tab/>
      </w:r>
      <w:r w:rsidR="00BC64F4">
        <w:rPr>
          <w:lang w:eastAsia="en-AU"/>
        </w:rPr>
        <w:t>There is a further aspect to context and purpose.  If context is broadened beyond the confines of Part IVA, there is analogical guidance to be obtained from dealing with a context where a stranger by his exertions creates for the benefit of other persons a fund that would not otherwise have been available to them.  It would be orthodox to construe the broad discretionary power in s 33</w:t>
      </w:r>
      <w:proofErr w:type="gramStart"/>
      <w:r w:rsidR="00BC64F4">
        <w:rPr>
          <w:lang w:eastAsia="en-AU"/>
        </w:rPr>
        <w:t>V(</w:t>
      </w:r>
      <w:proofErr w:type="gramEnd"/>
      <w:r w:rsidR="00BC64F4">
        <w:rPr>
          <w:lang w:eastAsia="en-AU"/>
        </w:rPr>
        <w:t xml:space="preserve">2) as accommodating by adaption and adoption mechanisms developed in analogous situations arising in other areas of law. </w:t>
      </w:r>
    </w:p>
    <w:p w14:paraId="277CCC32" w14:textId="5159B6D3" w:rsidR="00BC64F4" w:rsidRDefault="0071710E" w:rsidP="0071710E">
      <w:pPr>
        <w:pStyle w:val="ParaNumbering"/>
        <w:numPr>
          <w:ilvl w:val="0"/>
          <w:numId w:val="0"/>
        </w:numPr>
        <w:tabs>
          <w:tab w:val="left" w:pos="720"/>
        </w:tabs>
        <w:ind w:hanging="720"/>
      </w:pPr>
      <w:r>
        <w:rPr>
          <w:sz w:val="20"/>
        </w:rPr>
        <w:t>105</w:t>
      </w:r>
      <w:r>
        <w:rPr>
          <w:sz w:val="20"/>
        </w:rPr>
        <w:tab/>
      </w:r>
      <w:r w:rsidR="00BC64F4">
        <w:t>The</w:t>
      </w:r>
      <w:r w:rsidR="00BC64F4">
        <w:rPr>
          <w:spacing w:val="-4"/>
        </w:rPr>
        <w:t xml:space="preserve"> </w:t>
      </w:r>
      <w:r w:rsidR="00BC64F4">
        <w:t>situations</w:t>
      </w:r>
      <w:r w:rsidR="00BC64F4">
        <w:rPr>
          <w:spacing w:val="-5"/>
        </w:rPr>
        <w:t xml:space="preserve"> </w:t>
      </w:r>
      <w:r w:rsidR="00BC64F4">
        <w:t>in</w:t>
      </w:r>
      <w:r w:rsidR="00BC64F4">
        <w:rPr>
          <w:spacing w:val="-5"/>
        </w:rPr>
        <w:t xml:space="preserve"> </w:t>
      </w:r>
      <w:r w:rsidR="00BC64F4">
        <w:t>which</w:t>
      </w:r>
      <w:r w:rsidR="00BC64F4">
        <w:rPr>
          <w:spacing w:val="-4"/>
        </w:rPr>
        <w:t xml:space="preserve"> </w:t>
      </w:r>
      <w:r w:rsidR="00BC64F4">
        <w:t>the</w:t>
      </w:r>
      <w:r w:rsidR="00BC64F4">
        <w:rPr>
          <w:spacing w:val="-5"/>
        </w:rPr>
        <w:t xml:space="preserve"> </w:t>
      </w:r>
      <w:r w:rsidR="00BC64F4">
        <w:t>question</w:t>
      </w:r>
      <w:r w:rsidR="00BC64F4">
        <w:rPr>
          <w:spacing w:val="-5"/>
        </w:rPr>
        <w:t xml:space="preserve"> </w:t>
      </w:r>
      <w:r w:rsidR="00BC64F4">
        <w:t>of</w:t>
      </w:r>
      <w:r w:rsidR="00BC64F4">
        <w:rPr>
          <w:spacing w:val="-5"/>
        </w:rPr>
        <w:t xml:space="preserve"> </w:t>
      </w:r>
      <w:r w:rsidR="00BC64F4">
        <w:t>a</w:t>
      </w:r>
      <w:r w:rsidR="00BC64F4">
        <w:rPr>
          <w:spacing w:val="-4"/>
        </w:rPr>
        <w:t xml:space="preserve"> </w:t>
      </w:r>
      <w:r w:rsidR="00BC64F4">
        <w:t>settlement</w:t>
      </w:r>
      <w:r w:rsidR="00BC64F4">
        <w:rPr>
          <w:spacing w:val="-4"/>
        </w:rPr>
        <w:t xml:space="preserve"> </w:t>
      </w:r>
      <w:r w:rsidR="00BC64F4">
        <w:t>CFO</w:t>
      </w:r>
      <w:r w:rsidR="00BC64F4">
        <w:rPr>
          <w:spacing w:val="-4"/>
        </w:rPr>
        <w:t xml:space="preserve"> </w:t>
      </w:r>
      <w:r w:rsidR="00BC64F4">
        <w:t>will</w:t>
      </w:r>
      <w:r w:rsidR="00BC64F4">
        <w:rPr>
          <w:spacing w:val="-4"/>
        </w:rPr>
        <w:t xml:space="preserve"> </w:t>
      </w:r>
      <w:r w:rsidR="00BC64F4">
        <w:t>arise</w:t>
      </w:r>
      <w:r w:rsidR="00BC64F4">
        <w:rPr>
          <w:spacing w:val="-4"/>
        </w:rPr>
        <w:t xml:space="preserve"> </w:t>
      </w:r>
      <w:r w:rsidR="00BC64F4">
        <w:t>are</w:t>
      </w:r>
      <w:r w:rsidR="00BC64F4">
        <w:rPr>
          <w:spacing w:val="-4"/>
        </w:rPr>
        <w:t xml:space="preserve"> </w:t>
      </w:r>
      <w:r w:rsidR="00BC64F4">
        <w:t>analogous</w:t>
      </w:r>
      <w:r w:rsidR="00BC64F4">
        <w:rPr>
          <w:spacing w:val="-4"/>
        </w:rPr>
        <w:t xml:space="preserve"> </w:t>
      </w:r>
      <w:r w:rsidR="00BC64F4">
        <w:t>to</w:t>
      </w:r>
      <w:r w:rsidR="00BC64F4">
        <w:rPr>
          <w:spacing w:val="-4"/>
        </w:rPr>
        <w:t xml:space="preserve"> </w:t>
      </w:r>
      <w:r w:rsidR="00BC64F4">
        <w:t>situations</w:t>
      </w:r>
      <w:r w:rsidR="00BC64F4">
        <w:rPr>
          <w:spacing w:val="-4"/>
        </w:rPr>
        <w:t xml:space="preserve"> </w:t>
      </w:r>
      <w:r w:rsidR="00BC64F4">
        <w:t>of</w:t>
      </w:r>
      <w:r w:rsidR="00BC64F4">
        <w:rPr>
          <w:spacing w:val="-4"/>
        </w:rPr>
        <w:t xml:space="preserve"> </w:t>
      </w:r>
      <w:r w:rsidR="00BC64F4">
        <w:t>maritime</w:t>
      </w:r>
      <w:r w:rsidR="00BC64F4">
        <w:rPr>
          <w:spacing w:val="-4"/>
        </w:rPr>
        <w:t xml:space="preserve"> </w:t>
      </w:r>
      <w:r w:rsidR="00BC64F4">
        <w:t xml:space="preserve">salvage, notwithstanding that Nettle J in </w:t>
      </w:r>
      <w:r w:rsidR="00BC64F4">
        <w:rPr>
          <w:i/>
          <w:iCs/>
        </w:rPr>
        <w:t xml:space="preserve">BMW Australia Ltd v Brewster </w:t>
      </w:r>
      <w:r w:rsidR="00BC64F4">
        <w:t>(2019) 269 CLR 574 at [125] sought to spike such a discussion when dealing with s 33</w:t>
      </w:r>
      <w:proofErr w:type="gramStart"/>
      <w:r w:rsidR="00BC64F4">
        <w:t>ZF(</w:t>
      </w:r>
      <w:proofErr w:type="gramEnd"/>
      <w:r w:rsidR="00BC64F4">
        <w:t>1).  Of course, we are here not concerned with s 33</w:t>
      </w:r>
      <w:proofErr w:type="gramStart"/>
      <w:r w:rsidR="00BC64F4">
        <w:t>ZF(</w:t>
      </w:r>
      <w:proofErr w:type="gramEnd"/>
      <w:r w:rsidR="00BC64F4">
        <w:t>1) but rather s 33V(2).  As with salvage, the exertions of a stranger, which here is the funder who has assumed the financial burden of the litigation commenced</w:t>
      </w:r>
      <w:r w:rsidR="00BC64F4">
        <w:rPr>
          <w:spacing w:val="-4"/>
        </w:rPr>
        <w:t xml:space="preserve"> </w:t>
      </w:r>
      <w:r w:rsidR="00BC64F4">
        <w:t>by</w:t>
      </w:r>
      <w:r w:rsidR="00BC64F4">
        <w:rPr>
          <w:spacing w:val="-4"/>
        </w:rPr>
        <w:t xml:space="preserve"> </w:t>
      </w:r>
      <w:r w:rsidR="00BC64F4">
        <w:t>the</w:t>
      </w:r>
      <w:r w:rsidR="00BC64F4">
        <w:rPr>
          <w:spacing w:val="-4"/>
        </w:rPr>
        <w:t xml:space="preserve"> </w:t>
      </w:r>
      <w:r w:rsidR="00BC64F4">
        <w:t>applicant</w:t>
      </w:r>
      <w:r w:rsidR="00BC64F4">
        <w:rPr>
          <w:spacing w:val="-4"/>
        </w:rPr>
        <w:t xml:space="preserve">, </w:t>
      </w:r>
      <w:r w:rsidR="00BC64F4">
        <w:t>result</w:t>
      </w:r>
      <w:r w:rsidR="00BC64F4">
        <w:rPr>
          <w:spacing w:val="-4"/>
        </w:rPr>
        <w:t xml:space="preserve"> </w:t>
      </w:r>
      <w:r w:rsidR="00BC64F4">
        <w:t>in</w:t>
      </w:r>
      <w:r w:rsidR="00BC64F4">
        <w:rPr>
          <w:spacing w:val="-4"/>
        </w:rPr>
        <w:t xml:space="preserve"> </w:t>
      </w:r>
      <w:r w:rsidR="00BC64F4">
        <w:t>the</w:t>
      </w:r>
      <w:r w:rsidR="00BC64F4">
        <w:rPr>
          <w:spacing w:val="-4"/>
        </w:rPr>
        <w:t xml:space="preserve"> </w:t>
      </w:r>
      <w:r w:rsidR="00BC64F4">
        <w:t>obtaining</w:t>
      </w:r>
      <w:r w:rsidR="00BC64F4">
        <w:rPr>
          <w:spacing w:val="-4"/>
        </w:rPr>
        <w:t xml:space="preserve"> </w:t>
      </w:r>
      <w:r w:rsidR="00BC64F4">
        <w:t>of</w:t>
      </w:r>
      <w:r w:rsidR="00BC64F4">
        <w:rPr>
          <w:spacing w:val="-4"/>
        </w:rPr>
        <w:t xml:space="preserve"> </w:t>
      </w:r>
      <w:r w:rsidR="00BC64F4">
        <w:t>a</w:t>
      </w:r>
      <w:r w:rsidR="00BC64F4">
        <w:rPr>
          <w:spacing w:val="-4"/>
        </w:rPr>
        <w:t xml:space="preserve"> </w:t>
      </w:r>
      <w:r w:rsidR="00BC64F4">
        <w:t>fund</w:t>
      </w:r>
      <w:r w:rsidR="00BC64F4">
        <w:rPr>
          <w:spacing w:val="-4"/>
        </w:rPr>
        <w:t xml:space="preserve"> </w:t>
      </w:r>
      <w:r w:rsidR="00BC64F4">
        <w:t>or</w:t>
      </w:r>
      <w:r w:rsidR="00BC64F4">
        <w:rPr>
          <w:spacing w:val="-4"/>
        </w:rPr>
        <w:t xml:space="preserve"> </w:t>
      </w:r>
      <w:r w:rsidR="00BC64F4">
        <w:t>retrieval</w:t>
      </w:r>
      <w:r w:rsidR="00BC64F4">
        <w:rPr>
          <w:spacing w:val="-4"/>
        </w:rPr>
        <w:t xml:space="preserve"> </w:t>
      </w:r>
      <w:r w:rsidR="00BC64F4">
        <w:t>of</w:t>
      </w:r>
      <w:r w:rsidR="00BC64F4">
        <w:rPr>
          <w:spacing w:val="-4"/>
        </w:rPr>
        <w:t xml:space="preserve"> </w:t>
      </w:r>
      <w:r w:rsidR="00BC64F4">
        <w:t>property, which can be levied as the source of remuneration for the stranger.</w:t>
      </w:r>
      <w:r w:rsidR="00BC64F4">
        <w:rPr>
          <w:spacing w:val="40"/>
        </w:rPr>
        <w:t xml:space="preserve"> </w:t>
      </w:r>
      <w:r w:rsidR="00BC64F4">
        <w:t>And</w:t>
      </w:r>
      <w:r w:rsidR="00BC64F4">
        <w:rPr>
          <w:spacing w:val="-12"/>
        </w:rPr>
        <w:t xml:space="preserve"> </w:t>
      </w:r>
      <w:r w:rsidR="00BC64F4">
        <w:t>like</w:t>
      </w:r>
      <w:r w:rsidR="00BC64F4">
        <w:rPr>
          <w:spacing w:val="-11"/>
        </w:rPr>
        <w:t xml:space="preserve"> </w:t>
      </w:r>
      <w:r w:rsidR="00BC64F4">
        <w:t>salvage,</w:t>
      </w:r>
      <w:r w:rsidR="00BC64F4">
        <w:rPr>
          <w:spacing w:val="-11"/>
        </w:rPr>
        <w:t xml:space="preserve"> </w:t>
      </w:r>
      <w:r w:rsidR="00BC64F4">
        <w:t>the</w:t>
      </w:r>
      <w:r w:rsidR="00BC64F4">
        <w:rPr>
          <w:spacing w:val="-12"/>
        </w:rPr>
        <w:t xml:space="preserve"> </w:t>
      </w:r>
      <w:r w:rsidR="00BC64F4">
        <w:t>rate</w:t>
      </w:r>
      <w:r w:rsidR="00BC64F4">
        <w:rPr>
          <w:spacing w:val="-12"/>
        </w:rPr>
        <w:t xml:space="preserve"> </w:t>
      </w:r>
      <w:r w:rsidR="00BC64F4">
        <w:t>of</w:t>
      </w:r>
      <w:r w:rsidR="00BC64F4">
        <w:rPr>
          <w:spacing w:val="-12"/>
        </w:rPr>
        <w:t xml:space="preserve"> </w:t>
      </w:r>
      <w:r w:rsidR="00BC64F4">
        <w:t>remuneration</w:t>
      </w:r>
      <w:r w:rsidR="00BC64F4">
        <w:rPr>
          <w:spacing w:val="-11"/>
        </w:rPr>
        <w:t xml:space="preserve"> </w:t>
      </w:r>
      <w:r w:rsidR="00BC64F4">
        <w:t>ought equitably to reflect not merely the out of pockets incurred by the stranger but also the opportunity</w:t>
      </w:r>
      <w:r w:rsidR="00BC64F4">
        <w:rPr>
          <w:spacing w:val="-7"/>
        </w:rPr>
        <w:t xml:space="preserve"> </w:t>
      </w:r>
      <w:r w:rsidR="00BC64F4">
        <w:t>cost</w:t>
      </w:r>
      <w:r w:rsidR="00BC64F4">
        <w:rPr>
          <w:spacing w:val="-7"/>
        </w:rPr>
        <w:t xml:space="preserve"> </w:t>
      </w:r>
      <w:r w:rsidR="00BC64F4">
        <w:t>of</w:t>
      </w:r>
      <w:r w:rsidR="00BC64F4">
        <w:rPr>
          <w:spacing w:val="-7"/>
        </w:rPr>
        <w:t xml:space="preserve"> </w:t>
      </w:r>
      <w:r w:rsidR="00BC64F4">
        <w:t>forgoing</w:t>
      </w:r>
      <w:r w:rsidR="00BC64F4">
        <w:rPr>
          <w:spacing w:val="-7"/>
        </w:rPr>
        <w:t xml:space="preserve"> </w:t>
      </w:r>
      <w:r w:rsidR="00BC64F4">
        <w:t>other</w:t>
      </w:r>
      <w:r w:rsidR="00BC64F4">
        <w:rPr>
          <w:spacing w:val="-7"/>
        </w:rPr>
        <w:t xml:space="preserve"> </w:t>
      </w:r>
      <w:r w:rsidR="00BC64F4">
        <w:t>uses</w:t>
      </w:r>
      <w:r w:rsidR="00BC64F4">
        <w:rPr>
          <w:spacing w:val="-7"/>
        </w:rPr>
        <w:t xml:space="preserve"> </w:t>
      </w:r>
      <w:r w:rsidR="00BC64F4">
        <w:t>for</w:t>
      </w:r>
      <w:r w:rsidR="00BC64F4">
        <w:rPr>
          <w:spacing w:val="-8"/>
        </w:rPr>
        <w:t xml:space="preserve"> </w:t>
      </w:r>
      <w:r w:rsidR="00BC64F4">
        <w:t>the</w:t>
      </w:r>
      <w:r w:rsidR="00BC64F4">
        <w:rPr>
          <w:spacing w:val="-7"/>
        </w:rPr>
        <w:t xml:space="preserve"> </w:t>
      </w:r>
      <w:r w:rsidR="00BC64F4">
        <w:t>funds</w:t>
      </w:r>
      <w:r w:rsidR="00BC64F4">
        <w:rPr>
          <w:spacing w:val="-7"/>
        </w:rPr>
        <w:t xml:space="preserve"> </w:t>
      </w:r>
      <w:r w:rsidR="00BC64F4">
        <w:t>expended (</w:t>
      </w:r>
      <w:r w:rsidR="00BC64F4">
        <w:rPr>
          <w:i/>
        </w:rPr>
        <w:t xml:space="preserve">Brewster </w:t>
      </w:r>
      <w:r w:rsidR="00BC64F4">
        <w:t>at [199] per Edelman J).</w:t>
      </w:r>
    </w:p>
    <w:p w14:paraId="79B25009" w14:textId="3CEC53DA" w:rsidR="00BC64F4" w:rsidRDefault="0071710E" w:rsidP="0071710E">
      <w:pPr>
        <w:pStyle w:val="ParaNumbering"/>
        <w:numPr>
          <w:ilvl w:val="0"/>
          <w:numId w:val="0"/>
        </w:numPr>
        <w:tabs>
          <w:tab w:val="left" w:pos="720"/>
        </w:tabs>
        <w:ind w:hanging="720"/>
      </w:pPr>
      <w:r>
        <w:rPr>
          <w:sz w:val="20"/>
        </w:rPr>
        <w:t>106</w:t>
      </w:r>
      <w:r>
        <w:rPr>
          <w:sz w:val="20"/>
        </w:rPr>
        <w:tab/>
      </w:r>
      <w:r w:rsidR="00BC64F4">
        <w:t xml:space="preserve">Further, one can conjure up an analogy from the alchemy of equity.  As Lee J observed in </w:t>
      </w:r>
      <w:proofErr w:type="spellStart"/>
      <w:r w:rsidR="00BC64F4">
        <w:rPr>
          <w:i/>
        </w:rPr>
        <w:t>Asirifi</w:t>
      </w:r>
      <w:proofErr w:type="spellEnd"/>
      <w:r w:rsidR="00BC64F4">
        <w:rPr>
          <w:i/>
        </w:rPr>
        <w:t xml:space="preserve">-Otchere v Swann Insurance (Aust) Pty Ltd (No 3) </w:t>
      </w:r>
      <w:r w:rsidR="00BC64F4">
        <w:t xml:space="preserve">(2020) 385 ALR </w:t>
      </w:r>
      <w:r w:rsidR="00BC64F4" w:rsidRPr="00E63B77">
        <w:t>625 at [39],</w:t>
      </w:r>
      <w:r w:rsidR="00BC64F4">
        <w:t xml:space="preserve"> no group member has an</w:t>
      </w:r>
      <w:r w:rsidR="00BC64F4">
        <w:rPr>
          <w:spacing w:val="-1"/>
        </w:rPr>
        <w:t xml:space="preserve"> </w:t>
      </w:r>
      <w:r w:rsidR="00BC64F4">
        <w:t>ascertained interest in the settlement fund created by a class action, and each requires the aid of the Court to claim their</w:t>
      </w:r>
      <w:r w:rsidR="00BC64F4">
        <w:rPr>
          <w:spacing w:val="-5"/>
        </w:rPr>
        <w:t xml:space="preserve"> </w:t>
      </w:r>
      <w:r w:rsidR="00BC64F4">
        <w:t>share.  Each</w:t>
      </w:r>
      <w:r w:rsidR="00BC64F4">
        <w:rPr>
          <w:spacing w:val="-5"/>
        </w:rPr>
        <w:t xml:space="preserve"> </w:t>
      </w:r>
      <w:r w:rsidR="00BC64F4">
        <w:t>claim</w:t>
      </w:r>
      <w:r w:rsidR="00BC64F4">
        <w:rPr>
          <w:spacing w:val="-5"/>
        </w:rPr>
        <w:t xml:space="preserve"> </w:t>
      </w:r>
      <w:r w:rsidR="00BC64F4">
        <w:t>is at the least closely</w:t>
      </w:r>
      <w:r w:rsidR="00BC64F4">
        <w:rPr>
          <w:spacing w:val="-5"/>
        </w:rPr>
        <w:t xml:space="preserve"> </w:t>
      </w:r>
      <w:r w:rsidR="00BC64F4">
        <w:t>analogous</w:t>
      </w:r>
      <w:r w:rsidR="00BC64F4">
        <w:rPr>
          <w:spacing w:val="-9"/>
        </w:rPr>
        <w:t xml:space="preserve"> </w:t>
      </w:r>
      <w:r w:rsidR="00BC64F4">
        <w:t>to</w:t>
      </w:r>
      <w:r w:rsidR="00BC64F4">
        <w:rPr>
          <w:spacing w:val="-5"/>
        </w:rPr>
        <w:t xml:space="preserve"> </w:t>
      </w:r>
      <w:r w:rsidR="00BC64F4">
        <w:t>that</w:t>
      </w:r>
      <w:r w:rsidR="00BC64F4">
        <w:rPr>
          <w:spacing w:val="-5"/>
        </w:rPr>
        <w:t xml:space="preserve"> </w:t>
      </w:r>
      <w:r w:rsidR="00BC64F4">
        <w:t>of</w:t>
      </w:r>
      <w:r w:rsidR="00BC64F4">
        <w:rPr>
          <w:spacing w:val="-5"/>
        </w:rPr>
        <w:t xml:space="preserve"> </w:t>
      </w:r>
      <w:r w:rsidR="00BC64F4">
        <w:t>a</w:t>
      </w:r>
      <w:r w:rsidR="00BC64F4">
        <w:rPr>
          <w:spacing w:val="-5"/>
        </w:rPr>
        <w:t xml:space="preserve"> </w:t>
      </w:r>
      <w:r w:rsidR="00BC64F4">
        <w:t xml:space="preserve">beneficiary. And because he who seeks equity must do equity, it is inequitable for the person who has created or realised </w:t>
      </w:r>
      <w:proofErr w:type="gramStart"/>
      <w:r w:rsidR="00BC64F4">
        <w:t>a valuable asset</w:t>
      </w:r>
      <w:proofErr w:type="gramEnd"/>
      <w:r w:rsidR="00BC64F4">
        <w:t xml:space="preserve"> not to have their costs,</w:t>
      </w:r>
      <w:r w:rsidR="00BC64F4">
        <w:rPr>
          <w:spacing w:val="-7"/>
        </w:rPr>
        <w:t xml:space="preserve"> </w:t>
      </w:r>
      <w:r w:rsidR="00BC64F4">
        <w:t>expenses</w:t>
      </w:r>
      <w:r w:rsidR="00BC64F4">
        <w:rPr>
          <w:spacing w:val="-6"/>
        </w:rPr>
        <w:t xml:space="preserve"> </w:t>
      </w:r>
      <w:r w:rsidR="00BC64F4" w:rsidRPr="00E63B77">
        <w:t>and</w:t>
      </w:r>
      <w:r w:rsidR="00BC64F4" w:rsidRPr="00E63B77">
        <w:rPr>
          <w:spacing w:val="-7"/>
        </w:rPr>
        <w:t xml:space="preserve"> </w:t>
      </w:r>
      <w:r w:rsidR="00BC64F4" w:rsidRPr="00E63B77">
        <w:t>fees</w:t>
      </w:r>
      <w:r w:rsidR="00BC64F4">
        <w:rPr>
          <w:i/>
          <w:spacing w:val="-8"/>
        </w:rPr>
        <w:t xml:space="preserve"> </w:t>
      </w:r>
      <w:r w:rsidR="00BC64F4">
        <w:t>incurred</w:t>
      </w:r>
      <w:r w:rsidR="00BC64F4">
        <w:rPr>
          <w:spacing w:val="-6"/>
        </w:rPr>
        <w:t xml:space="preserve"> </w:t>
      </w:r>
      <w:r w:rsidR="00BC64F4">
        <w:t>in</w:t>
      </w:r>
      <w:r w:rsidR="00BC64F4">
        <w:rPr>
          <w:spacing w:val="-6"/>
        </w:rPr>
        <w:t xml:space="preserve"> </w:t>
      </w:r>
      <w:r w:rsidR="00BC64F4">
        <w:t>producing</w:t>
      </w:r>
      <w:r w:rsidR="00BC64F4">
        <w:rPr>
          <w:spacing w:val="-6"/>
        </w:rPr>
        <w:t xml:space="preserve"> </w:t>
      </w:r>
      <w:r w:rsidR="00BC64F4">
        <w:t>the</w:t>
      </w:r>
      <w:r w:rsidR="00BC64F4">
        <w:rPr>
          <w:spacing w:val="-6"/>
        </w:rPr>
        <w:t xml:space="preserve"> </w:t>
      </w:r>
      <w:r w:rsidR="00BC64F4">
        <w:t>asset</w:t>
      </w:r>
      <w:r w:rsidR="00BC64F4">
        <w:rPr>
          <w:spacing w:val="-6"/>
        </w:rPr>
        <w:t xml:space="preserve"> </w:t>
      </w:r>
      <w:r w:rsidR="00BC64F4">
        <w:t>paid</w:t>
      </w:r>
      <w:r w:rsidR="00BC64F4">
        <w:rPr>
          <w:spacing w:val="-6"/>
        </w:rPr>
        <w:t xml:space="preserve"> </w:t>
      </w:r>
      <w:r w:rsidR="00BC64F4">
        <w:t>out</w:t>
      </w:r>
      <w:r w:rsidR="00BC64F4">
        <w:rPr>
          <w:spacing w:val="-6"/>
        </w:rPr>
        <w:t xml:space="preserve"> </w:t>
      </w:r>
      <w:r w:rsidR="00BC64F4">
        <w:t>of</w:t>
      </w:r>
      <w:r w:rsidR="00BC64F4">
        <w:rPr>
          <w:spacing w:val="-6"/>
        </w:rPr>
        <w:t xml:space="preserve"> </w:t>
      </w:r>
      <w:r w:rsidR="00BC64F4">
        <w:t>the</w:t>
      </w:r>
      <w:r w:rsidR="00BC64F4">
        <w:rPr>
          <w:spacing w:val="-6"/>
        </w:rPr>
        <w:t xml:space="preserve"> very </w:t>
      </w:r>
      <w:r w:rsidR="00BC64F4">
        <w:t>fund</w:t>
      </w:r>
      <w:r w:rsidR="00BC64F4">
        <w:rPr>
          <w:spacing w:val="-6"/>
        </w:rPr>
        <w:t xml:space="preserve"> </w:t>
      </w:r>
      <w:r w:rsidR="00BC64F4">
        <w:t>or</w:t>
      </w:r>
      <w:r w:rsidR="00BC64F4">
        <w:rPr>
          <w:spacing w:val="-6"/>
        </w:rPr>
        <w:t xml:space="preserve"> </w:t>
      </w:r>
      <w:r w:rsidR="00BC64F4">
        <w:t xml:space="preserve">property that that person’s efforts have created.  </w:t>
      </w:r>
      <w:r w:rsidR="00BC64F4" w:rsidRPr="009017EA">
        <w:t xml:space="preserve">This is not to say that the funder has any legal or equitable right to a share of the unfunded group members’ awards under these principles.  </w:t>
      </w:r>
    </w:p>
    <w:p w14:paraId="48B55A1D" w14:textId="4D4A780C" w:rsidR="00BC64F4" w:rsidRDefault="0071710E" w:rsidP="0071710E">
      <w:pPr>
        <w:pStyle w:val="ParaNumbering"/>
        <w:numPr>
          <w:ilvl w:val="0"/>
          <w:numId w:val="0"/>
        </w:numPr>
        <w:tabs>
          <w:tab w:val="left" w:pos="720"/>
        </w:tabs>
        <w:ind w:hanging="720"/>
      </w:pPr>
      <w:r>
        <w:rPr>
          <w:sz w:val="20"/>
        </w:rPr>
        <w:t>107</w:t>
      </w:r>
      <w:r>
        <w:rPr>
          <w:sz w:val="20"/>
        </w:rPr>
        <w:tab/>
      </w:r>
      <w:r w:rsidR="00BC64F4">
        <w:t xml:space="preserve">For present purposes I do not need to linger further on such questions, let alone approach the event horizon of </w:t>
      </w:r>
      <w:proofErr w:type="spellStart"/>
      <w:r w:rsidR="00BC64F4">
        <w:t>restitutionary</w:t>
      </w:r>
      <w:proofErr w:type="spellEnd"/>
      <w:r w:rsidR="00BC64F4">
        <w:t xml:space="preserve"> theory. </w:t>
      </w:r>
    </w:p>
    <w:p w14:paraId="704ED34A" w14:textId="2D55BD43" w:rsidR="00BC64F4" w:rsidRDefault="0071710E" w:rsidP="0071710E">
      <w:pPr>
        <w:pStyle w:val="ParaNumbering"/>
        <w:numPr>
          <w:ilvl w:val="0"/>
          <w:numId w:val="0"/>
        </w:numPr>
        <w:tabs>
          <w:tab w:val="left" w:pos="720"/>
        </w:tabs>
        <w:ind w:hanging="720"/>
      </w:pPr>
      <w:r>
        <w:rPr>
          <w:sz w:val="20"/>
        </w:rPr>
        <w:t>108</w:t>
      </w:r>
      <w:r>
        <w:rPr>
          <w:sz w:val="20"/>
        </w:rPr>
        <w:tab/>
      </w:r>
      <w:r w:rsidR="00BC64F4">
        <w:t xml:space="preserve">Let me now turn to </w:t>
      </w:r>
      <w:r w:rsidR="00BC64F4">
        <w:rPr>
          <w:i/>
          <w:iCs/>
        </w:rPr>
        <w:t xml:space="preserve">Brewster </w:t>
      </w:r>
      <w:r w:rsidR="00BC64F4">
        <w:t>as this is said, surprisingly, to be authority against the existence of statutory power to make a settlement CFO under s 33</w:t>
      </w:r>
      <w:proofErr w:type="gramStart"/>
      <w:r w:rsidR="00BC64F4">
        <w:t>V(</w:t>
      </w:r>
      <w:proofErr w:type="gramEnd"/>
      <w:r w:rsidR="00BC64F4">
        <w:t xml:space="preserve">2). </w:t>
      </w:r>
    </w:p>
    <w:p w14:paraId="1B0CA609" w14:textId="77777777" w:rsidR="00BC64F4" w:rsidRDefault="00BC64F4" w:rsidP="00BC64F4">
      <w:pPr>
        <w:pStyle w:val="Heading4"/>
      </w:pPr>
      <w:r>
        <w:t xml:space="preserve">What did </w:t>
      </w:r>
      <w:r w:rsidRPr="00D24310">
        <w:t xml:space="preserve">Brewster </w:t>
      </w:r>
      <w:proofErr w:type="gramStart"/>
      <w:r>
        <w:t>actually decide</w:t>
      </w:r>
      <w:proofErr w:type="gramEnd"/>
      <w:r>
        <w:t>?</w:t>
      </w:r>
    </w:p>
    <w:p w14:paraId="4F4A6D54" w14:textId="0EAA10DE" w:rsidR="00BC64F4" w:rsidRDefault="0071710E" w:rsidP="0071710E">
      <w:pPr>
        <w:pStyle w:val="ParaNumbering"/>
        <w:numPr>
          <w:ilvl w:val="0"/>
          <w:numId w:val="0"/>
        </w:numPr>
        <w:tabs>
          <w:tab w:val="left" w:pos="720"/>
        </w:tabs>
        <w:ind w:hanging="720"/>
      </w:pPr>
      <w:r>
        <w:rPr>
          <w:sz w:val="20"/>
        </w:rPr>
        <w:t>109</w:t>
      </w:r>
      <w:r>
        <w:rPr>
          <w:sz w:val="20"/>
        </w:rPr>
        <w:tab/>
      </w:r>
      <w:r w:rsidR="00BC64F4">
        <w:t xml:space="preserve">What is clear from </w:t>
      </w:r>
      <w:r w:rsidR="00BC64F4">
        <w:rPr>
          <w:i/>
        </w:rPr>
        <w:t xml:space="preserve">Brewster </w:t>
      </w:r>
      <w:r w:rsidR="00BC64F4">
        <w:t>is that it concerned neither s 33</w:t>
      </w:r>
      <w:proofErr w:type="gramStart"/>
      <w:r w:rsidR="00BC64F4">
        <w:t>V(</w:t>
      </w:r>
      <w:proofErr w:type="gramEnd"/>
      <w:r w:rsidR="00BC64F4">
        <w:t>2) nor settlement CFOs.  The case dealt with the now described gap filling s 33</w:t>
      </w:r>
      <w:proofErr w:type="gramStart"/>
      <w:r w:rsidR="00BC64F4">
        <w:t>ZF(</w:t>
      </w:r>
      <w:proofErr w:type="gramEnd"/>
      <w:r w:rsidR="00BC64F4">
        <w:t xml:space="preserve">1) and early CFOs to be made, so it was said, for the purpose of facilitating the interests of funders and to maintain the financial viability of proceedings. </w:t>
      </w:r>
    </w:p>
    <w:p w14:paraId="755102FC" w14:textId="6785AF7C" w:rsidR="00BC64F4" w:rsidRDefault="0071710E" w:rsidP="0071710E">
      <w:pPr>
        <w:pStyle w:val="ParaNumbering"/>
        <w:numPr>
          <w:ilvl w:val="0"/>
          <w:numId w:val="0"/>
        </w:numPr>
        <w:tabs>
          <w:tab w:val="left" w:pos="720"/>
        </w:tabs>
        <w:ind w:hanging="720"/>
      </w:pPr>
      <w:r>
        <w:rPr>
          <w:sz w:val="20"/>
        </w:rPr>
        <w:t>110</w:t>
      </w:r>
      <w:r>
        <w:rPr>
          <w:sz w:val="20"/>
        </w:rPr>
        <w:tab/>
      </w:r>
      <w:r w:rsidR="00BC64F4">
        <w:t xml:space="preserve">Let me begin by re-iterating aspects of what I said in </w:t>
      </w:r>
      <w:r w:rsidR="00BC64F4">
        <w:rPr>
          <w:i/>
          <w:iCs/>
        </w:rPr>
        <w:t xml:space="preserve">Evans v </w:t>
      </w:r>
      <w:proofErr w:type="spellStart"/>
      <w:r w:rsidR="00BC64F4">
        <w:rPr>
          <w:i/>
          <w:iCs/>
        </w:rPr>
        <w:t>Davantage</w:t>
      </w:r>
      <w:proofErr w:type="spellEnd"/>
      <w:r w:rsidR="00BC64F4">
        <w:rPr>
          <w:i/>
          <w:iCs/>
        </w:rPr>
        <w:t xml:space="preserve"> Group Pty Ltd (No 2) </w:t>
      </w:r>
      <w:r w:rsidR="00BC64F4">
        <w:t xml:space="preserve">[2020] FCA 473 at [49] to [57], referred to in </w:t>
      </w:r>
      <w:r w:rsidR="00BC64F4">
        <w:rPr>
          <w:i/>
          <w:iCs/>
        </w:rPr>
        <w:t xml:space="preserve">Davaria Pty Ltd v 7-Eleven Stores Pty Ltd </w:t>
      </w:r>
      <w:r w:rsidR="00BC64F4">
        <w:t>(2020) 281 FCR 501 (</w:t>
      </w:r>
      <w:r w:rsidR="00BC64F4">
        <w:rPr>
          <w:i/>
          <w:iCs/>
        </w:rPr>
        <w:t>Davaria FC</w:t>
      </w:r>
      <w:r w:rsidR="00BC64F4">
        <w:t xml:space="preserve">) at [33] per Lee J, and see more generally his views at [34] to [42] with which I agree.  </w:t>
      </w:r>
    </w:p>
    <w:p w14:paraId="3FEC64B9" w14:textId="0B6CC9C8" w:rsidR="00BC64F4" w:rsidRDefault="0071710E" w:rsidP="0071710E">
      <w:pPr>
        <w:pStyle w:val="ParaNumbering"/>
        <w:numPr>
          <w:ilvl w:val="0"/>
          <w:numId w:val="0"/>
        </w:numPr>
        <w:tabs>
          <w:tab w:val="left" w:pos="720"/>
        </w:tabs>
        <w:ind w:hanging="720"/>
      </w:pPr>
      <w:r>
        <w:rPr>
          <w:sz w:val="20"/>
        </w:rPr>
        <w:t>111</w:t>
      </w:r>
      <w:r>
        <w:rPr>
          <w:sz w:val="20"/>
        </w:rPr>
        <w:tab/>
      </w:r>
      <w:r w:rsidR="00BC64F4">
        <w:t xml:space="preserve">The plurality in </w:t>
      </w:r>
      <w:r w:rsidR="00BC64F4" w:rsidRPr="00B0069E">
        <w:rPr>
          <w:i/>
        </w:rPr>
        <w:t>Brewster</w:t>
      </w:r>
      <w:r w:rsidR="00BC64F4">
        <w:t>, Kiefel CJ, Bell and Keane JJ, emphasised that whilst the power provided by s 33</w:t>
      </w:r>
      <w:proofErr w:type="gramStart"/>
      <w:r w:rsidR="00BC64F4">
        <w:t>ZF(</w:t>
      </w:r>
      <w:proofErr w:type="gramEnd"/>
      <w:r w:rsidR="00BC64F4">
        <w:t>1) is wide, it is essentially a supplementary or gap-filling power.  And as a supplementary source of power for Part IVA, it is not to be supposed that s 33</w:t>
      </w:r>
      <w:proofErr w:type="gramStart"/>
      <w:r w:rsidR="00BC64F4">
        <w:t>ZF(</w:t>
      </w:r>
      <w:proofErr w:type="gramEnd"/>
      <w:r w:rsidR="00BC64F4">
        <w:t>1) was intended to meet the exigencies of litigation not adverted to at all by the provisions of Part IVA. So, s 33</w:t>
      </w:r>
      <w:proofErr w:type="gramStart"/>
      <w:r w:rsidR="00BC64F4">
        <w:t>ZF(</w:t>
      </w:r>
      <w:proofErr w:type="gramEnd"/>
      <w:r w:rsidR="00BC64F4">
        <w:t>1) may not be “relied upon as a source of power to do work beyond that done by the specific provisions which the text and structure of the legislation show it was intended to supplement” (at [70]). Section 33</w:t>
      </w:r>
      <w:proofErr w:type="gramStart"/>
      <w:r w:rsidR="00BC64F4">
        <w:t>ZF(</w:t>
      </w:r>
      <w:proofErr w:type="gramEnd"/>
      <w:r w:rsidR="00BC64F4">
        <w:t>1) “cannot be given a more expansive construction and a wider scope of operation than the other provisions of the scheme”.  And to do so would be to use s 33ZF “as a vehicle to rewrite the scheme of the legislation” (at [70]).  Rather, s 33</w:t>
      </w:r>
      <w:proofErr w:type="gramStart"/>
      <w:r w:rsidR="00BC64F4">
        <w:t>ZF(</w:t>
      </w:r>
      <w:proofErr w:type="gramEnd"/>
      <w:r w:rsidR="00BC64F4">
        <w:t>1) has the effect of “support[</w:t>
      </w:r>
      <w:proofErr w:type="spellStart"/>
      <w:r w:rsidR="00BC64F4">
        <w:t>ing</w:t>
      </w:r>
      <w:proofErr w:type="spellEnd"/>
      <w:r w:rsidR="00BC64F4">
        <w:t xml:space="preserve">] any interlocutory procedural order necessary to ensure that the pleaded issues are resolved justly between the parties” (at [21]).  Of course, a just resolution could include </w:t>
      </w:r>
      <w:r w:rsidR="00BC64F4" w:rsidRPr="0022429A">
        <w:t>a judgment (s 33</w:t>
      </w:r>
      <w:r w:rsidR="00BC64F4">
        <w:t>Z</w:t>
      </w:r>
      <w:r w:rsidR="00BC64F4" w:rsidRPr="0022429A">
        <w:t>) or a</w:t>
      </w:r>
      <w:r w:rsidR="00BC64F4">
        <w:t xml:space="preserve">n approved </w:t>
      </w:r>
      <w:r w:rsidR="00BC64F4" w:rsidRPr="0022429A">
        <w:t>settlement</w:t>
      </w:r>
      <w:r w:rsidR="00BC64F4">
        <w:t xml:space="preserve"> (s 33V).</w:t>
      </w:r>
    </w:p>
    <w:p w14:paraId="6AE0EBB0" w14:textId="0323B1E8" w:rsidR="00BC64F4" w:rsidRDefault="0071710E" w:rsidP="0071710E">
      <w:pPr>
        <w:pStyle w:val="ParaNumbering"/>
        <w:numPr>
          <w:ilvl w:val="0"/>
          <w:numId w:val="0"/>
        </w:numPr>
        <w:tabs>
          <w:tab w:val="left" w:pos="720"/>
        </w:tabs>
        <w:ind w:hanging="720"/>
      </w:pPr>
      <w:r>
        <w:rPr>
          <w:sz w:val="20"/>
        </w:rPr>
        <w:t>112</w:t>
      </w:r>
      <w:r>
        <w:rPr>
          <w:sz w:val="20"/>
        </w:rPr>
        <w:tab/>
      </w:r>
      <w:r w:rsidR="00BC64F4">
        <w:t>Let me say something about Nettle J’s analysis, which resonates harmoniously with that of the plurality, so that I can then synthesise the common themes of the majority.  I will discuss the reasons of Gordon J later to the extent that they travel beyond the views of the plurality and Nettle J.</w:t>
      </w:r>
    </w:p>
    <w:p w14:paraId="51BEC103" w14:textId="19483B9D" w:rsidR="00BC64F4" w:rsidRDefault="0071710E" w:rsidP="0071710E">
      <w:pPr>
        <w:pStyle w:val="ParaNumbering"/>
        <w:numPr>
          <w:ilvl w:val="0"/>
          <w:numId w:val="0"/>
        </w:numPr>
        <w:tabs>
          <w:tab w:val="left" w:pos="720"/>
        </w:tabs>
        <w:ind w:hanging="720"/>
      </w:pPr>
      <w:r>
        <w:rPr>
          <w:sz w:val="20"/>
        </w:rPr>
        <w:t>113</w:t>
      </w:r>
      <w:r>
        <w:rPr>
          <w:sz w:val="20"/>
        </w:rPr>
        <w:tab/>
      </w:r>
      <w:r w:rsidR="00BC64F4">
        <w:t>As I have said, the issue before the Court concerned the exercise of power under s 33</w:t>
      </w:r>
      <w:proofErr w:type="gramStart"/>
      <w:r w:rsidR="00BC64F4">
        <w:t>ZF(</w:t>
      </w:r>
      <w:proofErr w:type="gramEnd"/>
      <w:r w:rsidR="00BC64F4">
        <w:t>1) to make a CFO at an early stage of the proceedings.  The issue did not concern any settlement approval under s 33</w:t>
      </w:r>
      <w:proofErr w:type="gramStart"/>
      <w:r w:rsidR="00BC64F4">
        <w:t>V(</w:t>
      </w:r>
      <w:proofErr w:type="gramEnd"/>
      <w:r w:rsidR="00BC64F4">
        <w:t xml:space="preserve">1) or the exercise of any power under s 33V(2). </w:t>
      </w:r>
    </w:p>
    <w:p w14:paraId="1DFF7685" w14:textId="7441BEF9" w:rsidR="00BC64F4" w:rsidRDefault="0071710E" w:rsidP="0071710E">
      <w:pPr>
        <w:pStyle w:val="ParaNumbering"/>
        <w:numPr>
          <w:ilvl w:val="0"/>
          <w:numId w:val="0"/>
        </w:numPr>
        <w:tabs>
          <w:tab w:val="left" w:pos="720"/>
        </w:tabs>
        <w:ind w:hanging="720"/>
      </w:pPr>
      <w:r>
        <w:rPr>
          <w:sz w:val="20"/>
        </w:rPr>
        <w:t>114</w:t>
      </w:r>
      <w:r>
        <w:rPr>
          <w:sz w:val="20"/>
        </w:rPr>
        <w:tab/>
      </w:r>
      <w:r w:rsidR="00BC64F4">
        <w:t>Understandably then, Nettle J carefully expressed himself by reference to s 33</w:t>
      </w:r>
      <w:proofErr w:type="gramStart"/>
      <w:r w:rsidR="00BC64F4">
        <w:t>ZF(</w:t>
      </w:r>
      <w:proofErr w:type="gramEnd"/>
      <w:r w:rsidR="00BC64F4">
        <w:t>1) and referred to “a common fund order (“CFO”) of the kind in issue in these matters” (at [122]) and “the kind of CFOs sought in these matters” (at [125]).  His context and kind was an early CFO which he held was not empowered by s 33</w:t>
      </w:r>
      <w:proofErr w:type="gramStart"/>
      <w:r w:rsidR="00BC64F4">
        <w:t>ZF(</w:t>
      </w:r>
      <w:proofErr w:type="gramEnd"/>
      <w:r w:rsidR="00BC64F4">
        <w:t xml:space="preserve">1) and was outside the legislative purpose; such a purpose “did not extend to addressing uncertainties on the part of litigation funders as to the financial viability of funding such proceedings” (at [126]).  But contrastingly, s 33V speaks to the other end of the time spectrum where the action is for all practical purposes over and no such </w:t>
      </w:r>
      <w:r w:rsidR="00BC64F4" w:rsidRPr="00B0069E">
        <w:rPr>
          <w:i/>
        </w:rPr>
        <w:t xml:space="preserve">in </w:t>
      </w:r>
      <w:proofErr w:type="spellStart"/>
      <w:r w:rsidR="00BC64F4" w:rsidRPr="00B0069E">
        <w:rPr>
          <w:i/>
        </w:rPr>
        <w:t>futuro</w:t>
      </w:r>
      <w:proofErr w:type="spellEnd"/>
      <w:r w:rsidR="00BC64F4" w:rsidRPr="00E96221">
        <w:t xml:space="preserve"> </w:t>
      </w:r>
      <w:r w:rsidR="00BC64F4">
        <w:t>uncertainties or financial viability of funding questions are in play.</w:t>
      </w:r>
    </w:p>
    <w:p w14:paraId="6C728B67" w14:textId="28E85641" w:rsidR="00BC64F4" w:rsidRDefault="0071710E" w:rsidP="0071710E">
      <w:pPr>
        <w:pStyle w:val="ParaNumbering"/>
        <w:numPr>
          <w:ilvl w:val="0"/>
          <w:numId w:val="0"/>
        </w:numPr>
        <w:tabs>
          <w:tab w:val="left" w:pos="720"/>
        </w:tabs>
        <w:ind w:hanging="720"/>
      </w:pPr>
      <w:r>
        <w:rPr>
          <w:sz w:val="20"/>
        </w:rPr>
        <w:t>115</w:t>
      </w:r>
      <w:r>
        <w:rPr>
          <w:sz w:val="20"/>
        </w:rPr>
        <w:tab/>
      </w:r>
      <w:r w:rsidR="00BC64F4">
        <w:t>So, he was clearly contrasting “the broad generality of s 33</w:t>
      </w:r>
      <w:proofErr w:type="gramStart"/>
      <w:r w:rsidR="00BC64F4">
        <w:t>ZF(</w:t>
      </w:r>
      <w:proofErr w:type="gramEnd"/>
      <w:r w:rsidR="00BC64F4">
        <w:t>1)” with “the detail and specificity of other provisions such as… s 33V…” (at [124]).  But he accepted that s 33</w:t>
      </w:r>
      <w:proofErr w:type="gramStart"/>
      <w:r w:rsidR="00BC64F4">
        <w:t>ZF(</w:t>
      </w:r>
      <w:proofErr w:type="gramEnd"/>
      <w:r w:rsidR="00BC64F4">
        <w:t>1) could be used as a</w:t>
      </w:r>
      <w:r w:rsidR="00BC64F4" w:rsidRPr="0022429A">
        <w:rPr>
          <w:i/>
        </w:rPr>
        <w:t xml:space="preserve"> </w:t>
      </w:r>
      <w:r w:rsidR="00BC64F4" w:rsidRPr="009017EA">
        <w:rPr>
          <w:iCs/>
        </w:rPr>
        <w:t>supplementary</w:t>
      </w:r>
      <w:r w:rsidR="00BC64F4" w:rsidRPr="00E96221">
        <w:t xml:space="preserve"> </w:t>
      </w:r>
      <w:r w:rsidR="00BC64F4">
        <w:t>power to do what was necessary or incidental to achieving the objectives of, inter alia, s 33V itself including facilitating a just outcome and finality.  Of course, necessarily anterior to that is a settlement in principle that may have been achieved through mediation.  In other words, exercising a power to facilitate a mediation is consonant with achieving such an objective, and within the power or purpose of s 33</w:t>
      </w:r>
      <w:proofErr w:type="gramStart"/>
      <w:r w:rsidR="00BC64F4">
        <w:t>ZF(</w:t>
      </w:r>
      <w:proofErr w:type="gramEnd"/>
      <w:r w:rsidR="00BC64F4">
        <w:t>1).</w:t>
      </w:r>
    </w:p>
    <w:p w14:paraId="015AEC60" w14:textId="7200EF46" w:rsidR="00BC64F4" w:rsidRDefault="0071710E" w:rsidP="0071710E">
      <w:pPr>
        <w:pStyle w:val="ParaNumbering"/>
        <w:numPr>
          <w:ilvl w:val="0"/>
          <w:numId w:val="0"/>
        </w:numPr>
        <w:tabs>
          <w:tab w:val="left" w:pos="720"/>
        </w:tabs>
        <w:ind w:hanging="720"/>
      </w:pPr>
      <w:r>
        <w:rPr>
          <w:sz w:val="20"/>
        </w:rPr>
        <w:t>116</w:t>
      </w:r>
      <w:r>
        <w:rPr>
          <w:sz w:val="20"/>
        </w:rPr>
        <w:tab/>
      </w:r>
      <w:proofErr w:type="gramStart"/>
      <w:r w:rsidR="00BC64F4">
        <w:t>It would seem that Nettle</w:t>
      </w:r>
      <w:proofErr w:type="gramEnd"/>
      <w:r w:rsidR="00BC64F4">
        <w:t xml:space="preserve"> J considered that his analysis was consistent with the plurality’s views on the matters that I have just described.  And if you take the plurality’s view together with Nettle J’s view, then you can synthesise the following themes from the combination.</w:t>
      </w:r>
    </w:p>
    <w:p w14:paraId="182ADF64" w14:textId="5BAF5FF4" w:rsidR="00BC64F4" w:rsidRDefault="0071710E" w:rsidP="0071710E">
      <w:pPr>
        <w:pStyle w:val="ParaNumbering"/>
        <w:numPr>
          <w:ilvl w:val="0"/>
          <w:numId w:val="0"/>
        </w:numPr>
        <w:tabs>
          <w:tab w:val="left" w:pos="720"/>
        </w:tabs>
        <w:ind w:hanging="720"/>
      </w:pPr>
      <w:r>
        <w:rPr>
          <w:sz w:val="20"/>
        </w:rPr>
        <w:t>117</w:t>
      </w:r>
      <w:r>
        <w:rPr>
          <w:sz w:val="20"/>
        </w:rPr>
        <w:tab/>
      </w:r>
      <w:r w:rsidR="00BC64F4">
        <w:t>First, s 33</w:t>
      </w:r>
      <w:proofErr w:type="gramStart"/>
      <w:r w:rsidR="00BC64F4">
        <w:t>ZF(</w:t>
      </w:r>
      <w:proofErr w:type="gramEnd"/>
      <w:r w:rsidR="00BC64F4">
        <w:t xml:space="preserve">1) is a power only to be exercised in the context of </w:t>
      </w:r>
      <w:r w:rsidR="00BC64F4" w:rsidRPr="0022429A">
        <w:rPr>
          <w:i/>
        </w:rPr>
        <w:t>how</w:t>
      </w:r>
      <w:r w:rsidR="00BC64F4" w:rsidRPr="00E96221">
        <w:t xml:space="preserve"> </w:t>
      </w:r>
      <w:r w:rsidR="00BC64F4">
        <w:t>an action should proceed in order to do justice.</w:t>
      </w:r>
    </w:p>
    <w:p w14:paraId="3FC8C1DE" w14:textId="34988EE9" w:rsidR="00BC64F4" w:rsidRDefault="0071710E" w:rsidP="0071710E">
      <w:pPr>
        <w:pStyle w:val="ParaNumbering"/>
        <w:numPr>
          <w:ilvl w:val="0"/>
          <w:numId w:val="0"/>
        </w:numPr>
        <w:tabs>
          <w:tab w:val="left" w:pos="720"/>
        </w:tabs>
        <w:ind w:hanging="720"/>
      </w:pPr>
      <w:r>
        <w:rPr>
          <w:sz w:val="20"/>
        </w:rPr>
        <w:t>118</w:t>
      </w:r>
      <w:r>
        <w:rPr>
          <w:sz w:val="20"/>
        </w:rPr>
        <w:tab/>
      </w:r>
      <w:r w:rsidR="00BC64F4">
        <w:t>Second, s 33</w:t>
      </w:r>
      <w:proofErr w:type="gramStart"/>
      <w:r w:rsidR="00BC64F4">
        <w:t>ZF(</w:t>
      </w:r>
      <w:proofErr w:type="gramEnd"/>
      <w:r w:rsidR="00BC64F4">
        <w:t xml:space="preserve">1) can be used “to support any interlocutory procedural order necessary to ensure that the pleaded issues are resolved justly between the parties” (at [21]) or “to bring the matter to a fair hearing on a just basis” (at [45] citing the words of </w:t>
      </w:r>
      <w:proofErr w:type="spellStart"/>
      <w:r w:rsidR="00BC64F4">
        <w:t>Tamberlin</w:t>
      </w:r>
      <w:proofErr w:type="spellEnd"/>
      <w:r w:rsidR="00BC64F4">
        <w:t xml:space="preserve"> J). But s 33</w:t>
      </w:r>
      <w:proofErr w:type="gramStart"/>
      <w:r w:rsidR="00BC64F4">
        <w:t>ZF(</w:t>
      </w:r>
      <w:proofErr w:type="gramEnd"/>
      <w:r w:rsidR="00BC64F4">
        <w:t>1) is essentially supplementary or “gap-filling” notwithstanding that it is broad (at [46], [60], [69] and [70]).  So, and importantly, it was in the context of those observations that it was said that s 33</w:t>
      </w:r>
      <w:proofErr w:type="gramStart"/>
      <w:r w:rsidR="00BC64F4">
        <w:t>ZF(</w:t>
      </w:r>
      <w:proofErr w:type="gramEnd"/>
      <w:r w:rsidR="00BC64F4">
        <w:t>1) could be used to “ensure that the proceeding is brought fairly and effectively to a just outcome” (at [47], [50], [51] and [54]).  And the concept of just outcome was not to be decontextualised and read up to be looked at from the perspective only of the applicant and group members.</w:t>
      </w:r>
    </w:p>
    <w:p w14:paraId="13C22C05" w14:textId="08A81E21" w:rsidR="00BC64F4" w:rsidRDefault="0071710E" w:rsidP="0071710E">
      <w:pPr>
        <w:pStyle w:val="ParaNumbering"/>
        <w:numPr>
          <w:ilvl w:val="0"/>
          <w:numId w:val="0"/>
        </w:numPr>
        <w:tabs>
          <w:tab w:val="left" w:pos="720"/>
        </w:tabs>
        <w:ind w:hanging="720"/>
      </w:pPr>
      <w:r>
        <w:rPr>
          <w:sz w:val="20"/>
        </w:rPr>
        <w:t>119</w:t>
      </w:r>
      <w:r>
        <w:rPr>
          <w:sz w:val="20"/>
        </w:rPr>
        <w:tab/>
      </w:r>
      <w:r w:rsidR="00BC64F4">
        <w:t>But clearly, none of this says anything about the proper construction and ambit of s 33</w:t>
      </w:r>
      <w:proofErr w:type="gramStart"/>
      <w:r w:rsidR="00BC64F4">
        <w:t>V(</w:t>
      </w:r>
      <w:proofErr w:type="gramEnd"/>
      <w:r w:rsidR="00BC64F4">
        <w:t xml:space="preserve">2) let alone the power to make settlement CFOs under s 33V(2).  </w:t>
      </w:r>
    </w:p>
    <w:p w14:paraId="1B1F66D4" w14:textId="69193F8E" w:rsidR="00BC64F4" w:rsidRDefault="0071710E" w:rsidP="0071710E">
      <w:pPr>
        <w:pStyle w:val="ParaNumbering"/>
        <w:numPr>
          <w:ilvl w:val="0"/>
          <w:numId w:val="0"/>
        </w:numPr>
        <w:tabs>
          <w:tab w:val="left" w:pos="720"/>
        </w:tabs>
        <w:ind w:hanging="720"/>
      </w:pPr>
      <w:r>
        <w:rPr>
          <w:sz w:val="20"/>
        </w:rPr>
        <w:t>120</w:t>
      </w:r>
      <w:r>
        <w:rPr>
          <w:sz w:val="20"/>
        </w:rPr>
        <w:tab/>
      </w:r>
      <w:r w:rsidR="00BC64F4">
        <w:t xml:space="preserve">Now Gordon J in </w:t>
      </w:r>
      <w:r w:rsidR="00BC64F4">
        <w:rPr>
          <w:i/>
        </w:rPr>
        <w:t xml:space="preserve">Brewster </w:t>
      </w:r>
      <w:r w:rsidR="00BC64F4">
        <w:t>did not see s 33</w:t>
      </w:r>
      <w:proofErr w:type="gramStart"/>
      <w:r w:rsidR="00BC64F4">
        <w:t>V(</w:t>
      </w:r>
      <w:proofErr w:type="gramEnd"/>
      <w:r w:rsidR="00BC64F4">
        <w:t>2) as “</w:t>
      </w:r>
      <w:proofErr w:type="spellStart"/>
      <w:r w:rsidR="00BC64F4">
        <w:t>envisag</w:t>
      </w:r>
      <w:proofErr w:type="spellEnd"/>
      <w:r w:rsidR="00BC64F4">
        <w:t>[</w:t>
      </w:r>
      <w:proofErr w:type="spellStart"/>
      <w:r w:rsidR="00BC64F4">
        <w:t>ing</w:t>
      </w:r>
      <w:proofErr w:type="spellEnd"/>
      <w:r w:rsidR="00BC64F4">
        <w:t>] a Court making orders with respect to the economics of a proceeding by ensuring that a litigation funder obtains a particular return on funds invested” (at [141]).</w:t>
      </w:r>
      <w:r w:rsidR="00BC64F4">
        <w:rPr>
          <w:spacing w:val="40"/>
        </w:rPr>
        <w:t xml:space="preserve">  </w:t>
      </w:r>
      <w:r w:rsidR="00BC64F4" w:rsidRPr="009017EA">
        <w:t>But t</w:t>
      </w:r>
      <w:r w:rsidR="00BC64F4">
        <w:t>hat observation does not deny that the Court could find that it is just to make a settlement CFO under s 33</w:t>
      </w:r>
      <w:proofErr w:type="gramStart"/>
      <w:r w:rsidR="00BC64F4">
        <w:t>V(</w:t>
      </w:r>
      <w:proofErr w:type="gramEnd"/>
      <w:r w:rsidR="00BC64F4">
        <w:t>2).  A settlement CFO is made only after such funding has been provided and drawn down.  It is not concerned with the economics of a proceeding as such. And the words that follow “by ensuring …” are subordinate to the preceding phrase.  The lens is what is “just”, but the after the event output of course has economic consequences.  Further,</w:t>
      </w:r>
      <w:r w:rsidR="00BC64F4">
        <w:rPr>
          <w:spacing w:val="-1"/>
        </w:rPr>
        <w:t xml:space="preserve"> </w:t>
      </w:r>
      <w:r w:rsidR="00BC64F4">
        <w:t>Gordon</w:t>
      </w:r>
      <w:r w:rsidR="00BC64F4">
        <w:rPr>
          <w:spacing w:val="-5"/>
        </w:rPr>
        <w:t xml:space="preserve"> </w:t>
      </w:r>
      <w:r w:rsidR="00BC64F4">
        <w:t>J’s</w:t>
      </w:r>
      <w:r w:rsidR="00BC64F4">
        <w:rPr>
          <w:spacing w:val="-4"/>
        </w:rPr>
        <w:t xml:space="preserve"> </w:t>
      </w:r>
      <w:r w:rsidR="00BC64F4">
        <w:t>view</w:t>
      </w:r>
      <w:r w:rsidR="00BC64F4">
        <w:rPr>
          <w:spacing w:val="-4"/>
        </w:rPr>
        <w:t xml:space="preserve"> </w:t>
      </w:r>
      <w:r w:rsidR="00BC64F4">
        <w:t>is</w:t>
      </w:r>
      <w:r w:rsidR="00BC64F4">
        <w:rPr>
          <w:spacing w:val="-4"/>
        </w:rPr>
        <w:t xml:space="preserve"> </w:t>
      </w:r>
      <w:r w:rsidR="00BC64F4">
        <w:t>obiter</w:t>
      </w:r>
      <w:r w:rsidR="00BC64F4">
        <w:rPr>
          <w:spacing w:val="-5"/>
        </w:rPr>
        <w:t xml:space="preserve"> </w:t>
      </w:r>
      <w:r w:rsidR="00BC64F4">
        <w:t>dicta and</w:t>
      </w:r>
      <w:r w:rsidR="00BC64F4">
        <w:rPr>
          <w:spacing w:val="-1"/>
        </w:rPr>
        <w:t xml:space="preserve"> </w:t>
      </w:r>
      <w:r w:rsidR="00BC64F4">
        <w:t>expressed</w:t>
      </w:r>
      <w:r w:rsidR="00BC64F4">
        <w:rPr>
          <w:spacing w:val="-5"/>
        </w:rPr>
        <w:t xml:space="preserve"> </w:t>
      </w:r>
      <w:r w:rsidR="00BC64F4">
        <w:t>without</w:t>
      </w:r>
      <w:r w:rsidR="00BC64F4">
        <w:rPr>
          <w:spacing w:val="-2"/>
        </w:rPr>
        <w:t xml:space="preserve"> </w:t>
      </w:r>
      <w:r w:rsidR="00BC64F4">
        <w:t>the</w:t>
      </w:r>
      <w:r w:rsidR="00BC64F4">
        <w:rPr>
          <w:spacing w:val="-7"/>
        </w:rPr>
        <w:t xml:space="preserve"> </w:t>
      </w:r>
      <w:r w:rsidR="00BC64F4">
        <w:t>benefit</w:t>
      </w:r>
      <w:r w:rsidR="00BC64F4">
        <w:rPr>
          <w:spacing w:val="-7"/>
        </w:rPr>
        <w:t xml:space="preserve"> </w:t>
      </w:r>
      <w:r w:rsidR="00BC64F4">
        <w:t>of argument</w:t>
      </w:r>
      <w:r w:rsidR="00BC64F4" w:rsidRPr="00E91909">
        <w:rPr>
          <w:spacing w:val="-5"/>
        </w:rPr>
        <w:t xml:space="preserve"> </w:t>
      </w:r>
      <w:r w:rsidR="00BC64F4">
        <w:t>on the</w:t>
      </w:r>
      <w:r w:rsidR="00BC64F4" w:rsidRPr="00E91909">
        <w:rPr>
          <w:spacing w:val="-5"/>
        </w:rPr>
        <w:t xml:space="preserve"> </w:t>
      </w:r>
      <w:r w:rsidR="00BC64F4">
        <w:rPr>
          <w:spacing w:val="-5"/>
        </w:rPr>
        <w:t xml:space="preserve">ambit and operation of s 33V. </w:t>
      </w:r>
      <w:r w:rsidR="00BC64F4">
        <w:t xml:space="preserve"> And</w:t>
      </w:r>
      <w:r w:rsidR="00BC64F4" w:rsidRPr="00E91909">
        <w:rPr>
          <w:spacing w:val="-3"/>
        </w:rPr>
        <w:t xml:space="preserve"> </w:t>
      </w:r>
      <w:r w:rsidR="00BC64F4">
        <w:rPr>
          <w:spacing w:val="-3"/>
        </w:rPr>
        <w:t>r</w:t>
      </w:r>
      <w:r w:rsidR="00BC64F4">
        <w:t xml:space="preserve">easons for judgment must be read </w:t>
      </w:r>
      <w:r w:rsidR="00BC64F4">
        <w:rPr>
          <w:i/>
        </w:rPr>
        <w:t xml:space="preserve">secundum </w:t>
      </w:r>
      <w:proofErr w:type="spellStart"/>
      <w:r w:rsidR="00BC64F4">
        <w:rPr>
          <w:i/>
        </w:rPr>
        <w:t>subjectam</w:t>
      </w:r>
      <w:proofErr w:type="spellEnd"/>
      <w:r w:rsidR="00BC64F4">
        <w:rPr>
          <w:i/>
        </w:rPr>
        <w:t xml:space="preserve"> </w:t>
      </w:r>
      <w:proofErr w:type="spellStart"/>
      <w:r w:rsidR="00BC64F4">
        <w:rPr>
          <w:i/>
        </w:rPr>
        <w:t>materiam</w:t>
      </w:r>
      <w:proofErr w:type="spellEnd"/>
      <w:r w:rsidR="00BC64F4">
        <w:t>.</w:t>
      </w:r>
    </w:p>
    <w:p w14:paraId="1EB89089" w14:textId="3690B916" w:rsidR="00BC64F4" w:rsidRDefault="0071710E" w:rsidP="0071710E">
      <w:pPr>
        <w:pStyle w:val="ParaNumbering"/>
        <w:numPr>
          <w:ilvl w:val="0"/>
          <w:numId w:val="0"/>
        </w:numPr>
        <w:tabs>
          <w:tab w:val="left" w:pos="720"/>
        </w:tabs>
        <w:ind w:hanging="720"/>
      </w:pPr>
      <w:r>
        <w:rPr>
          <w:sz w:val="20"/>
        </w:rPr>
        <w:t>121</w:t>
      </w:r>
      <w:r>
        <w:rPr>
          <w:sz w:val="20"/>
        </w:rPr>
        <w:tab/>
      </w:r>
      <w:r w:rsidR="00BC64F4">
        <w:t>I should say for completeness that there is another way of reading what her Honour said (at [141]) which may bring her within the tent so to speak, that is, in conformity with the plurality and Nettle J where s 33</w:t>
      </w:r>
      <w:proofErr w:type="gramStart"/>
      <w:r w:rsidR="00BC64F4">
        <w:t>V(</w:t>
      </w:r>
      <w:proofErr w:type="gramEnd"/>
      <w:r w:rsidR="00BC64F4">
        <w:t>2) was irrelevant to the controversy being adjudicated upon.  If you read [141] in context, structurally it appears in a broader section which is just describing the legislative scheme ([136] to [145]).  In other words, in this part of her Honour’s reasons there is no attempt to chart the metes and bounds of s 33V; and she does not undertake that task later, unsurprisingly, because it was not in play.  Further, in the immediately preceding [140], her Honour discusses a viability threshold and the like, which is all concerned with the context of an early CFO. Now all of this may suggest that the last sentence of [141] is not addressing s 33</w:t>
      </w:r>
      <w:proofErr w:type="gramStart"/>
      <w:r w:rsidR="00BC64F4">
        <w:t>V(</w:t>
      </w:r>
      <w:proofErr w:type="gramEnd"/>
      <w:r w:rsidR="00BC64F4">
        <w:t>2) and settlement CFOs, but merely pointing out that s 33V(2) has nothing to do with early CFOs and viability thresholds concerning “the economics of a proceeding…”.  And if that be so, then there is no member of that Court who has poured cold water on the idea that s 33</w:t>
      </w:r>
      <w:proofErr w:type="gramStart"/>
      <w:r w:rsidR="00BC64F4">
        <w:t>V(</w:t>
      </w:r>
      <w:proofErr w:type="gramEnd"/>
      <w:r w:rsidR="00BC64F4">
        <w:t xml:space="preserve">2) empowers the making of a settlement CFO.  Of course though, the plurality and Gordon J have telegraphed their preference for FEOs over CFOs, although to do so does not deny the </w:t>
      </w:r>
      <w:r w:rsidR="00BC64F4">
        <w:rPr>
          <w:i/>
          <w:iCs/>
        </w:rPr>
        <w:t xml:space="preserve">existence </w:t>
      </w:r>
      <w:r w:rsidR="00BC64F4">
        <w:t>of power to make a settlement CFO under s 33</w:t>
      </w:r>
      <w:proofErr w:type="gramStart"/>
      <w:r w:rsidR="00BC64F4">
        <w:t>V(</w:t>
      </w:r>
      <w:proofErr w:type="gramEnd"/>
      <w:r w:rsidR="00BC64F4">
        <w:t xml:space="preserve">2).  Rather, such a preference could only at most go to the </w:t>
      </w:r>
      <w:r w:rsidR="00BC64F4">
        <w:rPr>
          <w:i/>
          <w:iCs/>
        </w:rPr>
        <w:t>exercise</w:t>
      </w:r>
      <w:r w:rsidR="00BC64F4">
        <w:t xml:space="preserve"> of power under s 33</w:t>
      </w:r>
      <w:proofErr w:type="gramStart"/>
      <w:r w:rsidR="00BC64F4">
        <w:t>V(</w:t>
      </w:r>
      <w:proofErr w:type="gramEnd"/>
      <w:r w:rsidR="00BC64F4">
        <w:t>2).  Let me return to s 33</w:t>
      </w:r>
      <w:proofErr w:type="gramStart"/>
      <w:r w:rsidR="00BC64F4">
        <w:t>V(</w:t>
      </w:r>
      <w:proofErr w:type="gramEnd"/>
      <w:r w:rsidR="00BC64F4">
        <w:t xml:space="preserve">2). </w:t>
      </w:r>
    </w:p>
    <w:p w14:paraId="298D901E" w14:textId="49860C3F" w:rsidR="00BC64F4" w:rsidRDefault="0071710E" w:rsidP="0071710E">
      <w:pPr>
        <w:pStyle w:val="ParaNumbering"/>
        <w:numPr>
          <w:ilvl w:val="0"/>
          <w:numId w:val="0"/>
        </w:numPr>
        <w:tabs>
          <w:tab w:val="left" w:pos="720"/>
        </w:tabs>
        <w:ind w:hanging="720"/>
      </w:pPr>
      <w:r>
        <w:rPr>
          <w:sz w:val="20"/>
        </w:rPr>
        <w:t>122</w:t>
      </w:r>
      <w:r>
        <w:rPr>
          <w:sz w:val="20"/>
        </w:rPr>
        <w:tab/>
      </w:r>
      <w:r w:rsidR="00BC64F4">
        <w:t>Section 33</w:t>
      </w:r>
      <w:proofErr w:type="gramStart"/>
      <w:r w:rsidR="00BC64F4">
        <w:t>V(</w:t>
      </w:r>
      <w:proofErr w:type="gramEnd"/>
      <w:r w:rsidR="00BC64F4">
        <w:t>2)</w:t>
      </w:r>
      <w:r w:rsidR="00BC64F4" w:rsidRPr="00E91909">
        <w:rPr>
          <w:spacing w:val="-1"/>
        </w:rPr>
        <w:t xml:space="preserve"> </w:t>
      </w:r>
      <w:r w:rsidR="00BC64F4">
        <w:t>is</w:t>
      </w:r>
      <w:r w:rsidR="00BC64F4" w:rsidRPr="00E91909">
        <w:rPr>
          <w:spacing w:val="-1"/>
        </w:rPr>
        <w:t xml:space="preserve"> </w:t>
      </w:r>
      <w:r w:rsidR="00BC64F4">
        <w:t>not a</w:t>
      </w:r>
      <w:r w:rsidR="00BC64F4" w:rsidRPr="00E91909">
        <w:rPr>
          <w:spacing w:val="-4"/>
        </w:rPr>
        <w:t xml:space="preserve"> </w:t>
      </w:r>
      <w:r w:rsidR="00BC64F4">
        <w:t>“gap-filling”</w:t>
      </w:r>
      <w:r w:rsidR="00BC64F4" w:rsidRPr="00E91909">
        <w:rPr>
          <w:spacing w:val="-4"/>
        </w:rPr>
        <w:t xml:space="preserve"> </w:t>
      </w:r>
      <w:r w:rsidR="00BC64F4">
        <w:t xml:space="preserve">power.  </w:t>
      </w:r>
      <w:r w:rsidR="00BC64F4" w:rsidRPr="00E91909">
        <w:rPr>
          <w:spacing w:val="40"/>
        </w:rPr>
        <w:t xml:space="preserve"> </w:t>
      </w:r>
      <w:r w:rsidR="00BC64F4">
        <w:t>Rather,</w:t>
      </w:r>
      <w:r w:rsidR="00BC64F4" w:rsidRPr="00E91909">
        <w:rPr>
          <w:spacing w:val="-4"/>
        </w:rPr>
        <w:t xml:space="preserve"> </w:t>
      </w:r>
      <w:r w:rsidR="00BC64F4">
        <w:t>it</w:t>
      </w:r>
      <w:r w:rsidR="00BC64F4" w:rsidRPr="00E91909">
        <w:rPr>
          <w:spacing w:val="-1"/>
        </w:rPr>
        <w:t xml:space="preserve"> </w:t>
      </w:r>
      <w:r w:rsidR="00BC64F4">
        <w:t>is</w:t>
      </w:r>
      <w:r w:rsidR="00BC64F4" w:rsidRPr="00E91909">
        <w:rPr>
          <w:spacing w:val="-2"/>
        </w:rPr>
        <w:t xml:space="preserve"> </w:t>
      </w:r>
      <w:r w:rsidR="00BC64F4">
        <w:t>precisely the</w:t>
      </w:r>
      <w:r w:rsidR="00BC64F4" w:rsidRPr="00E91909">
        <w:rPr>
          <w:spacing w:val="-5"/>
        </w:rPr>
        <w:t xml:space="preserve"> </w:t>
      </w:r>
      <w:r w:rsidR="00BC64F4">
        <w:t>kind</w:t>
      </w:r>
      <w:r w:rsidR="00BC64F4" w:rsidRPr="00E91909">
        <w:rPr>
          <w:spacing w:val="-3"/>
        </w:rPr>
        <w:t xml:space="preserve"> </w:t>
      </w:r>
      <w:r w:rsidR="00BC64F4">
        <w:t>of</w:t>
      </w:r>
      <w:r w:rsidR="00BC64F4" w:rsidRPr="00E91909">
        <w:rPr>
          <w:spacing w:val="-3"/>
        </w:rPr>
        <w:t xml:space="preserve"> </w:t>
      </w:r>
      <w:r w:rsidR="00BC64F4">
        <w:t>specific</w:t>
      </w:r>
      <w:r w:rsidR="00BC64F4" w:rsidRPr="00E91909">
        <w:rPr>
          <w:spacing w:val="-5"/>
        </w:rPr>
        <w:t xml:space="preserve"> </w:t>
      </w:r>
      <w:r w:rsidR="00BC64F4">
        <w:t>power to make</w:t>
      </w:r>
      <w:r w:rsidR="00BC64F4" w:rsidRPr="00E91909">
        <w:rPr>
          <w:spacing w:val="-1"/>
        </w:rPr>
        <w:t xml:space="preserve"> </w:t>
      </w:r>
      <w:r w:rsidR="00BC64F4">
        <w:t>orders as to the</w:t>
      </w:r>
      <w:r w:rsidR="00BC64F4" w:rsidRPr="00E91909">
        <w:rPr>
          <w:spacing w:val="-1"/>
        </w:rPr>
        <w:t xml:space="preserve"> </w:t>
      </w:r>
      <w:r w:rsidR="00BC64F4">
        <w:t>distribution of claim</w:t>
      </w:r>
      <w:r w:rsidR="00BC64F4" w:rsidRPr="00E91909">
        <w:rPr>
          <w:spacing w:val="-1"/>
        </w:rPr>
        <w:t xml:space="preserve"> </w:t>
      </w:r>
      <w:r w:rsidR="00BC64F4">
        <w:t>proceeds which the</w:t>
      </w:r>
      <w:r w:rsidR="00BC64F4" w:rsidRPr="00E91909">
        <w:rPr>
          <w:spacing w:val="-1"/>
        </w:rPr>
        <w:t xml:space="preserve"> </w:t>
      </w:r>
      <w:r w:rsidR="00BC64F4">
        <w:rPr>
          <w:spacing w:val="-1"/>
        </w:rPr>
        <w:t xml:space="preserve">plurality and Nettle J </w:t>
      </w:r>
      <w:r w:rsidR="00BC64F4">
        <w:t xml:space="preserve">in </w:t>
      </w:r>
      <w:r w:rsidR="00BC64F4" w:rsidRPr="00E91909">
        <w:rPr>
          <w:i/>
        </w:rPr>
        <w:t xml:space="preserve">Brewster </w:t>
      </w:r>
      <w:r w:rsidR="00BC64F4">
        <w:t>held that s</w:t>
      </w:r>
      <w:r w:rsidR="00BC64F4" w:rsidRPr="00E91909">
        <w:rPr>
          <w:spacing w:val="-1"/>
        </w:rPr>
        <w:t xml:space="preserve"> </w:t>
      </w:r>
      <w:r w:rsidR="00BC64F4">
        <w:t>33</w:t>
      </w:r>
      <w:proofErr w:type="gramStart"/>
      <w:r w:rsidR="00BC64F4">
        <w:t>ZF(</w:t>
      </w:r>
      <w:proofErr w:type="gramEnd"/>
      <w:r w:rsidR="00BC64F4">
        <w:t>1)</w:t>
      </w:r>
      <w:r w:rsidR="00BC64F4" w:rsidRPr="00E91909">
        <w:rPr>
          <w:spacing w:val="-5"/>
        </w:rPr>
        <w:t xml:space="preserve"> </w:t>
      </w:r>
      <w:r w:rsidR="00BC64F4">
        <w:t>did</w:t>
      </w:r>
      <w:r w:rsidR="00BC64F4" w:rsidRPr="00E91909">
        <w:rPr>
          <w:spacing w:val="-1"/>
        </w:rPr>
        <w:t xml:space="preserve"> </w:t>
      </w:r>
      <w:r w:rsidR="00BC64F4">
        <w:t>not</w:t>
      </w:r>
      <w:r w:rsidR="00BC64F4" w:rsidRPr="00E91909">
        <w:rPr>
          <w:spacing w:val="-3"/>
        </w:rPr>
        <w:t xml:space="preserve"> </w:t>
      </w:r>
      <w:r w:rsidR="00BC64F4">
        <w:t>provide.</w:t>
      </w:r>
      <w:r w:rsidR="00BC64F4" w:rsidRPr="00E91909">
        <w:rPr>
          <w:spacing w:val="57"/>
        </w:rPr>
        <w:t xml:space="preserve"> </w:t>
      </w:r>
      <w:r w:rsidR="00BC64F4">
        <w:rPr>
          <w:spacing w:val="57"/>
        </w:rPr>
        <w:t xml:space="preserve"> </w:t>
      </w:r>
      <w:r w:rsidR="00BC64F4">
        <w:t>Indeed,</w:t>
      </w:r>
      <w:r w:rsidR="00BC64F4" w:rsidRPr="00E91909">
        <w:rPr>
          <w:spacing w:val="-1"/>
        </w:rPr>
        <w:t xml:space="preserve"> </w:t>
      </w:r>
      <w:r w:rsidR="00BC64F4">
        <w:t>the</w:t>
      </w:r>
      <w:r w:rsidR="00BC64F4" w:rsidRPr="00E91909">
        <w:rPr>
          <w:spacing w:val="-3"/>
        </w:rPr>
        <w:t xml:space="preserve"> </w:t>
      </w:r>
      <w:r w:rsidR="00BC64F4">
        <w:t>plurality</w:t>
      </w:r>
      <w:r w:rsidR="00BC64F4" w:rsidRPr="00E91909">
        <w:rPr>
          <w:spacing w:val="-1"/>
        </w:rPr>
        <w:t xml:space="preserve"> </w:t>
      </w:r>
      <w:r w:rsidR="00BC64F4">
        <w:t>referred</w:t>
      </w:r>
      <w:r w:rsidR="00BC64F4" w:rsidRPr="00E91909">
        <w:rPr>
          <w:spacing w:val="-1"/>
        </w:rPr>
        <w:t xml:space="preserve"> </w:t>
      </w:r>
      <w:r w:rsidR="00BC64F4">
        <w:t>to</w:t>
      </w:r>
      <w:r w:rsidR="00BC64F4" w:rsidRPr="00E91909">
        <w:rPr>
          <w:spacing w:val="1"/>
        </w:rPr>
        <w:t xml:space="preserve"> </w:t>
      </w:r>
      <w:r w:rsidR="00BC64F4">
        <w:t>the</w:t>
      </w:r>
      <w:r w:rsidR="00BC64F4" w:rsidRPr="00E91909">
        <w:rPr>
          <w:spacing w:val="-4"/>
        </w:rPr>
        <w:t xml:space="preserve"> </w:t>
      </w:r>
      <w:r w:rsidR="00BC64F4">
        <w:t>making</w:t>
      </w:r>
      <w:r w:rsidR="00BC64F4" w:rsidRPr="00E91909">
        <w:rPr>
          <w:spacing w:val="-1"/>
        </w:rPr>
        <w:t xml:space="preserve"> </w:t>
      </w:r>
      <w:r w:rsidR="00BC64F4">
        <w:t>of</w:t>
      </w:r>
      <w:r w:rsidR="00BC64F4" w:rsidRPr="00E91909">
        <w:rPr>
          <w:spacing w:val="-1"/>
        </w:rPr>
        <w:t xml:space="preserve"> </w:t>
      </w:r>
      <w:r w:rsidR="00BC64F4">
        <w:t>orders distributing</w:t>
      </w:r>
      <w:r w:rsidR="00BC64F4" w:rsidRPr="00E91909">
        <w:rPr>
          <w:spacing w:val="3"/>
        </w:rPr>
        <w:t xml:space="preserve"> </w:t>
      </w:r>
      <w:r w:rsidR="00BC64F4" w:rsidRPr="00E91909">
        <w:rPr>
          <w:spacing w:val="-5"/>
        </w:rPr>
        <w:t>the</w:t>
      </w:r>
      <w:r w:rsidR="00BC64F4">
        <w:t xml:space="preserve"> proceeds as the “appropriate occasion for orders for meeting and sharing the cost burden of the litigation</w:t>
      </w:r>
      <w:r w:rsidR="00BC64F4" w:rsidRPr="00E91909">
        <w:rPr>
          <w:spacing w:val="-3"/>
        </w:rPr>
        <w:t xml:space="preserve"> </w:t>
      </w:r>
      <w:r w:rsidR="00BC64F4">
        <w:t>because the</w:t>
      </w:r>
      <w:r w:rsidR="00BC64F4" w:rsidRPr="00E91909">
        <w:rPr>
          <w:spacing w:val="-5"/>
        </w:rPr>
        <w:t xml:space="preserve"> </w:t>
      </w:r>
      <w:r w:rsidR="00BC64F4">
        <w:t>value</w:t>
      </w:r>
      <w:r w:rsidR="00BC64F4" w:rsidRPr="00E91909">
        <w:rPr>
          <w:spacing w:val="-5"/>
        </w:rPr>
        <w:t xml:space="preserve"> </w:t>
      </w:r>
      <w:r w:rsidR="00BC64F4">
        <w:t>of</w:t>
      </w:r>
      <w:r w:rsidR="00BC64F4" w:rsidRPr="00E91909">
        <w:rPr>
          <w:spacing w:val="-3"/>
        </w:rPr>
        <w:t xml:space="preserve"> </w:t>
      </w:r>
      <w:r w:rsidR="00BC64F4">
        <w:t>the litigation</w:t>
      </w:r>
      <w:r w:rsidR="00BC64F4" w:rsidRPr="00E91909">
        <w:rPr>
          <w:spacing w:val="-3"/>
        </w:rPr>
        <w:t xml:space="preserve"> </w:t>
      </w:r>
      <w:r w:rsidR="00BC64F4">
        <w:t>and</w:t>
      </w:r>
      <w:r w:rsidR="00BC64F4" w:rsidRPr="00E91909">
        <w:rPr>
          <w:spacing w:val="-3"/>
        </w:rPr>
        <w:t xml:space="preserve"> </w:t>
      </w:r>
      <w:r w:rsidR="00BC64F4">
        <w:t>the</w:t>
      </w:r>
      <w:r w:rsidR="00BC64F4" w:rsidRPr="00E91909">
        <w:rPr>
          <w:spacing w:val="-5"/>
        </w:rPr>
        <w:t xml:space="preserve"> </w:t>
      </w:r>
      <w:r w:rsidR="00BC64F4">
        <w:t>extent</w:t>
      </w:r>
      <w:r w:rsidR="00BC64F4" w:rsidRPr="00E91909">
        <w:rPr>
          <w:spacing w:val="-5"/>
        </w:rPr>
        <w:t xml:space="preserve"> </w:t>
      </w:r>
      <w:r w:rsidR="00BC64F4">
        <w:t>of</w:t>
      </w:r>
      <w:r w:rsidR="00BC64F4" w:rsidRPr="00E91909">
        <w:rPr>
          <w:spacing w:val="-3"/>
        </w:rPr>
        <w:t xml:space="preserve"> </w:t>
      </w:r>
      <w:r w:rsidR="00BC64F4">
        <w:t>the</w:t>
      </w:r>
      <w:r w:rsidR="00BC64F4" w:rsidRPr="00E91909">
        <w:rPr>
          <w:spacing w:val="-5"/>
        </w:rPr>
        <w:t xml:space="preserve"> </w:t>
      </w:r>
      <w:r w:rsidR="00BC64F4">
        <w:t>burden</w:t>
      </w:r>
      <w:r w:rsidR="00BC64F4" w:rsidRPr="00E91909">
        <w:rPr>
          <w:spacing w:val="-3"/>
        </w:rPr>
        <w:t xml:space="preserve"> </w:t>
      </w:r>
      <w:r w:rsidR="00BC64F4">
        <w:t>will</w:t>
      </w:r>
      <w:r w:rsidR="00BC64F4" w:rsidRPr="00E91909">
        <w:rPr>
          <w:spacing w:val="-5"/>
        </w:rPr>
        <w:t xml:space="preserve"> </w:t>
      </w:r>
      <w:r w:rsidR="00BC64F4">
        <w:t>have</w:t>
      </w:r>
      <w:r w:rsidR="00BC64F4" w:rsidRPr="00E91909">
        <w:rPr>
          <w:spacing w:val="-5"/>
        </w:rPr>
        <w:t xml:space="preserve"> </w:t>
      </w:r>
      <w:r w:rsidR="00BC64F4">
        <w:t>been</w:t>
      </w:r>
      <w:r w:rsidR="00BC64F4" w:rsidRPr="00E91909">
        <w:rPr>
          <w:spacing w:val="-3"/>
        </w:rPr>
        <w:t xml:space="preserve"> </w:t>
      </w:r>
      <w:r w:rsidR="00BC64F4">
        <w:t>rendered certain” (at [68]).</w:t>
      </w:r>
    </w:p>
    <w:p w14:paraId="36DE9927" w14:textId="3FE82FFE" w:rsidR="00BC64F4" w:rsidRDefault="0071710E" w:rsidP="0071710E">
      <w:pPr>
        <w:pStyle w:val="ParaNumbering"/>
        <w:numPr>
          <w:ilvl w:val="0"/>
          <w:numId w:val="0"/>
        </w:numPr>
        <w:tabs>
          <w:tab w:val="left" w:pos="720"/>
        </w:tabs>
        <w:ind w:hanging="720"/>
      </w:pPr>
      <w:r>
        <w:rPr>
          <w:sz w:val="20"/>
        </w:rPr>
        <w:t>123</w:t>
      </w:r>
      <w:r>
        <w:rPr>
          <w:sz w:val="20"/>
        </w:rPr>
        <w:tab/>
      </w:r>
      <w:r w:rsidR="00BC64F4">
        <w:t>Further, there is no incongruity with the rest of Part IVA in reading s 33</w:t>
      </w:r>
      <w:proofErr w:type="gramStart"/>
      <w:r w:rsidR="00BC64F4">
        <w:t>V(</w:t>
      </w:r>
      <w:proofErr w:type="gramEnd"/>
      <w:r w:rsidR="00BC64F4">
        <w:t>2) as I have indicated.  So, whilst</w:t>
      </w:r>
      <w:r w:rsidR="00BC64F4">
        <w:rPr>
          <w:spacing w:val="-3"/>
        </w:rPr>
        <w:t xml:space="preserve"> </w:t>
      </w:r>
      <w:r w:rsidR="00BC64F4">
        <w:t>s 33</w:t>
      </w:r>
      <w:proofErr w:type="gramStart"/>
      <w:r w:rsidR="00BC64F4">
        <w:t>Z(</w:t>
      </w:r>
      <w:proofErr w:type="gramEnd"/>
      <w:r w:rsidR="00BC64F4">
        <w:t>2) and (4) and s</w:t>
      </w:r>
      <w:r w:rsidR="00BC64F4">
        <w:rPr>
          <w:spacing w:val="-1"/>
        </w:rPr>
        <w:t xml:space="preserve"> </w:t>
      </w:r>
      <w:r w:rsidR="00BC64F4">
        <w:t>33ZA, which</w:t>
      </w:r>
      <w:r w:rsidR="00BC64F4">
        <w:rPr>
          <w:spacing w:val="-1"/>
        </w:rPr>
        <w:t xml:space="preserve"> </w:t>
      </w:r>
      <w:r w:rsidR="00BC64F4">
        <w:t xml:space="preserve">confer powers on the Court to make orders with respect to damages, specifically refer to the distribution of money </w:t>
      </w:r>
      <w:r w:rsidR="00BC64F4" w:rsidRPr="00CE383A">
        <w:t>to group members,</w:t>
      </w:r>
      <w:r w:rsidR="00BC64F4">
        <w:t xml:space="preserve"> s 33V(2) is not limited in that way.</w:t>
      </w:r>
      <w:r w:rsidR="00BC64F4">
        <w:rPr>
          <w:spacing w:val="40"/>
        </w:rPr>
        <w:t xml:space="preserve"> </w:t>
      </w:r>
      <w:r w:rsidR="00BC64F4">
        <w:t>That is a contextual reason in favour of reading s 33</w:t>
      </w:r>
      <w:proofErr w:type="gramStart"/>
      <w:r w:rsidR="00BC64F4">
        <w:t>V(</w:t>
      </w:r>
      <w:proofErr w:type="gramEnd"/>
      <w:r w:rsidR="00BC64F4">
        <w:t>2) as including a power to make orders that allow for money to be distributed to other persons, relevantly including the funder but also to legal representatives</w:t>
      </w:r>
      <w:r w:rsidR="00BC64F4">
        <w:rPr>
          <w:spacing w:val="-2"/>
        </w:rPr>
        <w:t>.  T</w:t>
      </w:r>
      <w:r w:rsidR="00BC64F4">
        <w:t>he</w:t>
      </w:r>
      <w:r w:rsidR="00BC64F4">
        <w:rPr>
          <w:spacing w:val="-5"/>
        </w:rPr>
        <w:t xml:space="preserve"> </w:t>
      </w:r>
      <w:r w:rsidR="00BC64F4">
        <w:t>omission</w:t>
      </w:r>
      <w:r w:rsidR="00BC64F4">
        <w:rPr>
          <w:spacing w:val="-4"/>
        </w:rPr>
        <w:t xml:space="preserve"> </w:t>
      </w:r>
      <w:r w:rsidR="00BC64F4">
        <w:t>of</w:t>
      </w:r>
      <w:r w:rsidR="00BC64F4">
        <w:rPr>
          <w:spacing w:val="-4"/>
        </w:rPr>
        <w:t xml:space="preserve"> the words </w:t>
      </w:r>
      <w:r w:rsidR="00BC64F4">
        <w:t>“to group</w:t>
      </w:r>
      <w:r w:rsidR="00BC64F4">
        <w:rPr>
          <w:spacing w:val="-4"/>
        </w:rPr>
        <w:t xml:space="preserve"> </w:t>
      </w:r>
      <w:r w:rsidR="00BC64F4">
        <w:t>members”</w:t>
      </w:r>
      <w:r w:rsidR="00BC64F4">
        <w:rPr>
          <w:spacing w:val="-1"/>
        </w:rPr>
        <w:t xml:space="preserve"> </w:t>
      </w:r>
      <w:r w:rsidR="00BC64F4">
        <w:t>in</w:t>
      </w:r>
      <w:r w:rsidR="00BC64F4">
        <w:rPr>
          <w:spacing w:val="-4"/>
        </w:rPr>
        <w:t xml:space="preserve"> </w:t>
      </w:r>
      <w:r w:rsidR="00BC64F4">
        <w:t>s 33</w:t>
      </w:r>
      <w:proofErr w:type="gramStart"/>
      <w:r w:rsidR="00BC64F4">
        <w:t>V(</w:t>
      </w:r>
      <w:proofErr w:type="gramEnd"/>
      <w:r w:rsidR="00BC64F4">
        <w:t>2)</w:t>
      </w:r>
      <w:r w:rsidR="00BC64F4">
        <w:rPr>
          <w:spacing w:val="-4"/>
        </w:rPr>
        <w:t xml:space="preserve"> is not insignificant.</w:t>
      </w:r>
      <w:r w:rsidR="00BC64F4">
        <w:t xml:space="preserve"> </w:t>
      </w:r>
    </w:p>
    <w:p w14:paraId="14A6473C" w14:textId="3483D0A6" w:rsidR="00BC64F4" w:rsidRDefault="0071710E" w:rsidP="0071710E">
      <w:pPr>
        <w:pStyle w:val="ParaNumbering"/>
        <w:numPr>
          <w:ilvl w:val="0"/>
          <w:numId w:val="0"/>
        </w:numPr>
        <w:ind w:hanging="720"/>
      </w:pPr>
      <w:r>
        <w:rPr>
          <w:sz w:val="20"/>
        </w:rPr>
        <w:t>124</w:t>
      </w:r>
      <w:r>
        <w:rPr>
          <w:sz w:val="20"/>
        </w:rPr>
        <w:tab/>
      </w:r>
      <w:r w:rsidR="00BC64F4">
        <w:t xml:space="preserve">Before moving on I should make six other points. </w:t>
      </w:r>
    </w:p>
    <w:p w14:paraId="4A078903" w14:textId="23880711" w:rsidR="00BC64F4" w:rsidRPr="00D24310" w:rsidRDefault="0071710E" w:rsidP="0071710E">
      <w:pPr>
        <w:pStyle w:val="ParaNumbering"/>
        <w:numPr>
          <w:ilvl w:val="0"/>
          <w:numId w:val="0"/>
        </w:numPr>
        <w:ind w:hanging="720"/>
      </w:pPr>
      <w:r w:rsidRPr="00D24310">
        <w:rPr>
          <w:sz w:val="20"/>
        </w:rPr>
        <w:t>125</w:t>
      </w:r>
      <w:r w:rsidRPr="00D24310">
        <w:rPr>
          <w:sz w:val="20"/>
        </w:rPr>
        <w:tab/>
      </w:r>
      <w:r w:rsidR="00BC64F4">
        <w:t>First, one should not confuse the question of the ambit of the power with the question of purpose.  On any view, s 33</w:t>
      </w:r>
      <w:proofErr w:type="gramStart"/>
      <w:r w:rsidR="00BC64F4">
        <w:t>ZF(</w:t>
      </w:r>
      <w:proofErr w:type="gramEnd"/>
      <w:r w:rsidR="00BC64F4">
        <w:t>1) is broad.  Now to use s 33</w:t>
      </w:r>
      <w:proofErr w:type="gramStart"/>
      <w:r w:rsidR="00BC64F4">
        <w:t>ZF(</w:t>
      </w:r>
      <w:proofErr w:type="gramEnd"/>
      <w:r w:rsidR="00BC64F4">
        <w:t xml:space="preserve">1) to make a CFO for the dominant purpose of preferencing the interests of a funder to ensure the financial viability of a proceeding is, as </w:t>
      </w:r>
      <w:r w:rsidR="00BC64F4">
        <w:rPr>
          <w:i/>
        </w:rPr>
        <w:t>Brewster</w:t>
      </w:r>
      <w:r w:rsidR="00BC64F4">
        <w:t xml:space="preserve"> explains, impermissible.  But less obvious is why it would be impermissible to make an early CFO where you have two competing open class proceedings, where both are financially viable absent a CFO in any event, say where there are a substantial number of signed up group members in both, but where the CFO is being used to select at necessarily an early stage between the two competing proceedings with the winning action having pitched for the lowest CFO, with all else being equal.  It is difficult to see how that would not be “appropriate or necessary to ensure that justice is done” (s 33</w:t>
      </w:r>
      <w:proofErr w:type="gramStart"/>
      <w:r w:rsidR="00BC64F4">
        <w:t>ZF(</w:t>
      </w:r>
      <w:proofErr w:type="gramEnd"/>
      <w:r w:rsidR="00BC64F4">
        <w:t xml:space="preserve">1)) in both of the proceedings, with the exercise of power having a permissible purpose.  In such a scenario an early CFO would not be being </w:t>
      </w:r>
      <w:r w:rsidR="00BC64F4" w:rsidRPr="00D24310">
        <w:t xml:space="preserve">made to ensure the financial viability of either or both proceedings </w:t>
      </w:r>
      <w:proofErr w:type="gramStart"/>
      <w:r w:rsidR="00BC64F4" w:rsidRPr="00D24310">
        <w:t>or</w:t>
      </w:r>
      <w:proofErr w:type="gramEnd"/>
      <w:r w:rsidR="00BC64F4" w:rsidRPr="00D24310">
        <w:t xml:space="preserve"> to advance the interests of the funders.</w:t>
      </w:r>
    </w:p>
    <w:p w14:paraId="1E20051E" w14:textId="23FC5CFC" w:rsidR="00BC64F4" w:rsidRDefault="0071710E" w:rsidP="0071710E">
      <w:pPr>
        <w:pStyle w:val="ParaNumbering"/>
        <w:numPr>
          <w:ilvl w:val="0"/>
          <w:numId w:val="0"/>
        </w:numPr>
        <w:tabs>
          <w:tab w:val="left" w:pos="720"/>
        </w:tabs>
        <w:ind w:hanging="720"/>
      </w:pPr>
      <w:r>
        <w:rPr>
          <w:sz w:val="20"/>
        </w:rPr>
        <w:t>126</w:t>
      </w:r>
      <w:r>
        <w:rPr>
          <w:sz w:val="20"/>
        </w:rPr>
        <w:tab/>
      </w:r>
      <w:r w:rsidR="00BC64F4">
        <w:t>T</w:t>
      </w:r>
      <w:r w:rsidR="00BC64F4" w:rsidRPr="00D24310">
        <w:t>he</w:t>
      </w:r>
      <w:r w:rsidR="00BC64F4">
        <w:t xml:space="preserve"> CFO m</w:t>
      </w:r>
      <w:r w:rsidR="00BC64F4" w:rsidRPr="00D24310">
        <w:t xml:space="preserve">ade in </w:t>
      </w:r>
      <w:r w:rsidR="00BC64F4">
        <w:t>one</w:t>
      </w:r>
      <w:r w:rsidR="00BC64F4" w:rsidRPr="00D24310">
        <w:t xml:space="preserve"> proceeding could be seen as the price extracted as the quid pro quo to enable that proceeding to go forward as the</w:t>
      </w:r>
      <w:r w:rsidR="00BC64F4" w:rsidRPr="008A1B54">
        <w:rPr>
          <w:iCs/>
        </w:rPr>
        <w:t xml:space="preserve"> one</w:t>
      </w:r>
      <w:r w:rsidR="00BC64F4" w:rsidRPr="00D24310">
        <w:t xml:space="preserve"> open class proceeding. Control of the commission rate w</w:t>
      </w:r>
      <w:r w:rsidR="00BC64F4">
        <w:t>ould be</w:t>
      </w:r>
      <w:r w:rsidR="00BC64F4" w:rsidRPr="00D24310">
        <w:t xml:space="preserve"> ceded to the Court as the price of success.</w:t>
      </w:r>
      <w:r w:rsidR="00BC64F4">
        <w:t xml:space="preserve">  </w:t>
      </w:r>
      <w:r w:rsidR="00BC64F4" w:rsidRPr="00D24310">
        <w:t xml:space="preserve">Utilising that mechanism, </w:t>
      </w:r>
      <w:r w:rsidR="00BC64F4">
        <w:t>one</w:t>
      </w:r>
      <w:r w:rsidR="00BC64F4" w:rsidRPr="00D24310">
        <w:t xml:space="preserve"> could in essence drive down the commission rates of the funder in </w:t>
      </w:r>
      <w:r w:rsidR="00BC64F4">
        <w:t>that</w:t>
      </w:r>
      <w:r w:rsidR="00BC64F4" w:rsidRPr="00D24310">
        <w:t xml:space="preserve"> </w:t>
      </w:r>
      <w:proofErr w:type="gramStart"/>
      <w:r w:rsidR="00BC64F4" w:rsidRPr="00D24310">
        <w:t>proceeding,</w:t>
      </w:r>
      <w:proofErr w:type="gramEnd"/>
      <w:r w:rsidR="00BC64F4" w:rsidRPr="00D24310">
        <w:t xml:space="preserve"> to the advantage of the group members and to the disadvantage of the funder.  In that context then, </w:t>
      </w:r>
      <w:r w:rsidR="00BC64F4">
        <w:t xml:space="preserve">the CFO would be </w:t>
      </w:r>
      <w:r w:rsidR="00BC64F4" w:rsidRPr="00D24310">
        <w:t xml:space="preserve">principally of advantage to the group members in </w:t>
      </w:r>
      <w:r w:rsidR="00BC64F4">
        <w:t>that</w:t>
      </w:r>
      <w:r w:rsidR="00BC64F4" w:rsidRPr="00D24310">
        <w:t xml:space="preserve"> proceeding.</w:t>
      </w:r>
    </w:p>
    <w:p w14:paraId="4D711F3F" w14:textId="4ABBDC39" w:rsidR="00BC64F4" w:rsidRDefault="0071710E" w:rsidP="0071710E">
      <w:pPr>
        <w:pStyle w:val="ParaNumbering"/>
        <w:numPr>
          <w:ilvl w:val="0"/>
          <w:numId w:val="0"/>
        </w:numPr>
        <w:ind w:hanging="720"/>
      </w:pPr>
      <w:r>
        <w:rPr>
          <w:sz w:val="20"/>
        </w:rPr>
        <w:t>127</w:t>
      </w:r>
      <w:r>
        <w:rPr>
          <w:sz w:val="20"/>
        </w:rPr>
        <w:tab/>
      </w:r>
      <w:r w:rsidR="00BC64F4">
        <w:t>Second, it is not explained why, on the assumption that s 33</w:t>
      </w:r>
      <w:proofErr w:type="gramStart"/>
      <w:r w:rsidR="00BC64F4">
        <w:t>ZF(</w:t>
      </w:r>
      <w:proofErr w:type="gramEnd"/>
      <w:r w:rsidR="00BC64F4">
        <w:t xml:space="preserve">1) is a gap-filler as the plurality characterised it, it could not also be used as an adjunct to a likely or anticipated future use of s 33V(2). </w:t>
      </w:r>
    </w:p>
    <w:p w14:paraId="07C89B71" w14:textId="5BBBB281" w:rsidR="00BC64F4" w:rsidRPr="009274A9" w:rsidRDefault="0071710E" w:rsidP="0071710E">
      <w:pPr>
        <w:pStyle w:val="ParaNumbering"/>
        <w:numPr>
          <w:ilvl w:val="0"/>
          <w:numId w:val="0"/>
        </w:numPr>
        <w:ind w:hanging="720"/>
        <w:rPr>
          <w:b/>
          <w:bCs/>
        </w:rPr>
      </w:pPr>
      <w:r w:rsidRPr="009274A9">
        <w:rPr>
          <w:sz w:val="20"/>
        </w:rPr>
        <w:t>128</w:t>
      </w:r>
      <w:r w:rsidRPr="009274A9">
        <w:rPr>
          <w:sz w:val="20"/>
        </w:rPr>
        <w:tab/>
      </w:r>
      <w:r w:rsidR="00BC64F4">
        <w:t>In other words, if the parties shortly after completing discovery wanted to mediate their dispute and the applicant and group members wanted some clarity as to what might be available in terms of the net potential settlement proceeds after deduction for all expenses including funding expenses, could a CFO be made at that time utilising s 33ZF(1) to facilitate a later exercise of power under s 33V(2)?  It is common for claimants to want to have an idea of what they will ultimately pocket net of expenses before they reach an agreement with a respondent on the gross settlement sum figure.  Such a CFO could facilitate both the anticipated mediation and the settlement and anticipate the likely exercise of power under s 33</w:t>
      </w:r>
      <w:proofErr w:type="gramStart"/>
      <w:r w:rsidR="00BC64F4">
        <w:t>V(</w:t>
      </w:r>
      <w:proofErr w:type="gramEnd"/>
      <w:r w:rsidR="00BC64F4">
        <w:t>2).  None of this would, of course, have anything to do with threshold questions as to the financial viability of the proceeding or the empty shibboleth of somehow preferencing the interests of funders.  Anyway, judges for the moment have treated the use of s 33</w:t>
      </w:r>
      <w:proofErr w:type="gramStart"/>
      <w:r w:rsidR="00BC64F4">
        <w:t>ZF(</w:t>
      </w:r>
      <w:proofErr w:type="gramEnd"/>
      <w:r w:rsidR="00BC64F4">
        <w:t xml:space="preserve">1) in this way as being chilled by </w:t>
      </w:r>
      <w:r w:rsidR="00BC64F4">
        <w:rPr>
          <w:i/>
          <w:iCs/>
        </w:rPr>
        <w:t xml:space="preserve">Brewster </w:t>
      </w:r>
      <w:r w:rsidR="00BC64F4">
        <w:t>and accordingly have dealt with the matter in other practical ways by indicating informally at case management hearings that they may be favourably disposed to making a settlement CFO in due course if the occasion arises.  And so doing, one can only wonder what the practical difference is between so indicating on the one hand or making an interlocutory CFO at that time on the other hand, which can be later varied in the known world of an exercise of power under s 33</w:t>
      </w:r>
      <w:proofErr w:type="gramStart"/>
      <w:r w:rsidR="00BC64F4">
        <w:t>V(</w:t>
      </w:r>
      <w:proofErr w:type="gramEnd"/>
      <w:r w:rsidR="00BC64F4">
        <w:t xml:space="preserve">2).  Anyway, because of </w:t>
      </w:r>
      <w:r w:rsidR="00BC64F4">
        <w:rPr>
          <w:i/>
          <w:iCs/>
        </w:rPr>
        <w:t>Brewster</w:t>
      </w:r>
      <w:r w:rsidR="00BC64F4">
        <w:t xml:space="preserve">, the latter option is out. </w:t>
      </w:r>
    </w:p>
    <w:p w14:paraId="35FFF294" w14:textId="5158EE52" w:rsidR="00BC64F4" w:rsidRDefault="0071710E" w:rsidP="0071710E">
      <w:pPr>
        <w:pStyle w:val="ParaNumbering"/>
        <w:numPr>
          <w:ilvl w:val="0"/>
          <w:numId w:val="0"/>
        </w:numPr>
        <w:tabs>
          <w:tab w:val="left" w:pos="720"/>
        </w:tabs>
        <w:ind w:hanging="720"/>
      </w:pPr>
      <w:r>
        <w:rPr>
          <w:sz w:val="20"/>
        </w:rPr>
        <w:t>129</w:t>
      </w:r>
      <w:r>
        <w:rPr>
          <w:sz w:val="20"/>
        </w:rPr>
        <w:tab/>
      </w:r>
      <w:r w:rsidR="00BC64F4">
        <w:t>Third, s 23 of the FCA Act can also be invoked as a source of power for settlement CFOs, and perhaps even early CFOs, although judges of our Court post-</w:t>
      </w:r>
      <w:r w:rsidR="00BC64F4">
        <w:rPr>
          <w:i/>
          <w:iCs/>
        </w:rPr>
        <w:t xml:space="preserve">Brewster </w:t>
      </w:r>
      <w:r w:rsidR="00BC64F4">
        <w:t xml:space="preserve">have refrained from using it for early CFOs.  </w:t>
      </w:r>
    </w:p>
    <w:p w14:paraId="3709D7E8" w14:textId="75AEE375" w:rsidR="00BC64F4" w:rsidRDefault="0071710E" w:rsidP="0071710E">
      <w:pPr>
        <w:pStyle w:val="ParaNumbering"/>
        <w:numPr>
          <w:ilvl w:val="0"/>
          <w:numId w:val="0"/>
        </w:numPr>
        <w:ind w:hanging="720"/>
      </w:pPr>
      <w:r>
        <w:rPr>
          <w:sz w:val="20"/>
        </w:rPr>
        <w:t>130</w:t>
      </w:r>
      <w:r>
        <w:rPr>
          <w:sz w:val="20"/>
        </w:rPr>
        <w:tab/>
      </w:r>
      <w:r w:rsidR="00BC64F4">
        <w:t>Section 23 is broader than s 33</w:t>
      </w:r>
      <w:proofErr w:type="gramStart"/>
      <w:r w:rsidR="00BC64F4">
        <w:t>ZF(</w:t>
      </w:r>
      <w:proofErr w:type="gramEnd"/>
      <w:r w:rsidR="00BC64F4">
        <w:t>1).  Moreover, s 33ZG(b) confirms that s 33</w:t>
      </w:r>
      <w:proofErr w:type="gramStart"/>
      <w:r w:rsidR="00BC64F4">
        <w:t>ZF(</w:t>
      </w:r>
      <w:proofErr w:type="gramEnd"/>
      <w:r w:rsidR="00BC64F4">
        <w:t xml:space="preserve">1) does not affect the amplitude of s 23; Part IVA is neither an exclusive nor an exhaustive code concerning representative proceedings.  In </w:t>
      </w:r>
      <w:r w:rsidR="00BC64F4" w:rsidRPr="004B769A">
        <w:rPr>
          <w:i/>
          <w:iCs/>
        </w:rPr>
        <w:t>Money Max</w:t>
      </w:r>
      <w:r w:rsidR="00BC64F4">
        <w:rPr>
          <w:i/>
          <w:iCs/>
        </w:rPr>
        <w:t xml:space="preserve"> Int Pty Ltd v QBE Insurance Group Ltd </w:t>
      </w:r>
      <w:r w:rsidR="00BC64F4">
        <w:t xml:space="preserve">(2016) 245 FCR 191, it was said at [168] per Murphy, </w:t>
      </w:r>
      <w:proofErr w:type="gramStart"/>
      <w:r w:rsidR="00BC64F4">
        <w:t>Gleeson</w:t>
      </w:r>
      <w:proofErr w:type="gramEnd"/>
      <w:r w:rsidR="00BC64F4">
        <w:t xml:space="preserve"> and Beach JJ that s 23 was also an available head of power.  As best as I can tell, there is no other authority which grapples with or would deny that reality.  </w:t>
      </w:r>
    </w:p>
    <w:p w14:paraId="0FACA558" w14:textId="3BF9B559" w:rsidR="00BC64F4" w:rsidRDefault="0071710E" w:rsidP="0071710E">
      <w:pPr>
        <w:pStyle w:val="ParaNumbering"/>
        <w:numPr>
          <w:ilvl w:val="0"/>
          <w:numId w:val="0"/>
        </w:numPr>
        <w:ind w:hanging="720"/>
      </w:pPr>
      <w:r>
        <w:rPr>
          <w:sz w:val="20"/>
        </w:rPr>
        <w:t>131</w:t>
      </w:r>
      <w:r>
        <w:rPr>
          <w:sz w:val="20"/>
        </w:rPr>
        <w:tab/>
      </w:r>
      <w:r w:rsidR="00BC64F4">
        <w:t xml:space="preserve">Moreover, the “gap-filler” reading down by the plurality in </w:t>
      </w:r>
      <w:r w:rsidR="00BC64F4">
        <w:rPr>
          <w:i/>
          <w:iCs/>
        </w:rPr>
        <w:t xml:space="preserve">Brewster </w:t>
      </w:r>
      <w:r w:rsidR="00BC64F4">
        <w:t>of the language of s 33</w:t>
      </w:r>
      <w:proofErr w:type="gramStart"/>
      <w:r w:rsidR="00BC64F4">
        <w:t>ZF(</w:t>
      </w:r>
      <w:proofErr w:type="gramEnd"/>
      <w:r w:rsidR="00BC64F4">
        <w:t xml:space="preserve">1) does not entail any reading down of the plenary power of s 23.  Indeed, the more s 33ZF is read narrowly, the greater the amplitude for s 23 to operate.  It is counter-intuitive to suggest that a narrower reading of one general power can carry with it by necessary implication a consonant reading down of an even broader power, particularly in the face of s 33ZG(b). </w:t>
      </w:r>
    </w:p>
    <w:p w14:paraId="6D4FCE13" w14:textId="654FA855" w:rsidR="00BC64F4" w:rsidRDefault="0071710E" w:rsidP="0071710E">
      <w:pPr>
        <w:pStyle w:val="ParaNumbering"/>
        <w:numPr>
          <w:ilvl w:val="0"/>
          <w:numId w:val="0"/>
        </w:numPr>
        <w:ind w:hanging="720"/>
      </w:pPr>
      <w:r>
        <w:rPr>
          <w:sz w:val="20"/>
        </w:rPr>
        <w:t>132</w:t>
      </w:r>
      <w:r>
        <w:rPr>
          <w:sz w:val="20"/>
        </w:rPr>
        <w:tab/>
      </w:r>
      <w:r w:rsidR="00BC64F4">
        <w:t>Further, and by parity of reasoning, s 23 can also be used to make a settlement CFO, particularly if it be suggested that s 33</w:t>
      </w:r>
      <w:proofErr w:type="gramStart"/>
      <w:r w:rsidR="00BC64F4">
        <w:t>V(</w:t>
      </w:r>
      <w:proofErr w:type="gramEnd"/>
      <w:r w:rsidR="00BC64F4">
        <w:t xml:space="preserve">2) cannot be used. </w:t>
      </w:r>
    </w:p>
    <w:p w14:paraId="29A19615" w14:textId="09463443" w:rsidR="00BC64F4" w:rsidRPr="00E91909" w:rsidRDefault="0071710E" w:rsidP="0071710E">
      <w:pPr>
        <w:pStyle w:val="ParaNumbering"/>
        <w:numPr>
          <w:ilvl w:val="0"/>
          <w:numId w:val="0"/>
        </w:numPr>
        <w:tabs>
          <w:tab w:val="left" w:pos="720"/>
        </w:tabs>
        <w:ind w:hanging="720"/>
      </w:pPr>
      <w:r w:rsidRPr="00E91909">
        <w:rPr>
          <w:sz w:val="20"/>
        </w:rPr>
        <w:t>133</w:t>
      </w:r>
      <w:r w:rsidRPr="00E91909">
        <w:rPr>
          <w:sz w:val="20"/>
        </w:rPr>
        <w:tab/>
      </w:r>
      <w:r w:rsidR="00BC64F4">
        <w:t>Fourth</w:t>
      </w:r>
      <w:r w:rsidR="00BC64F4" w:rsidRPr="00E91909">
        <w:t>,</w:t>
      </w:r>
      <w:r w:rsidR="00BC64F4">
        <w:rPr>
          <w:spacing w:val="-2"/>
        </w:rPr>
        <w:t xml:space="preserve"> </w:t>
      </w:r>
      <w:r w:rsidR="00BC64F4">
        <w:t>as</w:t>
      </w:r>
      <w:r w:rsidR="00BC64F4">
        <w:rPr>
          <w:spacing w:val="-2"/>
        </w:rPr>
        <w:t xml:space="preserve"> </w:t>
      </w:r>
      <w:r w:rsidR="00BC64F4">
        <w:t>to</w:t>
      </w:r>
      <w:r w:rsidR="00BC64F4">
        <w:rPr>
          <w:spacing w:val="-2"/>
        </w:rPr>
        <w:t xml:space="preserve"> </w:t>
      </w:r>
      <w:r w:rsidR="00BC64F4">
        <w:t>purpose,</w:t>
      </w:r>
      <w:r w:rsidR="00BC64F4">
        <w:rPr>
          <w:spacing w:val="-2"/>
        </w:rPr>
        <w:t xml:space="preserve"> </w:t>
      </w:r>
      <w:r w:rsidR="00BC64F4">
        <w:t>s</w:t>
      </w:r>
      <w:r w:rsidR="00BC64F4">
        <w:rPr>
          <w:spacing w:val="-2"/>
        </w:rPr>
        <w:t xml:space="preserve"> </w:t>
      </w:r>
      <w:r w:rsidR="00BC64F4">
        <w:t>33V</w:t>
      </w:r>
      <w:r w:rsidR="00BC64F4">
        <w:rPr>
          <w:spacing w:val="-2"/>
        </w:rPr>
        <w:t xml:space="preserve"> </w:t>
      </w:r>
      <w:r w:rsidR="00BC64F4">
        <w:t>reflects</w:t>
      </w:r>
      <w:r w:rsidR="00BC64F4">
        <w:rPr>
          <w:spacing w:val="-2"/>
        </w:rPr>
        <w:t xml:space="preserve"> </w:t>
      </w:r>
      <w:r w:rsidR="00BC64F4">
        <w:t>the</w:t>
      </w:r>
      <w:r w:rsidR="00BC64F4">
        <w:rPr>
          <w:spacing w:val="-4"/>
        </w:rPr>
        <w:t xml:space="preserve"> </w:t>
      </w:r>
      <w:r w:rsidR="00BC64F4">
        <w:t>court’s</w:t>
      </w:r>
      <w:r w:rsidR="00BC64F4">
        <w:rPr>
          <w:spacing w:val="-2"/>
        </w:rPr>
        <w:t xml:space="preserve"> </w:t>
      </w:r>
      <w:r w:rsidR="00BC64F4">
        <w:t>important</w:t>
      </w:r>
      <w:r w:rsidR="00BC64F4">
        <w:rPr>
          <w:spacing w:val="-4"/>
        </w:rPr>
        <w:t xml:space="preserve"> </w:t>
      </w:r>
      <w:r w:rsidR="00BC64F4">
        <w:t>supervisory</w:t>
      </w:r>
      <w:r w:rsidR="00BC64F4">
        <w:rPr>
          <w:spacing w:val="-2"/>
        </w:rPr>
        <w:t xml:space="preserve"> </w:t>
      </w:r>
      <w:r w:rsidR="00BC64F4">
        <w:t>role</w:t>
      </w:r>
      <w:r w:rsidR="00BC64F4">
        <w:rPr>
          <w:spacing w:val="-4"/>
        </w:rPr>
        <w:t xml:space="preserve"> </w:t>
      </w:r>
      <w:r w:rsidR="00BC64F4">
        <w:t>in</w:t>
      </w:r>
      <w:r w:rsidR="00BC64F4">
        <w:rPr>
          <w:spacing w:val="-2"/>
        </w:rPr>
        <w:t xml:space="preserve"> </w:t>
      </w:r>
      <w:r w:rsidR="00BC64F4">
        <w:t>respect</w:t>
      </w:r>
      <w:r w:rsidR="00BC64F4">
        <w:rPr>
          <w:spacing w:val="-4"/>
        </w:rPr>
        <w:t xml:space="preserve"> </w:t>
      </w:r>
      <w:r w:rsidR="00BC64F4">
        <w:t>of settlements</w:t>
      </w:r>
      <w:r w:rsidR="00BC64F4">
        <w:rPr>
          <w:spacing w:val="-4"/>
        </w:rPr>
        <w:t xml:space="preserve"> </w:t>
      </w:r>
      <w:r w:rsidR="00BC64F4">
        <w:t>of</w:t>
      </w:r>
      <w:r w:rsidR="00BC64F4">
        <w:rPr>
          <w:spacing w:val="-5"/>
        </w:rPr>
        <w:t xml:space="preserve"> </w:t>
      </w:r>
      <w:r w:rsidR="00BC64F4">
        <w:t>representative</w:t>
      </w:r>
      <w:r w:rsidR="00BC64F4">
        <w:rPr>
          <w:spacing w:val="-7"/>
        </w:rPr>
        <w:t xml:space="preserve"> </w:t>
      </w:r>
      <w:r w:rsidR="00BC64F4">
        <w:t>proceedings</w:t>
      </w:r>
      <w:r w:rsidR="00BC64F4">
        <w:rPr>
          <w:spacing w:val="-4"/>
        </w:rPr>
        <w:t xml:space="preserve"> </w:t>
      </w:r>
      <w:r w:rsidR="00BC64F4">
        <w:t>for the</w:t>
      </w:r>
      <w:r w:rsidR="00BC64F4">
        <w:rPr>
          <w:spacing w:val="-7"/>
        </w:rPr>
        <w:t xml:space="preserve"> </w:t>
      </w:r>
      <w:r w:rsidR="00BC64F4">
        <w:t>protection</w:t>
      </w:r>
      <w:r w:rsidR="00BC64F4">
        <w:rPr>
          <w:spacing w:val="-5"/>
        </w:rPr>
        <w:t xml:space="preserve"> </w:t>
      </w:r>
      <w:r w:rsidR="00BC64F4">
        <w:t>of</w:t>
      </w:r>
      <w:r w:rsidR="00BC64F4">
        <w:rPr>
          <w:spacing w:val="-5"/>
        </w:rPr>
        <w:t xml:space="preserve"> </w:t>
      </w:r>
      <w:r w:rsidR="00BC64F4">
        <w:t>group</w:t>
      </w:r>
      <w:r w:rsidR="00BC64F4">
        <w:rPr>
          <w:spacing w:val="-5"/>
        </w:rPr>
        <w:t xml:space="preserve"> </w:t>
      </w:r>
      <w:r w:rsidR="00BC64F4">
        <w:t>members.</w:t>
      </w:r>
      <w:r w:rsidR="00BC64F4">
        <w:rPr>
          <w:spacing w:val="40"/>
        </w:rPr>
        <w:t xml:space="preserve"> </w:t>
      </w:r>
      <w:r w:rsidR="00BC64F4">
        <w:t>That</w:t>
      </w:r>
      <w:r w:rsidR="00BC64F4">
        <w:rPr>
          <w:spacing w:val="-2"/>
        </w:rPr>
        <w:t xml:space="preserve"> </w:t>
      </w:r>
      <w:r w:rsidR="00BC64F4">
        <w:t>role extends to the supervision of legal costs and funding charges.</w:t>
      </w:r>
      <w:r w:rsidR="00BC64F4">
        <w:rPr>
          <w:spacing w:val="40"/>
        </w:rPr>
        <w:t xml:space="preserve"> </w:t>
      </w:r>
      <w:r w:rsidR="00BC64F4">
        <w:t>It is consistent with that supervisory role for the Court, in considering what orders are just, to assess the remuneration that should be provided to a litigation funder, without which compensation may not have been payable to group members at all, having regard to the interests of the group members and the amount of compensation that they would ultimately receive.</w:t>
      </w:r>
      <w:r w:rsidR="00BC64F4" w:rsidRPr="00B20CDB">
        <w:rPr>
          <w:spacing w:val="40"/>
        </w:rPr>
        <w:t xml:space="preserve"> </w:t>
      </w:r>
    </w:p>
    <w:p w14:paraId="37075BC0" w14:textId="15195E60" w:rsidR="00BC64F4" w:rsidRDefault="0071710E" w:rsidP="0071710E">
      <w:pPr>
        <w:pStyle w:val="ParaNumbering"/>
        <w:numPr>
          <w:ilvl w:val="0"/>
          <w:numId w:val="0"/>
        </w:numPr>
        <w:ind w:hanging="720"/>
      </w:pPr>
      <w:r>
        <w:rPr>
          <w:sz w:val="20"/>
        </w:rPr>
        <w:t>134</w:t>
      </w:r>
      <w:r>
        <w:rPr>
          <w:sz w:val="20"/>
        </w:rPr>
        <w:tab/>
      </w:r>
      <w:r w:rsidR="00BC64F4">
        <w:t xml:space="preserve">Fifth, it has been said that a settlement CFO creates a relationship between a funder and an unfunded group member.  But I am not convinced.  </w:t>
      </w:r>
    </w:p>
    <w:p w14:paraId="3057B077" w14:textId="53162F17" w:rsidR="00BC64F4" w:rsidRDefault="0071710E" w:rsidP="0071710E">
      <w:pPr>
        <w:pStyle w:val="ParaNumbering"/>
        <w:numPr>
          <w:ilvl w:val="0"/>
          <w:numId w:val="0"/>
        </w:numPr>
        <w:ind w:hanging="720"/>
      </w:pPr>
      <w:r>
        <w:rPr>
          <w:sz w:val="20"/>
        </w:rPr>
        <w:t>135</w:t>
      </w:r>
      <w:r>
        <w:rPr>
          <w:sz w:val="20"/>
        </w:rPr>
        <w:tab/>
      </w:r>
      <w:r w:rsidR="00BC64F4">
        <w:t>The first way to look at it is that a settlement CFO is an order made by the Court under s 33</w:t>
      </w:r>
      <w:proofErr w:type="gramStart"/>
      <w:r w:rsidR="00BC64F4">
        <w:t>V(</w:t>
      </w:r>
      <w:proofErr w:type="gramEnd"/>
      <w:r w:rsidR="00BC64F4">
        <w:t xml:space="preserve">2) requiring the deduction from a settlement fund from an otherwise entitlement of an unfunded group member which is then ordered to be paid to the funder. There is no consensual or other relationship between the funder and the unfunded group member.  Rather, a third party, namely, the Court is imposing its own order which affects both the funder and the unfunded group member in a complementary way.  A is directing B and C.  But for A to do so does not entail any relationship between B and C.  But even this construct is inaccurate as there is no prior “otherwise entitlement” of the group member; such an entitlement only arises </w:t>
      </w:r>
      <w:r w:rsidR="00BC64F4">
        <w:rPr>
          <w:i/>
        </w:rPr>
        <w:t xml:space="preserve">after </w:t>
      </w:r>
      <w:r w:rsidR="00BC64F4">
        <w:t>all deductions including costs are made as allocated in accordance with any s 33</w:t>
      </w:r>
      <w:proofErr w:type="gramStart"/>
      <w:r w:rsidR="00BC64F4">
        <w:t>V(</w:t>
      </w:r>
      <w:proofErr w:type="gramEnd"/>
      <w:r w:rsidR="00BC64F4">
        <w:t xml:space="preserve">2) order. </w:t>
      </w:r>
    </w:p>
    <w:p w14:paraId="2F19854C" w14:textId="52D511BC" w:rsidR="00BC64F4" w:rsidRDefault="0071710E" w:rsidP="0071710E">
      <w:pPr>
        <w:pStyle w:val="ParaNumbering"/>
        <w:numPr>
          <w:ilvl w:val="0"/>
          <w:numId w:val="0"/>
        </w:numPr>
        <w:ind w:hanging="720"/>
      </w:pPr>
      <w:r>
        <w:rPr>
          <w:sz w:val="20"/>
        </w:rPr>
        <w:t>136</w:t>
      </w:r>
      <w:r>
        <w:rPr>
          <w:sz w:val="20"/>
        </w:rPr>
        <w:tab/>
      </w:r>
      <w:r w:rsidR="00BC64F4">
        <w:t xml:space="preserve">The second way to look at the settlement CFO is that it is making an order against the fund (in rem), rather than the parties or group members. </w:t>
      </w:r>
    </w:p>
    <w:p w14:paraId="011B73B4" w14:textId="2825F281" w:rsidR="00BC64F4" w:rsidRDefault="0071710E" w:rsidP="0071710E">
      <w:pPr>
        <w:pStyle w:val="ParaNumbering"/>
        <w:numPr>
          <w:ilvl w:val="0"/>
          <w:numId w:val="0"/>
        </w:numPr>
        <w:ind w:hanging="720"/>
      </w:pPr>
      <w:r>
        <w:rPr>
          <w:sz w:val="20"/>
        </w:rPr>
        <w:t>137</w:t>
      </w:r>
      <w:r>
        <w:rPr>
          <w:sz w:val="20"/>
        </w:rPr>
        <w:tab/>
      </w:r>
      <w:r w:rsidR="00BC64F4">
        <w:t xml:space="preserve">But in any event if this relationship point were good, you could say something analogous about an FEO.  That could be seen as creating a relationship between a funded group member and an unfunded group member where none existed; they are both strangers to each other. </w:t>
      </w:r>
    </w:p>
    <w:p w14:paraId="1532719F" w14:textId="31586BA2" w:rsidR="00BC64F4" w:rsidRDefault="0071710E" w:rsidP="0071710E">
      <w:pPr>
        <w:pStyle w:val="ParaNumbering"/>
        <w:numPr>
          <w:ilvl w:val="0"/>
          <w:numId w:val="0"/>
        </w:numPr>
        <w:ind w:hanging="720"/>
      </w:pPr>
      <w:r>
        <w:rPr>
          <w:sz w:val="20"/>
        </w:rPr>
        <w:t>138</w:t>
      </w:r>
      <w:r>
        <w:rPr>
          <w:sz w:val="20"/>
        </w:rPr>
        <w:tab/>
      </w:r>
      <w:r w:rsidR="00BC64F4">
        <w:t xml:space="preserve">Generally I do not see this relationship point taking the matter far.  And in </w:t>
      </w:r>
      <w:r w:rsidR="00BC64F4" w:rsidRPr="00586E42">
        <w:t>any</w:t>
      </w:r>
      <w:r w:rsidR="00BC64F4">
        <w:t xml:space="preserve"> event it distracts from the real question, which is the ambit of the statutory power under s 33</w:t>
      </w:r>
      <w:proofErr w:type="gramStart"/>
      <w:r w:rsidR="00BC64F4">
        <w:t>V(</w:t>
      </w:r>
      <w:proofErr w:type="gramEnd"/>
      <w:r w:rsidR="00BC64F4">
        <w:t xml:space="preserve">2). </w:t>
      </w:r>
    </w:p>
    <w:p w14:paraId="4B3DA133" w14:textId="539FB7BB" w:rsidR="00BC64F4" w:rsidRDefault="0071710E" w:rsidP="0071710E">
      <w:pPr>
        <w:pStyle w:val="ParaNumbering"/>
        <w:numPr>
          <w:ilvl w:val="0"/>
          <w:numId w:val="0"/>
        </w:numPr>
        <w:ind w:hanging="720"/>
      </w:pPr>
      <w:r>
        <w:rPr>
          <w:sz w:val="20"/>
        </w:rPr>
        <w:t>139</w:t>
      </w:r>
      <w:r>
        <w:rPr>
          <w:sz w:val="20"/>
        </w:rPr>
        <w:tab/>
      </w:r>
      <w:r w:rsidR="00BC64F4">
        <w:t xml:space="preserve">Sixth, the fact that other possible mechanisms </w:t>
      </w:r>
      <w:r w:rsidR="00BC64F4" w:rsidRPr="00821236">
        <w:t xml:space="preserve">may </w:t>
      </w:r>
      <w:r w:rsidR="00BC64F4">
        <w:t>be available to address</w:t>
      </w:r>
      <w:r w:rsidR="00BC64F4" w:rsidRPr="00EE197E">
        <w:t xml:space="preserve"> </w:t>
      </w:r>
      <w:r w:rsidR="00BC64F4">
        <w:t>the</w:t>
      </w:r>
      <w:r w:rsidR="00BC64F4" w:rsidRPr="00EE197E">
        <w:t xml:space="preserve"> </w:t>
      </w:r>
      <w:r w:rsidR="00BC64F4">
        <w:t>problem</w:t>
      </w:r>
      <w:r w:rsidR="00BC64F4" w:rsidRPr="00EE197E">
        <w:t xml:space="preserve"> </w:t>
      </w:r>
      <w:r w:rsidR="00BC64F4">
        <w:t>of</w:t>
      </w:r>
      <w:r w:rsidR="00BC64F4" w:rsidRPr="00EE197E">
        <w:t xml:space="preserve"> </w:t>
      </w:r>
      <w:r w:rsidR="00BC64F4">
        <w:t>“</w:t>
      </w:r>
      <w:proofErr w:type="gramStart"/>
      <w:r w:rsidR="00BC64F4">
        <w:t>free-riding</w:t>
      </w:r>
      <w:proofErr w:type="gramEnd"/>
      <w:r w:rsidR="00BC64F4">
        <w:t>”</w:t>
      </w:r>
      <w:r w:rsidR="00BC64F4" w:rsidRPr="00EE197E">
        <w:t xml:space="preserve"> does not entail </w:t>
      </w:r>
      <w:r w:rsidR="00BC64F4">
        <w:t xml:space="preserve">that a settlement CFO could </w:t>
      </w:r>
      <w:r w:rsidR="00BC64F4" w:rsidRPr="00E91909">
        <w:t>never</w:t>
      </w:r>
      <w:r w:rsidR="00BC64F4">
        <w:t xml:space="preserve"> be considered just in a particular case.</w:t>
      </w:r>
    </w:p>
    <w:p w14:paraId="165E0EF7" w14:textId="403886FF" w:rsidR="00BC64F4" w:rsidRPr="00B20CDB" w:rsidRDefault="0071710E" w:rsidP="0071710E">
      <w:pPr>
        <w:pStyle w:val="ParaNumbering"/>
        <w:numPr>
          <w:ilvl w:val="0"/>
          <w:numId w:val="0"/>
        </w:numPr>
        <w:tabs>
          <w:tab w:val="left" w:pos="720"/>
        </w:tabs>
        <w:ind w:hanging="720"/>
      </w:pPr>
      <w:r w:rsidRPr="00B20CDB">
        <w:rPr>
          <w:sz w:val="20"/>
        </w:rPr>
        <w:t>140</w:t>
      </w:r>
      <w:r w:rsidRPr="00B20CDB">
        <w:rPr>
          <w:sz w:val="20"/>
        </w:rPr>
        <w:tab/>
      </w:r>
      <w:r w:rsidR="00BC64F4" w:rsidRPr="00B20CDB">
        <w:t xml:space="preserve">Let me turn now </w:t>
      </w:r>
      <w:r w:rsidR="00BC64F4">
        <w:t xml:space="preserve">more directly </w:t>
      </w:r>
      <w:r w:rsidR="00BC64F4" w:rsidRPr="00B20CDB">
        <w:t>to the question of FEOs</w:t>
      </w:r>
      <w:r w:rsidR="00BC64F4">
        <w:t xml:space="preserve"> as </w:t>
      </w:r>
      <w:r w:rsidR="00BC64F4" w:rsidRPr="002563C7">
        <w:t>it was</w:t>
      </w:r>
      <w:r w:rsidR="00BC64F4">
        <w:t xml:space="preserve"> suggested that the so-called spirit of </w:t>
      </w:r>
      <w:r w:rsidR="00BC64F4">
        <w:rPr>
          <w:i/>
          <w:iCs/>
        </w:rPr>
        <w:t xml:space="preserve">Brewster </w:t>
      </w:r>
      <w:r w:rsidR="00BC64F4">
        <w:t xml:space="preserve">requires the Court to prefer FEOs over CFOs and that somehow if an FEO can be made then the Court ought not make a CFO.  But what if the Court cannot make an FEO because group members have not been signed up?  What then? Can the Court make a settlement CFO?  </w:t>
      </w:r>
      <w:r w:rsidR="00BC64F4">
        <w:rPr>
          <w:i/>
          <w:iCs/>
        </w:rPr>
        <w:t xml:space="preserve">Brewster </w:t>
      </w:r>
      <w:r w:rsidR="00BC64F4">
        <w:t>does not negate such a possibility.  But in any event, the Court under s 33</w:t>
      </w:r>
      <w:proofErr w:type="gramStart"/>
      <w:r w:rsidR="00BC64F4">
        <w:t>V(</w:t>
      </w:r>
      <w:proofErr w:type="gramEnd"/>
      <w:r w:rsidR="00BC64F4">
        <w:t xml:space="preserve">2) is required to do what is “just” and to act upon the basis of evidence before it, rather than to simply resonate with any vibe emanating from preferences expressed for particular funding expense allocation models. </w:t>
      </w:r>
    </w:p>
    <w:p w14:paraId="3170C50A" w14:textId="77777777" w:rsidR="00BC64F4" w:rsidRDefault="00BC64F4" w:rsidP="00BC64F4">
      <w:pPr>
        <w:pStyle w:val="Heading4"/>
      </w:pPr>
      <w:r>
        <w:t>Funding equalisation orders</w:t>
      </w:r>
    </w:p>
    <w:p w14:paraId="4E43EA06" w14:textId="0B8D2105" w:rsidR="00BC64F4" w:rsidRDefault="0071710E" w:rsidP="0071710E">
      <w:pPr>
        <w:pStyle w:val="ParaNumbering"/>
        <w:numPr>
          <w:ilvl w:val="0"/>
          <w:numId w:val="0"/>
        </w:numPr>
        <w:ind w:hanging="720"/>
      </w:pPr>
      <w:r>
        <w:rPr>
          <w:sz w:val="20"/>
        </w:rPr>
        <w:t>141</w:t>
      </w:r>
      <w:r>
        <w:rPr>
          <w:sz w:val="20"/>
        </w:rPr>
        <w:tab/>
      </w:r>
      <w:r w:rsidR="00BC64F4">
        <w:rPr>
          <w:i/>
          <w:iCs/>
        </w:rPr>
        <w:t xml:space="preserve">Brewster </w:t>
      </w:r>
      <w:r w:rsidR="00BC64F4">
        <w:t xml:space="preserve">does not contain majority considered </w:t>
      </w:r>
      <w:proofErr w:type="spellStart"/>
      <w:r w:rsidR="00BC64F4">
        <w:t>obita</w:t>
      </w:r>
      <w:proofErr w:type="spellEnd"/>
      <w:r w:rsidR="00BC64F4">
        <w:t xml:space="preserve"> dicta justifying the proposition that FEOs are to be preferred as an exercise of power on settlement under s 33</w:t>
      </w:r>
      <w:proofErr w:type="gramStart"/>
      <w:r w:rsidR="00BC64F4">
        <w:t>V(</w:t>
      </w:r>
      <w:proofErr w:type="gramEnd"/>
      <w:r w:rsidR="00BC64F4">
        <w:t xml:space="preserve">2), and that no settlement CFO could be made. </w:t>
      </w:r>
    </w:p>
    <w:p w14:paraId="1E75B668" w14:textId="2542B7AD" w:rsidR="00BC64F4" w:rsidRDefault="0071710E" w:rsidP="0071710E">
      <w:pPr>
        <w:pStyle w:val="ParaNumbering"/>
        <w:numPr>
          <w:ilvl w:val="0"/>
          <w:numId w:val="0"/>
        </w:numPr>
        <w:ind w:hanging="720"/>
      </w:pPr>
      <w:r>
        <w:rPr>
          <w:sz w:val="20"/>
        </w:rPr>
        <w:t>142</w:t>
      </w:r>
      <w:r>
        <w:rPr>
          <w:sz w:val="20"/>
        </w:rPr>
        <w:tab/>
      </w:r>
      <w:r w:rsidR="00BC64F4">
        <w:t xml:space="preserve">Further, to the extent that </w:t>
      </w:r>
      <w:r w:rsidR="00BC64F4">
        <w:rPr>
          <w:i/>
          <w:iCs/>
        </w:rPr>
        <w:t xml:space="preserve">Cantor v Audi Australia Pty Ltd (No 5) </w:t>
      </w:r>
      <w:r w:rsidR="00BC64F4">
        <w:t xml:space="preserve">[2020] FCA 637, which is an outlier as Lee J has demonstrated, suggested otherwise it may be put to one side.  In any event Foster J’s expression of views were obiter as he himself recognised (at [429]).  And as for O’Callaghan J’s decision in </w:t>
      </w:r>
      <w:r w:rsidR="00BC64F4" w:rsidRPr="002563C7">
        <w:rPr>
          <w:i/>
        </w:rPr>
        <w:t xml:space="preserve">Davaria Pty Ltd v 7-Eleven Stores Pty Ltd (No 13) </w:t>
      </w:r>
      <w:r w:rsidR="00BC64F4">
        <w:t xml:space="preserve">[2023] FCA 84, which relied upon </w:t>
      </w:r>
      <w:r w:rsidR="00BC64F4" w:rsidRPr="002563C7">
        <w:rPr>
          <w:i/>
          <w:iCs/>
        </w:rPr>
        <w:t>Cantor</w:t>
      </w:r>
      <w:r w:rsidR="00BC64F4">
        <w:t xml:space="preserve">, it is under appeal concerning the orders ultimately made.  It rises or falls with </w:t>
      </w:r>
      <w:proofErr w:type="gramStart"/>
      <w:r w:rsidR="00BC64F4">
        <w:rPr>
          <w:i/>
          <w:iCs/>
        </w:rPr>
        <w:t>Cantor</w:t>
      </w:r>
      <w:proofErr w:type="gramEnd"/>
      <w:r w:rsidR="00BC64F4">
        <w:rPr>
          <w:i/>
          <w:iCs/>
        </w:rPr>
        <w:t xml:space="preserve"> </w:t>
      </w:r>
      <w:r w:rsidR="00BC64F4">
        <w:t xml:space="preserve">and I do not propose to say anything further. </w:t>
      </w:r>
    </w:p>
    <w:p w14:paraId="24E37F89" w14:textId="703E68AD" w:rsidR="00BC64F4" w:rsidRPr="00D5019A" w:rsidRDefault="0071710E" w:rsidP="0071710E">
      <w:pPr>
        <w:pStyle w:val="ParaNumbering"/>
        <w:numPr>
          <w:ilvl w:val="0"/>
          <w:numId w:val="0"/>
        </w:numPr>
        <w:ind w:hanging="720"/>
      </w:pPr>
      <w:r w:rsidRPr="00D5019A">
        <w:rPr>
          <w:sz w:val="20"/>
        </w:rPr>
        <w:t>143</w:t>
      </w:r>
      <w:r w:rsidRPr="00D5019A">
        <w:rPr>
          <w:sz w:val="20"/>
        </w:rPr>
        <w:tab/>
      </w:r>
      <w:r w:rsidR="00BC64F4">
        <w:t xml:space="preserve">Let me turn more directly to the discussion in </w:t>
      </w:r>
      <w:r w:rsidR="00BC64F4">
        <w:rPr>
          <w:i/>
          <w:iCs/>
        </w:rPr>
        <w:t>Brewster</w:t>
      </w:r>
      <w:r w:rsidR="00BC64F4">
        <w:t xml:space="preserve"> concerning FEOs. </w:t>
      </w:r>
      <w:r w:rsidR="00BC64F4" w:rsidRPr="005E0425">
        <w:t xml:space="preserve"> </w:t>
      </w:r>
      <w:r w:rsidR="00BC64F4">
        <w:rPr>
          <w:i/>
          <w:iCs/>
        </w:rPr>
        <w:t xml:space="preserve"> </w:t>
      </w:r>
    </w:p>
    <w:p w14:paraId="46A076BF" w14:textId="584BD530" w:rsidR="00BC64F4" w:rsidRDefault="0071710E" w:rsidP="0071710E">
      <w:pPr>
        <w:pStyle w:val="ParaNumbering"/>
        <w:numPr>
          <w:ilvl w:val="0"/>
          <w:numId w:val="0"/>
        </w:numPr>
        <w:ind w:hanging="720"/>
      </w:pPr>
      <w:r>
        <w:rPr>
          <w:sz w:val="20"/>
        </w:rPr>
        <w:t>144</w:t>
      </w:r>
      <w:r>
        <w:rPr>
          <w:sz w:val="20"/>
        </w:rPr>
        <w:tab/>
      </w:r>
      <w:r w:rsidR="00BC64F4">
        <w:t xml:space="preserve">First, </w:t>
      </w:r>
      <w:proofErr w:type="gramStart"/>
      <w:r w:rsidR="00BC64F4">
        <w:t>it would seem that these</w:t>
      </w:r>
      <w:proofErr w:type="gramEnd"/>
      <w:r w:rsidR="00BC64F4">
        <w:t xml:space="preserve"> are said to have the additional advantage that they do not impose, as CFOs are said to, an additional cost on the unfunded group members (</w:t>
      </w:r>
      <w:r w:rsidR="00BC64F4" w:rsidRPr="007C2A08">
        <w:rPr>
          <w:i/>
        </w:rPr>
        <w:t xml:space="preserve">Brewster </w:t>
      </w:r>
      <w:r w:rsidR="00BC64F4">
        <w:t xml:space="preserve">at [88] per the plurality).  But what does any of that really mean? </w:t>
      </w:r>
    </w:p>
    <w:p w14:paraId="14F85E46" w14:textId="7E4FD92F" w:rsidR="00BC64F4" w:rsidRDefault="0071710E" w:rsidP="0071710E">
      <w:pPr>
        <w:pStyle w:val="ParaNumbering"/>
        <w:numPr>
          <w:ilvl w:val="0"/>
          <w:numId w:val="0"/>
        </w:numPr>
        <w:ind w:hanging="720"/>
      </w:pPr>
      <w:r>
        <w:rPr>
          <w:sz w:val="20"/>
        </w:rPr>
        <w:t>145</w:t>
      </w:r>
      <w:r>
        <w:rPr>
          <w:sz w:val="20"/>
        </w:rPr>
        <w:tab/>
      </w:r>
      <w:r w:rsidR="00BC64F4">
        <w:t xml:space="preserve">An FEO includes some deduction from the moneys otherwise paid to unfunded group members.  </w:t>
      </w:r>
      <w:proofErr w:type="gramStart"/>
      <w:r w:rsidR="00BC64F4">
        <w:t>So</w:t>
      </w:r>
      <w:proofErr w:type="gramEnd"/>
      <w:r w:rsidR="00BC64F4">
        <w:t xml:space="preserve"> there is a cost.  But what then does it mean to </w:t>
      </w:r>
      <w:proofErr w:type="gramStart"/>
      <w:r w:rsidR="00BC64F4">
        <w:t>say</w:t>
      </w:r>
      <w:proofErr w:type="gramEnd"/>
      <w:r w:rsidR="00BC64F4">
        <w:t xml:space="preserve"> “additional cost”?  In some scenarios</w:t>
      </w:r>
      <w:r w:rsidR="00BC64F4" w:rsidRPr="004132EE">
        <w:t>, the</w:t>
      </w:r>
      <w:r w:rsidR="00BC64F4">
        <w:t xml:space="preserve"> arithmetic is such that an FEO will impose more of a cost on an unfunded group member than a CFO, as was discussed in </w:t>
      </w:r>
      <w:r w:rsidR="00BC64F4">
        <w:rPr>
          <w:i/>
          <w:iCs/>
        </w:rPr>
        <w:t xml:space="preserve">Money Max.  </w:t>
      </w:r>
      <w:r w:rsidR="00BC64F4">
        <w:t xml:space="preserve">I will return to this in a moment.  </w:t>
      </w:r>
    </w:p>
    <w:p w14:paraId="17455197" w14:textId="426380C5" w:rsidR="00BC64F4" w:rsidRDefault="0071710E" w:rsidP="0071710E">
      <w:pPr>
        <w:pStyle w:val="ParaNumbering"/>
        <w:numPr>
          <w:ilvl w:val="0"/>
          <w:numId w:val="0"/>
        </w:numPr>
        <w:ind w:hanging="720"/>
      </w:pPr>
      <w:r>
        <w:rPr>
          <w:sz w:val="20"/>
        </w:rPr>
        <w:t>146</w:t>
      </w:r>
      <w:r>
        <w:rPr>
          <w:sz w:val="20"/>
        </w:rPr>
        <w:tab/>
      </w:r>
      <w:r w:rsidR="00BC64F4">
        <w:t>Second, it is said that it is of advantage that FEOs take as their starting point the actual costs incurred in funding the litigation (</w:t>
      </w:r>
      <w:r w:rsidR="00BC64F4">
        <w:rPr>
          <w:i/>
        </w:rPr>
        <w:t xml:space="preserve">Brewster </w:t>
      </w:r>
      <w:r w:rsidR="00BC64F4">
        <w:t xml:space="preserve">at [88] per the plurality).  But if FEOs, in contrast to CFOs, involve unnecessary, expensive and inefficient book-building as they do, then the “actual costs” incurred have been unnecessarily increased; </w:t>
      </w:r>
      <w:proofErr w:type="gramStart"/>
      <w:r w:rsidR="00BC64F4">
        <w:t>of course</w:t>
      </w:r>
      <w:proofErr w:type="gramEnd"/>
      <w:r w:rsidR="00BC64F4">
        <w:t xml:space="preserve"> there are also hidden and indirect costs from any delay resulting from book-building.  Book-building is necessarily incentivised by FEOs because, predictably, a funder has an incentive to maximise its contractual entitlements against the largest pool of group members that it can sign up. </w:t>
      </w:r>
    </w:p>
    <w:p w14:paraId="5957BD22" w14:textId="6779B00B" w:rsidR="00BC64F4" w:rsidRDefault="0071710E" w:rsidP="0071710E">
      <w:pPr>
        <w:pStyle w:val="ParaNumbering"/>
        <w:numPr>
          <w:ilvl w:val="0"/>
          <w:numId w:val="0"/>
        </w:numPr>
        <w:ind w:hanging="720"/>
      </w:pPr>
      <w:r>
        <w:rPr>
          <w:sz w:val="20"/>
        </w:rPr>
        <w:t>147</w:t>
      </w:r>
      <w:r>
        <w:rPr>
          <w:sz w:val="20"/>
        </w:rPr>
        <w:tab/>
      </w:r>
      <w:r w:rsidR="00BC64F4">
        <w:t xml:space="preserve">I noted the fiasco associated with incentivising book-building, as the distortion of preferencing FEOs appears to do, in </w:t>
      </w:r>
      <w:r w:rsidR="00BC64F4">
        <w:rPr>
          <w:i/>
        </w:rPr>
        <w:t xml:space="preserve">Stanwell Corporation Ltd v LCM Funding Pty Ltd </w:t>
      </w:r>
      <w:r w:rsidR="00BC64F4">
        <w:t>(2021) 157 ACSR 401 at [6] where the class included more than a million electricity consumers in Queensland and where I said:</w:t>
      </w:r>
    </w:p>
    <w:p w14:paraId="15FFB2CC" w14:textId="77777777" w:rsidR="00BC64F4" w:rsidRDefault="00BC64F4" w:rsidP="00BC64F4">
      <w:pPr>
        <w:pStyle w:val="Quote1"/>
      </w:pPr>
      <w:r>
        <w:t>[T]</w:t>
      </w:r>
      <w:r w:rsidRPr="004132EE">
        <w:t xml:space="preserve">he </w:t>
      </w:r>
      <w:proofErr w:type="gramStart"/>
      <w:r w:rsidRPr="004132EE">
        <w:t>proceeding</w:t>
      </w:r>
      <w:proofErr w:type="gramEnd"/>
      <w:r w:rsidRPr="004132EE">
        <w:t xml:space="preserve"> dispels the myth of the so called advantages of book building in a case of this type. The book building here has resulted in an unnecessary, </w:t>
      </w:r>
      <w:proofErr w:type="gramStart"/>
      <w:r w:rsidRPr="004132EE">
        <w:t>costly</w:t>
      </w:r>
      <w:proofErr w:type="gramEnd"/>
      <w:r w:rsidRPr="004132EE">
        <w:t xml:space="preserve"> and inefficient delay of seven months in order that over 50,000 retail customers be separately signed up to individual funding agreements. There is little justification for such a barrier to entry so to speak or justice</w:t>
      </w:r>
      <w:r>
        <w:t>.</w:t>
      </w:r>
    </w:p>
    <w:p w14:paraId="0D7AEFBD" w14:textId="3CAA2C7E" w:rsidR="00BC64F4" w:rsidRDefault="0071710E" w:rsidP="0071710E">
      <w:pPr>
        <w:pStyle w:val="ParaNumbering"/>
        <w:numPr>
          <w:ilvl w:val="0"/>
          <w:numId w:val="0"/>
        </w:numPr>
        <w:ind w:hanging="720"/>
      </w:pPr>
      <w:r>
        <w:rPr>
          <w:sz w:val="20"/>
        </w:rPr>
        <w:t>148</w:t>
      </w:r>
      <w:r>
        <w:rPr>
          <w:sz w:val="20"/>
        </w:rPr>
        <w:tab/>
      </w:r>
      <w:r w:rsidR="00BC64F4">
        <w:t>So, you have the perceived virtue of taking as the starting point the “actual costs”, but the real vice of using FEOs which has resulted in an unnecessary inflation of the “actual costs”.  The so-called advantage of the starting point being “actual costs” is illusory, where t</w:t>
      </w:r>
      <w:r w:rsidR="00BC64F4" w:rsidRPr="001018CF">
        <w:t>he base</w:t>
      </w:r>
      <w:r w:rsidR="00BC64F4">
        <w:t xml:space="preserve"> has been unnecessarily inflated to the disadvantage and expense of all group members under an FEO. </w:t>
      </w:r>
    </w:p>
    <w:p w14:paraId="404BDEE8" w14:textId="5F00CC4A" w:rsidR="00BC64F4" w:rsidRDefault="0071710E" w:rsidP="0071710E">
      <w:pPr>
        <w:pStyle w:val="ParaNumbering"/>
        <w:numPr>
          <w:ilvl w:val="0"/>
          <w:numId w:val="0"/>
        </w:numPr>
        <w:ind w:hanging="720"/>
      </w:pPr>
      <w:r>
        <w:rPr>
          <w:sz w:val="20"/>
        </w:rPr>
        <w:t>149</w:t>
      </w:r>
      <w:r>
        <w:rPr>
          <w:sz w:val="20"/>
        </w:rPr>
        <w:tab/>
      </w:r>
      <w:r w:rsidR="00BC64F4">
        <w:t xml:space="preserve">Third, </w:t>
      </w:r>
      <w:r w:rsidR="00BC64F4">
        <w:rPr>
          <w:i/>
        </w:rPr>
        <w:t xml:space="preserve">Brewster </w:t>
      </w:r>
      <w:r w:rsidR="00BC64F4">
        <w:t xml:space="preserve">did not consider let alone analyse how an FEO could work where only the representative applicant had signed a funding agreement or where only a small number could do so because the majority of the class were unascertainable within a reasonable time frame as to their identity or where the nature of the characteristics of most members of the class due to their education or other socio-economic factors was such that it was not feasible to expect them to understand let alone sign up to relatively complex funding agreements. </w:t>
      </w:r>
    </w:p>
    <w:p w14:paraId="39B33B6E" w14:textId="3729F09F" w:rsidR="00BC64F4" w:rsidRDefault="0071710E" w:rsidP="0071710E">
      <w:pPr>
        <w:pStyle w:val="ParaNumbering"/>
        <w:numPr>
          <w:ilvl w:val="0"/>
          <w:numId w:val="0"/>
        </w:numPr>
        <w:ind w:hanging="720"/>
      </w:pPr>
      <w:r>
        <w:rPr>
          <w:sz w:val="20"/>
        </w:rPr>
        <w:t>150</w:t>
      </w:r>
      <w:r>
        <w:rPr>
          <w:sz w:val="20"/>
        </w:rPr>
        <w:tab/>
      </w:r>
      <w:r w:rsidR="00BC64F4">
        <w:t xml:space="preserve">Fourth, if FEOs only are available, it is also conducive to closed classes.  But the very philosophy underpinning Part IVA and the opt-out model is open classes, not closed classes.  In other words, those who are promoters of FEOs, which they assert is in keeping with the Part IVA regime, are counter-intuitively pushing the antithesis of what Part IVA was intended to operate on, namely, open classes. </w:t>
      </w:r>
    </w:p>
    <w:p w14:paraId="2BFBB9F0" w14:textId="204CA385" w:rsidR="00BC64F4" w:rsidRDefault="0071710E" w:rsidP="0071710E">
      <w:pPr>
        <w:pStyle w:val="ParaNumbering"/>
        <w:numPr>
          <w:ilvl w:val="0"/>
          <w:numId w:val="0"/>
        </w:numPr>
        <w:tabs>
          <w:tab w:val="left" w:pos="720"/>
        </w:tabs>
        <w:ind w:hanging="720"/>
      </w:pPr>
      <w:r>
        <w:rPr>
          <w:sz w:val="20"/>
        </w:rPr>
        <w:t>151</w:t>
      </w:r>
      <w:r>
        <w:rPr>
          <w:sz w:val="20"/>
        </w:rPr>
        <w:tab/>
      </w:r>
      <w:r w:rsidR="00BC64F4">
        <w:t>Now o</w:t>
      </w:r>
      <w:r w:rsidR="00BC64F4" w:rsidRPr="00CE383A">
        <w:t xml:space="preserve">ne can </w:t>
      </w:r>
      <w:r w:rsidR="00BC64F4">
        <w:t xml:space="preserve">appreciate </w:t>
      </w:r>
      <w:r w:rsidR="00BC64F4" w:rsidRPr="00CE383A">
        <w:t xml:space="preserve">the </w:t>
      </w:r>
      <w:r w:rsidR="00BC64F4">
        <w:t xml:space="preserve">evolution </w:t>
      </w:r>
      <w:r w:rsidR="00BC64F4" w:rsidRPr="00CE383A">
        <w:t>of the equalisation technique</w:t>
      </w:r>
      <w:r w:rsidR="00BC64F4">
        <w:t xml:space="preserve"> and FEOs</w:t>
      </w:r>
      <w:r w:rsidR="00BC64F4" w:rsidRPr="00CE383A">
        <w:t>.</w:t>
      </w:r>
      <w:r w:rsidR="00BC64F4">
        <w:t xml:space="preserve">  But it ought not to be forgotten that a funding equalisation method was first introduced as an ad hoc innovation posited by solicitors seeking to expediently resolve a practical problem that had arisen in </w:t>
      </w:r>
      <w:proofErr w:type="spellStart"/>
      <w:r w:rsidR="00BC64F4" w:rsidRPr="00D52F22">
        <w:rPr>
          <w:i/>
        </w:rPr>
        <w:t>Dorajay</w:t>
      </w:r>
      <w:proofErr w:type="spellEnd"/>
      <w:r w:rsidR="00BC64F4" w:rsidRPr="00D52F22">
        <w:rPr>
          <w:i/>
        </w:rPr>
        <w:t xml:space="preserve"> Pty Ltd v Aristocrat Leisure Ltd</w:t>
      </w:r>
      <w:r w:rsidR="00BC64F4">
        <w:t xml:space="preserve"> [2009] FCA 19.  It did not arise through extensive judicial evolution and exposition.  And it is fanciful to suggest that there is only one form of the mechanism that is somehow to be timelessly preserved and suitable for all occasions.</w:t>
      </w:r>
    </w:p>
    <w:p w14:paraId="7318F0E5" w14:textId="16283A2E" w:rsidR="00BC64F4" w:rsidRPr="00CE383A" w:rsidRDefault="0071710E" w:rsidP="0071710E">
      <w:pPr>
        <w:pStyle w:val="ParaNumbering"/>
        <w:numPr>
          <w:ilvl w:val="0"/>
          <w:numId w:val="0"/>
        </w:numPr>
        <w:tabs>
          <w:tab w:val="left" w:pos="720"/>
        </w:tabs>
        <w:ind w:hanging="720"/>
      </w:pPr>
      <w:r w:rsidRPr="00CE383A">
        <w:rPr>
          <w:sz w:val="20"/>
        </w:rPr>
        <w:t>152</w:t>
      </w:r>
      <w:r w:rsidRPr="00CE383A">
        <w:rPr>
          <w:sz w:val="20"/>
        </w:rPr>
        <w:tab/>
      </w:r>
      <w:r w:rsidR="00BC64F4" w:rsidRPr="00CE383A">
        <w:t xml:space="preserve">Initially, most securities class actions were commenced on a closed class basis where membership of the group was limited only to persons who had signed a funding agreement with the litigation funder.  If the class was closed in this sense, the common form litigation funding agreement usually </w:t>
      </w:r>
      <w:proofErr w:type="gramStart"/>
      <w:r w:rsidR="00BC64F4" w:rsidRPr="00CE383A">
        <w:t>entered into</w:t>
      </w:r>
      <w:proofErr w:type="gramEnd"/>
      <w:r w:rsidR="00BC64F4" w:rsidRPr="00CE383A">
        <w:t xml:space="preserve"> by all class members made contractual provision for each group member to bear their proportionate share of almost every kind of conceivable cost incurred by the funder, the solicitors or the representative applicant, but importantly only out of their proportionate share of the recovery from the litigation.  In this sense, in a truly closed class the settlement sum was properly to be described as a common fund out of which all deductions were contractually to be regarded as common and deducted accordingly.</w:t>
      </w:r>
    </w:p>
    <w:p w14:paraId="1EDE70B0" w14:textId="403A42FA" w:rsidR="00BC64F4" w:rsidRPr="00CE383A" w:rsidRDefault="0071710E" w:rsidP="0071710E">
      <w:pPr>
        <w:pStyle w:val="ParaNumbering"/>
        <w:numPr>
          <w:ilvl w:val="0"/>
          <w:numId w:val="0"/>
        </w:numPr>
        <w:tabs>
          <w:tab w:val="left" w:pos="720"/>
        </w:tabs>
        <w:ind w:hanging="720"/>
      </w:pPr>
      <w:r w:rsidRPr="00CE383A">
        <w:rPr>
          <w:sz w:val="20"/>
        </w:rPr>
        <w:t>153</w:t>
      </w:r>
      <w:r w:rsidRPr="00CE383A">
        <w:rPr>
          <w:sz w:val="20"/>
        </w:rPr>
        <w:tab/>
      </w:r>
      <w:r w:rsidR="00BC64F4" w:rsidRPr="00CE383A">
        <w:t xml:space="preserve">The next “innovation” was the technique of the </w:t>
      </w:r>
      <w:proofErr w:type="gramStart"/>
      <w:r w:rsidR="00BC64F4" w:rsidRPr="00CE383A">
        <w:t>opening up</w:t>
      </w:r>
      <w:proofErr w:type="gramEnd"/>
      <w:r w:rsidR="00BC64F4" w:rsidRPr="00CE383A">
        <w:t xml:space="preserve"> of a closed class by amending the group definition to include persons who had not entered into funding agreements.  This was done for the purpose of ensuring that litigation finality could be achieved for respondents, rather than being plagued with an interminable succession of further closed class actions each time they settled one such action, until the expiration of any limitation period barred the commencement of a new closed class action; any s 33ZE suspension only applied endogenously within a</w:t>
      </w:r>
      <w:r w:rsidR="00BC64F4" w:rsidRPr="00CE383A">
        <w:rPr>
          <w:i/>
        </w:rPr>
        <w:t xml:space="preserve"> particular</w:t>
      </w:r>
      <w:r w:rsidR="00BC64F4" w:rsidRPr="00CE383A">
        <w:t xml:space="preserve"> closed class action.  But such an opening up of the class posed a problem in terms of class members’ relationships inter se.  Why should persons newly admitted to the class who had not agreed to pay the costs of the action get a free ride at the expense of those who had agreed to pay those costs, including the litigation funding commission?</w:t>
      </w:r>
    </w:p>
    <w:p w14:paraId="5695CE34" w14:textId="49CC5DE0" w:rsidR="00BC64F4" w:rsidRPr="00CE383A" w:rsidRDefault="0071710E" w:rsidP="0071710E">
      <w:pPr>
        <w:pStyle w:val="ParaNumbering"/>
        <w:numPr>
          <w:ilvl w:val="0"/>
          <w:numId w:val="0"/>
        </w:numPr>
        <w:tabs>
          <w:tab w:val="left" w:pos="720"/>
        </w:tabs>
        <w:ind w:hanging="720"/>
      </w:pPr>
      <w:r w:rsidRPr="00CE383A">
        <w:rPr>
          <w:sz w:val="20"/>
        </w:rPr>
        <w:t>154</w:t>
      </w:r>
      <w:r w:rsidRPr="00CE383A">
        <w:rPr>
          <w:sz w:val="20"/>
        </w:rPr>
        <w:tab/>
      </w:r>
      <w:r w:rsidR="00BC64F4" w:rsidRPr="00CE383A">
        <w:t>So in these circumstances and whilst legal costs continued to be deducted on a common fund basis, as had occurred in closed class actions, so far as litigation funding commission was concerned what was developed in a succession of settlements approved by this Court under s 33V was the device of a</w:t>
      </w:r>
      <w:r w:rsidR="00BC64F4">
        <w:t xml:space="preserve">n FEO </w:t>
      </w:r>
      <w:r w:rsidR="00BC64F4" w:rsidRPr="00CE383A">
        <w:t xml:space="preserve">to redistribute the </w:t>
      </w:r>
      <w:r w:rsidR="00BC64F4" w:rsidRPr="00CE383A">
        <w:rPr>
          <w:i/>
        </w:rPr>
        <w:t>additional</w:t>
      </w:r>
      <w:r w:rsidR="00BC64F4" w:rsidRPr="00CE383A">
        <w:t xml:space="preserve"> amounts received in hand by </w:t>
      </w:r>
      <w:r w:rsidR="00BC64F4" w:rsidRPr="00CE383A">
        <w:rPr>
          <w:i/>
        </w:rPr>
        <w:t>unfunded</w:t>
      </w:r>
      <w:r w:rsidR="00BC64F4" w:rsidRPr="00CE383A">
        <w:t xml:space="preserve"> class members pro rata across the class as a whole; of course they were otherwise receiving more because they had no contractual obligation to pay the commission.</w:t>
      </w:r>
    </w:p>
    <w:p w14:paraId="4C14788E" w14:textId="11501F45" w:rsidR="00BC64F4" w:rsidRPr="00CE383A" w:rsidRDefault="0071710E" w:rsidP="0071710E">
      <w:pPr>
        <w:pStyle w:val="ParaNumbering"/>
        <w:numPr>
          <w:ilvl w:val="0"/>
          <w:numId w:val="0"/>
        </w:numPr>
        <w:tabs>
          <w:tab w:val="left" w:pos="720"/>
        </w:tabs>
        <w:ind w:hanging="720"/>
      </w:pPr>
      <w:r w:rsidRPr="00CE383A">
        <w:rPr>
          <w:sz w:val="20"/>
        </w:rPr>
        <w:t>155</w:t>
      </w:r>
      <w:r w:rsidRPr="00CE383A">
        <w:rPr>
          <w:sz w:val="20"/>
        </w:rPr>
        <w:tab/>
      </w:r>
      <w:r w:rsidR="00BC64F4" w:rsidRPr="00CE383A">
        <w:t>Now it does not seem to have been appreciated that two different formulae for equalisation enshrined in FEOs have been employed so far as litigation funding costs are concerned.</w:t>
      </w:r>
    </w:p>
    <w:p w14:paraId="4861CD5B" w14:textId="07B04B94" w:rsidR="00BC64F4" w:rsidRPr="00CE383A" w:rsidRDefault="0071710E" w:rsidP="0071710E">
      <w:pPr>
        <w:pStyle w:val="ParaNumbering"/>
        <w:numPr>
          <w:ilvl w:val="0"/>
          <w:numId w:val="0"/>
        </w:numPr>
        <w:tabs>
          <w:tab w:val="left" w:pos="720"/>
        </w:tabs>
        <w:ind w:hanging="720"/>
      </w:pPr>
      <w:r w:rsidRPr="00CE383A">
        <w:rPr>
          <w:sz w:val="20"/>
        </w:rPr>
        <w:t>156</w:t>
      </w:r>
      <w:r w:rsidRPr="00CE383A">
        <w:rPr>
          <w:sz w:val="20"/>
        </w:rPr>
        <w:tab/>
      </w:r>
      <w:r w:rsidR="00BC64F4" w:rsidRPr="00CE383A">
        <w:t xml:space="preserve">The first method, which was used traditionally in the first equalisation cases, worked by notionally deducting from the share of the settlement attributed to unfunded group members, that is, those people who had not entered into funding agreements but had identified themselves prior to the settlement, amounts equal to the funding costs that would otherwise have been payable by them if they had entered into a funding agreement.  What was then done was to distribute those notional amounts across the whole class.  The relevant formula distributed the notional amounts calculated such that the net outcome to both the cohort of funded group members and the cohort of unfunded group members was the same.  The formula allocated more money to the funded group, so that after the funders’ contractual entitlements were satisfied the funded group was in the same position as the unfunded group.  This can be called FEO method 1.  It is what was described in </w:t>
      </w:r>
      <w:r w:rsidR="00BC64F4" w:rsidRPr="00CE383A">
        <w:rPr>
          <w:i/>
        </w:rPr>
        <w:t xml:space="preserve">Davaria </w:t>
      </w:r>
      <w:r w:rsidR="00BC64F4">
        <w:rPr>
          <w:i/>
        </w:rPr>
        <w:t xml:space="preserve">FC </w:t>
      </w:r>
      <w:r w:rsidR="00BC64F4">
        <w:rPr>
          <w:iCs/>
        </w:rPr>
        <w:t xml:space="preserve">by </w:t>
      </w:r>
      <w:r w:rsidR="00BC64F4" w:rsidRPr="00CE383A">
        <w:t>Lee J at [57] to [59]</w:t>
      </w:r>
      <w:r w:rsidR="00BC64F4">
        <w:t xml:space="preserve">.  Further, </w:t>
      </w:r>
      <w:r w:rsidR="00BC64F4" w:rsidRPr="00CE383A">
        <w:t xml:space="preserve">I said in </w:t>
      </w:r>
      <w:r w:rsidR="00BC64F4" w:rsidRPr="00CE383A">
        <w:rPr>
          <w:i/>
        </w:rPr>
        <w:t xml:space="preserve">Blairgowrie Trading Ltd v </w:t>
      </w:r>
      <w:proofErr w:type="spellStart"/>
      <w:r w:rsidR="00BC64F4" w:rsidRPr="00CE383A">
        <w:rPr>
          <w:i/>
        </w:rPr>
        <w:t>Allco</w:t>
      </w:r>
      <w:proofErr w:type="spellEnd"/>
      <w:r w:rsidR="00BC64F4" w:rsidRPr="00CE383A">
        <w:rPr>
          <w:i/>
        </w:rPr>
        <w:t xml:space="preserve"> Finance Group Ltd (in </w:t>
      </w:r>
      <w:proofErr w:type="spellStart"/>
      <w:r w:rsidR="00BC64F4" w:rsidRPr="00CE383A">
        <w:rPr>
          <w:i/>
        </w:rPr>
        <w:t>liq</w:t>
      </w:r>
      <w:proofErr w:type="spellEnd"/>
      <w:r w:rsidR="00BC64F4" w:rsidRPr="00CE383A">
        <w:rPr>
          <w:i/>
        </w:rPr>
        <w:t>) (No 3)</w:t>
      </w:r>
      <w:r w:rsidR="00BC64F4" w:rsidRPr="00CE383A">
        <w:t xml:space="preserve"> (2017) 343 ALR 476 at [99]:</w:t>
      </w:r>
    </w:p>
    <w:p w14:paraId="6B0FF9DE" w14:textId="77777777" w:rsidR="00BC64F4" w:rsidRPr="00CE383A" w:rsidRDefault="00BC64F4" w:rsidP="00BC64F4">
      <w:pPr>
        <w:pStyle w:val="Quote1"/>
      </w:pPr>
      <w:r w:rsidRPr="00CE383A">
        <w:t>…When a percentage amount is deducted from unfunded group members and added back pro rata across all group members, that incrementally increases the recoveries for the funded group members…</w:t>
      </w:r>
    </w:p>
    <w:p w14:paraId="5EF1A35F" w14:textId="2B917E8A" w:rsidR="00BC64F4" w:rsidRPr="00CE383A" w:rsidRDefault="0071710E" w:rsidP="0071710E">
      <w:pPr>
        <w:pStyle w:val="ParaNumbering"/>
        <w:numPr>
          <w:ilvl w:val="0"/>
          <w:numId w:val="0"/>
        </w:numPr>
        <w:tabs>
          <w:tab w:val="left" w:pos="720"/>
        </w:tabs>
        <w:ind w:hanging="720"/>
      </w:pPr>
      <w:r w:rsidRPr="00CE383A">
        <w:rPr>
          <w:sz w:val="20"/>
        </w:rPr>
        <w:t>157</w:t>
      </w:r>
      <w:r w:rsidRPr="00CE383A">
        <w:rPr>
          <w:sz w:val="20"/>
        </w:rPr>
        <w:tab/>
      </w:r>
      <w:r w:rsidR="00BC64F4" w:rsidRPr="00CE383A">
        <w:t xml:space="preserve">Contrastingly, the second method operated differently.  It redistributed the amounts which the funded group had collectively agreed to bear across the whole group, so that the whole group shared the expense contractually incurred only by the funded group.  This can be called FEO method 2.  Now this was not the way in which the formula had traditionally operated, but this approach has been referred to in some authorities, including </w:t>
      </w:r>
      <w:r w:rsidR="00BC64F4" w:rsidRPr="00CE383A">
        <w:rPr>
          <w:i/>
        </w:rPr>
        <w:t>Brewster</w:t>
      </w:r>
      <w:r w:rsidR="00BC64F4" w:rsidRPr="00CE383A">
        <w:t xml:space="preserve">.  The description of funding equalisation by </w:t>
      </w:r>
      <w:r w:rsidR="00BC64F4">
        <w:t>the plurality</w:t>
      </w:r>
      <w:r w:rsidR="00BC64F4" w:rsidRPr="00CE383A">
        <w:t xml:space="preserve"> at [88] (“the making of a FEO, which takes, as its starting point, the actual cost incurred in funding the litigation”) is a description of FEO method 2. Contrastingly, Gordon J at [13</w:t>
      </w:r>
      <w:r w:rsidR="00BC64F4">
        <w:t>4</w:t>
      </w:r>
      <w:r w:rsidR="00BC64F4" w:rsidRPr="00CE383A">
        <w:t xml:space="preserve">] cited the Full Court’s description of funding equalisation in </w:t>
      </w:r>
      <w:r w:rsidR="00BC64F4" w:rsidRPr="00CE383A">
        <w:rPr>
          <w:i/>
        </w:rPr>
        <w:t>Money Max</w:t>
      </w:r>
      <w:r w:rsidR="00BC64F4" w:rsidRPr="00CE383A">
        <w:t xml:space="preserve">, which was a description of FEO method 1.  </w:t>
      </w:r>
      <w:r w:rsidR="00BC64F4">
        <w:t>S</w:t>
      </w:r>
      <w:r w:rsidR="00BC64F4" w:rsidRPr="00CE383A">
        <w:t>he</w:t>
      </w:r>
      <w:r w:rsidR="00BC64F4">
        <w:t xml:space="preserve"> then</w:t>
      </w:r>
      <w:r w:rsidR="00BC64F4" w:rsidRPr="00CE383A">
        <w:t xml:space="preserve"> indicated that although she accepted that a funding equalisation order distributed notional amounts, it was also “limited to redistributing actual costs incurred”. Edelman J at [183] to [185] referred to FEOs developed by the Court of Chancery to ensure costs incurred were borne pro rata by all who benefited, which is consistent with FEO method 2.</w:t>
      </w:r>
    </w:p>
    <w:p w14:paraId="771558BD" w14:textId="2F109E31" w:rsidR="00BC64F4" w:rsidRPr="00CE383A" w:rsidRDefault="0071710E" w:rsidP="0071710E">
      <w:pPr>
        <w:pStyle w:val="ParaNumbering"/>
        <w:numPr>
          <w:ilvl w:val="0"/>
          <w:numId w:val="0"/>
        </w:numPr>
        <w:tabs>
          <w:tab w:val="left" w:pos="720"/>
        </w:tabs>
        <w:ind w:hanging="720"/>
      </w:pPr>
      <w:r w:rsidRPr="00CE383A">
        <w:rPr>
          <w:sz w:val="20"/>
        </w:rPr>
        <w:t>158</w:t>
      </w:r>
      <w:r w:rsidRPr="00CE383A">
        <w:rPr>
          <w:sz w:val="20"/>
        </w:rPr>
        <w:tab/>
      </w:r>
      <w:r w:rsidR="00BC64F4" w:rsidRPr="00CE383A">
        <w:t>Now both FEO method 1 and FEO method 2 are predicated upon the basis that benefiting group members should obtain equal returns, rather than litigation funding commission only being borne by the funded group members.  But the difference between them was that FEO method 1 was premised upon the notional deduction from the unfunded group members and then grossing up the allocations of the settlement sum to funded group members such that after application of the obligations under the funding agreements to those grossed-up allocations, net returns were equal, whereas FEO method 2 was predicated upon allocating the settlement sum pro rata and then applying the funding agreements to determine the aggregate contractual expense to be then spread across the group as a whole.</w:t>
      </w:r>
    </w:p>
    <w:p w14:paraId="08FA33B7" w14:textId="1E2FE929" w:rsidR="00BC64F4" w:rsidRPr="00CE383A" w:rsidRDefault="0071710E" w:rsidP="0071710E">
      <w:pPr>
        <w:pStyle w:val="ParaNumbering"/>
        <w:numPr>
          <w:ilvl w:val="0"/>
          <w:numId w:val="0"/>
        </w:numPr>
        <w:tabs>
          <w:tab w:val="left" w:pos="720"/>
        </w:tabs>
        <w:ind w:hanging="720"/>
      </w:pPr>
      <w:r w:rsidRPr="00CE383A">
        <w:rPr>
          <w:sz w:val="20"/>
        </w:rPr>
        <w:t>159</w:t>
      </w:r>
      <w:r w:rsidRPr="00CE383A">
        <w:rPr>
          <w:sz w:val="20"/>
        </w:rPr>
        <w:tab/>
      </w:r>
      <w:r w:rsidR="00BC64F4" w:rsidRPr="00CE383A">
        <w:t>In terms of strict formalism, FEO method 1 results in only the funded group members paying commission out of the share allocated to them, whereas FEO method 2 results more directly in commission being paid by both groups.  Both methods have continued to be used.</w:t>
      </w:r>
    </w:p>
    <w:p w14:paraId="019E9A13" w14:textId="20956427" w:rsidR="00BC64F4" w:rsidRPr="00FF483A" w:rsidRDefault="0071710E" w:rsidP="0071710E">
      <w:pPr>
        <w:pStyle w:val="ParaNumbering"/>
        <w:numPr>
          <w:ilvl w:val="0"/>
          <w:numId w:val="0"/>
        </w:numPr>
        <w:tabs>
          <w:tab w:val="left" w:pos="720"/>
        </w:tabs>
        <w:ind w:hanging="720"/>
      </w:pPr>
      <w:r w:rsidRPr="00FF483A">
        <w:rPr>
          <w:sz w:val="20"/>
        </w:rPr>
        <w:t>160</w:t>
      </w:r>
      <w:r w:rsidRPr="00FF483A">
        <w:rPr>
          <w:sz w:val="20"/>
        </w:rPr>
        <w:tab/>
      </w:r>
      <w:r w:rsidR="00BC64F4">
        <w:t>Let me address some other matters</w:t>
      </w:r>
      <w:r w:rsidR="00BC64F4" w:rsidRPr="00FF483A">
        <w:t xml:space="preserve"> about funding equalisation mechanisms</w:t>
      </w:r>
      <w:r w:rsidR="00BC64F4">
        <w:t xml:space="preserve"> and restate some of the points I made in </w:t>
      </w:r>
      <w:r w:rsidR="00BC64F4" w:rsidRPr="00275232">
        <w:rPr>
          <w:i/>
        </w:rPr>
        <w:t>Blairgowrie</w:t>
      </w:r>
      <w:r w:rsidR="00BC64F4">
        <w:rPr>
          <w:i/>
        </w:rPr>
        <w:t xml:space="preserve"> (No 3)</w:t>
      </w:r>
      <w:r w:rsidR="00BC64F4" w:rsidRPr="00275232">
        <w:rPr>
          <w:i/>
        </w:rPr>
        <w:t xml:space="preserve"> </w:t>
      </w:r>
      <w:r w:rsidR="00BC64F4">
        <w:t xml:space="preserve">at [97] to [102]. </w:t>
      </w:r>
    </w:p>
    <w:p w14:paraId="3C896CEC" w14:textId="422BACEA" w:rsidR="00BC64F4" w:rsidRPr="00FF483A" w:rsidRDefault="0071710E" w:rsidP="0071710E">
      <w:pPr>
        <w:pStyle w:val="ParaNumbering"/>
        <w:numPr>
          <w:ilvl w:val="0"/>
          <w:numId w:val="0"/>
        </w:numPr>
        <w:tabs>
          <w:tab w:val="left" w:pos="720"/>
        </w:tabs>
        <w:ind w:hanging="720"/>
      </w:pPr>
      <w:r w:rsidRPr="00FF483A">
        <w:rPr>
          <w:sz w:val="20"/>
        </w:rPr>
        <w:t>161</w:t>
      </w:r>
      <w:r w:rsidRPr="00FF483A">
        <w:rPr>
          <w:sz w:val="20"/>
        </w:rPr>
        <w:tab/>
      </w:r>
      <w:r w:rsidR="00BC64F4" w:rsidRPr="00FF483A">
        <w:t>If one has the scenario of an open class proceeding with few (if any) group members signed</w:t>
      </w:r>
      <w:r w:rsidR="00BC64F4">
        <w:t xml:space="preserve"> </w:t>
      </w:r>
      <w:r w:rsidR="00BC64F4" w:rsidRPr="00FF483A">
        <w:t>up to funding agreements, the context for discussing and applying a funding equalisation</w:t>
      </w:r>
      <w:r w:rsidR="00BC64F4">
        <w:t xml:space="preserve"> </w:t>
      </w:r>
      <w:r w:rsidR="00BC64F4" w:rsidRPr="00FF483A">
        <w:t xml:space="preserve">mechanism simply may not exist. </w:t>
      </w:r>
      <w:r w:rsidR="00BC64F4">
        <w:t xml:space="preserve"> And as I have already </w:t>
      </w:r>
      <w:proofErr w:type="gramStart"/>
      <w:r w:rsidR="00BC64F4">
        <w:t>indicated,</w:t>
      </w:r>
      <w:proofErr w:type="gramEnd"/>
      <w:r w:rsidR="00BC64F4">
        <w:t xml:space="preserve"> t</w:t>
      </w:r>
      <w:r w:rsidR="00BC64F4" w:rsidRPr="00FF483A">
        <w:t>hat scenario may exist because the nature of the matter is</w:t>
      </w:r>
      <w:r w:rsidR="00BC64F4">
        <w:t xml:space="preserve"> </w:t>
      </w:r>
      <w:r w:rsidR="00BC64F4" w:rsidRPr="00FF483A">
        <w:t>such that book-building is not feasible, for example, a mass tort where the ambit of the class</w:t>
      </w:r>
      <w:r w:rsidR="00BC64F4">
        <w:t xml:space="preserve"> </w:t>
      </w:r>
      <w:r w:rsidR="00BC64F4" w:rsidRPr="00FF483A">
        <w:t>may not be known or where the characteristics of group members, say a vulnerable class that</w:t>
      </w:r>
      <w:r w:rsidR="00BC64F4">
        <w:t xml:space="preserve"> </w:t>
      </w:r>
      <w:r w:rsidR="00BC64F4" w:rsidRPr="00FF483A">
        <w:t>have been preyed on, do not make this feasible.</w:t>
      </w:r>
    </w:p>
    <w:p w14:paraId="7F245F0A" w14:textId="40601C55" w:rsidR="00BC64F4" w:rsidRPr="00FF483A" w:rsidRDefault="0071710E" w:rsidP="0071710E">
      <w:pPr>
        <w:pStyle w:val="ParaNumbering"/>
        <w:numPr>
          <w:ilvl w:val="0"/>
          <w:numId w:val="0"/>
        </w:numPr>
        <w:tabs>
          <w:tab w:val="left" w:pos="720"/>
        </w:tabs>
        <w:ind w:hanging="720"/>
      </w:pPr>
      <w:r w:rsidRPr="00FF483A">
        <w:rPr>
          <w:sz w:val="20"/>
        </w:rPr>
        <w:t>162</w:t>
      </w:r>
      <w:r w:rsidRPr="00FF483A">
        <w:rPr>
          <w:sz w:val="20"/>
        </w:rPr>
        <w:tab/>
      </w:r>
      <w:r w:rsidR="00BC64F4">
        <w:t>But a</w:t>
      </w:r>
      <w:r w:rsidR="00BC64F4" w:rsidRPr="00FF483A">
        <w:t>ssume another scenario where a substantial number of group members have signed funding</w:t>
      </w:r>
      <w:r w:rsidR="00BC64F4">
        <w:t xml:space="preserve"> </w:t>
      </w:r>
      <w:r w:rsidR="00BC64F4" w:rsidRPr="00FF483A">
        <w:t>agreements and the issue at the time of settlement approval under s 33</w:t>
      </w:r>
      <w:proofErr w:type="gramStart"/>
      <w:r w:rsidR="00BC64F4" w:rsidRPr="00FF483A">
        <w:t>V(</w:t>
      </w:r>
      <w:proofErr w:type="gramEnd"/>
      <w:r w:rsidR="00BC64F4" w:rsidRPr="00FF483A">
        <w:t>1) is whether a</w:t>
      </w:r>
      <w:r w:rsidR="00BC64F4">
        <w:t xml:space="preserve"> </w:t>
      </w:r>
      <w:r w:rsidR="00BC64F4" w:rsidRPr="00FF483A">
        <w:t>funding equalisation mechanism ought to be applied in preference to a</w:t>
      </w:r>
      <w:r w:rsidR="00BC64F4">
        <w:t xml:space="preserve"> settlement CFO.  </w:t>
      </w:r>
      <w:r w:rsidR="00BC64F4" w:rsidRPr="00FF483A">
        <w:t xml:space="preserve">There will be </w:t>
      </w:r>
      <w:proofErr w:type="gramStart"/>
      <w:r w:rsidR="00BC64F4" w:rsidRPr="00FF483A">
        <w:t>a number of</w:t>
      </w:r>
      <w:proofErr w:type="gramEnd"/>
      <w:r w:rsidR="00BC64F4" w:rsidRPr="00FF483A">
        <w:t xml:space="preserve"> variables to consider including the following.</w:t>
      </w:r>
    </w:p>
    <w:p w14:paraId="315F0EFA" w14:textId="5FF11FDC" w:rsidR="00BC64F4" w:rsidRPr="00FF483A" w:rsidRDefault="0071710E" w:rsidP="0071710E">
      <w:pPr>
        <w:pStyle w:val="ParaNumbering"/>
        <w:numPr>
          <w:ilvl w:val="0"/>
          <w:numId w:val="0"/>
        </w:numPr>
        <w:tabs>
          <w:tab w:val="left" w:pos="720"/>
        </w:tabs>
        <w:ind w:hanging="720"/>
      </w:pPr>
      <w:r w:rsidRPr="00FF483A">
        <w:rPr>
          <w:sz w:val="20"/>
        </w:rPr>
        <w:t>163</w:t>
      </w:r>
      <w:r w:rsidRPr="00FF483A">
        <w:rPr>
          <w:sz w:val="20"/>
        </w:rPr>
        <w:tab/>
      </w:r>
      <w:r w:rsidR="00BC64F4" w:rsidRPr="00FF483A">
        <w:t>First, one will need to consider the percentage of group members who have signed funding</w:t>
      </w:r>
      <w:r w:rsidR="00BC64F4">
        <w:t xml:space="preserve"> </w:t>
      </w:r>
      <w:r w:rsidR="00BC64F4" w:rsidRPr="00FF483A">
        <w:t>agreements as compared with the percentage of group members who have not.</w:t>
      </w:r>
    </w:p>
    <w:p w14:paraId="26CE488A" w14:textId="00B5F7D4" w:rsidR="00BC64F4" w:rsidRPr="00FF483A" w:rsidRDefault="0071710E" w:rsidP="0071710E">
      <w:pPr>
        <w:pStyle w:val="ParaNumbering"/>
        <w:numPr>
          <w:ilvl w:val="0"/>
          <w:numId w:val="0"/>
        </w:numPr>
        <w:tabs>
          <w:tab w:val="left" w:pos="720"/>
        </w:tabs>
        <w:ind w:hanging="720"/>
      </w:pPr>
      <w:r w:rsidRPr="00FF483A">
        <w:rPr>
          <w:sz w:val="20"/>
        </w:rPr>
        <w:t>164</w:t>
      </w:r>
      <w:r w:rsidRPr="00FF483A">
        <w:rPr>
          <w:sz w:val="20"/>
        </w:rPr>
        <w:tab/>
      </w:r>
      <w:r w:rsidR="00BC64F4" w:rsidRPr="00FF483A">
        <w:t>Second, one will need to consider the percentage commission rate posited for the expense</w:t>
      </w:r>
      <w:r w:rsidR="00BC64F4">
        <w:t xml:space="preserve"> </w:t>
      </w:r>
      <w:r w:rsidR="00BC64F4" w:rsidRPr="00FF483A">
        <w:t xml:space="preserve">sharing order (the rate being the cost paid for the </w:t>
      </w:r>
      <w:proofErr w:type="gramStart"/>
      <w:r w:rsidR="00BC64F4" w:rsidRPr="00FF483A">
        <w:t>third party</w:t>
      </w:r>
      <w:proofErr w:type="gramEnd"/>
      <w:r w:rsidR="00BC64F4" w:rsidRPr="00FF483A">
        <w:t xml:space="preserve"> finance reflecting risk) as</w:t>
      </w:r>
      <w:r w:rsidR="00BC64F4">
        <w:t xml:space="preserve"> </w:t>
      </w:r>
      <w:r w:rsidR="00BC64F4" w:rsidRPr="00FF483A">
        <w:t>compared with the percentage commission rate(s) stipulated in the funding agreements, and</w:t>
      </w:r>
      <w:r w:rsidR="00BC64F4">
        <w:t xml:space="preserve"> </w:t>
      </w:r>
      <w:r w:rsidR="00BC64F4" w:rsidRPr="00FF483A">
        <w:t>whether the rate in each case is on the net settlement sum or gross settlement sum.</w:t>
      </w:r>
    </w:p>
    <w:p w14:paraId="52C1A70E" w14:textId="54273F58" w:rsidR="00BC64F4" w:rsidRPr="00FF483A" w:rsidRDefault="0071710E" w:rsidP="0071710E">
      <w:pPr>
        <w:pStyle w:val="ParaNumbering"/>
        <w:numPr>
          <w:ilvl w:val="0"/>
          <w:numId w:val="0"/>
        </w:numPr>
        <w:tabs>
          <w:tab w:val="left" w:pos="720"/>
        </w:tabs>
        <w:ind w:hanging="720"/>
      </w:pPr>
      <w:r w:rsidRPr="00FF483A">
        <w:rPr>
          <w:sz w:val="20"/>
        </w:rPr>
        <w:t>165</w:t>
      </w:r>
      <w:r w:rsidRPr="00FF483A">
        <w:rPr>
          <w:sz w:val="20"/>
        </w:rPr>
        <w:tab/>
      </w:r>
      <w:r w:rsidR="00BC64F4" w:rsidRPr="00FF483A">
        <w:t>Third, one may have to assume, in relation to the funding agreements, that a judge on a s</w:t>
      </w:r>
      <w:r w:rsidR="00BC64F4">
        <w:t> </w:t>
      </w:r>
      <w:r w:rsidR="00BC64F4" w:rsidRPr="00FF483A">
        <w:t>33V</w:t>
      </w:r>
      <w:r w:rsidR="00BC64F4">
        <w:t xml:space="preserve"> </w:t>
      </w:r>
      <w:r w:rsidR="00BC64F4" w:rsidRPr="00FF483A">
        <w:t xml:space="preserve">application could not modify the rate set or its payment as part of </w:t>
      </w:r>
      <w:r w:rsidR="00BC64F4" w:rsidRPr="00CA749B">
        <w:rPr>
          <w:i/>
        </w:rPr>
        <w:t>approving</w:t>
      </w:r>
      <w:r w:rsidR="00BC64F4" w:rsidRPr="00FF483A">
        <w:t xml:space="preserve"> the settlement as</w:t>
      </w:r>
      <w:r w:rsidR="00BC64F4">
        <w:t xml:space="preserve"> </w:t>
      </w:r>
      <w:r w:rsidR="00BC64F4" w:rsidRPr="00FF483A">
        <w:t xml:space="preserve">distinct from not approving the settlement if the commission rate is unacceptable. </w:t>
      </w:r>
      <w:r w:rsidR="00BC64F4">
        <w:t xml:space="preserve"> </w:t>
      </w:r>
      <w:r w:rsidR="00BC64F4" w:rsidRPr="00FF483A">
        <w:t>Judges</w:t>
      </w:r>
      <w:r w:rsidR="00BC64F4">
        <w:t xml:space="preserve"> </w:t>
      </w:r>
      <w:r w:rsidR="00BC64F4" w:rsidRPr="00FF483A">
        <w:t>who have applied funding equalisation mechanisms appear to have assumed that they lack the</w:t>
      </w:r>
      <w:r w:rsidR="00BC64F4">
        <w:t xml:space="preserve"> </w:t>
      </w:r>
      <w:r w:rsidR="00BC64F4" w:rsidRPr="00FF483A">
        <w:t>power to modify.</w:t>
      </w:r>
    </w:p>
    <w:p w14:paraId="6A32A484" w14:textId="23357070" w:rsidR="00BC64F4" w:rsidRDefault="0071710E" w:rsidP="0071710E">
      <w:pPr>
        <w:pStyle w:val="ParaNumbering"/>
        <w:numPr>
          <w:ilvl w:val="0"/>
          <w:numId w:val="0"/>
        </w:numPr>
        <w:tabs>
          <w:tab w:val="left" w:pos="720"/>
        </w:tabs>
        <w:ind w:hanging="720"/>
      </w:pPr>
      <w:r>
        <w:rPr>
          <w:sz w:val="20"/>
        </w:rPr>
        <w:t>166</w:t>
      </w:r>
      <w:r>
        <w:rPr>
          <w:sz w:val="20"/>
        </w:rPr>
        <w:tab/>
      </w:r>
      <w:r w:rsidR="00BC64F4" w:rsidRPr="00FF483A">
        <w:t>Fourth, one would have to consider whether, if a funding equalisation mechanism was used,</w:t>
      </w:r>
      <w:r w:rsidR="00BC64F4">
        <w:t xml:space="preserve"> </w:t>
      </w:r>
      <w:r w:rsidR="00BC64F4" w:rsidRPr="00FF483A">
        <w:t xml:space="preserve">the funder would receive a greater share in any event. </w:t>
      </w:r>
      <w:r w:rsidR="00BC64F4">
        <w:t xml:space="preserve"> </w:t>
      </w:r>
      <w:r w:rsidR="00BC64F4" w:rsidRPr="00FF483A">
        <w:t>When a percentage amount is</w:t>
      </w:r>
      <w:r w:rsidR="00BC64F4">
        <w:t xml:space="preserve"> </w:t>
      </w:r>
      <w:r w:rsidR="00BC64F4" w:rsidRPr="00FF483A">
        <w:t>deducted from the unfunded group members and added back pro rata across all group</w:t>
      </w:r>
      <w:r w:rsidR="00BC64F4">
        <w:t xml:space="preserve"> </w:t>
      </w:r>
      <w:r w:rsidR="00BC64F4" w:rsidRPr="00FF483A">
        <w:t>members, that incrementally increases the recoveries for the funded group members.</w:t>
      </w:r>
      <w:r w:rsidR="00BC64F4">
        <w:t xml:space="preserve">  </w:t>
      </w:r>
      <w:r w:rsidR="00BC64F4" w:rsidRPr="00FF483A">
        <w:t>Litigation funders may then assert that they are contractually entitled to an additional amount,</w:t>
      </w:r>
      <w:r w:rsidR="00BC64F4">
        <w:t xml:space="preserve"> </w:t>
      </w:r>
      <w:r w:rsidR="00BC64F4" w:rsidRPr="00FF483A">
        <w:t xml:space="preserve">that is, a percentage on the incremental amount. </w:t>
      </w:r>
      <w:r w:rsidR="00BC64F4">
        <w:t xml:space="preserve"> </w:t>
      </w:r>
      <w:r w:rsidR="00BC64F4" w:rsidRPr="00FF483A">
        <w:rPr>
          <w:i/>
        </w:rPr>
        <w:t xml:space="preserve">Money Max </w:t>
      </w:r>
      <w:r w:rsidR="00BC64F4">
        <w:t>considered the prospect that</w:t>
      </w:r>
      <w:r w:rsidR="00BC64F4" w:rsidRPr="00FF483A">
        <w:t xml:space="preserve"> under contract,</w:t>
      </w:r>
      <w:r w:rsidR="00BC64F4">
        <w:t xml:space="preserve"> </w:t>
      </w:r>
      <w:r w:rsidR="00BC64F4" w:rsidRPr="00FF483A">
        <w:t>the funder could say to a funded group member that if the group member received an</w:t>
      </w:r>
      <w:r w:rsidR="00BC64F4">
        <w:t xml:space="preserve"> </w:t>
      </w:r>
      <w:r w:rsidR="00BC64F4" w:rsidRPr="00FF483A">
        <w:t>additional increment arising from a funding equalisation mechanism (a pro rata part of the</w:t>
      </w:r>
      <w:r w:rsidR="00BC64F4">
        <w:t xml:space="preserve"> </w:t>
      </w:r>
      <w:r w:rsidR="00BC64F4" w:rsidRPr="00FF483A">
        <w:t>deduction from the unfunded group members added over all funded and unfunded group</w:t>
      </w:r>
      <w:r w:rsidR="00BC64F4">
        <w:t xml:space="preserve"> </w:t>
      </w:r>
      <w:r w:rsidR="00BC64F4" w:rsidRPr="00FF483A">
        <w:t>members), the increment itself would be part of the "recoveries" of the funded group member</w:t>
      </w:r>
      <w:r w:rsidR="00BC64F4">
        <w:t xml:space="preserve"> </w:t>
      </w:r>
      <w:r w:rsidR="00BC64F4" w:rsidRPr="00FF483A">
        <w:t xml:space="preserve">on which the percentage commission rate would be payable. </w:t>
      </w:r>
      <w:r w:rsidR="00BC64F4">
        <w:t xml:space="preserve"> Now t</w:t>
      </w:r>
      <w:r w:rsidR="00BC64F4" w:rsidRPr="00FF483A">
        <w:t xml:space="preserve">he Full Court </w:t>
      </w:r>
      <w:r w:rsidR="00BC64F4">
        <w:t xml:space="preserve">in </w:t>
      </w:r>
      <w:r w:rsidR="00BC64F4" w:rsidRPr="00052BCF">
        <w:rPr>
          <w:i/>
          <w:iCs/>
        </w:rPr>
        <w:t>Money Max</w:t>
      </w:r>
      <w:r w:rsidR="00BC64F4">
        <w:t xml:space="preserve"> </w:t>
      </w:r>
      <w:r w:rsidR="00BC64F4" w:rsidRPr="00052BCF">
        <w:t>was</w:t>
      </w:r>
      <w:r w:rsidR="00BC64F4" w:rsidRPr="00FF483A">
        <w:t xml:space="preserve"> told that in</w:t>
      </w:r>
      <w:r w:rsidR="00BC64F4">
        <w:t xml:space="preserve"> </w:t>
      </w:r>
      <w:r w:rsidR="00BC64F4" w:rsidRPr="00FF483A">
        <w:t>all cases where a funding equalisation mechanism had been applied, the funder had also</w:t>
      </w:r>
      <w:r w:rsidR="00BC64F4">
        <w:t xml:space="preserve"> </w:t>
      </w:r>
      <w:r w:rsidR="00BC64F4" w:rsidRPr="00FF483A">
        <w:t>obtained a percentage of the increment added back to the recoveries of funded group</w:t>
      </w:r>
      <w:r w:rsidR="00BC64F4">
        <w:t xml:space="preserve"> </w:t>
      </w:r>
      <w:r w:rsidR="00BC64F4" w:rsidRPr="00FF483A">
        <w:t>members.</w:t>
      </w:r>
      <w:r w:rsidR="00BC64F4">
        <w:t xml:space="preserve"> </w:t>
      </w:r>
      <w:r w:rsidR="00BC64F4" w:rsidRPr="00FF483A">
        <w:t xml:space="preserve"> It is not clear to me whether other judges who applied such mechanisms </w:t>
      </w:r>
      <w:r w:rsidR="00BC64F4">
        <w:t>pre-</w:t>
      </w:r>
      <w:r w:rsidR="00BC64F4">
        <w:rPr>
          <w:i/>
          <w:iCs/>
        </w:rPr>
        <w:t xml:space="preserve">Money </w:t>
      </w:r>
      <w:r w:rsidR="00BC64F4" w:rsidRPr="00B20CDB">
        <w:rPr>
          <w:i/>
          <w:iCs/>
        </w:rPr>
        <w:t>Max</w:t>
      </w:r>
      <w:r w:rsidR="00BC64F4">
        <w:t xml:space="preserve"> </w:t>
      </w:r>
      <w:r w:rsidR="00BC64F4" w:rsidRPr="00B20CDB">
        <w:t>were</w:t>
      </w:r>
      <w:r w:rsidR="00BC64F4" w:rsidRPr="00FF483A">
        <w:t xml:space="preserve"> ever</w:t>
      </w:r>
      <w:r w:rsidR="00BC64F4">
        <w:t xml:space="preserve"> </w:t>
      </w:r>
      <w:r w:rsidR="00BC64F4" w:rsidRPr="00FF483A">
        <w:t>aware of this.</w:t>
      </w:r>
      <w:r w:rsidR="00BC64F4">
        <w:t xml:space="preserve"> </w:t>
      </w:r>
      <w:r w:rsidR="00BC64F4" w:rsidRPr="00FF483A">
        <w:t xml:space="preserve"> Their reasons do not expressly say so. </w:t>
      </w:r>
      <w:r w:rsidR="00BC64F4">
        <w:t xml:space="preserve"> </w:t>
      </w:r>
      <w:r w:rsidR="00BC64F4" w:rsidRPr="00FF483A">
        <w:t>Moreover, from the arithmetic applied</w:t>
      </w:r>
      <w:r w:rsidR="00BC64F4">
        <w:t xml:space="preserve"> </w:t>
      </w:r>
      <w:r w:rsidR="00BC64F4" w:rsidRPr="00FF483A">
        <w:t>in those cases, it seems implicit that they may not have been so aware.</w:t>
      </w:r>
    </w:p>
    <w:p w14:paraId="33DE5364" w14:textId="1F3DDC34" w:rsidR="00BC64F4" w:rsidRDefault="0071710E" w:rsidP="0071710E">
      <w:pPr>
        <w:pStyle w:val="ParaNumbering"/>
        <w:numPr>
          <w:ilvl w:val="0"/>
          <w:numId w:val="0"/>
        </w:numPr>
        <w:tabs>
          <w:tab w:val="left" w:pos="720"/>
        </w:tabs>
        <w:ind w:hanging="720"/>
      </w:pPr>
      <w:r>
        <w:rPr>
          <w:sz w:val="20"/>
        </w:rPr>
        <w:t>167</w:t>
      </w:r>
      <w:r>
        <w:rPr>
          <w:sz w:val="20"/>
        </w:rPr>
        <w:tab/>
      </w:r>
      <w:r w:rsidR="00BC64F4">
        <w:t>Now t</w:t>
      </w:r>
      <w:r w:rsidR="00BC64F4" w:rsidRPr="0081550C">
        <w:t xml:space="preserve">he plurality in </w:t>
      </w:r>
      <w:r w:rsidR="00BC64F4" w:rsidRPr="0081550C">
        <w:rPr>
          <w:i/>
        </w:rPr>
        <w:t>Brewster</w:t>
      </w:r>
      <w:r w:rsidR="00BC64F4">
        <w:t xml:space="preserve"> </w:t>
      </w:r>
      <w:r w:rsidR="00BC64F4" w:rsidRPr="0081550C">
        <w:t>considered that a CFO is not an obvious solution to the problem of “</w:t>
      </w:r>
      <w:proofErr w:type="gramStart"/>
      <w:r w:rsidR="00BC64F4" w:rsidRPr="0081550C">
        <w:t>free-riding</w:t>
      </w:r>
      <w:proofErr w:type="gramEnd"/>
      <w:r w:rsidR="00BC64F4" w:rsidRPr="0081550C">
        <w:t>” and that an FEO might be preferable on the basis that a CFO is apt to impose an add</w:t>
      </w:r>
      <w:r w:rsidR="00BC64F4">
        <w:t>itional cost.  But</w:t>
      </w:r>
      <w:r w:rsidR="00BC64F4" w:rsidRPr="0081550C">
        <w:t xml:space="preserve"> whether a CFO produces a greater return to funders than an FEO will depend on the case</w:t>
      </w:r>
      <w:r w:rsidR="00BC64F4">
        <w:t xml:space="preserve"> and the various variables that I have just mentioned.</w:t>
      </w:r>
    </w:p>
    <w:p w14:paraId="7331EB55" w14:textId="51ED7F6A" w:rsidR="00BC64F4" w:rsidRDefault="0071710E" w:rsidP="0071710E">
      <w:pPr>
        <w:pStyle w:val="ParaNumbering"/>
        <w:numPr>
          <w:ilvl w:val="0"/>
          <w:numId w:val="0"/>
        </w:numPr>
        <w:tabs>
          <w:tab w:val="left" w:pos="720"/>
        </w:tabs>
        <w:ind w:hanging="720"/>
      </w:pPr>
      <w:r>
        <w:rPr>
          <w:sz w:val="20"/>
        </w:rPr>
        <w:t>168</w:t>
      </w:r>
      <w:r>
        <w:rPr>
          <w:sz w:val="20"/>
        </w:rPr>
        <w:tab/>
      </w:r>
      <w:r w:rsidR="00BC64F4">
        <w:t xml:space="preserve">Finally, as Mr Lachlan Armstrong KC explained before us, the opponents of settlement CFOs usually put arguments that suffer from numerous enthymematic infelicities.  For example, an unstated premise of those who argue against settlement CFOs is that the appropriate valuation methodology of the group members’ rights is a top-down methodology.  In other words, their implicit foundation is that the group members start with a right with a particular gross value, and a CFO subtracts from that right.  But this mischaracterises the right and the nature of a CFO.  The group members’ rights should properly be understood from the bottom-up.  The net value of the right is properly understood to be subject to the costs of realising the right.  And a cost of realising any value from the right in such proceedings will almost always include the expense of a risk premium to secure litigation funding. </w:t>
      </w:r>
    </w:p>
    <w:p w14:paraId="5D1E0B12" w14:textId="571B6B3A" w:rsidR="00BC64F4" w:rsidRDefault="0071710E" w:rsidP="0071710E">
      <w:pPr>
        <w:pStyle w:val="ParaNumbering"/>
        <w:numPr>
          <w:ilvl w:val="0"/>
          <w:numId w:val="0"/>
        </w:numPr>
        <w:tabs>
          <w:tab w:val="left" w:pos="720"/>
        </w:tabs>
        <w:ind w:hanging="720"/>
      </w:pPr>
      <w:r>
        <w:rPr>
          <w:sz w:val="20"/>
        </w:rPr>
        <w:t>169</w:t>
      </w:r>
      <w:r>
        <w:rPr>
          <w:sz w:val="20"/>
        </w:rPr>
        <w:tab/>
      </w:r>
      <w:r w:rsidR="00BC64F4">
        <w:t>But whatever one’s personal preferences between an FEO or a CFO, the question for any settlement judge under s 33</w:t>
      </w:r>
      <w:proofErr w:type="gramStart"/>
      <w:r w:rsidR="00BC64F4">
        <w:t>V(</w:t>
      </w:r>
      <w:proofErr w:type="gramEnd"/>
      <w:r w:rsidR="00BC64F4">
        <w:t xml:space="preserve">2) is to do what is just.  And that provision does not deny the use of either mechanism as an appropriate choice from the menu.  </w:t>
      </w:r>
    </w:p>
    <w:p w14:paraId="649BA0A8" w14:textId="77777777" w:rsidR="00BC64F4" w:rsidRDefault="00BC64F4" w:rsidP="00BC64F4">
      <w:pPr>
        <w:pStyle w:val="Heading4"/>
      </w:pPr>
      <w:r>
        <w:t>Conclusion</w:t>
      </w:r>
    </w:p>
    <w:p w14:paraId="416F352F" w14:textId="53574C6A" w:rsidR="00BC64F4" w:rsidRDefault="0071710E" w:rsidP="0071710E">
      <w:pPr>
        <w:pStyle w:val="ParaNumbering"/>
        <w:numPr>
          <w:ilvl w:val="0"/>
          <w:numId w:val="0"/>
        </w:numPr>
        <w:tabs>
          <w:tab w:val="left" w:pos="720"/>
        </w:tabs>
        <w:ind w:hanging="720"/>
      </w:pPr>
      <w:r>
        <w:rPr>
          <w:sz w:val="20"/>
        </w:rPr>
        <w:t>170</w:t>
      </w:r>
      <w:r>
        <w:rPr>
          <w:sz w:val="20"/>
        </w:rPr>
        <w:tab/>
      </w:r>
      <w:r w:rsidR="00BC64F4">
        <w:t xml:space="preserve">In my </w:t>
      </w:r>
      <w:r w:rsidR="00BC64F4" w:rsidRPr="00D50134">
        <w:t>view</w:t>
      </w:r>
      <w:r w:rsidR="00BC64F4">
        <w:t xml:space="preserve"> s 33</w:t>
      </w:r>
      <w:proofErr w:type="gramStart"/>
      <w:r w:rsidR="00BC64F4">
        <w:t>V(</w:t>
      </w:r>
      <w:proofErr w:type="gramEnd"/>
      <w:r w:rsidR="00BC64F4">
        <w:t xml:space="preserve">2) empowers the making of a settlement CFO. </w:t>
      </w:r>
    </w:p>
    <w:p w14:paraId="625811FB" w14:textId="16804EAF" w:rsidR="00BC64F4" w:rsidRDefault="0071710E" w:rsidP="0071710E">
      <w:pPr>
        <w:pStyle w:val="ParaNumbering"/>
        <w:numPr>
          <w:ilvl w:val="0"/>
          <w:numId w:val="0"/>
        </w:numPr>
        <w:tabs>
          <w:tab w:val="left" w:pos="720"/>
        </w:tabs>
        <w:ind w:hanging="720"/>
      </w:pPr>
      <w:r>
        <w:rPr>
          <w:sz w:val="20"/>
        </w:rPr>
        <w:t>171</w:t>
      </w:r>
      <w:r>
        <w:rPr>
          <w:sz w:val="20"/>
        </w:rPr>
        <w:tab/>
      </w:r>
      <w:r w:rsidR="00BC64F4">
        <w:t xml:space="preserve">Let me note one other matter. </w:t>
      </w:r>
    </w:p>
    <w:p w14:paraId="67B6B614" w14:textId="5BA9A734" w:rsidR="00BC64F4" w:rsidRDefault="0071710E" w:rsidP="0071710E">
      <w:pPr>
        <w:pStyle w:val="ParaNumbering"/>
        <w:numPr>
          <w:ilvl w:val="0"/>
          <w:numId w:val="0"/>
        </w:numPr>
        <w:tabs>
          <w:tab w:val="left" w:pos="720"/>
        </w:tabs>
        <w:ind w:hanging="720"/>
      </w:pPr>
      <w:r>
        <w:rPr>
          <w:sz w:val="20"/>
        </w:rPr>
        <w:t>172</w:t>
      </w:r>
      <w:r>
        <w:rPr>
          <w:sz w:val="20"/>
        </w:rPr>
        <w:tab/>
      </w:r>
      <w:r w:rsidR="00BC64F4">
        <w:t xml:space="preserve">Professor Vince Morabito pointed out recently in his latest valuable empirical report that “the 15 years or so preceding </w:t>
      </w:r>
      <w:r w:rsidR="00BC64F4">
        <w:rPr>
          <w:i/>
        </w:rPr>
        <w:t xml:space="preserve">Money Max </w:t>
      </w:r>
      <w:r w:rsidR="00BC64F4">
        <w:t xml:space="preserve">involved an almost unanimous judicial refusal to scrutinise the funding commissions (and recoupment on costs) provided for in proposed settlement agreements” (Morabito, V, </w:t>
      </w:r>
      <w:r w:rsidR="00BC64F4">
        <w:rPr>
          <w:i/>
        </w:rPr>
        <w:t>Empirical perspectives on twenty-one years of funded class actions in Australia</w:t>
      </w:r>
      <w:r w:rsidR="00BC64F4">
        <w:t>, April 2023 at p 28, and see also at p 7).</w:t>
      </w:r>
    </w:p>
    <w:p w14:paraId="67740CAF" w14:textId="65A73BAF" w:rsidR="00BC64F4" w:rsidRDefault="0071710E" w:rsidP="0071710E">
      <w:pPr>
        <w:pStyle w:val="ParaNumbering"/>
        <w:numPr>
          <w:ilvl w:val="0"/>
          <w:numId w:val="0"/>
        </w:numPr>
        <w:tabs>
          <w:tab w:val="left" w:pos="720"/>
        </w:tabs>
        <w:ind w:hanging="720"/>
      </w:pPr>
      <w:r>
        <w:rPr>
          <w:sz w:val="20"/>
        </w:rPr>
        <w:t>173</w:t>
      </w:r>
      <w:r>
        <w:rPr>
          <w:sz w:val="20"/>
        </w:rPr>
        <w:tab/>
      </w:r>
      <w:r w:rsidR="00BC64F4">
        <w:t xml:space="preserve">Fortunately that position has now changed.  The availability of tailored settlement CFOs has been an important part of the solution. </w:t>
      </w:r>
    </w:p>
    <w:p w14:paraId="6A17733B" w14:textId="1D5BCBD4" w:rsidR="00BC64F4" w:rsidRDefault="0071710E" w:rsidP="0071710E">
      <w:pPr>
        <w:pStyle w:val="ParaNumbering"/>
        <w:numPr>
          <w:ilvl w:val="0"/>
          <w:numId w:val="0"/>
        </w:numPr>
        <w:ind w:hanging="720"/>
        <w:rPr>
          <w:szCs w:val="24"/>
        </w:rPr>
      </w:pPr>
      <w:r>
        <w:rPr>
          <w:sz w:val="20"/>
          <w:szCs w:val="24"/>
        </w:rPr>
        <w:t>174</w:t>
      </w:r>
      <w:r>
        <w:rPr>
          <w:sz w:val="20"/>
          <w:szCs w:val="24"/>
        </w:rPr>
        <w:tab/>
      </w:r>
      <w:r w:rsidR="00BC64F4">
        <w:rPr>
          <w:szCs w:val="24"/>
        </w:rPr>
        <w:t xml:space="preserve">Having disposed of the statutory power points, let me turn to the constitutional issues raised by the contradictor.  I should note that necessary s 78B notices were given and that the Court had the benefit of submissions not only from the contradictor and the parties, but also received submissions on behalf of the Attorney-General of the Commonwealth on these questions. </w:t>
      </w:r>
    </w:p>
    <w:p w14:paraId="20ACA096" w14:textId="77777777" w:rsidR="00BC64F4" w:rsidRDefault="00BC64F4" w:rsidP="00BC64F4">
      <w:pPr>
        <w:pStyle w:val="Heading2"/>
      </w:pPr>
      <w:r>
        <w:t>The constitutional issues</w:t>
      </w:r>
    </w:p>
    <w:p w14:paraId="19996187" w14:textId="68F86C33" w:rsidR="00BC64F4" w:rsidRDefault="0071710E" w:rsidP="0071710E">
      <w:pPr>
        <w:pStyle w:val="ParaNumbering"/>
        <w:numPr>
          <w:ilvl w:val="0"/>
          <w:numId w:val="0"/>
        </w:numPr>
        <w:tabs>
          <w:tab w:val="left" w:pos="720"/>
        </w:tabs>
        <w:ind w:hanging="720"/>
      </w:pPr>
      <w:r>
        <w:rPr>
          <w:sz w:val="20"/>
        </w:rPr>
        <w:t>175</w:t>
      </w:r>
      <w:r>
        <w:rPr>
          <w:sz w:val="20"/>
        </w:rPr>
        <w:tab/>
      </w:r>
      <w:r w:rsidR="00BC64F4">
        <w:t xml:space="preserve">There are three constitutional issues before us, although two relate to the characterisation of judicial power.  Let me address each in turn and begin with the question of whether there is a matter before us. </w:t>
      </w:r>
    </w:p>
    <w:p w14:paraId="2C3F3303" w14:textId="77777777" w:rsidR="00BC64F4" w:rsidRDefault="00BC64F4" w:rsidP="00BC64F4">
      <w:pPr>
        <w:pStyle w:val="Heading4"/>
      </w:pPr>
      <w:r>
        <w:t>Is there a “matter”?</w:t>
      </w:r>
    </w:p>
    <w:p w14:paraId="0F94D20F" w14:textId="60B05D4E" w:rsidR="00BC64F4" w:rsidRDefault="0071710E" w:rsidP="0071710E">
      <w:pPr>
        <w:pStyle w:val="ParaNumbering"/>
        <w:numPr>
          <w:ilvl w:val="0"/>
          <w:numId w:val="0"/>
        </w:numPr>
        <w:tabs>
          <w:tab w:val="left" w:pos="720"/>
        </w:tabs>
        <w:ind w:hanging="720"/>
      </w:pPr>
      <w:r>
        <w:rPr>
          <w:sz w:val="20"/>
        </w:rPr>
        <w:t>176</w:t>
      </w:r>
      <w:r>
        <w:rPr>
          <w:sz w:val="20"/>
        </w:rPr>
        <w:tab/>
      </w:r>
      <w:r w:rsidR="00BC64F4">
        <w:t>The matter question is:</w:t>
      </w:r>
    </w:p>
    <w:p w14:paraId="5B4B465D" w14:textId="77777777" w:rsidR="00BC64F4" w:rsidRDefault="00BC64F4" w:rsidP="00BC64F4">
      <w:pPr>
        <w:pStyle w:val="Quote1"/>
      </w:pPr>
      <w:r>
        <w:t>whether the determination of the reserved question presently gives rise to, or forms part of, a ‘matter’ within the meaning of Ch III of the Constitution that is appropriate for resolution by a court exercising federal jurisdiction.</w:t>
      </w:r>
    </w:p>
    <w:p w14:paraId="71D75179" w14:textId="4825796E" w:rsidR="00BC64F4" w:rsidRDefault="0071710E" w:rsidP="0071710E">
      <w:pPr>
        <w:pStyle w:val="ParaNumbering"/>
        <w:numPr>
          <w:ilvl w:val="0"/>
          <w:numId w:val="0"/>
        </w:numPr>
        <w:tabs>
          <w:tab w:val="left" w:pos="720"/>
        </w:tabs>
        <w:ind w:hanging="720"/>
      </w:pPr>
      <w:r>
        <w:rPr>
          <w:sz w:val="20"/>
        </w:rPr>
        <w:t>177</w:t>
      </w:r>
      <w:r>
        <w:rPr>
          <w:sz w:val="20"/>
        </w:rPr>
        <w:tab/>
      </w:r>
      <w:r w:rsidR="00BC64F4">
        <w:t xml:space="preserve">The contradictor says that there is no matter.  </w:t>
      </w:r>
      <w:r w:rsidR="00BC64F4" w:rsidRPr="00813F86">
        <w:t>It is said that t</w:t>
      </w:r>
      <w:r w:rsidR="00BC64F4">
        <w:t>he s 33</w:t>
      </w:r>
      <w:proofErr w:type="gramStart"/>
      <w:r w:rsidR="00BC64F4">
        <w:t>V(</w:t>
      </w:r>
      <w:proofErr w:type="gramEnd"/>
      <w:r w:rsidR="00BC64F4">
        <w:t>2) power is only enlivened at the time of settlement approval, but that stage has not yet been reached in the Elliott-Carde proceeding.  Moreover, it is said that such an application might never be made.  In these circumstances, it is said that there is no “immediate right, duty or liability to be established by the determination of the Court”</w:t>
      </w:r>
      <w:r w:rsidR="00BC64F4">
        <w:rPr>
          <w:iCs/>
        </w:rPr>
        <w:t xml:space="preserve"> (see </w:t>
      </w:r>
      <w:proofErr w:type="gramStart"/>
      <w:r w:rsidR="00BC64F4" w:rsidRPr="00D5019A">
        <w:rPr>
          <w:i/>
        </w:rPr>
        <w:t>In</w:t>
      </w:r>
      <w:proofErr w:type="gramEnd"/>
      <w:r w:rsidR="00BC64F4" w:rsidRPr="00D5019A">
        <w:rPr>
          <w:i/>
        </w:rPr>
        <w:t xml:space="preserve"> re</w:t>
      </w:r>
      <w:r w:rsidR="00BC64F4">
        <w:rPr>
          <w:i/>
        </w:rPr>
        <w:t xml:space="preserve"> the </w:t>
      </w:r>
      <w:r w:rsidR="00BC64F4" w:rsidRPr="00813F86">
        <w:rPr>
          <w:i/>
        </w:rPr>
        <w:t>Judiciary</w:t>
      </w:r>
      <w:r w:rsidR="00BC64F4">
        <w:rPr>
          <w:i/>
        </w:rPr>
        <w:t xml:space="preserve"> Act 1903</w:t>
      </w:r>
      <w:r w:rsidR="00BC64F4" w:rsidRPr="00813F86">
        <w:rPr>
          <w:i/>
        </w:rPr>
        <w:t xml:space="preserve"> and </w:t>
      </w:r>
      <w:r w:rsidR="00BC64F4">
        <w:rPr>
          <w:i/>
        </w:rPr>
        <w:t xml:space="preserve">the </w:t>
      </w:r>
      <w:r w:rsidR="00BC64F4" w:rsidRPr="00813F86">
        <w:rPr>
          <w:i/>
        </w:rPr>
        <w:t>Navigation Act</w:t>
      </w:r>
      <w:r w:rsidR="00BC64F4">
        <w:rPr>
          <w:i/>
        </w:rPr>
        <w:t xml:space="preserve"> 1912</w:t>
      </w:r>
      <w:r w:rsidR="00BC64F4">
        <w:t xml:space="preserve"> (1921) 29 CLR 257 at 265 per Knox CJ et al). </w:t>
      </w:r>
    </w:p>
    <w:p w14:paraId="6C5D7A2D" w14:textId="096022D8" w:rsidR="00BC64F4" w:rsidRDefault="0071710E" w:rsidP="0071710E">
      <w:pPr>
        <w:pStyle w:val="ParaNumbering"/>
        <w:numPr>
          <w:ilvl w:val="0"/>
          <w:numId w:val="0"/>
        </w:numPr>
        <w:tabs>
          <w:tab w:val="left" w:pos="720"/>
        </w:tabs>
        <w:ind w:hanging="720"/>
      </w:pPr>
      <w:r>
        <w:rPr>
          <w:sz w:val="20"/>
        </w:rPr>
        <w:t>178</w:t>
      </w:r>
      <w:r>
        <w:rPr>
          <w:sz w:val="20"/>
        </w:rPr>
        <w:tab/>
      </w:r>
      <w:r w:rsidR="00BC64F4">
        <w:t xml:space="preserve">Now the contradictor accepts that the answer to the reserved question may have some bearing on the SDA’s stay application, the choice that group members might make between the Elliott-Carde proceeding and the SDA proceeding, and the form of the notice to group members.  But it is said that this is insufficient to amount to a matter.  </w:t>
      </w:r>
    </w:p>
    <w:p w14:paraId="59250DDA" w14:textId="5712DAC9" w:rsidR="00BC64F4" w:rsidRDefault="0071710E" w:rsidP="0071710E">
      <w:pPr>
        <w:pStyle w:val="ParaNumbering"/>
        <w:numPr>
          <w:ilvl w:val="0"/>
          <w:numId w:val="0"/>
        </w:numPr>
        <w:tabs>
          <w:tab w:val="left" w:pos="720"/>
        </w:tabs>
        <w:ind w:hanging="720"/>
      </w:pPr>
      <w:r>
        <w:rPr>
          <w:sz w:val="20"/>
        </w:rPr>
        <w:t>179</w:t>
      </w:r>
      <w:r>
        <w:rPr>
          <w:sz w:val="20"/>
        </w:rPr>
        <w:tab/>
      </w:r>
      <w:r w:rsidR="00BC64F4">
        <w:t>Now the contradictor says that the matter question has two elements, namely, subject matter and justiciability.  The contradictor says that the first element is satisfied here, but the second is not.</w:t>
      </w:r>
    </w:p>
    <w:p w14:paraId="7D91479F" w14:textId="3195B378" w:rsidR="00BC64F4" w:rsidRDefault="0071710E" w:rsidP="0071710E">
      <w:pPr>
        <w:pStyle w:val="ParaNumbering"/>
        <w:numPr>
          <w:ilvl w:val="0"/>
          <w:numId w:val="0"/>
        </w:numPr>
        <w:tabs>
          <w:tab w:val="left" w:pos="720"/>
        </w:tabs>
        <w:ind w:hanging="720"/>
      </w:pPr>
      <w:r>
        <w:rPr>
          <w:sz w:val="20"/>
        </w:rPr>
        <w:t>180</w:t>
      </w:r>
      <w:r>
        <w:rPr>
          <w:sz w:val="20"/>
        </w:rPr>
        <w:tab/>
      </w:r>
      <w:r w:rsidR="00BC64F4">
        <w:t xml:space="preserve">It is said that the justiciability question involves an evaluative exercise to determine whether the dispute involves an immediate right, </w:t>
      </w:r>
      <w:proofErr w:type="gramStart"/>
      <w:r w:rsidR="00BC64F4">
        <w:t>duty</w:t>
      </w:r>
      <w:proofErr w:type="gramEnd"/>
      <w:r w:rsidR="00BC64F4">
        <w:t xml:space="preserve"> or liability to be established by the determination of the Court</w:t>
      </w:r>
      <w:r w:rsidR="00BC64F4" w:rsidRPr="003304EB">
        <w:t>.</w:t>
      </w:r>
      <w:r w:rsidR="00BC64F4">
        <w:t xml:space="preserve">  Whether this is so will often involve questions of degree without bright line distinctions.  It is said that a determination of the reserved question will, from a practical perspective, have little to no bearing on the outcome of the interlocutory contests.</w:t>
      </w:r>
    </w:p>
    <w:p w14:paraId="4975A063" w14:textId="219A254D" w:rsidR="00BC64F4" w:rsidRDefault="0071710E" w:rsidP="0071710E">
      <w:pPr>
        <w:pStyle w:val="ParaNumbering"/>
        <w:numPr>
          <w:ilvl w:val="0"/>
          <w:numId w:val="0"/>
        </w:numPr>
        <w:tabs>
          <w:tab w:val="left" w:pos="720"/>
        </w:tabs>
        <w:ind w:hanging="720"/>
      </w:pPr>
      <w:r>
        <w:rPr>
          <w:sz w:val="20"/>
        </w:rPr>
        <w:t>181</w:t>
      </w:r>
      <w:r>
        <w:rPr>
          <w:sz w:val="20"/>
        </w:rPr>
        <w:tab/>
      </w:r>
      <w:r w:rsidR="00BC64F4">
        <w:t xml:space="preserve">The contradictor says that it is not sufficient that the reserved question forms part of a broader matter for it to give rise to a presently justiciable dispute.  It is said that whilst the underlying proceedings each give rise to a “matter”, it does not follow that every interlocutory dispute that arises in those proceedings also constitutes a matter or forms part of the broader matter.  </w:t>
      </w:r>
    </w:p>
    <w:p w14:paraId="4096D918" w14:textId="2D07DC46" w:rsidR="00BC64F4" w:rsidRDefault="0071710E" w:rsidP="0071710E">
      <w:pPr>
        <w:pStyle w:val="ParaNumbering"/>
        <w:numPr>
          <w:ilvl w:val="0"/>
          <w:numId w:val="0"/>
        </w:numPr>
        <w:tabs>
          <w:tab w:val="left" w:pos="720"/>
        </w:tabs>
        <w:ind w:hanging="720"/>
      </w:pPr>
      <w:r>
        <w:rPr>
          <w:sz w:val="20"/>
        </w:rPr>
        <w:t>182</w:t>
      </w:r>
      <w:r>
        <w:rPr>
          <w:sz w:val="20"/>
        </w:rPr>
        <w:tab/>
      </w:r>
      <w:r w:rsidR="00BC64F4">
        <w:t>Further, the contradictor says that t</w:t>
      </w:r>
      <w:r w:rsidR="00BC64F4" w:rsidRPr="00205520">
        <w:t>he reserved question concerns the Court</w:t>
      </w:r>
      <w:r w:rsidR="00BC64F4">
        <w:t>’</w:t>
      </w:r>
      <w:r w:rsidR="00BC64F4" w:rsidRPr="00205520">
        <w:t xml:space="preserve">s </w:t>
      </w:r>
      <w:r w:rsidR="00BC64F4" w:rsidRPr="003304EB">
        <w:rPr>
          <w:i/>
        </w:rPr>
        <w:t xml:space="preserve">future </w:t>
      </w:r>
      <w:r w:rsidR="00BC64F4" w:rsidRPr="00205520">
        <w:t xml:space="preserve">power. In other words, the question remains abstract and hypothetical. </w:t>
      </w:r>
      <w:r w:rsidR="00BC64F4">
        <w:t xml:space="preserve"> It is said that t</w:t>
      </w:r>
      <w:r w:rsidR="00BC64F4" w:rsidRPr="00205520">
        <w:t>he Court may never be asked to decide on the reserved question in t</w:t>
      </w:r>
      <w:r w:rsidR="00BC64F4">
        <w:t>he context of the Elliott-Carde proceeding.</w:t>
      </w:r>
    </w:p>
    <w:p w14:paraId="76135378" w14:textId="0E354795" w:rsidR="00BC64F4" w:rsidRDefault="0071710E" w:rsidP="0071710E">
      <w:pPr>
        <w:pStyle w:val="ParaNumbering"/>
        <w:numPr>
          <w:ilvl w:val="0"/>
          <w:numId w:val="0"/>
        </w:numPr>
        <w:tabs>
          <w:tab w:val="left" w:pos="720"/>
        </w:tabs>
        <w:ind w:hanging="720"/>
      </w:pPr>
      <w:r>
        <w:rPr>
          <w:sz w:val="20"/>
        </w:rPr>
        <w:t>183</w:t>
      </w:r>
      <w:r>
        <w:rPr>
          <w:sz w:val="20"/>
        </w:rPr>
        <w:tab/>
      </w:r>
      <w:r w:rsidR="00BC64F4">
        <w:t xml:space="preserve">Further, the contradictor disputes that the answer to the reserved question will be significant, central and of real, </w:t>
      </w:r>
      <w:proofErr w:type="gramStart"/>
      <w:r w:rsidR="00BC64F4">
        <w:t>immediate</w:t>
      </w:r>
      <w:proofErr w:type="gramEnd"/>
      <w:r w:rsidR="00BC64F4">
        <w:t xml:space="preserve"> and unavoidable consequence to a determination of the pending interlocutory disputes. </w:t>
      </w:r>
    </w:p>
    <w:p w14:paraId="5E76160F" w14:textId="07882D0F" w:rsidR="00BC64F4" w:rsidRDefault="0071710E" w:rsidP="0071710E">
      <w:pPr>
        <w:pStyle w:val="ParaNumbering"/>
        <w:numPr>
          <w:ilvl w:val="0"/>
          <w:numId w:val="0"/>
        </w:numPr>
        <w:tabs>
          <w:tab w:val="left" w:pos="720"/>
        </w:tabs>
        <w:ind w:hanging="720"/>
      </w:pPr>
      <w:r>
        <w:rPr>
          <w:sz w:val="20"/>
        </w:rPr>
        <w:t>184</w:t>
      </w:r>
      <w:r>
        <w:rPr>
          <w:sz w:val="20"/>
        </w:rPr>
        <w:tab/>
      </w:r>
      <w:r w:rsidR="00BC64F4">
        <w:t xml:space="preserve">Further, the contradictor says that even if it were accepted that any comparison between the funding models in the Elliott-Carde proceeding and the SDA proceeding could only be made </w:t>
      </w:r>
      <w:proofErr w:type="gramStart"/>
      <w:r w:rsidR="00BC64F4">
        <w:t>on the basis of</w:t>
      </w:r>
      <w:proofErr w:type="gramEnd"/>
      <w:r w:rsidR="00BC64F4">
        <w:t xml:space="preserve"> the applicants’ putative CFO in the Elliott-Carde proceeding, the difference between the competing funding models is neither central nor significant to the controversy.</w:t>
      </w:r>
    </w:p>
    <w:p w14:paraId="733913D7" w14:textId="74193EB9" w:rsidR="00BC64F4" w:rsidRDefault="0071710E" w:rsidP="0071710E">
      <w:pPr>
        <w:pStyle w:val="ParaNumbering"/>
        <w:numPr>
          <w:ilvl w:val="0"/>
          <w:numId w:val="0"/>
        </w:numPr>
        <w:tabs>
          <w:tab w:val="left" w:pos="720"/>
        </w:tabs>
        <w:ind w:hanging="720"/>
      </w:pPr>
      <w:r>
        <w:rPr>
          <w:sz w:val="20"/>
        </w:rPr>
        <w:t>185</w:t>
      </w:r>
      <w:r>
        <w:rPr>
          <w:sz w:val="20"/>
        </w:rPr>
        <w:tab/>
      </w:r>
      <w:r w:rsidR="00BC64F4">
        <w:t xml:space="preserve">Further, the contradictor says that in relation to the approval of the opt-out notice in the Elliott-Carde proceeding, it is difficult to imagine any group member having even a passing interest as to the form of order by which the substantial class action costs would be extracted from their recoveries given the existence of a no-cost alternative. </w:t>
      </w:r>
    </w:p>
    <w:p w14:paraId="6FBB0980" w14:textId="022F854B" w:rsidR="00BC64F4" w:rsidRDefault="0071710E" w:rsidP="0071710E">
      <w:pPr>
        <w:pStyle w:val="ParaNumbering"/>
        <w:numPr>
          <w:ilvl w:val="0"/>
          <w:numId w:val="0"/>
        </w:numPr>
        <w:tabs>
          <w:tab w:val="left" w:pos="720"/>
        </w:tabs>
        <w:ind w:hanging="720"/>
      </w:pPr>
      <w:r>
        <w:rPr>
          <w:sz w:val="20"/>
        </w:rPr>
        <w:t>186</w:t>
      </w:r>
      <w:r>
        <w:rPr>
          <w:sz w:val="20"/>
        </w:rPr>
        <w:tab/>
      </w:r>
      <w:r w:rsidR="00BC64F4">
        <w:t>Further, the contradictor says that the Court could approve a notice in which any uncertainty arising from the reserved question could be conveyed to group members in plain terms and without misleading anyone.  It is said that such a notice could encompass with clarity the realistic range of possible funding outcomes. And it is said that any future clarification could be addressed by a subsequent notice.</w:t>
      </w:r>
    </w:p>
    <w:p w14:paraId="75687101" w14:textId="15914C79" w:rsidR="00BC64F4" w:rsidRDefault="0071710E" w:rsidP="0071710E">
      <w:pPr>
        <w:pStyle w:val="ParaNumbering"/>
        <w:numPr>
          <w:ilvl w:val="0"/>
          <w:numId w:val="0"/>
        </w:numPr>
        <w:tabs>
          <w:tab w:val="left" w:pos="720"/>
        </w:tabs>
        <w:ind w:hanging="720"/>
      </w:pPr>
      <w:r>
        <w:rPr>
          <w:sz w:val="20"/>
        </w:rPr>
        <w:t>187</w:t>
      </w:r>
      <w:r>
        <w:rPr>
          <w:sz w:val="20"/>
        </w:rPr>
        <w:tab/>
      </w:r>
      <w:r w:rsidR="00BC64F4">
        <w:t>In any event, the contradictor says that a resolution of the reserved question could not eliminate the inherent uncertainty as to the form of any distribution order under s 33</w:t>
      </w:r>
      <w:proofErr w:type="gramStart"/>
      <w:r w:rsidR="00BC64F4">
        <w:t>V(</w:t>
      </w:r>
      <w:proofErr w:type="gramEnd"/>
      <w:r w:rsidR="00BC64F4">
        <w:t xml:space="preserve">2) which might ultimately be made.  It is said that even if the reserved question is resolved in the affirmative, the Court may decline to exercise that power if it forms the view that an FEO or some other order would be a just outcome.   </w:t>
      </w:r>
    </w:p>
    <w:p w14:paraId="42C416CB" w14:textId="3E31BFA1" w:rsidR="00BC64F4" w:rsidRDefault="0071710E" w:rsidP="0071710E">
      <w:pPr>
        <w:pStyle w:val="ParaNumbering"/>
        <w:numPr>
          <w:ilvl w:val="0"/>
          <w:numId w:val="0"/>
        </w:numPr>
        <w:tabs>
          <w:tab w:val="left" w:pos="720"/>
        </w:tabs>
        <w:ind w:hanging="720"/>
      </w:pPr>
      <w:r>
        <w:rPr>
          <w:sz w:val="20"/>
        </w:rPr>
        <w:t>188</w:t>
      </w:r>
      <w:r>
        <w:rPr>
          <w:sz w:val="20"/>
        </w:rPr>
        <w:tab/>
      </w:r>
      <w:r w:rsidR="00BC64F4">
        <w:t xml:space="preserve">It is said that when one has regard to the ease with which a notice could be drawn which takes account of the unavoidable uncertainties as to how the burden of the costs of the class action would be distributed, and without misleading or confusing group members, the inutile nature of an advance determination as to power becomes plain. </w:t>
      </w:r>
    </w:p>
    <w:p w14:paraId="77AB4515" w14:textId="0238200A" w:rsidR="00BC64F4" w:rsidRDefault="0071710E" w:rsidP="0071710E">
      <w:pPr>
        <w:pStyle w:val="ParaNumbering"/>
        <w:numPr>
          <w:ilvl w:val="0"/>
          <w:numId w:val="0"/>
        </w:numPr>
        <w:tabs>
          <w:tab w:val="left" w:pos="720"/>
        </w:tabs>
        <w:ind w:hanging="720"/>
      </w:pPr>
      <w:r>
        <w:rPr>
          <w:sz w:val="20"/>
        </w:rPr>
        <w:t>189</w:t>
      </w:r>
      <w:r>
        <w:rPr>
          <w:sz w:val="20"/>
        </w:rPr>
        <w:tab/>
      </w:r>
      <w:r w:rsidR="00BC64F4">
        <w:t>More generally, it is said that determining the reserved question now would involve the Court impermissibly considering a hypothetical question and engaging in the provision of an advisory opinion with no real utility to the pending interlocutory disputes.</w:t>
      </w:r>
    </w:p>
    <w:p w14:paraId="00862095" w14:textId="42383AE4" w:rsidR="00BC64F4" w:rsidRDefault="0071710E" w:rsidP="0071710E">
      <w:pPr>
        <w:pStyle w:val="ParaNumbering"/>
        <w:numPr>
          <w:ilvl w:val="0"/>
          <w:numId w:val="0"/>
        </w:numPr>
        <w:tabs>
          <w:tab w:val="left" w:pos="720"/>
        </w:tabs>
        <w:ind w:hanging="720"/>
      </w:pPr>
      <w:r>
        <w:rPr>
          <w:sz w:val="20"/>
        </w:rPr>
        <w:t>190</w:t>
      </w:r>
      <w:r>
        <w:rPr>
          <w:sz w:val="20"/>
        </w:rPr>
        <w:tab/>
      </w:r>
      <w:r w:rsidR="00BC64F4">
        <w:t xml:space="preserve">Further, it is said that the Court should decline to answer the reserved question even if it were satisfied that the matter requirement </w:t>
      </w:r>
      <w:proofErr w:type="gramStart"/>
      <w:r w:rsidR="00BC64F4">
        <w:t>were</w:t>
      </w:r>
      <w:proofErr w:type="gramEnd"/>
      <w:r w:rsidR="00BC64F4">
        <w:t xml:space="preserve"> met on other grounds. It is said that the performance of the Court’s adjudicative function “proceeds best when it proceeds if, and no further than is, warranted to determine a legal right or legal liability in controversy” (</w:t>
      </w:r>
      <w:r w:rsidR="00BC64F4" w:rsidRPr="00944B01">
        <w:rPr>
          <w:i/>
        </w:rPr>
        <w:t>Mineralogy</w:t>
      </w:r>
      <w:r w:rsidR="00BC64F4">
        <w:rPr>
          <w:i/>
        </w:rPr>
        <w:t xml:space="preserve"> Pty Ltd</w:t>
      </w:r>
      <w:r w:rsidR="00BC64F4" w:rsidRPr="00944B01">
        <w:rPr>
          <w:i/>
        </w:rPr>
        <w:t xml:space="preserve"> v Western Australia</w:t>
      </w:r>
      <w:r w:rsidR="00BC64F4" w:rsidRPr="00944B01">
        <w:t xml:space="preserve"> (2021) </w:t>
      </w:r>
      <w:r w:rsidR="00BC64F4">
        <w:t>274 CLR 219</w:t>
      </w:r>
      <w:r w:rsidR="00BC64F4" w:rsidRPr="00944B01">
        <w:t xml:space="preserve"> at [58]</w:t>
      </w:r>
      <w:r w:rsidR="00BC64F4">
        <w:t xml:space="preserve"> per the plurality</w:t>
      </w:r>
      <w:r w:rsidR="00BC64F4" w:rsidRPr="00944B01">
        <w:t xml:space="preserve">, citing </w:t>
      </w:r>
      <w:r w:rsidR="00BC64F4" w:rsidRPr="00944B01">
        <w:rPr>
          <w:i/>
        </w:rPr>
        <w:t>Clubb v Edwards</w:t>
      </w:r>
      <w:r w:rsidR="00BC64F4" w:rsidRPr="00944B01">
        <w:t xml:space="preserve"> (2019) 267 CLR 171 at [137]</w:t>
      </w:r>
      <w:r w:rsidR="00BC64F4">
        <w:t xml:space="preserve"> per </w:t>
      </w:r>
      <w:proofErr w:type="spellStart"/>
      <w:r w:rsidR="00BC64F4">
        <w:t>Gageler</w:t>
      </w:r>
      <w:proofErr w:type="spellEnd"/>
      <w:r w:rsidR="00BC64F4">
        <w:t xml:space="preserve"> J), and that “the adjudicatory process is most securely founded when it is exercised under the impact of a lively conflict between antagonistic demands, actively pressed, which make resolution of the controverted issue a practical necessity” (</w:t>
      </w:r>
      <w:r w:rsidR="00BC64F4" w:rsidRPr="00944B01">
        <w:rPr>
          <w:i/>
        </w:rPr>
        <w:t>Miner</w:t>
      </w:r>
      <w:r w:rsidR="00BC64F4">
        <w:rPr>
          <w:i/>
        </w:rPr>
        <w:t>a</w:t>
      </w:r>
      <w:r w:rsidR="00BC64F4" w:rsidRPr="00944B01">
        <w:rPr>
          <w:i/>
        </w:rPr>
        <w:t xml:space="preserve">logy </w:t>
      </w:r>
      <w:r w:rsidR="00BC64F4">
        <w:t xml:space="preserve">at [58], citing </w:t>
      </w:r>
      <w:r w:rsidR="00BC64F4">
        <w:rPr>
          <w:i/>
          <w:iCs/>
        </w:rPr>
        <w:t xml:space="preserve">Poe v. Ullman </w:t>
      </w:r>
      <w:r w:rsidR="00BC64F4">
        <w:t>367 US 497 (1961) at 503).</w:t>
      </w:r>
    </w:p>
    <w:p w14:paraId="349CA19D" w14:textId="170F54E3" w:rsidR="00BC64F4" w:rsidRDefault="0071710E" w:rsidP="0071710E">
      <w:pPr>
        <w:pStyle w:val="ParaNumbering"/>
        <w:numPr>
          <w:ilvl w:val="0"/>
          <w:numId w:val="0"/>
        </w:numPr>
        <w:tabs>
          <w:tab w:val="left" w:pos="720"/>
        </w:tabs>
        <w:ind w:hanging="720"/>
        <w:rPr>
          <w:szCs w:val="24"/>
        </w:rPr>
      </w:pPr>
      <w:r>
        <w:rPr>
          <w:sz w:val="20"/>
          <w:szCs w:val="24"/>
        </w:rPr>
        <w:t>191</w:t>
      </w:r>
      <w:r>
        <w:rPr>
          <w:sz w:val="20"/>
          <w:szCs w:val="24"/>
        </w:rPr>
        <w:tab/>
      </w:r>
      <w:r w:rsidR="00BC64F4">
        <w:rPr>
          <w:szCs w:val="24"/>
        </w:rPr>
        <w:t xml:space="preserve">I would reject the contradictor’s arguments concerning whether there is a matter. </w:t>
      </w:r>
    </w:p>
    <w:p w14:paraId="77F0C153" w14:textId="14D3A937" w:rsidR="00BC64F4" w:rsidRPr="00B55042" w:rsidRDefault="0071710E" w:rsidP="0071710E">
      <w:pPr>
        <w:pStyle w:val="ParaNumbering"/>
        <w:numPr>
          <w:ilvl w:val="0"/>
          <w:numId w:val="0"/>
        </w:numPr>
        <w:tabs>
          <w:tab w:val="left" w:pos="720"/>
        </w:tabs>
        <w:ind w:hanging="720"/>
        <w:rPr>
          <w:szCs w:val="24"/>
        </w:rPr>
      </w:pPr>
      <w:r w:rsidRPr="00B55042">
        <w:rPr>
          <w:sz w:val="20"/>
          <w:szCs w:val="24"/>
        </w:rPr>
        <w:t>192</w:t>
      </w:r>
      <w:r w:rsidRPr="00B55042">
        <w:rPr>
          <w:sz w:val="20"/>
          <w:szCs w:val="24"/>
        </w:rPr>
        <w:tab/>
      </w:r>
      <w:r w:rsidR="00BC64F4">
        <w:rPr>
          <w:szCs w:val="24"/>
        </w:rPr>
        <w:t>Now of course t</w:t>
      </w:r>
      <w:r w:rsidR="00BC64F4" w:rsidRPr="00B55042">
        <w:rPr>
          <w:szCs w:val="24"/>
        </w:rPr>
        <w:t xml:space="preserve">he question </w:t>
      </w:r>
      <w:proofErr w:type="gramStart"/>
      <w:r w:rsidR="00BC64F4" w:rsidRPr="00B55042">
        <w:rPr>
          <w:szCs w:val="24"/>
        </w:rPr>
        <w:t>whether or not</w:t>
      </w:r>
      <w:proofErr w:type="gramEnd"/>
      <w:r w:rsidR="00BC64F4" w:rsidRPr="00B55042">
        <w:rPr>
          <w:szCs w:val="24"/>
        </w:rPr>
        <w:t xml:space="preserve"> there is a matter in the constitutional sense is itself a constitutional question. </w:t>
      </w:r>
      <w:r w:rsidR="00BC64F4">
        <w:rPr>
          <w:szCs w:val="24"/>
        </w:rPr>
        <w:t xml:space="preserve"> But let me proceed beyond that nicety for a moment. </w:t>
      </w:r>
    </w:p>
    <w:p w14:paraId="6A3588D2" w14:textId="52334B11" w:rsidR="00BC64F4" w:rsidRDefault="0071710E" w:rsidP="0071710E">
      <w:pPr>
        <w:pStyle w:val="ParaNumbering"/>
        <w:numPr>
          <w:ilvl w:val="0"/>
          <w:numId w:val="0"/>
        </w:numPr>
        <w:tabs>
          <w:tab w:val="left" w:pos="720"/>
        </w:tabs>
        <w:ind w:hanging="720"/>
        <w:rPr>
          <w:szCs w:val="24"/>
        </w:rPr>
      </w:pPr>
      <w:r>
        <w:rPr>
          <w:sz w:val="20"/>
          <w:szCs w:val="24"/>
        </w:rPr>
        <w:t>193</w:t>
      </w:r>
      <w:r>
        <w:rPr>
          <w:sz w:val="20"/>
          <w:szCs w:val="24"/>
        </w:rPr>
        <w:tab/>
      </w:r>
      <w:r w:rsidR="00BC64F4">
        <w:rPr>
          <w:szCs w:val="24"/>
        </w:rPr>
        <w:t>Now I accept that whether there is a matter has two elements, being</w:t>
      </w:r>
      <w:r w:rsidR="00BC64F4" w:rsidRPr="00B55042">
        <w:rPr>
          <w:szCs w:val="24"/>
        </w:rPr>
        <w:t xml:space="preserve"> subje</w:t>
      </w:r>
      <w:r w:rsidR="00BC64F4">
        <w:rPr>
          <w:szCs w:val="24"/>
        </w:rPr>
        <w:t xml:space="preserve">ct matter and justiciability. </w:t>
      </w:r>
    </w:p>
    <w:p w14:paraId="22CEC5AB" w14:textId="738BB889" w:rsidR="00BC64F4" w:rsidRPr="00B55042" w:rsidRDefault="0071710E" w:rsidP="0071710E">
      <w:pPr>
        <w:pStyle w:val="ParaNumbering"/>
        <w:numPr>
          <w:ilvl w:val="0"/>
          <w:numId w:val="0"/>
        </w:numPr>
        <w:tabs>
          <w:tab w:val="left" w:pos="720"/>
        </w:tabs>
        <w:ind w:hanging="720"/>
        <w:rPr>
          <w:szCs w:val="24"/>
        </w:rPr>
      </w:pPr>
      <w:r w:rsidRPr="00B55042">
        <w:rPr>
          <w:sz w:val="20"/>
          <w:szCs w:val="24"/>
        </w:rPr>
        <w:t>194</w:t>
      </w:r>
      <w:r w:rsidRPr="00B55042">
        <w:rPr>
          <w:sz w:val="20"/>
          <w:szCs w:val="24"/>
        </w:rPr>
        <w:tab/>
      </w:r>
      <w:r w:rsidR="00BC64F4">
        <w:rPr>
          <w:szCs w:val="24"/>
        </w:rPr>
        <w:t xml:space="preserve">The </w:t>
      </w:r>
      <w:r w:rsidR="00BC64F4" w:rsidRPr="00B55042">
        <w:rPr>
          <w:szCs w:val="24"/>
        </w:rPr>
        <w:t>subject matter element is satisfied by establish</w:t>
      </w:r>
      <w:r w:rsidR="00BC64F4">
        <w:rPr>
          <w:szCs w:val="24"/>
        </w:rPr>
        <w:t xml:space="preserve">ing that the subject matter of </w:t>
      </w:r>
      <w:r w:rsidR="00BC64F4" w:rsidRPr="00B55042">
        <w:rPr>
          <w:szCs w:val="24"/>
        </w:rPr>
        <w:t>all claims made with</w:t>
      </w:r>
      <w:r w:rsidR="00BC64F4">
        <w:rPr>
          <w:szCs w:val="24"/>
        </w:rPr>
        <w:t>in the scope of the controversy</w:t>
      </w:r>
      <w:r w:rsidR="00BC64F4" w:rsidRPr="00B55042">
        <w:rPr>
          <w:szCs w:val="24"/>
        </w:rPr>
        <w:t xml:space="preserve"> satisfies </w:t>
      </w:r>
      <w:r w:rsidR="00BC64F4">
        <w:rPr>
          <w:szCs w:val="24"/>
        </w:rPr>
        <w:t xml:space="preserve">relevantly </w:t>
      </w:r>
      <w:r w:rsidR="00BC64F4" w:rsidRPr="00B55042">
        <w:rPr>
          <w:szCs w:val="24"/>
        </w:rPr>
        <w:t xml:space="preserve">at least one of the descriptions in </w:t>
      </w:r>
      <w:r w:rsidR="00BC64F4">
        <w:rPr>
          <w:szCs w:val="24"/>
        </w:rPr>
        <w:t xml:space="preserve">s 39B(1A) of the </w:t>
      </w:r>
      <w:r w:rsidR="00BC64F4" w:rsidRPr="00B55042">
        <w:rPr>
          <w:i/>
          <w:iCs/>
          <w:szCs w:val="24"/>
        </w:rPr>
        <w:t>Judiciary</w:t>
      </w:r>
      <w:r w:rsidR="00BC64F4" w:rsidRPr="00304D27">
        <w:rPr>
          <w:i/>
          <w:iCs/>
          <w:szCs w:val="24"/>
        </w:rPr>
        <w:t xml:space="preserve"> </w:t>
      </w:r>
      <w:r w:rsidR="00BC64F4" w:rsidRPr="00304D27">
        <w:rPr>
          <w:i/>
          <w:szCs w:val="24"/>
        </w:rPr>
        <w:t>Act</w:t>
      </w:r>
      <w:r w:rsidR="00BC64F4" w:rsidRPr="00B55042">
        <w:rPr>
          <w:szCs w:val="24"/>
        </w:rPr>
        <w:t xml:space="preserve"> </w:t>
      </w:r>
      <w:r w:rsidR="00BC64F4">
        <w:rPr>
          <w:i/>
          <w:szCs w:val="24"/>
        </w:rPr>
        <w:t xml:space="preserve">1903 </w:t>
      </w:r>
      <w:r w:rsidR="00BC64F4">
        <w:rPr>
          <w:szCs w:val="24"/>
        </w:rPr>
        <w:t>(</w:t>
      </w:r>
      <w:proofErr w:type="spellStart"/>
      <w:r w:rsidR="00BC64F4">
        <w:rPr>
          <w:szCs w:val="24"/>
        </w:rPr>
        <w:t>Cth</w:t>
      </w:r>
      <w:proofErr w:type="spellEnd"/>
      <w:r w:rsidR="00BC64F4">
        <w:rPr>
          <w:szCs w:val="24"/>
        </w:rPr>
        <w:t>)</w:t>
      </w:r>
      <w:r w:rsidR="00BC64F4" w:rsidRPr="00B55042">
        <w:rPr>
          <w:szCs w:val="24"/>
        </w:rPr>
        <w:t xml:space="preserve">. </w:t>
      </w:r>
      <w:r w:rsidR="00BC64F4">
        <w:rPr>
          <w:szCs w:val="24"/>
        </w:rPr>
        <w:t xml:space="preserve"> That is not in doubt in the present circumstances. </w:t>
      </w:r>
    </w:p>
    <w:p w14:paraId="718201BE" w14:textId="2224A99D" w:rsidR="00BC64F4" w:rsidRDefault="0071710E" w:rsidP="0071710E">
      <w:pPr>
        <w:pStyle w:val="ParaNumbering"/>
        <w:numPr>
          <w:ilvl w:val="0"/>
          <w:numId w:val="0"/>
        </w:numPr>
        <w:tabs>
          <w:tab w:val="left" w:pos="720"/>
        </w:tabs>
        <w:ind w:hanging="720"/>
        <w:rPr>
          <w:szCs w:val="24"/>
        </w:rPr>
      </w:pPr>
      <w:r>
        <w:rPr>
          <w:sz w:val="20"/>
          <w:szCs w:val="24"/>
        </w:rPr>
        <w:t>195</w:t>
      </w:r>
      <w:r>
        <w:rPr>
          <w:sz w:val="20"/>
          <w:szCs w:val="24"/>
        </w:rPr>
        <w:tab/>
      </w:r>
      <w:r w:rsidR="00BC64F4">
        <w:rPr>
          <w:szCs w:val="24"/>
        </w:rPr>
        <w:t xml:space="preserve">The </w:t>
      </w:r>
      <w:r w:rsidR="00BC64F4" w:rsidRPr="00B55042">
        <w:rPr>
          <w:szCs w:val="24"/>
        </w:rPr>
        <w:t xml:space="preserve">justiciability element requires that there be an immediate right, </w:t>
      </w:r>
      <w:proofErr w:type="gramStart"/>
      <w:r w:rsidR="00BC64F4" w:rsidRPr="00B55042">
        <w:rPr>
          <w:szCs w:val="24"/>
        </w:rPr>
        <w:t>duty</w:t>
      </w:r>
      <w:proofErr w:type="gramEnd"/>
      <w:r w:rsidR="00BC64F4" w:rsidRPr="00B55042">
        <w:rPr>
          <w:szCs w:val="24"/>
        </w:rPr>
        <w:t xml:space="preserve"> or liability to be established by the determination of the Court, </w:t>
      </w:r>
      <w:r w:rsidR="00BC64F4">
        <w:rPr>
          <w:szCs w:val="24"/>
        </w:rPr>
        <w:t xml:space="preserve">that is, </w:t>
      </w:r>
      <w:r w:rsidR="00BC64F4" w:rsidRPr="00B55042">
        <w:rPr>
          <w:szCs w:val="24"/>
        </w:rPr>
        <w:t xml:space="preserve">a justiciable controversy. </w:t>
      </w:r>
      <w:r w:rsidR="00BC64F4">
        <w:rPr>
          <w:szCs w:val="24"/>
        </w:rPr>
        <w:t xml:space="preserve"> </w:t>
      </w:r>
      <w:r w:rsidR="00BC64F4" w:rsidRPr="00B55042">
        <w:rPr>
          <w:szCs w:val="24"/>
        </w:rPr>
        <w:t>This element is not co-ext</w:t>
      </w:r>
      <w:r w:rsidR="00BC64F4">
        <w:rPr>
          <w:szCs w:val="24"/>
        </w:rPr>
        <w:t xml:space="preserve">ensive with a legal proceeding.  </w:t>
      </w:r>
      <w:r w:rsidR="00BC64F4" w:rsidRPr="00B55042">
        <w:rPr>
          <w:szCs w:val="24"/>
        </w:rPr>
        <w:t>It is identifiable independently of proceedings brought for its determination, and it encompasses all claims made withi</w:t>
      </w:r>
      <w:r w:rsidR="00BC64F4">
        <w:rPr>
          <w:szCs w:val="24"/>
        </w:rPr>
        <w:t xml:space="preserve">n the scope of the controversy.  </w:t>
      </w:r>
      <w:r w:rsidR="00BC64F4" w:rsidRPr="00B55042">
        <w:rPr>
          <w:szCs w:val="24"/>
        </w:rPr>
        <w:t xml:space="preserve">And only a </w:t>
      </w:r>
      <w:r w:rsidR="00BC64F4" w:rsidRPr="00852E57">
        <w:rPr>
          <w:iCs/>
          <w:szCs w:val="24"/>
        </w:rPr>
        <w:t xml:space="preserve">claim </w:t>
      </w:r>
      <w:r w:rsidR="00BC64F4" w:rsidRPr="00B55042">
        <w:rPr>
          <w:szCs w:val="24"/>
        </w:rPr>
        <w:t>is necessary, since a matter can exist even though the asserted right, dut</w:t>
      </w:r>
      <w:r w:rsidR="00BC64F4">
        <w:rPr>
          <w:szCs w:val="24"/>
        </w:rPr>
        <w:t>y or liability has not yet been</w:t>
      </w:r>
      <w:r w:rsidR="00BC64F4" w:rsidRPr="00B55042">
        <w:rPr>
          <w:szCs w:val="24"/>
        </w:rPr>
        <w:t xml:space="preserve"> and may never be established. </w:t>
      </w:r>
    </w:p>
    <w:p w14:paraId="2389C0F3" w14:textId="2CDFD615" w:rsidR="00BC64F4" w:rsidRPr="00B55042" w:rsidRDefault="0071710E" w:rsidP="0071710E">
      <w:pPr>
        <w:pStyle w:val="ParaNumbering"/>
        <w:numPr>
          <w:ilvl w:val="0"/>
          <w:numId w:val="0"/>
        </w:numPr>
        <w:tabs>
          <w:tab w:val="left" w:pos="720"/>
        </w:tabs>
        <w:ind w:hanging="720"/>
        <w:rPr>
          <w:szCs w:val="24"/>
        </w:rPr>
      </w:pPr>
      <w:r w:rsidRPr="00B55042">
        <w:rPr>
          <w:sz w:val="20"/>
          <w:szCs w:val="24"/>
        </w:rPr>
        <w:t>196</w:t>
      </w:r>
      <w:r w:rsidRPr="00B55042">
        <w:rPr>
          <w:sz w:val="20"/>
          <w:szCs w:val="24"/>
        </w:rPr>
        <w:tab/>
      </w:r>
      <w:r w:rsidR="00BC64F4" w:rsidRPr="00B55042">
        <w:rPr>
          <w:szCs w:val="24"/>
        </w:rPr>
        <w:t>The requirement for a justiciable controversy reinforces that the court is concerned to resolve genuine controversies, not give advisory opinions. Where the relief sought is declaratory, relief will not</w:t>
      </w:r>
      <w:r w:rsidR="00BC64F4">
        <w:rPr>
          <w:szCs w:val="24"/>
        </w:rPr>
        <w:t xml:space="preserve"> be granted if the question is </w:t>
      </w:r>
      <w:r w:rsidR="00BC64F4" w:rsidRPr="00B55042">
        <w:rPr>
          <w:szCs w:val="24"/>
        </w:rPr>
        <w:t>purely hypothetical,</w:t>
      </w:r>
      <w:r w:rsidR="00BC64F4">
        <w:rPr>
          <w:szCs w:val="24"/>
        </w:rPr>
        <w:t xml:space="preserve"> </w:t>
      </w:r>
      <w:r w:rsidR="00BC64F4" w:rsidRPr="00B55042">
        <w:rPr>
          <w:szCs w:val="24"/>
        </w:rPr>
        <w:t xml:space="preserve">claimed in relation to circumstances </w:t>
      </w:r>
      <w:r w:rsidR="00BC64F4">
        <w:rPr>
          <w:szCs w:val="24"/>
        </w:rPr>
        <w:t xml:space="preserve">that </w:t>
      </w:r>
      <w:r w:rsidR="00BC64F4" w:rsidRPr="00B55042">
        <w:rPr>
          <w:szCs w:val="24"/>
        </w:rPr>
        <w:t>have not occurred and might never happen</w:t>
      </w:r>
      <w:r w:rsidR="00BC64F4">
        <w:rPr>
          <w:szCs w:val="24"/>
        </w:rPr>
        <w:t xml:space="preserve">, or if </w:t>
      </w:r>
      <w:r w:rsidR="00BC64F4" w:rsidRPr="00B55042">
        <w:rPr>
          <w:szCs w:val="24"/>
        </w:rPr>
        <w:t xml:space="preserve">the Court’s declaration will produce no foreseeable consequences for the parties. </w:t>
      </w:r>
    </w:p>
    <w:p w14:paraId="76BBE58B" w14:textId="119C1BB6" w:rsidR="00BC64F4" w:rsidRDefault="0071710E" w:rsidP="0071710E">
      <w:pPr>
        <w:pStyle w:val="ParaNumbering"/>
        <w:numPr>
          <w:ilvl w:val="0"/>
          <w:numId w:val="0"/>
        </w:numPr>
        <w:tabs>
          <w:tab w:val="left" w:pos="720"/>
        </w:tabs>
        <w:ind w:hanging="720"/>
        <w:rPr>
          <w:szCs w:val="24"/>
        </w:rPr>
      </w:pPr>
      <w:r>
        <w:rPr>
          <w:sz w:val="20"/>
          <w:szCs w:val="24"/>
        </w:rPr>
        <w:t>197</w:t>
      </w:r>
      <w:r>
        <w:rPr>
          <w:sz w:val="20"/>
          <w:szCs w:val="24"/>
        </w:rPr>
        <w:tab/>
      </w:r>
      <w:r w:rsidR="00BC64F4">
        <w:rPr>
          <w:szCs w:val="24"/>
        </w:rPr>
        <w:t>Further, t</w:t>
      </w:r>
      <w:r w:rsidR="00BC64F4" w:rsidRPr="00B55042">
        <w:rPr>
          <w:szCs w:val="24"/>
        </w:rPr>
        <w:t>he existence of a matter is to be determined by reference to the foundational controversy between the parties</w:t>
      </w:r>
      <w:r w:rsidR="00BC64F4">
        <w:rPr>
          <w:szCs w:val="24"/>
        </w:rPr>
        <w:t xml:space="preserve">. If there is such a matter, the </w:t>
      </w:r>
      <w:r w:rsidR="00BC64F4" w:rsidRPr="00B55042">
        <w:rPr>
          <w:szCs w:val="24"/>
        </w:rPr>
        <w:t>Court then has authority to adjudicate all th</w:t>
      </w:r>
      <w:r w:rsidR="00BC64F4">
        <w:rPr>
          <w:szCs w:val="24"/>
        </w:rPr>
        <w:t xml:space="preserve">e questions raised by the various claims and under that umbrella. </w:t>
      </w:r>
    </w:p>
    <w:p w14:paraId="2161F956" w14:textId="6D19CB60" w:rsidR="00BC64F4" w:rsidRDefault="0071710E" w:rsidP="0071710E">
      <w:pPr>
        <w:pStyle w:val="ParaNumbering"/>
        <w:numPr>
          <w:ilvl w:val="0"/>
          <w:numId w:val="0"/>
        </w:numPr>
        <w:ind w:hanging="720"/>
      </w:pPr>
      <w:r>
        <w:rPr>
          <w:sz w:val="20"/>
        </w:rPr>
        <w:t>198</w:t>
      </w:r>
      <w:r>
        <w:rPr>
          <w:sz w:val="20"/>
        </w:rPr>
        <w:tab/>
      </w:r>
      <w:r w:rsidR="00BC64F4">
        <w:t xml:space="preserve">Now before proceeding further I should say that I have reviewed the recent decision of the High Court in </w:t>
      </w:r>
      <w:r w:rsidR="00BC64F4">
        <w:rPr>
          <w:i/>
        </w:rPr>
        <w:t xml:space="preserve">AZC20 v Minister for Immigration, Citizenship, Migrant Services and Multicultural Affairs </w:t>
      </w:r>
      <w:r w:rsidR="00BC64F4">
        <w:t>[2023] HCA 26.</w:t>
      </w:r>
    </w:p>
    <w:p w14:paraId="46A72B30" w14:textId="071FE17A" w:rsidR="00BC64F4" w:rsidRDefault="0071710E" w:rsidP="0071710E">
      <w:pPr>
        <w:pStyle w:val="ParaNumbering"/>
        <w:numPr>
          <w:ilvl w:val="0"/>
          <w:numId w:val="0"/>
        </w:numPr>
        <w:ind w:hanging="720"/>
      </w:pPr>
      <w:r>
        <w:rPr>
          <w:sz w:val="20"/>
        </w:rPr>
        <w:t>199</w:t>
      </w:r>
      <w:r>
        <w:rPr>
          <w:sz w:val="20"/>
        </w:rPr>
        <w:tab/>
      </w:r>
      <w:r w:rsidR="00BC64F4">
        <w:t xml:space="preserve">The ratio is straight-forward.  An intermediate appellate court exercising federal jurisdiction must satisfy itself that there is a matter before it, which matter may be different from that before the trial judge, but nevertheless must involve a live controversy over some immediate right, </w:t>
      </w:r>
      <w:proofErr w:type="gramStart"/>
      <w:r w:rsidR="00BC64F4">
        <w:t>duty</w:t>
      </w:r>
      <w:proofErr w:type="gramEnd"/>
      <w:r w:rsidR="00BC64F4">
        <w:t xml:space="preserve"> or liability.  The live controversy in the appellate context is almost always whether the orders of the trial judge the subject of appeal should have continuing effect.  But if they do not have continuing effect there can be no correlative controversy.  Of course, in most cases costs orders made below, which have continuing effect, are live issues on appeal.  Another related type of live controversy on appeal arises from the scenario where it is said that the trial judge should have made orders that he refused or neglected to make.  But all of this does not </w:t>
      </w:r>
      <w:r w:rsidR="00BC64F4" w:rsidRPr="008D1247">
        <w:t xml:space="preserve">touch and </w:t>
      </w:r>
      <w:r w:rsidR="00BC64F4">
        <w:t xml:space="preserve">concern us as we are exercising original jurisdiction rather than appellate jurisdiction. </w:t>
      </w:r>
    </w:p>
    <w:p w14:paraId="1630AD34" w14:textId="7D82345D" w:rsidR="00BC64F4" w:rsidRDefault="0071710E" w:rsidP="0071710E">
      <w:pPr>
        <w:pStyle w:val="ParaNumbering"/>
        <w:numPr>
          <w:ilvl w:val="0"/>
          <w:numId w:val="0"/>
        </w:numPr>
        <w:ind w:hanging="720"/>
      </w:pPr>
      <w:r>
        <w:rPr>
          <w:sz w:val="20"/>
        </w:rPr>
        <w:t>200</w:t>
      </w:r>
      <w:r>
        <w:rPr>
          <w:sz w:val="20"/>
        </w:rPr>
        <w:tab/>
      </w:r>
      <w:r w:rsidR="00BC64F4">
        <w:t xml:space="preserve">Further, rather than seeking to execute the judicial equivalent of a reverse somersault with triple-pike </w:t>
      </w:r>
      <w:proofErr w:type="spellStart"/>
      <w:r w:rsidR="00BC64F4">
        <w:t>maneuver</w:t>
      </w:r>
      <w:proofErr w:type="spellEnd"/>
      <w:r w:rsidR="00BC64F4">
        <w:t xml:space="preserve"> to reconcile or rationalise it, </w:t>
      </w:r>
      <w:proofErr w:type="spellStart"/>
      <w:r w:rsidR="00BC64F4">
        <w:rPr>
          <w:i/>
        </w:rPr>
        <w:t>Mellifont</w:t>
      </w:r>
      <w:proofErr w:type="spellEnd"/>
      <w:r w:rsidR="00BC64F4">
        <w:rPr>
          <w:i/>
        </w:rPr>
        <w:t xml:space="preserve"> v Attorney-General for the State of Queensland </w:t>
      </w:r>
      <w:r w:rsidR="00BC64F4">
        <w:t xml:space="preserve">(1991) 173 CLR 289 should be seen only for what it is, being the exercise of appellate jurisdiction by the High Court under s 73 of the Constitution where there is no “matter” requirement (as explained at [43] by Kiefel CJ and Gordon and Steward JJ, and at [93] by Edelman J). </w:t>
      </w:r>
    </w:p>
    <w:p w14:paraId="6471526B" w14:textId="11762BFD" w:rsidR="00BC64F4" w:rsidRDefault="0071710E" w:rsidP="0071710E">
      <w:pPr>
        <w:pStyle w:val="ParaNumbering"/>
        <w:numPr>
          <w:ilvl w:val="0"/>
          <w:numId w:val="0"/>
        </w:numPr>
        <w:ind w:hanging="720"/>
      </w:pPr>
      <w:r>
        <w:rPr>
          <w:sz w:val="20"/>
        </w:rPr>
        <w:t>201</w:t>
      </w:r>
      <w:r>
        <w:rPr>
          <w:sz w:val="20"/>
        </w:rPr>
        <w:tab/>
      </w:r>
      <w:r w:rsidR="00BC64F4">
        <w:t xml:space="preserve">Let me return to the context before us. </w:t>
      </w:r>
    </w:p>
    <w:p w14:paraId="6A73CB5B" w14:textId="368E7047" w:rsidR="00BC64F4" w:rsidRDefault="0071710E" w:rsidP="0071710E">
      <w:pPr>
        <w:pStyle w:val="ParaNumbering"/>
        <w:numPr>
          <w:ilvl w:val="0"/>
          <w:numId w:val="0"/>
        </w:numPr>
        <w:tabs>
          <w:tab w:val="left" w:pos="720"/>
        </w:tabs>
        <w:ind w:hanging="720"/>
        <w:rPr>
          <w:szCs w:val="24"/>
        </w:rPr>
      </w:pPr>
      <w:r>
        <w:rPr>
          <w:sz w:val="20"/>
          <w:szCs w:val="24"/>
        </w:rPr>
        <w:t>202</w:t>
      </w:r>
      <w:r>
        <w:rPr>
          <w:sz w:val="20"/>
          <w:szCs w:val="24"/>
        </w:rPr>
        <w:tab/>
      </w:r>
      <w:r w:rsidR="00BC64F4" w:rsidRPr="00B55042">
        <w:rPr>
          <w:szCs w:val="24"/>
        </w:rPr>
        <w:t>In this Court, jurisdiction is express, first</w:t>
      </w:r>
      <w:r w:rsidR="00BC64F4">
        <w:rPr>
          <w:szCs w:val="24"/>
        </w:rPr>
        <w:t>,</w:t>
      </w:r>
      <w:r w:rsidR="00BC64F4" w:rsidRPr="00B55042">
        <w:rPr>
          <w:szCs w:val="24"/>
        </w:rPr>
        <w:t xml:space="preserve"> as to subject matter</w:t>
      </w:r>
      <w:r w:rsidR="00BC64F4">
        <w:rPr>
          <w:szCs w:val="24"/>
        </w:rPr>
        <w:t>,</w:t>
      </w:r>
      <w:r w:rsidR="00BC64F4" w:rsidRPr="00B55042">
        <w:rPr>
          <w:szCs w:val="24"/>
        </w:rPr>
        <w:t xml:space="preserve"> and second</w:t>
      </w:r>
      <w:r w:rsidR="00BC64F4">
        <w:rPr>
          <w:szCs w:val="24"/>
        </w:rPr>
        <w:t>,</w:t>
      </w:r>
      <w:r w:rsidR="00BC64F4" w:rsidRPr="00B55042">
        <w:rPr>
          <w:szCs w:val="24"/>
        </w:rPr>
        <w:t xml:space="preserve"> as to the intermediate issues </w:t>
      </w:r>
      <w:r w:rsidR="00BC64F4" w:rsidRPr="00852E57">
        <w:rPr>
          <w:iCs/>
          <w:szCs w:val="24"/>
        </w:rPr>
        <w:t>and interlocutory disputes</w:t>
      </w:r>
      <w:r w:rsidR="00BC64F4" w:rsidRPr="00B55042">
        <w:rPr>
          <w:i/>
          <w:iCs/>
          <w:szCs w:val="24"/>
        </w:rPr>
        <w:t xml:space="preserve"> </w:t>
      </w:r>
      <w:r w:rsidR="00BC64F4" w:rsidRPr="00B55042">
        <w:rPr>
          <w:szCs w:val="24"/>
        </w:rPr>
        <w:t xml:space="preserve">that arise </w:t>
      </w:r>
      <w:proofErr w:type="gramStart"/>
      <w:r w:rsidR="00BC64F4" w:rsidRPr="00B55042">
        <w:rPr>
          <w:szCs w:val="24"/>
        </w:rPr>
        <w:t>in the course of</w:t>
      </w:r>
      <w:proofErr w:type="gramEnd"/>
      <w:r w:rsidR="00BC64F4" w:rsidRPr="00B55042">
        <w:rPr>
          <w:szCs w:val="24"/>
        </w:rPr>
        <w:t xml:space="preserve"> the controversy. </w:t>
      </w:r>
      <w:r w:rsidR="00BC64F4">
        <w:rPr>
          <w:szCs w:val="24"/>
        </w:rPr>
        <w:t>T</w:t>
      </w:r>
      <w:r w:rsidR="00BC64F4" w:rsidRPr="00B55042">
        <w:rPr>
          <w:szCs w:val="24"/>
        </w:rPr>
        <w:t xml:space="preserve">here is also an implied jurisdiction.  </w:t>
      </w:r>
      <w:r w:rsidR="00BC64F4">
        <w:rPr>
          <w:szCs w:val="24"/>
        </w:rPr>
        <w:t xml:space="preserve">For present purposes I do not need to say anything about the Court’s associated jurisdiction or accrued jurisdiction. </w:t>
      </w:r>
    </w:p>
    <w:p w14:paraId="774D3EE4" w14:textId="2D948A68" w:rsidR="00BC64F4" w:rsidRDefault="0071710E" w:rsidP="0071710E">
      <w:pPr>
        <w:pStyle w:val="ParaNumbering"/>
        <w:numPr>
          <w:ilvl w:val="0"/>
          <w:numId w:val="0"/>
        </w:numPr>
        <w:tabs>
          <w:tab w:val="left" w:pos="720"/>
        </w:tabs>
        <w:ind w:hanging="720"/>
        <w:rPr>
          <w:szCs w:val="24"/>
        </w:rPr>
      </w:pPr>
      <w:r>
        <w:rPr>
          <w:sz w:val="20"/>
          <w:szCs w:val="24"/>
        </w:rPr>
        <w:t>203</w:t>
      </w:r>
      <w:r>
        <w:rPr>
          <w:sz w:val="20"/>
          <w:szCs w:val="24"/>
        </w:rPr>
        <w:tab/>
      </w:r>
      <w:r w:rsidR="00BC64F4">
        <w:rPr>
          <w:szCs w:val="24"/>
        </w:rPr>
        <w:t>O</w:t>
      </w:r>
      <w:r w:rsidR="00BC64F4" w:rsidRPr="00B55042">
        <w:rPr>
          <w:szCs w:val="24"/>
        </w:rPr>
        <w:t>nce jurisdiction is established</w:t>
      </w:r>
      <w:r w:rsidR="00BC64F4">
        <w:rPr>
          <w:szCs w:val="24"/>
        </w:rPr>
        <w:t>,</w:t>
      </w:r>
      <w:r w:rsidR="00BC64F4" w:rsidRPr="00B55042">
        <w:rPr>
          <w:szCs w:val="24"/>
        </w:rPr>
        <w:t xml:space="preserve"> then subordinate questions arise as to whether or how it is exercised, that is, power, and finally discretion. </w:t>
      </w:r>
      <w:r w:rsidR="00BC64F4">
        <w:rPr>
          <w:szCs w:val="24"/>
        </w:rPr>
        <w:t xml:space="preserve"> </w:t>
      </w:r>
      <w:r w:rsidR="00BC64F4" w:rsidRPr="00B55042">
        <w:rPr>
          <w:szCs w:val="24"/>
        </w:rPr>
        <w:t xml:space="preserve">But the constitutional question of matter is not to be revisited for every intermediate question of fact </w:t>
      </w:r>
      <w:r w:rsidR="00BC64F4">
        <w:rPr>
          <w:szCs w:val="24"/>
        </w:rPr>
        <w:t xml:space="preserve">or law that arises, and nor for the myriad interlocutory issues </w:t>
      </w:r>
      <w:r w:rsidR="00BC64F4" w:rsidRPr="00B55042">
        <w:rPr>
          <w:szCs w:val="24"/>
        </w:rPr>
        <w:t xml:space="preserve">including case management steps that might be necessary or appropriate to address on the way to trial or final orders. </w:t>
      </w:r>
      <w:r w:rsidR="00BC64F4">
        <w:rPr>
          <w:szCs w:val="24"/>
        </w:rPr>
        <w:t xml:space="preserve"> </w:t>
      </w:r>
      <w:r w:rsidR="00BC64F4" w:rsidRPr="00B55042">
        <w:rPr>
          <w:szCs w:val="24"/>
        </w:rPr>
        <w:t xml:space="preserve">Once there is a matter in this Court, the Court can deal with all issues that arise </w:t>
      </w:r>
      <w:proofErr w:type="gramStart"/>
      <w:r w:rsidR="00BC64F4" w:rsidRPr="00B55042">
        <w:rPr>
          <w:szCs w:val="24"/>
        </w:rPr>
        <w:t>in the course of</w:t>
      </w:r>
      <w:proofErr w:type="gramEnd"/>
      <w:r w:rsidR="00BC64F4" w:rsidRPr="00B55042">
        <w:rPr>
          <w:szCs w:val="24"/>
        </w:rPr>
        <w:t xml:space="preserve"> its resolution, including all case management issues.</w:t>
      </w:r>
    </w:p>
    <w:p w14:paraId="6972B30D" w14:textId="6AADEE1C" w:rsidR="00BC64F4" w:rsidRPr="00B55042" w:rsidRDefault="0071710E" w:rsidP="0071710E">
      <w:pPr>
        <w:pStyle w:val="ParaNumbering"/>
        <w:numPr>
          <w:ilvl w:val="0"/>
          <w:numId w:val="0"/>
        </w:numPr>
        <w:tabs>
          <w:tab w:val="left" w:pos="720"/>
        </w:tabs>
        <w:ind w:hanging="720"/>
        <w:rPr>
          <w:szCs w:val="24"/>
        </w:rPr>
      </w:pPr>
      <w:r w:rsidRPr="00B55042">
        <w:rPr>
          <w:sz w:val="20"/>
          <w:szCs w:val="24"/>
        </w:rPr>
        <w:t>204</w:t>
      </w:r>
      <w:r w:rsidRPr="00B55042">
        <w:rPr>
          <w:sz w:val="20"/>
          <w:szCs w:val="24"/>
        </w:rPr>
        <w:tab/>
      </w:r>
      <w:r w:rsidR="00BC64F4">
        <w:rPr>
          <w:szCs w:val="24"/>
        </w:rPr>
        <w:t>Now there is no</w:t>
      </w:r>
      <w:r w:rsidR="00BC64F4" w:rsidRPr="00B55042">
        <w:rPr>
          <w:szCs w:val="24"/>
        </w:rPr>
        <w:t xml:space="preserve"> dispute that the underlying claims </w:t>
      </w:r>
      <w:r w:rsidR="00BC64F4">
        <w:rPr>
          <w:szCs w:val="24"/>
        </w:rPr>
        <w:t xml:space="preserve">in the proceeding </w:t>
      </w:r>
      <w:r w:rsidR="00BC64F4" w:rsidRPr="00B55042">
        <w:rPr>
          <w:szCs w:val="24"/>
        </w:rPr>
        <w:t xml:space="preserve">give rise to an immediate controversy in which this Court has subject-matter </w:t>
      </w:r>
      <w:proofErr w:type="gramStart"/>
      <w:r w:rsidR="00BC64F4" w:rsidRPr="00B55042">
        <w:rPr>
          <w:szCs w:val="24"/>
        </w:rPr>
        <w:t>jurisdiction</w:t>
      </w:r>
      <w:proofErr w:type="gramEnd"/>
      <w:r w:rsidR="00BC64F4" w:rsidRPr="00B55042">
        <w:rPr>
          <w:szCs w:val="24"/>
        </w:rPr>
        <w:t xml:space="preserve"> and which otherwise satisfies the test for a matter. </w:t>
      </w:r>
      <w:r w:rsidR="00BC64F4">
        <w:rPr>
          <w:szCs w:val="24"/>
        </w:rPr>
        <w:t xml:space="preserve"> </w:t>
      </w:r>
      <w:r w:rsidR="00BC64F4" w:rsidRPr="00B55042">
        <w:rPr>
          <w:szCs w:val="24"/>
        </w:rPr>
        <w:t xml:space="preserve">Rather, the question raised is whether the controversy over the </w:t>
      </w:r>
      <w:r w:rsidR="00BC64F4">
        <w:rPr>
          <w:szCs w:val="24"/>
        </w:rPr>
        <w:t xml:space="preserve">choice between the two proceedings </w:t>
      </w:r>
      <w:r w:rsidR="00BC64F4" w:rsidRPr="00B55042">
        <w:rPr>
          <w:szCs w:val="24"/>
        </w:rPr>
        <w:t>and over the content of the notices to group members, and within those controversies the spe</w:t>
      </w:r>
      <w:r w:rsidR="00BC64F4">
        <w:rPr>
          <w:szCs w:val="24"/>
        </w:rPr>
        <w:t xml:space="preserve">cific </w:t>
      </w:r>
      <w:r w:rsidR="00BC64F4" w:rsidRPr="00B55042">
        <w:rPr>
          <w:szCs w:val="24"/>
        </w:rPr>
        <w:t>issue of</w:t>
      </w:r>
      <w:r w:rsidR="00BC64F4">
        <w:rPr>
          <w:szCs w:val="24"/>
        </w:rPr>
        <w:t xml:space="preserve"> the power under s 33</w:t>
      </w:r>
      <w:proofErr w:type="gramStart"/>
      <w:r w:rsidR="00BC64F4">
        <w:rPr>
          <w:szCs w:val="24"/>
        </w:rPr>
        <w:t>V(</w:t>
      </w:r>
      <w:proofErr w:type="gramEnd"/>
      <w:r w:rsidR="00BC64F4">
        <w:rPr>
          <w:szCs w:val="24"/>
        </w:rPr>
        <w:t>2) to make a settlement CFO,</w:t>
      </w:r>
      <w:r w:rsidR="00BC64F4" w:rsidRPr="00B55042">
        <w:rPr>
          <w:szCs w:val="24"/>
        </w:rPr>
        <w:t xml:space="preserve"> are within the scope of the underlying constitutional matter.</w:t>
      </w:r>
    </w:p>
    <w:p w14:paraId="704BEE3C" w14:textId="4E81F557" w:rsidR="00BC64F4" w:rsidRPr="000A41D0" w:rsidRDefault="0071710E" w:rsidP="0071710E">
      <w:pPr>
        <w:pStyle w:val="ParaNumbering"/>
        <w:numPr>
          <w:ilvl w:val="0"/>
          <w:numId w:val="0"/>
        </w:numPr>
        <w:tabs>
          <w:tab w:val="left" w:pos="720"/>
        </w:tabs>
        <w:ind w:hanging="720"/>
        <w:rPr>
          <w:szCs w:val="24"/>
        </w:rPr>
      </w:pPr>
      <w:r w:rsidRPr="000A41D0">
        <w:rPr>
          <w:sz w:val="20"/>
          <w:szCs w:val="24"/>
        </w:rPr>
        <w:t>205</w:t>
      </w:r>
      <w:r w:rsidRPr="000A41D0">
        <w:rPr>
          <w:sz w:val="20"/>
          <w:szCs w:val="24"/>
        </w:rPr>
        <w:tab/>
      </w:r>
      <w:r w:rsidR="00BC64F4" w:rsidRPr="00F02182">
        <w:rPr>
          <w:szCs w:val="24"/>
        </w:rPr>
        <w:t>The underlying constitutional matter</w:t>
      </w:r>
      <w:r w:rsidR="00BC64F4">
        <w:rPr>
          <w:szCs w:val="24"/>
        </w:rPr>
        <w:t xml:space="preserve"> encompassing the </w:t>
      </w:r>
      <w:r w:rsidR="00BC64F4" w:rsidRPr="00F02182">
        <w:rPr>
          <w:szCs w:val="24"/>
        </w:rPr>
        <w:t xml:space="preserve">claims </w:t>
      </w:r>
      <w:r w:rsidR="00BC64F4">
        <w:rPr>
          <w:szCs w:val="24"/>
        </w:rPr>
        <w:t xml:space="preserve">made in the Elliott Carde proceeding, </w:t>
      </w:r>
      <w:r w:rsidR="00BC64F4" w:rsidRPr="00F02182">
        <w:rPr>
          <w:szCs w:val="24"/>
        </w:rPr>
        <w:t>has given rise to two subordinat</w:t>
      </w:r>
      <w:r w:rsidR="00BC64F4">
        <w:rPr>
          <w:szCs w:val="24"/>
        </w:rPr>
        <w:t>e but immediate controversies, being f</w:t>
      </w:r>
      <w:r w:rsidR="00BC64F4" w:rsidRPr="00F02182">
        <w:rPr>
          <w:szCs w:val="24"/>
        </w:rPr>
        <w:t xml:space="preserve">irst as to the valid comparison between </w:t>
      </w:r>
      <w:r w:rsidR="00BC64F4">
        <w:rPr>
          <w:szCs w:val="24"/>
        </w:rPr>
        <w:t xml:space="preserve">the </w:t>
      </w:r>
      <w:r w:rsidR="00BC64F4" w:rsidRPr="00F02182">
        <w:rPr>
          <w:szCs w:val="24"/>
        </w:rPr>
        <w:t xml:space="preserve">competing proceedings </w:t>
      </w:r>
      <w:r w:rsidR="00BC64F4">
        <w:rPr>
          <w:szCs w:val="24"/>
        </w:rPr>
        <w:t xml:space="preserve">involving a consideration of the different funding models, </w:t>
      </w:r>
      <w:r w:rsidR="00BC64F4" w:rsidRPr="00F02182">
        <w:rPr>
          <w:szCs w:val="24"/>
        </w:rPr>
        <w:t>and second as to the appropriate content of a notice to class members.</w:t>
      </w:r>
      <w:r w:rsidR="00BC64F4">
        <w:rPr>
          <w:szCs w:val="24"/>
        </w:rPr>
        <w:t xml:space="preserve">  </w:t>
      </w:r>
      <w:r w:rsidR="00BC64F4" w:rsidRPr="000A41D0">
        <w:rPr>
          <w:szCs w:val="24"/>
        </w:rPr>
        <w:t xml:space="preserve">Those controversies arise </w:t>
      </w:r>
      <w:proofErr w:type="gramStart"/>
      <w:r w:rsidR="00BC64F4" w:rsidRPr="000A41D0">
        <w:rPr>
          <w:szCs w:val="24"/>
        </w:rPr>
        <w:t>in the course of</w:t>
      </w:r>
      <w:proofErr w:type="gramEnd"/>
      <w:r w:rsidR="00BC64F4" w:rsidRPr="000A41D0">
        <w:rPr>
          <w:szCs w:val="24"/>
        </w:rPr>
        <w:t xml:space="preserve"> readying the underlying matter for final determination.  The conduct of the proceeding in a manner consistent with Part IVA, and in particular reflecting the Court’s responsibility to safeguard the interests of the class members, requires that the controversies be resolved now. </w:t>
      </w:r>
      <w:r w:rsidR="00BC64F4">
        <w:rPr>
          <w:szCs w:val="24"/>
        </w:rPr>
        <w:t>And i</w:t>
      </w:r>
      <w:r w:rsidR="00BC64F4" w:rsidRPr="000A41D0">
        <w:rPr>
          <w:szCs w:val="24"/>
        </w:rPr>
        <w:t xml:space="preserve">nherent in both controversies is the question whether the assumption that the Court even has power to make the CFO order contemplated by the funding model and the proposed notices is correct.  That question has real, </w:t>
      </w:r>
      <w:proofErr w:type="gramStart"/>
      <w:r w:rsidR="00BC64F4" w:rsidRPr="000A41D0">
        <w:rPr>
          <w:szCs w:val="24"/>
        </w:rPr>
        <w:t>immediate</w:t>
      </w:r>
      <w:proofErr w:type="gramEnd"/>
      <w:r w:rsidR="00BC64F4" w:rsidRPr="000A41D0">
        <w:rPr>
          <w:szCs w:val="24"/>
        </w:rPr>
        <w:t xml:space="preserve"> and unavoidable consequences for both of the controversies presently before the docket judge. </w:t>
      </w:r>
    </w:p>
    <w:p w14:paraId="2BFF5EF2" w14:textId="344ECFAD" w:rsidR="00BC64F4" w:rsidRPr="00FA5506" w:rsidRDefault="0071710E" w:rsidP="0071710E">
      <w:pPr>
        <w:pStyle w:val="ParaNumbering"/>
        <w:numPr>
          <w:ilvl w:val="0"/>
          <w:numId w:val="0"/>
        </w:numPr>
        <w:tabs>
          <w:tab w:val="left" w:pos="720"/>
        </w:tabs>
        <w:ind w:hanging="720"/>
      </w:pPr>
      <w:r w:rsidRPr="00FA5506">
        <w:rPr>
          <w:sz w:val="20"/>
        </w:rPr>
        <w:t>206</w:t>
      </w:r>
      <w:r w:rsidRPr="00FA5506">
        <w:rPr>
          <w:sz w:val="20"/>
        </w:rPr>
        <w:tab/>
      </w:r>
      <w:r w:rsidR="00BC64F4">
        <w:t>Now i</w:t>
      </w:r>
      <w:r w:rsidR="00BC64F4" w:rsidRPr="00FA5506">
        <w:t xml:space="preserve">n the </w:t>
      </w:r>
      <w:r w:rsidR="00BC64F4" w:rsidRPr="000A41D0">
        <w:rPr>
          <w:iCs/>
        </w:rPr>
        <w:t xml:space="preserve">SDA </w:t>
      </w:r>
      <w:r w:rsidR="00BC64F4" w:rsidRPr="00D4574A">
        <w:t>proceeding</w:t>
      </w:r>
      <w:r w:rsidR="00BC64F4" w:rsidRPr="00FA5506">
        <w:t xml:space="preserve">, the Court has before it an application for a stay of the </w:t>
      </w:r>
      <w:r w:rsidR="00BC64F4" w:rsidRPr="00497407">
        <w:rPr>
          <w:iCs/>
        </w:rPr>
        <w:t>Elliott-Carde</w:t>
      </w:r>
      <w:r w:rsidR="00BC64F4" w:rsidRPr="00FA5506">
        <w:t xml:space="preserve"> proceeding. </w:t>
      </w:r>
      <w:r w:rsidR="00BC64F4">
        <w:t xml:space="preserve"> </w:t>
      </w:r>
      <w:r w:rsidR="00BC64F4" w:rsidRPr="00FA5506">
        <w:t>In determining the stay application, one of the relevant factors that may be considered is the comparative position of group members as between the two proceedings</w:t>
      </w:r>
      <w:r w:rsidR="00BC64F4">
        <w:t xml:space="preserve"> i</w:t>
      </w:r>
      <w:r w:rsidR="00BC64F4" w:rsidRPr="00D4574A">
        <w:rPr>
          <w:szCs w:val="24"/>
        </w:rPr>
        <w:t xml:space="preserve">n the context of a stay </w:t>
      </w:r>
      <w:r w:rsidR="00BC64F4">
        <w:rPr>
          <w:szCs w:val="24"/>
        </w:rPr>
        <w:t>of one of the</w:t>
      </w:r>
      <w:r w:rsidR="00BC64F4" w:rsidRPr="00D4574A">
        <w:rPr>
          <w:szCs w:val="24"/>
        </w:rPr>
        <w:t xml:space="preserve"> proceedings</w:t>
      </w:r>
      <w:r w:rsidR="00BC64F4">
        <w:rPr>
          <w:szCs w:val="24"/>
        </w:rPr>
        <w:t>.  T</w:t>
      </w:r>
      <w:r w:rsidR="00BC64F4" w:rsidRPr="00FA5506">
        <w:t xml:space="preserve">he difference in litigation funding models as between the two proceedings is squarely raised as a factor by the Minister for Employment and Workplace Relations intervening </w:t>
      </w:r>
      <w:r w:rsidR="00BC64F4">
        <w:t>on</w:t>
      </w:r>
      <w:r w:rsidR="00BC64F4" w:rsidRPr="00FA5506">
        <w:t xml:space="preserve"> the stay </w:t>
      </w:r>
      <w:r w:rsidR="00BC64F4">
        <w:t>question.</w:t>
      </w:r>
      <w:r w:rsidR="00BC64F4" w:rsidRPr="00FA5506">
        <w:t xml:space="preserve">  The question whether a court has power to make a </w:t>
      </w:r>
      <w:r w:rsidR="00BC64F4">
        <w:t>s</w:t>
      </w:r>
      <w:r w:rsidR="00BC64F4" w:rsidRPr="00FA5506">
        <w:t xml:space="preserve">ettlement CFO in the </w:t>
      </w:r>
      <w:r w:rsidR="00BC64F4">
        <w:t>Elliott-Carde</w:t>
      </w:r>
      <w:r w:rsidR="00BC64F4" w:rsidRPr="00FA5506">
        <w:t xml:space="preserve"> proceeding, which may in turn affect the damages group members receive</w:t>
      </w:r>
      <w:r w:rsidR="00BC64F4">
        <w:t xml:space="preserve"> </w:t>
      </w:r>
      <w:r w:rsidR="00BC64F4" w:rsidRPr="00FA5506">
        <w:t>in hand, is therefore significant as part of that assessment.</w:t>
      </w:r>
    </w:p>
    <w:p w14:paraId="7EEA3A29" w14:textId="11CB036B" w:rsidR="00BC64F4" w:rsidRPr="00A52534" w:rsidRDefault="0071710E" w:rsidP="0071710E">
      <w:pPr>
        <w:pStyle w:val="ParaNumbering"/>
        <w:numPr>
          <w:ilvl w:val="0"/>
          <w:numId w:val="0"/>
        </w:numPr>
        <w:tabs>
          <w:tab w:val="left" w:pos="720"/>
        </w:tabs>
        <w:ind w:hanging="720"/>
        <w:rPr>
          <w:szCs w:val="24"/>
        </w:rPr>
      </w:pPr>
      <w:r w:rsidRPr="00A52534">
        <w:rPr>
          <w:sz w:val="20"/>
          <w:szCs w:val="24"/>
        </w:rPr>
        <w:t>207</w:t>
      </w:r>
      <w:r w:rsidRPr="00A52534">
        <w:rPr>
          <w:sz w:val="20"/>
          <w:szCs w:val="24"/>
        </w:rPr>
        <w:tab/>
      </w:r>
      <w:r w:rsidR="00BC64F4" w:rsidRPr="00F53E26">
        <w:rPr>
          <w:szCs w:val="24"/>
        </w:rPr>
        <w:t>Central to that argument are the different funding arrangements in the various proceedings</w:t>
      </w:r>
      <w:r w:rsidR="00BC64F4">
        <w:rPr>
          <w:szCs w:val="24"/>
        </w:rPr>
        <w:t xml:space="preserve">.  </w:t>
      </w:r>
      <w:r w:rsidR="00BC64F4" w:rsidRPr="00A52534">
        <w:rPr>
          <w:szCs w:val="24"/>
        </w:rPr>
        <w:t xml:space="preserve">The SDA has undertaken that it will not seek to deduct in the SDA proceeding its costs from any amounts recovered on behalf of the affected workers. </w:t>
      </w:r>
      <w:r w:rsidR="00BC64F4">
        <w:rPr>
          <w:szCs w:val="24"/>
        </w:rPr>
        <w:t xml:space="preserve"> </w:t>
      </w:r>
      <w:r w:rsidR="00BC64F4" w:rsidRPr="00A52534">
        <w:rPr>
          <w:szCs w:val="24"/>
        </w:rPr>
        <w:t>Contrastingly, the applicants in the Elliott-Carde proceeding</w:t>
      </w:r>
      <w:r w:rsidR="00BC64F4">
        <w:rPr>
          <w:szCs w:val="24"/>
        </w:rPr>
        <w:t>, which is externally funded,</w:t>
      </w:r>
      <w:r w:rsidR="00BC64F4" w:rsidRPr="00A52534">
        <w:rPr>
          <w:szCs w:val="24"/>
        </w:rPr>
        <w:t xml:space="preserve"> intend to apply for a CFO if a settlement is reached or they succeed at final hearing.  If a CFO is ultimately made, a portion of any amounts recovered on behalf of the affected workers will be applied toward payment of remuneration to the funder.</w:t>
      </w:r>
    </w:p>
    <w:p w14:paraId="7AC62556" w14:textId="3EE928B2" w:rsidR="00BC64F4" w:rsidRPr="00F53E26" w:rsidRDefault="0071710E" w:rsidP="0071710E">
      <w:pPr>
        <w:pStyle w:val="ParaNumbering"/>
        <w:numPr>
          <w:ilvl w:val="0"/>
          <w:numId w:val="0"/>
        </w:numPr>
        <w:tabs>
          <w:tab w:val="left" w:pos="720"/>
        </w:tabs>
        <w:ind w:hanging="720"/>
        <w:rPr>
          <w:szCs w:val="24"/>
        </w:rPr>
      </w:pPr>
      <w:r w:rsidRPr="00F53E26">
        <w:rPr>
          <w:sz w:val="20"/>
          <w:szCs w:val="24"/>
        </w:rPr>
        <w:t>208</w:t>
      </w:r>
      <w:r w:rsidRPr="00F53E26">
        <w:rPr>
          <w:sz w:val="20"/>
          <w:szCs w:val="24"/>
        </w:rPr>
        <w:tab/>
      </w:r>
      <w:r w:rsidR="00BC64F4" w:rsidRPr="00F53E26">
        <w:rPr>
          <w:szCs w:val="24"/>
        </w:rPr>
        <w:t xml:space="preserve">In these circumstances, the question of whether the funding model contemplated by the </w:t>
      </w:r>
      <w:r w:rsidR="00BC64F4">
        <w:rPr>
          <w:szCs w:val="24"/>
        </w:rPr>
        <w:t xml:space="preserve">applicants in the Elliott-Carde proceeding </w:t>
      </w:r>
      <w:r w:rsidR="00BC64F4" w:rsidRPr="00F53E26">
        <w:rPr>
          <w:szCs w:val="24"/>
        </w:rPr>
        <w:t xml:space="preserve">is even possible is central to the comparison the Court is required to undertake. </w:t>
      </w:r>
      <w:r w:rsidR="00BC64F4">
        <w:rPr>
          <w:szCs w:val="24"/>
        </w:rPr>
        <w:t xml:space="preserve"> </w:t>
      </w:r>
      <w:r w:rsidR="00BC64F4" w:rsidRPr="00F53E26">
        <w:rPr>
          <w:szCs w:val="24"/>
        </w:rPr>
        <w:t xml:space="preserve">If there is no power </w:t>
      </w:r>
      <w:r w:rsidR="00BC64F4" w:rsidRPr="00852E57">
        <w:rPr>
          <w:iCs/>
          <w:szCs w:val="24"/>
        </w:rPr>
        <w:t>ever</w:t>
      </w:r>
      <w:r w:rsidR="00BC64F4" w:rsidRPr="00F53E26">
        <w:rPr>
          <w:i/>
          <w:iCs/>
          <w:szCs w:val="24"/>
        </w:rPr>
        <w:t xml:space="preserve"> </w:t>
      </w:r>
      <w:r w:rsidR="00BC64F4" w:rsidRPr="00F53E26">
        <w:rPr>
          <w:szCs w:val="24"/>
        </w:rPr>
        <w:t>to make a CFO then the calculus is necessarily and materially different.</w:t>
      </w:r>
    </w:p>
    <w:p w14:paraId="1E934A8E" w14:textId="7601D22E" w:rsidR="00BC64F4" w:rsidRPr="00F53E26" w:rsidRDefault="0071710E" w:rsidP="0071710E">
      <w:pPr>
        <w:pStyle w:val="ParaNumbering"/>
        <w:numPr>
          <w:ilvl w:val="0"/>
          <w:numId w:val="0"/>
        </w:numPr>
        <w:tabs>
          <w:tab w:val="left" w:pos="720"/>
        </w:tabs>
        <w:ind w:hanging="720"/>
        <w:rPr>
          <w:szCs w:val="24"/>
        </w:rPr>
      </w:pPr>
      <w:r w:rsidRPr="00F53E26">
        <w:rPr>
          <w:sz w:val="20"/>
          <w:szCs w:val="24"/>
        </w:rPr>
        <w:t>209</w:t>
      </w:r>
      <w:r w:rsidRPr="00F53E26">
        <w:rPr>
          <w:sz w:val="20"/>
          <w:szCs w:val="24"/>
        </w:rPr>
        <w:tab/>
      </w:r>
      <w:r w:rsidR="00BC64F4">
        <w:rPr>
          <w:szCs w:val="24"/>
        </w:rPr>
        <w:t xml:space="preserve">Further, the suggestion that the question of a CFO power is </w:t>
      </w:r>
      <w:r w:rsidR="00BC64F4" w:rsidRPr="00F53E26">
        <w:rPr>
          <w:szCs w:val="24"/>
        </w:rPr>
        <w:t>neither significant nor essential to the disp</w:t>
      </w:r>
      <w:r w:rsidR="00BC64F4">
        <w:rPr>
          <w:szCs w:val="24"/>
        </w:rPr>
        <w:t>osition of the stay application</w:t>
      </w:r>
      <w:r w:rsidR="00BC64F4" w:rsidRPr="00F53E26">
        <w:rPr>
          <w:szCs w:val="24"/>
        </w:rPr>
        <w:t xml:space="preserve"> is untenable. </w:t>
      </w:r>
    </w:p>
    <w:p w14:paraId="139FFC3C" w14:textId="66701C7D" w:rsidR="00BC64F4" w:rsidRPr="00F53E26" w:rsidRDefault="0071710E" w:rsidP="0071710E">
      <w:pPr>
        <w:pStyle w:val="ParaNumbering"/>
        <w:numPr>
          <w:ilvl w:val="0"/>
          <w:numId w:val="0"/>
        </w:numPr>
        <w:tabs>
          <w:tab w:val="left" w:pos="720"/>
        </w:tabs>
        <w:ind w:hanging="720"/>
        <w:rPr>
          <w:szCs w:val="24"/>
        </w:rPr>
      </w:pPr>
      <w:r w:rsidRPr="00F53E26">
        <w:rPr>
          <w:sz w:val="20"/>
          <w:szCs w:val="24"/>
        </w:rPr>
        <w:t>210</w:t>
      </w:r>
      <w:r w:rsidRPr="00F53E26">
        <w:rPr>
          <w:sz w:val="20"/>
          <w:szCs w:val="24"/>
        </w:rPr>
        <w:tab/>
      </w:r>
      <w:r w:rsidR="00BC64F4" w:rsidRPr="00F53E26">
        <w:rPr>
          <w:szCs w:val="24"/>
        </w:rPr>
        <w:t>First, the touchstone for deter</w:t>
      </w:r>
      <w:r w:rsidR="00BC64F4">
        <w:rPr>
          <w:szCs w:val="24"/>
        </w:rPr>
        <w:t xml:space="preserve">mining the stay application is </w:t>
      </w:r>
      <w:r w:rsidR="00BC64F4" w:rsidRPr="00F53E26">
        <w:rPr>
          <w:szCs w:val="24"/>
        </w:rPr>
        <w:t>the interests of justice</w:t>
      </w:r>
      <w:r w:rsidR="00BC64F4">
        <w:rPr>
          <w:szCs w:val="24"/>
        </w:rPr>
        <w:t>. That calls for a</w:t>
      </w:r>
      <w:r w:rsidR="00BC64F4" w:rsidRPr="00F53E26">
        <w:rPr>
          <w:szCs w:val="24"/>
        </w:rPr>
        <w:t xml:space="preserve"> consideration of the relative positions of the affected workers</w:t>
      </w:r>
      <w:r w:rsidR="00BC64F4">
        <w:rPr>
          <w:szCs w:val="24"/>
        </w:rPr>
        <w:t xml:space="preserve"> under the competing proposals.  </w:t>
      </w:r>
      <w:r w:rsidR="00BC64F4" w:rsidRPr="00F53E26">
        <w:rPr>
          <w:szCs w:val="24"/>
        </w:rPr>
        <w:t>In terms of the</w:t>
      </w:r>
      <w:r w:rsidR="00BC64F4" w:rsidRPr="00644B2B">
        <w:rPr>
          <w:szCs w:val="24"/>
        </w:rPr>
        <w:t xml:space="preserve"> </w:t>
      </w:r>
      <w:r w:rsidR="00BC64F4" w:rsidRPr="00644B2B">
        <w:rPr>
          <w:iCs/>
          <w:szCs w:val="24"/>
        </w:rPr>
        <w:t>financial</w:t>
      </w:r>
      <w:r w:rsidR="00BC64F4" w:rsidRPr="00F53E26">
        <w:rPr>
          <w:i/>
          <w:iCs/>
          <w:szCs w:val="24"/>
        </w:rPr>
        <w:t xml:space="preserve"> </w:t>
      </w:r>
      <w:r w:rsidR="00BC64F4" w:rsidRPr="00F53E26">
        <w:rPr>
          <w:szCs w:val="24"/>
        </w:rPr>
        <w:t>comparison, the proposal</w:t>
      </w:r>
      <w:r w:rsidR="00BC64F4" w:rsidRPr="00644B2B">
        <w:rPr>
          <w:szCs w:val="24"/>
        </w:rPr>
        <w:t xml:space="preserve"> </w:t>
      </w:r>
      <w:r w:rsidR="00BC64F4">
        <w:rPr>
          <w:szCs w:val="24"/>
        </w:rPr>
        <w:t xml:space="preserve">in the Elliott-Carde proceeding </w:t>
      </w:r>
      <w:r w:rsidR="00BC64F4" w:rsidRPr="00644B2B">
        <w:rPr>
          <w:iCs/>
          <w:szCs w:val="24"/>
        </w:rPr>
        <w:t>is</w:t>
      </w:r>
      <w:r w:rsidR="00BC64F4" w:rsidRPr="00F53E26">
        <w:rPr>
          <w:i/>
          <w:iCs/>
          <w:szCs w:val="24"/>
        </w:rPr>
        <w:t xml:space="preserve"> </w:t>
      </w:r>
      <w:r w:rsidR="00BC64F4" w:rsidRPr="00F53E26">
        <w:rPr>
          <w:szCs w:val="24"/>
        </w:rPr>
        <w:t xml:space="preserve">the CFO. </w:t>
      </w:r>
    </w:p>
    <w:p w14:paraId="7B9C4AAE" w14:textId="40505F98" w:rsidR="00BC64F4" w:rsidRPr="00F53E26" w:rsidRDefault="0071710E" w:rsidP="0071710E">
      <w:pPr>
        <w:pStyle w:val="ParaNumbering"/>
        <w:numPr>
          <w:ilvl w:val="0"/>
          <w:numId w:val="0"/>
        </w:numPr>
        <w:tabs>
          <w:tab w:val="left" w:pos="720"/>
        </w:tabs>
        <w:ind w:hanging="720"/>
        <w:rPr>
          <w:szCs w:val="24"/>
        </w:rPr>
      </w:pPr>
      <w:r w:rsidRPr="00F53E26">
        <w:rPr>
          <w:sz w:val="20"/>
          <w:szCs w:val="24"/>
        </w:rPr>
        <w:t>211</w:t>
      </w:r>
      <w:r w:rsidRPr="00F53E26">
        <w:rPr>
          <w:sz w:val="20"/>
          <w:szCs w:val="24"/>
        </w:rPr>
        <w:tab/>
      </w:r>
      <w:r w:rsidR="00BC64F4" w:rsidRPr="00F53E26">
        <w:rPr>
          <w:szCs w:val="24"/>
        </w:rPr>
        <w:t xml:space="preserve">Second, the relevant present question of </w:t>
      </w:r>
      <w:r w:rsidR="00BC64F4">
        <w:rPr>
          <w:szCs w:val="24"/>
        </w:rPr>
        <w:t xml:space="preserve">the </w:t>
      </w:r>
      <w:r w:rsidR="00BC64F4" w:rsidRPr="00F53E26">
        <w:rPr>
          <w:szCs w:val="24"/>
        </w:rPr>
        <w:t xml:space="preserve">power to make a CFO is distinct from the question whether or how the Court might in future exercise its </w:t>
      </w:r>
      <w:r w:rsidR="00BC64F4">
        <w:rPr>
          <w:szCs w:val="24"/>
        </w:rPr>
        <w:t>discretion to deploy the power.</w:t>
      </w:r>
      <w:r w:rsidR="00BC64F4" w:rsidRPr="00F53E26">
        <w:rPr>
          <w:szCs w:val="24"/>
        </w:rPr>
        <w:t xml:space="preserve"> </w:t>
      </w:r>
    </w:p>
    <w:p w14:paraId="35EA00F4" w14:textId="2F07262D" w:rsidR="00BC64F4" w:rsidRPr="00F53E26" w:rsidRDefault="0071710E" w:rsidP="0071710E">
      <w:pPr>
        <w:pStyle w:val="ParaNumbering"/>
        <w:numPr>
          <w:ilvl w:val="0"/>
          <w:numId w:val="0"/>
        </w:numPr>
        <w:tabs>
          <w:tab w:val="left" w:pos="720"/>
        </w:tabs>
        <w:ind w:hanging="720"/>
        <w:rPr>
          <w:szCs w:val="24"/>
        </w:rPr>
      </w:pPr>
      <w:r w:rsidRPr="00F53E26">
        <w:rPr>
          <w:sz w:val="20"/>
          <w:szCs w:val="24"/>
        </w:rPr>
        <w:t>212</w:t>
      </w:r>
      <w:r w:rsidRPr="00F53E26">
        <w:rPr>
          <w:sz w:val="20"/>
          <w:szCs w:val="24"/>
        </w:rPr>
        <w:tab/>
      </w:r>
      <w:r w:rsidR="00BC64F4" w:rsidRPr="00F53E26">
        <w:rPr>
          <w:szCs w:val="24"/>
        </w:rPr>
        <w:t xml:space="preserve">Third, the Court cannot sensibly determine the controversy as to carriage on other bases. The funding question is fundamental. </w:t>
      </w:r>
      <w:r w:rsidR="00BC64F4">
        <w:rPr>
          <w:szCs w:val="24"/>
        </w:rPr>
        <w:t xml:space="preserve"> </w:t>
      </w:r>
      <w:r w:rsidR="00BC64F4" w:rsidRPr="00F53E26">
        <w:rPr>
          <w:szCs w:val="24"/>
        </w:rPr>
        <w:t xml:space="preserve">It cannot be assumed away. </w:t>
      </w:r>
      <w:r w:rsidR="00BC64F4">
        <w:rPr>
          <w:szCs w:val="24"/>
        </w:rPr>
        <w:t xml:space="preserve"> </w:t>
      </w:r>
      <w:r w:rsidR="00BC64F4" w:rsidRPr="00F53E26">
        <w:rPr>
          <w:szCs w:val="24"/>
        </w:rPr>
        <w:t xml:space="preserve">Even </w:t>
      </w:r>
      <w:r w:rsidR="00BC64F4" w:rsidRPr="00644B2B">
        <w:rPr>
          <w:iCs/>
          <w:szCs w:val="24"/>
        </w:rPr>
        <w:t>deferring</w:t>
      </w:r>
      <w:r w:rsidR="00BC64F4" w:rsidRPr="00F53E26">
        <w:rPr>
          <w:i/>
          <w:iCs/>
          <w:szCs w:val="24"/>
        </w:rPr>
        <w:t xml:space="preserve"> </w:t>
      </w:r>
      <w:r w:rsidR="00BC64F4" w:rsidRPr="00F53E26">
        <w:rPr>
          <w:szCs w:val="24"/>
        </w:rPr>
        <w:t xml:space="preserve">resolution of the CFO question would be of obvious practical </w:t>
      </w:r>
      <w:proofErr w:type="gramStart"/>
      <w:r w:rsidR="00BC64F4" w:rsidRPr="00F53E26">
        <w:rPr>
          <w:szCs w:val="24"/>
        </w:rPr>
        <w:t>significance, because</w:t>
      </w:r>
      <w:proofErr w:type="gramEnd"/>
      <w:r w:rsidR="00BC64F4" w:rsidRPr="00F53E26">
        <w:rPr>
          <w:szCs w:val="24"/>
        </w:rPr>
        <w:t xml:space="preserve"> it changes the comparison from one between two clear funding models, to one that compares </w:t>
      </w:r>
      <w:r w:rsidR="00BC64F4">
        <w:rPr>
          <w:szCs w:val="24"/>
        </w:rPr>
        <w:t xml:space="preserve">the SDA’s </w:t>
      </w:r>
      <w:r w:rsidR="00BC64F4" w:rsidRPr="00F53E26">
        <w:rPr>
          <w:szCs w:val="24"/>
        </w:rPr>
        <w:t>re</w:t>
      </w:r>
      <w:r w:rsidR="00BC64F4">
        <w:rPr>
          <w:szCs w:val="24"/>
        </w:rPr>
        <w:t xml:space="preserve">latively uncontroversial model </w:t>
      </w:r>
      <w:r w:rsidR="00BC64F4" w:rsidRPr="00F53E26">
        <w:rPr>
          <w:szCs w:val="24"/>
        </w:rPr>
        <w:t xml:space="preserve">against an alternative over which there </w:t>
      </w:r>
      <w:r w:rsidR="00BC64F4">
        <w:rPr>
          <w:szCs w:val="24"/>
        </w:rPr>
        <w:t>is some</w:t>
      </w:r>
      <w:r w:rsidR="00BC64F4" w:rsidRPr="00F53E26">
        <w:rPr>
          <w:szCs w:val="24"/>
        </w:rPr>
        <w:t xml:space="preserve"> uncertainty.</w:t>
      </w:r>
    </w:p>
    <w:p w14:paraId="6D336156" w14:textId="6B4E1EF9" w:rsidR="00BC64F4" w:rsidRPr="00F53E26" w:rsidRDefault="0071710E" w:rsidP="0071710E">
      <w:pPr>
        <w:pStyle w:val="ParaNumbering"/>
        <w:numPr>
          <w:ilvl w:val="0"/>
          <w:numId w:val="0"/>
        </w:numPr>
        <w:tabs>
          <w:tab w:val="left" w:pos="720"/>
        </w:tabs>
        <w:ind w:hanging="720"/>
        <w:rPr>
          <w:szCs w:val="24"/>
        </w:rPr>
      </w:pPr>
      <w:r w:rsidRPr="00F53E26">
        <w:rPr>
          <w:sz w:val="20"/>
          <w:szCs w:val="24"/>
        </w:rPr>
        <w:t>213</w:t>
      </w:r>
      <w:r w:rsidRPr="00F53E26">
        <w:rPr>
          <w:sz w:val="20"/>
          <w:szCs w:val="24"/>
        </w:rPr>
        <w:tab/>
      </w:r>
      <w:r w:rsidR="00BC64F4">
        <w:rPr>
          <w:szCs w:val="24"/>
        </w:rPr>
        <w:t>Further, the present case is dissimilar to</w:t>
      </w:r>
      <w:r w:rsidR="00BC64F4" w:rsidRPr="00F53E26">
        <w:rPr>
          <w:szCs w:val="24"/>
        </w:rPr>
        <w:t xml:space="preserve"> </w:t>
      </w:r>
      <w:r w:rsidR="00BC64F4" w:rsidRPr="00F53E26">
        <w:rPr>
          <w:bCs/>
          <w:i/>
          <w:iCs/>
          <w:szCs w:val="24"/>
        </w:rPr>
        <w:t xml:space="preserve">Davaria </w:t>
      </w:r>
      <w:r w:rsidR="00BC64F4">
        <w:rPr>
          <w:bCs/>
          <w:i/>
          <w:iCs/>
          <w:szCs w:val="24"/>
        </w:rPr>
        <w:t xml:space="preserve">FC </w:t>
      </w:r>
      <w:r w:rsidR="00BC64F4" w:rsidRPr="00F53E26">
        <w:rPr>
          <w:szCs w:val="24"/>
        </w:rPr>
        <w:t>where at an interlocutory and pre-s</w:t>
      </w:r>
      <w:r w:rsidR="00BC64F4">
        <w:rPr>
          <w:szCs w:val="24"/>
        </w:rPr>
        <w:t>ettlement stage the</w:t>
      </w:r>
      <w:r w:rsidR="00BC64F4" w:rsidRPr="00F53E26">
        <w:rPr>
          <w:szCs w:val="24"/>
        </w:rPr>
        <w:t xml:space="preserve"> question was proposed as to whether, in the possible event of settlement, the Court would have power to make a </w:t>
      </w:r>
      <w:r w:rsidR="00BC64F4">
        <w:rPr>
          <w:szCs w:val="24"/>
        </w:rPr>
        <w:t xml:space="preserve">CFO under </w:t>
      </w:r>
      <w:r w:rsidR="00BC64F4" w:rsidRPr="00F53E26">
        <w:rPr>
          <w:szCs w:val="24"/>
        </w:rPr>
        <w:t>s 33</w:t>
      </w:r>
      <w:proofErr w:type="gramStart"/>
      <w:r w:rsidR="00BC64F4" w:rsidRPr="00F53E26">
        <w:rPr>
          <w:szCs w:val="24"/>
        </w:rPr>
        <w:t>V</w:t>
      </w:r>
      <w:r w:rsidR="00BC64F4">
        <w:rPr>
          <w:szCs w:val="24"/>
        </w:rPr>
        <w:t>(</w:t>
      </w:r>
      <w:proofErr w:type="gramEnd"/>
      <w:r w:rsidR="00BC64F4">
        <w:rPr>
          <w:szCs w:val="24"/>
        </w:rPr>
        <w:t>2).</w:t>
      </w:r>
      <w:r w:rsidR="00BC64F4" w:rsidRPr="00F53E26">
        <w:rPr>
          <w:szCs w:val="24"/>
        </w:rPr>
        <w:t xml:space="preserve"> </w:t>
      </w:r>
      <w:r w:rsidR="00BC64F4">
        <w:rPr>
          <w:szCs w:val="24"/>
        </w:rPr>
        <w:t xml:space="preserve"> </w:t>
      </w:r>
      <w:r w:rsidR="00BC64F4" w:rsidRPr="00F53E26">
        <w:rPr>
          <w:szCs w:val="24"/>
        </w:rPr>
        <w:t xml:space="preserve">There the question stood alone, as one seeking advice or guidance. </w:t>
      </w:r>
      <w:r w:rsidR="00BC64F4">
        <w:rPr>
          <w:szCs w:val="24"/>
        </w:rPr>
        <w:t>But in the present context the question</w:t>
      </w:r>
      <w:r w:rsidR="00BC64F4" w:rsidRPr="00F53E26">
        <w:rPr>
          <w:szCs w:val="24"/>
        </w:rPr>
        <w:t xml:space="preserve"> arises because the challenge </w:t>
      </w:r>
      <w:r w:rsidR="00BC64F4">
        <w:rPr>
          <w:szCs w:val="24"/>
        </w:rPr>
        <w:t xml:space="preserve">as </w:t>
      </w:r>
      <w:r w:rsidR="00BC64F4" w:rsidRPr="00F53E26">
        <w:rPr>
          <w:szCs w:val="24"/>
        </w:rPr>
        <w:t>to whether one of two c</w:t>
      </w:r>
      <w:r w:rsidR="00BC64F4">
        <w:rPr>
          <w:szCs w:val="24"/>
        </w:rPr>
        <w:t xml:space="preserve">ompeting funding models is </w:t>
      </w:r>
      <w:r w:rsidR="00BC64F4" w:rsidRPr="00F53E26">
        <w:rPr>
          <w:szCs w:val="24"/>
        </w:rPr>
        <w:t xml:space="preserve">available is central to an extant case-management controversy as to which proceedings ought </w:t>
      </w:r>
      <w:proofErr w:type="gramStart"/>
      <w:r w:rsidR="00BC64F4" w:rsidRPr="00F53E26">
        <w:rPr>
          <w:szCs w:val="24"/>
        </w:rPr>
        <w:t>go forward</w:t>
      </w:r>
      <w:proofErr w:type="gramEnd"/>
      <w:r w:rsidR="00BC64F4" w:rsidRPr="00F53E26">
        <w:rPr>
          <w:szCs w:val="24"/>
        </w:rPr>
        <w:t>.</w:t>
      </w:r>
      <w:r w:rsidR="00BC64F4">
        <w:rPr>
          <w:szCs w:val="24"/>
        </w:rPr>
        <w:t xml:space="preserve">  Moreover, even if the stay application failed and both proceedings went forward, the question is still relevant to a group member’s choice in the Elliott-Carde proceeding as to whether to opt out. </w:t>
      </w:r>
    </w:p>
    <w:p w14:paraId="672A1222" w14:textId="04B9E9E1" w:rsidR="00BC64F4" w:rsidRPr="00F53E26" w:rsidRDefault="0071710E" w:rsidP="0071710E">
      <w:pPr>
        <w:pStyle w:val="ParaNumbering"/>
        <w:numPr>
          <w:ilvl w:val="0"/>
          <w:numId w:val="0"/>
        </w:numPr>
        <w:tabs>
          <w:tab w:val="left" w:pos="720"/>
        </w:tabs>
        <w:ind w:hanging="720"/>
        <w:rPr>
          <w:szCs w:val="24"/>
        </w:rPr>
      </w:pPr>
      <w:r w:rsidRPr="00F53E26">
        <w:rPr>
          <w:sz w:val="20"/>
          <w:szCs w:val="24"/>
        </w:rPr>
        <w:t>214</w:t>
      </w:r>
      <w:r w:rsidRPr="00F53E26">
        <w:rPr>
          <w:sz w:val="20"/>
          <w:szCs w:val="24"/>
        </w:rPr>
        <w:tab/>
      </w:r>
      <w:r w:rsidR="00BC64F4">
        <w:rPr>
          <w:szCs w:val="24"/>
        </w:rPr>
        <w:t>Now i</w:t>
      </w:r>
      <w:r w:rsidR="00BC64F4" w:rsidRPr="00F53E26">
        <w:rPr>
          <w:szCs w:val="24"/>
        </w:rPr>
        <w:t xml:space="preserve">n </w:t>
      </w:r>
      <w:r w:rsidR="00BC64F4" w:rsidRPr="00F53E26">
        <w:rPr>
          <w:i/>
          <w:iCs/>
          <w:szCs w:val="24"/>
        </w:rPr>
        <w:t>Edwards v Santos</w:t>
      </w:r>
      <w:r w:rsidR="00BC64F4">
        <w:rPr>
          <w:i/>
          <w:iCs/>
          <w:szCs w:val="24"/>
        </w:rPr>
        <w:t xml:space="preserve"> Ltd </w:t>
      </w:r>
      <w:r w:rsidR="00BC64F4">
        <w:rPr>
          <w:iCs/>
          <w:szCs w:val="24"/>
        </w:rPr>
        <w:t xml:space="preserve">(2011) 242 CLR 421 it was argued that </w:t>
      </w:r>
      <w:r w:rsidR="00BC64F4" w:rsidRPr="00F53E26">
        <w:rPr>
          <w:szCs w:val="24"/>
        </w:rPr>
        <w:t>the declaration there sought had no foreseeable consequences and was hyp</w:t>
      </w:r>
      <w:r w:rsidR="00BC64F4">
        <w:rPr>
          <w:szCs w:val="24"/>
        </w:rPr>
        <w:t xml:space="preserve">othetical.  But </w:t>
      </w:r>
      <w:proofErr w:type="spellStart"/>
      <w:r w:rsidR="00BC64F4">
        <w:rPr>
          <w:szCs w:val="24"/>
        </w:rPr>
        <w:t>Heydon</w:t>
      </w:r>
      <w:proofErr w:type="spellEnd"/>
      <w:r w:rsidR="00BC64F4">
        <w:rPr>
          <w:szCs w:val="24"/>
        </w:rPr>
        <w:t xml:space="preserve"> J held (at [37]):</w:t>
      </w:r>
    </w:p>
    <w:p w14:paraId="54067FC9" w14:textId="77777777" w:rsidR="00BC64F4" w:rsidRDefault="00BC64F4" w:rsidP="00BC64F4">
      <w:pPr>
        <w:pStyle w:val="Quote1"/>
      </w:pPr>
      <w:r>
        <w:t xml:space="preserve">The jurisdiction to grant a declaration “includes the power to declare that conduct which has not yet taken place will not be in breach of … a law”. The jurisdiction also includes the power to declare that conduct which has not yet taken place will be a nullity in law. The plaintiffs are claiming that the petroleum defendants had no right to apply to the Minister under s 40 of the </w:t>
      </w:r>
      <w:r>
        <w:rPr>
          <w:i/>
          <w:iCs/>
        </w:rPr>
        <w:t xml:space="preserve">Petroleum Act </w:t>
      </w:r>
      <w:r>
        <w:t xml:space="preserve">because the ATP had ceased to be valid. The plaintiffs are claiming that there is no power in the Minister to grant a “production licence”, </w:t>
      </w:r>
      <w:proofErr w:type="spellStart"/>
      <w:proofErr w:type="gramStart"/>
      <w:r>
        <w:t>ie</w:t>
      </w:r>
      <w:proofErr w:type="spellEnd"/>
      <w:proofErr w:type="gramEnd"/>
      <w:r>
        <w:t xml:space="preserve"> lease, under s 40, and that any attempt to grant it can be restrained by injunction. These claims are not outside the Federal Court’s jurisdiction to grant declaratory and injunctive relief. The plaintiffs have a sufficient interest to make those claims, because success in those claims would advance their interests in the negotiations which the parties were contractually obliged to conduct. The plaintiffs have standing because they have an interest in the question whether the ATP is valid which is greater than that of other members of the public. </w:t>
      </w:r>
      <w:r w:rsidRPr="00F53E26">
        <w:t xml:space="preserve">The questions which the plaintiffs wished to agitate were not hypothetical. The first defendant’s letter of 4 November 2005 had sufficiently indicated the intention of the petroleum defendants to make an application to the Minister under s 40 of the Petroleum Act and it had predicted that success would be “automatic”. If so, the plaintiffs would be seriously disadvantaged because their negotiating position would be gravely weakened; if not, the plaintiffs would be correspondingly better off. If the plaintiffs obtained the first declaration sought, it would produce foreseeable consequences for the plaintiffs and the petroleum defendants by allowing them to continue the process of negotiating the new [indigenous land use agreement] armed with knowledge of the correct legal position </w:t>
      </w:r>
      <w:r>
        <w:t xml:space="preserve">in relation to the ATP. </w:t>
      </w:r>
    </w:p>
    <w:p w14:paraId="18612F45" w14:textId="77777777" w:rsidR="00BC64F4" w:rsidRDefault="00BC64F4" w:rsidP="00BC64F4">
      <w:pPr>
        <w:pStyle w:val="Quote1"/>
      </w:pPr>
      <w:r>
        <w:t>(</w:t>
      </w:r>
      <w:proofErr w:type="gramStart"/>
      <w:r>
        <w:t>footnotes</w:t>
      </w:r>
      <w:proofErr w:type="gramEnd"/>
      <w:r>
        <w:t xml:space="preserve"> omitted)</w:t>
      </w:r>
    </w:p>
    <w:p w14:paraId="635F1719" w14:textId="14831B45" w:rsidR="00BC64F4" w:rsidRDefault="0071710E" w:rsidP="0071710E">
      <w:pPr>
        <w:pStyle w:val="ParaNumbering"/>
        <w:numPr>
          <w:ilvl w:val="0"/>
          <w:numId w:val="0"/>
        </w:numPr>
        <w:tabs>
          <w:tab w:val="left" w:pos="720"/>
        </w:tabs>
        <w:ind w:hanging="720"/>
        <w:rPr>
          <w:szCs w:val="24"/>
        </w:rPr>
      </w:pPr>
      <w:r>
        <w:rPr>
          <w:sz w:val="20"/>
          <w:szCs w:val="24"/>
        </w:rPr>
        <w:t>215</w:t>
      </w:r>
      <w:r>
        <w:rPr>
          <w:sz w:val="20"/>
          <w:szCs w:val="24"/>
        </w:rPr>
        <w:tab/>
      </w:r>
      <w:r w:rsidR="00BC64F4" w:rsidRPr="00DA1F4A">
        <w:rPr>
          <w:szCs w:val="24"/>
        </w:rPr>
        <w:t>The declaration there was directed to resolving a legal uncertainty affecting the bargai</w:t>
      </w:r>
      <w:r w:rsidR="00BC64F4">
        <w:rPr>
          <w:szCs w:val="24"/>
        </w:rPr>
        <w:t xml:space="preserve">ning positions of the parties.  </w:t>
      </w:r>
      <w:r w:rsidR="00BC64F4" w:rsidRPr="00DA1F4A">
        <w:rPr>
          <w:szCs w:val="24"/>
        </w:rPr>
        <w:t xml:space="preserve">Similar considerations attend </w:t>
      </w:r>
      <w:r w:rsidR="00BC64F4">
        <w:rPr>
          <w:szCs w:val="24"/>
        </w:rPr>
        <w:t xml:space="preserve">the </w:t>
      </w:r>
      <w:r w:rsidR="00BC64F4" w:rsidRPr="00DA1F4A">
        <w:rPr>
          <w:szCs w:val="24"/>
        </w:rPr>
        <w:t>resoluti</w:t>
      </w:r>
      <w:r w:rsidR="00BC64F4">
        <w:rPr>
          <w:szCs w:val="24"/>
        </w:rPr>
        <w:t>on of the carriage motion here.</w:t>
      </w:r>
    </w:p>
    <w:p w14:paraId="5205FA4A" w14:textId="17077794" w:rsidR="00BC64F4" w:rsidRPr="00DA1F4A" w:rsidRDefault="0071710E" w:rsidP="0071710E">
      <w:pPr>
        <w:pStyle w:val="ParaNumbering"/>
        <w:numPr>
          <w:ilvl w:val="0"/>
          <w:numId w:val="0"/>
        </w:numPr>
        <w:tabs>
          <w:tab w:val="left" w:pos="720"/>
        </w:tabs>
        <w:ind w:hanging="720"/>
        <w:rPr>
          <w:szCs w:val="24"/>
        </w:rPr>
      </w:pPr>
      <w:r w:rsidRPr="00DA1F4A">
        <w:rPr>
          <w:sz w:val="20"/>
          <w:szCs w:val="24"/>
        </w:rPr>
        <w:t>216</w:t>
      </w:r>
      <w:r w:rsidRPr="00DA1F4A">
        <w:rPr>
          <w:sz w:val="20"/>
          <w:szCs w:val="24"/>
        </w:rPr>
        <w:tab/>
      </w:r>
      <w:r w:rsidR="00BC64F4">
        <w:rPr>
          <w:szCs w:val="24"/>
        </w:rPr>
        <w:t xml:space="preserve">Let me move to the next dimension </w:t>
      </w:r>
      <w:r w:rsidR="00BC64F4" w:rsidRPr="00D50134">
        <w:rPr>
          <w:szCs w:val="24"/>
        </w:rPr>
        <w:t>of</w:t>
      </w:r>
      <w:r w:rsidR="00BC64F4">
        <w:rPr>
          <w:szCs w:val="24"/>
        </w:rPr>
        <w:t xml:space="preserve"> the question of an extant controversy concerning the giving of notices in the Elliott-Carde proceeding under ss 33X and 33Y. </w:t>
      </w:r>
    </w:p>
    <w:p w14:paraId="4A5FCB6A" w14:textId="46FA9A8A" w:rsidR="00BC64F4" w:rsidRPr="00FA5506" w:rsidRDefault="0071710E" w:rsidP="0071710E">
      <w:pPr>
        <w:pStyle w:val="ParaNumbering"/>
        <w:numPr>
          <w:ilvl w:val="0"/>
          <w:numId w:val="0"/>
        </w:numPr>
        <w:tabs>
          <w:tab w:val="left" w:pos="720"/>
        </w:tabs>
        <w:ind w:hanging="720"/>
      </w:pPr>
      <w:r w:rsidRPr="00FA5506">
        <w:rPr>
          <w:sz w:val="20"/>
        </w:rPr>
        <w:t>217</w:t>
      </w:r>
      <w:r w:rsidRPr="00FA5506">
        <w:rPr>
          <w:sz w:val="20"/>
        </w:rPr>
        <w:tab/>
      </w:r>
      <w:r w:rsidR="00BC64F4">
        <w:t>I</w:t>
      </w:r>
      <w:r w:rsidR="00BC64F4" w:rsidRPr="00FA5506">
        <w:t>n</w:t>
      </w:r>
      <w:r w:rsidR="00BC64F4">
        <w:t xml:space="preserve"> </w:t>
      </w:r>
      <w:r w:rsidR="00BC64F4" w:rsidRPr="00FA5506">
        <w:t xml:space="preserve">the </w:t>
      </w:r>
      <w:r w:rsidR="00BC64F4" w:rsidRPr="00497407">
        <w:rPr>
          <w:iCs/>
        </w:rPr>
        <w:t>Elliott-Carde</w:t>
      </w:r>
      <w:r w:rsidR="00BC64F4" w:rsidRPr="00FA5506">
        <w:t xml:space="preserve"> proceeding, the Court has before it an application to approve opt-out notices under s 33</w:t>
      </w:r>
      <w:proofErr w:type="gramStart"/>
      <w:r w:rsidR="00BC64F4" w:rsidRPr="00FA5506">
        <w:t>Y(</w:t>
      </w:r>
      <w:proofErr w:type="gramEnd"/>
      <w:r w:rsidR="00BC64F4" w:rsidRPr="00FA5506">
        <w:t xml:space="preserve">2). </w:t>
      </w:r>
      <w:r w:rsidR="00BC64F4">
        <w:t xml:space="preserve"> </w:t>
      </w:r>
      <w:r w:rsidR="00BC64F4" w:rsidRPr="00FA5506">
        <w:t>The purpose of opt-out notices is to ensure that group members can make an informed decision concerning their rights</w:t>
      </w:r>
      <w:r w:rsidR="00BC64F4">
        <w:t>.  D</w:t>
      </w:r>
      <w:r w:rsidR="00BC64F4" w:rsidRPr="00FA5506">
        <w:t>ecisions about opting out should not be based on a notice that is apt to mislead them.</w:t>
      </w:r>
    </w:p>
    <w:p w14:paraId="580B75E0" w14:textId="43D46A30" w:rsidR="00BC64F4" w:rsidRPr="000A41D0" w:rsidRDefault="0071710E" w:rsidP="0071710E">
      <w:pPr>
        <w:pStyle w:val="ParaNumbering"/>
        <w:numPr>
          <w:ilvl w:val="0"/>
          <w:numId w:val="0"/>
        </w:numPr>
        <w:tabs>
          <w:tab w:val="left" w:pos="720"/>
        </w:tabs>
        <w:ind w:hanging="720"/>
        <w:rPr>
          <w:szCs w:val="24"/>
        </w:rPr>
      </w:pPr>
      <w:r w:rsidRPr="000A41D0">
        <w:rPr>
          <w:sz w:val="20"/>
          <w:szCs w:val="24"/>
        </w:rPr>
        <w:t>218</w:t>
      </w:r>
      <w:r w:rsidRPr="000A41D0">
        <w:rPr>
          <w:sz w:val="20"/>
          <w:szCs w:val="24"/>
        </w:rPr>
        <w:tab/>
      </w:r>
      <w:r w:rsidR="00BC64F4" w:rsidRPr="00FA5506">
        <w:rPr>
          <w:szCs w:val="24"/>
        </w:rPr>
        <w:t>The proposed opt-out notice relevantly states that if the class action results in a settlement, then “the Court will be asked to make an order that some of the money be deducted and used to pay a share of</w:t>
      </w:r>
      <w:r w:rsidR="00BC64F4">
        <w:rPr>
          <w:szCs w:val="24"/>
        </w:rPr>
        <w:t xml:space="preserve"> … r</w:t>
      </w:r>
      <w:r w:rsidR="00BC64F4" w:rsidRPr="00FA5506">
        <w:rPr>
          <w:szCs w:val="24"/>
        </w:rPr>
        <w:t>emuneration (commission) to the litigation funder for having taken the fina</w:t>
      </w:r>
      <w:r w:rsidR="00BC64F4">
        <w:rPr>
          <w:szCs w:val="24"/>
        </w:rPr>
        <w:t>ncial risk of the Class Action”</w:t>
      </w:r>
      <w:r w:rsidR="00BC64F4" w:rsidRPr="00FA5506">
        <w:rPr>
          <w:szCs w:val="24"/>
        </w:rPr>
        <w:t>.</w:t>
      </w:r>
      <w:r w:rsidR="00BC64F4">
        <w:rPr>
          <w:szCs w:val="24"/>
        </w:rPr>
        <w:t xml:space="preserve"> </w:t>
      </w:r>
      <w:r w:rsidR="00BC64F4" w:rsidRPr="00FA5506">
        <w:rPr>
          <w:szCs w:val="24"/>
        </w:rPr>
        <w:t xml:space="preserve"> It also goes on to state that the Court will</w:t>
      </w:r>
      <w:r w:rsidR="00BC64F4">
        <w:rPr>
          <w:szCs w:val="24"/>
        </w:rPr>
        <w:t xml:space="preserve"> </w:t>
      </w:r>
      <w:r w:rsidR="00BC64F4" w:rsidRPr="00FA5506">
        <w:rPr>
          <w:szCs w:val="24"/>
        </w:rPr>
        <w:t>decide what funding commission is reasonable</w:t>
      </w:r>
      <w:r w:rsidR="00BC64F4">
        <w:rPr>
          <w:szCs w:val="24"/>
        </w:rPr>
        <w:t xml:space="preserve">, </w:t>
      </w:r>
      <w:r w:rsidR="00BC64F4" w:rsidRPr="00FA5506">
        <w:rPr>
          <w:szCs w:val="24"/>
        </w:rPr>
        <w:t>but that group members should assume that it will be in the range of 20</w:t>
      </w:r>
      <w:r w:rsidR="00BC64F4">
        <w:rPr>
          <w:szCs w:val="24"/>
        </w:rPr>
        <w:t xml:space="preserve"> to </w:t>
      </w:r>
      <w:r w:rsidR="00BC64F4" w:rsidRPr="00FA5506">
        <w:rPr>
          <w:szCs w:val="24"/>
        </w:rPr>
        <w:t>30</w:t>
      </w:r>
      <w:r w:rsidR="00BC64F4">
        <w:rPr>
          <w:szCs w:val="24"/>
        </w:rPr>
        <w:t>%</w:t>
      </w:r>
      <w:r w:rsidR="00BC64F4" w:rsidRPr="00FA5506">
        <w:rPr>
          <w:szCs w:val="24"/>
        </w:rPr>
        <w:t>.</w:t>
      </w:r>
      <w:r w:rsidR="00BC64F4">
        <w:rPr>
          <w:szCs w:val="24"/>
        </w:rPr>
        <w:t xml:space="preserve"> </w:t>
      </w:r>
      <w:r w:rsidR="00BC64F4" w:rsidRPr="00FA5506">
        <w:rPr>
          <w:szCs w:val="24"/>
        </w:rPr>
        <w:t xml:space="preserve"> The notice therefore contemplates an application for a </w:t>
      </w:r>
      <w:r w:rsidR="00BC64F4">
        <w:rPr>
          <w:szCs w:val="24"/>
        </w:rPr>
        <w:t>s</w:t>
      </w:r>
      <w:r w:rsidR="00BC64F4" w:rsidRPr="00FA5506">
        <w:rPr>
          <w:szCs w:val="24"/>
        </w:rPr>
        <w:t xml:space="preserve">ettlement CFO. </w:t>
      </w:r>
      <w:r w:rsidR="00BC64F4">
        <w:rPr>
          <w:szCs w:val="24"/>
        </w:rPr>
        <w:t xml:space="preserve"> Now this information would </w:t>
      </w:r>
      <w:r w:rsidR="00BC64F4" w:rsidRPr="00FA5506">
        <w:rPr>
          <w:szCs w:val="24"/>
        </w:rPr>
        <w:t xml:space="preserve">be misleading if the Court in fact had no power to make a </w:t>
      </w:r>
      <w:r w:rsidR="00BC64F4">
        <w:rPr>
          <w:szCs w:val="24"/>
        </w:rPr>
        <w:t>s</w:t>
      </w:r>
      <w:r w:rsidR="00BC64F4" w:rsidRPr="00FA5506">
        <w:rPr>
          <w:szCs w:val="24"/>
        </w:rPr>
        <w:t>ettlement CFO.</w:t>
      </w:r>
      <w:r w:rsidR="00BC64F4">
        <w:rPr>
          <w:szCs w:val="24"/>
        </w:rPr>
        <w:t xml:space="preserve">  So, </w:t>
      </w:r>
      <w:r w:rsidR="00BC64F4" w:rsidRPr="000A41D0">
        <w:rPr>
          <w:szCs w:val="24"/>
        </w:rPr>
        <w:t xml:space="preserve">a question has arisen as to whether the content of the notice might be misleading.  That is a present issue or a real and immediate controversy about which the Court must be satisfied in order properly to exercise its role under s 33X. </w:t>
      </w:r>
    </w:p>
    <w:p w14:paraId="4AB60072" w14:textId="50AE2529" w:rsidR="00BC64F4" w:rsidRDefault="0071710E" w:rsidP="0071710E">
      <w:pPr>
        <w:pStyle w:val="ParaNumbering"/>
        <w:numPr>
          <w:ilvl w:val="0"/>
          <w:numId w:val="0"/>
        </w:numPr>
        <w:tabs>
          <w:tab w:val="left" w:pos="720"/>
        </w:tabs>
        <w:ind w:hanging="720"/>
        <w:rPr>
          <w:szCs w:val="24"/>
        </w:rPr>
      </w:pPr>
      <w:r>
        <w:rPr>
          <w:sz w:val="20"/>
          <w:szCs w:val="24"/>
        </w:rPr>
        <w:t>219</w:t>
      </w:r>
      <w:r>
        <w:rPr>
          <w:sz w:val="20"/>
          <w:szCs w:val="24"/>
        </w:rPr>
        <w:tab/>
      </w:r>
      <w:r w:rsidR="00BC64F4">
        <w:rPr>
          <w:szCs w:val="24"/>
        </w:rPr>
        <w:t xml:space="preserve">Further, the question cannot be satisfactorily avoided </w:t>
      </w:r>
      <w:r w:rsidR="00BC64F4" w:rsidRPr="008B4105">
        <w:rPr>
          <w:szCs w:val="24"/>
        </w:rPr>
        <w:t>by softening the terms of the</w:t>
      </w:r>
      <w:r w:rsidR="00BC64F4">
        <w:rPr>
          <w:szCs w:val="24"/>
        </w:rPr>
        <w:t xml:space="preserve"> </w:t>
      </w:r>
      <w:r w:rsidR="00BC64F4" w:rsidRPr="008B4105">
        <w:rPr>
          <w:szCs w:val="24"/>
        </w:rPr>
        <w:t xml:space="preserve">notices by telling </w:t>
      </w:r>
      <w:r w:rsidR="00BC64F4">
        <w:rPr>
          <w:szCs w:val="24"/>
        </w:rPr>
        <w:t xml:space="preserve">group </w:t>
      </w:r>
      <w:r w:rsidR="00BC64F4" w:rsidRPr="008B4105">
        <w:rPr>
          <w:szCs w:val="24"/>
        </w:rPr>
        <w:t>members that there rema</w:t>
      </w:r>
      <w:r w:rsidR="00BC64F4">
        <w:rPr>
          <w:szCs w:val="24"/>
        </w:rPr>
        <w:t xml:space="preserve">ins a real question whether the </w:t>
      </w:r>
      <w:r w:rsidR="00BC64F4" w:rsidRPr="008B4105">
        <w:rPr>
          <w:szCs w:val="24"/>
        </w:rPr>
        <w:t xml:space="preserve">CFO power is even available. </w:t>
      </w:r>
      <w:r w:rsidR="00BC64F4">
        <w:rPr>
          <w:szCs w:val="24"/>
        </w:rPr>
        <w:t xml:space="preserve"> </w:t>
      </w:r>
      <w:r w:rsidR="00BC64F4" w:rsidRPr="008B4105">
        <w:rPr>
          <w:szCs w:val="24"/>
        </w:rPr>
        <w:t>The Court has a present oblig</w:t>
      </w:r>
      <w:r w:rsidR="00BC64F4">
        <w:rPr>
          <w:szCs w:val="24"/>
        </w:rPr>
        <w:t xml:space="preserve">ation under Part IVA to protect </w:t>
      </w:r>
      <w:r w:rsidR="00BC64F4" w:rsidRPr="008B4105">
        <w:rPr>
          <w:szCs w:val="24"/>
        </w:rPr>
        <w:t>class members’ interests, at least to the extent of ensurin</w:t>
      </w:r>
      <w:r w:rsidR="00BC64F4">
        <w:rPr>
          <w:szCs w:val="24"/>
        </w:rPr>
        <w:t xml:space="preserve">g that they are not misled as to the </w:t>
      </w:r>
      <w:r w:rsidR="00BC64F4" w:rsidRPr="008B4105">
        <w:rPr>
          <w:szCs w:val="24"/>
        </w:rPr>
        <w:t xml:space="preserve">ramifications of the </w:t>
      </w:r>
      <w:r w:rsidR="00BC64F4">
        <w:rPr>
          <w:szCs w:val="24"/>
        </w:rPr>
        <w:t xml:space="preserve">group proceeding.  Group </w:t>
      </w:r>
      <w:r w:rsidR="00BC64F4" w:rsidRPr="008B4105">
        <w:rPr>
          <w:szCs w:val="24"/>
        </w:rPr>
        <w:t xml:space="preserve">members ought </w:t>
      </w:r>
      <w:proofErr w:type="gramStart"/>
      <w:r w:rsidR="00BC64F4" w:rsidRPr="008B4105">
        <w:rPr>
          <w:szCs w:val="24"/>
        </w:rPr>
        <w:t>be</w:t>
      </w:r>
      <w:proofErr w:type="gramEnd"/>
      <w:r w:rsidR="00BC64F4" w:rsidRPr="008B4105">
        <w:rPr>
          <w:szCs w:val="24"/>
        </w:rPr>
        <w:t xml:space="preserve"> required to make their opt</w:t>
      </w:r>
      <w:r w:rsidR="00BC64F4">
        <w:rPr>
          <w:szCs w:val="24"/>
        </w:rPr>
        <w:t xml:space="preserve">-out </w:t>
      </w:r>
      <w:r w:rsidR="00BC64F4" w:rsidRPr="008B4105">
        <w:rPr>
          <w:szCs w:val="24"/>
        </w:rPr>
        <w:t xml:space="preserve">decisions based on their assessment whether </w:t>
      </w:r>
      <w:r w:rsidR="00BC64F4">
        <w:rPr>
          <w:szCs w:val="24"/>
        </w:rPr>
        <w:t xml:space="preserve">the </w:t>
      </w:r>
      <w:r w:rsidR="00BC64F4" w:rsidRPr="008B4105">
        <w:rPr>
          <w:szCs w:val="24"/>
        </w:rPr>
        <w:t>prop</w:t>
      </w:r>
      <w:r w:rsidR="00BC64F4">
        <w:rPr>
          <w:szCs w:val="24"/>
        </w:rPr>
        <w:t xml:space="preserve">osal in all its respects is one </w:t>
      </w:r>
      <w:r w:rsidR="00BC64F4" w:rsidRPr="008B4105">
        <w:rPr>
          <w:szCs w:val="24"/>
        </w:rPr>
        <w:t xml:space="preserve">they approve, but they ought not be left uncertain as to what </w:t>
      </w:r>
      <w:r w:rsidR="00BC64F4">
        <w:rPr>
          <w:szCs w:val="24"/>
        </w:rPr>
        <w:t xml:space="preserve">that proposal is, and certainly </w:t>
      </w:r>
      <w:r w:rsidR="00BC64F4" w:rsidRPr="008B4105">
        <w:rPr>
          <w:szCs w:val="24"/>
        </w:rPr>
        <w:t>not as to a fundamental consideration like the funding arran</w:t>
      </w:r>
      <w:r w:rsidR="00BC64F4">
        <w:rPr>
          <w:szCs w:val="24"/>
        </w:rPr>
        <w:t xml:space="preserve">gement.  </w:t>
      </w:r>
    </w:p>
    <w:p w14:paraId="433BE8BC" w14:textId="2930D027" w:rsidR="00BC64F4" w:rsidRPr="00FA5506" w:rsidRDefault="0071710E" w:rsidP="0071710E">
      <w:pPr>
        <w:pStyle w:val="ParaNumbering"/>
        <w:numPr>
          <w:ilvl w:val="0"/>
          <w:numId w:val="0"/>
        </w:numPr>
        <w:tabs>
          <w:tab w:val="left" w:pos="720"/>
        </w:tabs>
        <w:ind w:hanging="720"/>
      </w:pPr>
      <w:r w:rsidRPr="00FA5506">
        <w:rPr>
          <w:sz w:val="20"/>
        </w:rPr>
        <w:t>220</w:t>
      </w:r>
      <w:r w:rsidRPr="00FA5506">
        <w:rPr>
          <w:sz w:val="20"/>
        </w:rPr>
        <w:tab/>
      </w:r>
      <w:r w:rsidR="00BC64F4">
        <w:t>Further, i</w:t>
      </w:r>
      <w:r w:rsidR="00BC64F4" w:rsidRPr="00FA5506">
        <w:t xml:space="preserve">t is no answer to say that the notices could be amended to remove any misleading aspect. </w:t>
      </w:r>
      <w:r w:rsidR="00BC64F4">
        <w:t xml:space="preserve">  T</w:t>
      </w:r>
      <w:r w:rsidR="00BC64F4" w:rsidRPr="00FA5506">
        <w:t xml:space="preserve">he fact that a </w:t>
      </w:r>
      <w:r w:rsidR="00BC64F4">
        <w:t>s</w:t>
      </w:r>
      <w:r w:rsidR="00BC64F4" w:rsidRPr="00FA5506">
        <w:t xml:space="preserve">ettlement CFO may be made is relevant to a group member’s informed assessment of whether to opt out. </w:t>
      </w:r>
      <w:r w:rsidR="00BC64F4">
        <w:t xml:space="preserve"> </w:t>
      </w:r>
      <w:r w:rsidR="00BC64F4" w:rsidRPr="00FA5506">
        <w:t>Any omission of that t</w:t>
      </w:r>
      <w:r w:rsidR="00BC64F4">
        <w:t>opic would itself be misleading.  And e</w:t>
      </w:r>
      <w:r w:rsidR="00BC64F4" w:rsidRPr="00FA5506">
        <w:t>ven if the opt-out notice were drafted in a more general way</w:t>
      </w:r>
      <w:r w:rsidR="00BC64F4">
        <w:t xml:space="preserve">, </w:t>
      </w:r>
      <w:r w:rsidR="00BC64F4" w:rsidRPr="00FA5506">
        <w:t xml:space="preserve">for example, that might contemplate the making of </w:t>
      </w:r>
      <w:r w:rsidR="00BC64F4">
        <w:t>an FEO</w:t>
      </w:r>
      <w:r w:rsidR="00BC64F4" w:rsidRPr="00FA5506">
        <w:t>, that may also be misleading insofar as it fails to give sufficient information about the nature of the order that is intended to be sought and the potential impact on what group members will receive.</w:t>
      </w:r>
      <w:r w:rsidR="00BC64F4">
        <w:t xml:space="preserve"> </w:t>
      </w:r>
      <w:r w:rsidR="00BC64F4" w:rsidRPr="00FA5506">
        <w:t xml:space="preserve"> Ultimately, the question whether any aspect of the notice is misleading can only be answered having regard to whether the Court has power to make a </w:t>
      </w:r>
      <w:r w:rsidR="00BC64F4">
        <w:t>s</w:t>
      </w:r>
      <w:r w:rsidR="00BC64F4" w:rsidRPr="00FA5506">
        <w:t>ettlement CFO.</w:t>
      </w:r>
    </w:p>
    <w:p w14:paraId="6C5C4D89" w14:textId="172608EB" w:rsidR="00BC64F4" w:rsidRPr="008B4105" w:rsidRDefault="0071710E" w:rsidP="0071710E">
      <w:pPr>
        <w:pStyle w:val="ParaNumbering"/>
        <w:numPr>
          <w:ilvl w:val="0"/>
          <w:numId w:val="0"/>
        </w:numPr>
        <w:tabs>
          <w:tab w:val="left" w:pos="720"/>
        </w:tabs>
        <w:ind w:hanging="720"/>
        <w:rPr>
          <w:szCs w:val="24"/>
        </w:rPr>
      </w:pPr>
      <w:r w:rsidRPr="008B4105">
        <w:rPr>
          <w:sz w:val="20"/>
          <w:szCs w:val="24"/>
        </w:rPr>
        <w:t>221</w:t>
      </w:r>
      <w:r w:rsidRPr="008B4105">
        <w:rPr>
          <w:sz w:val="20"/>
          <w:szCs w:val="24"/>
        </w:rPr>
        <w:tab/>
      </w:r>
      <w:r w:rsidR="00BC64F4">
        <w:rPr>
          <w:szCs w:val="24"/>
        </w:rPr>
        <w:t>So</w:t>
      </w:r>
      <w:r w:rsidR="00BC64F4" w:rsidRPr="008B4105">
        <w:rPr>
          <w:szCs w:val="24"/>
        </w:rPr>
        <w:t>, the proposed notice must in fairness inform the class members about the funding</w:t>
      </w:r>
      <w:r w:rsidR="00BC64F4">
        <w:rPr>
          <w:szCs w:val="24"/>
        </w:rPr>
        <w:t xml:space="preserve"> </w:t>
      </w:r>
      <w:proofErr w:type="gramStart"/>
      <w:r w:rsidR="00BC64F4" w:rsidRPr="008B4105">
        <w:rPr>
          <w:szCs w:val="24"/>
        </w:rPr>
        <w:t>proposal</w:t>
      </w:r>
      <w:r w:rsidR="00BC64F4">
        <w:rPr>
          <w:szCs w:val="24"/>
        </w:rPr>
        <w:t>, and</w:t>
      </w:r>
      <w:proofErr w:type="gramEnd"/>
      <w:r w:rsidR="00BC64F4">
        <w:rPr>
          <w:szCs w:val="24"/>
        </w:rPr>
        <w:t xml:space="preserve"> </w:t>
      </w:r>
      <w:r w:rsidR="00BC64F4" w:rsidRPr="008B4105">
        <w:rPr>
          <w:szCs w:val="24"/>
        </w:rPr>
        <w:t>do so in a way that is not misleading.</w:t>
      </w:r>
      <w:r w:rsidR="00BC64F4">
        <w:rPr>
          <w:szCs w:val="24"/>
        </w:rPr>
        <w:t xml:space="preserve"> </w:t>
      </w:r>
      <w:r w:rsidR="00BC64F4" w:rsidRPr="008B4105">
        <w:rPr>
          <w:szCs w:val="24"/>
        </w:rPr>
        <w:t xml:space="preserve"> It follows that to ensure a fair notice to clas</w:t>
      </w:r>
      <w:r w:rsidR="00BC64F4">
        <w:rPr>
          <w:szCs w:val="24"/>
        </w:rPr>
        <w:t xml:space="preserve">s members, </w:t>
      </w:r>
      <w:proofErr w:type="gramStart"/>
      <w:r w:rsidR="00BC64F4">
        <w:rPr>
          <w:szCs w:val="24"/>
        </w:rPr>
        <w:t>the Court must resolve now</w:t>
      </w:r>
      <w:proofErr w:type="gramEnd"/>
      <w:r w:rsidR="00BC64F4">
        <w:rPr>
          <w:szCs w:val="24"/>
        </w:rPr>
        <w:t xml:space="preserve"> the </w:t>
      </w:r>
      <w:r w:rsidR="00BC64F4" w:rsidRPr="008B4105">
        <w:rPr>
          <w:szCs w:val="24"/>
        </w:rPr>
        <w:t>question whether the CFO that the notice foreshadows is even available</w:t>
      </w:r>
      <w:r w:rsidR="00BC64F4">
        <w:rPr>
          <w:szCs w:val="24"/>
        </w:rPr>
        <w:t>.</w:t>
      </w:r>
    </w:p>
    <w:p w14:paraId="2C17676C" w14:textId="6E3C3765" w:rsidR="00BC64F4" w:rsidRDefault="0071710E" w:rsidP="0071710E">
      <w:pPr>
        <w:pStyle w:val="ParaNumbering"/>
        <w:numPr>
          <w:ilvl w:val="0"/>
          <w:numId w:val="0"/>
        </w:numPr>
        <w:tabs>
          <w:tab w:val="left" w:pos="720"/>
        </w:tabs>
        <w:ind w:hanging="720"/>
        <w:rPr>
          <w:szCs w:val="24"/>
        </w:rPr>
      </w:pPr>
      <w:r>
        <w:rPr>
          <w:sz w:val="20"/>
          <w:szCs w:val="24"/>
        </w:rPr>
        <w:t>222</w:t>
      </w:r>
      <w:r>
        <w:rPr>
          <w:sz w:val="20"/>
          <w:szCs w:val="24"/>
        </w:rPr>
        <w:tab/>
      </w:r>
      <w:r w:rsidR="00BC64F4">
        <w:rPr>
          <w:szCs w:val="24"/>
        </w:rPr>
        <w:t xml:space="preserve">Let me deal with some other broader points. </w:t>
      </w:r>
    </w:p>
    <w:p w14:paraId="18E76E62" w14:textId="779A1C4A" w:rsidR="00BC64F4" w:rsidRPr="00FA5506" w:rsidRDefault="0071710E" w:rsidP="0071710E">
      <w:pPr>
        <w:pStyle w:val="ParaNumbering"/>
        <w:numPr>
          <w:ilvl w:val="0"/>
          <w:numId w:val="0"/>
        </w:numPr>
        <w:tabs>
          <w:tab w:val="left" w:pos="720"/>
        </w:tabs>
        <w:ind w:hanging="720"/>
        <w:rPr>
          <w:szCs w:val="24"/>
        </w:rPr>
      </w:pPr>
      <w:r w:rsidRPr="00FA5506">
        <w:rPr>
          <w:sz w:val="20"/>
          <w:szCs w:val="24"/>
        </w:rPr>
        <w:t>223</w:t>
      </w:r>
      <w:r w:rsidRPr="00FA5506">
        <w:rPr>
          <w:sz w:val="20"/>
          <w:szCs w:val="24"/>
        </w:rPr>
        <w:tab/>
      </w:r>
      <w:r w:rsidR="00BC64F4">
        <w:rPr>
          <w:szCs w:val="24"/>
        </w:rPr>
        <w:t>First, notwithstanding t</w:t>
      </w:r>
      <w:r w:rsidR="00BC64F4" w:rsidRPr="00FA5506">
        <w:rPr>
          <w:szCs w:val="24"/>
        </w:rPr>
        <w:t xml:space="preserve">hat there is no </w:t>
      </w:r>
      <w:r w:rsidR="00BC64F4">
        <w:rPr>
          <w:szCs w:val="24"/>
        </w:rPr>
        <w:t xml:space="preserve">present </w:t>
      </w:r>
      <w:r w:rsidR="00BC64F4" w:rsidRPr="00FA5506">
        <w:rPr>
          <w:szCs w:val="24"/>
        </w:rPr>
        <w:t xml:space="preserve">application for a </w:t>
      </w:r>
      <w:r w:rsidR="00BC64F4">
        <w:rPr>
          <w:szCs w:val="24"/>
        </w:rPr>
        <w:t>s</w:t>
      </w:r>
      <w:r w:rsidR="00BC64F4" w:rsidRPr="00FA5506">
        <w:rPr>
          <w:szCs w:val="24"/>
        </w:rPr>
        <w:t>ettlement CFO under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xml:space="preserve"> does not </w:t>
      </w:r>
      <w:r w:rsidR="00BC64F4">
        <w:rPr>
          <w:szCs w:val="24"/>
        </w:rPr>
        <w:t xml:space="preserve">entail </w:t>
      </w:r>
      <w:r w:rsidR="00BC64F4" w:rsidRPr="00FA5506">
        <w:rPr>
          <w:szCs w:val="24"/>
        </w:rPr>
        <w:t xml:space="preserve">that the reserved question about the power to make such an order does not give rise to </w:t>
      </w:r>
      <w:r w:rsidR="00BC64F4">
        <w:rPr>
          <w:szCs w:val="24"/>
        </w:rPr>
        <w:t xml:space="preserve">or is part of a </w:t>
      </w:r>
      <w:r w:rsidR="00BC64F4" w:rsidRPr="00FA5506">
        <w:rPr>
          <w:szCs w:val="24"/>
        </w:rPr>
        <w:t>matter.</w:t>
      </w:r>
      <w:r w:rsidR="00BC64F4">
        <w:rPr>
          <w:szCs w:val="24"/>
        </w:rPr>
        <w:t xml:space="preserve"> </w:t>
      </w:r>
      <w:r w:rsidR="00BC64F4" w:rsidRPr="00FA5506">
        <w:rPr>
          <w:szCs w:val="24"/>
        </w:rPr>
        <w:t xml:space="preserve"> There is a genuine question whether </w:t>
      </w:r>
      <w:r w:rsidR="00BC64F4">
        <w:rPr>
          <w:szCs w:val="24"/>
        </w:rPr>
        <w:t>the C</w:t>
      </w:r>
      <w:r w:rsidR="00BC64F4" w:rsidRPr="00FA5506">
        <w:rPr>
          <w:szCs w:val="24"/>
        </w:rPr>
        <w:t xml:space="preserve">ourt is capable of making a </w:t>
      </w:r>
      <w:r w:rsidR="00BC64F4">
        <w:rPr>
          <w:szCs w:val="24"/>
        </w:rPr>
        <w:t>s</w:t>
      </w:r>
      <w:r w:rsidR="00BC64F4" w:rsidRPr="00FA5506">
        <w:rPr>
          <w:szCs w:val="24"/>
        </w:rPr>
        <w:t>ettlement CFO under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xml:space="preserve"> that</w:t>
      </w:r>
      <w:r w:rsidR="00BC64F4">
        <w:rPr>
          <w:szCs w:val="24"/>
        </w:rPr>
        <w:t xml:space="preserve"> now</w:t>
      </w:r>
      <w:r w:rsidR="00BC64F4" w:rsidRPr="00FA5506">
        <w:rPr>
          <w:szCs w:val="24"/>
        </w:rPr>
        <w:t xml:space="preserve"> arises in the course of determining the rights and obligations of the parties in the applications before the </w:t>
      </w:r>
      <w:r w:rsidR="00BC64F4">
        <w:rPr>
          <w:szCs w:val="24"/>
        </w:rPr>
        <w:t>C</w:t>
      </w:r>
      <w:r w:rsidR="00BC64F4" w:rsidRPr="00FA5506">
        <w:rPr>
          <w:szCs w:val="24"/>
        </w:rPr>
        <w:t>ourt in each proceeding.</w:t>
      </w:r>
      <w:r w:rsidR="00BC64F4">
        <w:rPr>
          <w:szCs w:val="24"/>
        </w:rPr>
        <w:t xml:space="preserve">  And it would not be premature to answer the reserved question. </w:t>
      </w:r>
    </w:p>
    <w:p w14:paraId="01825868" w14:textId="71A59034" w:rsidR="00BC64F4" w:rsidRPr="00FA5506" w:rsidRDefault="0071710E" w:rsidP="0071710E">
      <w:pPr>
        <w:pStyle w:val="ParaNumbering"/>
        <w:numPr>
          <w:ilvl w:val="0"/>
          <w:numId w:val="0"/>
        </w:numPr>
        <w:tabs>
          <w:tab w:val="left" w:pos="720"/>
        </w:tabs>
        <w:ind w:hanging="720"/>
        <w:rPr>
          <w:szCs w:val="24"/>
        </w:rPr>
      </w:pPr>
      <w:r w:rsidRPr="00FA5506">
        <w:rPr>
          <w:sz w:val="20"/>
          <w:szCs w:val="24"/>
        </w:rPr>
        <w:t>224</w:t>
      </w:r>
      <w:r w:rsidRPr="00FA5506">
        <w:rPr>
          <w:sz w:val="20"/>
          <w:szCs w:val="24"/>
        </w:rPr>
        <w:tab/>
      </w:r>
      <w:r w:rsidR="00BC64F4">
        <w:rPr>
          <w:szCs w:val="24"/>
        </w:rPr>
        <w:t>Second, it</w:t>
      </w:r>
      <w:r w:rsidR="00BC64F4" w:rsidRPr="00FA5506">
        <w:rPr>
          <w:szCs w:val="24"/>
        </w:rPr>
        <w:t xml:space="preserve"> is unnecessary for the answer to the reserved question to be significant or essential to the outcome of those applications</w:t>
      </w:r>
      <w:r w:rsidR="00BC64F4">
        <w:rPr>
          <w:szCs w:val="24"/>
        </w:rPr>
        <w:t>.  I</w:t>
      </w:r>
      <w:r w:rsidR="00BC64F4" w:rsidRPr="00FA5506">
        <w:rPr>
          <w:szCs w:val="24"/>
        </w:rPr>
        <w:t>ndeed, it is not necessary that the answer ultimately affects the outcome at all</w:t>
      </w:r>
      <w:r w:rsidR="00BC64F4">
        <w:rPr>
          <w:szCs w:val="24"/>
        </w:rPr>
        <w:t xml:space="preserve">.  </w:t>
      </w:r>
      <w:r w:rsidR="00BC64F4" w:rsidRPr="00FA5506">
        <w:rPr>
          <w:szCs w:val="24"/>
        </w:rPr>
        <w:t>It is sufficient that the answer to the reserved question may have some bearing.  In any event, the answer to the reserved questions is significant</w:t>
      </w:r>
      <w:r w:rsidR="00BC64F4">
        <w:rPr>
          <w:szCs w:val="24"/>
        </w:rPr>
        <w:t xml:space="preserve">. </w:t>
      </w:r>
    </w:p>
    <w:p w14:paraId="0086471B" w14:textId="23AE52A7" w:rsidR="00BC64F4" w:rsidRPr="00BC3824" w:rsidRDefault="0071710E" w:rsidP="0071710E">
      <w:pPr>
        <w:pStyle w:val="ParaNumbering"/>
        <w:numPr>
          <w:ilvl w:val="0"/>
          <w:numId w:val="0"/>
        </w:numPr>
        <w:ind w:hanging="720"/>
        <w:rPr>
          <w:szCs w:val="24"/>
        </w:rPr>
      </w:pPr>
      <w:r w:rsidRPr="00BC3824">
        <w:rPr>
          <w:sz w:val="20"/>
          <w:szCs w:val="24"/>
        </w:rPr>
        <w:t>225</w:t>
      </w:r>
      <w:r w:rsidRPr="00BC3824">
        <w:rPr>
          <w:sz w:val="20"/>
          <w:szCs w:val="24"/>
        </w:rPr>
        <w:tab/>
      </w:r>
      <w:r w:rsidR="00BC64F4">
        <w:rPr>
          <w:szCs w:val="24"/>
        </w:rPr>
        <w:t xml:space="preserve">Third, the power question that has been raised is part of the broader matter raised by the two proceedings in any event.  Each issue or sub-issue does not have to separately constitute a constitutional matter. </w:t>
      </w:r>
    </w:p>
    <w:p w14:paraId="3A628890" w14:textId="08FE6D28" w:rsidR="00BC64F4" w:rsidRPr="00624E1F" w:rsidRDefault="0071710E" w:rsidP="0071710E">
      <w:pPr>
        <w:pStyle w:val="ParaNumbering"/>
        <w:numPr>
          <w:ilvl w:val="0"/>
          <w:numId w:val="0"/>
        </w:numPr>
        <w:ind w:hanging="720"/>
      </w:pPr>
      <w:r w:rsidRPr="00624E1F">
        <w:rPr>
          <w:sz w:val="20"/>
        </w:rPr>
        <w:t>226</w:t>
      </w:r>
      <w:r w:rsidRPr="00624E1F">
        <w:rPr>
          <w:sz w:val="20"/>
        </w:rPr>
        <w:tab/>
      </w:r>
      <w:r w:rsidR="00BC64F4">
        <w:rPr>
          <w:szCs w:val="24"/>
        </w:rPr>
        <w:t xml:space="preserve">Fourth, not only is there a matter before the Court, but answering the reserved question has, as both Lee J and I have indicated, real and immediate utility.  And it is not </w:t>
      </w:r>
      <w:r w:rsidR="00BC64F4" w:rsidRPr="008E207F">
        <w:rPr>
          <w:szCs w:val="24"/>
        </w:rPr>
        <w:t>premature for this Court to determine the reserved question</w:t>
      </w:r>
      <w:r w:rsidR="00BC64F4">
        <w:rPr>
          <w:szCs w:val="24"/>
        </w:rPr>
        <w:t xml:space="preserve">, </w:t>
      </w:r>
      <w:r w:rsidR="00BC64F4" w:rsidRPr="008E207F">
        <w:rPr>
          <w:szCs w:val="24"/>
        </w:rPr>
        <w:t xml:space="preserve">in circumstances where the question arises directly in the applications before the </w:t>
      </w:r>
      <w:r w:rsidR="00BC64F4">
        <w:rPr>
          <w:szCs w:val="24"/>
        </w:rPr>
        <w:t xml:space="preserve">docket judge, with the controversy live before him and as alive before us given the reservation for our consideration. </w:t>
      </w:r>
    </w:p>
    <w:p w14:paraId="711DD2AA" w14:textId="293FA089" w:rsidR="00BC64F4" w:rsidRPr="00624E1F" w:rsidRDefault="0071710E" w:rsidP="0071710E">
      <w:pPr>
        <w:pStyle w:val="ParaNumbering"/>
        <w:numPr>
          <w:ilvl w:val="0"/>
          <w:numId w:val="0"/>
        </w:numPr>
        <w:ind w:hanging="720"/>
      </w:pPr>
      <w:r w:rsidRPr="00624E1F">
        <w:rPr>
          <w:sz w:val="20"/>
        </w:rPr>
        <w:t>227</w:t>
      </w:r>
      <w:r w:rsidRPr="00624E1F">
        <w:rPr>
          <w:sz w:val="20"/>
        </w:rPr>
        <w:tab/>
      </w:r>
      <w:r w:rsidR="00BC64F4">
        <w:rPr>
          <w:szCs w:val="24"/>
        </w:rPr>
        <w:t xml:space="preserve">Let me turn to the second question raised by the contradictor. </w:t>
      </w:r>
    </w:p>
    <w:p w14:paraId="2027A6E4" w14:textId="77777777" w:rsidR="00BC64F4" w:rsidRDefault="00BC64F4" w:rsidP="00BC64F4">
      <w:pPr>
        <w:pStyle w:val="Heading4"/>
      </w:pPr>
      <w:r>
        <w:t>Judicial power – the creation of new rights and obligations</w:t>
      </w:r>
    </w:p>
    <w:p w14:paraId="2C3A384B" w14:textId="3DB37942" w:rsidR="00BC64F4" w:rsidRDefault="0071710E" w:rsidP="0071710E">
      <w:pPr>
        <w:pStyle w:val="ParaNumbering"/>
        <w:numPr>
          <w:ilvl w:val="0"/>
          <w:numId w:val="0"/>
        </w:numPr>
        <w:ind w:hanging="720"/>
      </w:pPr>
      <w:r>
        <w:rPr>
          <w:sz w:val="20"/>
        </w:rPr>
        <w:t>228</w:t>
      </w:r>
      <w:r>
        <w:rPr>
          <w:sz w:val="20"/>
        </w:rPr>
        <w:tab/>
      </w:r>
      <w:r w:rsidR="00BC64F4">
        <w:rPr>
          <w:szCs w:val="24"/>
        </w:rPr>
        <w:t>T</w:t>
      </w:r>
      <w:r w:rsidR="00BC64F4" w:rsidRPr="008C64ED">
        <w:rPr>
          <w:szCs w:val="24"/>
        </w:rPr>
        <w:t>he contradictor submits that the making of a settlement CFO pursuant to s 33</w:t>
      </w:r>
      <w:proofErr w:type="gramStart"/>
      <w:r w:rsidR="00BC64F4" w:rsidRPr="008C64ED">
        <w:rPr>
          <w:szCs w:val="24"/>
        </w:rPr>
        <w:t>V</w:t>
      </w:r>
      <w:r w:rsidR="00BC64F4">
        <w:rPr>
          <w:szCs w:val="24"/>
        </w:rPr>
        <w:t>(</w:t>
      </w:r>
      <w:proofErr w:type="gramEnd"/>
      <w:r w:rsidR="00BC64F4">
        <w:rPr>
          <w:szCs w:val="24"/>
        </w:rPr>
        <w:t>2)</w:t>
      </w:r>
      <w:r w:rsidR="00BC64F4" w:rsidRPr="008C64ED">
        <w:rPr>
          <w:szCs w:val="24"/>
        </w:rPr>
        <w:t xml:space="preserve"> does not fall within the judicial power of the Commonwealth for two reasons</w:t>
      </w:r>
      <w:r w:rsidR="00BC64F4">
        <w:rPr>
          <w:szCs w:val="24"/>
        </w:rPr>
        <w:t xml:space="preserve">.  </w:t>
      </w:r>
      <w:r w:rsidR="00BC64F4" w:rsidRPr="008C64ED">
        <w:rPr>
          <w:szCs w:val="24"/>
        </w:rPr>
        <w:t>First, it is said that it would involve the creation of new rights and obligations for which the FCA Act does not provide</w:t>
      </w:r>
      <w:r w:rsidR="00BC64F4">
        <w:rPr>
          <w:szCs w:val="24"/>
        </w:rPr>
        <w:t xml:space="preserve">.  </w:t>
      </w:r>
      <w:r w:rsidR="00BC64F4" w:rsidRPr="008C64ED">
        <w:rPr>
          <w:szCs w:val="24"/>
        </w:rPr>
        <w:t>Second, it is said that it would involve the application of non-judicial, policy considerations in quantifying the amount of commission to be paid.</w:t>
      </w:r>
    </w:p>
    <w:p w14:paraId="508E6951" w14:textId="4402E261" w:rsidR="00BC64F4" w:rsidRDefault="0071710E" w:rsidP="0071710E">
      <w:pPr>
        <w:pStyle w:val="ParaNumbering"/>
        <w:numPr>
          <w:ilvl w:val="0"/>
          <w:numId w:val="0"/>
        </w:numPr>
        <w:ind w:hanging="720"/>
      </w:pPr>
      <w:r>
        <w:rPr>
          <w:sz w:val="20"/>
        </w:rPr>
        <w:t>229</w:t>
      </w:r>
      <w:r>
        <w:rPr>
          <w:sz w:val="20"/>
        </w:rPr>
        <w:tab/>
      </w:r>
      <w:r w:rsidR="00BC64F4">
        <w:t xml:space="preserve">Let me begin by addressing the first point. </w:t>
      </w:r>
    </w:p>
    <w:p w14:paraId="026B1AA0" w14:textId="4F9FE437" w:rsidR="00BC64F4" w:rsidRDefault="0071710E" w:rsidP="0071710E">
      <w:pPr>
        <w:pStyle w:val="ParaNumbering"/>
        <w:numPr>
          <w:ilvl w:val="0"/>
          <w:numId w:val="0"/>
        </w:numPr>
        <w:ind w:hanging="720"/>
      </w:pPr>
      <w:r>
        <w:rPr>
          <w:sz w:val="20"/>
        </w:rPr>
        <w:t>230</w:t>
      </w:r>
      <w:r>
        <w:rPr>
          <w:sz w:val="20"/>
        </w:rPr>
        <w:tab/>
      </w:r>
      <w:r w:rsidR="00BC64F4">
        <w:t xml:space="preserve">The contradictor says that the creation of new rights and obligation is </w:t>
      </w:r>
      <w:r w:rsidR="00BC64F4" w:rsidRPr="008E207F">
        <w:t>prima facie</w:t>
      </w:r>
      <w:r w:rsidR="00BC64F4">
        <w:t xml:space="preserve"> outside the realm of judicial power where the object of the adjudication is not to resolve a dispute about determining existing rights and obligations, but instead about determining what rights and obligations </w:t>
      </w:r>
      <w:r w:rsidR="00BC64F4" w:rsidRPr="008E207F">
        <w:t>should be created</w:t>
      </w:r>
      <w:r w:rsidR="00BC64F4" w:rsidRPr="00E21112">
        <w:rPr>
          <w:i/>
        </w:rPr>
        <w:t>.</w:t>
      </w:r>
      <w:r w:rsidR="00BC64F4">
        <w:t xml:space="preserve">  </w:t>
      </w:r>
    </w:p>
    <w:p w14:paraId="61E92991" w14:textId="2944CE02" w:rsidR="00BC64F4" w:rsidRDefault="0071710E" w:rsidP="0071710E">
      <w:pPr>
        <w:pStyle w:val="ParaNumbering"/>
        <w:numPr>
          <w:ilvl w:val="0"/>
          <w:numId w:val="0"/>
        </w:numPr>
        <w:ind w:hanging="720"/>
      </w:pPr>
      <w:r>
        <w:rPr>
          <w:sz w:val="20"/>
        </w:rPr>
        <w:t>231</w:t>
      </w:r>
      <w:r>
        <w:rPr>
          <w:sz w:val="20"/>
        </w:rPr>
        <w:tab/>
      </w:r>
      <w:r w:rsidR="00BC64F4">
        <w:t>The contradictor says that a CFO would create new rights and obligations as between the unfunded group members and the funder where no such rights otherwise exist.  Additionally, it is said that a CFO invites the Court to order the establishment of a relationship between unfunded group members and the funder.</w:t>
      </w:r>
    </w:p>
    <w:p w14:paraId="48EC776B" w14:textId="48BD8284" w:rsidR="00BC64F4" w:rsidRDefault="0071710E" w:rsidP="0071710E">
      <w:pPr>
        <w:pStyle w:val="ParaNumbering"/>
        <w:numPr>
          <w:ilvl w:val="0"/>
          <w:numId w:val="0"/>
        </w:numPr>
        <w:tabs>
          <w:tab w:val="left" w:pos="720"/>
        </w:tabs>
        <w:ind w:hanging="720"/>
      </w:pPr>
      <w:r>
        <w:rPr>
          <w:sz w:val="20"/>
        </w:rPr>
        <w:t>232</w:t>
      </w:r>
      <w:r>
        <w:rPr>
          <w:sz w:val="20"/>
        </w:rPr>
        <w:tab/>
      </w:r>
      <w:r w:rsidR="00BC64F4">
        <w:t>It is said that no other part of the FCA Act could be seen to allow for the creation of rights and obligations in the context of a settlement of a Part IVA proceeding.  Moreover, it is said that the failed constitutional challenge over 20 years ago to the s 33J opt out mechanism does not preclude the conclusion that s 33V would impermissibly create new rights and obligations as between the unfunded group members and the funder if invoked to make settlement CFOs.  It is said that unlike s 33V, s 33J is clearly intended to create rights and obligations.</w:t>
      </w:r>
    </w:p>
    <w:p w14:paraId="32AE2940" w14:textId="4572308E" w:rsidR="00BC64F4" w:rsidRDefault="0071710E" w:rsidP="0071710E">
      <w:pPr>
        <w:pStyle w:val="ParaNumbering"/>
        <w:numPr>
          <w:ilvl w:val="0"/>
          <w:numId w:val="0"/>
        </w:numPr>
        <w:tabs>
          <w:tab w:val="left" w:pos="720"/>
        </w:tabs>
        <w:ind w:hanging="720"/>
      </w:pPr>
      <w:r>
        <w:rPr>
          <w:sz w:val="20"/>
        </w:rPr>
        <w:t>233</w:t>
      </w:r>
      <w:r>
        <w:rPr>
          <w:sz w:val="20"/>
        </w:rPr>
        <w:tab/>
      </w:r>
      <w:r w:rsidR="00BC64F4">
        <w:t xml:space="preserve">The contradictor says that it is a point of distinction that a settlement CFO involves the creation of new rights and obligations involving third parties. It is said that those new rights and obligations are not merely rights and obligations between the parties and group members </w:t>
      </w:r>
      <w:r w:rsidR="00BC64F4" w:rsidRPr="00042F6A">
        <w:rPr>
          <w:i/>
        </w:rPr>
        <w:t>inter se</w:t>
      </w:r>
      <w:r w:rsidR="00BC64F4">
        <w:t>.  It is said that they also relate to the creation of new rights and obligations as between the unfunded group members and a third party with whom they otherwise have no legal relationship.</w:t>
      </w:r>
    </w:p>
    <w:p w14:paraId="5E714CDF" w14:textId="3DF0441F" w:rsidR="00BC64F4" w:rsidRDefault="0071710E" w:rsidP="0071710E">
      <w:pPr>
        <w:pStyle w:val="ParaNumbering"/>
        <w:numPr>
          <w:ilvl w:val="0"/>
          <w:numId w:val="0"/>
        </w:numPr>
        <w:tabs>
          <w:tab w:val="left" w:pos="720"/>
        </w:tabs>
        <w:ind w:hanging="720"/>
      </w:pPr>
      <w:r>
        <w:rPr>
          <w:sz w:val="20"/>
        </w:rPr>
        <w:t>234</w:t>
      </w:r>
      <w:r>
        <w:rPr>
          <w:sz w:val="20"/>
        </w:rPr>
        <w:tab/>
      </w:r>
      <w:r w:rsidR="00BC64F4">
        <w:t>Further, the contradictor says that it is not correct to say that a settlement CFO merely affects the representative party, the funder and the person holding the fund, or that it is directed only at the trustee or administrator of the fund.</w:t>
      </w:r>
    </w:p>
    <w:p w14:paraId="3B9EF1EF" w14:textId="44F674EB" w:rsidR="00BC64F4" w:rsidRDefault="0071710E" w:rsidP="0071710E">
      <w:pPr>
        <w:pStyle w:val="ParaNumbering"/>
        <w:numPr>
          <w:ilvl w:val="0"/>
          <w:numId w:val="0"/>
        </w:numPr>
        <w:tabs>
          <w:tab w:val="left" w:pos="720"/>
        </w:tabs>
        <w:ind w:hanging="720"/>
      </w:pPr>
      <w:r>
        <w:rPr>
          <w:sz w:val="20"/>
        </w:rPr>
        <w:t>235</w:t>
      </w:r>
      <w:r>
        <w:rPr>
          <w:sz w:val="20"/>
        </w:rPr>
        <w:tab/>
      </w:r>
      <w:r w:rsidR="00BC64F4">
        <w:t>It is said that this is so because the unfunded group members, being bound by any such settlement, will also have an equity in the fund, or at the least a claim on the fund, which crystallises upon proving their status as a group member.  It is said that any order under s 33</w:t>
      </w:r>
      <w:proofErr w:type="gramStart"/>
      <w:r w:rsidR="00BC64F4">
        <w:t>V(</w:t>
      </w:r>
      <w:proofErr w:type="gramEnd"/>
      <w:r w:rsidR="00BC64F4">
        <w:t>2) with respect to the distribution of the fund is therefore bound to affect them, and create rights and obligations as between them and the funder.  It is said that the position is even stronger where the fund is ascertained.  Conversely, it is said that a funder has no antecedent interest in the fund, or not one that is superior to that of a group member.</w:t>
      </w:r>
    </w:p>
    <w:p w14:paraId="5BB43F61" w14:textId="5E7B8DA9" w:rsidR="00BC64F4" w:rsidRDefault="0071710E" w:rsidP="0071710E">
      <w:pPr>
        <w:pStyle w:val="ParaNumbering"/>
        <w:numPr>
          <w:ilvl w:val="0"/>
          <w:numId w:val="0"/>
        </w:numPr>
        <w:ind w:hanging="720"/>
      </w:pPr>
      <w:r>
        <w:rPr>
          <w:sz w:val="20"/>
        </w:rPr>
        <w:t>236</w:t>
      </w:r>
      <w:r>
        <w:rPr>
          <w:sz w:val="20"/>
        </w:rPr>
        <w:tab/>
      </w:r>
      <w:r w:rsidR="00BC64F4">
        <w:t xml:space="preserve">Now the contradictor accepts that the creation of rights or obligations is not always inimical to judicial power, especially where such rights and obligations are created pursuant to interlocutory orders.  Nonetheless, the contradictor says that </w:t>
      </w:r>
      <w:proofErr w:type="gramStart"/>
      <w:r w:rsidR="00BC64F4">
        <w:t>it is clear that a</w:t>
      </w:r>
      <w:proofErr w:type="gramEnd"/>
      <w:r w:rsidR="00BC64F4">
        <w:t xml:space="preserve"> purported exercise of a largely unfettered statutory power which creates new rights or obligations will, in the absence of certain conditions, generally not be a proper exercise of judicial power.</w:t>
      </w:r>
    </w:p>
    <w:p w14:paraId="2CF0591C" w14:textId="7D8E7DC3" w:rsidR="00BC64F4" w:rsidRDefault="0071710E" w:rsidP="0071710E">
      <w:pPr>
        <w:pStyle w:val="ParaNumbering"/>
        <w:numPr>
          <w:ilvl w:val="0"/>
          <w:numId w:val="0"/>
        </w:numPr>
        <w:tabs>
          <w:tab w:val="left" w:pos="720"/>
        </w:tabs>
        <w:ind w:hanging="720"/>
      </w:pPr>
      <w:r>
        <w:rPr>
          <w:sz w:val="20"/>
        </w:rPr>
        <w:t>237</w:t>
      </w:r>
      <w:r>
        <w:rPr>
          <w:sz w:val="20"/>
        </w:rPr>
        <w:tab/>
      </w:r>
      <w:r w:rsidR="00BC64F4">
        <w:t xml:space="preserve">Now in </w:t>
      </w:r>
      <w:r w:rsidR="00BC64F4" w:rsidRPr="009B705E">
        <w:rPr>
          <w:i/>
        </w:rPr>
        <w:t xml:space="preserve">Cominos v Cominos </w:t>
      </w:r>
      <w:r w:rsidR="00BC64F4">
        <w:t xml:space="preserve">(1972) 127 CLR 588 it was held to be within judicial power to make property settlement orders in the context of a matrimonial dispute.  In that case the applicable statutory power allowed the court to make such orders that it considered to be “just and equitable” and as “necessary … to do justice”.  But the contradictor says that there are two important distinctions between the sources of statutory power in </w:t>
      </w:r>
      <w:r w:rsidR="00BC64F4" w:rsidRPr="009B705E">
        <w:rPr>
          <w:i/>
        </w:rPr>
        <w:t>Cominos</w:t>
      </w:r>
      <w:r w:rsidR="00BC64F4">
        <w:t xml:space="preserve"> and s 33</w:t>
      </w:r>
      <w:proofErr w:type="gramStart"/>
      <w:r w:rsidR="00BC64F4">
        <w:t>V(</w:t>
      </w:r>
      <w:proofErr w:type="gramEnd"/>
      <w:r w:rsidR="00BC64F4">
        <w:t xml:space="preserve">2) of the FCA Act. </w:t>
      </w:r>
    </w:p>
    <w:p w14:paraId="1B975E17" w14:textId="372E12A8" w:rsidR="00BC64F4" w:rsidRDefault="0071710E" w:rsidP="0071710E">
      <w:pPr>
        <w:pStyle w:val="ParaNumbering"/>
        <w:numPr>
          <w:ilvl w:val="0"/>
          <w:numId w:val="0"/>
        </w:numPr>
        <w:tabs>
          <w:tab w:val="left" w:pos="720"/>
        </w:tabs>
        <w:ind w:hanging="720"/>
      </w:pPr>
      <w:r>
        <w:rPr>
          <w:sz w:val="20"/>
        </w:rPr>
        <w:t>238</w:t>
      </w:r>
      <w:r>
        <w:rPr>
          <w:sz w:val="20"/>
        </w:rPr>
        <w:tab/>
      </w:r>
      <w:r w:rsidR="00BC64F4">
        <w:t xml:space="preserve">First, it was said that the statute in question in </w:t>
      </w:r>
      <w:r w:rsidR="00BC64F4" w:rsidRPr="009B705E">
        <w:rPr>
          <w:i/>
        </w:rPr>
        <w:t>Cominos</w:t>
      </w:r>
      <w:r w:rsidR="00BC64F4">
        <w:t xml:space="preserve"> expressly empowered the court to create or modify rights and obligations </w:t>
      </w:r>
      <w:r w:rsidR="00BC64F4" w:rsidRPr="00F8446E">
        <w:t xml:space="preserve">only as between the nuptial parties.  </w:t>
      </w:r>
      <w:r w:rsidR="00BC64F4">
        <w:t xml:space="preserve">It was said that whilst </w:t>
      </w:r>
      <w:r w:rsidR="00BC64F4" w:rsidRPr="00F8446E">
        <w:t>the</w:t>
      </w:r>
      <w:r w:rsidR="00BC64F4" w:rsidRPr="009B705E">
        <w:t xml:space="preserve"> statute in question enabled the </w:t>
      </w:r>
      <w:r w:rsidR="00BC64F4">
        <w:t>c</w:t>
      </w:r>
      <w:r w:rsidR="00BC64F4" w:rsidRPr="009B705E">
        <w:t xml:space="preserve">ourt to make orders including for the benefit of any children of the marriage and therefore allowed the </w:t>
      </w:r>
      <w:r w:rsidR="00BC64F4">
        <w:t>c</w:t>
      </w:r>
      <w:r w:rsidR="00BC64F4" w:rsidRPr="009B705E">
        <w:t>ourt to take into account the children</w:t>
      </w:r>
      <w:r w:rsidR="00BC64F4">
        <w:t>’</w:t>
      </w:r>
      <w:r w:rsidR="00BC64F4" w:rsidRPr="009B705E">
        <w:t xml:space="preserve">s interests, the power to effect a property settlement, </w:t>
      </w:r>
      <w:r w:rsidR="00BC64F4">
        <w:t>that is,</w:t>
      </w:r>
      <w:r w:rsidR="00BC64F4" w:rsidRPr="009B705E">
        <w:t xml:space="preserve"> to create and vary rights and obligations, was not stated to extend beyond the nuptial parties themselves</w:t>
      </w:r>
      <w:r w:rsidR="00BC64F4">
        <w:t xml:space="preserve">; </w:t>
      </w:r>
      <w:r w:rsidR="00BC64F4" w:rsidRPr="009B705E">
        <w:t>see s</w:t>
      </w:r>
      <w:r w:rsidR="00BC64F4">
        <w:t>s</w:t>
      </w:r>
      <w:r w:rsidR="00BC64F4" w:rsidRPr="009B705E">
        <w:t xml:space="preserve"> 86(1) and (2) of the </w:t>
      </w:r>
      <w:r w:rsidR="00BC64F4" w:rsidRPr="009B705E">
        <w:rPr>
          <w:i/>
        </w:rPr>
        <w:t>Matrimonial Causes Act 1959-1966</w:t>
      </w:r>
      <w:r w:rsidR="00BC64F4">
        <w:t xml:space="preserve"> (</w:t>
      </w:r>
      <w:proofErr w:type="spellStart"/>
      <w:r w:rsidR="00BC64F4">
        <w:t>Cth</w:t>
      </w:r>
      <w:proofErr w:type="spellEnd"/>
      <w:r w:rsidR="00BC64F4">
        <w:t>)</w:t>
      </w:r>
      <w:r w:rsidR="00BC64F4" w:rsidRPr="009B705E">
        <w:t>.</w:t>
      </w:r>
      <w:r w:rsidR="00BC64F4">
        <w:t xml:space="preserve"> </w:t>
      </w:r>
      <w:r w:rsidR="00BC64F4" w:rsidRPr="009B705E">
        <w:t xml:space="preserve"> In any event,</w:t>
      </w:r>
      <w:r w:rsidR="00BC64F4">
        <w:t xml:space="preserve"> it was said that</w:t>
      </w:r>
      <w:r w:rsidR="00BC64F4" w:rsidRPr="009B705E">
        <w:t xml:space="preserve"> no party in </w:t>
      </w:r>
      <w:r w:rsidR="00BC64F4" w:rsidRPr="009B705E">
        <w:rPr>
          <w:i/>
        </w:rPr>
        <w:t>Cominos</w:t>
      </w:r>
      <w:r w:rsidR="00BC64F4" w:rsidRPr="009B705E">
        <w:t xml:space="preserve"> sought to argue that the statute enabled the </w:t>
      </w:r>
      <w:r w:rsidR="00BC64F4">
        <w:t>c</w:t>
      </w:r>
      <w:r w:rsidR="00BC64F4" w:rsidRPr="009B705E">
        <w:t>ourt to create rights in favour of, or obligations on the part of, any non-party children.</w:t>
      </w:r>
    </w:p>
    <w:p w14:paraId="190166CF" w14:textId="3E9D64BA" w:rsidR="00BC64F4" w:rsidRDefault="0071710E" w:rsidP="0071710E">
      <w:pPr>
        <w:pStyle w:val="ParaNumbering"/>
        <w:numPr>
          <w:ilvl w:val="0"/>
          <w:numId w:val="0"/>
        </w:numPr>
        <w:tabs>
          <w:tab w:val="left" w:pos="720"/>
        </w:tabs>
        <w:ind w:hanging="720"/>
      </w:pPr>
      <w:r>
        <w:rPr>
          <w:sz w:val="20"/>
        </w:rPr>
        <w:t>239</w:t>
      </w:r>
      <w:r>
        <w:rPr>
          <w:sz w:val="20"/>
        </w:rPr>
        <w:tab/>
      </w:r>
      <w:r w:rsidR="00BC64F4">
        <w:t xml:space="preserve">Second, it was said that the context and historical basis of the matrimonial jurisdiction in </w:t>
      </w:r>
      <w:r w:rsidR="00BC64F4" w:rsidRPr="009B705E">
        <w:rPr>
          <w:i/>
        </w:rPr>
        <w:t xml:space="preserve">Cominos </w:t>
      </w:r>
      <w:r w:rsidR="00BC64F4">
        <w:t xml:space="preserve">was a significant consideration justifying the characterisation of the statutory power in that case.  </w:t>
      </w:r>
    </w:p>
    <w:p w14:paraId="65D1CD7E" w14:textId="6EE76869" w:rsidR="00BC64F4" w:rsidRDefault="0071710E" w:rsidP="0071710E">
      <w:pPr>
        <w:pStyle w:val="ParaNumbering"/>
        <w:numPr>
          <w:ilvl w:val="0"/>
          <w:numId w:val="0"/>
        </w:numPr>
        <w:tabs>
          <w:tab w:val="left" w:pos="720"/>
        </w:tabs>
        <w:ind w:hanging="720"/>
      </w:pPr>
      <w:r>
        <w:rPr>
          <w:sz w:val="20"/>
        </w:rPr>
        <w:t>240</w:t>
      </w:r>
      <w:r>
        <w:rPr>
          <w:sz w:val="20"/>
        </w:rPr>
        <w:tab/>
      </w:r>
      <w:r w:rsidR="00BC64F4">
        <w:t>The contradictor says that both these factors enabled the Court to determine that the exercise of statutory power in question had been judicial.</w:t>
      </w:r>
    </w:p>
    <w:p w14:paraId="3CC540C0" w14:textId="672AC57E" w:rsidR="00BC64F4" w:rsidRDefault="0071710E" w:rsidP="0071710E">
      <w:pPr>
        <w:pStyle w:val="ParaNumbering"/>
        <w:numPr>
          <w:ilvl w:val="0"/>
          <w:numId w:val="0"/>
        </w:numPr>
        <w:tabs>
          <w:tab w:val="left" w:pos="720"/>
        </w:tabs>
        <w:ind w:hanging="720"/>
      </w:pPr>
      <w:r>
        <w:rPr>
          <w:sz w:val="20"/>
        </w:rPr>
        <w:t>241</w:t>
      </w:r>
      <w:r>
        <w:rPr>
          <w:sz w:val="20"/>
        </w:rPr>
        <w:tab/>
      </w:r>
      <w:r w:rsidR="00BC64F4">
        <w:t>Conversely, the contradictor says that in the present context, the use of s 33</w:t>
      </w:r>
      <w:proofErr w:type="gramStart"/>
      <w:r w:rsidR="00BC64F4">
        <w:t>V(</w:t>
      </w:r>
      <w:proofErr w:type="gramEnd"/>
      <w:r w:rsidR="00BC64F4">
        <w:t xml:space="preserve">2) to make a settlement CFO would sanction the distribution of group member funds to a non-party, thereby preferring the interests of a funder over unfunded group members.  It is said that this is a different proposition to the outcome sanctioned in </w:t>
      </w:r>
      <w:r w:rsidR="00BC64F4" w:rsidRPr="009B705E">
        <w:rPr>
          <w:i/>
        </w:rPr>
        <w:t>Cominos</w:t>
      </w:r>
      <w:r w:rsidR="00BC64F4">
        <w:t xml:space="preserve"> and finds no support in the scheme of Part IVA.</w:t>
      </w:r>
    </w:p>
    <w:p w14:paraId="7651E7C1" w14:textId="5E7C71E8" w:rsidR="00BC64F4" w:rsidRDefault="0071710E" w:rsidP="0071710E">
      <w:pPr>
        <w:pStyle w:val="ParaNumbering"/>
        <w:numPr>
          <w:ilvl w:val="0"/>
          <w:numId w:val="0"/>
        </w:numPr>
        <w:tabs>
          <w:tab w:val="left" w:pos="720"/>
        </w:tabs>
        <w:ind w:hanging="720"/>
      </w:pPr>
      <w:r>
        <w:rPr>
          <w:sz w:val="20"/>
        </w:rPr>
        <w:t>242</w:t>
      </w:r>
      <w:r>
        <w:rPr>
          <w:sz w:val="20"/>
        </w:rPr>
        <w:tab/>
      </w:r>
      <w:r w:rsidR="00BC64F4">
        <w:t>Further, the contradictor says that there is no authority where a Court has held that it is consistent with judicial power to make orders creating rights and obligations in favour of non-parties where such a power is not referred to and conferred through the express terms of the statute.  In this case the third party in question is a funder.</w:t>
      </w:r>
    </w:p>
    <w:p w14:paraId="3F34C76E" w14:textId="5C8B139E" w:rsidR="00BC64F4" w:rsidRDefault="0071710E" w:rsidP="0071710E">
      <w:pPr>
        <w:pStyle w:val="ParaNumbering"/>
        <w:numPr>
          <w:ilvl w:val="0"/>
          <w:numId w:val="0"/>
        </w:numPr>
        <w:tabs>
          <w:tab w:val="left" w:pos="720"/>
        </w:tabs>
        <w:ind w:hanging="720"/>
      </w:pPr>
      <w:r>
        <w:rPr>
          <w:sz w:val="20"/>
        </w:rPr>
        <w:t>243</w:t>
      </w:r>
      <w:r>
        <w:rPr>
          <w:sz w:val="20"/>
        </w:rPr>
        <w:tab/>
      </w:r>
      <w:r w:rsidR="00BC64F4">
        <w:t>Generally, the contradictor says that the rights and obligations that would be created by a settlement CFO would be entirely new.  It is said that a settlement CFO does not simply recognise and give effect to rights that differed from a previously settled understanding.  No rights previously existed as between the unfunded group members and the funder, and there is no pre-existing right or obligation between them for the Court to adjudicate on.</w:t>
      </w:r>
    </w:p>
    <w:p w14:paraId="66D3AB96" w14:textId="2677C9F2" w:rsidR="00BC64F4" w:rsidRDefault="0071710E" w:rsidP="0071710E">
      <w:pPr>
        <w:pStyle w:val="ParaNumbering"/>
        <w:numPr>
          <w:ilvl w:val="0"/>
          <w:numId w:val="0"/>
        </w:numPr>
        <w:tabs>
          <w:tab w:val="left" w:pos="720"/>
        </w:tabs>
        <w:ind w:hanging="720"/>
      </w:pPr>
      <w:r>
        <w:rPr>
          <w:sz w:val="20"/>
        </w:rPr>
        <w:t>244</w:t>
      </w:r>
      <w:r>
        <w:rPr>
          <w:sz w:val="20"/>
        </w:rPr>
        <w:tab/>
      </w:r>
      <w:r w:rsidR="00BC64F4">
        <w:t xml:space="preserve">I would reject the contradictor’s arguments concerning this first dimension to his judicial power argument.  Let me begin with some general concepts before specifically addressing the contradictor’s points concerning the creation of new rights and obligations. </w:t>
      </w:r>
    </w:p>
    <w:p w14:paraId="616A9785" w14:textId="411D9206" w:rsidR="00BC64F4" w:rsidRDefault="0071710E" w:rsidP="0071710E">
      <w:pPr>
        <w:pStyle w:val="ParaNumbering"/>
        <w:numPr>
          <w:ilvl w:val="0"/>
          <w:numId w:val="0"/>
        </w:numPr>
        <w:tabs>
          <w:tab w:val="left" w:pos="720"/>
        </w:tabs>
        <w:ind w:hanging="720"/>
      </w:pPr>
      <w:r>
        <w:rPr>
          <w:sz w:val="20"/>
        </w:rPr>
        <w:t>245</w:t>
      </w:r>
      <w:r>
        <w:rPr>
          <w:sz w:val="20"/>
        </w:rPr>
        <w:tab/>
      </w:r>
      <w:r w:rsidR="00BC64F4">
        <w:t xml:space="preserve">The concepts of judicial and non-judicial power are not mutually exclusive.  The legislature may commit some functions to courts falling within Chapter III although much the same function might be performed administratively.  </w:t>
      </w:r>
    </w:p>
    <w:p w14:paraId="5143B716" w14:textId="51017CCC" w:rsidR="00BC64F4" w:rsidRDefault="0071710E" w:rsidP="0071710E">
      <w:pPr>
        <w:pStyle w:val="ParaNumbering"/>
        <w:numPr>
          <w:ilvl w:val="0"/>
          <w:numId w:val="0"/>
        </w:numPr>
        <w:tabs>
          <w:tab w:val="left" w:pos="720"/>
        </w:tabs>
        <w:ind w:hanging="720"/>
      </w:pPr>
      <w:r>
        <w:rPr>
          <w:sz w:val="20"/>
        </w:rPr>
        <w:t>246</w:t>
      </w:r>
      <w:r>
        <w:rPr>
          <w:sz w:val="20"/>
        </w:rPr>
        <w:tab/>
      </w:r>
      <w:r w:rsidR="00BC64F4">
        <w:t xml:space="preserve">Where a power is conferred on a court, the focus of inquiry is not whether the power falls within the core or heart of judicial power.  Instead, the determinative question is whether the power is inherently non-judicial because it is directed to an ultimate end which is peculiarly legislative or </w:t>
      </w:r>
      <w:proofErr w:type="gramStart"/>
      <w:r w:rsidR="00BC64F4">
        <w:t>executive, or</w:t>
      </w:r>
      <w:proofErr w:type="gramEnd"/>
      <w:r w:rsidR="00BC64F4">
        <w:t xml:space="preserve"> is otherwise incapable of being exercised judicially. </w:t>
      </w:r>
    </w:p>
    <w:p w14:paraId="2DD3A4CE" w14:textId="42019016" w:rsidR="00BC64F4" w:rsidRDefault="0071710E" w:rsidP="0071710E">
      <w:pPr>
        <w:pStyle w:val="ParaNumbering"/>
        <w:numPr>
          <w:ilvl w:val="0"/>
          <w:numId w:val="0"/>
        </w:numPr>
        <w:ind w:hanging="720"/>
      </w:pPr>
      <w:r>
        <w:rPr>
          <w:sz w:val="20"/>
        </w:rPr>
        <w:t>247</w:t>
      </w:r>
      <w:r>
        <w:rPr>
          <w:sz w:val="20"/>
        </w:rPr>
        <w:tab/>
      </w:r>
      <w:r w:rsidR="00BC64F4">
        <w:t xml:space="preserve">In contrast, where a power is conferred on a non-court, the determinative question is different.  In those cases, the determinative question is whether the power is essentially and exclusively judicial. As Gummow and Crennan JJ explained in </w:t>
      </w:r>
      <w:r w:rsidR="00BC64F4">
        <w:rPr>
          <w:i/>
        </w:rPr>
        <w:t xml:space="preserve">Thomas v Mowbray </w:t>
      </w:r>
      <w:r w:rsidR="00BC64F4">
        <w:t>(2007) 233 CLR 307 at [88], “[c]</w:t>
      </w:r>
      <w:proofErr w:type="gramStart"/>
      <w:r w:rsidR="00BC64F4">
        <w:t>are is</w:t>
      </w:r>
      <w:proofErr w:type="gramEnd"/>
      <w:r w:rsidR="00BC64F4">
        <w:t xml:space="preserve"> needed in considering the authorities in this field.  The vantage point from which the issues were presented is significant.”</w:t>
      </w:r>
    </w:p>
    <w:p w14:paraId="2B663633" w14:textId="62FDE9DC" w:rsidR="00BC64F4" w:rsidRPr="00E21112" w:rsidRDefault="0071710E" w:rsidP="0071710E">
      <w:pPr>
        <w:pStyle w:val="ParaNumbering"/>
        <w:numPr>
          <w:ilvl w:val="0"/>
          <w:numId w:val="0"/>
        </w:numPr>
        <w:tabs>
          <w:tab w:val="left" w:pos="720"/>
        </w:tabs>
        <w:ind w:hanging="720"/>
        <w:rPr>
          <w:szCs w:val="24"/>
        </w:rPr>
      </w:pPr>
      <w:r w:rsidRPr="00E21112">
        <w:rPr>
          <w:sz w:val="20"/>
          <w:szCs w:val="24"/>
        </w:rPr>
        <w:t>248</w:t>
      </w:r>
      <w:r w:rsidRPr="00E21112">
        <w:rPr>
          <w:sz w:val="20"/>
          <w:szCs w:val="24"/>
        </w:rPr>
        <w:tab/>
      </w:r>
      <w:r w:rsidR="00BC64F4">
        <w:t>Further, there is “no single combination of necessary or sufficient factors [which] identifies what is judicial power” (</w:t>
      </w:r>
      <w:r w:rsidR="00BC64F4">
        <w:rPr>
          <w:i/>
        </w:rPr>
        <w:t xml:space="preserve">Attorney-General for the Commonwealth v Alinta Ltd </w:t>
      </w:r>
      <w:r w:rsidR="00BC64F4">
        <w:t>(2008) 233 CLR 542 at [93] per Hayne J).  Some decades earlier, a related way of putting the open-endedness was expressed in terms that “[it] has never been found possible to frame a definition that is at once exclusive and exhaustive” (</w:t>
      </w:r>
      <w:r w:rsidR="00BC64F4">
        <w:rPr>
          <w:i/>
          <w:iCs/>
        </w:rPr>
        <w:t xml:space="preserve">The Queen v Davison </w:t>
      </w:r>
      <w:r w:rsidR="00BC64F4">
        <w:t xml:space="preserve">(1954) 90 CLR 353 at 366 per Dixon CJ and McTiernan J). </w:t>
      </w:r>
      <w:r w:rsidR="00BC64F4" w:rsidRPr="00E21112">
        <w:rPr>
          <w:szCs w:val="24"/>
        </w:rPr>
        <w:t xml:space="preserve">Moreover, it is well accepted that judicial power is not to be defined or limited in any narrow or pedantic manner. </w:t>
      </w:r>
    </w:p>
    <w:p w14:paraId="0B3A0152" w14:textId="0E295711" w:rsidR="00BC64F4" w:rsidRDefault="0071710E" w:rsidP="0071710E">
      <w:pPr>
        <w:pStyle w:val="ParaNumbering"/>
        <w:numPr>
          <w:ilvl w:val="0"/>
          <w:numId w:val="0"/>
        </w:numPr>
        <w:ind w:hanging="720"/>
      </w:pPr>
      <w:r>
        <w:rPr>
          <w:sz w:val="20"/>
        </w:rPr>
        <w:t>249</w:t>
      </w:r>
      <w:r>
        <w:rPr>
          <w:sz w:val="20"/>
        </w:rPr>
        <w:tab/>
      </w:r>
      <w:r w:rsidR="00BC64F4">
        <w:t>Now the power to make a settlement CFO is neither inherently non-judicial nor otherwise incapable of being exercised judicially.  Moreover, it is at least incidental to the exercise of a judicial power given the very language of s 33</w:t>
      </w:r>
      <w:proofErr w:type="gramStart"/>
      <w:r w:rsidR="00BC64F4">
        <w:t>V(</w:t>
      </w:r>
      <w:proofErr w:type="gramEnd"/>
      <w:r w:rsidR="00BC64F4">
        <w:t xml:space="preserve">2) being that the Court “may make such orders as are just”. </w:t>
      </w:r>
    </w:p>
    <w:p w14:paraId="4B516282" w14:textId="2794AFCF" w:rsidR="00BC64F4" w:rsidRDefault="0071710E" w:rsidP="0071710E">
      <w:pPr>
        <w:pStyle w:val="ParaNumbering"/>
        <w:numPr>
          <w:ilvl w:val="0"/>
          <w:numId w:val="0"/>
        </w:numPr>
        <w:tabs>
          <w:tab w:val="left" w:pos="720"/>
        </w:tabs>
        <w:ind w:hanging="720"/>
      </w:pPr>
      <w:r>
        <w:rPr>
          <w:sz w:val="20"/>
        </w:rPr>
        <w:t>250</w:t>
      </w:r>
      <w:r>
        <w:rPr>
          <w:sz w:val="20"/>
        </w:rPr>
        <w:tab/>
      </w:r>
      <w:r w:rsidR="00BC64F4">
        <w:t xml:space="preserve">Now it may be accepted that the making of a common fund order creates rights and liabilities, by fixing (until further order) an amount to which a litigation funder will be entitled from the proceeds of any judgment or settlement.  But the fact that the order creates rights does not require the conclusion that the power is inherently non-judicial. </w:t>
      </w:r>
    </w:p>
    <w:p w14:paraId="0C3CE627" w14:textId="3E8FA409" w:rsidR="00BC64F4" w:rsidRDefault="0071710E" w:rsidP="0071710E">
      <w:pPr>
        <w:pStyle w:val="ParaNumbering"/>
        <w:numPr>
          <w:ilvl w:val="0"/>
          <w:numId w:val="0"/>
        </w:numPr>
        <w:ind w:hanging="720"/>
      </w:pPr>
      <w:r>
        <w:rPr>
          <w:sz w:val="20"/>
        </w:rPr>
        <w:t>251</w:t>
      </w:r>
      <w:r>
        <w:rPr>
          <w:sz w:val="20"/>
        </w:rPr>
        <w:tab/>
      </w:r>
      <w:r w:rsidR="00BC64F4">
        <w:t xml:space="preserve">There are undoubtedly circumstances in which a power to create rights may be appropriate for exercise by a court in federal jurisdiction.  Examples include where the power has some historical analogue, or in which the provision conferring the power performs a “double function” of creating rights and conferring jurisdiction.  Those two classes do not exhaust the circumstances in which a power to create rights may be exercised in federal jurisdiction: they are merely examples of when such a power is </w:t>
      </w:r>
      <w:r w:rsidR="00BC64F4">
        <w:rPr>
          <w:i/>
        </w:rPr>
        <w:t xml:space="preserve">not </w:t>
      </w:r>
      <w:r w:rsidR="00BC64F4">
        <w:t xml:space="preserve">directed to an ultimate end which is peculiarly legislative or executive.  Moreover, consideration of those examples suggests that the impugned power here is similarly directed to an end which is appropriately achieved through a judicial process. </w:t>
      </w:r>
    </w:p>
    <w:p w14:paraId="1756203D" w14:textId="11928F49" w:rsidR="00BC64F4" w:rsidRDefault="0071710E" w:rsidP="0071710E">
      <w:pPr>
        <w:pStyle w:val="ParaNumbering"/>
        <w:numPr>
          <w:ilvl w:val="0"/>
          <w:numId w:val="0"/>
        </w:numPr>
        <w:tabs>
          <w:tab w:val="left" w:pos="720"/>
        </w:tabs>
        <w:ind w:hanging="720"/>
      </w:pPr>
      <w:r>
        <w:rPr>
          <w:sz w:val="20"/>
        </w:rPr>
        <w:t>252</w:t>
      </w:r>
      <w:r>
        <w:rPr>
          <w:sz w:val="20"/>
        </w:rPr>
        <w:tab/>
      </w:r>
      <w:r w:rsidR="00BC64F4">
        <w:t xml:space="preserve">As to “double function” provisions, the High Court has </w:t>
      </w:r>
      <w:proofErr w:type="gramStart"/>
      <w:r w:rsidR="00BC64F4">
        <w:t>long-accepted</w:t>
      </w:r>
      <w:proofErr w:type="gramEnd"/>
      <w:r w:rsidR="00BC64F4">
        <w:t xml:space="preserve"> that a law performing a “double function” may confer judicial power on a court, notwithstanding that the power is discretionary and to be exercised by reference to broad criteria.  </w:t>
      </w:r>
    </w:p>
    <w:p w14:paraId="5E1F953B" w14:textId="56478A54" w:rsidR="00BC64F4" w:rsidRDefault="0071710E" w:rsidP="0071710E">
      <w:pPr>
        <w:pStyle w:val="ParaNumbering"/>
        <w:numPr>
          <w:ilvl w:val="0"/>
          <w:numId w:val="0"/>
        </w:numPr>
        <w:ind w:hanging="720"/>
      </w:pPr>
      <w:r>
        <w:rPr>
          <w:sz w:val="20"/>
        </w:rPr>
        <w:t>253</w:t>
      </w:r>
      <w:r>
        <w:rPr>
          <w:sz w:val="20"/>
        </w:rPr>
        <w:tab/>
      </w:r>
      <w:r w:rsidR="00BC64F4">
        <w:t xml:space="preserve">So, for example, in </w:t>
      </w:r>
      <w:r w:rsidR="00BC64F4">
        <w:rPr>
          <w:i/>
        </w:rPr>
        <w:t xml:space="preserve">Kable v Director of Public Prosecutions (NSW) </w:t>
      </w:r>
      <w:r w:rsidR="00BC64F4">
        <w:t xml:space="preserve">(1996) 189 CLR 51 Gummow J described (at 130) the power to detain under the </w:t>
      </w:r>
      <w:r w:rsidR="00BC64F4">
        <w:rPr>
          <w:i/>
        </w:rPr>
        <w:t xml:space="preserve">Community Protection Act 1994 </w:t>
      </w:r>
      <w:r w:rsidR="00BC64F4">
        <w:t xml:space="preserve">(NSW) as performing a double function “proleptically, by presenting criteria which require the Supreme Court to decide whether it is more likely than not that the appellant is likely to act in a particular fashion.”  McHugh J said in </w:t>
      </w:r>
      <w:proofErr w:type="spellStart"/>
      <w:r w:rsidR="00BC64F4">
        <w:rPr>
          <w:i/>
        </w:rPr>
        <w:t>Fardon</w:t>
      </w:r>
      <w:proofErr w:type="spellEnd"/>
      <w:r w:rsidR="00BC64F4">
        <w:rPr>
          <w:i/>
        </w:rPr>
        <w:t xml:space="preserve"> v Attorney-General for the State of Queensland </w:t>
      </w:r>
      <w:r w:rsidR="00BC64F4">
        <w:t>(2004) 223 CLR 575 at [34] that “[t]</w:t>
      </w:r>
      <w:proofErr w:type="gramStart"/>
      <w:r w:rsidR="00BC64F4">
        <w:t>he</w:t>
      </w:r>
      <w:proofErr w:type="gramEnd"/>
      <w:r w:rsidR="00BC64F4">
        <w:t xml:space="preserve"> exercise of judicial power often involves the making of orders upon determining that a particular fact or status exists”.  In this case, the status determined by the Court to exist is that the making of a settlement CFO is “just with respect to the distribution of any money paid under a settlement”.  That is a standard sufficiently precise to engage federal judicial power. </w:t>
      </w:r>
    </w:p>
    <w:p w14:paraId="7CACE6CD" w14:textId="5587D01B" w:rsidR="00BC64F4" w:rsidRDefault="0071710E" w:rsidP="0071710E">
      <w:pPr>
        <w:pStyle w:val="ParaNumbering"/>
        <w:numPr>
          <w:ilvl w:val="0"/>
          <w:numId w:val="0"/>
        </w:numPr>
        <w:ind w:hanging="720"/>
        <w:rPr>
          <w:szCs w:val="24"/>
        </w:rPr>
      </w:pPr>
      <w:r>
        <w:rPr>
          <w:sz w:val="20"/>
          <w:szCs w:val="24"/>
        </w:rPr>
        <w:t>254</w:t>
      </w:r>
      <w:r>
        <w:rPr>
          <w:sz w:val="20"/>
          <w:szCs w:val="24"/>
        </w:rPr>
        <w:tab/>
      </w:r>
      <w:r w:rsidR="00BC64F4">
        <w:rPr>
          <w:szCs w:val="24"/>
        </w:rPr>
        <w:t>Now t</w:t>
      </w:r>
      <w:r w:rsidR="00BC64F4" w:rsidRPr="00FA5506">
        <w:rPr>
          <w:szCs w:val="24"/>
        </w:rPr>
        <w:t>he power under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xml:space="preserve"> is analogous to the similar provision upheld in </w:t>
      </w:r>
      <w:r w:rsidR="00BC64F4" w:rsidRPr="00D4574A">
        <w:rPr>
          <w:i/>
          <w:szCs w:val="24"/>
        </w:rPr>
        <w:t>Cominos</w:t>
      </w:r>
      <w:r w:rsidR="00BC64F4" w:rsidRPr="00FA5506">
        <w:rPr>
          <w:szCs w:val="24"/>
        </w:rPr>
        <w:t xml:space="preserve">. </w:t>
      </w:r>
      <w:r w:rsidR="00BC64F4">
        <w:rPr>
          <w:szCs w:val="24"/>
        </w:rPr>
        <w:t xml:space="preserve"> </w:t>
      </w:r>
    </w:p>
    <w:p w14:paraId="101F35AB" w14:textId="7E1DBA7A" w:rsidR="00BC64F4" w:rsidRDefault="0071710E" w:rsidP="0071710E">
      <w:pPr>
        <w:pStyle w:val="ParaNumbering"/>
        <w:numPr>
          <w:ilvl w:val="0"/>
          <w:numId w:val="0"/>
        </w:numPr>
        <w:ind w:hanging="720"/>
        <w:rPr>
          <w:szCs w:val="24"/>
        </w:rPr>
      </w:pPr>
      <w:r>
        <w:rPr>
          <w:sz w:val="20"/>
          <w:szCs w:val="24"/>
        </w:rPr>
        <w:t>255</w:t>
      </w:r>
      <w:r>
        <w:rPr>
          <w:sz w:val="20"/>
          <w:szCs w:val="24"/>
        </w:rPr>
        <w:tab/>
      </w:r>
      <w:r w:rsidR="00BC64F4" w:rsidRPr="00FA5506">
        <w:rPr>
          <w:szCs w:val="24"/>
        </w:rPr>
        <w:t xml:space="preserve">In </w:t>
      </w:r>
      <w:r w:rsidR="00BC64F4">
        <w:rPr>
          <w:i/>
          <w:iCs/>
          <w:szCs w:val="24"/>
        </w:rPr>
        <w:t>Cominos</w:t>
      </w:r>
      <w:r w:rsidR="00BC64F4">
        <w:rPr>
          <w:szCs w:val="24"/>
        </w:rPr>
        <w:t xml:space="preserve"> it was </w:t>
      </w:r>
      <w:r w:rsidR="00BC64F4" w:rsidRPr="00FA5506">
        <w:rPr>
          <w:szCs w:val="24"/>
        </w:rPr>
        <w:t xml:space="preserve">held that a power conferred on a court to order parties to a marriage to make such settlement of property as the court considered “just and equitable” was “a recognized part of judicial power” (at 591 </w:t>
      </w:r>
      <w:r w:rsidR="00BC64F4">
        <w:rPr>
          <w:szCs w:val="24"/>
        </w:rPr>
        <w:t xml:space="preserve">per </w:t>
      </w:r>
      <w:r w:rsidR="00BC64F4" w:rsidRPr="00FA5506">
        <w:rPr>
          <w:szCs w:val="24"/>
        </w:rPr>
        <w:t xml:space="preserve">McTiernan and Menzies JJ). </w:t>
      </w:r>
      <w:r w:rsidR="00BC64F4">
        <w:rPr>
          <w:szCs w:val="24"/>
        </w:rPr>
        <w:t xml:space="preserve"> </w:t>
      </w:r>
    </w:p>
    <w:p w14:paraId="185AA9E1" w14:textId="5E4E54F2" w:rsidR="00BC64F4" w:rsidRPr="00FA5506" w:rsidRDefault="0071710E" w:rsidP="0071710E">
      <w:pPr>
        <w:pStyle w:val="ParaNumbering"/>
        <w:numPr>
          <w:ilvl w:val="0"/>
          <w:numId w:val="0"/>
        </w:numPr>
        <w:ind w:hanging="720"/>
        <w:rPr>
          <w:szCs w:val="24"/>
        </w:rPr>
      </w:pPr>
      <w:r w:rsidRPr="00FA5506">
        <w:rPr>
          <w:sz w:val="20"/>
          <w:szCs w:val="24"/>
        </w:rPr>
        <w:t>256</w:t>
      </w:r>
      <w:r w:rsidRPr="00FA5506">
        <w:rPr>
          <w:sz w:val="20"/>
          <w:szCs w:val="24"/>
        </w:rPr>
        <w:tab/>
      </w:r>
      <w:r w:rsidR="00BC64F4">
        <w:rPr>
          <w:szCs w:val="24"/>
        </w:rPr>
        <w:t xml:space="preserve">The relevant </w:t>
      </w:r>
      <w:r w:rsidR="00BC64F4" w:rsidRPr="00FA5506">
        <w:rPr>
          <w:szCs w:val="24"/>
        </w:rPr>
        <w:t xml:space="preserve">provisions conferred </w:t>
      </w:r>
      <w:r w:rsidR="00BC64F4">
        <w:rPr>
          <w:szCs w:val="24"/>
        </w:rPr>
        <w:t>“</w:t>
      </w:r>
      <w:r w:rsidR="00BC64F4" w:rsidRPr="00FA5506">
        <w:rPr>
          <w:szCs w:val="24"/>
        </w:rPr>
        <w:t>powers in aid of the exercise of the jurisdiction to hear and determine proceedings</w:t>
      </w:r>
      <w:r w:rsidR="00BC64F4">
        <w:rPr>
          <w:szCs w:val="24"/>
        </w:rPr>
        <w:t xml:space="preserve"> for divorce”</w:t>
      </w:r>
      <w:r w:rsidR="00BC64F4" w:rsidRPr="00FA5506">
        <w:rPr>
          <w:szCs w:val="24"/>
        </w:rPr>
        <w:t xml:space="preserve"> (at 593 </w:t>
      </w:r>
      <w:r w:rsidR="00BC64F4">
        <w:rPr>
          <w:szCs w:val="24"/>
        </w:rPr>
        <w:t xml:space="preserve">per </w:t>
      </w:r>
      <w:r w:rsidR="00BC64F4" w:rsidRPr="00FA5506">
        <w:rPr>
          <w:szCs w:val="24"/>
        </w:rPr>
        <w:t>Walsh J) that are ancillary to and “take their colour from, the valid grant of jurisdiction to hear and determine</w:t>
      </w:r>
      <w:r w:rsidR="00BC64F4">
        <w:rPr>
          <w:szCs w:val="24"/>
        </w:rPr>
        <w:t xml:space="preserve"> matrimonial causes</w:t>
      </w:r>
      <w:r w:rsidR="00BC64F4" w:rsidRPr="00FA5506">
        <w:rPr>
          <w:szCs w:val="24"/>
        </w:rPr>
        <w:t xml:space="preserve">” (at 591 </w:t>
      </w:r>
      <w:r w:rsidR="00BC64F4">
        <w:rPr>
          <w:szCs w:val="24"/>
        </w:rPr>
        <w:t xml:space="preserve">per </w:t>
      </w:r>
      <w:r w:rsidR="00BC64F4" w:rsidRPr="00FA5506">
        <w:rPr>
          <w:szCs w:val="24"/>
        </w:rPr>
        <w:t>McTiernan and Menzies JJ).</w:t>
      </w:r>
    </w:p>
    <w:p w14:paraId="6933DE86" w14:textId="259849A7" w:rsidR="00BC64F4" w:rsidRPr="00FA5506" w:rsidRDefault="0071710E" w:rsidP="0071710E">
      <w:pPr>
        <w:pStyle w:val="ParaNumbering"/>
        <w:numPr>
          <w:ilvl w:val="0"/>
          <w:numId w:val="0"/>
        </w:numPr>
        <w:ind w:hanging="720"/>
        <w:rPr>
          <w:szCs w:val="24"/>
        </w:rPr>
      </w:pPr>
      <w:r w:rsidRPr="00FA5506">
        <w:rPr>
          <w:sz w:val="20"/>
          <w:szCs w:val="24"/>
        </w:rPr>
        <w:t>257</w:t>
      </w:r>
      <w:r w:rsidRPr="00FA5506">
        <w:rPr>
          <w:sz w:val="20"/>
          <w:szCs w:val="24"/>
        </w:rPr>
        <w:tab/>
      </w:r>
      <w:r w:rsidR="00BC64F4" w:rsidRPr="00FA5506">
        <w:rPr>
          <w:szCs w:val="24"/>
        </w:rPr>
        <w:t>Similarly here, the power under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xml:space="preserve"> is enlivened as part of the hearing and determination of a representative proceeding under P</w:t>
      </w:r>
      <w:r w:rsidR="00BC64F4">
        <w:rPr>
          <w:szCs w:val="24"/>
        </w:rPr>
        <w:t>ar</w:t>
      </w:r>
      <w:r w:rsidR="00BC64F4" w:rsidRPr="00FA5506">
        <w:rPr>
          <w:szCs w:val="24"/>
        </w:rPr>
        <w:t xml:space="preserve">t IVA, and so would fall within those powers in aid of the exercise of that jurisdiction. </w:t>
      </w:r>
      <w:r w:rsidR="00BC64F4">
        <w:rPr>
          <w:szCs w:val="24"/>
        </w:rPr>
        <w:t xml:space="preserve"> </w:t>
      </w:r>
      <w:r w:rsidR="00BC64F4" w:rsidRPr="00FA5506">
        <w:rPr>
          <w:szCs w:val="24"/>
        </w:rPr>
        <w:t>It follows that, if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xml:space="preserve">, on its proper construction, is capable of authorising the making of a </w:t>
      </w:r>
      <w:r w:rsidR="00BC64F4">
        <w:rPr>
          <w:szCs w:val="24"/>
        </w:rPr>
        <w:t>s</w:t>
      </w:r>
      <w:r w:rsidR="00BC64F4" w:rsidRPr="00FA5506">
        <w:rPr>
          <w:szCs w:val="24"/>
        </w:rPr>
        <w:t xml:space="preserve">ettlement CFO, then the making of a </w:t>
      </w:r>
      <w:r w:rsidR="00BC64F4">
        <w:rPr>
          <w:szCs w:val="24"/>
        </w:rPr>
        <w:t>s</w:t>
      </w:r>
      <w:r w:rsidR="00BC64F4" w:rsidRPr="00FA5506">
        <w:rPr>
          <w:szCs w:val="24"/>
        </w:rPr>
        <w:t>ettlement CFO also involves an exercise of judicial power.</w:t>
      </w:r>
    </w:p>
    <w:p w14:paraId="05ECA6F4" w14:textId="4A6F2982" w:rsidR="00BC64F4" w:rsidRDefault="0071710E" w:rsidP="0071710E">
      <w:pPr>
        <w:pStyle w:val="ParaNumbering"/>
        <w:numPr>
          <w:ilvl w:val="0"/>
          <w:numId w:val="0"/>
        </w:numPr>
        <w:ind w:hanging="720"/>
      </w:pPr>
      <w:r>
        <w:rPr>
          <w:sz w:val="20"/>
        </w:rPr>
        <w:t>258</w:t>
      </w:r>
      <w:r>
        <w:rPr>
          <w:sz w:val="20"/>
        </w:rPr>
        <w:tab/>
      </w:r>
      <w:r w:rsidR="00BC64F4">
        <w:t>Moreover, t</w:t>
      </w:r>
      <w:r w:rsidR="00BC64F4" w:rsidRPr="00FA5506">
        <w:t xml:space="preserve">he argument that the making of a CFO under s 33ZF did not involve judicial power has previously been </w:t>
      </w:r>
      <w:r w:rsidR="00BC64F4">
        <w:t xml:space="preserve">rightly </w:t>
      </w:r>
      <w:r w:rsidR="00BC64F4" w:rsidRPr="00FA5506">
        <w:t xml:space="preserve">rejected. </w:t>
      </w:r>
      <w:r w:rsidR="00BC64F4">
        <w:t xml:space="preserve"> By analogy, the same reasoning applies concerning s 33</w:t>
      </w:r>
      <w:proofErr w:type="gramStart"/>
      <w:r w:rsidR="00BC64F4">
        <w:t>V(</w:t>
      </w:r>
      <w:proofErr w:type="gramEnd"/>
      <w:r w:rsidR="00BC64F4">
        <w:t xml:space="preserve">2). </w:t>
      </w:r>
    </w:p>
    <w:p w14:paraId="62CDA42C" w14:textId="72C353B5" w:rsidR="00BC64F4" w:rsidRDefault="0071710E" w:rsidP="0071710E">
      <w:pPr>
        <w:pStyle w:val="ParaNumbering"/>
        <w:numPr>
          <w:ilvl w:val="0"/>
          <w:numId w:val="0"/>
        </w:numPr>
        <w:ind w:hanging="720"/>
      </w:pPr>
      <w:r>
        <w:rPr>
          <w:sz w:val="20"/>
        </w:rPr>
        <w:t>259</w:t>
      </w:r>
      <w:r>
        <w:rPr>
          <w:sz w:val="20"/>
        </w:rPr>
        <w:tab/>
      </w:r>
      <w:r w:rsidR="00BC64F4" w:rsidRPr="00FA5506">
        <w:t xml:space="preserve">In </w:t>
      </w:r>
      <w:r w:rsidR="00BC64F4" w:rsidRPr="008D561A">
        <w:rPr>
          <w:i/>
        </w:rPr>
        <w:t>Money Max</w:t>
      </w:r>
      <w:r w:rsidR="00BC64F4" w:rsidRPr="00FA5506">
        <w:t xml:space="preserve">, </w:t>
      </w:r>
      <w:r w:rsidR="00BC64F4">
        <w:t xml:space="preserve">in a decision that has not been challenged or questioned on this aspect, it was </w:t>
      </w:r>
      <w:r w:rsidR="00BC64F4" w:rsidRPr="00FA5506">
        <w:t>observed</w:t>
      </w:r>
      <w:r w:rsidR="00BC64F4">
        <w:t xml:space="preserve"> </w:t>
      </w:r>
      <w:r w:rsidR="00BC64F4" w:rsidRPr="00FA5506">
        <w:t xml:space="preserve">that the </w:t>
      </w:r>
      <w:r w:rsidR="00BC64F4">
        <w:t>exercise of judicial power was analogous</w:t>
      </w:r>
      <w:r w:rsidR="00BC64F4" w:rsidRPr="00FA5506">
        <w:t xml:space="preserve"> to the power considered in </w:t>
      </w:r>
      <w:r w:rsidR="00BC64F4" w:rsidRPr="008D561A">
        <w:rPr>
          <w:i/>
        </w:rPr>
        <w:t>Cominos</w:t>
      </w:r>
      <w:r w:rsidR="00BC64F4">
        <w:t xml:space="preserve">. It was said by Murphy, </w:t>
      </w:r>
      <w:proofErr w:type="gramStart"/>
      <w:r w:rsidR="00BC64F4">
        <w:t>Gleeson</w:t>
      </w:r>
      <w:proofErr w:type="gramEnd"/>
      <w:r w:rsidR="00BC64F4">
        <w:t xml:space="preserve"> and Beach JJ </w:t>
      </w:r>
      <w:r w:rsidR="00BC64F4" w:rsidRPr="00FA5506">
        <w:t>(at [171]</w:t>
      </w:r>
      <w:r w:rsidR="00BC64F4">
        <w:t xml:space="preserve">):  </w:t>
      </w:r>
    </w:p>
    <w:p w14:paraId="06201B68" w14:textId="77777777" w:rsidR="00BC64F4" w:rsidRDefault="00BC64F4" w:rsidP="00BC64F4">
      <w:pPr>
        <w:pStyle w:val="Quote1"/>
      </w:pPr>
      <w:r>
        <w:t xml:space="preserve">… [QBE] contends that the proposed orders do not involve an exercise of judicial power. This is a surprising argument. We accept that ss 33ZF and 23 are to be construed as not permitting the making of orders that do not involve the exercise of judicial power or are not incidental thereto. But the proposed orders do involve an exercise of judicial power. Under Pt IVA, the Court has a supervisory function to protect the interests of class members. This is not unlike other protective jurisdictions that a Court may have, such as with persons under a disability. </w:t>
      </w:r>
      <w:r w:rsidRPr="009274A9">
        <w:rPr>
          <w:i/>
          <w:iCs/>
        </w:rPr>
        <w:t>Moreover, the exercise of judicial power is analogous to that described in Cominos v Cominos (1972) 127 CLR 588 at 608 per Mason J (as he then was)</w:t>
      </w:r>
      <w:r>
        <w:t xml:space="preserve">; see also </w:t>
      </w:r>
      <w:r w:rsidRPr="0009026A">
        <w:rPr>
          <w:i/>
        </w:rPr>
        <w:t>Precision Data Holdings Ltd v Wills</w:t>
      </w:r>
      <w:r>
        <w:t xml:space="preserve"> (1991) 173 CLR 167 at 190 and 191. </w:t>
      </w:r>
      <w:r w:rsidRPr="009274A9">
        <w:rPr>
          <w:i/>
          <w:iCs/>
        </w:rPr>
        <w:t>More generally, there is little doubt that a Court can make orders creating rights or liabilities as an exercise of discretionary power, provided the power is exercised according to legal principle and by reference to an objective standard.</w:t>
      </w:r>
      <w:r>
        <w:t xml:space="preserve"> That is the present case, with s 33</w:t>
      </w:r>
      <w:proofErr w:type="gramStart"/>
      <w:r>
        <w:t>ZF(</w:t>
      </w:r>
      <w:proofErr w:type="gramEnd"/>
      <w:r>
        <w:t>1) setting out that objective standard, albeit a broad one.</w:t>
      </w:r>
    </w:p>
    <w:p w14:paraId="18C81C15" w14:textId="77777777" w:rsidR="00BC64F4" w:rsidRDefault="00BC64F4" w:rsidP="00BC64F4">
      <w:pPr>
        <w:pStyle w:val="Quote1"/>
      </w:pPr>
      <w:r>
        <w:t>(</w:t>
      </w:r>
      <w:proofErr w:type="gramStart"/>
      <w:r>
        <w:t>my</w:t>
      </w:r>
      <w:proofErr w:type="gramEnd"/>
      <w:r>
        <w:t xml:space="preserve"> emphasis)</w:t>
      </w:r>
    </w:p>
    <w:p w14:paraId="4FEA070D" w14:textId="604FDC4D" w:rsidR="00BC64F4" w:rsidRPr="00FA5506" w:rsidRDefault="0071710E" w:rsidP="0071710E">
      <w:pPr>
        <w:pStyle w:val="ParaNumbering"/>
        <w:numPr>
          <w:ilvl w:val="0"/>
          <w:numId w:val="0"/>
        </w:numPr>
        <w:ind w:hanging="720"/>
      </w:pPr>
      <w:r w:rsidRPr="00FA5506">
        <w:rPr>
          <w:sz w:val="20"/>
        </w:rPr>
        <w:t>260</w:t>
      </w:r>
      <w:r w:rsidRPr="00FA5506">
        <w:rPr>
          <w:sz w:val="20"/>
        </w:rPr>
        <w:tab/>
      </w:r>
      <w:r w:rsidR="00BC64F4" w:rsidRPr="00FA5506">
        <w:t xml:space="preserve">Further, both </w:t>
      </w:r>
      <w:proofErr w:type="spellStart"/>
      <w:r w:rsidR="00BC64F4" w:rsidRPr="00FA5506">
        <w:t>Gageler</w:t>
      </w:r>
      <w:proofErr w:type="spellEnd"/>
      <w:r w:rsidR="00BC64F4" w:rsidRPr="00FA5506">
        <w:t xml:space="preserve"> and Edelman JJ who</w:t>
      </w:r>
      <w:r w:rsidR="00BC64F4">
        <w:t xml:space="preserve"> also</w:t>
      </w:r>
      <w:r w:rsidR="00BC64F4" w:rsidRPr="00FA5506">
        <w:t xml:space="preserve"> considered the question in </w:t>
      </w:r>
      <w:r w:rsidR="00BC64F4" w:rsidRPr="008D561A">
        <w:rPr>
          <w:i/>
        </w:rPr>
        <w:t>Brewster</w:t>
      </w:r>
      <w:r w:rsidR="00BC64F4" w:rsidRPr="00FA5506">
        <w:t xml:space="preserve"> rejected the argument that s 33ZF did not confer judicial power. </w:t>
      </w:r>
      <w:r w:rsidR="00BC64F4">
        <w:t xml:space="preserve"> </w:t>
      </w:r>
      <w:r w:rsidR="00BC64F4" w:rsidRPr="00FA5506">
        <w:t>After noting that the constitutional arguments “[did] not warrant elaborate resp</w:t>
      </w:r>
      <w:r w:rsidR="00BC64F4">
        <w:t xml:space="preserve">onses”, admittedly a temptation that I have singularly failed to resist, </w:t>
      </w:r>
      <w:proofErr w:type="spellStart"/>
      <w:r w:rsidR="00BC64F4">
        <w:t>Gageler</w:t>
      </w:r>
      <w:proofErr w:type="spellEnd"/>
      <w:r w:rsidR="00BC64F4">
        <w:t xml:space="preserve"> J said at [119]</w:t>
      </w:r>
      <w:r w:rsidR="00BC64F4" w:rsidRPr="00FA5506">
        <w:t>:</w:t>
      </w:r>
    </w:p>
    <w:p w14:paraId="601D6B1E" w14:textId="77777777" w:rsidR="00BC64F4" w:rsidRPr="00FA5506" w:rsidRDefault="00BC64F4" w:rsidP="00BC64F4">
      <w:pPr>
        <w:pStyle w:val="Quote1"/>
      </w:pPr>
      <w:r>
        <w:t xml:space="preserve">… </w:t>
      </w:r>
      <w:r w:rsidRPr="00FA5506">
        <w:t>As to the suggested want of judicial power, it is sufficient to bring s 33</w:t>
      </w:r>
      <w:proofErr w:type="gramStart"/>
      <w:r w:rsidRPr="00FA5506">
        <w:t>ZF(</w:t>
      </w:r>
      <w:proofErr w:type="gramEnd"/>
      <w:r w:rsidRPr="00FA5506">
        <w:t>1) within the judicial power of the Commonwealth that it confers power on the Federal Court as an incident of a strictly judicial proceeding to be exercised by reference to the Court’s assessment of the interests of justice in that proceeding. I agree with the observation of the Full Court that “it is difficult to conceive of a function or standard more appropriate to the judicial branch of government than considering and deciding (upon application and evidence) what is appropriate or necessary to do justice in a proceeding</w:t>
      </w:r>
      <w:r>
        <w:t>”</w:t>
      </w:r>
      <w:r w:rsidRPr="00FA5506">
        <w:t>.</w:t>
      </w:r>
    </w:p>
    <w:p w14:paraId="63A33F3A" w14:textId="2B57BF3A" w:rsidR="00BC64F4" w:rsidRPr="00FA5506" w:rsidRDefault="0071710E" w:rsidP="0071710E">
      <w:pPr>
        <w:pStyle w:val="ParaNumbering"/>
        <w:numPr>
          <w:ilvl w:val="0"/>
          <w:numId w:val="0"/>
        </w:numPr>
        <w:ind w:hanging="720"/>
        <w:rPr>
          <w:szCs w:val="24"/>
        </w:rPr>
      </w:pPr>
      <w:r w:rsidRPr="00FA5506">
        <w:rPr>
          <w:sz w:val="20"/>
          <w:szCs w:val="24"/>
        </w:rPr>
        <w:t>261</w:t>
      </w:r>
      <w:r w:rsidRPr="00FA5506">
        <w:rPr>
          <w:sz w:val="20"/>
          <w:szCs w:val="24"/>
        </w:rPr>
        <w:tab/>
      </w:r>
      <w:r w:rsidR="00BC64F4" w:rsidRPr="00FA5506">
        <w:rPr>
          <w:szCs w:val="24"/>
        </w:rPr>
        <w:t xml:space="preserve">The same reasoning is applicable to the making of a </w:t>
      </w:r>
      <w:r w:rsidR="00BC64F4">
        <w:rPr>
          <w:szCs w:val="24"/>
        </w:rPr>
        <w:t>s</w:t>
      </w:r>
      <w:r w:rsidR="00BC64F4" w:rsidRPr="00FA5506">
        <w:rPr>
          <w:szCs w:val="24"/>
        </w:rPr>
        <w:t>ettlement CFO under s 33</w:t>
      </w:r>
      <w:proofErr w:type="gramStart"/>
      <w:r w:rsidR="00BC64F4" w:rsidRPr="00FA5506">
        <w:rPr>
          <w:szCs w:val="24"/>
        </w:rPr>
        <w:t>V</w:t>
      </w:r>
      <w:r w:rsidR="00BC64F4">
        <w:rPr>
          <w:szCs w:val="24"/>
        </w:rPr>
        <w:t>(</w:t>
      </w:r>
      <w:proofErr w:type="gramEnd"/>
      <w:r w:rsidR="00BC64F4">
        <w:rPr>
          <w:szCs w:val="24"/>
        </w:rPr>
        <w:t>2)</w:t>
      </w:r>
      <w:r w:rsidR="00BC64F4" w:rsidRPr="00FA5506">
        <w:rPr>
          <w:szCs w:val="24"/>
        </w:rPr>
        <w:t>, whi</w:t>
      </w:r>
      <w:r w:rsidR="00BC64F4">
        <w:rPr>
          <w:szCs w:val="24"/>
        </w:rPr>
        <w:t xml:space="preserve">ch is based on what is “just”.  No authority need be cited to observe that the </w:t>
      </w:r>
      <w:r w:rsidR="00BC64F4" w:rsidRPr="000B27B8">
        <w:rPr>
          <w:szCs w:val="24"/>
        </w:rPr>
        <w:t>paramount purpose of the exercis</w:t>
      </w:r>
      <w:r w:rsidR="00BC64F4">
        <w:rPr>
          <w:szCs w:val="24"/>
        </w:rPr>
        <w:t xml:space="preserve">e of federal judicial power is </w:t>
      </w:r>
      <w:r w:rsidR="00BC64F4" w:rsidRPr="000B27B8">
        <w:rPr>
          <w:szCs w:val="24"/>
        </w:rPr>
        <w:t>to do justice</w:t>
      </w:r>
      <w:r w:rsidR="00BC64F4">
        <w:rPr>
          <w:szCs w:val="24"/>
        </w:rPr>
        <w:t>, although there is one for every occasion (</w:t>
      </w:r>
      <w:proofErr w:type="spellStart"/>
      <w:r w:rsidR="00BC64F4" w:rsidRPr="000B27B8">
        <w:rPr>
          <w:i/>
          <w:szCs w:val="24"/>
        </w:rPr>
        <w:t>Alqudsi</w:t>
      </w:r>
      <w:proofErr w:type="spellEnd"/>
      <w:r w:rsidR="00BC64F4" w:rsidRPr="000B27B8">
        <w:rPr>
          <w:i/>
          <w:szCs w:val="24"/>
        </w:rPr>
        <w:t xml:space="preserve"> v The Queen </w:t>
      </w:r>
      <w:r w:rsidR="00BC64F4" w:rsidRPr="000B27B8">
        <w:rPr>
          <w:szCs w:val="24"/>
        </w:rPr>
        <w:t xml:space="preserve">(2016) 258 CLR 203 at [1] </w:t>
      </w:r>
      <w:r w:rsidR="00BC64F4">
        <w:rPr>
          <w:szCs w:val="24"/>
        </w:rPr>
        <w:t xml:space="preserve">per </w:t>
      </w:r>
      <w:r w:rsidR="00BC64F4" w:rsidRPr="000B27B8">
        <w:rPr>
          <w:szCs w:val="24"/>
        </w:rPr>
        <w:t>French CJ).</w:t>
      </w:r>
    </w:p>
    <w:p w14:paraId="08BD9267" w14:textId="26126920" w:rsidR="00BC64F4" w:rsidRDefault="0071710E" w:rsidP="0071710E">
      <w:pPr>
        <w:pStyle w:val="ParaNumbering"/>
        <w:numPr>
          <w:ilvl w:val="0"/>
          <w:numId w:val="0"/>
        </w:numPr>
        <w:ind w:hanging="720"/>
        <w:rPr>
          <w:szCs w:val="24"/>
        </w:rPr>
      </w:pPr>
      <w:r>
        <w:rPr>
          <w:sz w:val="20"/>
          <w:szCs w:val="24"/>
        </w:rPr>
        <w:t>262</w:t>
      </w:r>
      <w:r>
        <w:rPr>
          <w:sz w:val="20"/>
          <w:szCs w:val="24"/>
        </w:rPr>
        <w:tab/>
      </w:r>
      <w:r w:rsidR="00BC64F4">
        <w:rPr>
          <w:szCs w:val="24"/>
        </w:rPr>
        <w:t>Now</w:t>
      </w:r>
      <w:r w:rsidR="00BC64F4" w:rsidRPr="00FA5506">
        <w:rPr>
          <w:szCs w:val="24"/>
        </w:rPr>
        <w:t xml:space="preserve"> a power does not cease to be judicial merely because it aut</w:t>
      </w:r>
      <w:r w:rsidR="00BC64F4">
        <w:rPr>
          <w:szCs w:val="24"/>
        </w:rPr>
        <w:t xml:space="preserve">horises the creation of rights.  As was said by French CJ in </w:t>
      </w:r>
      <w:r w:rsidR="00BC64F4" w:rsidRPr="000B27B8">
        <w:rPr>
          <w:i/>
          <w:szCs w:val="24"/>
        </w:rPr>
        <w:t>Momcilovic v The Queen</w:t>
      </w:r>
      <w:r w:rsidR="00BC64F4" w:rsidRPr="000B27B8">
        <w:rPr>
          <w:szCs w:val="24"/>
        </w:rPr>
        <w:t xml:space="preserve"> (2011) 245 CLR 1 at [81]</w:t>
      </w:r>
      <w:r w:rsidR="00BC64F4">
        <w:rPr>
          <w:szCs w:val="24"/>
        </w:rPr>
        <w:t>:</w:t>
      </w:r>
    </w:p>
    <w:p w14:paraId="6BA63655" w14:textId="77777777" w:rsidR="00BC64F4" w:rsidRDefault="00BC64F4" w:rsidP="00BC64F4">
      <w:pPr>
        <w:pStyle w:val="Quote1"/>
      </w:pPr>
      <w:r>
        <w:t xml:space="preserve">… </w:t>
      </w:r>
      <w:r w:rsidRPr="000B27B8">
        <w:t>courts have long exercised powers to make orders, declaratory in form, which do not merely declare legal rights and obligations but</w:t>
      </w:r>
      <w:r>
        <w:t xml:space="preserve"> create new legal relationships</w:t>
      </w:r>
      <w:r w:rsidRPr="000B27B8">
        <w:t>.</w:t>
      </w:r>
      <w:r>
        <w:t xml:space="preserve"> </w:t>
      </w:r>
      <w:r w:rsidRPr="00FA5506">
        <w:t xml:space="preserve"> </w:t>
      </w:r>
    </w:p>
    <w:p w14:paraId="627F4E91" w14:textId="51758F97" w:rsidR="00BC64F4" w:rsidRDefault="0071710E" w:rsidP="0071710E">
      <w:pPr>
        <w:pStyle w:val="ParaNumbering"/>
        <w:numPr>
          <w:ilvl w:val="0"/>
          <w:numId w:val="0"/>
        </w:numPr>
        <w:ind w:hanging="720"/>
        <w:rPr>
          <w:szCs w:val="24"/>
        </w:rPr>
      </w:pPr>
      <w:r>
        <w:rPr>
          <w:sz w:val="20"/>
          <w:szCs w:val="24"/>
        </w:rPr>
        <w:t>263</w:t>
      </w:r>
      <w:r>
        <w:rPr>
          <w:sz w:val="20"/>
          <w:szCs w:val="24"/>
        </w:rPr>
        <w:tab/>
      </w:r>
      <w:r w:rsidR="00BC64F4" w:rsidRPr="00FA5506">
        <w:rPr>
          <w:szCs w:val="24"/>
        </w:rPr>
        <w:t>It has long been recognised that the exercise of judicial power may include making orders altering the pre-existing legal rights of the parties</w:t>
      </w:r>
      <w:r w:rsidR="00BC64F4">
        <w:rPr>
          <w:szCs w:val="24"/>
        </w:rPr>
        <w:t xml:space="preserve">.  In </w:t>
      </w:r>
      <w:r w:rsidR="00BC64F4" w:rsidRPr="000B27B8">
        <w:rPr>
          <w:i/>
          <w:szCs w:val="24"/>
        </w:rPr>
        <w:t>Precision Data Holdings Ltd v Wills</w:t>
      </w:r>
      <w:r w:rsidR="00BC64F4" w:rsidRPr="00FA5506">
        <w:rPr>
          <w:szCs w:val="24"/>
        </w:rPr>
        <w:t xml:space="preserve"> (1991) 173 CLR 167 at 191</w:t>
      </w:r>
      <w:r w:rsidR="00BC64F4">
        <w:rPr>
          <w:szCs w:val="24"/>
        </w:rPr>
        <w:t xml:space="preserve"> it was said: </w:t>
      </w:r>
    </w:p>
    <w:p w14:paraId="48F5FBE6" w14:textId="77777777" w:rsidR="00BC64F4" w:rsidRDefault="00BC64F4" w:rsidP="00BC64F4">
      <w:pPr>
        <w:pStyle w:val="Quote1"/>
      </w:pPr>
      <w:r>
        <w:t xml:space="preserve">… </w:t>
      </w:r>
      <w:r w:rsidRPr="009F0CCE">
        <w:t xml:space="preserve">The Parliament can, if it chooses, legislate with respect to rights and obligations by vesting jurisdiction in courts to make orders creating those rights or imposing those liabilities. It is an expedient which is sometimes adopted when Parliament decides to confer upon a court or tribunal a discretionary authority to make orders which create rights or impose liabilities. This legislative technique and its consequences in terms of federal jurisdiction were discussed by Dixon J. in </w:t>
      </w:r>
      <w:r w:rsidRPr="009F0CCE">
        <w:rPr>
          <w:i/>
          <w:iCs/>
        </w:rPr>
        <w:t xml:space="preserve">R. v. Commonwealth Court of Conciliation and </w:t>
      </w:r>
      <w:proofErr w:type="gramStart"/>
      <w:r w:rsidRPr="009F0CCE">
        <w:rPr>
          <w:i/>
          <w:iCs/>
        </w:rPr>
        <w:t>Arbitration;</w:t>
      </w:r>
      <w:proofErr w:type="gramEnd"/>
      <w:r w:rsidRPr="009F0CCE">
        <w:rPr>
          <w:i/>
          <w:iCs/>
        </w:rPr>
        <w:t xml:space="preserve"> Ex </w:t>
      </w:r>
      <w:proofErr w:type="spellStart"/>
      <w:r w:rsidRPr="009F0CCE">
        <w:rPr>
          <w:i/>
          <w:iCs/>
        </w:rPr>
        <w:t>parte</w:t>
      </w:r>
      <w:proofErr w:type="spellEnd"/>
      <w:r w:rsidRPr="009F0CCE">
        <w:rPr>
          <w:i/>
          <w:iCs/>
        </w:rPr>
        <w:t xml:space="preserve"> Barrett</w:t>
      </w:r>
      <w:r w:rsidRPr="009F0CCE">
        <w:t>. Leaving aside problems that might arise because of the subject-matter involved or because of some prescribed procedure not in keeping with the judicial process, where a discretionary authority is conferred upon a court and the discretionary authority is to be exercised according to legal principle or by reference to an objective standard or test prescribed by the legislature and not by reference to policy considerations or other matters not specified by the legislature, it will be possible to conclude that the determination by the court gives effect to rights and obligations for which the statute provides and that the determination constitutes an exercise of judicial power.</w:t>
      </w:r>
    </w:p>
    <w:p w14:paraId="1FCD7DA0" w14:textId="77777777" w:rsidR="00BC64F4" w:rsidRPr="00FA5506" w:rsidRDefault="00BC64F4" w:rsidP="00BC64F4">
      <w:pPr>
        <w:pStyle w:val="Quote1"/>
      </w:pPr>
      <w:r>
        <w:t>(</w:t>
      </w:r>
      <w:proofErr w:type="gramStart"/>
      <w:r>
        <w:t>footnotes</w:t>
      </w:r>
      <w:proofErr w:type="gramEnd"/>
      <w:r>
        <w:t xml:space="preserve"> omitted)</w:t>
      </w:r>
    </w:p>
    <w:p w14:paraId="29591926" w14:textId="0CB9DD90" w:rsidR="00BC64F4" w:rsidRDefault="0071710E" w:rsidP="0071710E">
      <w:pPr>
        <w:pStyle w:val="ParaNumbering"/>
        <w:numPr>
          <w:ilvl w:val="0"/>
          <w:numId w:val="0"/>
        </w:numPr>
        <w:ind w:hanging="720"/>
        <w:rPr>
          <w:szCs w:val="24"/>
        </w:rPr>
      </w:pPr>
      <w:r>
        <w:rPr>
          <w:sz w:val="20"/>
          <w:szCs w:val="24"/>
        </w:rPr>
        <w:t>264</w:t>
      </w:r>
      <w:r>
        <w:rPr>
          <w:sz w:val="20"/>
          <w:szCs w:val="24"/>
        </w:rPr>
        <w:tab/>
      </w:r>
      <w:r w:rsidR="00BC64F4">
        <w:rPr>
          <w:szCs w:val="24"/>
        </w:rPr>
        <w:t>Moreover, i</w:t>
      </w:r>
      <w:r w:rsidR="00BC64F4" w:rsidRPr="00FA5506">
        <w:rPr>
          <w:szCs w:val="24"/>
        </w:rPr>
        <w:t xml:space="preserve">n </w:t>
      </w:r>
      <w:r w:rsidR="00BC64F4" w:rsidRPr="000B27B8">
        <w:rPr>
          <w:i/>
          <w:szCs w:val="24"/>
        </w:rPr>
        <w:t>Brewster</w:t>
      </w:r>
      <w:r w:rsidR="00BC64F4" w:rsidRPr="00FA5506">
        <w:rPr>
          <w:szCs w:val="24"/>
        </w:rPr>
        <w:t>, Edelman J specifically rejected a similar</w:t>
      </w:r>
      <w:r w:rsidR="00BC64F4">
        <w:rPr>
          <w:szCs w:val="24"/>
        </w:rPr>
        <w:t xml:space="preserve"> and equally meritless</w:t>
      </w:r>
      <w:r w:rsidR="00BC64F4" w:rsidRPr="00FA5506">
        <w:rPr>
          <w:szCs w:val="24"/>
        </w:rPr>
        <w:t xml:space="preserve"> argument, stating </w:t>
      </w:r>
      <w:r w:rsidR="00BC64F4">
        <w:rPr>
          <w:szCs w:val="24"/>
        </w:rPr>
        <w:t xml:space="preserve">(at [225]) </w:t>
      </w:r>
      <w:r w:rsidR="00BC64F4" w:rsidRPr="00FA5506">
        <w:rPr>
          <w:szCs w:val="24"/>
        </w:rPr>
        <w:t>that</w:t>
      </w:r>
      <w:r w:rsidR="00BC64F4">
        <w:rPr>
          <w:szCs w:val="24"/>
        </w:rPr>
        <w:t>:</w:t>
      </w:r>
    </w:p>
    <w:p w14:paraId="5A269F38" w14:textId="77777777" w:rsidR="00BC64F4" w:rsidRDefault="00BC64F4" w:rsidP="00BC64F4">
      <w:pPr>
        <w:pStyle w:val="Quote1"/>
      </w:pPr>
      <w:r>
        <w:t xml:space="preserve">The first submission misunderstands the distinction between the “adjudication of existing rights and obligations” and “the creation of rights and obligations”. The latter is concerned with an attempted judicial creation of new rights whilst simultaneously concluding that those rights should never have previously existed. By contrast, </w:t>
      </w:r>
      <w:r w:rsidRPr="00FA5506">
        <w:t>it is entirely within judicial power for courts to create new rights, in the sense of recognising and giving effect to rights that differ from a previously settled understanding</w:t>
      </w:r>
      <w:r>
        <w:t xml:space="preserve">. That is often how the common law develops. </w:t>
      </w:r>
    </w:p>
    <w:p w14:paraId="16B70E13" w14:textId="77777777" w:rsidR="00BC64F4" w:rsidRDefault="00BC64F4" w:rsidP="00BC64F4">
      <w:pPr>
        <w:pStyle w:val="Quote1"/>
      </w:pPr>
      <w:r>
        <w:t>(</w:t>
      </w:r>
      <w:proofErr w:type="gramStart"/>
      <w:r>
        <w:t>footnotes</w:t>
      </w:r>
      <w:proofErr w:type="gramEnd"/>
      <w:r>
        <w:t xml:space="preserve"> omitted)</w:t>
      </w:r>
    </w:p>
    <w:p w14:paraId="07A3A381" w14:textId="59BEEDE9" w:rsidR="00BC64F4" w:rsidRDefault="0071710E" w:rsidP="0071710E">
      <w:pPr>
        <w:pStyle w:val="ParaNumbering"/>
        <w:numPr>
          <w:ilvl w:val="0"/>
          <w:numId w:val="0"/>
        </w:numPr>
        <w:ind w:hanging="720"/>
      </w:pPr>
      <w:r>
        <w:rPr>
          <w:sz w:val="20"/>
        </w:rPr>
        <w:t>265</w:t>
      </w:r>
      <w:r>
        <w:rPr>
          <w:sz w:val="20"/>
        </w:rPr>
        <w:tab/>
      </w:r>
      <w:r w:rsidR="00BC64F4" w:rsidRPr="000B27B8">
        <w:rPr>
          <w:i/>
        </w:rPr>
        <w:t>Money Max</w:t>
      </w:r>
      <w:r w:rsidR="00BC64F4">
        <w:t xml:space="preserve"> (at [171]) is to the same effect, as I have already set out.  These themes were also reinforced in </w:t>
      </w:r>
      <w:r w:rsidR="00BC64F4">
        <w:rPr>
          <w:i/>
          <w:iCs/>
        </w:rPr>
        <w:t xml:space="preserve">Westpac Banking Corporation v </w:t>
      </w:r>
      <w:proofErr w:type="spellStart"/>
      <w:r w:rsidR="00BC64F4">
        <w:rPr>
          <w:i/>
          <w:iCs/>
        </w:rPr>
        <w:t>Lenthall</w:t>
      </w:r>
      <w:proofErr w:type="spellEnd"/>
      <w:r w:rsidR="00BC64F4">
        <w:rPr>
          <w:i/>
          <w:iCs/>
        </w:rPr>
        <w:t xml:space="preserve"> </w:t>
      </w:r>
      <w:r w:rsidR="00BC64F4">
        <w:t xml:space="preserve">(2019) 265 FCR 21 at [97] and [98] per Allsop CJ, Middleton and Robertson JJ. </w:t>
      </w:r>
    </w:p>
    <w:p w14:paraId="2BC452F9" w14:textId="519845E9" w:rsidR="00BC64F4" w:rsidRDefault="0071710E" w:rsidP="0071710E">
      <w:pPr>
        <w:pStyle w:val="ParaNumbering"/>
        <w:numPr>
          <w:ilvl w:val="0"/>
          <w:numId w:val="0"/>
        </w:numPr>
        <w:ind w:hanging="720"/>
      </w:pPr>
      <w:r>
        <w:rPr>
          <w:sz w:val="20"/>
        </w:rPr>
        <w:t>266</w:t>
      </w:r>
      <w:r>
        <w:rPr>
          <w:sz w:val="20"/>
        </w:rPr>
        <w:tab/>
      </w:r>
      <w:r w:rsidR="00BC64F4">
        <w:t>Moreover, there are numerous e</w:t>
      </w:r>
      <w:r w:rsidR="00BC64F4" w:rsidRPr="00FA5506">
        <w:t>xamples of powers that have been held to be judicial when conferred on a court though they involve the creation of new rights and liabilities, including powers to make orders relating to the maintenance and guardianship of infants, orders for the winding up of companies and the grant of letters of administration, and to vary the terms of a contract that had become inequitable or unduly onerous</w:t>
      </w:r>
      <w:r w:rsidR="00BC64F4">
        <w:t xml:space="preserve">. </w:t>
      </w:r>
    </w:p>
    <w:p w14:paraId="25AFDC65" w14:textId="21D05D4E" w:rsidR="00BC64F4" w:rsidRPr="008C64ED" w:rsidRDefault="0071710E" w:rsidP="0071710E">
      <w:pPr>
        <w:pStyle w:val="ParaNumbering"/>
        <w:numPr>
          <w:ilvl w:val="0"/>
          <w:numId w:val="0"/>
        </w:numPr>
        <w:ind w:hanging="720"/>
      </w:pPr>
      <w:r w:rsidRPr="008C64ED">
        <w:rPr>
          <w:sz w:val="20"/>
        </w:rPr>
        <w:t>267</w:t>
      </w:r>
      <w:r w:rsidRPr="008C64ED">
        <w:rPr>
          <w:sz w:val="20"/>
        </w:rPr>
        <w:tab/>
      </w:r>
      <w:r w:rsidR="00BC64F4">
        <w:rPr>
          <w:szCs w:val="24"/>
        </w:rPr>
        <w:t xml:space="preserve">Generally, </w:t>
      </w:r>
      <w:r w:rsidR="00BC64F4" w:rsidRPr="0009026A">
        <w:rPr>
          <w:szCs w:val="24"/>
        </w:rPr>
        <w:t xml:space="preserve">the creation of rights or obligations is not inimical to judicial </w:t>
      </w:r>
      <w:r w:rsidR="00BC64F4">
        <w:rPr>
          <w:szCs w:val="24"/>
        </w:rPr>
        <w:t>power.  Indeed, t</w:t>
      </w:r>
      <w:r w:rsidR="00BC64F4" w:rsidRPr="008C64ED">
        <w:rPr>
          <w:szCs w:val="24"/>
        </w:rPr>
        <w:t xml:space="preserve">he contradictor offers no positive authority in support of the proposition that judicial power does not extend to the creation of rights and obligations involving third parties.  </w:t>
      </w:r>
    </w:p>
    <w:p w14:paraId="66A6E289" w14:textId="0B0D8C69" w:rsidR="00BC64F4" w:rsidRPr="0009026A" w:rsidRDefault="0071710E" w:rsidP="0071710E">
      <w:pPr>
        <w:pStyle w:val="ParaNumbering"/>
        <w:numPr>
          <w:ilvl w:val="0"/>
          <w:numId w:val="0"/>
        </w:numPr>
        <w:ind w:hanging="720"/>
      </w:pPr>
      <w:r w:rsidRPr="0009026A">
        <w:rPr>
          <w:sz w:val="20"/>
        </w:rPr>
        <w:t>268</w:t>
      </w:r>
      <w:r w:rsidRPr="0009026A">
        <w:rPr>
          <w:sz w:val="20"/>
        </w:rPr>
        <w:tab/>
      </w:r>
      <w:r w:rsidR="00BC64F4">
        <w:rPr>
          <w:szCs w:val="24"/>
        </w:rPr>
        <w:t>Now the contradictor says that those cases in</w:t>
      </w:r>
      <w:r w:rsidR="00BC64F4" w:rsidRPr="008C64ED">
        <w:rPr>
          <w:szCs w:val="24"/>
        </w:rPr>
        <w:t xml:space="preserve"> which the </w:t>
      </w:r>
      <w:r w:rsidR="00BC64F4">
        <w:rPr>
          <w:szCs w:val="24"/>
        </w:rPr>
        <w:t>c</w:t>
      </w:r>
      <w:r w:rsidR="00BC64F4" w:rsidRPr="008C64ED">
        <w:rPr>
          <w:szCs w:val="24"/>
        </w:rPr>
        <w:t xml:space="preserve">ourt </w:t>
      </w:r>
      <w:r w:rsidR="00BC64F4">
        <w:rPr>
          <w:szCs w:val="24"/>
        </w:rPr>
        <w:t xml:space="preserve">has </w:t>
      </w:r>
      <w:r w:rsidR="00BC64F4" w:rsidRPr="008C64ED">
        <w:rPr>
          <w:szCs w:val="24"/>
        </w:rPr>
        <w:t xml:space="preserve">held that judicial power had not been validly conferred involved third parties, whereas those in which the </w:t>
      </w:r>
      <w:r w:rsidR="00BC64F4">
        <w:rPr>
          <w:szCs w:val="24"/>
        </w:rPr>
        <w:t>c</w:t>
      </w:r>
      <w:r w:rsidR="00BC64F4" w:rsidRPr="008C64ED">
        <w:rPr>
          <w:szCs w:val="24"/>
        </w:rPr>
        <w:t>ourt held that judicial power had been validly conferred concerned orders in circumstances not involving third parties.</w:t>
      </w:r>
    </w:p>
    <w:p w14:paraId="2B4D856D" w14:textId="22C8C3D5" w:rsidR="00BC64F4" w:rsidRPr="00FA5506" w:rsidRDefault="0071710E" w:rsidP="0071710E">
      <w:pPr>
        <w:pStyle w:val="ParaNumbering"/>
        <w:numPr>
          <w:ilvl w:val="0"/>
          <w:numId w:val="0"/>
        </w:numPr>
        <w:ind w:hanging="720"/>
        <w:rPr>
          <w:szCs w:val="24"/>
        </w:rPr>
      </w:pPr>
      <w:r w:rsidRPr="00FA5506">
        <w:rPr>
          <w:sz w:val="20"/>
          <w:szCs w:val="24"/>
        </w:rPr>
        <w:t>269</w:t>
      </w:r>
      <w:r w:rsidRPr="00FA5506">
        <w:rPr>
          <w:sz w:val="20"/>
          <w:szCs w:val="24"/>
        </w:rPr>
        <w:tab/>
      </w:r>
      <w:r w:rsidR="00BC64F4">
        <w:rPr>
          <w:szCs w:val="24"/>
        </w:rPr>
        <w:t>But</w:t>
      </w:r>
      <w:r w:rsidR="00BC64F4" w:rsidRPr="00FA5506">
        <w:rPr>
          <w:szCs w:val="24"/>
        </w:rPr>
        <w:t xml:space="preserve"> the contradi</w:t>
      </w:r>
      <w:r w:rsidR="00BC64F4">
        <w:rPr>
          <w:szCs w:val="24"/>
        </w:rPr>
        <w:t>ctor’s characterisation of the relevant</w:t>
      </w:r>
      <w:r w:rsidR="00BC64F4" w:rsidRPr="00FA5506">
        <w:rPr>
          <w:szCs w:val="24"/>
        </w:rPr>
        <w:t xml:space="preserve"> cases is inaccurate or fails to pay sufficient regard to the court’s underlying reasoning.</w:t>
      </w:r>
      <w:r w:rsidR="00BC64F4">
        <w:rPr>
          <w:szCs w:val="24"/>
        </w:rPr>
        <w:t xml:space="preserve">  And in my view the contradictor’s attempted distinction fails. </w:t>
      </w:r>
    </w:p>
    <w:p w14:paraId="58047067" w14:textId="1F5F36DF" w:rsidR="00BC64F4" w:rsidRPr="00FA5506" w:rsidRDefault="0071710E" w:rsidP="0071710E">
      <w:pPr>
        <w:pStyle w:val="ParaNumbering"/>
        <w:numPr>
          <w:ilvl w:val="0"/>
          <w:numId w:val="0"/>
        </w:numPr>
        <w:ind w:hanging="720"/>
        <w:rPr>
          <w:szCs w:val="24"/>
        </w:rPr>
      </w:pPr>
      <w:r w:rsidRPr="00FA5506">
        <w:rPr>
          <w:sz w:val="20"/>
          <w:szCs w:val="24"/>
        </w:rPr>
        <w:t>270</w:t>
      </w:r>
      <w:r w:rsidRPr="00FA5506">
        <w:rPr>
          <w:sz w:val="20"/>
          <w:szCs w:val="24"/>
        </w:rPr>
        <w:tab/>
      </w:r>
      <w:r w:rsidR="00BC64F4">
        <w:rPr>
          <w:szCs w:val="24"/>
        </w:rPr>
        <w:t>T</w:t>
      </w:r>
      <w:r w:rsidR="00BC64F4" w:rsidRPr="00FA5506">
        <w:rPr>
          <w:szCs w:val="24"/>
        </w:rPr>
        <w:t>he contradictor characterises three cases</w:t>
      </w:r>
      <w:r w:rsidR="00BC64F4">
        <w:rPr>
          <w:szCs w:val="24"/>
        </w:rPr>
        <w:t xml:space="preserve"> cited as holding </w:t>
      </w:r>
      <w:r w:rsidR="00BC64F4" w:rsidRPr="00FA5506">
        <w:rPr>
          <w:szCs w:val="24"/>
        </w:rPr>
        <w:t xml:space="preserve">that judicial power had not been validly conferred to make orders </w:t>
      </w:r>
      <w:r w:rsidR="00BC64F4">
        <w:rPr>
          <w:szCs w:val="24"/>
        </w:rPr>
        <w:t>affecting</w:t>
      </w:r>
      <w:r w:rsidR="00BC64F4" w:rsidRPr="00FA5506">
        <w:rPr>
          <w:szCs w:val="24"/>
        </w:rPr>
        <w:t xml:space="preserve"> third parties.</w:t>
      </w:r>
      <w:r w:rsidR="00BC64F4">
        <w:rPr>
          <w:szCs w:val="24"/>
        </w:rPr>
        <w:t xml:space="preserve"> </w:t>
      </w:r>
      <w:r w:rsidR="00BC64F4" w:rsidRPr="00FA5506">
        <w:rPr>
          <w:szCs w:val="24"/>
        </w:rPr>
        <w:t xml:space="preserve"> </w:t>
      </w:r>
      <w:r w:rsidR="00BC64F4">
        <w:rPr>
          <w:szCs w:val="24"/>
        </w:rPr>
        <w:t>But t</w:t>
      </w:r>
      <w:r w:rsidR="00BC64F4" w:rsidRPr="00FA5506">
        <w:rPr>
          <w:szCs w:val="24"/>
        </w:rPr>
        <w:t xml:space="preserve">wo of those cases, </w:t>
      </w:r>
      <w:r w:rsidR="00BC64F4" w:rsidRPr="007F7360">
        <w:rPr>
          <w:i/>
          <w:szCs w:val="24"/>
        </w:rPr>
        <w:t xml:space="preserve">Precision Data </w:t>
      </w:r>
      <w:r w:rsidR="00BC64F4" w:rsidRPr="00FA5506">
        <w:rPr>
          <w:szCs w:val="24"/>
        </w:rPr>
        <w:t xml:space="preserve">and </w:t>
      </w:r>
      <w:r w:rsidR="00BC64F4">
        <w:rPr>
          <w:i/>
          <w:szCs w:val="24"/>
        </w:rPr>
        <w:t xml:space="preserve">Alinta </w:t>
      </w:r>
      <w:r w:rsidR="00BC64F4" w:rsidRPr="00FA5506">
        <w:rPr>
          <w:szCs w:val="24"/>
        </w:rPr>
        <w:t>involved powers conferred on non-judicial bodies,</w:t>
      </w:r>
      <w:r w:rsidR="00BC64F4">
        <w:rPr>
          <w:szCs w:val="24"/>
        </w:rPr>
        <w:t xml:space="preserve"> being the Corporations and Securities Panel and the successor Takeovers Panel respectively,</w:t>
      </w:r>
      <w:r w:rsidR="00BC64F4" w:rsidRPr="00FA5506">
        <w:rPr>
          <w:szCs w:val="24"/>
        </w:rPr>
        <w:t xml:space="preserve"> and the relevant powers were found not to be judicial powers having regard to the nature of the body on which they were conferred.</w:t>
      </w:r>
      <w:r w:rsidR="00BC64F4">
        <w:rPr>
          <w:szCs w:val="24"/>
        </w:rPr>
        <w:t xml:space="preserve">  Further, </w:t>
      </w:r>
      <w:r w:rsidR="00BC64F4" w:rsidRPr="007F7360">
        <w:rPr>
          <w:i/>
          <w:szCs w:val="24"/>
        </w:rPr>
        <w:t>Davison</w:t>
      </w:r>
      <w:r w:rsidR="00BC64F4" w:rsidRPr="00FA5506">
        <w:rPr>
          <w:szCs w:val="24"/>
        </w:rPr>
        <w:t xml:space="preserve"> </w:t>
      </w:r>
      <w:r w:rsidR="00BC64F4">
        <w:rPr>
          <w:szCs w:val="24"/>
        </w:rPr>
        <w:t>held</w:t>
      </w:r>
      <w:r w:rsidR="00BC64F4" w:rsidRPr="00FA5506">
        <w:rPr>
          <w:szCs w:val="24"/>
        </w:rPr>
        <w:t xml:space="preserve"> that the power to make a sequestration order was judicial</w:t>
      </w:r>
      <w:r w:rsidR="00BC64F4">
        <w:rPr>
          <w:szCs w:val="24"/>
        </w:rPr>
        <w:t>,</w:t>
      </w:r>
      <w:r w:rsidR="00BC64F4" w:rsidRPr="00FA5506">
        <w:rPr>
          <w:szCs w:val="24"/>
        </w:rPr>
        <w:t xml:space="preserve"> and therefore had not been validly conferred on a </w:t>
      </w:r>
      <w:r w:rsidR="00BC64F4">
        <w:rPr>
          <w:szCs w:val="24"/>
        </w:rPr>
        <w:t>R</w:t>
      </w:r>
      <w:r w:rsidR="00BC64F4" w:rsidRPr="00FA5506">
        <w:rPr>
          <w:szCs w:val="24"/>
        </w:rPr>
        <w:t xml:space="preserve">egistrar. </w:t>
      </w:r>
      <w:r w:rsidR="00BC64F4">
        <w:rPr>
          <w:szCs w:val="24"/>
        </w:rPr>
        <w:t xml:space="preserve"> </w:t>
      </w:r>
      <w:r w:rsidR="00BC64F4">
        <w:rPr>
          <w:i/>
          <w:iCs/>
          <w:szCs w:val="24"/>
        </w:rPr>
        <w:t xml:space="preserve">Precision Data </w:t>
      </w:r>
      <w:r w:rsidR="00BC64F4">
        <w:rPr>
          <w:szCs w:val="24"/>
        </w:rPr>
        <w:t xml:space="preserve">and </w:t>
      </w:r>
      <w:r w:rsidR="00BC64F4">
        <w:rPr>
          <w:i/>
          <w:iCs/>
          <w:szCs w:val="24"/>
        </w:rPr>
        <w:t xml:space="preserve">Alinta </w:t>
      </w:r>
      <w:r w:rsidR="00BC64F4" w:rsidRPr="00FA5506">
        <w:rPr>
          <w:szCs w:val="24"/>
        </w:rPr>
        <w:t>do not support the c</w:t>
      </w:r>
      <w:r w:rsidR="00BC64F4">
        <w:rPr>
          <w:szCs w:val="24"/>
        </w:rPr>
        <w:t>ontradictor’s distinction, and</w:t>
      </w:r>
      <w:r w:rsidR="00BC64F4" w:rsidRPr="00FA5506">
        <w:rPr>
          <w:szCs w:val="24"/>
        </w:rPr>
        <w:t xml:space="preserve"> the reasoning in</w:t>
      </w:r>
      <w:r w:rsidR="00BC64F4" w:rsidRPr="007F7360">
        <w:rPr>
          <w:i/>
          <w:szCs w:val="24"/>
        </w:rPr>
        <w:t xml:space="preserve"> Davison</w:t>
      </w:r>
      <w:r w:rsidR="00BC64F4" w:rsidRPr="00FA5506">
        <w:rPr>
          <w:szCs w:val="24"/>
        </w:rPr>
        <w:t xml:space="preserve"> is contrary to it</w:t>
      </w:r>
      <w:r w:rsidR="00BC64F4">
        <w:rPr>
          <w:szCs w:val="24"/>
        </w:rPr>
        <w:t xml:space="preserve">; a sequestration order affects not just the bankrupt but </w:t>
      </w:r>
      <w:proofErr w:type="gramStart"/>
      <w:r w:rsidR="00BC64F4">
        <w:rPr>
          <w:szCs w:val="24"/>
        </w:rPr>
        <w:t>third party</w:t>
      </w:r>
      <w:proofErr w:type="gramEnd"/>
      <w:r w:rsidR="00BC64F4">
        <w:rPr>
          <w:szCs w:val="24"/>
        </w:rPr>
        <w:t xml:space="preserve"> creditors as well and where new rights and restraints are created. </w:t>
      </w:r>
    </w:p>
    <w:p w14:paraId="3D58F609" w14:textId="3432E3F0" w:rsidR="00BC64F4" w:rsidRPr="00FA5506" w:rsidRDefault="0071710E" w:rsidP="0071710E">
      <w:pPr>
        <w:pStyle w:val="ParaNumbering"/>
        <w:numPr>
          <w:ilvl w:val="0"/>
          <w:numId w:val="0"/>
        </w:numPr>
        <w:ind w:hanging="720"/>
        <w:rPr>
          <w:szCs w:val="24"/>
        </w:rPr>
      </w:pPr>
      <w:r w:rsidRPr="00FA5506">
        <w:rPr>
          <w:sz w:val="20"/>
          <w:szCs w:val="24"/>
        </w:rPr>
        <w:t>271</w:t>
      </w:r>
      <w:r w:rsidRPr="00FA5506">
        <w:rPr>
          <w:sz w:val="20"/>
          <w:szCs w:val="24"/>
        </w:rPr>
        <w:tab/>
      </w:r>
      <w:r w:rsidR="00BC64F4">
        <w:rPr>
          <w:szCs w:val="24"/>
        </w:rPr>
        <w:t>Further, t</w:t>
      </w:r>
      <w:r w:rsidR="00BC64F4" w:rsidRPr="00FA5506">
        <w:rPr>
          <w:szCs w:val="24"/>
        </w:rPr>
        <w:t xml:space="preserve">he contradictor characterises </w:t>
      </w:r>
      <w:r w:rsidR="00BC64F4">
        <w:rPr>
          <w:szCs w:val="24"/>
        </w:rPr>
        <w:t>various</w:t>
      </w:r>
      <w:r w:rsidR="00BC64F4" w:rsidRPr="00FA5506">
        <w:rPr>
          <w:szCs w:val="24"/>
        </w:rPr>
        <w:t xml:space="preserve"> cases as holding that judicial power had been validly conferred but only in circumstances not involving third parties.</w:t>
      </w:r>
      <w:r w:rsidR="00BC64F4">
        <w:rPr>
          <w:szCs w:val="24"/>
        </w:rPr>
        <w:t xml:space="preserve"> </w:t>
      </w:r>
    </w:p>
    <w:p w14:paraId="18E39036" w14:textId="676F4EE7" w:rsidR="00BC64F4" w:rsidRPr="00FA5506" w:rsidRDefault="0071710E" w:rsidP="0071710E">
      <w:pPr>
        <w:pStyle w:val="ParaNumbering"/>
        <w:numPr>
          <w:ilvl w:val="0"/>
          <w:numId w:val="0"/>
        </w:numPr>
        <w:ind w:hanging="720"/>
        <w:rPr>
          <w:szCs w:val="24"/>
        </w:rPr>
      </w:pPr>
      <w:r w:rsidRPr="00FA5506">
        <w:rPr>
          <w:sz w:val="20"/>
          <w:szCs w:val="24"/>
        </w:rPr>
        <w:t>272</w:t>
      </w:r>
      <w:r w:rsidRPr="00FA5506">
        <w:rPr>
          <w:sz w:val="20"/>
          <w:szCs w:val="24"/>
        </w:rPr>
        <w:tab/>
      </w:r>
      <w:r w:rsidR="00BC64F4">
        <w:rPr>
          <w:szCs w:val="24"/>
        </w:rPr>
        <w:t>But i</w:t>
      </w:r>
      <w:r w:rsidR="00BC64F4" w:rsidRPr="00FA5506">
        <w:rPr>
          <w:szCs w:val="24"/>
        </w:rPr>
        <w:t xml:space="preserve">n </w:t>
      </w:r>
      <w:r w:rsidR="00BC64F4" w:rsidRPr="007F7360">
        <w:rPr>
          <w:i/>
          <w:szCs w:val="24"/>
        </w:rPr>
        <w:t>Cominos</w:t>
      </w:r>
      <w:r w:rsidR="00BC64F4">
        <w:rPr>
          <w:szCs w:val="24"/>
        </w:rPr>
        <w:t>,</w:t>
      </w:r>
      <w:r w:rsidR="00BC64F4" w:rsidRPr="00FA5506">
        <w:rPr>
          <w:szCs w:val="24"/>
        </w:rPr>
        <w:t xml:space="preserve"> one of the </w:t>
      </w:r>
      <w:r w:rsidR="00BC64F4">
        <w:rPr>
          <w:szCs w:val="24"/>
        </w:rPr>
        <w:t xml:space="preserve">statutory </w:t>
      </w:r>
      <w:r w:rsidR="00BC64F4" w:rsidRPr="00FA5506">
        <w:rPr>
          <w:szCs w:val="24"/>
        </w:rPr>
        <w:t>provisions considered provided that the court may by order require the parties to the marriage “to make, for the benefit of all or any of the parties to, and the children of, the marriage, … a settlement of property”</w:t>
      </w:r>
      <w:r w:rsidR="00BC64F4">
        <w:rPr>
          <w:szCs w:val="24"/>
        </w:rPr>
        <w:t>.  The children clearly were</w:t>
      </w:r>
      <w:r w:rsidR="00BC64F4" w:rsidRPr="00FA5506">
        <w:rPr>
          <w:szCs w:val="24"/>
        </w:rPr>
        <w:t xml:space="preserve"> third</w:t>
      </w:r>
      <w:r w:rsidR="00BC64F4">
        <w:rPr>
          <w:szCs w:val="24"/>
        </w:rPr>
        <w:t xml:space="preserve"> parties</w:t>
      </w:r>
      <w:r w:rsidR="00BC64F4" w:rsidRPr="00FA5506">
        <w:rPr>
          <w:szCs w:val="24"/>
        </w:rPr>
        <w:t xml:space="preserve">. </w:t>
      </w:r>
    </w:p>
    <w:p w14:paraId="6D203265" w14:textId="4DB30262" w:rsidR="00BC64F4" w:rsidRPr="00FA5506" w:rsidRDefault="0071710E" w:rsidP="0071710E">
      <w:pPr>
        <w:pStyle w:val="ParaNumbering"/>
        <w:numPr>
          <w:ilvl w:val="0"/>
          <w:numId w:val="0"/>
        </w:numPr>
        <w:ind w:hanging="720"/>
        <w:rPr>
          <w:szCs w:val="24"/>
        </w:rPr>
      </w:pPr>
      <w:r w:rsidRPr="00FA5506">
        <w:rPr>
          <w:sz w:val="20"/>
          <w:szCs w:val="24"/>
        </w:rPr>
        <w:t>273</w:t>
      </w:r>
      <w:r w:rsidRPr="00FA5506">
        <w:rPr>
          <w:sz w:val="20"/>
          <w:szCs w:val="24"/>
        </w:rPr>
        <w:tab/>
      </w:r>
      <w:r w:rsidR="00BC64F4">
        <w:rPr>
          <w:szCs w:val="24"/>
        </w:rPr>
        <w:t>Further, i</w:t>
      </w:r>
      <w:r w:rsidR="00BC64F4" w:rsidRPr="00FA5506">
        <w:rPr>
          <w:szCs w:val="24"/>
        </w:rPr>
        <w:t xml:space="preserve">n </w:t>
      </w:r>
      <w:r w:rsidR="00BC64F4" w:rsidRPr="007F7360">
        <w:rPr>
          <w:i/>
          <w:szCs w:val="24"/>
        </w:rPr>
        <w:t>Mowbray</w:t>
      </w:r>
      <w:r w:rsidR="00BC64F4" w:rsidRPr="00FA5506">
        <w:rPr>
          <w:szCs w:val="24"/>
        </w:rPr>
        <w:t xml:space="preserve"> at [15]</w:t>
      </w:r>
      <w:r w:rsidR="00BC64F4">
        <w:rPr>
          <w:szCs w:val="24"/>
        </w:rPr>
        <w:t xml:space="preserve"> and </w:t>
      </w:r>
      <w:r w:rsidR="00BC64F4" w:rsidRPr="00FA5506">
        <w:rPr>
          <w:szCs w:val="24"/>
        </w:rPr>
        <w:t>[16], the examples discussed with approval include</w:t>
      </w:r>
      <w:r w:rsidR="00BC64F4">
        <w:rPr>
          <w:szCs w:val="24"/>
        </w:rPr>
        <w:t>d</w:t>
      </w:r>
      <w:r w:rsidR="00BC64F4" w:rsidRPr="00FA5506">
        <w:rPr>
          <w:szCs w:val="24"/>
        </w:rPr>
        <w:t xml:space="preserve"> orders in relation to matrimonial causes, bankruptcy, probate and the winding up of companies, all of which are also apt to involve third parties. </w:t>
      </w:r>
    </w:p>
    <w:p w14:paraId="073A312D" w14:textId="1A1C609C" w:rsidR="00BC64F4" w:rsidRPr="00FA5506" w:rsidRDefault="0071710E" w:rsidP="0071710E">
      <w:pPr>
        <w:pStyle w:val="ParaNumbering"/>
        <w:numPr>
          <w:ilvl w:val="0"/>
          <w:numId w:val="0"/>
        </w:numPr>
        <w:ind w:hanging="720"/>
        <w:rPr>
          <w:szCs w:val="24"/>
        </w:rPr>
      </w:pPr>
      <w:r w:rsidRPr="00FA5506">
        <w:rPr>
          <w:sz w:val="20"/>
          <w:szCs w:val="24"/>
        </w:rPr>
        <w:t>274</w:t>
      </w:r>
      <w:r w:rsidRPr="00FA5506">
        <w:rPr>
          <w:sz w:val="20"/>
          <w:szCs w:val="24"/>
        </w:rPr>
        <w:tab/>
      </w:r>
      <w:r w:rsidR="00BC64F4" w:rsidRPr="00FA5506">
        <w:rPr>
          <w:szCs w:val="24"/>
        </w:rPr>
        <w:t xml:space="preserve">Further, </w:t>
      </w:r>
      <w:r w:rsidR="00BC64F4">
        <w:rPr>
          <w:szCs w:val="24"/>
        </w:rPr>
        <w:t xml:space="preserve">it is not in doubt that </w:t>
      </w:r>
      <w:r w:rsidR="00BC64F4" w:rsidRPr="00FA5506">
        <w:rPr>
          <w:szCs w:val="24"/>
        </w:rPr>
        <w:t xml:space="preserve">a court can create rights or obligations in respect of a non-party. </w:t>
      </w:r>
      <w:r w:rsidR="00BC64F4">
        <w:rPr>
          <w:szCs w:val="24"/>
        </w:rPr>
        <w:t xml:space="preserve"> I</w:t>
      </w:r>
      <w:r w:rsidR="00BC64F4" w:rsidRPr="00FA5506">
        <w:rPr>
          <w:szCs w:val="24"/>
        </w:rPr>
        <w:t xml:space="preserve">n </w:t>
      </w:r>
      <w:r w:rsidR="00BC64F4" w:rsidRPr="007F7360">
        <w:rPr>
          <w:i/>
          <w:szCs w:val="24"/>
        </w:rPr>
        <w:t xml:space="preserve">Knight v FP Special Assets Ltd </w:t>
      </w:r>
      <w:r w:rsidR="00BC64F4" w:rsidRPr="00FA5506">
        <w:rPr>
          <w:szCs w:val="24"/>
        </w:rPr>
        <w:t xml:space="preserve">(1992) 174 CLR 178, </w:t>
      </w:r>
      <w:r w:rsidR="00BC64F4">
        <w:rPr>
          <w:szCs w:val="24"/>
        </w:rPr>
        <w:t xml:space="preserve">it was </w:t>
      </w:r>
      <w:r w:rsidR="00BC64F4" w:rsidRPr="00FA5506">
        <w:rPr>
          <w:szCs w:val="24"/>
        </w:rPr>
        <w:t xml:space="preserve">held that a court can make </w:t>
      </w:r>
      <w:r w:rsidR="00BC64F4">
        <w:rPr>
          <w:szCs w:val="24"/>
        </w:rPr>
        <w:t xml:space="preserve">a </w:t>
      </w:r>
      <w:r w:rsidR="00BC64F4" w:rsidRPr="00FA5506">
        <w:rPr>
          <w:szCs w:val="24"/>
        </w:rPr>
        <w:t xml:space="preserve">costs order against a non-party. </w:t>
      </w:r>
      <w:r w:rsidR="00BC64F4">
        <w:rPr>
          <w:szCs w:val="24"/>
        </w:rPr>
        <w:t xml:space="preserve"> </w:t>
      </w:r>
      <w:r w:rsidR="00BC64F4" w:rsidRPr="00FA5506">
        <w:rPr>
          <w:szCs w:val="24"/>
        </w:rPr>
        <w:t>Mason CJ and Deane J said (at 192</w:t>
      </w:r>
      <w:r w:rsidR="00BC64F4">
        <w:rPr>
          <w:szCs w:val="24"/>
        </w:rPr>
        <w:t>) that</w:t>
      </w:r>
      <w:r w:rsidR="00BC64F4" w:rsidRPr="00FA5506">
        <w:rPr>
          <w:szCs w:val="24"/>
        </w:rPr>
        <w:t>:</w:t>
      </w:r>
    </w:p>
    <w:p w14:paraId="5E7D2ECA" w14:textId="77777777" w:rsidR="00BC64F4" w:rsidRPr="00FA5506" w:rsidRDefault="00BC64F4" w:rsidP="00BC64F4">
      <w:pPr>
        <w:pStyle w:val="Quote1"/>
      </w:pPr>
      <w:r>
        <w:t>…</w:t>
      </w:r>
      <w:r w:rsidRPr="00FA5506">
        <w:t xml:space="preserve"> there are, however, a variety of circumstances in which considerations of justice may, in accordance with general principles relating to awards of costs, support an order for costs against a non-party. Thus, for example, there are several long-established categories of case in which equity recognized that it may be appropriate for such an order to be made.</w:t>
      </w:r>
    </w:p>
    <w:p w14:paraId="0378D201" w14:textId="117394B3" w:rsidR="00BC64F4" w:rsidRDefault="0071710E" w:rsidP="0071710E">
      <w:pPr>
        <w:pStyle w:val="ParaNumbering"/>
        <w:numPr>
          <w:ilvl w:val="0"/>
          <w:numId w:val="0"/>
        </w:numPr>
        <w:ind w:hanging="720"/>
        <w:rPr>
          <w:szCs w:val="24"/>
        </w:rPr>
      </w:pPr>
      <w:r>
        <w:rPr>
          <w:sz w:val="20"/>
          <w:szCs w:val="24"/>
        </w:rPr>
        <w:t>275</w:t>
      </w:r>
      <w:r>
        <w:rPr>
          <w:sz w:val="20"/>
          <w:szCs w:val="24"/>
        </w:rPr>
        <w:tab/>
      </w:r>
      <w:r w:rsidR="00BC64F4" w:rsidRPr="00FA5506">
        <w:rPr>
          <w:szCs w:val="24"/>
        </w:rPr>
        <w:t xml:space="preserve">This passage was quoted with approval by Edelman J in </w:t>
      </w:r>
      <w:r w:rsidR="00BC64F4" w:rsidRPr="00E53C1D">
        <w:rPr>
          <w:i/>
          <w:szCs w:val="24"/>
        </w:rPr>
        <w:t>Brewster</w:t>
      </w:r>
      <w:r w:rsidR="00BC64F4" w:rsidRPr="00FA5506">
        <w:rPr>
          <w:szCs w:val="24"/>
        </w:rPr>
        <w:t xml:space="preserve"> at [214], who also noted that </w:t>
      </w:r>
      <w:r w:rsidR="00BC64F4">
        <w:rPr>
          <w:szCs w:val="24"/>
        </w:rPr>
        <w:t xml:space="preserve">such </w:t>
      </w:r>
      <w:r w:rsidR="00BC64F4" w:rsidRPr="00FA5506">
        <w:rPr>
          <w:szCs w:val="24"/>
        </w:rPr>
        <w:t>reasoning concerning orders for payment of a party’s costs by a non-party</w:t>
      </w:r>
      <w:r w:rsidR="00BC64F4">
        <w:rPr>
          <w:szCs w:val="24"/>
        </w:rPr>
        <w:t xml:space="preserve"> was</w:t>
      </w:r>
      <w:r w:rsidR="00BC64F4" w:rsidRPr="00FA5506">
        <w:rPr>
          <w:szCs w:val="24"/>
        </w:rPr>
        <w:t xml:space="preserve"> “equally applicable to payment by a party of a non-party’s costs and remuneration”.</w:t>
      </w:r>
    </w:p>
    <w:p w14:paraId="4D1D22F0" w14:textId="394B1BBB" w:rsidR="00BC64F4" w:rsidRDefault="0071710E" w:rsidP="0071710E">
      <w:pPr>
        <w:pStyle w:val="ParaNumbering"/>
        <w:numPr>
          <w:ilvl w:val="0"/>
          <w:numId w:val="0"/>
        </w:numPr>
        <w:tabs>
          <w:tab w:val="left" w:pos="720"/>
        </w:tabs>
        <w:ind w:hanging="720"/>
      </w:pPr>
      <w:r>
        <w:rPr>
          <w:sz w:val="20"/>
        </w:rPr>
        <w:t>276</w:t>
      </w:r>
      <w:r>
        <w:rPr>
          <w:sz w:val="20"/>
        </w:rPr>
        <w:tab/>
      </w:r>
      <w:r w:rsidR="00BC64F4">
        <w:t>In any event, the pow</w:t>
      </w:r>
      <w:r w:rsidR="00BC64F4" w:rsidRPr="00D50134">
        <w:t xml:space="preserve">er to make a settlement CFO is at least incidental to the admittedly judicial function of quelling the dispute in the representative proceeding.  Incidental powers are a third example of a power to create rights, which is directed to an ultimate end which is </w:t>
      </w:r>
      <w:r w:rsidR="00BC64F4" w:rsidRPr="00E21112">
        <w:rPr>
          <w:iCs/>
        </w:rPr>
        <w:t>not</w:t>
      </w:r>
      <w:r w:rsidR="00BC64F4" w:rsidRPr="00D50134">
        <w:rPr>
          <w:i/>
        </w:rPr>
        <w:t xml:space="preserve"> </w:t>
      </w:r>
      <w:r w:rsidR="00BC64F4" w:rsidRPr="00D50134">
        <w:t>peculiarly legislative or administrative, and which may therefore be exercised by a court in federal jurisdiction.  The power to make a settlement CFO is, at least, such a power.  The assertion to the contrary is undermined by a necessary premise of this branch of the argument, which is that a settlement CFO may be just under s 33</w:t>
      </w:r>
      <w:proofErr w:type="gramStart"/>
      <w:r w:rsidR="00BC64F4" w:rsidRPr="00D50134">
        <w:t>V</w:t>
      </w:r>
      <w:r w:rsidR="00BC64F4">
        <w:t>(</w:t>
      </w:r>
      <w:proofErr w:type="gramEnd"/>
      <w:r w:rsidR="00BC64F4">
        <w:t>2)</w:t>
      </w:r>
      <w:r w:rsidR="00BC64F4" w:rsidRPr="00D50134">
        <w:t>.  That provision must be construed and applied as a provision conferring powers in aid of the exercise of the jurisdiction to hear and determine the representative proceeding.  Further, there is a sufficient relation between the making of a settlement CFO and the judicial function of quelling the controversy in the matter between the parties.</w:t>
      </w:r>
      <w:r w:rsidR="00BC64F4">
        <w:t xml:space="preserve"> </w:t>
      </w:r>
    </w:p>
    <w:p w14:paraId="71D24254" w14:textId="31B2F418" w:rsidR="00BC64F4" w:rsidRPr="0007641A" w:rsidRDefault="0071710E" w:rsidP="0071710E">
      <w:pPr>
        <w:pStyle w:val="ParaNumbering"/>
        <w:numPr>
          <w:ilvl w:val="0"/>
          <w:numId w:val="0"/>
        </w:numPr>
        <w:ind w:hanging="720"/>
        <w:rPr>
          <w:szCs w:val="24"/>
        </w:rPr>
      </w:pPr>
      <w:r w:rsidRPr="0007641A">
        <w:rPr>
          <w:sz w:val="20"/>
          <w:szCs w:val="24"/>
        </w:rPr>
        <w:t>277</w:t>
      </w:r>
      <w:r w:rsidRPr="0007641A">
        <w:rPr>
          <w:sz w:val="20"/>
          <w:szCs w:val="24"/>
        </w:rPr>
        <w:tab/>
      </w:r>
      <w:r w:rsidR="00BC64F4">
        <w:t>Now it is said by the contradictor that the exercise of the power in s 33</w:t>
      </w:r>
      <w:proofErr w:type="gramStart"/>
      <w:r w:rsidR="00BC64F4">
        <w:t>V(</w:t>
      </w:r>
      <w:proofErr w:type="gramEnd"/>
      <w:r w:rsidR="00BC64F4">
        <w:t>2) to make a settlement CFO is not ancillary or incidental to the representative proceeding.  It is said that the making of the order lacks the requisite connection to the Court’s core judicial task because it has no connection to the substantive proceeding except that in a general way it facilitates the exercise of judicial power in the proceeding.  But an order under s 33</w:t>
      </w:r>
      <w:proofErr w:type="gramStart"/>
      <w:r w:rsidR="00BC64F4">
        <w:t>V(</w:t>
      </w:r>
      <w:proofErr w:type="gramEnd"/>
      <w:r w:rsidR="00BC64F4">
        <w:t xml:space="preserve">2) must be made in a proceeding that involves the exercise of judicial power.  It may only be made if the Court is satisfied that it is appropriate or necessary to do justice in the proceeding.  </w:t>
      </w:r>
      <w:proofErr w:type="gramStart"/>
      <w:r w:rsidR="00BC64F4">
        <w:t>Thus</w:t>
      </w:r>
      <w:proofErr w:type="gramEnd"/>
      <w:r w:rsidR="00BC64F4">
        <w:t xml:space="preserve"> the order must, by definition, have a sufficient relation to the judicial function to which it may be thought to be accessory.  </w:t>
      </w:r>
      <w:proofErr w:type="gramStart"/>
      <w:r w:rsidR="00BC64F4">
        <w:t>Otherwise</w:t>
      </w:r>
      <w:proofErr w:type="gramEnd"/>
      <w:r w:rsidR="00BC64F4">
        <w:t xml:space="preserve"> it could not be made.  Further, that connection is more than insubstantial or remote. </w:t>
      </w:r>
    </w:p>
    <w:p w14:paraId="2A4774FF" w14:textId="2AEBC360" w:rsidR="00BC64F4" w:rsidRPr="00624E1F" w:rsidRDefault="0071710E" w:rsidP="0071710E">
      <w:pPr>
        <w:pStyle w:val="ParaNumbering"/>
        <w:numPr>
          <w:ilvl w:val="0"/>
          <w:numId w:val="0"/>
        </w:numPr>
        <w:ind w:hanging="720"/>
        <w:rPr>
          <w:szCs w:val="24"/>
        </w:rPr>
      </w:pPr>
      <w:r w:rsidRPr="00624E1F">
        <w:rPr>
          <w:sz w:val="20"/>
          <w:szCs w:val="24"/>
        </w:rPr>
        <w:t>278</w:t>
      </w:r>
      <w:r w:rsidRPr="00624E1F">
        <w:rPr>
          <w:sz w:val="20"/>
          <w:szCs w:val="24"/>
        </w:rPr>
        <w:tab/>
      </w:r>
      <w:r w:rsidR="00BC64F4">
        <w:t xml:space="preserve">Let me make one final point.  It is accepted that FEOs are an exercise of judicial </w:t>
      </w:r>
      <w:proofErr w:type="gramStart"/>
      <w:r w:rsidR="00BC64F4">
        <w:t>power, because</w:t>
      </w:r>
      <w:proofErr w:type="gramEnd"/>
      <w:r w:rsidR="00BC64F4">
        <w:t xml:space="preserve"> they seek to allocate rights and liabilities between a class of people whose rights have been vindicated.  And whether this is premised on a need to avoid unjust enrichment or upon equitable doctrines is beside the point.  But if an FEO, which is also not provided for explicitly in Part IVA, can be made having regard to the justice of the case, so too must a settlement CFO be capable of being characterised as an exercise of judicial power.  After all, at least one type of FEO also creates new rights and obligations as between funded group members and unfunded group members. </w:t>
      </w:r>
    </w:p>
    <w:p w14:paraId="12602472" w14:textId="4E1230ED" w:rsidR="00BC64F4" w:rsidRPr="008C64ED" w:rsidRDefault="0071710E" w:rsidP="0071710E">
      <w:pPr>
        <w:pStyle w:val="ParaNumbering"/>
        <w:numPr>
          <w:ilvl w:val="0"/>
          <w:numId w:val="0"/>
        </w:numPr>
        <w:ind w:hanging="720"/>
        <w:rPr>
          <w:szCs w:val="24"/>
        </w:rPr>
      </w:pPr>
      <w:r w:rsidRPr="008C64ED">
        <w:rPr>
          <w:sz w:val="20"/>
          <w:szCs w:val="24"/>
        </w:rPr>
        <w:t>279</w:t>
      </w:r>
      <w:r w:rsidRPr="008C64ED">
        <w:rPr>
          <w:sz w:val="20"/>
          <w:szCs w:val="24"/>
        </w:rPr>
        <w:tab/>
      </w:r>
      <w:r w:rsidR="00BC64F4">
        <w:t xml:space="preserve">Let me turn to the next topic. </w:t>
      </w:r>
    </w:p>
    <w:p w14:paraId="0D62D9AC" w14:textId="77777777" w:rsidR="00BC64F4" w:rsidRDefault="00BC64F4" w:rsidP="00BC64F4">
      <w:pPr>
        <w:pStyle w:val="Heading4"/>
      </w:pPr>
      <w:r>
        <w:t>Judicial power—impermissible policy making and market-setting?</w:t>
      </w:r>
    </w:p>
    <w:p w14:paraId="24454E10" w14:textId="3762382F" w:rsidR="00BC64F4" w:rsidRDefault="0071710E" w:rsidP="0071710E">
      <w:pPr>
        <w:pStyle w:val="ParaNumbering"/>
        <w:numPr>
          <w:ilvl w:val="0"/>
          <w:numId w:val="0"/>
        </w:numPr>
        <w:tabs>
          <w:tab w:val="left" w:pos="720"/>
        </w:tabs>
        <w:ind w:hanging="720"/>
      </w:pPr>
      <w:r>
        <w:rPr>
          <w:sz w:val="20"/>
        </w:rPr>
        <w:t>280</w:t>
      </w:r>
      <w:r>
        <w:rPr>
          <w:sz w:val="20"/>
        </w:rPr>
        <w:tab/>
      </w:r>
      <w:r w:rsidR="00BC64F4">
        <w:t>The contradictor says that an exercise of statutory power involving the balancing of unstated considerations of policy may violate the bounds of judicial power if the policy considerations applied do not clearly emerge from the statutory context and/or the express words of the statute.</w:t>
      </w:r>
    </w:p>
    <w:p w14:paraId="11D08698" w14:textId="7BCE60BD" w:rsidR="00BC64F4" w:rsidRDefault="0071710E" w:rsidP="0071710E">
      <w:pPr>
        <w:pStyle w:val="ParaNumbering"/>
        <w:numPr>
          <w:ilvl w:val="0"/>
          <w:numId w:val="0"/>
        </w:numPr>
        <w:tabs>
          <w:tab w:val="left" w:pos="720"/>
        </w:tabs>
        <w:ind w:hanging="720"/>
      </w:pPr>
      <w:r>
        <w:rPr>
          <w:sz w:val="20"/>
        </w:rPr>
        <w:t>281</w:t>
      </w:r>
      <w:r>
        <w:rPr>
          <w:sz w:val="20"/>
        </w:rPr>
        <w:tab/>
      </w:r>
      <w:r w:rsidR="00BC64F4">
        <w:t>The contradictor says that s 33</w:t>
      </w:r>
      <w:proofErr w:type="gramStart"/>
      <w:r w:rsidR="00BC64F4">
        <w:t>V(</w:t>
      </w:r>
      <w:proofErr w:type="gramEnd"/>
      <w:r w:rsidR="00BC64F4">
        <w:t>2) does not state any criteria, other than that the Court considers a proposed distribution of settlement money to be “just”.</w:t>
      </w:r>
    </w:p>
    <w:p w14:paraId="07C83357" w14:textId="5A2FEE1B" w:rsidR="00BC64F4" w:rsidRDefault="0071710E" w:rsidP="0071710E">
      <w:pPr>
        <w:pStyle w:val="ParaNumbering"/>
        <w:numPr>
          <w:ilvl w:val="0"/>
          <w:numId w:val="0"/>
        </w:numPr>
        <w:tabs>
          <w:tab w:val="left" w:pos="720"/>
        </w:tabs>
        <w:ind w:hanging="720"/>
      </w:pPr>
      <w:r>
        <w:rPr>
          <w:sz w:val="20"/>
        </w:rPr>
        <w:t>282</w:t>
      </w:r>
      <w:r>
        <w:rPr>
          <w:sz w:val="20"/>
        </w:rPr>
        <w:tab/>
      </w:r>
      <w:r w:rsidR="00BC64F4">
        <w:t xml:space="preserve">The contradictor says that the difficulties inherent in making a CFO at any stage of a proceeding without the Court straying beyond the range of considerations supported by the statutory scheme are clear.  </w:t>
      </w:r>
    </w:p>
    <w:p w14:paraId="266633F9" w14:textId="60D4AE4F" w:rsidR="00BC64F4" w:rsidRDefault="0071710E" w:rsidP="0071710E">
      <w:pPr>
        <w:pStyle w:val="ParaNumbering"/>
        <w:numPr>
          <w:ilvl w:val="0"/>
          <w:numId w:val="0"/>
        </w:numPr>
        <w:tabs>
          <w:tab w:val="left" w:pos="720"/>
        </w:tabs>
        <w:ind w:hanging="720"/>
      </w:pPr>
      <w:r>
        <w:rPr>
          <w:sz w:val="20"/>
        </w:rPr>
        <w:t>283</w:t>
      </w:r>
      <w:r>
        <w:rPr>
          <w:sz w:val="20"/>
        </w:rPr>
        <w:tab/>
      </w:r>
      <w:r w:rsidR="00BC64F4">
        <w:t xml:space="preserve">It is said that it is impossible to sensibly make such an order without compromising the immediate interests of group members for the benefit of funders, or without recourse to justifications based on the viability of the </w:t>
      </w:r>
      <w:proofErr w:type="gramStart"/>
      <w:r w:rsidR="00BC64F4">
        <w:t>third party</w:t>
      </w:r>
      <w:proofErr w:type="gramEnd"/>
      <w:r w:rsidR="00BC64F4">
        <w:t xml:space="preserve"> funding model; it is said, somehow, that the plurality in </w:t>
      </w:r>
      <w:r w:rsidR="00BC64F4">
        <w:rPr>
          <w:i/>
          <w:iCs/>
        </w:rPr>
        <w:t xml:space="preserve">Brewster </w:t>
      </w:r>
      <w:r w:rsidR="00BC64F4">
        <w:t xml:space="preserve">has precluded taking into consideration such matters. </w:t>
      </w:r>
    </w:p>
    <w:p w14:paraId="39E4A71B" w14:textId="488992E1" w:rsidR="00BC64F4" w:rsidRDefault="0071710E" w:rsidP="0071710E">
      <w:pPr>
        <w:pStyle w:val="ParaNumbering"/>
        <w:numPr>
          <w:ilvl w:val="0"/>
          <w:numId w:val="0"/>
        </w:numPr>
        <w:tabs>
          <w:tab w:val="left" w:pos="720"/>
        </w:tabs>
        <w:ind w:hanging="720"/>
      </w:pPr>
      <w:r>
        <w:rPr>
          <w:sz w:val="20"/>
        </w:rPr>
        <w:t>284</w:t>
      </w:r>
      <w:r>
        <w:rPr>
          <w:sz w:val="20"/>
        </w:rPr>
        <w:tab/>
      </w:r>
      <w:r w:rsidR="00BC64F4">
        <w:t xml:space="preserve">It is said that it is difficult to see how the fact of a relatively modest pool for recovery could justify a disproportionate commission reflecting the risk taken on by the funder at the commencement of the proceeding unless the interests of group members are suborned to those of </w:t>
      </w:r>
      <w:proofErr w:type="gramStart"/>
      <w:r w:rsidR="00BC64F4">
        <w:t>third party</w:t>
      </w:r>
      <w:proofErr w:type="gramEnd"/>
      <w:r w:rsidR="00BC64F4">
        <w:t xml:space="preserve"> funders.</w:t>
      </w:r>
    </w:p>
    <w:p w14:paraId="13EB93DF" w14:textId="63B597B3" w:rsidR="00BC64F4" w:rsidRDefault="0071710E" w:rsidP="0071710E">
      <w:pPr>
        <w:pStyle w:val="ParaNumbering"/>
        <w:numPr>
          <w:ilvl w:val="0"/>
          <w:numId w:val="0"/>
        </w:numPr>
        <w:tabs>
          <w:tab w:val="left" w:pos="720"/>
        </w:tabs>
        <w:ind w:hanging="720"/>
      </w:pPr>
      <w:r>
        <w:rPr>
          <w:sz w:val="20"/>
        </w:rPr>
        <w:t>285</w:t>
      </w:r>
      <w:r>
        <w:rPr>
          <w:sz w:val="20"/>
        </w:rPr>
        <w:tab/>
      </w:r>
      <w:r w:rsidR="00BC64F4">
        <w:t xml:space="preserve">Further, it is said that if market rates are applied as the appropriate yardstick, other unstated policy considerations intrude.  The following questions are posed by the contradictor.  How are such market rates to be determined, and should the Court delve into whether such rates sufficiently reflect the true value of the funding risk?  Are the idiosyncratic features of a particular case, the funder and/or the group members to be accounted for, and if </w:t>
      </w:r>
      <w:proofErr w:type="gramStart"/>
      <w:r w:rsidR="00BC64F4">
        <w:t>so</w:t>
      </w:r>
      <w:proofErr w:type="gramEnd"/>
      <w:r w:rsidR="00BC64F4">
        <w:t xml:space="preserve"> how?  And how (if at all) is the Court to account for the role it might play in guiding or reinforcing, by an accumulation of decisions, market prices?  </w:t>
      </w:r>
    </w:p>
    <w:p w14:paraId="4F949C6A" w14:textId="11B18E87" w:rsidR="00BC64F4" w:rsidRDefault="0071710E" w:rsidP="0071710E">
      <w:pPr>
        <w:pStyle w:val="ParaNumbering"/>
        <w:numPr>
          <w:ilvl w:val="0"/>
          <w:numId w:val="0"/>
        </w:numPr>
        <w:tabs>
          <w:tab w:val="left" w:pos="720"/>
        </w:tabs>
        <w:ind w:hanging="720"/>
      </w:pPr>
      <w:r>
        <w:rPr>
          <w:sz w:val="20"/>
        </w:rPr>
        <w:t>286</w:t>
      </w:r>
      <w:r>
        <w:rPr>
          <w:sz w:val="20"/>
        </w:rPr>
        <w:tab/>
      </w:r>
      <w:r w:rsidR="00BC64F4">
        <w:t xml:space="preserve">Further, the contradictor says that if the solution to inscrutable market complexities of this type may be put to one side </w:t>
      </w:r>
      <w:proofErr w:type="gramStart"/>
      <w:r w:rsidR="00BC64F4">
        <w:t>in a given</w:t>
      </w:r>
      <w:proofErr w:type="gramEnd"/>
      <w:r w:rsidR="00BC64F4">
        <w:t xml:space="preserve"> case, the question remain</w:t>
      </w:r>
      <w:r w:rsidR="00BC64F4" w:rsidRPr="00D50134">
        <w:t>s:</w:t>
      </w:r>
      <w:r w:rsidR="00BC64F4">
        <w:t xml:space="preserve"> in the absence of statutory criteria or guidance gleaned from the statutory context, what rate should be set?  </w:t>
      </w:r>
    </w:p>
    <w:p w14:paraId="13417683" w14:textId="69378336" w:rsidR="00BC64F4" w:rsidRDefault="0071710E" w:rsidP="0071710E">
      <w:pPr>
        <w:pStyle w:val="ParaNumbering"/>
        <w:numPr>
          <w:ilvl w:val="0"/>
          <w:numId w:val="0"/>
        </w:numPr>
        <w:tabs>
          <w:tab w:val="left" w:pos="720"/>
        </w:tabs>
        <w:ind w:hanging="720"/>
      </w:pPr>
      <w:r>
        <w:rPr>
          <w:sz w:val="20"/>
        </w:rPr>
        <w:t>287</w:t>
      </w:r>
      <w:r>
        <w:rPr>
          <w:sz w:val="20"/>
        </w:rPr>
        <w:tab/>
      </w:r>
      <w:r w:rsidR="00BC64F4">
        <w:t xml:space="preserve">It is said that unlike the remuneration of insolvency practitioners, </w:t>
      </w:r>
      <w:proofErr w:type="gramStart"/>
      <w:r w:rsidR="00BC64F4">
        <w:t>trustees</w:t>
      </w:r>
      <w:proofErr w:type="gramEnd"/>
      <w:r w:rsidR="00BC64F4">
        <w:t xml:space="preserve"> or lawyers, which are usually set based on hourly rates in light of the amount of work done, the funder’s contribution is untethered to any easily quantifiable metric.  Its primary contribution is capital, in respect of which it requires a return.  It is said that without clear legislative guidance, the value of that provision of capital and the reasonable rate of return for a given funder is very difficult, if not impossible, for the Court to assess without straying into the realm of impermissible and non-judicial </w:t>
      </w:r>
      <w:proofErr w:type="gramStart"/>
      <w:r w:rsidR="00BC64F4">
        <w:t>policy-making</w:t>
      </w:r>
      <w:proofErr w:type="gramEnd"/>
      <w:r w:rsidR="00BC64F4">
        <w:t>.</w:t>
      </w:r>
    </w:p>
    <w:p w14:paraId="516C378F" w14:textId="65AAEC48" w:rsidR="00BC64F4" w:rsidRDefault="0071710E" w:rsidP="0071710E">
      <w:pPr>
        <w:pStyle w:val="ParaNumbering"/>
        <w:numPr>
          <w:ilvl w:val="0"/>
          <w:numId w:val="0"/>
        </w:numPr>
        <w:tabs>
          <w:tab w:val="left" w:pos="720"/>
        </w:tabs>
        <w:ind w:hanging="720"/>
      </w:pPr>
      <w:r>
        <w:rPr>
          <w:sz w:val="20"/>
        </w:rPr>
        <w:t>288</w:t>
      </w:r>
      <w:r>
        <w:rPr>
          <w:sz w:val="20"/>
        </w:rPr>
        <w:tab/>
      </w:r>
      <w:r w:rsidR="00BC64F4">
        <w:t xml:space="preserve">It is said that a court acting within the bounds of Chapter III judicial power should not make such assessments in the absence of express legislative guidance or guidance which is otherwise discernible from the statutory scheme.  And it is said that </w:t>
      </w:r>
      <w:r w:rsidR="00BC64F4">
        <w:rPr>
          <w:i/>
          <w:iCs/>
        </w:rPr>
        <w:t xml:space="preserve">Brewster </w:t>
      </w:r>
      <w:r w:rsidR="00BC64F4">
        <w:t>made clear that such assessments form no part of the scheme of Part IVA.</w:t>
      </w:r>
    </w:p>
    <w:p w14:paraId="3F9C5D17" w14:textId="3F601FA6" w:rsidR="00BC64F4" w:rsidRDefault="0071710E" w:rsidP="0071710E">
      <w:pPr>
        <w:pStyle w:val="ParaNumbering"/>
        <w:numPr>
          <w:ilvl w:val="0"/>
          <w:numId w:val="0"/>
        </w:numPr>
        <w:ind w:hanging="720"/>
      </w:pPr>
      <w:r>
        <w:rPr>
          <w:sz w:val="20"/>
        </w:rPr>
        <w:t>289</w:t>
      </w:r>
      <w:r>
        <w:rPr>
          <w:sz w:val="20"/>
        </w:rPr>
        <w:tab/>
      </w:r>
      <w:r w:rsidR="00BC64F4">
        <w:t>It is said that the use of s 33</w:t>
      </w:r>
      <w:proofErr w:type="gramStart"/>
      <w:r w:rsidR="00BC64F4">
        <w:t>V(</w:t>
      </w:r>
      <w:proofErr w:type="gramEnd"/>
      <w:r w:rsidR="00BC64F4">
        <w:t xml:space="preserve">2) would in this context involve the Court acting as a market regulator, effectively driving the setting of market rates for funding commission.  This would involve policy considerations beyond its proper purview.  </w:t>
      </w:r>
    </w:p>
    <w:p w14:paraId="6CAC03A9" w14:textId="2FE355D2" w:rsidR="00BC64F4" w:rsidRDefault="0071710E" w:rsidP="0071710E">
      <w:pPr>
        <w:pStyle w:val="ParaNumbering"/>
        <w:numPr>
          <w:ilvl w:val="0"/>
          <w:numId w:val="0"/>
        </w:numPr>
        <w:ind w:hanging="720"/>
      </w:pPr>
      <w:r>
        <w:rPr>
          <w:sz w:val="20"/>
        </w:rPr>
        <w:t>290</w:t>
      </w:r>
      <w:r>
        <w:rPr>
          <w:sz w:val="20"/>
        </w:rPr>
        <w:tab/>
      </w:r>
      <w:r w:rsidR="00BC64F4">
        <w:t xml:space="preserve">Further, it is said that the plurality’s observation in </w:t>
      </w:r>
      <w:r w:rsidR="00BC64F4" w:rsidRPr="008C59F0">
        <w:rPr>
          <w:i/>
        </w:rPr>
        <w:t>Brewster</w:t>
      </w:r>
      <w:r w:rsidR="00BC64F4">
        <w:t xml:space="preserve"> (at [68]) that at the conclusion of a proceeding the value of a funder’s support to group members will be capable of assessment and recognition “because the value of the litigation and the extent of the burden will have been rendered certain” is not an answer to the policy problem.</w:t>
      </w:r>
    </w:p>
    <w:p w14:paraId="1E154F1A" w14:textId="6ED65763" w:rsidR="00BC64F4" w:rsidRDefault="0071710E" w:rsidP="0071710E">
      <w:pPr>
        <w:pStyle w:val="ParaNumbering"/>
        <w:numPr>
          <w:ilvl w:val="0"/>
          <w:numId w:val="0"/>
        </w:numPr>
        <w:ind w:hanging="720"/>
      </w:pPr>
      <w:r>
        <w:rPr>
          <w:sz w:val="20"/>
        </w:rPr>
        <w:t>291</w:t>
      </w:r>
      <w:r>
        <w:rPr>
          <w:sz w:val="20"/>
        </w:rPr>
        <w:tab/>
      </w:r>
      <w:r w:rsidR="00BC64F4">
        <w:t>It is said that the value that a funder brings which would fall to be assessed is not limited to the value of the litigation and the extent of the burden rendered through funding the litigation. Other questions that may arise include whether and to what extent the Court should take into account an appropriate return on investment for funders, bearing in mind factors including, for example, the nature and extent of the risk borne at the time of investment, the particular risk appetite of the funder in question and whether and to what extent that appetite should be rewarded, the duration of the investment, the nature of the domestic and international funding market, and the nature of that market compared to other asset classes into which investors may otherwise have invested their capital.</w:t>
      </w:r>
    </w:p>
    <w:p w14:paraId="328850B8" w14:textId="0733F1F7" w:rsidR="00BC64F4" w:rsidRDefault="0071710E" w:rsidP="0071710E">
      <w:pPr>
        <w:pStyle w:val="ParaNumbering"/>
        <w:numPr>
          <w:ilvl w:val="0"/>
          <w:numId w:val="0"/>
        </w:numPr>
        <w:ind w:hanging="720"/>
      </w:pPr>
      <w:r>
        <w:rPr>
          <w:sz w:val="20"/>
        </w:rPr>
        <w:t>292</w:t>
      </w:r>
      <w:r>
        <w:rPr>
          <w:sz w:val="20"/>
        </w:rPr>
        <w:tab/>
      </w:r>
      <w:r w:rsidR="00BC64F4">
        <w:t xml:space="preserve">But it is said that these do not involve objective criteria or legal principle assessed through any judicial process.  It is said that they involve the weighing of policy considerations between funder and group member, assessed </w:t>
      </w:r>
      <w:proofErr w:type="gramStart"/>
      <w:r w:rsidR="00BC64F4">
        <w:t>in light of</w:t>
      </w:r>
      <w:proofErr w:type="gramEnd"/>
      <w:r w:rsidR="00BC64F4">
        <w:t xml:space="preserve"> value judgments involving how the broader litigation funding market should be rewarded.</w:t>
      </w:r>
    </w:p>
    <w:p w14:paraId="328D6621" w14:textId="24485D67" w:rsidR="00BC64F4" w:rsidRPr="0026636D" w:rsidRDefault="0071710E" w:rsidP="0071710E">
      <w:pPr>
        <w:pStyle w:val="ParaNumbering"/>
        <w:numPr>
          <w:ilvl w:val="0"/>
          <w:numId w:val="0"/>
        </w:numPr>
        <w:tabs>
          <w:tab w:val="left" w:pos="720"/>
        </w:tabs>
        <w:ind w:hanging="720"/>
        <w:rPr>
          <w:szCs w:val="24"/>
        </w:rPr>
      </w:pPr>
      <w:r w:rsidRPr="0026636D">
        <w:rPr>
          <w:sz w:val="20"/>
          <w:szCs w:val="24"/>
        </w:rPr>
        <w:t>293</w:t>
      </w:r>
      <w:r w:rsidRPr="0026636D">
        <w:rPr>
          <w:sz w:val="20"/>
          <w:szCs w:val="24"/>
        </w:rPr>
        <w:tab/>
      </w:r>
      <w:r w:rsidR="00BC64F4">
        <w:rPr>
          <w:szCs w:val="24"/>
        </w:rPr>
        <w:t xml:space="preserve">Now I would also reject this second dimension to the contradictor’s judicial power arguments.  </w:t>
      </w:r>
      <w:r w:rsidR="00BC64F4" w:rsidRPr="0026636D">
        <w:rPr>
          <w:szCs w:val="24"/>
        </w:rPr>
        <w:t>At the least I am wary of the contradictor’s position concerning s 33</w:t>
      </w:r>
      <w:proofErr w:type="gramStart"/>
      <w:r w:rsidR="00BC64F4" w:rsidRPr="0026636D">
        <w:rPr>
          <w:szCs w:val="24"/>
        </w:rPr>
        <w:t>V(</w:t>
      </w:r>
      <w:proofErr w:type="gramEnd"/>
      <w:r w:rsidR="00BC64F4" w:rsidRPr="0026636D">
        <w:rPr>
          <w:szCs w:val="24"/>
        </w:rPr>
        <w:t xml:space="preserve">2) in this respect, which is calculated to maximise the prospect of constitutional infirmity concerning the making of a settlement CFO.  </w:t>
      </w:r>
    </w:p>
    <w:p w14:paraId="7593DE2C" w14:textId="4D572C39" w:rsidR="00BC64F4" w:rsidRDefault="0071710E" w:rsidP="0071710E">
      <w:pPr>
        <w:pStyle w:val="ParaNumbering"/>
        <w:numPr>
          <w:ilvl w:val="0"/>
          <w:numId w:val="0"/>
        </w:numPr>
        <w:ind w:hanging="720"/>
        <w:rPr>
          <w:szCs w:val="24"/>
        </w:rPr>
      </w:pPr>
      <w:r>
        <w:rPr>
          <w:sz w:val="20"/>
          <w:szCs w:val="24"/>
        </w:rPr>
        <w:t>294</w:t>
      </w:r>
      <w:r>
        <w:rPr>
          <w:sz w:val="20"/>
          <w:szCs w:val="24"/>
        </w:rPr>
        <w:tab/>
      </w:r>
      <w:r w:rsidR="00BC64F4">
        <w:rPr>
          <w:szCs w:val="24"/>
        </w:rPr>
        <w:t>T</w:t>
      </w:r>
      <w:r w:rsidR="00BC64F4" w:rsidRPr="00FA5506">
        <w:rPr>
          <w:szCs w:val="24"/>
        </w:rPr>
        <w:t xml:space="preserve">he making of a </w:t>
      </w:r>
      <w:r w:rsidR="00BC64F4">
        <w:rPr>
          <w:szCs w:val="24"/>
        </w:rPr>
        <w:t>s</w:t>
      </w:r>
      <w:r w:rsidR="00BC64F4" w:rsidRPr="00FA5506">
        <w:rPr>
          <w:szCs w:val="24"/>
        </w:rPr>
        <w:t>ettlement CFO is not non-judicial because it involves the weighing of policy considerations, which may include assessment of an appropriate commercial return on investment for funders.</w:t>
      </w:r>
      <w:r w:rsidR="00BC64F4">
        <w:rPr>
          <w:szCs w:val="24"/>
        </w:rPr>
        <w:t xml:space="preserve"> </w:t>
      </w:r>
    </w:p>
    <w:p w14:paraId="44BF2430" w14:textId="2C5B8056" w:rsidR="00BC64F4" w:rsidRPr="00B741F9" w:rsidRDefault="0071710E" w:rsidP="0071710E">
      <w:pPr>
        <w:pStyle w:val="ParaNumbering"/>
        <w:numPr>
          <w:ilvl w:val="0"/>
          <w:numId w:val="0"/>
        </w:numPr>
        <w:tabs>
          <w:tab w:val="left" w:pos="720"/>
        </w:tabs>
        <w:ind w:hanging="720"/>
        <w:rPr>
          <w:szCs w:val="24"/>
        </w:rPr>
      </w:pPr>
      <w:r w:rsidRPr="00B741F9">
        <w:rPr>
          <w:sz w:val="20"/>
          <w:szCs w:val="24"/>
        </w:rPr>
        <w:t>295</w:t>
      </w:r>
      <w:r w:rsidRPr="00B741F9">
        <w:rPr>
          <w:sz w:val="20"/>
          <w:szCs w:val="24"/>
        </w:rPr>
        <w:tab/>
      </w:r>
      <w:r w:rsidR="00BC64F4">
        <w:t xml:space="preserve">Further, in my view the contradictor’s position is meritless.  Let me repeat what I said in </w:t>
      </w:r>
      <w:r w:rsidR="00BC64F4" w:rsidRPr="00B741F9">
        <w:rPr>
          <w:i/>
        </w:rPr>
        <w:t>Blairgowrie</w:t>
      </w:r>
      <w:r w:rsidR="00BC64F4">
        <w:t xml:space="preserve"> </w:t>
      </w:r>
      <w:r w:rsidR="00BC64F4">
        <w:rPr>
          <w:i/>
          <w:iCs/>
        </w:rPr>
        <w:t xml:space="preserve">(No 3) </w:t>
      </w:r>
      <w:r w:rsidR="00BC64F4">
        <w:t xml:space="preserve">at [120] to [122] shortly after </w:t>
      </w:r>
      <w:proofErr w:type="gramStart"/>
      <w:r w:rsidR="00BC64F4">
        <w:rPr>
          <w:i/>
          <w:iCs/>
        </w:rPr>
        <w:t>Money Max</w:t>
      </w:r>
      <w:r w:rsidR="00BC64F4">
        <w:t>, and</w:t>
      </w:r>
      <w:proofErr w:type="gramEnd"/>
      <w:r w:rsidR="00BC64F4">
        <w:t xml:space="preserve"> inject a dose of realism into this question of setting a commission rate based upon my own practice and no doubt the practice of Lee J and others which is still the current position. </w:t>
      </w:r>
    </w:p>
    <w:p w14:paraId="73DC15FC" w14:textId="099ECE42" w:rsidR="00BC64F4" w:rsidRDefault="0071710E" w:rsidP="0071710E">
      <w:pPr>
        <w:pStyle w:val="ParaNumbering"/>
        <w:numPr>
          <w:ilvl w:val="0"/>
          <w:numId w:val="0"/>
        </w:numPr>
        <w:ind w:hanging="720"/>
      </w:pPr>
      <w:r>
        <w:rPr>
          <w:sz w:val="20"/>
        </w:rPr>
        <w:t>296</w:t>
      </w:r>
      <w:r>
        <w:rPr>
          <w:sz w:val="20"/>
        </w:rPr>
        <w:tab/>
      </w:r>
      <w:r w:rsidR="00BC64F4">
        <w:t xml:space="preserve">Whether a Court should set a commission rate and the rate to be used is largely a forensic question depending upon the material available to the judge at the time the order is sought.  It is not to be determined by some value laden proposition clothed in the language that it is not a suitable issue for the exercise of judicial power.  After all, judges set legal costs by scales, rates, individual amounts and total or capped amounts, whether ex ante or ex post; a commission or funding rate may be seen as a relevant analogue.  Further, some judges in fixing the remuneration of external insolvency practitioners also readily engage in such exercises, including ex ante or ex post rates of remuneration.  In other contexts, judges have set rates of remuneration for trustees administering trust assets.  In yet other contexts, judges set discount rates on some aspects of common law damages.  They may also set interest rates less than or more than statutory interest rate entitlements. </w:t>
      </w:r>
    </w:p>
    <w:p w14:paraId="5D444880" w14:textId="73D33B82" w:rsidR="00BC64F4" w:rsidRDefault="0071710E" w:rsidP="0071710E">
      <w:pPr>
        <w:pStyle w:val="ParaNumbering"/>
        <w:numPr>
          <w:ilvl w:val="0"/>
          <w:numId w:val="0"/>
        </w:numPr>
        <w:ind w:hanging="720"/>
      </w:pPr>
      <w:r>
        <w:rPr>
          <w:sz w:val="20"/>
        </w:rPr>
        <w:t>297</w:t>
      </w:r>
      <w:r>
        <w:rPr>
          <w:sz w:val="20"/>
        </w:rPr>
        <w:tab/>
      </w:r>
      <w:r w:rsidR="00BC64F4">
        <w:t xml:space="preserve">In general, the question is not whether the rate setting for a common fund order is a suitable subject matter for the exercise of judicial power.  Rather, the question is whether, in a particular case, a judge is </w:t>
      </w:r>
      <w:proofErr w:type="gramStart"/>
      <w:r w:rsidR="00BC64F4">
        <w:t>in a position</w:t>
      </w:r>
      <w:proofErr w:type="gramEnd"/>
      <w:r w:rsidR="00BC64F4">
        <w:t xml:space="preserve"> to or should set a rate by the application of the appropriate judicial method tailored to the circumstances of the individual case.</w:t>
      </w:r>
    </w:p>
    <w:p w14:paraId="1F9E3C54" w14:textId="279AAC5D" w:rsidR="00BC64F4" w:rsidRDefault="0071710E" w:rsidP="0071710E">
      <w:pPr>
        <w:pStyle w:val="ParaNumbering"/>
        <w:numPr>
          <w:ilvl w:val="0"/>
          <w:numId w:val="0"/>
        </w:numPr>
        <w:ind w:hanging="720"/>
      </w:pPr>
      <w:r>
        <w:rPr>
          <w:sz w:val="20"/>
        </w:rPr>
        <w:t>298</w:t>
      </w:r>
      <w:r>
        <w:rPr>
          <w:sz w:val="20"/>
        </w:rPr>
        <w:tab/>
      </w:r>
      <w:r w:rsidR="00BC64F4">
        <w:t xml:space="preserve">And once one appreciates that perspective, the answer to the question of whether a judge should set a commission rate depends upon the forensic context and the adequacy of the information provided.  And as with other contexts, such as damages assessments including the value of lost economic opportunities, the judge </w:t>
      </w:r>
      <w:proofErr w:type="gramStart"/>
      <w:r w:rsidR="00BC64F4">
        <w:t>has to</w:t>
      </w:r>
      <w:proofErr w:type="gramEnd"/>
      <w:r w:rsidR="00BC64F4">
        <w:t xml:space="preserve"> do the best he can on the evidence available, albeit incomplete or imperfect.  Moreover, the fact that the question may in part be evaluative and one upon which reasonable minds might differ is no bar to engaging in the task.</w:t>
      </w:r>
    </w:p>
    <w:p w14:paraId="147D3697" w14:textId="59FBAFF8" w:rsidR="00BC64F4" w:rsidRDefault="0071710E" w:rsidP="0071710E">
      <w:pPr>
        <w:pStyle w:val="ParaNumbering"/>
        <w:numPr>
          <w:ilvl w:val="0"/>
          <w:numId w:val="0"/>
        </w:numPr>
        <w:ind w:hanging="720"/>
      </w:pPr>
      <w:r>
        <w:rPr>
          <w:sz w:val="20"/>
        </w:rPr>
        <w:t>299</w:t>
      </w:r>
      <w:r>
        <w:rPr>
          <w:sz w:val="20"/>
        </w:rPr>
        <w:tab/>
      </w:r>
      <w:r w:rsidR="00BC64F4">
        <w:t xml:space="preserve">Yet another argument suggests that the judge ought not be the market setter.  But the judge is not setting a market rate, but rather a rate referable to the individual circumstances of the </w:t>
      </w:r>
      <w:proofErr w:type="gramStart"/>
      <w:r w:rsidR="00BC64F4">
        <w:t>particular case</w:t>
      </w:r>
      <w:proofErr w:type="gramEnd"/>
      <w:r w:rsidR="00BC64F4">
        <w:t xml:space="preserve"> before him or her.  But the rate set may be contextually informed by an actual or putative market rate, including reference to rates in foreign jurisdictions, particularly where demand side or supply side substitutability is not necessarily confined by geographic limitations.  The rate set may also be informed by the risks faced by litigation funders in investing in litigation generally, not just the case in question, which may also be affected by whether a funder has a diversified spread of litigation investments and not a small pool of such investments thereby producing overall higher risk for the undiversified funder.  In other words, what is the equity beta for funders locally or globally?  And consequently, what is the rate of return on equity that a funder locally or globally might reasonably expect given the level of risk for such a business, </w:t>
      </w:r>
      <w:proofErr w:type="spellStart"/>
      <w:proofErr w:type="gramStart"/>
      <w:r w:rsidR="00BC64F4">
        <w:t>ie</w:t>
      </w:r>
      <w:proofErr w:type="spellEnd"/>
      <w:proofErr w:type="gramEnd"/>
      <w:r w:rsidR="00BC64F4">
        <w:t xml:space="preserve"> funding litigation?  And is the funder earning disproportionate returns?  If so, that may indicate that there is no true “price” competition in the litigation funding market and that the commission rates are higher than what a workably competitive market might be expected to deliver.  Now these are all interesting questions.  And no doubt a judge is not </w:t>
      </w:r>
      <w:proofErr w:type="gramStart"/>
      <w:r w:rsidR="00BC64F4">
        <w:t>in a position</w:t>
      </w:r>
      <w:proofErr w:type="gramEnd"/>
      <w:r w:rsidR="00BC64F4">
        <w:t xml:space="preserve"> to investigate such questions in any detail.  But a review of the financial accounts of the funder and other funders might quickly allay concerns that standard commission rates are somehow producing rates of return on equity so outside a reasonable range such as to cast doubt on whether standard commission rates should be used as a benchmark or at least for a contextual check.  But if the judge’s concerns are not allayed, all that means is that the judge might put to one side standard or putative market rates as a benchmark and set a rate based only on evidence concerning the case before him.  In other words, it is no argument for not setting a rate at all, but rather it may justify putting to one side putative market rates or comparable data.</w:t>
      </w:r>
    </w:p>
    <w:p w14:paraId="22A3EAB1" w14:textId="11252B52" w:rsidR="00BC64F4" w:rsidRDefault="0071710E" w:rsidP="0071710E">
      <w:pPr>
        <w:pStyle w:val="ParaNumbering"/>
        <w:numPr>
          <w:ilvl w:val="0"/>
          <w:numId w:val="0"/>
        </w:numPr>
        <w:tabs>
          <w:tab w:val="left" w:pos="720"/>
        </w:tabs>
        <w:ind w:hanging="720"/>
      </w:pPr>
      <w:r>
        <w:rPr>
          <w:sz w:val="20"/>
        </w:rPr>
        <w:t>300</w:t>
      </w:r>
      <w:r>
        <w:rPr>
          <w:sz w:val="20"/>
        </w:rPr>
        <w:tab/>
      </w:r>
      <w:r w:rsidR="00BC64F4">
        <w:t xml:space="preserve">At the end of the day the application is made by the representative party.  The Court is being asked to approve of a rate sought by the applicant.  The application includes evidence which goes to why the funding has been given on the terms that it has.  The Court has a discretion to make or not make the order based on the available evidence.  If the Court proceeds to exercise its discretion to make a settlement CFO, it makes an evaluative judgment based upon the evidence before it.  This is plain vanilla judging. </w:t>
      </w:r>
    </w:p>
    <w:p w14:paraId="056F45BF" w14:textId="46C86706" w:rsidR="00BC64F4" w:rsidRPr="00FA5506" w:rsidRDefault="0071710E" w:rsidP="0071710E">
      <w:pPr>
        <w:pStyle w:val="ParaNumbering"/>
        <w:numPr>
          <w:ilvl w:val="0"/>
          <w:numId w:val="0"/>
        </w:numPr>
        <w:ind w:hanging="720"/>
        <w:rPr>
          <w:szCs w:val="24"/>
        </w:rPr>
      </w:pPr>
      <w:r w:rsidRPr="00FA5506">
        <w:rPr>
          <w:sz w:val="20"/>
          <w:szCs w:val="24"/>
        </w:rPr>
        <w:t>301</w:t>
      </w:r>
      <w:r w:rsidRPr="00FA5506">
        <w:rPr>
          <w:sz w:val="20"/>
          <w:szCs w:val="24"/>
        </w:rPr>
        <w:tab/>
      </w:r>
      <w:r w:rsidR="00BC64F4">
        <w:rPr>
          <w:szCs w:val="24"/>
        </w:rPr>
        <w:t xml:space="preserve">Further, </w:t>
      </w:r>
      <w:r w:rsidR="00BC64F4" w:rsidRPr="00FA5506">
        <w:rPr>
          <w:szCs w:val="24"/>
        </w:rPr>
        <w:t>a similar argument</w:t>
      </w:r>
      <w:r w:rsidR="00BC64F4">
        <w:rPr>
          <w:szCs w:val="24"/>
        </w:rPr>
        <w:t xml:space="preserve"> to that put by the contradictor before us</w:t>
      </w:r>
      <w:r w:rsidR="00BC64F4" w:rsidRPr="00FA5506">
        <w:rPr>
          <w:szCs w:val="24"/>
        </w:rPr>
        <w:t xml:space="preserve"> was rejected </w:t>
      </w:r>
      <w:r w:rsidR="00BC64F4">
        <w:rPr>
          <w:szCs w:val="24"/>
        </w:rPr>
        <w:t xml:space="preserve">in </w:t>
      </w:r>
      <w:r w:rsidR="00BC64F4">
        <w:rPr>
          <w:i/>
          <w:iCs/>
          <w:szCs w:val="24"/>
        </w:rPr>
        <w:t xml:space="preserve">Brewster </w:t>
      </w:r>
      <w:r w:rsidR="00BC64F4" w:rsidRPr="00FA5506">
        <w:rPr>
          <w:szCs w:val="24"/>
        </w:rPr>
        <w:t xml:space="preserve">by both </w:t>
      </w:r>
      <w:proofErr w:type="spellStart"/>
      <w:r w:rsidR="00BC64F4" w:rsidRPr="00FA5506">
        <w:rPr>
          <w:szCs w:val="24"/>
        </w:rPr>
        <w:t>Gageler</w:t>
      </w:r>
      <w:proofErr w:type="spellEnd"/>
      <w:r w:rsidR="00BC64F4" w:rsidRPr="00FA5506">
        <w:rPr>
          <w:szCs w:val="24"/>
        </w:rPr>
        <w:t xml:space="preserve"> J and Edelman J. As </w:t>
      </w:r>
      <w:proofErr w:type="spellStart"/>
      <w:r w:rsidR="00BC64F4" w:rsidRPr="00FA5506">
        <w:rPr>
          <w:szCs w:val="24"/>
        </w:rPr>
        <w:t>Gageler</w:t>
      </w:r>
      <w:proofErr w:type="spellEnd"/>
      <w:r w:rsidR="00BC64F4" w:rsidRPr="00FA5506">
        <w:rPr>
          <w:szCs w:val="24"/>
        </w:rPr>
        <w:t xml:space="preserve"> J put it (at [115]):</w:t>
      </w:r>
    </w:p>
    <w:p w14:paraId="18D361C4" w14:textId="77777777" w:rsidR="00BC64F4" w:rsidRPr="00FA5506" w:rsidRDefault="00BC64F4" w:rsidP="00BC64F4">
      <w:pPr>
        <w:pStyle w:val="Quote1"/>
      </w:pPr>
      <w:r w:rsidRPr="00FA5506">
        <w:t>To the extent that making a CFO involves the Court in an evaluation of the appropriateness of the payments to be made to the litigation funder in the event of success in the proceeding, I reject the suggestion that making a CFO requires the Court to embark on an inquiry which is beyond its institutional competence, which involves the Court in inappropriate speculation, or which is inadequately guided by the broad statutory standard of what the Court thinks appropriate or necessary to ensure that justice is done in the representative proceeding</w:t>
      </w:r>
      <w:r>
        <w:t>…</w:t>
      </w:r>
    </w:p>
    <w:p w14:paraId="005A6A95" w14:textId="1C320A78" w:rsidR="00BC64F4" w:rsidRDefault="0071710E" w:rsidP="0071710E">
      <w:pPr>
        <w:pStyle w:val="ParaNumbering"/>
        <w:numPr>
          <w:ilvl w:val="0"/>
          <w:numId w:val="0"/>
        </w:numPr>
        <w:ind w:hanging="720"/>
        <w:rPr>
          <w:szCs w:val="24"/>
        </w:rPr>
      </w:pPr>
      <w:r>
        <w:rPr>
          <w:sz w:val="20"/>
          <w:szCs w:val="24"/>
        </w:rPr>
        <w:t>302</w:t>
      </w:r>
      <w:r>
        <w:rPr>
          <w:sz w:val="20"/>
          <w:szCs w:val="24"/>
        </w:rPr>
        <w:tab/>
      </w:r>
      <w:r w:rsidR="00BC64F4">
        <w:rPr>
          <w:szCs w:val="24"/>
        </w:rPr>
        <w:t xml:space="preserve">His Honour cited an example well known to any commercial judge who is frequently called upon to approve contracts </w:t>
      </w:r>
      <w:proofErr w:type="gramStart"/>
      <w:r w:rsidR="00BC64F4">
        <w:rPr>
          <w:szCs w:val="24"/>
        </w:rPr>
        <w:t>entered into</w:t>
      </w:r>
      <w:proofErr w:type="gramEnd"/>
      <w:r w:rsidR="00BC64F4">
        <w:rPr>
          <w:szCs w:val="24"/>
        </w:rPr>
        <w:t xml:space="preserve"> by liquidators for funding future litigation on behalf of the liquidated entity and has to assess and approve of rates of remuneration or commission for the funding. </w:t>
      </w:r>
    </w:p>
    <w:p w14:paraId="27B78975" w14:textId="5CC211CF" w:rsidR="00BC64F4" w:rsidRDefault="0071710E" w:rsidP="0071710E">
      <w:pPr>
        <w:pStyle w:val="ParaNumbering"/>
        <w:numPr>
          <w:ilvl w:val="0"/>
          <w:numId w:val="0"/>
        </w:numPr>
        <w:ind w:hanging="720"/>
        <w:rPr>
          <w:szCs w:val="24"/>
        </w:rPr>
      </w:pPr>
      <w:r>
        <w:rPr>
          <w:sz w:val="20"/>
          <w:szCs w:val="24"/>
        </w:rPr>
        <w:t>303</w:t>
      </w:r>
      <w:r>
        <w:rPr>
          <w:sz w:val="20"/>
          <w:szCs w:val="24"/>
        </w:rPr>
        <w:tab/>
      </w:r>
      <w:r w:rsidR="00BC64F4">
        <w:rPr>
          <w:szCs w:val="24"/>
        </w:rPr>
        <w:t xml:space="preserve">And as </w:t>
      </w:r>
      <w:r w:rsidR="00BC64F4" w:rsidRPr="00FA5506">
        <w:rPr>
          <w:szCs w:val="24"/>
        </w:rPr>
        <w:t>Edelman J</w:t>
      </w:r>
      <w:r w:rsidR="00BC64F4">
        <w:rPr>
          <w:szCs w:val="24"/>
        </w:rPr>
        <w:t xml:space="preserve"> </w:t>
      </w:r>
      <w:r w:rsidR="00BC64F4" w:rsidRPr="00FA5506">
        <w:rPr>
          <w:szCs w:val="24"/>
        </w:rPr>
        <w:t xml:space="preserve">said </w:t>
      </w:r>
      <w:r w:rsidR="00BC64F4">
        <w:rPr>
          <w:szCs w:val="24"/>
        </w:rPr>
        <w:t>(at [226]):</w:t>
      </w:r>
    </w:p>
    <w:p w14:paraId="4721113E" w14:textId="77777777" w:rsidR="00BC64F4" w:rsidRDefault="00BC64F4" w:rsidP="00BC64F4">
      <w:pPr>
        <w:pStyle w:val="Quote1"/>
      </w:pPr>
      <w:r>
        <w:t xml:space="preserve">… </w:t>
      </w:r>
      <w:r w:rsidRPr="003E79EC">
        <w:t>although the calculation of the rate of remuneration for a common fund order will be a difficult exercise and one upon which minds may differ, it must be exercised in accordance with the judicial process, by a process of balancing interests that is quintessentially judicial</w:t>
      </w:r>
      <w:r>
        <w:t xml:space="preserve"> …</w:t>
      </w:r>
      <w:r w:rsidRPr="003E79EC">
        <w:t xml:space="preserve"> such enquiries are a common exercise of judicial power. Examples of courts making assessments by reference to broad, open-textured criteria include the adjudication of whether conduct is "unconscionable", the "just and convenient" considerations involved in interlocutory injunctions, and the power of courts to make preventive orders. In any event, the requirements of propriety or necessity, and doing justice in the proceeding, ensure that the exercise of power is judicial.</w:t>
      </w:r>
    </w:p>
    <w:p w14:paraId="5A9F412D" w14:textId="77777777" w:rsidR="00BC64F4" w:rsidRDefault="00BC64F4" w:rsidP="00BC64F4">
      <w:pPr>
        <w:pStyle w:val="Quote1"/>
      </w:pPr>
      <w:r>
        <w:t>(</w:t>
      </w:r>
      <w:proofErr w:type="gramStart"/>
      <w:r>
        <w:t>footnote</w:t>
      </w:r>
      <w:proofErr w:type="gramEnd"/>
      <w:r>
        <w:t xml:space="preserve"> omitted)</w:t>
      </w:r>
    </w:p>
    <w:p w14:paraId="2A944A65" w14:textId="03227A7F" w:rsidR="00BC64F4" w:rsidRPr="00FA5506" w:rsidRDefault="0071710E" w:rsidP="0071710E">
      <w:pPr>
        <w:pStyle w:val="ParaNumbering"/>
        <w:numPr>
          <w:ilvl w:val="0"/>
          <w:numId w:val="0"/>
        </w:numPr>
        <w:ind w:hanging="720"/>
      </w:pPr>
      <w:r w:rsidRPr="00FA5506">
        <w:rPr>
          <w:sz w:val="20"/>
        </w:rPr>
        <w:t>304</w:t>
      </w:r>
      <w:r w:rsidRPr="00FA5506">
        <w:rPr>
          <w:sz w:val="20"/>
        </w:rPr>
        <w:tab/>
      </w:r>
      <w:r w:rsidR="00BC64F4" w:rsidRPr="00FA5506">
        <w:t xml:space="preserve">The same arguments apply in relation to the making of a </w:t>
      </w:r>
      <w:r w:rsidR="00BC64F4">
        <w:t>se</w:t>
      </w:r>
      <w:r w:rsidR="00BC64F4" w:rsidRPr="00FA5506">
        <w:t>ttlement CFO under s 33</w:t>
      </w:r>
      <w:proofErr w:type="gramStart"/>
      <w:r w:rsidR="00BC64F4" w:rsidRPr="00FA5506">
        <w:t>V</w:t>
      </w:r>
      <w:r w:rsidR="00BC64F4">
        <w:t>(</w:t>
      </w:r>
      <w:proofErr w:type="gramEnd"/>
      <w:r w:rsidR="00BC64F4">
        <w:t>2), which in one sense is also open-textured.  This is a</w:t>
      </w:r>
      <w:r w:rsidR="00BC64F4" w:rsidRPr="00FA5506">
        <w:t xml:space="preserve"> power which is exercised in accordance with the judicial process and which is bounded by the “quintessentially judicial” requirement of what is just</w:t>
      </w:r>
      <w:r w:rsidR="00BC64F4">
        <w:t xml:space="preserve">; see also </w:t>
      </w:r>
      <w:proofErr w:type="spellStart"/>
      <w:r w:rsidR="00BC64F4">
        <w:rPr>
          <w:i/>
          <w:iCs/>
        </w:rPr>
        <w:t>Lenthall</w:t>
      </w:r>
      <w:proofErr w:type="spellEnd"/>
      <w:r w:rsidR="00BC64F4">
        <w:rPr>
          <w:i/>
          <w:iCs/>
        </w:rPr>
        <w:t xml:space="preserve"> </w:t>
      </w:r>
      <w:r w:rsidR="00BC64F4">
        <w:t>at [100] and [102] to [106], albeit discussing s 33</w:t>
      </w:r>
      <w:proofErr w:type="gramStart"/>
      <w:r w:rsidR="00BC64F4">
        <w:t>ZF(</w:t>
      </w:r>
      <w:proofErr w:type="gramEnd"/>
      <w:r w:rsidR="00BC64F4">
        <w:t xml:space="preserve">1) principally although there is some reference to s 33V. </w:t>
      </w:r>
    </w:p>
    <w:p w14:paraId="15F6BF83" w14:textId="4A3234DA" w:rsidR="00BC64F4" w:rsidRPr="00FA5506" w:rsidRDefault="0071710E" w:rsidP="0071710E">
      <w:pPr>
        <w:pStyle w:val="ParaNumbering"/>
        <w:numPr>
          <w:ilvl w:val="0"/>
          <w:numId w:val="0"/>
        </w:numPr>
        <w:ind w:hanging="720"/>
        <w:rPr>
          <w:szCs w:val="24"/>
        </w:rPr>
      </w:pPr>
      <w:r w:rsidRPr="00FA5506">
        <w:rPr>
          <w:sz w:val="20"/>
          <w:szCs w:val="24"/>
        </w:rPr>
        <w:t>305</w:t>
      </w:r>
      <w:r w:rsidRPr="00FA5506">
        <w:rPr>
          <w:sz w:val="20"/>
          <w:szCs w:val="24"/>
        </w:rPr>
        <w:tab/>
      </w:r>
      <w:r w:rsidR="00BC64F4">
        <w:rPr>
          <w:szCs w:val="24"/>
        </w:rPr>
        <w:t>Further, t</w:t>
      </w:r>
      <w:r w:rsidR="00BC64F4" w:rsidRPr="00FA5506">
        <w:rPr>
          <w:szCs w:val="24"/>
        </w:rPr>
        <w:t>he contradictor’s characterisation of the Court as a market regulator, effectively driving the setting of market rates for funding commission</w:t>
      </w:r>
      <w:r w:rsidR="00BC64F4">
        <w:rPr>
          <w:szCs w:val="24"/>
        </w:rPr>
        <w:t>, is inapt</w:t>
      </w:r>
      <w:r w:rsidR="00BC64F4" w:rsidRPr="00FA5506">
        <w:rPr>
          <w:szCs w:val="24"/>
        </w:rPr>
        <w:t>.</w:t>
      </w:r>
      <w:r w:rsidR="00BC64F4">
        <w:rPr>
          <w:szCs w:val="24"/>
        </w:rPr>
        <w:t xml:space="preserve"> </w:t>
      </w:r>
      <w:r w:rsidR="00BC64F4" w:rsidRPr="00FA5506">
        <w:rPr>
          <w:szCs w:val="24"/>
        </w:rPr>
        <w:t xml:space="preserve"> The question for the Court will be whether a </w:t>
      </w:r>
      <w:r w:rsidR="00BC64F4">
        <w:rPr>
          <w:szCs w:val="24"/>
        </w:rPr>
        <w:t>s</w:t>
      </w:r>
      <w:r w:rsidR="00BC64F4" w:rsidRPr="00FA5506">
        <w:rPr>
          <w:szCs w:val="24"/>
        </w:rPr>
        <w:t>ettlement CFO, including any funding commission rate, is just having regard to the individual circumstances of the case before it</w:t>
      </w:r>
      <w:r w:rsidR="00BC64F4">
        <w:rPr>
          <w:szCs w:val="24"/>
        </w:rPr>
        <w:t>.  T</w:t>
      </w:r>
      <w:r w:rsidR="00BC64F4" w:rsidRPr="00FA5506">
        <w:rPr>
          <w:szCs w:val="24"/>
        </w:rPr>
        <w:t>hat is a judicial question that is capable of being answered judicially.</w:t>
      </w:r>
    </w:p>
    <w:p w14:paraId="361DCE9F" w14:textId="4EFC9022" w:rsidR="00BC64F4" w:rsidRPr="00FA5506" w:rsidRDefault="0071710E" w:rsidP="0071710E">
      <w:pPr>
        <w:pStyle w:val="ParaNumbering"/>
        <w:numPr>
          <w:ilvl w:val="0"/>
          <w:numId w:val="0"/>
        </w:numPr>
        <w:ind w:hanging="720"/>
        <w:rPr>
          <w:szCs w:val="24"/>
        </w:rPr>
      </w:pPr>
      <w:r w:rsidRPr="00FA5506">
        <w:rPr>
          <w:sz w:val="20"/>
          <w:szCs w:val="24"/>
        </w:rPr>
        <w:t>306</w:t>
      </w:r>
      <w:r w:rsidRPr="00FA5506">
        <w:rPr>
          <w:sz w:val="20"/>
          <w:szCs w:val="24"/>
        </w:rPr>
        <w:tab/>
      </w:r>
      <w:r w:rsidR="00BC64F4">
        <w:rPr>
          <w:szCs w:val="24"/>
        </w:rPr>
        <w:t>Now t</w:t>
      </w:r>
      <w:r w:rsidR="00BC64F4" w:rsidRPr="00FA5506">
        <w:rPr>
          <w:szCs w:val="24"/>
        </w:rPr>
        <w:t xml:space="preserve">he contradictor also relies on the observation of the plurality in </w:t>
      </w:r>
      <w:r w:rsidR="00BC64F4" w:rsidRPr="00447A9E">
        <w:rPr>
          <w:i/>
          <w:szCs w:val="24"/>
        </w:rPr>
        <w:t>Brewster</w:t>
      </w:r>
      <w:r w:rsidR="00BC64F4">
        <w:rPr>
          <w:iCs/>
          <w:szCs w:val="24"/>
        </w:rPr>
        <w:t>, which identified</w:t>
      </w:r>
      <w:r w:rsidR="00BC64F4" w:rsidRPr="00FA5506">
        <w:rPr>
          <w:szCs w:val="24"/>
        </w:rPr>
        <w:t xml:space="preserve"> the key problem with the court’s fixing of the funder’s remuneration as being the absence of criteria to guide the exercise of discretion by the court (at [59]).</w:t>
      </w:r>
      <w:r w:rsidR="00BC64F4">
        <w:rPr>
          <w:szCs w:val="24"/>
        </w:rPr>
        <w:t xml:space="preserve">  But t</w:t>
      </w:r>
      <w:r w:rsidR="00BC64F4" w:rsidRPr="00FA5506">
        <w:rPr>
          <w:szCs w:val="24"/>
        </w:rPr>
        <w:t xml:space="preserve">hat observation does not assist. </w:t>
      </w:r>
    </w:p>
    <w:p w14:paraId="308C6EEC" w14:textId="3365445E" w:rsidR="00BC64F4" w:rsidRPr="00FA5506" w:rsidRDefault="0071710E" w:rsidP="0071710E">
      <w:pPr>
        <w:pStyle w:val="ParaNumbering"/>
        <w:numPr>
          <w:ilvl w:val="0"/>
          <w:numId w:val="0"/>
        </w:numPr>
        <w:ind w:hanging="720"/>
        <w:rPr>
          <w:szCs w:val="24"/>
        </w:rPr>
      </w:pPr>
      <w:r w:rsidRPr="00FA5506">
        <w:rPr>
          <w:sz w:val="20"/>
          <w:szCs w:val="24"/>
        </w:rPr>
        <w:t>307</w:t>
      </w:r>
      <w:r w:rsidRPr="00FA5506">
        <w:rPr>
          <w:sz w:val="20"/>
          <w:szCs w:val="24"/>
        </w:rPr>
        <w:tab/>
      </w:r>
      <w:r w:rsidR="00BC64F4" w:rsidRPr="00FA5506">
        <w:rPr>
          <w:szCs w:val="24"/>
        </w:rPr>
        <w:t>First, that observation was not made in the context of a discussion about whether s 33ZF validly conferred judicial power on a court</w:t>
      </w:r>
      <w:r w:rsidR="00BC64F4">
        <w:rPr>
          <w:szCs w:val="24"/>
        </w:rPr>
        <w:t>.  It</w:t>
      </w:r>
      <w:r w:rsidR="00BC64F4" w:rsidRPr="00FA5506">
        <w:rPr>
          <w:szCs w:val="24"/>
        </w:rPr>
        <w:t xml:space="preserve"> was made in the context of a discussion of whether </w:t>
      </w:r>
      <w:r w:rsidR="00BC64F4" w:rsidRPr="0016212F">
        <w:t>s</w:t>
      </w:r>
      <w:r w:rsidR="00BC64F4">
        <w:t> </w:t>
      </w:r>
      <w:r w:rsidR="00BC64F4" w:rsidRPr="0016212F">
        <w:t>33ZF</w:t>
      </w:r>
      <w:r w:rsidR="00BC64F4" w:rsidRPr="00FA5506">
        <w:rPr>
          <w:szCs w:val="24"/>
        </w:rPr>
        <w:t xml:space="preserve"> empowered a court to make a </w:t>
      </w:r>
      <w:r w:rsidR="00BC64F4">
        <w:rPr>
          <w:szCs w:val="24"/>
        </w:rPr>
        <w:t>c</w:t>
      </w:r>
      <w:r w:rsidR="00BC64F4" w:rsidRPr="00FA5506">
        <w:rPr>
          <w:szCs w:val="24"/>
        </w:rPr>
        <w:t>ommencement CFO as a matter of statutory construction.</w:t>
      </w:r>
    </w:p>
    <w:p w14:paraId="16882050" w14:textId="18ACAC93" w:rsidR="00BC64F4" w:rsidRPr="00FA5506" w:rsidRDefault="0071710E" w:rsidP="0071710E">
      <w:pPr>
        <w:pStyle w:val="ParaNumbering"/>
        <w:numPr>
          <w:ilvl w:val="0"/>
          <w:numId w:val="0"/>
        </w:numPr>
        <w:ind w:hanging="720"/>
        <w:rPr>
          <w:szCs w:val="24"/>
        </w:rPr>
      </w:pPr>
      <w:r w:rsidRPr="00FA5506">
        <w:rPr>
          <w:sz w:val="20"/>
          <w:szCs w:val="24"/>
        </w:rPr>
        <w:t>308</w:t>
      </w:r>
      <w:r w:rsidRPr="00FA5506">
        <w:rPr>
          <w:sz w:val="20"/>
          <w:szCs w:val="24"/>
        </w:rPr>
        <w:tab/>
      </w:r>
      <w:r w:rsidR="00BC64F4">
        <w:rPr>
          <w:szCs w:val="24"/>
        </w:rPr>
        <w:t>Second</w:t>
      </w:r>
      <w:r w:rsidR="00BC64F4" w:rsidRPr="00FA5506">
        <w:rPr>
          <w:szCs w:val="24"/>
        </w:rPr>
        <w:t>, and as the second sentence of [59] makes clear, their Honours were concerned</w:t>
      </w:r>
      <w:r w:rsidR="00BC64F4">
        <w:rPr>
          <w:szCs w:val="24"/>
        </w:rPr>
        <w:t xml:space="preserve"> with</w:t>
      </w:r>
      <w:r w:rsidR="00BC64F4" w:rsidRPr="00FA5506">
        <w:rPr>
          <w:szCs w:val="24"/>
        </w:rPr>
        <w:t xml:space="preserve"> “the problems that attend the fixing of the rate of the funder’s remuneration at the beginning of the proceeding”. </w:t>
      </w:r>
      <w:r w:rsidR="00BC64F4">
        <w:rPr>
          <w:szCs w:val="24"/>
        </w:rPr>
        <w:t xml:space="preserve"> Clearly, t</w:t>
      </w:r>
      <w:r w:rsidR="00BC64F4" w:rsidRPr="00FA5506">
        <w:rPr>
          <w:szCs w:val="24"/>
        </w:rPr>
        <w:t xml:space="preserve">hose concerns do not attend the fixing of the rate at the end of the proceeding pursuant to a </w:t>
      </w:r>
      <w:r w:rsidR="00BC64F4">
        <w:rPr>
          <w:szCs w:val="24"/>
        </w:rPr>
        <w:t>s</w:t>
      </w:r>
      <w:r w:rsidR="00BC64F4" w:rsidRPr="00FA5506">
        <w:rPr>
          <w:szCs w:val="24"/>
        </w:rPr>
        <w:t>ettlement CFO.</w:t>
      </w:r>
      <w:r w:rsidR="00BC64F4">
        <w:rPr>
          <w:szCs w:val="24"/>
        </w:rPr>
        <w:t xml:space="preserve">  And the </w:t>
      </w:r>
      <w:r w:rsidR="00BC64F4" w:rsidRPr="00FA5506">
        <w:rPr>
          <w:szCs w:val="24"/>
        </w:rPr>
        <w:t xml:space="preserve">plurality in </w:t>
      </w:r>
      <w:r w:rsidR="00BC64F4" w:rsidRPr="00447A9E">
        <w:rPr>
          <w:i/>
          <w:szCs w:val="24"/>
        </w:rPr>
        <w:t>Brewster</w:t>
      </w:r>
      <w:r w:rsidR="00BC64F4" w:rsidRPr="00FA5506">
        <w:rPr>
          <w:szCs w:val="24"/>
        </w:rPr>
        <w:t xml:space="preserve"> </w:t>
      </w:r>
      <w:r w:rsidR="00BC64F4">
        <w:rPr>
          <w:szCs w:val="24"/>
        </w:rPr>
        <w:t>were not at all concerned with t</w:t>
      </w:r>
      <w:r w:rsidR="00BC64F4" w:rsidRPr="00FA5506">
        <w:rPr>
          <w:szCs w:val="24"/>
        </w:rPr>
        <w:t>he text, context and purpose of s 33</w:t>
      </w:r>
      <w:proofErr w:type="gramStart"/>
      <w:r w:rsidR="00BC64F4" w:rsidRPr="00FA5506">
        <w:rPr>
          <w:szCs w:val="24"/>
        </w:rPr>
        <w:t>V</w:t>
      </w:r>
      <w:r w:rsidR="00BC64F4">
        <w:rPr>
          <w:szCs w:val="24"/>
        </w:rPr>
        <w:t>(</w:t>
      </w:r>
      <w:proofErr w:type="gramEnd"/>
      <w:r w:rsidR="00BC64F4">
        <w:rPr>
          <w:szCs w:val="24"/>
        </w:rPr>
        <w:t>2) which</w:t>
      </w:r>
      <w:r w:rsidR="00BC64F4" w:rsidRPr="00FA5506">
        <w:rPr>
          <w:szCs w:val="24"/>
        </w:rPr>
        <w:t xml:space="preserve"> are all different.</w:t>
      </w:r>
    </w:p>
    <w:p w14:paraId="7F4C68F6" w14:textId="764037E1" w:rsidR="00BC64F4" w:rsidRDefault="0071710E" w:rsidP="0071710E">
      <w:pPr>
        <w:pStyle w:val="ParaNumbering"/>
        <w:numPr>
          <w:ilvl w:val="0"/>
          <w:numId w:val="0"/>
        </w:numPr>
        <w:ind w:hanging="720"/>
      </w:pPr>
      <w:r>
        <w:rPr>
          <w:sz w:val="20"/>
        </w:rPr>
        <w:t>309</w:t>
      </w:r>
      <w:r>
        <w:rPr>
          <w:sz w:val="20"/>
        </w:rPr>
        <w:tab/>
      </w:r>
      <w:r w:rsidR="00BC64F4">
        <w:t>Now the contradictor says that there is no standard for a settlement CFO.  But the criterion of “just” in s 33</w:t>
      </w:r>
      <w:proofErr w:type="gramStart"/>
      <w:r w:rsidR="00BC64F4">
        <w:t>V(</w:t>
      </w:r>
      <w:proofErr w:type="gramEnd"/>
      <w:r w:rsidR="00BC64F4">
        <w:t xml:space="preserve">2) assumes or embodies an objective standard, although it is vague.  Moreover, there is no reason why, in this context, it is impermissible to rely upon the well-recognised technique of giving a broad standard content and more detailed meaning on a </w:t>
      </w:r>
      <w:proofErr w:type="gramStart"/>
      <w:r w:rsidR="00BC64F4">
        <w:t>case by case</w:t>
      </w:r>
      <w:proofErr w:type="gramEnd"/>
      <w:r w:rsidR="00BC64F4">
        <w:t xml:space="preserve"> basis.  Indeed, the words “make such orders as are just” in s 33</w:t>
      </w:r>
      <w:proofErr w:type="gramStart"/>
      <w:r w:rsidR="00BC64F4">
        <w:t>V(</w:t>
      </w:r>
      <w:proofErr w:type="gramEnd"/>
      <w:r w:rsidR="00BC64F4">
        <w:t>2) “point to the requirement to develop principles governing the exercise of the power”, albeit such as to avoid abuse (</w:t>
      </w:r>
      <w:r w:rsidR="00BC64F4" w:rsidRPr="003245E5">
        <w:rPr>
          <w:i/>
        </w:rPr>
        <w:t xml:space="preserve">Cardile v LED Builders Pty Ltd </w:t>
      </w:r>
      <w:r w:rsidR="00BC64F4">
        <w:t xml:space="preserve">(1999) 198 CLR 380 at [26] per the plurality).  </w:t>
      </w:r>
    </w:p>
    <w:p w14:paraId="3163A5A5" w14:textId="24F215EF" w:rsidR="00BC64F4" w:rsidRDefault="0071710E" w:rsidP="0071710E">
      <w:pPr>
        <w:pStyle w:val="ParaNumbering"/>
        <w:numPr>
          <w:ilvl w:val="0"/>
          <w:numId w:val="0"/>
        </w:numPr>
        <w:ind w:hanging="720"/>
      </w:pPr>
      <w:r>
        <w:rPr>
          <w:sz w:val="20"/>
        </w:rPr>
        <w:t>310</w:t>
      </w:r>
      <w:r>
        <w:rPr>
          <w:sz w:val="20"/>
        </w:rPr>
        <w:tab/>
      </w:r>
      <w:r w:rsidR="00BC64F4">
        <w:t xml:space="preserve">Further, in </w:t>
      </w:r>
      <w:r w:rsidR="00BC64F4">
        <w:rPr>
          <w:i/>
          <w:iCs/>
        </w:rPr>
        <w:t>The Queen</w:t>
      </w:r>
      <w:r w:rsidR="00BC64F4">
        <w:rPr>
          <w:i/>
        </w:rPr>
        <w:t xml:space="preserve"> v Joske; Ex </w:t>
      </w:r>
      <w:proofErr w:type="spellStart"/>
      <w:r w:rsidR="00BC64F4">
        <w:rPr>
          <w:i/>
        </w:rPr>
        <w:t>parte</w:t>
      </w:r>
      <w:proofErr w:type="spellEnd"/>
      <w:r w:rsidR="00BC64F4">
        <w:rPr>
          <w:i/>
        </w:rPr>
        <w:t xml:space="preserve"> Shop Distributive and Allied Employees’ Association </w:t>
      </w:r>
      <w:r w:rsidR="00BC64F4">
        <w:t>(1976) 135 CLR 194</w:t>
      </w:r>
      <w:r w:rsidR="00BC64F4">
        <w:rPr>
          <w:i/>
        </w:rPr>
        <w:t xml:space="preserve">, </w:t>
      </w:r>
      <w:r w:rsidR="00BC64F4">
        <w:t xml:space="preserve">Mason and Murphy JJ said (at 215 and 216): </w:t>
      </w:r>
    </w:p>
    <w:p w14:paraId="56D68395" w14:textId="77777777" w:rsidR="00BC64F4" w:rsidRDefault="00BC64F4" w:rsidP="00BC64F4">
      <w:pPr>
        <w:pStyle w:val="Quote1"/>
      </w:pPr>
      <w:r w:rsidRPr="00517659">
        <w:t>The prosecutors argue that ss. 171C and 171D confer on the Industrial Court non-judicial power. The attack upon s. 171C was supported largely by reference to the provisions of pars (a) and (b) of sub-s. (2) of that section. They follow sub-s. (1) which empowers the Court, on the application of an organization, a member or a person having a sufficient interest in respect of it, to hear and determine the question whether an invalidity has occurred in the affairs of the organization and to make such declaration as it thinks proper. The sub-section provides:</w:t>
      </w:r>
    </w:p>
    <w:p w14:paraId="7E82C065" w14:textId="77777777" w:rsidR="00BC64F4" w:rsidRDefault="00BC64F4" w:rsidP="00BC64F4">
      <w:pPr>
        <w:pStyle w:val="Quote2"/>
      </w:pPr>
      <w:r>
        <w:t>“</w:t>
      </w:r>
      <w:r w:rsidRPr="00517659">
        <w:t>171C. (2) Where, in proceedings under sub-section (1), the Court finds that an invalidity of the kind referred to in that sub-section has occurred, the Court</w:t>
      </w:r>
      <w:r>
        <w:t xml:space="preserve"> –</w:t>
      </w:r>
      <w:r w:rsidRPr="00517659">
        <w:t xml:space="preserve"> </w:t>
      </w:r>
    </w:p>
    <w:p w14:paraId="791BD7A7" w14:textId="77777777" w:rsidR="00BC64F4" w:rsidRDefault="00BC64F4" w:rsidP="00BC64F4">
      <w:pPr>
        <w:pStyle w:val="Quote2"/>
        <w:ind w:left="2160" w:hanging="720"/>
      </w:pPr>
      <w:r w:rsidRPr="00517659">
        <w:t xml:space="preserve">(a) </w:t>
      </w:r>
      <w:r>
        <w:tab/>
      </w:r>
      <w:r w:rsidRPr="00517659">
        <w:t xml:space="preserve">may make such order as it thinks fit to rectify or cause to be rectified the invalidity, or to negative, modify or cause to be modified the consequences in law of the invalidity, or to validate any act, matter or thing rendered invalid by or as a result of the </w:t>
      </w:r>
      <w:proofErr w:type="gramStart"/>
      <w:r w:rsidRPr="00517659">
        <w:t>invalidity;</w:t>
      </w:r>
      <w:proofErr w:type="gramEnd"/>
      <w:r w:rsidRPr="00517659">
        <w:t xml:space="preserve"> </w:t>
      </w:r>
    </w:p>
    <w:p w14:paraId="3C2D1056" w14:textId="77777777" w:rsidR="00BC64F4" w:rsidRDefault="00BC64F4" w:rsidP="00BC64F4">
      <w:pPr>
        <w:pStyle w:val="Quote2"/>
        <w:ind w:left="2160" w:hanging="720"/>
      </w:pPr>
      <w:r w:rsidRPr="00517659">
        <w:t xml:space="preserve">(b) </w:t>
      </w:r>
      <w:r>
        <w:tab/>
      </w:r>
      <w:r w:rsidRPr="00517659">
        <w:t>shall, before making such order, satisfy itself that such an order would not do substantial injustice to the organization or to any member or creditor of the organization or to any person having dealings with the organization."</w:t>
      </w:r>
    </w:p>
    <w:p w14:paraId="27D89806" w14:textId="77777777" w:rsidR="00BC64F4" w:rsidRDefault="00BC64F4" w:rsidP="00BC64F4">
      <w:pPr>
        <w:pStyle w:val="Quote1"/>
      </w:pPr>
      <w:r w:rsidRPr="00517659">
        <w:t xml:space="preserve">It involves, so the argument runs, the conferment on the Court of functions which differ markedly from the ascertainment and declaration of existing rights, involving as they do, the making of determinations by reference to criteria not enunciated and the making of orders creating new rights. In addition, it is urged that the concept of "substantial injustice" is so vague as not to lend itself to an exercise of judicial power. These considerations, it seems to us, are not enough to bring us within reach of the conclusion which the prosecutors seek to attain. Many examples are to be found in the exercise of judicial power of orders which alter the rights of the parties or are the source of new rights. Likewise, there are countless instances of judicial discretions with no specification of the criteria by reference to which they are to be exercised - nevertheless they have been accepted as involving the exercise of judicial power (see </w:t>
      </w:r>
      <w:r w:rsidRPr="00517659">
        <w:rPr>
          <w:i/>
          <w:iCs/>
        </w:rPr>
        <w:t>Cominos v</w:t>
      </w:r>
      <w:r>
        <w:rPr>
          <w:i/>
          <w:iCs/>
        </w:rPr>
        <w:t>.</w:t>
      </w:r>
      <w:r w:rsidRPr="00517659">
        <w:rPr>
          <w:i/>
          <w:iCs/>
        </w:rPr>
        <w:t xml:space="preserve"> Cominos</w:t>
      </w:r>
      <w:r>
        <w:t>).</w:t>
      </w:r>
      <w:r w:rsidRPr="00517659">
        <w:t xml:space="preserve"> It is no objection that the function entrusted to the Court is novel and that the Court cannot in exercising its discretion call in aid standards elaborated and refined in past decision</w:t>
      </w:r>
      <w:r>
        <w:t>s</w:t>
      </w:r>
      <w:r w:rsidRPr="00517659">
        <w:t xml:space="preserve">; it is for the Court to develop and elaborate criteria regulating the discretion, having regard to the benefits which may be expected to flow from the making of an order under sub-s. (2)(a) and the impact which such an order will have on the interests of persons who may be affected. </w:t>
      </w:r>
    </w:p>
    <w:p w14:paraId="3B4CDD6B" w14:textId="77777777" w:rsidR="00BC64F4" w:rsidRDefault="00BC64F4" w:rsidP="00BC64F4">
      <w:pPr>
        <w:pStyle w:val="Quote1"/>
      </w:pPr>
      <w:r>
        <w:t>(</w:t>
      </w:r>
      <w:proofErr w:type="gramStart"/>
      <w:r>
        <w:t>footnote</w:t>
      </w:r>
      <w:proofErr w:type="gramEnd"/>
      <w:r>
        <w:t xml:space="preserve"> omitted)</w:t>
      </w:r>
    </w:p>
    <w:p w14:paraId="0ED73767" w14:textId="2BF65A47" w:rsidR="00BC64F4" w:rsidRDefault="0071710E" w:rsidP="0071710E">
      <w:pPr>
        <w:pStyle w:val="ParaNumbering"/>
        <w:numPr>
          <w:ilvl w:val="0"/>
          <w:numId w:val="0"/>
        </w:numPr>
        <w:tabs>
          <w:tab w:val="left" w:pos="720"/>
        </w:tabs>
        <w:ind w:hanging="720"/>
      </w:pPr>
      <w:r>
        <w:rPr>
          <w:sz w:val="20"/>
        </w:rPr>
        <w:t>311</w:t>
      </w:r>
      <w:r>
        <w:rPr>
          <w:sz w:val="20"/>
        </w:rPr>
        <w:tab/>
      </w:r>
      <w:r w:rsidR="00BC64F4">
        <w:t xml:space="preserve">As one can see, the contradictor’s arguments before us have not found favour at appellate level in any analogous setting concerning the conferral of statutory power on a court, where the standard to be applied is very broad. </w:t>
      </w:r>
    </w:p>
    <w:p w14:paraId="7175229D" w14:textId="77777777" w:rsidR="00BC64F4" w:rsidRDefault="00BC64F4" w:rsidP="00BC64F4">
      <w:pPr>
        <w:pStyle w:val="Heading4"/>
      </w:pPr>
      <w:r>
        <w:t>A coda - the two conceptions approach</w:t>
      </w:r>
    </w:p>
    <w:p w14:paraId="35BDC3B7" w14:textId="517260BF" w:rsidR="00BC64F4" w:rsidRDefault="0071710E" w:rsidP="0071710E">
      <w:pPr>
        <w:pStyle w:val="ParaNumbering"/>
        <w:numPr>
          <w:ilvl w:val="0"/>
          <w:numId w:val="0"/>
        </w:numPr>
        <w:ind w:hanging="720"/>
      </w:pPr>
      <w:r>
        <w:rPr>
          <w:sz w:val="20"/>
        </w:rPr>
        <w:t>312</w:t>
      </w:r>
      <w:r>
        <w:rPr>
          <w:sz w:val="20"/>
        </w:rPr>
        <w:tab/>
      </w:r>
      <w:r w:rsidR="00BC64F4">
        <w:t xml:space="preserve">Let me conclude my observations on the question of judicial power by saying something concerning </w:t>
      </w:r>
      <w:proofErr w:type="spellStart"/>
      <w:r w:rsidR="00BC64F4">
        <w:t>Gageler</w:t>
      </w:r>
      <w:proofErr w:type="spellEnd"/>
      <w:r w:rsidR="00BC64F4">
        <w:t xml:space="preserve"> J’s two conceptions approach to judicial power. </w:t>
      </w:r>
    </w:p>
    <w:p w14:paraId="4C0A25DC" w14:textId="63AF26DA" w:rsidR="00BC64F4" w:rsidRDefault="0071710E" w:rsidP="0071710E">
      <w:pPr>
        <w:pStyle w:val="ParaNumbering"/>
        <w:numPr>
          <w:ilvl w:val="0"/>
          <w:numId w:val="0"/>
        </w:numPr>
        <w:ind w:hanging="720"/>
      </w:pPr>
      <w:r>
        <w:rPr>
          <w:sz w:val="20"/>
        </w:rPr>
        <w:t>313</w:t>
      </w:r>
      <w:r>
        <w:rPr>
          <w:sz w:val="20"/>
        </w:rPr>
        <w:tab/>
      </w:r>
      <w:r w:rsidR="00BC64F4">
        <w:t xml:space="preserve">In </w:t>
      </w:r>
      <w:r w:rsidR="00BC64F4">
        <w:rPr>
          <w:i/>
          <w:iCs/>
        </w:rPr>
        <w:t xml:space="preserve">Palmer v Ayres </w:t>
      </w:r>
      <w:r w:rsidR="00BC64F4">
        <w:t xml:space="preserve">(2017) 259 CLR 478, </w:t>
      </w:r>
      <w:proofErr w:type="spellStart"/>
      <w:r w:rsidR="00BC64F4">
        <w:t>Gageler</w:t>
      </w:r>
      <w:proofErr w:type="spellEnd"/>
      <w:r w:rsidR="00BC64F4">
        <w:t xml:space="preserve"> J said (at [47]): </w:t>
      </w:r>
    </w:p>
    <w:p w14:paraId="3C5B55B8" w14:textId="77777777" w:rsidR="00BC64F4" w:rsidRDefault="00BC64F4" w:rsidP="00BC64F4">
      <w:pPr>
        <w:pStyle w:val="Quote1"/>
      </w:pPr>
      <w:r>
        <w:t xml:space="preserve">… </w:t>
      </w:r>
      <w:r w:rsidRPr="00176B79">
        <w:t xml:space="preserve">The first is of the existence of an area of judicial power within which a particular act or thing done is directed to an ultimate end that can be achieved only through the exercise of judicial power. At the centre of that exclusive area is what has subsequently been described as the “unique and essential function” of the judicial power of “the quelling of … controversies [as to legal rights] by ascertainment of the facts, by application of the law and by exercise, where appropriate, of judicial discretion”. </w:t>
      </w:r>
      <w:proofErr w:type="gramStart"/>
      <w:r w:rsidRPr="00176B79">
        <w:t>Also</w:t>
      </w:r>
      <w:proofErr w:type="gramEnd"/>
      <w:r w:rsidRPr="00176B79">
        <w:t xml:space="preserve"> within that exclusive area of judicial power and more difficult to catalogue are some, but by no means all, other functions that have in the past been exercised only by courts. The second conception is of an area of judicial power, within “[t]he borderland in which judicial and administrative functions overlap”, and within which a particular act or thing done by a court through the application of a judicial process is directed to an ultimate end that might equally be achieved through the application of a non-judicial process. Beyond those two conceptions lies the area of non-judicial power.</w:t>
      </w:r>
    </w:p>
    <w:p w14:paraId="16F443CC" w14:textId="77777777" w:rsidR="00BC64F4" w:rsidRDefault="00BC64F4" w:rsidP="00BC64F4">
      <w:pPr>
        <w:pStyle w:val="Quote1"/>
      </w:pPr>
      <w:r>
        <w:t>(</w:t>
      </w:r>
      <w:proofErr w:type="gramStart"/>
      <w:r>
        <w:t>footnotes</w:t>
      </w:r>
      <w:proofErr w:type="gramEnd"/>
      <w:r>
        <w:t xml:space="preserve"> omitted)</w:t>
      </w:r>
    </w:p>
    <w:p w14:paraId="33D99551" w14:textId="64491B74" w:rsidR="00BC64F4" w:rsidRDefault="0071710E" w:rsidP="0071710E">
      <w:pPr>
        <w:pStyle w:val="ParaNumbering"/>
        <w:numPr>
          <w:ilvl w:val="0"/>
          <w:numId w:val="0"/>
        </w:numPr>
        <w:tabs>
          <w:tab w:val="left" w:pos="720"/>
        </w:tabs>
        <w:ind w:hanging="720"/>
      </w:pPr>
      <w:r>
        <w:rPr>
          <w:sz w:val="20"/>
        </w:rPr>
        <w:t>314</w:t>
      </w:r>
      <w:r>
        <w:rPr>
          <w:sz w:val="20"/>
        </w:rPr>
        <w:tab/>
      </w:r>
      <w:r w:rsidR="00BC64F4">
        <w:t>The exercise of power under s 33</w:t>
      </w:r>
      <w:proofErr w:type="gramStart"/>
      <w:r w:rsidR="00BC64F4">
        <w:t>V(</w:t>
      </w:r>
      <w:proofErr w:type="gramEnd"/>
      <w:r w:rsidR="00BC64F4">
        <w:t xml:space="preserve">2) to make a settlement CFO in my view falls under the first part of the first conception.  And if not, it would fall under a modified form of the second conception where “administrative” is replaced with “non-judicial”. </w:t>
      </w:r>
    </w:p>
    <w:p w14:paraId="3D4224B6" w14:textId="78C62367" w:rsidR="00BC64F4" w:rsidRDefault="0071710E" w:rsidP="0071710E">
      <w:pPr>
        <w:pStyle w:val="ParaNumbering"/>
        <w:numPr>
          <w:ilvl w:val="0"/>
          <w:numId w:val="0"/>
        </w:numPr>
        <w:tabs>
          <w:tab w:val="left" w:pos="720"/>
        </w:tabs>
        <w:ind w:hanging="720"/>
      </w:pPr>
      <w:r>
        <w:rPr>
          <w:sz w:val="20"/>
        </w:rPr>
        <w:t>315</w:t>
      </w:r>
      <w:r>
        <w:rPr>
          <w:sz w:val="20"/>
        </w:rPr>
        <w:tab/>
      </w:r>
      <w:r w:rsidR="00BC64F4">
        <w:t xml:space="preserve">Further, </w:t>
      </w:r>
      <w:proofErr w:type="spellStart"/>
      <w:r w:rsidR="00BC64F4">
        <w:t>Gageler</w:t>
      </w:r>
      <w:proofErr w:type="spellEnd"/>
      <w:r w:rsidR="00BC64F4">
        <w:t xml:space="preserve"> J went on to say (at [48]): </w:t>
      </w:r>
    </w:p>
    <w:p w14:paraId="2D871D41" w14:textId="77777777" w:rsidR="00BC64F4" w:rsidRDefault="00BC64F4" w:rsidP="00BC64F4">
      <w:pPr>
        <w:pStyle w:val="Quote1"/>
      </w:pPr>
      <w:r>
        <w:t>Where the Commonwealth Parliament confers a power to do a particular act or thing on a court, it must be assumed in the absence of some indication to the contrary that the Parliament intends and requires that power to be exercised by that court through the application of a judicial process. If the act or thing is capable of being done through the application of a judicial process, the question whether the power to do it is within the judicial power of the Commonwealth turns on the end to which the act or thing is directed.</w:t>
      </w:r>
    </w:p>
    <w:p w14:paraId="337A16DD" w14:textId="77777777" w:rsidR="00BC64F4" w:rsidRDefault="00BC64F4" w:rsidP="00BC64F4">
      <w:pPr>
        <w:pStyle w:val="Quote1"/>
      </w:pPr>
      <w:r>
        <w:t>(</w:t>
      </w:r>
      <w:proofErr w:type="gramStart"/>
      <w:r>
        <w:t>footnote</w:t>
      </w:r>
      <w:proofErr w:type="gramEnd"/>
      <w:r>
        <w:t xml:space="preserve"> omitted)</w:t>
      </w:r>
    </w:p>
    <w:p w14:paraId="6DCBE45D" w14:textId="53B8EF6E" w:rsidR="00BC64F4" w:rsidRDefault="0071710E" w:rsidP="0071710E">
      <w:pPr>
        <w:pStyle w:val="ParaNumbering"/>
        <w:numPr>
          <w:ilvl w:val="0"/>
          <w:numId w:val="0"/>
        </w:numPr>
        <w:tabs>
          <w:tab w:val="left" w:pos="720"/>
        </w:tabs>
        <w:ind w:hanging="720"/>
      </w:pPr>
      <w:r>
        <w:rPr>
          <w:sz w:val="20"/>
        </w:rPr>
        <w:t>316</w:t>
      </w:r>
      <w:r>
        <w:rPr>
          <w:sz w:val="20"/>
        </w:rPr>
        <w:tab/>
      </w:r>
      <w:r w:rsidR="00BC64F4">
        <w:t>Let me dwell on this formulation for a moment.  Now as I have said, the power in s 33</w:t>
      </w:r>
      <w:proofErr w:type="gramStart"/>
      <w:r w:rsidR="00BC64F4">
        <w:t>V(</w:t>
      </w:r>
      <w:proofErr w:type="gramEnd"/>
      <w:r w:rsidR="00BC64F4">
        <w:t xml:space="preserve">2) is to be exercised through the application of the judicial process and a settlement CFO is capable of being determined through the application of the judicial process.  The judge receives submissions, receives </w:t>
      </w:r>
      <w:proofErr w:type="gramStart"/>
      <w:r w:rsidR="00BC64F4">
        <w:t>evidence</w:t>
      </w:r>
      <w:proofErr w:type="gramEnd"/>
      <w:r w:rsidR="00BC64F4">
        <w:t xml:space="preserve"> and makes a ruling, possibly with the assistance of a contradictor.  What then is left to consider </w:t>
      </w:r>
      <w:proofErr w:type="gramStart"/>
      <w:r w:rsidR="00BC64F4">
        <w:t>in order to</w:t>
      </w:r>
      <w:proofErr w:type="gramEnd"/>
      <w:r w:rsidR="00BC64F4">
        <w:t xml:space="preserve"> determine whether the power to do it is within judicial power?  The question then “turns on the end to which the act or thing is directed”.  But here the matter is put beyond doubt.  Section 33</w:t>
      </w:r>
      <w:proofErr w:type="gramStart"/>
      <w:r w:rsidR="00BC64F4">
        <w:t>V(</w:t>
      </w:r>
      <w:proofErr w:type="gramEnd"/>
      <w:r w:rsidR="00BC64F4">
        <w:t>2) requires that the end to which a settlement CFO is directed is to do what is “just”.  It is difficult to see how the making of a settlement CFO under s 33</w:t>
      </w:r>
      <w:proofErr w:type="gramStart"/>
      <w:r w:rsidR="00BC64F4">
        <w:t>V(</w:t>
      </w:r>
      <w:proofErr w:type="gramEnd"/>
      <w:r w:rsidR="00BC64F4">
        <w:t xml:space="preserve">2) could be anything other than the exercise of judicial power if the judicial method and process is followed and the order is “just”. </w:t>
      </w:r>
    </w:p>
    <w:p w14:paraId="4204B9F3" w14:textId="4F1AD70D" w:rsidR="00BC64F4" w:rsidRDefault="0071710E" w:rsidP="0071710E">
      <w:pPr>
        <w:pStyle w:val="ParaNumbering"/>
        <w:numPr>
          <w:ilvl w:val="0"/>
          <w:numId w:val="0"/>
        </w:numPr>
        <w:tabs>
          <w:tab w:val="left" w:pos="720"/>
        </w:tabs>
        <w:ind w:hanging="720"/>
      </w:pPr>
      <w:r>
        <w:rPr>
          <w:sz w:val="20"/>
        </w:rPr>
        <w:t>317</w:t>
      </w:r>
      <w:r>
        <w:rPr>
          <w:sz w:val="20"/>
        </w:rPr>
        <w:tab/>
      </w:r>
      <w:r w:rsidR="00BC64F4">
        <w:t xml:space="preserve">Finally, if it be right to say that courts exercise supervisory jurisdiction in many and varied areas, such as applications by trustees, receivers, provisional liquidators, other administrators, infants, persons under a disability and so on, and that to do so is considered to be an exercise of judicial power, perhaps the second part of </w:t>
      </w:r>
      <w:proofErr w:type="spellStart"/>
      <w:r w:rsidR="00BC64F4">
        <w:t>Gageler</w:t>
      </w:r>
      <w:proofErr w:type="spellEnd"/>
      <w:r w:rsidR="00BC64F4">
        <w:t xml:space="preserve"> J’s first conception, by analogy, is the Court’s protective or supervisory jurisdiction under Part IVA including s 33V so different?  And to make a settlement CFO does not involve the Court travelling outside that protective or supervisory jurisdiction. </w:t>
      </w:r>
    </w:p>
    <w:p w14:paraId="4A5E63FC" w14:textId="77777777" w:rsidR="00BC64F4" w:rsidRDefault="00BC64F4" w:rsidP="00BC64F4">
      <w:pPr>
        <w:pStyle w:val="Heading2"/>
      </w:pPr>
      <w:r>
        <w:t>Other matters</w:t>
      </w:r>
    </w:p>
    <w:p w14:paraId="222EAA0B" w14:textId="58805A73" w:rsidR="00BC64F4" w:rsidRDefault="0071710E" w:rsidP="0071710E">
      <w:pPr>
        <w:pStyle w:val="ParaNumbering"/>
        <w:numPr>
          <w:ilvl w:val="0"/>
          <w:numId w:val="0"/>
        </w:numPr>
        <w:tabs>
          <w:tab w:val="left" w:pos="720"/>
        </w:tabs>
        <w:ind w:hanging="720"/>
      </w:pPr>
      <w:r>
        <w:rPr>
          <w:sz w:val="20"/>
        </w:rPr>
        <w:t>318</w:t>
      </w:r>
      <w:r>
        <w:rPr>
          <w:sz w:val="20"/>
        </w:rPr>
        <w:tab/>
      </w:r>
      <w:r w:rsidR="00BC64F4">
        <w:t xml:space="preserve">I have had the advantage of reading a draft of Colvin J’s reasons.  Let me briefly make three points. </w:t>
      </w:r>
    </w:p>
    <w:p w14:paraId="733E2642" w14:textId="6748375A" w:rsidR="00BC64F4" w:rsidRDefault="0071710E" w:rsidP="0071710E">
      <w:pPr>
        <w:pStyle w:val="ParaNumbering"/>
        <w:numPr>
          <w:ilvl w:val="0"/>
          <w:numId w:val="0"/>
        </w:numPr>
        <w:tabs>
          <w:tab w:val="left" w:pos="720"/>
        </w:tabs>
        <w:ind w:hanging="720"/>
      </w:pPr>
      <w:r>
        <w:rPr>
          <w:sz w:val="20"/>
        </w:rPr>
        <w:t>319</w:t>
      </w:r>
      <w:r>
        <w:rPr>
          <w:sz w:val="20"/>
        </w:rPr>
        <w:tab/>
      </w:r>
      <w:r w:rsidR="00BC64F4">
        <w:t xml:space="preserve">First, his Honour has made observations concerning the scope of a representative applicant’s authority to conduct and settle proceedings on behalf of group members with which I am not in complete agreement, and in any event are issues that are not relevant to my perspective on or resolution of the issues that I have addressed. </w:t>
      </w:r>
    </w:p>
    <w:p w14:paraId="324EB002" w14:textId="2F082A36" w:rsidR="00BC64F4" w:rsidRDefault="0071710E" w:rsidP="0071710E">
      <w:pPr>
        <w:pStyle w:val="ParaNumbering"/>
        <w:numPr>
          <w:ilvl w:val="0"/>
          <w:numId w:val="0"/>
        </w:numPr>
        <w:tabs>
          <w:tab w:val="left" w:pos="720"/>
        </w:tabs>
        <w:ind w:hanging="720"/>
      </w:pPr>
      <w:r>
        <w:rPr>
          <w:sz w:val="20"/>
        </w:rPr>
        <w:t>320</w:t>
      </w:r>
      <w:r>
        <w:rPr>
          <w:sz w:val="20"/>
        </w:rPr>
        <w:tab/>
      </w:r>
      <w:r w:rsidR="00BC64F4">
        <w:t>Second, it is said variously by his Honour that s 33</w:t>
      </w:r>
      <w:proofErr w:type="gramStart"/>
      <w:r w:rsidR="00BC64F4">
        <w:t>V(</w:t>
      </w:r>
      <w:proofErr w:type="gramEnd"/>
      <w:r w:rsidR="00BC64F4">
        <w:t>1) does not confer power to approve.  In my view, s 33</w:t>
      </w:r>
      <w:proofErr w:type="gramStart"/>
      <w:r w:rsidR="00BC64F4">
        <w:t>V(</w:t>
      </w:r>
      <w:proofErr w:type="gramEnd"/>
      <w:r w:rsidR="00BC64F4">
        <w:t xml:space="preserve">1) creates both the necessary condition requiring approval and by necessary implication the power to approve.  </w:t>
      </w:r>
    </w:p>
    <w:p w14:paraId="0FC30449" w14:textId="21C57437" w:rsidR="00BC64F4" w:rsidRDefault="0071710E" w:rsidP="0071710E">
      <w:pPr>
        <w:pStyle w:val="ParaNumbering"/>
        <w:numPr>
          <w:ilvl w:val="0"/>
          <w:numId w:val="0"/>
        </w:numPr>
        <w:tabs>
          <w:tab w:val="left" w:pos="720"/>
        </w:tabs>
        <w:ind w:hanging="720"/>
      </w:pPr>
      <w:r>
        <w:rPr>
          <w:sz w:val="20"/>
        </w:rPr>
        <w:t>321</w:t>
      </w:r>
      <w:r>
        <w:rPr>
          <w:sz w:val="20"/>
        </w:rPr>
        <w:tab/>
      </w:r>
      <w:r w:rsidR="00BC64F4">
        <w:t xml:space="preserve">Third, the process under s 33V may or may not involve a </w:t>
      </w:r>
      <w:proofErr w:type="spellStart"/>
      <w:proofErr w:type="gramStart"/>
      <w:r w:rsidR="00BC64F4">
        <w:t>two step</w:t>
      </w:r>
      <w:proofErr w:type="spellEnd"/>
      <w:proofErr w:type="gramEnd"/>
      <w:r w:rsidR="00BC64F4">
        <w:t xml:space="preserve"> process.  In cases where I have approved settlements, sometimes I have not given approval under s 33</w:t>
      </w:r>
      <w:proofErr w:type="gramStart"/>
      <w:r w:rsidR="00BC64F4">
        <w:t>V(</w:t>
      </w:r>
      <w:proofErr w:type="gramEnd"/>
      <w:r w:rsidR="00BC64F4">
        <w:t>1) until I have worked out the allocation protocol to be the subject of an order(s) under s 33V(2), as my views concerning the latter aspect have informed my views as to whether I should approve under s 33V(1).  On other occasions I have been able to give my approval under s 33</w:t>
      </w:r>
      <w:proofErr w:type="gramStart"/>
      <w:r w:rsidR="00BC64F4">
        <w:t>V(</w:t>
      </w:r>
      <w:proofErr w:type="gramEnd"/>
      <w:r w:rsidR="00BC64F4">
        <w:t xml:space="preserve">1) without needing to decide some s 33V(2) questions and postponing for later consideration my decision concerning aspects of the distribution protocol to be the subject of a later specific s 33V(2) order. </w:t>
      </w:r>
    </w:p>
    <w:p w14:paraId="478829E7" w14:textId="3A170FC9" w:rsidR="00BC64F4" w:rsidRDefault="0071710E" w:rsidP="0071710E">
      <w:pPr>
        <w:pStyle w:val="ParaNumbering"/>
        <w:numPr>
          <w:ilvl w:val="0"/>
          <w:numId w:val="0"/>
        </w:numPr>
        <w:tabs>
          <w:tab w:val="left" w:pos="720"/>
        </w:tabs>
        <w:ind w:hanging="720"/>
      </w:pPr>
      <w:r>
        <w:rPr>
          <w:sz w:val="20"/>
        </w:rPr>
        <w:t>322</w:t>
      </w:r>
      <w:r>
        <w:rPr>
          <w:sz w:val="20"/>
        </w:rPr>
        <w:tab/>
      </w:r>
      <w:r w:rsidR="00BC64F4">
        <w:t>But these are subtle differences between us that do not in any way detract from the fact that we are in agreement that s 33</w:t>
      </w:r>
      <w:proofErr w:type="gramStart"/>
      <w:r w:rsidR="00BC64F4">
        <w:t>V(</w:t>
      </w:r>
      <w:proofErr w:type="gramEnd"/>
      <w:r w:rsidR="00BC64F4">
        <w:t xml:space="preserve">2) empowers the making of a settlement CFO. </w:t>
      </w:r>
    </w:p>
    <w:p w14:paraId="4DBC6466" w14:textId="2EA99071" w:rsidR="00BC64F4" w:rsidRPr="00BB32AF" w:rsidRDefault="0071710E" w:rsidP="0071710E">
      <w:pPr>
        <w:pStyle w:val="ParaNumbering"/>
        <w:numPr>
          <w:ilvl w:val="0"/>
          <w:numId w:val="0"/>
        </w:numPr>
        <w:tabs>
          <w:tab w:val="left" w:pos="720"/>
        </w:tabs>
        <w:ind w:hanging="720"/>
      </w:pPr>
      <w:r w:rsidRPr="00BB32AF">
        <w:rPr>
          <w:sz w:val="20"/>
        </w:rPr>
        <w:t>323</w:t>
      </w:r>
      <w:r w:rsidRPr="00BB32AF">
        <w:rPr>
          <w:sz w:val="20"/>
        </w:rPr>
        <w:tab/>
      </w:r>
      <w:r w:rsidR="00BC64F4">
        <w:t xml:space="preserve">Finally, for the reasons given by Lee J, I also joined in the order refusing the amendment to the reserved question. </w:t>
      </w:r>
    </w:p>
    <w:p w14:paraId="4F6482F5" w14:textId="77777777" w:rsidR="00BC64F4" w:rsidRDefault="00BC64F4" w:rsidP="00BC64F4">
      <w:pPr>
        <w:pStyle w:val="Heading2"/>
      </w:pPr>
      <w:r>
        <w:t>Conclusion</w:t>
      </w:r>
    </w:p>
    <w:p w14:paraId="5E00CC0A" w14:textId="2CC5786C" w:rsidR="00BC64F4" w:rsidRPr="008C0494" w:rsidRDefault="0071710E" w:rsidP="0071710E">
      <w:pPr>
        <w:pStyle w:val="ParaNumbering"/>
        <w:numPr>
          <w:ilvl w:val="0"/>
          <w:numId w:val="0"/>
        </w:numPr>
        <w:tabs>
          <w:tab w:val="left" w:pos="720"/>
        </w:tabs>
        <w:ind w:hanging="720"/>
        <w:rPr>
          <w:szCs w:val="24"/>
        </w:rPr>
      </w:pPr>
      <w:r w:rsidRPr="008C0494">
        <w:rPr>
          <w:sz w:val="20"/>
          <w:szCs w:val="24"/>
        </w:rPr>
        <w:t>324</w:t>
      </w:r>
      <w:r w:rsidRPr="008C0494">
        <w:rPr>
          <w:sz w:val="20"/>
          <w:szCs w:val="24"/>
        </w:rPr>
        <w:tab/>
      </w:r>
      <w:r w:rsidR="00BC64F4">
        <w:t xml:space="preserve">For the foregoing reasons, the reserved question is to be answered “yes”. </w:t>
      </w:r>
    </w:p>
    <w:p w14:paraId="5FA09012" w14:textId="77777777" w:rsidR="00BC64F4" w:rsidRDefault="00BC64F4" w:rsidP="00BC64F4">
      <w:pPr>
        <w:pStyle w:val="BodyText"/>
      </w:pPr>
    </w:p>
    <w:tbl>
      <w:tblPr>
        <w:tblW w:w="0" w:type="auto"/>
        <w:tblLook w:val="04A0" w:firstRow="1" w:lastRow="0" w:firstColumn="1" w:lastColumn="0" w:noHBand="0" w:noVBand="1"/>
      </w:tblPr>
      <w:tblGrid>
        <w:gridCol w:w="3794"/>
      </w:tblGrid>
      <w:tr w:rsidR="00BC64F4" w:rsidRPr="00DF74CC" w14:paraId="4F76F510" w14:textId="77777777" w:rsidTr="001971D2">
        <w:tc>
          <w:tcPr>
            <w:tcW w:w="3794" w:type="dxa"/>
            <w:shd w:val="clear" w:color="auto" w:fill="auto"/>
          </w:tcPr>
          <w:p w14:paraId="2DC3E6B8" w14:textId="77777777" w:rsidR="00BC64F4" w:rsidRPr="00DF74CC" w:rsidRDefault="00BC64F4" w:rsidP="001971D2">
            <w:pPr>
              <w:pStyle w:val="Normal1linespace"/>
            </w:pPr>
            <w:r w:rsidRPr="00DF74CC">
              <w:t xml:space="preserve">I certify that the preceding </w:t>
            </w:r>
            <w:r>
              <w:t>three hundred and twenty-four</w:t>
            </w:r>
            <w:r w:rsidRPr="00DF74CC">
              <w:t xml:space="preserve"> (</w:t>
            </w:r>
            <w:bookmarkStart w:id="22" w:name="NumberNumeral"/>
            <w:r>
              <w:t>324</w:t>
            </w:r>
            <w:bookmarkEnd w:id="22"/>
            <w:r w:rsidRPr="00DF74CC">
              <w:t xml:space="preserve">) numbered </w:t>
            </w:r>
            <w:r>
              <w:t>paragraphs are</w:t>
            </w:r>
            <w:r w:rsidRPr="00DF74CC">
              <w:t xml:space="preserve"> a true copy of the Reasons for Judgment of the Honourable </w:t>
            </w:r>
            <w:r>
              <w:t>Justice Beach</w:t>
            </w:r>
            <w:r w:rsidRPr="00DF74CC">
              <w:t>.</w:t>
            </w:r>
          </w:p>
        </w:tc>
      </w:tr>
    </w:tbl>
    <w:p w14:paraId="21A446F3" w14:textId="77777777" w:rsidR="00BC64F4" w:rsidRDefault="00BC64F4" w:rsidP="00BC64F4">
      <w:pPr>
        <w:pStyle w:val="BodyText"/>
      </w:pPr>
    </w:p>
    <w:p w14:paraId="36428D7A" w14:textId="77777777" w:rsidR="00BC64F4" w:rsidRDefault="00BC64F4" w:rsidP="00BC64F4">
      <w:pPr>
        <w:pStyle w:val="BodyText"/>
      </w:pPr>
    </w:p>
    <w:p w14:paraId="323A59D0" w14:textId="79716541" w:rsidR="00BC64F4" w:rsidRDefault="00BC64F4" w:rsidP="00BC64F4">
      <w:pPr>
        <w:pStyle w:val="BodyText"/>
      </w:pPr>
      <w:r>
        <w:t xml:space="preserve">Associate: </w:t>
      </w:r>
    </w:p>
    <w:p w14:paraId="039447E6" w14:textId="77777777" w:rsidR="00BC64F4" w:rsidRDefault="00BC64F4" w:rsidP="00BC64F4">
      <w:pPr>
        <w:pStyle w:val="BodyText"/>
      </w:pPr>
    </w:p>
    <w:p w14:paraId="6A96F308" w14:textId="10B45656" w:rsidR="00BC64F4" w:rsidRDefault="00BC64F4" w:rsidP="00BC64F4">
      <w:pPr>
        <w:pStyle w:val="BodyText"/>
        <w:tabs>
          <w:tab w:val="left" w:pos="1134"/>
        </w:tabs>
      </w:pPr>
      <w:r>
        <w:t>Dated:</w:t>
      </w:r>
      <w:r>
        <w:tab/>
        <w:t xml:space="preserve"> 1</w:t>
      </w:r>
      <w:r w:rsidR="0074279C">
        <w:t>2</w:t>
      </w:r>
      <w:r>
        <w:t xml:space="preserve"> October 2023</w:t>
      </w:r>
    </w:p>
    <w:p w14:paraId="3BF667C0" w14:textId="77777777" w:rsidR="00BC64F4" w:rsidRPr="00254FC3" w:rsidRDefault="00BC64F4" w:rsidP="00BC64F4">
      <w:pPr>
        <w:pStyle w:val="ParaNumbering"/>
        <w:numPr>
          <w:ilvl w:val="0"/>
          <w:numId w:val="0"/>
        </w:numPr>
        <w:rPr>
          <w:szCs w:val="24"/>
        </w:rPr>
      </w:pPr>
    </w:p>
    <w:p w14:paraId="66F2F5A8" w14:textId="77777777" w:rsidR="00BC64F4" w:rsidRDefault="00BC64F4">
      <w:pPr>
        <w:spacing w:line="240" w:lineRule="auto"/>
        <w:jc w:val="left"/>
        <w:rPr>
          <w:b/>
          <w:sz w:val="28"/>
          <w:szCs w:val="28"/>
        </w:rPr>
      </w:pPr>
      <w:r>
        <w:rPr>
          <w:sz w:val="28"/>
          <w:szCs w:val="28"/>
        </w:rPr>
        <w:br w:type="page"/>
      </w:r>
    </w:p>
    <w:p w14:paraId="589BF5A8" w14:textId="195181F3" w:rsidR="00484F6D" w:rsidRPr="00045BB7" w:rsidRDefault="00484F6D" w:rsidP="00045BB7">
      <w:pPr>
        <w:pStyle w:val="NormalHeadings"/>
        <w:spacing w:line="480" w:lineRule="auto"/>
        <w:jc w:val="center"/>
        <w:rPr>
          <w:sz w:val="28"/>
          <w:szCs w:val="28"/>
        </w:rPr>
      </w:pPr>
      <w:r w:rsidRPr="00045BB7">
        <w:rPr>
          <w:sz w:val="28"/>
          <w:szCs w:val="28"/>
        </w:rPr>
        <w:t>REASONS FOR JUDGMENT</w:t>
      </w:r>
    </w:p>
    <w:p w14:paraId="722C20E5" w14:textId="77777777" w:rsidR="00694BEB" w:rsidRDefault="00061781" w:rsidP="005E0510">
      <w:pPr>
        <w:pStyle w:val="NormalHeadings"/>
        <w:spacing w:line="360" w:lineRule="auto"/>
        <w:jc w:val="left"/>
        <w:rPr>
          <w:sz w:val="26"/>
          <w:szCs w:val="26"/>
        </w:rPr>
      </w:pPr>
      <w:r>
        <w:rPr>
          <w:sz w:val="26"/>
          <w:szCs w:val="26"/>
        </w:rPr>
        <w:t>LEE J:</w:t>
      </w:r>
    </w:p>
    <w:p w14:paraId="21F6DC7E" w14:textId="5E421041" w:rsidR="008105FD" w:rsidRPr="008105FD" w:rsidRDefault="0071710E" w:rsidP="00A43630">
      <w:pPr>
        <w:pStyle w:val="Heading1"/>
      </w:pPr>
      <w:proofErr w:type="gramStart"/>
      <w:r w:rsidRPr="008105FD">
        <w:rPr>
          <w:caps w:val="0"/>
        </w:rPr>
        <w:t>A</w:t>
      </w:r>
      <w:proofErr w:type="gramEnd"/>
      <w:r w:rsidRPr="008105FD">
        <w:rPr>
          <w:caps w:val="0"/>
        </w:rPr>
        <w:tab/>
        <w:t xml:space="preserve">INTRODUCTION </w:t>
      </w:r>
      <w:r>
        <w:rPr>
          <w:caps w:val="0"/>
        </w:rPr>
        <w:t>AND BACKGROUND</w:t>
      </w:r>
    </w:p>
    <w:p w14:paraId="16758573" w14:textId="01080C1D" w:rsidR="00CD1346" w:rsidRDefault="0071710E" w:rsidP="0071710E">
      <w:pPr>
        <w:pStyle w:val="ParaNumbering"/>
        <w:numPr>
          <w:ilvl w:val="0"/>
          <w:numId w:val="0"/>
        </w:numPr>
        <w:tabs>
          <w:tab w:val="left" w:pos="720"/>
        </w:tabs>
        <w:ind w:hanging="720"/>
      </w:pPr>
      <w:r>
        <w:rPr>
          <w:sz w:val="20"/>
        </w:rPr>
        <w:t>325</w:t>
      </w:r>
      <w:r>
        <w:rPr>
          <w:sz w:val="20"/>
        </w:rPr>
        <w:tab/>
      </w:r>
      <w:r w:rsidR="009E37D6">
        <w:t xml:space="preserve">Before the Court </w:t>
      </w:r>
      <w:r w:rsidR="003A0E0A">
        <w:t xml:space="preserve">in its original jurisdiction </w:t>
      </w:r>
      <w:r w:rsidR="009E37D6">
        <w:t xml:space="preserve">are </w:t>
      </w:r>
      <w:r w:rsidR="002A1641">
        <w:t>no less than 17</w:t>
      </w:r>
      <w:r w:rsidR="009E37D6">
        <w:t xml:space="preserve"> related matters, each connected in one way or another to allegation</w:t>
      </w:r>
      <w:r w:rsidR="008105FD">
        <w:t>s</w:t>
      </w:r>
      <w:r w:rsidR="009E37D6">
        <w:t xml:space="preserve"> that McDonald’s</w:t>
      </w:r>
      <w:r w:rsidR="004760D6">
        <w:t xml:space="preserve"> Australia Limited (</w:t>
      </w:r>
      <w:r w:rsidR="00CD61F7">
        <w:rPr>
          <w:b/>
        </w:rPr>
        <w:t>MAL</w:t>
      </w:r>
      <w:r w:rsidR="004760D6" w:rsidRPr="006423C6">
        <w:t>)</w:t>
      </w:r>
      <w:r w:rsidR="00165864">
        <w:t xml:space="preserve"> and its </w:t>
      </w:r>
      <w:r w:rsidR="00882FC5">
        <w:t xml:space="preserve">franchisees </w:t>
      </w:r>
      <w:r w:rsidR="002A1641">
        <w:t xml:space="preserve">contravened the </w:t>
      </w:r>
      <w:r w:rsidR="002A1641" w:rsidRPr="002A1641">
        <w:rPr>
          <w:i/>
        </w:rPr>
        <w:t>Fair Work Act 2009</w:t>
      </w:r>
      <w:r w:rsidR="002A1641">
        <w:t xml:space="preserve"> (</w:t>
      </w:r>
      <w:proofErr w:type="spellStart"/>
      <w:r w:rsidR="002A1641">
        <w:t>Cth</w:t>
      </w:r>
      <w:proofErr w:type="spellEnd"/>
      <w:r w:rsidR="002A1641">
        <w:t>)</w:t>
      </w:r>
      <w:r w:rsidR="0023633B">
        <w:t xml:space="preserve"> (</w:t>
      </w:r>
      <w:r w:rsidR="0023633B">
        <w:rPr>
          <w:b/>
        </w:rPr>
        <w:t>FW Act</w:t>
      </w:r>
      <w:r w:rsidR="0023633B">
        <w:t>)</w:t>
      </w:r>
      <w:r w:rsidR="002A1641">
        <w:t xml:space="preserve"> </w:t>
      </w:r>
      <w:r w:rsidR="008105FD">
        <w:t>in failing</w:t>
      </w:r>
      <w:r w:rsidR="00165864">
        <w:t xml:space="preserve"> to provide employees with </w:t>
      </w:r>
      <w:r w:rsidR="008A59C4">
        <w:t>ten-</w:t>
      </w:r>
      <w:r w:rsidR="00882FC5">
        <w:t xml:space="preserve">minute </w:t>
      </w:r>
      <w:r w:rsidR="00165864">
        <w:t>rest breaks</w:t>
      </w:r>
      <w:r w:rsidR="00882FC5">
        <w:t xml:space="preserve"> as</w:t>
      </w:r>
      <w:r w:rsidR="00165864">
        <w:t xml:space="preserve"> required </w:t>
      </w:r>
      <w:r w:rsidR="002A1641">
        <w:t>by</w:t>
      </w:r>
      <w:r w:rsidR="00165864">
        <w:t xml:space="preserve"> the </w:t>
      </w:r>
      <w:proofErr w:type="gramStart"/>
      <w:r w:rsidR="00165864">
        <w:rPr>
          <w:i/>
        </w:rPr>
        <w:t>Fast Food</w:t>
      </w:r>
      <w:proofErr w:type="gramEnd"/>
      <w:r w:rsidR="00165864">
        <w:rPr>
          <w:i/>
        </w:rPr>
        <w:t xml:space="preserve"> Industry Award 2010 </w:t>
      </w:r>
      <w:r w:rsidR="00165864">
        <w:t>(</w:t>
      </w:r>
      <w:proofErr w:type="spellStart"/>
      <w:r w:rsidR="00165864">
        <w:t>Cth</w:t>
      </w:r>
      <w:proofErr w:type="spellEnd"/>
      <w:r w:rsidR="00165864">
        <w:t xml:space="preserve">) and the </w:t>
      </w:r>
      <w:r w:rsidR="00165864">
        <w:rPr>
          <w:i/>
        </w:rPr>
        <w:t>McDonald’s Austr</w:t>
      </w:r>
      <w:r w:rsidR="007062EE">
        <w:rPr>
          <w:i/>
        </w:rPr>
        <w:t xml:space="preserve">alia Enterprise Agreement 2013 </w:t>
      </w:r>
      <w:r w:rsidR="007062EE">
        <w:t>(</w:t>
      </w:r>
      <w:proofErr w:type="spellStart"/>
      <w:r w:rsidR="007062EE">
        <w:t>Cth</w:t>
      </w:r>
      <w:proofErr w:type="spellEnd"/>
      <w:r w:rsidR="007062EE">
        <w:t>).</w:t>
      </w:r>
    </w:p>
    <w:p w14:paraId="358D3EAE" w14:textId="0F2E5F3B" w:rsidR="00E00F65" w:rsidRDefault="0071710E" w:rsidP="0071710E">
      <w:pPr>
        <w:pStyle w:val="ParaNumbering"/>
        <w:numPr>
          <w:ilvl w:val="0"/>
          <w:numId w:val="0"/>
        </w:numPr>
        <w:tabs>
          <w:tab w:val="left" w:pos="720"/>
        </w:tabs>
        <w:ind w:hanging="720"/>
      </w:pPr>
      <w:r>
        <w:rPr>
          <w:sz w:val="20"/>
        </w:rPr>
        <w:t>326</w:t>
      </w:r>
      <w:r>
        <w:rPr>
          <w:sz w:val="20"/>
        </w:rPr>
        <w:tab/>
      </w:r>
      <w:r w:rsidR="008105FD">
        <w:t xml:space="preserve">If contravening conduct is established, </w:t>
      </w:r>
      <w:r w:rsidR="004B2C08">
        <w:t xml:space="preserve">the applicants in </w:t>
      </w:r>
      <w:r w:rsidR="008105FD">
        <w:t>t</w:t>
      </w:r>
      <w:r w:rsidR="002A1641">
        <w:t>w</w:t>
      </w:r>
      <w:r w:rsidR="008105FD">
        <w:t>o of the</w:t>
      </w:r>
      <w:r w:rsidR="002A1641">
        <w:t xml:space="preserve"> 17 proceedings seek compensatory </w:t>
      </w:r>
      <w:r w:rsidR="0059255D">
        <w:t>orders</w:t>
      </w:r>
      <w:r w:rsidR="00165864">
        <w:t xml:space="preserve"> </w:t>
      </w:r>
      <w:r w:rsidR="002A1641">
        <w:t>on behalf of</w:t>
      </w:r>
      <w:r w:rsidR="00165864">
        <w:t xml:space="preserve"> </w:t>
      </w:r>
      <w:r w:rsidR="00570DCD">
        <w:t>300,000 to</w:t>
      </w:r>
      <w:r w:rsidR="0059255D">
        <w:t xml:space="preserve"> </w:t>
      </w:r>
      <w:r w:rsidR="00165864">
        <w:t>3</w:t>
      </w:r>
      <w:r w:rsidR="00090115">
        <w:t>5</w:t>
      </w:r>
      <w:r w:rsidR="00165864">
        <w:t xml:space="preserve">0,000 </w:t>
      </w:r>
      <w:r w:rsidR="0059255D">
        <w:t xml:space="preserve">current and former </w:t>
      </w:r>
      <w:r w:rsidR="00165864">
        <w:t>workers</w:t>
      </w:r>
      <w:r w:rsidR="005B25DE">
        <w:t xml:space="preserve">. The </w:t>
      </w:r>
      <w:r w:rsidR="005B25DE" w:rsidRPr="005B25DE">
        <w:rPr>
          <w:i/>
        </w:rPr>
        <w:t xml:space="preserve">first </w:t>
      </w:r>
      <w:r w:rsidR="005B25DE">
        <w:t>is</w:t>
      </w:r>
      <w:r w:rsidR="00323E1A">
        <w:t xml:space="preserve"> </w:t>
      </w:r>
      <w:r w:rsidR="005D0E3E">
        <w:t xml:space="preserve">a representative proceeding </w:t>
      </w:r>
      <w:r w:rsidR="005B25DE">
        <w:t xml:space="preserve">under Pt IVA </w:t>
      </w:r>
      <w:r w:rsidR="005B25DE" w:rsidRPr="0059255D">
        <w:rPr>
          <w:color w:val="000000"/>
          <w:szCs w:val="23"/>
          <w:shd w:val="clear" w:color="auto" w:fill="FFFFFF"/>
        </w:rPr>
        <w:t xml:space="preserve">of the </w:t>
      </w:r>
      <w:r w:rsidR="005B25DE" w:rsidRPr="003B0199">
        <w:rPr>
          <w:i/>
          <w:color w:val="000000"/>
          <w:szCs w:val="23"/>
          <w:shd w:val="clear" w:color="auto" w:fill="FFFFFF"/>
        </w:rPr>
        <w:t>Federal Court of Australia Act 1976</w:t>
      </w:r>
      <w:r w:rsidR="005B25DE" w:rsidRPr="0059255D">
        <w:rPr>
          <w:color w:val="000000"/>
          <w:szCs w:val="23"/>
          <w:shd w:val="clear" w:color="auto" w:fill="FFFFFF"/>
        </w:rPr>
        <w:t xml:space="preserve"> (</w:t>
      </w:r>
      <w:proofErr w:type="spellStart"/>
      <w:r w:rsidR="005B25DE" w:rsidRPr="0059255D">
        <w:rPr>
          <w:color w:val="000000"/>
          <w:szCs w:val="23"/>
          <w:shd w:val="clear" w:color="auto" w:fill="FFFFFF"/>
        </w:rPr>
        <w:t>Cth</w:t>
      </w:r>
      <w:proofErr w:type="spellEnd"/>
      <w:r w:rsidR="005B25DE" w:rsidRPr="0059255D">
        <w:rPr>
          <w:color w:val="000000"/>
          <w:szCs w:val="23"/>
          <w:shd w:val="clear" w:color="auto" w:fill="FFFFFF"/>
        </w:rPr>
        <w:t xml:space="preserve">) </w:t>
      </w:r>
      <w:r w:rsidR="005B25DE">
        <w:rPr>
          <w:color w:val="000000"/>
          <w:szCs w:val="23"/>
          <w:shd w:val="clear" w:color="auto" w:fill="FFFFFF"/>
        </w:rPr>
        <w:t>(</w:t>
      </w:r>
      <w:r w:rsidR="005B25DE" w:rsidRPr="00B965E1">
        <w:rPr>
          <w:b/>
          <w:color w:val="000000"/>
          <w:szCs w:val="23"/>
          <w:shd w:val="clear" w:color="auto" w:fill="FFFFFF"/>
        </w:rPr>
        <w:t>FCA Act</w:t>
      </w:r>
      <w:r w:rsidR="005B25DE">
        <w:rPr>
          <w:color w:val="000000"/>
          <w:szCs w:val="23"/>
          <w:shd w:val="clear" w:color="auto" w:fill="FFFFFF"/>
        </w:rPr>
        <w:t>)</w:t>
      </w:r>
      <w:r w:rsidR="007478E8">
        <w:rPr>
          <w:color w:val="000000"/>
          <w:szCs w:val="23"/>
          <w:shd w:val="clear" w:color="auto" w:fill="FFFFFF"/>
        </w:rPr>
        <w:t>, being</w:t>
      </w:r>
      <w:r w:rsidR="005B25DE">
        <w:rPr>
          <w:color w:val="000000"/>
          <w:szCs w:val="23"/>
          <w:shd w:val="clear" w:color="auto" w:fill="FFFFFF"/>
        </w:rPr>
        <w:t xml:space="preserve"> </w:t>
      </w:r>
      <w:r w:rsidR="00165864" w:rsidRPr="008105FD">
        <w:rPr>
          <w:i/>
        </w:rPr>
        <w:t xml:space="preserve">Jade Elliott-Carde </w:t>
      </w:r>
      <w:r w:rsidR="00D412AE">
        <w:rPr>
          <w:i/>
        </w:rPr>
        <w:t xml:space="preserve">&amp; Anor </w:t>
      </w:r>
      <w:r w:rsidR="00165864" w:rsidRPr="008105FD">
        <w:rPr>
          <w:i/>
        </w:rPr>
        <w:t xml:space="preserve">v McDonald’s Australia Limited (ACN 008 496 928) </w:t>
      </w:r>
      <w:r w:rsidR="00165864">
        <w:t>(VID 726 of 2021) (</w:t>
      </w:r>
      <w:r w:rsidR="00165864" w:rsidRPr="008105FD">
        <w:rPr>
          <w:b/>
        </w:rPr>
        <w:t>Class Action</w:t>
      </w:r>
      <w:r w:rsidR="00165864">
        <w:t>); and</w:t>
      </w:r>
      <w:r w:rsidR="005B25DE">
        <w:t xml:space="preserve"> the</w:t>
      </w:r>
      <w:r w:rsidR="005D0E3E">
        <w:t xml:space="preserve"> </w:t>
      </w:r>
      <w:r w:rsidR="005B25DE">
        <w:rPr>
          <w:i/>
        </w:rPr>
        <w:t>second</w:t>
      </w:r>
      <w:r w:rsidR="00B56095">
        <w:t xml:space="preserve"> </w:t>
      </w:r>
      <w:r w:rsidR="005B25DE">
        <w:t xml:space="preserve">is </w:t>
      </w:r>
      <w:r w:rsidR="005D0E3E">
        <w:t>a proceeding in which claims are brought by an industrial association</w:t>
      </w:r>
      <w:r w:rsidR="00D10EDF">
        <w:t>,</w:t>
      </w:r>
      <w:r w:rsidR="005D0E3E">
        <w:t xml:space="preserve"> being</w:t>
      </w:r>
      <w:r w:rsidR="008105FD">
        <w:t xml:space="preserve"> </w:t>
      </w:r>
      <w:r w:rsidR="00165864" w:rsidRPr="008105FD">
        <w:rPr>
          <w:i/>
        </w:rPr>
        <w:t xml:space="preserve">Shop, Distributive and Allied Employees Association v </w:t>
      </w:r>
      <w:proofErr w:type="spellStart"/>
      <w:r w:rsidR="00165864" w:rsidRPr="008105FD">
        <w:rPr>
          <w:i/>
        </w:rPr>
        <w:t>Bandec</w:t>
      </w:r>
      <w:proofErr w:type="spellEnd"/>
      <w:r w:rsidR="00165864" w:rsidRPr="008105FD">
        <w:rPr>
          <w:i/>
        </w:rPr>
        <w:t xml:space="preserve"> Pty Ltd &amp; Anor </w:t>
      </w:r>
      <w:r w:rsidR="00165864">
        <w:t>(SAD 127 of 2022)</w:t>
      </w:r>
      <w:r w:rsidR="00E00F65">
        <w:t xml:space="preserve"> (</w:t>
      </w:r>
      <w:r w:rsidR="00E00F65" w:rsidRPr="008105FD">
        <w:rPr>
          <w:b/>
        </w:rPr>
        <w:t>SDA Proceeding</w:t>
      </w:r>
      <w:r w:rsidR="00E00F65">
        <w:t>).</w:t>
      </w:r>
    </w:p>
    <w:p w14:paraId="06AA7201" w14:textId="73012D28" w:rsidR="00165864" w:rsidRDefault="0071710E" w:rsidP="0071710E">
      <w:pPr>
        <w:pStyle w:val="ParaNumbering"/>
        <w:numPr>
          <w:ilvl w:val="0"/>
          <w:numId w:val="0"/>
        </w:numPr>
        <w:tabs>
          <w:tab w:val="left" w:pos="720"/>
        </w:tabs>
        <w:ind w:hanging="720"/>
      </w:pPr>
      <w:r>
        <w:rPr>
          <w:sz w:val="20"/>
        </w:rPr>
        <w:t>327</w:t>
      </w:r>
      <w:r>
        <w:rPr>
          <w:sz w:val="20"/>
        </w:rPr>
        <w:tab/>
      </w:r>
      <w:r w:rsidR="00165864">
        <w:t xml:space="preserve">This </w:t>
      </w:r>
      <w:r w:rsidR="008105FD">
        <w:t xml:space="preserve">duplication of claims </w:t>
      </w:r>
      <w:r w:rsidR="007478E8">
        <w:t xml:space="preserve">for statutory compensation </w:t>
      </w:r>
      <w:r w:rsidR="00165864">
        <w:t xml:space="preserve">prompted </w:t>
      </w:r>
      <w:r w:rsidR="000C25F2">
        <w:t xml:space="preserve">competing </w:t>
      </w:r>
      <w:r w:rsidR="00165864">
        <w:t xml:space="preserve">stay applications </w:t>
      </w:r>
      <w:r w:rsidR="008105FD">
        <w:t xml:space="preserve">heard initially </w:t>
      </w:r>
      <w:r w:rsidR="00165864">
        <w:t xml:space="preserve">in </w:t>
      </w:r>
      <w:r w:rsidR="00882FC5">
        <w:t>December 2022</w:t>
      </w:r>
      <w:r w:rsidR="00B56095">
        <w:t xml:space="preserve">. A proposal </w:t>
      </w:r>
      <w:r w:rsidR="003A0E0A">
        <w:t>emerging</w:t>
      </w:r>
      <w:r w:rsidR="00B56095">
        <w:t xml:space="preserve"> at the hearing </w:t>
      </w:r>
      <w:r w:rsidR="00882FC5">
        <w:t>seemed to have resolved</w:t>
      </w:r>
      <w:r w:rsidR="008105FD">
        <w:t xml:space="preserve"> the </w:t>
      </w:r>
      <w:r w:rsidR="00C13660">
        <w:t xml:space="preserve">perceived </w:t>
      </w:r>
      <w:r w:rsidR="008105FD">
        <w:t>difficulty</w:t>
      </w:r>
      <w:r w:rsidR="004A7960">
        <w:t>:</w:t>
      </w:r>
      <w:r w:rsidR="00882FC5">
        <w:t xml:space="preserve"> </w:t>
      </w:r>
      <w:r w:rsidR="004A7960">
        <w:t>o</w:t>
      </w:r>
      <w:r w:rsidR="000C25F2">
        <w:t xml:space="preserve">rders were made dismissing </w:t>
      </w:r>
      <w:r w:rsidR="008105FD">
        <w:t xml:space="preserve">each of </w:t>
      </w:r>
      <w:r w:rsidR="000C25F2">
        <w:t xml:space="preserve">the stay applications </w:t>
      </w:r>
      <w:r w:rsidR="008105FD">
        <w:t xml:space="preserve">on the basis </w:t>
      </w:r>
      <w:r w:rsidR="00882FC5">
        <w:t xml:space="preserve">that </w:t>
      </w:r>
      <w:r w:rsidR="008105FD">
        <w:t xml:space="preserve">both </w:t>
      </w:r>
      <w:r w:rsidR="00882FC5">
        <w:t xml:space="preserve">the SDA Proceeding and the Class Action </w:t>
      </w:r>
      <w:r w:rsidR="008105FD">
        <w:t xml:space="preserve">would proceed, with the entitlement of group members to statutory compensation being determined within the Class Action, unless the group member opted out (in which case </w:t>
      </w:r>
      <w:r w:rsidR="008518AD">
        <w:t>the compensatory claim</w:t>
      </w:r>
      <w:r w:rsidR="008105FD">
        <w:t xml:space="preserve"> would be determined in the SDA Proceeding along with</w:t>
      </w:r>
      <w:r w:rsidR="00B13402">
        <w:t xml:space="preserve"> the</w:t>
      </w:r>
      <w:r w:rsidR="008105FD">
        <w:t xml:space="preserve"> other claims advanced</w:t>
      </w:r>
      <w:r w:rsidR="008518AD">
        <w:t xml:space="preserve"> by the</w:t>
      </w:r>
      <w:r w:rsidR="008105FD">
        <w:t xml:space="preserve"> </w:t>
      </w:r>
      <w:r w:rsidR="008518AD" w:rsidRPr="008518AD">
        <w:t>Shop, Distributive and Allied Employees Association</w:t>
      </w:r>
      <w:r w:rsidR="008518AD">
        <w:t xml:space="preserve"> (</w:t>
      </w:r>
      <w:r w:rsidR="008518AD" w:rsidRPr="008518AD">
        <w:rPr>
          <w:b/>
        </w:rPr>
        <w:t>SDA</w:t>
      </w:r>
      <w:r w:rsidR="008518AD">
        <w:t xml:space="preserve">), </w:t>
      </w:r>
      <w:r w:rsidR="008105FD">
        <w:t>such as pecuniary penalties).</w:t>
      </w:r>
    </w:p>
    <w:p w14:paraId="53E44D34" w14:textId="7BE749A5" w:rsidR="00E00F65" w:rsidRDefault="0071710E" w:rsidP="0071710E">
      <w:pPr>
        <w:pStyle w:val="ParaNumbering"/>
        <w:numPr>
          <w:ilvl w:val="0"/>
          <w:numId w:val="0"/>
        </w:numPr>
        <w:tabs>
          <w:tab w:val="left" w:pos="720"/>
        </w:tabs>
        <w:ind w:hanging="720"/>
      </w:pPr>
      <w:r>
        <w:rPr>
          <w:sz w:val="20"/>
        </w:rPr>
        <w:t>328</w:t>
      </w:r>
      <w:r>
        <w:rPr>
          <w:sz w:val="20"/>
        </w:rPr>
        <w:tab/>
      </w:r>
      <w:r w:rsidR="00882FC5">
        <w:t>Accordingly, orders were made</w:t>
      </w:r>
      <w:r w:rsidR="006851D3">
        <w:t>, among other things,</w:t>
      </w:r>
      <w:r w:rsidR="00882FC5">
        <w:t xml:space="preserve"> for </w:t>
      </w:r>
      <w:r w:rsidR="008518AD">
        <w:t xml:space="preserve">the provision of draft </w:t>
      </w:r>
      <w:r w:rsidR="00354929">
        <w:t xml:space="preserve">opt </w:t>
      </w:r>
      <w:r w:rsidR="00882FC5">
        <w:t xml:space="preserve">out notices to be </w:t>
      </w:r>
      <w:r w:rsidR="008518AD">
        <w:t xml:space="preserve">approved and then </w:t>
      </w:r>
      <w:r w:rsidR="00882FC5">
        <w:t>sent to registered and unregistered group members in the Class Actio</w:t>
      </w:r>
      <w:r w:rsidR="006851D3">
        <w:t>n</w:t>
      </w:r>
      <w:r w:rsidR="00882FC5">
        <w:t>.</w:t>
      </w:r>
      <w:r w:rsidR="006851D3">
        <w:t xml:space="preserve"> </w:t>
      </w:r>
      <w:r w:rsidR="008B62AD">
        <w:t>After draft opt out notices were provided, and f</w:t>
      </w:r>
      <w:r w:rsidR="006851D3">
        <w:t xml:space="preserve">or reasons unnecessary to detail for present purposes, </w:t>
      </w:r>
      <w:r w:rsidR="00882FC5">
        <w:t xml:space="preserve">it became clear in February 2023 that the </w:t>
      </w:r>
      <w:r w:rsidR="008518AD">
        <w:t xml:space="preserve">apparent </w:t>
      </w:r>
      <w:r w:rsidR="00882FC5">
        <w:t xml:space="preserve">consensus </w:t>
      </w:r>
      <w:r w:rsidR="006851D3">
        <w:t xml:space="preserve">reached prior to </w:t>
      </w:r>
      <w:r w:rsidR="00882FC5">
        <w:t xml:space="preserve">Christmas </w:t>
      </w:r>
      <w:r w:rsidR="008518AD">
        <w:t>2022 had disappeared</w:t>
      </w:r>
      <w:r w:rsidR="00882FC5">
        <w:t xml:space="preserve">. </w:t>
      </w:r>
      <w:r w:rsidR="005B25DE">
        <w:t>With leave, t</w:t>
      </w:r>
      <w:r w:rsidR="00882FC5">
        <w:t xml:space="preserve">he </w:t>
      </w:r>
      <w:r w:rsidR="008518AD">
        <w:t>SDA</w:t>
      </w:r>
      <w:r w:rsidR="00882FC5">
        <w:t xml:space="preserve"> </w:t>
      </w:r>
      <w:r w:rsidR="008518AD">
        <w:t>renewed its application for</w:t>
      </w:r>
      <w:r w:rsidR="00882FC5">
        <w:t xml:space="preserve"> a stay of the </w:t>
      </w:r>
      <w:r w:rsidR="004A32DA">
        <w:t>Class Action,</w:t>
      </w:r>
      <w:r w:rsidR="008518AD">
        <w:t xml:space="preserve"> which was listed, together with </w:t>
      </w:r>
      <w:r w:rsidR="00CD48A1">
        <w:t>an</w:t>
      </w:r>
      <w:r w:rsidR="008518AD">
        <w:t xml:space="preserve"> application</w:t>
      </w:r>
      <w:r w:rsidR="00CD48A1">
        <w:t xml:space="preserve"> for approval of opt out notices</w:t>
      </w:r>
      <w:r w:rsidR="006851D3">
        <w:t>,</w:t>
      </w:r>
      <w:r w:rsidR="008518AD">
        <w:t xml:space="preserve"> on 9 March 2023</w:t>
      </w:r>
      <w:r w:rsidR="00882FC5">
        <w:t>.</w:t>
      </w:r>
      <w:r w:rsidR="008518AD">
        <w:t xml:space="preserve"> </w:t>
      </w:r>
    </w:p>
    <w:p w14:paraId="7872B09C" w14:textId="7BBF7B3A" w:rsidR="008518AD" w:rsidRPr="0059255D" w:rsidRDefault="0071710E" w:rsidP="0071710E">
      <w:pPr>
        <w:pStyle w:val="ParaNumbering"/>
        <w:numPr>
          <w:ilvl w:val="0"/>
          <w:numId w:val="0"/>
        </w:numPr>
        <w:tabs>
          <w:tab w:val="left" w:pos="720"/>
        </w:tabs>
        <w:ind w:hanging="720"/>
      </w:pPr>
      <w:r w:rsidRPr="0059255D">
        <w:rPr>
          <w:sz w:val="20"/>
        </w:rPr>
        <w:t>329</w:t>
      </w:r>
      <w:r w:rsidRPr="0059255D">
        <w:rPr>
          <w:sz w:val="20"/>
        </w:rPr>
        <w:tab/>
      </w:r>
      <w:r w:rsidR="0059255D" w:rsidRPr="0059255D">
        <w:t xml:space="preserve">Submissions were then filed by the SDA </w:t>
      </w:r>
      <w:r w:rsidR="00D412AE">
        <w:t>in</w:t>
      </w:r>
      <w:r w:rsidR="0059255D" w:rsidRPr="0059255D">
        <w:t xml:space="preserve"> s</w:t>
      </w:r>
      <w:r w:rsidR="007062EE">
        <w:t>upport of its stay application.</w:t>
      </w:r>
      <w:r w:rsidR="005B25DE">
        <w:t xml:space="preserve"> T</w:t>
      </w:r>
      <w:r w:rsidR="0059255D" w:rsidRPr="0059255D">
        <w:t xml:space="preserve">he SDA </w:t>
      </w:r>
      <w:r w:rsidR="005B25DE">
        <w:t xml:space="preserve">submitted </w:t>
      </w:r>
      <w:r w:rsidR="0059255D" w:rsidRPr="0059255D">
        <w:t xml:space="preserve">that following </w:t>
      </w:r>
      <w:r w:rsidR="009D2CCE">
        <w:t>the</w:t>
      </w:r>
      <w:r w:rsidR="0059255D" w:rsidRPr="0059255D">
        <w:t xml:space="preserve"> recent decision of </w:t>
      </w:r>
      <w:r w:rsidR="0059255D" w:rsidRPr="0059255D">
        <w:rPr>
          <w:color w:val="000000"/>
          <w:szCs w:val="23"/>
          <w:shd w:val="clear" w:color="auto" w:fill="FFFFFF"/>
        </w:rPr>
        <w:t xml:space="preserve">O’Callaghan J in </w:t>
      </w:r>
      <w:r w:rsidR="0059255D" w:rsidRPr="0059255D">
        <w:rPr>
          <w:i/>
          <w:iCs/>
          <w:color w:val="000000"/>
          <w:szCs w:val="23"/>
          <w:shd w:val="clear" w:color="auto" w:fill="FFFFFF"/>
        </w:rPr>
        <w:t>Davaria Pty Limited v 7-Eleven Stores Pty Ltd (No 13)</w:t>
      </w:r>
      <w:r w:rsidR="0059255D" w:rsidRPr="0059255D">
        <w:rPr>
          <w:rFonts w:cs="Cambria"/>
          <w:color w:val="000000"/>
          <w:szCs w:val="23"/>
          <w:shd w:val="clear" w:color="auto" w:fill="FFFFFF"/>
        </w:rPr>
        <w:t> </w:t>
      </w:r>
      <w:r w:rsidR="0059255D" w:rsidRPr="0059255D">
        <w:rPr>
          <w:color w:val="000000"/>
          <w:szCs w:val="23"/>
          <w:shd w:val="clear" w:color="auto" w:fill="FFFFFF"/>
        </w:rPr>
        <w:t>[2023] FCA 84, a division had re-emerged in th</w:t>
      </w:r>
      <w:r w:rsidR="00032184">
        <w:rPr>
          <w:color w:val="000000"/>
          <w:szCs w:val="23"/>
          <w:shd w:val="clear" w:color="auto" w:fill="FFFFFF"/>
        </w:rPr>
        <w:t>is Court</w:t>
      </w:r>
      <w:r w:rsidR="0059255D" w:rsidRPr="0059255D">
        <w:rPr>
          <w:color w:val="000000"/>
          <w:szCs w:val="23"/>
          <w:shd w:val="clear" w:color="auto" w:fill="FFFFFF"/>
        </w:rPr>
        <w:t xml:space="preserve"> as to whether</w:t>
      </w:r>
      <w:r w:rsidR="00845DCE">
        <w:rPr>
          <w:rFonts w:cs="Cambria"/>
          <w:color w:val="000000"/>
          <w:szCs w:val="23"/>
          <w:shd w:val="clear" w:color="auto" w:fill="FFFFFF"/>
        </w:rPr>
        <w:t> the Court has</w:t>
      </w:r>
      <w:r w:rsidR="0059255D" w:rsidRPr="0059255D">
        <w:rPr>
          <w:rFonts w:cs="Cambria"/>
          <w:color w:val="000000"/>
          <w:szCs w:val="23"/>
          <w:shd w:val="clear" w:color="auto" w:fill="FFFFFF"/>
        </w:rPr>
        <w:t xml:space="preserve"> power to make </w:t>
      </w:r>
      <w:r w:rsidR="0059255D" w:rsidRPr="0059255D">
        <w:rPr>
          <w:color w:val="000000"/>
          <w:szCs w:val="23"/>
          <w:shd w:val="clear" w:color="auto" w:fill="FFFFFF"/>
        </w:rPr>
        <w:t>a common fund order at</w:t>
      </w:r>
      <w:r w:rsidR="0059255D" w:rsidRPr="0059255D">
        <w:rPr>
          <w:rFonts w:cs="Cambria"/>
          <w:color w:val="000000"/>
          <w:szCs w:val="23"/>
          <w:shd w:val="clear" w:color="auto" w:fill="FFFFFF"/>
        </w:rPr>
        <w:t> </w:t>
      </w:r>
      <w:r w:rsidR="0059255D" w:rsidRPr="0059255D">
        <w:rPr>
          <w:iCs/>
          <w:color w:val="000000"/>
          <w:szCs w:val="23"/>
          <w:shd w:val="clear" w:color="auto" w:fill="FFFFFF"/>
        </w:rPr>
        <w:t>any</w:t>
      </w:r>
      <w:r w:rsidR="0059255D" w:rsidRPr="0059255D">
        <w:rPr>
          <w:rFonts w:cs="Cambria"/>
          <w:color w:val="000000"/>
          <w:szCs w:val="23"/>
          <w:shd w:val="clear" w:color="auto" w:fill="FFFFFF"/>
        </w:rPr>
        <w:t> </w:t>
      </w:r>
      <w:r w:rsidR="0059255D" w:rsidRPr="0059255D">
        <w:rPr>
          <w:iCs/>
          <w:color w:val="000000"/>
          <w:szCs w:val="23"/>
          <w:shd w:val="clear" w:color="auto" w:fill="FFFFFF"/>
        </w:rPr>
        <w:t>stage</w:t>
      </w:r>
      <w:r w:rsidR="0059255D" w:rsidRPr="0059255D">
        <w:rPr>
          <w:color w:val="000000"/>
          <w:szCs w:val="23"/>
          <w:shd w:val="clear" w:color="auto" w:fill="FFFFFF"/>
        </w:rPr>
        <w:t xml:space="preserve"> of a proceeding</w:t>
      </w:r>
      <w:r w:rsidR="003B0199">
        <w:rPr>
          <w:color w:val="000000"/>
          <w:szCs w:val="23"/>
          <w:shd w:val="clear" w:color="auto" w:fill="FFFFFF"/>
        </w:rPr>
        <w:t>,</w:t>
      </w:r>
      <w:r w:rsidR="0059255D" w:rsidRPr="0059255D">
        <w:rPr>
          <w:color w:val="000000"/>
          <w:szCs w:val="23"/>
          <w:shd w:val="clear" w:color="auto" w:fill="FFFFFF"/>
        </w:rPr>
        <w:t xml:space="preserve"> including an order </w:t>
      </w:r>
      <w:r w:rsidR="003B0199">
        <w:rPr>
          <w:color w:val="000000"/>
          <w:szCs w:val="23"/>
          <w:shd w:val="clear" w:color="auto" w:fill="FFFFFF"/>
        </w:rPr>
        <w:t>up</w:t>
      </w:r>
      <w:r w:rsidR="0059255D" w:rsidRPr="0059255D">
        <w:rPr>
          <w:color w:val="000000"/>
          <w:szCs w:val="23"/>
          <w:shd w:val="clear" w:color="auto" w:fill="FFFFFF"/>
        </w:rPr>
        <w:t xml:space="preserve">on </w:t>
      </w:r>
      <w:r w:rsidR="003B0199">
        <w:rPr>
          <w:color w:val="000000"/>
          <w:szCs w:val="23"/>
          <w:shd w:val="clear" w:color="auto" w:fill="FFFFFF"/>
        </w:rPr>
        <w:t xml:space="preserve">the </w:t>
      </w:r>
      <w:r w:rsidR="0059255D" w:rsidRPr="0059255D">
        <w:rPr>
          <w:color w:val="000000"/>
          <w:szCs w:val="23"/>
          <w:shd w:val="clear" w:color="auto" w:fill="FFFFFF"/>
        </w:rPr>
        <w:t xml:space="preserve">settlement of a class action under s 33V(2) of the </w:t>
      </w:r>
      <w:r w:rsidR="00B965E1" w:rsidRPr="005B25DE">
        <w:rPr>
          <w:color w:val="000000"/>
          <w:szCs w:val="23"/>
          <w:shd w:val="clear" w:color="auto" w:fill="FFFFFF"/>
        </w:rPr>
        <w:t xml:space="preserve">FCA </w:t>
      </w:r>
      <w:r w:rsidR="00323E1A" w:rsidRPr="005B25DE">
        <w:rPr>
          <w:color w:val="000000"/>
          <w:szCs w:val="23"/>
          <w:shd w:val="clear" w:color="auto" w:fill="FFFFFF"/>
        </w:rPr>
        <w:t xml:space="preserve">Act </w:t>
      </w:r>
      <w:r w:rsidR="00036188">
        <w:rPr>
          <w:color w:val="000000"/>
          <w:szCs w:val="23"/>
          <w:shd w:val="clear" w:color="auto" w:fill="FFFFFF"/>
        </w:rPr>
        <w:t xml:space="preserve">for the distribution </w:t>
      </w:r>
      <w:r w:rsidR="0059255D" w:rsidRPr="005B25DE">
        <w:rPr>
          <w:color w:val="000000"/>
          <w:szCs w:val="23"/>
          <w:shd w:val="clear" w:color="auto" w:fill="FFFFFF"/>
        </w:rPr>
        <w:t>of a</w:t>
      </w:r>
      <w:r w:rsidR="0059255D" w:rsidRPr="0059255D">
        <w:rPr>
          <w:color w:val="000000"/>
          <w:szCs w:val="23"/>
          <w:shd w:val="clear" w:color="auto" w:fill="FFFFFF"/>
        </w:rPr>
        <w:t>mounts considered by the Court t</w:t>
      </w:r>
      <w:r w:rsidR="00A04465">
        <w:rPr>
          <w:color w:val="000000"/>
          <w:szCs w:val="23"/>
          <w:shd w:val="clear" w:color="auto" w:fill="FFFFFF"/>
        </w:rPr>
        <w:t>o be just to a third-</w:t>
      </w:r>
      <w:r w:rsidR="0059255D" w:rsidRPr="0059255D">
        <w:rPr>
          <w:color w:val="000000"/>
          <w:szCs w:val="23"/>
          <w:shd w:val="clear" w:color="auto" w:fill="FFFFFF"/>
        </w:rPr>
        <w:t>party funder fr</w:t>
      </w:r>
      <w:r w:rsidR="003B0199">
        <w:rPr>
          <w:color w:val="000000"/>
          <w:szCs w:val="23"/>
          <w:shd w:val="clear" w:color="auto" w:fill="FFFFFF"/>
        </w:rPr>
        <w:t>o</w:t>
      </w:r>
      <w:r w:rsidR="0059255D" w:rsidRPr="0059255D">
        <w:rPr>
          <w:color w:val="000000"/>
          <w:szCs w:val="23"/>
          <w:shd w:val="clear" w:color="auto" w:fill="FFFFFF"/>
        </w:rPr>
        <w:t>m a</w:t>
      </w:r>
      <w:r w:rsidR="003B0199">
        <w:rPr>
          <w:color w:val="000000"/>
          <w:szCs w:val="23"/>
          <w:shd w:val="clear" w:color="auto" w:fill="FFFFFF"/>
        </w:rPr>
        <w:t>n approved</w:t>
      </w:r>
      <w:r w:rsidR="0059255D" w:rsidRPr="0059255D">
        <w:rPr>
          <w:color w:val="000000"/>
          <w:szCs w:val="23"/>
          <w:shd w:val="clear" w:color="auto" w:fill="FFFFFF"/>
        </w:rPr>
        <w:t xml:space="preserve"> settlement fund, known commonly as a “Settlement CFO”.</w:t>
      </w:r>
    </w:p>
    <w:p w14:paraId="62EE4003" w14:textId="028D248A" w:rsidR="008518AD" w:rsidRPr="0059255D" w:rsidRDefault="0071710E" w:rsidP="0071710E">
      <w:pPr>
        <w:pStyle w:val="ParaNumbering"/>
        <w:numPr>
          <w:ilvl w:val="0"/>
          <w:numId w:val="0"/>
        </w:numPr>
        <w:tabs>
          <w:tab w:val="left" w:pos="720"/>
        </w:tabs>
        <w:ind w:hanging="720"/>
      </w:pPr>
      <w:r w:rsidRPr="0059255D">
        <w:rPr>
          <w:sz w:val="20"/>
        </w:rPr>
        <w:t>330</w:t>
      </w:r>
      <w:r w:rsidRPr="0059255D">
        <w:rPr>
          <w:sz w:val="20"/>
        </w:rPr>
        <w:tab/>
      </w:r>
      <w:r w:rsidR="003B0199">
        <w:t>Wh</w:t>
      </w:r>
      <w:r w:rsidR="007062EE">
        <w:t>en the applicants in the Class A</w:t>
      </w:r>
      <w:r w:rsidR="003B0199">
        <w:t xml:space="preserve">ction </w:t>
      </w:r>
      <w:r w:rsidR="004B2C08">
        <w:t>(</w:t>
      </w:r>
      <w:r w:rsidR="004B2C08" w:rsidRPr="004B2C08">
        <w:rPr>
          <w:b/>
        </w:rPr>
        <w:t>applicants</w:t>
      </w:r>
      <w:r w:rsidR="004B2C08">
        <w:t xml:space="preserve">) </w:t>
      </w:r>
      <w:r w:rsidR="003B0199">
        <w:t xml:space="preserve">joined issue with this contention, I indicated to the parties, through my Associate, that the question of power to make such an order </w:t>
      </w:r>
      <w:r w:rsidR="004A7960">
        <w:t>appeared</w:t>
      </w:r>
      <w:r w:rsidR="003B0199">
        <w:t xml:space="preserve"> material to the disposition of the stay application</w:t>
      </w:r>
      <w:r w:rsidR="00A04465">
        <w:t>,</w:t>
      </w:r>
      <w:r w:rsidR="003B0199">
        <w:t xml:space="preserve"> as the basis upon which the Class Action was being conducted </w:t>
      </w:r>
      <w:r w:rsidR="003A0E0A">
        <w:t>was premised upon the</w:t>
      </w:r>
      <w:r w:rsidR="00666A18">
        <w:t xml:space="preserve"> existence of such a power. </w:t>
      </w:r>
      <w:r w:rsidR="003B0199">
        <w:t xml:space="preserve">Further, </w:t>
      </w:r>
      <w:r w:rsidR="003A0E0A">
        <w:t>the proposed terms of the</w:t>
      </w:r>
      <w:r w:rsidR="003B0199">
        <w:t xml:space="preserve"> </w:t>
      </w:r>
      <w:r w:rsidR="00CD48A1">
        <w:t xml:space="preserve">opt out </w:t>
      </w:r>
      <w:r w:rsidR="003B0199">
        <w:t>noti</w:t>
      </w:r>
      <w:r w:rsidR="003A0E0A">
        <w:t>ce</w:t>
      </w:r>
      <w:r w:rsidR="00CD48A1">
        <w:t>s</w:t>
      </w:r>
      <w:r w:rsidR="003A0E0A">
        <w:t xml:space="preserve"> </w:t>
      </w:r>
      <w:r w:rsidR="003B0199">
        <w:t>refer</w:t>
      </w:r>
      <w:r w:rsidR="003A0E0A">
        <w:t>red</w:t>
      </w:r>
      <w:r w:rsidR="003B0199">
        <w:t xml:space="preserve"> to </w:t>
      </w:r>
      <w:r w:rsidR="003A0E0A">
        <w:t>a proposed Settlement CFO</w:t>
      </w:r>
      <w:r w:rsidR="003B0199">
        <w:t xml:space="preserve">. For obvious reasons, any notification to group members would be materially affected depending upon whether </w:t>
      </w:r>
      <w:r w:rsidR="003A0E0A">
        <w:t>the</w:t>
      </w:r>
      <w:r w:rsidR="003B0199">
        <w:t xml:space="preserve"> p</w:t>
      </w:r>
      <w:r w:rsidR="00354929">
        <w:t xml:space="preserve">ower </w:t>
      </w:r>
      <w:r w:rsidR="003A0E0A">
        <w:t xml:space="preserve">to make such an order </w:t>
      </w:r>
      <w:r w:rsidR="00354929">
        <w:t xml:space="preserve">existed. </w:t>
      </w:r>
      <w:r w:rsidR="00CD48A1">
        <w:t>S</w:t>
      </w:r>
      <w:r w:rsidR="007478E8">
        <w:t>ubmissions</w:t>
      </w:r>
      <w:r w:rsidR="003B0199">
        <w:t xml:space="preserve"> </w:t>
      </w:r>
      <w:r w:rsidR="00CD48A1">
        <w:t xml:space="preserve">were invited </w:t>
      </w:r>
      <w:r w:rsidR="003B0199">
        <w:t xml:space="preserve">as to </w:t>
      </w:r>
      <w:r w:rsidR="007478E8">
        <w:t>whether</w:t>
      </w:r>
      <w:r w:rsidR="003B0199">
        <w:t xml:space="preserve"> a question </w:t>
      </w:r>
      <w:r w:rsidR="00CD48A1">
        <w:t>should be referred</w:t>
      </w:r>
      <w:r w:rsidR="004858A2">
        <w:t xml:space="preserve"> </w:t>
      </w:r>
      <w:r w:rsidR="00C47B40">
        <w:t xml:space="preserve">to a Full Court </w:t>
      </w:r>
      <w:r w:rsidR="004858A2">
        <w:t>pursuant to s 25(6) of the FCA Act</w:t>
      </w:r>
      <w:r w:rsidR="00CD48A1">
        <w:t xml:space="preserve"> </w:t>
      </w:r>
      <w:r w:rsidR="003B0199">
        <w:t xml:space="preserve">for the Full Court to consider the </w:t>
      </w:r>
      <w:r w:rsidR="005B25DE">
        <w:t xml:space="preserve">disputed </w:t>
      </w:r>
      <w:r w:rsidR="003B0199">
        <w:t>question of power.</w:t>
      </w:r>
    </w:p>
    <w:p w14:paraId="691AB04B" w14:textId="5F4559A6" w:rsidR="00A43630" w:rsidRDefault="0071710E" w:rsidP="0071710E">
      <w:pPr>
        <w:pStyle w:val="ParaNumbering"/>
        <w:numPr>
          <w:ilvl w:val="0"/>
          <w:numId w:val="0"/>
        </w:numPr>
        <w:tabs>
          <w:tab w:val="left" w:pos="720"/>
        </w:tabs>
        <w:ind w:hanging="720"/>
      </w:pPr>
      <w:r>
        <w:rPr>
          <w:sz w:val="20"/>
        </w:rPr>
        <w:t>331</w:t>
      </w:r>
      <w:r>
        <w:rPr>
          <w:sz w:val="20"/>
        </w:rPr>
        <w:tab/>
      </w:r>
      <w:r w:rsidR="003B0199">
        <w:t>The response of the SDA was to “withdra</w:t>
      </w:r>
      <w:r w:rsidR="00323E1A">
        <w:t>w” its submission as to power and</w:t>
      </w:r>
      <w:r w:rsidR="003B0199">
        <w:t xml:space="preserve"> raise a series of</w:t>
      </w:r>
      <w:r w:rsidR="00323E1A">
        <w:t xml:space="preserve"> issues relating to the proposed</w:t>
      </w:r>
      <w:r w:rsidR="003B0199">
        <w:t xml:space="preserve"> reservation of a question</w:t>
      </w:r>
      <w:r w:rsidR="00C67D29">
        <w:t>,</w:t>
      </w:r>
      <w:r w:rsidR="003B0199">
        <w:t xml:space="preserve"> which are </w:t>
      </w:r>
      <w:r w:rsidR="00B56095">
        <w:t xml:space="preserve">presently </w:t>
      </w:r>
      <w:r w:rsidR="003B0199">
        <w:t>irrelevan</w:t>
      </w:r>
      <w:r w:rsidR="00354929">
        <w:t xml:space="preserve">t. </w:t>
      </w:r>
      <w:r w:rsidR="007478E8">
        <w:t>I considered</w:t>
      </w:r>
      <w:r w:rsidR="00B56095">
        <w:t xml:space="preserve">, however, that </w:t>
      </w:r>
      <w:r w:rsidR="007478E8">
        <w:t xml:space="preserve">it was at least arguable </w:t>
      </w:r>
      <w:r w:rsidR="00B56095">
        <w:t>the</w:t>
      </w:r>
      <w:r w:rsidR="003A0E0A">
        <w:t xml:space="preserve"> issue remained </w:t>
      </w:r>
      <w:r w:rsidR="003B0199">
        <w:t>live</w:t>
      </w:r>
      <w:r w:rsidR="00B56095">
        <w:t xml:space="preserve">, </w:t>
      </w:r>
      <w:r w:rsidR="007478E8">
        <w:t>because</w:t>
      </w:r>
      <w:r w:rsidR="005B25DE">
        <w:t xml:space="preserve"> form</w:t>
      </w:r>
      <w:r w:rsidR="007478E8">
        <w:t>ing</w:t>
      </w:r>
      <w:r w:rsidR="005B25DE">
        <w:t xml:space="preserve"> a view as to power </w:t>
      </w:r>
      <w:r w:rsidR="007478E8">
        <w:t>was relevant to</w:t>
      </w:r>
      <w:r w:rsidR="003A0E0A">
        <w:t xml:space="preserve"> determining the </w:t>
      </w:r>
      <w:r w:rsidR="00CD48A1">
        <w:t xml:space="preserve">extant </w:t>
      </w:r>
      <w:r w:rsidR="003A0E0A">
        <w:t xml:space="preserve">interlocutory </w:t>
      </w:r>
      <w:r w:rsidR="003B0199">
        <w:t>applications</w:t>
      </w:r>
      <w:r w:rsidR="00546367">
        <w:t>.</w:t>
      </w:r>
    </w:p>
    <w:p w14:paraId="3FEA1B17" w14:textId="1CD2D515" w:rsidR="006A52A8" w:rsidRDefault="0071710E" w:rsidP="0071710E">
      <w:pPr>
        <w:pStyle w:val="ParaNumbering"/>
        <w:numPr>
          <w:ilvl w:val="0"/>
          <w:numId w:val="0"/>
        </w:numPr>
        <w:tabs>
          <w:tab w:val="left" w:pos="720"/>
        </w:tabs>
        <w:ind w:hanging="720"/>
      </w:pPr>
      <w:r>
        <w:rPr>
          <w:sz w:val="20"/>
        </w:rPr>
        <w:t>332</w:t>
      </w:r>
      <w:r>
        <w:rPr>
          <w:sz w:val="20"/>
        </w:rPr>
        <w:tab/>
      </w:r>
      <w:r w:rsidR="009F3D5E">
        <w:t>Accordingly</w:t>
      </w:r>
      <w:r w:rsidR="006A52A8">
        <w:t xml:space="preserve">, I made an order </w:t>
      </w:r>
      <w:r w:rsidR="00546367">
        <w:t>which in its final form reserved</w:t>
      </w:r>
      <w:r w:rsidR="006A52A8">
        <w:t xml:space="preserve"> the following question for determination by the Full Court (</w:t>
      </w:r>
      <w:r w:rsidR="006A52A8" w:rsidRPr="00521AD3">
        <w:rPr>
          <w:b/>
        </w:rPr>
        <w:t>Reserved Question</w:t>
      </w:r>
      <w:r w:rsidR="00546367">
        <w:t>)</w:t>
      </w:r>
      <w:r w:rsidR="006A52A8">
        <w:t>:</w:t>
      </w:r>
    </w:p>
    <w:p w14:paraId="131E2623" w14:textId="77777777" w:rsidR="006A52A8" w:rsidRDefault="006A52A8" w:rsidP="006A52A8">
      <w:pPr>
        <w:pStyle w:val="Quote1"/>
      </w:pPr>
      <w:r>
        <w:t>If it was just to do so, does the Court have the statutory power, pursuant to s 33V of the</w:t>
      </w:r>
      <w:r w:rsidR="00B965E1">
        <w:t xml:space="preserve"> [FCA Act]</w:t>
      </w:r>
      <w:r>
        <w:t xml:space="preserve">, to make an order distributing money paid under a settlement in the form of a “Settlement CFO”, as that term is defined in </w:t>
      </w:r>
      <w:r w:rsidRPr="00C7562B">
        <w:rPr>
          <w:i/>
        </w:rPr>
        <w:t>Davaria Pty Ltd v 7-Eleven Stores Pty Ltd</w:t>
      </w:r>
      <w:r>
        <w:t xml:space="preserve"> [2020] FCAFC 183; (2020) 281 FCR 501 (at 506–507 [19], [22]–[25])?</w:t>
      </w:r>
    </w:p>
    <w:p w14:paraId="06A9CBF5" w14:textId="00CEE925" w:rsidR="0096746D" w:rsidRDefault="0071710E" w:rsidP="0071710E">
      <w:pPr>
        <w:pStyle w:val="ParaNumbering"/>
        <w:numPr>
          <w:ilvl w:val="0"/>
          <w:numId w:val="0"/>
        </w:numPr>
        <w:tabs>
          <w:tab w:val="left" w:pos="720"/>
        </w:tabs>
        <w:ind w:hanging="720"/>
      </w:pPr>
      <w:r>
        <w:rPr>
          <w:sz w:val="20"/>
        </w:rPr>
        <w:t>333</w:t>
      </w:r>
      <w:r>
        <w:rPr>
          <w:sz w:val="20"/>
        </w:rPr>
        <w:tab/>
      </w:r>
      <w:r w:rsidR="004A32DA">
        <w:t xml:space="preserve">As the SDA </w:t>
      </w:r>
      <w:r w:rsidR="008F48FF">
        <w:t xml:space="preserve">initially </w:t>
      </w:r>
      <w:r w:rsidR="004A32DA">
        <w:t>indicated it wished to play no part in any hearing before the Full Court,</w:t>
      </w:r>
      <w:r w:rsidR="00CC2C53">
        <w:t xml:space="preserve"> </w:t>
      </w:r>
      <w:r w:rsidR="0024154D">
        <w:t>orders were made appointing</w:t>
      </w:r>
      <w:r w:rsidR="00CD48A1">
        <w:t xml:space="preserve"> an</w:t>
      </w:r>
      <w:r w:rsidR="00D63DFE">
        <w:t xml:space="preserve"> </w:t>
      </w:r>
      <w:proofErr w:type="gramStart"/>
      <w:r w:rsidR="00D63DFE" w:rsidRPr="0024154D">
        <w:rPr>
          <w:i/>
        </w:rPr>
        <w:t>amicus curiae</w:t>
      </w:r>
      <w:proofErr w:type="gramEnd"/>
      <w:r w:rsidR="00B9166B">
        <w:t xml:space="preserve"> </w:t>
      </w:r>
      <w:r w:rsidR="00D63DFE">
        <w:t>to conduct the role of contradictor</w:t>
      </w:r>
      <w:r w:rsidR="005D26BE">
        <w:t xml:space="preserve"> on the Reserved Question.</w:t>
      </w:r>
      <w:r w:rsidR="00B31EEA">
        <w:t xml:space="preserve"> </w:t>
      </w:r>
      <w:r w:rsidR="00F94224">
        <w:t>I</w:t>
      </w:r>
      <w:r w:rsidR="005D26BE">
        <w:t>n written submissions, the contradictor i</w:t>
      </w:r>
      <w:r w:rsidR="005B25DE">
        <w:t>dentified, among other things,</w:t>
      </w:r>
      <w:r w:rsidR="005D26BE">
        <w:t xml:space="preserve"> constitutional argument</w:t>
      </w:r>
      <w:r w:rsidR="005B25DE">
        <w:t>s</w:t>
      </w:r>
      <w:r w:rsidR="00EC70CA">
        <w:t xml:space="preserve">. </w:t>
      </w:r>
    </w:p>
    <w:p w14:paraId="3B02352B" w14:textId="76DC69AC" w:rsidR="0096746D" w:rsidRDefault="0071710E" w:rsidP="0071710E">
      <w:pPr>
        <w:pStyle w:val="ParaNumbering"/>
        <w:numPr>
          <w:ilvl w:val="0"/>
          <w:numId w:val="0"/>
        </w:numPr>
        <w:tabs>
          <w:tab w:val="left" w:pos="720"/>
        </w:tabs>
        <w:ind w:hanging="720"/>
      </w:pPr>
      <w:r>
        <w:rPr>
          <w:sz w:val="20"/>
        </w:rPr>
        <w:t>334</w:t>
      </w:r>
      <w:r>
        <w:rPr>
          <w:sz w:val="20"/>
        </w:rPr>
        <w:tab/>
      </w:r>
      <w:r w:rsidR="00EC70CA">
        <w:t xml:space="preserve">In summary, </w:t>
      </w:r>
      <w:r w:rsidR="00FB5AF7">
        <w:t>the contradictor asserted</w:t>
      </w:r>
      <w:r w:rsidR="00EC70CA">
        <w:t xml:space="preserve"> the m</w:t>
      </w:r>
      <w:r w:rsidR="00A04465">
        <w:t>aking of a S</w:t>
      </w:r>
      <w:r w:rsidR="00FB5AF7">
        <w:t>ettlement CFO could</w:t>
      </w:r>
      <w:r w:rsidR="00EC70CA">
        <w:t xml:space="preserve"> not </w:t>
      </w:r>
      <w:r w:rsidR="00FB5AF7">
        <w:t xml:space="preserve">be </w:t>
      </w:r>
      <w:r w:rsidR="00EC70CA">
        <w:t xml:space="preserve">a proper exercise of the judicial power of the Commonwealth because: </w:t>
      </w:r>
      <w:r w:rsidR="00EC70CA" w:rsidRPr="0096746D">
        <w:rPr>
          <w:i/>
        </w:rPr>
        <w:t>first</w:t>
      </w:r>
      <w:r w:rsidR="00EC70CA">
        <w:t xml:space="preserve">, it involves the creation of new rights and obligations for which the </w:t>
      </w:r>
      <w:r w:rsidR="004F50CB">
        <w:t xml:space="preserve">FCA </w:t>
      </w:r>
      <w:r w:rsidR="00EC70CA">
        <w:t xml:space="preserve">Act does not provide; </w:t>
      </w:r>
      <w:r w:rsidR="00EC70CA" w:rsidRPr="0096746D">
        <w:rPr>
          <w:i/>
        </w:rPr>
        <w:t>secondly</w:t>
      </w:r>
      <w:r w:rsidR="00EC70CA">
        <w:t xml:space="preserve">, it necessitates quantifying the amount of commission to be paid which involves non-judicial, policy considerations; and </w:t>
      </w:r>
      <w:r w:rsidR="00EC70CA" w:rsidRPr="0096746D">
        <w:rPr>
          <w:i/>
        </w:rPr>
        <w:t>thirdly</w:t>
      </w:r>
      <w:r w:rsidR="00EC70CA">
        <w:t xml:space="preserve">, there is </w:t>
      </w:r>
      <w:r w:rsidR="00C26A7A">
        <w:t>presently no matter</w:t>
      </w:r>
      <w:r w:rsidR="00EC70CA">
        <w:t xml:space="preserve"> in the constitutional sense </w:t>
      </w:r>
      <w:r w:rsidR="00AD2365">
        <w:t>that</w:t>
      </w:r>
      <w:r w:rsidR="00EC70CA">
        <w:t xml:space="preserve"> has arisen</w:t>
      </w:r>
      <w:r w:rsidR="00AD2365">
        <w:t xml:space="preserve"> </w:t>
      </w:r>
      <w:r w:rsidR="00EC70CA">
        <w:t xml:space="preserve">because the </w:t>
      </w:r>
      <w:r w:rsidR="0018761E">
        <w:t xml:space="preserve">relevant </w:t>
      </w:r>
      <w:r w:rsidR="00EC70CA">
        <w:t xml:space="preserve">power </w:t>
      </w:r>
      <w:r w:rsidR="00BA7DDE">
        <w:t>can</w:t>
      </w:r>
      <w:r w:rsidR="00EC70CA">
        <w:t xml:space="preserve"> only be enlivened at the time of settlement approval.</w:t>
      </w:r>
      <w:r w:rsidR="0034393F">
        <w:t xml:space="preserve"> </w:t>
      </w:r>
    </w:p>
    <w:p w14:paraId="5EBE912E" w14:textId="272FFBD2" w:rsidR="009440D9" w:rsidRDefault="0071710E" w:rsidP="0071710E">
      <w:pPr>
        <w:pStyle w:val="ParaNumbering"/>
        <w:numPr>
          <w:ilvl w:val="0"/>
          <w:numId w:val="0"/>
        </w:numPr>
        <w:tabs>
          <w:tab w:val="left" w:pos="720"/>
        </w:tabs>
        <w:ind w:hanging="720"/>
      </w:pPr>
      <w:r>
        <w:rPr>
          <w:sz w:val="20"/>
        </w:rPr>
        <w:t>335</w:t>
      </w:r>
      <w:r>
        <w:rPr>
          <w:sz w:val="20"/>
        </w:rPr>
        <w:tab/>
      </w:r>
      <w:r w:rsidR="0034393F">
        <w:t xml:space="preserve">In the light of these </w:t>
      </w:r>
      <w:r w:rsidR="00BD598B">
        <w:t>contentions</w:t>
      </w:r>
      <w:r w:rsidR="0034393F">
        <w:t xml:space="preserve">, </w:t>
      </w:r>
      <w:r w:rsidR="0077028D">
        <w:t>at the time of oral argument in the Full Court, orders were made for the service</w:t>
      </w:r>
      <w:r w:rsidR="00BD598B">
        <w:t xml:space="preserve"> </w:t>
      </w:r>
      <w:r w:rsidR="0077028D">
        <w:t>of</w:t>
      </w:r>
      <w:r w:rsidR="003B4885">
        <w:t xml:space="preserve"> notices</w:t>
      </w:r>
      <w:r w:rsidR="00BD598B">
        <w:t xml:space="preserve"> pursuant to </w:t>
      </w:r>
      <w:r w:rsidR="001B04D1">
        <w:t xml:space="preserve">s 78B of the </w:t>
      </w:r>
      <w:r w:rsidR="001B04D1" w:rsidRPr="0096746D">
        <w:rPr>
          <w:i/>
        </w:rPr>
        <w:t xml:space="preserve">Judiciary Act </w:t>
      </w:r>
      <w:r w:rsidR="0084565B" w:rsidRPr="0096746D">
        <w:rPr>
          <w:i/>
        </w:rPr>
        <w:t xml:space="preserve">1903 </w:t>
      </w:r>
      <w:r w:rsidR="0084565B">
        <w:t>(</w:t>
      </w:r>
      <w:proofErr w:type="spellStart"/>
      <w:r w:rsidR="0084565B">
        <w:t>Cth</w:t>
      </w:r>
      <w:proofErr w:type="spellEnd"/>
      <w:r w:rsidR="0084565B">
        <w:t>)</w:t>
      </w:r>
      <w:r w:rsidR="00AC3ECA">
        <w:t xml:space="preserve"> (</w:t>
      </w:r>
      <w:r w:rsidR="00AC3ECA">
        <w:rPr>
          <w:b/>
          <w:bCs/>
        </w:rPr>
        <w:t>Judiciary Act</w:t>
      </w:r>
      <w:r w:rsidR="00AC3ECA">
        <w:t>)</w:t>
      </w:r>
      <w:r w:rsidR="001549BC">
        <w:t>.</w:t>
      </w:r>
      <w:r w:rsidR="0047748B">
        <w:t xml:space="preserve"> </w:t>
      </w:r>
      <w:r w:rsidR="005A756A">
        <w:t xml:space="preserve">Subsequently, </w:t>
      </w:r>
      <w:r w:rsidR="00B56095">
        <w:t>the Full Court received confirmation</w:t>
      </w:r>
      <w:r w:rsidR="00AD2365">
        <w:t xml:space="preserve"> that </w:t>
      </w:r>
      <w:r w:rsidR="0025213B">
        <w:t>the Commonwealth Attorney-General</w:t>
      </w:r>
      <w:r w:rsidR="004F318E">
        <w:t xml:space="preserve"> (</w:t>
      </w:r>
      <w:r w:rsidR="004F318E" w:rsidRPr="004F318E">
        <w:rPr>
          <w:b/>
        </w:rPr>
        <w:t>Attorney-General</w:t>
      </w:r>
      <w:r w:rsidR="004F318E">
        <w:t>)</w:t>
      </w:r>
      <w:r w:rsidR="003E6A1D">
        <w:t xml:space="preserve"> </w:t>
      </w:r>
      <w:r w:rsidR="00B56095">
        <w:t xml:space="preserve">wished to </w:t>
      </w:r>
      <w:r w:rsidR="00AD2365">
        <w:t xml:space="preserve">intervene and </w:t>
      </w:r>
      <w:r w:rsidR="00CD48A1">
        <w:t>provide</w:t>
      </w:r>
      <w:r w:rsidR="00B56095">
        <w:t xml:space="preserve"> </w:t>
      </w:r>
      <w:r w:rsidR="0077028D">
        <w:t xml:space="preserve">written </w:t>
      </w:r>
      <w:r w:rsidR="00B56095">
        <w:t>submissions</w:t>
      </w:r>
      <w:r w:rsidR="00BC159D">
        <w:t>.</w:t>
      </w:r>
      <w:r w:rsidR="0025213B">
        <w:t xml:space="preserve"> </w:t>
      </w:r>
    </w:p>
    <w:p w14:paraId="4FD47464" w14:textId="2B2435C8" w:rsidR="009B6F42" w:rsidRDefault="0071710E" w:rsidP="0071710E">
      <w:pPr>
        <w:pStyle w:val="ParaNumbering"/>
        <w:numPr>
          <w:ilvl w:val="0"/>
          <w:numId w:val="0"/>
        </w:numPr>
        <w:tabs>
          <w:tab w:val="left" w:pos="720"/>
        </w:tabs>
        <w:ind w:hanging="720"/>
      </w:pPr>
      <w:r>
        <w:rPr>
          <w:sz w:val="20"/>
        </w:rPr>
        <w:t>336</w:t>
      </w:r>
      <w:r>
        <w:rPr>
          <w:sz w:val="20"/>
        </w:rPr>
        <w:tab/>
      </w:r>
      <w:r w:rsidR="00FB5AF7">
        <w:t>However,</w:t>
      </w:r>
      <w:r w:rsidR="00B9166B">
        <w:t xml:space="preserve"> the</w:t>
      </w:r>
      <w:r w:rsidR="003B5689">
        <w:t>re were two developments</w:t>
      </w:r>
      <w:r w:rsidR="00CC12EC">
        <w:t xml:space="preserve"> </w:t>
      </w:r>
      <w:r w:rsidR="005B25DE">
        <w:t xml:space="preserve">after oral argument </w:t>
      </w:r>
      <w:r w:rsidR="0077028D">
        <w:t xml:space="preserve">concluded </w:t>
      </w:r>
      <w:r w:rsidR="00C13660">
        <w:t>in</w:t>
      </w:r>
      <w:r w:rsidR="005B25DE">
        <w:t xml:space="preserve"> the Full Court</w:t>
      </w:r>
      <w:r w:rsidR="00C13660">
        <w:t xml:space="preserve">: </w:t>
      </w:r>
      <w:r w:rsidR="00780FDB" w:rsidRPr="00C13660">
        <w:rPr>
          <w:i/>
        </w:rPr>
        <w:t>first</w:t>
      </w:r>
      <w:r w:rsidR="00780FDB">
        <w:t>, the Minister for Employment and Workplace Relations (</w:t>
      </w:r>
      <w:r w:rsidR="00780FDB" w:rsidRPr="00C13660">
        <w:rPr>
          <w:b/>
        </w:rPr>
        <w:t>Minister</w:t>
      </w:r>
      <w:r w:rsidR="00780FDB">
        <w:t xml:space="preserve">) </w:t>
      </w:r>
      <w:r w:rsidR="00AD2365">
        <w:t xml:space="preserve">exercised his statutory right under the FW Act to </w:t>
      </w:r>
      <w:r w:rsidR="00780FDB">
        <w:t>interven</w:t>
      </w:r>
      <w:r w:rsidR="00AD2365">
        <w:t>e in the interlocutory applications</w:t>
      </w:r>
      <w:r w:rsidR="00780FDB">
        <w:t xml:space="preserve">; and </w:t>
      </w:r>
      <w:r w:rsidR="00780FDB" w:rsidRPr="00C13660">
        <w:rPr>
          <w:i/>
        </w:rPr>
        <w:t>secondly</w:t>
      </w:r>
      <w:r w:rsidR="00780FDB">
        <w:t>, t</w:t>
      </w:r>
      <w:r w:rsidR="000A42AC">
        <w:t xml:space="preserve">he SDA belatedly raised an issue as to whether </w:t>
      </w:r>
      <w:r w:rsidR="00A853DB">
        <w:t>ss 539 and 540 of the FW Act exhaustively prescribe the manner in which proceedings may be brought on behalf of employees in relation to their workplace entitlements</w:t>
      </w:r>
      <w:r w:rsidR="004E4F41">
        <w:t>,</w:t>
      </w:r>
      <w:r w:rsidR="00A853DB">
        <w:t xml:space="preserve"> </w:t>
      </w:r>
      <w:r w:rsidR="004E4F41">
        <w:t>such that</w:t>
      </w:r>
      <w:r w:rsidR="00A853DB">
        <w:t xml:space="preserve"> by implication, those specific provisions exclude the operation of the general provisions in Pt IVA of the </w:t>
      </w:r>
      <w:r w:rsidR="00AD2365">
        <w:t xml:space="preserve">FCA </w:t>
      </w:r>
      <w:r w:rsidR="00A853DB">
        <w:t>Act.</w:t>
      </w:r>
      <w:r w:rsidR="008F48FF">
        <w:t xml:space="preserve"> </w:t>
      </w:r>
      <w:r w:rsidR="00B2691A">
        <w:t>Obviously enough, i</w:t>
      </w:r>
      <w:r w:rsidR="00F027CC">
        <w:t>f</w:t>
      </w:r>
      <w:r w:rsidR="00B250E3">
        <w:t xml:space="preserve"> Pt IVA</w:t>
      </w:r>
      <w:r w:rsidR="00C13660">
        <w:t xml:space="preserve"> has been improperly invoked</w:t>
      </w:r>
      <w:r w:rsidR="00B250E3">
        <w:t xml:space="preserve">, </w:t>
      </w:r>
      <w:r w:rsidR="00AB7B2B">
        <w:t>t</w:t>
      </w:r>
      <w:r w:rsidR="006E3A34">
        <w:t>he</w:t>
      </w:r>
      <w:r w:rsidR="00B250E3">
        <w:t xml:space="preserve"> Court is bereft of power to make </w:t>
      </w:r>
      <w:r w:rsidR="00B2691A">
        <w:t>a Settlement CFO in the Class Action</w:t>
      </w:r>
      <w:r w:rsidR="004B2C08">
        <w:t xml:space="preserve"> (</w:t>
      </w:r>
      <w:r w:rsidR="00AD2365">
        <w:t>and irrespective</w:t>
      </w:r>
      <w:r w:rsidR="004B2C08">
        <w:t xml:space="preserve"> </w:t>
      </w:r>
      <w:r w:rsidR="00111CDF">
        <w:t>of</w:t>
      </w:r>
      <w:r w:rsidR="004B2C08">
        <w:t xml:space="preserve"> whether </w:t>
      </w:r>
      <w:r w:rsidR="008F48FF">
        <w:t xml:space="preserve">the Court has power to make </w:t>
      </w:r>
      <w:r w:rsidR="004B2C08">
        <w:t>Settlement CFOs in other</w:t>
      </w:r>
      <w:r w:rsidR="008F48FF">
        <w:t>,</w:t>
      </w:r>
      <w:r w:rsidR="004B2C08">
        <w:t xml:space="preserve"> </w:t>
      </w:r>
      <w:proofErr w:type="spellStart"/>
      <w:r w:rsidR="001D3614">
        <w:t>licitly</w:t>
      </w:r>
      <w:proofErr w:type="spellEnd"/>
      <w:r w:rsidR="001D3614">
        <w:t xml:space="preserve"> commenced</w:t>
      </w:r>
      <w:r w:rsidR="008F48FF">
        <w:t xml:space="preserve"> </w:t>
      </w:r>
      <w:r w:rsidR="004B2C08">
        <w:t>class action</w:t>
      </w:r>
      <w:r w:rsidR="008F48FF">
        <w:t>s</w:t>
      </w:r>
      <w:r w:rsidR="004B2C08">
        <w:t>)</w:t>
      </w:r>
      <w:r w:rsidR="00154B7B">
        <w:t>.</w:t>
      </w:r>
      <w:r w:rsidR="00F027CC">
        <w:t xml:space="preserve"> </w:t>
      </w:r>
      <w:r w:rsidR="00CC12EC">
        <w:t>Additionally, t</w:t>
      </w:r>
      <w:r w:rsidR="007478E8">
        <w:t>he</w:t>
      </w:r>
      <w:r w:rsidR="00C13660">
        <w:t xml:space="preserve"> Mi</w:t>
      </w:r>
      <w:r w:rsidR="007478E8">
        <w:t>nister and the SDA requested</w:t>
      </w:r>
      <w:r w:rsidR="00C13660">
        <w:t xml:space="preserve"> to be heard on the Reserved Question</w:t>
      </w:r>
      <w:r w:rsidR="0077028D">
        <w:t xml:space="preserve">, </w:t>
      </w:r>
      <w:r w:rsidR="007478E8">
        <w:t xml:space="preserve">and </w:t>
      </w:r>
      <w:r w:rsidR="0077028D">
        <w:t xml:space="preserve">the Full Court </w:t>
      </w:r>
      <w:r w:rsidR="00D0286C">
        <w:t>granted</w:t>
      </w:r>
      <w:r w:rsidR="0077028D">
        <w:t xml:space="preserve"> leave for written submissi</w:t>
      </w:r>
      <w:r w:rsidR="00C13660">
        <w:t>ons</w:t>
      </w:r>
      <w:r w:rsidR="00CC12EC">
        <w:t xml:space="preserve"> to be filed</w:t>
      </w:r>
      <w:r w:rsidR="0077028D">
        <w:t>.</w:t>
      </w:r>
    </w:p>
    <w:p w14:paraId="248202A3" w14:textId="70774879" w:rsidR="00F027CC" w:rsidRDefault="0071710E" w:rsidP="0071710E">
      <w:pPr>
        <w:pStyle w:val="ParaNumbering"/>
        <w:numPr>
          <w:ilvl w:val="0"/>
          <w:numId w:val="0"/>
        </w:numPr>
        <w:tabs>
          <w:tab w:val="left" w:pos="720"/>
        </w:tabs>
        <w:ind w:hanging="720"/>
      </w:pPr>
      <w:r>
        <w:rPr>
          <w:sz w:val="20"/>
        </w:rPr>
        <w:t>337</w:t>
      </w:r>
      <w:r>
        <w:rPr>
          <w:sz w:val="20"/>
        </w:rPr>
        <w:tab/>
      </w:r>
      <w:r w:rsidR="00F027CC">
        <w:t>By this somewhat tortuous path</w:t>
      </w:r>
      <w:r w:rsidR="00FB5AF7">
        <w:t>,</w:t>
      </w:r>
      <w:r w:rsidR="00F027CC">
        <w:t xml:space="preserve"> the Court is </w:t>
      </w:r>
      <w:r w:rsidR="00C13660">
        <w:t xml:space="preserve">now </w:t>
      </w:r>
      <w:r w:rsidR="00F027CC">
        <w:t>presented with t</w:t>
      </w:r>
      <w:r w:rsidR="004B2C08">
        <w:t>wo</w:t>
      </w:r>
      <w:r w:rsidR="00F027CC">
        <w:t xml:space="preserve"> </w:t>
      </w:r>
      <w:r w:rsidR="00C13660">
        <w:t>issues</w:t>
      </w:r>
      <w:r w:rsidR="002D75C6">
        <w:t>,</w:t>
      </w:r>
      <w:r w:rsidR="00F027CC">
        <w:t xml:space="preserve"> which </w:t>
      </w:r>
      <w:r w:rsidR="004B2C08">
        <w:t xml:space="preserve">are logically anterior to the issue of statutory </w:t>
      </w:r>
      <w:r w:rsidR="00CC12EC">
        <w:t>construction</w:t>
      </w:r>
      <w:r w:rsidR="004B2C08">
        <w:t xml:space="preserve"> raised by the Reserved Question and </w:t>
      </w:r>
      <w:r w:rsidR="00F027CC">
        <w:t xml:space="preserve">can be summarised as follows: </w:t>
      </w:r>
    </w:p>
    <w:p w14:paraId="2AABE6AE" w14:textId="52ED30D5" w:rsidR="00B965E1" w:rsidRPr="00AD2365" w:rsidRDefault="0071710E" w:rsidP="0071710E">
      <w:pPr>
        <w:pStyle w:val="ListNo1"/>
        <w:numPr>
          <w:ilvl w:val="0"/>
          <w:numId w:val="0"/>
        </w:numPr>
        <w:tabs>
          <w:tab w:val="left" w:pos="720"/>
        </w:tabs>
        <w:ind w:left="720" w:hanging="720"/>
      </w:pPr>
      <w:r w:rsidRPr="00AD2365">
        <w:t>(1)</w:t>
      </w:r>
      <w:r w:rsidRPr="00AD2365">
        <w:tab/>
      </w:r>
      <w:r w:rsidR="00780FDB" w:rsidRPr="00AD2365">
        <w:t xml:space="preserve">Does the FW Act operate </w:t>
      </w:r>
      <w:proofErr w:type="gramStart"/>
      <w:r w:rsidR="00780FDB" w:rsidRPr="00AD2365">
        <w:t>so as to</w:t>
      </w:r>
      <w:proofErr w:type="gramEnd"/>
      <w:r w:rsidR="00780FDB" w:rsidRPr="00AD2365">
        <w:t xml:space="preserve"> </w:t>
      </w:r>
      <w:r w:rsidR="00B965E1" w:rsidRPr="00AD2365">
        <w:t xml:space="preserve">repeal </w:t>
      </w:r>
      <w:r w:rsidR="00FB5AF7">
        <w:t>impliedly</w:t>
      </w:r>
      <w:r w:rsidR="00FB5AF7" w:rsidRPr="00AD2365">
        <w:t xml:space="preserve"> </w:t>
      </w:r>
      <w:r w:rsidR="00B965E1" w:rsidRPr="00AD2365">
        <w:t>s 33D of the FCA Act to the extent that s 33D confers standing on current or former employees to apply for an order in relation</w:t>
      </w:r>
      <w:r w:rsidR="00B965E1" w:rsidRPr="00AD2365">
        <w:rPr>
          <w:spacing w:val="-4"/>
        </w:rPr>
        <w:t xml:space="preserve"> </w:t>
      </w:r>
      <w:r w:rsidR="00B965E1" w:rsidRPr="00AD2365">
        <w:t>to</w:t>
      </w:r>
      <w:r w:rsidR="00B965E1" w:rsidRPr="00AD2365">
        <w:rPr>
          <w:spacing w:val="-1"/>
        </w:rPr>
        <w:t xml:space="preserve"> </w:t>
      </w:r>
      <w:r w:rsidR="00B965E1" w:rsidRPr="00AD2365">
        <w:t>a</w:t>
      </w:r>
      <w:r w:rsidR="00B965E1" w:rsidRPr="00AD2365">
        <w:rPr>
          <w:spacing w:val="-3"/>
        </w:rPr>
        <w:t xml:space="preserve"> </w:t>
      </w:r>
      <w:r w:rsidR="00B965E1" w:rsidRPr="00AD2365">
        <w:t>contravention</w:t>
      </w:r>
      <w:r w:rsidR="00B965E1" w:rsidRPr="00AD2365">
        <w:rPr>
          <w:spacing w:val="-4"/>
        </w:rPr>
        <w:t xml:space="preserve"> </w:t>
      </w:r>
      <w:r w:rsidR="00B965E1" w:rsidRPr="00AD2365">
        <w:t>of a</w:t>
      </w:r>
      <w:r w:rsidR="00B965E1" w:rsidRPr="00AD2365">
        <w:rPr>
          <w:spacing w:val="-1"/>
        </w:rPr>
        <w:t xml:space="preserve"> </w:t>
      </w:r>
      <w:r w:rsidR="00B965E1" w:rsidRPr="00AD2365">
        <w:t>civil</w:t>
      </w:r>
      <w:r w:rsidR="00B965E1" w:rsidRPr="00AD2365">
        <w:rPr>
          <w:spacing w:val="-3"/>
        </w:rPr>
        <w:t xml:space="preserve"> </w:t>
      </w:r>
      <w:r w:rsidR="00B965E1" w:rsidRPr="00AD2365">
        <w:t>remedy</w:t>
      </w:r>
      <w:r w:rsidR="00B965E1" w:rsidRPr="00AD2365">
        <w:rPr>
          <w:spacing w:val="-4"/>
        </w:rPr>
        <w:t xml:space="preserve"> </w:t>
      </w:r>
      <w:r w:rsidR="00B965E1" w:rsidRPr="00AD2365">
        <w:t>provision</w:t>
      </w:r>
      <w:r w:rsidR="00B965E1" w:rsidRPr="00AD2365">
        <w:rPr>
          <w:spacing w:val="-3"/>
        </w:rPr>
        <w:t xml:space="preserve"> </w:t>
      </w:r>
      <w:r w:rsidR="00B965E1" w:rsidRPr="00AD2365">
        <w:t>of the</w:t>
      </w:r>
      <w:r w:rsidR="00B965E1" w:rsidRPr="00AD2365">
        <w:rPr>
          <w:spacing w:val="-1"/>
        </w:rPr>
        <w:t xml:space="preserve"> </w:t>
      </w:r>
      <w:r w:rsidR="00B965E1" w:rsidRPr="00AD2365">
        <w:t>FW</w:t>
      </w:r>
      <w:r w:rsidR="00B965E1" w:rsidRPr="00AD2365">
        <w:rPr>
          <w:spacing w:val="-1"/>
        </w:rPr>
        <w:t xml:space="preserve"> </w:t>
      </w:r>
      <w:r w:rsidR="00B965E1" w:rsidRPr="00AD2365">
        <w:t xml:space="preserve">Act? </w:t>
      </w:r>
    </w:p>
    <w:p w14:paraId="1FBD7548" w14:textId="3A00FCC0" w:rsidR="00B965E1" w:rsidRPr="00AD2365" w:rsidRDefault="0071710E" w:rsidP="0071710E">
      <w:pPr>
        <w:pStyle w:val="ListNo1"/>
        <w:numPr>
          <w:ilvl w:val="0"/>
          <w:numId w:val="0"/>
        </w:numPr>
        <w:tabs>
          <w:tab w:val="left" w:pos="720"/>
        </w:tabs>
        <w:ind w:left="720" w:hanging="720"/>
      </w:pPr>
      <w:r w:rsidRPr="00AD2365">
        <w:t>(2)</w:t>
      </w:r>
      <w:r w:rsidRPr="00AD2365">
        <w:tab/>
      </w:r>
      <w:r w:rsidR="00B965E1" w:rsidRPr="00AD2365">
        <w:t xml:space="preserve">Does the Reserved Question give rise to an immediate right, </w:t>
      </w:r>
      <w:r w:rsidR="008F48FF" w:rsidRPr="00AD2365">
        <w:t>duty,</w:t>
      </w:r>
      <w:r w:rsidR="00B965E1" w:rsidRPr="00AD2365">
        <w:t xml:space="preserve"> or liability to be established by the determination of the</w:t>
      </w:r>
      <w:r w:rsidR="004B2C08" w:rsidRPr="00AD2365">
        <w:t xml:space="preserve"> Full Court</w:t>
      </w:r>
      <w:r w:rsidR="00FB5AF7">
        <w:t>,</w:t>
      </w:r>
      <w:r w:rsidR="004B2C08" w:rsidRPr="00AD2365">
        <w:t xml:space="preserve"> </w:t>
      </w:r>
      <w:r w:rsidR="00B965E1" w:rsidRPr="00AD2365">
        <w:t xml:space="preserve">such that it would be </w:t>
      </w:r>
      <w:r w:rsidR="004B2C08" w:rsidRPr="00AD2365">
        <w:t xml:space="preserve">a proper exercise of judicial power to answer </w:t>
      </w:r>
      <w:r w:rsidR="00A30591">
        <w:t>the</w:t>
      </w:r>
      <w:r w:rsidR="004B2C08" w:rsidRPr="00AD2365">
        <w:t xml:space="preserve"> Reserved Question?</w:t>
      </w:r>
    </w:p>
    <w:p w14:paraId="09F7E981" w14:textId="31E50516" w:rsidR="002D75C6" w:rsidRPr="00AD2365" w:rsidRDefault="0071710E" w:rsidP="0071710E">
      <w:pPr>
        <w:pStyle w:val="ParaNumbering"/>
        <w:numPr>
          <w:ilvl w:val="0"/>
          <w:numId w:val="0"/>
        </w:numPr>
        <w:tabs>
          <w:tab w:val="left" w:pos="720"/>
        </w:tabs>
        <w:ind w:hanging="720"/>
      </w:pPr>
      <w:r w:rsidRPr="00AD2365">
        <w:rPr>
          <w:sz w:val="20"/>
        </w:rPr>
        <w:t>338</w:t>
      </w:r>
      <w:r w:rsidRPr="00AD2365">
        <w:rPr>
          <w:sz w:val="20"/>
        </w:rPr>
        <w:tab/>
      </w:r>
      <w:r w:rsidR="00AD2365" w:rsidRPr="00AD2365">
        <w:t xml:space="preserve">If these two preliminary questions are decided in favour of the </w:t>
      </w:r>
      <w:proofErr w:type="gramStart"/>
      <w:r w:rsidR="00AD2365" w:rsidRPr="00AD2365">
        <w:t>applicants</w:t>
      </w:r>
      <w:proofErr w:type="gramEnd"/>
      <w:r w:rsidR="00AD2365" w:rsidRPr="00AD2365">
        <w:t xml:space="preserve"> then, in answering the Reserved Question, the further constitutional argument as to whether the making of a</w:t>
      </w:r>
      <w:r w:rsidR="00AD2365" w:rsidRPr="00B965E1">
        <w:t xml:space="preserve"> Settlement CFO </w:t>
      </w:r>
      <w:r w:rsidR="00AD2365">
        <w:t xml:space="preserve">is </w:t>
      </w:r>
      <w:r w:rsidR="00AD2365" w:rsidRPr="00B965E1">
        <w:t xml:space="preserve">within judicial </w:t>
      </w:r>
      <w:r w:rsidR="00AD2365" w:rsidRPr="00AD2365">
        <w:t xml:space="preserve">power arises, as does the final argument as to </w:t>
      </w:r>
      <w:r w:rsidR="008F48FF">
        <w:t xml:space="preserve">statutory </w:t>
      </w:r>
      <w:r w:rsidR="00AD2365" w:rsidRPr="00AD2365">
        <w:t>power</w:t>
      </w:r>
      <w:r w:rsidR="0077028D">
        <w:t>,</w:t>
      </w:r>
      <w:r w:rsidR="00AD2365" w:rsidRPr="00AD2365">
        <w:t xml:space="preserve"> b</w:t>
      </w:r>
      <w:r w:rsidR="0077028D">
        <w:t>ased upon the</w:t>
      </w:r>
      <w:r w:rsidR="00AD2365" w:rsidRPr="00AD2365">
        <w:t xml:space="preserve"> proper construction of s 33V. </w:t>
      </w:r>
      <w:r w:rsidR="00CC12EC">
        <w:t xml:space="preserve">Finally, a question of discretion arises as to relief. </w:t>
      </w:r>
      <w:proofErr w:type="gramStart"/>
      <w:r w:rsidR="00CC12EC">
        <w:t>Hence</w:t>
      </w:r>
      <w:proofErr w:type="gramEnd"/>
      <w:r w:rsidR="00CC12EC">
        <w:t xml:space="preserve"> </w:t>
      </w:r>
      <w:r w:rsidR="00AD2365" w:rsidRPr="00AD2365">
        <w:t>I propose to structure the balance of my reasons under the following headings</w:t>
      </w:r>
      <w:r w:rsidR="002D75C6" w:rsidRPr="00AD2365">
        <w:t>:</w:t>
      </w:r>
    </w:p>
    <w:p w14:paraId="06C5AB3F" w14:textId="3101A3D6" w:rsidR="002D75C6" w:rsidRDefault="00B83165" w:rsidP="0054222E">
      <w:pPr>
        <w:pStyle w:val="ListNo1"/>
        <w:numPr>
          <w:ilvl w:val="0"/>
          <w:numId w:val="0"/>
        </w:numPr>
        <w:ind w:left="720" w:hanging="720"/>
      </w:pPr>
      <w:r>
        <w:t>B</w:t>
      </w:r>
      <w:r w:rsidR="002D75C6">
        <w:tab/>
        <w:t>CAN A CLASS ACTION SEEK PT 4-1 DIV</w:t>
      </w:r>
      <w:r w:rsidR="002D75C6">
        <w:rPr>
          <w:spacing w:val="-1"/>
        </w:rPr>
        <w:t xml:space="preserve"> </w:t>
      </w:r>
      <w:r w:rsidR="009814CF">
        <w:t>2</w:t>
      </w:r>
      <w:r w:rsidR="002D75C6">
        <w:rPr>
          <w:spacing w:val="-1"/>
        </w:rPr>
        <w:t xml:space="preserve"> </w:t>
      </w:r>
      <w:r w:rsidR="002D75C6">
        <w:t>ORDERS</w:t>
      </w:r>
      <w:r w:rsidR="00B2691A">
        <w:t>?</w:t>
      </w:r>
      <w:r w:rsidR="002D75C6">
        <w:t xml:space="preserve"> </w:t>
      </w:r>
    </w:p>
    <w:p w14:paraId="684737E5" w14:textId="77777777" w:rsidR="002D75C6" w:rsidRDefault="00B83165" w:rsidP="0054222E">
      <w:pPr>
        <w:pStyle w:val="ListNo1"/>
        <w:numPr>
          <w:ilvl w:val="0"/>
          <w:numId w:val="0"/>
        </w:numPr>
        <w:ind w:left="720" w:hanging="720"/>
      </w:pPr>
      <w:r>
        <w:t>C</w:t>
      </w:r>
      <w:r w:rsidR="002D75C6">
        <w:tab/>
        <w:t>IS THE</w:t>
      </w:r>
      <w:r w:rsidR="000F1B6B">
        <w:t xml:space="preserve"> POWER ISSUE MERELY ADVISORY</w:t>
      </w:r>
      <w:r w:rsidR="002D75C6">
        <w:t xml:space="preserve">? </w:t>
      </w:r>
    </w:p>
    <w:p w14:paraId="0F384C3F" w14:textId="77777777" w:rsidR="002D75C6" w:rsidRDefault="00B83165" w:rsidP="0054222E">
      <w:pPr>
        <w:pStyle w:val="ListNo1"/>
        <w:numPr>
          <w:ilvl w:val="0"/>
          <w:numId w:val="0"/>
        </w:numPr>
        <w:ind w:left="720" w:hanging="720"/>
      </w:pPr>
      <w:r>
        <w:t>D</w:t>
      </w:r>
      <w:r w:rsidR="002D75C6">
        <w:tab/>
        <w:t xml:space="preserve">JUDICIAL POWER AND </w:t>
      </w:r>
      <w:r w:rsidR="00C01B8C">
        <w:t xml:space="preserve">THE </w:t>
      </w:r>
      <w:r w:rsidR="002D75C6">
        <w:t>SETTLEMENT CFO</w:t>
      </w:r>
    </w:p>
    <w:p w14:paraId="7DD1D09E" w14:textId="77777777" w:rsidR="002D75C6" w:rsidRDefault="00B83165" w:rsidP="0054222E">
      <w:pPr>
        <w:pStyle w:val="ListNo1"/>
        <w:numPr>
          <w:ilvl w:val="0"/>
          <w:numId w:val="0"/>
        </w:numPr>
        <w:ind w:left="720" w:hanging="720"/>
      </w:pPr>
      <w:r>
        <w:t>E</w:t>
      </w:r>
      <w:r w:rsidR="002D75C6">
        <w:tab/>
      </w:r>
      <w:r w:rsidR="00C01B8C">
        <w:t xml:space="preserve">THE </w:t>
      </w:r>
      <w:r>
        <w:t xml:space="preserve">SETTLEMENT CFO AND SECTION </w:t>
      </w:r>
      <w:r w:rsidR="002D75C6">
        <w:t>33V</w:t>
      </w:r>
    </w:p>
    <w:p w14:paraId="753D4564" w14:textId="77777777" w:rsidR="002D75C6" w:rsidRDefault="00B83165" w:rsidP="0054222E">
      <w:pPr>
        <w:pStyle w:val="ListNo1"/>
        <w:numPr>
          <w:ilvl w:val="0"/>
          <w:numId w:val="0"/>
        </w:numPr>
        <w:ind w:left="720" w:hanging="720"/>
      </w:pPr>
      <w:r>
        <w:t>F</w:t>
      </w:r>
      <w:r w:rsidR="002D75C6">
        <w:tab/>
        <w:t xml:space="preserve">ISSUES AS TO </w:t>
      </w:r>
      <w:r w:rsidR="0077028D">
        <w:t xml:space="preserve">THE TERMS OF THE RESERVED QUESTION AND </w:t>
      </w:r>
      <w:r w:rsidR="002D75C6">
        <w:t>RELIEF</w:t>
      </w:r>
    </w:p>
    <w:p w14:paraId="4A9C013E" w14:textId="27F48E85" w:rsidR="004B2C08" w:rsidRDefault="00B83165" w:rsidP="0054222E">
      <w:pPr>
        <w:pStyle w:val="ListNo1"/>
        <w:numPr>
          <w:ilvl w:val="0"/>
          <w:numId w:val="0"/>
        </w:numPr>
        <w:ind w:left="720" w:hanging="720"/>
      </w:pPr>
      <w:r>
        <w:t>G</w:t>
      </w:r>
      <w:r w:rsidR="00C01B8C">
        <w:tab/>
        <w:t>ORDERS</w:t>
      </w:r>
      <w:r w:rsidR="002D75C6">
        <w:tab/>
      </w:r>
      <w:r w:rsidR="004B2C08">
        <w:t xml:space="preserve"> </w:t>
      </w:r>
    </w:p>
    <w:p w14:paraId="4873B2EA" w14:textId="3C62B5CB" w:rsidR="00D07165" w:rsidRDefault="0071710E" w:rsidP="0071710E">
      <w:pPr>
        <w:pStyle w:val="ParaNumbering"/>
        <w:numPr>
          <w:ilvl w:val="0"/>
          <w:numId w:val="0"/>
        </w:numPr>
        <w:tabs>
          <w:tab w:val="left" w:pos="720"/>
        </w:tabs>
        <w:ind w:hanging="720"/>
      </w:pPr>
      <w:r>
        <w:rPr>
          <w:sz w:val="20"/>
        </w:rPr>
        <w:t>339</w:t>
      </w:r>
      <w:r>
        <w:rPr>
          <w:sz w:val="20"/>
        </w:rPr>
        <w:tab/>
      </w:r>
      <w:r w:rsidR="00CC12EC">
        <w:t>The constitutional arguments have no substance, and t</w:t>
      </w:r>
      <w:r w:rsidR="00B2691A">
        <w:t>he Reserved Question can</w:t>
      </w:r>
      <w:r w:rsidR="00C13660">
        <w:t>,</w:t>
      </w:r>
      <w:r w:rsidR="00B2691A">
        <w:t xml:space="preserve"> and should</w:t>
      </w:r>
      <w:r w:rsidR="00ED21DC">
        <w:t>,</w:t>
      </w:r>
      <w:r w:rsidR="00B2691A">
        <w:t xml:space="preserve"> be answered</w:t>
      </w:r>
      <w:r w:rsidR="004A7960">
        <w:t xml:space="preserve">. Further, for the reasons explained below, </w:t>
      </w:r>
      <w:r w:rsidR="00B2691A">
        <w:t xml:space="preserve">the answer </w:t>
      </w:r>
      <w:r w:rsidR="0077028D">
        <w:t xml:space="preserve">to the </w:t>
      </w:r>
      <w:r w:rsidR="00C13660">
        <w:t xml:space="preserve">Reserved Question </w:t>
      </w:r>
      <w:r w:rsidR="0077028D">
        <w:t>is</w:t>
      </w:r>
      <w:r w:rsidR="00B2691A">
        <w:t xml:space="preserve"> that there is statutory power to make a Settlement CFO in th</w:t>
      </w:r>
      <w:r w:rsidR="004A7960">
        <w:t>e Class Action</w:t>
      </w:r>
      <w:r w:rsidR="00B2691A">
        <w:t xml:space="preserve"> </w:t>
      </w:r>
      <w:r w:rsidR="008F48FF">
        <w:t>(</w:t>
      </w:r>
      <w:r w:rsidR="00B2691A">
        <w:t xml:space="preserve">provided the </w:t>
      </w:r>
      <w:r w:rsidR="008F48FF">
        <w:t>Court is satisfied</w:t>
      </w:r>
      <w:r w:rsidR="0077028D">
        <w:t>,</w:t>
      </w:r>
      <w:r w:rsidR="008F48FF">
        <w:t xml:space="preserve"> </w:t>
      </w:r>
      <w:r w:rsidR="0077028D">
        <w:t xml:space="preserve">at the time of settlement, that </w:t>
      </w:r>
      <w:r w:rsidR="008F48FF">
        <w:t xml:space="preserve">the </w:t>
      </w:r>
      <w:r w:rsidR="00B2691A">
        <w:t xml:space="preserve">order </w:t>
      </w:r>
      <w:r w:rsidR="008F48FF">
        <w:t xml:space="preserve">would </w:t>
      </w:r>
      <w:r w:rsidR="00B2691A">
        <w:t>be “just”</w:t>
      </w:r>
      <w:r w:rsidR="008F48FF">
        <w:t>)</w:t>
      </w:r>
      <w:r w:rsidR="00B2691A">
        <w:t>.</w:t>
      </w:r>
    </w:p>
    <w:p w14:paraId="5DE8815C" w14:textId="2D15E799" w:rsidR="00052D6B" w:rsidRDefault="0071710E" w:rsidP="0071710E">
      <w:pPr>
        <w:pStyle w:val="ParaNumbering"/>
        <w:numPr>
          <w:ilvl w:val="0"/>
          <w:numId w:val="0"/>
        </w:numPr>
        <w:tabs>
          <w:tab w:val="left" w:pos="720"/>
        </w:tabs>
        <w:ind w:hanging="720"/>
      </w:pPr>
      <w:r>
        <w:rPr>
          <w:sz w:val="20"/>
        </w:rPr>
        <w:t>340</w:t>
      </w:r>
      <w:r>
        <w:rPr>
          <w:sz w:val="20"/>
        </w:rPr>
        <w:tab/>
      </w:r>
      <w:r w:rsidR="00D07165">
        <w:t>Before going on</w:t>
      </w:r>
      <w:r w:rsidR="005B3B34">
        <w:t>,</w:t>
      </w:r>
      <w:r w:rsidR="00D07165">
        <w:t xml:space="preserve"> it </w:t>
      </w:r>
      <w:r w:rsidR="00156AC5">
        <w:t xml:space="preserve">is appropriate </w:t>
      </w:r>
      <w:r w:rsidR="00D07165">
        <w:t>to make a preliminary</w:t>
      </w:r>
      <w:r w:rsidR="005B3B34">
        <w:t xml:space="preserve"> point:</w:t>
      </w:r>
      <w:r w:rsidR="00D07165">
        <w:t xml:space="preserve"> </w:t>
      </w:r>
      <w:r w:rsidR="005B3B34">
        <w:t>t</w:t>
      </w:r>
      <w:r w:rsidR="00D07165">
        <w:t xml:space="preserve">here are </w:t>
      </w:r>
      <w:r w:rsidR="005B3B34">
        <w:t xml:space="preserve">not only </w:t>
      </w:r>
      <w:r w:rsidR="00D07165" w:rsidRPr="00D07165">
        <w:t xml:space="preserve">differences between </w:t>
      </w:r>
      <w:r w:rsidR="005B3B34">
        <w:t>orders commonly described as CFOs</w:t>
      </w:r>
      <w:r w:rsidR="00D07165" w:rsidRPr="00D07165">
        <w:t xml:space="preserve"> and </w:t>
      </w:r>
      <w:r w:rsidR="005B3B34">
        <w:t xml:space="preserve">those commonly described as </w:t>
      </w:r>
      <w:r w:rsidR="00D07165" w:rsidRPr="00D07165">
        <w:t>funding equalisation orders</w:t>
      </w:r>
      <w:r w:rsidR="003674B0">
        <w:t xml:space="preserve"> (</w:t>
      </w:r>
      <w:r w:rsidR="003674B0">
        <w:rPr>
          <w:b/>
          <w:bCs/>
        </w:rPr>
        <w:t>FEOs</w:t>
      </w:r>
      <w:r w:rsidR="003674B0">
        <w:t>)</w:t>
      </w:r>
      <w:r w:rsidR="005B3B34">
        <w:t xml:space="preserve">; and there are </w:t>
      </w:r>
      <w:r w:rsidR="006F563F">
        <w:t xml:space="preserve">also </w:t>
      </w:r>
      <w:r w:rsidR="005B3B34">
        <w:t xml:space="preserve">differences </w:t>
      </w:r>
      <w:r w:rsidR="006F563F">
        <w:t xml:space="preserve">between </w:t>
      </w:r>
      <w:r w:rsidR="005B3B34">
        <w:t xml:space="preserve">types of orders </w:t>
      </w:r>
      <w:r w:rsidR="00156AC5">
        <w:t xml:space="preserve">that can be described as CFOs. </w:t>
      </w:r>
      <w:r w:rsidR="005B3B34">
        <w:t>The differing</w:t>
      </w:r>
      <w:r w:rsidR="00D07165" w:rsidRPr="00D07165">
        <w:t xml:space="preserve"> terminology used to describe different types of orders </w:t>
      </w:r>
      <w:r w:rsidR="005B3B34">
        <w:t xml:space="preserve">can </w:t>
      </w:r>
      <w:r w:rsidR="006F563F">
        <w:t>be</w:t>
      </w:r>
      <w:r w:rsidR="005B3B34">
        <w:t xml:space="preserve"> obscure</w:t>
      </w:r>
      <w:r w:rsidR="006B4AD0">
        <w:t xml:space="preserve">: </w:t>
      </w:r>
      <w:r w:rsidR="00D07165" w:rsidRPr="00D07165">
        <w:t>see </w:t>
      </w:r>
      <w:r w:rsidR="00D07165" w:rsidRPr="005B3B34">
        <w:rPr>
          <w:i/>
        </w:rPr>
        <w:t>Davaria Pty Ltd v 7-Eleven Stores Pty Ltd</w:t>
      </w:r>
      <w:r w:rsidR="00D07165" w:rsidRPr="00D07165">
        <w:t> [2020] FCAFC 183; (2020) 281 FCR 501 </w:t>
      </w:r>
      <w:r w:rsidR="005B3B34">
        <w:t>(</w:t>
      </w:r>
      <w:r w:rsidR="00D07165" w:rsidRPr="00D07165">
        <w:t xml:space="preserve">at </w:t>
      </w:r>
      <w:r w:rsidR="00CA15A9">
        <w:t xml:space="preserve">503–504 </w:t>
      </w:r>
      <w:r w:rsidR="00D07165" w:rsidRPr="00D07165">
        <w:t>[8]</w:t>
      </w:r>
      <w:r w:rsidR="00C677ED">
        <w:t xml:space="preserve"> per Lee J, with whom Middleton and Moshinsky JJ agreed</w:t>
      </w:r>
      <w:r w:rsidR="00D07165" w:rsidRPr="00D07165">
        <w:t>)</w:t>
      </w:r>
      <w:r w:rsidR="005B3B34">
        <w:t xml:space="preserve">; </w:t>
      </w:r>
      <w:r w:rsidR="005B3B34" w:rsidRPr="005B3B34">
        <w:rPr>
          <w:i/>
        </w:rPr>
        <w:t>Augusta Pool 1 UK Ltd v Williamson</w:t>
      </w:r>
      <w:r w:rsidR="005B3B34" w:rsidRPr="005B3B34">
        <w:t xml:space="preserve"> [2023] NSWCA 93</w:t>
      </w:r>
      <w:r w:rsidR="005B3B34">
        <w:t xml:space="preserve"> (at [120]</w:t>
      </w:r>
      <w:r w:rsidR="00C159B6">
        <w:t xml:space="preserve"> per Ward P, with whom Bell CJ and Adamson JA agreed</w:t>
      </w:r>
      <w:r w:rsidR="005B3B34">
        <w:t>). But here specificity is provided by the terms of the Reserved Question</w:t>
      </w:r>
      <w:r w:rsidR="00DF0F13">
        <w:t xml:space="preserve">; what is relevant is </w:t>
      </w:r>
      <w:r w:rsidR="006F563F">
        <w:t>a “Settlement CFO” as defined</w:t>
      </w:r>
      <w:r w:rsidR="00156AC5">
        <w:t>.</w:t>
      </w:r>
    </w:p>
    <w:p w14:paraId="3BB79E75" w14:textId="25C23B3C" w:rsidR="004B2C08" w:rsidRPr="008F48FF" w:rsidRDefault="0071710E" w:rsidP="00C71C4A">
      <w:pPr>
        <w:pStyle w:val="Heading1"/>
      </w:pPr>
      <w:r>
        <w:rPr>
          <w:caps w:val="0"/>
        </w:rPr>
        <w:t>B</w:t>
      </w:r>
      <w:r w:rsidRPr="00B2691A">
        <w:rPr>
          <w:caps w:val="0"/>
        </w:rPr>
        <w:tab/>
        <w:t>CAN A CLASS ACTION SEEK PT 4-1 DIV</w:t>
      </w:r>
      <w:r w:rsidRPr="00B2691A">
        <w:rPr>
          <w:caps w:val="0"/>
          <w:spacing w:val="-1"/>
        </w:rPr>
        <w:t xml:space="preserve"> </w:t>
      </w:r>
      <w:r>
        <w:rPr>
          <w:caps w:val="0"/>
        </w:rPr>
        <w:t>2</w:t>
      </w:r>
      <w:r w:rsidRPr="00B2691A">
        <w:rPr>
          <w:caps w:val="0"/>
          <w:spacing w:val="-1"/>
        </w:rPr>
        <w:t xml:space="preserve"> </w:t>
      </w:r>
      <w:r w:rsidRPr="00B2691A">
        <w:rPr>
          <w:caps w:val="0"/>
        </w:rPr>
        <w:t xml:space="preserve">ORDERS? </w:t>
      </w:r>
    </w:p>
    <w:p w14:paraId="4C6F6A6B" w14:textId="3847946D" w:rsidR="003F7514" w:rsidRPr="00C71C4A" w:rsidRDefault="0071710E" w:rsidP="0071710E">
      <w:pPr>
        <w:pStyle w:val="ParaNumbering"/>
        <w:numPr>
          <w:ilvl w:val="0"/>
          <w:numId w:val="0"/>
        </w:numPr>
        <w:tabs>
          <w:tab w:val="left" w:pos="720"/>
        </w:tabs>
        <w:ind w:hanging="720"/>
      </w:pPr>
      <w:r w:rsidRPr="00C71C4A">
        <w:rPr>
          <w:sz w:val="20"/>
        </w:rPr>
        <w:t>341</w:t>
      </w:r>
      <w:r w:rsidRPr="00C71C4A">
        <w:rPr>
          <w:sz w:val="20"/>
        </w:rPr>
        <w:tab/>
      </w:r>
      <w:r w:rsidR="001A0B59" w:rsidRPr="00C71C4A">
        <w:t>The argument of the SDA did not lack ambition. If correct</w:t>
      </w:r>
      <w:r w:rsidR="003F7514" w:rsidRPr="00C71C4A">
        <w:t>,</w:t>
      </w:r>
      <w:r w:rsidR="001A0B59" w:rsidRPr="00C71C4A">
        <w:t xml:space="preserve"> it would displace </w:t>
      </w:r>
      <w:r w:rsidR="0077028D" w:rsidRPr="00C71C4A">
        <w:t xml:space="preserve">a </w:t>
      </w:r>
      <w:r w:rsidR="003F7514" w:rsidRPr="00C71C4A">
        <w:t>well-entrenched</w:t>
      </w:r>
      <w:r w:rsidR="001A0B59" w:rsidRPr="00C71C4A">
        <w:t xml:space="preserve"> understanding of the compatibility of the FW Act with </w:t>
      </w:r>
      <w:r w:rsidR="00F321D0">
        <w:t>Pt</w:t>
      </w:r>
      <w:r w:rsidR="001A0B59" w:rsidRPr="00C71C4A">
        <w:t xml:space="preserve"> IVA of the FCA Act.</w:t>
      </w:r>
      <w:r w:rsidR="00601D13" w:rsidRPr="00C71C4A">
        <w:t xml:space="preserve"> </w:t>
      </w:r>
      <w:r w:rsidR="00D07165">
        <w:t xml:space="preserve"> </w:t>
      </w:r>
      <w:r w:rsidR="0077028D" w:rsidRPr="00C71C4A">
        <w:t xml:space="preserve">The submission </w:t>
      </w:r>
      <w:r w:rsidR="003F7514" w:rsidRPr="00C71C4A">
        <w:t>was developed a</w:t>
      </w:r>
      <w:r w:rsidR="00CD61F7">
        <w:t>s</w:t>
      </w:r>
      <w:r w:rsidR="003F7514" w:rsidRPr="00C71C4A">
        <w:t xml:space="preserve"> follows.</w:t>
      </w:r>
    </w:p>
    <w:p w14:paraId="6952569F" w14:textId="6DED00E0" w:rsidR="00605BD5" w:rsidRPr="00C71C4A" w:rsidRDefault="0071710E" w:rsidP="0071710E">
      <w:pPr>
        <w:pStyle w:val="ParaNumbering"/>
        <w:numPr>
          <w:ilvl w:val="0"/>
          <w:numId w:val="0"/>
        </w:numPr>
        <w:tabs>
          <w:tab w:val="left" w:pos="720"/>
        </w:tabs>
        <w:ind w:hanging="720"/>
      </w:pPr>
      <w:r w:rsidRPr="00C71C4A">
        <w:rPr>
          <w:sz w:val="20"/>
        </w:rPr>
        <w:t>342</w:t>
      </w:r>
      <w:r w:rsidRPr="00C71C4A">
        <w:rPr>
          <w:sz w:val="20"/>
        </w:rPr>
        <w:tab/>
      </w:r>
      <w:r w:rsidR="00605BD5" w:rsidRPr="00C71C4A">
        <w:t xml:space="preserve">Sections 539 and 540 of the FW Act were enacted in 2009 as part of major reforms </w:t>
      </w:r>
      <w:r w:rsidR="004412A2" w:rsidRPr="00C71C4A">
        <w:t xml:space="preserve">to standing </w:t>
      </w:r>
      <w:r w:rsidR="00605BD5" w:rsidRPr="00C71C4A">
        <w:t>and confer</w:t>
      </w:r>
      <w:r w:rsidR="004412A2" w:rsidRPr="00C71C4A">
        <w:t>red</w:t>
      </w:r>
      <w:r w:rsidR="00605BD5" w:rsidRPr="00C71C4A">
        <w:t xml:space="preserve"> rights on employees, groups of employees acting for others, and organisations to apply for orders in relation to a contravention of a civil remedy provision</w:t>
      </w:r>
      <w:r w:rsidR="004412A2" w:rsidRPr="00C71C4A">
        <w:t xml:space="preserve"> </w:t>
      </w:r>
      <w:r w:rsidR="00CC12EC" w:rsidRPr="00D916B0">
        <w:rPr>
          <w:color w:val="000000"/>
          <w:sz w:val="26"/>
          <w:szCs w:val="26"/>
          <w:shd w:val="clear" w:color="auto" w:fill="FFFFFF"/>
        </w:rPr>
        <w:t>–</w:t>
      </w:r>
      <w:r w:rsidR="004412A2" w:rsidRPr="00C71C4A">
        <w:t xml:space="preserve"> but</w:t>
      </w:r>
      <w:r w:rsidR="00605BD5" w:rsidRPr="00C71C4A">
        <w:t xml:space="preserve"> “only if” certain conditions are met. </w:t>
      </w:r>
      <w:r w:rsidR="00601D13" w:rsidRPr="00C71C4A">
        <w:t xml:space="preserve"> </w:t>
      </w:r>
    </w:p>
    <w:p w14:paraId="16D2041B" w14:textId="6DEE66DC" w:rsidR="009B4371" w:rsidRPr="00C71C4A" w:rsidRDefault="0071710E" w:rsidP="0071710E">
      <w:pPr>
        <w:pStyle w:val="ParaNumbering"/>
        <w:numPr>
          <w:ilvl w:val="0"/>
          <w:numId w:val="0"/>
        </w:numPr>
        <w:tabs>
          <w:tab w:val="left" w:pos="720"/>
        </w:tabs>
        <w:ind w:hanging="720"/>
      </w:pPr>
      <w:r w:rsidRPr="00C71C4A">
        <w:rPr>
          <w:sz w:val="20"/>
        </w:rPr>
        <w:t>343</w:t>
      </w:r>
      <w:r w:rsidRPr="00C71C4A">
        <w:rPr>
          <w:sz w:val="20"/>
        </w:rPr>
        <w:tab/>
      </w:r>
      <w:r w:rsidR="00605BD5" w:rsidRPr="00C71C4A">
        <w:t xml:space="preserve">The orders sought in the </w:t>
      </w:r>
      <w:r w:rsidR="00601D13" w:rsidRPr="00C71C4A">
        <w:t>C</w:t>
      </w:r>
      <w:r w:rsidR="00605BD5" w:rsidRPr="00C71C4A">
        <w:t xml:space="preserve">lass </w:t>
      </w:r>
      <w:r w:rsidR="00601D13" w:rsidRPr="00C71C4A">
        <w:t>A</w:t>
      </w:r>
      <w:r w:rsidR="00605BD5" w:rsidRPr="00C71C4A">
        <w:t xml:space="preserve">ction for group members </w:t>
      </w:r>
      <w:r w:rsidR="004412A2" w:rsidRPr="00C71C4A">
        <w:t xml:space="preserve">against </w:t>
      </w:r>
      <w:r w:rsidR="00CD61F7">
        <w:t>MAL</w:t>
      </w:r>
      <w:r w:rsidR="004412A2" w:rsidRPr="00C71C4A">
        <w:t xml:space="preserve"> </w:t>
      </w:r>
      <w:r w:rsidR="00605BD5" w:rsidRPr="00C71C4A">
        <w:t xml:space="preserve">are orders under </w:t>
      </w:r>
      <w:r w:rsidR="00F321D0">
        <w:t>Pt</w:t>
      </w:r>
      <w:r w:rsidR="006B18DB">
        <w:t xml:space="preserve"> 4-</w:t>
      </w:r>
      <w:r w:rsidR="00605BD5" w:rsidRPr="00C71C4A">
        <w:t xml:space="preserve">1 </w:t>
      </w:r>
      <w:r w:rsidR="00F321D0">
        <w:t>Div</w:t>
      </w:r>
      <w:r w:rsidR="008C5663">
        <w:t xml:space="preserve"> 2</w:t>
      </w:r>
      <w:r w:rsidR="00605BD5" w:rsidRPr="00C71C4A">
        <w:t xml:space="preserve"> </w:t>
      </w:r>
      <w:r w:rsidR="006A7A62">
        <w:t xml:space="preserve">of the FW Act </w:t>
      </w:r>
      <w:r w:rsidR="00605BD5" w:rsidRPr="00C71C4A">
        <w:t>and are</w:t>
      </w:r>
      <w:r w:rsidR="00601D13" w:rsidRPr="00C71C4A">
        <w:t>,</w:t>
      </w:r>
      <w:r w:rsidR="00605BD5" w:rsidRPr="00C71C4A">
        <w:t xml:space="preserve"> in the words of </w:t>
      </w:r>
      <w:r w:rsidR="00F321D0">
        <w:t>s</w:t>
      </w:r>
      <w:r w:rsidR="00605BD5" w:rsidRPr="00C71C4A">
        <w:t xml:space="preserve"> 539(2), “in relation to a contravention” of </w:t>
      </w:r>
      <w:r w:rsidR="006A7A62">
        <w:t xml:space="preserve">the </w:t>
      </w:r>
      <w:r w:rsidR="00605BD5" w:rsidRPr="00C71C4A">
        <w:t xml:space="preserve">civil </w:t>
      </w:r>
      <w:r w:rsidR="001552B1">
        <w:t>remed</w:t>
      </w:r>
      <w:r w:rsidR="00605BD5" w:rsidRPr="00C71C4A">
        <w:t>y provisions</w:t>
      </w:r>
      <w:r w:rsidR="006A7A62">
        <w:t xml:space="preserve"> in Pt 4-1</w:t>
      </w:r>
      <w:r w:rsidR="00605BD5" w:rsidRPr="00C71C4A">
        <w:t xml:space="preserve">. </w:t>
      </w:r>
      <w:r w:rsidR="004412A2" w:rsidRPr="00C71C4A">
        <w:t xml:space="preserve">The post-2009 </w:t>
      </w:r>
      <w:r w:rsidR="00605BD5" w:rsidRPr="00C71C4A">
        <w:t>scheme in s</w:t>
      </w:r>
      <w:r w:rsidR="00866490">
        <w:t>s</w:t>
      </w:r>
      <w:r w:rsidR="00605BD5" w:rsidRPr="00C71C4A">
        <w:t xml:space="preserve"> 539 and 540 </w:t>
      </w:r>
      <w:r w:rsidR="00605BD5" w:rsidRPr="00923377">
        <w:t>“elaborately and exhaustively”</w:t>
      </w:r>
      <w:r w:rsidR="00605BD5" w:rsidRPr="00C71C4A">
        <w:t xml:space="preserve"> define</w:t>
      </w:r>
      <w:r w:rsidR="006B18DB">
        <w:t>s</w:t>
      </w:r>
      <w:r w:rsidR="00605BD5" w:rsidRPr="00C71C4A">
        <w:t xml:space="preserve"> who can make applications for orders in relation to contraventions, </w:t>
      </w:r>
      <w:r w:rsidR="00601D13" w:rsidRPr="00C71C4A">
        <w:t>and</w:t>
      </w:r>
      <w:r w:rsidR="00605BD5" w:rsidRPr="00C71C4A">
        <w:t xml:space="preserve"> </w:t>
      </w:r>
      <w:r w:rsidR="004412A2" w:rsidRPr="00C71C4A">
        <w:t xml:space="preserve">the evident statutory intention </w:t>
      </w:r>
      <w:r w:rsidR="00CD61F7">
        <w:t xml:space="preserve">is that s 540 </w:t>
      </w:r>
      <w:r w:rsidR="004412A2" w:rsidRPr="00C71C4A">
        <w:t>circumscribe</w:t>
      </w:r>
      <w:r w:rsidR="004D030E">
        <w:t>s</w:t>
      </w:r>
      <w:r w:rsidR="004412A2" w:rsidRPr="00C71C4A">
        <w:t xml:space="preserve"> the</w:t>
      </w:r>
      <w:r w:rsidR="00605BD5" w:rsidRPr="00C71C4A">
        <w:t xml:space="preserve"> standing of </w:t>
      </w:r>
      <w:r w:rsidR="004412A2" w:rsidRPr="00C71C4A">
        <w:t>persons (</w:t>
      </w:r>
      <w:r w:rsidR="009B4371" w:rsidRPr="00C71C4A">
        <w:t xml:space="preserve">being </w:t>
      </w:r>
      <w:r w:rsidR="00605BD5" w:rsidRPr="00C71C4A">
        <w:t>employees, groups of employees</w:t>
      </w:r>
      <w:r w:rsidR="008F5AAE">
        <w:t>,</w:t>
      </w:r>
      <w:r w:rsidR="00605BD5" w:rsidRPr="00C71C4A">
        <w:t xml:space="preserve"> and organisations</w:t>
      </w:r>
      <w:r w:rsidR="004412A2" w:rsidRPr="00C71C4A">
        <w:t>) who</w:t>
      </w:r>
      <w:r w:rsidR="00605BD5" w:rsidRPr="00C71C4A">
        <w:t xml:space="preserve"> </w:t>
      </w:r>
      <w:r w:rsidR="00CD61F7">
        <w:t>can</w:t>
      </w:r>
      <w:r w:rsidR="00605BD5" w:rsidRPr="00C71C4A">
        <w:t xml:space="preserve"> apply for </w:t>
      </w:r>
      <w:r w:rsidR="00AE1235">
        <w:t>Pt 4-</w:t>
      </w:r>
      <w:r w:rsidR="00AE1235" w:rsidRPr="00C71C4A">
        <w:t xml:space="preserve">1 </w:t>
      </w:r>
      <w:r w:rsidR="00AE1235">
        <w:t>Div</w:t>
      </w:r>
      <w:r w:rsidR="009814CF">
        <w:t xml:space="preserve"> 2</w:t>
      </w:r>
      <w:r w:rsidR="00605BD5" w:rsidRPr="00C71C4A">
        <w:t xml:space="preserve"> orders. Th</w:t>
      </w:r>
      <w:r w:rsidR="009B4371" w:rsidRPr="00C71C4A">
        <w:t xml:space="preserve">is </w:t>
      </w:r>
      <w:r w:rsidR="00A05EB6" w:rsidRPr="00C71C4A">
        <w:t>is</w:t>
      </w:r>
      <w:r w:rsidR="009B4371" w:rsidRPr="00C71C4A">
        <w:t xml:space="preserve"> reflected in the fact that th</w:t>
      </w:r>
      <w:r w:rsidR="00605BD5" w:rsidRPr="00C71C4A">
        <w:t xml:space="preserve">e substantive right to apply for relief is conferred by s 539, </w:t>
      </w:r>
      <w:r w:rsidR="009B4371" w:rsidRPr="00C71C4A">
        <w:t xml:space="preserve">but is </w:t>
      </w:r>
      <w:r w:rsidR="00605BD5" w:rsidRPr="00C71C4A">
        <w:t>subject to s 540</w:t>
      </w:r>
      <w:r w:rsidR="009B4371" w:rsidRPr="00C71C4A">
        <w:t xml:space="preserve"> which is </w:t>
      </w:r>
      <w:r w:rsidR="00605BD5" w:rsidRPr="00C71C4A">
        <w:t>entitled “</w:t>
      </w:r>
      <w:r w:rsidR="00A9224D">
        <w:t>L</w:t>
      </w:r>
      <w:r w:rsidR="00605BD5" w:rsidRPr="00C71C4A">
        <w:t xml:space="preserve">imitations on who may apply for orders etc.” </w:t>
      </w:r>
    </w:p>
    <w:p w14:paraId="11F43A55" w14:textId="4843D926" w:rsidR="00601D13" w:rsidRPr="00C71C4A" w:rsidRDefault="0071710E" w:rsidP="0071710E">
      <w:pPr>
        <w:pStyle w:val="ParaNumbering"/>
        <w:numPr>
          <w:ilvl w:val="0"/>
          <w:numId w:val="0"/>
        </w:numPr>
        <w:tabs>
          <w:tab w:val="left" w:pos="720"/>
        </w:tabs>
        <w:ind w:hanging="720"/>
      </w:pPr>
      <w:r w:rsidRPr="00C71C4A">
        <w:rPr>
          <w:sz w:val="20"/>
        </w:rPr>
        <w:t>344</w:t>
      </w:r>
      <w:r w:rsidRPr="00C71C4A">
        <w:rPr>
          <w:sz w:val="20"/>
        </w:rPr>
        <w:tab/>
      </w:r>
      <w:r w:rsidR="00CD61F7">
        <w:t xml:space="preserve">To further this </w:t>
      </w:r>
      <w:r w:rsidR="00605BD5" w:rsidRPr="00C71C4A">
        <w:t>intent</w:t>
      </w:r>
      <w:r w:rsidR="00A05EB6" w:rsidRPr="00C71C4A">
        <w:t>ion</w:t>
      </w:r>
      <w:r w:rsidR="00CD61F7">
        <w:t>,</w:t>
      </w:r>
      <w:r w:rsidR="00A05EB6" w:rsidRPr="00C71C4A">
        <w:t xml:space="preserve"> </w:t>
      </w:r>
      <w:r w:rsidR="00605BD5" w:rsidRPr="00C71C4A">
        <w:t xml:space="preserve">employee </w:t>
      </w:r>
      <w:r w:rsidR="00CD61F7">
        <w:t>A could only</w:t>
      </w:r>
      <w:r w:rsidR="00605BD5" w:rsidRPr="00C71C4A">
        <w:t xml:space="preserve"> apply for an order in relation to the </w:t>
      </w:r>
      <w:proofErr w:type="gramStart"/>
      <w:r w:rsidR="00605BD5" w:rsidRPr="00C71C4A">
        <w:t>particular contrav</w:t>
      </w:r>
      <w:r w:rsidR="00CD61F7">
        <w:t>ention</w:t>
      </w:r>
      <w:proofErr w:type="gramEnd"/>
      <w:r w:rsidR="00CD61F7">
        <w:t xml:space="preserve"> that affected </w:t>
      </w:r>
      <w:r w:rsidR="00605BD5" w:rsidRPr="00C71C4A">
        <w:t>employee</w:t>
      </w:r>
      <w:r w:rsidR="00CD61F7">
        <w:t xml:space="preserve"> </w:t>
      </w:r>
      <w:r w:rsidR="002D6D41">
        <w:t>A</w:t>
      </w:r>
      <w:r w:rsidR="002D6D41" w:rsidRPr="00C71C4A">
        <w:t xml:space="preserve"> and</w:t>
      </w:r>
      <w:r w:rsidR="00605BD5" w:rsidRPr="00C71C4A">
        <w:t xml:space="preserve"> </w:t>
      </w:r>
      <w:r w:rsidR="00605BD5" w:rsidRPr="00F13344">
        <w:t>not in relation to contraventions that only affect</w:t>
      </w:r>
      <w:r w:rsidR="00CD61F7" w:rsidRPr="00F13344">
        <w:t>ed</w:t>
      </w:r>
      <w:r w:rsidR="00605BD5" w:rsidRPr="00F13344">
        <w:t xml:space="preserve"> other employees</w:t>
      </w:r>
      <w:r w:rsidR="00605BD5" w:rsidRPr="00C71C4A">
        <w:t xml:space="preserve">. </w:t>
      </w:r>
      <w:r w:rsidR="00CD61F7">
        <w:t>Further, a</w:t>
      </w:r>
      <w:r w:rsidR="00605BD5" w:rsidRPr="00C71C4A">
        <w:t xml:space="preserve">n employee who has a right under ss 539 and 540 to seek orders against an employer would not have a right to seek orders against the employer for or on behalf of employees who were not employed by that employer. </w:t>
      </w:r>
    </w:p>
    <w:p w14:paraId="616E7D08" w14:textId="20ED3CD7" w:rsidR="00605BD5" w:rsidRPr="00C71C4A" w:rsidRDefault="0071710E" w:rsidP="0071710E">
      <w:pPr>
        <w:pStyle w:val="ParaNumbering"/>
        <w:numPr>
          <w:ilvl w:val="0"/>
          <w:numId w:val="0"/>
        </w:numPr>
        <w:tabs>
          <w:tab w:val="left" w:pos="720"/>
        </w:tabs>
        <w:ind w:hanging="720"/>
      </w:pPr>
      <w:r w:rsidRPr="00C71C4A">
        <w:rPr>
          <w:sz w:val="20"/>
        </w:rPr>
        <w:t>345</w:t>
      </w:r>
      <w:r w:rsidRPr="00C71C4A">
        <w:rPr>
          <w:sz w:val="20"/>
        </w:rPr>
        <w:tab/>
      </w:r>
      <w:r w:rsidR="00A05EB6" w:rsidRPr="00C71C4A">
        <w:t>T</w:t>
      </w:r>
      <w:r w:rsidR="00605BD5" w:rsidRPr="00C71C4A">
        <w:t>he 2009 reform</w:t>
      </w:r>
      <w:r w:rsidR="00601D13" w:rsidRPr="00C71C4A">
        <w:t xml:space="preserve">s </w:t>
      </w:r>
      <w:r w:rsidR="00605BD5" w:rsidRPr="00C71C4A">
        <w:t>creat</w:t>
      </w:r>
      <w:r w:rsidR="00601D13" w:rsidRPr="00C71C4A">
        <w:t>e</w:t>
      </w:r>
      <w:r w:rsidR="00A05EB6" w:rsidRPr="00C71C4A">
        <w:t>d</w:t>
      </w:r>
      <w:r w:rsidR="00605BD5" w:rsidRPr="00C71C4A">
        <w:t xml:space="preserve"> a new form of representative action and conferred standing, for the first time, on an informal association consisting of</w:t>
      </w:r>
      <w:r w:rsidR="00C6146F">
        <w:t xml:space="preserve"> a</w:t>
      </w:r>
      <w:r w:rsidR="00605BD5" w:rsidRPr="00C71C4A">
        <w:t xml:space="preserve"> group of employees </w:t>
      </w:r>
      <w:r w:rsidR="00C6146F">
        <w:t>who may</w:t>
      </w:r>
      <w:r w:rsidR="00605BD5" w:rsidRPr="00C71C4A">
        <w:t xml:space="preserve"> apply for relief for </w:t>
      </w:r>
      <w:r w:rsidR="00052D6B">
        <w:t>some contraventions: ss 539 and</w:t>
      </w:r>
      <w:r w:rsidR="00605BD5" w:rsidRPr="00C71C4A">
        <w:t xml:space="preserve"> 540(6). This ref</w:t>
      </w:r>
      <w:r w:rsidR="00605BD5" w:rsidRPr="0026375C">
        <w:t xml:space="preserve">orm was significant in creating a representative scheme available to </w:t>
      </w:r>
      <w:r w:rsidR="00E825E7" w:rsidRPr="0026375C">
        <w:t xml:space="preserve">union </w:t>
      </w:r>
      <w:r w:rsidR="00605BD5" w:rsidRPr="0026375C">
        <w:t xml:space="preserve">members and non-union members unique to the FW Act. The </w:t>
      </w:r>
      <w:r w:rsidR="00A05EB6" w:rsidRPr="0026375C">
        <w:t>reform</w:t>
      </w:r>
      <w:r w:rsidR="00605BD5" w:rsidRPr="0026375C">
        <w:t xml:space="preserve"> evinces a concern to control the </w:t>
      </w:r>
      <w:r w:rsidR="00CD61F7" w:rsidRPr="0026375C">
        <w:t>identity</w:t>
      </w:r>
      <w:r w:rsidR="00605BD5" w:rsidRPr="0026375C">
        <w:t xml:space="preserve"> of </w:t>
      </w:r>
      <w:r w:rsidR="00605BD5" w:rsidRPr="00C71C4A">
        <w:t>applicants</w:t>
      </w:r>
      <w:r w:rsidR="00601D13" w:rsidRPr="00C71C4A">
        <w:t>,</w:t>
      </w:r>
      <w:r w:rsidR="00605BD5" w:rsidRPr="00C71C4A">
        <w:t xml:space="preserve"> including that those who take re</w:t>
      </w:r>
      <w:r w:rsidR="00C07528">
        <w:t>presentative enforcement action</w:t>
      </w:r>
      <w:r w:rsidR="00605BD5" w:rsidRPr="00C71C4A">
        <w:t xml:space="preserve"> should be limited to groups of employees formed for protective purposes. </w:t>
      </w:r>
    </w:p>
    <w:p w14:paraId="66BF97E9" w14:textId="06951903" w:rsidR="00A05EB6" w:rsidRPr="00C71C4A" w:rsidRDefault="0071710E" w:rsidP="0071710E">
      <w:pPr>
        <w:pStyle w:val="ParaNumbering"/>
        <w:numPr>
          <w:ilvl w:val="0"/>
          <w:numId w:val="0"/>
        </w:numPr>
        <w:tabs>
          <w:tab w:val="left" w:pos="720"/>
        </w:tabs>
        <w:ind w:hanging="720"/>
      </w:pPr>
      <w:r w:rsidRPr="00C71C4A">
        <w:rPr>
          <w:sz w:val="20"/>
        </w:rPr>
        <w:t>346</w:t>
      </w:r>
      <w:r w:rsidRPr="00C71C4A">
        <w:rPr>
          <w:sz w:val="20"/>
        </w:rPr>
        <w:tab/>
      </w:r>
      <w:r w:rsidR="0046710E">
        <w:t>The SDA submitted</w:t>
      </w:r>
      <w:r w:rsidR="00E17495">
        <w:t xml:space="preserve"> that i</w:t>
      </w:r>
      <w:r w:rsidR="006E07A7">
        <w:t xml:space="preserve">f the broad </w:t>
      </w:r>
      <w:r w:rsidR="00A05EB6" w:rsidRPr="00C71C4A">
        <w:t xml:space="preserve">standing provision contained in s 33D of the FCA Act is not regarded as having been impliedly repealed </w:t>
      </w:r>
      <w:r w:rsidR="006E07A7">
        <w:t xml:space="preserve">in part </w:t>
      </w:r>
      <w:r w:rsidR="00A05EB6" w:rsidRPr="00C71C4A">
        <w:t>upon enactment of the 2009</w:t>
      </w:r>
      <w:r w:rsidR="002C2A77" w:rsidRPr="00C71C4A">
        <w:t xml:space="preserve"> scheme</w:t>
      </w:r>
      <w:r w:rsidR="00A05EB6" w:rsidRPr="00C71C4A">
        <w:t>, t</w:t>
      </w:r>
      <w:r w:rsidR="002C2A77" w:rsidRPr="00C71C4A">
        <w:t xml:space="preserve">he consequence would be to permit any </w:t>
      </w:r>
      <w:r w:rsidR="00A05EB6" w:rsidRPr="00C71C4A">
        <w:t>emplo</w:t>
      </w:r>
      <w:r w:rsidR="002C2A77" w:rsidRPr="00C71C4A">
        <w:t>yee</w:t>
      </w:r>
      <w:r w:rsidR="00A05EB6" w:rsidRPr="00C71C4A">
        <w:t xml:space="preserve"> and others to apply for an order under </w:t>
      </w:r>
      <w:r w:rsidR="00666A18">
        <w:t xml:space="preserve">Pt 4-1 </w:t>
      </w:r>
      <w:r w:rsidR="006E07A7">
        <w:t>Div</w:t>
      </w:r>
      <w:r w:rsidR="00A05EB6" w:rsidRPr="00C71C4A">
        <w:t xml:space="preserve"> </w:t>
      </w:r>
      <w:r w:rsidR="0033634E">
        <w:t>2</w:t>
      </w:r>
      <w:r w:rsidR="006E07A7">
        <w:t>,</w:t>
      </w:r>
      <w:r w:rsidR="00A05EB6" w:rsidRPr="00C71C4A">
        <w:t xml:space="preserve"> notwithstanding the express limits imposed by s 540</w:t>
      </w:r>
      <w:r w:rsidR="002C2A77" w:rsidRPr="00C71C4A">
        <w:t xml:space="preserve"> of the FW Act</w:t>
      </w:r>
      <w:r w:rsidR="00A05EB6" w:rsidRPr="00C71C4A">
        <w:t>. If</w:t>
      </w:r>
      <w:r w:rsidR="004B148B">
        <w:t xml:space="preserve"> Pt 4-1 Div 2 and</w:t>
      </w:r>
      <w:r w:rsidR="00A05EB6" w:rsidRPr="00C71C4A">
        <w:t xml:space="preserve"> s 33D operate concurrently, the employee would be able to seek orders for </w:t>
      </w:r>
      <w:r w:rsidR="002C2A77" w:rsidRPr="00C71C4A">
        <w:t>other</w:t>
      </w:r>
      <w:r w:rsidR="00A05EB6" w:rsidRPr="00C71C4A">
        <w:t xml:space="preserve"> employees and the “limit in the FW Act would thereby be circumvented”.</w:t>
      </w:r>
    </w:p>
    <w:p w14:paraId="5F33B716" w14:textId="4C5C28C6" w:rsidR="00601D13" w:rsidRPr="00C71C4A" w:rsidRDefault="0071710E" w:rsidP="0071710E">
      <w:pPr>
        <w:pStyle w:val="ParaNumbering"/>
        <w:numPr>
          <w:ilvl w:val="0"/>
          <w:numId w:val="0"/>
        </w:numPr>
        <w:tabs>
          <w:tab w:val="left" w:pos="720"/>
        </w:tabs>
        <w:ind w:hanging="720"/>
      </w:pPr>
      <w:r w:rsidRPr="00C71C4A">
        <w:rPr>
          <w:sz w:val="20"/>
        </w:rPr>
        <w:t>347</w:t>
      </w:r>
      <w:r w:rsidRPr="00C71C4A">
        <w:rPr>
          <w:sz w:val="20"/>
        </w:rPr>
        <w:tab/>
      </w:r>
      <w:r w:rsidR="00601D13" w:rsidRPr="00C71C4A">
        <w:t>The argument of the SDA is misconceived for a</w:t>
      </w:r>
      <w:r w:rsidR="00821B27">
        <w:t xml:space="preserve">t least </w:t>
      </w:r>
      <w:r w:rsidR="00C80B33">
        <w:t>four interrelated</w:t>
      </w:r>
      <w:r w:rsidR="00821B27">
        <w:t xml:space="preserve"> </w:t>
      </w:r>
      <w:r w:rsidR="00601D13" w:rsidRPr="00C71C4A">
        <w:t>reasons.</w:t>
      </w:r>
    </w:p>
    <w:p w14:paraId="5E03A0FB" w14:textId="755EAE93" w:rsidR="00B212B2" w:rsidRPr="00C71C4A" w:rsidRDefault="0071710E" w:rsidP="0071710E">
      <w:pPr>
        <w:pStyle w:val="ParaNumbering"/>
        <w:numPr>
          <w:ilvl w:val="0"/>
          <w:numId w:val="0"/>
        </w:numPr>
        <w:tabs>
          <w:tab w:val="left" w:pos="720"/>
        </w:tabs>
        <w:ind w:hanging="720"/>
      </w:pPr>
      <w:r w:rsidRPr="00C71C4A">
        <w:rPr>
          <w:sz w:val="20"/>
        </w:rPr>
        <w:t>348</w:t>
      </w:r>
      <w:r w:rsidRPr="00C71C4A">
        <w:rPr>
          <w:sz w:val="20"/>
        </w:rPr>
        <w:tab/>
      </w:r>
      <w:r w:rsidR="005F3639" w:rsidRPr="00C71C4A">
        <w:rPr>
          <w:i/>
        </w:rPr>
        <w:t>First</w:t>
      </w:r>
      <w:r w:rsidR="005F3639" w:rsidRPr="00C71C4A">
        <w:t xml:space="preserve">, the argument is premised upon </w:t>
      </w:r>
      <w:r w:rsidR="00C71B77">
        <w:t xml:space="preserve">a </w:t>
      </w:r>
      <w:r w:rsidR="005F3639" w:rsidRPr="00C71C4A">
        <w:t>repeal</w:t>
      </w:r>
      <w:r w:rsidR="00847F7C">
        <w:t>,</w:t>
      </w:r>
      <w:r w:rsidR="005F3639" w:rsidRPr="00C71C4A">
        <w:t xml:space="preserve"> absent express words </w:t>
      </w:r>
      <w:r w:rsidR="00847F7C">
        <w:t xml:space="preserve">being used </w:t>
      </w:r>
      <w:r w:rsidR="005F3639" w:rsidRPr="00C71C4A">
        <w:t xml:space="preserve">to bring about </w:t>
      </w:r>
      <w:r w:rsidR="00D20B84" w:rsidRPr="00C71C4A">
        <w:t>that legal consequence</w:t>
      </w:r>
      <w:r w:rsidR="005F3639" w:rsidRPr="00C71C4A">
        <w:t xml:space="preserve">. For a </w:t>
      </w:r>
      <w:r w:rsidR="00D20B84" w:rsidRPr="00C71C4A">
        <w:t>conclusion to be reached</w:t>
      </w:r>
      <w:r w:rsidR="005F3639" w:rsidRPr="00C71C4A">
        <w:t xml:space="preserve"> that a later statute impliedly repeals a</w:t>
      </w:r>
      <w:r w:rsidR="00D20B84" w:rsidRPr="00C71C4A">
        <w:t xml:space="preserve"> provision of a</w:t>
      </w:r>
      <w:r w:rsidR="005F3639" w:rsidRPr="00C71C4A">
        <w:t>n earlier statute</w:t>
      </w:r>
      <w:r w:rsidR="00D20B84" w:rsidRPr="00C71C4A">
        <w:t>,</w:t>
      </w:r>
      <w:r w:rsidR="005F3639" w:rsidRPr="00C71C4A">
        <w:t xml:space="preserve"> </w:t>
      </w:r>
      <w:r w:rsidR="00D20B84" w:rsidRPr="00C71C4A">
        <w:t>it must be established that</w:t>
      </w:r>
      <w:r w:rsidR="005F3639" w:rsidRPr="00C71C4A">
        <w:t xml:space="preserve"> the two </w:t>
      </w:r>
      <w:r w:rsidR="00D20B84" w:rsidRPr="00C71C4A">
        <w:t>provisions</w:t>
      </w:r>
      <w:r w:rsidR="005F3639" w:rsidRPr="00C71C4A">
        <w:t xml:space="preserve"> are so inconsistent that </w:t>
      </w:r>
      <w:r w:rsidR="00D20B84" w:rsidRPr="00C71C4A">
        <w:t>“</w:t>
      </w:r>
      <w:r w:rsidR="005F3639" w:rsidRPr="00C71C4A">
        <w:t>they cannot stand or live together</w:t>
      </w:r>
      <w:r w:rsidR="00D20B84" w:rsidRPr="00C71C4A">
        <w:t xml:space="preserve">” because </w:t>
      </w:r>
      <w:r w:rsidR="005F3639" w:rsidRPr="00C71C4A">
        <w:t xml:space="preserve">the </w:t>
      </w:r>
      <w:r w:rsidR="00D20B84" w:rsidRPr="00C71C4A">
        <w:t>“</w:t>
      </w:r>
      <w:r w:rsidR="005F3639" w:rsidRPr="00C71C4A">
        <w:t xml:space="preserve">provisions of the two statutes cannot be reconciled”: </w:t>
      </w:r>
      <w:r w:rsidR="003E6B4D" w:rsidRPr="003E6B4D">
        <w:rPr>
          <w:i/>
        </w:rPr>
        <w:t>Firebird Global Master Fund II Ltd v Republic of Nauru</w:t>
      </w:r>
      <w:r w:rsidR="006E07A7" w:rsidRPr="006E07A7">
        <w:rPr>
          <w:i/>
        </w:rPr>
        <w:t xml:space="preserve"> </w:t>
      </w:r>
      <w:r w:rsidR="006E07A7">
        <w:t xml:space="preserve">[2015] HCA 43; </w:t>
      </w:r>
      <w:r w:rsidR="006E07A7" w:rsidRPr="006E07A7">
        <w:t>(2015) 258 CLR 31</w:t>
      </w:r>
      <w:r w:rsidR="005F3639" w:rsidRPr="00C71C4A">
        <w:t xml:space="preserve"> (</w:t>
      </w:r>
      <w:r w:rsidR="006E07A7">
        <w:t xml:space="preserve">at </w:t>
      </w:r>
      <w:r w:rsidR="00365B3C">
        <w:t>61</w:t>
      </w:r>
      <w:r w:rsidR="00CE5E98">
        <w:t xml:space="preserve"> </w:t>
      </w:r>
      <w:r w:rsidR="006E07A7">
        <w:t xml:space="preserve">[87] </w:t>
      </w:r>
      <w:r w:rsidR="00D20B84" w:rsidRPr="00C71C4A">
        <w:t xml:space="preserve">per </w:t>
      </w:r>
      <w:r w:rsidR="005F3639" w:rsidRPr="00C71C4A">
        <w:t>French CJ and Kiefel J).</w:t>
      </w:r>
      <w:r w:rsidR="00D20B84" w:rsidRPr="00C71C4A">
        <w:t xml:space="preserve"> This reflects </w:t>
      </w:r>
      <w:r w:rsidR="005F3639" w:rsidRPr="00C71C4A">
        <w:t xml:space="preserve">a presumed legislative intention that </w:t>
      </w:r>
      <w:r w:rsidR="00D20B84" w:rsidRPr="00C71C4A">
        <w:t xml:space="preserve">statutory </w:t>
      </w:r>
      <w:r w:rsidR="005F3639" w:rsidRPr="00C71C4A">
        <w:t>provisions should operate harmoniously</w:t>
      </w:r>
      <w:r w:rsidR="00D20B84" w:rsidRPr="00C71C4A">
        <w:t>.</w:t>
      </w:r>
      <w:r w:rsidR="00C72999">
        <w:t xml:space="preserve"> As Gummow and Hayne JJ reasoned in </w:t>
      </w:r>
      <w:r w:rsidR="00C72999">
        <w:rPr>
          <w:i/>
        </w:rPr>
        <w:t xml:space="preserve">Ferdinands v Commissioner for Public Employment </w:t>
      </w:r>
      <w:r w:rsidR="00AE4FCC">
        <w:t xml:space="preserve">[2006] HCA 5; </w:t>
      </w:r>
      <w:r w:rsidR="00C72999">
        <w:t xml:space="preserve">(2006) 225 CLR 130 (at </w:t>
      </w:r>
      <w:r w:rsidR="00C26E05">
        <w:t>146 [49]), the question is not whether one law prevails, but whether that presumption is displaced.</w:t>
      </w:r>
    </w:p>
    <w:p w14:paraId="4C439CCB" w14:textId="7C3AC32E" w:rsidR="0050018E" w:rsidRDefault="0071710E" w:rsidP="0071710E">
      <w:pPr>
        <w:pStyle w:val="ParaNumbering"/>
        <w:numPr>
          <w:ilvl w:val="0"/>
          <w:numId w:val="0"/>
        </w:numPr>
        <w:tabs>
          <w:tab w:val="left" w:pos="720"/>
        </w:tabs>
        <w:ind w:hanging="720"/>
      </w:pPr>
      <w:r>
        <w:rPr>
          <w:sz w:val="20"/>
        </w:rPr>
        <w:t>349</w:t>
      </w:r>
      <w:r>
        <w:rPr>
          <w:sz w:val="20"/>
        </w:rPr>
        <w:tab/>
      </w:r>
      <w:r w:rsidR="00B212B2" w:rsidRPr="00C71C4A">
        <w:t>T</w:t>
      </w:r>
      <w:r w:rsidR="00B212B2" w:rsidRPr="00B212B2">
        <w:t xml:space="preserve">he </w:t>
      </w:r>
      <w:r w:rsidR="00847F7C">
        <w:t>initial difficulty for the SDA is that the</w:t>
      </w:r>
      <w:r w:rsidR="00821B27">
        <w:t xml:space="preserve">re is no clash </w:t>
      </w:r>
      <w:r w:rsidR="00C80B33">
        <w:t xml:space="preserve">between the </w:t>
      </w:r>
      <w:r w:rsidR="0050018E">
        <w:t xml:space="preserve">relevant </w:t>
      </w:r>
      <w:r w:rsidR="00C80B33">
        <w:t>provisions</w:t>
      </w:r>
      <w:r w:rsidR="004A7960">
        <w:t xml:space="preserve">. </w:t>
      </w:r>
    </w:p>
    <w:p w14:paraId="58E2E8E4" w14:textId="476B58CE" w:rsidR="004A7960" w:rsidRDefault="0071710E" w:rsidP="0071710E">
      <w:pPr>
        <w:pStyle w:val="ParaNumbering"/>
        <w:numPr>
          <w:ilvl w:val="0"/>
          <w:numId w:val="0"/>
        </w:numPr>
        <w:tabs>
          <w:tab w:val="left" w:pos="720"/>
        </w:tabs>
        <w:ind w:hanging="720"/>
      </w:pPr>
      <w:r>
        <w:rPr>
          <w:sz w:val="20"/>
        </w:rPr>
        <w:t>350</w:t>
      </w:r>
      <w:r>
        <w:rPr>
          <w:sz w:val="20"/>
        </w:rPr>
        <w:tab/>
      </w:r>
      <w:r w:rsidR="004A7960">
        <w:t>To focus initially upon the standing of an employee, s 540(1)</w:t>
      </w:r>
      <w:r w:rsidR="00A944A5">
        <w:t>(a)</w:t>
      </w:r>
      <w:r w:rsidR="004A7960">
        <w:t xml:space="preserve"> allows an employee to “apply for an order” under </w:t>
      </w:r>
      <w:r w:rsidR="001D6885">
        <w:t>Pt</w:t>
      </w:r>
      <w:r w:rsidR="004A7960">
        <w:t xml:space="preserve"> 4-1</w:t>
      </w:r>
      <w:r w:rsidR="00E459B6">
        <w:t xml:space="preserve"> Div 2</w:t>
      </w:r>
      <w:r w:rsidR="004A7960">
        <w:t xml:space="preserve"> (subject to being affected by the contravention and the employee complying with the time limitation provided for in s 544).</w:t>
      </w:r>
      <w:r w:rsidR="00C8015D">
        <w:t xml:space="preserve"> This gives the employee a right of action, which has an existence anterior to, and separately from, any proceeding brought for its vindication. The FW Act says nothing about how the employee is required to advance that claim, save </w:t>
      </w:r>
      <w:proofErr w:type="gramStart"/>
      <w:r w:rsidR="00C8015D">
        <w:t>that orders</w:t>
      </w:r>
      <w:proofErr w:type="gramEnd"/>
      <w:r w:rsidR="00C8015D">
        <w:t xml:space="preserve">, including orders awarding compensation for loss suffered because of a contravention, can only be made by particular courts (see </w:t>
      </w:r>
      <w:r w:rsidR="0008787A">
        <w:t>s 545(2)</w:t>
      </w:r>
      <w:r w:rsidR="00B4069C">
        <w:t xml:space="preserve"> and, more generally,</w:t>
      </w:r>
      <w:r w:rsidR="0008787A">
        <w:t xml:space="preserve"> </w:t>
      </w:r>
      <w:r w:rsidR="00914029">
        <w:t>Pt 4</w:t>
      </w:r>
      <w:r w:rsidR="00D22EEF">
        <w:t>-</w:t>
      </w:r>
      <w:r w:rsidR="00914029">
        <w:t>1</w:t>
      </w:r>
      <w:r w:rsidR="00C8015D">
        <w:t xml:space="preserve"> </w:t>
      </w:r>
      <w:r w:rsidR="0008787A">
        <w:t xml:space="preserve">Div 2, </w:t>
      </w:r>
      <w:proofErr w:type="spellStart"/>
      <w:r w:rsidR="0008787A">
        <w:t>Subdiv</w:t>
      </w:r>
      <w:proofErr w:type="spellEnd"/>
      <w:r w:rsidR="0008787A">
        <w:t xml:space="preserve"> B</w:t>
      </w:r>
      <w:r w:rsidR="00C8015D">
        <w:t>).</w:t>
      </w:r>
      <w:r w:rsidR="0050018E">
        <w:t xml:space="preserve"> It</w:t>
      </w:r>
      <w:r w:rsidR="00C8015D">
        <w:t xml:space="preserve"> also says nothing </w:t>
      </w:r>
      <w:r w:rsidR="0050018E">
        <w:t>at all about whether</w:t>
      </w:r>
      <w:r w:rsidR="00C8015D">
        <w:t xml:space="preserve"> an employee </w:t>
      </w:r>
      <w:proofErr w:type="gramStart"/>
      <w:r w:rsidR="0050018E">
        <w:t>is</w:t>
      </w:r>
      <w:r w:rsidR="00C8015D">
        <w:t xml:space="preserve"> able</w:t>
      </w:r>
      <w:r w:rsidR="0050018E">
        <w:t xml:space="preserve"> to</w:t>
      </w:r>
      <w:proofErr w:type="gramEnd"/>
      <w:r w:rsidR="0050018E">
        <w:t xml:space="preserve"> seek additional orders in a representative capacity as to common (but not individual) aspects of other employees’ claims</w:t>
      </w:r>
      <w:r w:rsidR="0050018E" w:rsidRPr="0050018E">
        <w:t xml:space="preserve"> </w:t>
      </w:r>
      <w:r w:rsidR="00A944A5">
        <w:t>(and the right</w:t>
      </w:r>
      <w:r w:rsidR="0050018E">
        <w:t xml:space="preserve"> of action of an employee under s 540(1) is clearly a “claim” as that expression is used in s 33C of the FCA Act).</w:t>
      </w:r>
      <w:r w:rsidR="00C8015D">
        <w:t xml:space="preserve"> </w:t>
      </w:r>
    </w:p>
    <w:p w14:paraId="140D682B" w14:textId="1C74C9B8" w:rsidR="00847F7C" w:rsidRDefault="0071710E" w:rsidP="0071710E">
      <w:pPr>
        <w:pStyle w:val="ParaNumbering"/>
        <w:numPr>
          <w:ilvl w:val="0"/>
          <w:numId w:val="0"/>
        </w:numPr>
        <w:tabs>
          <w:tab w:val="left" w:pos="720"/>
        </w:tabs>
        <w:ind w:hanging="720"/>
      </w:pPr>
      <w:r>
        <w:rPr>
          <w:sz w:val="20"/>
        </w:rPr>
        <w:t>351</w:t>
      </w:r>
      <w:r>
        <w:rPr>
          <w:sz w:val="20"/>
        </w:rPr>
        <w:tab/>
      </w:r>
      <w:r w:rsidR="00C8015D">
        <w:t>Additionally</w:t>
      </w:r>
      <w:r w:rsidR="004A7960">
        <w:t>, there is no clash because to th</w:t>
      </w:r>
      <w:r w:rsidR="00C8015D">
        <w:t>e</w:t>
      </w:r>
      <w:r w:rsidR="004A7960">
        <w:t xml:space="preserve"> extent the 2009 </w:t>
      </w:r>
      <w:r w:rsidR="00C8015D">
        <w:t>reform</w:t>
      </w:r>
      <w:r w:rsidR="001F22BF">
        <w:t>s</w:t>
      </w:r>
      <w:r w:rsidR="004A7960">
        <w:t xml:space="preserve"> </w:t>
      </w:r>
      <w:r w:rsidR="00C8015D">
        <w:t>allowed</w:t>
      </w:r>
      <w:r w:rsidR="004A7960">
        <w:t xml:space="preserve"> for a</w:t>
      </w:r>
      <w:r w:rsidR="00C8015D">
        <w:t xml:space="preserve"> form of</w:t>
      </w:r>
      <w:r w:rsidR="004A7960">
        <w:t xml:space="preserve"> “</w:t>
      </w:r>
      <w:r w:rsidR="00C8015D">
        <w:t>representative</w:t>
      </w:r>
      <w:r w:rsidR="004A7960">
        <w:t xml:space="preserve">” proceeding to be commenced, </w:t>
      </w:r>
      <w:r w:rsidR="007346D3">
        <w:t>such a</w:t>
      </w:r>
      <w:r w:rsidR="00847F7C">
        <w:t xml:space="preserve"> </w:t>
      </w:r>
      <w:r w:rsidR="007346D3">
        <w:t>proceeding is</w:t>
      </w:r>
      <w:r w:rsidR="00847F7C">
        <w:t xml:space="preserve"> </w:t>
      </w:r>
      <w:r w:rsidR="00C8015D">
        <w:t xml:space="preserve">quite different to </w:t>
      </w:r>
      <w:r w:rsidR="007346D3">
        <w:t>a</w:t>
      </w:r>
      <w:r w:rsidR="00C8015D">
        <w:t xml:space="preserve"> class action provided for in</w:t>
      </w:r>
      <w:r w:rsidR="00847F7C">
        <w:t xml:space="preserve"> </w:t>
      </w:r>
      <w:r w:rsidR="00C8015D">
        <w:t xml:space="preserve">Pt IVA of the </w:t>
      </w:r>
      <w:r w:rsidR="00847F7C">
        <w:t>FCA Act.</w:t>
      </w:r>
    </w:p>
    <w:p w14:paraId="6161FE54" w14:textId="72720D4A" w:rsidR="008B012A" w:rsidRDefault="0071710E" w:rsidP="0071710E">
      <w:pPr>
        <w:pStyle w:val="ParaNumbering"/>
        <w:numPr>
          <w:ilvl w:val="0"/>
          <w:numId w:val="0"/>
        </w:numPr>
        <w:tabs>
          <w:tab w:val="left" w:pos="720"/>
        </w:tabs>
        <w:ind w:hanging="720"/>
      </w:pPr>
      <w:r>
        <w:rPr>
          <w:sz w:val="20"/>
        </w:rPr>
        <w:t>352</w:t>
      </w:r>
      <w:r>
        <w:rPr>
          <w:sz w:val="20"/>
        </w:rPr>
        <w:tab/>
      </w:r>
      <w:r w:rsidR="00B212B2">
        <w:t xml:space="preserve">In </w:t>
      </w:r>
      <w:r w:rsidR="00B212B2" w:rsidRPr="00C71C4A">
        <w:rPr>
          <w:i/>
        </w:rPr>
        <w:t>Tra</w:t>
      </w:r>
      <w:r w:rsidR="00C71C4A" w:rsidRPr="00C71C4A">
        <w:rPr>
          <w:i/>
        </w:rPr>
        <w:t>nsport Workers’</w:t>
      </w:r>
      <w:r w:rsidR="00B212B2" w:rsidRPr="00C71C4A">
        <w:rPr>
          <w:i/>
        </w:rPr>
        <w:t xml:space="preserve"> Union of Australia v Qantas Airways Limited (No 4)</w:t>
      </w:r>
      <w:r w:rsidR="00B212B2" w:rsidRPr="00C71C4A">
        <w:t xml:space="preserve"> </w:t>
      </w:r>
      <w:r w:rsidR="008C3596">
        <w:t>[2021] FCA 1602; (2021) 312 IR 133 (at 138–139 [11]</w:t>
      </w:r>
      <w:proofErr w:type="gramStart"/>
      <w:r w:rsidR="008C3596">
        <w:t>–[</w:t>
      </w:r>
      <w:proofErr w:type="gramEnd"/>
      <w:r w:rsidR="008C3596">
        <w:t xml:space="preserve">23]), </w:t>
      </w:r>
      <w:r w:rsidR="00B212B2">
        <w:t>I made a number of observations about s</w:t>
      </w:r>
      <w:r w:rsidR="00B212B2" w:rsidRPr="00C71C4A">
        <w:t xml:space="preserve"> 539(2) of the FW Act providing standing to </w:t>
      </w:r>
      <w:r w:rsidR="00CF5BBE" w:rsidRPr="00C71C4A">
        <w:t>an industrial association</w:t>
      </w:r>
      <w:r w:rsidR="00847F7C">
        <w:t>.</w:t>
      </w:r>
      <w:r w:rsidR="00CD61F7">
        <w:t xml:space="preserve"> </w:t>
      </w:r>
      <w:r w:rsidR="00CF5BBE" w:rsidRPr="00C71C4A">
        <w:t>But</w:t>
      </w:r>
      <w:r w:rsidR="00847F7C">
        <w:t>, as I explained</w:t>
      </w:r>
      <w:r w:rsidR="007B5679">
        <w:t xml:space="preserve"> (at 138–139 [15])</w:t>
      </w:r>
      <w:r w:rsidR="00847F7C">
        <w:t>,</w:t>
      </w:r>
      <w:r w:rsidR="00CF5BBE" w:rsidRPr="00C71C4A">
        <w:t xml:space="preserve"> the question of eligibility to bring an application is not the same thing as identifying the capacity in wh</w:t>
      </w:r>
      <w:r w:rsidR="000A5D44">
        <w:t xml:space="preserve">ich </w:t>
      </w:r>
      <w:r w:rsidR="00D22EEF">
        <w:t xml:space="preserve">an </w:t>
      </w:r>
      <w:r w:rsidR="000A5D44">
        <w:t>application is brought.</w:t>
      </w:r>
    </w:p>
    <w:p w14:paraId="0766CC03" w14:textId="2227F86C" w:rsidR="00CF5BBE" w:rsidRPr="00C71C4A" w:rsidRDefault="0071710E" w:rsidP="0071710E">
      <w:pPr>
        <w:pStyle w:val="ParaNumbering"/>
        <w:numPr>
          <w:ilvl w:val="0"/>
          <w:numId w:val="0"/>
        </w:numPr>
        <w:tabs>
          <w:tab w:val="left" w:pos="720"/>
        </w:tabs>
        <w:ind w:hanging="720"/>
      </w:pPr>
      <w:r w:rsidRPr="00C71C4A">
        <w:rPr>
          <w:sz w:val="20"/>
        </w:rPr>
        <w:t>353</w:t>
      </w:r>
      <w:r w:rsidRPr="00C71C4A">
        <w:rPr>
          <w:sz w:val="20"/>
        </w:rPr>
        <w:tab/>
      </w:r>
      <w:r w:rsidR="00BD5892">
        <w:t xml:space="preserve">The </w:t>
      </w:r>
      <w:r w:rsidR="00BE1307">
        <w:t>SDA P</w:t>
      </w:r>
      <w:r w:rsidR="008B012A">
        <w:t xml:space="preserve">roceeding is superficially a “representative” one as the </w:t>
      </w:r>
      <w:r w:rsidR="00CF5BBE" w:rsidRPr="00C71C4A">
        <w:t xml:space="preserve">relief </w:t>
      </w:r>
      <w:r w:rsidR="008B012A">
        <w:t xml:space="preserve">sought </w:t>
      </w:r>
      <w:r w:rsidR="00CF5BBE" w:rsidRPr="00C71C4A">
        <w:t xml:space="preserve">(if made or refused) would directly affect the interests of strangers to the proceeding, that is, </w:t>
      </w:r>
      <w:r w:rsidR="00847F7C">
        <w:t xml:space="preserve">the approximately </w:t>
      </w:r>
      <w:r w:rsidR="00390E8E">
        <w:t xml:space="preserve">300,000 to </w:t>
      </w:r>
      <w:r w:rsidR="00847F7C">
        <w:t>3</w:t>
      </w:r>
      <w:r w:rsidR="00097C8D">
        <w:t>5</w:t>
      </w:r>
      <w:r w:rsidR="00847F7C">
        <w:t>0,000 current and former workers</w:t>
      </w:r>
      <w:r w:rsidR="00BC0F4B">
        <w:t>. I</w:t>
      </w:r>
      <w:r w:rsidR="008B012A">
        <w:t>n this respect</w:t>
      </w:r>
      <w:r w:rsidR="00BC0F4B">
        <w:t>,</w:t>
      </w:r>
      <w:r w:rsidR="008B012A">
        <w:t xml:space="preserve"> </w:t>
      </w:r>
      <w:r w:rsidR="00CF5BBE" w:rsidRPr="00C71C4A">
        <w:t xml:space="preserve">the </w:t>
      </w:r>
      <w:r w:rsidR="00847F7C">
        <w:t>SDA</w:t>
      </w:r>
      <w:r w:rsidR="00CF5BBE" w:rsidRPr="00C71C4A">
        <w:t xml:space="preserve"> </w:t>
      </w:r>
      <w:r w:rsidR="00C80B33">
        <w:t>would be</w:t>
      </w:r>
      <w:r w:rsidR="00CF5BBE" w:rsidRPr="00C71C4A">
        <w:t xml:space="preserve"> performing a </w:t>
      </w:r>
      <w:r w:rsidR="00BD5892">
        <w:t xml:space="preserve">form of </w:t>
      </w:r>
      <w:r w:rsidR="008B012A">
        <w:t>“</w:t>
      </w:r>
      <w:r w:rsidR="00CF5BBE" w:rsidRPr="00C71C4A">
        <w:t>representative</w:t>
      </w:r>
      <w:r w:rsidR="008B012A">
        <w:t>”</w:t>
      </w:r>
      <w:r w:rsidR="00CF5BBE" w:rsidRPr="00C71C4A">
        <w:t xml:space="preserve"> function, </w:t>
      </w:r>
      <w:r w:rsidR="00BD5892">
        <w:t>not</w:t>
      </w:r>
      <w:r w:rsidR="00CF5BBE" w:rsidRPr="00C71C4A">
        <w:t xml:space="preserve"> </w:t>
      </w:r>
      <w:r w:rsidR="00BD5892">
        <w:t>dis</w:t>
      </w:r>
      <w:r w:rsidR="00CF5BBE" w:rsidRPr="00C71C4A">
        <w:t>similar to other representative functions known to the law, being those described by the High Court in </w:t>
      </w:r>
      <w:hyperlink r:id="rId17" w:history="1">
        <w:r w:rsidR="00CF5BBE" w:rsidRPr="008B012A">
          <w:rPr>
            <w:i/>
          </w:rPr>
          <w:t>Tomlinson v Ramsey Food Processing Pty Limited</w:t>
        </w:r>
        <w:r w:rsidR="00CF5BBE" w:rsidRPr="00C71C4A">
          <w:t> </w:t>
        </w:r>
      </w:hyperlink>
      <w:r w:rsidR="00CF5BBE" w:rsidRPr="00C71C4A">
        <w:t>[2015] HCA 28; (2015) 256 CLR 507 (at </w:t>
      </w:r>
      <w:hyperlink r:id="rId18" w:history="1">
        <w:r w:rsidR="00CF5BBE" w:rsidRPr="00C71C4A">
          <w:t>524</w:t>
        </w:r>
      </w:hyperlink>
      <w:r w:rsidR="00CF5BBE" w:rsidRPr="00C71C4A">
        <w:t> </w:t>
      </w:r>
      <w:hyperlink r:id="rId19" w:history="1">
        <w:r w:rsidR="00CF5BBE" w:rsidRPr="00C71C4A">
          <w:t>[40]</w:t>
        </w:r>
      </w:hyperlink>
      <w:r w:rsidR="00CF5BBE" w:rsidRPr="00C71C4A">
        <w:t> per French</w:t>
      </w:r>
      <w:r w:rsidR="00BC0F4B">
        <w:t xml:space="preserve"> CJ, Bell, </w:t>
      </w:r>
      <w:proofErr w:type="spellStart"/>
      <w:r w:rsidR="00BC0F4B">
        <w:t>Gageler</w:t>
      </w:r>
      <w:proofErr w:type="spellEnd"/>
      <w:r w:rsidR="00BC0F4B">
        <w:t xml:space="preserve"> and Keane JJ). </w:t>
      </w:r>
      <w:r w:rsidR="00CF5BBE" w:rsidRPr="00CF5BBE">
        <w:rPr>
          <w:lang w:eastAsia="en-AU"/>
        </w:rPr>
        <w:t>But</w:t>
      </w:r>
      <w:r w:rsidR="00847F7C">
        <w:rPr>
          <w:lang w:eastAsia="en-AU"/>
        </w:rPr>
        <w:t xml:space="preserve"> </w:t>
      </w:r>
      <w:r w:rsidR="00CF5BBE" w:rsidRPr="00CF5BBE">
        <w:rPr>
          <w:lang w:eastAsia="en-AU"/>
        </w:rPr>
        <w:t>any such comparison needs to be carefully examined and not decontextualised.</w:t>
      </w:r>
      <w:r w:rsidR="008B012A">
        <w:t xml:space="preserve"> </w:t>
      </w:r>
      <w:r w:rsidR="00CF5BBE" w:rsidRPr="00C71C4A">
        <w:rPr>
          <w:lang w:eastAsia="en-AU"/>
        </w:rPr>
        <w:t xml:space="preserve">The </w:t>
      </w:r>
      <w:r w:rsidR="00847F7C">
        <w:rPr>
          <w:lang w:eastAsia="en-AU"/>
        </w:rPr>
        <w:t>SDA</w:t>
      </w:r>
      <w:r w:rsidR="00CF5BBE" w:rsidRPr="00C71C4A">
        <w:rPr>
          <w:lang w:eastAsia="en-AU"/>
        </w:rPr>
        <w:t xml:space="preserve"> is registered under the</w:t>
      </w:r>
      <w:r w:rsidR="00B83165">
        <w:rPr>
          <w:lang w:eastAsia="en-AU"/>
        </w:rPr>
        <w:t xml:space="preserve"> </w:t>
      </w:r>
      <w:hyperlink r:id="rId20" w:history="1">
        <w:r w:rsidR="00CF5BBE" w:rsidRPr="00E072F5">
          <w:rPr>
            <w:i/>
            <w:lang w:eastAsia="en-AU"/>
          </w:rPr>
          <w:t>Fair Work (Registered Organisations) Act 2009</w:t>
        </w:r>
      </w:hyperlink>
      <w:hyperlink r:id="rId21" w:history="1">
        <w:r w:rsidR="00CF5BBE" w:rsidRPr="00C71C4A">
          <w:rPr>
            <w:lang w:eastAsia="en-AU"/>
          </w:rPr>
          <w:t> (</w:t>
        </w:r>
        <w:proofErr w:type="spellStart"/>
        <w:r w:rsidR="00CF5BBE" w:rsidRPr="00C71C4A">
          <w:rPr>
            <w:lang w:eastAsia="en-AU"/>
          </w:rPr>
          <w:t>Cth</w:t>
        </w:r>
        <w:proofErr w:type="spellEnd"/>
        <w:r w:rsidR="00CF5BBE" w:rsidRPr="00C71C4A">
          <w:rPr>
            <w:lang w:eastAsia="en-AU"/>
          </w:rPr>
          <w:t>)</w:t>
        </w:r>
      </w:hyperlink>
      <w:r w:rsidR="00BF630A">
        <w:rPr>
          <w:lang w:eastAsia="en-AU"/>
        </w:rPr>
        <w:t xml:space="preserve"> (</w:t>
      </w:r>
      <w:r w:rsidR="00BF630A" w:rsidRPr="00BF630A">
        <w:rPr>
          <w:b/>
          <w:lang w:eastAsia="en-AU"/>
        </w:rPr>
        <w:t>FWRO Act</w:t>
      </w:r>
      <w:r w:rsidR="00BF630A">
        <w:rPr>
          <w:lang w:eastAsia="en-AU"/>
        </w:rPr>
        <w:t>)</w:t>
      </w:r>
      <w:r w:rsidR="00CF5BBE" w:rsidRPr="00C71C4A">
        <w:rPr>
          <w:lang w:eastAsia="en-AU"/>
        </w:rPr>
        <w:t>. It is a body corporate, separate a</w:t>
      </w:r>
      <w:r w:rsidR="00847F7C">
        <w:rPr>
          <w:lang w:eastAsia="en-AU"/>
        </w:rPr>
        <w:t xml:space="preserve">nd distinct from its members and </w:t>
      </w:r>
      <w:r w:rsidR="00CF5BBE" w:rsidRPr="00C71C4A">
        <w:rPr>
          <w:lang w:eastAsia="en-AU"/>
        </w:rPr>
        <w:t>acts in an independent capacity:</w:t>
      </w:r>
      <w:r w:rsidR="00BC0F4B">
        <w:rPr>
          <w:i/>
          <w:lang w:eastAsia="en-AU"/>
        </w:rPr>
        <w:t xml:space="preserve"> </w:t>
      </w:r>
      <w:hyperlink r:id="rId22" w:history="1">
        <w:r w:rsidR="00CF5BBE" w:rsidRPr="00E072F5">
          <w:rPr>
            <w:i/>
            <w:lang w:eastAsia="en-AU"/>
          </w:rPr>
          <w:t xml:space="preserve">R v Dunlop Rubber Australia Limited; Ex </w:t>
        </w:r>
        <w:proofErr w:type="spellStart"/>
        <w:r w:rsidR="00CF5BBE" w:rsidRPr="00E072F5">
          <w:rPr>
            <w:i/>
            <w:lang w:eastAsia="en-AU"/>
          </w:rPr>
          <w:t>parte</w:t>
        </w:r>
        <w:proofErr w:type="spellEnd"/>
        <w:r w:rsidR="00CF5BBE" w:rsidRPr="00E072F5">
          <w:rPr>
            <w:i/>
            <w:lang w:eastAsia="en-AU"/>
          </w:rPr>
          <w:t xml:space="preserve"> Federated Miscellaneous Workers’ Union of Australia</w:t>
        </w:r>
        <w:r w:rsidR="00CF5BBE" w:rsidRPr="00B83165">
          <w:rPr>
            <w:lang w:eastAsia="en-AU"/>
          </w:rPr>
          <w:t> </w:t>
        </w:r>
      </w:hyperlink>
      <w:r w:rsidR="00CF5BBE" w:rsidRPr="00C71C4A">
        <w:rPr>
          <w:lang w:eastAsia="en-AU"/>
        </w:rPr>
        <w:t>(1957) 97 CLR 71 (at </w:t>
      </w:r>
      <w:hyperlink r:id="rId23" w:history="1">
        <w:r w:rsidR="00CF5BBE" w:rsidRPr="00C71C4A">
          <w:rPr>
            <w:lang w:eastAsia="en-AU"/>
          </w:rPr>
          <w:t>81</w:t>
        </w:r>
      </w:hyperlink>
      <w:r w:rsidR="00CF5BBE" w:rsidRPr="00C71C4A">
        <w:rPr>
          <w:lang w:eastAsia="en-AU"/>
        </w:rPr>
        <w:t> per D</w:t>
      </w:r>
      <w:r w:rsidR="00D76FBB">
        <w:rPr>
          <w:lang w:eastAsia="en-AU"/>
        </w:rPr>
        <w:t>ixon CJ, Webb, Fullaga</w:t>
      </w:r>
      <w:r w:rsidR="00CF5BBE" w:rsidRPr="00C71C4A">
        <w:rPr>
          <w:lang w:eastAsia="en-AU"/>
        </w:rPr>
        <w:t xml:space="preserve">r, Kitto and Taylor JJ). It is given standing </w:t>
      </w:r>
      <w:proofErr w:type="gramStart"/>
      <w:r w:rsidR="00CF5BBE" w:rsidRPr="00C71C4A">
        <w:rPr>
          <w:lang w:eastAsia="en-AU"/>
        </w:rPr>
        <w:t>in order to</w:t>
      </w:r>
      <w:proofErr w:type="gramEnd"/>
      <w:r w:rsidR="00CF5BBE" w:rsidRPr="00C71C4A">
        <w:rPr>
          <w:lang w:eastAsia="en-AU"/>
        </w:rPr>
        <w:t xml:space="preserve"> allow it to pursue its legitimate industrial objectives.</w:t>
      </w:r>
    </w:p>
    <w:p w14:paraId="0DAD4D5C" w14:textId="78C113F8" w:rsidR="00B83165" w:rsidRDefault="0071710E" w:rsidP="0071710E">
      <w:pPr>
        <w:pStyle w:val="ParaNumbering"/>
        <w:numPr>
          <w:ilvl w:val="0"/>
          <w:numId w:val="0"/>
        </w:numPr>
        <w:tabs>
          <w:tab w:val="left" w:pos="720"/>
        </w:tabs>
        <w:ind w:hanging="720"/>
        <w:rPr>
          <w:lang w:eastAsia="en-AU"/>
        </w:rPr>
      </w:pPr>
      <w:r>
        <w:rPr>
          <w:sz w:val="20"/>
          <w:lang w:eastAsia="en-AU"/>
        </w:rPr>
        <w:t>354</w:t>
      </w:r>
      <w:r>
        <w:rPr>
          <w:sz w:val="20"/>
          <w:lang w:eastAsia="en-AU"/>
        </w:rPr>
        <w:tab/>
      </w:r>
      <w:r w:rsidR="00E072F5">
        <w:rPr>
          <w:lang w:eastAsia="en-AU"/>
        </w:rPr>
        <w:t xml:space="preserve">Notwithstanding </w:t>
      </w:r>
      <w:r w:rsidR="008B012A">
        <w:rPr>
          <w:lang w:eastAsia="en-AU"/>
        </w:rPr>
        <w:t>an industrial association such as the</w:t>
      </w:r>
      <w:r w:rsidR="00CF5BBE" w:rsidRPr="00B83165">
        <w:rPr>
          <w:lang w:eastAsia="en-AU"/>
        </w:rPr>
        <w:t xml:space="preserve"> </w:t>
      </w:r>
      <w:r w:rsidR="00847F7C">
        <w:rPr>
          <w:lang w:eastAsia="en-AU"/>
        </w:rPr>
        <w:t>SDA</w:t>
      </w:r>
      <w:r w:rsidR="00CF5BBE" w:rsidRPr="00B83165">
        <w:rPr>
          <w:lang w:eastAsia="en-AU"/>
        </w:rPr>
        <w:t xml:space="preserve"> is </w:t>
      </w:r>
      <w:r w:rsidR="00BD5892">
        <w:rPr>
          <w:lang w:eastAsia="en-AU"/>
        </w:rPr>
        <w:t xml:space="preserve">conducting litigation </w:t>
      </w:r>
      <w:r w:rsidR="00E072F5">
        <w:rPr>
          <w:lang w:eastAsia="en-AU"/>
        </w:rPr>
        <w:t xml:space="preserve">in a way that could result in relief being obtained on behalf of strangers to the litigation, it is conducting the litigation </w:t>
      </w:r>
      <w:r w:rsidR="00BD5892">
        <w:rPr>
          <w:lang w:eastAsia="en-AU"/>
        </w:rPr>
        <w:t xml:space="preserve">as </w:t>
      </w:r>
      <w:r w:rsidR="005006C1">
        <w:rPr>
          <w:lang w:eastAsia="en-AU"/>
        </w:rPr>
        <w:t xml:space="preserve">a </w:t>
      </w:r>
      <w:r w:rsidR="00A75CDF">
        <w:rPr>
          <w:lang w:eastAsia="en-AU"/>
        </w:rPr>
        <w:t>“</w:t>
      </w:r>
      <w:r w:rsidR="00481BEB">
        <w:rPr>
          <w:lang w:eastAsia="en-AU"/>
        </w:rPr>
        <w:t xml:space="preserve">party </w:t>
      </w:r>
      <w:r w:rsidR="005006C1">
        <w:rPr>
          <w:lang w:eastAsia="en-AU"/>
        </w:rPr>
        <w:t>principal</w:t>
      </w:r>
      <w:r w:rsidR="00A75CDF">
        <w:rPr>
          <w:lang w:eastAsia="en-AU"/>
        </w:rPr>
        <w:t>”</w:t>
      </w:r>
      <w:r w:rsidR="008B012A">
        <w:rPr>
          <w:lang w:eastAsia="en-AU"/>
        </w:rPr>
        <w:t xml:space="preserve"> (see </w:t>
      </w:r>
      <w:r w:rsidR="008B012A">
        <w:rPr>
          <w:i/>
        </w:rPr>
        <w:t xml:space="preserve">Australian Federation of Air Pilots v Regional Express Holdings Limited </w:t>
      </w:r>
      <w:r w:rsidR="00BC0F4B">
        <w:t xml:space="preserve">[2021] FCAFC 226; </w:t>
      </w:r>
      <w:r w:rsidR="008B012A">
        <w:t>(2021) 290 FCR 239 (</w:t>
      </w:r>
      <w:r w:rsidR="00BC0F4B">
        <w:t>at</w:t>
      </w:r>
      <w:r w:rsidR="00592ED1">
        <w:t xml:space="preserve"> 293</w:t>
      </w:r>
      <w:r w:rsidR="00BC0F4B">
        <w:t xml:space="preserve"> [178] </w:t>
      </w:r>
      <w:r w:rsidR="008B012A">
        <w:t>per Bromberg, Kerr and Wheelahan</w:t>
      </w:r>
      <w:r w:rsidR="008B012A">
        <w:rPr>
          <w:spacing w:val="-2"/>
        </w:rPr>
        <w:t xml:space="preserve"> </w:t>
      </w:r>
      <w:r w:rsidR="008B012A">
        <w:t>JJ)</w:t>
      </w:r>
      <w:r w:rsidR="00592ED1">
        <w:t>)</w:t>
      </w:r>
      <w:r w:rsidR="008B012A">
        <w:t xml:space="preserve"> and is </w:t>
      </w:r>
      <w:r w:rsidR="00CF5BBE" w:rsidRPr="00B83165">
        <w:rPr>
          <w:lang w:eastAsia="en-AU"/>
        </w:rPr>
        <w:t>entitled to act on its own account and in its own interests (subject to the requirements of the FWRO Act)</w:t>
      </w:r>
      <w:r w:rsidR="008B012A">
        <w:rPr>
          <w:lang w:eastAsia="en-AU"/>
        </w:rPr>
        <w:t xml:space="preserve">. </w:t>
      </w:r>
      <w:r w:rsidR="009B019E">
        <w:rPr>
          <w:lang w:eastAsia="en-AU"/>
        </w:rPr>
        <w:t>All</w:t>
      </w:r>
      <w:r w:rsidR="008B012A">
        <w:rPr>
          <w:lang w:eastAsia="en-AU"/>
        </w:rPr>
        <w:t xml:space="preserve"> </w:t>
      </w:r>
      <w:r w:rsidR="009B019E">
        <w:t>current and former workers</w:t>
      </w:r>
      <w:r w:rsidR="008B012A">
        <w:rPr>
          <w:lang w:eastAsia="en-AU"/>
        </w:rPr>
        <w:t xml:space="preserve"> </w:t>
      </w:r>
      <w:r w:rsidR="00CF5BBE" w:rsidRPr="00CF5BBE">
        <w:rPr>
          <w:lang w:eastAsia="en-AU"/>
        </w:rPr>
        <w:t xml:space="preserve">are </w:t>
      </w:r>
      <w:r w:rsidR="008B012A">
        <w:rPr>
          <w:lang w:eastAsia="en-AU"/>
        </w:rPr>
        <w:t xml:space="preserve">not </w:t>
      </w:r>
      <w:r w:rsidR="00CF5BBE" w:rsidRPr="00CF5BBE">
        <w:rPr>
          <w:lang w:eastAsia="en-AU"/>
        </w:rPr>
        <w:t xml:space="preserve">privies of the </w:t>
      </w:r>
      <w:r w:rsidR="008B012A">
        <w:rPr>
          <w:lang w:eastAsia="en-AU"/>
        </w:rPr>
        <w:t>SDA</w:t>
      </w:r>
      <w:r w:rsidR="00CF5BBE" w:rsidRPr="00CF5BBE">
        <w:rPr>
          <w:lang w:eastAsia="en-AU"/>
        </w:rPr>
        <w:t xml:space="preserve"> in any relevant respect</w:t>
      </w:r>
      <w:r w:rsidR="008B012A">
        <w:rPr>
          <w:lang w:eastAsia="en-AU"/>
        </w:rPr>
        <w:t xml:space="preserve"> and</w:t>
      </w:r>
      <w:r w:rsidR="00026B3E">
        <w:rPr>
          <w:lang w:eastAsia="en-AU"/>
        </w:rPr>
        <w:t>,</w:t>
      </w:r>
      <w:r w:rsidR="008B012A">
        <w:rPr>
          <w:lang w:eastAsia="en-AU"/>
        </w:rPr>
        <w:t xml:space="preserve"> notwithstanding they are </w:t>
      </w:r>
      <w:r w:rsidR="009B019E">
        <w:rPr>
          <w:lang w:eastAsia="en-AU"/>
        </w:rPr>
        <w:t xml:space="preserve">all </w:t>
      </w:r>
      <w:r w:rsidR="001A127C">
        <w:rPr>
          <w:lang w:eastAsia="en-AU"/>
        </w:rPr>
        <w:t>affected third-</w:t>
      </w:r>
      <w:r w:rsidR="00CF5BBE" w:rsidRPr="00CF5BBE">
        <w:rPr>
          <w:lang w:eastAsia="en-AU"/>
        </w:rPr>
        <w:t xml:space="preserve">parties, as non-parties to the litigation, </w:t>
      </w:r>
      <w:r w:rsidR="00E072F5">
        <w:rPr>
          <w:lang w:eastAsia="en-AU"/>
        </w:rPr>
        <w:t xml:space="preserve">it is far from clear that </w:t>
      </w:r>
      <w:r w:rsidR="009B019E">
        <w:rPr>
          <w:lang w:eastAsia="en-AU"/>
        </w:rPr>
        <w:t>any</w:t>
      </w:r>
      <w:r w:rsidR="008B012A">
        <w:rPr>
          <w:lang w:eastAsia="en-AU"/>
        </w:rPr>
        <w:t xml:space="preserve"> are </w:t>
      </w:r>
      <w:r w:rsidR="00CF5BBE" w:rsidRPr="00CF5BBE">
        <w:rPr>
          <w:lang w:eastAsia="en-AU"/>
        </w:rPr>
        <w:t>bound at law or in equity</w:t>
      </w:r>
      <w:r w:rsidR="00BD5892">
        <w:rPr>
          <w:lang w:eastAsia="en-AU"/>
        </w:rPr>
        <w:t xml:space="preserve"> by orders made in the proceeding</w:t>
      </w:r>
      <w:r w:rsidR="00CF5BBE" w:rsidRPr="00CF5BBE">
        <w:rPr>
          <w:lang w:eastAsia="en-AU"/>
        </w:rPr>
        <w:t xml:space="preserve"> (such as would be the case by </w:t>
      </w:r>
      <w:r w:rsidR="00CF5BBE" w:rsidRPr="00B83165">
        <w:rPr>
          <w:lang w:eastAsia="en-AU"/>
        </w:rPr>
        <w:t>a s 33ZB “sta</w:t>
      </w:r>
      <w:r w:rsidR="00CF5BBE" w:rsidRPr="00CF5BBE">
        <w:rPr>
          <w:lang w:eastAsia="en-AU"/>
        </w:rPr>
        <w:t>tutory estoppel” in a class action under Pt IVA of the</w:t>
      </w:r>
      <w:r w:rsidR="00CF5BBE" w:rsidRPr="00B83165">
        <w:rPr>
          <w:lang w:eastAsia="en-AU"/>
        </w:rPr>
        <w:t> FCA</w:t>
      </w:r>
      <w:r w:rsidR="008B012A">
        <w:rPr>
          <w:lang w:eastAsia="en-AU"/>
        </w:rPr>
        <w:t xml:space="preserve"> </w:t>
      </w:r>
      <w:r w:rsidR="00CF5BBE" w:rsidRPr="00B83165">
        <w:rPr>
          <w:lang w:eastAsia="en-AU"/>
        </w:rPr>
        <w:t>A</w:t>
      </w:r>
      <w:r w:rsidR="008B012A">
        <w:rPr>
          <w:lang w:eastAsia="en-AU"/>
        </w:rPr>
        <w:t>ct</w:t>
      </w:r>
      <w:r w:rsidR="00CF5BBE" w:rsidRPr="00B83165">
        <w:rPr>
          <w:lang w:eastAsia="en-AU"/>
        </w:rPr>
        <w:t> </w:t>
      </w:r>
      <w:r w:rsidR="00CF5BBE" w:rsidRPr="00CF5BBE">
        <w:rPr>
          <w:lang w:eastAsia="en-AU"/>
        </w:rPr>
        <w:t xml:space="preserve">or in equity in a Chancery representative proceeding). </w:t>
      </w:r>
      <w:r w:rsidR="00E072F5">
        <w:rPr>
          <w:lang w:eastAsia="en-AU"/>
        </w:rPr>
        <w:t xml:space="preserve">On any view, </w:t>
      </w:r>
      <w:r w:rsidR="009B019E">
        <w:rPr>
          <w:lang w:eastAsia="en-AU"/>
        </w:rPr>
        <w:t>the</w:t>
      </w:r>
      <w:r w:rsidR="00A82C25">
        <w:rPr>
          <w:lang w:eastAsia="en-AU"/>
        </w:rPr>
        <w:t>re are important distinctions between</w:t>
      </w:r>
      <w:r w:rsidR="009B019E">
        <w:rPr>
          <w:lang w:eastAsia="en-AU"/>
        </w:rPr>
        <w:t xml:space="preserve"> </w:t>
      </w:r>
      <w:r w:rsidR="00481BEB">
        <w:rPr>
          <w:lang w:eastAsia="en-AU"/>
        </w:rPr>
        <w:t xml:space="preserve">the </w:t>
      </w:r>
      <w:r w:rsidR="009B019E">
        <w:rPr>
          <w:lang w:eastAsia="en-AU"/>
        </w:rPr>
        <w:t>position of a stranger to FW Act litigation (but on whose behalf relief is sought)</w:t>
      </w:r>
      <w:r w:rsidR="00A82C25">
        <w:rPr>
          <w:lang w:eastAsia="en-AU"/>
        </w:rPr>
        <w:t>,</w:t>
      </w:r>
      <w:r w:rsidR="009B019E">
        <w:rPr>
          <w:lang w:eastAsia="en-AU"/>
        </w:rPr>
        <w:t xml:space="preserve"> and the </w:t>
      </w:r>
      <w:r w:rsidR="00821B27">
        <w:rPr>
          <w:lang w:eastAsia="en-AU"/>
        </w:rPr>
        <w:t xml:space="preserve">role, </w:t>
      </w:r>
      <w:proofErr w:type="gramStart"/>
      <w:r w:rsidR="00481BEB">
        <w:rPr>
          <w:lang w:eastAsia="en-AU"/>
        </w:rPr>
        <w:t>rights</w:t>
      </w:r>
      <w:proofErr w:type="gramEnd"/>
      <w:r w:rsidR="009B019E">
        <w:rPr>
          <w:lang w:eastAsia="en-AU"/>
        </w:rPr>
        <w:t xml:space="preserve"> </w:t>
      </w:r>
      <w:r w:rsidR="00821B27">
        <w:rPr>
          <w:lang w:eastAsia="en-AU"/>
        </w:rPr>
        <w:t xml:space="preserve">and protections </w:t>
      </w:r>
      <w:r w:rsidR="009B019E">
        <w:rPr>
          <w:lang w:eastAsia="en-AU"/>
        </w:rPr>
        <w:t xml:space="preserve">of a group member in Pt IVA proceedings. </w:t>
      </w:r>
      <w:r w:rsidR="00E072F5">
        <w:rPr>
          <w:lang w:eastAsia="en-AU"/>
        </w:rPr>
        <w:t xml:space="preserve"> </w:t>
      </w:r>
    </w:p>
    <w:p w14:paraId="4C7D73B9" w14:textId="79B03A7F" w:rsidR="0011690E" w:rsidRDefault="0071710E" w:rsidP="0071710E">
      <w:pPr>
        <w:pStyle w:val="ParaNumbering"/>
        <w:numPr>
          <w:ilvl w:val="0"/>
          <w:numId w:val="0"/>
        </w:numPr>
        <w:tabs>
          <w:tab w:val="left" w:pos="720"/>
        </w:tabs>
        <w:ind w:hanging="720"/>
        <w:rPr>
          <w:lang w:eastAsia="en-AU"/>
        </w:rPr>
      </w:pPr>
      <w:r>
        <w:rPr>
          <w:sz w:val="20"/>
          <w:lang w:eastAsia="en-AU"/>
        </w:rPr>
        <w:t>355</w:t>
      </w:r>
      <w:r>
        <w:rPr>
          <w:sz w:val="20"/>
          <w:lang w:eastAsia="en-AU"/>
        </w:rPr>
        <w:tab/>
      </w:r>
      <w:r w:rsidR="00A82C25">
        <w:rPr>
          <w:lang w:eastAsia="en-AU"/>
        </w:rPr>
        <w:t xml:space="preserve">Depending upon the circumstances, representative roles in litigation can be </w:t>
      </w:r>
      <w:r w:rsidR="00A82C25" w:rsidRPr="00A82C25">
        <w:rPr>
          <w:lang w:eastAsia="en-AU"/>
        </w:rPr>
        <w:t xml:space="preserve">performed by agents, trustees, tutors, guardians </w:t>
      </w:r>
      <w:proofErr w:type="gramStart"/>
      <w:r w:rsidR="00A82C25" w:rsidRPr="00A82C25">
        <w:rPr>
          <w:lang w:eastAsia="en-AU"/>
        </w:rPr>
        <w:t>and also</w:t>
      </w:r>
      <w:proofErr w:type="gramEnd"/>
      <w:r w:rsidR="00A82C25" w:rsidRPr="00A82C25">
        <w:rPr>
          <w:lang w:eastAsia="en-AU"/>
        </w:rPr>
        <w:t xml:space="preserve"> pursuant to </w:t>
      </w:r>
      <w:r w:rsidR="00166DB7">
        <w:rPr>
          <w:lang w:eastAsia="en-AU"/>
        </w:rPr>
        <w:t>centuries of</w:t>
      </w:r>
      <w:r w:rsidR="00A82C25" w:rsidRPr="00A82C25">
        <w:rPr>
          <w:lang w:eastAsia="en-AU"/>
        </w:rPr>
        <w:t xml:space="preserve"> equitable </w:t>
      </w:r>
      <w:r w:rsidR="00166DB7">
        <w:rPr>
          <w:lang w:eastAsia="en-AU"/>
        </w:rPr>
        <w:t>practice</w:t>
      </w:r>
      <w:r w:rsidR="00A82C25" w:rsidRPr="00A82C25">
        <w:rPr>
          <w:lang w:eastAsia="en-AU"/>
        </w:rPr>
        <w:t>, now reflected in rules of court, allowing representation of numerous persons who have a common interest</w:t>
      </w:r>
      <w:r w:rsidR="00A82C25">
        <w:rPr>
          <w:lang w:eastAsia="en-AU"/>
        </w:rPr>
        <w:t xml:space="preserve">. </w:t>
      </w:r>
      <w:r w:rsidR="00166DB7">
        <w:rPr>
          <w:lang w:eastAsia="en-AU"/>
        </w:rPr>
        <w:t xml:space="preserve"> </w:t>
      </w:r>
      <w:r w:rsidR="00A82C25">
        <w:rPr>
          <w:lang w:eastAsia="en-AU"/>
        </w:rPr>
        <w:t>Section 33ZG of the FC</w:t>
      </w:r>
      <w:r w:rsidR="00101EFD">
        <w:rPr>
          <w:lang w:eastAsia="en-AU"/>
        </w:rPr>
        <w:t>A</w:t>
      </w:r>
      <w:r w:rsidR="00A82C25">
        <w:rPr>
          <w:lang w:eastAsia="en-AU"/>
        </w:rPr>
        <w:t xml:space="preserve"> Act provides that e</w:t>
      </w:r>
      <w:r w:rsidR="00A82C25" w:rsidRPr="00166DB7">
        <w:rPr>
          <w:lang w:eastAsia="en-AU"/>
        </w:rPr>
        <w:t xml:space="preserve">xcept as otherwise provided by Pt IVA, nothing in </w:t>
      </w:r>
      <w:r w:rsidR="00315A86">
        <w:rPr>
          <w:lang w:eastAsia="en-AU"/>
        </w:rPr>
        <w:t>Pt</w:t>
      </w:r>
      <w:r w:rsidR="00A82C25" w:rsidRPr="00166DB7">
        <w:rPr>
          <w:lang w:eastAsia="en-AU"/>
        </w:rPr>
        <w:t xml:space="preserve"> IVA affects the commencement or continuance of any action of a representative character commenced otherwise than under </w:t>
      </w:r>
      <w:r w:rsidR="00166DB7" w:rsidRPr="00166DB7">
        <w:rPr>
          <w:lang w:eastAsia="en-AU"/>
        </w:rPr>
        <w:t>Pt IVA.</w:t>
      </w:r>
      <w:r w:rsidR="00166DB7">
        <w:rPr>
          <w:lang w:eastAsia="en-AU"/>
        </w:rPr>
        <w:t xml:space="preserve"> All these differing types of representative roles exist concurrently</w:t>
      </w:r>
      <w:r w:rsidR="005E5453">
        <w:rPr>
          <w:lang w:eastAsia="en-AU"/>
        </w:rPr>
        <w:t>,</w:t>
      </w:r>
      <w:r w:rsidR="00166DB7">
        <w:rPr>
          <w:lang w:eastAsia="en-AU"/>
        </w:rPr>
        <w:t xml:space="preserve"> and Pt IVA is not a code </w:t>
      </w:r>
      <w:r w:rsidR="00C80B33">
        <w:rPr>
          <w:lang w:eastAsia="en-AU"/>
        </w:rPr>
        <w:t>prescribing</w:t>
      </w:r>
      <w:r w:rsidR="00166DB7">
        <w:rPr>
          <w:lang w:eastAsia="en-AU"/>
        </w:rPr>
        <w:t xml:space="preserve"> the commencement or maintenance of proceedings </w:t>
      </w:r>
      <w:r w:rsidR="005E5453">
        <w:rPr>
          <w:lang w:eastAsia="en-AU"/>
        </w:rPr>
        <w:t>having</w:t>
      </w:r>
      <w:r w:rsidR="00166DB7">
        <w:rPr>
          <w:lang w:eastAsia="en-AU"/>
        </w:rPr>
        <w:t xml:space="preserve"> </w:t>
      </w:r>
      <w:r w:rsidR="00821B27">
        <w:rPr>
          <w:lang w:eastAsia="en-AU"/>
        </w:rPr>
        <w:t>some form of</w:t>
      </w:r>
      <w:r w:rsidR="00166DB7">
        <w:rPr>
          <w:lang w:eastAsia="en-AU"/>
        </w:rPr>
        <w:t xml:space="preserve"> representative character.</w:t>
      </w:r>
      <w:r w:rsidR="005E5453">
        <w:rPr>
          <w:lang w:eastAsia="en-AU"/>
        </w:rPr>
        <w:t xml:space="preserve"> </w:t>
      </w:r>
      <w:r w:rsidR="0011690E">
        <w:rPr>
          <w:lang w:eastAsia="en-AU"/>
        </w:rPr>
        <w:t xml:space="preserve">The role of an industrial association (or other person </w:t>
      </w:r>
      <w:r w:rsidR="0011690E">
        <w:t>given standing under the FW Act to</w:t>
      </w:r>
      <w:r w:rsidR="0011690E" w:rsidRPr="00C71C4A">
        <w:t xml:space="preserve"> make applications for orders in relati</w:t>
      </w:r>
      <w:r w:rsidR="0011690E" w:rsidRPr="00DD0CAD">
        <w:t>on to contraventions)</w:t>
      </w:r>
      <w:r w:rsidR="0011690E" w:rsidRPr="00DD0CAD">
        <w:rPr>
          <w:lang w:eastAsia="en-AU"/>
        </w:rPr>
        <w:t xml:space="preserve"> is a bespoke one</w:t>
      </w:r>
      <w:r w:rsidR="00DD3DD9" w:rsidRPr="00DD0CAD">
        <w:rPr>
          <w:lang w:eastAsia="en-AU"/>
        </w:rPr>
        <w:t>,</w:t>
      </w:r>
      <w:r w:rsidR="0011690E" w:rsidRPr="00DD0CAD">
        <w:rPr>
          <w:lang w:eastAsia="en-AU"/>
        </w:rPr>
        <w:t xml:space="preserve"> </w:t>
      </w:r>
      <w:r w:rsidR="00821B27" w:rsidRPr="00DD0CAD">
        <w:rPr>
          <w:lang w:eastAsia="en-AU"/>
        </w:rPr>
        <w:t>different</w:t>
      </w:r>
      <w:r w:rsidR="0011690E" w:rsidRPr="00DD0CAD">
        <w:rPr>
          <w:lang w:eastAsia="en-AU"/>
        </w:rPr>
        <w:t xml:space="preserve"> to other for</w:t>
      </w:r>
      <w:r w:rsidR="00DD3DD9" w:rsidRPr="00DD0CAD">
        <w:rPr>
          <w:lang w:eastAsia="en-AU"/>
        </w:rPr>
        <w:t>ms of</w:t>
      </w:r>
      <w:r w:rsidR="003D03CB" w:rsidRPr="00DD0CAD">
        <w:rPr>
          <w:lang w:eastAsia="en-AU"/>
        </w:rPr>
        <w:t xml:space="preserve"> representative</w:t>
      </w:r>
      <w:r w:rsidR="00DD3DD9" w:rsidRPr="00DD0CAD">
        <w:rPr>
          <w:lang w:eastAsia="en-AU"/>
        </w:rPr>
        <w:t xml:space="preserve"> litigation</w:t>
      </w:r>
      <w:r w:rsidR="0011690E" w:rsidRPr="00DD0CAD">
        <w:rPr>
          <w:lang w:eastAsia="en-AU"/>
        </w:rPr>
        <w:t xml:space="preserve">, including </w:t>
      </w:r>
      <w:r w:rsidR="00F459F1" w:rsidRPr="00DD0CAD">
        <w:rPr>
          <w:lang w:eastAsia="en-AU"/>
        </w:rPr>
        <w:t xml:space="preserve">the role of </w:t>
      </w:r>
      <w:r w:rsidR="0011690E" w:rsidRPr="00DD0CAD">
        <w:rPr>
          <w:lang w:eastAsia="en-AU"/>
        </w:rPr>
        <w:t xml:space="preserve">an applicant </w:t>
      </w:r>
      <w:r w:rsidR="00DD3DD9" w:rsidRPr="00DD0CAD">
        <w:rPr>
          <w:lang w:eastAsia="en-AU"/>
        </w:rPr>
        <w:t>in a class action</w:t>
      </w:r>
      <w:r w:rsidR="00DD0CAD">
        <w:rPr>
          <w:lang w:eastAsia="en-AU"/>
        </w:rPr>
        <w:t>, who is</w:t>
      </w:r>
      <w:r w:rsidR="00DD3DD9" w:rsidRPr="00DD0CAD">
        <w:rPr>
          <w:lang w:eastAsia="en-AU"/>
        </w:rPr>
        <w:t xml:space="preserve"> </w:t>
      </w:r>
      <w:r w:rsidR="003D03CB" w:rsidRPr="00DD0CAD">
        <w:rPr>
          <w:lang w:eastAsia="en-AU"/>
        </w:rPr>
        <w:t>given</w:t>
      </w:r>
      <w:r w:rsidR="0011690E" w:rsidRPr="00DD0CAD">
        <w:rPr>
          <w:lang w:eastAsia="en-AU"/>
        </w:rPr>
        <w:t xml:space="preserve"> </w:t>
      </w:r>
      <w:r w:rsidR="007F13E1">
        <w:rPr>
          <w:lang w:eastAsia="en-AU"/>
        </w:rPr>
        <w:t>a</w:t>
      </w:r>
      <w:r w:rsidR="0011690E" w:rsidRPr="00DD0CAD">
        <w:rPr>
          <w:lang w:eastAsia="en-AU"/>
        </w:rPr>
        <w:t xml:space="preserve"> statutory agency to deal with common issues</w:t>
      </w:r>
      <w:r w:rsidR="007F13E1">
        <w:rPr>
          <w:lang w:eastAsia="en-AU"/>
        </w:rPr>
        <w:t xml:space="preserve"> in accordance with Pt IVA</w:t>
      </w:r>
      <w:r w:rsidR="0011690E" w:rsidRPr="00DD0CAD">
        <w:rPr>
          <w:lang w:eastAsia="en-AU"/>
        </w:rPr>
        <w:t>.</w:t>
      </w:r>
      <w:r w:rsidR="0011690E">
        <w:rPr>
          <w:lang w:eastAsia="en-AU"/>
        </w:rPr>
        <w:t xml:space="preserve"> </w:t>
      </w:r>
    </w:p>
    <w:p w14:paraId="03CD6DFB" w14:textId="2844FD25" w:rsidR="00A82C25" w:rsidRPr="005E5453" w:rsidRDefault="0071710E" w:rsidP="0071710E">
      <w:pPr>
        <w:pStyle w:val="ParaNumbering"/>
        <w:numPr>
          <w:ilvl w:val="0"/>
          <w:numId w:val="0"/>
        </w:numPr>
        <w:tabs>
          <w:tab w:val="left" w:pos="720"/>
        </w:tabs>
        <w:ind w:hanging="720"/>
        <w:rPr>
          <w:lang w:eastAsia="en-AU"/>
        </w:rPr>
      </w:pPr>
      <w:r w:rsidRPr="005E5453">
        <w:rPr>
          <w:sz w:val="20"/>
          <w:lang w:eastAsia="en-AU"/>
        </w:rPr>
        <w:t>356</w:t>
      </w:r>
      <w:r w:rsidRPr="005E5453">
        <w:rPr>
          <w:sz w:val="20"/>
          <w:lang w:eastAsia="en-AU"/>
        </w:rPr>
        <w:tab/>
      </w:r>
      <w:r w:rsidR="00166DB7">
        <w:rPr>
          <w:lang w:eastAsia="en-AU"/>
        </w:rPr>
        <w:t xml:space="preserve">This </w:t>
      </w:r>
      <w:r w:rsidR="005E5453">
        <w:rPr>
          <w:lang w:eastAsia="en-AU"/>
        </w:rPr>
        <w:t xml:space="preserve">reality </w:t>
      </w:r>
      <w:r w:rsidR="00866490">
        <w:rPr>
          <w:lang w:eastAsia="en-AU"/>
        </w:rPr>
        <w:t>is at odds with a</w:t>
      </w:r>
      <w:r w:rsidR="00166DB7">
        <w:t xml:space="preserve"> contention that the </w:t>
      </w:r>
      <w:r w:rsidR="00866490">
        <w:t xml:space="preserve">provisions, addressing different purposes and </w:t>
      </w:r>
      <w:r w:rsidR="007F13E1">
        <w:t xml:space="preserve">dealing with </w:t>
      </w:r>
      <w:r w:rsidR="00866490">
        <w:t>quite different types of proceedings,</w:t>
      </w:r>
      <w:r w:rsidR="005E5453">
        <w:t xml:space="preserve"> </w:t>
      </w:r>
      <w:r w:rsidR="00866490">
        <w:t>are irreconcilable</w:t>
      </w:r>
      <w:r w:rsidR="005E5453">
        <w:t>.</w:t>
      </w:r>
      <w:r w:rsidR="00A82C25">
        <w:t xml:space="preserve"> </w:t>
      </w:r>
    </w:p>
    <w:p w14:paraId="7B00EDA1" w14:textId="245D3EF5" w:rsidR="00C144CC" w:rsidRDefault="0071710E" w:rsidP="0071710E">
      <w:pPr>
        <w:pStyle w:val="ParaNumbering"/>
        <w:numPr>
          <w:ilvl w:val="0"/>
          <w:numId w:val="0"/>
        </w:numPr>
        <w:tabs>
          <w:tab w:val="left" w:pos="720"/>
        </w:tabs>
        <w:ind w:hanging="720"/>
      </w:pPr>
      <w:r>
        <w:rPr>
          <w:sz w:val="20"/>
        </w:rPr>
        <w:t>357</w:t>
      </w:r>
      <w:r>
        <w:rPr>
          <w:sz w:val="20"/>
        </w:rPr>
        <w:tab/>
      </w:r>
      <w:r w:rsidR="00F04144">
        <w:t xml:space="preserve">The </w:t>
      </w:r>
      <w:r w:rsidR="00F04144">
        <w:rPr>
          <w:i/>
        </w:rPr>
        <w:t xml:space="preserve">second </w:t>
      </w:r>
      <w:r w:rsidR="00F04144">
        <w:t>reason,</w:t>
      </w:r>
      <w:r w:rsidR="00237CBA">
        <w:t xml:space="preserve"> </w:t>
      </w:r>
      <w:r w:rsidR="00C144CC">
        <w:t>a</w:t>
      </w:r>
      <w:r w:rsidR="00B36CEB">
        <w:t xml:space="preserve">s </w:t>
      </w:r>
      <w:r w:rsidR="008D212A">
        <w:t xml:space="preserve">Kiefel CJ and </w:t>
      </w:r>
      <w:proofErr w:type="spellStart"/>
      <w:r w:rsidR="008D212A">
        <w:t>Gageler</w:t>
      </w:r>
      <w:proofErr w:type="spellEnd"/>
      <w:r w:rsidR="008D212A">
        <w:t xml:space="preserve"> J reinforced in </w:t>
      </w:r>
      <w:r w:rsidR="008D212A" w:rsidRPr="008D212A">
        <w:rPr>
          <w:i/>
        </w:rPr>
        <w:t xml:space="preserve">BHP Group Limited v </w:t>
      </w:r>
      <w:proofErr w:type="spellStart"/>
      <w:r w:rsidR="008D212A" w:rsidRPr="008D212A">
        <w:rPr>
          <w:i/>
        </w:rPr>
        <w:t>Impiombato</w:t>
      </w:r>
      <w:proofErr w:type="spellEnd"/>
      <w:r w:rsidR="008D212A" w:rsidRPr="008D212A">
        <w:t xml:space="preserve"> [2022] HCA 33; </w:t>
      </w:r>
      <w:r w:rsidR="008D212A">
        <w:t xml:space="preserve">(2022) </w:t>
      </w:r>
      <w:r w:rsidR="008D212A" w:rsidRPr="008D212A">
        <w:t>96 ALJR 956</w:t>
      </w:r>
      <w:r w:rsidR="008D212A">
        <w:t xml:space="preserve"> (at </w:t>
      </w:r>
      <w:r w:rsidR="00F04144">
        <w:t xml:space="preserve">960 </w:t>
      </w:r>
      <w:r w:rsidR="008D212A">
        <w:t xml:space="preserve">[6]), </w:t>
      </w:r>
      <w:r w:rsidR="00F04144">
        <w:t xml:space="preserve">is that </w:t>
      </w:r>
      <w:r w:rsidR="008D212A" w:rsidRPr="008D212A">
        <w:t>Pt IVA “assumes the investment by another law of the Parliament of [the Federal Court] with jurisdiction to entertain the subject matter of the representative proceeding” and “creates new procedures and gives the court new powers, in relation to the particular exercise of that jurisdiction”. As their Honours went on to explain, the distinction between the jurisdiction of the Federal Court, assumed by Pt IVA, and proce</w:t>
      </w:r>
      <w:r w:rsidR="007F13E1">
        <w:t xml:space="preserve">dures and powers of the </w:t>
      </w:r>
      <w:r w:rsidR="008D212A" w:rsidRPr="008D212A">
        <w:t xml:space="preserve">Court relating to the </w:t>
      </w:r>
      <w:proofErr w:type="gramStart"/>
      <w:r w:rsidR="008D212A" w:rsidRPr="008D212A">
        <w:t>particular exercise</w:t>
      </w:r>
      <w:proofErr w:type="gramEnd"/>
      <w:r w:rsidR="008D212A" w:rsidRPr="008D212A">
        <w:t xml:space="preserve"> of that jurisdiction, created by Pt IVA, is important. </w:t>
      </w:r>
      <w:r w:rsidR="00C144CC">
        <w:t xml:space="preserve">It is </w:t>
      </w:r>
      <w:r w:rsidR="00943937">
        <w:t>similarly</w:t>
      </w:r>
      <w:r w:rsidR="00C144CC">
        <w:t xml:space="preserve"> important to maintain a distinction between the </w:t>
      </w:r>
      <w:r w:rsidR="00C144CC" w:rsidRPr="00C144CC">
        <w:rPr>
          <w:i/>
        </w:rPr>
        <w:t>entitlement</w:t>
      </w:r>
      <w:r w:rsidR="00C144CC">
        <w:t xml:space="preserve"> to seek relief</w:t>
      </w:r>
      <w:r w:rsidR="00C80B33">
        <w:t>,</w:t>
      </w:r>
      <w:r w:rsidR="00C144CC">
        <w:t xml:space="preserve"> and the </w:t>
      </w:r>
      <w:r w:rsidR="00C144CC" w:rsidRPr="008D212A">
        <w:t xml:space="preserve">procedures and powers of the Federal Court </w:t>
      </w:r>
      <w:r w:rsidR="00C144CC">
        <w:t xml:space="preserve">in dealing with </w:t>
      </w:r>
      <w:r w:rsidR="00943937">
        <w:t>an</w:t>
      </w:r>
      <w:r w:rsidR="00C144CC">
        <w:t xml:space="preserve"> application for relief made by </w:t>
      </w:r>
      <w:r w:rsidR="00943937">
        <w:t>an eligible applicant</w:t>
      </w:r>
      <w:r w:rsidR="00C144CC">
        <w:t>.</w:t>
      </w:r>
    </w:p>
    <w:p w14:paraId="6DA92336" w14:textId="46437145" w:rsidR="008D212A" w:rsidRDefault="0071710E" w:rsidP="0071710E">
      <w:pPr>
        <w:pStyle w:val="ParaNumbering"/>
        <w:numPr>
          <w:ilvl w:val="0"/>
          <w:numId w:val="0"/>
        </w:numPr>
        <w:tabs>
          <w:tab w:val="left" w:pos="720"/>
        </w:tabs>
        <w:ind w:hanging="720"/>
      </w:pPr>
      <w:r>
        <w:rPr>
          <w:sz w:val="20"/>
        </w:rPr>
        <w:t>358</w:t>
      </w:r>
      <w:r>
        <w:rPr>
          <w:sz w:val="20"/>
        </w:rPr>
        <w:tab/>
      </w:r>
      <w:r w:rsidR="008D212A">
        <w:t>Here</w:t>
      </w:r>
      <w:r w:rsidR="00893A88">
        <w:t>, s 562 of</w:t>
      </w:r>
      <w:r w:rsidR="008D212A">
        <w:t xml:space="preserve"> the FW Act and </w:t>
      </w:r>
      <w:r w:rsidR="00893A88">
        <w:t>s 39B(1</w:t>
      </w:r>
      <w:proofErr w:type="gramStart"/>
      <w:r w:rsidR="00893A88">
        <w:t>A)(</w:t>
      </w:r>
      <w:proofErr w:type="gramEnd"/>
      <w:r w:rsidR="00893A88">
        <w:t xml:space="preserve">c) of </w:t>
      </w:r>
      <w:r w:rsidR="008D212A">
        <w:t xml:space="preserve">the </w:t>
      </w:r>
      <w:r w:rsidR="008D212A" w:rsidRPr="00AC3ECA">
        <w:rPr>
          <w:iCs/>
        </w:rPr>
        <w:t>Judiciary Act</w:t>
      </w:r>
      <w:r w:rsidR="00C10F2B" w:rsidRPr="0063049C">
        <w:rPr>
          <w:iCs/>
        </w:rPr>
        <w:t xml:space="preserve"> </w:t>
      </w:r>
      <w:r w:rsidR="00943937">
        <w:t xml:space="preserve">each </w:t>
      </w:r>
      <w:r w:rsidR="008D212A">
        <w:t>confer jurisdiction on the Court in relation to any matter arising unde</w:t>
      </w:r>
      <w:r w:rsidR="00943937">
        <w:t>r the FW Act. Sections</w:t>
      </w:r>
      <w:r w:rsidR="00C144CC">
        <w:t xml:space="preserve"> 539 and</w:t>
      </w:r>
      <w:r w:rsidR="00943937">
        <w:t xml:space="preserve"> 540 govern </w:t>
      </w:r>
      <w:r w:rsidR="007346D3">
        <w:t xml:space="preserve">entitlement to seek relief.  I explained above how </w:t>
      </w:r>
      <w:r w:rsidR="00943937">
        <w:t>s</w:t>
      </w:r>
      <w:r w:rsidR="00C144CC">
        <w:t xml:space="preserve"> 540(1)</w:t>
      </w:r>
      <w:r w:rsidR="00B757D1">
        <w:t>(a)</w:t>
      </w:r>
      <w:r w:rsidR="00C144CC">
        <w:t xml:space="preserve"> allow</w:t>
      </w:r>
      <w:r w:rsidR="00943937">
        <w:t>s</w:t>
      </w:r>
      <w:r w:rsidR="00C144CC">
        <w:t xml:space="preserve"> an employee to “apply for an order”</w:t>
      </w:r>
      <w:r w:rsidR="007346D3">
        <w:t>,</w:t>
      </w:r>
      <w:r w:rsidR="00C144CC">
        <w:t xml:space="preserve"> </w:t>
      </w:r>
      <w:r w:rsidR="00943937">
        <w:t xml:space="preserve">and </w:t>
      </w:r>
      <w:r w:rsidR="00C144CC">
        <w:t xml:space="preserve">ss 539 and 540(6) allow an industrial association to “apply for an order” </w:t>
      </w:r>
      <w:r w:rsidR="00943937">
        <w:t>(</w:t>
      </w:r>
      <w:r w:rsidR="00C144CC">
        <w:t xml:space="preserve">subject to a member being affected by the contravention and </w:t>
      </w:r>
      <w:r w:rsidR="007346D3">
        <w:t xml:space="preserve">complying with </w:t>
      </w:r>
      <w:r w:rsidR="00C144CC">
        <w:t xml:space="preserve">the </w:t>
      </w:r>
      <w:r w:rsidR="007346D3">
        <w:t xml:space="preserve">s </w:t>
      </w:r>
      <w:proofErr w:type="gramStart"/>
      <w:r w:rsidR="007346D3">
        <w:t xml:space="preserve">544 </w:t>
      </w:r>
      <w:r w:rsidR="00C144CC">
        <w:t>time</w:t>
      </w:r>
      <w:proofErr w:type="gramEnd"/>
      <w:r w:rsidR="00C144CC">
        <w:t xml:space="preserve"> limitation</w:t>
      </w:r>
      <w:r w:rsidR="00943937">
        <w:t>)</w:t>
      </w:r>
      <w:r w:rsidR="003431D8">
        <w:t xml:space="preserve">. </w:t>
      </w:r>
      <w:r w:rsidR="00943937">
        <w:t xml:space="preserve">But properly construed, </w:t>
      </w:r>
      <w:r w:rsidR="002920C0">
        <w:t xml:space="preserve">none of </w:t>
      </w:r>
      <w:r w:rsidR="00943937">
        <w:t xml:space="preserve">these sections say </w:t>
      </w:r>
      <w:r w:rsidR="003431D8">
        <w:t>anything</w:t>
      </w:r>
      <w:r w:rsidR="00943937">
        <w:t xml:space="preserve"> about how the Court, invested with jurisdiction and then dealing with an eligible application, can use such of its powers and procedures as are invoked (including those created by Pt IVA) to quell the justiciable controversy.</w:t>
      </w:r>
      <w:r w:rsidR="008D212A">
        <w:t xml:space="preserve">  </w:t>
      </w:r>
    </w:p>
    <w:p w14:paraId="0CB8B3D9" w14:textId="7FA3B428" w:rsidR="000B47CE" w:rsidRDefault="0071710E" w:rsidP="0071710E">
      <w:pPr>
        <w:pStyle w:val="ParaNumbering"/>
        <w:numPr>
          <w:ilvl w:val="0"/>
          <w:numId w:val="0"/>
        </w:numPr>
        <w:tabs>
          <w:tab w:val="left" w:pos="720"/>
        </w:tabs>
        <w:ind w:hanging="720"/>
      </w:pPr>
      <w:r>
        <w:rPr>
          <w:sz w:val="20"/>
        </w:rPr>
        <w:t>359</w:t>
      </w:r>
      <w:r>
        <w:rPr>
          <w:sz w:val="20"/>
        </w:rPr>
        <w:tab/>
      </w:r>
      <w:r w:rsidR="00484F3D">
        <w:t xml:space="preserve">The </w:t>
      </w:r>
      <w:r w:rsidR="00484F3D">
        <w:rPr>
          <w:i/>
        </w:rPr>
        <w:t xml:space="preserve">third </w:t>
      </w:r>
      <w:r w:rsidR="00484F3D">
        <w:t>reason is that</w:t>
      </w:r>
      <w:r w:rsidR="00D223B4">
        <w:t xml:space="preserve"> </w:t>
      </w:r>
      <w:r w:rsidR="00185A76">
        <w:t>the FW Act</w:t>
      </w:r>
      <w:r w:rsidR="00306853">
        <w:t xml:space="preserve"> demonstrates a legislative intention to operate in tandem with the general powers </w:t>
      </w:r>
      <w:r w:rsidR="009C7156">
        <w:t>conferred on</w:t>
      </w:r>
      <w:r w:rsidR="00306853">
        <w:t xml:space="preserve"> this Court</w:t>
      </w:r>
      <w:r w:rsidR="00326671">
        <w:t xml:space="preserve"> by Parliament</w:t>
      </w:r>
      <w:r w:rsidR="00306853">
        <w:t xml:space="preserve">. </w:t>
      </w:r>
      <w:r w:rsidR="000B47CE">
        <w:t xml:space="preserve">Section 564 </w:t>
      </w:r>
      <w:r w:rsidR="00821B27">
        <w:t xml:space="preserve">is </w:t>
      </w:r>
      <w:r w:rsidR="000B47CE">
        <w:t xml:space="preserve">entitled “No limitation on Federal Court’s powers” </w:t>
      </w:r>
      <w:r w:rsidR="00821B27">
        <w:t xml:space="preserve">and </w:t>
      </w:r>
      <w:r w:rsidR="000B47CE">
        <w:t xml:space="preserve">provides: </w:t>
      </w:r>
    </w:p>
    <w:p w14:paraId="24D84E98" w14:textId="77777777" w:rsidR="000B47CE" w:rsidRPr="000B47CE" w:rsidRDefault="000B47CE" w:rsidP="000B47CE">
      <w:pPr>
        <w:pStyle w:val="Quote1"/>
      </w:pPr>
      <w:r>
        <w:t xml:space="preserve">To avoid doubt, nothing in this Act limits the </w:t>
      </w:r>
      <w:hyperlink r:id="rId24" w:anchor="federal_court" w:history="1">
        <w:r w:rsidRPr="000B47CE">
          <w:t>Federal Court</w:t>
        </w:r>
      </w:hyperlink>
      <w:r>
        <w:t>’</w:t>
      </w:r>
      <w:r w:rsidRPr="000B47CE">
        <w:t>s powers under </w:t>
      </w:r>
      <w:hyperlink r:id="rId25" w:history="1">
        <w:r w:rsidRPr="000B47CE">
          <w:t>section 21</w:t>
        </w:r>
      </w:hyperlink>
      <w:r w:rsidRPr="000B47CE">
        <w:t>, </w:t>
      </w:r>
      <w:hyperlink r:id="rId26" w:history="1">
        <w:r w:rsidRPr="000B47CE">
          <w:t>22</w:t>
        </w:r>
      </w:hyperlink>
      <w:r w:rsidRPr="000B47CE">
        <w:t> or </w:t>
      </w:r>
      <w:hyperlink r:id="rId27" w:history="1">
        <w:r w:rsidRPr="000B47CE">
          <w:t>23</w:t>
        </w:r>
      </w:hyperlink>
      <w:r w:rsidRPr="000B47CE">
        <w:t> of the</w:t>
      </w:r>
      <w:r>
        <w:t xml:space="preserve"> [FCA Act].</w:t>
      </w:r>
    </w:p>
    <w:p w14:paraId="194BF0FE" w14:textId="158DE555" w:rsidR="000B47CE" w:rsidRPr="000B47CE" w:rsidRDefault="0071710E" w:rsidP="0071710E">
      <w:pPr>
        <w:pStyle w:val="ParaNumbering"/>
        <w:numPr>
          <w:ilvl w:val="0"/>
          <w:numId w:val="0"/>
        </w:numPr>
        <w:tabs>
          <w:tab w:val="left" w:pos="720"/>
        </w:tabs>
        <w:ind w:hanging="720"/>
      </w:pPr>
      <w:r w:rsidRPr="000B47CE">
        <w:rPr>
          <w:sz w:val="20"/>
        </w:rPr>
        <w:t>360</w:t>
      </w:r>
      <w:r w:rsidRPr="000B47CE">
        <w:rPr>
          <w:sz w:val="20"/>
        </w:rPr>
        <w:tab/>
      </w:r>
      <w:r w:rsidR="000B47CE">
        <w:t xml:space="preserve">The Explanatory Memorandum to the </w:t>
      </w:r>
      <w:r w:rsidR="000B47CE" w:rsidRPr="003E50F1">
        <w:rPr>
          <w:iCs/>
        </w:rPr>
        <w:t xml:space="preserve">Fair Work Bill </w:t>
      </w:r>
      <w:r w:rsidR="00077B0B" w:rsidRPr="003E50F1">
        <w:rPr>
          <w:iCs/>
        </w:rPr>
        <w:t>2008</w:t>
      </w:r>
      <w:r w:rsidR="000B47CE" w:rsidRPr="000B47CE">
        <w:t xml:space="preserve"> </w:t>
      </w:r>
      <w:r w:rsidR="00CF2B5D">
        <w:t>(</w:t>
      </w:r>
      <w:proofErr w:type="spellStart"/>
      <w:r w:rsidR="00CF2B5D">
        <w:t>Cth</w:t>
      </w:r>
      <w:proofErr w:type="spellEnd"/>
      <w:r w:rsidR="00CF2B5D">
        <w:t xml:space="preserve">) </w:t>
      </w:r>
      <w:r w:rsidR="000B47CE">
        <w:t xml:space="preserve">explains </w:t>
      </w:r>
      <w:r w:rsidR="00CF2B5D">
        <w:t xml:space="preserve">(at [2213]) </w:t>
      </w:r>
      <w:r w:rsidR="000B47CE">
        <w:t xml:space="preserve">that s 564 was </w:t>
      </w:r>
      <w:r w:rsidR="000B47CE" w:rsidRPr="000B47CE">
        <w:t xml:space="preserve">“intended to address authorities which have held that federal industrial laws exhaustively contain the remedies available to enforce those laws”. </w:t>
      </w:r>
    </w:p>
    <w:p w14:paraId="1168F69A" w14:textId="3742B7B1" w:rsidR="000B47CE" w:rsidRDefault="0071710E" w:rsidP="0071710E">
      <w:pPr>
        <w:pStyle w:val="ParaNumbering"/>
        <w:numPr>
          <w:ilvl w:val="0"/>
          <w:numId w:val="0"/>
        </w:numPr>
        <w:tabs>
          <w:tab w:val="left" w:pos="720"/>
        </w:tabs>
        <w:ind w:hanging="720"/>
      </w:pPr>
      <w:r>
        <w:rPr>
          <w:sz w:val="20"/>
        </w:rPr>
        <w:t>361</w:t>
      </w:r>
      <w:r>
        <w:rPr>
          <w:sz w:val="20"/>
        </w:rPr>
        <w:tab/>
      </w:r>
      <w:r w:rsidR="00DD3DD9">
        <w:t>Although this</w:t>
      </w:r>
      <w:r w:rsidR="00821B27">
        <w:t xml:space="preserve"> section is directed at remedies </w:t>
      </w:r>
      <w:r w:rsidR="005E09FD">
        <w:t xml:space="preserve">themselves </w:t>
      </w:r>
      <w:r w:rsidR="00821B27">
        <w:t>rather than the procedure by which any entitlement to a remedial response is ascertained</w:t>
      </w:r>
      <w:r w:rsidR="00DD3DD9">
        <w:t xml:space="preserve"> and </w:t>
      </w:r>
      <w:r w:rsidR="005E09FD">
        <w:t>then record</w:t>
      </w:r>
      <w:r w:rsidR="00DD3DD9">
        <w:t>ed</w:t>
      </w:r>
      <w:r w:rsidR="00821B27">
        <w:t xml:space="preserve">, </w:t>
      </w:r>
      <w:r w:rsidR="00DD3DD9">
        <w:t>its enactment</w:t>
      </w:r>
      <w:r w:rsidR="000B47CE">
        <w:t xml:space="preserve"> demonstrates</w:t>
      </w:r>
      <w:r w:rsidR="000B47CE" w:rsidRPr="000B47CE">
        <w:t xml:space="preserve"> </w:t>
      </w:r>
      <w:r w:rsidR="000B47CE">
        <w:t>that</w:t>
      </w:r>
      <w:r w:rsidR="000B47CE" w:rsidRPr="000B47CE">
        <w:t xml:space="preserve"> </w:t>
      </w:r>
      <w:r w:rsidR="000B47CE">
        <w:t>Parliament</w:t>
      </w:r>
      <w:r w:rsidR="000B47CE" w:rsidRPr="000B47CE">
        <w:t xml:space="preserve"> </w:t>
      </w:r>
      <w:r w:rsidR="000B47CE">
        <w:t>evidently had regard to the intersection between the FW Act and the</w:t>
      </w:r>
      <w:r w:rsidR="000B47CE" w:rsidRPr="000B47CE">
        <w:t xml:space="preserve"> </w:t>
      </w:r>
      <w:r w:rsidR="000B47CE">
        <w:t>Court’s</w:t>
      </w:r>
      <w:r w:rsidR="000B47CE" w:rsidRPr="000B47CE">
        <w:t xml:space="preserve"> </w:t>
      </w:r>
      <w:r w:rsidR="000B47CE">
        <w:t>powers</w:t>
      </w:r>
      <w:r w:rsidR="000B47CE" w:rsidRPr="000B47CE">
        <w:t xml:space="preserve"> </w:t>
      </w:r>
      <w:r w:rsidR="000B47CE">
        <w:t>under</w:t>
      </w:r>
      <w:r w:rsidR="000B47CE" w:rsidRPr="000B47CE">
        <w:t xml:space="preserve"> </w:t>
      </w:r>
      <w:r w:rsidR="000B47CE">
        <w:t>the</w:t>
      </w:r>
      <w:r w:rsidR="00821B27">
        <w:t xml:space="preserve"> FCA Act and, far from there being any intention to affect those powers, there is every indication that no provision of the FW Act was directed to ousting </w:t>
      </w:r>
      <w:r w:rsidR="00821B27" w:rsidRPr="008D212A">
        <w:t>existing</w:t>
      </w:r>
      <w:r w:rsidR="00821B27">
        <w:t xml:space="preserve"> powers and procedures of the Federal Court in relation to any type of matter arising under the FW Act.</w:t>
      </w:r>
      <w:r w:rsidR="00DD3DD9">
        <w:t xml:space="preserve"> </w:t>
      </w:r>
    </w:p>
    <w:p w14:paraId="02C91983" w14:textId="51D01858" w:rsidR="00DD3DD9" w:rsidRPr="005E09FD" w:rsidRDefault="0071710E" w:rsidP="0071710E">
      <w:pPr>
        <w:pStyle w:val="ParaNumbering"/>
        <w:numPr>
          <w:ilvl w:val="0"/>
          <w:numId w:val="0"/>
        </w:numPr>
        <w:tabs>
          <w:tab w:val="left" w:pos="720"/>
        </w:tabs>
        <w:ind w:hanging="720"/>
      </w:pPr>
      <w:r w:rsidRPr="005E09FD">
        <w:rPr>
          <w:sz w:val="20"/>
        </w:rPr>
        <w:t>362</w:t>
      </w:r>
      <w:r w:rsidRPr="005E09FD">
        <w:rPr>
          <w:sz w:val="20"/>
        </w:rPr>
        <w:tab/>
      </w:r>
      <w:r w:rsidR="005E09FD">
        <w:t xml:space="preserve">It is not as if </w:t>
      </w:r>
      <w:r w:rsidR="00500002">
        <w:t>by</w:t>
      </w:r>
      <w:r w:rsidR="005E09FD">
        <w:t xml:space="preserve"> 2009 the use of Pt IVA class actions in the context of employment and industrial disputes was in any way uncommon: see </w:t>
      </w:r>
      <w:r w:rsidR="00500002">
        <w:t>L Meagher</w:t>
      </w:r>
      <w:r w:rsidR="00C72715">
        <w:t>,</w:t>
      </w:r>
      <w:r w:rsidR="00500002">
        <w:t xml:space="preserve"> </w:t>
      </w:r>
      <w:r w:rsidR="00E645FB">
        <w:t>‘</w:t>
      </w:r>
      <w:r w:rsidR="00500002" w:rsidRPr="004D09EE">
        <w:t>Employment Class Actions: Past Use and Present Utility</w:t>
      </w:r>
      <w:r w:rsidR="00E645FB">
        <w:t>’</w:t>
      </w:r>
      <w:r w:rsidR="00C72715">
        <w:t xml:space="preserve"> (2022)</w:t>
      </w:r>
      <w:r w:rsidR="00500002">
        <w:t xml:space="preserve"> 4 </w:t>
      </w:r>
      <w:r w:rsidR="00500002" w:rsidRPr="004D09EE">
        <w:rPr>
          <w:i/>
        </w:rPr>
        <w:t>UNSW Law Journal Forum</w:t>
      </w:r>
      <w:r w:rsidR="00C72715">
        <w:t xml:space="preserve"> 1</w:t>
      </w:r>
      <w:r w:rsidR="00AD4C81">
        <w:t xml:space="preserve"> (at</w:t>
      </w:r>
      <w:r w:rsidR="00C72715">
        <w:t xml:space="preserve"> </w:t>
      </w:r>
      <w:r w:rsidR="00500002">
        <w:t>6</w:t>
      </w:r>
      <w:r w:rsidR="00AD4C81">
        <w:t>)</w:t>
      </w:r>
      <w:r w:rsidR="00500002">
        <w:t>.</w:t>
      </w:r>
      <w:r w:rsidR="005E09FD">
        <w:t xml:space="preserve"> </w:t>
      </w:r>
      <w:r w:rsidR="00500002">
        <w:t xml:space="preserve"> If a substantive change to the law was to occur in 2009 by preventing the use of this </w:t>
      </w:r>
      <w:r w:rsidR="007B511C">
        <w:t>beneficial mode of</w:t>
      </w:r>
      <w:r w:rsidR="00500002">
        <w:t xml:space="preserve"> seeking relief </w:t>
      </w:r>
      <w:r w:rsidR="007B511C">
        <w:t>for</w:t>
      </w:r>
      <w:r w:rsidR="00500002">
        <w:t xml:space="preserve"> contraventions of the FW Act, one would expect such a change to be</w:t>
      </w:r>
      <w:r w:rsidR="00FE4009">
        <w:t xml:space="preserve"> not only</w:t>
      </w:r>
      <w:r w:rsidR="00500002">
        <w:t xml:space="preserve"> remarked upon in the extrinsic materials, but also effected </w:t>
      </w:r>
      <w:r w:rsidR="00C80B33">
        <w:t>by</w:t>
      </w:r>
      <w:r w:rsidR="00500002">
        <w:t xml:space="preserve"> express terms.</w:t>
      </w:r>
    </w:p>
    <w:p w14:paraId="77E46677" w14:textId="25EEB630" w:rsidR="005E09FD" w:rsidRDefault="0071710E" w:rsidP="0071710E">
      <w:pPr>
        <w:pStyle w:val="ParaNumbering"/>
        <w:numPr>
          <w:ilvl w:val="0"/>
          <w:numId w:val="0"/>
        </w:numPr>
        <w:tabs>
          <w:tab w:val="left" w:pos="720"/>
        </w:tabs>
        <w:ind w:hanging="720"/>
      </w:pPr>
      <w:r>
        <w:rPr>
          <w:sz w:val="20"/>
        </w:rPr>
        <w:t>363</w:t>
      </w:r>
      <w:r>
        <w:rPr>
          <w:sz w:val="20"/>
        </w:rPr>
        <w:tab/>
      </w:r>
      <w:r w:rsidR="00857B3B">
        <w:t xml:space="preserve">The </w:t>
      </w:r>
      <w:r w:rsidR="00857B3B">
        <w:rPr>
          <w:i/>
        </w:rPr>
        <w:t>fourth</w:t>
      </w:r>
      <w:r w:rsidR="00857B3B">
        <w:t xml:space="preserve"> reason is that</w:t>
      </w:r>
      <w:r w:rsidR="00500002">
        <w:t xml:space="preserve"> P</w:t>
      </w:r>
      <w:r w:rsidR="00500002" w:rsidRPr="00500002">
        <w:t xml:space="preserve">t IVA </w:t>
      </w:r>
      <w:r w:rsidR="002A77EB">
        <w:t xml:space="preserve">grants the Court broad and flexible powers to deal with matters within jurisdiction: Pt IVA </w:t>
      </w:r>
      <w:r w:rsidR="00500002" w:rsidRPr="00500002">
        <w:t>is not to be read by making implications or imposing limitations not found in the words used: </w:t>
      </w:r>
      <w:hyperlink r:id="rId28" w:history="1">
        <w:r w:rsidR="00500002" w:rsidRPr="002A77EB">
          <w:rPr>
            <w:i/>
          </w:rPr>
          <w:t xml:space="preserve">Wong v </w:t>
        </w:r>
        <w:proofErr w:type="spellStart"/>
        <w:r w:rsidR="00500002" w:rsidRPr="002A77EB">
          <w:rPr>
            <w:i/>
          </w:rPr>
          <w:t>Silkfield</w:t>
        </w:r>
        <w:proofErr w:type="spellEnd"/>
        <w:r w:rsidR="00500002" w:rsidRPr="002A77EB">
          <w:rPr>
            <w:i/>
          </w:rPr>
          <w:t> Pty Ltd</w:t>
        </w:r>
      </w:hyperlink>
      <w:r w:rsidR="00500002" w:rsidRPr="00500002">
        <w:t> [1999] HCA 48; (1999) 199 CLR 255 (at </w:t>
      </w:r>
      <w:hyperlink r:id="rId29" w:history="1">
        <w:r w:rsidR="00500002" w:rsidRPr="00500002">
          <w:t>260–261</w:t>
        </w:r>
      </w:hyperlink>
      <w:r w:rsidR="00500002" w:rsidRPr="00500002">
        <w:t> </w:t>
      </w:r>
      <w:hyperlink r:id="rId30" w:history="1">
        <w:r w:rsidR="00500002" w:rsidRPr="00500002">
          <w:t>[11]</w:t>
        </w:r>
      </w:hyperlink>
      <w:r w:rsidR="00500002" w:rsidRPr="00500002">
        <w:t> per Gleeson CJ, McHugh, Gummow, Kirby and Callinan JJ).</w:t>
      </w:r>
      <w:r w:rsidR="005E09FD">
        <w:t xml:space="preserve"> </w:t>
      </w:r>
      <w:r w:rsidR="002A77EB">
        <w:t xml:space="preserve">The same applies for limiting the reach of the class action regime because of </w:t>
      </w:r>
      <w:r w:rsidR="0030065F">
        <w:t xml:space="preserve">the </w:t>
      </w:r>
      <w:r w:rsidR="002A77EB">
        <w:t>subsequent enactment of different types of procedures absent express words.</w:t>
      </w:r>
    </w:p>
    <w:p w14:paraId="103BE610" w14:textId="0EAE5AC3" w:rsidR="00B83165" w:rsidRDefault="0071710E" w:rsidP="00B83165">
      <w:pPr>
        <w:pStyle w:val="Heading1"/>
      </w:pPr>
      <w:r>
        <w:rPr>
          <w:caps w:val="0"/>
        </w:rPr>
        <w:t>C</w:t>
      </w:r>
      <w:r>
        <w:rPr>
          <w:caps w:val="0"/>
        </w:rPr>
        <w:tab/>
        <w:t>IS THE POWER ISSUE MERELY ADVISORY?</w:t>
      </w:r>
    </w:p>
    <w:p w14:paraId="64F59D8C" w14:textId="586E98F4" w:rsidR="00663FE1" w:rsidRDefault="0071710E" w:rsidP="0071710E">
      <w:pPr>
        <w:pStyle w:val="ParaNumbering"/>
        <w:numPr>
          <w:ilvl w:val="0"/>
          <w:numId w:val="0"/>
        </w:numPr>
        <w:tabs>
          <w:tab w:val="left" w:pos="720"/>
        </w:tabs>
        <w:ind w:hanging="720"/>
      </w:pPr>
      <w:r>
        <w:rPr>
          <w:sz w:val="20"/>
        </w:rPr>
        <w:t>364</w:t>
      </w:r>
      <w:r>
        <w:rPr>
          <w:sz w:val="20"/>
        </w:rPr>
        <w:tab/>
      </w:r>
      <w:r w:rsidR="00A5115E">
        <w:t>With respect to the contradictor, the submissions made as to whether the Reserved Question gave rise to an immediate</w:t>
      </w:r>
      <w:r w:rsidR="00A5115E">
        <w:rPr>
          <w:spacing w:val="-1"/>
        </w:rPr>
        <w:t xml:space="preserve"> </w:t>
      </w:r>
      <w:r w:rsidR="00A5115E">
        <w:t xml:space="preserve">right, duty or liability tended to elide </w:t>
      </w:r>
      <w:r w:rsidR="00663FE1">
        <w:t>distinct but logically connected issues</w:t>
      </w:r>
      <w:r w:rsidR="000F1B6B">
        <w:t xml:space="preserve">. </w:t>
      </w:r>
      <w:r w:rsidR="00663FE1">
        <w:t xml:space="preserve">This is understandable </w:t>
      </w:r>
      <w:r w:rsidR="00663FE1" w:rsidRPr="00663FE1">
        <w:t xml:space="preserve">as questions of jurisdiction, judicial power and the power and discretion to </w:t>
      </w:r>
      <w:r w:rsidR="00663FE1">
        <w:t xml:space="preserve">answer a reserved question (which is </w:t>
      </w:r>
      <w:r w:rsidR="00663FE1" w:rsidRPr="00663FE1">
        <w:t>essentially in the nature of a declaration</w:t>
      </w:r>
      <w:r w:rsidR="00663FE1">
        <w:t>),</w:t>
      </w:r>
      <w:r w:rsidR="00663FE1" w:rsidRPr="00663FE1">
        <w:t xml:space="preserve"> can be seen to be intertwined: </w:t>
      </w:r>
      <w:hyperlink r:id="rId31" w:history="1">
        <w:r w:rsidR="00663FE1" w:rsidRPr="00663FE1">
          <w:rPr>
            <w:i/>
          </w:rPr>
          <w:t>National Australia Bank Ltd v Nautilus Insurance Pte Ltd (No 2)</w:t>
        </w:r>
      </w:hyperlink>
      <w:r w:rsidR="00663FE1" w:rsidRPr="00663FE1">
        <w:t> [2019] FCA 1543; (2019) 377 ALR 627 (</w:t>
      </w:r>
      <w:r w:rsidR="00452263" w:rsidRPr="00663FE1">
        <w:t>at </w:t>
      </w:r>
      <w:hyperlink r:id="rId32" w:history="1">
        <w:r w:rsidR="00452263" w:rsidRPr="00663FE1">
          <w:t>629</w:t>
        </w:r>
      </w:hyperlink>
      <w:r w:rsidR="00452263" w:rsidRPr="00663FE1">
        <w:t> </w:t>
      </w:r>
      <w:hyperlink r:id="rId33" w:history="1">
        <w:r w:rsidR="00452263" w:rsidRPr="00663FE1">
          <w:t>[7]</w:t>
        </w:r>
      </w:hyperlink>
      <w:r w:rsidR="00452263">
        <w:t xml:space="preserve"> </w:t>
      </w:r>
      <w:r w:rsidR="00663FE1" w:rsidRPr="00663FE1">
        <w:t>per Allsop CJ)</w:t>
      </w:r>
      <w:r w:rsidR="00663FE1">
        <w:t xml:space="preserve">. </w:t>
      </w:r>
    </w:p>
    <w:p w14:paraId="3DA9E45E" w14:textId="18F70B06" w:rsidR="00B83165" w:rsidRDefault="0071710E" w:rsidP="0071710E">
      <w:pPr>
        <w:pStyle w:val="ParaNumbering"/>
        <w:numPr>
          <w:ilvl w:val="0"/>
          <w:numId w:val="0"/>
        </w:numPr>
        <w:tabs>
          <w:tab w:val="left" w:pos="720"/>
        </w:tabs>
        <w:ind w:hanging="720"/>
      </w:pPr>
      <w:r>
        <w:rPr>
          <w:sz w:val="20"/>
        </w:rPr>
        <w:t>365</w:t>
      </w:r>
      <w:r>
        <w:rPr>
          <w:sz w:val="20"/>
        </w:rPr>
        <w:tab/>
      </w:r>
      <w:r w:rsidR="00663FE1">
        <w:t xml:space="preserve">This section of the reasons will deal with </w:t>
      </w:r>
      <w:r w:rsidR="002920C0">
        <w:t xml:space="preserve">what </w:t>
      </w:r>
      <w:r w:rsidR="00CA31C4">
        <w:t xml:space="preserve">is </w:t>
      </w:r>
      <w:r w:rsidR="002920C0">
        <w:t xml:space="preserve">described as </w:t>
      </w:r>
      <w:r w:rsidR="00663FE1">
        <w:t xml:space="preserve">the jurisdictional argument that </w:t>
      </w:r>
      <w:r w:rsidR="00663FE1" w:rsidRPr="00E35D36">
        <w:t>the</w:t>
      </w:r>
      <w:r w:rsidR="004A34D5">
        <w:t xml:space="preserve">re is </w:t>
      </w:r>
      <w:r w:rsidR="002920C0">
        <w:t xml:space="preserve">presently </w:t>
      </w:r>
      <w:r w:rsidR="004A34D5">
        <w:t>no “matter”</w:t>
      </w:r>
      <w:r w:rsidR="002621EF">
        <w:t xml:space="preserve"> (as that word is used in its constitutional sense)</w:t>
      </w:r>
      <w:r w:rsidR="00663FE1" w:rsidRPr="00E35D36">
        <w:t>.</w:t>
      </w:r>
      <w:r w:rsidR="00E35D36" w:rsidRPr="00E35D36">
        <w:t xml:space="preserve"> </w:t>
      </w:r>
      <w:r w:rsidR="006D2AD9">
        <w:t xml:space="preserve">Save for the </w:t>
      </w:r>
      <w:r w:rsidR="00387BBB">
        <w:t xml:space="preserve">submissions of the </w:t>
      </w:r>
      <w:r w:rsidR="006D2AD9">
        <w:t>applicants, e</w:t>
      </w:r>
      <w:r w:rsidR="008B37AB">
        <w:t xml:space="preserve">ach submission </w:t>
      </w:r>
      <w:r w:rsidR="002920C0">
        <w:t xml:space="preserve">on this topic </w:t>
      </w:r>
      <w:r w:rsidR="004A34D5">
        <w:t xml:space="preserve">implicitly </w:t>
      </w:r>
      <w:r w:rsidR="008B37AB">
        <w:t xml:space="preserve">assumed that the issue as to the power to make a Settlement CFO </w:t>
      </w:r>
      <w:r w:rsidR="002920C0">
        <w:t xml:space="preserve">needed to </w:t>
      </w:r>
      <w:r w:rsidR="00F85016">
        <w:t>be</w:t>
      </w:r>
      <w:r w:rsidR="002920C0">
        <w:t xml:space="preserve"> conceptualised as</w:t>
      </w:r>
      <w:r w:rsidR="008B37AB">
        <w:t xml:space="preserve"> </w:t>
      </w:r>
      <w:r w:rsidR="00645279">
        <w:t xml:space="preserve">a </w:t>
      </w:r>
      <w:r w:rsidR="004A34D5">
        <w:t>discrete</w:t>
      </w:r>
      <w:r w:rsidR="008B37AB">
        <w:t xml:space="preserve"> </w:t>
      </w:r>
      <w:r w:rsidR="004A34D5">
        <w:t xml:space="preserve">controversy and </w:t>
      </w:r>
      <w:r w:rsidR="002621EF">
        <w:t xml:space="preserve">any alleged justiciable issue as to power </w:t>
      </w:r>
      <w:r w:rsidR="000F1B6B">
        <w:t xml:space="preserve">was </w:t>
      </w:r>
      <w:r w:rsidR="008B37AB">
        <w:t>distinct</w:t>
      </w:r>
      <w:r w:rsidR="004A34D5">
        <w:t xml:space="preserve"> from the </w:t>
      </w:r>
      <w:r w:rsidR="007B511C">
        <w:t xml:space="preserve">substantive </w:t>
      </w:r>
      <w:r w:rsidR="009E2C8D">
        <w:t xml:space="preserve">matter or matters </w:t>
      </w:r>
      <w:r w:rsidR="007B511C">
        <w:t>(</w:t>
      </w:r>
      <w:r w:rsidR="002621EF">
        <w:t>arising from</w:t>
      </w:r>
      <w:r w:rsidR="009E2C8D">
        <w:t xml:space="preserve"> the </w:t>
      </w:r>
      <w:r w:rsidR="00B143F3">
        <w:t xml:space="preserve">underlying </w:t>
      </w:r>
      <w:r w:rsidR="004A34D5" w:rsidRPr="004A34D5">
        <w:t>substratum of facts and claims</w:t>
      </w:r>
      <w:r w:rsidR="00B143F3">
        <w:t xml:space="preserve"> as between and among the applicants, the SDA, group members, MAL and the franchisees</w:t>
      </w:r>
      <w:r w:rsidR="007B511C">
        <w:t>)</w:t>
      </w:r>
      <w:r w:rsidR="004A34D5" w:rsidRPr="004A34D5">
        <w:t>.</w:t>
      </w:r>
      <w:r w:rsidR="002920C0">
        <w:t xml:space="preserve"> </w:t>
      </w:r>
    </w:p>
    <w:p w14:paraId="39AAC231" w14:textId="56872082" w:rsidR="006D2AD9" w:rsidRDefault="0071710E" w:rsidP="0071710E">
      <w:pPr>
        <w:pStyle w:val="ParaNumbering"/>
        <w:numPr>
          <w:ilvl w:val="0"/>
          <w:numId w:val="0"/>
        </w:numPr>
        <w:tabs>
          <w:tab w:val="left" w:pos="720"/>
        </w:tabs>
        <w:ind w:hanging="720"/>
      </w:pPr>
      <w:r>
        <w:rPr>
          <w:sz w:val="20"/>
        </w:rPr>
        <w:t>366</w:t>
      </w:r>
      <w:r>
        <w:rPr>
          <w:sz w:val="20"/>
        </w:rPr>
        <w:tab/>
      </w:r>
      <w:r w:rsidR="008B37AB">
        <w:t>I</w:t>
      </w:r>
      <w:r w:rsidR="00645279">
        <w:t xml:space="preserve">n </w:t>
      </w:r>
      <w:r w:rsidR="008B37AB">
        <w:t xml:space="preserve"> </w:t>
      </w:r>
      <w:r w:rsidR="00645279" w:rsidRPr="002621EF">
        <w:rPr>
          <w:i/>
        </w:rPr>
        <w:t>Williams v Toyota Motor Corporation Australia Limited</w:t>
      </w:r>
      <w:r w:rsidR="00645279" w:rsidRPr="00645279">
        <w:t xml:space="preserve"> [2021] FCA 1425; (2021) 288 FCR 282</w:t>
      </w:r>
      <w:r w:rsidR="00CA3A93">
        <w:t xml:space="preserve"> (at 293–294 </w:t>
      </w:r>
      <w:r w:rsidR="004C6110">
        <w:t>[56]–[57])</w:t>
      </w:r>
      <w:r w:rsidR="00645279" w:rsidRPr="00645279">
        <w:t xml:space="preserve">, I </w:t>
      </w:r>
      <w:r w:rsidR="008B37AB">
        <w:t>had cause to consider, and doubt the correctness of, the observation</w:t>
      </w:r>
      <w:r w:rsidR="003403DE">
        <w:t xml:space="preserve"> of Wilcox</w:t>
      </w:r>
      <w:r w:rsidR="00D513E5">
        <w:t> </w:t>
      </w:r>
      <w:r w:rsidR="003403DE">
        <w:t>J</w:t>
      </w:r>
      <w:r w:rsidR="008B37AB">
        <w:t xml:space="preserve"> in</w:t>
      </w:r>
      <w:r w:rsidR="00A5115E" w:rsidRPr="00A5115E">
        <w:t> </w:t>
      </w:r>
      <w:r w:rsidR="00A5115E" w:rsidRPr="002621EF">
        <w:rPr>
          <w:i/>
        </w:rPr>
        <w:t>Nixon v Philip Morris (Australia) Ltd</w:t>
      </w:r>
      <w:r w:rsidR="008B37AB">
        <w:t xml:space="preserve"> </w:t>
      </w:r>
      <w:r w:rsidR="008B37AB" w:rsidRPr="008B37AB">
        <w:t>[1999] FCA 1107; (1999) 95 FCR 453</w:t>
      </w:r>
      <w:r w:rsidR="00A5115E" w:rsidRPr="00A5115E">
        <w:t xml:space="preserve"> </w:t>
      </w:r>
      <w:r w:rsidR="008B37AB" w:rsidRPr="008B37AB">
        <w:t>(</w:t>
      </w:r>
      <w:r w:rsidR="00A5115E" w:rsidRPr="00A5115E">
        <w:t>at </w:t>
      </w:r>
      <w:hyperlink r:id="rId34" w:history="1">
        <w:r w:rsidR="00A5115E" w:rsidRPr="008B37AB">
          <w:t>484</w:t>
        </w:r>
      </w:hyperlink>
      <w:r w:rsidR="00A5115E" w:rsidRPr="00A5115E">
        <w:t> </w:t>
      </w:r>
      <w:hyperlink r:id="rId35" w:history="1">
        <w:r w:rsidR="00A5115E" w:rsidRPr="008B37AB">
          <w:t>[52]</w:t>
        </w:r>
      </w:hyperlink>
      <w:r w:rsidR="00A5115E" w:rsidRPr="00A5115E">
        <w:t>) that Pt IVA provides a mechanism for determining, in the one proceeding, individual claims</w:t>
      </w:r>
      <w:r w:rsidR="008B37AB">
        <w:t>,</w:t>
      </w:r>
      <w:r w:rsidR="00A5115E" w:rsidRPr="00A5115E">
        <w:t> each of which</w:t>
      </w:r>
      <w:r w:rsidR="00B5640F" w:rsidRPr="00B5640F">
        <w:t xml:space="preserve"> </w:t>
      </w:r>
      <w:r w:rsidR="00A5115E" w:rsidRPr="002621EF">
        <w:rPr>
          <w:i/>
        </w:rPr>
        <w:t>must</w:t>
      </w:r>
      <w:r w:rsidR="00A5115E" w:rsidRPr="00A5115E">
        <w:t xml:space="preserve"> be a “</w:t>
      </w:r>
      <w:r w:rsidR="00A5115E" w:rsidRPr="008B37AB">
        <w:t>matter</w:t>
      </w:r>
      <w:r w:rsidR="00A5115E" w:rsidRPr="00A5115E">
        <w:t>” within the meaning of</w:t>
      </w:r>
      <w:r w:rsidR="00B5640F" w:rsidRPr="00B5640F">
        <w:t xml:space="preserve"> </w:t>
      </w:r>
      <w:r w:rsidR="00A5115E" w:rsidRPr="00A5115E">
        <w:t>ss</w:t>
      </w:r>
      <w:r w:rsidR="00B5640F" w:rsidRPr="00B5640F">
        <w:t xml:space="preserve"> 76 </w:t>
      </w:r>
      <w:r w:rsidR="00A5115E" w:rsidRPr="00A5115E">
        <w:t>and</w:t>
      </w:r>
      <w:r w:rsidR="00B5640F" w:rsidRPr="00B5640F">
        <w:t xml:space="preserve"> 77 </w:t>
      </w:r>
      <w:r w:rsidR="00A5115E" w:rsidRPr="00A5115E">
        <w:t>of the</w:t>
      </w:r>
      <w:r w:rsidR="00B5640F" w:rsidRPr="00B5640F">
        <w:t xml:space="preserve"> </w:t>
      </w:r>
      <w:r w:rsidR="00A5115E" w:rsidRPr="00F235F5">
        <w:rPr>
          <w:i/>
        </w:rPr>
        <w:t>Constitution</w:t>
      </w:r>
      <w:r w:rsidR="00A5115E" w:rsidRPr="00A5115E">
        <w:t xml:space="preserve">. For my part, </w:t>
      </w:r>
      <w:r w:rsidR="008B37AB" w:rsidRPr="008B37AB">
        <w:t>to</w:t>
      </w:r>
      <w:r w:rsidR="00A5115E" w:rsidRPr="00A5115E">
        <w:t xml:space="preserve"> assert in an</w:t>
      </w:r>
      <w:r w:rsidR="00B5640F" w:rsidRPr="00B5640F">
        <w:t xml:space="preserve"> </w:t>
      </w:r>
      <w:r w:rsidR="00A5115E" w:rsidRPr="00265F64">
        <w:rPr>
          <w:i/>
        </w:rPr>
        <w:t>a priori</w:t>
      </w:r>
      <w:r w:rsidR="00B5640F" w:rsidRPr="00B5640F">
        <w:t xml:space="preserve"> </w:t>
      </w:r>
      <w:r w:rsidR="00A5115E" w:rsidRPr="00A5115E">
        <w:t>way that each claim in a class action</w:t>
      </w:r>
      <w:r w:rsidR="00B5640F" w:rsidRPr="00B5640F">
        <w:t xml:space="preserve"> </w:t>
      </w:r>
      <w:r w:rsidR="00A5115E" w:rsidRPr="00A5115E">
        <w:t>must</w:t>
      </w:r>
      <w:r w:rsidR="00B5640F" w:rsidRPr="00B5640F">
        <w:t xml:space="preserve"> </w:t>
      </w:r>
      <w:r w:rsidR="00A5115E" w:rsidRPr="00A5115E">
        <w:t>be an individual “</w:t>
      </w:r>
      <w:r w:rsidR="00A5115E" w:rsidRPr="008B37AB">
        <w:t>matter</w:t>
      </w:r>
      <w:r w:rsidR="00A5115E" w:rsidRPr="00A5115E">
        <w:t>”, or that all of the claims as g</w:t>
      </w:r>
      <w:r w:rsidR="008847D3">
        <w:t>rouped in the class action must</w:t>
      </w:r>
      <w:r w:rsidR="00A5115E" w:rsidRPr="00A5115E">
        <w:t xml:space="preserve"> be part of the one “</w:t>
      </w:r>
      <w:r w:rsidR="00A5115E" w:rsidRPr="008B37AB">
        <w:t>matter</w:t>
      </w:r>
      <w:r w:rsidR="00A5115E" w:rsidRPr="00A5115E">
        <w:t xml:space="preserve">”, is </w:t>
      </w:r>
      <w:r w:rsidR="002621EF">
        <w:t xml:space="preserve">difficult to reconcile with the breadth of the concept of what can constitute a “matter” </w:t>
      </w:r>
      <w:r w:rsidR="008F4588">
        <w:t>(</w:t>
      </w:r>
      <w:r w:rsidR="002621EF">
        <w:t xml:space="preserve">see </w:t>
      </w:r>
      <w:r w:rsidR="002621EF" w:rsidRPr="008F4588">
        <w:rPr>
          <w:i/>
        </w:rPr>
        <w:t xml:space="preserve">Re Wakim; Ex </w:t>
      </w:r>
      <w:proofErr w:type="spellStart"/>
      <w:r w:rsidR="002621EF" w:rsidRPr="008F4588">
        <w:rPr>
          <w:i/>
        </w:rPr>
        <w:t>parte</w:t>
      </w:r>
      <w:proofErr w:type="spellEnd"/>
      <w:r w:rsidR="002621EF" w:rsidRPr="008F4588">
        <w:rPr>
          <w:i/>
        </w:rPr>
        <w:t xml:space="preserve"> McNally</w:t>
      </w:r>
      <w:r w:rsidR="002621EF" w:rsidRPr="008F4588">
        <w:t xml:space="preserve"> (1999) 198 CLR </w:t>
      </w:r>
      <w:r w:rsidR="008F4588" w:rsidRPr="008F4588">
        <w:t>511</w:t>
      </w:r>
      <w:r w:rsidR="002621EF" w:rsidRPr="008F4588">
        <w:t xml:space="preserve"> (</w:t>
      </w:r>
      <w:r w:rsidR="00265F64">
        <w:t>at 585–</w:t>
      </w:r>
      <w:r w:rsidR="003F170B">
        <w:t>5</w:t>
      </w:r>
      <w:r w:rsidR="00265F64" w:rsidRPr="008F4588">
        <w:t>86</w:t>
      </w:r>
      <w:r w:rsidR="00265F64">
        <w:t xml:space="preserve"> </w:t>
      </w:r>
      <w:r w:rsidR="002621EF" w:rsidRPr="008F4588">
        <w:t>per Gummow and Hayne JJ</w:t>
      </w:r>
      <w:r w:rsidR="008F4588">
        <w:t>)</w:t>
      </w:r>
      <w:r w:rsidR="002F0C75">
        <w:t>)</w:t>
      </w:r>
      <w:r w:rsidR="002621EF" w:rsidRPr="008F4588">
        <w:t xml:space="preserve"> </w:t>
      </w:r>
      <w:r w:rsidR="002621EF">
        <w:t xml:space="preserve">but also </w:t>
      </w:r>
      <w:r w:rsidR="008F4588">
        <w:t>gives</w:t>
      </w:r>
      <w:r w:rsidR="00A5115E" w:rsidRPr="00A5115E">
        <w:t xml:space="preserve"> insufficient recognition to the different extents of commonality that can exist in (and within) claims grouped in a Pt IVA proceeding. All that is necessary is that the claims be in a “</w:t>
      </w:r>
      <w:r w:rsidR="00A5115E" w:rsidRPr="008B37AB">
        <w:t>matter</w:t>
      </w:r>
      <w:r w:rsidR="00A5115E" w:rsidRPr="00A5115E">
        <w:t xml:space="preserve">” </w:t>
      </w:r>
      <w:r w:rsidR="008F4588">
        <w:t xml:space="preserve">or “matters” </w:t>
      </w:r>
      <w:r w:rsidR="00A5115E" w:rsidRPr="00A5115E">
        <w:t>within the subject </w:t>
      </w:r>
      <w:r w:rsidR="00A5115E" w:rsidRPr="008B37AB">
        <w:t>matter</w:t>
      </w:r>
      <w:r w:rsidR="00A5115E" w:rsidRPr="00A5115E">
        <w:t xml:space="preserve"> jurisdiction of the Court. </w:t>
      </w:r>
      <w:r w:rsidR="006D2AD9">
        <w:t xml:space="preserve"> </w:t>
      </w:r>
    </w:p>
    <w:p w14:paraId="66E895AF" w14:textId="402E97EC" w:rsidR="006D2AD9" w:rsidRDefault="0071710E" w:rsidP="0071710E">
      <w:pPr>
        <w:pStyle w:val="ParaNumbering"/>
        <w:numPr>
          <w:ilvl w:val="0"/>
          <w:numId w:val="0"/>
        </w:numPr>
        <w:tabs>
          <w:tab w:val="left" w:pos="720"/>
        </w:tabs>
        <w:ind w:hanging="720"/>
      </w:pPr>
      <w:r>
        <w:rPr>
          <w:sz w:val="20"/>
        </w:rPr>
        <w:t>367</w:t>
      </w:r>
      <w:r>
        <w:rPr>
          <w:sz w:val="20"/>
        </w:rPr>
        <w:tab/>
      </w:r>
      <w:r w:rsidR="008B37AB">
        <w:t xml:space="preserve">But this </w:t>
      </w:r>
      <w:r w:rsidR="004A34D5">
        <w:t xml:space="preserve">debate </w:t>
      </w:r>
      <w:r w:rsidR="008B37AB">
        <w:t>is beside the point for present purposes</w:t>
      </w:r>
      <w:r w:rsidR="00645279">
        <w:t>,</w:t>
      </w:r>
      <w:r w:rsidR="004A34D5">
        <w:t xml:space="preserve"> as is the </w:t>
      </w:r>
      <w:r w:rsidR="00645279">
        <w:t xml:space="preserve">correctness of the </w:t>
      </w:r>
      <w:r w:rsidR="004A34D5">
        <w:t xml:space="preserve">assumption </w:t>
      </w:r>
      <w:r w:rsidR="00645279">
        <w:t xml:space="preserve">made in submissions </w:t>
      </w:r>
      <w:r w:rsidR="004A34D5">
        <w:t xml:space="preserve">that the issue as to power </w:t>
      </w:r>
      <w:r w:rsidR="00645279">
        <w:t xml:space="preserve">raised by the Reserved Question </w:t>
      </w:r>
      <w:proofErr w:type="gramStart"/>
      <w:r w:rsidR="004A34D5">
        <w:t>has to</w:t>
      </w:r>
      <w:proofErr w:type="gramEnd"/>
      <w:r w:rsidR="004A34D5">
        <w:t xml:space="preserve"> be conceived </w:t>
      </w:r>
      <w:r w:rsidR="00A91456">
        <w:t xml:space="preserve">of </w:t>
      </w:r>
      <w:r w:rsidR="004A34D5">
        <w:t>as a “matter”</w:t>
      </w:r>
      <w:r w:rsidR="00645279">
        <w:t xml:space="preserve"> in its own right</w:t>
      </w:r>
      <w:r w:rsidR="008B37AB">
        <w:t xml:space="preserve">. </w:t>
      </w:r>
      <w:r w:rsidR="006D2AD9">
        <w:t xml:space="preserve">The question of </w:t>
      </w:r>
      <w:r w:rsidR="0099237A">
        <w:t xml:space="preserve">the </w:t>
      </w:r>
      <w:r w:rsidR="006D2AD9">
        <w:t xml:space="preserve">proper characterisation of a “matter” is </w:t>
      </w:r>
      <w:r w:rsidR="00B143F3">
        <w:t xml:space="preserve">not </w:t>
      </w:r>
      <w:r w:rsidR="006D2AD9">
        <w:t>revisited</w:t>
      </w:r>
      <w:r w:rsidR="006D2AD9" w:rsidRPr="00961EC0">
        <w:rPr>
          <w:spacing w:val="-12"/>
        </w:rPr>
        <w:t xml:space="preserve"> </w:t>
      </w:r>
      <w:r w:rsidR="006D2AD9">
        <w:t>for</w:t>
      </w:r>
      <w:r w:rsidR="006D2AD9" w:rsidRPr="00961EC0">
        <w:rPr>
          <w:spacing w:val="-10"/>
        </w:rPr>
        <w:t xml:space="preserve"> </w:t>
      </w:r>
      <w:r w:rsidR="006D2AD9">
        <w:t>every</w:t>
      </w:r>
      <w:r w:rsidR="006D2AD9" w:rsidRPr="00961EC0">
        <w:rPr>
          <w:spacing w:val="-12"/>
        </w:rPr>
        <w:t xml:space="preserve"> </w:t>
      </w:r>
      <w:r w:rsidR="006D2AD9">
        <w:t>intermediate</w:t>
      </w:r>
      <w:r w:rsidR="006D2AD9" w:rsidRPr="00961EC0">
        <w:rPr>
          <w:spacing w:val="-13"/>
        </w:rPr>
        <w:t xml:space="preserve"> </w:t>
      </w:r>
      <w:r w:rsidR="006D2AD9">
        <w:t>question</w:t>
      </w:r>
      <w:r w:rsidR="006D2AD9" w:rsidRPr="00961EC0">
        <w:rPr>
          <w:spacing w:val="-12"/>
        </w:rPr>
        <w:t xml:space="preserve"> </w:t>
      </w:r>
      <w:r w:rsidR="006D2AD9">
        <w:t>of</w:t>
      </w:r>
      <w:r w:rsidR="006D2AD9" w:rsidRPr="00961EC0">
        <w:rPr>
          <w:spacing w:val="-10"/>
        </w:rPr>
        <w:t xml:space="preserve"> </w:t>
      </w:r>
      <w:r w:rsidR="006D2AD9">
        <w:t>fact</w:t>
      </w:r>
      <w:r w:rsidR="006D2AD9" w:rsidRPr="00961EC0">
        <w:rPr>
          <w:spacing w:val="-12"/>
        </w:rPr>
        <w:t xml:space="preserve"> </w:t>
      </w:r>
      <w:r w:rsidR="006D2AD9">
        <w:t>or</w:t>
      </w:r>
      <w:r w:rsidR="006D2AD9" w:rsidRPr="00961EC0">
        <w:rPr>
          <w:spacing w:val="-10"/>
        </w:rPr>
        <w:t xml:space="preserve"> </w:t>
      </w:r>
      <w:r w:rsidR="006D2AD9">
        <w:t>law</w:t>
      </w:r>
      <w:r w:rsidR="006D2AD9" w:rsidRPr="00961EC0">
        <w:rPr>
          <w:spacing w:val="-13"/>
        </w:rPr>
        <w:t xml:space="preserve"> </w:t>
      </w:r>
      <w:r w:rsidR="006D2AD9">
        <w:t>that</w:t>
      </w:r>
      <w:r w:rsidR="006D2AD9" w:rsidRPr="00961EC0">
        <w:rPr>
          <w:spacing w:val="-12"/>
        </w:rPr>
        <w:t xml:space="preserve"> </w:t>
      </w:r>
      <w:r w:rsidR="006D2AD9">
        <w:t>arises. Once</w:t>
      </w:r>
      <w:r w:rsidR="006D2AD9" w:rsidRPr="00961EC0">
        <w:rPr>
          <w:spacing w:val="-11"/>
        </w:rPr>
        <w:t xml:space="preserve"> </w:t>
      </w:r>
      <w:r w:rsidR="006D2AD9">
        <w:t>there</w:t>
      </w:r>
      <w:r w:rsidR="006D2AD9" w:rsidRPr="00961EC0">
        <w:rPr>
          <w:spacing w:val="-11"/>
        </w:rPr>
        <w:t xml:space="preserve"> </w:t>
      </w:r>
      <w:r w:rsidR="006D2AD9">
        <w:t>is</w:t>
      </w:r>
      <w:r w:rsidR="006D2AD9" w:rsidRPr="00961EC0">
        <w:rPr>
          <w:spacing w:val="-9"/>
        </w:rPr>
        <w:t xml:space="preserve"> </w:t>
      </w:r>
      <w:r w:rsidR="006D2AD9">
        <w:t>a</w:t>
      </w:r>
      <w:r w:rsidR="006D2AD9" w:rsidRPr="00961EC0">
        <w:rPr>
          <w:spacing w:val="-11"/>
        </w:rPr>
        <w:t xml:space="preserve"> </w:t>
      </w:r>
      <w:r w:rsidR="006D2AD9">
        <w:t>matter</w:t>
      </w:r>
      <w:r w:rsidR="006D2AD9" w:rsidRPr="00961EC0">
        <w:rPr>
          <w:spacing w:val="-10"/>
        </w:rPr>
        <w:t xml:space="preserve"> </w:t>
      </w:r>
      <w:r w:rsidR="006D2AD9">
        <w:t>in</w:t>
      </w:r>
      <w:r w:rsidR="006D2AD9" w:rsidRPr="00961EC0">
        <w:rPr>
          <w:spacing w:val="-10"/>
        </w:rPr>
        <w:t xml:space="preserve"> </w:t>
      </w:r>
      <w:r w:rsidR="006D2AD9">
        <w:t>this</w:t>
      </w:r>
      <w:r w:rsidR="006D2AD9" w:rsidRPr="00961EC0">
        <w:rPr>
          <w:spacing w:val="-9"/>
        </w:rPr>
        <w:t xml:space="preserve"> </w:t>
      </w:r>
      <w:r w:rsidR="006D2AD9">
        <w:t>Court,</w:t>
      </w:r>
      <w:r w:rsidR="006D2AD9" w:rsidRPr="00961EC0">
        <w:rPr>
          <w:spacing w:val="-10"/>
        </w:rPr>
        <w:t xml:space="preserve"> </w:t>
      </w:r>
      <w:r w:rsidR="006D2AD9">
        <w:t>the</w:t>
      </w:r>
      <w:r w:rsidR="006D2AD9" w:rsidRPr="00961EC0">
        <w:rPr>
          <w:spacing w:val="-13"/>
        </w:rPr>
        <w:t xml:space="preserve"> </w:t>
      </w:r>
      <w:r w:rsidR="006D2AD9">
        <w:t>Court</w:t>
      </w:r>
      <w:r w:rsidR="006D2AD9" w:rsidRPr="00961EC0">
        <w:rPr>
          <w:spacing w:val="-9"/>
        </w:rPr>
        <w:t xml:space="preserve"> </w:t>
      </w:r>
      <w:r w:rsidR="006D2AD9">
        <w:t>can</w:t>
      </w:r>
      <w:r w:rsidR="006D2AD9" w:rsidRPr="00961EC0">
        <w:rPr>
          <w:spacing w:val="-10"/>
        </w:rPr>
        <w:t xml:space="preserve"> </w:t>
      </w:r>
      <w:r w:rsidR="006D2AD9">
        <w:t>deal</w:t>
      </w:r>
      <w:r w:rsidR="006D2AD9" w:rsidRPr="00961EC0">
        <w:rPr>
          <w:spacing w:val="-9"/>
        </w:rPr>
        <w:t xml:space="preserve"> </w:t>
      </w:r>
      <w:r w:rsidR="006D2AD9">
        <w:t>with</w:t>
      </w:r>
      <w:r w:rsidR="006D2AD9" w:rsidRPr="00961EC0">
        <w:rPr>
          <w:spacing w:val="-10"/>
        </w:rPr>
        <w:t xml:space="preserve"> </w:t>
      </w:r>
      <w:r w:rsidR="006D2AD9">
        <w:t>all</w:t>
      </w:r>
      <w:r w:rsidR="006D2AD9" w:rsidRPr="00961EC0">
        <w:rPr>
          <w:spacing w:val="-9"/>
        </w:rPr>
        <w:t xml:space="preserve"> </w:t>
      </w:r>
      <w:r w:rsidR="006D2AD9">
        <w:t>issues</w:t>
      </w:r>
      <w:r w:rsidR="006D2AD9" w:rsidRPr="00961EC0">
        <w:rPr>
          <w:spacing w:val="-12"/>
        </w:rPr>
        <w:t xml:space="preserve"> </w:t>
      </w:r>
      <w:r w:rsidR="006D2AD9">
        <w:t>that</w:t>
      </w:r>
      <w:r w:rsidR="006D2AD9" w:rsidRPr="00961EC0">
        <w:rPr>
          <w:spacing w:val="-9"/>
        </w:rPr>
        <w:t xml:space="preserve"> </w:t>
      </w:r>
      <w:r w:rsidR="006D2AD9">
        <w:t xml:space="preserve">arise subject to </w:t>
      </w:r>
      <w:r w:rsidR="00B143F3">
        <w:t>the issue</w:t>
      </w:r>
      <w:r w:rsidR="006D2AD9">
        <w:t xml:space="preserve"> </w:t>
      </w:r>
      <w:r w:rsidR="007F13E1">
        <w:t>being justiciable</w:t>
      </w:r>
      <w:r w:rsidR="00D31799">
        <w:t>.</w:t>
      </w:r>
    </w:p>
    <w:p w14:paraId="03C34A25" w14:textId="6C02BD8C" w:rsidR="00A5115E" w:rsidRDefault="0071710E" w:rsidP="0071710E">
      <w:pPr>
        <w:pStyle w:val="ParaNumbering"/>
        <w:numPr>
          <w:ilvl w:val="0"/>
          <w:numId w:val="0"/>
        </w:numPr>
        <w:tabs>
          <w:tab w:val="left" w:pos="720"/>
        </w:tabs>
        <w:ind w:hanging="720"/>
      </w:pPr>
      <w:r>
        <w:rPr>
          <w:sz w:val="20"/>
        </w:rPr>
        <w:t>368</w:t>
      </w:r>
      <w:r>
        <w:rPr>
          <w:sz w:val="20"/>
        </w:rPr>
        <w:tab/>
      </w:r>
      <w:r w:rsidR="004A34D5">
        <w:t xml:space="preserve">The </w:t>
      </w:r>
      <w:r w:rsidR="00645279">
        <w:t xml:space="preserve">relevant </w:t>
      </w:r>
      <w:r w:rsidR="004A34D5">
        <w:t xml:space="preserve">issue is better framed as being </w:t>
      </w:r>
      <w:r w:rsidR="002621EF">
        <w:t xml:space="preserve">one as to the proper bounds of judicial power and, more particularly, </w:t>
      </w:r>
      <w:r w:rsidR="004A34D5">
        <w:t xml:space="preserve">whether </w:t>
      </w:r>
      <w:r w:rsidR="00E22816">
        <w:t>answering</w:t>
      </w:r>
      <w:r w:rsidR="004A34D5">
        <w:t xml:space="preserve"> the</w:t>
      </w:r>
      <w:r w:rsidR="004A34D5" w:rsidRPr="00E35D36">
        <w:t xml:space="preserve"> </w:t>
      </w:r>
      <w:r w:rsidR="004A34D5">
        <w:t>Reserved Question would be</w:t>
      </w:r>
      <w:r w:rsidR="002621EF">
        <w:t xml:space="preserve"> hypothetical and</w:t>
      </w:r>
      <w:r w:rsidR="004A34D5">
        <w:t xml:space="preserve"> </w:t>
      </w:r>
      <w:r w:rsidR="004A34D5" w:rsidRPr="00E35D36">
        <w:t>advisory</w:t>
      </w:r>
      <w:r w:rsidR="008B37AB">
        <w:t xml:space="preserve"> </w:t>
      </w:r>
      <w:r w:rsidR="00645279">
        <w:t xml:space="preserve">and hence </w:t>
      </w:r>
      <w:r w:rsidR="002621EF">
        <w:t>beyond the licit</w:t>
      </w:r>
      <w:r w:rsidR="00645279">
        <w:t xml:space="preserve"> exercise of judicial power</w:t>
      </w:r>
      <w:r w:rsidR="002E325C">
        <w:t xml:space="preserve"> </w:t>
      </w:r>
      <w:r w:rsidR="00552D71">
        <w:t>in</w:t>
      </w:r>
      <w:r w:rsidR="00E869E5">
        <w:t xml:space="preserve"> </w:t>
      </w:r>
      <w:r w:rsidR="002E325C">
        <w:t xml:space="preserve">Ch III of the </w:t>
      </w:r>
      <w:r w:rsidR="002E325C">
        <w:rPr>
          <w:i/>
        </w:rPr>
        <w:t>Constitution</w:t>
      </w:r>
      <w:r w:rsidR="00645279">
        <w:t>.</w:t>
      </w:r>
      <w:r w:rsidR="00A5115E" w:rsidRPr="008B37AB">
        <w:rPr>
          <w:rFonts w:eastAsia="Times New Roman"/>
          <w:szCs w:val="24"/>
          <w:lang w:eastAsia="en-AU"/>
        </w:rPr>
        <w:t xml:space="preserve"> </w:t>
      </w:r>
      <w:r w:rsidR="00A5115E">
        <w:t xml:space="preserve"> </w:t>
      </w:r>
    </w:p>
    <w:p w14:paraId="760032AC" w14:textId="1E2E29B5" w:rsidR="00A5115E" w:rsidRDefault="0071710E" w:rsidP="0071710E">
      <w:pPr>
        <w:pStyle w:val="ParaNumbering"/>
        <w:numPr>
          <w:ilvl w:val="0"/>
          <w:numId w:val="0"/>
        </w:numPr>
        <w:tabs>
          <w:tab w:val="left" w:pos="720"/>
        </w:tabs>
        <w:ind w:hanging="720"/>
      </w:pPr>
      <w:r>
        <w:rPr>
          <w:sz w:val="20"/>
        </w:rPr>
        <w:t>369</w:t>
      </w:r>
      <w:r>
        <w:rPr>
          <w:sz w:val="20"/>
        </w:rPr>
        <w:tab/>
      </w:r>
      <w:r w:rsidR="00645279">
        <w:t xml:space="preserve">When framed in this way, the answer </w:t>
      </w:r>
      <w:r w:rsidR="008F4588">
        <w:t>emerges</w:t>
      </w:r>
      <w:r w:rsidR="00645279">
        <w:t xml:space="preserve"> clear</w:t>
      </w:r>
      <w:r w:rsidR="008F4588">
        <w:t>ly</w:t>
      </w:r>
      <w:r w:rsidR="00645279">
        <w:t>.</w:t>
      </w:r>
      <w:r w:rsidR="00A5115E">
        <w:t xml:space="preserve"> </w:t>
      </w:r>
    </w:p>
    <w:p w14:paraId="00A4EA66" w14:textId="528D9F89" w:rsidR="00A5115E" w:rsidRPr="00B83165" w:rsidRDefault="0071710E" w:rsidP="0071710E">
      <w:pPr>
        <w:pStyle w:val="ParaNumbering"/>
        <w:numPr>
          <w:ilvl w:val="0"/>
          <w:numId w:val="0"/>
        </w:numPr>
        <w:tabs>
          <w:tab w:val="left" w:pos="720"/>
        </w:tabs>
        <w:ind w:hanging="720"/>
      </w:pPr>
      <w:r w:rsidRPr="00B83165">
        <w:rPr>
          <w:sz w:val="20"/>
        </w:rPr>
        <w:t>370</w:t>
      </w:r>
      <w:r w:rsidRPr="00B83165">
        <w:rPr>
          <w:sz w:val="20"/>
        </w:rPr>
        <w:tab/>
      </w:r>
      <w:r w:rsidR="00645279">
        <w:t>A court can refer or reserve a question of law arising in proceedings before it to an appellate court pursuant to a statutory power to do so</w:t>
      </w:r>
      <w:r w:rsidR="00EF5B7B">
        <w:t>;</w:t>
      </w:r>
      <w:r w:rsidR="00645279">
        <w:t xml:space="preserve"> the answers to which are “not given in circumstances divorced from an attempt to administer the law as stated by the answers … [but] given as an integral part of the process of determining the rights and obligations of the parties which</w:t>
      </w:r>
      <w:r w:rsidR="00645279">
        <w:rPr>
          <w:spacing w:val="-3"/>
        </w:rPr>
        <w:t xml:space="preserve"> </w:t>
      </w:r>
      <w:r w:rsidR="00645279">
        <w:t>are</w:t>
      </w:r>
      <w:r w:rsidR="00645279">
        <w:rPr>
          <w:spacing w:val="-5"/>
        </w:rPr>
        <w:t xml:space="preserve"> </w:t>
      </w:r>
      <w:r w:rsidR="00645279">
        <w:t>at</w:t>
      </w:r>
      <w:r w:rsidR="00645279">
        <w:rPr>
          <w:spacing w:val="-5"/>
        </w:rPr>
        <w:t xml:space="preserve"> </w:t>
      </w:r>
      <w:r w:rsidR="00645279">
        <w:t>stake in</w:t>
      </w:r>
      <w:r w:rsidR="00645279">
        <w:rPr>
          <w:spacing w:val="-3"/>
        </w:rPr>
        <w:t xml:space="preserve"> </w:t>
      </w:r>
      <w:r w:rsidR="00645279">
        <w:t>the</w:t>
      </w:r>
      <w:r w:rsidR="00645279">
        <w:rPr>
          <w:spacing w:val="-5"/>
        </w:rPr>
        <w:t xml:space="preserve"> </w:t>
      </w:r>
      <w:r w:rsidR="00645279">
        <w:t>proceedings</w:t>
      </w:r>
      <w:r w:rsidR="00645279">
        <w:rPr>
          <w:spacing w:val="-2"/>
        </w:rPr>
        <w:t xml:space="preserve"> </w:t>
      </w:r>
      <w:r w:rsidR="00645279">
        <w:t>in</w:t>
      </w:r>
      <w:r w:rsidR="00645279">
        <w:rPr>
          <w:spacing w:val="-3"/>
        </w:rPr>
        <w:t xml:space="preserve"> </w:t>
      </w:r>
      <w:r w:rsidR="00645279">
        <w:t>which</w:t>
      </w:r>
      <w:r w:rsidR="00645279">
        <w:rPr>
          <w:spacing w:val="-3"/>
        </w:rPr>
        <w:t xml:space="preserve"> </w:t>
      </w:r>
      <w:r w:rsidR="00645279">
        <w:t>the</w:t>
      </w:r>
      <w:r w:rsidR="00645279">
        <w:rPr>
          <w:spacing w:val="-5"/>
        </w:rPr>
        <w:t xml:space="preserve"> </w:t>
      </w:r>
      <w:r w:rsidR="00645279">
        <w:t>questions</w:t>
      </w:r>
      <w:r w:rsidR="00645279">
        <w:rPr>
          <w:spacing w:val="-2"/>
        </w:rPr>
        <w:t xml:space="preserve"> </w:t>
      </w:r>
      <w:r w:rsidR="00645279">
        <w:t>are</w:t>
      </w:r>
      <w:r w:rsidR="00645279">
        <w:rPr>
          <w:spacing w:val="-5"/>
        </w:rPr>
        <w:t xml:space="preserve"> </w:t>
      </w:r>
      <w:r w:rsidR="00645279">
        <w:t>reserved”</w:t>
      </w:r>
      <w:r w:rsidR="006F4BEA">
        <w:t>:</w:t>
      </w:r>
      <w:r w:rsidR="004B72D7">
        <w:t xml:space="preserve"> </w:t>
      </w:r>
      <w:proofErr w:type="spellStart"/>
      <w:r w:rsidR="00A85B7C">
        <w:rPr>
          <w:i/>
        </w:rPr>
        <w:t>Mellifont</w:t>
      </w:r>
      <w:proofErr w:type="spellEnd"/>
      <w:r w:rsidR="00A85B7C">
        <w:rPr>
          <w:i/>
        </w:rPr>
        <w:t xml:space="preserve"> v Attorney-General for the State of Queensland </w:t>
      </w:r>
      <w:r w:rsidR="00A85B7C">
        <w:t>(1991) 173 CLR 289</w:t>
      </w:r>
      <w:r w:rsidR="00645279">
        <w:t xml:space="preserve"> </w:t>
      </w:r>
      <w:r w:rsidR="00D27024">
        <w:t>(</w:t>
      </w:r>
      <w:r w:rsidR="00645279">
        <w:t>at 303</w:t>
      </w:r>
      <w:r w:rsidR="00D27024">
        <w:t xml:space="preserve"> per </w:t>
      </w:r>
      <w:r w:rsidR="00E87B0E">
        <w:t xml:space="preserve">Mason CJ, Deane, Dawson, </w:t>
      </w:r>
      <w:proofErr w:type="spellStart"/>
      <w:r w:rsidR="00E87B0E">
        <w:t>Gaudron</w:t>
      </w:r>
      <w:proofErr w:type="spellEnd"/>
      <w:r w:rsidR="00E87B0E">
        <w:t xml:space="preserve"> and McHugh JJ,</w:t>
      </w:r>
      <w:r w:rsidR="00D27024">
        <w:t xml:space="preserve"> </w:t>
      </w:r>
      <w:r w:rsidR="00645279">
        <w:t>322</w:t>
      </w:r>
      <w:r w:rsidR="00D27024">
        <w:t xml:space="preserve"> per </w:t>
      </w:r>
      <w:r w:rsidR="004B72D7">
        <w:t>Toohey J</w:t>
      </w:r>
      <w:r w:rsidR="00645279">
        <w:t>). As the</w:t>
      </w:r>
      <w:r w:rsidR="00B143F3">
        <w:t xml:space="preserve"> </w:t>
      </w:r>
      <w:r w:rsidR="00C80B33">
        <w:t>Attorney</w:t>
      </w:r>
      <w:r w:rsidR="00B143F3">
        <w:t>-General</w:t>
      </w:r>
      <w:r w:rsidR="00C80B33">
        <w:t xml:space="preserve"> correctly </w:t>
      </w:r>
      <w:r w:rsidR="003B538E">
        <w:t>submits</w:t>
      </w:r>
      <w:r w:rsidR="00645279">
        <w:t>, it</w:t>
      </w:r>
      <w:r w:rsidR="00645279" w:rsidRPr="00645279">
        <w:rPr>
          <w:spacing w:val="-5"/>
        </w:rPr>
        <w:t xml:space="preserve"> </w:t>
      </w:r>
      <w:r w:rsidR="00645279">
        <w:t>is</w:t>
      </w:r>
      <w:r w:rsidR="00645279" w:rsidRPr="00645279">
        <w:rPr>
          <w:spacing w:val="-2"/>
        </w:rPr>
        <w:t xml:space="preserve"> </w:t>
      </w:r>
      <w:r w:rsidR="00645279">
        <w:t>unnecessary</w:t>
      </w:r>
      <w:r w:rsidR="00645279" w:rsidRPr="00645279">
        <w:rPr>
          <w:spacing w:val="-3"/>
        </w:rPr>
        <w:t xml:space="preserve"> </w:t>
      </w:r>
      <w:r w:rsidR="00645279">
        <w:t>for</w:t>
      </w:r>
      <w:r w:rsidR="00645279" w:rsidRPr="00645279">
        <w:rPr>
          <w:spacing w:val="-3"/>
        </w:rPr>
        <w:t xml:space="preserve"> </w:t>
      </w:r>
      <w:r w:rsidR="00645279">
        <w:t>the</w:t>
      </w:r>
      <w:r w:rsidR="00645279" w:rsidRPr="00645279">
        <w:rPr>
          <w:spacing w:val="-5"/>
        </w:rPr>
        <w:t xml:space="preserve"> </w:t>
      </w:r>
      <w:r w:rsidR="00645279">
        <w:t>answer</w:t>
      </w:r>
      <w:r w:rsidR="00645279" w:rsidRPr="00645279">
        <w:rPr>
          <w:spacing w:val="-3"/>
        </w:rPr>
        <w:t xml:space="preserve"> </w:t>
      </w:r>
      <w:r w:rsidR="00645279">
        <w:t>to</w:t>
      </w:r>
      <w:r w:rsidR="00645279" w:rsidRPr="00645279">
        <w:rPr>
          <w:spacing w:val="-3"/>
        </w:rPr>
        <w:t xml:space="preserve"> </w:t>
      </w:r>
      <w:r w:rsidR="00645279">
        <w:t>the</w:t>
      </w:r>
      <w:r w:rsidR="00645279" w:rsidRPr="00645279">
        <w:rPr>
          <w:spacing w:val="-5"/>
        </w:rPr>
        <w:t xml:space="preserve"> </w:t>
      </w:r>
      <w:r w:rsidR="00997235">
        <w:t>R</w:t>
      </w:r>
      <w:r w:rsidR="00645279">
        <w:t>eserved</w:t>
      </w:r>
      <w:r w:rsidR="00645279" w:rsidRPr="00645279">
        <w:rPr>
          <w:spacing w:val="-3"/>
        </w:rPr>
        <w:t xml:space="preserve"> </w:t>
      </w:r>
      <w:r w:rsidR="00997235">
        <w:t>Q</w:t>
      </w:r>
      <w:r w:rsidR="00645279">
        <w:t>uestion</w:t>
      </w:r>
      <w:r w:rsidR="00645279" w:rsidRPr="00645279">
        <w:rPr>
          <w:spacing w:val="-3"/>
        </w:rPr>
        <w:t xml:space="preserve"> </w:t>
      </w:r>
      <w:r w:rsidR="00645279">
        <w:t>to</w:t>
      </w:r>
      <w:r w:rsidR="00645279" w:rsidRPr="00645279">
        <w:rPr>
          <w:spacing w:val="-3"/>
        </w:rPr>
        <w:t xml:space="preserve"> </w:t>
      </w:r>
      <w:r w:rsidR="00645279">
        <w:t>be</w:t>
      </w:r>
      <w:r w:rsidR="00645279" w:rsidRPr="00645279">
        <w:rPr>
          <w:spacing w:val="-5"/>
        </w:rPr>
        <w:t xml:space="preserve"> </w:t>
      </w:r>
      <w:r w:rsidR="00645279">
        <w:t>“significant”</w:t>
      </w:r>
      <w:r w:rsidR="00645279" w:rsidRPr="00645279">
        <w:rPr>
          <w:spacing w:val="-5"/>
        </w:rPr>
        <w:t xml:space="preserve"> </w:t>
      </w:r>
      <w:r w:rsidR="00645279">
        <w:t>or</w:t>
      </w:r>
      <w:r w:rsidR="00645279" w:rsidRPr="00645279">
        <w:rPr>
          <w:spacing w:val="-3"/>
        </w:rPr>
        <w:t xml:space="preserve"> </w:t>
      </w:r>
      <w:r w:rsidR="00645279">
        <w:t>“e</w:t>
      </w:r>
      <w:r w:rsidR="000F1B6B">
        <w:t>ssential” to the outcome of th</w:t>
      </w:r>
      <w:r w:rsidR="00645279">
        <w:t xml:space="preserve">e </w:t>
      </w:r>
      <w:r w:rsidR="000F1B6B">
        <w:t xml:space="preserve">interlocutory </w:t>
      </w:r>
      <w:r w:rsidR="00645279">
        <w:t xml:space="preserve">applications; </w:t>
      </w:r>
      <w:r w:rsidR="000F1B6B">
        <w:t xml:space="preserve">it is sufficient that </w:t>
      </w:r>
      <w:r w:rsidR="00645279">
        <w:t xml:space="preserve">the answer </w:t>
      </w:r>
      <w:r w:rsidR="000F1B6B">
        <w:t>“may</w:t>
      </w:r>
      <w:r w:rsidR="000F1B6B">
        <w:rPr>
          <w:spacing w:val="-3"/>
        </w:rPr>
        <w:t xml:space="preserve"> </w:t>
      </w:r>
      <w:r w:rsidR="000F1B6B">
        <w:t>have</w:t>
      </w:r>
      <w:r w:rsidR="000F1B6B">
        <w:rPr>
          <w:spacing w:val="-5"/>
        </w:rPr>
        <w:t xml:space="preserve"> </w:t>
      </w:r>
      <w:r w:rsidR="000F1B6B">
        <w:t>some</w:t>
      </w:r>
      <w:r w:rsidR="000F1B6B">
        <w:rPr>
          <w:spacing w:val="-5"/>
        </w:rPr>
        <w:t xml:space="preserve"> </w:t>
      </w:r>
      <w:r w:rsidR="000F1B6B">
        <w:t>bearin</w:t>
      </w:r>
      <w:r w:rsidR="00997235">
        <w:t>g” on resolving the issues the C</w:t>
      </w:r>
      <w:r w:rsidR="000F1B6B">
        <w:t>ourt is called upon to resolve by the interlocutory applications. A</w:t>
      </w:r>
      <w:r w:rsidR="008F4588">
        <w:t xml:space="preserve">lthough questions of the extent </w:t>
      </w:r>
      <w:r w:rsidR="003245F6">
        <w:t>of</w:t>
      </w:r>
      <w:r w:rsidR="008F4588">
        <w:t xml:space="preserve"> judicial </w:t>
      </w:r>
      <w:r w:rsidR="00B143F3">
        <w:t>power and</w:t>
      </w:r>
      <w:r w:rsidR="008F4588">
        <w:t xml:space="preserve"> discretion to grant relief are logically separate, a</w:t>
      </w:r>
      <w:r w:rsidR="000F1B6B">
        <w:t>s will become evident when dealing below with the question as to discretion to answer the Re</w:t>
      </w:r>
      <w:r w:rsidR="006F4BEA">
        <w:t>served</w:t>
      </w:r>
      <w:r w:rsidR="000F1B6B">
        <w:t xml:space="preserve"> Question, </w:t>
      </w:r>
      <w:r w:rsidR="004A54DF">
        <w:t>the answer</w:t>
      </w:r>
      <w:r w:rsidR="008F4588">
        <w:t xml:space="preserve"> does not only</w:t>
      </w:r>
      <w:r w:rsidR="008F4588">
        <w:rPr>
          <w:spacing w:val="-3"/>
        </w:rPr>
        <w:t xml:space="preserve"> </w:t>
      </w:r>
      <w:r w:rsidR="008F4588">
        <w:t>have</w:t>
      </w:r>
      <w:r w:rsidR="008F4588">
        <w:rPr>
          <w:spacing w:val="-5"/>
        </w:rPr>
        <w:t xml:space="preserve"> </w:t>
      </w:r>
      <w:r w:rsidR="008F4588">
        <w:t>some</w:t>
      </w:r>
      <w:r w:rsidR="008F4588">
        <w:rPr>
          <w:spacing w:val="-5"/>
        </w:rPr>
        <w:t xml:space="preserve"> </w:t>
      </w:r>
      <w:r w:rsidR="008F4588">
        <w:t xml:space="preserve">bearing on resolving the disputed issues on the interlocutory </w:t>
      </w:r>
      <w:r w:rsidR="00B143F3">
        <w:t>applications but</w:t>
      </w:r>
      <w:r w:rsidR="008F4588">
        <w:t xml:space="preserve"> is significant</w:t>
      </w:r>
      <w:r w:rsidR="000F1B6B">
        <w:t xml:space="preserve">. There is no question as to jurisdiction </w:t>
      </w:r>
      <w:r w:rsidR="00B143F3">
        <w:t xml:space="preserve">or power </w:t>
      </w:r>
      <w:r w:rsidR="000F1B6B">
        <w:t>to deal with the Reserved Question.</w:t>
      </w:r>
      <w:r w:rsidR="00A5115E">
        <w:t xml:space="preserve"> </w:t>
      </w:r>
    </w:p>
    <w:p w14:paraId="51C0EC8C" w14:textId="6481C887" w:rsidR="00B83165" w:rsidRDefault="0071710E" w:rsidP="00B83165">
      <w:pPr>
        <w:pStyle w:val="Heading1"/>
      </w:pPr>
      <w:r>
        <w:rPr>
          <w:caps w:val="0"/>
        </w:rPr>
        <w:t>D</w:t>
      </w:r>
      <w:r>
        <w:rPr>
          <w:caps w:val="0"/>
        </w:rPr>
        <w:tab/>
        <w:t>JUDICIAL POWER AND THE SETTLEMENT CFO</w:t>
      </w:r>
    </w:p>
    <w:p w14:paraId="713F981D" w14:textId="10597296" w:rsidR="00BF1C8D" w:rsidRPr="0046167A" w:rsidRDefault="0071710E" w:rsidP="0071710E">
      <w:pPr>
        <w:pStyle w:val="ParaNumbering"/>
        <w:numPr>
          <w:ilvl w:val="0"/>
          <w:numId w:val="0"/>
        </w:numPr>
        <w:tabs>
          <w:tab w:val="left" w:pos="720"/>
        </w:tabs>
        <w:ind w:hanging="720"/>
      </w:pPr>
      <w:r w:rsidRPr="0046167A">
        <w:rPr>
          <w:sz w:val="20"/>
        </w:rPr>
        <w:t>371</w:t>
      </w:r>
      <w:r w:rsidRPr="0046167A">
        <w:rPr>
          <w:sz w:val="20"/>
        </w:rPr>
        <w:tab/>
      </w:r>
      <w:r w:rsidR="00BF1C8D" w:rsidRPr="0046167A">
        <w:t>The argument that making a Settlement CFO does not involve an exercise of ju</w:t>
      </w:r>
      <w:r w:rsidR="00014DC9">
        <w:t>dicial</w:t>
      </w:r>
      <w:r w:rsidR="00BF1C8D" w:rsidRPr="0046167A">
        <w:t xml:space="preserve"> power has an unpromising start given that in </w:t>
      </w:r>
      <w:r w:rsidR="00BF1C8D" w:rsidRPr="0046167A">
        <w:rPr>
          <w:i/>
        </w:rPr>
        <w:t xml:space="preserve">BMW Australia Ltd v Brewster </w:t>
      </w:r>
      <w:r w:rsidR="001821EB" w:rsidRPr="0046167A">
        <w:t>[2019] HCA 45;</w:t>
      </w:r>
      <w:r w:rsidR="00BF1C8D" w:rsidRPr="0046167A">
        <w:rPr>
          <w:i/>
        </w:rPr>
        <w:t xml:space="preserve"> </w:t>
      </w:r>
      <w:r w:rsidR="00BF1C8D" w:rsidRPr="0046167A">
        <w:t xml:space="preserve">(2019) 269 CLR 574, when </w:t>
      </w:r>
      <w:proofErr w:type="spellStart"/>
      <w:r w:rsidR="00BF1C8D" w:rsidRPr="0046167A">
        <w:t>Gageler</w:t>
      </w:r>
      <w:proofErr w:type="spellEnd"/>
      <w:r w:rsidR="00BF1C8D" w:rsidRPr="0046167A">
        <w:t xml:space="preserve"> J was dealing with an argument as to a supposed want of power to make a CFO under a different section of the FCA Act, his Honour explained (at </w:t>
      </w:r>
      <w:r w:rsidR="00283D73" w:rsidRPr="0046167A">
        <w:t xml:space="preserve">622–623 </w:t>
      </w:r>
      <w:r w:rsidR="00BF1C8D" w:rsidRPr="0046167A">
        <w:t>[119]) that:</w:t>
      </w:r>
    </w:p>
    <w:p w14:paraId="2FBB935C" w14:textId="77777777" w:rsidR="00BF1C8D" w:rsidRPr="00BF1C8D" w:rsidRDefault="00BF1C8D" w:rsidP="00BF1C8D">
      <w:pPr>
        <w:pStyle w:val="Quote1"/>
      </w:pPr>
      <w:r w:rsidRPr="00BF1C8D">
        <w:t>it is sufficient to bring s 33</w:t>
      </w:r>
      <w:proofErr w:type="gramStart"/>
      <w:r w:rsidRPr="00BF1C8D">
        <w:t>ZF(</w:t>
      </w:r>
      <w:proofErr w:type="gramEnd"/>
      <w:r w:rsidRPr="00BF1C8D">
        <w:t>1) within the judicial power of the Commonwealth that it confers power on the Federal Court as an incident of a strictly judicial proceeding to be exercised by reference to the Court’s assessment of the interests of justice in that proceeding.</w:t>
      </w:r>
      <w:r w:rsidRPr="00BF1C8D">
        <w:rPr>
          <w:spacing w:val="40"/>
        </w:rPr>
        <w:t xml:space="preserve"> </w:t>
      </w:r>
      <w:r w:rsidRPr="00BF1C8D">
        <w:t>I agree with the observation of the</w:t>
      </w:r>
      <w:r w:rsidRPr="00BF1C8D">
        <w:rPr>
          <w:spacing w:val="-4"/>
        </w:rPr>
        <w:t xml:space="preserve"> </w:t>
      </w:r>
      <w:r w:rsidRPr="00BF1C8D">
        <w:t>Full</w:t>
      </w:r>
      <w:r w:rsidRPr="00BF1C8D">
        <w:rPr>
          <w:spacing w:val="-4"/>
        </w:rPr>
        <w:t xml:space="preserve"> </w:t>
      </w:r>
      <w:r w:rsidRPr="00BF1C8D">
        <w:t>Court</w:t>
      </w:r>
      <w:r w:rsidRPr="00BF1C8D">
        <w:rPr>
          <w:spacing w:val="-4"/>
        </w:rPr>
        <w:t xml:space="preserve"> </w:t>
      </w:r>
      <w:r w:rsidRPr="00BF1C8D">
        <w:t>that</w:t>
      </w:r>
      <w:r w:rsidRPr="00BF1C8D">
        <w:rPr>
          <w:spacing w:val="-4"/>
        </w:rPr>
        <w:t xml:space="preserve"> </w:t>
      </w:r>
      <w:r w:rsidRPr="00BF1C8D">
        <w:t>“it</w:t>
      </w:r>
      <w:r w:rsidRPr="00BF1C8D">
        <w:rPr>
          <w:spacing w:val="-4"/>
        </w:rPr>
        <w:t xml:space="preserve"> </w:t>
      </w:r>
      <w:r w:rsidRPr="00BF1C8D">
        <w:t>is</w:t>
      </w:r>
      <w:r w:rsidRPr="00BF1C8D">
        <w:rPr>
          <w:spacing w:val="-2"/>
        </w:rPr>
        <w:t xml:space="preserve"> </w:t>
      </w:r>
      <w:r w:rsidRPr="00BF1C8D">
        <w:t>difficult</w:t>
      </w:r>
      <w:r w:rsidRPr="00BF1C8D">
        <w:rPr>
          <w:spacing w:val="-4"/>
        </w:rPr>
        <w:t xml:space="preserve"> </w:t>
      </w:r>
      <w:r w:rsidRPr="00BF1C8D">
        <w:t>to conceive</w:t>
      </w:r>
      <w:r w:rsidRPr="00BF1C8D">
        <w:rPr>
          <w:spacing w:val="-4"/>
        </w:rPr>
        <w:t xml:space="preserve"> </w:t>
      </w:r>
      <w:r w:rsidRPr="00BF1C8D">
        <w:t>of</w:t>
      </w:r>
      <w:r w:rsidRPr="00BF1C8D">
        <w:rPr>
          <w:spacing w:val="-4"/>
        </w:rPr>
        <w:t xml:space="preserve"> </w:t>
      </w:r>
      <w:r w:rsidRPr="00BF1C8D">
        <w:t>a</w:t>
      </w:r>
      <w:r w:rsidRPr="00BF1C8D">
        <w:rPr>
          <w:spacing w:val="-2"/>
        </w:rPr>
        <w:t xml:space="preserve"> </w:t>
      </w:r>
      <w:r w:rsidRPr="00BF1C8D">
        <w:t>function</w:t>
      </w:r>
      <w:r w:rsidRPr="00BF1C8D">
        <w:rPr>
          <w:spacing w:val="-2"/>
        </w:rPr>
        <w:t xml:space="preserve"> </w:t>
      </w:r>
      <w:r w:rsidRPr="00BF1C8D">
        <w:t>or</w:t>
      </w:r>
      <w:r w:rsidRPr="00BF1C8D">
        <w:rPr>
          <w:spacing w:val="-2"/>
        </w:rPr>
        <w:t xml:space="preserve"> </w:t>
      </w:r>
      <w:r w:rsidRPr="00BF1C8D">
        <w:t>standard</w:t>
      </w:r>
      <w:r w:rsidRPr="00BF1C8D">
        <w:rPr>
          <w:spacing w:val="-2"/>
        </w:rPr>
        <w:t xml:space="preserve"> </w:t>
      </w:r>
      <w:r w:rsidRPr="00BF1C8D">
        <w:t>more</w:t>
      </w:r>
      <w:r w:rsidRPr="00BF1C8D">
        <w:rPr>
          <w:spacing w:val="-4"/>
        </w:rPr>
        <w:t xml:space="preserve"> </w:t>
      </w:r>
      <w:r w:rsidRPr="00BF1C8D">
        <w:t>appropriate to the judicial branch of government than considering and deciding (upon application and evidence) what is appropriate or necessary to do justice in a proceeding”.</w:t>
      </w:r>
    </w:p>
    <w:p w14:paraId="4A110FF5" w14:textId="138FD7E0" w:rsidR="00A5115E" w:rsidRDefault="0071710E" w:rsidP="0071710E">
      <w:pPr>
        <w:pStyle w:val="ParaNumbering"/>
        <w:numPr>
          <w:ilvl w:val="0"/>
          <w:numId w:val="0"/>
        </w:numPr>
        <w:tabs>
          <w:tab w:val="left" w:pos="720"/>
        </w:tabs>
        <w:ind w:hanging="720"/>
      </w:pPr>
      <w:r>
        <w:rPr>
          <w:sz w:val="20"/>
        </w:rPr>
        <w:t>372</w:t>
      </w:r>
      <w:r>
        <w:rPr>
          <w:sz w:val="20"/>
        </w:rPr>
        <w:tab/>
      </w:r>
      <w:r w:rsidR="00F3027B">
        <w:t>The same can be said of an order under s 33</w:t>
      </w:r>
      <w:proofErr w:type="gramStart"/>
      <w:r w:rsidR="00BF1C8D">
        <w:t>V(</w:t>
      </w:r>
      <w:proofErr w:type="gramEnd"/>
      <w:r w:rsidR="00BF1C8D">
        <w:t>2)</w:t>
      </w:r>
      <w:r w:rsidR="00F3027B">
        <w:t>, which</w:t>
      </w:r>
      <w:r w:rsidR="00BF1C8D">
        <w:t xml:space="preserve"> </w:t>
      </w:r>
      <w:r w:rsidR="00F3027B">
        <w:t>provides for a discretion to make</w:t>
      </w:r>
      <w:r w:rsidR="00BF1C8D">
        <w:t xml:space="preserve"> an order </w:t>
      </w:r>
      <w:r w:rsidR="00F3027B">
        <w:t>upon application and evidence</w:t>
      </w:r>
      <w:r w:rsidR="001F17BB">
        <w:t>,</w:t>
      </w:r>
      <w:r w:rsidR="00F3027B">
        <w:t xml:space="preserve"> and </w:t>
      </w:r>
      <w:r w:rsidR="00BF1C8D">
        <w:t xml:space="preserve">conditioned upon an evaluation that </w:t>
      </w:r>
      <w:r w:rsidR="00F3027B">
        <w:t>a settlement should be approved and that the</w:t>
      </w:r>
      <w:r w:rsidR="00BF1C8D">
        <w:t xml:space="preserve"> </w:t>
      </w:r>
      <w:r w:rsidR="00F3027B">
        <w:t xml:space="preserve">proposed </w:t>
      </w:r>
      <w:r w:rsidR="00BF1C8D">
        <w:t xml:space="preserve">order </w:t>
      </w:r>
      <w:r w:rsidR="00F3027B">
        <w:t xml:space="preserve">for distribution of a sum of money </w:t>
      </w:r>
      <w:r w:rsidR="00BF1C8D">
        <w:t>is “just”</w:t>
      </w:r>
      <w:r w:rsidR="00F3027B">
        <w:t>.</w:t>
      </w:r>
      <w:r w:rsidR="00BF1C8D">
        <w:t xml:space="preserve"> </w:t>
      </w:r>
    </w:p>
    <w:p w14:paraId="0B9DF430" w14:textId="7458F3DA" w:rsidR="00E92E7D" w:rsidRDefault="0071710E" w:rsidP="0071710E">
      <w:pPr>
        <w:pStyle w:val="ParaNumbering"/>
        <w:numPr>
          <w:ilvl w:val="0"/>
          <w:numId w:val="0"/>
        </w:numPr>
        <w:tabs>
          <w:tab w:val="left" w:pos="720"/>
        </w:tabs>
        <w:ind w:hanging="720"/>
      </w:pPr>
      <w:r>
        <w:rPr>
          <w:sz w:val="20"/>
        </w:rPr>
        <w:t>373</w:t>
      </w:r>
      <w:r>
        <w:rPr>
          <w:sz w:val="20"/>
        </w:rPr>
        <w:tab/>
      </w:r>
      <w:r w:rsidR="00F3027B">
        <w:t>T</w:t>
      </w:r>
      <w:r w:rsidR="00F3027B" w:rsidRPr="00F3027B">
        <w:t xml:space="preserve">here is no single combination of necessary or sufficient factors </w:t>
      </w:r>
      <w:r w:rsidR="003F645B">
        <w:t>to distil or define</w:t>
      </w:r>
      <w:r w:rsidR="00F3027B" w:rsidRPr="00F3027B">
        <w:t xml:space="preserve"> judicial power because </w:t>
      </w:r>
      <w:r w:rsidR="00F3027B">
        <w:t>“</w:t>
      </w:r>
      <w:r w:rsidR="00F3027B" w:rsidRPr="00F3027B">
        <w:t xml:space="preserve">it has never been found possible to frame a definition that is at once exclusive and </w:t>
      </w:r>
      <w:r w:rsidR="00F3027B">
        <w:t>exhaustive</w:t>
      </w:r>
      <w:r w:rsidR="00404EEC">
        <w:t xml:space="preserve">”: </w:t>
      </w:r>
      <w:r w:rsidR="00F3027B" w:rsidRPr="00E92E7D">
        <w:rPr>
          <w:i/>
        </w:rPr>
        <w:t>R v Davison</w:t>
      </w:r>
      <w:r w:rsidR="00F3027B" w:rsidRPr="00F3027B">
        <w:t xml:space="preserve"> (1954) 90 CLR 353 </w:t>
      </w:r>
      <w:r w:rsidR="00404EEC">
        <w:t>(</w:t>
      </w:r>
      <w:r w:rsidR="001F17BB">
        <w:t xml:space="preserve">at 366 </w:t>
      </w:r>
      <w:r w:rsidR="003847E9">
        <w:t>per Dixon CJ and McTiernan</w:t>
      </w:r>
      <w:r w:rsidR="003847E9">
        <w:rPr>
          <w:spacing w:val="-3"/>
        </w:rPr>
        <w:t xml:space="preserve"> </w:t>
      </w:r>
      <w:r w:rsidR="003847E9">
        <w:t>J</w:t>
      </w:r>
      <w:r w:rsidR="0043676C">
        <w:t>). B</w:t>
      </w:r>
      <w:r w:rsidR="00F3027B" w:rsidRPr="00E92E7D">
        <w:t xml:space="preserve">ut an order made for the </w:t>
      </w:r>
      <w:r w:rsidR="00E92E7D" w:rsidRPr="00E92E7D">
        <w:t xml:space="preserve">express </w:t>
      </w:r>
      <w:r w:rsidR="00F3027B" w:rsidRPr="00E92E7D">
        <w:t xml:space="preserve">purpose of </w:t>
      </w:r>
      <w:r w:rsidR="00E92E7D" w:rsidRPr="00E92E7D">
        <w:t xml:space="preserve">being part of the orders by which </w:t>
      </w:r>
      <w:r w:rsidR="00F3027B" w:rsidRPr="00E92E7D">
        <w:t xml:space="preserve">the Court </w:t>
      </w:r>
      <w:r w:rsidR="00E92E7D" w:rsidRPr="00E92E7D">
        <w:t>resolves</w:t>
      </w:r>
      <w:r w:rsidR="00F3027B" w:rsidRPr="00E92E7D">
        <w:t xml:space="preserve"> a dispute about existing rig</w:t>
      </w:r>
      <w:r w:rsidR="00E92E7D" w:rsidRPr="00E92E7D">
        <w:t xml:space="preserve">hts </w:t>
      </w:r>
      <w:r w:rsidR="00E92E7D">
        <w:t>(</w:t>
      </w:r>
      <w:r w:rsidR="00E92E7D" w:rsidRPr="00E92E7D">
        <w:t>and quells the controversy resolved by the settlement</w:t>
      </w:r>
      <w:r w:rsidR="00E92E7D">
        <w:t>)</w:t>
      </w:r>
      <w:r w:rsidR="00E92E7D" w:rsidRPr="00E92E7D">
        <w:t xml:space="preserve"> is not a</w:t>
      </w:r>
      <w:r w:rsidR="004E443C">
        <w:t>t the margins of judicial power</w:t>
      </w:r>
      <w:r w:rsidR="00F3027B" w:rsidRPr="00E92E7D">
        <w:t>.</w:t>
      </w:r>
      <w:r w:rsidR="00F3027B" w:rsidRPr="00F3027B">
        <w:t xml:space="preserve"> </w:t>
      </w:r>
    </w:p>
    <w:p w14:paraId="45AD822B" w14:textId="2AAAC51F" w:rsidR="00E92E7D" w:rsidRDefault="0071710E" w:rsidP="0071710E">
      <w:pPr>
        <w:pStyle w:val="ParaNumbering"/>
        <w:numPr>
          <w:ilvl w:val="0"/>
          <w:numId w:val="0"/>
        </w:numPr>
        <w:tabs>
          <w:tab w:val="left" w:pos="720"/>
        </w:tabs>
        <w:ind w:hanging="720"/>
      </w:pPr>
      <w:r>
        <w:rPr>
          <w:sz w:val="20"/>
        </w:rPr>
        <w:t>374</w:t>
      </w:r>
      <w:r>
        <w:rPr>
          <w:sz w:val="20"/>
        </w:rPr>
        <w:tab/>
      </w:r>
      <w:r w:rsidR="00E92E7D">
        <w:t>In any event</w:t>
      </w:r>
      <w:r w:rsidR="00D8477C">
        <w:t xml:space="preserve">, even if this was not correct, </w:t>
      </w:r>
      <w:r w:rsidR="00E92E7D" w:rsidRPr="00D8477C">
        <w:t>a</w:t>
      </w:r>
      <w:r w:rsidR="00D8477C" w:rsidRPr="00D8477C">
        <w:t>nd the only proper exercise of judicial power was approving the settlement</w:t>
      </w:r>
      <w:r w:rsidR="00D8477C">
        <w:t xml:space="preserve"> itself</w:t>
      </w:r>
      <w:r w:rsidR="00D8477C" w:rsidRPr="00D8477C">
        <w:t>, a</w:t>
      </w:r>
      <w:r w:rsidR="00E92E7D" w:rsidRPr="00D8477C">
        <w:t xml:space="preserve"> federal law may validly confer a non-judicial function on a federal court, where that function is </w:t>
      </w:r>
      <w:r w:rsidR="00D8477C" w:rsidRPr="00D8477C">
        <w:t>incidental</w:t>
      </w:r>
      <w:r w:rsidR="00E92E7D" w:rsidRPr="00D8477C">
        <w:t xml:space="preserve"> or ancillary to the performance of a judicial function, that is, where it enables</w:t>
      </w:r>
      <w:r w:rsidR="00213016">
        <w:t>,</w:t>
      </w:r>
      <w:r w:rsidR="00E92E7D" w:rsidRPr="00D8477C">
        <w:t xml:space="preserve"> s</w:t>
      </w:r>
      <w:r w:rsidR="00D8477C" w:rsidRPr="00D8477C">
        <w:t>u</w:t>
      </w:r>
      <w:r w:rsidR="00E92E7D" w:rsidRPr="00D8477C">
        <w:t>pports or facilit</w:t>
      </w:r>
      <w:r w:rsidR="00D8477C" w:rsidRPr="00D8477C">
        <w:t xml:space="preserve">ates </w:t>
      </w:r>
      <w:r w:rsidR="00E92E7D" w:rsidRPr="00D8477C">
        <w:t>the e</w:t>
      </w:r>
      <w:r w:rsidR="00D8477C" w:rsidRPr="00D8477C">
        <w:t>x</w:t>
      </w:r>
      <w:r w:rsidR="00E92E7D" w:rsidRPr="00D8477C">
        <w:t>ercise</w:t>
      </w:r>
      <w:r w:rsidR="00D8477C" w:rsidRPr="00D8477C">
        <w:t xml:space="preserve"> </w:t>
      </w:r>
      <w:r w:rsidR="00E92E7D" w:rsidRPr="00D8477C">
        <w:t>of judicial functions by a court</w:t>
      </w:r>
      <w:r w:rsidR="00D8477C">
        <w:t xml:space="preserve">: </w:t>
      </w:r>
      <w:r w:rsidR="00FB2122" w:rsidRPr="00FB2122">
        <w:rPr>
          <w:i/>
        </w:rPr>
        <w:t xml:space="preserve">R v Kirby; Ex </w:t>
      </w:r>
      <w:proofErr w:type="spellStart"/>
      <w:r w:rsidR="00FB2122" w:rsidRPr="00FB2122">
        <w:rPr>
          <w:i/>
        </w:rPr>
        <w:t>parte</w:t>
      </w:r>
      <w:proofErr w:type="spellEnd"/>
      <w:r w:rsidR="00FB2122" w:rsidRPr="00FB2122">
        <w:rPr>
          <w:i/>
        </w:rPr>
        <w:t xml:space="preserve"> Boilermakers’ Society of Australia</w:t>
      </w:r>
      <w:r w:rsidR="00D8477C" w:rsidRPr="00D8477C">
        <w:t xml:space="preserve"> (1956) 94 CLR 254 </w:t>
      </w:r>
      <w:r w:rsidR="00D008A6">
        <w:t>(</w:t>
      </w:r>
      <w:r w:rsidR="00D8477C" w:rsidRPr="00D8477C">
        <w:t>at 269</w:t>
      </w:r>
      <w:r w:rsidR="00D008A6">
        <w:t>–</w:t>
      </w:r>
      <w:r w:rsidR="00D8477C" w:rsidRPr="00D8477C">
        <w:t>272</w:t>
      </w:r>
      <w:r w:rsidR="00B437B3">
        <w:t xml:space="preserve"> per Dixon CJ, McTiernan, Fullagar and Kitto JJ).</w:t>
      </w:r>
      <w:r w:rsidR="00D8477C">
        <w:t xml:space="preserve"> </w:t>
      </w:r>
    </w:p>
    <w:p w14:paraId="2C679652" w14:textId="189F19BA" w:rsidR="007F3412" w:rsidRPr="007F3412" w:rsidRDefault="0071710E" w:rsidP="0071710E">
      <w:pPr>
        <w:pStyle w:val="ParaNumbering"/>
        <w:numPr>
          <w:ilvl w:val="0"/>
          <w:numId w:val="0"/>
        </w:numPr>
        <w:tabs>
          <w:tab w:val="left" w:pos="720"/>
        </w:tabs>
        <w:ind w:hanging="720"/>
      </w:pPr>
      <w:r w:rsidRPr="007F3412">
        <w:rPr>
          <w:sz w:val="20"/>
        </w:rPr>
        <w:t>375</w:t>
      </w:r>
      <w:r w:rsidRPr="007F3412">
        <w:rPr>
          <w:sz w:val="20"/>
        </w:rPr>
        <w:tab/>
      </w:r>
      <w:r w:rsidR="00D8477C">
        <w:t xml:space="preserve">The argument of the contradictor </w:t>
      </w:r>
      <w:r w:rsidR="00F6258B">
        <w:t xml:space="preserve">that the making of </w:t>
      </w:r>
      <w:r w:rsidR="00D8477C">
        <w:t xml:space="preserve">a Settlement CFO would not constitute an exercise of judicial power involves two propositions: </w:t>
      </w:r>
      <w:r w:rsidR="00D8477C" w:rsidRPr="00D8477C">
        <w:rPr>
          <w:i/>
        </w:rPr>
        <w:t>first</w:t>
      </w:r>
      <w:r w:rsidR="00D8477C">
        <w:t xml:space="preserve">, </w:t>
      </w:r>
      <w:r w:rsidR="00B175BF">
        <w:t>i</w:t>
      </w:r>
      <w:r w:rsidR="00D8477C">
        <w:t>t</w:t>
      </w:r>
      <w:r w:rsidR="00D8477C">
        <w:rPr>
          <w:spacing w:val="-6"/>
        </w:rPr>
        <w:t xml:space="preserve"> </w:t>
      </w:r>
      <w:r w:rsidR="00D8477C">
        <w:t>would</w:t>
      </w:r>
      <w:r w:rsidR="00D8477C">
        <w:rPr>
          <w:spacing w:val="-3"/>
        </w:rPr>
        <w:t xml:space="preserve"> </w:t>
      </w:r>
      <w:r w:rsidR="00D8477C">
        <w:t xml:space="preserve">involve the creation of new rights and obligations for which the FCA Act does not provide; and </w:t>
      </w:r>
      <w:r w:rsidR="00D8477C" w:rsidRPr="00D8477C">
        <w:rPr>
          <w:i/>
        </w:rPr>
        <w:t>secondly</w:t>
      </w:r>
      <w:r w:rsidR="00D8477C">
        <w:t xml:space="preserve">, </w:t>
      </w:r>
      <w:r w:rsidR="007F3412">
        <w:t xml:space="preserve">in considering what is “just”, the </w:t>
      </w:r>
      <w:r w:rsidR="006D45B0">
        <w:t>C</w:t>
      </w:r>
      <w:r w:rsidR="007F3412">
        <w:t xml:space="preserve">ourt would consider </w:t>
      </w:r>
      <w:r w:rsidR="00D8477C">
        <w:t>non-judicial, policy considerations in quantifying the amount of commission to be paid.</w:t>
      </w:r>
      <w:r w:rsidR="00D8477C">
        <w:rPr>
          <w:spacing w:val="40"/>
        </w:rPr>
        <w:t xml:space="preserve"> </w:t>
      </w:r>
    </w:p>
    <w:p w14:paraId="1CFE9471" w14:textId="7B020C4F" w:rsidR="00D8477C" w:rsidRPr="00D8477C" w:rsidRDefault="0071710E" w:rsidP="0071710E">
      <w:pPr>
        <w:pStyle w:val="ParaNumbering"/>
        <w:numPr>
          <w:ilvl w:val="0"/>
          <w:numId w:val="0"/>
        </w:numPr>
        <w:tabs>
          <w:tab w:val="left" w:pos="720"/>
        </w:tabs>
        <w:ind w:hanging="720"/>
      </w:pPr>
      <w:r w:rsidRPr="00D8477C">
        <w:rPr>
          <w:sz w:val="20"/>
        </w:rPr>
        <w:t>376</w:t>
      </w:r>
      <w:r w:rsidRPr="00D8477C">
        <w:rPr>
          <w:sz w:val="20"/>
        </w:rPr>
        <w:tab/>
      </w:r>
      <w:r w:rsidR="00D8477C">
        <w:t>Neither proposition withstands scrutiny.</w:t>
      </w:r>
    </w:p>
    <w:p w14:paraId="6D9185EB" w14:textId="6B641EE4" w:rsidR="00A5115E" w:rsidRPr="00456E4D" w:rsidRDefault="0071710E" w:rsidP="0071710E">
      <w:pPr>
        <w:pStyle w:val="ParaNumbering"/>
        <w:numPr>
          <w:ilvl w:val="0"/>
          <w:numId w:val="0"/>
        </w:numPr>
        <w:tabs>
          <w:tab w:val="left" w:pos="720"/>
        </w:tabs>
        <w:ind w:hanging="720"/>
        <w:rPr>
          <w:szCs w:val="24"/>
        </w:rPr>
      </w:pPr>
      <w:r w:rsidRPr="00456E4D">
        <w:rPr>
          <w:sz w:val="20"/>
          <w:szCs w:val="24"/>
        </w:rPr>
        <w:t>377</w:t>
      </w:r>
      <w:r w:rsidRPr="00456E4D">
        <w:rPr>
          <w:sz w:val="20"/>
          <w:szCs w:val="24"/>
        </w:rPr>
        <w:tab/>
      </w:r>
      <w:r w:rsidR="00D8477C" w:rsidRPr="008F7549">
        <w:rPr>
          <w:szCs w:val="24"/>
        </w:rPr>
        <w:t xml:space="preserve">As to the </w:t>
      </w:r>
      <w:r w:rsidR="00D8477C" w:rsidRPr="003F645B">
        <w:rPr>
          <w:i/>
          <w:szCs w:val="24"/>
        </w:rPr>
        <w:t>first</w:t>
      </w:r>
      <w:r w:rsidR="0042337C" w:rsidRPr="003F645B">
        <w:rPr>
          <w:i/>
          <w:szCs w:val="24"/>
        </w:rPr>
        <w:t xml:space="preserve"> </w:t>
      </w:r>
      <w:r w:rsidR="0042337C" w:rsidRPr="008F7549">
        <w:rPr>
          <w:szCs w:val="24"/>
        </w:rPr>
        <w:t>proposition</w:t>
      </w:r>
      <w:r w:rsidR="00D8477C" w:rsidRPr="008F7549">
        <w:rPr>
          <w:szCs w:val="24"/>
        </w:rPr>
        <w:t xml:space="preserve">, </w:t>
      </w:r>
      <w:r w:rsidR="00F3027B" w:rsidRPr="008F7549">
        <w:rPr>
          <w:szCs w:val="24"/>
        </w:rPr>
        <w:t xml:space="preserve">the conferral of a power on a court to create or alter rights, and not merely declare </w:t>
      </w:r>
      <w:r w:rsidR="00D8477C" w:rsidRPr="008F7549">
        <w:rPr>
          <w:szCs w:val="24"/>
        </w:rPr>
        <w:t>and give effect to pre-existing</w:t>
      </w:r>
      <w:r w:rsidR="00F3027B" w:rsidRPr="008F7549">
        <w:rPr>
          <w:szCs w:val="24"/>
        </w:rPr>
        <w:t xml:space="preserve"> rights, does not place those powers outside of the scope of judicial</w:t>
      </w:r>
      <w:r w:rsidR="00A5115E" w:rsidRPr="00456E4D">
        <w:rPr>
          <w:szCs w:val="24"/>
        </w:rPr>
        <w:t xml:space="preserve"> </w:t>
      </w:r>
      <w:r w:rsidR="00D8477C" w:rsidRPr="00456E4D">
        <w:rPr>
          <w:szCs w:val="24"/>
        </w:rPr>
        <w:t xml:space="preserve">power. The making of an adoption order or </w:t>
      </w:r>
      <w:r w:rsidR="0042337C" w:rsidRPr="00456E4D">
        <w:rPr>
          <w:szCs w:val="24"/>
        </w:rPr>
        <w:t xml:space="preserve">the granting of </w:t>
      </w:r>
      <w:r w:rsidR="00D8477C" w:rsidRPr="00456E4D">
        <w:rPr>
          <w:szCs w:val="24"/>
        </w:rPr>
        <w:t>a</w:t>
      </w:r>
      <w:r w:rsidR="00F6258B" w:rsidRPr="00456E4D">
        <w:rPr>
          <w:szCs w:val="24"/>
        </w:rPr>
        <w:t xml:space="preserve"> decree of divorce </w:t>
      </w:r>
      <w:r w:rsidR="00D8477C" w:rsidRPr="00456E4D">
        <w:rPr>
          <w:szCs w:val="24"/>
        </w:rPr>
        <w:t>are obvious examples.</w:t>
      </w:r>
      <w:r w:rsidR="0042337C" w:rsidRPr="00456E4D">
        <w:rPr>
          <w:szCs w:val="24"/>
        </w:rPr>
        <w:t xml:space="preserve"> As Edelman J explained in </w:t>
      </w:r>
      <w:r w:rsidR="0042337C" w:rsidRPr="006D45B0">
        <w:rPr>
          <w:i/>
          <w:szCs w:val="24"/>
        </w:rPr>
        <w:t>Brewster</w:t>
      </w:r>
      <w:r w:rsidR="0042337C" w:rsidRPr="00456E4D">
        <w:rPr>
          <w:szCs w:val="24"/>
        </w:rPr>
        <w:t xml:space="preserve"> (at</w:t>
      </w:r>
      <w:r w:rsidR="00173F70">
        <w:rPr>
          <w:szCs w:val="24"/>
        </w:rPr>
        <w:t xml:space="preserve"> 658–659</w:t>
      </w:r>
      <w:r w:rsidR="0042337C" w:rsidRPr="00456E4D">
        <w:rPr>
          <w:szCs w:val="24"/>
        </w:rPr>
        <w:t xml:space="preserve"> [225])</w:t>
      </w:r>
      <w:r w:rsidR="00BA7B8D">
        <w:rPr>
          <w:szCs w:val="24"/>
        </w:rPr>
        <w:t>,</w:t>
      </w:r>
      <w:r w:rsidR="0042337C" w:rsidRPr="00456E4D">
        <w:rPr>
          <w:szCs w:val="24"/>
        </w:rPr>
        <w:t xml:space="preserve"> “it is</w:t>
      </w:r>
      <w:r w:rsidR="0042337C" w:rsidRPr="008F7549">
        <w:rPr>
          <w:szCs w:val="24"/>
        </w:rPr>
        <w:t xml:space="preserve"> </w:t>
      </w:r>
      <w:r w:rsidR="0042337C" w:rsidRPr="00456E4D">
        <w:rPr>
          <w:szCs w:val="24"/>
        </w:rPr>
        <w:t>entirely within</w:t>
      </w:r>
      <w:r w:rsidR="0042337C" w:rsidRPr="008F7549">
        <w:rPr>
          <w:szCs w:val="24"/>
        </w:rPr>
        <w:t xml:space="preserve"> </w:t>
      </w:r>
      <w:r w:rsidR="0042337C" w:rsidRPr="00456E4D">
        <w:rPr>
          <w:szCs w:val="24"/>
        </w:rPr>
        <w:t>judicial</w:t>
      </w:r>
      <w:r w:rsidR="0042337C" w:rsidRPr="008F7549">
        <w:rPr>
          <w:szCs w:val="24"/>
        </w:rPr>
        <w:t xml:space="preserve"> </w:t>
      </w:r>
      <w:r w:rsidR="0042337C" w:rsidRPr="00456E4D">
        <w:rPr>
          <w:szCs w:val="24"/>
        </w:rPr>
        <w:t>power</w:t>
      </w:r>
      <w:r w:rsidR="0042337C" w:rsidRPr="008F7549">
        <w:rPr>
          <w:szCs w:val="24"/>
        </w:rPr>
        <w:t xml:space="preserve"> </w:t>
      </w:r>
      <w:r w:rsidR="0042337C" w:rsidRPr="00456E4D">
        <w:rPr>
          <w:szCs w:val="24"/>
        </w:rPr>
        <w:t>for</w:t>
      </w:r>
      <w:r w:rsidR="0042337C" w:rsidRPr="008F7549">
        <w:rPr>
          <w:szCs w:val="24"/>
        </w:rPr>
        <w:t xml:space="preserve"> </w:t>
      </w:r>
      <w:r w:rsidR="0042337C" w:rsidRPr="00456E4D">
        <w:rPr>
          <w:szCs w:val="24"/>
        </w:rPr>
        <w:t>courts</w:t>
      </w:r>
      <w:r w:rsidR="0042337C" w:rsidRPr="008F7549">
        <w:rPr>
          <w:szCs w:val="24"/>
        </w:rPr>
        <w:t xml:space="preserve"> </w:t>
      </w:r>
      <w:r w:rsidR="0042337C" w:rsidRPr="00456E4D">
        <w:rPr>
          <w:szCs w:val="24"/>
        </w:rPr>
        <w:t>to</w:t>
      </w:r>
      <w:r w:rsidR="0042337C" w:rsidRPr="008F7549">
        <w:rPr>
          <w:szCs w:val="24"/>
        </w:rPr>
        <w:t xml:space="preserve"> </w:t>
      </w:r>
      <w:r w:rsidR="0042337C" w:rsidRPr="00456E4D">
        <w:rPr>
          <w:szCs w:val="24"/>
        </w:rPr>
        <w:t>create</w:t>
      </w:r>
      <w:r w:rsidR="0042337C" w:rsidRPr="008F7549">
        <w:rPr>
          <w:szCs w:val="24"/>
        </w:rPr>
        <w:t xml:space="preserve"> </w:t>
      </w:r>
      <w:r w:rsidR="0042337C" w:rsidRPr="00456E4D">
        <w:rPr>
          <w:szCs w:val="24"/>
        </w:rPr>
        <w:t>new</w:t>
      </w:r>
      <w:r w:rsidR="0042337C" w:rsidRPr="008F7549">
        <w:rPr>
          <w:szCs w:val="24"/>
        </w:rPr>
        <w:t xml:space="preserve"> </w:t>
      </w:r>
      <w:r w:rsidR="0042337C" w:rsidRPr="00456E4D">
        <w:rPr>
          <w:szCs w:val="24"/>
        </w:rPr>
        <w:t>rights, in</w:t>
      </w:r>
      <w:r w:rsidR="0042337C" w:rsidRPr="008F7549">
        <w:rPr>
          <w:szCs w:val="24"/>
        </w:rPr>
        <w:t xml:space="preserve"> </w:t>
      </w:r>
      <w:r w:rsidR="0042337C" w:rsidRPr="00456E4D">
        <w:rPr>
          <w:szCs w:val="24"/>
        </w:rPr>
        <w:t>the</w:t>
      </w:r>
      <w:r w:rsidR="0042337C" w:rsidRPr="008F7549">
        <w:rPr>
          <w:szCs w:val="24"/>
        </w:rPr>
        <w:t xml:space="preserve"> </w:t>
      </w:r>
      <w:r w:rsidR="0042337C" w:rsidRPr="00456E4D">
        <w:rPr>
          <w:szCs w:val="24"/>
        </w:rPr>
        <w:t>sense</w:t>
      </w:r>
      <w:r w:rsidR="0042337C" w:rsidRPr="008F7549">
        <w:rPr>
          <w:szCs w:val="24"/>
        </w:rPr>
        <w:t xml:space="preserve"> </w:t>
      </w:r>
      <w:r w:rsidR="0042337C" w:rsidRPr="00456E4D">
        <w:rPr>
          <w:szCs w:val="24"/>
        </w:rPr>
        <w:t>of</w:t>
      </w:r>
      <w:r w:rsidR="0042337C" w:rsidRPr="008F7549">
        <w:rPr>
          <w:szCs w:val="24"/>
        </w:rPr>
        <w:t xml:space="preserve"> </w:t>
      </w:r>
      <w:r w:rsidR="0042337C" w:rsidRPr="00456E4D">
        <w:rPr>
          <w:szCs w:val="24"/>
        </w:rPr>
        <w:t>recognising</w:t>
      </w:r>
      <w:r w:rsidR="0042337C" w:rsidRPr="008F7549">
        <w:rPr>
          <w:szCs w:val="24"/>
        </w:rPr>
        <w:t xml:space="preserve"> </w:t>
      </w:r>
      <w:r w:rsidR="0042337C" w:rsidRPr="00456E4D">
        <w:rPr>
          <w:szCs w:val="24"/>
        </w:rPr>
        <w:t>and</w:t>
      </w:r>
      <w:r w:rsidR="0042337C" w:rsidRPr="008F7549">
        <w:rPr>
          <w:szCs w:val="24"/>
        </w:rPr>
        <w:t xml:space="preserve"> </w:t>
      </w:r>
      <w:r w:rsidR="0042337C" w:rsidRPr="00456E4D">
        <w:rPr>
          <w:szCs w:val="24"/>
        </w:rPr>
        <w:t>giving</w:t>
      </w:r>
      <w:r w:rsidR="0042337C" w:rsidRPr="008F7549">
        <w:rPr>
          <w:szCs w:val="24"/>
        </w:rPr>
        <w:t xml:space="preserve"> </w:t>
      </w:r>
      <w:r w:rsidR="0042337C" w:rsidRPr="00456E4D">
        <w:rPr>
          <w:szCs w:val="24"/>
        </w:rPr>
        <w:t>effect to rights that differ from a previously settled understanding”.</w:t>
      </w:r>
      <w:r w:rsidR="0042337C" w:rsidRPr="008F7549">
        <w:rPr>
          <w:szCs w:val="24"/>
        </w:rPr>
        <w:t xml:space="preserve"> </w:t>
      </w:r>
      <w:r w:rsidR="0042337C" w:rsidRPr="00456E4D">
        <w:rPr>
          <w:szCs w:val="24"/>
        </w:rPr>
        <w:t>Similarly, the Full Court (</w:t>
      </w:r>
      <w:r w:rsidR="00F10939">
        <w:rPr>
          <w:szCs w:val="24"/>
        </w:rPr>
        <w:t xml:space="preserve">comprising </w:t>
      </w:r>
      <w:r w:rsidR="0042337C" w:rsidRPr="00456E4D">
        <w:rPr>
          <w:szCs w:val="24"/>
        </w:rPr>
        <w:t xml:space="preserve">Murphy, Gleeson and Beach JJ) explained in </w:t>
      </w:r>
      <w:r w:rsidR="0042337C" w:rsidRPr="00F37982">
        <w:rPr>
          <w:i/>
          <w:szCs w:val="24"/>
        </w:rPr>
        <w:t>Money Max Int Pty Ltd v QBE Insurance Group Ltd</w:t>
      </w:r>
      <w:r w:rsidR="0042337C" w:rsidRPr="00456E4D">
        <w:rPr>
          <w:szCs w:val="24"/>
        </w:rPr>
        <w:t xml:space="preserve"> </w:t>
      </w:r>
      <w:r w:rsidR="00E035EA">
        <w:rPr>
          <w:szCs w:val="24"/>
        </w:rPr>
        <w:t xml:space="preserve">[2016] FCAFC 148; </w:t>
      </w:r>
      <w:r w:rsidR="0042337C" w:rsidRPr="00456E4D">
        <w:rPr>
          <w:szCs w:val="24"/>
        </w:rPr>
        <w:t xml:space="preserve">(2016) 245 FCR 191 </w:t>
      </w:r>
      <w:r w:rsidR="00C0690C" w:rsidRPr="00456E4D">
        <w:rPr>
          <w:szCs w:val="24"/>
        </w:rPr>
        <w:t xml:space="preserve">(at </w:t>
      </w:r>
      <w:r w:rsidR="00C0690C">
        <w:rPr>
          <w:szCs w:val="24"/>
        </w:rPr>
        <w:t>225</w:t>
      </w:r>
      <w:r w:rsidR="00C0690C" w:rsidRPr="008F7549">
        <w:rPr>
          <w:szCs w:val="24"/>
        </w:rPr>
        <w:t xml:space="preserve"> </w:t>
      </w:r>
      <w:r w:rsidR="00C0690C" w:rsidRPr="00456E4D">
        <w:rPr>
          <w:szCs w:val="24"/>
        </w:rPr>
        <w:t xml:space="preserve">[171]) </w:t>
      </w:r>
      <w:r w:rsidR="0042337C" w:rsidRPr="00456E4D">
        <w:rPr>
          <w:szCs w:val="24"/>
        </w:rPr>
        <w:t xml:space="preserve">(in an observation not the subject of criticism in </w:t>
      </w:r>
      <w:r w:rsidR="0042337C" w:rsidRPr="00851EAF">
        <w:rPr>
          <w:i/>
          <w:szCs w:val="24"/>
        </w:rPr>
        <w:t>Brewster</w:t>
      </w:r>
      <w:r w:rsidR="0042337C" w:rsidRPr="00456E4D">
        <w:rPr>
          <w:szCs w:val="24"/>
        </w:rPr>
        <w:t>) that “there is little doubt that a Court can make orders creating rights or liabilities as an exercise of discretionary power, provided the power is exercised according to legal principle and by reference to an objective standard”. That is the case here.</w:t>
      </w:r>
    </w:p>
    <w:p w14:paraId="27ECB7EF" w14:textId="46F97757" w:rsidR="001F6FA8" w:rsidRDefault="0071710E" w:rsidP="0071710E">
      <w:pPr>
        <w:pStyle w:val="ParaNumbering"/>
        <w:numPr>
          <w:ilvl w:val="0"/>
          <w:numId w:val="0"/>
        </w:numPr>
        <w:tabs>
          <w:tab w:val="left" w:pos="720"/>
        </w:tabs>
        <w:ind w:hanging="720"/>
      </w:pPr>
      <w:r>
        <w:rPr>
          <w:sz w:val="20"/>
        </w:rPr>
        <w:t>378</w:t>
      </w:r>
      <w:r>
        <w:rPr>
          <w:sz w:val="20"/>
        </w:rPr>
        <w:tab/>
      </w:r>
      <w:r w:rsidR="00D8477C">
        <w:t xml:space="preserve">As to the </w:t>
      </w:r>
      <w:r w:rsidR="00D8477C" w:rsidRPr="00D8477C">
        <w:rPr>
          <w:i/>
        </w:rPr>
        <w:t>second</w:t>
      </w:r>
      <w:r w:rsidR="0042337C">
        <w:t xml:space="preserve"> </w:t>
      </w:r>
      <w:r w:rsidR="0042337C">
        <w:rPr>
          <w:w w:val="105"/>
        </w:rPr>
        <w:t>proposition</w:t>
      </w:r>
      <w:r w:rsidR="00D8477C">
        <w:t xml:space="preserve">, the characterisation of the power as judicial is not affected by the </w:t>
      </w:r>
      <w:r w:rsidR="00D8477C" w:rsidRPr="00E92E7D">
        <w:t xml:space="preserve">breadth of the discrimen informing the exercise of the statutory discretion. </w:t>
      </w:r>
      <w:r w:rsidR="001F6FA8">
        <w:t>V</w:t>
      </w:r>
      <w:r w:rsidR="001F6FA8" w:rsidRPr="001F6FA8">
        <w:t xml:space="preserve">alue judgments in respect of which there is room for reasonable differences of opinion, with no </w:t>
      </w:r>
      <w:proofErr w:type="gramStart"/>
      <w:r w:rsidR="001F6FA8" w:rsidRPr="001F6FA8">
        <w:t>particular opinion</w:t>
      </w:r>
      <w:proofErr w:type="gramEnd"/>
      <w:r w:rsidR="001F6FA8" w:rsidRPr="001F6FA8">
        <w:t xml:space="preserve"> being uniquely right</w:t>
      </w:r>
      <w:r w:rsidR="001F6FA8">
        <w:t xml:space="preserve">, </w:t>
      </w:r>
      <w:r w:rsidR="001F6FA8" w:rsidRPr="001F6FA8">
        <w:t xml:space="preserve">are common and </w:t>
      </w:r>
      <w:r w:rsidR="001F6FA8">
        <w:t>ju</w:t>
      </w:r>
      <w:r w:rsidR="001F6FA8" w:rsidRPr="00E92E7D">
        <w:t xml:space="preserve">dicial powers are </w:t>
      </w:r>
      <w:r w:rsidR="001F6FA8">
        <w:t xml:space="preserve">commonly </w:t>
      </w:r>
      <w:r w:rsidR="001F6FA8" w:rsidRPr="00E92E7D">
        <w:t xml:space="preserve">conditioned </w:t>
      </w:r>
      <w:r w:rsidR="001F6FA8">
        <w:t>upon</w:t>
      </w:r>
      <w:r w:rsidR="001F6FA8" w:rsidRPr="00E92E7D">
        <w:t xml:space="preserve"> evaluations of what is “just” or in the “interests of justice”</w:t>
      </w:r>
      <w:r w:rsidR="001F6FA8">
        <w:t>:</w:t>
      </w:r>
      <w:r w:rsidR="001F6FA8" w:rsidRPr="00E92E7D">
        <w:t xml:space="preserve"> </w:t>
      </w:r>
      <w:r w:rsidR="001F6FA8" w:rsidRPr="001F6FA8">
        <w:rPr>
          <w:i/>
        </w:rPr>
        <w:t>Cominos v Cominos</w:t>
      </w:r>
      <w:r w:rsidR="001F6FA8" w:rsidRPr="00E92E7D">
        <w:t xml:space="preserve"> (1972) 127 CLR 588</w:t>
      </w:r>
      <w:r w:rsidR="001F6FA8">
        <w:t xml:space="preserve"> (at 608 per Mason J);</w:t>
      </w:r>
      <w:r w:rsidR="001F6FA8" w:rsidRPr="001F6FA8">
        <w:t xml:space="preserve"> </w:t>
      </w:r>
      <w:proofErr w:type="spellStart"/>
      <w:r w:rsidR="001F6FA8" w:rsidRPr="001F6FA8">
        <w:rPr>
          <w:i/>
        </w:rPr>
        <w:t>Norbis</w:t>
      </w:r>
      <w:proofErr w:type="spellEnd"/>
      <w:r w:rsidR="001F6FA8" w:rsidRPr="001F6FA8">
        <w:rPr>
          <w:i/>
        </w:rPr>
        <w:t xml:space="preserve"> v </w:t>
      </w:r>
      <w:proofErr w:type="spellStart"/>
      <w:r w:rsidR="001F6FA8" w:rsidRPr="001F6FA8">
        <w:rPr>
          <w:i/>
        </w:rPr>
        <w:t>Norbis</w:t>
      </w:r>
      <w:proofErr w:type="spellEnd"/>
      <w:r w:rsidR="001F6FA8" w:rsidRPr="001F6FA8">
        <w:t xml:space="preserve"> (1986) 161 CLR 513 (at 518 per Mason and Deane JJ). </w:t>
      </w:r>
    </w:p>
    <w:p w14:paraId="54A80822" w14:textId="06C176DC" w:rsidR="00A5115E" w:rsidRDefault="0071710E" w:rsidP="0071710E">
      <w:pPr>
        <w:pStyle w:val="ParaNumbering"/>
        <w:numPr>
          <w:ilvl w:val="0"/>
          <w:numId w:val="0"/>
        </w:numPr>
        <w:tabs>
          <w:tab w:val="left" w:pos="720"/>
        </w:tabs>
        <w:ind w:hanging="720"/>
      </w:pPr>
      <w:r>
        <w:rPr>
          <w:sz w:val="20"/>
        </w:rPr>
        <w:t>379</w:t>
      </w:r>
      <w:r>
        <w:rPr>
          <w:sz w:val="20"/>
        </w:rPr>
        <w:tab/>
      </w:r>
      <w:r w:rsidR="0042337C">
        <w:t xml:space="preserve">The nub of the complaint </w:t>
      </w:r>
      <w:r w:rsidR="007844E6">
        <w:t>appears to be</w:t>
      </w:r>
      <w:r w:rsidR="0042337C">
        <w:t xml:space="preserve"> that the making of a Settlement CFO </w:t>
      </w:r>
      <w:r w:rsidR="007F3412">
        <w:t xml:space="preserve">would </w:t>
      </w:r>
      <w:r w:rsidR="007844E6">
        <w:t xml:space="preserve">necessarily </w:t>
      </w:r>
      <w:r w:rsidR="007F3412">
        <w:t>involve</w:t>
      </w:r>
      <w:r w:rsidR="0042337C">
        <w:t xml:space="preserve"> the weighing</w:t>
      </w:r>
      <w:r w:rsidR="0042337C">
        <w:rPr>
          <w:spacing w:val="-5"/>
        </w:rPr>
        <w:t xml:space="preserve"> </w:t>
      </w:r>
      <w:r w:rsidR="0042337C">
        <w:t>of</w:t>
      </w:r>
      <w:r w:rsidR="0042337C">
        <w:rPr>
          <w:spacing w:val="-5"/>
        </w:rPr>
        <w:t xml:space="preserve"> </w:t>
      </w:r>
      <w:r w:rsidR="0042337C">
        <w:t>“policy</w:t>
      </w:r>
      <w:r w:rsidR="0042337C">
        <w:rPr>
          <w:spacing w:val="-5"/>
        </w:rPr>
        <w:t xml:space="preserve"> </w:t>
      </w:r>
      <w:r w:rsidR="0042337C">
        <w:t>considerations”,</w:t>
      </w:r>
      <w:r w:rsidR="0042337C">
        <w:rPr>
          <w:spacing w:val="-5"/>
        </w:rPr>
        <w:t xml:space="preserve"> </w:t>
      </w:r>
      <w:r w:rsidR="0042337C">
        <w:t>which</w:t>
      </w:r>
      <w:r w:rsidR="0042337C">
        <w:rPr>
          <w:spacing w:val="-5"/>
        </w:rPr>
        <w:t xml:space="preserve"> </w:t>
      </w:r>
      <w:r w:rsidR="007844E6">
        <w:t>may</w:t>
      </w:r>
      <w:r w:rsidR="0042337C">
        <w:rPr>
          <w:spacing w:val="-1"/>
        </w:rPr>
        <w:t xml:space="preserve"> </w:t>
      </w:r>
      <w:r w:rsidR="0042337C">
        <w:t>include</w:t>
      </w:r>
      <w:r w:rsidR="0042337C">
        <w:rPr>
          <w:spacing w:val="-7"/>
        </w:rPr>
        <w:t xml:space="preserve"> </w:t>
      </w:r>
      <w:r w:rsidR="0042337C">
        <w:t>assessment</w:t>
      </w:r>
      <w:r w:rsidR="0042337C">
        <w:rPr>
          <w:spacing w:val="-7"/>
        </w:rPr>
        <w:t xml:space="preserve"> </w:t>
      </w:r>
      <w:r w:rsidR="0042337C">
        <w:t>of</w:t>
      </w:r>
      <w:r w:rsidR="0042337C">
        <w:rPr>
          <w:spacing w:val="-5"/>
        </w:rPr>
        <w:t xml:space="preserve"> </w:t>
      </w:r>
      <w:r w:rsidR="0042337C">
        <w:t>an</w:t>
      </w:r>
      <w:r w:rsidR="0042337C">
        <w:rPr>
          <w:spacing w:val="-5"/>
        </w:rPr>
        <w:t xml:space="preserve"> </w:t>
      </w:r>
      <w:r w:rsidR="0042337C">
        <w:t>appropriate commercial return on investment for funders</w:t>
      </w:r>
      <w:r w:rsidR="007F3412">
        <w:t xml:space="preserve">. </w:t>
      </w:r>
    </w:p>
    <w:p w14:paraId="4D4CD912" w14:textId="2A4A7D9B" w:rsidR="007F3412" w:rsidRDefault="0071710E" w:rsidP="0071710E">
      <w:pPr>
        <w:pStyle w:val="ParaNumbering"/>
        <w:numPr>
          <w:ilvl w:val="0"/>
          <w:numId w:val="0"/>
        </w:numPr>
        <w:tabs>
          <w:tab w:val="left" w:pos="720"/>
        </w:tabs>
        <w:ind w:hanging="720"/>
      </w:pPr>
      <w:r>
        <w:rPr>
          <w:sz w:val="20"/>
        </w:rPr>
        <w:t>380</w:t>
      </w:r>
      <w:r>
        <w:rPr>
          <w:sz w:val="20"/>
        </w:rPr>
        <w:tab/>
      </w:r>
      <w:r w:rsidR="002804C2">
        <w:t>The obvious response to this submission</w:t>
      </w:r>
      <w:r w:rsidR="00E17668">
        <w:t>,</w:t>
      </w:r>
      <w:r w:rsidR="002804C2">
        <w:t xml:space="preserve"> directed, as it is, to questions of power and not </w:t>
      </w:r>
      <w:r w:rsidR="00E51141">
        <w:t xml:space="preserve">of </w:t>
      </w:r>
      <w:r w:rsidR="002804C2">
        <w:t xml:space="preserve">discretion, is that it is premised on the assumption that a Settlement CFO would necessarily be made in favour of a funder and would involve assessment of “commercial returns” </w:t>
      </w:r>
      <w:r w:rsidR="00CB036B">
        <w:t>on</w:t>
      </w:r>
      <w:r w:rsidR="002804C2">
        <w:t xml:space="preserve"> such enterprises. </w:t>
      </w:r>
      <w:r w:rsidR="00F0481D">
        <w:t>For reasons explained below, the distribution of monies paid under a settlement to a third</w:t>
      </w:r>
      <w:r w:rsidR="00F4505C">
        <w:t>-</w:t>
      </w:r>
      <w:r w:rsidR="00F0481D">
        <w:t xml:space="preserve">party to </w:t>
      </w:r>
      <w:r w:rsidR="00132889">
        <w:t>a</w:t>
      </w:r>
      <w:r w:rsidR="00F0481D">
        <w:t xml:space="preserve"> class action who has acted in such a way to facilitate the realisation of the fund, and to whom a payment is </w:t>
      </w:r>
      <w:r w:rsidR="00067161">
        <w:t>“</w:t>
      </w:r>
      <w:r w:rsidR="00F0481D">
        <w:t>just</w:t>
      </w:r>
      <w:r w:rsidR="00067161">
        <w:t>”</w:t>
      </w:r>
      <w:r w:rsidR="00F0481D">
        <w:t xml:space="preserve"> by reference to all the circumstances, need not necessarily be a commercial funder. </w:t>
      </w:r>
      <w:r w:rsidR="00014DC9">
        <w:t xml:space="preserve">As I noted in </w:t>
      </w:r>
      <w:proofErr w:type="spellStart"/>
      <w:r w:rsidR="005F7EDD" w:rsidRPr="005F7EDD">
        <w:rPr>
          <w:i/>
        </w:rPr>
        <w:t>Klemweb</w:t>
      </w:r>
      <w:proofErr w:type="spellEnd"/>
      <w:r w:rsidR="005F7EDD" w:rsidRPr="005F7EDD">
        <w:rPr>
          <w:i/>
        </w:rPr>
        <w:t xml:space="preserve"> Nominees Pty Ltd (as trustee for the </w:t>
      </w:r>
      <w:proofErr w:type="spellStart"/>
      <w:r w:rsidR="005F7EDD" w:rsidRPr="005F7EDD">
        <w:rPr>
          <w:i/>
        </w:rPr>
        <w:t>Klemweb</w:t>
      </w:r>
      <w:proofErr w:type="spellEnd"/>
      <w:r w:rsidR="005F7EDD" w:rsidRPr="005F7EDD">
        <w:rPr>
          <w:i/>
        </w:rPr>
        <w:t xml:space="preserve"> Superannuation Fund) v BHP Group Limited</w:t>
      </w:r>
      <w:r w:rsidR="005F7EDD" w:rsidRPr="005F7EDD">
        <w:t xml:space="preserve"> [2019] FCAFC 107; (2019) 369 ALR 583 (at </w:t>
      </w:r>
      <w:r w:rsidR="005F7EDD">
        <w:t>610</w:t>
      </w:r>
      <w:r w:rsidR="00D05865">
        <w:t>–</w:t>
      </w:r>
      <w:r w:rsidR="0009287C">
        <w:t>6</w:t>
      </w:r>
      <w:r w:rsidR="005F7EDD">
        <w:t>1</w:t>
      </w:r>
      <w:r w:rsidR="00D05865">
        <w:t>1</w:t>
      </w:r>
      <w:r w:rsidR="005F7EDD">
        <w:t xml:space="preserve"> </w:t>
      </w:r>
      <w:r w:rsidR="005F7EDD" w:rsidRPr="005F7EDD">
        <w:t>[121]</w:t>
      </w:r>
      <w:r w:rsidR="005F7EDD">
        <w:t>–</w:t>
      </w:r>
      <w:r w:rsidR="00D05865">
        <w:t>[</w:t>
      </w:r>
      <w:r w:rsidR="005F7EDD">
        <w:t xml:space="preserve">130]), </w:t>
      </w:r>
      <w:r w:rsidR="005F7EDD" w:rsidRPr="005F7EDD">
        <w:t>a Settlement CFO might be thought to be consistent with general equitable principles that a person who benefits from another’s efforts in producing a fund is obliged to provide appropriate value in return, as is reflected in the underlying principle that it would be inequitable for the person who has created or realised a valuable asset, in w</w:t>
      </w:r>
      <w:r w:rsidR="005F7EDD">
        <w:t xml:space="preserve">hich others claim an interest, </w:t>
      </w:r>
      <w:r w:rsidR="005F7EDD" w:rsidRPr="005F7EDD">
        <w:t xml:space="preserve">not to have </w:t>
      </w:r>
      <w:r w:rsidR="005F7EDD">
        <w:t>the</w:t>
      </w:r>
      <w:r w:rsidR="005F7EDD" w:rsidRPr="005F7EDD">
        <w:t xml:space="preserve"> costs, expenses and fees incurred in producing the asset paid out o</w:t>
      </w:r>
      <w:r w:rsidR="005F7EDD">
        <w:t xml:space="preserve">f the fund or property created. Although these observations were made in the context of s 33ZF, </w:t>
      </w:r>
      <w:r w:rsidR="00112A85">
        <w:t>one can readily conceive of</w:t>
      </w:r>
      <w:r w:rsidR="00067161">
        <w:t xml:space="preserve"> circumstances</w:t>
      </w:r>
      <w:r w:rsidR="00112A85">
        <w:t xml:space="preserve"> where it could </w:t>
      </w:r>
      <w:r w:rsidR="00014DC9">
        <w:t xml:space="preserve">be </w:t>
      </w:r>
      <w:r w:rsidR="00067161">
        <w:t>a “</w:t>
      </w:r>
      <w:r w:rsidR="005F7EDD">
        <w:t>just</w:t>
      </w:r>
      <w:r w:rsidR="00067161">
        <w:t>”</w:t>
      </w:r>
      <w:r w:rsidR="005F7EDD">
        <w:t xml:space="preserve"> order to pay to </w:t>
      </w:r>
      <w:r w:rsidR="00014DC9">
        <w:t>a solicitor</w:t>
      </w:r>
      <w:r w:rsidR="00F13344">
        <w:t xml:space="preserve"> (</w:t>
      </w:r>
      <w:r w:rsidR="00014DC9">
        <w:t xml:space="preserve">who has taken the necessary risks </w:t>
      </w:r>
      <w:r w:rsidR="00014DC9" w:rsidRPr="00F13344">
        <w:t>to get in the settlement fund</w:t>
      </w:r>
      <w:r w:rsidR="00F13344">
        <w:t>)</w:t>
      </w:r>
      <w:r w:rsidR="005F7EDD" w:rsidRPr="00F13344">
        <w:t xml:space="preserve"> a </w:t>
      </w:r>
      <w:r w:rsidR="00F13344" w:rsidRPr="00F13344">
        <w:t>sum</w:t>
      </w:r>
      <w:r w:rsidR="00067161" w:rsidRPr="00F13344">
        <w:t xml:space="preserve"> in addition to legal costs payable pursuant to a retainer</w:t>
      </w:r>
      <w:r w:rsidR="00014DC9">
        <w:t xml:space="preserve">. </w:t>
      </w:r>
      <w:r w:rsidR="005F7EDD">
        <w:t xml:space="preserve">Moreover, on </w:t>
      </w:r>
      <w:r w:rsidR="00014DC9">
        <w:t>a</w:t>
      </w:r>
      <w:r w:rsidR="005F7EDD">
        <w:t>n</w:t>
      </w:r>
      <w:r w:rsidR="00014DC9">
        <w:t xml:space="preserve">y view, it could be one of the group members who may have put up the necessary funds to advance the class action to a successful conclusion. </w:t>
      </w:r>
      <w:r w:rsidR="002804C2">
        <w:t xml:space="preserve">This </w:t>
      </w:r>
      <w:r w:rsidR="00E51141">
        <w:t xml:space="preserve">premise </w:t>
      </w:r>
      <w:r w:rsidR="00F0481D">
        <w:t>of this argument is</w:t>
      </w:r>
      <w:r w:rsidR="002804C2">
        <w:t xml:space="preserve"> wrong.  </w:t>
      </w:r>
      <w:r w:rsidR="007F3412">
        <w:t xml:space="preserve"> </w:t>
      </w:r>
    </w:p>
    <w:p w14:paraId="1830546B" w14:textId="36BA75EB" w:rsidR="00961EC0" w:rsidRDefault="0071710E" w:rsidP="0071710E">
      <w:pPr>
        <w:pStyle w:val="ParaNumbering"/>
        <w:numPr>
          <w:ilvl w:val="0"/>
          <w:numId w:val="0"/>
        </w:numPr>
        <w:tabs>
          <w:tab w:val="left" w:pos="720"/>
        </w:tabs>
        <w:ind w:hanging="720"/>
      </w:pPr>
      <w:r>
        <w:rPr>
          <w:sz w:val="20"/>
        </w:rPr>
        <w:t>381</w:t>
      </w:r>
      <w:r>
        <w:rPr>
          <w:sz w:val="20"/>
        </w:rPr>
        <w:tab/>
      </w:r>
      <w:r w:rsidR="00F0481D">
        <w:t>But even accepting the premise of the proposition, the making of a Settlement CFO is not non-judicial because it involves the weighing</w:t>
      </w:r>
      <w:r w:rsidR="00F0481D">
        <w:rPr>
          <w:spacing w:val="-5"/>
        </w:rPr>
        <w:t xml:space="preserve"> </w:t>
      </w:r>
      <w:r w:rsidR="00F0481D">
        <w:t>of</w:t>
      </w:r>
      <w:r w:rsidR="00F0481D">
        <w:rPr>
          <w:spacing w:val="-5"/>
        </w:rPr>
        <w:t xml:space="preserve"> </w:t>
      </w:r>
      <w:r w:rsidR="00F0481D">
        <w:t>“policy</w:t>
      </w:r>
      <w:r w:rsidR="00F0481D">
        <w:rPr>
          <w:spacing w:val="-5"/>
        </w:rPr>
        <w:t xml:space="preserve"> </w:t>
      </w:r>
      <w:r w:rsidR="00F0481D">
        <w:t>considerations”,</w:t>
      </w:r>
      <w:r w:rsidR="00F0481D">
        <w:rPr>
          <w:spacing w:val="-5"/>
        </w:rPr>
        <w:t xml:space="preserve"> </w:t>
      </w:r>
      <w:r w:rsidR="00F0481D">
        <w:t>which</w:t>
      </w:r>
      <w:r w:rsidR="00F0481D">
        <w:rPr>
          <w:spacing w:val="-5"/>
        </w:rPr>
        <w:t xml:space="preserve"> </w:t>
      </w:r>
      <w:r w:rsidR="00F0481D">
        <w:t>may</w:t>
      </w:r>
      <w:r w:rsidR="00F0481D">
        <w:rPr>
          <w:spacing w:val="-1"/>
        </w:rPr>
        <w:t xml:space="preserve"> </w:t>
      </w:r>
      <w:r w:rsidR="00F0481D">
        <w:t>include</w:t>
      </w:r>
      <w:r w:rsidR="00F0481D">
        <w:rPr>
          <w:spacing w:val="-7"/>
        </w:rPr>
        <w:t xml:space="preserve"> </w:t>
      </w:r>
      <w:r w:rsidR="00F0481D">
        <w:t>assessment</w:t>
      </w:r>
      <w:r w:rsidR="00F0481D">
        <w:rPr>
          <w:spacing w:val="-7"/>
        </w:rPr>
        <w:t xml:space="preserve"> </w:t>
      </w:r>
      <w:r w:rsidR="00F0481D">
        <w:t>of</w:t>
      </w:r>
      <w:r w:rsidR="00F0481D">
        <w:rPr>
          <w:spacing w:val="-5"/>
        </w:rPr>
        <w:t xml:space="preserve"> </w:t>
      </w:r>
      <w:r w:rsidR="00F0481D">
        <w:t>an</w:t>
      </w:r>
      <w:r w:rsidR="00F0481D">
        <w:rPr>
          <w:spacing w:val="-5"/>
        </w:rPr>
        <w:t xml:space="preserve"> </w:t>
      </w:r>
      <w:r w:rsidR="00F0481D">
        <w:t>appropriate commercial return on investment for funders.</w:t>
      </w:r>
      <w:r w:rsidR="00961EC0">
        <w:t xml:space="preserve"> </w:t>
      </w:r>
    </w:p>
    <w:p w14:paraId="11234E49" w14:textId="3945682E" w:rsidR="003847E9" w:rsidRPr="00961EC0" w:rsidRDefault="0071710E" w:rsidP="0071710E">
      <w:pPr>
        <w:pStyle w:val="ParaNumbering"/>
        <w:numPr>
          <w:ilvl w:val="0"/>
          <w:numId w:val="0"/>
        </w:numPr>
        <w:tabs>
          <w:tab w:val="left" w:pos="720"/>
        </w:tabs>
        <w:ind w:hanging="720"/>
      </w:pPr>
      <w:r w:rsidRPr="00961EC0">
        <w:rPr>
          <w:sz w:val="20"/>
        </w:rPr>
        <w:t>382</w:t>
      </w:r>
      <w:r w:rsidRPr="00961EC0">
        <w:rPr>
          <w:sz w:val="20"/>
        </w:rPr>
        <w:tab/>
      </w:r>
      <w:r w:rsidR="003847E9">
        <w:t xml:space="preserve">It may be accepted that consideration of whether an order is just will often require a judge </w:t>
      </w:r>
      <w:r w:rsidR="003847E9" w:rsidRPr="003847E9">
        <w:t xml:space="preserve">to assess an appropriate level of return for the funder, but this does </w:t>
      </w:r>
      <w:r w:rsidR="00132889">
        <w:t xml:space="preserve">not </w:t>
      </w:r>
      <w:r w:rsidR="003847E9" w:rsidRPr="003847E9">
        <w:t xml:space="preserve">mean the judge is doing other than exercising judicial power. As the Full Court </w:t>
      </w:r>
      <w:r w:rsidR="00961EC0">
        <w:t>(</w:t>
      </w:r>
      <w:r w:rsidR="000934B2">
        <w:t xml:space="preserve">comprising </w:t>
      </w:r>
      <w:r w:rsidR="00961EC0">
        <w:t xml:space="preserve">Allsop CJ, Middleton and Robertson JJ) </w:t>
      </w:r>
      <w:r w:rsidR="003847E9" w:rsidRPr="003847E9">
        <w:t xml:space="preserve">said in </w:t>
      </w:r>
      <w:r w:rsidR="00BB34D8">
        <w:rPr>
          <w:i/>
        </w:rPr>
        <w:t xml:space="preserve">Westpac Banking Corporation v </w:t>
      </w:r>
      <w:proofErr w:type="spellStart"/>
      <w:r w:rsidR="00BB34D8">
        <w:rPr>
          <w:i/>
        </w:rPr>
        <w:t>Lenthall</w:t>
      </w:r>
      <w:proofErr w:type="spellEnd"/>
      <w:r w:rsidR="003847E9">
        <w:t xml:space="preserve"> </w:t>
      </w:r>
      <w:r w:rsidR="00961EC0" w:rsidRPr="00961EC0">
        <w:t xml:space="preserve">[2019] FCAFC 34; </w:t>
      </w:r>
      <w:r w:rsidR="008C2459">
        <w:t xml:space="preserve">(2019) </w:t>
      </w:r>
      <w:r w:rsidR="00961EC0" w:rsidRPr="00961EC0">
        <w:t xml:space="preserve">265 FCR 21 </w:t>
      </w:r>
      <w:r w:rsidR="001D1CBE">
        <w:t>(</w:t>
      </w:r>
      <w:r w:rsidR="00961EC0">
        <w:t xml:space="preserve">at </w:t>
      </w:r>
      <w:r w:rsidR="004130A5">
        <w:t>48</w:t>
      </w:r>
      <w:r w:rsidR="000934B2">
        <w:t>–49</w:t>
      </w:r>
      <w:r w:rsidR="004130A5">
        <w:t xml:space="preserve"> </w:t>
      </w:r>
      <w:r w:rsidR="00961EC0">
        <w:t>[102]</w:t>
      </w:r>
      <w:r w:rsidR="001D1CBE">
        <w:t>)</w:t>
      </w:r>
      <w:r w:rsidR="003847E9">
        <w:t>:</w:t>
      </w:r>
    </w:p>
    <w:p w14:paraId="127F0FF4" w14:textId="77777777" w:rsidR="003847E9" w:rsidRDefault="003847E9" w:rsidP="003847E9">
      <w:pPr>
        <w:pStyle w:val="Quote1"/>
      </w:pPr>
      <w:r w:rsidRPr="003847E9">
        <w:t xml:space="preserve">courts assess imprecise, and to a degree indeterminate, considerations such as risk, reward, </w:t>
      </w:r>
      <w:proofErr w:type="gramStart"/>
      <w:r w:rsidRPr="003847E9">
        <w:t>danger</w:t>
      </w:r>
      <w:proofErr w:type="gramEnd"/>
      <w:r w:rsidRPr="003847E9">
        <w:t xml:space="preserve"> and related benefits conferred in the proper exercise of judicial power. It could never be suggested that this task was non-judicial because of the indeterminacy of the commercial, </w:t>
      </w:r>
      <w:proofErr w:type="gramStart"/>
      <w:r w:rsidRPr="003847E9">
        <w:t>physical</w:t>
      </w:r>
      <w:proofErr w:type="gramEnd"/>
      <w:r w:rsidRPr="003847E9">
        <w:t xml:space="preserve"> and </w:t>
      </w:r>
      <w:r>
        <w:t>legal considerations.</w:t>
      </w:r>
    </w:p>
    <w:p w14:paraId="2F93B76B" w14:textId="08F4FAC7" w:rsidR="007F3412" w:rsidRPr="00B83165" w:rsidRDefault="0071710E" w:rsidP="0071710E">
      <w:pPr>
        <w:pStyle w:val="ParaNumbering"/>
        <w:numPr>
          <w:ilvl w:val="0"/>
          <w:numId w:val="0"/>
        </w:numPr>
        <w:tabs>
          <w:tab w:val="left" w:pos="720"/>
        </w:tabs>
        <w:ind w:hanging="720"/>
      </w:pPr>
      <w:r w:rsidRPr="00B83165">
        <w:rPr>
          <w:sz w:val="20"/>
        </w:rPr>
        <w:t>383</w:t>
      </w:r>
      <w:r w:rsidRPr="00B83165">
        <w:rPr>
          <w:sz w:val="20"/>
        </w:rPr>
        <w:tab/>
      </w:r>
      <w:r w:rsidR="00250F21">
        <w:t xml:space="preserve">Courts very commonly set rates of return of interest, calculate economic </w:t>
      </w:r>
      <w:r w:rsidR="008B4699">
        <w:t>loss,</w:t>
      </w:r>
      <w:r w:rsidR="00250F21">
        <w:t xml:space="preserve"> and fix the remuneration of executors, trustees, liquidators and salvors, which tasks can invo</w:t>
      </w:r>
      <w:r w:rsidR="006E1DA0">
        <w:t>lve commercial assessments and c</w:t>
      </w:r>
      <w:r w:rsidR="00250F21">
        <w:t xml:space="preserve">onsiderations of risk.  More broadly, matters of policy “may enter permissibly (and necessarily) into the exercise of judicial power in various ways”: </w:t>
      </w:r>
      <w:r w:rsidR="00250F21" w:rsidRPr="006E1DA0">
        <w:rPr>
          <w:i/>
        </w:rPr>
        <w:t>Attorney-General (</w:t>
      </w:r>
      <w:proofErr w:type="spellStart"/>
      <w:r w:rsidR="00250F21" w:rsidRPr="006E1DA0">
        <w:rPr>
          <w:i/>
        </w:rPr>
        <w:t>Cth</w:t>
      </w:r>
      <w:proofErr w:type="spellEnd"/>
      <w:r w:rsidR="00250F21" w:rsidRPr="006E1DA0">
        <w:rPr>
          <w:i/>
        </w:rPr>
        <w:t>) v Alinta L</w:t>
      </w:r>
      <w:r w:rsidR="003C2260" w:rsidRPr="006E1DA0">
        <w:rPr>
          <w:i/>
        </w:rPr>
        <w:t>imi</w:t>
      </w:r>
      <w:r w:rsidR="00250F21" w:rsidRPr="006E1DA0">
        <w:rPr>
          <w:i/>
        </w:rPr>
        <w:t>t</w:t>
      </w:r>
      <w:r w:rsidR="003C2260" w:rsidRPr="006E1DA0">
        <w:rPr>
          <w:i/>
        </w:rPr>
        <w:t>e</w:t>
      </w:r>
      <w:r w:rsidR="00250F21" w:rsidRPr="006E1DA0">
        <w:rPr>
          <w:i/>
        </w:rPr>
        <w:t xml:space="preserve">d </w:t>
      </w:r>
      <w:r w:rsidR="008A1D66">
        <w:t xml:space="preserve">[2008] HCA 2; </w:t>
      </w:r>
      <w:r w:rsidR="00250F21">
        <w:t>(2008) 233 CLR 542 (</w:t>
      </w:r>
      <w:r w:rsidR="005C29EE">
        <w:t>at</w:t>
      </w:r>
      <w:r w:rsidR="005C29EE" w:rsidRPr="006E1DA0">
        <w:rPr>
          <w:spacing w:val="-2"/>
        </w:rPr>
        <w:t xml:space="preserve"> </w:t>
      </w:r>
      <w:r w:rsidR="00F63424" w:rsidRPr="006E1DA0">
        <w:rPr>
          <w:spacing w:val="-2"/>
        </w:rPr>
        <w:t xml:space="preserve">553–554 </w:t>
      </w:r>
      <w:r w:rsidR="005C29EE">
        <w:t xml:space="preserve">[14] </w:t>
      </w:r>
      <w:r w:rsidR="00250F21">
        <w:t>per Gummow J)</w:t>
      </w:r>
      <w:r w:rsidR="003847E9" w:rsidRPr="003847E9">
        <w:t>.</w:t>
      </w:r>
      <w:r w:rsidR="00250F21">
        <w:t xml:space="preserve"> The notion that the making of a Settlement CFO would not be an exercise of judicial power, or at least incidental to the exercise of judicial power, is unsustainable.</w:t>
      </w:r>
    </w:p>
    <w:p w14:paraId="50F04B0D" w14:textId="522BF699" w:rsidR="00B83165" w:rsidRDefault="0071710E" w:rsidP="00B83165">
      <w:pPr>
        <w:pStyle w:val="Heading1"/>
      </w:pPr>
      <w:r>
        <w:rPr>
          <w:caps w:val="0"/>
        </w:rPr>
        <w:t>E</w:t>
      </w:r>
      <w:r>
        <w:rPr>
          <w:caps w:val="0"/>
        </w:rPr>
        <w:tab/>
        <w:t>THE SETTLEMENT CFO AND SECTION 33V</w:t>
      </w:r>
    </w:p>
    <w:p w14:paraId="1B01E0A7" w14:textId="4CF8CA05" w:rsidR="00AD7299" w:rsidRPr="000660C8" w:rsidRDefault="00535867" w:rsidP="00535867">
      <w:pPr>
        <w:pStyle w:val="Heading2"/>
        <w:rPr>
          <w:b w:val="0"/>
          <w:i/>
        </w:rPr>
      </w:pPr>
      <w:r>
        <w:t>E.1</w:t>
      </w:r>
      <w:r>
        <w:tab/>
      </w:r>
      <w:r w:rsidR="00AD7299" w:rsidRPr="00CD24CF">
        <w:rPr>
          <w:i/>
        </w:rPr>
        <w:t>The</w:t>
      </w:r>
      <w:r w:rsidR="000660C8" w:rsidRPr="000660C8">
        <w:rPr>
          <w:i/>
        </w:rPr>
        <w:t xml:space="preserve"> Nature of the s 33V </w:t>
      </w:r>
      <w:r w:rsidR="00B462DD">
        <w:rPr>
          <w:i/>
        </w:rPr>
        <w:t>D</w:t>
      </w:r>
      <w:r w:rsidR="000660C8" w:rsidRPr="000660C8">
        <w:rPr>
          <w:i/>
        </w:rPr>
        <w:t>iscretion</w:t>
      </w:r>
    </w:p>
    <w:p w14:paraId="2D7C20FE" w14:textId="106189ED" w:rsidR="006D2328" w:rsidRPr="006D2328" w:rsidRDefault="0071710E" w:rsidP="0071710E">
      <w:pPr>
        <w:pStyle w:val="ParaNumbering"/>
        <w:numPr>
          <w:ilvl w:val="0"/>
          <w:numId w:val="0"/>
        </w:numPr>
        <w:tabs>
          <w:tab w:val="left" w:pos="720"/>
        </w:tabs>
        <w:ind w:hanging="720"/>
      </w:pPr>
      <w:r w:rsidRPr="006D2328">
        <w:rPr>
          <w:sz w:val="20"/>
        </w:rPr>
        <w:t>384</w:t>
      </w:r>
      <w:r w:rsidRPr="006D2328">
        <w:rPr>
          <w:sz w:val="20"/>
        </w:rPr>
        <w:tab/>
      </w:r>
      <w:r w:rsidR="000660C8">
        <w:t xml:space="preserve">The Reserved Question is directed to the nature of the statutory power or powers given to the Court </w:t>
      </w:r>
      <w:r w:rsidR="000660C8" w:rsidRPr="000660C8">
        <w:t>pursuant to s 33V of the F</w:t>
      </w:r>
      <w:r w:rsidR="000660C8">
        <w:t>CA Act. The starting point for considering the nature of the Court’s powers under s 33V is the text, which is as follows</w:t>
      </w:r>
      <w:r w:rsidR="006D2328" w:rsidRPr="006D2328">
        <w:t>:</w:t>
      </w:r>
    </w:p>
    <w:p w14:paraId="0E0A8000" w14:textId="2470A473" w:rsidR="006D2328" w:rsidRDefault="0071710E" w:rsidP="0054222E">
      <w:pPr>
        <w:pStyle w:val="Quote1"/>
        <w:ind w:left="1440" w:hanging="703"/>
        <w:rPr>
          <w:lang w:eastAsia="en-AU"/>
        </w:rPr>
      </w:pPr>
      <w:r>
        <w:rPr>
          <w:lang w:eastAsia="en-AU"/>
        </w:rPr>
        <w:t>(1)</w:t>
      </w:r>
      <w:r>
        <w:rPr>
          <w:lang w:eastAsia="en-AU"/>
        </w:rPr>
        <w:tab/>
      </w:r>
      <w:r w:rsidR="006D2328" w:rsidRPr="006D2328">
        <w:rPr>
          <w:lang w:eastAsia="en-AU"/>
        </w:rPr>
        <w:t>A representative proceeding may not be settled or discontinued without the approval of the Court.</w:t>
      </w:r>
    </w:p>
    <w:p w14:paraId="43DD3DAB" w14:textId="28140E2D" w:rsidR="006D2328" w:rsidRPr="006D2328" w:rsidRDefault="0071710E" w:rsidP="0054222E">
      <w:pPr>
        <w:pStyle w:val="Quote1"/>
        <w:ind w:left="1440" w:hanging="703"/>
        <w:rPr>
          <w:lang w:eastAsia="en-AU"/>
        </w:rPr>
      </w:pPr>
      <w:r w:rsidRPr="006D2328">
        <w:rPr>
          <w:lang w:eastAsia="en-AU"/>
        </w:rPr>
        <w:t>(2)</w:t>
      </w:r>
      <w:r w:rsidRPr="006D2328">
        <w:rPr>
          <w:lang w:eastAsia="en-AU"/>
        </w:rPr>
        <w:tab/>
      </w:r>
      <w:r w:rsidR="006D2328" w:rsidRPr="006D2328">
        <w:rPr>
          <w:lang w:eastAsia="en-AU"/>
        </w:rPr>
        <w:t>If the Court gives such an approval, it may make such orders as are just with respect to the distribution of any money paid under a settlement or paid into the Court.</w:t>
      </w:r>
    </w:p>
    <w:p w14:paraId="19938F68" w14:textId="7F2BAE12" w:rsidR="00250F21" w:rsidRDefault="0071710E" w:rsidP="0071710E">
      <w:pPr>
        <w:pStyle w:val="ParaNumbering"/>
        <w:numPr>
          <w:ilvl w:val="0"/>
          <w:numId w:val="0"/>
        </w:numPr>
        <w:tabs>
          <w:tab w:val="left" w:pos="720"/>
        </w:tabs>
        <w:ind w:hanging="720"/>
      </w:pPr>
      <w:bookmarkStart w:id="23" w:name="_Ref134457074"/>
      <w:r>
        <w:rPr>
          <w:sz w:val="20"/>
        </w:rPr>
        <w:t>385</w:t>
      </w:r>
      <w:r>
        <w:rPr>
          <w:sz w:val="20"/>
        </w:rPr>
        <w:tab/>
      </w:r>
      <w:r w:rsidR="000660C8">
        <w:t xml:space="preserve">In considering the power to make a Settlement CFO, we are dealing with the power to distribute money from a fund. </w:t>
      </w:r>
      <w:r w:rsidR="0005677D">
        <w:t>As can be seen f</w:t>
      </w:r>
      <w:r w:rsidR="00B730CD">
        <w:t>r</w:t>
      </w:r>
      <w:r w:rsidR="0005677D">
        <w:t>o</w:t>
      </w:r>
      <w:r w:rsidR="00B730CD">
        <w:t>m the above, t</w:t>
      </w:r>
      <w:r w:rsidR="000660C8">
        <w:t>he discretion to make any</w:t>
      </w:r>
      <w:r w:rsidR="006D2328">
        <w:t xml:space="preserve"> </w:t>
      </w:r>
      <w:r w:rsidR="000660C8">
        <w:rPr>
          <w:lang w:eastAsia="en-AU"/>
        </w:rPr>
        <w:t xml:space="preserve">order </w:t>
      </w:r>
      <w:r w:rsidR="000660C8" w:rsidRPr="006D2328">
        <w:rPr>
          <w:lang w:eastAsia="en-AU"/>
        </w:rPr>
        <w:t>with respect to the distribution of any money</w:t>
      </w:r>
      <w:r w:rsidR="000660C8">
        <w:t xml:space="preserve"> </w:t>
      </w:r>
      <w:r w:rsidR="00B730CD">
        <w:t>f</w:t>
      </w:r>
      <w:r w:rsidR="000660C8">
        <w:t>r</w:t>
      </w:r>
      <w:r w:rsidR="00B730CD">
        <w:t>o</w:t>
      </w:r>
      <w:r w:rsidR="000660C8">
        <w:t>m a</w:t>
      </w:r>
      <w:r w:rsidR="00B730CD">
        <w:t>n identified</w:t>
      </w:r>
      <w:r w:rsidR="000660C8">
        <w:t xml:space="preserve"> </w:t>
      </w:r>
      <w:r w:rsidR="00B730CD">
        <w:t>settlement</w:t>
      </w:r>
      <w:r w:rsidR="000660C8">
        <w:t xml:space="preserve"> fund </w:t>
      </w:r>
      <w:r w:rsidR="00B730CD">
        <w:t xml:space="preserve">in existence (or to be brought into existence) is expressly dealt with in </w:t>
      </w:r>
      <w:r w:rsidR="006D2328">
        <w:t>s 33</w:t>
      </w:r>
      <w:proofErr w:type="gramStart"/>
      <w:r w:rsidR="006D2328">
        <w:t>V(</w:t>
      </w:r>
      <w:proofErr w:type="gramEnd"/>
      <w:r w:rsidR="006D2328">
        <w:t>2)</w:t>
      </w:r>
      <w:r w:rsidR="00B730CD">
        <w:t>. Properly analysed, the exercise of a discretion to make any distribution order under s 33V(2)</w:t>
      </w:r>
      <w:r w:rsidR="006D2328">
        <w:t xml:space="preserve"> is conditioned upon: </w:t>
      </w:r>
      <w:r w:rsidR="00E06347">
        <w:rPr>
          <w:i/>
        </w:rPr>
        <w:t>first,</w:t>
      </w:r>
      <w:r w:rsidR="006D2328">
        <w:t xml:space="preserve"> there being a settlement; </w:t>
      </w:r>
      <w:r w:rsidR="00E06347">
        <w:rPr>
          <w:i/>
        </w:rPr>
        <w:t xml:space="preserve">secondly, </w:t>
      </w:r>
      <w:r w:rsidR="006D2328">
        <w:t xml:space="preserve">the settlement being one by which a fund of money has been or is to be created or which provides </w:t>
      </w:r>
      <w:r w:rsidR="00927C35">
        <w:t>for</w:t>
      </w:r>
      <w:r w:rsidR="006D2328">
        <w:t xml:space="preserve"> payment out of a fund of money paid i</w:t>
      </w:r>
      <w:r w:rsidR="004C32AE">
        <w:t>nto court;</w:t>
      </w:r>
      <w:r w:rsidR="005A7CD6">
        <w:t xml:space="preserve"> </w:t>
      </w:r>
      <w:r w:rsidR="00E06347">
        <w:rPr>
          <w:i/>
        </w:rPr>
        <w:t>thirdly,</w:t>
      </w:r>
      <w:r w:rsidR="00B730CD">
        <w:t xml:space="preserve"> </w:t>
      </w:r>
      <w:r w:rsidR="004C32AE">
        <w:t>the proposed order</w:t>
      </w:r>
      <w:r w:rsidR="006D2328">
        <w:t xml:space="preserve"> </w:t>
      </w:r>
      <w:r w:rsidR="004C32AE">
        <w:t>effe</w:t>
      </w:r>
      <w:r w:rsidR="0041230A">
        <w:t>cting</w:t>
      </w:r>
      <w:r w:rsidR="006D2328">
        <w:t xml:space="preserve"> a distribution </w:t>
      </w:r>
      <w:r w:rsidR="004C32AE">
        <w:t>to</w:t>
      </w:r>
      <w:r w:rsidR="006D2328">
        <w:t xml:space="preserve"> </w:t>
      </w:r>
      <w:r w:rsidR="003C4F6B">
        <w:t xml:space="preserve">a </w:t>
      </w:r>
      <w:r w:rsidR="006D2328">
        <w:t xml:space="preserve">person or persons of all or part of the fund; </w:t>
      </w:r>
      <w:r w:rsidR="00B730CD">
        <w:t xml:space="preserve">and </w:t>
      </w:r>
      <w:r w:rsidR="00E06347">
        <w:rPr>
          <w:i/>
        </w:rPr>
        <w:t>fourthly</w:t>
      </w:r>
      <w:r w:rsidR="00C44C27">
        <w:t>,</w:t>
      </w:r>
      <w:r w:rsidR="006D2328">
        <w:t xml:space="preserve"> the proposed order for distribution </w:t>
      </w:r>
      <w:r w:rsidR="00DF64AC">
        <w:t>being</w:t>
      </w:r>
      <w:r w:rsidR="006D2328">
        <w:t xml:space="preserve"> one t</w:t>
      </w:r>
      <w:r w:rsidR="00DF64AC">
        <w:t>hat</w:t>
      </w:r>
      <w:r w:rsidR="006D2328">
        <w:t xml:space="preserve"> is considered by the Court, on the material before it, to be just.</w:t>
      </w:r>
      <w:bookmarkEnd w:id="23"/>
    </w:p>
    <w:p w14:paraId="4CF14ACB" w14:textId="73C59D2D" w:rsidR="00250F21" w:rsidRDefault="0071710E" w:rsidP="0071710E">
      <w:pPr>
        <w:pStyle w:val="ParaNumbering"/>
        <w:numPr>
          <w:ilvl w:val="0"/>
          <w:numId w:val="0"/>
        </w:numPr>
        <w:tabs>
          <w:tab w:val="left" w:pos="720"/>
        </w:tabs>
        <w:ind w:hanging="720"/>
      </w:pPr>
      <w:r>
        <w:rPr>
          <w:sz w:val="20"/>
        </w:rPr>
        <w:t>386</w:t>
      </w:r>
      <w:r>
        <w:rPr>
          <w:sz w:val="20"/>
        </w:rPr>
        <w:tab/>
      </w:r>
      <w:r w:rsidR="006D2328" w:rsidRPr="00175129">
        <w:t>Subsections 33</w:t>
      </w:r>
      <w:proofErr w:type="gramStart"/>
      <w:r w:rsidR="006D2328" w:rsidRPr="00175129">
        <w:t>V(</w:t>
      </w:r>
      <w:proofErr w:type="gramEnd"/>
      <w:r w:rsidR="006D2328" w:rsidRPr="00175129">
        <w:t>1) and (2) confer </w:t>
      </w:r>
      <w:r w:rsidR="00175129" w:rsidRPr="00175129">
        <w:t> two distinct</w:t>
      </w:r>
      <w:r w:rsidR="000C7391">
        <w:t xml:space="preserve"> </w:t>
      </w:r>
      <w:r w:rsidR="006D2328" w:rsidRPr="00175129">
        <w:t>powers: </w:t>
      </w:r>
      <w:r w:rsidR="006D2328" w:rsidRPr="00175129">
        <w:rPr>
          <w:i/>
        </w:rPr>
        <w:t>first</w:t>
      </w:r>
      <w:r w:rsidR="006D2328" w:rsidRPr="00175129">
        <w:t>, to approve the settlement; and, </w:t>
      </w:r>
      <w:r w:rsidR="006D2328" w:rsidRPr="00175129">
        <w:rPr>
          <w:i/>
        </w:rPr>
        <w:t>secondly</w:t>
      </w:r>
      <w:r w:rsidR="006D2328" w:rsidRPr="00175129">
        <w:t>, if the approval is given, to approve the distribution of payments made under the settlement: see </w:t>
      </w:r>
      <w:proofErr w:type="spellStart"/>
      <w:r w:rsidR="006D2328" w:rsidRPr="00175129">
        <w:rPr>
          <w:i/>
        </w:rPr>
        <w:t>Botsman</w:t>
      </w:r>
      <w:proofErr w:type="spellEnd"/>
      <w:r w:rsidR="006D2328" w:rsidRPr="00175129">
        <w:rPr>
          <w:i/>
        </w:rPr>
        <w:t xml:space="preserve"> v Bolitho </w:t>
      </w:r>
      <w:r w:rsidR="006D2328" w:rsidRPr="00175129">
        <w:t>[2018] VSCA 278; (2018) 57 VR 68 (at 111 [200] per Tate, Whelan and Niall JJA). </w:t>
      </w:r>
      <w:r w:rsidR="00250F21">
        <w:t xml:space="preserve"> </w:t>
      </w:r>
    </w:p>
    <w:p w14:paraId="5FCF288F" w14:textId="6FE9B4AF" w:rsidR="00175129" w:rsidRDefault="0071710E" w:rsidP="0071710E">
      <w:pPr>
        <w:pStyle w:val="ParaNumbering"/>
        <w:numPr>
          <w:ilvl w:val="0"/>
          <w:numId w:val="0"/>
        </w:numPr>
        <w:tabs>
          <w:tab w:val="left" w:pos="720"/>
        </w:tabs>
        <w:ind w:hanging="720"/>
      </w:pPr>
      <w:r>
        <w:rPr>
          <w:sz w:val="20"/>
        </w:rPr>
        <w:t>387</w:t>
      </w:r>
      <w:r>
        <w:rPr>
          <w:sz w:val="20"/>
        </w:rPr>
        <w:tab/>
      </w:r>
      <w:r w:rsidR="004C32AE">
        <w:t>T</w:t>
      </w:r>
      <w:r w:rsidR="000C7391">
        <w:t>he</w:t>
      </w:r>
      <w:r w:rsidR="004C32AE">
        <w:t>se</w:t>
      </w:r>
      <w:r w:rsidR="000C7391">
        <w:t xml:space="preserve"> powers are related, </w:t>
      </w:r>
      <w:r w:rsidR="004C32AE">
        <w:t>and</w:t>
      </w:r>
      <w:r w:rsidR="00B730CD">
        <w:t xml:space="preserve"> to understand the nature of the discretion with which we are concerned, </w:t>
      </w:r>
      <w:r w:rsidR="000C7391">
        <w:t xml:space="preserve">this </w:t>
      </w:r>
      <w:r w:rsidR="00175129">
        <w:t xml:space="preserve">relationship </w:t>
      </w:r>
      <w:r w:rsidR="008B4699">
        <w:t>requires</w:t>
      </w:r>
      <w:r w:rsidR="00175129">
        <w:t xml:space="preserve"> some </w:t>
      </w:r>
      <w:r w:rsidR="000C7391">
        <w:t>elaboration</w:t>
      </w:r>
      <w:r w:rsidR="00175129">
        <w:t xml:space="preserve">. </w:t>
      </w:r>
    </w:p>
    <w:p w14:paraId="2953D57C" w14:textId="738FD4F5" w:rsidR="006824C1" w:rsidRDefault="0071710E" w:rsidP="0071710E">
      <w:pPr>
        <w:pStyle w:val="ParaNumbering"/>
        <w:numPr>
          <w:ilvl w:val="0"/>
          <w:numId w:val="0"/>
        </w:numPr>
        <w:tabs>
          <w:tab w:val="left" w:pos="720"/>
        </w:tabs>
        <w:ind w:hanging="720"/>
      </w:pPr>
      <w:r>
        <w:rPr>
          <w:sz w:val="20"/>
        </w:rPr>
        <w:t>388</w:t>
      </w:r>
      <w:r>
        <w:rPr>
          <w:sz w:val="20"/>
        </w:rPr>
        <w:tab/>
      </w:r>
      <w:r w:rsidR="00175129">
        <w:t xml:space="preserve">The text of s 33V(1) provides no test for </w:t>
      </w:r>
      <w:r w:rsidR="00175129" w:rsidRPr="00175129">
        <w:t xml:space="preserve">determining whether approval should be granted but its purpose is obvious: it is necessary for the Court to be satisfied that any settlement </w:t>
      </w:r>
      <w:r w:rsidR="00EC367A">
        <w:t>(</w:t>
      </w:r>
      <w:r w:rsidR="00175129" w:rsidRPr="00175129">
        <w:t xml:space="preserve">or </w:t>
      </w:r>
      <w:r w:rsidR="00EC367A">
        <w:t xml:space="preserve">irrelevantly for present purposes, </w:t>
      </w:r>
      <w:r w:rsidR="00175129" w:rsidRPr="00175129">
        <w:t>discontinuance</w:t>
      </w:r>
      <w:r w:rsidR="00EC367A">
        <w:t>)</w:t>
      </w:r>
      <w:r w:rsidR="00175129" w:rsidRPr="00175129">
        <w:t xml:space="preserve"> of a class action has been undertaken in the interests of the group members as a whole, and not just in the interests of the applicant and the respondent.</w:t>
      </w:r>
      <w:r w:rsidR="0057250D">
        <w:t xml:space="preserve"> </w:t>
      </w:r>
      <w:r w:rsidR="000C7391">
        <w:t>There can only be a settlement if th</w:t>
      </w:r>
      <w:r w:rsidR="006824C1">
        <w:t>e Court reaches this</w:t>
      </w:r>
      <w:r w:rsidR="000C7391">
        <w:t xml:space="preserve"> level </w:t>
      </w:r>
      <w:r w:rsidR="006824C1">
        <w:t xml:space="preserve">of </w:t>
      </w:r>
      <w:r w:rsidR="000C7391">
        <w:t>satisfaction</w:t>
      </w:r>
      <w:r w:rsidR="006824C1">
        <w:t>,</w:t>
      </w:r>
      <w:r w:rsidR="000C7391">
        <w:t xml:space="preserve"> </w:t>
      </w:r>
      <w:r w:rsidR="00EC367A">
        <w:t xml:space="preserve">and as a way of providing assurance to the Court that this level of satisfaction should be reached, </w:t>
      </w:r>
      <w:r w:rsidR="006824C1">
        <w:t>most provisional settlements the subject of approval applications r</w:t>
      </w:r>
      <w:r w:rsidR="00EC367A">
        <w:t>ecord,</w:t>
      </w:r>
      <w:r w:rsidR="006824C1">
        <w:t xml:space="preserve"> in a contract</w:t>
      </w:r>
      <w:r w:rsidR="00EC367A">
        <w:t>,</w:t>
      </w:r>
      <w:r w:rsidR="006824C1">
        <w:t xml:space="preserve"> </w:t>
      </w:r>
      <w:r w:rsidR="00EC367A">
        <w:t xml:space="preserve">promises as to a scheme providing for an amount to be distributed out of the fund </w:t>
      </w:r>
      <w:r w:rsidR="00EC367A" w:rsidRPr="006807CC">
        <w:t>in satisfaction</w:t>
      </w:r>
      <w:r w:rsidR="006807CC" w:rsidRPr="006807CC">
        <w:t xml:space="preserve"> of the claims of group members.</w:t>
      </w:r>
    </w:p>
    <w:p w14:paraId="1031C03B" w14:textId="10FDCC35" w:rsidR="0057250D" w:rsidRPr="00E867B4" w:rsidRDefault="0071710E" w:rsidP="0071710E">
      <w:pPr>
        <w:pStyle w:val="ParaNumbering"/>
        <w:numPr>
          <w:ilvl w:val="0"/>
          <w:numId w:val="0"/>
        </w:numPr>
        <w:tabs>
          <w:tab w:val="left" w:pos="720"/>
        </w:tabs>
        <w:ind w:hanging="720"/>
      </w:pPr>
      <w:r w:rsidRPr="00E867B4">
        <w:rPr>
          <w:sz w:val="20"/>
        </w:rPr>
        <w:t>389</w:t>
      </w:r>
      <w:r w:rsidRPr="00E867B4">
        <w:rPr>
          <w:sz w:val="20"/>
        </w:rPr>
        <w:tab/>
      </w:r>
      <w:r w:rsidR="00B730CD">
        <w:t>Historically</w:t>
      </w:r>
      <w:r w:rsidR="00527619">
        <w:t>,</w:t>
      </w:r>
      <w:r w:rsidR="00B730CD">
        <w:t xml:space="preserve"> t</w:t>
      </w:r>
      <w:r w:rsidR="006824C1">
        <w:t>his has meant that in a number of cases, a</w:t>
      </w:r>
      <w:r w:rsidR="0057250D">
        <w:t xml:space="preserve">s I noted </w:t>
      </w:r>
      <w:r w:rsidR="00713FE7">
        <w:t xml:space="preserve">in </w:t>
      </w:r>
      <w:r w:rsidR="0057250D" w:rsidRPr="00713FE7">
        <w:rPr>
          <w:i/>
        </w:rPr>
        <w:t xml:space="preserve">Davaria </w:t>
      </w:r>
      <w:r w:rsidR="00545BA0">
        <w:t>(</w:t>
      </w:r>
      <w:r w:rsidR="0057250D">
        <w:t xml:space="preserve">at </w:t>
      </w:r>
      <w:r w:rsidR="00545BA0">
        <w:t>506–507</w:t>
      </w:r>
      <w:r w:rsidR="0057250D">
        <w:t xml:space="preserve"> [23]</w:t>
      </w:r>
      <w:r w:rsidR="00545BA0">
        <w:t>)</w:t>
      </w:r>
      <w:r w:rsidR="0057250D">
        <w:t xml:space="preserve">, </w:t>
      </w:r>
      <w:r w:rsidR="0057250D" w:rsidRPr="00713FE7">
        <w:t xml:space="preserve">it was evidently thought recourse to the ancillary power in s 33V(2) was unnecessary because the specific power </w:t>
      </w:r>
      <w:r w:rsidR="00B730CD">
        <w:t>under</w:t>
      </w:r>
      <w:r w:rsidR="0057250D" w:rsidRPr="00713FE7">
        <w:t xml:space="preserve"> s 33V(1) allowed for approval to be given to a proposed settlement, including</w:t>
      </w:r>
      <w:r w:rsidR="006824C1">
        <w:t xml:space="preserve"> the</w:t>
      </w:r>
      <w:r w:rsidR="0057250D" w:rsidRPr="00713FE7">
        <w:t xml:space="preserve"> </w:t>
      </w:r>
      <w:r w:rsidR="006824C1">
        <w:t xml:space="preserve">contractual </w:t>
      </w:r>
      <w:r w:rsidR="0057250D" w:rsidRPr="00713FE7">
        <w:t>provision</w:t>
      </w:r>
      <w:r w:rsidR="006824C1">
        <w:t>s</w:t>
      </w:r>
      <w:r w:rsidR="0057250D" w:rsidRPr="00713FE7">
        <w:t xml:space="preserve"> </w:t>
      </w:r>
      <w:r w:rsidR="006824C1">
        <w:t>by which</w:t>
      </w:r>
      <w:r w:rsidR="0057250D" w:rsidRPr="00713FE7">
        <w:t xml:space="preserve"> payments </w:t>
      </w:r>
      <w:r w:rsidR="006824C1">
        <w:t xml:space="preserve">are </w:t>
      </w:r>
      <w:r w:rsidR="0057250D" w:rsidRPr="00713FE7">
        <w:t>to be paid out of that settlement. I went on to say</w:t>
      </w:r>
      <w:r w:rsidR="00145148">
        <w:t xml:space="preserve"> (at 506</w:t>
      </w:r>
      <w:r w:rsidR="00145148" w:rsidRPr="00855466">
        <w:t>–</w:t>
      </w:r>
      <w:r w:rsidR="00145148">
        <w:t>507 [23])</w:t>
      </w:r>
      <w:r w:rsidR="0057250D" w:rsidRPr="00713FE7">
        <w:t xml:space="preserve"> that this</w:t>
      </w:r>
      <w:r w:rsidR="00E867B4">
        <w:t xml:space="preserve"> “</w:t>
      </w:r>
      <w:r w:rsidR="0057250D" w:rsidRPr="00E867B4">
        <w:rPr>
          <w:shd w:val="clear" w:color="auto" w:fill="FFFFFF"/>
        </w:rPr>
        <w:t>no doubt reflects the way the s 33V application</w:t>
      </w:r>
      <w:r w:rsidR="00A1677A">
        <w:rPr>
          <w:shd w:val="clear" w:color="auto" w:fill="FFFFFF"/>
        </w:rPr>
        <w:t xml:space="preserve"> was</w:t>
      </w:r>
      <w:r w:rsidR="0057250D" w:rsidRPr="00E867B4">
        <w:rPr>
          <w:shd w:val="clear" w:color="auto" w:fill="FFFFFF"/>
        </w:rPr>
        <w:t xml:space="preserve"> framed by the applicant seeking approval</w:t>
      </w:r>
      <w:r w:rsidR="00E867B4">
        <w:rPr>
          <w:shd w:val="clear" w:color="auto" w:fill="FFFFFF"/>
        </w:rPr>
        <w:t>”</w:t>
      </w:r>
      <w:r w:rsidR="0057250D" w:rsidRPr="00E867B4">
        <w:rPr>
          <w:shd w:val="clear" w:color="auto" w:fill="FFFFFF"/>
        </w:rPr>
        <w:t xml:space="preserve">. </w:t>
      </w:r>
    </w:p>
    <w:p w14:paraId="5FA8442A" w14:textId="777CFCDE" w:rsidR="00C207D1" w:rsidRDefault="0071710E" w:rsidP="0071710E">
      <w:pPr>
        <w:pStyle w:val="ParaNumbering"/>
        <w:numPr>
          <w:ilvl w:val="0"/>
          <w:numId w:val="0"/>
        </w:numPr>
        <w:tabs>
          <w:tab w:val="left" w:pos="720"/>
        </w:tabs>
        <w:ind w:hanging="720"/>
      </w:pPr>
      <w:r>
        <w:rPr>
          <w:sz w:val="20"/>
        </w:rPr>
        <w:t>390</w:t>
      </w:r>
      <w:r>
        <w:rPr>
          <w:sz w:val="20"/>
        </w:rPr>
        <w:tab/>
      </w:r>
      <w:r w:rsidR="00C207D1">
        <w:t xml:space="preserve">Although pragmatic, the better view is that the approach of eliding the two </w:t>
      </w:r>
      <w:r w:rsidR="00E867B4">
        <w:t xml:space="preserve">distinct </w:t>
      </w:r>
      <w:r w:rsidR="00C207D1">
        <w:t xml:space="preserve">steps </w:t>
      </w:r>
      <w:r w:rsidR="00E867B4">
        <w:t xml:space="preserve">under s 33V </w:t>
      </w:r>
      <w:r w:rsidR="00C207D1">
        <w:t xml:space="preserve">does not reflect </w:t>
      </w:r>
      <w:r w:rsidR="00E867B4">
        <w:t>its</w:t>
      </w:r>
      <w:r w:rsidR="00C207D1">
        <w:t xml:space="preserve"> proper </w:t>
      </w:r>
      <w:proofErr w:type="gramStart"/>
      <w:r w:rsidR="00C207D1">
        <w:t>construction as a whole</w:t>
      </w:r>
      <w:proofErr w:type="gramEnd"/>
      <w:r w:rsidR="00C207D1">
        <w:t xml:space="preserve">. </w:t>
      </w:r>
    </w:p>
    <w:p w14:paraId="43F17EB6" w14:textId="1C4AAA89" w:rsidR="00E867B4" w:rsidRPr="00855466" w:rsidRDefault="0071710E" w:rsidP="0071710E">
      <w:pPr>
        <w:pStyle w:val="ParaNumbering"/>
        <w:numPr>
          <w:ilvl w:val="0"/>
          <w:numId w:val="0"/>
        </w:numPr>
        <w:tabs>
          <w:tab w:val="left" w:pos="720"/>
        </w:tabs>
        <w:ind w:hanging="720"/>
      </w:pPr>
      <w:r w:rsidRPr="00855466">
        <w:rPr>
          <w:sz w:val="20"/>
        </w:rPr>
        <w:t>391</w:t>
      </w:r>
      <w:r w:rsidRPr="00855466">
        <w:rPr>
          <w:sz w:val="20"/>
        </w:rPr>
        <w:tab/>
      </w:r>
      <w:r w:rsidR="00E867B4" w:rsidRPr="00855466">
        <w:t xml:space="preserve">In the Australian Law Reform Commission’s </w:t>
      </w:r>
      <w:r w:rsidR="009E7255">
        <w:t>(</w:t>
      </w:r>
      <w:r w:rsidR="009E7255">
        <w:rPr>
          <w:b/>
        </w:rPr>
        <w:t>ALRC</w:t>
      </w:r>
      <w:r w:rsidR="009E7255">
        <w:t>)</w:t>
      </w:r>
      <w:r w:rsidR="00E867B4" w:rsidRPr="00855466">
        <w:t xml:space="preserve"> report</w:t>
      </w:r>
      <w:r w:rsidR="00E867B4" w:rsidRPr="00855466">
        <w:rPr>
          <w:spacing w:val="-3"/>
        </w:rPr>
        <w:t xml:space="preserve"> </w:t>
      </w:r>
      <w:r w:rsidR="00E867B4" w:rsidRPr="00855466">
        <w:rPr>
          <w:i/>
        </w:rPr>
        <w:t>Integrity, Fairness and Efficiency—An Inquiry into Class Action Proceedings and Third-Party Litigation</w:t>
      </w:r>
      <w:r w:rsidR="00E867B4" w:rsidRPr="00855466">
        <w:rPr>
          <w:i/>
          <w:spacing w:val="31"/>
        </w:rPr>
        <w:t xml:space="preserve"> </w:t>
      </w:r>
      <w:r w:rsidR="00E867B4" w:rsidRPr="00855466">
        <w:rPr>
          <w:i/>
        </w:rPr>
        <w:t>Funders</w:t>
      </w:r>
      <w:r w:rsidR="00E867B4" w:rsidRPr="00855466">
        <w:rPr>
          <w:i/>
          <w:spacing w:val="-2"/>
        </w:rPr>
        <w:t xml:space="preserve"> </w:t>
      </w:r>
      <w:r w:rsidR="00E867B4" w:rsidRPr="00855466">
        <w:t>(</w:t>
      </w:r>
      <w:r w:rsidR="00E867B4" w:rsidRPr="00DE3059">
        <w:t>Report</w:t>
      </w:r>
      <w:r w:rsidR="00E867B4" w:rsidRPr="00DE3059">
        <w:rPr>
          <w:spacing w:val="31"/>
        </w:rPr>
        <w:t xml:space="preserve"> </w:t>
      </w:r>
      <w:r w:rsidR="00E867B4" w:rsidRPr="00DE3059">
        <w:t>134</w:t>
      </w:r>
      <w:r w:rsidR="00E867B4" w:rsidRPr="00855466">
        <w:t>,</w:t>
      </w:r>
      <w:r w:rsidR="00E867B4" w:rsidRPr="00855466">
        <w:rPr>
          <w:spacing w:val="31"/>
        </w:rPr>
        <w:t xml:space="preserve"> </w:t>
      </w:r>
      <w:r w:rsidR="00E867B4" w:rsidRPr="00855466">
        <w:t>December</w:t>
      </w:r>
      <w:r w:rsidR="00E867B4" w:rsidRPr="00855466">
        <w:rPr>
          <w:spacing w:val="31"/>
        </w:rPr>
        <w:t xml:space="preserve"> </w:t>
      </w:r>
      <w:r w:rsidR="00E867B4" w:rsidRPr="00855466">
        <w:t>2018),</w:t>
      </w:r>
      <w:r w:rsidR="00E867B4" w:rsidRPr="00855466">
        <w:rPr>
          <w:spacing w:val="31"/>
        </w:rPr>
        <w:t xml:space="preserve"> </w:t>
      </w:r>
      <w:r w:rsidR="00E867B4" w:rsidRPr="00855466">
        <w:t>the</w:t>
      </w:r>
      <w:r w:rsidR="00E867B4" w:rsidRPr="00855466">
        <w:rPr>
          <w:spacing w:val="31"/>
        </w:rPr>
        <w:t xml:space="preserve"> </w:t>
      </w:r>
      <w:r w:rsidR="00E867B4" w:rsidRPr="00855466">
        <w:t>ALRC</w:t>
      </w:r>
      <w:r w:rsidR="00E867B4" w:rsidRPr="00855466">
        <w:rPr>
          <w:spacing w:val="31"/>
        </w:rPr>
        <w:t xml:space="preserve"> </w:t>
      </w:r>
      <w:r w:rsidR="00E867B4" w:rsidRPr="00855466">
        <w:t>noted</w:t>
      </w:r>
      <w:r w:rsidR="00E867B4" w:rsidRPr="00855466">
        <w:rPr>
          <w:spacing w:val="31"/>
        </w:rPr>
        <w:t xml:space="preserve"> </w:t>
      </w:r>
      <w:r w:rsidR="00E867B4" w:rsidRPr="00855466">
        <w:t xml:space="preserve">(at [5.16]) a number of aspects of a </w:t>
      </w:r>
      <w:r w:rsidR="005A7CD6">
        <w:t xml:space="preserve">settlement </w:t>
      </w:r>
      <w:r w:rsidR="00E867B4" w:rsidRPr="00855466">
        <w:t>scheme will typically require consideration as part of</w:t>
      </w:r>
      <w:r w:rsidR="00E867B4" w:rsidRPr="00855466">
        <w:rPr>
          <w:spacing w:val="-15"/>
        </w:rPr>
        <w:t xml:space="preserve"> </w:t>
      </w:r>
      <w:r w:rsidR="00E867B4" w:rsidRPr="00855466">
        <w:t>the</w:t>
      </w:r>
      <w:r w:rsidR="00E867B4" w:rsidRPr="00855466">
        <w:rPr>
          <w:spacing w:val="-15"/>
        </w:rPr>
        <w:t xml:space="preserve"> </w:t>
      </w:r>
      <w:r w:rsidR="00E867B4" w:rsidRPr="00855466">
        <w:t>approval</w:t>
      </w:r>
      <w:r w:rsidR="00E867B4" w:rsidRPr="00855466">
        <w:rPr>
          <w:spacing w:val="-15"/>
        </w:rPr>
        <w:t xml:space="preserve"> </w:t>
      </w:r>
      <w:r w:rsidR="00E867B4" w:rsidRPr="00855466">
        <w:t>process</w:t>
      </w:r>
      <w:r w:rsidR="00E867B4" w:rsidRPr="00855466">
        <w:rPr>
          <w:spacing w:val="-15"/>
        </w:rPr>
        <w:t xml:space="preserve"> </w:t>
      </w:r>
      <w:r w:rsidR="00E867B4" w:rsidRPr="00855466">
        <w:t>under</w:t>
      </w:r>
      <w:r w:rsidR="00E867B4" w:rsidRPr="00855466">
        <w:rPr>
          <w:spacing w:val="-15"/>
        </w:rPr>
        <w:t xml:space="preserve"> </w:t>
      </w:r>
      <w:r w:rsidR="005A7CD6">
        <w:t>s</w:t>
      </w:r>
      <w:r w:rsidR="00E867B4" w:rsidRPr="00855466">
        <w:rPr>
          <w:spacing w:val="-15"/>
        </w:rPr>
        <w:t xml:space="preserve"> </w:t>
      </w:r>
      <w:r w:rsidR="00E867B4" w:rsidRPr="00855466">
        <w:t>33V(1)</w:t>
      </w:r>
      <w:r w:rsidR="00DE3059">
        <w:t>,</w:t>
      </w:r>
      <w:r w:rsidR="005A7CD6">
        <w:t xml:space="preserve"> including likely distributions to group members and, in complex cases</w:t>
      </w:r>
      <w:r w:rsidR="00B730CD">
        <w:t xml:space="preserve">, </w:t>
      </w:r>
      <w:r w:rsidR="005A7CD6">
        <w:t xml:space="preserve">proposed </w:t>
      </w:r>
      <w:r w:rsidR="00E867B4" w:rsidRPr="00855466">
        <w:t xml:space="preserve">claims assessment methodologies – that is, the Court gives consideration to whether a </w:t>
      </w:r>
      <w:r w:rsidR="005A7CD6">
        <w:t>proposed settlement</w:t>
      </w:r>
      <w:r w:rsidR="00E867B4" w:rsidRPr="00855466">
        <w:t xml:space="preserve"> subjects all claims to the same principles and procedures for assessment in the course of considering the fairness of</w:t>
      </w:r>
      <w:r w:rsidR="00E867B4" w:rsidRPr="00755530">
        <w:t xml:space="preserve"> </w:t>
      </w:r>
      <w:r w:rsidR="00E867B4" w:rsidRPr="00855466">
        <w:t>a</w:t>
      </w:r>
      <w:r w:rsidR="00E867B4" w:rsidRPr="00755530">
        <w:t xml:space="preserve"> </w:t>
      </w:r>
      <w:r w:rsidR="00E867B4" w:rsidRPr="00855466">
        <w:t>proposed</w:t>
      </w:r>
      <w:r w:rsidR="00E867B4" w:rsidRPr="00755530">
        <w:t xml:space="preserve"> </w:t>
      </w:r>
      <w:r w:rsidR="00E867B4" w:rsidRPr="00855466">
        <w:t>settlement.</w:t>
      </w:r>
      <w:r w:rsidR="00E867B4" w:rsidRPr="00755530">
        <w:t xml:space="preserve"> </w:t>
      </w:r>
      <w:r w:rsidR="00E867B4" w:rsidRPr="00855466">
        <w:t>These</w:t>
      </w:r>
      <w:r w:rsidR="00E867B4" w:rsidRPr="00755530">
        <w:t xml:space="preserve"> </w:t>
      </w:r>
      <w:r w:rsidR="00E867B4" w:rsidRPr="00855466">
        <w:t>are</w:t>
      </w:r>
      <w:r w:rsidR="00E867B4" w:rsidRPr="00755530">
        <w:t xml:space="preserve"> </w:t>
      </w:r>
      <w:r w:rsidR="005A7CD6">
        <w:t>aspects of</w:t>
      </w:r>
      <w:r w:rsidR="00E867B4" w:rsidRPr="00755530">
        <w:t xml:space="preserve"> </w:t>
      </w:r>
      <w:r w:rsidR="00E867B4" w:rsidRPr="00855466">
        <w:t>a</w:t>
      </w:r>
      <w:r w:rsidR="00E867B4" w:rsidRPr="00755530">
        <w:t xml:space="preserve"> </w:t>
      </w:r>
      <w:r w:rsidR="005A7CD6" w:rsidRPr="00755530">
        <w:t xml:space="preserve">proposed </w:t>
      </w:r>
      <w:r w:rsidR="00E867B4" w:rsidRPr="00855466">
        <w:t>settlement</w:t>
      </w:r>
      <w:r w:rsidR="00E867B4" w:rsidRPr="00755530">
        <w:t xml:space="preserve"> </w:t>
      </w:r>
      <w:r w:rsidR="00E867B4" w:rsidRPr="00855466">
        <w:t>governing</w:t>
      </w:r>
      <w:r w:rsidR="00E867B4" w:rsidRPr="00755530">
        <w:t xml:space="preserve"> </w:t>
      </w:r>
      <w:r w:rsidR="00E867B4" w:rsidRPr="00855466">
        <w:t>the</w:t>
      </w:r>
      <w:r w:rsidR="00E867B4" w:rsidRPr="00755530">
        <w:t xml:space="preserve"> </w:t>
      </w:r>
      <w:r w:rsidR="005A7CD6">
        <w:t>fairness of treatment of</w:t>
      </w:r>
      <w:r w:rsidR="00E867B4" w:rsidRPr="00755530">
        <w:t xml:space="preserve"> </w:t>
      </w:r>
      <w:r w:rsidR="00E867B4" w:rsidRPr="00855466">
        <w:t xml:space="preserve">group members </w:t>
      </w:r>
      <w:r w:rsidR="00E867B4" w:rsidRPr="00855466">
        <w:rPr>
          <w:i/>
        </w:rPr>
        <w:t>inter se</w:t>
      </w:r>
      <w:r w:rsidR="00E867B4" w:rsidRPr="00855466">
        <w:t xml:space="preserve">, which the Court scrutinises to </w:t>
      </w:r>
      <w:r w:rsidR="00646543">
        <w:t>ensure</w:t>
      </w:r>
      <w:r w:rsidR="00E867B4" w:rsidRPr="00855466">
        <w:t xml:space="preserve"> fairness for group members in the course of determining whether to gr</w:t>
      </w:r>
      <w:r w:rsidR="00B730CD">
        <w:t>ant approval pursuant to s</w:t>
      </w:r>
      <w:r w:rsidR="00E867B4" w:rsidRPr="00855466">
        <w:t xml:space="preserve"> 33</w:t>
      </w:r>
      <w:proofErr w:type="gramStart"/>
      <w:r w:rsidR="00E867B4" w:rsidRPr="00855466">
        <w:t>V(</w:t>
      </w:r>
      <w:proofErr w:type="gramEnd"/>
      <w:r w:rsidR="00E867B4" w:rsidRPr="00855466">
        <w:t xml:space="preserve">1) of the </w:t>
      </w:r>
      <w:r w:rsidR="00370C70">
        <w:t xml:space="preserve">FCA </w:t>
      </w:r>
      <w:r w:rsidR="00E867B4" w:rsidRPr="007B4B68">
        <w:t>Act.</w:t>
      </w:r>
    </w:p>
    <w:p w14:paraId="476EAF28" w14:textId="24EC677B" w:rsidR="00E867B4" w:rsidRPr="00F201EA" w:rsidRDefault="0071710E" w:rsidP="0071710E">
      <w:pPr>
        <w:pStyle w:val="ParaNumbering"/>
        <w:numPr>
          <w:ilvl w:val="0"/>
          <w:numId w:val="0"/>
        </w:numPr>
        <w:tabs>
          <w:tab w:val="left" w:pos="720"/>
        </w:tabs>
        <w:ind w:hanging="720"/>
      </w:pPr>
      <w:r w:rsidRPr="00F201EA">
        <w:rPr>
          <w:sz w:val="20"/>
        </w:rPr>
        <w:t>392</w:t>
      </w:r>
      <w:r w:rsidRPr="00F201EA">
        <w:rPr>
          <w:sz w:val="20"/>
        </w:rPr>
        <w:tab/>
      </w:r>
      <w:r w:rsidR="005A7CD6">
        <w:t>But this does not mean the Court’s hands are then tied “</w:t>
      </w:r>
      <w:r w:rsidR="005A7CD6" w:rsidRPr="006D2328">
        <w:rPr>
          <w:lang w:eastAsia="en-AU"/>
        </w:rPr>
        <w:t xml:space="preserve">with respect to the distribution of any money paid under a settlement or paid into the </w:t>
      </w:r>
      <w:r w:rsidR="00C625C7">
        <w:rPr>
          <w:lang w:eastAsia="en-AU"/>
        </w:rPr>
        <w:t>c</w:t>
      </w:r>
      <w:r w:rsidR="005A7CD6" w:rsidRPr="006D2328">
        <w:rPr>
          <w:lang w:eastAsia="en-AU"/>
        </w:rPr>
        <w:t>ourt</w:t>
      </w:r>
      <w:r w:rsidR="005A7CD6">
        <w:rPr>
          <w:lang w:eastAsia="en-AU"/>
        </w:rPr>
        <w:t xml:space="preserve">” if the Court is satisfied it is just to make orders </w:t>
      </w:r>
      <w:r w:rsidR="00024E53">
        <w:rPr>
          <w:lang w:eastAsia="en-AU"/>
        </w:rPr>
        <w:t>e</w:t>
      </w:r>
      <w:r w:rsidR="005A7CD6">
        <w:rPr>
          <w:lang w:eastAsia="en-AU"/>
        </w:rPr>
        <w:t xml:space="preserve">ffecting distribution of monies from the settlement fund.  </w:t>
      </w:r>
      <w:r w:rsidR="00F201EA">
        <w:t>This is why</w:t>
      </w:r>
      <w:r w:rsidR="00B730CD">
        <w:t>,</w:t>
      </w:r>
      <w:r w:rsidR="00F201EA">
        <w:t xml:space="preserve"> </w:t>
      </w:r>
      <w:r w:rsidR="00F201EA" w:rsidRPr="00F201EA">
        <w:t xml:space="preserve">in </w:t>
      </w:r>
      <w:proofErr w:type="spellStart"/>
      <w:r w:rsidR="00E867B4" w:rsidRPr="000C6F4C">
        <w:rPr>
          <w:i/>
        </w:rPr>
        <w:t>Botsman</w:t>
      </w:r>
      <w:proofErr w:type="spellEnd"/>
      <w:r w:rsidR="00E867B4" w:rsidRPr="00F201EA">
        <w:rPr>
          <w:spacing w:val="-7"/>
        </w:rPr>
        <w:t xml:space="preserve"> </w:t>
      </w:r>
      <w:r w:rsidR="006F271D">
        <w:rPr>
          <w:spacing w:val="-7"/>
        </w:rPr>
        <w:t>(</w:t>
      </w:r>
      <w:r w:rsidR="00B730CD">
        <w:t xml:space="preserve">at </w:t>
      </w:r>
      <w:r w:rsidR="006B56E9">
        <w:t xml:space="preserve">111 </w:t>
      </w:r>
      <w:r w:rsidR="00B730CD">
        <w:t>[203]</w:t>
      </w:r>
      <w:r w:rsidR="006F271D">
        <w:t>)</w:t>
      </w:r>
      <w:r w:rsidR="00B730CD">
        <w:t xml:space="preserve">, </w:t>
      </w:r>
      <w:r w:rsidR="00F201EA" w:rsidRPr="00175129">
        <w:t>Tate, Whelan and Niall JJA</w:t>
      </w:r>
      <w:r w:rsidR="00F201EA">
        <w:t xml:space="preserve"> </w:t>
      </w:r>
      <w:r w:rsidR="000C6F4C">
        <w:t>explained</w:t>
      </w:r>
      <w:r w:rsidR="00540806">
        <w:t xml:space="preserve"> that it</w:t>
      </w:r>
      <w:r w:rsidR="00E867B4" w:rsidRPr="00F201EA">
        <w:t>:</w:t>
      </w:r>
    </w:p>
    <w:p w14:paraId="7C425DA8" w14:textId="3F4434CE" w:rsidR="00E867B4" w:rsidRPr="00855466" w:rsidRDefault="00E867B4" w:rsidP="00B730CD">
      <w:pPr>
        <w:pStyle w:val="Quote1"/>
      </w:pPr>
      <w:r w:rsidRPr="00855466">
        <w:t xml:space="preserve">is an essential starting point to identify the settlement and its terms. It is commonplace that a deed of settlement may address more than the settlement of the claims against the defendant and will also deal with the distribution of settlement money, including to a litigation funder. The structure of </w:t>
      </w:r>
      <w:proofErr w:type="spellStart"/>
      <w:r w:rsidRPr="00855466">
        <w:t>subss</w:t>
      </w:r>
      <w:proofErr w:type="spellEnd"/>
      <w:r w:rsidRPr="00855466">
        <w:t xml:space="preserve"> 33</w:t>
      </w:r>
      <w:proofErr w:type="gramStart"/>
      <w:r w:rsidRPr="00855466">
        <w:t>V(</w:t>
      </w:r>
      <w:proofErr w:type="gramEnd"/>
      <w:r w:rsidRPr="00855466">
        <w:t>1) and (2) suggests that such payments may be distributions of money that has been paid under a settlement to which the Court has given approval under s 33V(1). Those distributions are the subject of separate Court approval under s 33</w:t>
      </w:r>
      <w:proofErr w:type="gramStart"/>
      <w:r w:rsidRPr="00855466">
        <w:t>V(</w:t>
      </w:r>
      <w:proofErr w:type="gramEnd"/>
      <w:r w:rsidRPr="00855466">
        <w:t>2).</w:t>
      </w:r>
    </w:p>
    <w:p w14:paraId="4CB32FA1" w14:textId="168FC7B0" w:rsidR="00E867B4" w:rsidRPr="00855466" w:rsidRDefault="0071710E" w:rsidP="0071710E">
      <w:pPr>
        <w:pStyle w:val="ParaNumbering"/>
        <w:numPr>
          <w:ilvl w:val="0"/>
          <w:numId w:val="0"/>
        </w:numPr>
        <w:tabs>
          <w:tab w:val="left" w:pos="720"/>
        </w:tabs>
        <w:ind w:hanging="720"/>
      </w:pPr>
      <w:r w:rsidRPr="00855466">
        <w:rPr>
          <w:sz w:val="20"/>
        </w:rPr>
        <w:t>393</w:t>
      </w:r>
      <w:r w:rsidRPr="00855466">
        <w:rPr>
          <w:sz w:val="20"/>
        </w:rPr>
        <w:tab/>
      </w:r>
      <w:r w:rsidR="00E867B4" w:rsidRPr="00855466">
        <w:t>Reasoning</w:t>
      </w:r>
      <w:r w:rsidR="00E867B4" w:rsidRPr="005825E8">
        <w:rPr>
          <w:spacing w:val="-13"/>
        </w:rPr>
        <w:t xml:space="preserve"> </w:t>
      </w:r>
      <w:r w:rsidR="00E867B4" w:rsidRPr="00855466">
        <w:t>in</w:t>
      </w:r>
      <w:r w:rsidR="00E867B4" w:rsidRPr="005825E8">
        <w:rPr>
          <w:spacing w:val="-13"/>
        </w:rPr>
        <w:t xml:space="preserve"> </w:t>
      </w:r>
      <w:r w:rsidR="00E867B4" w:rsidRPr="00855466">
        <w:t>that</w:t>
      </w:r>
      <w:r w:rsidR="00E867B4" w:rsidRPr="005825E8">
        <w:rPr>
          <w:spacing w:val="-13"/>
        </w:rPr>
        <w:t xml:space="preserve"> </w:t>
      </w:r>
      <w:r w:rsidR="00E867B4" w:rsidRPr="00855466">
        <w:t>way,</w:t>
      </w:r>
      <w:r w:rsidR="00E867B4" w:rsidRPr="005825E8">
        <w:rPr>
          <w:spacing w:val="-13"/>
        </w:rPr>
        <w:t xml:space="preserve"> </w:t>
      </w:r>
      <w:r w:rsidR="00E867B4" w:rsidRPr="00855466">
        <w:t>the</w:t>
      </w:r>
      <w:r w:rsidR="00E867B4" w:rsidRPr="005825E8">
        <w:rPr>
          <w:spacing w:val="-13"/>
        </w:rPr>
        <w:t xml:space="preserve"> </w:t>
      </w:r>
      <w:r w:rsidR="00E867B4" w:rsidRPr="00855466">
        <w:t>Court</w:t>
      </w:r>
      <w:r w:rsidR="00E867B4" w:rsidRPr="005825E8">
        <w:rPr>
          <w:spacing w:val="-13"/>
        </w:rPr>
        <w:t xml:space="preserve"> </w:t>
      </w:r>
      <w:r w:rsidR="00E867B4" w:rsidRPr="00855466">
        <w:t>of</w:t>
      </w:r>
      <w:r w:rsidR="00E867B4" w:rsidRPr="005825E8">
        <w:rPr>
          <w:spacing w:val="-13"/>
        </w:rPr>
        <w:t xml:space="preserve"> </w:t>
      </w:r>
      <w:r w:rsidR="00E867B4" w:rsidRPr="00855466">
        <w:t>Appeal</w:t>
      </w:r>
      <w:r w:rsidR="00E867B4" w:rsidRPr="005825E8">
        <w:rPr>
          <w:spacing w:val="-13"/>
        </w:rPr>
        <w:t xml:space="preserve"> </w:t>
      </w:r>
      <w:r w:rsidR="00E867B4" w:rsidRPr="00855466">
        <w:t>reached</w:t>
      </w:r>
      <w:r w:rsidR="00E867B4" w:rsidRPr="005825E8">
        <w:rPr>
          <w:spacing w:val="-13"/>
        </w:rPr>
        <w:t xml:space="preserve"> </w:t>
      </w:r>
      <w:r w:rsidR="00E867B4" w:rsidRPr="00855466">
        <w:t>the</w:t>
      </w:r>
      <w:r w:rsidR="00E867B4" w:rsidRPr="005825E8">
        <w:rPr>
          <w:spacing w:val="-13"/>
        </w:rPr>
        <w:t xml:space="preserve"> </w:t>
      </w:r>
      <w:r w:rsidR="00E867B4" w:rsidRPr="00855466">
        <w:t>conclusion</w:t>
      </w:r>
      <w:r w:rsidR="00E867B4" w:rsidRPr="005825E8">
        <w:rPr>
          <w:spacing w:val="-13"/>
        </w:rPr>
        <w:t xml:space="preserve"> </w:t>
      </w:r>
      <w:r w:rsidR="00E867B4" w:rsidRPr="00855466">
        <w:t>(at</w:t>
      </w:r>
      <w:r w:rsidR="00E867B4" w:rsidRPr="005825E8">
        <w:rPr>
          <w:spacing w:val="-13"/>
        </w:rPr>
        <w:t xml:space="preserve"> </w:t>
      </w:r>
      <w:r w:rsidR="00B80708">
        <w:rPr>
          <w:spacing w:val="-13"/>
        </w:rPr>
        <w:t xml:space="preserve">139 </w:t>
      </w:r>
      <w:r w:rsidR="00E867B4" w:rsidRPr="00855466">
        <w:t>[353])</w:t>
      </w:r>
      <w:r w:rsidR="00E867B4" w:rsidRPr="005825E8">
        <w:rPr>
          <w:spacing w:val="-13"/>
        </w:rPr>
        <w:t xml:space="preserve"> </w:t>
      </w:r>
      <w:r w:rsidR="00E867B4" w:rsidRPr="00855466">
        <w:t>that</w:t>
      </w:r>
      <w:r w:rsidR="00E867B4" w:rsidRPr="005825E8">
        <w:rPr>
          <w:spacing w:val="-13"/>
        </w:rPr>
        <w:t xml:space="preserve"> </w:t>
      </w:r>
      <w:r w:rsidR="00E867B4" w:rsidRPr="00855466">
        <w:t>it</w:t>
      </w:r>
      <w:r w:rsidR="00E867B4" w:rsidRPr="005825E8">
        <w:rPr>
          <w:spacing w:val="-13"/>
        </w:rPr>
        <w:t xml:space="preserve"> </w:t>
      </w:r>
      <w:r w:rsidR="00E867B4" w:rsidRPr="00855466">
        <w:t xml:space="preserve">could uphold the settlement that Mr Bolitho had </w:t>
      </w:r>
      <w:r w:rsidR="00B730CD">
        <w:t>struck</w:t>
      </w:r>
      <w:r w:rsidR="00E867B4" w:rsidRPr="00855466">
        <w:t xml:space="preserve"> but decline to approve distributions</w:t>
      </w:r>
      <w:r w:rsidR="00E867B4" w:rsidRPr="005825E8">
        <w:rPr>
          <w:spacing w:val="77"/>
        </w:rPr>
        <w:t xml:space="preserve"> </w:t>
      </w:r>
      <w:r w:rsidR="00E867B4" w:rsidRPr="00855466">
        <w:t>in</w:t>
      </w:r>
      <w:r w:rsidR="00E867B4" w:rsidRPr="005825E8">
        <w:rPr>
          <w:spacing w:val="77"/>
        </w:rPr>
        <w:t xml:space="preserve"> </w:t>
      </w:r>
      <w:r w:rsidR="00E867B4" w:rsidRPr="00855466">
        <w:t>respect</w:t>
      </w:r>
      <w:r w:rsidR="00E867B4" w:rsidRPr="005825E8">
        <w:rPr>
          <w:spacing w:val="77"/>
        </w:rPr>
        <w:t xml:space="preserve"> </w:t>
      </w:r>
      <w:r w:rsidR="00E867B4" w:rsidRPr="00855466">
        <w:t>of</w:t>
      </w:r>
      <w:r w:rsidR="00E867B4" w:rsidRPr="005825E8">
        <w:rPr>
          <w:spacing w:val="77"/>
        </w:rPr>
        <w:t xml:space="preserve"> </w:t>
      </w:r>
      <w:r w:rsidR="00E867B4" w:rsidRPr="00855466">
        <w:t>legal</w:t>
      </w:r>
      <w:r w:rsidR="00E867B4" w:rsidRPr="005825E8">
        <w:rPr>
          <w:spacing w:val="77"/>
        </w:rPr>
        <w:t xml:space="preserve"> </w:t>
      </w:r>
      <w:r w:rsidR="00E867B4" w:rsidRPr="00855466">
        <w:t>costs</w:t>
      </w:r>
      <w:r w:rsidR="00E867B4" w:rsidRPr="005825E8">
        <w:rPr>
          <w:spacing w:val="77"/>
        </w:rPr>
        <w:t xml:space="preserve"> </w:t>
      </w:r>
      <w:r w:rsidR="00E867B4" w:rsidRPr="00855466">
        <w:t>and</w:t>
      </w:r>
      <w:r w:rsidR="00E867B4" w:rsidRPr="005825E8">
        <w:rPr>
          <w:spacing w:val="77"/>
        </w:rPr>
        <w:t xml:space="preserve"> </w:t>
      </w:r>
      <w:r w:rsidR="00E867B4" w:rsidRPr="00855466">
        <w:t xml:space="preserve">funder’s commission and remit those two matters for </w:t>
      </w:r>
      <w:r w:rsidR="005A7CD6">
        <w:t xml:space="preserve">later </w:t>
      </w:r>
      <w:r w:rsidR="00E867B4" w:rsidRPr="00855466">
        <w:t xml:space="preserve">determination. </w:t>
      </w:r>
    </w:p>
    <w:p w14:paraId="35A5B2D6" w14:textId="66278E6D" w:rsidR="00B730CD" w:rsidRPr="00A63CE2" w:rsidRDefault="0071710E" w:rsidP="0071710E">
      <w:pPr>
        <w:pStyle w:val="ParaNumbering"/>
        <w:numPr>
          <w:ilvl w:val="0"/>
          <w:numId w:val="0"/>
        </w:numPr>
        <w:tabs>
          <w:tab w:val="left" w:pos="720"/>
        </w:tabs>
        <w:ind w:hanging="720"/>
        <w:rPr>
          <w:szCs w:val="24"/>
        </w:rPr>
      </w:pPr>
      <w:r w:rsidRPr="00A63CE2">
        <w:rPr>
          <w:sz w:val="20"/>
          <w:szCs w:val="24"/>
        </w:rPr>
        <w:t>394</w:t>
      </w:r>
      <w:r w:rsidRPr="00A63CE2">
        <w:rPr>
          <w:sz w:val="20"/>
          <w:szCs w:val="24"/>
        </w:rPr>
        <w:tab/>
      </w:r>
      <w:r w:rsidR="00540806">
        <w:t xml:space="preserve">It can be seen that any </w:t>
      </w:r>
      <w:r w:rsidR="00540806" w:rsidRPr="00540806">
        <w:rPr>
          <w:i/>
        </w:rPr>
        <w:t xml:space="preserve">inter </w:t>
      </w:r>
      <w:proofErr w:type="spellStart"/>
      <w:r w:rsidR="00540806" w:rsidRPr="00540806">
        <w:rPr>
          <w:i/>
        </w:rPr>
        <w:t>partes</w:t>
      </w:r>
      <w:proofErr w:type="spellEnd"/>
      <w:r w:rsidR="00540806">
        <w:t xml:space="preserve"> pro</w:t>
      </w:r>
      <w:r w:rsidR="00590E53">
        <w:t xml:space="preserve">visions </w:t>
      </w:r>
      <w:r w:rsidR="00540806">
        <w:t>in a settlement deed the subject of an approval application</w:t>
      </w:r>
      <w:r w:rsidR="00645431">
        <w:t xml:space="preserve">, which are </w:t>
      </w:r>
      <w:r w:rsidR="00590E53">
        <w:t xml:space="preserve">promises </w:t>
      </w:r>
      <w:r w:rsidR="00645431">
        <w:t>“</w:t>
      </w:r>
      <w:r w:rsidR="00645431" w:rsidRPr="006D2328">
        <w:rPr>
          <w:lang w:eastAsia="en-AU"/>
        </w:rPr>
        <w:t>with respect to the distribution of any money paid under a settlement or paid into the Court</w:t>
      </w:r>
      <w:r w:rsidR="00645431">
        <w:rPr>
          <w:lang w:eastAsia="en-AU"/>
        </w:rPr>
        <w:t xml:space="preserve">”, </w:t>
      </w:r>
      <w:r w:rsidR="00590E53">
        <w:rPr>
          <w:lang w:eastAsia="en-AU"/>
        </w:rPr>
        <w:t>will be</w:t>
      </w:r>
      <w:r w:rsidR="00645431">
        <w:rPr>
          <w:lang w:eastAsia="en-AU"/>
        </w:rPr>
        <w:t xml:space="preserve"> material to </w:t>
      </w:r>
      <w:r w:rsidR="00590E53">
        <w:rPr>
          <w:lang w:eastAsia="en-AU"/>
        </w:rPr>
        <w:t>assessing</w:t>
      </w:r>
      <w:r w:rsidR="00645431">
        <w:rPr>
          <w:lang w:eastAsia="en-AU"/>
        </w:rPr>
        <w:t xml:space="preserve"> the fairness and reasonableness of the </w:t>
      </w:r>
      <w:r w:rsidR="00590E53">
        <w:rPr>
          <w:lang w:eastAsia="en-AU"/>
        </w:rPr>
        <w:t>settlement</w:t>
      </w:r>
      <w:r w:rsidR="00645431">
        <w:rPr>
          <w:lang w:eastAsia="en-AU"/>
        </w:rPr>
        <w:t xml:space="preserve">, but </w:t>
      </w:r>
      <w:r w:rsidR="00645431" w:rsidRPr="00590E53">
        <w:rPr>
          <w:szCs w:val="24"/>
          <w:lang w:eastAsia="en-AU"/>
        </w:rPr>
        <w:t xml:space="preserve">are </w:t>
      </w:r>
      <w:r w:rsidR="00590E53" w:rsidRPr="00590E53">
        <w:rPr>
          <w:szCs w:val="24"/>
          <w:lang w:eastAsia="en-AU"/>
        </w:rPr>
        <w:t>nevertheless subject to the</w:t>
      </w:r>
      <w:r w:rsidR="00645431" w:rsidRPr="00590E53">
        <w:rPr>
          <w:szCs w:val="24"/>
          <w:lang w:eastAsia="en-AU"/>
        </w:rPr>
        <w:t xml:space="preserve"> exercise of discretion under s 33V(2) </w:t>
      </w:r>
      <w:r w:rsidR="00645431" w:rsidRPr="00590E53">
        <w:rPr>
          <w:szCs w:val="24"/>
        </w:rPr>
        <w:t>to make orders the Court consider</w:t>
      </w:r>
      <w:r w:rsidR="005A7CD6">
        <w:rPr>
          <w:szCs w:val="24"/>
        </w:rPr>
        <w:t>s</w:t>
      </w:r>
      <w:r w:rsidR="00645431" w:rsidRPr="00590E53">
        <w:rPr>
          <w:szCs w:val="24"/>
        </w:rPr>
        <w:t xml:space="preserve"> just as to distribution </w:t>
      </w:r>
      <w:r w:rsidR="00590E53" w:rsidRPr="00590E53">
        <w:rPr>
          <w:szCs w:val="24"/>
        </w:rPr>
        <w:t>of monies f</w:t>
      </w:r>
      <w:r w:rsidR="00645431" w:rsidRPr="00590E53">
        <w:rPr>
          <w:szCs w:val="24"/>
        </w:rPr>
        <w:t>r</w:t>
      </w:r>
      <w:r w:rsidR="00590E53" w:rsidRPr="00590E53">
        <w:rPr>
          <w:szCs w:val="24"/>
        </w:rPr>
        <w:t>o</w:t>
      </w:r>
      <w:r w:rsidR="00645431" w:rsidRPr="00590E53">
        <w:rPr>
          <w:szCs w:val="24"/>
        </w:rPr>
        <w:t xml:space="preserve">m </w:t>
      </w:r>
      <w:r w:rsidR="00590E53">
        <w:rPr>
          <w:szCs w:val="24"/>
        </w:rPr>
        <w:t>any</w:t>
      </w:r>
      <w:r w:rsidR="00645431" w:rsidRPr="00590E53">
        <w:rPr>
          <w:szCs w:val="24"/>
        </w:rPr>
        <w:t xml:space="preserve"> </w:t>
      </w:r>
      <w:r w:rsidR="00590E53">
        <w:rPr>
          <w:szCs w:val="24"/>
        </w:rPr>
        <w:t xml:space="preserve">approved settlement </w:t>
      </w:r>
      <w:r w:rsidR="00645431" w:rsidRPr="00590E53">
        <w:rPr>
          <w:szCs w:val="24"/>
        </w:rPr>
        <w:t xml:space="preserve">fund. </w:t>
      </w:r>
      <w:r w:rsidR="005A7CD6">
        <w:rPr>
          <w:szCs w:val="24"/>
        </w:rPr>
        <w:t xml:space="preserve">The existence of this discretion facilitates the supervisory role of the Court enshrined in s 33V.  </w:t>
      </w:r>
      <w:r w:rsidR="00590E53" w:rsidRPr="00590E53">
        <w:rPr>
          <w:szCs w:val="24"/>
        </w:rPr>
        <w:t xml:space="preserve">It is evident the discretion </w:t>
      </w:r>
      <w:r w:rsidR="00590E53">
        <w:rPr>
          <w:szCs w:val="24"/>
        </w:rPr>
        <w:t>conferred on the Court at the s 33</w:t>
      </w:r>
      <w:proofErr w:type="gramStart"/>
      <w:r w:rsidR="00590E53">
        <w:rPr>
          <w:szCs w:val="24"/>
        </w:rPr>
        <w:t>V(</w:t>
      </w:r>
      <w:proofErr w:type="gramEnd"/>
      <w:r w:rsidR="00590E53">
        <w:rPr>
          <w:szCs w:val="24"/>
        </w:rPr>
        <w:t xml:space="preserve">2) stage </w:t>
      </w:r>
      <w:r w:rsidR="00590E53" w:rsidRPr="00590E53">
        <w:rPr>
          <w:szCs w:val="24"/>
        </w:rPr>
        <w:t xml:space="preserve">is </w:t>
      </w:r>
      <w:r w:rsidR="00590E53" w:rsidRPr="00590E53">
        <w:rPr>
          <w:color w:val="000000"/>
          <w:szCs w:val="24"/>
          <w:shd w:val="clear" w:color="auto" w:fill="FFFFFF"/>
        </w:rPr>
        <w:t>broad</w:t>
      </w:r>
      <w:r w:rsidR="00590E53">
        <w:rPr>
          <w:color w:val="000000"/>
          <w:szCs w:val="24"/>
          <w:shd w:val="clear" w:color="auto" w:fill="FFFFFF"/>
        </w:rPr>
        <w:t>,</w:t>
      </w:r>
      <w:r w:rsidR="00590E53" w:rsidRPr="00590E53">
        <w:rPr>
          <w:color w:val="000000"/>
          <w:szCs w:val="24"/>
          <w:shd w:val="clear" w:color="auto" w:fill="FFFFFF"/>
        </w:rPr>
        <w:t xml:space="preserve"> but it is not at large. It is confined by the </w:t>
      </w:r>
      <w:r w:rsidR="00590E53">
        <w:rPr>
          <w:color w:val="000000"/>
          <w:szCs w:val="24"/>
          <w:shd w:val="clear" w:color="auto" w:fill="FFFFFF"/>
        </w:rPr>
        <w:t xml:space="preserve">necessity that any order made is just, the general </w:t>
      </w:r>
      <w:r w:rsidR="00590E53" w:rsidRPr="00590E53">
        <w:rPr>
          <w:color w:val="000000"/>
          <w:szCs w:val="24"/>
          <w:shd w:val="clear" w:color="auto" w:fill="FFFFFF"/>
        </w:rPr>
        <w:t>duty to act judicially</w:t>
      </w:r>
      <w:r w:rsidR="00C80A2F">
        <w:rPr>
          <w:color w:val="000000"/>
          <w:szCs w:val="24"/>
          <w:shd w:val="clear" w:color="auto" w:fill="FFFFFF"/>
        </w:rPr>
        <w:t>,</w:t>
      </w:r>
      <w:r w:rsidR="00590E53" w:rsidRPr="00590E53">
        <w:rPr>
          <w:color w:val="000000"/>
          <w:szCs w:val="24"/>
          <w:shd w:val="clear" w:color="auto" w:fill="FFFFFF"/>
        </w:rPr>
        <w:t xml:space="preserve"> and the scope and purposes of Pt IVA of the FCA Act</w:t>
      </w:r>
      <w:r w:rsidR="00590E53">
        <w:rPr>
          <w:color w:val="000000"/>
          <w:szCs w:val="24"/>
          <w:shd w:val="clear" w:color="auto" w:fill="FFFFFF"/>
        </w:rPr>
        <w:t>,</w:t>
      </w:r>
      <w:r w:rsidR="00590E53" w:rsidRPr="00590E53">
        <w:rPr>
          <w:color w:val="000000"/>
          <w:szCs w:val="24"/>
          <w:shd w:val="clear" w:color="auto" w:fill="FFFFFF"/>
        </w:rPr>
        <w:t xml:space="preserve"> including the </w:t>
      </w:r>
      <w:r w:rsidR="005A7CD6">
        <w:rPr>
          <w:color w:val="000000"/>
          <w:szCs w:val="24"/>
          <w:shd w:val="clear" w:color="auto" w:fill="FFFFFF"/>
        </w:rPr>
        <w:t xml:space="preserve">onerous </w:t>
      </w:r>
      <w:r w:rsidR="00590E53">
        <w:rPr>
          <w:color w:val="000000"/>
          <w:szCs w:val="24"/>
          <w:shd w:val="clear" w:color="auto" w:fill="FFFFFF"/>
        </w:rPr>
        <w:t xml:space="preserve">protective </w:t>
      </w:r>
      <w:r w:rsidR="00590E53" w:rsidRPr="00590E53">
        <w:rPr>
          <w:color w:val="000000"/>
          <w:szCs w:val="24"/>
          <w:shd w:val="clear" w:color="auto" w:fill="FFFFFF"/>
        </w:rPr>
        <w:t xml:space="preserve">role </w:t>
      </w:r>
      <w:r w:rsidR="00217AB8">
        <w:rPr>
          <w:color w:val="000000"/>
          <w:szCs w:val="24"/>
          <w:shd w:val="clear" w:color="auto" w:fill="FFFFFF"/>
        </w:rPr>
        <w:t xml:space="preserve">of </w:t>
      </w:r>
      <w:r w:rsidR="00590E53" w:rsidRPr="00590E53">
        <w:rPr>
          <w:color w:val="000000"/>
          <w:szCs w:val="24"/>
          <w:shd w:val="clear" w:color="auto" w:fill="FFFFFF"/>
        </w:rPr>
        <w:t>the Court in relation to the interests of non-party group members.</w:t>
      </w:r>
      <w:r w:rsidR="00540806" w:rsidRPr="00590E53">
        <w:rPr>
          <w:szCs w:val="24"/>
        </w:rPr>
        <w:t xml:space="preserve">  </w:t>
      </w:r>
      <w:r w:rsidR="00A63CE2">
        <w:rPr>
          <w:szCs w:val="24"/>
        </w:rPr>
        <w:t xml:space="preserve">As the </w:t>
      </w:r>
      <w:r w:rsidR="00C23AC6">
        <w:rPr>
          <w:szCs w:val="24"/>
        </w:rPr>
        <w:t xml:space="preserve">New South Wales </w:t>
      </w:r>
      <w:r w:rsidR="00A63CE2">
        <w:rPr>
          <w:szCs w:val="24"/>
        </w:rPr>
        <w:t xml:space="preserve">Court of Appeal has recently reinforced, </w:t>
      </w:r>
      <w:r w:rsidR="00A63CE2" w:rsidRPr="00A63CE2">
        <w:rPr>
          <w:szCs w:val="24"/>
        </w:rPr>
        <w:t xml:space="preserve">the power vested in the court in a provision such as s 33V permits some latitude as to the orders to be made: </w:t>
      </w:r>
      <w:r w:rsidR="00A63CE2" w:rsidRPr="00A63CE2">
        <w:rPr>
          <w:i/>
          <w:szCs w:val="24"/>
        </w:rPr>
        <w:t>Augusta v Williamson</w:t>
      </w:r>
      <w:r w:rsidR="00A63CE2" w:rsidRPr="00A63CE2">
        <w:rPr>
          <w:szCs w:val="24"/>
        </w:rPr>
        <w:t xml:space="preserve"> </w:t>
      </w:r>
      <w:r w:rsidR="00047A33">
        <w:rPr>
          <w:szCs w:val="24"/>
        </w:rPr>
        <w:t>(at [1]</w:t>
      </w:r>
      <w:proofErr w:type="gramStart"/>
      <w:r w:rsidR="00047A33" w:rsidRPr="00855466">
        <w:t>–</w:t>
      </w:r>
      <w:r w:rsidR="00047A33">
        <w:t>[</w:t>
      </w:r>
      <w:proofErr w:type="gramEnd"/>
      <w:r w:rsidR="00047A33">
        <w:t xml:space="preserve">9] </w:t>
      </w:r>
      <w:r w:rsidR="00A63CE2">
        <w:rPr>
          <w:szCs w:val="24"/>
        </w:rPr>
        <w:t xml:space="preserve">per </w:t>
      </w:r>
      <w:r w:rsidR="00A63CE2" w:rsidRPr="00A63CE2">
        <w:rPr>
          <w:szCs w:val="24"/>
        </w:rPr>
        <w:t>Bell CJ</w:t>
      </w:r>
      <w:r w:rsidR="004C605C">
        <w:rPr>
          <w:szCs w:val="24"/>
        </w:rPr>
        <w:t>,</w:t>
      </w:r>
      <w:r w:rsidR="00047A33">
        <w:rPr>
          <w:szCs w:val="24"/>
        </w:rPr>
        <w:t xml:space="preserve"> [77]</w:t>
      </w:r>
      <w:r w:rsidR="00047A33" w:rsidRPr="00855466">
        <w:t>–</w:t>
      </w:r>
      <w:r w:rsidR="004C605C">
        <w:t>[78] per W</w:t>
      </w:r>
      <w:r w:rsidR="00A63CE2" w:rsidRPr="00A63CE2">
        <w:rPr>
          <w:szCs w:val="24"/>
        </w:rPr>
        <w:t>ard P</w:t>
      </w:r>
      <w:r w:rsidR="004C605C">
        <w:rPr>
          <w:szCs w:val="24"/>
        </w:rPr>
        <w:t xml:space="preserve"> and [168] per</w:t>
      </w:r>
      <w:r w:rsidR="00A63CE2" w:rsidRPr="00A63CE2">
        <w:rPr>
          <w:szCs w:val="24"/>
        </w:rPr>
        <w:t xml:space="preserve"> Adamson JA</w:t>
      </w:r>
      <w:r w:rsidR="00A63CE2">
        <w:rPr>
          <w:szCs w:val="24"/>
        </w:rPr>
        <w:t>)</w:t>
      </w:r>
      <w:r w:rsidR="00A63CE2" w:rsidRPr="00A63CE2">
        <w:rPr>
          <w:szCs w:val="24"/>
        </w:rPr>
        <w:t>.</w:t>
      </w:r>
    </w:p>
    <w:p w14:paraId="4181455B" w14:textId="60102350" w:rsidR="00E867B4" w:rsidRPr="00AD7299" w:rsidRDefault="0071710E" w:rsidP="0071710E">
      <w:pPr>
        <w:pStyle w:val="ParaNumbering"/>
        <w:numPr>
          <w:ilvl w:val="0"/>
          <w:numId w:val="0"/>
        </w:numPr>
        <w:tabs>
          <w:tab w:val="left" w:pos="720"/>
        </w:tabs>
        <w:ind w:hanging="720"/>
      </w:pPr>
      <w:r w:rsidRPr="00AD7299">
        <w:rPr>
          <w:sz w:val="20"/>
        </w:rPr>
        <w:t>395</w:t>
      </w:r>
      <w:r w:rsidRPr="00AD7299">
        <w:rPr>
          <w:sz w:val="20"/>
        </w:rPr>
        <w:tab/>
      </w:r>
      <w:r w:rsidR="005825E8">
        <w:t xml:space="preserve">Usually, of course, the s 33V(1) approval and the </w:t>
      </w:r>
      <w:r w:rsidR="00E867B4" w:rsidRPr="00855466">
        <w:t>approval</w:t>
      </w:r>
      <w:r w:rsidR="00E867B4" w:rsidRPr="005825E8">
        <w:rPr>
          <w:spacing w:val="-3"/>
        </w:rPr>
        <w:t xml:space="preserve"> </w:t>
      </w:r>
      <w:r w:rsidR="00E867B4" w:rsidRPr="00855466">
        <w:t>of</w:t>
      </w:r>
      <w:r w:rsidR="00E867B4" w:rsidRPr="005825E8">
        <w:rPr>
          <w:spacing w:val="-3"/>
        </w:rPr>
        <w:t xml:space="preserve"> </w:t>
      </w:r>
      <w:r w:rsidR="00E867B4" w:rsidRPr="00855466">
        <w:t>distributions</w:t>
      </w:r>
      <w:r w:rsidR="00E867B4" w:rsidRPr="005825E8">
        <w:rPr>
          <w:spacing w:val="-3"/>
        </w:rPr>
        <w:t xml:space="preserve"> </w:t>
      </w:r>
      <w:r w:rsidR="005825E8">
        <w:t>under</w:t>
      </w:r>
      <w:r w:rsidR="00E867B4" w:rsidRPr="00855466">
        <w:t xml:space="preserve"> s</w:t>
      </w:r>
      <w:r w:rsidR="005825E8">
        <w:t xml:space="preserve"> </w:t>
      </w:r>
      <w:r w:rsidR="00E867B4" w:rsidRPr="00855466">
        <w:t xml:space="preserve">33V(2) </w:t>
      </w:r>
      <w:r w:rsidR="005825E8">
        <w:t>will occur in the same set of orders made following a single approval hearing, however, in some cases, it may be necessary or expedien</w:t>
      </w:r>
      <w:r w:rsidR="00590E53">
        <w:t>t to bifurcate the proce</w:t>
      </w:r>
      <w:r w:rsidR="006E36BE">
        <w:t xml:space="preserve">ss: </w:t>
      </w:r>
      <w:r w:rsidR="00590E53">
        <w:t>see</w:t>
      </w:r>
      <w:r w:rsidR="00F845AE">
        <w:t xml:space="preserve">, </w:t>
      </w:r>
      <w:r w:rsidR="00590E53">
        <w:t>for example,</w:t>
      </w:r>
      <w:r w:rsidR="005825E8">
        <w:t xml:space="preserve"> </w:t>
      </w:r>
      <w:r w:rsidR="005825E8" w:rsidRPr="00590E53">
        <w:rPr>
          <w:i/>
        </w:rPr>
        <w:t>Sanda v PTTEP Australasia (Ashmore Cartier) Pty Ltd (Settlement Approval)</w:t>
      </w:r>
      <w:r w:rsidR="005825E8" w:rsidRPr="00590E53">
        <w:t xml:space="preserve"> [2023] FCA 143 and </w:t>
      </w:r>
      <w:r w:rsidR="005825E8" w:rsidRPr="00590E53">
        <w:rPr>
          <w:i/>
        </w:rPr>
        <w:t xml:space="preserve">Gill v Ethicon </w:t>
      </w:r>
      <w:proofErr w:type="spellStart"/>
      <w:r w:rsidR="005825E8" w:rsidRPr="00590E53">
        <w:rPr>
          <w:i/>
        </w:rPr>
        <w:t>Sàrl</w:t>
      </w:r>
      <w:proofErr w:type="spellEnd"/>
      <w:r w:rsidR="005825E8" w:rsidRPr="00590E53">
        <w:rPr>
          <w:i/>
        </w:rPr>
        <w:t xml:space="preserve"> (No 10)</w:t>
      </w:r>
      <w:r w:rsidR="006E36BE">
        <w:t xml:space="preserve"> [2023] FCA 228</w:t>
      </w:r>
      <w:r w:rsidR="005825E8" w:rsidRPr="00590E53">
        <w:t xml:space="preserve">. </w:t>
      </w:r>
      <w:r w:rsidR="00AD7299" w:rsidRPr="00590E53">
        <w:t>What</w:t>
      </w:r>
      <w:r w:rsidR="005825E8" w:rsidRPr="00590E53">
        <w:t xml:space="preserve"> is important for pre</w:t>
      </w:r>
      <w:r w:rsidR="00B372CB">
        <w:t>sent purposes is</w:t>
      </w:r>
      <w:r w:rsidR="005825E8" w:rsidRPr="00590E53">
        <w:t xml:space="preserve"> that the stat</w:t>
      </w:r>
      <w:r w:rsidR="00AD7299" w:rsidRPr="00590E53">
        <w:t xml:space="preserve">utory </w:t>
      </w:r>
      <w:r w:rsidR="005825E8" w:rsidRPr="00590E53">
        <w:t xml:space="preserve">foundation </w:t>
      </w:r>
      <w:r w:rsidR="00590E53">
        <w:t>for</w:t>
      </w:r>
      <w:r w:rsidR="005825E8" w:rsidRPr="00590E53">
        <w:t xml:space="preserve"> making a </w:t>
      </w:r>
      <w:r w:rsidR="00AD7299" w:rsidRPr="00590E53">
        <w:t>Settlement</w:t>
      </w:r>
      <w:r w:rsidR="005825E8" w:rsidRPr="00590E53">
        <w:t xml:space="preserve"> CFO </w:t>
      </w:r>
      <w:r w:rsidR="00AD7299" w:rsidRPr="00590E53">
        <w:t xml:space="preserve">is </w:t>
      </w:r>
      <w:r w:rsidR="002A7619">
        <w:t>s</w:t>
      </w:r>
      <w:r w:rsidR="00AD7299" w:rsidRPr="00590E53">
        <w:t xml:space="preserve"> 33</w:t>
      </w:r>
      <w:proofErr w:type="gramStart"/>
      <w:r w:rsidR="00AD7299" w:rsidRPr="00590E53">
        <w:t>V(</w:t>
      </w:r>
      <w:proofErr w:type="gramEnd"/>
      <w:r w:rsidR="00AD7299" w:rsidRPr="00590E53">
        <w:t>2)</w:t>
      </w:r>
      <w:r w:rsidR="00091E92">
        <w:t xml:space="preserve"> and </w:t>
      </w:r>
      <w:r w:rsidR="00AD7299" w:rsidRPr="00590E53">
        <w:t xml:space="preserve">any order is conditioned upon the </w:t>
      </w:r>
      <w:r w:rsidR="00091E92">
        <w:t xml:space="preserve">existence of the </w:t>
      </w:r>
      <w:r w:rsidR="00AD7299" w:rsidRPr="00590E53">
        <w:t>four matters referred to at [</w:t>
      </w:r>
      <w:r w:rsidR="00364CF5">
        <w:fldChar w:fldCharType="begin"/>
      </w:r>
      <w:r w:rsidR="00364CF5">
        <w:instrText xml:space="preserve"> REF _Ref134457074 \r \h </w:instrText>
      </w:r>
      <w:r w:rsidR="00364CF5">
        <w:fldChar w:fldCharType="separate"/>
      </w:r>
      <w:r w:rsidR="009D21BF">
        <w:t>385</w:t>
      </w:r>
      <w:r w:rsidR="00364CF5">
        <w:fldChar w:fldCharType="end"/>
      </w:r>
      <w:r w:rsidR="00AD7299" w:rsidRPr="00590E53">
        <w:t>]</w:t>
      </w:r>
      <w:r w:rsidR="00091E92">
        <w:t xml:space="preserve">. The only exception is a proposed Settlement CFO in the unusual case where the form of approved settlement does not, or will not, create a fund, a matter to which I will return </w:t>
      </w:r>
      <w:r w:rsidR="005030F6">
        <w:t xml:space="preserve">(at [416]) </w:t>
      </w:r>
      <w:r w:rsidR="00091E92">
        <w:t>below</w:t>
      </w:r>
      <w:r w:rsidR="00364CF5">
        <w:t>.</w:t>
      </w:r>
    </w:p>
    <w:p w14:paraId="23AB458D" w14:textId="1FECF217" w:rsidR="00E867B4" w:rsidRDefault="0071710E" w:rsidP="0071710E">
      <w:pPr>
        <w:pStyle w:val="ParaNumbering"/>
        <w:numPr>
          <w:ilvl w:val="0"/>
          <w:numId w:val="0"/>
        </w:numPr>
        <w:tabs>
          <w:tab w:val="left" w:pos="720"/>
        </w:tabs>
        <w:ind w:hanging="720"/>
        <w:rPr>
          <w:lang w:eastAsia="en-AU"/>
        </w:rPr>
      </w:pPr>
      <w:r>
        <w:rPr>
          <w:sz w:val="20"/>
          <w:lang w:eastAsia="en-AU"/>
        </w:rPr>
        <w:t>396</w:t>
      </w:r>
      <w:r>
        <w:rPr>
          <w:sz w:val="20"/>
          <w:lang w:eastAsia="en-AU"/>
        </w:rPr>
        <w:tab/>
      </w:r>
      <w:r w:rsidR="008F6A78">
        <w:t>Out of an</w:t>
      </w:r>
      <w:r w:rsidR="004C32AE">
        <w:t xml:space="preserve"> </w:t>
      </w:r>
      <w:r w:rsidR="00B20573">
        <w:t>abundance of caution</w:t>
      </w:r>
      <w:r w:rsidR="004C32AE">
        <w:t xml:space="preserve">, I should make </w:t>
      </w:r>
      <w:r w:rsidR="007202BA">
        <w:t>clear</w:t>
      </w:r>
      <w:r w:rsidR="004C32AE">
        <w:t xml:space="preserve"> </w:t>
      </w:r>
      <w:r w:rsidR="00F10131">
        <w:t>I adhere to the view I have previously expressed that</w:t>
      </w:r>
      <w:r w:rsidR="004C32AE">
        <w:t xml:space="preserve"> </w:t>
      </w:r>
      <w:r w:rsidR="00B20573">
        <w:t xml:space="preserve">notwithstanding its broad scope, </w:t>
      </w:r>
      <w:r w:rsidR="004C32AE">
        <w:t>s 33</w:t>
      </w:r>
      <w:proofErr w:type="gramStart"/>
      <w:r w:rsidR="004C32AE">
        <w:t>V(</w:t>
      </w:r>
      <w:proofErr w:type="gramEnd"/>
      <w:r w:rsidR="004C32AE">
        <w:t xml:space="preserve">2) </w:t>
      </w:r>
      <w:r w:rsidR="006A0288">
        <w:t>is not</w:t>
      </w:r>
      <w:r w:rsidR="004C32AE">
        <w:t xml:space="preserve"> a charter for </w:t>
      </w:r>
      <w:r w:rsidR="00B20573">
        <w:t xml:space="preserve">generally </w:t>
      </w:r>
      <w:r w:rsidR="004C32AE">
        <w:t xml:space="preserve">rewriting </w:t>
      </w:r>
      <w:r w:rsidR="00B20573">
        <w:t>bargains</w:t>
      </w:r>
      <w:r w:rsidR="004C32AE">
        <w:t xml:space="preserve"> </w:t>
      </w:r>
      <w:r w:rsidR="00B20573">
        <w:t xml:space="preserve">contained in contracts </w:t>
      </w:r>
      <w:r w:rsidR="004C32AE">
        <w:t>between</w:t>
      </w:r>
      <w:r w:rsidR="00B20573">
        <w:t xml:space="preserve"> group members and third</w:t>
      </w:r>
      <w:r w:rsidR="00ED0447">
        <w:t>-</w:t>
      </w:r>
      <w:r w:rsidR="00B20573">
        <w:t>party funders</w:t>
      </w:r>
      <w:r w:rsidR="00826BEC">
        <w:t>. T</w:t>
      </w:r>
      <w:r w:rsidR="00B20573">
        <w:t xml:space="preserve">he fact </w:t>
      </w:r>
      <w:r w:rsidR="00826BEC">
        <w:t>that the</w:t>
      </w:r>
      <w:r w:rsidR="00B20573">
        <w:t xml:space="preserve"> Court makes an order “</w:t>
      </w:r>
      <w:r w:rsidR="00B20573" w:rsidRPr="006D2328">
        <w:rPr>
          <w:lang w:eastAsia="en-AU"/>
        </w:rPr>
        <w:t>with respect to the distribution</w:t>
      </w:r>
      <w:r w:rsidR="00B20573">
        <w:rPr>
          <w:lang w:eastAsia="en-AU"/>
        </w:rPr>
        <w:t>”</w:t>
      </w:r>
      <w:r w:rsidR="00B20573" w:rsidRPr="006D2328">
        <w:rPr>
          <w:lang w:eastAsia="en-AU"/>
        </w:rPr>
        <w:t xml:space="preserve"> of money </w:t>
      </w:r>
      <w:r w:rsidR="00B20573">
        <w:rPr>
          <w:lang w:eastAsia="en-AU"/>
        </w:rPr>
        <w:t xml:space="preserve">from a specific fund does not alter personal </w:t>
      </w:r>
      <w:r w:rsidR="00A56CDE">
        <w:rPr>
          <w:lang w:eastAsia="en-AU"/>
        </w:rPr>
        <w:t>covenants</w:t>
      </w:r>
      <w:r w:rsidR="00B20573">
        <w:rPr>
          <w:lang w:eastAsia="en-AU"/>
        </w:rPr>
        <w:t xml:space="preserve"> to pay a price for the provision of services absent some established legal or equitable basis for interfering with those personal covenants: see</w:t>
      </w:r>
      <w:r w:rsidR="00141E6F" w:rsidRPr="00F10131">
        <w:rPr>
          <w:lang w:eastAsia="en-AU"/>
        </w:rPr>
        <w:t> </w:t>
      </w:r>
      <w:r w:rsidR="00141E6F" w:rsidRPr="00F10131">
        <w:rPr>
          <w:i/>
          <w:lang w:eastAsia="en-AU"/>
        </w:rPr>
        <w:t>Liverpool City Council v McGraw</w:t>
      </w:r>
      <w:r w:rsidR="00141E6F" w:rsidRPr="00F10131">
        <w:rPr>
          <w:i/>
          <w:lang w:eastAsia="en-AU"/>
        </w:rPr>
        <w:noBreakHyphen/>
        <w:t>Hill Financial, Inc (now known as S&amp;P Global Inc)</w:t>
      </w:r>
      <w:r w:rsidR="00141E6F" w:rsidRPr="00F10131">
        <w:rPr>
          <w:lang w:eastAsia="en-AU"/>
        </w:rPr>
        <w:t xml:space="preserve"> [2018] FCA 1289 </w:t>
      </w:r>
      <w:r w:rsidR="004D6D6E">
        <w:rPr>
          <w:lang w:eastAsia="en-AU"/>
        </w:rPr>
        <w:t>(</w:t>
      </w:r>
      <w:r w:rsidR="00141E6F" w:rsidRPr="00F10131">
        <w:rPr>
          <w:lang w:eastAsia="en-AU"/>
        </w:rPr>
        <w:t>at [</w:t>
      </w:r>
      <w:r w:rsidR="00881DAE">
        <w:rPr>
          <w:lang w:eastAsia="en-AU"/>
        </w:rPr>
        <w:t>47</w:t>
      </w:r>
      <w:r w:rsidR="00141E6F" w:rsidRPr="00F10131">
        <w:rPr>
          <w:lang w:eastAsia="en-AU"/>
        </w:rPr>
        <w:t>] </w:t>
      </w:r>
      <w:r w:rsidR="004D6D6E">
        <w:rPr>
          <w:lang w:eastAsia="en-AU"/>
        </w:rPr>
        <w:t xml:space="preserve">per </w:t>
      </w:r>
      <w:r w:rsidR="00141E6F" w:rsidRPr="00F10131">
        <w:rPr>
          <w:lang w:eastAsia="en-AU"/>
        </w:rPr>
        <w:t>Lee J)</w:t>
      </w:r>
      <w:r w:rsidR="00F10131">
        <w:rPr>
          <w:lang w:eastAsia="en-AU"/>
        </w:rPr>
        <w:t>.</w:t>
      </w:r>
      <w:r w:rsidR="00091E92">
        <w:rPr>
          <w:lang w:eastAsia="en-AU"/>
        </w:rPr>
        <w:t xml:space="preserve"> This is why when a Settlement CFO </w:t>
      </w:r>
      <w:r w:rsidR="00E701E5">
        <w:rPr>
          <w:lang w:eastAsia="en-AU"/>
        </w:rPr>
        <w:t>is proposed in circumstances</w:t>
      </w:r>
      <w:r w:rsidR="00091E92">
        <w:rPr>
          <w:lang w:eastAsia="en-AU"/>
        </w:rPr>
        <w:t xml:space="preserve"> where personal covenants could be enforced to obtain further remuneration, the </w:t>
      </w:r>
      <w:r w:rsidR="00E701E5">
        <w:rPr>
          <w:lang w:eastAsia="en-AU"/>
        </w:rPr>
        <w:t xml:space="preserve">Settlement CFO is </w:t>
      </w:r>
      <w:r w:rsidR="00091E92">
        <w:rPr>
          <w:lang w:eastAsia="en-AU"/>
        </w:rPr>
        <w:t xml:space="preserve">only made following </w:t>
      </w:r>
      <w:r w:rsidR="00E701E5">
        <w:rPr>
          <w:lang w:eastAsia="en-AU"/>
        </w:rPr>
        <w:t xml:space="preserve">receipt of </w:t>
      </w:r>
      <w:r w:rsidR="00091E92">
        <w:rPr>
          <w:lang w:eastAsia="en-AU"/>
        </w:rPr>
        <w:t>an undertaking</w:t>
      </w:r>
      <w:r w:rsidR="00E701E5">
        <w:rPr>
          <w:lang w:eastAsia="en-AU"/>
        </w:rPr>
        <w:t>,</w:t>
      </w:r>
      <w:r w:rsidR="00091E92">
        <w:rPr>
          <w:lang w:eastAsia="en-AU"/>
        </w:rPr>
        <w:t xml:space="preserve"> </w:t>
      </w:r>
      <w:r w:rsidR="00E701E5">
        <w:rPr>
          <w:lang w:eastAsia="en-AU"/>
        </w:rPr>
        <w:t xml:space="preserve">from the person </w:t>
      </w:r>
      <w:r w:rsidR="00CC7AA5">
        <w:rPr>
          <w:lang w:eastAsia="en-AU"/>
        </w:rPr>
        <w:t xml:space="preserve">who will </w:t>
      </w:r>
      <w:r w:rsidR="00E701E5">
        <w:rPr>
          <w:lang w:eastAsia="en-AU"/>
        </w:rPr>
        <w:t xml:space="preserve">obtain the benefit of the </w:t>
      </w:r>
      <w:r w:rsidR="00CC7AA5">
        <w:rPr>
          <w:lang w:eastAsia="en-AU"/>
        </w:rPr>
        <w:t>Settlement CFO</w:t>
      </w:r>
      <w:r w:rsidR="00E701E5">
        <w:rPr>
          <w:lang w:eastAsia="en-AU"/>
        </w:rPr>
        <w:t xml:space="preserve">, that </w:t>
      </w:r>
      <w:r w:rsidR="00091E92">
        <w:rPr>
          <w:lang w:eastAsia="en-AU"/>
        </w:rPr>
        <w:t>those personal covenants will not b</w:t>
      </w:r>
      <w:r w:rsidR="00E701E5">
        <w:rPr>
          <w:lang w:eastAsia="en-AU"/>
        </w:rPr>
        <w:t>e</w:t>
      </w:r>
      <w:r w:rsidR="00091E92">
        <w:rPr>
          <w:lang w:eastAsia="en-AU"/>
        </w:rPr>
        <w:t xml:space="preserve"> enforced.  </w:t>
      </w:r>
    </w:p>
    <w:p w14:paraId="7C980517" w14:textId="259D2F0A" w:rsidR="00E867B4" w:rsidRPr="00F10131" w:rsidRDefault="00CD24CF" w:rsidP="00CD24CF">
      <w:pPr>
        <w:pStyle w:val="Heading2"/>
        <w:rPr>
          <w:b w:val="0"/>
          <w:i/>
        </w:rPr>
      </w:pPr>
      <w:r>
        <w:t>E.2</w:t>
      </w:r>
      <w:r>
        <w:tab/>
      </w:r>
      <w:r w:rsidR="00F10131" w:rsidRPr="00CD24CF">
        <w:rPr>
          <w:i/>
        </w:rPr>
        <w:t>The Logic of the Submission as to a Want of Power</w:t>
      </w:r>
      <w:r w:rsidR="00F10131">
        <w:rPr>
          <w:i/>
        </w:rPr>
        <w:t xml:space="preserve"> and the Contradictor’s Argument</w:t>
      </w:r>
      <w:r w:rsidR="00E867B4" w:rsidRPr="00F10131">
        <w:rPr>
          <w:i/>
        </w:rPr>
        <w:t xml:space="preserve"> </w:t>
      </w:r>
    </w:p>
    <w:p w14:paraId="5CE7C845" w14:textId="0B38DFC3" w:rsidR="00E97141" w:rsidRDefault="0071710E" w:rsidP="0071710E">
      <w:pPr>
        <w:pStyle w:val="ParaNumbering"/>
        <w:numPr>
          <w:ilvl w:val="0"/>
          <w:numId w:val="0"/>
        </w:numPr>
        <w:tabs>
          <w:tab w:val="left" w:pos="720"/>
        </w:tabs>
        <w:ind w:hanging="720"/>
      </w:pPr>
      <w:r>
        <w:rPr>
          <w:sz w:val="20"/>
        </w:rPr>
        <w:t>397</w:t>
      </w:r>
      <w:r>
        <w:rPr>
          <w:sz w:val="20"/>
        </w:rPr>
        <w:tab/>
      </w:r>
      <w:r w:rsidR="00F10131">
        <w:t>Having explained the na</w:t>
      </w:r>
      <w:r w:rsidR="00E97141">
        <w:t>ture and breadth of the discretion under s 33</w:t>
      </w:r>
      <w:proofErr w:type="gramStart"/>
      <w:r w:rsidR="00E97141">
        <w:t>V(</w:t>
      </w:r>
      <w:proofErr w:type="gramEnd"/>
      <w:r w:rsidR="00E97141">
        <w:t xml:space="preserve">2), it is well to note that whatever discretionary arguments could be mounted against a specific Settlement CFO, the logic of the contradictor’s argument goes further. </w:t>
      </w:r>
      <w:r w:rsidR="00EC2348">
        <w:t>To be more precise than I was in</w:t>
      </w:r>
      <w:r w:rsidR="00E97141">
        <w:t xml:space="preserve"> </w:t>
      </w:r>
      <w:r w:rsidR="00E97141" w:rsidRPr="00E97141">
        <w:rPr>
          <w:i/>
        </w:rPr>
        <w:t>Davaria</w:t>
      </w:r>
      <w:r w:rsidR="00E97141">
        <w:t xml:space="preserve"> </w:t>
      </w:r>
      <w:r w:rsidR="00F6498E">
        <w:t>(</w:t>
      </w:r>
      <w:r w:rsidR="00E97141">
        <w:t xml:space="preserve">at </w:t>
      </w:r>
      <w:r w:rsidR="00F6498E">
        <w:t>507</w:t>
      </w:r>
      <w:r w:rsidR="00E97141">
        <w:t xml:space="preserve"> [25]</w:t>
      </w:r>
      <w:r w:rsidR="00F6498E">
        <w:t>)</w:t>
      </w:r>
      <w:r w:rsidR="00E97141">
        <w:t xml:space="preserve">, </w:t>
      </w:r>
      <w:r w:rsidR="00E97141" w:rsidRPr="00EC2348">
        <w:t>given the exercise of a judicial discretion allows a judge to make a choice between lawful, but different</w:t>
      </w:r>
      <w:r w:rsidR="003D6C4B">
        <w:t>,</w:t>
      </w:r>
      <w:r w:rsidR="00E97141" w:rsidRPr="00EC2348">
        <w:t xml:space="preserve"> courses of action</w:t>
      </w:r>
      <w:r w:rsidR="00EC2348">
        <w:t xml:space="preserve">, if </w:t>
      </w:r>
      <w:r w:rsidR="00E97141" w:rsidRPr="00EC2348">
        <w:t xml:space="preserve">there is no power to make a Settlement CFO, that is because, irrespective of its </w:t>
      </w:r>
      <w:r w:rsidR="00EC2348">
        <w:t xml:space="preserve">proposed </w:t>
      </w:r>
      <w:r w:rsidR="00E97141" w:rsidRPr="00EC2348">
        <w:t xml:space="preserve">terms or any other circumstance obtaining upon a settlement, a Settlement CFO is not within the conception of a </w:t>
      </w:r>
      <w:r w:rsidR="00621624">
        <w:t>“</w:t>
      </w:r>
      <w:r w:rsidR="00E97141" w:rsidRPr="00EC2348">
        <w:t>just</w:t>
      </w:r>
      <w:r w:rsidR="00621624">
        <w:t>”</w:t>
      </w:r>
      <w:r w:rsidR="00E97141" w:rsidRPr="00EC2348">
        <w:t xml:space="preserve"> order that could be </w:t>
      </w:r>
      <w:r w:rsidR="006E36BE">
        <w:t>made</w:t>
      </w:r>
      <w:r w:rsidR="00E97141" w:rsidRPr="00EC2348">
        <w:t xml:space="preserve"> “with respect to the distr</w:t>
      </w:r>
      <w:r w:rsidR="00EC2348">
        <w:t>ibution of any money”</w:t>
      </w:r>
      <w:r w:rsidR="00E97141" w:rsidRPr="00EC2348">
        <w:t>.</w:t>
      </w:r>
    </w:p>
    <w:p w14:paraId="242935BA" w14:textId="4DB3F132" w:rsidR="006E6052" w:rsidRDefault="0071710E" w:rsidP="0071710E">
      <w:pPr>
        <w:pStyle w:val="ParaNumbering"/>
        <w:numPr>
          <w:ilvl w:val="0"/>
          <w:numId w:val="0"/>
        </w:numPr>
        <w:tabs>
          <w:tab w:val="left" w:pos="720"/>
        </w:tabs>
        <w:ind w:hanging="720"/>
      </w:pPr>
      <w:r>
        <w:rPr>
          <w:sz w:val="20"/>
        </w:rPr>
        <w:t>398</w:t>
      </w:r>
      <w:r>
        <w:rPr>
          <w:sz w:val="20"/>
        </w:rPr>
        <w:tab/>
      </w:r>
      <w:r w:rsidR="006E6052">
        <w:t>The contradictor developed his argument as to why this was the case as follows.</w:t>
      </w:r>
    </w:p>
    <w:p w14:paraId="1E0B5FAA" w14:textId="7947AC8F" w:rsidR="004D1B54" w:rsidRDefault="0071710E" w:rsidP="0071710E">
      <w:pPr>
        <w:pStyle w:val="ParaNumbering"/>
        <w:numPr>
          <w:ilvl w:val="0"/>
          <w:numId w:val="0"/>
        </w:numPr>
        <w:tabs>
          <w:tab w:val="left" w:pos="720"/>
        </w:tabs>
        <w:ind w:hanging="720"/>
      </w:pPr>
      <w:r>
        <w:rPr>
          <w:sz w:val="20"/>
        </w:rPr>
        <w:t>399</w:t>
      </w:r>
      <w:r>
        <w:rPr>
          <w:sz w:val="20"/>
        </w:rPr>
        <w:tab/>
      </w:r>
      <w:r w:rsidR="006E6052">
        <w:t xml:space="preserve">The contradictor accepted that there was no majority in </w:t>
      </w:r>
      <w:r w:rsidR="006E6052" w:rsidRPr="006E6052">
        <w:rPr>
          <w:i/>
        </w:rPr>
        <w:t>Brewster</w:t>
      </w:r>
      <w:r w:rsidR="006E6052" w:rsidRPr="006E6052">
        <w:t xml:space="preserve"> </w:t>
      </w:r>
      <w:r w:rsidR="006E6052">
        <w:t>that indicated, in terms, that</w:t>
      </w:r>
      <w:r w:rsidR="006E6052" w:rsidRPr="006E6052">
        <w:t xml:space="preserve"> </w:t>
      </w:r>
      <w:r w:rsidR="006E6052">
        <w:t>s</w:t>
      </w:r>
      <w:r w:rsidR="006E6052" w:rsidRPr="006E6052">
        <w:t xml:space="preserve"> </w:t>
      </w:r>
      <w:r w:rsidR="006E6052">
        <w:t>33V</w:t>
      </w:r>
      <w:r w:rsidR="006E6052" w:rsidRPr="006E6052">
        <w:t xml:space="preserve"> </w:t>
      </w:r>
      <w:r w:rsidR="006E6052">
        <w:t>did</w:t>
      </w:r>
      <w:r w:rsidR="006E6052" w:rsidRPr="006E6052">
        <w:t xml:space="preserve"> </w:t>
      </w:r>
      <w:r w:rsidR="006E6052">
        <w:t>not</w:t>
      </w:r>
      <w:r w:rsidR="006E6052" w:rsidRPr="006E6052">
        <w:t xml:space="preserve"> </w:t>
      </w:r>
      <w:r w:rsidR="006E6052">
        <w:t>empower</w:t>
      </w:r>
      <w:r w:rsidR="006E6052" w:rsidRPr="006E6052">
        <w:t xml:space="preserve"> </w:t>
      </w:r>
      <w:r w:rsidR="006E6052">
        <w:t>the</w:t>
      </w:r>
      <w:r w:rsidR="006E6052" w:rsidRPr="006E6052">
        <w:t xml:space="preserve"> </w:t>
      </w:r>
      <w:r w:rsidR="006E6052">
        <w:t>Court</w:t>
      </w:r>
      <w:r w:rsidR="006E6052" w:rsidRPr="006E6052">
        <w:t xml:space="preserve"> </w:t>
      </w:r>
      <w:r w:rsidR="006E6052">
        <w:t>to</w:t>
      </w:r>
      <w:r w:rsidR="006E6052" w:rsidRPr="006E6052">
        <w:t xml:space="preserve"> </w:t>
      </w:r>
      <w:r w:rsidR="006E6052">
        <w:t>make</w:t>
      </w:r>
      <w:r w:rsidR="006E6052" w:rsidRPr="006E6052">
        <w:t xml:space="preserve"> </w:t>
      </w:r>
      <w:r w:rsidR="006E6052">
        <w:t>a Settlement</w:t>
      </w:r>
      <w:r w:rsidR="006E6052" w:rsidRPr="006E6052">
        <w:t xml:space="preserve"> </w:t>
      </w:r>
      <w:proofErr w:type="gramStart"/>
      <w:r w:rsidR="004D1B54">
        <w:t>CFO</w:t>
      </w:r>
      <w:r w:rsidR="006E6052">
        <w:t>, but</w:t>
      </w:r>
      <w:proofErr w:type="gramEnd"/>
      <w:r w:rsidR="006E6052">
        <w:t xml:space="preserve"> stressed that the reasoning in </w:t>
      </w:r>
      <w:r w:rsidR="00670A31">
        <w:t xml:space="preserve">that </w:t>
      </w:r>
      <w:r w:rsidR="004C4234">
        <w:t>decision</w:t>
      </w:r>
      <w:r w:rsidR="006E6052" w:rsidRPr="006E6052">
        <w:t xml:space="preserve"> </w:t>
      </w:r>
      <w:r w:rsidR="006E6052">
        <w:t xml:space="preserve">is </w:t>
      </w:r>
      <w:r w:rsidR="004D1B54">
        <w:t>not “</w:t>
      </w:r>
      <w:r w:rsidR="006E6052">
        <w:t>properly confined to s 33ZF</w:t>
      </w:r>
      <w:r w:rsidR="004D1B54">
        <w:t>” and “</w:t>
      </w:r>
      <w:r w:rsidR="006E6052">
        <w:t xml:space="preserve">contains valuable observations on the context and purpose of </w:t>
      </w:r>
      <w:r w:rsidR="005A35BA">
        <w:t>Pt</w:t>
      </w:r>
      <w:r w:rsidR="006E6052">
        <w:t xml:space="preserve"> IVA in the context of the power to make CFOs</w:t>
      </w:r>
      <w:r w:rsidR="004D1B54">
        <w:t>”</w:t>
      </w:r>
      <w:r w:rsidR="006E6052">
        <w:t>.</w:t>
      </w:r>
    </w:p>
    <w:p w14:paraId="228B2DE4" w14:textId="08106D8F" w:rsidR="006E6052" w:rsidRDefault="0071710E" w:rsidP="0071710E">
      <w:pPr>
        <w:pStyle w:val="ParaNumbering"/>
        <w:numPr>
          <w:ilvl w:val="0"/>
          <w:numId w:val="0"/>
        </w:numPr>
        <w:tabs>
          <w:tab w:val="left" w:pos="720"/>
        </w:tabs>
        <w:ind w:hanging="720"/>
      </w:pPr>
      <w:r>
        <w:rPr>
          <w:sz w:val="20"/>
        </w:rPr>
        <w:t>400</w:t>
      </w:r>
      <w:r>
        <w:rPr>
          <w:sz w:val="20"/>
        </w:rPr>
        <w:tab/>
      </w:r>
      <w:r w:rsidR="006E6052">
        <w:t>As</w:t>
      </w:r>
      <w:r w:rsidR="006E6052" w:rsidRPr="006E6052">
        <w:t xml:space="preserve"> </w:t>
      </w:r>
      <w:r w:rsidR="006E6052">
        <w:t>to</w:t>
      </w:r>
      <w:r w:rsidR="006E6052" w:rsidRPr="006E6052">
        <w:t xml:space="preserve"> </w:t>
      </w:r>
      <w:r w:rsidR="006E6052">
        <w:t>text,</w:t>
      </w:r>
      <w:r w:rsidR="006E6052" w:rsidRPr="006E6052">
        <w:t xml:space="preserve"> </w:t>
      </w:r>
      <w:r w:rsidR="004D1B54">
        <w:t>while the</w:t>
      </w:r>
      <w:r w:rsidR="00062323">
        <w:t xml:space="preserve"> words</w:t>
      </w:r>
      <w:r w:rsidR="006E6052">
        <w:t xml:space="preserve"> “</w:t>
      </w:r>
      <w:r w:rsidR="006E6052" w:rsidRPr="006E6052">
        <w:t>such orders as are just</w:t>
      </w:r>
      <w:r w:rsidR="006E6052">
        <w:t xml:space="preserve">” </w:t>
      </w:r>
      <w:r w:rsidR="004D1B54">
        <w:t>in s 33</w:t>
      </w:r>
      <w:proofErr w:type="gramStart"/>
      <w:r w:rsidR="004D1B54">
        <w:t>V(</w:t>
      </w:r>
      <w:proofErr w:type="gramEnd"/>
      <w:r w:rsidR="004D1B54">
        <w:t>2) are wide, they are</w:t>
      </w:r>
      <w:r w:rsidR="006E6052">
        <w:t xml:space="preserve"> qualified by reference to the aim of “</w:t>
      </w:r>
      <w:r w:rsidR="006E6052" w:rsidRPr="006E6052">
        <w:t>distribution</w:t>
      </w:r>
      <w:r w:rsidR="006E6052">
        <w:t xml:space="preserve">” of settlement </w:t>
      </w:r>
      <w:r w:rsidR="00AF596C">
        <w:t>monies</w:t>
      </w:r>
      <w:r w:rsidR="006E36BE">
        <w:t>. C</w:t>
      </w:r>
      <w:r w:rsidR="0059651B">
        <w:t xml:space="preserve">onsistently with the </w:t>
      </w:r>
      <w:r w:rsidR="006E36BE">
        <w:t>reasons</w:t>
      </w:r>
      <w:r w:rsidR="0059651B">
        <w:t xml:space="preserve"> of</w:t>
      </w:r>
      <w:r w:rsidR="004D1B54">
        <w:t xml:space="preserve"> the </w:t>
      </w:r>
      <w:r w:rsidR="006E6052">
        <w:t>plurality</w:t>
      </w:r>
      <w:r w:rsidR="006E6052" w:rsidRPr="006E6052">
        <w:t xml:space="preserve"> </w:t>
      </w:r>
      <w:r w:rsidR="006E6052">
        <w:t>in</w:t>
      </w:r>
      <w:r w:rsidR="006E6052" w:rsidRPr="006E6052">
        <w:t xml:space="preserve"> </w:t>
      </w:r>
      <w:r w:rsidR="006E6052" w:rsidRPr="004D1B54">
        <w:rPr>
          <w:i/>
        </w:rPr>
        <w:t>Brewster</w:t>
      </w:r>
      <w:r w:rsidR="006E6052" w:rsidRPr="006E6052">
        <w:t xml:space="preserve"> </w:t>
      </w:r>
      <w:r w:rsidR="00AB6866">
        <w:t>(</w:t>
      </w:r>
      <w:r w:rsidR="006E6052">
        <w:t>at</w:t>
      </w:r>
      <w:r w:rsidR="006E6052" w:rsidRPr="006E6052">
        <w:t xml:space="preserve"> </w:t>
      </w:r>
      <w:r w:rsidR="00AB6866">
        <w:t xml:space="preserve">600 </w:t>
      </w:r>
      <w:r w:rsidR="006E6052">
        <w:t>[50]</w:t>
      </w:r>
      <w:r w:rsidR="00AB6866">
        <w:t xml:space="preserve"> per Kiefel CJ, Bell and Keane JJ)</w:t>
      </w:r>
      <w:r w:rsidR="004D1B54">
        <w:t>,</w:t>
      </w:r>
      <w:r w:rsidR="006E6052" w:rsidRPr="006E6052">
        <w:t xml:space="preserve"> </w:t>
      </w:r>
      <w:r w:rsidR="006E6052">
        <w:t>the</w:t>
      </w:r>
      <w:r w:rsidR="006E6052" w:rsidRPr="006E6052">
        <w:t xml:space="preserve"> </w:t>
      </w:r>
      <w:r w:rsidR="006E6052">
        <w:t>focus</w:t>
      </w:r>
      <w:r w:rsidR="006E6052" w:rsidRPr="006E6052">
        <w:t xml:space="preserve"> </w:t>
      </w:r>
      <w:r w:rsidR="0059651B">
        <w:t>should be on</w:t>
      </w:r>
      <w:r w:rsidR="006E6052" w:rsidRPr="006E6052">
        <w:t xml:space="preserve"> </w:t>
      </w:r>
      <w:r w:rsidR="006E6052">
        <w:t>ensuring</w:t>
      </w:r>
      <w:r w:rsidR="006E6052" w:rsidRPr="006E6052">
        <w:t xml:space="preserve"> </w:t>
      </w:r>
      <w:r w:rsidR="006E6052">
        <w:t>that</w:t>
      </w:r>
      <w:r w:rsidR="006E6052" w:rsidRPr="006E6052">
        <w:t xml:space="preserve"> </w:t>
      </w:r>
      <w:r w:rsidR="006E6052">
        <w:t>justice</w:t>
      </w:r>
      <w:r w:rsidR="006E6052" w:rsidRPr="006E6052">
        <w:t xml:space="preserve"> </w:t>
      </w:r>
      <w:r w:rsidR="006E6052">
        <w:t>is</w:t>
      </w:r>
      <w:r w:rsidR="006E6052" w:rsidRPr="006E6052">
        <w:t xml:space="preserve"> </w:t>
      </w:r>
      <w:r w:rsidR="006E6052">
        <w:t>done</w:t>
      </w:r>
      <w:r w:rsidR="006E6052" w:rsidRPr="006E6052">
        <w:t xml:space="preserve"> </w:t>
      </w:r>
      <w:r w:rsidR="006E6052">
        <w:t>in</w:t>
      </w:r>
      <w:r w:rsidR="006E6052" w:rsidRPr="006E6052">
        <w:t xml:space="preserve"> </w:t>
      </w:r>
      <w:r w:rsidR="006E6052">
        <w:t>the</w:t>
      </w:r>
      <w:r w:rsidR="006E6052" w:rsidRPr="006E6052">
        <w:t xml:space="preserve"> </w:t>
      </w:r>
      <w:r w:rsidR="006E6052">
        <w:t>proceeding</w:t>
      </w:r>
      <w:r w:rsidR="006E6052" w:rsidRPr="006E6052">
        <w:t xml:space="preserve"> </w:t>
      </w:r>
      <w:r w:rsidR="006E6052">
        <w:t>“</w:t>
      </w:r>
      <w:r w:rsidR="006E6052" w:rsidRPr="006E6052">
        <w:t>as between the parties to it</w:t>
      </w:r>
      <w:r w:rsidR="006E6052">
        <w:t>”</w:t>
      </w:r>
      <w:r w:rsidR="008E3167">
        <w:t>;</w:t>
      </w:r>
      <w:r w:rsidR="006E6052">
        <w:t xml:space="preserve"> “</w:t>
      </w:r>
      <w:r w:rsidR="006E6052" w:rsidRPr="006E6052">
        <w:t>whether or not a potential funder of the claimants may be given sufficient financial inducement to support the proceeding</w:t>
      </w:r>
      <w:r w:rsidR="0059651B">
        <w:t>”</w:t>
      </w:r>
      <w:r w:rsidR="006E6052" w:rsidRPr="006E6052">
        <w:t xml:space="preserve"> is </w:t>
      </w:r>
      <w:r w:rsidR="0059651B">
        <w:t>extraneous.</w:t>
      </w:r>
      <w:r w:rsidR="006E6052" w:rsidRPr="006E6052">
        <w:t xml:space="preserve"> </w:t>
      </w:r>
      <w:r w:rsidR="006E6052">
        <w:t>There</w:t>
      </w:r>
      <w:r w:rsidR="006E6052" w:rsidRPr="006E6052">
        <w:t xml:space="preserve"> </w:t>
      </w:r>
      <w:r w:rsidR="006E6052">
        <w:t>is</w:t>
      </w:r>
      <w:r w:rsidR="006E6052" w:rsidRPr="006E6052">
        <w:t xml:space="preserve"> </w:t>
      </w:r>
      <w:r w:rsidR="006E6052">
        <w:t>no</w:t>
      </w:r>
      <w:r w:rsidR="006E6052" w:rsidRPr="006E6052">
        <w:t xml:space="preserve"> </w:t>
      </w:r>
      <w:r w:rsidR="006E6052">
        <w:t>relevant</w:t>
      </w:r>
      <w:r w:rsidR="006E6052" w:rsidRPr="006E6052">
        <w:t xml:space="preserve"> </w:t>
      </w:r>
      <w:r w:rsidR="006E6052">
        <w:t>difference</w:t>
      </w:r>
      <w:r w:rsidR="006E6052" w:rsidRPr="006E6052">
        <w:t xml:space="preserve"> </w:t>
      </w:r>
      <w:r w:rsidR="006E6052">
        <w:t>between</w:t>
      </w:r>
      <w:r w:rsidR="006E6052" w:rsidRPr="006E6052">
        <w:t xml:space="preserve"> </w:t>
      </w:r>
      <w:r w:rsidR="006E6052">
        <w:t>the</w:t>
      </w:r>
      <w:r w:rsidR="006E6052" w:rsidRPr="006E6052">
        <w:t xml:space="preserve"> </w:t>
      </w:r>
      <w:r w:rsidR="006E6052">
        <w:t>aim</w:t>
      </w:r>
      <w:r w:rsidR="006E6052" w:rsidRPr="006E6052">
        <w:t xml:space="preserve"> </w:t>
      </w:r>
      <w:r w:rsidR="006E6052">
        <w:t>of</w:t>
      </w:r>
      <w:r w:rsidR="006E6052" w:rsidRPr="006E6052">
        <w:t xml:space="preserve"> </w:t>
      </w:r>
      <w:r w:rsidR="006E6052">
        <w:t>ensuring</w:t>
      </w:r>
      <w:r w:rsidR="006E6052" w:rsidRPr="006E6052">
        <w:t xml:space="preserve"> </w:t>
      </w:r>
      <w:r w:rsidR="006E6052">
        <w:t>that</w:t>
      </w:r>
      <w:r w:rsidR="006E6052" w:rsidRPr="006E6052">
        <w:t xml:space="preserve"> </w:t>
      </w:r>
      <w:r w:rsidR="006E6052">
        <w:t>justice</w:t>
      </w:r>
      <w:r w:rsidR="006E6052" w:rsidRPr="006E6052">
        <w:t xml:space="preserve"> </w:t>
      </w:r>
      <w:r w:rsidR="006E6052">
        <w:t>is</w:t>
      </w:r>
      <w:r w:rsidR="006E6052" w:rsidRPr="006E6052">
        <w:t xml:space="preserve"> </w:t>
      </w:r>
      <w:r w:rsidR="006E6052">
        <w:t>done in</w:t>
      </w:r>
      <w:r w:rsidR="006E6052" w:rsidRPr="006E6052">
        <w:t xml:space="preserve"> </w:t>
      </w:r>
      <w:r w:rsidR="006E6052">
        <w:t>the</w:t>
      </w:r>
      <w:r w:rsidR="006E6052" w:rsidRPr="006E6052">
        <w:t xml:space="preserve"> </w:t>
      </w:r>
      <w:r w:rsidR="006E6052">
        <w:t>proceeding</w:t>
      </w:r>
      <w:r w:rsidR="006E6052" w:rsidRPr="006E6052">
        <w:t xml:space="preserve"> </w:t>
      </w:r>
      <w:r w:rsidR="006E6052">
        <w:t>and</w:t>
      </w:r>
      <w:r w:rsidR="006E6052" w:rsidRPr="006E6052">
        <w:t xml:space="preserve"> </w:t>
      </w:r>
      <w:r w:rsidR="006E6052">
        <w:t>the</w:t>
      </w:r>
      <w:r w:rsidR="006E6052" w:rsidRPr="006E6052">
        <w:t xml:space="preserve"> </w:t>
      </w:r>
      <w:r w:rsidR="006E6052">
        <w:t>power</w:t>
      </w:r>
      <w:r w:rsidR="006E6052" w:rsidRPr="006E6052">
        <w:t xml:space="preserve"> </w:t>
      </w:r>
      <w:r w:rsidR="006E6052">
        <w:t>to</w:t>
      </w:r>
      <w:r w:rsidR="006E6052" w:rsidRPr="006E6052">
        <w:t xml:space="preserve"> </w:t>
      </w:r>
      <w:r w:rsidR="006E6052">
        <w:t>make</w:t>
      </w:r>
      <w:r w:rsidR="006E6052" w:rsidRPr="006E6052">
        <w:t xml:space="preserve"> </w:t>
      </w:r>
      <w:r w:rsidR="006E6052">
        <w:t>such</w:t>
      </w:r>
      <w:r w:rsidR="006E6052" w:rsidRPr="006E6052">
        <w:t xml:space="preserve"> </w:t>
      </w:r>
      <w:r w:rsidR="006E6052">
        <w:t>orders</w:t>
      </w:r>
      <w:r w:rsidR="006E6052" w:rsidRPr="006E6052">
        <w:t xml:space="preserve"> </w:t>
      </w:r>
      <w:r w:rsidR="006E6052">
        <w:t>as</w:t>
      </w:r>
      <w:r w:rsidR="006E6052" w:rsidRPr="006E6052">
        <w:t xml:space="preserve"> </w:t>
      </w:r>
      <w:r w:rsidR="006E6052">
        <w:t>are</w:t>
      </w:r>
      <w:r w:rsidR="006E6052" w:rsidRPr="006E6052">
        <w:t xml:space="preserve"> </w:t>
      </w:r>
      <w:r w:rsidR="006E6052">
        <w:t>just. The</w:t>
      </w:r>
      <w:r w:rsidR="006E6052" w:rsidRPr="006E6052">
        <w:t xml:space="preserve"> </w:t>
      </w:r>
      <w:r w:rsidR="006E6052">
        <w:t>funder’s</w:t>
      </w:r>
      <w:r w:rsidR="006E6052" w:rsidRPr="006E6052">
        <w:t xml:space="preserve"> </w:t>
      </w:r>
      <w:r w:rsidR="006E6052">
        <w:t>position – as a non-party – is outside the concern of the text of s 33V.</w:t>
      </w:r>
    </w:p>
    <w:p w14:paraId="7F3AAE1A" w14:textId="2354D231" w:rsidR="0059651B" w:rsidRDefault="0071710E" w:rsidP="0071710E">
      <w:pPr>
        <w:pStyle w:val="ParaNumbering"/>
        <w:numPr>
          <w:ilvl w:val="0"/>
          <w:numId w:val="0"/>
        </w:numPr>
        <w:tabs>
          <w:tab w:val="left" w:pos="720"/>
        </w:tabs>
        <w:ind w:hanging="720"/>
      </w:pPr>
      <w:r>
        <w:rPr>
          <w:sz w:val="20"/>
        </w:rPr>
        <w:t>401</w:t>
      </w:r>
      <w:r>
        <w:rPr>
          <w:sz w:val="20"/>
        </w:rPr>
        <w:tab/>
      </w:r>
      <w:r w:rsidR="0059651B">
        <w:t xml:space="preserve">Further, as to context and purpose, as was explained in </w:t>
      </w:r>
      <w:r w:rsidR="0059651B" w:rsidRPr="004D1B54">
        <w:rPr>
          <w:i/>
        </w:rPr>
        <w:t>Brewster</w:t>
      </w:r>
      <w:r w:rsidR="0059651B">
        <w:t>, while P</w:t>
      </w:r>
      <w:r w:rsidR="006E6052">
        <w:t xml:space="preserve">t IVA provides for the costs of proceedings between group members, there is nothing in </w:t>
      </w:r>
      <w:r w:rsidR="000B7ABD">
        <w:t>Pt</w:t>
      </w:r>
      <w:r w:rsidR="006E6052">
        <w:t xml:space="preserve"> IVA that invites the </w:t>
      </w:r>
      <w:r w:rsidR="00CD5340">
        <w:t>C</w:t>
      </w:r>
      <w:r w:rsidR="006E6052">
        <w:t>ourt to order the establishment of a complex relationship between group members and a funder with whom the group members would otherwi</w:t>
      </w:r>
      <w:r w:rsidR="0059651B">
        <w:t>se have no relationship at all</w:t>
      </w:r>
      <w:r w:rsidR="00CD5340">
        <w:t>,</w:t>
      </w:r>
      <w:r w:rsidR="0059651B">
        <w:t xml:space="preserve"> nor any</w:t>
      </w:r>
      <w:r w:rsidR="006E6052" w:rsidRPr="006E6052">
        <w:t xml:space="preserve"> </w:t>
      </w:r>
      <w:r w:rsidR="006E6052">
        <w:t>criteria</w:t>
      </w:r>
      <w:r w:rsidR="006E6052" w:rsidRPr="006E6052">
        <w:t xml:space="preserve"> </w:t>
      </w:r>
      <w:r w:rsidR="006E6052">
        <w:t>for</w:t>
      </w:r>
      <w:r w:rsidR="006E6052" w:rsidRPr="006E6052">
        <w:t xml:space="preserve"> </w:t>
      </w:r>
      <w:r w:rsidR="006E6052">
        <w:t>setting</w:t>
      </w:r>
      <w:r w:rsidR="006E6052" w:rsidRPr="006E6052">
        <w:t xml:space="preserve"> </w:t>
      </w:r>
      <w:r w:rsidR="006E6052">
        <w:t>the</w:t>
      </w:r>
      <w:r w:rsidR="006E6052" w:rsidRPr="006E6052">
        <w:t xml:space="preserve"> </w:t>
      </w:r>
      <w:r w:rsidR="006E6052">
        <w:t>rate</w:t>
      </w:r>
      <w:r w:rsidR="006E6052" w:rsidRPr="006E6052">
        <w:t xml:space="preserve"> </w:t>
      </w:r>
      <w:r w:rsidR="006E6052">
        <w:t>of</w:t>
      </w:r>
      <w:r w:rsidR="006E6052" w:rsidRPr="006E6052">
        <w:t xml:space="preserve"> </w:t>
      </w:r>
      <w:r w:rsidR="006E6052">
        <w:t>remuneration</w:t>
      </w:r>
      <w:r w:rsidR="006E6052" w:rsidRPr="006E6052">
        <w:t xml:space="preserve"> </w:t>
      </w:r>
      <w:r w:rsidR="006E6052">
        <w:t>for</w:t>
      </w:r>
      <w:r w:rsidR="006E6052" w:rsidRPr="006E6052">
        <w:t xml:space="preserve"> </w:t>
      </w:r>
      <w:r w:rsidR="006E6052">
        <w:t>the</w:t>
      </w:r>
      <w:r w:rsidR="006E6052" w:rsidRPr="006E6052">
        <w:t xml:space="preserve"> </w:t>
      </w:r>
      <w:r w:rsidR="0059651B">
        <w:t>funder</w:t>
      </w:r>
      <w:r w:rsidR="00CD5340">
        <w:t xml:space="preserve"> (</w:t>
      </w:r>
      <w:r w:rsidR="0059651B">
        <w:t xml:space="preserve">at </w:t>
      </w:r>
      <w:r w:rsidR="00781D82">
        <w:t xml:space="preserve">604–605 </w:t>
      </w:r>
      <w:r w:rsidR="0059651B">
        <w:t>[66</w:t>
      </w:r>
      <w:r w:rsidR="00781D82">
        <w:t>]–</w:t>
      </w:r>
      <w:r w:rsidR="0059651B">
        <w:t>[67]</w:t>
      </w:r>
      <w:r w:rsidR="00781D82">
        <w:t xml:space="preserve"> per Kiefel CJ, Bell and Keane JJ)</w:t>
      </w:r>
      <w:r w:rsidR="0059651B">
        <w:t>.  I</w:t>
      </w:r>
      <w:r w:rsidR="006E6052">
        <w:t>t is the identification of all group members under s 33J that facilitates the “</w:t>
      </w:r>
      <w:r w:rsidR="006E6052" w:rsidRPr="006E6052">
        <w:t>distribution</w:t>
      </w:r>
      <w:r w:rsidR="006E6052">
        <w:t>” of any proceeds from a settl</w:t>
      </w:r>
      <w:r w:rsidR="0059651B">
        <w:t>ement under s 33V</w:t>
      </w:r>
      <w:r w:rsidR="00211FFF">
        <w:t xml:space="preserve"> (</w:t>
      </w:r>
      <w:r w:rsidR="0059651B">
        <w:t xml:space="preserve">at </w:t>
      </w:r>
      <w:r w:rsidR="00A975DF">
        <w:t xml:space="preserve">606–607 </w:t>
      </w:r>
      <w:r w:rsidR="0059651B">
        <w:t>[72</w:t>
      </w:r>
      <w:r w:rsidR="00211FFF">
        <w:t>]</w:t>
      </w:r>
      <w:proofErr w:type="gramStart"/>
      <w:r w:rsidR="00211FFF">
        <w:t>–</w:t>
      </w:r>
      <w:r w:rsidR="0059651B">
        <w:t>[</w:t>
      </w:r>
      <w:proofErr w:type="gramEnd"/>
      <w:r w:rsidR="0059651B">
        <w:t>73]</w:t>
      </w:r>
      <w:r w:rsidR="00A975DF">
        <w:t>)</w:t>
      </w:r>
      <w:r w:rsidR="0059651B">
        <w:t xml:space="preserve"> and </w:t>
      </w:r>
      <w:r w:rsidR="006E6052">
        <w:t>the occasion for making orders distributing any proceeds is at</w:t>
      </w:r>
      <w:r w:rsidR="006E6052" w:rsidRPr="006E6052">
        <w:t xml:space="preserve"> </w:t>
      </w:r>
      <w:r w:rsidR="0059651B">
        <w:t>the</w:t>
      </w:r>
      <w:r w:rsidR="006E6052" w:rsidRPr="006E6052">
        <w:t xml:space="preserve"> </w:t>
      </w:r>
      <w:r w:rsidR="006E6052">
        <w:t>conclusion</w:t>
      </w:r>
      <w:r w:rsidR="0059651B">
        <w:t xml:space="preserve"> of proceedings</w:t>
      </w:r>
      <w:r w:rsidR="006E6052">
        <w:t>,</w:t>
      </w:r>
      <w:r w:rsidR="006E6052" w:rsidRPr="006E6052">
        <w:t xml:space="preserve"> </w:t>
      </w:r>
      <w:r w:rsidR="006E6052">
        <w:t>at</w:t>
      </w:r>
      <w:r w:rsidR="006E6052" w:rsidRPr="006E6052">
        <w:t xml:space="preserve"> </w:t>
      </w:r>
      <w:r w:rsidR="006E6052">
        <w:t>which</w:t>
      </w:r>
      <w:r w:rsidR="006E6052" w:rsidRPr="006E6052">
        <w:t xml:space="preserve"> </w:t>
      </w:r>
      <w:r w:rsidR="006E6052">
        <w:t>point</w:t>
      </w:r>
      <w:r w:rsidR="006E6052" w:rsidRPr="006E6052">
        <w:t xml:space="preserve"> </w:t>
      </w:r>
      <w:r w:rsidR="006E6052">
        <w:t>the</w:t>
      </w:r>
      <w:r w:rsidR="006E6052" w:rsidRPr="006E6052">
        <w:t xml:space="preserve"> </w:t>
      </w:r>
      <w:r w:rsidR="006E6052">
        <w:t xml:space="preserve">value of the funder’s support will have been rendered certain </w:t>
      </w:r>
      <w:r w:rsidR="00FA7BEA">
        <w:t>(</w:t>
      </w:r>
      <w:r w:rsidR="006E6052">
        <w:t xml:space="preserve">at </w:t>
      </w:r>
      <w:r w:rsidR="00FA7BEA">
        <w:t>605</w:t>
      </w:r>
      <w:r w:rsidR="006E6052">
        <w:t xml:space="preserve"> [68]</w:t>
      </w:r>
      <w:r w:rsidR="00FA7BEA">
        <w:t>)</w:t>
      </w:r>
      <w:r w:rsidR="00B3312B">
        <w:t>. A</w:t>
      </w:r>
      <w:r w:rsidR="006E6052">
        <w:t>t that point</w:t>
      </w:r>
      <w:r w:rsidR="00B3312B">
        <w:t>,</w:t>
      </w:r>
      <w:r w:rsidR="006E6052">
        <w:t xml:space="preserve"> a</w:t>
      </w:r>
      <w:r w:rsidR="003674B0">
        <w:t>n FEO</w:t>
      </w:r>
      <w:r w:rsidR="006E6052">
        <w:t xml:space="preserve"> is available to equalise rights as between group members</w:t>
      </w:r>
      <w:r w:rsidR="00E33FF3">
        <w:t xml:space="preserve"> (</w:t>
      </w:r>
      <w:r w:rsidR="006E6052">
        <w:t>at</w:t>
      </w:r>
      <w:r w:rsidR="0059651B">
        <w:t xml:space="preserve"> </w:t>
      </w:r>
      <w:r w:rsidR="00BF10B4">
        <w:t xml:space="preserve">613 </w:t>
      </w:r>
      <w:r w:rsidR="0059651B">
        <w:t>[89]</w:t>
      </w:r>
      <w:r w:rsidR="00E33FF3">
        <w:t xml:space="preserve"> per Kiefel CJ, Bell and Keane JJ, </w:t>
      </w:r>
      <w:r w:rsidR="00BF10B4">
        <w:t xml:space="preserve">637–638 </w:t>
      </w:r>
      <w:r w:rsidR="00E33FF3">
        <w:t xml:space="preserve">[169] per </w:t>
      </w:r>
      <w:r w:rsidR="0059651B">
        <w:t>Gordon J</w:t>
      </w:r>
      <w:r w:rsidR="00E33FF3">
        <w:t>)</w:t>
      </w:r>
      <w:r w:rsidR="0059651B">
        <w:t>.</w:t>
      </w:r>
    </w:p>
    <w:p w14:paraId="44B78D39" w14:textId="296F0663" w:rsidR="006E6052" w:rsidRDefault="0071710E" w:rsidP="0071710E">
      <w:pPr>
        <w:pStyle w:val="ParaNumbering"/>
        <w:numPr>
          <w:ilvl w:val="0"/>
          <w:numId w:val="0"/>
        </w:numPr>
        <w:tabs>
          <w:tab w:val="left" w:pos="720"/>
        </w:tabs>
        <w:ind w:hanging="720"/>
      </w:pPr>
      <w:r>
        <w:rPr>
          <w:sz w:val="20"/>
        </w:rPr>
        <w:t>402</w:t>
      </w:r>
      <w:r>
        <w:rPr>
          <w:sz w:val="20"/>
        </w:rPr>
        <w:tab/>
      </w:r>
      <w:r w:rsidR="0059651B">
        <w:t xml:space="preserve">As to any </w:t>
      </w:r>
      <w:r w:rsidR="006E6052">
        <w:t xml:space="preserve">concern to prevent </w:t>
      </w:r>
      <w:proofErr w:type="gramStart"/>
      <w:r w:rsidR="006E6052">
        <w:t>free-riding</w:t>
      </w:r>
      <w:proofErr w:type="gramEnd"/>
      <w:r w:rsidR="0059651B">
        <w:t>, this i</w:t>
      </w:r>
      <w:r w:rsidR="006E6052">
        <w:t xml:space="preserve">s </w:t>
      </w:r>
      <w:r w:rsidR="006E6052" w:rsidRPr="006E6052">
        <w:t>not</w:t>
      </w:r>
      <w:r w:rsidR="0059651B">
        <w:t xml:space="preserve"> addressed in P</w:t>
      </w:r>
      <w:r w:rsidR="006E6052">
        <w:t>t IVA by permitting</w:t>
      </w:r>
      <w:r w:rsidR="006E6052" w:rsidRPr="006E6052">
        <w:t xml:space="preserve"> </w:t>
      </w:r>
      <w:r w:rsidR="006E6052">
        <w:t>a</w:t>
      </w:r>
      <w:r w:rsidR="006E6052" w:rsidRPr="006E6052">
        <w:t xml:space="preserve"> </w:t>
      </w:r>
      <w:r w:rsidR="006E6052">
        <w:t>distribution</w:t>
      </w:r>
      <w:r w:rsidR="006E6052" w:rsidRPr="006E6052">
        <w:t xml:space="preserve"> </w:t>
      </w:r>
      <w:r w:rsidR="006E6052">
        <w:t>to</w:t>
      </w:r>
      <w:r w:rsidR="006E6052" w:rsidRPr="006E6052">
        <w:t xml:space="preserve"> </w:t>
      </w:r>
      <w:r w:rsidR="006E6052">
        <w:t>a</w:t>
      </w:r>
      <w:r w:rsidR="006E6052" w:rsidRPr="006E6052">
        <w:t xml:space="preserve"> </w:t>
      </w:r>
      <w:r w:rsidR="006E6052">
        <w:t>non-party,</w:t>
      </w:r>
      <w:r w:rsidR="006E6052" w:rsidRPr="006E6052">
        <w:t xml:space="preserve"> </w:t>
      </w:r>
      <w:r w:rsidR="006E6052">
        <w:t>even</w:t>
      </w:r>
      <w:r w:rsidR="006E6052" w:rsidRPr="006E6052">
        <w:t xml:space="preserve"> </w:t>
      </w:r>
      <w:r w:rsidR="006E6052">
        <w:t>one</w:t>
      </w:r>
      <w:r w:rsidR="006E6052" w:rsidRPr="006E6052">
        <w:t xml:space="preserve"> </w:t>
      </w:r>
      <w:r w:rsidR="006E6052">
        <w:t>with</w:t>
      </w:r>
      <w:r w:rsidR="006E6052" w:rsidRPr="006E6052">
        <w:t xml:space="preserve"> </w:t>
      </w:r>
      <w:r w:rsidR="006E6052">
        <w:t>a</w:t>
      </w:r>
      <w:r w:rsidR="006E6052" w:rsidRPr="006E6052">
        <w:t xml:space="preserve"> </w:t>
      </w:r>
      <w:r w:rsidR="006E6052">
        <w:t>significant</w:t>
      </w:r>
      <w:r w:rsidR="006E6052" w:rsidRPr="006E6052">
        <w:t xml:space="preserve"> </w:t>
      </w:r>
      <w:r w:rsidR="006E6052">
        <w:t>commercial interest in the litigation. Afte</w:t>
      </w:r>
      <w:r w:rsidR="006822A0">
        <w:t>r discussing</w:t>
      </w:r>
      <w:r w:rsidR="006E6052">
        <w:t xml:space="preserve"> the policy concern to prevent free-riding and noting that it is “</w:t>
      </w:r>
      <w:r w:rsidR="006E6052" w:rsidRPr="006E6052">
        <w:t>just that the costs of the proceeding be spread amongst that group</w:t>
      </w:r>
      <w:r w:rsidR="006E6052">
        <w:t>” (</w:t>
      </w:r>
      <w:r w:rsidR="003E5307">
        <w:t xml:space="preserve">that is, </w:t>
      </w:r>
      <w:r w:rsidR="006E6052">
        <w:t>all group members)</w:t>
      </w:r>
      <w:r w:rsidR="006822A0">
        <w:t xml:space="preserve"> (at 612 [86])</w:t>
      </w:r>
      <w:r w:rsidR="006E6052">
        <w:t xml:space="preserve">, the plurality </w:t>
      </w:r>
      <w:r w:rsidR="006822A0">
        <w:t>reasone</w:t>
      </w:r>
      <w:r w:rsidR="006E6052">
        <w:t xml:space="preserve">d </w:t>
      </w:r>
      <w:r w:rsidR="00A747DE">
        <w:t>(</w:t>
      </w:r>
      <w:r w:rsidR="006E6052">
        <w:t xml:space="preserve">at </w:t>
      </w:r>
      <w:r w:rsidR="00F6040B">
        <w:t>612</w:t>
      </w:r>
      <w:r w:rsidR="006E6052">
        <w:t xml:space="preserve"> [87]</w:t>
      </w:r>
      <w:r w:rsidR="00F6040B">
        <w:t>)</w:t>
      </w:r>
      <w:r w:rsidR="006E6052">
        <w:t>:</w:t>
      </w:r>
    </w:p>
    <w:p w14:paraId="4BC19554" w14:textId="0FCD55EE" w:rsidR="006E6052" w:rsidRDefault="006E6052" w:rsidP="0059651B">
      <w:pPr>
        <w:pStyle w:val="Quote1"/>
      </w:pPr>
      <w:r w:rsidRPr="006E6052">
        <w:t xml:space="preserve">In contrast, there is no reason why the amount taken from unfunded group members’ awards should be directed to the litigation funder, </w:t>
      </w:r>
      <w:r w:rsidRPr="0059651B">
        <w:rPr>
          <w:i/>
        </w:rPr>
        <w:t>much less</w:t>
      </w:r>
      <w:r w:rsidRPr="006E6052">
        <w:t xml:space="preserve"> that an order to that effect should be made at the outset of the proceeding rather than on the occasion contemplated by s 33ZJ </w:t>
      </w:r>
      <w:r>
        <w:t xml:space="preserve">… </w:t>
      </w:r>
      <w:r w:rsidRPr="006E6052">
        <w:t>Unfunded group members have no contractual or other relationship with the funder. Nor have they any liability to the funder. The funder has no right to that money under contract</w:t>
      </w:r>
      <w:r w:rsidR="008775C3">
        <w:t xml:space="preserve"> or under equitable principles.</w:t>
      </w:r>
    </w:p>
    <w:p w14:paraId="4C58B1D3" w14:textId="3DEC330B" w:rsidR="006E6052" w:rsidRDefault="0071710E" w:rsidP="0071710E">
      <w:pPr>
        <w:pStyle w:val="ParaNumbering"/>
        <w:numPr>
          <w:ilvl w:val="0"/>
          <w:numId w:val="0"/>
        </w:numPr>
        <w:tabs>
          <w:tab w:val="left" w:pos="720"/>
        </w:tabs>
        <w:ind w:hanging="720"/>
      </w:pPr>
      <w:r>
        <w:rPr>
          <w:sz w:val="20"/>
        </w:rPr>
        <w:t>403</w:t>
      </w:r>
      <w:r>
        <w:rPr>
          <w:sz w:val="20"/>
        </w:rPr>
        <w:tab/>
      </w:r>
      <w:r w:rsidR="006E6052">
        <w:t>The words “</w:t>
      </w:r>
      <w:r w:rsidR="006E6052" w:rsidRPr="006E6052">
        <w:t>much less</w:t>
      </w:r>
      <w:r w:rsidR="006E6052">
        <w:t>” indicate that this passage was intended to have</w:t>
      </w:r>
      <w:r w:rsidR="006E6052" w:rsidRPr="006E6052">
        <w:t xml:space="preserve"> </w:t>
      </w:r>
      <w:r w:rsidR="006E6052">
        <w:t>application</w:t>
      </w:r>
      <w:r w:rsidR="006E6052" w:rsidRPr="006E6052">
        <w:t xml:space="preserve"> </w:t>
      </w:r>
      <w:r w:rsidR="006E6052">
        <w:t>beyond</w:t>
      </w:r>
      <w:r w:rsidR="006E6052" w:rsidRPr="006E6052">
        <w:t xml:space="preserve"> </w:t>
      </w:r>
      <w:r w:rsidR="006E6052">
        <w:t>s</w:t>
      </w:r>
      <w:r w:rsidR="008E3167">
        <w:t> </w:t>
      </w:r>
      <w:r w:rsidR="006E6052">
        <w:t>33ZJ.</w:t>
      </w:r>
      <w:r w:rsidR="006E6052" w:rsidRPr="006E6052">
        <w:t xml:space="preserve"> </w:t>
      </w:r>
      <w:r w:rsidR="006E6052">
        <w:t>They</w:t>
      </w:r>
      <w:r w:rsidR="006E6052" w:rsidRPr="006E6052">
        <w:t xml:space="preserve"> </w:t>
      </w:r>
      <w:r w:rsidR="006E6052">
        <w:t>indicate</w:t>
      </w:r>
      <w:r w:rsidR="006E6052" w:rsidRPr="006E6052">
        <w:t xml:space="preserve"> </w:t>
      </w:r>
      <w:r w:rsidR="006E6052">
        <w:t>the</w:t>
      </w:r>
      <w:r w:rsidR="006E6052" w:rsidRPr="006E6052">
        <w:t xml:space="preserve"> </w:t>
      </w:r>
      <w:r w:rsidR="006E6052">
        <w:t>plurality’s</w:t>
      </w:r>
      <w:r w:rsidR="006E6052" w:rsidRPr="006E6052">
        <w:t xml:space="preserve"> view</w:t>
      </w:r>
      <w:r w:rsidR="0059651B">
        <w:t xml:space="preserve"> as to CFOs generally.</w:t>
      </w:r>
      <w:r w:rsidR="009919F4">
        <w:t xml:space="preserve"> </w:t>
      </w:r>
    </w:p>
    <w:p w14:paraId="2D3D997D" w14:textId="004635C4" w:rsidR="00E97141" w:rsidRPr="0059651B" w:rsidRDefault="00EF1122" w:rsidP="00EF1122">
      <w:pPr>
        <w:pStyle w:val="Heading2"/>
        <w:rPr>
          <w:b w:val="0"/>
          <w:i/>
        </w:rPr>
      </w:pPr>
      <w:r>
        <w:t>E.3</w:t>
      </w:r>
      <w:r>
        <w:tab/>
      </w:r>
      <w:r w:rsidR="0059651B" w:rsidRPr="00EF1122">
        <w:rPr>
          <w:i/>
        </w:rPr>
        <w:t>Consideration</w:t>
      </w:r>
    </w:p>
    <w:p w14:paraId="79296C10" w14:textId="752C41FB" w:rsidR="007B0F01" w:rsidRPr="008775C3" w:rsidRDefault="0071710E" w:rsidP="0071710E">
      <w:pPr>
        <w:pStyle w:val="ParaNumbering"/>
        <w:numPr>
          <w:ilvl w:val="0"/>
          <w:numId w:val="0"/>
        </w:numPr>
        <w:tabs>
          <w:tab w:val="left" w:pos="720"/>
        </w:tabs>
        <w:ind w:hanging="720"/>
        <w:rPr>
          <w:szCs w:val="24"/>
        </w:rPr>
      </w:pPr>
      <w:r w:rsidRPr="008775C3">
        <w:rPr>
          <w:sz w:val="20"/>
          <w:szCs w:val="24"/>
        </w:rPr>
        <w:t>404</w:t>
      </w:r>
      <w:r w:rsidRPr="008775C3">
        <w:rPr>
          <w:sz w:val="20"/>
          <w:szCs w:val="24"/>
        </w:rPr>
        <w:tab/>
      </w:r>
      <w:r w:rsidR="00D9474D">
        <w:t xml:space="preserve">To the </w:t>
      </w:r>
      <w:r w:rsidR="00E27395">
        <w:t>e</w:t>
      </w:r>
      <w:r w:rsidR="008775C3">
        <w:t xml:space="preserve">xtent </w:t>
      </w:r>
      <w:r w:rsidR="00067161">
        <w:t>the submissions of the contradictor</w:t>
      </w:r>
      <w:r w:rsidR="008775C3">
        <w:t xml:space="preserve"> support (albeit tentatively) the notion</w:t>
      </w:r>
      <w:r w:rsidR="008775C3">
        <w:rPr>
          <w:spacing w:val="-5"/>
        </w:rPr>
        <w:t xml:space="preserve"> </w:t>
      </w:r>
      <w:r w:rsidR="008775C3">
        <w:t xml:space="preserve">there is considered </w:t>
      </w:r>
      <w:r w:rsidR="008775C3" w:rsidRPr="00576BFC">
        <w:rPr>
          <w:i/>
        </w:rPr>
        <w:t>dicta</w:t>
      </w:r>
      <w:r w:rsidR="008775C3">
        <w:t xml:space="preserve"> of the majority in </w:t>
      </w:r>
      <w:r w:rsidR="008775C3">
        <w:rPr>
          <w:i/>
        </w:rPr>
        <w:t>Brewster</w:t>
      </w:r>
      <w:r w:rsidR="008775C3">
        <w:t xml:space="preserve"> preventing the making of an order under s 33V for payment of a percentage of a settle</w:t>
      </w:r>
      <w:r w:rsidR="00067161">
        <w:t>ment to a litigation funder, those submissions</w:t>
      </w:r>
      <w:r w:rsidR="008775C3">
        <w:t xml:space="preserve"> </w:t>
      </w:r>
      <w:r w:rsidR="009919F4">
        <w:t xml:space="preserve">are inconsistent with </w:t>
      </w:r>
      <w:r w:rsidR="0026569E">
        <w:t>an abundance of</w:t>
      </w:r>
      <w:r w:rsidR="009919F4">
        <w:rPr>
          <w:spacing w:val="-5"/>
        </w:rPr>
        <w:t xml:space="preserve"> </w:t>
      </w:r>
      <w:r w:rsidR="009919F4">
        <w:t>judgments</w:t>
      </w:r>
      <w:r w:rsidR="009919F4">
        <w:rPr>
          <w:spacing w:val="-5"/>
        </w:rPr>
        <w:t xml:space="preserve"> </w:t>
      </w:r>
      <w:r w:rsidR="009919F4">
        <w:t>of</w:t>
      </w:r>
      <w:r w:rsidR="009919F4">
        <w:rPr>
          <w:spacing w:val="-5"/>
        </w:rPr>
        <w:t xml:space="preserve"> </w:t>
      </w:r>
      <w:r w:rsidR="00576BFC">
        <w:t xml:space="preserve">this </w:t>
      </w:r>
      <w:r w:rsidR="009919F4">
        <w:t>Court</w:t>
      </w:r>
      <w:r w:rsidR="009919F4">
        <w:rPr>
          <w:spacing w:val="-5"/>
        </w:rPr>
        <w:t xml:space="preserve"> </w:t>
      </w:r>
      <w:r w:rsidR="00EF0897">
        <w:rPr>
          <w:spacing w:val="-5"/>
        </w:rPr>
        <w:t xml:space="preserve">and the </w:t>
      </w:r>
      <w:r w:rsidR="008775C3">
        <w:rPr>
          <w:spacing w:val="-5"/>
        </w:rPr>
        <w:t>Supreme</w:t>
      </w:r>
      <w:r w:rsidR="00EF0897">
        <w:rPr>
          <w:spacing w:val="-5"/>
        </w:rPr>
        <w:t xml:space="preserve"> Court of New South Wales</w:t>
      </w:r>
      <w:r w:rsidR="009919F4" w:rsidRPr="009919F4">
        <w:rPr>
          <w:szCs w:val="24"/>
        </w:rPr>
        <w:t>:</w:t>
      </w:r>
      <w:r w:rsidR="0026569E">
        <w:rPr>
          <w:szCs w:val="24"/>
        </w:rPr>
        <w:t xml:space="preserve"> </w:t>
      </w:r>
      <w:r w:rsidR="003A7655">
        <w:rPr>
          <w:szCs w:val="24"/>
        </w:rPr>
        <w:t>see,</w:t>
      </w:r>
      <w:r w:rsidR="0026569E">
        <w:rPr>
          <w:szCs w:val="24"/>
        </w:rPr>
        <w:t xml:space="preserve"> for example,</w:t>
      </w:r>
      <w:r w:rsidR="009919F4" w:rsidRPr="009919F4">
        <w:rPr>
          <w:szCs w:val="24"/>
        </w:rPr>
        <w:t xml:space="preserve"> </w:t>
      </w:r>
      <w:proofErr w:type="spellStart"/>
      <w:r w:rsidR="003B2487" w:rsidRPr="006513E8">
        <w:rPr>
          <w:i/>
          <w:szCs w:val="24"/>
        </w:rPr>
        <w:t>Asirifi</w:t>
      </w:r>
      <w:proofErr w:type="spellEnd"/>
      <w:r w:rsidR="003B2487" w:rsidRPr="006513E8">
        <w:rPr>
          <w:i/>
          <w:szCs w:val="24"/>
        </w:rPr>
        <w:t xml:space="preserve">-Otchere v Swann Insurance (Aust) Pty Ltd (No 3) </w:t>
      </w:r>
      <w:r w:rsidR="003B2487" w:rsidRPr="006513E8">
        <w:rPr>
          <w:szCs w:val="24"/>
        </w:rPr>
        <w:t>[2020] FCA 1885</w:t>
      </w:r>
      <w:r w:rsidR="006A4CFB" w:rsidRPr="006513E8">
        <w:rPr>
          <w:szCs w:val="24"/>
        </w:rPr>
        <w:t>; (2020) 385 ALR 625</w:t>
      </w:r>
      <w:r w:rsidR="003B2487" w:rsidRPr="006513E8">
        <w:rPr>
          <w:szCs w:val="24"/>
        </w:rPr>
        <w:t xml:space="preserve"> (at</w:t>
      </w:r>
      <w:r w:rsidR="001C6F2F" w:rsidRPr="006513E8">
        <w:rPr>
          <w:szCs w:val="24"/>
        </w:rPr>
        <w:t xml:space="preserve"> 634</w:t>
      </w:r>
      <w:r w:rsidR="003B2487" w:rsidRPr="006513E8">
        <w:rPr>
          <w:szCs w:val="24"/>
        </w:rPr>
        <w:t xml:space="preserve"> [33] per Lee J); </w:t>
      </w:r>
      <w:r w:rsidR="009919F4" w:rsidRPr="00C76840">
        <w:rPr>
          <w:i/>
          <w:szCs w:val="24"/>
        </w:rPr>
        <w:t>McKay Super Solutions Pty Ltd (Trustee) v Bellamy’s Australia Ltd (No 3)</w:t>
      </w:r>
      <w:r w:rsidR="000300FA" w:rsidRPr="00C76840">
        <w:rPr>
          <w:szCs w:val="24"/>
        </w:rPr>
        <w:t xml:space="preserve"> [2020] FCA 461 (at [31] per </w:t>
      </w:r>
      <w:r w:rsidR="009919F4" w:rsidRPr="00C76840">
        <w:rPr>
          <w:szCs w:val="24"/>
        </w:rPr>
        <w:t xml:space="preserve">Beach J); </w:t>
      </w:r>
      <w:proofErr w:type="spellStart"/>
      <w:r w:rsidR="009919F4" w:rsidRPr="00C76840">
        <w:rPr>
          <w:i/>
          <w:szCs w:val="24"/>
        </w:rPr>
        <w:t>Lenthall</w:t>
      </w:r>
      <w:proofErr w:type="spellEnd"/>
      <w:r w:rsidR="009919F4" w:rsidRPr="00C76840">
        <w:rPr>
          <w:i/>
          <w:szCs w:val="24"/>
        </w:rPr>
        <w:t xml:space="preserve"> v Westpac Banking Corp</w:t>
      </w:r>
      <w:r w:rsidR="001C6F2F" w:rsidRPr="00C76840">
        <w:rPr>
          <w:i/>
          <w:szCs w:val="24"/>
        </w:rPr>
        <w:t>oration</w:t>
      </w:r>
      <w:r w:rsidR="009919F4" w:rsidRPr="00C76840">
        <w:rPr>
          <w:i/>
          <w:szCs w:val="24"/>
        </w:rPr>
        <w:t xml:space="preserve"> (No 2)</w:t>
      </w:r>
      <w:r w:rsidR="001C6F2F" w:rsidRPr="00C76840">
        <w:rPr>
          <w:i/>
          <w:szCs w:val="24"/>
        </w:rPr>
        <w:t xml:space="preserve"> </w:t>
      </w:r>
      <w:r w:rsidR="001C6F2F" w:rsidRPr="00C76840">
        <w:rPr>
          <w:szCs w:val="24"/>
        </w:rPr>
        <w:t>[2020] FCA 423;</w:t>
      </w:r>
      <w:r w:rsidR="009919F4" w:rsidRPr="00C76840">
        <w:rPr>
          <w:i/>
          <w:szCs w:val="24"/>
        </w:rPr>
        <w:t xml:space="preserve"> </w:t>
      </w:r>
      <w:r w:rsidR="000300FA" w:rsidRPr="00C76840">
        <w:rPr>
          <w:szCs w:val="24"/>
        </w:rPr>
        <w:t xml:space="preserve">(2020) 144 ACSR 573 (at </w:t>
      </w:r>
      <w:r w:rsidR="001C6F2F" w:rsidRPr="00C76840">
        <w:rPr>
          <w:szCs w:val="24"/>
        </w:rPr>
        <w:t xml:space="preserve">579 </w:t>
      </w:r>
      <w:r w:rsidR="000300FA" w:rsidRPr="00C76840">
        <w:rPr>
          <w:szCs w:val="24"/>
        </w:rPr>
        <w:t xml:space="preserve">[16] per </w:t>
      </w:r>
      <w:r w:rsidR="009919F4" w:rsidRPr="00C76840">
        <w:rPr>
          <w:szCs w:val="24"/>
        </w:rPr>
        <w:t xml:space="preserve">Lee J); </w:t>
      </w:r>
      <w:r w:rsidR="009919F4" w:rsidRPr="00C76840">
        <w:rPr>
          <w:i/>
          <w:szCs w:val="24"/>
        </w:rPr>
        <w:t>Webster (Trustee) v Murray Goulburn Co-Op</w:t>
      </w:r>
      <w:r w:rsidR="001C6F2F" w:rsidRPr="00C76840">
        <w:rPr>
          <w:i/>
          <w:szCs w:val="24"/>
        </w:rPr>
        <w:t>erative</w:t>
      </w:r>
      <w:r w:rsidR="009919F4" w:rsidRPr="00C76840">
        <w:rPr>
          <w:i/>
          <w:szCs w:val="24"/>
        </w:rPr>
        <w:t xml:space="preserve"> Co </w:t>
      </w:r>
      <w:r w:rsidR="001C6F2F" w:rsidRPr="00C76840">
        <w:rPr>
          <w:i/>
          <w:szCs w:val="24"/>
        </w:rPr>
        <w:t>Limited</w:t>
      </w:r>
      <w:r w:rsidR="009919F4" w:rsidRPr="00C76840">
        <w:rPr>
          <w:i/>
          <w:szCs w:val="24"/>
        </w:rPr>
        <w:t xml:space="preserve"> (No 4)</w:t>
      </w:r>
      <w:r w:rsidR="000300FA" w:rsidRPr="00C76840">
        <w:rPr>
          <w:szCs w:val="24"/>
        </w:rPr>
        <w:t xml:space="preserve"> [2020] FCA 1053 (at [110] per </w:t>
      </w:r>
      <w:r w:rsidR="009919F4" w:rsidRPr="00C76840">
        <w:rPr>
          <w:szCs w:val="24"/>
        </w:rPr>
        <w:t xml:space="preserve">Murphy J); </w:t>
      </w:r>
      <w:r w:rsidR="009919F4" w:rsidRPr="00C76840">
        <w:rPr>
          <w:i/>
        </w:rPr>
        <w:t>Clime Capital Ltd v UGL Pty Ltd</w:t>
      </w:r>
      <w:r w:rsidR="000300FA" w:rsidRPr="003B2487">
        <w:t xml:space="preserve"> [2020] FCA 66 (at</w:t>
      </w:r>
      <w:r w:rsidR="006513E8">
        <w:t xml:space="preserve"> [8]–</w:t>
      </w:r>
      <w:r w:rsidR="009919F4" w:rsidRPr="003B2487">
        <w:t xml:space="preserve">[9] </w:t>
      </w:r>
      <w:r w:rsidR="000300FA" w:rsidRPr="003B2487">
        <w:t xml:space="preserve">per </w:t>
      </w:r>
      <w:r w:rsidR="001C6F2F" w:rsidRPr="00C76840">
        <w:rPr>
          <w:szCs w:val="24"/>
        </w:rPr>
        <w:t xml:space="preserve">Anastassiou </w:t>
      </w:r>
      <w:r w:rsidR="009919F4" w:rsidRPr="003B2487">
        <w:t xml:space="preserve">J); </w:t>
      </w:r>
      <w:r w:rsidR="009919F4" w:rsidRPr="00C76840">
        <w:rPr>
          <w:i/>
          <w:szCs w:val="24"/>
        </w:rPr>
        <w:t>Fisher</w:t>
      </w:r>
      <w:r w:rsidR="009313CC" w:rsidRPr="00C76840">
        <w:rPr>
          <w:i/>
          <w:szCs w:val="24"/>
        </w:rPr>
        <w:t xml:space="preserve"> (trustee for the </w:t>
      </w:r>
      <w:proofErr w:type="spellStart"/>
      <w:r w:rsidR="009313CC" w:rsidRPr="00C76840">
        <w:rPr>
          <w:i/>
          <w:szCs w:val="24"/>
        </w:rPr>
        <w:t>Tramik</w:t>
      </w:r>
      <w:proofErr w:type="spellEnd"/>
      <w:r w:rsidR="009313CC" w:rsidRPr="00C76840">
        <w:rPr>
          <w:i/>
          <w:szCs w:val="24"/>
        </w:rPr>
        <w:t xml:space="preserve"> Super Fund</w:t>
      </w:r>
      <w:r w:rsidR="00C3517D" w:rsidRPr="00C76840">
        <w:rPr>
          <w:i/>
          <w:szCs w:val="24"/>
        </w:rPr>
        <w:t xml:space="preserve"> Trust)</w:t>
      </w:r>
      <w:r w:rsidR="009919F4" w:rsidRPr="00C76840">
        <w:rPr>
          <w:i/>
          <w:szCs w:val="24"/>
        </w:rPr>
        <w:t xml:space="preserve"> v </w:t>
      </w:r>
      <w:proofErr w:type="spellStart"/>
      <w:r w:rsidR="009919F4" w:rsidRPr="00C76840">
        <w:rPr>
          <w:i/>
          <w:szCs w:val="24"/>
        </w:rPr>
        <w:t>Vocus</w:t>
      </w:r>
      <w:proofErr w:type="spellEnd"/>
      <w:r w:rsidR="009919F4" w:rsidRPr="00C76840">
        <w:rPr>
          <w:i/>
          <w:szCs w:val="24"/>
        </w:rPr>
        <w:t xml:space="preserve"> Group Ltd (No 2)</w:t>
      </w:r>
      <w:r w:rsidR="000300FA" w:rsidRPr="00C76840">
        <w:rPr>
          <w:szCs w:val="24"/>
        </w:rPr>
        <w:t xml:space="preserve"> [2020] FCA 579 (at [72] per </w:t>
      </w:r>
      <w:r w:rsidR="009919F4" w:rsidRPr="00C76840">
        <w:rPr>
          <w:szCs w:val="24"/>
        </w:rPr>
        <w:t xml:space="preserve">Moshinsky J); </w:t>
      </w:r>
      <w:r w:rsidR="009919F4" w:rsidRPr="00C76840">
        <w:rPr>
          <w:i/>
          <w:szCs w:val="24"/>
        </w:rPr>
        <w:t>Uren v RMBL Investments Ltd</w:t>
      </w:r>
      <w:r w:rsidR="009919F4" w:rsidRPr="00C76840">
        <w:rPr>
          <w:szCs w:val="24"/>
        </w:rPr>
        <w:t xml:space="preserve"> </w:t>
      </w:r>
      <w:r w:rsidR="009919F4" w:rsidRPr="00C76840">
        <w:rPr>
          <w:i/>
          <w:szCs w:val="24"/>
        </w:rPr>
        <w:t>(No 2)</w:t>
      </w:r>
      <w:r w:rsidR="009919F4" w:rsidRPr="00C76840">
        <w:rPr>
          <w:szCs w:val="24"/>
        </w:rPr>
        <w:t xml:space="preserve"> [2020] </w:t>
      </w:r>
      <w:r w:rsidR="000300FA" w:rsidRPr="00C76840">
        <w:rPr>
          <w:szCs w:val="24"/>
        </w:rPr>
        <w:t>FCA 647 (at [50]–[53] per Murphy J)</w:t>
      </w:r>
      <w:r w:rsidR="00FE2B05" w:rsidRPr="00C76840">
        <w:rPr>
          <w:szCs w:val="24"/>
        </w:rPr>
        <w:t xml:space="preserve">; </w:t>
      </w:r>
      <w:r w:rsidR="00FE2B05" w:rsidRPr="00C76840">
        <w:rPr>
          <w:i/>
          <w:szCs w:val="24"/>
        </w:rPr>
        <w:t xml:space="preserve">Court v Spotless Group Holdings </w:t>
      </w:r>
      <w:r w:rsidR="00A85BA7" w:rsidRPr="00C76840">
        <w:rPr>
          <w:i/>
          <w:szCs w:val="24"/>
        </w:rPr>
        <w:t>Limited</w:t>
      </w:r>
      <w:r w:rsidR="00FE2B05" w:rsidRPr="00C76840">
        <w:rPr>
          <w:i/>
          <w:szCs w:val="24"/>
        </w:rPr>
        <w:t xml:space="preserve"> </w:t>
      </w:r>
      <w:r w:rsidR="00FE2B05" w:rsidRPr="00C76840">
        <w:rPr>
          <w:szCs w:val="24"/>
        </w:rPr>
        <w:t xml:space="preserve">[2020] FCA 1730 (at [101] per Murphy J); </w:t>
      </w:r>
      <w:r w:rsidR="006A4CFB" w:rsidRPr="00C76840">
        <w:rPr>
          <w:i/>
          <w:szCs w:val="24"/>
        </w:rPr>
        <w:t xml:space="preserve">Evans v </w:t>
      </w:r>
      <w:proofErr w:type="spellStart"/>
      <w:r w:rsidR="006A4CFB" w:rsidRPr="00C76840">
        <w:rPr>
          <w:i/>
          <w:szCs w:val="24"/>
        </w:rPr>
        <w:t>Davantage</w:t>
      </w:r>
      <w:proofErr w:type="spellEnd"/>
      <w:r w:rsidR="006A4CFB" w:rsidRPr="00C76840">
        <w:rPr>
          <w:i/>
          <w:szCs w:val="24"/>
        </w:rPr>
        <w:t xml:space="preserve"> Group Pty Ltd (No 3) </w:t>
      </w:r>
      <w:r w:rsidR="006A4CFB" w:rsidRPr="00C76840">
        <w:rPr>
          <w:szCs w:val="24"/>
        </w:rPr>
        <w:t>[2021] FCA 70 (at [51] per Beach J)</w:t>
      </w:r>
      <w:r w:rsidR="007B0F01" w:rsidRPr="00C76840">
        <w:rPr>
          <w:szCs w:val="24"/>
        </w:rPr>
        <w:t>;</w:t>
      </w:r>
      <w:r w:rsidR="00C76840">
        <w:rPr>
          <w:szCs w:val="24"/>
        </w:rPr>
        <w:t xml:space="preserve"> </w:t>
      </w:r>
      <w:r w:rsidR="007B0F01" w:rsidRPr="00C76840">
        <w:rPr>
          <w:i/>
          <w:szCs w:val="24"/>
        </w:rPr>
        <w:t xml:space="preserve">Hall v Arnold Bloch </w:t>
      </w:r>
      <w:proofErr w:type="spellStart"/>
      <w:r w:rsidR="007B0F01" w:rsidRPr="00C76840">
        <w:rPr>
          <w:i/>
          <w:szCs w:val="24"/>
        </w:rPr>
        <w:t>Leibler</w:t>
      </w:r>
      <w:proofErr w:type="spellEnd"/>
      <w:r w:rsidR="007B0F01" w:rsidRPr="00C76840">
        <w:rPr>
          <w:i/>
          <w:szCs w:val="24"/>
        </w:rPr>
        <w:t xml:space="preserve"> (a firm) (No 2) </w:t>
      </w:r>
      <w:r w:rsidR="007B0F01" w:rsidRPr="00C76840">
        <w:rPr>
          <w:szCs w:val="24"/>
        </w:rPr>
        <w:t xml:space="preserve">[2022] FCA 163 (at [23], </w:t>
      </w:r>
      <w:r w:rsidR="00D546BE" w:rsidRPr="00C76840">
        <w:rPr>
          <w:szCs w:val="24"/>
        </w:rPr>
        <w:t xml:space="preserve">[29], </w:t>
      </w:r>
      <w:r w:rsidR="007B0F01" w:rsidRPr="00C76840">
        <w:rPr>
          <w:szCs w:val="24"/>
        </w:rPr>
        <w:t>[38] per Beach J)</w:t>
      </w:r>
      <w:r w:rsidR="007B0F01">
        <w:t>;</w:t>
      </w:r>
      <w:r w:rsidR="00C76840">
        <w:rPr>
          <w:szCs w:val="24"/>
        </w:rPr>
        <w:t xml:space="preserve"> </w:t>
      </w:r>
      <w:r w:rsidR="007B0F01" w:rsidRPr="00C76840">
        <w:rPr>
          <w:i/>
        </w:rPr>
        <w:t>Hall v Pitcher Partners (a firm)</w:t>
      </w:r>
      <w:r w:rsidR="007B0F01" w:rsidRPr="007B0F01">
        <w:t xml:space="preserve"> [2022] FCA 1524</w:t>
      </w:r>
      <w:r w:rsidR="007B0F01">
        <w:t xml:space="preserve"> (at [5] per Beach J); </w:t>
      </w:r>
      <w:r w:rsidR="007B0F01" w:rsidRPr="00C76840">
        <w:rPr>
          <w:i/>
        </w:rPr>
        <w:t xml:space="preserve">Bradshaw v BSA Limited (No 2) </w:t>
      </w:r>
      <w:r w:rsidR="007B0F01" w:rsidRPr="007B0F01">
        <w:t xml:space="preserve">[2022] FCA 1440 </w:t>
      </w:r>
      <w:r w:rsidR="006513E8">
        <w:t>(at [103] per Bromberg J)</w:t>
      </w:r>
      <w:r w:rsidR="0070763E">
        <w:t xml:space="preserve">; </w:t>
      </w:r>
      <w:r w:rsidR="00BB0EB0" w:rsidRPr="00BB0EB0">
        <w:rPr>
          <w:i/>
        </w:rPr>
        <w:t xml:space="preserve">R&amp;B Investments Pty Ltd (Trustee) v Blue Sky Alternative Investments Limited (Administrators Appointed) (in </w:t>
      </w:r>
      <w:proofErr w:type="spellStart"/>
      <w:r w:rsidR="00BB0EB0" w:rsidRPr="00BB0EB0">
        <w:rPr>
          <w:i/>
        </w:rPr>
        <w:t>liq</w:t>
      </w:r>
      <w:proofErr w:type="spellEnd"/>
      <w:r w:rsidR="00BB0EB0" w:rsidRPr="00BB0EB0">
        <w:rPr>
          <w:i/>
        </w:rPr>
        <w:t xml:space="preserve">) (Carriage Application No 2) </w:t>
      </w:r>
      <w:r w:rsidR="00BB0EB0" w:rsidRPr="00BB0EB0">
        <w:t xml:space="preserve">[2023] FCA 142 </w:t>
      </w:r>
      <w:r w:rsidR="00BB0EB0">
        <w:t xml:space="preserve">(at [18] per Lee J); </w:t>
      </w:r>
      <w:proofErr w:type="spellStart"/>
      <w:r w:rsidR="00BB0EB0" w:rsidRPr="00BB0EB0">
        <w:rPr>
          <w:i/>
        </w:rPr>
        <w:t>Wetdal</w:t>
      </w:r>
      <w:proofErr w:type="spellEnd"/>
      <w:r w:rsidR="00BB0EB0" w:rsidRPr="00BB0EB0">
        <w:rPr>
          <w:i/>
        </w:rPr>
        <w:t xml:space="preserve"> Pty Ltd as Trustee for the </w:t>
      </w:r>
      <w:proofErr w:type="spellStart"/>
      <w:r w:rsidR="00BB0EB0" w:rsidRPr="00BB0EB0">
        <w:rPr>
          <w:i/>
        </w:rPr>
        <w:t>BlueCo</w:t>
      </w:r>
      <w:proofErr w:type="spellEnd"/>
      <w:r w:rsidR="00BB0EB0" w:rsidRPr="00BB0EB0">
        <w:rPr>
          <w:i/>
        </w:rPr>
        <w:t xml:space="preserve"> Two Superannuation Fund v Estia Health Limited</w:t>
      </w:r>
      <w:r w:rsidR="00BB0EB0" w:rsidRPr="00BB0EB0">
        <w:t xml:space="preserve"> [2021] FCA 475</w:t>
      </w:r>
      <w:r w:rsidR="00BB0EB0">
        <w:t xml:space="preserve"> (at [60]–[65] per Beach J); </w:t>
      </w:r>
      <w:r w:rsidR="0070763E" w:rsidRPr="00BB0EB0">
        <w:rPr>
          <w:i/>
        </w:rPr>
        <w:t>Wills v Woolworths Group Ltd</w:t>
      </w:r>
      <w:r w:rsidR="0070763E" w:rsidRPr="007B0F01">
        <w:t xml:space="preserve"> [2022] FCA 1545</w:t>
      </w:r>
      <w:r w:rsidR="0070763E">
        <w:t xml:space="preserve"> (at [5] per Beach J); </w:t>
      </w:r>
      <w:proofErr w:type="spellStart"/>
      <w:r w:rsidR="0070763E" w:rsidRPr="00BB0EB0">
        <w:rPr>
          <w:i/>
        </w:rPr>
        <w:t>Zantran</w:t>
      </w:r>
      <w:proofErr w:type="spellEnd"/>
      <w:r w:rsidR="0070763E" w:rsidRPr="00BB0EB0">
        <w:rPr>
          <w:i/>
        </w:rPr>
        <w:t xml:space="preserve"> Pty Limited v Crown Resorts Limited (No 4)</w:t>
      </w:r>
      <w:r w:rsidR="0070763E" w:rsidRPr="007B0F01">
        <w:t xml:space="preserve"> [2022] FCA 500</w:t>
      </w:r>
      <w:r w:rsidR="00EF0897">
        <w:t xml:space="preserve"> (at [84]–[86] per Beach J</w:t>
      </w:r>
      <w:r w:rsidR="00EF0897" w:rsidRPr="008775C3">
        <w:rPr>
          <w:szCs w:val="24"/>
        </w:rPr>
        <w:t xml:space="preserve">); </w:t>
      </w:r>
      <w:proofErr w:type="spellStart"/>
      <w:r w:rsidR="002B5122" w:rsidRPr="002B5122">
        <w:rPr>
          <w:i/>
          <w:szCs w:val="24"/>
          <w:shd w:val="clear" w:color="auto" w:fill="FFFFFF"/>
        </w:rPr>
        <w:t>Haselhurst</w:t>
      </w:r>
      <w:proofErr w:type="spellEnd"/>
      <w:r w:rsidR="00EF0897" w:rsidRPr="008775C3">
        <w:rPr>
          <w:i/>
          <w:szCs w:val="24"/>
          <w:shd w:val="clear" w:color="auto" w:fill="FFFFFF"/>
        </w:rPr>
        <w:t xml:space="preserve"> v Toyota Motor Corporation Australia Ltd t/as Toyota Australia</w:t>
      </w:r>
      <w:r w:rsidR="002B5122" w:rsidRPr="002B5122">
        <w:rPr>
          <w:i/>
          <w:szCs w:val="24"/>
          <w:shd w:val="clear" w:color="auto" w:fill="FFFFFF"/>
        </w:rPr>
        <w:t xml:space="preserve">; </w:t>
      </w:r>
      <w:proofErr w:type="spellStart"/>
      <w:r w:rsidR="00EF0897" w:rsidRPr="008775C3">
        <w:rPr>
          <w:i/>
          <w:szCs w:val="24"/>
          <w:shd w:val="clear" w:color="auto" w:fill="FFFFFF"/>
        </w:rPr>
        <w:t>Whisson</w:t>
      </w:r>
      <w:proofErr w:type="spellEnd"/>
      <w:r w:rsidR="00EF0897" w:rsidRPr="008775C3">
        <w:rPr>
          <w:i/>
          <w:szCs w:val="24"/>
          <w:shd w:val="clear" w:color="auto" w:fill="FFFFFF"/>
        </w:rPr>
        <w:t xml:space="preserve"> v Subaru (Aust) Pty Ltd; </w:t>
      </w:r>
      <w:proofErr w:type="spellStart"/>
      <w:r w:rsidR="00EF0897" w:rsidRPr="008775C3">
        <w:rPr>
          <w:i/>
          <w:szCs w:val="24"/>
          <w:shd w:val="clear" w:color="auto" w:fill="FFFFFF"/>
        </w:rPr>
        <w:t>Kularathne</w:t>
      </w:r>
      <w:proofErr w:type="spellEnd"/>
      <w:r w:rsidR="00EF0897" w:rsidRPr="008775C3">
        <w:rPr>
          <w:i/>
          <w:szCs w:val="24"/>
          <w:shd w:val="clear" w:color="auto" w:fill="FFFFFF"/>
        </w:rPr>
        <w:t xml:space="preserve"> v Honda Australia Pty Ltd; Brewster v BMW Australia Ltd; Bond v Nissan Motor Co (Australia) Pty Ltd; Coates v Mazda Australia Pty Ltd</w:t>
      </w:r>
      <w:r w:rsidR="002B5122" w:rsidRPr="002B5122">
        <w:rPr>
          <w:i/>
          <w:szCs w:val="24"/>
          <w:shd w:val="clear" w:color="auto" w:fill="FFFFFF"/>
        </w:rPr>
        <w:t xml:space="preserve"> </w:t>
      </w:r>
      <w:r w:rsidR="00EF0897" w:rsidRPr="008775C3">
        <w:rPr>
          <w:szCs w:val="24"/>
          <w:shd w:val="clear" w:color="auto" w:fill="FFFFFF"/>
        </w:rPr>
        <w:t>[2022] NSWSC 1076</w:t>
      </w:r>
      <w:r w:rsidR="00EF0897">
        <w:rPr>
          <w:szCs w:val="24"/>
          <w:shd w:val="clear" w:color="auto" w:fill="FFFFFF"/>
        </w:rPr>
        <w:t xml:space="preserve"> </w:t>
      </w:r>
      <w:r w:rsidR="00EF0897" w:rsidRPr="008775C3">
        <w:rPr>
          <w:szCs w:val="24"/>
        </w:rPr>
        <w:t xml:space="preserve">(at [50]–[51] per Rees J); and </w:t>
      </w:r>
      <w:r w:rsidR="00EF0897" w:rsidRPr="008775C3">
        <w:rPr>
          <w:i/>
          <w:szCs w:val="24"/>
        </w:rPr>
        <w:t>Q</w:t>
      </w:r>
      <w:r w:rsidR="00EF0897" w:rsidRPr="008775C3">
        <w:rPr>
          <w:i/>
          <w:szCs w:val="24"/>
          <w:shd w:val="clear" w:color="auto" w:fill="FFFFFF"/>
        </w:rPr>
        <w:t>uirk v Suncorp Portfolio Services Ltd in its capacity as trustee for the Suncorp Master Trust (No 2)</w:t>
      </w:r>
      <w:r w:rsidR="00EF0897" w:rsidRPr="008775C3">
        <w:rPr>
          <w:szCs w:val="24"/>
          <w:shd w:val="clear" w:color="auto" w:fill="FFFFFF"/>
        </w:rPr>
        <w:t> [2022] NSWSC 1457 (at [44] per Stevenson J)</w:t>
      </w:r>
      <w:r w:rsidR="008775C3">
        <w:rPr>
          <w:szCs w:val="24"/>
          <w:shd w:val="clear" w:color="auto" w:fill="FFFFFF"/>
        </w:rPr>
        <w:t>.</w:t>
      </w:r>
      <w:r w:rsidR="00EF0897" w:rsidRPr="008775C3">
        <w:rPr>
          <w:szCs w:val="24"/>
          <w:shd w:val="clear" w:color="auto" w:fill="FFFFFF"/>
        </w:rPr>
        <w:t xml:space="preserve"> </w:t>
      </w:r>
    </w:p>
    <w:p w14:paraId="19F669E0" w14:textId="6748F6AD" w:rsidR="00FD1CF0" w:rsidRDefault="0071710E" w:rsidP="0071710E">
      <w:pPr>
        <w:pStyle w:val="ParaNumbering"/>
        <w:numPr>
          <w:ilvl w:val="0"/>
          <w:numId w:val="0"/>
        </w:numPr>
        <w:tabs>
          <w:tab w:val="left" w:pos="720"/>
        </w:tabs>
        <w:ind w:hanging="720"/>
      </w:pPr>
      <w:r>
        <w:rPr>
          <w:sz w:val="20"/>
        </w:rPr>
        <w:t>405</w:t>
      </w:r>
      <w:r>
        <w:rPr>
          <w:sz w:val="20"/>
        </w:rPr>
        <w:tab/>
      </w:r>
      <w:r w:rsidR="00FD1CF0">
        <w:t xml:space="preserve">The submissions of the contradictor also exhibit tension with the considered reasoning of two intermediate courts of appeal (being the </w:t>
      </w:r>
      <w:r w:rsidR="00164720">
        <w:t xml:space="preserve">New South Wales </w:t>
      </w:r>
      <w:r w:rsidR="00FD1CF0">
        <w:t xml:space="preserve">Court of Appeal in </w:t>
      </w:r>
      <w:r w:rsidR="00FD1CF0" w:rsidRPr="008775C3">
        <w:rPr>
          <w:i/>
        </w:rPr>
        <w:t>Brewster v BMW Australia Ltd</w:t>
      </w:r>
      <w:r w:rsidR="00FD1CF0" w:rsidRPr="00551F7A">
        <w:t xml:space="preserve"> [2020] NSWCA 272 (</w:t>
      </w:r>
      <w:r w:rsidR="00FD1CF0">
        <w:t>at [19(ii)], [37], [41]</w:t>
      </w:r>
      <w:r w:rsidR="00FD1CF0" w:rsidRPr="00C76840">
        <w:rPr>
          <w:szCs w:val="24"/>
        </w:rPr>
        <w:t>–</w:t>
      </w:r>
      <w:r w:rsidR="00FD1CF0">
        <w:t xml:space="preserve">[42], [46] </w:t>
      </w:r>
      <w:r w:rsidR="00E0586A">
        <w:t>per Bell P, with whom</w:t>
      </w:r>
      <w:r w:rsidR="00FD1CF0">
        <w:t xml:space="preserve"> Bathurst CJ and Payne JA </w:t>
      </w:r>
      <w:r w:rsidR="00226817">
        <w:t>agree</w:t>
      </w:r>
      <w:r w:rsidR="00E0586A">
        <w:t>d</w:t>
      </w:r>
      <w:r w:rsidR="00FD1CF0">
        <w:t xml:space="preserve">) and the Full Court in </w:t>
      </w:r>
      <w:r w:rsidR="00FD1CF0">
        <w:rPr>
          <w:i/>
        </w:rPr>
        <w:t xml:space="preserve">Davaria </w:t>
      </w:r>
      <w:r w:rsidR="00CA040A">
        <w:t>(</w:t>
      </w:r>
      <w:r w:rsidR="00E0586A">
        <w:t xml:space="preserve">at </w:t>
      </w:r>
      <w:r w:rsidR="00AD483A">
        <w:t xml:space="preserve">509–510 </w:t>
      </w:r>
      <w:r w:rsidR="00E0586A">
        <w:t>[32]–</w:t>
      </w:r>
      <w:r w:rsidR="00FD1CF0">
        <w:t xml:space="preserve">[34], </w:t>
      </w:r>
      <w:r w:rsidR="00AD483A">
        <w:t>511–512</w:t>
      </w:r>
      <w:r w:rsidR="00FD1CF0">
        <w:t xml:space="preserve"> [41]</w:t>
      </w:r>
      <w:r w:rsidR="00FD1CF0" w:rsidRPr="00C76840">
        <w:rPr>
          <w:szCs w:val="24"/>
        </w:rPr>
        <w:t>–</w:t>
      </w:r>
      <w:r w:rsidR="00E0586A">
        <w:t xml:space="preserve">[42] per Lee J, with whom </w:t>
      </w:r>
      <w:r w:rsidR="009A05A6">
        <w:t>Moshinsky</w:t>
      </w:r>
      <w:r w:rsidR="00E0586A">
        <w:t xml:space="preserve"> and</w:t>
      </w:r>
      <w:r w:rsidR="00FD1CF0">
        <w:t xml:space="preserve"> Middleton </w:t>
      </w:r>
      <w:r w:rsidR="00E0586A">
        <w:t xml:space="preserve">JJ </w:t>
      </w:r>
      <w:r w:rsidR="00CA040A">
        <w:t>agre</w:t>
      </w:r>
      <w:r w:rsidR="00E0586A">
        <w:t>ed</w:t>
      </w:r>
      <w:r w:rsidR="0034046F">
        <w:t>)</w:t>
      </w:r>
      <w:r w:rsidR="00FD1CF0">
        <w:t>), which not only confirmed the</w:t>
      </w:r>
      <w:r w:rsidR="00FD1CF0" w:rsidRPr="00551F7A">
        <w:t xml:space="preserve"> </w:t>
      </w:r>
      <w:r w:rsidR="00FD1CF0" w:rsidRPr="0026569E">
        <w:rPr>
          <w:i/>
        </w:rPr>
        <w:t>ratio</w:t>
      </w:r>
      <w:r w:rsidR="00FD1CF0" w:rsidRPr="00551F7A">
        <w:t xml:space="preserve"> </w:t>
      </w:r>
      <w:r w:rsidR="00FD1CF0">
        <w:t>of</w:t>
      </w:r>
      <w:r w:rsidR="00FD1CF0" w:rsidRPr="00551F7A">
        <w:t xml:space="preserve"> </w:t>
      </w:r>
      <w:r w:rsidR="00FD1CF0" w:rsidRPr="0026569E">
        <w:rPr>
          <w:i/>
        </w:rPr>
        <w:t xml:space="preserve">Brewster </w:t>
      </w:r>
      <w:r w:rsidR="00FD1CF0">
        <w:t>was</w:t>
      </w:r>
      <w:r w:rsidR="00FD1CF0" w:rsidRPr="00551F7A">
        <w:t xml:space="preserve"> </w:t>
      </w:r>
      <w:r w:rsidR="00FD1CF0">
        <w:t>limited</w:t>
      </w:r>
      <w:r w:rsidR="00FD1CF0" w:rsidRPr="00551F7A">
        <w:t xml:space="preserve"> </w:t>
      </w:r>
      <w:r w:rsidR="00FD1CF0">
        <w:t>to</w:t>
      </w:r>
      <w:r w:rsidR="00FD1CF0" w:rsidRPr="00551F7A">
        <w:t xml:space="preserve"> </w:t>
      </w:r>
      <w:r w:rsidR="00FD1CF0">
        <w:t>the</w:t>
      </w:r>
      <w:r w:rsidR="00FD1CF0" w:rsidRPr="00551F7A">
        <w:t xml:space="preserve"> </w:t>
      </w:r>
      <w:r w:rsidR="00FD1CF0">
        <w:t>Court’s</w:t>
      </w:r>
      <w:r w:rsidR="00FD1CF0" w:rsidRPr="00551F7A">
        <w:t xml:space="preserve"> </w:t>
      </w:r>
      <w:r w:rsidR="00FD1CF0">
        <w:t>power</w:t>
      </w:r>
      <w:r w:rsidR="00FD1CF0" w:rsidRPr="00551F7A">
        <w:t xml:space="preserve"> </w:t>
      </w:r>
      <w:r w:rsidR="00FD1CF0">
        <w:t>under</w:t>
      </w:r>
      <w:r w:rsidR="00FD1CF0" w:rsidRPr="00551F7A">
        <w:t xml:space="preserve"> </w:t>
      </w:r>
      <w:r w:rsidR="00FD1CF0">
        <w:t>the</w:t>
      </w:r>
      <w:r w:rsidR="00FD1CF0" w:rsidRPr="00551F7A">
        <w:t xml:space="preserve"> </w:t>
      </w:r>
      <w:r w:rsidR="005D389E">
        <w:t>state cognate of s </w:t>
      </w:r>
      <w:r w:rsidR="00FD1CF0">
        <w:t xml:space="preserve">33ZF of the </w:t>
      </w:r>
      <w:r w:rsidR="00FD1CF0" w:rsidRPr="00817CE8">
        <w:t>FCA Act</w:t>
      </w:r>
      <w:r w:rsidR="00FD1CF0" w:rsidRPr="0026569E">
        <w:rPr>
          <w:i/>
        </w:rPr>
        <w:t xml:space="preserve"> </w:t>
      </w:r>
      <w:r w:rsidR="00FD1CF0">
        <w:t>to make a CFO at</w:t>
      </w:r>
      <w:r w:rsidR="002E16F4">
        <w:t xml:space="preserve"> </w:t>
      </w:r>
      <w:r w:rsidR="008E3167">
        <w:t>an</w:t>
      </w:r>
      <w:r w:rsidR="002E16F4">
        <w:t xml:space="preserve"> early stage of proceedings,</w:t>
      </w:r>
      <w:r w:rsidR="00FD1CF0">
        <w:t xml:space="preserve"> but also t</w:t>
      </w:r>
      <w:r w:rsidR="009A05A6">
        <w:t>hat</w:t>
      </w:r>
      <w:r w:rsidR="00FD1CF0">
        <w:t xml:space="preserve"> it</w:t>
      </w:r>
      <w:r w:rsidR="00FD1CF0" w:rsidRPr="0026569E">
        <w:rPr>
          <w:spacing w:val="-13"/>
        </w:rPr>
        <w:t xml:space="preserve"> </w:t>
      </w:r>
      <w:r w:rsidR="00FD1CF0">
        <w:t>was</w:t>
      </w:r>
      <w:r w:rsidR="00FD1CF0" w:rsidRPr="0026569E">
        <w:rPr>
          <w:spacing w:val="-12"/>
        </w:rPr>
        <w:t xml:space="preserve"> </w:t>
      </w:r>
      <w:r w:rsidR="00FD1CF0">
        <w:t>far</w:t>
      </w:r>
      <w:r w:rsidR="00FD1CF0" w:rsidRPr="0026569E">
        <w:rPr>
          <w:spacing w:val="-13"/>
        </w:rPr>
        <w:t xml:space="preserve"> </w:t>
      </w:r>
      <w:r w:rsidR="00FD1CF0">
        <w:t>from</w:t>
      </w:r>
      <w:r w:rsidR="00FD1CF0" w:rsidRPr="0026569E">
        <w:rPr>
          <w:spacing w:val="-12"/>
        </w:rPr>
        <w:t xml:space="preserve"> </w:t>
      </w:r>
      <w:r w:rsidR="00FD1CF0">
        <w:t>obvious</w:t>
      </w:r>
      <w:r w:rsidR="00FD1CF0" w:rsidRPr="0026569E">
        <w:rPr>
          <w:spacing w:val="-13"/>
        </w:rPr>
        <w:t xml:space="preserve"> </w:t>
      </w:r>
      <w:r w:rsidR="00FD1CF0">
        <w:t>that</w:t>
      </w:r>
      <w:r w:rsidR="00FD1CF0" w:rsidRPr="0026569E">
        <w:rPr>
          <w:spacing w:val="-12"/>
        </w:rPr>
        <w:t xml:space="preserve"> </w:t>
      </w:r>
      <w:r w:rsidR="00FD1CF0">
        <w:t>the</w:t>
      </w:r>
      <w:r w:rsidR="00FD1CF0" w:rsidRPr="0026569E">
        <w:rPr>
          <w:spacing w:val="-13"/>
        </w:rPr>
        <w:t xml:space="preserve"> </w:t>
      </w:r>
      <w:r w:rsidR="00FD1CF0">
        <w:t>majority</w:t>
      </w:r>
      <w:r w:rsidR="00FD1CF0" w:rsidRPr="0026569E">
        <w:rPr>
          <w:spacing w:val="-12"/>
        </w:rPr>
        <w:t xml:space="preserve"> </w:t>
      </w:r>
      <w:r w:rsidR="00FD1CF0">
        <w:t>judgments</w:t>
      </w:r>
      <w:r w:rsidR="00FD1CF0" w:rsidRPr="0026569E">
        <w:rPr>
          <w:spacing w:val="-13"/>
        </w:rPr>
        <w:t xml:space="preserve"> </w:t>
      </w:r>
      <w:r w:rsidR="00FD1CF0">
        <w:t>were</w:t>
      </w:r>
      <w:r w:rsidR="00FD1CF0" w:rsidRPr="0026569E">
        <w:rPr>
          <w:spacing w:val="-12"/>
        </w:rPr>
        <w:t xml:space="preserve"> </w:t>
      </w:r>
      <w:r w:rsidR="00FD1CF0">
        <w:t>addressing,</w:t>
      </w:r>
      <w:r w:rsidR="00FD1CF0" w:rsidRPr="0026569E">
        <w:rPr>
          <w:spacing w:val="-13"/>
        </w:rPr>
        <w:t xml:space="preserve"> </w:t>
      </w:r>
      <w:r w:rsidR="00FD1CF0">
        <w:t>still</w:t>
      </w:r>
      <w:r w:rsidR="00FD1CF0" w:rsidRPr="0026569E">
        <w:rPr>
          <w:spacing w:val="-12"/>
        </w:rPr>
        <w:t xml:space="preserve"> </w:t>
      </w:r>
      <w:r w:rsidR="00FD1CF0">
        <w:t>less</w:t>
      </w:r>
      <w:r w:rsidR="00FD1CF0" w:rsidRPr="0026569E">
        <w:rPr>
          <w:spacing w:val="-13"/>
        </w:rPr>
        <w:t xml:space="preserve"> </w:t>
      </w:r>
      <w:r w:rsidR="00FD1CF0">
        <w:t>deciding,</w:t>
      </w:r>
      <w:r w:rsidR="00FD1CF0" w:rsidRPr="0026569E">
        <w:rPr>
          <w:spacing w:val="-12"/>
        </w:rPr>
        <w:t xml:space="preserve"> </w:t>
      </w:r>
      <w:r w:rsidR="00FD1CF0">
        <w:t>any</w:t>
      </w:r>
      <w:r w:rsidR="00FD1CF0" w:rsidRPr="0026569E">
        <w:rPr>
          <w:spacing w:val="-13"/>
        </w:rPr>
        <w:t xml:space="preserve"> </w:t>
      </w:r>
      <w:r w:rsidR="00FD1CF0">
        <w:t xml:space="preserve">question of power under the </w:t>
      </w:r>
      <w:r w:rsidR="002E16F4">
        <w:t>state cognate</w:t>
      </w:r>
      <w:r w:rsidR="00FD1CF0">
        <w:t xml:space="preserve"> of s 33V.</w:t>
      </w:r>
    </w:p>
    <w:p w14:paraId="1D486E59" w14:textId="426CE98F" w:rsidR="00FD1CF0" w:rsidRPr="00EB1180" w:rsidRDefault="0071710E" w:rsidP="0071710E">
      <w:pPr>
        <w:pStyle w:val="ParaNumbering"/>
        <w:numPr>
          <w:ilvl w:val="0"/>
          <w:numId w:val="0"/>
        </w:numPr>
        <w:tabs>
          <w:tab w:val="left" w:pos="720"/>
        </w:tabs>
        <w:ind w:hanging="720"/>
        <w:rPr>
          <w:color w:val="121212"/>
        </w:rPr>
      </w:pPr>
      <w:r w:rsidRPr="00EB1180">
        <w:rPr>
          <w:color w:val="121212"/>
          <w:sz w:val="20"/>
        </w:rPr>
        <w:t>406</w:t>
      </w:r>
      <w:r w:rsidRPr="00EB1180">
        <w:rPr>
          <w:color w:val="121212"/>
          <w:sz w:val="20"/>
        </w:rPr>
        <w:tab/>
      </w:r>
      <w:r w:rsidR="00FD1CF0">
        <w:t xml:space="preserve">They do, however, find apparent support in the recent judgment of </w:t>
      </w:r>
      <w:r w:rsidR="00FD1CF0" w:rsidRPr="00F1797D">
        <w:rPr>
          <w:color w:val="121212"/>
          <w:szCs w:val="24"/>
        </w:rPr>
        <w:t>O’Callaghan J</w:t>
      </w:r>
      <w:r w:rsidR="00FD1CF0">
        <w:t xml:space="preserve"> i</w:t>
      </w:r>
      <w:r w:rsidR="00FD1CF0" w:rsidRPr="00F1797D">
        <w:rPr>
          <w:color w:val="121212"/>
          <w:szCs w:val="24"/>
        </w:rPr>
        <w:t>n </w:t>
      </w:r>
      <w:r w:rsidR="00FD1CF0" w:rsidRPr="00F1797D">
        <w:rPr>
          <w:i/>
          <w:iCs/>
          <w:color w:val="121212"/>
          <w:szCs w:val="24"/>
        </w:rPr>
        <w:t>Davaria v 7-Eleven Stores (No 13)</w:t>
      </w:r>
      <w:r w:rsidR="00FD1CF0">
        <w:rPr>
          <w:color w:val="121212"/>
          <w:szCs w:val="24"/>
        </w:rPr>
        <w:t>,</w:t>
      </w:r>
      <w:r w:rsidR="00FD1CF0" w:rsidRPr="00F1797D">
        <w:rPr>
          <w:color w:val="121212"/>
          <w:szCs w:val="24"/>
        </w:rPr>
        <w:t xml:space="preserve"> where his Honour </w:t>
      </w:r>
      <w:r w:rsidR="00FD1CF0">
        <w:rPr>
          <w:color w:val="121212"/>
          <w:szCs w:val="24"/>
        </w:rPr>
        <w:t xml:space="preserve">adopted the reasoning </w:t>
      </w:r>
      <w:r w:rsidR="00BC1275">
        <w:rPr>
          <w:color w:val="121212"/>
          <w:szCs w:val="24"/>
        </w:rPr>
        <w:t xml:space="preserve">of Foster J </w:t>
      </w:r>
      <w:r w:rsidR="00FD1CF0">
        <w:rPr>
          <w:color w:val="121212"/>
          <w:szCs w:val="24"/>
        </w:rPr>
        <w:t xml:space="preserve">in </w:t>
      </w:r>
      <w:r w:rsidR="00FD1CF0" w:rsidRPr="007811C8">
        <w:rPr>
          <w:i/>
          <w:color w:val="121212"/>
        </w:rPr>
        <w:t>Cantor v Audi Australia Pty Limited (No 5)</w:t>
      </w:r>
      <w:r w:rsidR="00FD1CF0" w:rsidRPr="007811C8">
        <w:rPr>
          <w:color w:val="121212"/>
        </w:rPr>
        <w:t> [2020] FC</w:t>
      </w:r>
      <w:r w:rsidR="001B08A7">
        <w:rPr>
          <w:color w:val="121212"/>
        </w:rPr>
        <w:t xml:space="preserve">A 637. Justice Foster </w:t>
      </w:r>
      <w:r w:rsidR="00FD1CF0" w:rsidRPr="007811C8">
        <w:rPr>
          <w:color w:val="121212"/>
        </w:rPr>
        <w:t>observed (without finally deciding) that the true import of </w:t>
      </w:r>
      <w:r w:rsidR="00FD1CF0" w:rsidRPr="007811C8">
        <w:rPr>
          <w:i/>
          <w:color w:val="121212"/>
        </w:rPr>
        <w:t>Brewster</w:t>
      </w:r>
      <w:r w:rsidR="00FD1CF0" w:rsidRPr="007811C8">
        <w:rPr>
          <w:color w:val="121212"/>
        </w:rPr>
        <w:t> </w:t>
      </w:r>
      <w:proofErr w:type="gramStart"/>
      <w:r w:rsidR="00FD1CF0" w:rsidRPr="007811C8">
        <w:rPr>
          <w:color w:val="121212"/>
        </w:rPr>
        <w:t>was there was</w:t>
      </w:r>
      <w:proofErr w:type="gramEnd"/>
      <w:r w:rsidR="00FD1CF0" w:rsidRPr="007811C8">
        <w:rPr>
          <w:color w:val="121212"/>
        </w:rPr>
        <w:t xml:space="preserve"> no power to make a CFO</w:t>
      </w:r>
      <w:r w:rsidR="00FD1CF0">
        <w:rPr>
          <w:color w:val="121212"/>
        </w:rPr>
        <w:t xml:space="preserve">.  Notwithstanding </w:t>
      </w:r>
      <w:r w:rsidR="00FD1CF0" w:rsidRPr="007811C8">
        <w:rPr>
          <w:color w:val="121212"/>
        </w:rPr>
        <w:t xml:space="preserve">O’Callaghan J’s decision </w:t>
      </w:r>
      <w:r w:rsidR="00FD1CF0">
        <w:t>was in the same class action where, in</w:t>
      </w:r>
      <w:r w:rsidR="00FD1CF0" w:rsidRPr="00A87EB1">
        <w:t xml:space="preserve"> October 2020, on </w:t>
      </w:r>
      <w:r w:rsidR="00FD1CF0">
        <w:t>the respondent</w:t>
      </w:r>
      <w:r w:rsidR="00FD1CF0" w:rsidRPr="00A87EB1">
        <w:t>’s application, Justice Middleton reserved a question for determination by the Full Court</w:t>
      </w:r>
      <w:r w:rsidR="00FD1CF0">
        <w:t xml:space="preserve"> (which led to a Full Court setting out the principled approach to identifying the </w:t>
      </w:r>
      <w:r w:rsidR="00FD1CF0" w:rsidRPr="002C680A">
        <w:rPr>
          <w:i/>
        </w:rPr>
        <w:t>ratio</w:t>
      </w:r>
      <w:r w:rsidR="00FD1CF0">
        <w:t xml:space="preserve"> and relevant considered </w:t>
      </w:r>
      <w:r w:rsidR="00FD1CF0" w:rsidRPr="00961F43">
        <w:rPr>
          <w:i/>
        </w:rPr>
        <w:t>dicta</w:t>
      </w:r>
      <w:r w:rsidR="00FD1CF0">
        <w:t xml:space="preserve"> of </w:t>
      </w:r>
      <w:r w:rsidR="00FD1CF0" w:rsidRPr="002C680A">
        <w:rPr>
          <w:i/>
        </w:rPr>
        <w:t>Brewster</w:t>
      </w:r>
      <w:r w:rsidR="00FD1CF0">
        <w:t xml:space="preserve">), it appears from the judgment that neither the Full Court’s decision in </w:t>
      </w:r>
      <w:r w:rsidR="00FD1CF0" w:rsidRPr="002D2E6A">
        <w:rPr>
          <w:i/>
        </w:rPr>
        <w:t>Davaria</w:t>
      </w:r>
      <w:r w:rsidR="00961F43">
        <w:t xml:space="preserve">, </w:t>
      </w:r>
      <w:r w:rsidR="00FD1CF0">
        <w:t>nor</w:t>
      </w:r>
      <w:r w:rsidR="0033741B">
        <w:t xml:space="preserve"> the New South Wales Court of Appeal’s decision in</w:t>
      </w:r>
      <w:r w:rsidR="00FD1CF0">
        <w:t xml:space="preserve"> </w:t>
      </w:r>
      <w:r w:rsidR="0033741B">
        <w:rPr>
          <w:i/>
        </w:rPr>
        <w:t>Brewster v BMW</w:t>
      </w:r>
      <w:r w:rsidR="00961F43">
        <w:t>,</w:t>
      </w:r>
      <w:r w:rsidR="00FD1CF0" w:rsidRPr="00551F7A">
        <w:t xml:space="preserve"> </w:t>
      </w:r>
      <w:r w:rsidR="00961F43">
        <w:t>were</w:t>
      </w:r>
      <w:r w:rsidR="00FD1CF0">
        <w:t xml:space="preserve"> cited. Although the reason does not matter, one </w:t>
      </w:r>
      <w:r w:rsidR="00FD1CF0">
        <w:rPr>
          <w:color w:val="121212"/>
        </w:rPr>
        <w:t>presumes</w:t>
      </w:r>
      <w:r w:rsidR="00FD1CF0" w:rsidRPr="00DE02FD">
        <w:rPr>
          <w:color w:val="121212"/>
        </w:rPr>
        <w:t xml:space="preserve"> this was because his Honour did not receive the benefit of detailed submissions </w:t>
      </w:r>
      <w:r w:rsidR="00FD1CF0">
        <w:rPr>
          <w:color w:val="121212"/>
        </w:rPr>
        <w:t xml:space="preserve">from those appearing </w:t>
      </w:r>
      <w:r w:rsidR="00FD1CF0" w:rsidRPr="00DE02FD">
        <w:rPr>
          <w:color w:val="121212"/>
        </w:rPr>
        <w:t xml:space="preserve">as to how </w:t>
      </w:r>
      <w:r w:rsidR="00FD1CF0">
        <w:rPr>
          <w:color w:val="121212"/>
        </w:rPr>
        <w:t xml:space="preserve">two </w:t>
      </w:r>
      <w:r w:rsidR="00FD1CF0" w:rsidRPr="00DE02FD">
        <w:rPr>
          <w:color w:val="121212"/>
        </w:rPr>
        <w:t>intermediate courts of appeal</w:t>
      </w:r>
      <w:r w:rsidR="00FD1CF0">
        <w:rPr>
          <w:color w:val="121212"/>
        </w:rPr>
        <w:t xml:space="preserve"> </w:t>
      </w:r>
      <w:r w:rsidR="00FD1CF0" w:rsidRPr="00DE02FD">
        <w:rPr>
          <w:color w:val="121212"/>
        </w:rPr>
        <w:t>had</w:t>
      </w:r>
      <w:r w:rsidR="00FD1CF0">
        <w:rPr>
          <w:color w:val="121212"/>
        </w:rPr>
        <w:t>, post-</w:t>
      </w:r>
      <w:r w:rsidR="00FD1CF0" w:rsidRPr="004A1C4D">
        <w:rPr>
          <w:i/>
          <w:color w:val="121212"/>
        </w:rPr>
        <w:t>Cantor</w:t>
      </w:r>
      <w:r w:rsidR="00FD1CF0">
        <w:rPr>
          <w:color w:val="121212"/>
        </w:rPr>
        <w:t>,</w:t>
      </w:r>
      <w:r w:rsidR="00FD1CF0" w:rsidRPr="002971D5">
        <w:rPr>
          <w:color w:val="121212"/>
        </w:rPr>
        <w:t xml:space="preserve"> </w:t>
      </w:r>
      <w:r w:rsidR="00FD1CF0">
        <w:rPr>
          <w:color w:val="121212"/>
        </w:rPr>
        <w:t xml:space="preserve">subsequently </w:t>
      </w:r>
      <w:r w:rsidR="00FD1CF0" w:rsidRPr="00DE02FD">
        <w:rPr>
          <w:color w:val="121212"/>
        </w:rPr>
        <w:t>distinguished (and</w:t>
      </w:r>
      <w:r w:rsidR="00FD1CF0" w:rsidRPr="002971D5">
        <w:rPr>
          <w:color w:val="121212"/>
        </w:rPr>
        <w:t xml:space="preserve"> otherwise interpreted) </w:t>
      </w:r>
      <w:r w:rsidR="00FD1CF0">
        <w:rPr>
          <w:color w:val="121212"/>
        </w:rPr>
        <w:t>“</w:t>
      </w:r>
      <w:r w:rsidR="00FD1CF0" w:rsidRPr="002971D5">
        <w:rPr>
          <w:color w:val="121212"/>
        </w:rPr>
        <w:t xml:space="preserve">the decision </w:t>
      </w:r>
      <w:r w:rsidR="00FD1CF0" w:rsidRPr="00DE02FD">
        <w:rPr>
          <w:color w:val="121212"/>
        </w:rPr>
        <w:t>of the immediately higher court</w:t>
      </w:r>
      <w:r w:rsidR="00FD1CF0">
        <w:rPr>
          <w:color w:val="121212"/>
        </w:rPr>
        <w:t>” in their reasoning</w:t>
      </w:r>
      <w:r w:rsidR="00FD1CF0" w:rsidRPr="00DE02FD">
        <w:rPr>
          <w:color w:val="121212"/>
        </w:rPr>
        <w:t xml:space="preserve">: see </w:t>
      </w:r>
      <w:r w:rsidR="00FD1CF0" w:rsidRPr="00DE02FD">
        <w:rPr>
          <w:i/>
          <w:color w:val="121212"/>
        </w:rPr>
        <w:t>SZGME v Minister for Immigration and Citizenship</w:t>
      </w:r>
      <w:r w:rsidR="00FD1CF0" w:rsidRPr="00DE02FD">
        <w:rPr>
          <w:color w:val="121212"/>
        </w:rPr>
        <w:t> [2008] FCAFC 91; (2002) 168 FCR 487 (</w:t>
      </w:r>
      <w:r w:rsidR="001C0318" w:rsidRPr="00DE02FD">
        <w:rPr>
          <w:color w:val="121212"/>
        </w:rPr>
        <w:t xml:space="preserve">at </w:t>
      </w:r>
      <w:r w:rsidR="001C0318">
        <w:rPr>
          <w:color w:val="121212"/>
        </w:rPr>
        <w:t>500–</w:t>
      </w:r>
      <w:r w:rsidR="001C0318" w:rsidRPr="00DE02FD">
        <w:rPr>
          <w:color w:val="121212"/>
        </w:rPr>
        <w:t>501</w:t>
      </w:r>
      <w:r w:rsidR="001C0318">
        <w:rPr>
          <w:color w:val="121212"/>
        </w:rPr>
        <w:t xml:space="preserve"> [42] </w:t>
      </w:r>
      <w:r w:rsidR="00FD1CF0" w:rsidRPr="00DE02FD">
        <w:rPr>
          <w:color w:val="121212"/>
        </w:rPr>
        <w:t>per Black CJ and Allsop J</w:t>
      </w:r>
      <w:r w:rsidR="00B34D18">
        <w:rPr>
          <w:color w:val="121212"/>
        </w:rPr>
        <w:t>),</w:t>
      </w:r>
      <w:r w:rsidR="00344379">
        <w:rPr>
          <w:color w:val="121212"/>
        </w:rPr>
        <w:t xml:space="preserve"> citing </w:t>
      </w:r>
      <w:proofErr w:type="spellStart"/>
      <w:r w:rsidR="00A836D2" w:rsidRPr="00A836D2">
        <w:rPr>
          <w:i/>
          <w:color w:val="121212"/>
        </w:rPr>
        <w:t>Miliangos</w:t>
      </w:r>
      <w:proofErr w:type="spellEnd"/>
      <w:r w:rsidR="00A836D2" w:rsidRPr="00A836D2">
        <w:rPr>
          <w:i/>
          <w:color w:val="121212"/>
        </w:rPr>
        <w:t xml:space="preserve"> v George Frank (Textiles)</w:t>
      </w:r>
      <w:r w:rsidR="00A836D2">
        <w:rPr>
          <w:color w:val="121212"/>
        </w:rPr>
        <w:t xml:space="preserve"> </w:t>
      </w:r>
      <w:r w:rsidR="00A836D2">
        <w:rPr>
          <w:i/>
          <w:color w:val="121212"/>
        </w:rPr>
        <w:t xml:space="preserve">Ltd </w:t>
      </w:r>
      <w:r w:rsidR="00A836D2">
        <w:rPr>
          <w:color w:val="121212"/>
        </w:rPr>
        <w:t>[1976] AC 443 (at 4</w:t>
      </w:r>
      <w:r w:rsidR="00B34D18">
        <w:rPr>
          <w:color w:val="121212"/>
        </w:rPr>
        <w:t xml:space="preserve">78 per Lord Simon of </w:t>
      </w:r>
      <w:proofErr w:type="spellStart"/>
      <w:r w:rsidR="00B34D18">
        <w:rPr>
          <w:color w:val="121212"/>
        </w:rPr>
        <w:t>Glaisdale</w:t>
      </w:r>
      <w:proofErr w:type="spellEnd"/>
      <w:r w:rsidR="00FD1CF0" w:rsidRPr="00DE02FD">
        <w:rPr>
          <w:color w:val="121212"/>
        </w:rPr>
        <w:t>).</w:t>
      </w:r>
    </w:p>
    <w:p w14:paraId="7EBE1A1B" w14:textId="2FB4B412" w:rsidR="00FD1CF0" w:rsidRDefault="0071710E" w:rsidP="0071710E">
      <w:pPr>
        <w:pStyle w:val="ParaNumbering"/>
        <w:numPr>
          <w:ilvl w:val="0"/>
          <w:numId w:val="0"/>
        </w:numPr>
        <w:tabs>
          <w:tab w:val="left" w:pos="720"/>
        </w:tabs>
        <w:ind w:hanging="720"/>
      </w:pPr>
      <w:r>
        <w:rPr>
          <w:sz w:val="20"/>
        </w:rPr>
        <w:t>407</w:t>
      </w:r>
      <w:r>
        <w:rPr>
          <w:sz w:val="20"/>
        </w:rPr>
        <w:tab/>
      </w:r>
      <w:r w:rsidR="00FD1CF0">
        <w:t xml:space="preserve">Subject to the following four matters, I have nothing to add to my reasoning in </w:t>
      </w:r>
      <w:r w:rsidR="00FD1CF0">
        <w:rPr>
          <w:i/>
        </w:rPr>
        <w:t xml:space="preserve">Davaria </w:t>
      </w:r>
      <w:r w:rsidR="000A5ACA">
        <w:t>(</w:t>
      </w:r>
      <w:r w:rsidR="00FD1CF0">
        <w:t xml:space="preserve">at </w:t>
      </w:r>
      <w:r w:rsidR="000A5ACA">
        <w:t>504–512</w:t>
      </w:r>
      <w:r w:rsidR="00FD1CF0">
        <w:t xml:space="preserve"> [13]</w:t>
      </w:r>
      <w:proofErr w:type="gramStart"/>
      <w:r w:rsidR="00FD1CF0" w:rsidRPr="00C76840">
        <w:rPr>
          <w:szCs w:val="24"/>
        </w:rPr>
        <w:t>–</w:t>
      </w:r>
      <w:r w:rsidR="00FD1CF0">
        <w:t>[</w:t>
      </w:r>
      <w:proofErr w:type="gramEnd"/>
      <w:r w:rsidR="00FD1CF0">
        <w:t>42]</w:t>
      </w:r>
      <w:r w:rsidR="000A5ACA">
        <w:t>)</w:t>
      </w:r>
      <w:r w:rsidR="00FD1CF0">
        <w:t xml:space="preserve"> as to why the contradictor’s submission as to power must be rejected.   </w:t>
      </w:r>
    </w:p>
    <w:p w14:paraId="5DFC6C7A" w14:textId="13D6BA45" w:rsidR="00FD1CF0" w:rsidRDefault="0071710E" w:rsidP="0071710E">
      <w:pPr>
        <w:pStyle w:val="ParaNumbering"/>
        <w:numPr>
          <w:ilvl w:val="0"/>
          <w:numId w:val="0"/>
        </w:numPr>
        <w:tabs>
          <w:tab w:val="left" w:pos="720"/>
        </w:tabs>
        <w:ind w:hanging="720"/>
      </w:pPr>
      <w:r>
        <w:rPr>
          <w:sz w:val="20"/>
        </w:rPr>
        <w:t>408</w:t>
      </w:r>
      <w:r>
        <w:rPr>
          <w:sz w:val="20"/>
        </w:rPr>
        <w:tab/>
      </w:r>
      <w:r w:rsidR="00FD1CF0" w:rsidRPr="0006325A">
        <w:rPr>
          <w:i/>
        </w:rPr>
        <w:t>First</w:t>
      </w:r>
      <w:r w:rsidR="00A16FBB">
        <w:t>, as explained above, the</w:t>
      </w:r>
      <w:r w:rsidR="00FD1CF0">
        <w:t xml:space="preserve"> proper of construction of s 33V as a whole leads to the conclusion the statutory power to make a Settlement CFO is the discretion provided for in s 33</w:t>
      </w:r>
      <w:proofErr w:type="gramStart"/>
      <w:r w:rsidR="00FD1CF0">
        <w:t>V(</w:t>
      </w:r>
      <w:proofErr w:type="gramEnd"/>
      <w:r w:rsidR="00FD1CF0">
        <w:t xml:space="preserve">2).  </w:t>
      </w:r>
    </w:p>
    <w:p w14:paraId="2A235372" w14:textId="6DE20B41" w:rsidR="004675ED" w:rsidRDefault="0071710E" w:rsidP="0071710E">
      <w:pPr>
        <w:pStyle w:val="ParaNumbering"/>
        <w:numPr>
          <w:ilvl w:val="0"/>
          <w:numId w:val="0"/>
        </w:numPr>
        <w:tabs>
          <w:tab w:val="left" w:pos="720"/>
        </w:tabs>
        <w:ind w:hanging="720"/>
      </w:pPr>
      <w:r>
        <w:rPr>
          <w:sz w:val="20"/>
        </w:rPr>
        <w:t>409</w:t>
      </w:r>
      <w:r>
        <w:rPr>
          <w:sz w:val="20"/>
        </w:rPr>
        <w:tab/>
      </w:r>
      <w:r w:rsidR="00FD1CF0" w:rsidRPr="0006325A">
        <w:rPr>
          <w:i/>
        </w:rPr>
        <w:t>Secondly</w:t>
      </w:r>
      <w:r w:rsidR="00FD1CF0">
        <w:t xml:space="preserve">, contrary to the contradictor’s submission in this case, </w:t>
      </w:r>
      <w:r w:rsidR="00FD1CF0" w:rsidRPr="00D57F0E">
        <w:t xml:space="preserve">there is a “relevant difference” between s 33ZF, which is conditioned by a requirement that justice </w:t>
      </w:r>
      <w:r w:rsidR="002C5E5F">
        <w:t>“</w:t>
      </w:r>
      <w:r w:rsidR="00FD1CF0" w:rsidRPr="00D57F0E">
        <w:t>be</w:t>
      </w:r>
      <w:r w:rsidR="002C5E5F">
        <w:t xml:space="preserve"> done </w:t>
      </w:r>
      <w:r w:rsidR="00FD1CF0" w:rsidRPr="00D57F0E">
        <w:t xml:space="preserve">in the proceeding”, and s 33V, which </w:t>
      </w:r>
      <w:r w:rsidR="00FD1CF0">
        <w:t>contains no such condition</w:t>
      </w:r>
      <w:r w:rsidR="0007602B">
        <w:t xml:space="preserve">: </w:t>
      </w:r>
      <w:proofErr w:type="spellStart"/>
      <w:r w:rsidR="00FD1CF0" w:rsidRPr="00D57F0E">
        <w:t>cf</w:t>
      </w:r>
      <w:proofErr w:type="spellEnd"/>
      <w:r w:rsidR="00FD1CF0" w:rsidRPr="00D57F0E">
        <w:t xml:space="preserve"> </w:t>
      </w:r>
      <w:r w:rsidR="00FD1CF0" w:rsidRPr="00C0224E">
        <w:rPr>
          <w:i/>
        </w:rPr>
        <w:t>Brewster</w:t>
      </w:r>
      <w:r w:rsidR="00FD1CF0" w:rsidRPr="00D57F0E">
        <w:t xml:space="preserve"> </w:t>
      </w:r>
      <w:r w:rsidR="0007602B">
        <w:t>(</w:t>
      </w:r>
      <w:r w:rsidR="00FD1CF0" w:rsidRPr="00D57F0E">
        <w:t xml:space="preserve">at </w:t>
      </w:r>
      <w:r w:rsidR="00C230F7">
        <w:t xml:space="preserve">652 </w:t>
      </w:r>
      <w:r w:rsidR="00FD1CF0" w:rsidRPr="00D57F0E">
        <w:t xml:space="preserve">[207] </w:t>
      </w:r>
      <w:r w:rsidR="00C230F7">
        <w:t xml:space="preserve">per </w:t>
      </w:r>
      <w:r w:rsidR="00FD1CF0" w:rsidRPr="00D57F0E">
        <w:t xml:space="preserve">Edelman J). That </w:t>
      </w:r>
      <w:r w:rsidR="00FD1CF0">
        <w:t>points to the reality</w:t>
      </w:r>
      <w:r w:rsidR="00FD1CF0" w:rsidRPr="00D57F0E">
        <w:t xml:space="preserve"> that </w:t>
      </w:r>
      <w:r w:rsidR="00FD1CF0">
        <w:t>an assessment of</w:t>
      </w:r>
      <w:r w:rsidR="00FD1CF0" w:rsidRPr="00D57F0E">
        <w:t xml:space="preserve"> the “justness” of </w:t>
      </w:r>
      <w:r w:rsidR="00FD1CF0">
        <w:t>a proposed</w:t>
      </w:r>
      <w:r w:rsidR="00FD1CF0" w:rsidRPr="00D57F0E">
        <w:t xml:space="preserve"> order as to the distribution of </w:t>
      </w:r>
      <w:r w:rsidR="00FD1CF0">
        <w:t>the fund</w:t>
      </w:r>
      <w:r w:rsidR="00227512">
        <w:t xml:space="preserve"> in question</w:t>
      </w:r>
      <w:r w:rsidR="00FD1CF0" w:rsidRPr="00D57F0E">
        <w:t xml:space="preserve"> is broader than what was at issue in the </w:t>
      </w:r>
      <w:r w:rsidR="00CC7AA5" w:rsidRPr="00D57F0E">
        <w:t>proceeding and</w:t>
      </w:r>
      <w:r w:rsidR="00FD1CF0" w:rsidRPr="00D57F0E">
        <w:t xml:space="preserve"> can relevantly extend to orders made in favour of non-parties. If the contradictor’s argument was correct, there would be no power </w:t>
      </w:r>
      <w:r w:rsidR="00FD1CF0">
        <w:t xml:space="preserve">under </w:t>
      </w:r>
      <w:r w:rsidR="00FD1CF0" w:rsidRPr="00D57F0E">
        <w:t>s 33</w:t>
      </w:r>
      <w:proofErr w:type="gramStart"/>
      <w:r w:rsidR="00FD1CF0" w:rsidRPr="00D57F0E">
        <w:t>V(</w:t>
      </w:r>
      <w:proofErr w:type="gramEnd"/>
      <w:r w:rsidR="00FD1CF0" w:rsidRPr="00D57F0E">
        <w:t>2)</w:t>
      </w:r>
      <w:r w:rsidR="00FD1CF0">
        <w:t xml:space="preserve"> to distribute </w:t>
      </w:r>
      <w:r w:rsidR="009D7AF2">
        <w:t xml:space="preserve">the </w:t>
      </w:r>
      <w:r w:rsidR="00FD1CF0">
        <w:t xml:space="preserve">proceeds of an approved settlement fund to pay an administrator of settlement scheme, or a costs referee, or a newspaper publishing the settlement notice, or the solicitors </w:t>
      </w:r>
      <w:r w:rsidR="00FD1CF0" w:rsidRPr="00C76840">
        <w:rPr>
          <w:szCs w:val="24"/>
        </w:rPr>
        <w:t>–</w:t>
      </w:r>
      <w:r w:rsidR="00FD1CF0">
        <w:rPr>
          <w:szCs w:val="24"/>
        </w:rPr>
        <w:t xml:space="preserve"> this would be absurd.</w:t>
      </w:r>
      <w:r w:rsidR="00FD1CF0">
        <w:t xml:space="preserve"> </w:t>
      </w:r>
      <w:r w:rsidR="00E52764">
        <w:rPr>
          <w:szCs w:val="24"/>
        </w:rPr>
        <w:t>A</w:t>
      </w:r>
      <w:r w:rsidR="00E52764">
        <w:t xml:space="preserve"> broad discretion is not to be read down by reference to implications or limitations not found in its express words, construed according to their natural meaning and in their proper context: </w:t>
      </w:r>
      <w:r w:rsidR="00E52764">
        <w:rPr>
          <w:i/>
        </w:rPr>
        <w:t>Owners of “Shin Kobe Maru” v Empire Shipping</w:t>
      </w:r>
      <w:r w:rsidR="00E52764">
        <w:rPr>
          <w:i/>
          <w:spacing w:val="-4"/>
        </w:rPr>
        <w:t xml:space="preserve"> </w:t>
      </w:r>
      <w:r w:rsidR="00E52764">
        <w:rPr>
          <w:i/>
        </w:rPr>
        <w:t>Co</w:t>
      </w:r>
      <w:r w:rsidR="00E52764">
        <w:rPr>
          <w:i/>
          <w:spacing w:val="-4"/>
        </w:rPr>
        <w:t xml:space="preserve"> </w:t>
      </w:r>
      <w:r w:rsidR="00E52764">
        <w:rPr>
          <w:i/>
        </w:rPr>
        <w:t>Inc</w:t>
      </w:r>
      <w:r w:rsidR="00E52764">
        <w:rPr>
          <w:i/>
          <w:spacing w:val="-1"/>
        </w:rPr>
        <w:t xml:space="preserve"> </w:t>
      </w:r>
      <w:r w:rsidR="00E52764">
        <w:t>(1994)</w:t>
      </w:r>
      <w:r w:rsidR="00E52764">
        <w:rPr>
          <w:spacing w:val="-2"/>
        </w:rPr>
        <w:t xml:space="preserve"> </w:t>
      </w:r>
      <w:r w:rsidR="00E52764">
        <w:t>181</w:t>
      </w:r>
      <w:r w:rsidR="00E52764">
        <w:rPr>
          <w:spacing w:val="-4"/>
        </w:rPr>
        <w:t xml:space="preserve"> </w:t>
      </w:r>
      <w:r w:rsidR="00E52764">
        <w:t>CLR</w:t>
      </w:r>
      <w:r w:rsidR="00E52764">
        <w:rPr>
          <w:spacing w:val="-4"/>
        </w:rPr>
        <w:t xml:space="preserve"> </w:t>
      </w:r>
      <w:r w:rsidR="00E52764">
        <w:t>404</w:t>
      </w:r>
      <w:r w:rsidR="00E52764">
        <w:rPr>
          <w:spacing w:val="-4"/>
        </w:rPr>
        <w:t xml:space="preserve"> </w:t>
      </w:r>
      <w:r w:rsidR="00037717">
        <w:rPr>
          <w:spacing w:val="-4"/>
        </w:rPr>
        <w:t>(</w:t>
      </w:r>
      <w:r w:rsidR="00E52764">
        <w:t>at</w:t>
      </w:r>
      <w:r w:rsidR="00E52764">
        <w:rPr>
          <w:spacing w:val="-4"/>
        </w:rPr>
        <w:t xml:space="preserve"> </w:t>
      </w:r>
      <w:r w:rsidR="00E52764">
        <w:t>421</w:t>
      </w:r>
      <w:r w:rsidR="00037717">
        <w:t xml:space="preserve"> per Mason CJ, Brennan, Deane, Dawson, Toohey, </w:t>
      </w:r>
      <w:proofErr w:type="spellStart"/>
      <w:r w:rsidR="00037717">
        <w:t>Gaudron</w:t>
      </w:r>
      <w:proofErr w:type="spellEnd"/>
      <w:r w:rsidR="00037717">
        <w:t xml:space="preserve"> and McHugh JJ)</w:t>
      </w:r>
      <w:r w:rsidR="00E52764">
        <w:t>;</w:t>
      </w:r>
      <w:r w:rsidR="00E52764">
        <w:rPr>
          <w:spacing w:val="-1"/>
        </w:rPr>
        <w:t xml:space="preserve"> </w:t>
      </w:r>
      <w:r w:rsidR="00E52764">
        <w:rPr>
          <w:i/>
        </w:rPr>
        <w:t>Wong</w:t>
      </w:r>
      <w:r w:rsidR="00E52764">
        <w:rPr>
          <w:i/>
          <w:spacing w:val="-4"/>
        </w:rPr>
        <w:t xml:space="preserve"> </w:t>
      </w:r>
      <w:r w:rsidR="00E52764">
        <w:rPr>
          <w:i/>
        </w:rPr>
        <w:t>v</w:t>
      </w:r>
      <w:r w:rsidR="00E52764">
        <w:rPr>
          <w:i/>
          <w:spacing w:val="-3"/>
        </w:rPr>
        <w:t xml:space="preserve"> </w:t>
      </w:r>
      <w:proofErr w:type="spellStart"/>
      <w:r w:rsidR="00E52764">
        <w:rPr>
          <w:i/>
        </w:rPr>
        <w:t>Silkfield</w:t>
      </w:r>
      <w:proofErr w:type="spellEnd"/>
      <w:r w:rsidR="00E52764">
        <w:rPr>
          <w:i/>
          <w:spacing w:val="40"/>
        </w:rPr>
        <w:t xml:space="preserve"> </w:t>
      </w:r>
      <w:r w:rsidR="00807734">
        <w:t>(</w:t>
      </w:r>
      <w:r w:rsidR="00E52764">
        <w:t>at</w:t>
      </w:r>
      <w:r w:rsidR="00D94B92" w:rsidRPr="00D94B92">
        <w:t xml:space="preserve"> 260–261 [11]</w:t>
      </w:r>
      <w:r w:rsidR="00D94B92">
        <w:t xml:space="preserve"> per Gleeson CJ, McHugh, Gummow, Kirby and Callinan JJ).</w:t>
      </w:r>
    </w:p>
    <w:p w14:paraId="7DB0F318" w14:textId="3F06406A" w:rsidR="00EB1864" w:rsidRDefault="0071710E" w:rsidP="0071710E">
      <w:pPr>
        <w:pStyle w:val="ParaNumbering"/>
        <w:numPr>
          <w:ilvl w:val="0"/>
          <w:numId w:val="0"/>
        </w:numPr>
        <w:tabs>
          <w:tab w:val="left" w:pos="720"/>
        </w:tabs>
        <w:ind w:hanging="720"/>
      </w:pPr>
      <w:r>
        <w:rPr>
          <w:sz w:val="20"/>
        </w:rPr>
        <w:t>410</w:t>
      </w:r>
      <w:r>
        <w:rPr>
          <w:sz w:val="20"/>
        </w:rPr>
        <w:tab/>
      </w:r>
      <w:r w:rsidR="00FD1CF0" w:rsidRPr="004675ED">
        <w:rPr>
          <w:i/>
        </w:rPr>
        <w:t>Thirdly</w:t>
      </w:r>
      <w:r w:rsidR="00FD1CF0">
        <w:t xml:space="preserve">, some submissions made in opposition to Settlement CFOs seem to be based </w:t>
      </w:r>
      <w:r w:rsidR="00B82F96">
        <w:t>up</w:t>
      </w:r>
      <w:r w:rsidR="00FD1CF0">
        <w:t>on</w:t>
      </w:r>
      <w:r w:rsidR="00D4378D">
        <w:t>:</w:t>
      </w:r>
      <w:r w:rsidR="00FD1CF0">
        <w:t xml:space="preserve"> an apparent disdain for the payment </w:t>
      </w:r>
      <w:r w:rsidR="00F404D8">
        <w:t>of</w:t>
      </w:r>
      <w:r w:rsidR="00FD1CF0">
        <w:t xml:space="preserve"> a just amount to a litigation funder for its</w:t>
      </w:r>
      <w:r w:rsidR="00FD1CF0" w:rsidRPr="00D57F0E">
        <w:t xml:space="preserve"> services</w:t>
      </w:r>
      <w:r w:rsidR="00D4378D">
        <w:t>;</w:t>
      </w:r>
      <w:r w:rsidR="00FD1CF0">
        <w:t xml:space="preserve"> or upon a misunderstanding as to how s 33V operates to authorise common forms of </w:t>
      </w:r>
      <w:r w:rsidR="005D29A6">
        <w:t>FEOs</w:t>
      </w:r>
      <w:r w:rsidR="00E75EEF">
        <w:t xml:space="preserve"> by supplementing contractual rights</w:t>
      </w:r>
      <w:r w:rsidR="00D4378D">
        <w:t xml:space="preserve">; or </w:t>
      </w:r>
      <w:r w:rsidR="00FD1CF0">
        <w:t xml:space="preserve">the misapprehension that </w:t>
      </w:r>
      <w:r w:rsidR="00632889">
        <w:t xml:space="preserve">FEOs </w:t>
      </w:r>
      <w:r w:rsidR="00FD1CF0">
        <w:t>necessarily lead to a greater sum to be dist</w:t>
      </w:r>
      <w:r w:rsidR="000B1CFA">
        <w:t xml:space="preserve">ributed to group members than </w:t>
      </w:r>
      <w:r w:rsidR="00FD1CF0">
        <w:t>Settlement CFO</w:t>
      </w:r>
      <w:r w:rsidR="000B1CFA">
        <w:t>s</w:t>
      </w:r>
      <w:r w:rsidR="00FD1CF0">
        <w:t>. This scepticism of Settlement CFOs is reflected in the submission of the contradictor t</w:t>
      </w:r>
      <w:r w:rsidR="00FD1CF0" w:rsidRPr="00D57F0E">
        <w:t>hat the litigation funder may have been “self-interested” in providing the funding</w:t>
      </w:r>
      <w:r w:rsidR="004C5630">
        <w:t xml:space="preserve">. </w:t>
      </w:r>
      <w:r w:rsidR="00FD1CF0">
        <w:t>What commercial enterprise</w:t>
      </w:r>
      <w:r w:rsidR="00CC7AA5">
        <w:t>, one asks rhetorically,</w:t>
      </w:r>
      <w:r w:rsidR="00FD1CF0">
        <w:t xml:space="preserve"> is not self-interested? There is no </w:t>
      </w:r>
      <w:r w:rsidR="00FD1CF0" w:rsidRPr="00D57F0E">
        <w:t xml:space="preserve">reason </w:t>
      </w:r>
      <w:r w:rsidR="00FD1CF0">
        <w:t>to be “squeamish” in providing the litigation funder with just and hence reasonable remuneration</w:t>
      </w:r>
      <w:r w:rsidR="00637F32">
        <w:t xml:space="preserve">: </w:t>
      </w:r>
      <w:r w:rsidR="00FD1CF0" w:rsidRPr="004675ED">
        <w:rPr>
          <w:i/>
        </w:rPr>
        <w:t xml:space="preserve">Brewster </w:t>
      </w:r>
      <w:r w:rsidR="00637F32">
        <w:t>(</w:t>
      </w:r>
      <w:r w:rsidR="00FD1CF0">
        <w:t>at</w:t>
      </w:r>
      <w:r w:rsidR="00FD1CF0" w:rsidRPr="004675ED">
        <w:rPr>
          <w:spacing w:val="-5"/>
        </w:rPr>
        <w:t xml:space="preserve"> </w:t>
      </w:r>
      <w:r w:rsidR="00637F32" w:rsidRPr="004675ED">
        <w:rPr>
          <w:spacing w:val="-5"/>
        </w:rPr>
        <w:t xml:space="preserve">621 </w:t>
      </w:r>
      <w:r w:rsidR="00FD1CF0">
        <w:t>[115]</w:t>
      </w:r>
      <w:r w:rsidR="00FD1CF0" w:rsidRPr="004675ED">
        <w:rPr>
          <w:spacing w:val="-3"/>
        </w:rPr>
        <w:t xml:space="preserve"> </w:t>
      </w:r>
      <w:r w:rsidR="00637F32">
        <w:t xml:space="preserve">per </w:t>
      </w:r>
      <w:proofErr w:type="spellStart"/>
      <w:r w:rsidR="00FD1CF0">
        <w:t>Gageler</w:t>
      </w:r>
      <w:proofErr w:type="spellEnd"/>
      <w:r w:rsidR="00FD1CF0" w:rsidRPr="004675ED">
        <w:rPr>
          <w:spacing w:val="-3"/>
        </w:rPr>
        <w:t xml:space="preserve"> </w:t>
      </w:r>
      <w:r w:rsidR="00FD1CF0">
        <w:t>J).</w:t>
      </w:r>
      <w:r w:rsidR="008519EA">
        <w:t xml:space="preserve">  </w:t>
      </w:r>
    </w:p>
    <w:p w14:paraId="45BFD24D" w14:textId="59E4F134" w:rsidR="008519EA" w:rsidRPr="004675ED" w:rsidRDefault="0071710E" w:rsidP="0071710E">
      <w:pPr>
        <w:pStyle w:val="ParaNumbering"/>
        <w:numPr>
          <w:ilvl w:val="0"/>
          <w:numId w:val="0"/>
        </w:numPr>
        <w:tabs>
          <w:tab w:val="left" w:pos="720"/>
        </w:tabs>
        <w:ind w:hanging="720"/>
      </w:pPr>
      <w:r w:rsidRPr="004675ED">
        <w:rPr>
          <w:sz w:val="20"/>
        </w:rPr>
        <w:t>411</w:t>
      </w:r>
      <w:r w:rsidRPr="004675ED">
        <w:rPr>
          <w:sz w:val="20"/>
        </w:rPr>
        <w:tab/>
      </w:r>
      <w:r w:rsidR="00EB1864">
        <w:t xml:space="preserve">More significantly, </w:t>
      </w:r>
      <w:r w:rsidR="00E33CE8">
        <w:t xml:space="preserve">these </w:t>
      </w:r>
      <w:r w:rsidR="0027701C">
        <w:t>submissions</w:t>
      </w:r>
      <w:r w:rsidR="00E33CE8">
        <w:t xml:space="preserve"> are properly directed to </w:t>
      </w:r>
      <w:r w:rsidR="00E33CE8" w:rsidRPr="00CC7AA5">
        <w:rPr>
          <w:i/>
          <w:iCs/>
        </w:rPr>
        <w:t>discretion</w:t>
      </w:r>
      <w:r w:rsidR="00E33CE8">
        <w:t xml:space="preserve">, not power. </w:t>
      </w:r>
      <w:r w:rsidR="007A7A72">
        <w:t xml:space="preserve">The </w:t>
      </w:r>
      <w:r w:rsidR="0027701C">
        <w:t>apparent notion that a</w:t>
      </w:r>
      <w:r w:rsidR="007A7A72">
        <w:t xml:space="preserve"> </w:t>
      </w:r>
      <w:r w:rsidR="0027701C">
        <w:t>Settlement</w:t>
      </w:r>
      <w:r w:rsidR="007A7A72">
        <w:t xml:space="preserve"> CFO could never be just, even if it augmented the return </w:t>
      </w:r>
      <w:r w:rsidR="0027701C">
        <w:t>to</w:t>
      </w:r>
      <w:r w:rsidR="007A7A72">
        <w:t xml:space="preserve"> group </w:t>
      </w:r>
      <w:r w:rsidR="0027701C">
        <w:t>m</w:t>
      </w:r>
      <w:r w:rsidR="007A7A72">
        <w:t xml:space="preserve">embers as compared to contractual </w:t>
      </w:r>
      <w:r w:rsidR="0027701C">
        <w:t>entitlements</w:t>
      </w:r>
      <w:r w:rsidR="007A7A72">
        <w:t xml:space="preserve">, is difficult to understand.  </w:t>
      </w:r>
      <w:r w:rsidR="00E33CE8">
        <w:t>N</w:t>
      </w:r>
      <w:r w:rsidR="00064A2C">
        <w:t>otwithstanding the term</w:t>
      </w:r>
      <w:r w:rsidR="002541E0">
        <w:t xml:space="preserve"> “</w:t>
      </w:r>
      <w:r w:rsidR="00064A2C">
        <w:t xml:space="preserve">access to justice” has </w:t>
      </w:r>
      <w:r w:rsidR="00EA235D">
        <w:t xml:space="preserve">often </w:t>
      </w:r>
      <w:r w:rsidR="00064A2C">
        <w:t xml:space="preserve">been used </w:t>
      </w:r>
      <w:r w:rsidR="00EA235D">
        <w:t xml:space="preserve">as a slogan </w:t>
      </w:r>
      <w:r w:rsidR="002541E0">
        <w:t>inappositely</w:t>
      </w:r>
      <w:r w:rsidR="00064A2C">
        <w:t xml:space="preserve"> </w:t>
      </w:r>
      <w:r w:rsidR="00687A10">
        <w:t>by the self-interested</w:t>
      </w:r>
      <w:r w:rsidR="00526842">
        <w:t xml:space="preserve">, </w:t>
      </w:r>
      <w:r w:rsidR="009D4D79">
        <w:t xml:space="preserve">it should be recognised that any </w:t>
      </w:r>
      <w:r w:rsidR="008519EA">
        <w:t>discretion under s 33V(2) is required to be exercised in the context that litigation</w:t>
      </w:r>
      <w:r w:rsidR="008519EA" w:rsidRPr="004675ED">
        <w:rPr>
          <w:spacing w:val="-15"/>
        </w:rPr>
        <w:t xml:space="preserve"> </w:t>
      </w:r>
      <w:r w:rsidR="008519EA">
        <w:t>funding</w:t>
      </w:r>
      <w:r w:rsidR="008519EA" w:rsidRPr="004675ED">
        <w:rPr>
          <w:spacing w:val="-15"/>
        </w:rPr>
        <w:t xml:space="preserve"> </w:t>
      </w:r>
      <w:r w:rsidR="00FD492F">
        <w:rPr>
          <w:spacing w:val="-15"/>
        </w:rPr>
        <w:t>h</w:t>
      </w:r>
      <w:r w:rsidR="00A25E67">
        <w:t xml:space="preserve">as </w:t>
      </w:r>
      <w:r w:rsidR="00FD492F">
        <w:t xml:space="preserve">become </w:t>
      </w:r>
      <w:r w:rsidR="00A25E67">
        <w:t xml:space="preserve">a means </w:t>
      </w:r>
      <w:r w:rsidR="00FD492F">
        <w:t>by</w:t>
      </w:r>
      <w:r w:rsidR="008519EA">
        <w:t xml:space="preserve"> which </w:t>
      </w:r>
      <w:r w:rsidR="00FD492F">
        <w:t xml:space="preserve">claims which </w:t>
      </w:r>
      <w:r w:rsidR="008519EA">
        <w:t>would not other</w:t>
      </w:r>
      <w:r w:rsidR="00FD492F">
        <w:t>wise have been able to have be</w:t>
      </w:r>
      <w:r w:rsidR="008519EA">
        <w:t>e</w:t>
      </w:r>
      <w:r w:rsidR="00FD492F">
        <w:t>n</w:t>
      </w:r>
      <w:r w:rsidR="008519EA">
        <w:t xml:space="preserve"> brought</w:t>
      </w:r>
      <w:r w:rsidR="008A1900">
        <w:t xml:space="preserve"> are litigated</w:t>
      </w:r>
      <w:r w:rsidR="00D15513">
        <w:t>,</w:t>
      </w:r>
      <w:r w:rsidR="004A4819">
        <w:rPr>
          <w:szCs w:val="24"/>
        </w:rPr>
        <w:t xml:space="preserve"> </w:t>
      </w:r>
      <w:r w:rsidR="008519EA">
        <w:t>thus facilitating the</w:t>
      </w:r>
      <w:r w:rsidR="008519EA" w:rsidRPr="004675ED">
        <w:rPr>
          <w:spacing w:val="-13"/>
        </w:rPr>
        <w:t xml:space="preserve"> </w:t>
      </w:r>
      <w:r w:rsidR="008519EA">
        <w:t>achievement</w:t>
      </w:r>
      <w:r w:rsidR="008519EA" w:rsidRPr="004675ED">
        <w:rPr>
          <w:spacing w:val="-15"/>
        </w:rPr>
        <w:t xml:space="preserve"> </w:t>
      </w:r>
      <w:r w:rsidR="008519EA">
        <w:t>of</w:t>
      </w:r>
      <w:r w:rsidR="008519EA" w:rsidRPr="004675ED">
        <w:rPr>
          <w:spacing w:val="-14"/>
        </w:rPr>
        <w:t xml:space="preserve"> </w:t>
      </w:r>
      <w:r w:rsidR="008519EA">
        <w:t>the</w:t>
      </w:r>
      <w:r w:rsidR="008519EA" w:rsidRPr="004675ED">
        <w:rPr>
          <w:spacing w:val="-13"/>
        </w:rPr>
        <w:t xml:space="preserve"> </w:t>
      </w:r>
      <w:r w:rsidR="008519EA">
        <w:t>legislative</w:t>
      </w:r>
      <w:r w:rsidR="008519EA" w:rsidRPr="004675ED">
        <w:rPr>
          <w:spacing w:val="-14"/>
        </w:rPr>
        <w:t xml:space="preserve"> </w:t>
      </w:r>
      <w:r w:rsidR="008519EA">
        <w:t>objectives</w:t>
      </w:r>
      <w:r w:rsidR="008519EA" w:rsidRPr="004675ED">
        <w:rPr>
          <w:spacing w:val="-13"/>
        </w:rPr>
        <w:t xml:space="preserve"> </w:t>
      </w:r>
      <w:r w:rsidR="008519EA">
        <w:t>for</w:t>
      </w:r>
      <w:r w:rsidR="008519EA" w:rsidRPr="004675ED">
        <w:rPr>
          <w:spacing w:val="-13"/>
        </w:rPr>
        <w:t xml:space="preserve"> </w:t>
      </w:r>
      <w:r w:rsidR="008519EA">
        <w:t>Part IVA</w:t>
      </w:r>
      <w:r w:rsidR="006542F5">
        <w:t>. W</w:t>
      </w:r>
      <w:r w:rsidR="008519EA">
        <w:t>hile it</w:t>
      </w:r>
      <w:r w:rsidR="006542F5">
        <w:t xml:space="preserve"> is true that in some cases class </w:t>
      </w:r>
      <w:r w:rsidR="008519EA">
        <w:t xml:space="preserve">characteristics make </w:t>
      </w:r>
      <w:r w:rsidR="00015108">
        <w:t>book build</w:t>
      </w:r>
      <w:r w:rsidR="008519EA">
        <w:t xml:space="preserve"> and a</w:t>
      </w:r>
      <w:r w:rsidR="005D29A6">
        <w:t xml:space="preserve">n FEO </w:t>
      </w:r>
      <w:r w:rsidR="00220289">
        <w:t xml:space="preserve">practicable, </w:t>
      </w:r>
      <w:r w:rsidR="002F2D66">
        <w:t xml:space="preserve">this is not always </w:t>
      </w:r>
      <w:r w:rsidR="008519EA">
        <w:t xml:space="preserve">the </w:t>
      </w:r>
      <w:r w:rsidR="002F2D66">
        <w:t>case</w:t>
      </w:r>
      <w:r w:rsidR="00D8113B">
        <w:t>,</w:t>
      </w:r>
      <w:r w:rsidR="002F2D66">
        <w:t xml:space="preserve"> and the </w:t>
      </w:r>
      <w:r w:rsidR="008519EA">
        <w:t>book</w:t>
      </w:r>
      <w:r w:rsidR="00F417AF">
        <w:t xml:space="preserve"> </w:t>
      </w:r>
      <w:r w:rsidR="008519EA">
        <w:t>build process is often</w:t>
      </w:r>
      <w:r w:rsidR="008519EA" w:rsidRPr="004675ED">
        <w:rPr>
          <w:spacing w:val="-10"/>
        </w:rPr>
        <w:t xml:space="preserve"> </w:t>
      </w:r>
      <w:r w:rsidR="00220289">
        <w:t>cumbrous and slow</w:t>
      </w:r>
      <w:r w:rsidR="000F39D2">
        <w:t>. Moreover, it</w:t>
      </w:r>
      <w:r w:rsidR="008519EA">
        <w:t xml:space="preserve"> </w:t>
      </w:r>
      <w:r w:rsidR="00557E1B">
        <w:t xml:space="preserve">has the effect of encouraging </w:t>
      </w:r>
      <w:r w:rsidR="000F39D2">
        <w:t>closed classes</w:t>
      </w:r>
      <w:r w:rsidR="004A4819">
        <w:t>. T</w:t>
      </w:r>
      <w:r w:rsidR="00D43B99">
        <w:t xml:space="preserve">his has </w:t>
      </w:r>
      <w:proofErr w:type="gramStart"/>
      <w:r w:rsidR="00D43B99">
        <w:t>a number of</w:t>
      </w:r>
      <w:proofErr w:type="gramEnd"/>
      <w:r w:rsidR="00D43B99">
        <w:t xml:space="preserve"> undesirable </w:t>
      </w:r>
      <w:r w:rsidR="00DC469D">
        <w:t xml:space="preserve">features including encouraging duplicative class actions for different </w:t>
      </w:r>
      <w:r w:rsidR="001053FD">
        <w:t xml:space="preserve">group </w:t>
      </w:r>
      <w:r w:rsidR="00160F12">
        <w:t>members</w:t>
      </w:r>
      <w:r w:rsidR="001053FD">
        <w:t xml:space="preserve"> who have signed up and, a</w:t>
      </w:r>
      <w:r w:rsidR="00D8113B">
        <w:t>s</w:t>
      </w:r>
      <w:r w:rsidR="001053FD">
        <w:t xml:space="preserve"> those well </w:t>
      </w:r>
      <w:r w:rsidR="00160F12">
        <w:t>experienced</w:t>
      </w:r>
      <w:r w:rsidR="001053FD">
        <w:t xml:space="preserve"> in class actions would </w:t>
      </w:r>
      <w:r w:rsidR="00160F12">
        <w:t>be</w:t>
      </w:r>
      <w:r w:rsidR="001053FD">
        <w:t xml:space="preserve"> aware, </w:t>
      </w:r>
      <w:r w:rsidR="00557E1B">
        <w:t xml:space="preserve">class composition is usually more sophisticated </w:t>
      </w:r>
      <w:r w:rsidR="00003A6C">
        <w:t>in</w:t>
      </w:r>
      <w:r w:rsidR="00160F12">
        <w:t xml:space="preserve"> </w:t>
      </w:r>
      <w:r w:rsidR="00003A6C">
        <w:t xml:space="preserve">closed class actions </w:t>
      </w:r>
      <w:r w:rsidR="00B51EBD">
        <w:t>than open class</w:t>
      </w:r>
      <w:r w:rsidR="00E45F62">
        <w:t xml:space="preserve"> actions</w:t>
      </w:r>
      <w:r w:rsidR="00B51EBD">
        <w:t xml:space="preserve"> (</w:t>
      </w:r>
      <w:r w:rsidR="00557E1B">
        <w:t xml:space="preserve">thus </w:t>
      </w:r>
      <w:r w:rsidR="00003A6C">
        <w:t xml:space="preserve">tending to </w:t>
      </w:r>
      <w:r w:rsidR="00557E1B">
        <w:t>exclu</w:t>
      </w:r>
      <w:r w:rsidR="00003A6C">
        <w:t>de</w:t>
      </w:r>
      <w:r w:rsidR="00557E1B">
        <w:t xml:space="preserve"> poorly informed or less literate or educated m</w:t>
      </w:r>
      <w:r w:rsidR="003104DB">
        <w:t>embers of a possible open class</w:t>
      </w:r>
      <w:r w:rsidR="00C80EBE">
        <w:t xml:space="preserve"> seeking relief for the same alleged wrong</w:t>
      </w:r>
      <w:r w:rsidR="00B51EBD">
        <w:t>)</w:t>
      </w:r>
      <w:r w:rsidR="00C80EBE">
        <w:t>.</w:t>
      </w:r>
    </w:p>
    <w:p w14:paraId="1DFE8F14" w14:textId="7F5ACFDB" w:rsidR="00BF113E" w:rsidRPr="00B83165" w:rsidRDefault="0071710E" w:rsidP="0071710E">
      <w:pPr>
        <w:pStyle w:val="ParaNumbering"/>
        <w:numPr>
          <w:ilvl w:val="0"/>
          <w:numId w:val="0"/>
        </w:numPr>
        <w:tabs>
          <w:tab w:val="left" w:pos="720"/>
        </w:tabs>
        <w:ind w:hanging="720"/>
      </w:pPr>
      <w:r w:rsidRPr="00B83165">
        <w:rPr>
          <w:sz w:val="20"/>
        </w:rPr>
        <w:t>412</w:t>
      </w:r>
      <w:r w:rsidRPr="00B83165">
        <w:rPr>
          <w:sz w:val="20"/>
        </w:rPr>
        <w:tab/>
      </w:r>
      <w:r w:rsidR="00FD1CF0" w:rsidRPr="007A69DD">
        <w:rPr>
          <w:i/>
        </w:rPr>
        <w:t>Fourthly</w:t>
      </w:r>
      <w:r w:rsidR="00FD1CF0">
        <w:t xml:space="preserve">, it </w:t>
      </w:r>
      <w:r w:rsidR="00FD1CF0" w:rsidRPr="007A69DD">
        <w:t xml:space="preserve">may be accepted that Gordon J in </w:t>
      </w:r>
      <w:r w:rsidR="00FD1CF0" w:rsidRPr="007A69DD">
        <w:rPr>
          <w:i/>
        </w:rPr>
        <w:t>Brewster</w:t>
      </w:r>
      <w:r w:rsidR="00FD1CF0" w:rsidRPr="007A69DD">
        <w:t xml:space="preserve"> did not see s 33V as “</w:t>
      </w:r>
      <w:proofErr w:type="spellStart"/>
      <w:r w:rsidR="00FD1CF0" w:rsidRPr="007A69DD">
        <w:t>envisag</w:t>
      </w:r>
      <w:proofErr w:type="spellEnd"/>
      <w:r w:rsidR="00FD1CF0" w:rsidRPr="007A69DD">
        <w:t>[</w:t>
      </w:r>
      <w:proofErr w:type="spellStart"/>
      <w:r w:rsidR="00FD1CF0" w:rsidRPr="007A69DD">
        <w:t>ing</w:t>
      </w:r>
      <w:proofErr w:type="spellEnd"/>
      <w:r w:rsidR="00FD1CF0" w:rsidRPr="007A69DD">
        <w:t xml:space="preserve">] a Court making orders with respect to the economics of a proceeding by ensuring that a litigation funder obtains a particular return on funds invested” (at </w:t>
      </w:r>
      <w:r w:rsidR="00847B29">
        <w:t xml:space="preserve">630 </w:t>
      </w:r>
      <w:r w:rsidR="00FD1CF0" w:rsidRPr="007A69DD">
        <w:t>[141]). But as the Attorney</w:t>
      </w:r>
      <w:r w:rsidR="00FD1CF0">
        <w:t>-</w:t>
      </w:r>
      <w:r w:rsidR="00FD1CF0" w:rsidRPr="007A69DD">
        <w:t xml:space="preserve">General correctly </w:t>
      </w:r>
      <w:r w:rsidR="00573DF8">
        <w:t>submit</w:t>
      </w:r>
      <w:r w:rsidR="007213D3">
        <w:t>s</w:t>
      </w:r>
      <w:r w:rsidR="00FD1CF0" w:rsidRPr="007A69DD">
        <w:t>,</w:t>
      </w:r>
      <w:r w:rsidR="00FD1CF0">
        <w:t xml:space="preserve"> </w:t>
      </w:r>
      <w:r w:rsidR="00FD1CF0" w:rsidRPr="007A69DD">
        <w:t xml:space="preserve">Gordon J’s view is </w:t>
      </w:r>
      <w:r w:rsidR="00FD1CF0" w:rsidRPr="007A69DD">
        <w:rPr>
          <w:i/>
        </w:rPr>
        <w:t>obiter dicta</w:t>
      </w:r>
      <w:r w:rsidR="00FD1CF0" w:rsidRPr="007A69DD">
        <w:t xml:space="preserve">, expressed </w:t>
      </w:r>
      <w:r w:rsidR="00FD1CF0">
        <w:t xml:space="preserve">in the context of a discussion about a quite different form of order and </w:t>
      </w:r>
      <w:r w:rsidR="00FD1CF0" w:rsidRPr="007A69DD">
        <w:t>without the benefit of argument on the point, and the weight to be given to it should be assessed in that light</w:t>
      </w:r>
      <w:r w:rsidR="00222E76">
        <w:t>:</w:t>
      </w:r>
      <w:r w:rsidR="00FD1CF0" w:rsidRPr="007A69DD">
        <w:t xml:space="preserve"> </w:t>
      </w:r>
      <w:r w:rsidR="00FD1CF0" w:rsidRPr="007A69DD">
        <w:rPr>
          <w:i/>
        </w:rPr>
        <w:t>Union Shipping New Zealand Ltd v Morgan</w:t>
      </w:r>
      <w:r w:rsidR="00FD1CF0" w:rsidRPr="007A69DD">
        <w:t xml:space="preserve"> </w:t>
      </w:r>
      <w:r w:rsidR="00170208">
        <w:t>[</w:t>
      </w:r>
      <w:r w:rsidR="00FD1CF0" w:rsidRPr="007A69DD">
        <w:t>2002</w:t>
      </w:r>
      <w:r w:rsidR="00170208">
        <w:t xml:space="preserve">] NSWCA 124; </w:t>
      </w:r>
      <w:r w:rsidR="00FD1CF0" w:rsidRPr="007A69DD">
        <w:t xml:space="preserve">(2002) 54 NSWLR 690 </w:t>
      </w:r>
      <w:r w:rsidR="00170208">
        <w:t>(</w:t>
      </w:r>
      <w:r w:rsidR="00FD1CF0" w:rsidRPr="007A69DD">
        <w:t xml:space="preserve">at </w:t>
      </w:r>
      <w:r w:rsidR="007D57E4">
        <w:t xml:space="preserve">733–734 </w:t>
      </w:r>
      <w:r w:rsidR="00587471">
        <w:t xml:space="preserve">[114] per </w:t>
      </w:r>
      <w:proofErr w:type="spellStart"/>
      <w:r w:rsidR="00FD1CF0" w:rsidRPr="007A69DD">
        <w:t>Heydon</w:t>
      </w:r>
      <w:proofErr w:type="spellEnd"/>
      <w:r w:rsidR="00FD1CF0" w:rsidRPr="007A69DD">
        <w:t xml:space="preserve"> JA, Hodgson and Santow JJA agreeing</w:t>
      </w:r>
      <w:r w:rsidR="00084B81">
        <w:t>)</w:t>
      </w:r>
      <w:r w:rsidR="00FD1CF0" w:rsidRPr="007A69DD">
        <w:t>.</w:t>
      </w:r>
    </w:p>
    <w:p w14:paraId="7051D801" w14:textId="4DC20420" w:rsidR="00FD1CF0" w:rsidRDefault="0071710E" w:rsidP="00FD1CF0">
      <w:pPr>
        <w:pStyle w:val="Heading1"/>
      </w:pPr>
      <w:r>
        <w:rPr>
          <w:caps w:val="0"/>
        </w:rPr>
        <w:t>F</w:t>
      </w:r>
      <w:r>
        <w:rPr>
          <w:caps w:val="0"/>
        </w:rPr>
        <w:tab/>
        <w:t>ISSUES AS TO THE TERMS OF THE RESERVED QUESTION AND RELIEF</w:t>
      </w:r>
    </w:p>
    <w:p w14:paraId="0ED8810C" w14:textId="650446B9" w:rsidR="00FD1CF0" w:rsidRPr="0088721D" w:rsidRDefault="00A866F4" w:rsidP="00A866F4">
      <w:pPr>
        <w:pStyle w:val="Heading2"/>
        <w:rPr>
          <w:b w:val="0"/>
          <w:i/>
        </w:rPr>
      </w:pPr>
      <w:r>
        <w:t>F.1</w:t>
      </w:r>
      <w:r>
        <w:tab/>
      </w:r>
      <w:r w:rsidR="00FD1CF0" w:rsidRPr="00A866F4">
        <w:rPr>
          <w:i/>
        </w:rPr>
        <w:t>Terms of the Reserved Question</w:t>
      </w:r>
    </w:p>
    <w:p w14:paraId="22DB6561" w14:textId="447CB5E4" w:rsidR="00FD1CF0" w:rsidRDefault="0071710E" w:rsidP="0071710E">
      <w:pPr>
        <w:pStyle w:val="ParaNumbering"/>
        <w:numPr>
          <w:ilvl w:val="0"/>
          <w:numId w:val="0"/>
        </w:numPr>
        <w:tabs>
          <w:tab w:val="left" w:pos="720"/>
        </w:tabs>
        <w:ind w:hanging="720"/>
      </w:pPr>
      <w:r>
        <w:rPr>
          <w:sz w:val="20"/>
        </w:rPr>
        <w:t>413</w:t>
      </w:r>
      <w:r>
        <w:rPr>
          <w:sz w:val="20"/>
        </w:rPr>
        <w:tab/>
      </w:r>
      <w:r w:rsidR="00FD1CF0">
        <w:t>Shortly after making th</w:t>
      </w:r>
      <w:r w:rsidR="00045FAB">
        <w:t>e</w:t>
      </w:r>
      <w:r w:rsidR="00FD1CF0">
        <w:t xml:space="preserve"> order identifying the Reserved Question, the solicitors for the applicants contacted my Associate. They foreshadowed an application to amend the Reserved Question such that it would not only encompass the question of whether the Court has power under s 33V to make a Settlement CFO, but also whether the Court has an equitable power to make such an order. The application to amend the Reserved Question was refused by the Full Court.</w:t>
      </w:r>
    </w:p>
    <w:p w14:paraId="55CD00AB" w14:textId="7E956626" w:rsidR="00FD1CF0" w:rsidRDefault="0071710E" w:rsidP="0071710E">
      <w:pPr>
        <w:pStyle w:val="ParaNumbering"/>
        <w:numPr>
          <w:ilvl w:val="0"/>
          <w:numId w:val="0"/>
        </w:numPr>
        <w:tabs>
          <w:tab w:val="left" w:pos="720"/>
        </w:tabs>
        <w:ind w:hanging="720"/>
      </w:pPr>
      <w:r>
        <w:rPr>
          <w:sz w:val="20"/>
        </w:rPr>
        <w:t>414</w:t>
      </w:r>
      <w:r>
        <w:rPr>
          <w:sz w:val="20"/>
        </w:rPr>
        <w:tab/>
      </w:r>
      <w:r w:rsidR="00FD1CF0">
        <w:t xml:space="preserve">My reason for joining in </w:t>
      </w:r>
      <w:r w:rsidR="001E7736">
        <w:t xml:space="preserve">the order </w:t>
      </w:r>
      <w:r w:rsidR="00FD1CF0">
        <w:t>refusing the amendment was</w:t>
      </w:r>
      <w:r w:rsidR="002D64E9">
        <w:t xml:space="preserve"> </w:t>
      </w:r>
      <w:r w:rsidR="00FD1CF0">
        <w:t xml:space="preserve">because it was unnecessary.   </w:t>
      </w:r>
    </w:p>
    <w:p w14:paraId="0210742F" w14:textId="52DCE04A" w:rsidR="002D64E9" w:rsidRDefault="0071710E" w:rsidP="0071710E">
      <w:pPr>
        <w:pStyle w:val="ParaNumbering"/>
        <w:numPr>
          <w:ilvl w:val="0"/>
          <w:numId w:val="0"/>
        </w:numPr>
        <w:tabs>
          <w:tab w:val="left" w:pos="720"/>
        </w:tabs>
        <w:ind w:hanging="720"/>
      </w:pPr>
      <w:r>
        <w:rPr>
          <w:sz w:val="20"/>
        </w:rPr>
        <w:t>415</w:t>
      </w:r>
      <w:r>
        <w:rPr>
          <w:sz w:val="20"/>
        </w:rPr>
        <w:tab/>
      </w:r>
      <w:r w:rsidR="00FD1CF0">
        <w:t xml:space="preserve">I explained in </w:t>
      </w:r>
      <w:proofErr w:type="spellStart"/>
      <w:r w:rsidR="00FD1CF0" w:rsidRPr="00306853">
        <w:rPr>
          <w:i/>
        </w:rPr>
        <w:t>Asirifi</w:t>
      </w:r>
      <w:proofErr w:type="spellEnd"/>
      <w:r w:rsidR="00FD1CF0" w:rsidRPr="00306853">
        <w:rPr>
          <w:i/>
        </w:rPr>
        <w:t xml:space="preserve">-Otchere v Swann Insurance </w:t>
      </w:r>
      <w:r w:rsidR="00FD1CF0">
        <w:t>(at 634–636 [34]</w:t>
      </w:r>
      <w:proofErr w:type="gramStart"/>
      <w:r w:rsidR="00FD1CF0">
        <w:t>–[</w:t>
      </w:r>
      <w:proofErr w:type="gramEnd"/>
      <w:r w:rsidR="00FD1CF0">
        <w:t xml:space="preserve">40]) that </w:t>
      </w:r>
      <w:r w:rsidR="00FD1CF0" w:rsidRPr="00F91AE5">
        <w:t xml:space="preserve">a Settlement CFO </w:t>
      </w:r>
      <w:r w:rsidR="00FD1CF0">
        <w:t>is</w:t>
      </w:r>
      <w:r w:rsidR="00FD1CF0" w:rsidRPr="00F91AE5">
        <w:t xml:space="preserve"> consistent w</w:t>
      </w:r>
      <w:r w:rsidR="00884A0E">
        <w:t>ith general equitable principle</w:t>
      </w:r>
      <w:r w:rsidR="00D33CD2">
        <w:t>s</w:t>
      </w:r>
      <w:r w:rsidR="00FD1CF0">
        <w:t xml:space="preserve">. </w:t>
      </w:r>
      <w:r w:rsidR="00884A0E">
        <w:t>T</w:t>
      </w:r>
      <w:r w:rsidR="00F239C2">
        <w:t>hese</w:t>
      </w:r>
      <w:r w:rsidR="00FD1CF0">
        <w:t xml:space="preserve"> general principle</w:t>
      </w:r>
      <w:r w:rsidR="00F239C2">
        <w:t>s</w:t>
      </w:r>
      <w:r w:rsidR="00FD1CF0">
        <w:t>, developed over centuries of Chancery practice, have a continuing vitality and resonance in informing consideration of what is consistent with good conscience</w:t>
      </w:r>
      <w:r w:rsidR="002D64E9">
        <w:t xml:space="preserve">. Identifying an equity </w:t>
      </w:r>
      <w:r w:rsidR="003D7E1E">
        <w:t>asserted</w:t>
      </w:r>
      <w:r w:rsidR="002D64E9">
        <w:t xml:space="preserve"> and then enforcing it by an appropriate remedy in equity’s exclusive jurisdiction is not, of course, the same as determining whether the exercise of a proposed statutory discretion </w:t>
      </w:r>
      <w:r w:rsidR="00FD1CF0">
        <w:t xml:space="preserve">is </w:t>
      </w:r>
      <w:r w:rsidR="002D64E9">
        <w:t>“</w:t>
      </w:r>
      <w:r w:rsidR="00FD1CF0">
        <w:t>just</w:t>
      </w:r>
      <w:r w:rsidR="003D7E1E">
        <w:t xml:space="preserve">”; however, </w:t>
      </w:r>
      <w:r w:rsidR="002D64E9">
        <w:t xml:space="preserve">learning drawn from the development of equitable doctrines and remedies can assist in identifying what should be considered just. As I said in </w:t>
      </w:r>
      <w:r w:rsidR="002D64E9" w:rsidRPr="004A4819">
        <w:rPr>
          <w:i/>
        </w:rPr>
        <w:t>Davaria</w:t>
      </w:r>
      <w:r w:rsidR="002D64E9">
        <w:t xml:space="preserve"> </w:t>
      </w:r>
      <w:r w:rsidR="00533273">
        <w:t>(</w:t>
      </w:r>
      <w:r w:rsidR="002D64E9">
        <w:t>at</w:t>
      </w:r>
      <w:r w:rsidR="00533273">
        <w:t xml:space="preserve"> 517</w:t>
      </w:r>
      <w:r w:rsidR="002D64E9">
        <w:t xml:space="preserve"> [71]</w:t>
      </w:r>
      <w:r w:rsidR="00533273">
        <w:t>)</w:t>
      </w:r>
      <w:r w:rsidR="002D64E9">
        <w:t xml:space="preserve">, </w:t>
      </w:r>
      <w:r w:rsidR="002D64E9" w:rsidRPr="002D64E9">
        <w:t>hypothetical postulation as to the absence of equities, in the absence of knowledge of the facts, is dangerous</w:t>
      </w:r>
      <w:r w:rsidR="002D64E9">
        <w:t xml:space="preserve">. But having said this, </w:t>
      </w:r>
      <w:r w:rsidR="003D7E1E">
        <w:t xml:space="preserve">and without being definitive, </w:t>
      </w:r>
      <w:r w:rsidR="002D64E9">
        <w:t>given the breadth of the statutory discretion in s 33</w:t>
      </w:r>
      <w:proofErr w:type="gramStart"/>
      <w:r w:rsidR="002D64E9">
        <w:t>V(</w:t>
      </w:r>
      <w:proofErr w:type="gramEnd"/>
      <w:r w:rsidR="002D64E9">
        <w:t>2)</w:t>
      </w:r>
      <w:r w:rsidR="003D7E1E">
        <w:t>,</w:t>
      </w:r>
      <w:r w:rsidR="002D64E9">
        <w:t xml:space="preserve"> it is difficult to conceive of a realistic circumstance where an order could not be made under the statute and yet equity would provide a remedy.</w:t>
      </w:r>
    </w:p>
    <w:p w14:paraId="61251B79" w14:textId="357133CC" w:rsidR="00FD1CF0" w:rsidRDefault="0071710E" w:rsidP="0071710E">
      <w:pPr>
        <w:pStyle w:val="ParaNumbering"/>
        <w:numPr>
          <w:ilvl w:val="0"/>
          <w:numId w:val="0"/>
        </w:numPr>
        <w:tabs>
          <w:tab w:val="left" w:pos="720"/>
        </w:tabs>
        <w:ind w:hanging="720"/>
      </w:pPr>
      <w:r>
        <w:rPr>
          <w:sz w:val="20"/>
        </w:rPr>
        <w:t>416</w:t>
      </w:r>
      <w:r>
        <w:rPr>
          <w:sz w:val="20"/>
        </w:rPr>
        <w:tab/>
      </w:r>
      <w:r w:rsidR="00FD1CF0">
        <w:t xml:space="preserve">The only qualification to this (and where equity </w:t>
      </w:r>
      <w:r w:rsidR="004A4819">
        <w:t>seems to me to</w:t>
      </w:r>
      <w:r w:rsidR="00FD1CF0">
        <w:t xml:space="preserve"> have a role) is where there is a settlement which produces an asset of </w:t>
      </w:r>
      <w:proofErr w:type="gramStart"/>
      <w:r w:rsidR="00FD1CF0">
        <w:t>value</w:t>
      </w:r>
      <w:proofErr w:type="gramEnd"/>
      <w:r w:rsidR="00FD1CF0">
        <w:t xml:space="preserve"> but the asset is not a fund of money (as is required to engage the discretionary power under s 33V). But there is no suggestion that t</w:t>
      </w:r>
      <w:r w:rsidR="003E5315">
        <w:t xml:space="preserve">his </w:t>
      </w:r>
      <w:r w:rsidR="002D64E9">
        <w:t>has any relevance to</w:t>
      </w:r>
      <w:r w:rsidR="003E5315">
        <w:t xml:space="preserve"> the present case. </w:t>
      </w:r>
      <w:r w:rsidR="00FD1CF0">
        <w:t>The availability of equitable remedies can be put to one side.</w:t>
      </w:r>
      <w:r w:rsidR="002D64E9">
        <w:t xml:space="preserve"> </w:t>
      </w:r>
      <w:r w:rsidR="00FD1CF0">
        <w:t xml:space="preserve"> </w:t>
      </w:r>
    </w:p>
    <w:p w14:paraId="679BDA74" w14:textId="47278D9F" w:rsidR="00FD1CF0" w:rsidRPr="0088721D" w:rsidRDefault="00A866F4" w:rsidP="00A866F4">
      <w:pPr>
        <w:pStyle w:val="Heading2"/>
        <w:rPr>
          <w:b w:val="0"/>
          <w:i/>
        </w:rPr>
      </w:pPr>
      <w:r>
        <w:t>F.2</w:t>
      </w:r>
      <w:r>
        <w:tab/>
      </w:r>
      <w:r w:rsidR="00FD1CF0" w:rsidRPr="00A866F4">
        <w:rPr>
          <w:i/>
        </w:rPr>
        <w:t xml:space="preserve">Discretion to Grant Relief  </w:t>
      </w:r>
    </w:p>
    <w:p w14:paraId="5E4A92DC" w14:textId="2817D5C8" w:rsidR="00811CB4" w:rsidRDefault="0071710E" w:rsidP="0071710E">
      <w:pPr>
        <w:pStyle w:val="ParaNumbering"/>
        <w:numPr>
          <w:ilvl w:val="0"/>
          <w:numId w:val="0"/>
        </w:numPr>
        <w:tabs>
          <w:tab w:val="left" w:pos="720"/>
        </w:tabs>
        <w:ind w:hanging="720"/>
      </w:pPr>
      <w:r>
        <w:rPr>
          <w:sz w:val="20"/>
        </w:rPr>
        <w:t>417</w:t>
      </w:r>
      <w:r>
        <w:rPr>
          <w:sz w:val="20"/>
        </w:rPr>
        <w:tab/>
      </w:r>
      <w:r w:rsidR="004B3C15">
        <w:t xml:space="preserve">I </w:t>
      </w:r>
      <w:proofErr w:type="gramStart"/>
      <w:r w:rsidR="004B3C15">
        <w:t>made reference</w:t>
      </w:r>
      <w:proofErr w:type="gramEnd"/>
      <w:r w:rsidR="004B3C15">
        <w:t xml:space="preserve"> above to the interrelationship between </w:t>
      </w:r>
      <w:r w:rsidR="004B3C15" w:rsidRPr="004B3C15">
        <w:t>jurisdiction, power and discretion.</w:t>
      </w:r>
      <w:r w:rsidR="00F9641B">
        <w:t xml:space="preserve"> Just because answering the Reserved Q</w:t>
      </w:r>
      <w:r w:rsidR="004B3C15">
        <w:t xml:space="preserve">uestion would be a proper exercise of judicial power does </w:t>
      </w:r>
      <w:r w:rsidR="00F9641B">
        <w:t>not mean it should be answered.</w:t>
      </w:r>
      <w:r w:rsidR="00811CB4">
        <w:t xml:space="preserve"> </w:t>
      </w:r>
      <w:proofErr w:type="gramStart"/>
      <w:r w:rsidR="00E60338">
        <w:t>Similarly</w:t>
      </w:r>
      <w:proofErr w:type="gramEnd"/>
      <w:r w:rsidR="00811CB4">
        <w:t xml:space="preserve"> to declaratory </w:t>
      </w:r>
      <w:r w:rsidR="00E60338">
        <w:t xml:space="preserve">relief, </w:t>
      </w:r>
      <w:r w:rsidR="00811CB4">
        <w:t xml:space="preserve">which also has a statutory foundation, </w:t>
      </w:r>
      <w:r w:rsidR="00F9641B">
        <w:t>even if the Reserved Q</w:t>
      </w:r>
      <w:r w:rsidR="00E60338">
        <w:t>uest</w:t>
      </w:r>
      <w:r w:rsidR="00F9641B">
        <w:t xml:space="preserve">ion </w:t>
      </w:r>
      <w:r w:rsidR="002E5BCA">
        <w:t>can</w:t>
      </w:r>
      <w:r w:rsidR="00E60338">
        <w:t xml:space="preserve">not </w:t>
      </w:r>
      <w:r w:rsidR="002E5BCA">
        <w:t xml:space="preserve">be stigmatised as being </w:t>
      </w:r>
      <w:r w:rsidR="00E60338">
        <w:t>purely abstract or hypothetical, r</w:t>
      </w:r>
      <w:r w:rsidR="00E60338" w:rsidRPr="00E60338">
        <w:t xml:space="preserve">elief </w:t>
      </w:r>
      <w:r w:rsidR="00E60338">
        <w:t>should not be granted</w:t>
      </w:r>
      <w:r w:rsidR="00E60338" w:rsidRPr="00E60338">
        <w:t xml:space="preserve"> in relation to circumstances that </w:t>
      </w:r>
      <w:r w:rsidR="00207EB9">
        <w:t>are unlikely</w:t>
      </w:r>
      <w:r w:rsidR="00F9641B">
        <w:t xml:space="preserve">: </w:t>
      </w:r>
      <w:r w:rsidR="00E60338" w:rsidRPr="00811CB4">
        <w:rPr>
          <w:i/>
        </w:rPr>
        <w:t>Ainsworth v Criminal Justice Commission</w:t>
      </w:r>
      <w:r w:rsidR="00E60338" w:rsidRPr="00E60338">
        <w:t> (1992) 1</w:t>
      </w:r>
      <w:r w:rsidR="00F9641B">
        <w:t xml:space="preserve">75 CLR 564 (at </w:t>
      </w:r>
      <w:r w:rsidR="00E60338" w:rsidRPr="00E60338">
        <w:t>582</w:t>
      </w:r>
      <w:r w:rsidR="00F9641B">
        <w:t xml:space="preserve"> per Mason CJ, Dawson, Toohey and </w:t>
      </w:r>
      <w:proofErr w:type="spellStart"/>
      <w:r w:rsidR="00F9641B">
        <w:t>Gaudron</w:t>
      </w:r>
      <w:proofErr w:type="spellEnd"/>
      <w:r w:rsidR="00F9641B">
        <w:t xml:space="preserve"> JJ</w:t>
      </w:r>
      <w:r w:rsidR="00E60338">
        <w:t>)</w:t>
      </w:r>
      <w:r w:rsidR="00E60338" w:rsidRPr="00E60338">
        <w:t>.</w:t>
      </w:r>
    </w:p>
    <w:p w14:paraId="63D460DE" w14:textId="6B2C9332" w:rsidR="00E60338" w:rsidRPr="00E60338" w:rsidRDefault="0071710E" w:rsidP="0071710E">
      <w:pPr>
        <w:pStyle w:val="ParaNumbering"/>
        <w:numPr>
          <w:ilvl w:val="0"/>
          <w:numId w:val="0"/>
        </w:numPr>
        <w:tabs>
          <w:tab w:val="left" w:pos="720"/>
        </w:tabs>
        <w:ind w:hanging="720"/>
      </w:pPr>
      <w:r w:rsidRPr="00E60338">
        <w:rPr>
          <w:sz w:val="20"/>
        </w:rPr>
        <w:t>418</w:t>
      </w:r>
      <w:r w:rsidRPr="00E60338">
        <w:rPr>
          <w:sz w:val="20"/>
        </w:rPr>
        <w:tab/>
      </w:r>
      <w:r w:rsidR="00E60338">
        <w:t xml:space="preserve">However, in </w:t>
      </w:r>
      <w:proofErr w:type="gramStart"/>
      <w:r w:rsidR="00E60338">
        <w:t>a number of</w:t>
      </w:r>
      <w:proofErr w:type="gramEnd"/>
      <w:r w:rsidR="00E60338">
        <w:t xml:space="preserve"> respects, the answer to the Reserved Question </w:t>
      </w:r>
      <w:r w:rsidR="00535F13">
        <w:t>has</w:t>
      </w:r>
      <w:r w:rsidR="00E60338">
        <w:t xml:space="preserve"> real and immediate utility.</w:t>
      </w:r>
    </w:p>
    <w:p w14:paraId="37DEDAAD" w14:textId="3604A4A1" w:rsidR="002D64E9" w:rsidRDefault="0071710E" w:rsidP="0071710E">
      <w:pPr>
        <w:pStyle w:val="ParaNumbering"/>
        <w:numPr>
          <w:ilvl w:val="0"/>
          <w:numId w:val="0"/>
        </w:numPr>
        <w:tabs>
          <w:tab w:val="left" w:pos="720"/>
        </w:tabs>
        <w:ind w:hanging="720"/>
      </w:pPr>
      <w:r>
        <w:rPr>
          <w:sz w:val="20"/>
        </w:rPr>
        <w:t>419</w:t>
      </w:r>
      <w:r>
        <w:rPr>
          <w:sz w:val="20"/>
        </w:rPr>
        <w:tab/>
      </w:r>
      <w:r w:rsidR="00E60338">
        <w:t xml:space="preserve">As noted above, in the Class Action, </w:t>
      </w:r>
      <w:r w:rsidR="002D64E9" w:rsidRPr="00F42018">
        <w:t xml:space="preserve">an application </w:t>
      </w:r>
      <w:r w:rsidR="00E60338">
        <w:t xml:space="preserve">is before the Court </w:t>
      </w:r>
      <w:r w:rsidR="002D64E9" w:rsidRPr="00F42018">
        <w:t>to approve opt</w:t>
      </w:r>
      <w:r w:rsidR="00535F13">
        <w:t xml:space="preserve"> </w:t>
      </w:r>
      <w:r w:rsidR="002D64E9" w:rsidRPr="00F42018">
        <w:t>out notices under s 33</w:t>
      </w:r>
      <w:proofErr w:type="gramStart"/>
      <w:r w:rsidR="002D64E9" w:rsidRPr="00F42018">
        <w:t>Y(</w:t>
      </w:r>
      <w:proofErr w:type="gramEnd"/>
      <w:r w:rsidR="002D64E9" w:rsidRPr="00F42018">
        <w:t>2) of the FCA Act.</w:t>
      </w:r>
      <w:r w:rsidR="002D64E9" w:rsidRPr="004B3C15">
        <w:t xml:space="preserve"> </w:t>
      </w:r>
      <w:r w:rsidR="002D64E9" w:rsidRPr="00F42018">
        <w:t>The purpose of opt</w:t>
      </w:r>
      <w:r w:rsidR="00535F13">
        <w:t xml:space="preserve"> </w:t>
      </w:r>
      <w:r w:rsidR="0034518B">
        <w:t xml:space="preserve">out notices </w:t>
      </w:r>
      <w:r w:rsidR="002D64E9" w:rsidRPr="00F42018">
        <w:t>is to ensure</w:t>
      </w:r>
      <w:r w:rsidR="002D64E9" w:rsidRPr="004B3C15">
        <w:t xml:space="preserve"> </w:t>
      </w:r>
      <w:r w:rsidR="002D64E9" w:rsidRPr="00F42018">
        <w:t>that</w:t>
      </w:r>
      <w:r w:rsidR="002D64E9" w:rsidRPr="004B3C15">
        <w:t xml:space="preserve"> </w:t>
      </w:r>
      <w:r w:rsidR="002D64E9" w:rsidRPr="00F42018">
        <w:t>group members can make an informed de</w:t>
      </w:r>
      <w:r w:rsidR="00E60338">
        <w:t>cision concerning their rights</w:t>
      </w:r>
      <w:r w:rsidR="002D64E9" w:rsidRPr="00F42018">
        <w:t>.</w:t>
      </w:r>
      <w:r w:rsidR="00E60338">
        <w:t xml:space="preserve"> </w:t>
      </w:r>
      <w:r w:rsidR="002D64E9" w:rsidRPr="00F42018">
        <w:t>The</w:t>
      </w:r>
      <w:r w:rsidR="002D64E9" w:rsidRPr="00E60338">
        <w:rPr>
          <w:spacing w:val="-4"/>
        </w:rPr>
        <w:t xml:space="preserve"> </w:t>
      </w:r>
      <w:r w:rsidR="00811CB4">
        <w:rPr>
          <w:spacing w:val="-4"/>
        </w:rPr>
        <w:t xml:space="preserve">importance of </w:t>
      </w:r>
      <w:r w:rsidR="00037315">
        <w:rPr>
          <w:spacing w:val="-4"/>
        </w:rPr>
        <w:t xml:space="preserve">group members being apprised of </w:t>
      </w:r>
      <w:r w:rsidR="00811CB4">
        <w:rPr>
          <w:spacing w:val="-4"/>
        </w:rPr>
        <w:t>information of this type</w:t>
      </w:r>
      <w:r w:rsidR="00037315">
        <w:rPr>
          <w:spacing w:val="-4"/>
        </w:rPr>
        <w:t xml:space="preserve"> promptly, and prior to opt out, </w:t>
      </w:r>
      <w:r w:rsidR="00811CB4">
        <w:rPr>
          <w:spacing w:val="-4"/>
        </w:rPr>
        <w:t xml:space="preserve">is reflected in the fact that the </w:t>
      </w:r>
      <w:r w:rsidR="00811CB4" w:rsidRPr="00870247">
        <w:rPr>
          <w:i/>
        </w:rPr>
        <w:t>Class</w:t>
      </w:r>
      <w:r w:rsidR="00811CB4" w:rsidRPr="00870247">
        <w:rPr>
          <w:i/>
          <w:spacing w:val="-1"/>
        </w:rPr>
        <w:t xml:space="preserve"> </w:t>
      </w:r>
      <w:r w:rsidR="00811CB4" w:rsidRPr="00870247">
        <w:rPr>
          <w:i/>
        </w:rPr>
        <w:t>Actions</w:t>
      </w:r>
      <w:r w:rsidR="00811CB4" w:rsidRPr="00870247">
        <w:rPr>
          <w:i/>
          <w:spacing w:val="-1"/>
        </w:rPr>
        <w:t xml:space="preserve"> </w:t>
      </w:r>
      <w:r w:rsidR="00811CB4" w:rsidRPr="00870247">
        <w:rPr>
          <w:i/>
        </w:rPr>
        <w:t>Practice</w:t>
      </w:r>
      <w:r w:rsidR="00811CB4" w:rsidRPr="00870247">
        <w:rPr>
          <w:i/>
          <w:spacing w:val="-2"/>
        </w:rPr>
        <w:t xml:space="preserve"> </w:t>
      </w:r>
      <w:r w:rsidR="00811CB4" w:rsidRPr="00870247">
        <w:rPr>
          <w:i/>
        </w:rPr>
        <w:t>Note</w:t>
      </w:r>
      <w:r w:rsidR="00811CB4" w:rsidRPr="00250577">
        <w:rPr>
          <w:spacing w:val="-2"/>
        </w:rPr>
        <w:t xml:space="preserve"> </w:t>
      </w:r>
      <w:r w:rsidR="00811CB4" w:rsidRPr="00250577">
        <w:t>(</w:t>
      </w:r>
      <w:r w:rsidR="00811CB4" w:rsidRPr="00870247">
        <w:t>GPN-CA</w:t>
      </w:r>
      <w:r w:rsidR="00811CB4" w:rsidRPr="00250577">
        <w:t>)</w:t>
      </w:r>
      <w:r w:rsidR="00811CB4" w:rsidRPr="00250577">
        <w:rPr>
          <w:spacing w:val="-5"/>
        </w:rPr>
        <w:t xml:space="preserve"> </w:t>
      </w:r>
      <w:r w:rsidR="00037315">
        <w:rPr>
          <w:spacing w:val="-5"/>
        </w:rPr>
        <w:t>(</w:t>
      </w:r>
      <w:r w:rsidR="00811CB4" w:rsidRPr="00250577">
        <w:t>at</w:t>
      </w:r>
      <w:r w:rsidR="00811CB4" w:rsidRPr="00250577">
        <w:rPr>
          <w:spacing w:val="-4"/>
        </w:rPr>
        <w:t xml:space="preserve"> </w:t>
      </w:r>
      <w:r w:rsidR="00037315">
        <w:t>[15.4], [16.1])</w:t>
      </w:r>
      <w:r w:rsidR="00811CB4" w:rsidRPr="00250577">
        <w:rPr>
          <w:spacing w:val="-3"/>
        </w:rPr>
        <w:t xml:space="preserve"> </w:t>
      </w:r>
      <w:r w:rsidR="00811CB4" w:rsidRPr="00250577">
        <w:t>require</w:t>
      </w:r>
      <w:r w:rsidR="00037315">
        <w:t>s</w:t>
      </w:r>
      <w:r w:rsidR="00811CB4" w:rsidRPr="00250577">
        <w:rPr>
          <w:spacing w:val="-2"/>
        </w:rPr>
        <w:t xml:space="preserve"> </w:t>
      </w:r>
      <w:r w:rsidR="00037315">
        <w:t>group</w:t>
      </w:r>
      <w:r w:rsidR="00811CB4" w:rsidRPr="00250577">
        <w:t xml:space="preserve"> members to be alerted to the likelihood of</w:t>
      </w:r>
      <w:r w:rsidR="00811CB4" w:rsidRPr="00250577">
        <w:rPr>
          <w:spacing w:val="-2"/>
        </w:rPr>
        <w:t xml:space="preserve"> </w:t>
      </w:r>
      <w:r w:rsidR="00811CB4" w:rsidRPr="00250577">
        <w:t>deductions from</w:t>
      </w:r>
      <w:r w:rsidR="00811CB4" w:rsidRPr="00250577">
        <w:rPr>
          <w:spacing w:val="-1"/>
        </w:rPr>
        <w:t xml:space="preserve"> </w:t>
      </w:r>
      <w:r w:rsidR="006A108A">
        <w:rPr>
          <w:spacing w:val="-1"/>
        </w:rPr>
        <w:t xml:space="preserve">any </w:t>
      </w:r>
      <w:r w:rsidR="00811CB4" w:rsidRPr="00250577">
        <w:t>settlement</w:t>
      </w:r>
      <w:r w:rsidR="00811CB4" w:rsidRPr="00250577">
        <w:rPr>
          <w:spacing w:val="-1"/>
        </w:rPr>
        <w:t xml:space="preserve"> </w:t>
      </w:r>
      <w:r w:rsidR="00811CB4" w:rsidRPr="00250577">
        <w:t xml:space="preserve">fund </w:t>
      </w:r>
      <w:r w:rsidR="00870247">
        <w:t>as soon</w:t>
      </w:r>
      <w:r w:rsidR="00811CB4" w:rsidRPr="00250577">
        <w:t xml:space="preserve"> as practicable</w:t>
      </w:r>
      <w:r w:rsidR="00811CB4">
        <w:t>.</w:t>
      </w:r>
      <w:r w:rsidR="00037315">
        <w:t xml:space="preserve">  The </w:t>
      </w:r>
      <w:r w:rsidR="002D64E9" w:rsidRPr="00F42018">
        <w:t>proposed</w:t>
      </w:r>
      <w:r w:rsidR="002D64E9" w:rsidRPr="00037315">
        <w:rPr>
          <w:spacing w:val="-2"/>
        </w:rPr>
        <w:t xml:space="preserve"> </w:t>
      </w:r>
      <w:r w:rsidR="002D64E9" w:rsidRPr="00F42018">
        <w:t>opt</w:t>
      </w:r>
      <w:r w:rsidR="00870247">
        <w:t xml:space="preserve"> </w:t>
      </w:r>
      <w:r w:rsidR="002D64E9" w:rsidRPr="00F42018">
        <w:t>out</w:t>
      </w:r>
      <w:r w:rsidR="002D64E9" w:rsidRPr="00037315">
        <w:rPr>
          <w:spacing w:val="-4"/>
        </w:rPr>
        <w:t xml:space="preserve"> </w:t>
      </w:r>
      <w:r w:rsidR="002D64E9" w:rsidRPr="00F42018">
        <w:t>notice</w:t>
      </w:r>
      <w:r w:rsidR="00037315">
        <w:t>s</w:t>
      </w:r>
      <w:r w:rsidR="002D64E9" w:rsidRPr="00037315">
        <w:rPr>
          <w:spacing w:val="-3"/>
        </w:rPr>
        <w:t xml:space="preserve"> </w:t>
      </w:r>
      <w:r w:rsidR="002D64E9" w:rsidRPr="00F42018">
        <w:t>relevantly</w:t>
      </w:r>
      <w:r w:rsidR="002D64E9" w:rsidRPr="00037315">
        <w:rPr>
          <w:spacing w:val="-1"/>
        </w:rPr>
        <w:t xml:space="preserve"> </w:t>
      </w:r>
      <w:r w:rsidR="00037315">
        <w:t>state</w:t>
      </w:r>
      <w:r w:rsidR="002D64E9" w:rsidRPr="00037315">
        <w:rPr>
          <w:spacing w:val="-1"/>
        </w:rPr>
        <w:t xml:space="preserve"> </w:t>
      </w:r>
      <w:r w:rsidR="002D64E9" w:rsidRPr="00F42018">
        <w:t>that,</w:t>
      </w:r>
      <w:r w:rsidR="002D64E9" w:rsidRPr="00037315">
        <w:rPr>
          <w:spacing w:val="-2"/>
        </w:rPr>
        <w:t xml:space="preserve"> </w:t>
      </w:r>
      <w:r w:rsidR="002D64E9" w:rsidRPr="00F42018">
        <w:t>if</w:t>
      </w:r>
      <w:r w:rsidR="002D64E9" w:rsidRPr="00037315">
        <w:rPr>
          <w:spacing w:val="-2"/>
        </w:rPr>
        <w:t xml:space="preserve"> </w:t>
      </w:r>
      <w:r w:rsidR="002D64E9" w:rsidRPr="00F42018">
        <w:t>the</w:t>
      </w:r>
      <w:r w:rsidR="002D64E9" w:rsidRPr="00037315">
        <w:rPr>
          <w:spacing w:val="-4"/>
        </w:rPr>
        <w:t xml:space="preserve"> </w:t>
      </w:r>
      <w:r w:rsidR="00037315">
        <w:t>C</w:t>
      </w:r>
      <w:r w:rsidR="002D64E9" w:rsidRPr="00F42018">
        <w:t>lass</w:t>
      </w:r>
      <w:r w:rsidR="002D64E9" w:rsidRPr="00037315">
        <w:rPr>
          <w:spacing w:val="-1"/>
        </w:rPr>
        <w:t xml:space="preserve"> </w:t>
      </w:r>
      <w:r w:rsidR="00037315">
        <w:t>A</w:t>
      </w:r>
      <w:r w:rsidR="002D64E9" w:rsidRPr="00F42018">
        <w:t>ction</w:t>
      </w:r>
      <w:r w:rsidR="002D64E9" w:rsidRPr="00037315">
        <w:rPr>
          <w:spacing w:val="-2"/>
        </w:rPr>
        <w:t xml:space="preserve"> </w:t>
      </w:r>
      <w:r w:rsidR="00037315">
        <w:t>settles</w:t>
      </w:r>
      <w:r w:rsidR="002D64E9" w:rsidRPr="00F42018">
        <w:t>, then “the Court will be asked to make an order that some of the money be deducted and used to pay a share of … remuneration (commission) to the litigation funder for having</w:t>
      </w:r>
      <w:r w:rsidR="002D64E9" w:rsidRPr="00037315">
        <w:rPr>
          <w:spacing w:val="-3"/>
        </w:rPr>
        <w:t xml:space="preserve"> </w:t>
      </w:r>
      <w:r w:rsidR="002D64E9" w:rsidRPr="00F42018">
        <w:t>taken</w:t>
      </w:r>
      <w:r w:rsidR="002D64E9" w:rsidRPr="00037315">
        <w:rPr>
          <w:spacing w:val="-3"/>
        </w:rPr>
        <w:t xml:space="preserve"> </w:t>
      </w:r>
      <w:r w:rsidR="002D64E9" w:rsidRPr="00F42018">
        <w:t>the</w:t>
      </w:r>
      <w:r w:rsidR="002D64E9" w:rsidRPr="00037315">
        <w:rPr>
          <w:spacing w:val="-5"/>
        </w:rPr>
        <w:t xml:space="preserve"> </w:t>
      </w:r>
      <w:r w:rsidR="002D64E9" w:rsidRPr="00F42018">
        <w:t>financial</w:t>
      </w:r>
      <w:r w:rsidR="002D64E9" w:rsidRPr="00037315">
        <w:rPr>
          <w:spacing w:val="-5"/>
        </w:rPr>
        <w:t xml:space="preserve"> </w:t>
      </w:r>
      <w:r w:rsidR="002D64E9" w:rsidRPr="00F42018">
        <w:t>risk</w:t>
      </w:r>
      <w:r w:rsidR="002D64E9" w:rsidRPr="00037315">
        <w:rPr>
          <w:spacing w:val="-3"/>
        </w:rPr>
        <w:t xml:space="preserve"> </w:t>
      </w:r>
      <w:r w:rsidR="002D64E9" w:rsidRPr="00F42018">
        <w:t>of</w:t>
      </w:r>
      <w:r w:rsidR="002D64E9" w:rsidRPr="00037315">
        <w:rPr>
          <w:spacing w:val="-3"/>
        </w:rPr>
        <w:t xml:space="preserve"> </w:t>
      </w:r>
      <w:r w:rsidR="002D64E9" w:rsidRPr="00F42018">
        <w:t>the</w:t>
      </w:r>
      <w:r w:rsidR="002D64E9" w:rsidRPr="00037315">
        <w:rPr>
          <w:spacing w:val="-5"/>
        </w:rPr>
        <w:t xml:space="preserve"> </w:t>
      </w:r>
      <w:r w:rsidR="002D64E9" w:rsidRPr="00F42018">
        <w:t>Class</w:t>
      </w:r>
      <w:r w:rsidR="002D64E9" w:rsidRPr="00037315">
        <w:rPr>
          <w:spacing w:val="-2"/>
        </w:rPr>
        <w:t xml:space="preserve"> </w:t>
      </w:r>
      <w:r w:rsidR="002D64E9" w:rsidRPr="00F42018">
        <w:t xml:space="preserve">Action” </w:t>
      </w:r>
      <w:r w:rsidR="00E60338">
        <w:t>and</w:t>
      </w:r>
      <w:r w:rsidR="002D64E9" w:rsidRPr="00037315">
        <w:rPr>
          <w:spacing w:val="-3"/>
        </w:rPr>
        <w:t xml:space="preserve"> </w:t>
      </w:r>
      <w:r w:rsidR="002D64E9" w:rsidRPr="00F42018">
        <w:t>goes</w:t>
      </w:r>
      <w:r w:rsidR="002D64E9" w:rsidRPr="00037315">
        <w:rPr>
          <w:spacing w:val="-2"/>
        </w:rPr>
        <w:t xml:space="preserve"> </w:t>
      </w:r>
      <w:r w:rsidR="002D64E9" w:rsidRPr="00F42018">
        <w:t>on</w:t>
      </w:r>
      <w:r w:rsidR="002D64E9" w:rsidRPr="00037315">
        <w:rPr>
          <w:spacing w:val="-3"/>
        </w:rPr>
        <w:t xml:space="preserve"> </w:t>
      </w:r>
      <w:r w:rsidR="002D64E9" w:rsidRPr="00F42018">
        <w:t>to</w:t>
      </w:r>
      <w:r w:rsidR="002D64E9" w:rsidRPr="00037315">
        <w:rPr>
          <w:spacing w:val="-3"/>
        </w:rPr>
        <w:t xml:space="preserve"> </w:t>
      </w:r>
      <w:r w:rsidR="00E60338">
        <w:t>advise</w:t>
      </w:r>
      <w:r w:rsidR="002D64E9" w:rsidRPr="00F42018">
        <w:t xml:space="preserve"> that the Court will “decide what funding commission is reasonable” (but that group members should assume that it will be in the range of 20</w:t>
      </w:r>
      <w:r w:rsidR="007732DA">
        <w:t>–</w:t>
      </w:r>
      <w:r w:rsidR="002D64E9" w:rsidRPr="00F42018">
        <w:t>30%). The notice therefore contemplates an application for a Settlement CFO</w:t>
      </w:r>
      <w:r w:rsidR="00037315">
        <w:t xml:space="preserve"> of a particular type</w:t>
      </w:r>
      <w:r w:rsidR="002D64E9" w:rsidRPr="00F42018">
        <w:t xml:space="preserve">. This information would </w:t>
      </w:r>
      <w:r w:rsidR="00E60338">
        <w:t xml:space="preserve">necessarily be removed </w:t>
      </w:r>
      <w:r w:rsidR="00D5280F">
        <w:t xml:space="preserve">from any approved notices </w:t>
      </w:r>
      <w:r w:rsidR="00E60338">
        <w:t>i</w:t>
      </w:r>
      <w:r w:rsidR="007B40FD">
        <w:t>f</w:t>
      </w:r>
      <w:r w:rsidR="00E60338">
        <w:t xml:space="preserve"> there was a want of</w:t>
      </w:r>
      <w:r w:rsidR="002D64E9" w:rsidRPr="00F42018">
        <w:t xml:space="preserve"> power to make a Settlement CFO.</w:t>
      </w:r>
    </w:p>
    <w:p w14:paraId="2B718D63" w14:textId="594137C0" w:rsidR="00D73FC6" w:rsidRDefault="0071710E" w:rsidP="0071710E">
      <w:pPr>
        <w:pStyle w:val="ParaNumbering"/>
        <w:numPr>
          <w:ilvl w:val="0"/>
          <w:numId w:val="0"/>
        </w:numPr>
        <w:tabs>
          <w:tab w:val="left" w:pos="720"/>
        </w:tabs>
        <w:ind w:hanging="720"/>
      </w:pPr>
      <w:r>
        <w:rPr>
          <w:sz w:val="20"/>
        </w:rPr>
        <w:t>420</w:t>
      </w:r>
      <w:r>
        <w:rPr>
          <w:sz w:val="20"/>
        </w:rPr>
        <w:tab/>
      </w:r>
      <w:r w:rsidR="00DF771D">
        <w:t>Moreover, i</w:t>
      </w:r>
      <w:r w:rsidR="00E60338">
        <w:t>n the present case, the</w:t>
      </w:r>
      <w:r w:rsidR="002D64E9" w:rsidRPr="00F42018">
        <w:t xml:space="preserve"> fact</w:t>
      </w:r>
      <w:r w:rsidR="002D64E9" w:rsidRPr="00F42018">
        <w:rPr>
          <w:spacing w:val="-4"/>
        </w:rPr>
        <w:t xml:space="preserve"> </w:t>
      </w:r>
      <w:r w:rsidR="002D64E9" w:rsidRPr="00F42018">
        <w:t>that</w:t>
      </w:r>
      <w:r w:rsidR="002D64E9" w:rsidRPr="00F42018">
        <w:rPr>
          <w:spacing w:val="-4"/>
        </w:rPr>
        <w:t xml:space="preserve"> </w:t>
      </w:r>
      <w:r w:rsidR="002D64E9" w:rsidRPr="00F42018">
        <w:t>a</w:t>
      </w:r>
      <w:r w:rsidR="002D64E9" w:rsidRPr="00F42018">
        <w:rPr>
          <w:spacing w:val="-4"/>
        </w:rPr>
        <w:t xml:space="preserve"> </w:t>
      </w:r>
      <w:r w:rsidR="002D64E9" w:rsidRPr="00F42018">
        <w:t>Settlement</w:t>
      </w:r>
      <w:r w:rsidR="002D64E9" w:rsidRPr="00F42018">
        <w:rPr>
          <w:spacing w:val="-4"/>
        </w:rPr>
        <w:t xml:space="preserve"> </w:t>
      </w:r>
      <w:r w:rsidR="002D64E9" w:rsidRPr="00F42018">
        <w:t>CFO</w:t>
      </w:r>
      <w:r w:rsidR="002D64E9" w:rsidRPr="00F42018">
        <w:rPr>
          <w:spacing w:val="-1"/>
        </w:rPr>
        <w:t xml:space="preserve"> </w:t>
      </w:r>
      <w:r w:rsidR="002D64E9" w:rsidRPr="00F42018">
        <w:t>may</w:t>
      </w:r>
      <w:r w:rsidR="002D64E9" w:rsidRPr="00F42018">
        <w:rPr>
          <w:spacing w:val="-2"/>
        </w:rPr>
        <w:t xml:space="preserve"> </w:t>
      </w:r>
      <w:r w:rsidR="002D64E9" w:rsidRPr="00F42018">
        <w:t>be</w:t>
      </w:r>
      <w:r w:rsidR="002D64E9" w:rsidRPr="00F42018">
        <w:rPr>
          <w:spacing w:val="-4"/>
        </w:rPr>
        <w:t xml:space="preserve"> </w:t>
      </w:r>
      <w:r w:rsidR="002D64E9" w:rsidRPr="00F42018">
        <w:t>made</w:t>
      </w:r>
      <w:r w:rsidR="002D64E9" w:rsidRPr="00F42018">
        <w:rPr>
          <w:spacing w:val="-4"/>
        </w:rPr>
        <w:t xml:space="preserve"> </w:t>
      </w:r>
      <w:r w:rsidR="002D64E9" w:rsidRPr="00F42018">
        <w:t>is</w:t>
      </w:r>
      <w:r w:rsidR="002D64E9" w:rsidRPr="00F42018">
        <w:rPr>
          <w:spacing w:val="-1"/>
        </w:rPr>
        <w:t xml:space="preserve"> </w:t>
      </w:r>
      <w:r w:rsidR="00E60338">
        <w:rPr>
          <w:spacing w:val="-1"/>
        </w:rPr>
        <w:t xml:space="preserve">not only </w:t>
      </w:r>
      <w:r w:rsidR="002D64E9" w:rsidRPr="00F42018">
        <w:t>relevant to</w:t>
      </w:r>
      <w:r w:rsidR="002D64E9" w:rsidRPr="00F42018">
        <w:rPr>
          <w:spacing w:val="-2"/>
        </w:rPr>
        <w:t xml:space="preserve"> </w:t>
      </w:r>
      <w:r w:rsidR="002D64E9" w:rsidRPr="00F42018">
        <w:t>a</w:t>
      </w:r>
      <w:r w:rsidR="002D64E9" w:rsidRPr="00F42018">
        <w:rPr>
          <w:spacing w:val="-4"/>
        </w:rPr>
        <w:t xml:space="preserve"> </w:t>
      </w:r>
      <w:r w:rsidR="002D64E9" w:rsidRPr="00F42018">
        <w:t>group</w:t>
      </w:r>
      <w:r w:rsidR="002D64E9" w:rsidRPr="00F42018">
        <w:rPr>
          <w:spacing w:val="-2"/>
        </w:rPr>
        <w:t xml:space="preserve"> </w:t>
      </w:r>
      <w:r w:rsidR="002D64E9" w:rsidRPr="00F42018">
        <w:t>member’s</w:t>
      </w:r>
      <w:r w:rsidR="002D64E9" w:rsidRPr="00F42018">
        <w:rPr>
          <w:spacing w:val="-1"/>
        </w:rPr>
        <w:t xml:space="preserve"> </w:t>
      </w:r>
      <w:r w:rsidR="002D64E9" w:rsidRPr="00F42018">
        <w:t>informed</w:t>
      </w:r>
      <w:r w:rsidR="002D64E9" w:rsidRPr="00F42018">
        <w:rPr>
          <w:spacing w:val="-2"/>
        </w:rPr>
        <w:t xml:space="preserve"> </w:t>
      </w:r>
      <w:r w:rsidR="002D64E9" w:rsidRPr="00F42018">
        <w:t>assessment</w:t>
      </w:r>
      <w:r w:rsidR="002D64E9" w:rsidRPr="00F42018">
        <w:rPr>
          <w:spacing w:val="-4"/>
        </w:rPr>
        <w:t xml:space="preserve"> </w:t>
      </w:r>
      <w:r w:rsidR="002D64E9" w:rsidRPr="00F42018">
        <w:t>of whether to opt out</w:t>
      </w:r>
      <w:r w:rsidR="00D73FC6">
        <w:t>,</w:t>
      </w:r>
      <w:r w:rsidR="00E60338">
        <w:t xml:space="preserve"> but an absence of power goes to the </w:t>
      </w:r>
      <w:r w:rsidR="00D73FC6">
        <w:t xml:space="preserve">whole </w:t>
      </w:r>
      <w:r w:rsidR="00E60338">
        <w:t xml:space="preserve">basis upon which the Class Action is </w:t>
      </w:r>
      <w:r w:rsidR="00D73FC6">
        <w:t xml:space="preserve">being </w:t>
      </w:r>
      <w:r w:rsidR="00E60338">
        <w:t>funded</w:t>
      </w:r>
      <w:r w:rsidR="006A108A">
        <w:t>.</w:t>
      </w:r>
      <w:r w:rsidR="00D73FC6">
        <w:t xml:space="preserve"> </w:t>
      </w:r>
      <w:r w:rsidR="006A108A">
        <w:t>T</w:t>
      </w:r>
      <w:r w:rsidR="00D73FC6">
        <w:t xml:space="preserve">here is no significant book build and no other suggestion the Class Action can be funded without the ability of the funder to obtain </w:t>
      </w:r>
      <w:r w:rsidR="00DF771D">
        <w:t xml:space="preserve">the order it has </w:t>
      </w:r>
      <w:r w:rsidR="00CD28DA">
        <w:t xml:space="preserve">made plain it is </w:t>
      </w:r>
      <w:r w:rsidR="00DF771D">
        <w:t>seeking</w:t>
      </w:r>
      <w:r w:rsidR="00CD28DA">
        <w:t xml:space="preserve"> upon </w:t>
      </w:r>
      <w:r w:rsidR="004A4819">
        <w:t xml:space="preserve">any </w:t>
      </w:r>
      <w:r w:rsidR="00CD28DA">
        <w:t>settlement or judgment</w:t>
      </w:r>
      <w:r w:rsidR="00E60338">
        <w:t xml:space="preserve">. If there was </w:t>
      </w:r>
      <w:r w:rsidR="00570A7C">
        <w:t>a want of</w:t>
      </w:r>
      <w:r w:rsidR="00E60338">
        <w:t xml:space="preserve"> power and funding</w:t>
      </w:r>
      <w:r w:rsidR="00D73FC6">
        <w:t xml:space="preserve"> was</w:t>
      </w:r>
      <w:r w:rsidR="00E60338">
        <w:t>, as a consequence</w:t>
      </w:r>
      <w:r w:rsidR="00D73FC6">
        <w:t>,</w:t>
      </w:r>
      <w:r w:rsidR="00E60338">
        <w:t xml:space="preserve"> imperilled</w:t>
      </w:r>
      <w:r w:rsidR="00D73FC6">
        <w:t>,</w:t>
      </w:r>
      <w:r w:rsidR="00E60338">
        <w:t xml:space="preserve"> </w:t>
      </w:r>
      <w:r w:rsidR="00D73FC6">
        <w:t xml:space="preserve">close attention would need to be given to what </w:t>
      </w:r>
      <w:r w:rsidR="0065182E">
        <w:t>must be</w:t>
      </w:r>
      <w:r w:rsidR="00D73FC6">
        <w:t xml:space="preserve"> said about this development to group members, who are necessarily</w:t>
      </w:r>
      <w:r w:rsidR="00E60338">
        <w:t xml:space="preserve"> concerned with the </w:t>
      </w:r>
      <w:r w:rsidR="00D73FC6">
        <w:t>viability of the Class Action in making a decision as to whether they wish to continue to have the common questions relevant to their claims resolved in th</w:t>
      </w:r>
      <w:r w:rsidR="004A4819">
        <w:t>at proceeding</w:t>
      </w:r>
      <w:r w:rsidR="00D73FC6">
        <w:t xml:space="preserve">. </w:t>
      </w:r>
    </w:p>
    <w:p w14:paraId="52AC9377" w14:textId="32C8B7D5" w:rsidR="00AA5711" w:rsidRPr="00AA5711" w:rsidRDefault="0071710E" w:rsidP="0071710E">
      <w:pPr>
        <w:pStyle w:val="ParaNumbering"/>
        <w:numPr>
          <w:ilvl w:val="0"/>
          <w:numId w:val="0"/>
        </w:numPr>
        <w:tabs>
          <w:tab w:val="left" w:pos="720"/>
        </w:tabs>
        <w:ind w:hanging="720"/>
        <w:rPr>
          <w:spacing w:val="-2"/>
        </w:rPr>
      </w:pPr>
      <w:r w:rsidRPr="00AA5711">
        <w:rPr>
          <w:spacing w:val="-2"/>
          <w:sz w:val="20"/>
        </w:rPr>
        <w:t>421</w:t>
      </w:r>
      <w:r w:rsidRPr="00AA5711">
        <w:rPr>
          <w:spacing w:val="-2"/>
          <w:sz w:val="20"/>
        </w:rPr>
        <w:tab/>
      </w:r>
      <w:r w:rsidR="00D73FC6">
        <w:t>Relatedly, as noted above</w:t>
      </w:r>
      <w:r w:rsidR="002D64E9" w:rsidRPr="00F42018">
        <w:t>, a</w:t>
      </w:r>
      <w:r w:rsidR="002D64E9" w:rsidRPr="00F42018">
        <w:rPr>
          <w:spacing w:val="-5"/>
        </w:rPr>
        <w:t xml:space="preserve"> </w:t>
      </w:r>
      <w:r w:rsidR="002D64E9" w:rsidRPr="00F42018">
        <w:t>stay</w:t>
      </w:r>
      <w:r w:rsidR="00BD6762">
        <w:t xml:space="preserve"> of</w:t>
      </w:r>
      <w:r w:rsidR="002D64E9" w:rsidRPr="00F42018">
        <w:rPr>
          <w:spacing w:val="-3"/>
        </w:rPr>
        <w:t xml:space="preserve"> </w:t>
      </w:r>
      <w:r w:rsidR="009474D5" w:rsidRPr="00F42018">
        <w:t>the</w:t>
      </w:r>
      <w:r w:rsidR="009474D5" w:rsidRPr="00F42018">
        <w:rPr>
          <w:spacing w:val="-1"/>
        </w:rPr>
        <w:t xml:space="preserve"> </w:t>
      </w:r>
      <w:r w:rsidR="009474D5">
        <w:t>Class Action</w:t>
      </w:r>
      <w:r w:rsidR="009474D5">
        <w:rPr>
          <w:spacing w:val="-3"/>
        </w:rPr>
        <w:t xml:space="preserve"> </w:t>
      </w:r>
      <w:r w:rsidR="00D73FC6">
        <w:rPr>
          <w:spacing w:val="-3"/>
        </w:rPr>
        <w:t>is sought by the SDA</w:t>
      </w:r>
      <w:r w:rsidR="002D64E9" w:rsidRPr="00F42018">
        <w:t>.</w:t>
      </w:r>
      <w:r w:rsidR="004A4819">
        <w:rPr>
          <w:spacing w:val="40"/>
        </w:rPr>
        <w:t xml:space="preserve"> </w:t>
      </w:r>
      <w:r w:rsidR="00D73FC6">
        <w:t xml:space="preserve">A central issue on that application is the relative viability of each proceeding </w:t>
      </w:r>
      <w:r w:rsidR="00AA5711">
        <w:t xml:space="preserve">and whether one, or the other, or both, present a suitable vehicle for determining the claims of </w:t>
      </w:r>
      <w:r w:rsidR="00A74668">
        <w:t>affected</w:t>
      </w:r>
      <w:r w:rsidR="00AA5711">
        <w:t xml:space="preserve"> workers. </w:t>
      </w:r>
      <w:r w:rsidR="002D64E9">
        <w:t xml:space="preserve"> </w:t>
      </w:r>
      <w:r w:rsidR="00AA5711">
        <w:t xml:space="preserve">Although the SDA </w:t>
      </w:r>
      <w:r w:rsidR="00744C73">
        <w:t xml:space="preserve">was </w:t>
      </w:r>
      <w:r w:rsidR="00AA5711">
        <w:t>reticent in pursuing its initial submissions as to statutory construction, the</w:t>
      </w:r>
      <w:r w:rsidR="002D64E9" w:rsidRPr="00250577">
        <w:t xml:space="preserve"> difference in litigation funding models as between the two proceedings is squarely raised as a factor by the Minister </w:t>
      </w:r>
      <w:r w:rsidR="00AA5711">
        <w:t>who intervened</w:t>
      </w:r>
      <w:r w:rsidR="002D64E9" w:rsidRPr="00250577">
        <w:t xml:space="preserve"> in </w:t>
      </w:r>
      <w:r w:rsidR="00AA5711">
        <w:t xml:space="preserve">support of </w:t>
      </w:r>
      <w:r w:rsidR="002D64E9" w:rsidRPr="00250577">
        <w:t xml:space="preserve">the stay </w:t>
      </w:r>
      <w:r w:rsidR="00AA5711">
        <w:t xml:space="preserve">of the Class Action.  </w:t>
      </w:r>
    </w:p>
    <w:p w14:paraId="0F591460" w14:textId="4F05F65A" w:rsidR="002D64E9" w:rsidRPr="00CF4040" w:rsidRDefault="0071710E" w:rsidP="0071710E">
      <w:pPr>
        <w:pStyle w:val="ParaNumbering"/>
        <w:numPr>
          <w:ilvl w:val="0"/>
          <w:numId w:val="0"/>
        </w:numPr>
        <w:tabs>
          <w:tab w:val="left" w:pos="720"/>
        </w:tabs>
        <w:ind w:hanging="720"/>
        <w:rPr>
          <w:spacing w:val="-2"/>
        </w:rPr>
      </w:pPr>
      <w:r w:rsidRPr="00CF4040">
        <w:rPr>
          <w:spacing w:val="-2"/>
          <w:sz w:val="20"/>
        </w:rPr>
        <w:t>422</w:t>
      </w:r>
      <w:r w:rsidRPr="00CF4040">
        <w:rPr>
          <w:spacing w:val="-2"/>
          <w:sz w:val="20"/>
        </w:rPr>
        <w:tab/>
      </w:r>
      <w:r w:rsidR="005B7A87">
        <w:t xml:space="preserve">It is not premature </w:t>
      </w:r>
      <w:r w:rsidR="002D64E9" w:rsidRPr="00F42018">
        <w:t>to answer the</w:t>
      </w:r>
      <w:r w:rsidR="002D64E9" w:rsidRPr="005B7A87">
        <w:rPr>
          <w:spacing w:val="-2"/>
        </w:rPr>
        <w:t xml:space="preserve"> </w:t>
      </w:r>
      <w:r w:rsidR="007D5D67">
        <w:t>Reserved Q</w:t>
      </w:r>
      <w:r w:rsidR="002D64E9" w:rsidRPr="00F42018">
        <w:t>uestion.</w:t>
      </w:r>
      <w:r w:rsidR="002D64E9" w:rsidRPr="005B7A87">
        <w:rPr>
          <w:spacing w:val="40"/>
        </w:rPr>
        <w:t xml:space="preserve"> </w:t>
      </w:r>
      <w:r w:rsidR="007D5D67">
        <w:t>In</w:t>
      </w:r>
      <w:r w:rsidR="002D64E9" w:rsidRPr="005B7A87">
        <w:rPr>
          <w:spacing w:val="-6"/>
        </w:rPr>
        <w:t xml:space="preserve"> </w:t>
      </w:r>
      <w:r w:rsidR="002D64E9" w:rsidRPr="00F42018">
        <w:t xml:space="preserve">both </w:t>
      </w:r>
      <w:r w:rsidR="002D64E9" w:rsidRPr="00AB1B0E">
        <w:rPr>
          <w:i/>
        </w:rPr>
        <w:t>Davaria</w:t>
      </w:r>
      <w:r w:rsidR="002D64E9" w:rsidRPr="005B7A87">
        <w:rPr>
          <w:spacing w:val="-3"/>
        </w:rPr>
        <w:t xml:space="preserve"> </w:t>
      </w:r>
      <w:r w:rsidR="002D64E9" w:rsidRPr="00F42018">
        <w:t>and</w:t>
      </w:r>
      <w:r w:rsidR="002D64E9" w:rsidRPr="005B7A87">
        <w:rPr>
          <w:spacing w:val="-4"/>
        </w:rPr>
        <w:t xml:space="preserve"> </w:t>
      </w:r>
      <w:r w:rsidR="002D64E9" w:rsidRPr="00AB1B0E">
        <w:rPr>
          <w:i/>
        </w:rPr>
        <w:t>Brewster</w:t>
      </w:r>
      <w:r w:rsidR="002D64E9" w:rsidRPr="00AB1B0E">
        <w:rPr>
          <w:i/>
          <w:spacing w:val="-2"/>
        </w:rPr>
        <w:t xml:space="preserve"> </w:t>
      </w:r>
      <w:r w:rsidR="002D64E9" w:rsidRPr="00AB1B0E">
        <w:rPr>
          <w:i/>
        </w:rPr>
        <w:t>v</w:t>
      </w:r>
      <w:r w:rsidR="002D64E9" w:rsidRPr="00AB1B0E">
        <w:rPr>
          <w:i/>
          <w:spacing w:val="-6"/>
        </w:rPr>
        <w:t xml:space="preserve"> </w:t>
      </w:r>
      <w:r w:rsidR="002D64E9" w:rsidRPr="00AB1B0E">
        <w:rPr>
          <w:i/>
        </w:rPr>
        <w:t>BMW</w:t>
      </w:r>
      <w:r w:rsidR="00AB1B0E">
        <w:t>,</w:t>
      </w:r>
      <w:r w:rsidR="002D64E9" w:rsidRPr="00F42018">
        <w:t xml:space="preserve"> there was no immediate </w:t>
      </w:r>
      <w:r w:rsidR="00341B49">
        <w:t xml:space="preserve">or compelling </w:t>
      </w:r>
      <w:r w:rsidR="002D64E9" w:rsidRPr="00F42018">
        <w:t>reason for the resolution of the question</w:t>
      </w:r>
      <w:r w:rsidR="00341B49">
        <w:t>s there reserved</w:t>
      </w:r>
      <w:r w:rsidR="002D64E9" w:rsidRPr="00F42018">
        <w:t>.</w:t>
      </w:r>
      <w:r w:rsidR="002D64E9" w:rsidRPr="005B7A87">
        <w:rPr>
          <w:spacing w:val="40"/>
        </w:rPr>
        <w:t xml:space="preserve"> </w:t>
      </w:r>
      <w:r w:rsidR="00CE3ED6">
        <w:t>Here</w:t>
      </w:r>
      <w:r w:rsidR="00870247">
        <w:t>,</w:t>
      </w:r>
      <w:r w:rsidR="002D64E9" w:rsidRPr="00250577">
        <w:rPr>
          <w:spacing w:val="-1"/>
        </w:rPr>
        <w:t xml:space="preserve"> </w:t>
      </w:r>
      <w:proofErr w:type="gramStart"/>
      <w:r w:rsidR="002D64E9" w:rsidRPr="00250577">
        <w:t>practical</w:t>
      </w:r>
      <w:proofErr w:type="gramEnd"/>
      <w:r w:rsidR="002D64E9" w:rsidRPr="00250577">
        <w:rPr>
          <w:spacing w:val="-3"/>
        </w:rPr>
        <w:t xml:space="preserve"> </w:t>
      </w:r>
      <w:r w:rsidR="002D64E9" w:rsidRPr="00250577">
        <w:t>and</w:t>
      </w:r>
      <w:r w:rsidR="002D64E9" w:rsidRPr="00250577">
        <w:rPr>
          <w:spacing w:val="-2"/>
        </w:rPr>
        <w:t xml:space="preserve"> </w:t>
      </w:r>
      <w:r w:rsidR="002D64E9" w:rsidRPr="00250577">
        <w:t>real</w:t>
      </w:r>
      <w:r w:rsidR="002D64E9" w:rsidRPr="00250577">
        <w:rPr>
          <w:spacing w:val="-3"/>
        </w:rPr>
        <w:t xml:space="preserve"> </w:t>
      </w:r>
      <w:r w:rsidR="002D64E9" w:rsidRPr="00250577">
        <w:t>consequence</w:t>
      </w:r>
      <w:r w:rsidR="00CE3ED6">
        <w:t>s</w:t>
      </w:r>
      <w:r w:rsidR="002D64E9" w:rsidRPr="00250577">
        <w:rPr>
          <w:spacing w:val="-1"/>
        </w:rPr>
        <w:t xml:space="preserve"> </w:t>
      </w:r>
      <w:r w:rsidR="00F72643">
        <w:rPr>
          <w:spacing w:val="-2"/>
        </w:rPr>
        <w:t xml:space="preserve">flow </w:t>
      </w:r>
      <w:r w:rsidR="00F72643">
        <w:t>from</w:t>
      </w:r>
      <w:r w:rsidR="002D64E9" w:rsidRPr="00250577">
        <w:rPr>
          <w:spacing w:val="-2"/>
        </w:rPr>
        <w:t xml:space="preserve"> </w:t>
      </w:r>
      <w:r w:rsidR="002D64E9" w:rsidRPr="00250577">
        <w:t>resolving</w:t>
      </w:r>
      <w:r w:rsidR="002D64E9" w:rsidRPr="00250577">
        <w:rPr>
          <w:spacing w:val="-2"/>
        </w:rPr>
        <w:t xml:space="preserve"> </w:t>
      </w:r>
      <w:r w:rsidR="002D64E9" w:rsidRPr="00250577">
        <w:t>the</w:t>
      </w:r>
      <w:r w:rsidR="002D64E9" w:rsidRPr="00250577">
        <w:rPr>
          <w:spacing w:val="-1"/>
        </w:rPr>
        <w:t xml:space="preserve"> </w:t>
      </w:r>
      <w:r w:rsidR="002D64E9" w:rsidRPr="00250577">
        <w:t>issue,</w:t>
      </w:r>
      <w:r w:rsidR="002D64E9" w:rsidRPr="00250577">
        <w:rPr>
          <w:spacing w:val="-2"/>
        </w:rPr>
        <w:t xml:space="preserve"> </w:t>
      </w:r>
      <w:r w:rsidR="00EF55AE">
        <w:rPr>
          <w:spacing w:val="-2"/>
        </w:rPr>
        <w:t xml:space="preserve">being those identified </w:t>
      </w:r>
      <w:r w:rsidR="001D05D9">
        <w:rPr>
          <w:spacing w:val="-2"/>
        </w:rPr>
        <w:t>above</w:t>
      </w:r>
      <w:r w:rsidR="00B4380B">
        <w:rPr>
          <w:spacing w:val="-2"/>
        </w:rPr>
        <w:t>. Further,</w:t>
      </w:r>
      <w:r w:rsidR="00EF55AE">
        <w:rPr>
          <w:spacing w:val="-2"/>
        </w:rPr>
        <w:t xml:space="preserve"> </w:t>
      </w:r>
      <w:r w:rsidR="0083521A">
        <w:rPr>
          <w:spacing w:val="-2"/>
        </w:rPr>
        <w:t>an answer</w:t>
      </w:r>
      <w:r w:rsidR="002D64E9" w:rsidRPr="0087168A">
        <w:t xml:space="preserve"> </w:t>
      </w:r>
      <w:r w:rsidR="002D64E9" w:rsidRPr="00250577">
        <w:t>w</w:t>
      </w:r>
      <w:r w:rsidR="001D05D9">
        <w:t xml:space="preserve">ill </w:t>
      </w:r>
      <w:r w:rsidR="002D64E9" w:rsidRPr="00250577">
        <w:t>identify</w:t>
      </w:r>
      <w:r w:rsidR="002D64E9" w:rsidRPr="0087168A">
        <w:t xml:space="preserve"> </w:t>
      </w:r>
      <w:r w:rsidR="002D64E9" w:rsidRPr="00250577">
        <w:t>the</w:t>
      </w:r>
      <w:r w:rsidR="002D64E9" w:rsidRPr="0087168A">
        <w:t xml:space="preserve"> </w:t>
      </w:r>
      <w:r w:rsidR="005E2279">
        <w:t>correct legal foundation for</w:t>
      </w:r>
      <w:r w:rsidR="002D64E9" w:rsidRPr="00250577">
        <w:t xml:space="preserve"> negotiation of a</w:t>
      </w:r>
      <w:r w:rsidR="005649CA">
        <w:t>ny</w:t>
      </w:r>
      <w:r w:rsidR="002D64E9" w:rsidRPr="00250577">
        <w:t xml:space="preserve"> settlement</w:t>
      </w:r>
      <w:r w:rsidR="00546EE0">
        <w:t xml:space="preserve">, given any settlement would need to be considered </w:t>
      </w:r>
      <w:r w:rsidR="00F02911">
        <w:t xml:space="preserve">fair </w:t>
      </w:r>
      <w:r w:rsidR="00546EE0">
        <w:t xml:space="preserve">by those </w:t>
      </w:r>
      <w:r w:rsidR="00F02911">
        <w:t>seeking</w:t>
      </w:r>
      <w:r w:rsidR="00546EE0">
        <w:t xml:space="preserve"> approval</w:t>
      </w:r>
      <w:r w:rsidR="00F02911">
        <w:t xml:space="preserve">: </w:t>
      </w:r>
      <w:r w:rsidR="00F02911" w:rsidRPr="00CF4040">
        <w:rPr>
          <w:spacing w:val="-2"/>
        </w:rPr>
        <w:t xml:space="preserve">see </w:t>
      </w:r>
      <w:r w:rsidR="00F02911" w:rsidRPr="00CF4040">
        <w:rPr>
          <w:i/>
          <w:spacing w:val="-2"/>
        </w:rPr>
        <w:t>Edwards v Santos</w:t>
      </w:r>
      <w:r w:rsidR="00F02911" w:rsidRPr="00CF4040">
        <w:rPr>
          <w:spacing w:val="-2"/>
        </w:rPr>
        <w:t> [2011] HCA 8; (2011) 242 CLR 421 (at 43</w:t>
      </w:r>
      <w:r w:rsidR="00F02911">
        <w:rPr>
          <w:spacing w:val="-2"/>
        </w:rPr>
        <w:t>5–43</w:t>
      </w:r>
      <w:r w:rsidR="00F02911" w:rsidRPr="00CF4040">
        <w:rPr>
          <w:spacing w:val="-2"/>
        </w:rPr>
        <w:t>6 [37] per </w:t>
      </w:r>
      <w:proofErr w:type="spellStart"/>
      <w:r w:rsidR="00F02911" w:rsidRPr="00CF4040">
        <w:rPr>
          <w:spacing w:val="-2"/>
        </w:rPr>
        <w:t>Heydon</w:t>
      </w:r>
      <w:proofErr w:type="spellEnd"/>
      <w:r w:rsidR="00F02911" w:rsidRPr="00CF4040">
        <w:rPr>
          <w:spacing w:val="-2"/>
        </w:rPr>
        <w:t> J)</w:t>
      </w:r>
      <w:r w:rsidR="00F02911">
        <w:rPr>
          <w:spacing w:val="-2"/>
        </w:rPr>
        <w:t>.</w:t>
      </w:r>
      <w:r w:rsidR="00546EE0">
        <w:t xml:space="preserve"> </w:t>
      </w:r>
      <w:r w:rsidR="00F02911">
        <w:t>S</w:t>
      </w:r>
      <w:r w:rsidR="0071787B">
        <w:t>ome</w:t>
      </w:r>
      <w:r w:rsidR="00546EE0">
        <w:t xml:space="preserve"> understanding of what </w:t>
      </w:r>
      <w:r w:rsidR="00CF4040">
        <w:t xml:space="preserve">net </w:t>
      </w:r>
      <w:r w:rsidR="00546EE0">
        <w:t xml:space="preserve">amounts would likely be paid to group members in satisfaction of their </w:t>
      </w:r>
      <w:r w:rsidR="00546EE0" w:rsidRPr="00CF4040">
        <w:rPr>
          <w:spacing w:val="-2"/>
        </w:rPr>
        <w:t>claims</w:t>
      </w:r>
      <w:r w:rsidR="00F02911">
        <w:rPr>
          <w:spacing w:val="-2"/>
        </w:rPr>
        <w:t xml:space="preserve"> is required as part of this assessment</w:t>
      </w:r>
      <w:r w:rsidR="002D64E9" w:rsidRPr="00CF4040">
        <w:rPr>
          <w:spacing w:val="-2"/>
        </w:rPr>
        <w:t>.</w:t>
      </w:r>
      <w:r w:rsidR="002D64E9">
        <w:t xml:space="preserve"> </w:t>
      </w:r>
    </w:p>
    <w:p w14:paraId="08CD842D" w14:textId="55153E7D" w:rsidR="0078347B" w:rsidRPr="00AA69E5" w:rsidRDefault="0071710E" w:rsidP="00AA69E5">
      <w:pPr>
        <w:pStyle w:val="Heading1"/>
        <w:rPr>
          <w:highlight w:val="yellow"/>
        </w:rPr>
      </w:pPr>
      <w:r w:rsidRPr="00AA69E5">
        <w:rPr>
          <w:caps w:val="0"/>
        </w:rPr>
        <w:t>G</w:t>
      </w:r>
      <w:r w:rsidRPr="00AA69E5">
        <w:rPr>
          <w:caps w:val="0"/>
        </w:rPr>
        <w:tab/>
        <w:t>ORDERS</w:t>
      </w:r>
    </w:p>
    <w:p w14:paraId="0FA3D3F4" w14:textId="57395F32" w:rsidR="003A5EDB" w:rsidRDefault="0071710E" w:rsidP="0071710E">
      <w:pPr>
        <w:pStyle w:val="ParaNumbering"/>
        <w:numPr>
          <w:ilvl w:val="0"/>
          <w:numId w:val="0"/>
        </w:numPr>
        <w:tabs>
          <w:tab w:val="left" w:pos="720"/>
        </w:tabs>
        <w:ind w:hanging="720"/>
      </w:pPr>
      <w:r>
        <w:rPr>
          <w:sz w:val="20"/>
        </w:rPr>
        <w:t>423</w:t>
      </w:r>
      <w:r>
        <w:rPr>
          <w:sz w:val="20"/>
        </w:rPr>
        <w:tab/>
      </w:r>
      <w:r w:rsidR="009A10F5">
        <w:t>The Reserved</w:t>
      </w:r>
      <w:r w:rsidR="00B65F62">
        <w:t xml:space="preserve"> Q</w:t>
      </w:r>
      <w:r w:rsidR="009A10F5">
        <w:t xml:space="preserve">uestion </w:t>
      </w:r>
      <w:r w:rsidR="003A5EDB">
        <w:t xml:space="preserve">is premised on the basis that the proposed order under s 33(V)(2) can be characterised as being “just”. If a just Settlement CFO is proposed, the statutory discretion is enlivened. There is no want of statutory </w:t>
      </w:r>
      <w:proofErr w:type="gramStart"/>
      <w:r w:rsidR="003A5EDB">
        <w:t>power</w:t>
      </w:r>
      <w:proofErr w:type="gramEnd"/>
      <w:r w:rsidR="003A5EDB">
        <w:t xml:space="preserve"> and the Reserved Question </w:t>
      </w:r>
      <w:r w:rsidR="009A10F5">
        <w:t>should be</w:t>
      </w:r>
      <w:r w:rsidR="00592C29">
        <w:t xml:space="preserve"> answered</w:t>
      </w:r>
      <w:r w:rsidR="009A10F5">
        <w:t xml:space="preserve"> “yes”. </w:t>
      </w:r>
    </w:p>
    <w:p w14:paraId="61188AC0" w14:textId="575E4993" w:rsidR="00FD1CF0" w:rsidRDefault="0071710E" w:rsidP="0071710E">
      <w:pPr>
        <w:pStyle w:val="ParaNumbering"/>
        <w:numPr>
          <w:ilvl w:val="0"/>
          <w:numId w:val="0"/>
        </w:numPr>
        <w:tabs>
          <w:tab w:val="left" w:pos="720"/>
        </w:tabs>
        <w:ind w:hanging="720"/>
      </w:pPr>
      <w:r>
        <w:rPr>
          <w:sz w:val="20"/>
        </w:rPr>
        <w:t>424</w:t>
      </w:r>
      <w:r>
        <w:rPr>
          <w:sz w:val="20"/>
        </w:rPr>
        <w:tab/>
      </w:r>
      <w:r w:rsidR="005B3797">
        <w:t xml:space="preserve">No party advanced any argument as to why an order for costs should </w:t>
      </w:r>
      <w:r w:rsidR="00206263">
        <w:t>be</w:t>
      </w:r>
      <w:r w:rsidR="005B3797">
        <w:t xml:space="preserve"> </w:t>
      </w:r>
      <w:proofErr w:type="gramStart"/>
      <w:r w:rsidR="005B3797">
        <w:t>made</w:t>
      </w:r>
      <w:r w:rsidR="00592C29">
        <w:t>,</w:t>
      </w:r>
      <w:r w:rsidR="00206263">
        <w:t xml:space="preserve"> and</w:t>
      </w:r>
      <w:proofErr w:type="gramEnd"/>
      <w:r w:rsidR="00206263">
        <w:t xml:space="preserve"> given </w:t>
      </w:r>
      <w:r w:rsidR="00B65F62">
        <w:t xml:space="preserve">the terms of s 570 of the FW Act, no </w:t>
      </w:r>
      <w:r w:rsidR="00592C29">
        <w:t xml:space="preserve">such </w:t>
      </w:r>
      <w:r w:rsidR="00B65F62">
        <w:t>order</w:t>
      </w:r>
      <w:r w:rsidR="00592C29">
        <w:t xml:space="preserve"> </w:t>
      </w:r>
      <w:r w:rsidR="00B65F62">
        <w:t xml:space="preserve">should </w:t>
      </w:r>
      <w:r w:rsidR="00592C29">
        <w:t xml:space="preserve">be </w:t>
      </w:r>
      <w:r w:rsidR="00B65F62">
        <w:t>made.</w:t>
      </w:r>
      <w:r w:rsidR="005B3797">
        <w:t xml:space="preserve"> </w:t>
      </w:r>
      <w:r w:rsidR="002D64E9">
        <w:t xml:space="preserve">  </w:t>
      </w:r>
    </w:p>
    <w:p w14:paraId="72751FC5" w14:textId="77777777" w:rsidR="0046167A" w:rsidRDefault="0046167A" w:rsidP="00E27EA8">
      <w:pPr>
        <w:pStyle w:val="BodyText"/>
      </w:pPr>
      <w:bookmarkStart w:id="24" w:name="Certification"/>
    </w:p>
    <w:tbl>
      <w:tblPr>
        <w:tblW w:w="0" w:type="auto"/>
        <w:tblLook w:val="04A0" w:firstRow="1" w:lastRow="0" w:firstColumn="1" w:lastColumn="0" w:noHBand="0" w:noVBand="1"/>
      </w:tblPr>
      <w:tblGrid>
        <w:gridCol w:w="3794"/>
      </w:tblGrid>
      <w:tr w:rsidR="0046167A" w:rsidRPr="0046167A" w14:paraId="4138939F" w14:textId="77777777">
        <w:tc>
          <w:tcPr>
            <w:tcW w:w="3794" w:type="dxa"/>
            <w:shd w:val="clear" w:color="auto" w:fill="auto"/>
          </w:tcPr>
          <w:p w14:paraId="1250CF97" w14:textId="5981794B" w:rsidR="0046167A" w:rsidRPr="0046167A" w:rsidRDefault="0046167A" w:rsidP="00C15967">
            <w:pPr>
              <w:pStyle w:val="Normal1linespace"/>
            </w:pPr>
            <w:bookmarkStart w:id="25" w:name="_Hlk147747792"/>
            <w:r w:rsidRPr="0046167A">
              <w:t xml:space="preserve">I certify that the preceding </w:t>
            </w:r>
            <w:bookmarkStart w:id="26" w:name="NumberWord"/>
            <w:r w:rsidR="00AA69E5">
              <w:t>one hundred</w:t>
            </w:r>
            <w:bookmarkEnd w:id="26"/>
            <w:r w:rsidRPr="0046167A">
              <w:t xml:space="preserve"> (</w:t>
            </w:r>
            <w:r w:rsidR="003A5EDB">
              <w:t>100</w:t>
            </w:r>
            <w:r w:rsidRPr="0046167A">
              <w:t xml:space="preserve">) numbered </w:t>
            </w:r>
            <w:bookmarkStart w:id="27" w:name="CertPara"/>
            <w:r w:rsidR="00AA69E5">
              <w:t>paragraphs are</w:t>
            </w:r>
            <w:bookmarkEnd w:id="27"/>
            <w:r w:rsidRPr="0046167A">
              <w:t xml:space="preserve"> a true copy of the Reasons for Judgment of </w:t>
            </w:r>
            <w:bookmarkStart w:id="28" w:name="bkHonourable"/>
            <w:r w:rsidRPr="0046167A">
              <w:t xml:space="preserve">the Honourable </w:t>
            </w:r>
            <w:bookmarkStart w:id="29" w:name="Justice"/>
            <w:bookmarkEnd w:id="28"/>
            <w:r w:rsidR="00C15967">
              <w:t>Justice</w:t>
            </w:r>
            <w:r>
              <w:t xml:space="preserve"> </w:t>
            </w:r>
            <w:bookmarkEnd w:id="29"/>
            <w:r w:rsidR="00C15967">
              <w:t>Lee</w:t>
            </w:r>
            <w:r w:rsidRPr="0046167A">
              <w:t>.</w:t>
            </w:r>
          </w:p>
        </w:tc>
      </w:tr>
      <w:bookmarkEnd w:id="25"/>
    </w:tbl>
    <w:p w14:paraId="32840458" w14:textId="77777777" w:rsidR="0046167A" w:rsidRDefault="0046167A" w:rsidP="00E27EA8">
      <w:pPr>
        <w:pStyle w:val="BodyText"/>
      </w:pPr>
    </w:p>
    <w:p w14:paraId="0DA765AF" w14:textId="77777777" w:rsidR="0046167A" w:rsidRDefault="0046167A" w:rsidP="00E27EA8">
      <w:pPr>
        <w:pStyle w:val="BodyText"/>
      </w:pPr>
    </w:p>
    <w:p w14:paraId="6A17F69B" w14:textId="777B0B85" w:rsidR="0046167A" w:rsidRDefault="0046167A" w:rsidP="00E27EA8">
      <w:pPr>
        <w:pStyle w:val="BodyText"/>
      </w:pPr>
      <w:r>
        <w:t>Associate:</w:t>
      </w:r>
      <w:r w:rsidR="00E2146B">
        <w:t xml:space="preserve"> </w:t>
      </w:r>
    </w:p>
    <w:p w14:paraId="345C875A" w14:textId="77777777" w:rsidR="0046167A" w:rsidRDefault="0046167A" w:rsidP="00E27EA8">
      <w:pPr>
        <w:pStyle w:val="BodyText"/>
      </w:pPr>
    </w:p>
    <w:p w14:paraId="5CC168E0" w14:textId="2E96FAC1" w:rsidR="0046167A" w:rsidRDefault="0046167A" w:rsidP="00E27EA8">
      <w:pPr>
        <w:pStyle w:val="BodyText"/>
        <w:tabs>
          <w:tab w:val="left" w:pos="1134"/>
        </w:tabs>
      </w:pPr>
      <w:r>
        <w:t>Dated:</w:t>
      </w:r>
      <w:r>
        <w:tab/>
      </w:r>
      <w:bookmarkStart w:id="30" w:name="CertifyDated"/>
      <w:r w:rsidR="0074279C">
        <w:t>12</w:t>
      </w:r>
      <w:r w:rsidR="00F5290A">
        <w:t xml:space="preserve"> October</w:t>
      </w:r>
      <w:r>
        <w:t xml:space="preserve"> 2023</w:t>
      </w:r>
      <w:bookmarkEnd w:id="30"/>
    </w:p>
    <w:p w14:paraId="1E10565A" w14:textId="77777777" w:rsidR="00A73B71" w:rsidRDefault="00A73B71">
      <w:pPr>
        <w:spacing w:line="240" w:lineRule="auto"/>
        <w:jc w:val="left"/>
        <w:rPr>
          <w:sz w:val="28"/>
          <w:szCs w:val="28"/>
        </w:rPr>
      </w:pPr>
      <w:bookmarkStart w:id="31" w:name="SOP_Section"/>
      <w:bookmarkEnd w:id="24"/>
      <w:r>
        <w:rPr>
          <w:sz w:val="28"/>
          <w:szCs w:val="28"/>
        </w:rPr>
        <w:br w:type="page"/>
      </w:r>
    </w:p>
    <w:p w14:paraId="73CD6A1F" w14:textId="77777777" w:rsidR="00A73B71" w:rsidRPr="00045BB7" w:rsidRDefault="00A73B71" w:rsidP="00A73B71">
      <w:pPr>
        <w:pStyle w:val="NormalHeadings"/>
        <w:spacing w:line="480" w:lineRule="auto"/>
        <w:jc w:val="center"/>
        <w:rPr>
          <w:sz w:val="28"/>
          <w:szCs w:val="28"/>
        </w:rPr>
      </w:pPr>
      <w:r w:rsidRPr="00045BB7">
        <w:rPr>
          <w:sz w:val="28"/>
          <w:szCs w:val="28"/>
        </w:rPr>
        <w:t>REASONS FOR JUDGMENT</w:t>
      </w:r>
    </w:p>
    <w:p w14:paraId="2A6D26A4" w14:textId="70F81A5D" w:rsidR="00A73B71" w:rsidRDefault="00A73B71" w:rsidP="00A73B71">
      <w:pPr>
        <w:pStyle w:val="NormalHeadings"/>
        <w:spacing w:line="360" w:lineRule="auto"/>
        <w:jc w:val="left"/>
        <w:rPr>
          <w:sz w:val="26"/>
          <w:szCs w:val="26"/>
        </w:rPr>
      </w:pPr>
      <w:r>
        <w:rPr>
          <w:sz w:val="26"/>
          <w:szCs w:val="26"/>
        </w:rPr>
        <w:t>COLV</w:t>
      </w:r>
      <w:r w:rsidR="00BD4727">
        <w:rPr>
          <w:sz w:val="26"/>
          <w:szCs w:val="26"/>
        </w:rPr>
        <w:t>I</w:t>
      </w:r>
      <w:r>
        <w:rPr>
          <w:sz w:val="26"/>
          <w:szCs w:val="26"/>
        </w:rPr>
        <w:t>N J:</w:t>
      </w:r>
    </w:p>
    <w:p w14:paraId="38703353" w14:textId="48A3E786" w:rsidR="00A73B71" w:rsidRDefault="0071710E" w:rsidP="0071710E">
      <w:pPr>
        <w:pStyle w:val="ParaNumbering"/>
        <w:numPr>
          <w:ilvl w:val="0"/>
          <w:numId w:val="0"/>
        </w:numPr>
        <w:tabs>
          <w:tab w:val="left" w:pos="720"/>
        </w:tabs>
        <w:ind w:hanging="720"/>
      </w:pPr>
      <w:r>
        <w:rPr>
          <w:sz w:val="20"/>
        </w:rPr>
        <w:t>425</w:t>
      </w:r>
      <w:r>
        <w:rPr>
          <w:sz w:val="20"/>
        </w:rPr>
        <w:tab/>
      </w:r>
      <w:r w:rsidR="00A73B71">
        <w:t xml:space="preserve">A question has arisen as to whether the Court has authority to make an order distributing to a third-party litigation funder a specified proportionate share of money paid under a settlement of representative proceedings if the Court is satisfied at the time of approving the settlement that it is just to do so.  Such an order was described as a settlement common fund order or Settlement CFO by Lee J in </w:t>
      </w:r>
      <w:r w:rsidR="00A73B71" w:rsidRPr="00A01E91">
        <w:rPr>
          <w:i/>
          <w:iCs/>
        </w:rPr>
        <w:t xml:space="preserve">Davaria Pty Limited v 7-Eleven Stores Pty Ltd </w:t>
      </w:r>
      <w:r w:rsidR="00A73B71" w:rsidRPr="00A01E91">
        <w:t>[2020] FCAFC 183; (2020) 281 FCR 501</w:t>
      </w:r>
      <w:r w:rsidR="00A73B71">
        <w:t xml:space="preserve"> at [19], [</w:t>
      </w:r>
      <w:proofErr w:type="gramStart"/>
      <w:r w:rsidR="00A73B71">
        <w:t>22]</w:t>
      </w:r>
      <w:r w:rsidR="00A73B71">
        <w:noBreakHyphen/>
      </w:r>
      <w:proofErr w:type="gramEnd"/>
      <w:r w:rsidR="00A73B71">
        <w:t xml:space="preserve">[25]. The terminology was adopted (with due explanation and qualification) </w:t>
      </w:r>
      <w:proofErr w:type="gramStart"/>
      <w:r w:rsidR="00A73B71">
        <w:t>in order to</w:t>
      </w:r>
      <w:proofErr w:type="gramEnd"/>
      <w:r w:rsidR="00A73B71">
        <w:t xml:space="preserve"> distinguish such orders from orders of a similar kind made at an early stage of representative proceedings which have been determined to exceed the authority conferred by the general statutory power as to orders that the Court may make in any representative proceeding: </w:t>
      </w:r>
      <w:r w:rsidR="00A73B71" w:rsidRPr="00A01E91">
        <w:rPr>
          <w:i/>
          <w:iCs/>
        </w:rPr>
        <w:t>BMW Australia Ltd v Brewster</w:t>
      </w:r>
      <w:r w:rsidR="00A73B71" w:rsidRPr="00A01E91">
        <w:t xml:space="preserve"> [2019] HCA 45; (2019) 269 CLR 574</w:t>
      </w:r>
      <w:r w:rsidR="00A73B71">
        <w:t>.</w:t>
      </w:r>
    </w:p>
    <w:p w14:paraId="436DD783" w14:textId="1397FBCF" w:rsidR="00A73B71" w:rsidRDefault="0071710E" w:rsidP="0071710E">
      <w:pPr>
        <w:pStyle w:val="ParaNumbering"/>
        <w:numPr>
          <w:ilvl w:val="0"/>
          <w:numId w:val="0"/>
        </w:numPr>
        <w:tabs>
          <w:tab w:val="left" w:pos="720"/>
        </w:tabs>
        <w:ind w:hanging="720"/>
      </w:pPr>
      <w:r>
        <w:rPr>
          <w:sz w:val="20"/>
        </w:rPr>
        <w:t>426</w:t>
      </w:r>
      <w:r>
        <w:rPr>
          <w:sz w:val="20"/>
        </w:rPr>
        <w:tab/>
      </w:r>
      <w:r w:rsidR="00A73B71">
        <w:t xml:space="preserve">The precise question reserved for determination concerns whether this Court has statutory power pursuant to s 33V of the </w:t>
      </w:r>
      <w:r w:rsidR="00A73B71" w:rsidRPr="00A01E91">
        <w:rPr>
          <w:i/>
          <w:iCs/>
        </w:rPr>
        <w:t xml:space="preserve">Federal Court of Australia Act 1976 </w:t>
      </w:r>
      <w:r w:rsidR="00A73B71" w:rsidRPr="00A01E91">
        <w:t>(</w:t>
      </w:r>
      <w:proofErr w:type="spellStart"/>
      <w:r w:rsidR="00A73B71" w:rsidRPr="00A01E91">
        <w:t>Cth</w:t>
      </w:r>
      <w:proofErr w:type="spellEnd"/>
      <w:r w:rsidR="00A73B71" w:rsidRPr="00A01E91">
        <w:t>)</w:t>
      </w:r>
      <w:r w:rsidR="00A73B71">
        <w:t xml:space="preserve"> to make a Settlement CFO of the kind described by Lee J in </w:t>
      </w:r>
      <w:r w:rsidR="00A73B71" w:rsidRPr="00411D6D">
        <w:rPr>
          <w:i/>
          <w:iCs/>
        </w:rPr>
        <w:t>Davaria</w:t>
      </w:r>
      <w:r w:rsidR="00A73B71">
        <w:t>.</w:t>
      </w:r>
    </w:p>
    <w:p w14:paraId="67F186B1" w14:textId="77EE7F56" w:rsidR="00A73B71" w:rsidRDefault="0071710E" w:rsidP="0071710E">
      <w:pPr>
        <w:pStyle w:val="ParaNumbering"/>
        <w:numPr>
          <w:ilvl w:val="0"/>
          <w:numId w:val="0"/>
        </w:numPr>
        <w:tabs>
          <w:tab w:val="left" w:pos="720"/>
        </w:tabs>
        <w:ind w:hanging="720"/>
      </w:pPr>
      <w:r>
        <w:rPr>
          <w:sz w:val="20"/>
        </w:rPr>
        <w:t>427</w:t>
      </w:r>
      <w:r>
        <w:rPr>
          <w:sz w:val="20"/>
        </w:rPr>
        <w:tab/>
      </w:r>
      <w:r w:rsidR="00A73B71">
        <w:t>Section 33V provides:</w:t>
      </w:r>
    </w:p>
    <w:p w14:paraId="37C926CB" w14:textId="77777777" w:rsidR="00A73B71" w:rsidRDefault="00A73B71" w:rsidP="00A73B71">
      <w:pPr>
        <w:pStyle w:val="Quote1"/>
        <w:ind w:left="1440" w:hanging="703"/>
      </w:pPr>
      <w:r>
        <w:t>(1)</w:t>
      </w:r>
      <w:r>
        <w:tab/>
        <w:t>A representative proceeding may not be settled or discontinued without the approval of the Court.</w:t>
      </w:r>
    </w:p>
    <w:p w14:paraId="3AE20234" w14:textId="77777777" w:rsidR="00A73B71" w:rsidRDefault="00A73B71" w:rsidP="00A73B71">
      <w:pPr>
        <w:pStyle w:val="Quote1"/>
        <w:spacing w:after="360"/>
        <w:ind w:left="1440" w:hanging="703"/>
      </w:pPr>
      <w:r>
        <w:t>(2)</w:t>
      </w:r>
      <w:r>
        <w:tab/>
        <w:t>If the Court gives such an approval, it may make such orders as are just with respect to the distribution of any money paid under a settlement or paid into the Court.</w:t>
      </w:r>
    </w:p>
    <w:p w14:paraId="0B7B512C" w14:textId="79C0E3C2" w:rsidR="00A73B71" w:rsidRDefault="0071710E" w:rsidP="0071710E">
      <w:pPr>
        <w:pStyle w:val="ParaNumbering"/>
        <w:numPr>
          <w:ilvl w:val="0"/>
          <w:numId w:val="0"/>
        </w:numPr>
        <w:tabs>
          <w:tab w:val="left" w:pos="720"/>
        </w:tabs>
        <w:ind w:hanging="720"/>
      </w:pPr>
      <w:r>
        <w:rPr>
          <w:sz w:val="20"/>
        </w:rPr>
        <w:t>428</w:t>
      </w:r>
      <w:r>
        <w:rPr>
          <w:sz w:val="20"/>
        </w:rPr>
        <w:tab/>
      </w:r>
      <w:r w:rsidR="00A73B71">
        <w:t xml:space="preserve">The decision in </w:t>
      </w:r>
      <w:r w:rsidR="00A73B71">
        <w:rPr>
          <w:i/>
          <w:iCs/>
        </w:rPr>
        <w:t xml:space="preserve">BMW Australia Ltd v Brewster </w:t>
      </w:r>
      <w:r w:rsidR="00A73B71">
        <w:t>was concerned with the general power of the Court to make orders in representative proceedings that is conferred by s 33ZF in the following terms:</w:t>
      </w:r>
    </w:p>
    <w:p w14:paraId="14E5B504" w14:textId="77777777" w:rsidR="00A73B71" w:rsidRDefault="00A73B71" w:rsidP="00A73B71">
      <w:pPr>
        <w:pStyle w:val="Quote1"/>
        <w:spacing w:after="360"/>
      </w:pPr>
      <w:r w:rsidRPr="0077450A">
        <w:t>In any proceeding (including an appeal) conducted under this Part, the Court may, of its own motion or on application by a party or a group member, make any order the Court thinks appropriate or necessary to ensure that justice is done in the proceeding.</w:t>
      </w:r>
    </w:p>
    <w:p w14:paraId="4B5E1E7D" w14:textId="77777777" w:rsidR="00A73B71" w:rsidRDefault="00A73B71" w:rsidP="00A73B71">
      <w:pPr>
        <w:pStyle w:val="NoNum"/>
      </w:pPr>
      <w:r>
        <w:t>The reference in s 33ZF to 'this Part' is to Part IVA of the Act which concerns representative proceedings.</w:t>
      </w:r>
    </w:p>
    <w:p w14:paraId="74C4788D" w14:textId="243E0134" w:rsidR="00A73B71" w:rsidRDefault="0071710E" w:rsidP="0071710E">
      <w:pPr>
        <w:pStyle w:val="ParaNumbering"/>
        <w:numPr>
          <w:ilvl w:val="0"/>
          <w:numId w:val="0"/>
        </w:numPr>
        <w:tabs>
          <w:tab w:val="left" w:pos="720"/>
        </w:tabs>
        <w:ind w:hanging="720"/>
      </w:pPr>
      <w:r>
        <w:rPr>
          <w:sz w:val="20"/>
        </w:rPr>
        <w:t>429</w:t>
      </w:r>
      <w:r>
        <w:rPr>
          <w:sz w:val="20"/>
        </w:rPr>
        <w:tab/>
      </w:r>
      <w:r w:rsidR="00A73B71">
        <w:t xml:space="preserve">It may be observed that s 33ZF is expressed in broad terms.  However, it is confined to that which the Court thinks appropriate or necessary to ensure justice is done 'in the proceeding'.  Its focus is upon the conduct of the proceeding.  Unlike s 33V, it is not specifically directed to the orders that may be made on settlement of a representative proceeding.  Further, whereas s 33ZF concerns orders to be made to ensure justice is done </w:t>
      </w:r>
      <w:r w:rsidR="00A73B71" w:rsidRPr="00374016">
        <w:rPr>
          <w:i/>
          <w:iCs/>
        </w:rPr>
        <w:t>in</w:t>
      </w:r>
      <w:r w:rsidR="00A73B71">
        <w:t xml:space="preserve"> any representative proceeding, s 33V concerns settlement or discontinuance of the representative proceeding and orders to be made about distribution of money paid under an approved settlement or paid into Court.</w:t>
      </w:r>
    </w:p>
    <w:p w14:paraId="30519C94" w14:textId="0216155B" w:rsidR="00A73B71" w:rsidRDefault="0071710E" w:rsidP="0071710E">
      <w:pPr>
        <w:pStyle w:val="ParaNumbering"/>
        <w:numPr>
          <w:ilvl w:val="0"/>
          <w:numId w:val="0"/>
        </w:numPr>
        <w:tabs>
          <w:tab w:val="left" w:pos="720"/>
        </w:tabs>
        <w:ind w:hanging="720"/>
      </w:pPr>
      <w:r>
        <w:rPr>
          <w:sz w:val="20"/>
        </w:rPr>
        <w:t>430</w:t>
      </w:r>
      <w:r>
        <w:rPr>
          <w:sz w:val="20"/>
        </w:rPr>
        <w:tab/>
      </w:r>
      <w:r w:rsidR="00A73B71">
        <w:t>Section 33</w:t>
      </w:r>
      <w:proofErr w:type="gramStart"/>
      <w:r w:rsidR="00A73B71">
        <w:t>V(</w:t>
      </w:r>
      <w:proofErr w:type="gramEnd"/>
      <w:r w:rsidR="00A73B71">
        <w:t xml:space="preserve">1) does not confer power to approve.  Rather, it requires the authority which the Court has as a superior court of record to insist upon approval of settlements or discontinuances in appropriate instances in respect of claims within its jurisdiction to be exercised in the case of any settlement or discontinuance of a representative proceeding.  For that reason, the matters to which the Court may have regard and the procedures to be adopted for the approval are to be determined by reference to the law and practice concerning court approvals when applied to the </w:t>
      </w:r>
      <w:proofErr w:type="gramStart"/>
      <w:r w:rsidR="00A73B71">
        <w:t>particular characteristics</w:t>
      </w:r>
      <w:proofErr w:type="gramEnd"/>
      <w:r w:rsidR="00A73B71">
        <w:t xml:space="preserve"> of a representative proceeding.</w:t>
      </w:r>
    </w:p>
    <w:p w14:paraId="45F0AE36" w14:textId="0C57098D" w:rsidR="00A73B71" w:rsidRDefault="0071710E" w:rsidP="0071710E">
      <w:pPr>
        <w:pStyle w:val="ParaNumbering"/>
        <w:numPr>
          <w:ilvl w:val="0"/>
          <w:numId w:val="0"/>
        </w:numPr>
        <w:tabs>
          <w:tab w:val="left" w:pos="720"/>
        </w:tabs>
        <w:ind w:hanging="720"/>
      </w:pPr>
      <w:r>
        <w:rPr>
          <w:sz w:val="20"/>
        </w:rPr>
        <w:t>431</w:t>
      </w:r>
      <w:r>
        <w:rPr>
          <w:sz w:val="20"/>
        </w:rPr>
        <w:tab/>
      </w:r>
      <w:r w:rsidR="00A73B71">
        <w:t>Further, s 33</w:t>
      </w:r>
      <w:proofErr w:type="gramStart"/>
      <w:r w:rsidR="00A73B71">
        <w:t>V(</w:t>
      </w:r>
      <w:proofErr w:type="gramEnd"/>
      <w:r w:rsidR="00A73B71">
        <w:t>2) does not govern the approval process.  Rather, it confers a specific jurisdiction to make such orders as are just with respect to the distribution of any money paid under a settlement or paid into the Court.  It is a jurisdiction that exists if the Court gives its approval to the settlement or discontinuance of representative proceedings.  It presupposes the approval.</w:t>
      </w:r>
    </w:p>
    <w:p w14:paraId="3D581C4B" w14:textId="159EE8D6" w:rsidR="00A73B71" w:rsidRDefault="0071710E" w:rsidP="0071710E">
      <w:pPr>
        <w:pStyle w:val="ParaNumbering"/>
        <w:numPr>
          <w:ilvl w:val="0"/>
          <w:numId w:val="0"/>
        </w:numPr>
        <w:tabs>
          <w:tab w:val="left" w:pos="720"/>
        </w:tabs>
        <w:ind w:hanging="720"/>
      </w:pPr>
      <w:r>
        <w:rPr>
          <w:sz w:val="20"/>
        </w:rPr>
        <w:t>432</w:t>
      </w:r>
      <w:r>
        <w:rPr>
          <w:sz w:val="20"/>
        </w:rPr>
        <w:tab/>
      </w:r>
      <w:r w:rsidR="00A73B71">
        <w:t>For reasons developed below, in the context of Part IVA and the nature of the representative proceedings for which it provides, the jurisdiction conferred by s 33</w:t>
      </w:r>
      <w:proofErr w:type="gramStart"/>
      <w:r w:rsidR="00A73B71">
        <w:t>V(</w:t>
      </w:r>
      <w:proofErr w:type="gramEnd"/>
      <w:r w:rsidR="00A73B71">
        <w:t>2) is necessary in order for the Court to be able to make orders that allow for distributions to be made to group members who are not parties to the proceedings.  It is more than a procedural jurisdiction of the kind conferred by s 33ZF.  It is a substantive conferral of authority to decide what will happen to money paid under an approved settlement or that has been paid into Court if approval is given of a settlement or discontinuance.</w:t>
      </w:r>
    </w:p>
    <w:p w14:paraId="78423871" w14:textId="29CC1719" w:rsidR="00A73B71" w:rsidRDefault="0071710E" w:rsidP="0071710E">
      <w:pPr>
        <w:pStyle w:val="ParaNumbering"/>
        <w:numPr>
          <w:ilvl w:val="0"/>
          <w:numId w:val="0"/>
        </w:numPr>
        <w:tabs>
          <w:tab w:val="left" w:pos="720"/>
        </w:tabs>
        <w:ind w:hanging="720"/>
      </w:pPr>
      <w:r>
        <w:rPr>
          <w:sz w:val="20"/>
        </w:rPr>
        <w:t>433</w:t>
      </w:r>
      <w:r>
        <w:rPr>
          <w:sz w:val="20"/>
        </w:rPr>
        <w:tab/>
      </w:r>
      <w:r w:rsidR="00A73B71">
        <w:t>Therefore, the issue raised by the reserved question is whether the authority conferred by s 33</w:t>
      </w:r>
      <w:proofErr w:type="gramStart"/>
      <w:r w:rsidR="00A73B71">
        <w:t>V(</w:t>
      </w:r>
      <w:proofErr w:type="gramEnd"/>
      <w:r w:rsidR="00A73B71">
        <w:t>2) extends to making orders which would provide for money paid under a settlement (or into Court) to be paid to a third-party litigation funder in circumstances where the Court has approved the terms of a settlement or discontinuance.</w:t>
      </w:r>
    </w:p>
    <w:p w14:paraId="1F7C4708" w14:textId="77777777" w:rsidR="00A73B71" w:rsidRDefault="00A73B71" w:rsidP="00A73B71">
      <w:pPr>
        <w:pStyle w:val="Heading2"/>
      </w:pPr>
      <w:r>
        <w:t>Some assumptions implicit in the reserved question</w:t>
      </w:r>
    </w:p>
    <w:p w14:paraId="7DBDBAAB" w14:textId="1685E5C3" w:rsidR="00A73B71" w:rsidRDefault="0071710E" w:rsidP="0071710E">
      <w:pPr>
        <w:pStyle w:val="ParaNumbering"/>
        <w:numPr>
          <w:ilvl w:val="0"/>
          <w:numId w:val="0"/>
        </w:numPr>
        <w:tabs>
          <w:tab w:val="left" w:pos="720"/>
        </w:tabs>
        <w:ind w:hanging="720"/>
      </w:pPr>
      <w:r>
        <w:rPr>
          <w:sz w:val="20"/>
        </w:rPr>
        <w:t>434</w:t>
      </w:r>
      <w:r>
        <w:rPr>
          <w:sz w:val="20"/>
        </w:rPr>
        <w:tab/>
      </w:r>
      <w:r w:rsidR="00A73B71">
        <w:t>The reserved question assumes that financial support has been provided for the conduct of the representative proceedings by a third-party funder and that a settlement has been reached which, if approved by the Court, will provide for money to be paid for the benefit of group members.</w:t>
      </w:r>
    </w:p>
    <w:p w14:paraId="72AF3E3C" w14:textId="66EFBF2C" w:rsidR="00A73B71" w:rsidRDefault="0071710E" w:rsidP="0071710E">
      <w:pPr>
        <w:pStyle w:val="ParaNumbering"/>
        <w:numPr>
          <w:ilvl w:val="0"/>
          <w:numId w:val="0"/>
        </w:numPr>
        <w:tabs>
          <w:tab w:val="left" w:pos="720"/>
        </w:tabs>
        <w:ind w:hanging="720"/>
      </w:pPr>
      <w:r>
        <w:rPr>
          <w:sz w:val="20"/>
        </w:rPr>
        <w:t>435</w:t>
      </w:r>
      <w:r>
        <w:rPr>
          <w:sz w:val="20"/>
        </w:rPr>
        <w:tab/>
      </w:r>
      <w:r w:rsidR="00A73B71">
        <w:t xml:space="preserve">Further, it assumes an understanding of the nature of the financial support that is usually provided by a third-party funder of representative proceedings.  For present purposes it is sufficient to observe that the support provided by a funder will usually involve meeting the legal costs and disbursements incurred to advance the representative proceedings and providing an indemnity in respect of any order for costs imposed upon the representative applicant.  In addition, the involvement of a commercial funder is likely to require security to be provided for the respondent's costs.  Therefore, it is usual for the funder's support to extend </w:t>
      </w:r>
      <w:proofErr w:type="gramStart"/>
      <w:r w:rsidR="00A73B71">
        <w:t>to meeting</w:t>
      </w:r>
      <w:proofErr w:type="gramEnd"/>
      <w:r w:rsidR="00A73B71">
        <w:t xml:space="preserve"> that liability also.</w:t>
      </w:r>
    </w:p>
    <w:p w14:paraId="47F37769" w14:textId="7F8D3323" w:rsidR="00A73B71" w:rsidRDefault="0071710E" w:rsidP="0071710E">
      <w:pPr>
        <w:pStyle w:val="ParaNumbering"/>
        <w:numPr>
          <w:ilvl w:val="0"/>
          <w:numId w:val="0"/>
        </w:numPr>
        <w:tabs>
          <w:tab w:val="left" w:pos="720"/>
        </w:tabs>
        <w:ind w:hanging="720"/>
      </w:pPr>
      <w:r>
        <w:rPr>
          <w:sz w:val="20"/>
        </w:rPr>
        <w:t>436</w:t>
      </w:r>
      <w:r>
        <w:rPr>
          <w:sz w:val="20"/>
        </w:rPr>
        <w:tab/>
      </w:r>
      <w:r w:rsidR="00A73B71">
        <w:t xml:space="preserve">In addition to an agreement with the representative applicant, the funder may secure an agreement with some or </w:t>
      </w:r>
      <w:proofErr w:type="gramStart"/>
      <w:r w:rsidR="00A73B71">
        <w:t>all of</w:t>
      </w:r>
      <w:proofErr w:type="gramEnd"/>
      <w:r w:rsidR="00A73B71">
        <w:t xml:space="preserve"> the group members.  Although it is possible for a funder to 'bookbuild' by entering into individual agreements with prospective group members before the commencement of representative proceedings and then proceed on a closed class basis confined to group members with whom the funder has reached an agreement, the opt out structure of Part IVA allows for the commencement of proceedings on an open class basis.  In consequence, it is also possible that the funder may enter into agreements with some group members concerning the funding arrangements for the proceedings (funded members) and then commence proceedings on an open class basis.  If that course is </w:t>
      </w:r>
      <w:proofErr w:type="gramStart"/>
      <w:r w:rsidR="00A73B71">
        <w:t>followed</w:t>
      </w:r>
      <w:proofErr w:type="gramEnd"/>
      <w:r w:rsidR="00A73B71">
        <w:t xml:space="preserve"> then some of the group members will not have agreed to the funding terms (unfunded members).  In those instances, the funded members effectively finance the representative proceedings 'by pooling their promises to pay' the funder according to the agreed terms:  </w:t>
      </w:r>
      <w:proofErr w:type="spellStart"/>
      <w:r w:rsidR="00A73B71" w:rsidRPr="00A01E91">
        <w:rPr>
          <w:i/>
          <w:iCs/>
        </w:rPr>
        <w:t>Earglow</w:t>
      </w:r>
      <w:proofErr w:type="spellEnd"/>
      <w:r w:rsidR="00A73B71" w:rsidRPr="00A01E91">
        <w:rPr>
          <w:i/>
          <w:iCs/>
        </w:rPr>
        <w:t xml:space="preserve"> Pty Ltd v Newcrest Mining Limited</w:t>
      </w:r>
      <w:r w:rsidR="00A73B71" w:rsidRPr="00A01E91">
        <w:t xml:space="preserve"> [2016] FCA 1433</w:t>
      </w:r>
      <w:r w:rsidR="00A73B71">
        <w:t xml:space="preserve"> at [83] (Murphy J).  It is also possible for the funder to only enter into an agreement with the representative applicant with the consequence that, when the representative action is commenced, all the other group members will be unfunded.</w:t>
      </w:r>
    </w:p>
    <w:p w14:paraId="6238DB79" w14:textId="0BB6D16E" w:rsidR="00A73B71" w:rsidRDefault="0071710E" w:rsidP="0071710E">
      <w:pPr>
        <w:pStyle w:val="ParaNumbering"/>
        <w:numPr>
          <w:ilvl w:val="0"/>
          <w:numId w:val="0"/>
        </w:numPr>
        <w:tabs>
          <w:tab w:val="left" w:pos="720"/>
        </w:tabs>
        <w:ind w:hanging="720"/>
      </w:pPr>
      <w:r>
        <w:rPr>
          <w:sz w:val="20"/>
        </w:rPr>
        <w:t>437</w:t>
      </w:r>
      <w:r>
        <w:rPr>
          <w:sz w:val="20"/>
        </w:rPr>
        <w:tab/>
      </w:r>
      <w:r w:rsidR="00A73B71">
        <w:t xml:space="preserve">In any instance where there are unfunded members there is the prospect that they will be able to 'free ride' on the commitments made by others to the funder and thereby obtain 'windfall gains' if the proceedings are successful or a settlement is proposed.  An outcome of that kind may be seen to be unfair and unjust:  </w:t>
      </w:r>
      <w:proofErr w:type="spellStart"/>
      <w:r w:rsidR="00A73B71" w:rsidRPr="00A01E91">
        <w:rPr>
          <w:i/>
          <w:iCs/>
        </w:rPr>
        <w:t>Botsman</w:t>
      </w:r>
      <w:proofErr w:type="spellEnd"/>
      <w:r w:rsidR="00A73B71" w:rsidRPr="00A01E91">
        <w:rPr>
          <w:i/>
          <w:iCs/>
        </w:rPr>
        <w:t xml:space="preserve"> v Bolitho </w:t>
      </w:r>
      <w:r w:rsidR="00A73B71" w:rsidRPr="00A01E91">
        <w:t>[2018] VSCA 278; (2018) 57 VR 68</w:t>
      </w:r>
      <w:r w:rsidR="00A73B71" w:rsidRPr="00E03DA9">
        <w:t xml:space="preserve"> </w:t>
      </w:r>
      <w:r w:rsidR="00A73B71">
        <w:t>at [</w:t>
      </w:r>
      <w:proofErr w:type="gramStart"/>
      <w:r w:rsidR="00A73B71">
        <w:t>214]</w:t>
      </w:r>
      <w:r w:rsidR="00A73B71">
        <w:noBreakHyphen/>
      </w:r>
      <w:proofErr w:type="gramEnd"/>
      <w:r w:rsidR="00A73B71">
        <w:t>[215] (Tate, Whelan and Niall JJA).</w:t>
      </w:r>
    </w:p>
    <w:p w14:paraId="3A48931D" w14:textId="36704293" w:rsidR="00A73B71" w:rsidRDefault="0071710E" w:rsidP="0071710E">
      <w:pPr>
        <w:pStyle w:val="ParaNumbering"/>
        <w:numPr>
          <w:ilvl w:val="0"/>
          <w:numId w:val="0"/>
        </w:numPr>
        <w:tabs>
          <w:tab w:val="left" w:pos="720"/>
        </w:tabs>
        <w:ind w:hanging="720"/>
      </w:pPr>
      <w:r>
        <w:rPr>
          <w:sz w:val="20"/>
        </w:rPr>
        <w:t>438</w:t>
      </w:r>
      <w:r>
        <w:rPr>
          <w:sz w:val="20"/>
        </w:rPr>
        <w:tab/>
      </w:r>
      <w:r w:rsidR="00A73B71">
        <w:t xml:space="preserve">Further, if the representative applicant (and any other funded group members) </w:t>
      </w:r>
      <w:proofErr w:type="gramStart"/>
      <w:r w:rsidR="00A73B71">
        <w:t>are</w:t>
      </w:r>
      <w:proofErr w:type="gramEnd"/>
      <w:r w:rsidR="00A73B71">
        <w:t xml:space="preserve"> unable to recover a just contribution from unfunded members then it may be expected that funders will not agree to provide financial support for representative proceedings unless all group members are funded.  Consequently, the extent of the access to justice that the open class structure of Part IVA affords will be curtailed.</w:t>
      </w:r>
    </w:p>
    <w:p w14:paraId="0D40976E" w14:textId="032ED364" w:rsidR="00A73B71" w:rsidRDefault="0071710E" w:rsidP="0071710E">
      <w:pPr>
        <w:pStyle w:val="ParaNumbering"/>
        <w:numPr>
          <w:ilvl w:val="0"/>
          <w:numId w:val="0"/>
        </w:numPr>
        <w:tabs>
          <w:tab w:val="left" w:pos="720"/>
        </w:tabs>
        <w:ind w:hanging="720"/>
      </w:pPr>
      <w:r>
        <w:rPr>
          <w:sz w:val="20"/>
        </w:rPr>
        <w:t>439</w:t>
      </w:r>
      <w:r>
        <w:rPr>
          <w:sz w:val="20"/>
        </w:rPr>
        <w:tab/>
      </w:r>
      <w:r w:rsidR="00A73B71">
        <w:t>It is now well established that upon settlement, a form of equalisation order (which has been described as a funding equalisation order or FEO) may be made which does not impose upon</w:t>
      </w:r>
      <w:r w:rsidR="00A73B71" w:rsidRPr="00B00BC9">
        <w:t xml:space="preserve"> </w:t>
      </w:r>
      <w:r w:rsidR="00A73B71">
        <w:t xml:space="preserve">unfunded members the burden of equivalent funding terms to those which have been assumed by the funder members.  The order </w:t>
      </w:r>
      <w:r w:rsidR="00A73B71" w:rsidRPr="00013845">
        <w:t>provides for deductions from the</w:t>
      </w:r>
      <w:r w:rsidR="00A73B71">
        <w:t xml:space="preserve"> amounts to be paid to unfunded group members of an amount </w:t>
      </w:r>
      <w:r w:rsidR="00A73B71" w:rsidRPr="00013845">
        <w:t xml:space="preserve">equivalent to the </w:t>
      </w:r>
      <w:r w:rsidR="00A73B71">
        <w:t xml:space="preserve">payment for funding costs to be made by each of the funded members.  The deducted amounts are then distributed </w:t>
      </w:r>
      <w:r w:rsidR="00A73B71" w:rsidRPr="00013845">
        <w:t>pro rata</w:t>
      </w:r>
      <w:r w:rsidR="00A73B71">
        <w:t xml:space="preserve"> to all group </w:t>
      </w:r>
      <w:r w:rsidR="00A73B71" w:rsidRPr="00013845">
        <w:t>members</w:t>
      </w:r>
      <w:r w:rsidR="00A73B71">
        <w:t>.  In practical terms, an FEO is likely to result in differential burdens of the costs of funding as between funded and unfunded members.  It is an equalisation of the net amount received by each group member.</w:t>
      </w:r>
    </w:p>
    <w:p w14:paraId="01FE0CEA" w14:textId="747337C1" w:rsidR="00A73B71" w:rsidRDefault="0071710E" w:rsidP="0071710E">
      <w:pPr>
        <w:pStyle w:val="ParaNumbering"/>
        <w:numPr>
          <w:ilvl w:val="0"/>
          <w:numId w:val="0"/>
        </w:numPr>
        <w:tabs>
          <w:tab w:val="left" w:pos="720"/>
        </w:tabs>
        <w:ind w:hanging="720"/>
      </w:pPr>
      <w:r>
        <w:rPr>
          <w:sz w:val="20"/>
        </w:rPr>
        <w:t>440</w:t>
      </w:r>
      <w:r>
        <w:rPr>
          <w:sz w:val="20"/>
        </w:rPr>
        <w:tab/>
      </w:r>
      <w:r w:rsidR="00A73B71">
        <w:t>The burden of the reserved question is whether, at the time of approving a settlement or discontinuance (and as a condition of such approval), the Court can make an order that it considers to be just which allows a reasonable percentage amount of any moneys to be made available as part of a proposed settlement to be paid out of those moneys for the benefit of the funder, the burden of which will fall proportionally upon all group members (irrespective of whether they are funded members) according to the amount they will receive from those monies of the settlement as approved.</w:t>
      </w:r>
    </w:p>
    <w:p w14:paraId="0A421818" w14:textId="77777777" w:rsidR="00A73B71" w:rsidRDefault="00A73B71" w:rsidP="00A73B71">
      <w:pPr>
        <w:pStyle w:val="Heading2"/>
      </w:pPr>
      <w:r>
        <w:t>The present circumstances</w:t>
      </w:r>
    </w:p>
    <w:p w14:paraId="24A31535" w14:textId="76B40D68" w:rsidR="00A73B71" w:rsidRDefault="0071710E" w:rsidP="0071710E">
      <w:pPr>
        <w:pStyle w:val="ParaNumbering"/>
        <w:numPr>
          <w:ilvl w:val="0"/>
          <w:numId w:val="0"/>
        </w:numPr>
        <w:tabs>
          <w:tab w:val="left" w:pos="720"/>
        </w:tabs>
        <w:ind w:hanging="720"/>
      </w:pPr>
      <w:r>
        <w:rPr>
          <w:sz w:val="20"/>
        </w:rPr>
        <w:t>441</w:t>
      </w:r>
      <w:r>
        <w:rPr>
          <w:sz w:val="20"/>
        </w:rPr>
        <w:tab/>
      </w:r>
      <w:r w:rsidR="00A73B71">
        <w:t xml:space="preserve">The reserved question arises in the present instance because the Court must approve the terms of proposed opt out notices to be sent to group members.  </w:t>
      </w:r>
      <w:proofErr w:type="gramStart"/>
      <w:r w:rsidR="00A73B71">
        <w:t>In order to</w:t>
      </w:r>
      <w:proofErr w:type="gramEnd"/>
      <w:r w:rsidR="00A73B71">
        <w:t xml:space="preserve"> be able to provide group members with accurate information as to what participation in the representative proceedings may afford a group member who does not opt out, it is necessary to provide information as to what is likely to occur if the proceedings are resolved by way of settlement.  In particular, it may be expected that the opt out notice will provide information about the possibility of a Settlement CFO, assuming that the Court has authority to make such an order under s 33</w:t>
      </w:r>
      <w:proofErr w:type="gramStart"/>
      <w:r w:rsidR="00A73B71">
        <w:t>V(</w:t>
      </w:r>
      <w:proofErr w:type="gramEnd"/>
      <w:r w:rsidR="00A73B71">
        <w:t>2).  If the Court has such authority, it may also be appropriate to include some information about the process by which the Court determines the appropriate amount that may be allowed to be paid to a funder pursuant to a Settlement CFO.</w:t>
      </w:r>
    </w:p>
    <w:p w14:paraId="1F715D7A" w14:textId="1BED3918" w:rsidR="00A73B71" w:rsidRDefault="0071710E" w:rsidP="0071710E">
      <w:pPr>
        <w:pStyle w:val="ParaNumbering"/>
        <w:numPr>
          <w:ilvl w:val="0"/>
          <w:numId w:val="0"/>
        </w:numPr>
        <w:tabs>
          <w:tab w:val="left" w:pos="720"/>
        </w:tabs>
        <w:ind w:hanging="720"/>
      </w:pPr>
      <w:r>
        <w:rPr>
          <w:sz w:val="20"/>
        </w:rPr>
        <w:t>442</w:t>
      </w:r>
      <w:r>
        <w:rPr>
          <w:sz w:val="20"/>
        </w:rPr>
        <w:tab/>
      </w:r>
      <w:r w:rsidR="00A73B71">
        <w:t xml:space="preserve">The point assumes further significance in the present case because the representative proceedings allege contraventions of the </w:t>
      </w:r>
      <w:r w:rsidR="00A73B71" w:rsidRPr="00A01E91">
        <w:rPr>
          <w:i/>
          <w:iCs/>
        </w:rPr>
        <w:t xml:space="preserve">Fair Work Act 2009 </w:t>
      </w:r>
      <w:r w:rsidR="00A73B71" w:rsidRPr="00A01E91">
        <w:t>(</w:t>
      </w:r>
      <w:proofErr w:type="spellStart"/>
      <w:r w:rsidR="00A73B71" w:rsidRPr="00A01E91">
        <w:t>Cth</w:t>
      </w:r>
      <w:proofErr w:type="spellEnd"/>
      <w:r w:rsidR="00A73B71" w:rsidRPr="00A01E91">
        <w:t>)</w:t>
      </w:r>
      <w:r w:rsidR="00A73B71">
        <w:t>.  Provisions within Part 4</w:t>
      </w:r>
      <w:r w:rsidR="00A73B71">
        <w:noBreakHyphen/>
        <w:t xml:space="preserve">1 of the </w:t>
      </w:r>
      <w:r w:rsidR="00A73B71">
        <w:rPr>
          <w:i/>
          <w:iCs/>
        </w:rPr>
        <w:t>Fair Work Act</w:t>
      </w:r>
      <w:r w:rsidR="00A73B71">
        <w:t xml:space="preserve"> confer rights upon individuals to seek relief where there have been contraventions of certain provisions of the legislation.  In addition, the </w:t>
      </w:r>
      <w:r w:rsidR="00A73B71">
        <w:rPr>
          <w:i/>
          <w:iCs/>
        </w:rPr>
        <w:t xml:space="preserve">Fair Work Act </w:t>
      </w:r>
      <w:r w:rsidR="00A73B71">
        <w:t xml:space="preserve">provides that an industrial association may apply for an order in relation to certain contraventions if the person affected is a person that the industrial association is entitled to </w:t>
      </w:r>
      <w:proofErr w:type="gramStart"/>
      <w:r w:rsidR="00A73B71">
        <w:t>represent:</w:t>
      </w:r>
      <w:proofErr w:type="gramEnd"/>
      <w:r w:rsidR="00A73B71">
        <w:t xml:space="preserve">  see s 540(6).  Separate proceedings have been brought by an industrial association pursuant to that procedure in respect of contraventions that are also the subject of representative proceedings.  In consequence it may be important for those who are considering whether to opt out to be able to make comparisons between the different types of proceedings and the outcomes they may deliver.</w:t>
      </w:r>
    </w:p>
    <w:p w14:paraId="5B1BC3A2" w14:textId="5CC5662A" w:rsidR="00A73B71" w:rsidRDefault="0071710E" w:rsidP="0071710E">
      <w:pPr>
        <w:pStyle w:val="ParaNumbering"/>
        <w:numPr>
          <w:ilvl w:val="0"/>
          <w:numId w:val="0"/>
        </w:numPr>
        <w:tabs>
          <w:tab w:val="left" w:pos="720"/>
        </w:tabs>
        <w:ind w:hanging="720"/>
      </w:pPr>
      <w:r>
        <w:rPr>
          <w:sz w:val="20"/>
        </w:rPr>
        <w:t>443</w:t>
      </w:r>
      <w:r>
        <w:rPr>
          <w:sz w:val="20"/>
        </w:rPr>
        <w:tab/>
      </w:r>
      <w:r w:rsidR="00A73B71">
        <w:t xml:space="preserve">The existence of the proceedings that have been brought by the industrial association gives rise to contentions to the effect that there can be no Settlement CFO in this </w:t>
      </w:r>
      <w:proofErr w:type="gramStart"/>
      <w:r w:rsidR="00A73B71">
        <w:t>particular case</w:t>
      </w:r>
      <w:proofErr w:type="gramEnd"/>
      <w:r w:rsidR="00A73B71">
        <w:t xml:space="preserve"> because it is the </w:t>
      </w:r>
      <w:r w:rsidR="00A73B71">
        <w:rPr>
          <w:i/>
          <w:iCs/>
        </w:rPr>
        <w:t xml:space="preserve">Fair Work Act </w:t>
      </w:r>
      <w:r w:rsidR="00A73B71">
        <w:t>form of proceeding that is the only 'representative' procedure that can be used in the case of claims to which that procedure applies.</w:t>
      </w:r>
    </w:p>
    <w:p w14:paraId="532D09C9" w14:textId="77777777" w:rsidR="00A73B71" w:rsidRDefault="00A73B71" w:rsidP="00A73B71">
      <w:pPr>
        <w:pStyle w:val="Heading2"/>
      </w:pPr>
      <w:r>
        <w:t>The issues and outcome</w:t>
      </w:r>
    </w:p>
    <w:p w14:paraId="01DD43C8" w14:textId="6AABD2DD" w:rsidR="00A73B71" w:rsidRDefault="0071710E" w:rsidP="0071710E">
      <w:pPr>
        <w:pStyle w:val="ParaNumbering"/>
        <w:numPr>
          <w:ilvl w:val="0"/>
          <w:numId w:val="0"/>
        </w:numPr>
        <w:tabs>
          <w:tab w:val="left" w:pos="720"/>
        </w:tabs>
        <w:ind w:hanging="720"/>
      </w:pPr>
      <w:r>
        <w:rPr>
          <w:sz w:val="20"/>
        </w:rPr>
        <w:t>444</w:t>
      </w:r>
      <w:r>
        <w:rPr>
          <w:sz w:val="20"/>
        </w:rPr>
        <w:tab/>
      </w:r>
      <w:r w:rsidR="00A73B71">
        <w:t>I am relieved of the burden of explaining the full extent of the alternative arguments because I have the considerable advantage of being provided with a draft of the reasons to be published by Lee J.  Respectfully, I agree with Lee J that the reserved question should be answered in the affirmative.  I do so substantially for the reasons given by his Honour.  However, in one respect, with considerable caution given his Honour's extensive experience in the field, I have reached a different view.  It concerns the nature of the approval process to be undertaken on a proper construction of s 33V.  Otherwise, I wish also to add some further brief observations and indicate some points as to which I prefer to express no concluded view.</w:t>
      </w:r>
    </w:p>
    <w:p w14:paraId="207E0861" w14:textId="4B0DC783" w:rsidR="00A73B71" w:rsidRDefault="0071710E" w:rsidP="0071710E">
      <w:pPr>
        <w:pStyle w:val="ParaNumbering"/>
        <w:numPr>
          <w:ilvl w:val="0"/>
          <w:numId w:val="0"/>
        </w:numPr>
        <w:tabs>
          <w:tab w:val="left" w:pos="720"/>
        </w:tabs>
        <w:ind w:hanging="720"/>
      </w:pPr>
      <w:r>
        <w:rPr>
          <w:sz w:val="20"/>
        </w:rPr>
        <w:t>445</w:t>
      </w:r>
      <w:r>
        <w:rPr>
          <w:sz w:val="20"/>
        </w:rPr>
        <w:tab/>
      </w:r>
      <w:r w:rsidR="00A73B71">
        <w:t>For reasons which will emerge, in my view the reserved question should be answered in the following terms: 'If the Court has approved the terms of settlement or discontinuance in the exercise of its approval jurisdiction, yes'.</w:t>
      </w:r>
    </w:p>
    <w:p w14:paraId="1E1437FA" w14:textId="2C4AC253" w:rsidR="00A73B71" w:rsidRDefault="0071710E" w:rsidP="0071710E">
      <w:pPr>
        <w:pStyle w:val="ParaNumbering"/>
        <w:numPr>
          <w:ilvl w:val="0"/>
          <w:numId w:val="0"/>
        </w:numPr>
        <w:tabs>
          <w:tab w:val="left" w:pos="720"/>
        </w:tabs>
        <w:ind w:hanging="720"/>
      </w:pPr>
      <w:r>
        <w:rPr>
          <w:sz w:val="20"/>
        </w:rPr>
        <w:t>446</w:t>
      </w:r>
      <w:r>
        <w:rPr>
          <w:sz w:val="20"/>
        </w:rPr>
        <w:tab/>
      </w:r>
      <w:r w:rsidR="00A73B71">
        <w:t>I will address the issues in the order in which they have been addressed by Lee J.</w:t>
      </w:r>
    </w:p>
    <w:p w14:paraId="08B427EC" w14:textId="77777777" w:rsidR="00A73B71" w:rsidRPr="00F3315C" w:rsidRDefault="00A73B71" w:rsidP="00A73B71">
      <w:pPr>
        <w:pStyle w:val="Heading2"/>
      </w:pPr>
      <w:r w:rsidRPr="00F3315C">
        <w:t xml:space="preserve">Part IVA of the </w:t>
      </w:r>
      <w:r w:rsidRPr="003027D2">
        <w:rPr>
          <w:i/>
        </w:rPr>
        <w:t>Federal Court of Australia Act</w:t>
      </w:r>
      <w:r w:rsidRPr="00F3315C">
        <w:t xml:space="preserve"> and Part 4-1 of the </w:t>
      </w:r>
      <w:r w:rsidRPr="003027D2">
        <w:rPr>
          <w:i/>
        </w:rPr>
        <w:t>Fair Work Act</w:t>
      </w:r>
    </w:p>
    <w:p w14:paraId="026C41C2" w14:textId="687D5C4C" w:rsidR="00A73B71" w:rsidRDefault="0071710E" w:rsidP="0071710E">
      <w:pPr>
        <w:pStyle w:val="ParaNumbering"/>
        <w:numPr>
          <w:ilvl w:val="0"/>
          <w:numId w:val="0"/>
        </w:numPr>
        <w:tabs>
          <w:tab w:val="left" w:pos="720"/>
        </w:tabs>
        <w:ind w:hanging="720"/>
      </w:pPr>
      <w:r>
        <w:rPr>
          <w:sz w:val="20"/>
        </w:rPr>
        <w:t>447</w:t>
      </w:r>
      <w:r>
        <w:rPr>
          <w:sz w:val="20"/>
        </w:rPr>
        <w:tab/>
      </w:r>
      <w:r w:rsidR="00A73B71">
        <w:t xml:space="preserve">I agree, substantially for the reasons given by Lee J, that an applicant for the statutory remedies conferred by the </w:t>
      </w:r>
      <w:r w:rsidR="00A73B71">
        <w:rPr>
          <w:i/>
          <w:iCs/>
        </w:rPr>
        <w:t xml:space="preserve">Fair Work Act </w:t>
      </w:r>
      <w:r w:rsidR="00A73B71">
        <w:t xml:space="preserve">is unconstrained by the terms of that Act as to the procedure that may be invoked to pursue those remedies.  Employees have individual rights to seek the statutory remedies:  see s 539.  As Lee J explains, those rights may be pursued by representative proceedings under Part IVA.  The inclusion of a provision pursuant to which an industrial association that is entitled to represent the interests of a person who is or will be affected by a contravention of the </w:t>
      </w:r>
      <w:r w:rsidR="00A73B71">
        <w:rPr>
          <w:i/>
          <w:iCs/>
        </w:rPr>
        <w:t xml:space="preserve">Fair Work Act </w:t>
      </w:r>
      <w:r w:rsidR="00A73B71">
        <w:t>may apply for an order under Division 2 of Part 4</w:t>
      </w:r>
      <w:r w:rsidR="00A73B71">
        <w:noBreakHyphen/>
        <w:t xml:space="preserve">1 of that Act does not manifest an intention that an employee is unable to pursue those rights themselves.  In that respect, it is significant that s 540(6) does not confer authority upon an industrial association to bring proceedings as a representative of a person.  If it brings proceedings then it does so in circumstances that are much closer to those considered in </w:t>
      </w:r>
      <w:r w:rsidR="00A73B71" w:rsidRPr="00A01E91">
        <w:rPr>
          <w:i/>
          <w:iCs/>
        </w:rPr>
        <w:t xml:space="preserve">Tomlinson v Ramsey Food Processing Pty Limited </w:t>
      </w:r>
      <w:r w:rsidR="00A73B71" w:rsidRPr="00A01E91">
        <w:t>[2015] HCA 28; (2015) 256 CLR 507</w:t>
      </w:r>
      <w:r w:rsidR="00A73B71">
        <w:t xml:space="preserve"> at </w:t>
      </w:r>
      <w:r w:rsidR="00A73B71" w:rsidRPr="00295021">
        <w:t>[4</w:t>
      </w:r>
      <w:r w:rsidR="00A73B71">
        <w:t>1</w:t>
      </w:r>
      <w:r w:rsidR="00A73B71" w:rsidRPr="00295021">
        <w:t>]</w:t>
      </w:r>
      <w:r w:rsidR="00A73B71">
        <w:t xml:space="preserve"> (French </w:t>
      </w:r>
      <w:r w:rsidR="00A73B71" w:rsidRPr="00295021">
        <w:t xml:space="preserve">CJ, Bell, </w:t>
      </w:r>
      <w:proofErr w:type="spellStart"/>
      <w:r w:rsidR="00A73B71" w:rsidRPr="00295021">
        <w:t>Gageler</w:t>
      </w:r>
      <w:proofErr w:type="spellEnd"/>
      <w:r w:rsidR="00A73B71" w:rsidRPr="00295021">
        <w:t xml:space="preserve"> and Keane</w:t>
      </w:r>
      <w:r w:rsidR="00A73B71">
        <w:t> </w:t>
      </w:r>
      <w:r w:rsidR="00A73B71" w:rsidRPr="00295021">
        <w:t>JJ</w:t>
      </w:r>
      <w:r w:rsidR="00A73B71">
        <w:t>) where their Honours differentiated between a claim brought as a representative and a claim where the applicant 'acts for statutorily … permitted reasons within a statutorily defined area of responsibility in making such a claim'.</w:t>
      </w:r>
    </w:p>
    <w:p w14:paraId="0E236BB9" w14:textId="6860E6A6" w:rsidR="00A73B71" w:rsidRDefault="0071710E" w:rsidP="0071710E">
      <w:pPr>
        <w:pStyle w:val="ParaNumbering"/>
        <w:numPr>
          <w:ilvl w:val="0"/>
          <w:numId w:val="0"/>
        </w:numPr>
        <w:tabs>
          <w:tab w:val="left" w:pos="720"/>
        </w:tabs>
        <w:ind w:hanging="720"/>
      </w:pPr>
      <w:r>
        <w:rPr>
          <w:sz w:val="20"/>
        </w:rPr>
        <w:t>448</w:t>
      </w:r>
      <w:r>
        <w:rPr>
          <w:sz w:val="20"/>
        </w:rPr>
        <w:tab/>
      </w:r>
      <w:r w:rsidR="00A73B71">
        <w:t xml:space="preserve">I prefer to express no view as to the way in which the concept of what can constitute a </w:t>
      </w:r>
      <w:proofErr w:type="gramStart"/>
      <w:r w:rsidR="00A73B71">
        <w:t>'matter' bears</w:t>
      </w:r>
      <w:proofErr w:type="gramEnd"/>
      <w:r w:rsidR="00A73B71">
        <w:t xml:space="preserve"> upon the character of representative proceedings under Part IVA.  I agree that once there is a matter in the Court's jurisdiction, the Court can deal with all justiciable issues that arise.  I also agree that in consequence no question arises as to the Court's jurisdiction or power to deal with the reserved question.  A Full Court may always decline to answer a reserved question if, after hearing argument, it forms the view that it is not appropriate to answer the question.</w:t>
      </w:r>
    </w:p>
    <w:p w14:paraId="7FE84D2E" w14:textId="5B5BB5F9" w:rsidR="00A73B71" w:rsidRDefault="0071710E" w:rsidP="0071710E">
      <w:pPr>
        <w:pStyle w:val="ParaNumbering"/>
        <w:numPr>
          <w:ilvl w:val="0"/>
          <w:numId w:val="0"/>
        </w:numPr>
        <w:tabs>
          <w:tab w:val="left" w:pos="720"/>
        </w:tabs>
        <w:ind w:hanging="720"/>
      </w:pPr>
      <w:r>
        <w:rPr>
          <w:sz w:val="20"/>
        </w:rPr>
        <w:t>449</w:t>
      </w:r>
      <w:r>
        <w:rPr>
          <w:sz w:val="20"/>
        </w:rPr>
        <w:tab/>
      </w:r>
      <w:r w:rsidR="00A73B71">
        <w:t>I express no view as to whether there could be said to be any abuse of process in a person being both a group member in a representative action and a person in respect of whom an industrial association has applied for an order pursuant to the authority conferred by s 540(6) where both proceedings concern the same statutory rights.</w:t>
      </w:r>
    </w:p>
    <w:p w14:paraId="0DE5DEAA" w14:textId="77777777" w:rsidR="00A73B71" w:rsidRDefault="00A73B71" w:rsidP="00A73B71">
      <w:pPr>
        <w:pStyle w:val="Heading2"/>
      </w:pPr>
      <w:r>
        <w:t>Judicial power and a Settlement CFO</w:t>
      </w:r>
    </w:p>
    <w:p w14:paraId="469BEA76" w14:textId="1417426B" w:rsidR="00A73B71" w:rsidRDefault="0071710E" w:rsidP="0071710E">
      <w:pPr>
        <w:pStyle w:val="ParaNumbering"/>
        <w:numPr>
          <w:ilvl w:val="0"/>
          <w:numId w:val="0"/>
        </w:numPr>
        <w:tabs>
          <w:tab w:val="left" w:pos="720"/>
        </w:tabs>
        <w:ind w:hanging="720"/>
      </w:pPr>
      <w:r>
        <w:rPr>
          <w:sz w:val="20"/>
        </w:rPr>
        <w:t>450</w:t>
      </w:r>
      <w:r>
        <w:rPr>
          <w:sz w:val="20"/>
        </w:rPr>
        <w:tab/>
      </w:r>
      <w:r w:rsidR="00A73B71">
        <w:t>I agree with Lee J for the reasons given by his Honour that the making of a Settlement CFO would not involve the Court undertaking a task that was non-judicial.</w:t>
      </w:r>
    </w:p>
    <w:p w14:paraId="667E8E60" w14:textId="77777777" w:rsidR="00A73B71" w:rsidRDefault="00A73B71" w:rsidP="00A73B71">
      <w:pPr>
        <w:pStyle w:val="Heading2"/>
      </w:pPr>
      <w:r>
        <w:t>Proper construction of s 33V</w:t>
      </w:r>
    </w:p>
    <w:p w14:paraId="2028ED17" w14:textId="77777777" w:rsidR="00A73B71" w:rsidRDefault="00A73B71" w:rsidP="00A73B71">
      <w:pPr>
        <w:pStyle w:val="Heading3"/>
      </w:pPr>
      <w:r>
        <w:t>General principles of statutory construction</w:t>
      </w:r>
    </w:p>
    <w:p w14:paraId="5D1C5AA1" w14:textId="2E79DCC5" w:rsidR="00A73B71" w:rsidRDefault="0071710E" w:rsidP="0071710E">
      <w:pPr>
        <w:pStyle w:val="ParaNumbering"/>
        <w:numPr>
          <w:ilvl w:val="0"/>
          <w:numId w:val="0"/>
        </w:numPr>
        <w:tabs>
          <w:tab w:val="left" w:pos="720"/>
        </w:tabs>
        <w:ind w:hanging="720"/>
      </w:pPr>
      <w:r>
        <w:rPr>
          <w:sz w:val="20"/>
        </w:rPr>
        <w:t>451</w:t>
      </w:r>
      <w:r>
        <w:rPr>
          <w:sz w:val="20"/>
        </w:rPr>
        <w:tab/>
      </w:r>
      <w:r w:rsidR="00A73B71">
        <w:t xml:space="preserve">There was no issue as to the principles of statutory construction to be applied in construing s 33V.  The fundamental principles were recently summarised in </w:t>
      </w:r>
      <w:r w:rsidR="00A73B71" w:rsidRPr="00A01E91">
        <w:rPr>
          <w:i/>
          <w:iCs/>
        </w:rPr>
        <w:t>ENT19 v Minister for Home Affairs</w:t>
      </w:r>
      <w:r w:rsidR="00A73B71" w:rsidRPr="00A01E91">
        <w:t xml:space="preserve"> [2023] HCA 18</w:t>
      </w:r>
      <w:r w:rsidR="00A73B71">
        <w:t xml:space="preserve"> at [</w:t>
      </w:r>
      <w:proofErr w:type="gramStart"/>
      <w:r w:rsidR="00A73B71">
        <w:t>86]</w:t>
      </w:r>
      <w:r w:rsidR="00A73B71">
        <w:noBreakHyphen/>
      </w:r>
      <w:proofErr w:type="gramEnd"/>
      <w:r w:rsidR="00A73B71">
        <w:t>[87] (Gordon, Edelman, Steward and Gleeson JJ).  They require a focus upon the text whilst at the same time having regard to its context and purpose.  In the present case, this requires regard to the whole of the scheme and its purpose that is evident from the terms of Part IVA.</w:t>
      </w:r>
    </w:p>
    <w:p w14:paraId="23CDB313" w14:textId="77777777" w:rsidR="00A73B71" w:rsidRDefault="00A73B71" w:rsidP="00A73B71">
      <w:pPr>
        <w:pStyle w:val="Heading3"/>
      </w:pPr>
      <w:r>
        <w:t>The Part IVA statutory scheme</w:t>
      </w:r>
    </w:p>
    <w:p w14:paraId="255B988D" w14:textId="41EFFAEB" w:rsidR="00A73B71" w:rsidRDefault="0071710E" w:rsidP="0071710E">
      <w:pPr>
        <w:pStyle w:val="ParaNumbering"/>
        <w:numPr>
          <w:ilvl w:val="0"/>
          <w:numId w:val="0"/>
        </w:numPr>
        <w:tabs>
          <w:tab w:val="left" w:pos="720"/>
        </w:tabs>
        <w:ind w:hanging="720"/>
      </w:pPr>
      <w:r>
        <w:rPr>
          <w:sz w:val="20"/>
        </w:rPr>
        <w:t>452</w:t>
      </w:r>
      <w:r>
        <w:rPr>
          <w:sz w:val="20"/>
        </w:rPr>
        <w:tab/>
      </w:r>
      <w:r w:rsidR="00A73B71">
        <w:t xml:space="preserve">The statutory scheme for representative proceedings authorises a representative applicant to commence proceedings for the purpose of determining questions that are common to group members:  s 33C.  It entrusts the conduct of those proceedings to the representative applicant even though no authority has been conferred upon that representative by any act of the group members.  In </w:t>
      </w:r>
      <w:r w:rsidR="00A73B71" w:rsidRPr="00295021">
        <w:rPr>
          <w:i/>
          <w:iCs/>
        </w:rPr>
        <w:t>Tomlinson</w:t>
      </w:r>
      <w:r w:rsidR="00A73B71">
        <w:t>, French </w:t>
      </w:r>
      <w:r w:rsidR="00A73B71" w:rsidRPr="00295021">
        <w:t xml:space="preserve">CJ, Bell, </w:t>
      </w:r>
      <w:proofErr w:type="spellStart"/>
      <w:r w:rsidR="00A73B71" w:rsidRPr="00295021">
        <w:t>Gageler</w:t>
      </w:r>
      <w:proofErr w:type="spellEnd"/>
      <w:r w:rsidR="00A73B71" w:rsidRPr="00295021">
        <w:t xml:space="preserve"> and Kea</w:t>
      </w:r>
      <w:r w:rsidR="00A73B71">
        <w:t>ne </w:t>
      </w:r>
      <w:r w:rsidR="00A73B71" w:rsidRPr="00295021">
        <w:t>JJ</w:t>
      </w:r>
      <w:r w:rsidR="00A73B71">
        <w:t xml:space="preserve"> placed the role of the representative applicant within a class of forms of representation that give rise to fiduciary duties.  As their Honours said at [40]:</w:t>
      </w:r>
    </w:p>
    <w:p w14:paraId="45F818FD" w14:textId="77777777" w:rsidR="00A73B71" w:rsidRDefault="00A73B71" w:rsidP="00A73B71">
      <w:pPr>
        <w:pStyle w:val="Quote1"/>
      </w:pPr>
      <w:r w:rsidRPr="003A5A25">
        <w:t>Traditional forms of representation which bind those represented to estoppels include representation by an agent, representation by a trustee, representation by a tutor or a guardian, and representation by another person under rules of court which permit representation of numerous persons who have the same interest in a proceeding</w:t>
      </w:r>
      <w:r>
        <w:t xml:space="preserve">.  </w:t>
      </w:r>
      <w:r w:rsidRPr="003A5A25">
        <w:t>To those traditional forms of representation can be added representation by a representative party in a modern class action</w:t>
      </w:r>
      <w:r>
        <w:t xml:space="preserve">.  </w:t>
      </w:r>
      <w:r w:rsidRPr="003A5A25">
        <w:t>Each of those forms of representation is typically the subject of fiduciary duties imposed on the representing party or of procedures overseen by the court (of which opt-in or opt-out procedures and approval of settlements in representative or class actions are examples), or of both, which guard against collateral risks of representation, including the risk to a represented person of the detriment of an estoppel operating in a subsequent proceeding outweighing the benefit to that person of participating in the current proceeding.</w:t>
      </w:r>
    </w:p>
    <w:p w14:paraId="59E36B7D" w14:textId="77777777" w:rsidR="00A73B71" w:rsidRDefault="00A73B71" w:rsidP="00A73B71">
      <w:pPr>
        <w:pStyle w:val="Quote1"/>
        <w:spacing w:after="360"/>
      </w:pPr>
      <w:r>
        <w:t>(</w:t>
      </w:r>
      <w:proofErr w:type="gramStart"/>
      <w:r>
        <w:t>footnotes</w:t>
      </w:r>
      <w:proofErr w:type="gramEnd"/>
      <w:r>
        <w:t xml:space="preserve"> omitted)</w:t>
      </w:r>
    </w:p>
    <w:p w14:paraId="049F827D" w14:textId="0245919E" w:rsidR="00A73B71" w:rsidRDefault="0071710E" w:rsidP="0071710E">
      <w:pPr>
        <w:pStyle w:val="ParaNumbering"/>
        <w:numPr>
          <w:ilvl w:val="0"/>
          <w:numId w:val="0"/>
        </w:numPr>
        <w:tabs>
          <w:tab w:val="left" w:pos="720"/>
        </w:tabs>
        <w:ind w:hanging="720"/>
      </w:pPr>
      <w:r>
        <w:rPr>
          <w:sz w:val="20"/>
        </w:rPr>
        <w:t>453</w:t>
      </w:r>
      <w:r>
        <w:rPr>
          <w:sz w:val="20"/>
        </w:rPr>
        <w:tab/>
      </w:r>
      <w:r w:rsidR="00A73B71">
        <w:t>However, a representative applicant does not have complete authority to conduct proceedings on behalf of all group members.  Rather, the authority of a representative applicant is confined to conducting proceedings that will resolve questions that are common to the claims of group members who do not opt out of the representative proceedings.  Save for certain governmental parties, there is no consent required from a person to be a group member in a representative proceeding:  s 33E.  It is by the terms of Part IVA that the determination of the common questions by the representative proceedings will bind all group members who do not opt out:  s 33ZB.  In addition, the representative proceedings may result in a final hearing at which the personal claims of the representative applicant are finally determined in their entirety.</w:t>
      </w:r>
    </w:p>
    <w:p w14:paraId="765DB459" w14:textId="2F5C4811" w:rsidR="00A73B71" w:rsidRDefault="0071710E" w:rsidP="0071710E">
      <w:pPr>
        <w:pStyle w:val="ParaNumbering"/>
        <w:numPr>
          <w:ilvl w:val="0"/>
          <w:numId w:val="0"/>
        </w:numPr>
        <w:tabs>
          <w:tab w:val="left" w:pos="720"/>
        </w:tabs>
        <w:ind w:hanging="720"/>
      </w:pPr>
      <w:r>
        <w:rPr>
          <w:sz w:val="20"/>
        </w:rPr>
        <w:t>454</w:t>
      </w:r>
      <w:r>
        <w:rPr>
          <w:sz w:val="20"/>
        </w:rPr>
        <w:tab/>
      </w:r>
      <w:r w:rsidR="00A73B71">
        <w:t xml:space="preserve">It is possible for the common questions that are determined by representative proceedings to include the entirety of the claim of each group member where all aspects are common.  Accordingly, Part IVA contemplates that representative proceedings may result in judgment being given that will result in a need to identify group members and provide for distribution to them of amounts ordered to be </w:t>
      </w:r>
      <w:proofErr w:type="gramStart"/>
      <w:r w:rsidR="00A73B71">
        <w:t>paid:</w:t>
      </w:r>
      <w:proofErr w:type="gramEnd"/>
      <w:r w:rsidR="00A73B71">
        <w:t xml:space="preserve">  s 33M.</w:t>
      </w:r>
    </w:p>
    <w:p w14:paraId="03DCAA5B" w14:textId="7B8B7033" w:rsidR="00A73B71" w:rsidRDefault="0071710E" w:rsidP="0071710E">
      <w:pPr>
        <w:pStyle w:val="ParaNumbering"/>
        <w:numPr>
          <w:ilvl w:val="0"/>
          <w:numId w:val="0"/>
        </w:numPr>
        <w:tabs>
          <w:tab w:val="left" w:pos="720"/>
        </w:tabs>
        <w:ind w:hanging="720"/>
      </w:pPr>
      <w:r>
        <w:rPr>
          <w:sz w:val="20"/>
        </w:rPr>
        <w:t>455</w:t>
      </w:r>
      <w:r>
        <w:rPr>
          <w:sz w:val="20"/>
        </w:rPr>
        <w:tab/>
      </w:r>
      <w:r w:rsidR="00A73B71">
        <w:t>However, it is quite likely that some aspect of the claim of each group member will require some form of individual assessment of circumstances that are unique to each group member - such as instances where the nature and extent of damages will depend upon individual circumstances.  In the latter instance, even if the common questions the subject of the representative proceedings are resolved favourably to the group members, individual claims will need to be pursued to resolve the non-common aspects of each claim or some procedure will need to be agreed by which to resolve those aspects which cannot be determined on a representative basis.</w:t>
      </w:r>
    </w:p>
    <w:p w14:paraId="43800773" w14:textId="31DCB7FF" w:rsidR="00A73B71" w:rsidRDefault="0071710E" w:rsidP="0071710E">
      <w:pPr>
        <w:pStyle w:val="ParaNumbering"/>
        <w:numPr>
          <w:ilvl w:val="0"/>
          <w:numId w:val="0"/>
        </w:numPr>
        <w:tabs>
          <w:tab w:val="left" w:pos="720"/>
        </w:tabs>
        <w:ind w:hanging="720"/>
      </w:pPr>
      <w:r>
        <w:rPr>
          <w:sz w:val="20"/>
        </w:rPr>
        <w:t>456</w:t>
      </w:r>
      <w:r>
        <w:rPr>
          <w:sz w:val="20"/>
        </w:rPr>
        <w:tab/>
      </w:r>
      <w:r w:rsidR="00A73B71">
        <w:t>The Court has a limited authority under Party IVA to give directions in relation to the determination of the remaining issues if it appears that determination of the common issues will not finally determine the claims of all group members:  s 33Q.  It also has authority to permit a group member to appear in the representative proceedings to determine an issue relating to that group member:  s 33R.  It may also give directions as to the commencement and conduct of a separate proceeding by a group member where an issue cannot properly or conveniently be dealt with as part of the representative proceedings:  s 33S.  Therefore, the representative applicant may have a limited role, to the extent of the exercise of the power to make such directions, that goes beyond determination of the common questions.</w:t>
      </w:r>
    </w:p>
    <w:p w14:paraId="21AAAEEE" w14:textId="7A19263C" w:rsidR="00A73B71" w:rsidRDefault="0071710E" w:rsidP="0071710E">
      <w:pPr>
        <w:pStyle w:val="ParaNumbering"/>
        <w:numPr>
          <w:ilvl w:val="0"/>
          <w:numId w:val="0"/>
        </w:numPr>
        <w:tabs>
          <w:tab w:val="left" w:pos="720"/>
        </w:tabs>
        <w:ind w:hanging="720"/>
      </w:pPr>
      <w:r>
        <w:rPr>
          <w:sz w:val="20"/>
        </w:rPr>
        <w:t>457</w:t>
      </w:r>
      <w:r>
        <w:rPr>
          <w:sz w:val="20"/>
        </w:rPr>
        <w:tab/>
      </w:r>
      <w:r w:rsidR="00A73B71">
        <w:t xml:space="preserve">Further, as the reasoning in </w:t>
      </w:r>
      <w:r w:rsidR="00A73B71">
        <w:rPr>
          <w:i/>
          <w:iCs/>
        </w:rPr>
        <w:t xml:space="preserve">Tomlinson </w:t>
      </w:r>
      <w:r w:rsidR="00A73B71" w:rsidRPr="00562E0E">
        <w:t>recognises,</w:t>
      </w:r>
      <w:r w:rsidR="00A73B71">
        <w:rPr>
          <w:i/>
          <w:iCs/>
        </w:rPr>
        <w:t xml:space="preserve"> </w:t>
      </w:r>
      <w:r w:rsidR="00A73B71" w:rsidRPr="003C66BB">
        <w:t xml:space="preserve">a representative applicant will </w:t>
      </w:r>
      <w:r w:rsidR="00A73B71">
        <w:t xml:space="preserve">also have authority to bring forth settlements for approval.  </w:t>
      </w:r>
      <w:r w:rsidR="00A73B71" w:rsidRPr="003C66BB">
        <w:t>The f</w:t>
      </w:r>
      <w:r w:rsidR="00A73B71">
        <w:t>act that the representative applicant has carriage of proceedings which could only result in a determination of the common issues and in the making of directions as to the determination of remaining issues does not mean that any settlement terms proposed by a representative applicant must be confined to the resolution of those common issues and the terms of those directions.</w:t>
      </w:r>
    </w:p>
    <w:p w14:paraId="2C05A65F" w14:textId="187C7820" w:rsidR="00A73B71" w:rsidRDefault="0071710E" w:rsidP="0071710E">
      <w:pPr>
        <w:pStyle w:val="ParaNumbering"/>
        <w:numPr>
          <w:ilvl w:val="0"/>
          <w:numId w:val="0"/>
        </w:numPr>
        <w:tabs>
          <w:tab w:val="left" w:pos="720"/>
        </w:tabs>
        <w:ind w:hanging="720"/>
      </w:pPr>
      <w:r>
        <w:rPr>
          <w:sz w:val="20"/>
        </w:rPr>
        <w:t>458</w:t>
      </w:r>
      <w:r>
        <w:rPr>
          <w:sz w:val="20"/>
        </w:rPr>
        <w:tab/>
      </w:r>
      <w:r w:rsidR="00A73B71">
        <w:t xml:space="preserve">The terms of settlement of representative proceedings need not be confined to the claims expressly made against the respondents to the representative proceedings.  They may contemplate a broader resolution that </w:t>
      </w:r>
      <w:proofErr w:type="gramStart"/>
      <w:r w:rsidR="00A73B71">
        <w:t>brings to an end</w:t>
      </w:r>
      <w:proofErr w:type="gramEnd"/>
      <w:r w:rsidR="00A73B71">
        <w:t xml:space="preserve"> the whole of the underlying controversy as it concerns all group members.  They may require general releases to be given by group members.  They may reserve rights for individual group members to pursue aspects of their claims in separate proceedings.  They may establish an arbitral procedure or some other mechanism for the quantification of remaining aspects of individual claims.  They may propose the terms of an offer to be made to each group member which may or may not be accepted on an individual basis.  They may require group members to register in some way </w:t>
      </w:r>
      <w:proofErr w:type="gramStart"/>
      <w:r w:rsidR="00A73B71">
        <w:t>in order to</w:t>
      </w:r>
      <w:proofErr w:type="gramEnd"/>
      <w:r w:rsidR="00A73B71">
        <w:t xml:space="preserve"> receive payments under proposed settlement terms.</w:t>
      </w:r>
    </w:p>
    <w:p w14:paraId="6FCC500B" w14:textId="7188644B" w:rsidR="00A73B71" w:rsidRDefault="0071710E" w:rsidP="0071710E">
      <w:pPr>
        <w:pStyle w:val="ParaNumbering"/>
        <w:numPr>
          <w:ilvl w:val="0"/>
          <w:numId w:val="0"/>
        </w:numPr>
        <w:tabs>
          <w:tab w:val="left" w:pos="720"/>
        </w:tabs>
        <w:ind w:hanging="720"/>
      </w:pPr>
      <w:r>
        <w:rPr>
          <w:sz w:val="20"/>
        </w:rPr>
        <w:t>459</w:t>
      </w:r>
      <w:r>
        <w:rPr>
          <w:sz w:val="20"/>
        </w:rPr>
        <w:tab/>
      </w:r>
      <w:r w:rsidR="00A73B71">
        <w:t xml:space="preserve">Further, as was noted by Lee J in </w:t>
      </w:r>
      <w:r w:rsidR="00A73B71">
        <w:rPr>
          <w:i/>
          <w:iCs/>
        </w:rPr>
        <w:t xml:space="preserve">Davaria </w:t>
      </w:r>
      <w:r w:rsidR="00A73B71">
        <w:t>at [63] they may propose orders which provide for a lesser return to a funder than would have been the case if the funder was able to recover according to the terms of a relevant funding agreement.</w:t>
      </w:r>
    </w:p>
    <w:p w14:paraId="0C27A56B" w14:textId="72E90C43" w:rsidR="00A73B71" w:rsidRDefault="0071710E" w:rsidP="0071710E">
      <w:pPr>
        <w:pStyle w:val="ParaNumbering"/>
        <w:numPr>
          <w:ilvl w:val="0"/>
          <w:numId w:val="0"/>
        </w:numPr>
        <w:tabs>
          <w:tab w:val="left" w:pos="720"/>
        </w:tabs>
        <w:ind w:hanging="720"/>
      </w:pPr>
      <w:r>
        <w:rPr>
          <w:sz w:val="20"/>
        </w:rPr>
        <w:t>460</w:t>
      </w:r>
      <w:r>
        <w:rPr>
          <w:sz w:val="20"/>
        </w:rPr>
        <w:tab/>
      </w:r>
      <w:r w:rsidR="00A73B71">
        <w:t xml:space="preserve">In short, the settlement terms may be as varied as the circumstances may require </w:t>
      </w:r>
      <w:proofErr w:type="gramStart"/>
      <w:r w:rsidR="00A73B71">
        <w:t>in order for</w:t>
      </w:r>
      <w:proofErr w:type="gramEnd"/>
      <w:r w:rsidR="00A73B71">
        <w:t xml:space="preserve"> agreement to be reached as to proposed settlement terms resolving the representative proceedings to be submitted to the Court for approval.  Further, any settlement to be approved which provides for money to be available for group members is highly likely to include terms relating to the way in which the representative applicant may recover legal costs and disbursements reasonably incurred </w:t>
      </w:r>
      <w:proofErr w:type="gramStart"/>
      <w:r w:rsidR="00A73B71">
        <w:t>in order to</w:t>
      </w:r>
      <w:proofErr w:type="gramEnd"/>
      <w:r w:rsidR="00A73B71">
        <w:t xml:space="preserve"> advance those proceedings and negotiate the proposed settlement terms.</w:t>
      </w:r>
    </w:p>
    <w:p w14:paraId="6801B13E" w14:textId="3002B511" w:rsidR="00A73B71" w:rsidRDefault="0071710E" w:rsidP="0071710E">
      <w:pPr>
        <w:pStyle w:val="ParaNumbering"/>
        <w:numPr>
          <w:ilvl w:val="0"/>
          <w:numId w:val="0"/>
        </w:numPr>
        <w:tabs>
          <w:tab w:val="left" w:pos="720"/>
        </w:tabs>
        <w:ind w:hanging="720"/>
      </w:pPr>
      <w:r>
        <w:rPr>
          <w:sz w:val="20"/>
        </w:rPr>
        <w:t>461</w:t>
      </w:r>
      <w:r>
        <w:rPr>
          <w:sz w:val="20"/>
        </w:rPr>
        <w:tab/>
      </w:r>
      <w:r w:rsidR="00A73B71">
        <w:t xml:space="preserve">Commercial litigation funding is now an established part of the way in which applicants may cover the costs and risks of conducting court proceedings. Many issues arise from the intersection between the attributes of representative proceedings as an appropriate procedure for just resolution of claims and the attributes of the commercial enterprises that provide funding to enable that procedure to be resorted to in the interests of group members:  Report 134 of the Australian Law Reform Commission, </w:t>
      </w:r>
      <w:r w:rsidR="00A73B71">
        <w:rPr>
          <w:i/>
          <w:iCs/>
        </w:rPr>
        <w:t>Integrity, Fairness and Efficiency - An Inquiry into Class Action Proceedings and Third-Party Litigation Funders</w:t>
      </w:r>
      <w:r w:rsidR="00A73B71">
        <w:t>, Chapter 6. The Part IVA scheme should be construed on the basis that its provisions will apply in circumstances where all, some or none of the group members are funded.</w:t>
      </w:r>
    </w:p>
    <w:p w14:paraId="23F97A48" w14:textId="77777777" w:rsidR="00A73B71" w:rsidRDefault="00A73B71" w:rsidP="00A73B71">
      <w:pPr>
        <w:pStyle w:val="Heading3"/>
      </w:pPr>
      <w:r>
        <w:t>Text of s 33V</w:t>
      </w:r>
    </w:p>
    <w:p w14:paraId="34D4DF11" w14:textId="38E47900" w:rsidR="00A73B71" w:rsidRDefault="0071710E" w:rsidP="0071710E">
      <w:pPr>
        <w:pStyle w:val="ParaNumbering"/>
        <w:numPr>
          <w:ilvl w:val="0"/>
          <w:numId w:val="0"/>
        </w:numPr>
        <w:tabs>
          <w:tab w:val="left" w:pos="720"/>
        </w:tabs>
        <w:ind w:hanging="720"/>
      </w:pPr>
      <w:r>
        <w:rPr>
          <w:sz w:val="20"/>
        </w:rPr>
        <w:t>462</w:t>
      </w:r>
      <w:r>
        <w:rPr>
          <w:sz w:val="20"/>
        </w:rPr>
        <w:tab/>
      </w:r>
      <w:r w:rsidR="00A73B71">
        <w:t>As has been noted, s 33</w:t>
      </w:r>
      <w:proofErr w:type="gramStart"/>
      <w:r w:rsidR="00A73B71">
        <w:t>V(</w:t>
      </w:r>
      <w:proofErr w:type="gramEnd"/>
      <w:r w:rsidR="00A73B71">
        <w:t xml:space="preserve">1) requires any settlement of representative proceedings to be supervised by the Court.  It invokes the Court's protective role:  </w:t>
      </w:r>
      <w:r w:rsidR="00A73B71" w:rsidRPr="00A01E91">
        <w:rPr>
          <w:i/>
          <w:iCs/>
        </w:rPr>
        <w:t xml:space="preserve">Australian Securities and Investments Commission v Richards </w:t>
      </w:r>
      <w:r w:rsidR="00A73B71" w:rsidRPr="00A01E91">
        <w:t>[2013] FCAFC 89</w:t>
      </w:r>
      <w:r w:rsidR="00A73B71">
        <w:t xml:space="preserve"> at [8] (Jacobson, </w:t>
      </w:r>
      <w:proofErr w:type="gramStart"/>
      <w:r w:rsidR="00A73B71">
        <w:t>Middleton</w:t>
      </w:r>
      <w:proofErr w:type="gramEnd"/>
      <w:r w:rsidR="00A73B71">
        <w:t xml:space="preserve"> and Gordon JJ).  In effect, the Court supervises the conduct of the representative applicant who proposes terms of settlement.  The Court does so by itself making an assessment as to whether the settlement is fair and reasonable:  see the summary of the principles by Moshinsky J in </w:t>
      </w:r>
      <w:r w:rsidR="00A73B71" w:rsidRPr="00A01E91">
        <w:rPr>
          <w:i/>
          <w:iCs/>
        </w:rPr>
        <w:t xml:space="preserve">Fisher (trustee for the </w:t>
      </w:r>
      <w:proofErr w:type="spellStart"/>
      <w:r w:rsidR="00A73B71" w:rsidRPr="00A01E91">
        <w:rPr>
          <w:i/>
          <w:iCs/>
        </w:rPr>
        <w:t>Tramik</w:t>
      </w:r>
      <w:proofErr w:type="spellEnd"/>
      <w:r w:rsidR="00A73B71" w:rsidRPr="00A01E91">
        <w:rPr>
          <w:i/>
          <w:iCs/>
        </w:rPr>
        <w:t xml:space="preserve"> Super Fund Trust) v </w:t>
      </w:r>
      <w:proofErr w:type="spellStart"/>
      <w:r w:rsidR="00A73B71" w:rsidRPr="00A01E91">
        <w:rPr>
          <w:i/>
          <w:iCs/>
        </w:rPr>
        <w:t>Vocus</w:t>
      </w:r>
      <w:proofErr w:type="spellEnd"/>
      <w:r w:rsidR="00A73B71" w:rsidRPr="00A01E91">
        <w:rPr>
          <w:i/>
          <w:iCs/>
        </w:rPr>
        <w:t xml:space="preserve"> Group Limited (No 2) </w:t>
      </w:r>
      <w:r w:rsidR="00A73B71" w:rsidRPr="00A01E91">
        <w:t>[2020] FCA 579</w:t>
      </w:r>
      <w:r w:rsidR="00A73B71">
        <w:t xml:space="preserve"> at [17] and, more recently, by Lee J in </w:t>
      </w:r>
      <w:r w:rsidR="00A73B71" w:rsidRPr="00A01E91">
        <w:rPr>
          <w:i/>
          <w:iCs/>
        </w:rPr>
        <w:t>Fowkes v Boston Scientific Corporation</w:t>
      </w:r>
      <w:r w:rsidR="00A73B71" w:rsidRPr="00A01E91">
        <w:t xml:space="preserve"> [2023] FCA 230</w:t>
      </w:r>
      <w:r w:rsidR="00A73B71" w:rsidRPr="003C4FAA">
        <w:t xml:space="preserve"> </w:t>
      </w:r>
      <w:r w:rsidR="00A73B71">
        <w:t>at [32]</w:t>
      </w:r>
      <w:r w:rsidR="00A73B71">
        <w:noBreakHyphen/>
        <w:t>[45].</w:t>
      </w:r>
    </w:p>
    <w:p w14:paraId="657E70E1" w14:textId="77209AED" w:rsidR="00A73B71" w:rsidRDefault="0071710E" w:rsidP="0071710E">
      <w:pPr>
        <w:pStyle w:val="ParaNumbering"/>
        <w:numPr>
          <w:ilvl w:val="0"/>
          <w:numId w:val="0"/>
        </w:numPr>
        <w:tabs>
          <w:tab w:val="left" w:pos="720"/>
        </w:tabs>
        <w:ind w:hanging="720"/>
      </w:pPr>
      <w:r>
        <w:rPr>
          <w:sz w:val="20"/>
        </w:rPr>
        <w:t>463</w:t>
      </w:r>
      <w:r>
        <w:rPr>
          <w:sz w:val="20"/>
        </w:rPr>
        <w:tab/>
      </w:r>
      <w:r w:rsidR="00A73B71">
        <w:t>However, the analogy with other instances in which the Court exercises a jurisdiction to approve the settlement or discontinuance of proceedings is not complete.  In the case of a representative applicant, their authority is confined in the manner I have described.  There is an express authority to bring the representative proceedings and to do all those things necessary for the reasonable conduct of those proceedings.  It is also necessarily implicit in the terms of s 33</w:t>
      </w:r>
      <w:proofErr w:type="gramStart"/>
      <w:r w:rsidR="00A73B71">
        <w:t>V(</w:t>
      </w:r>
      <w:proofErr w:type="gramEnd"/>
      <w:r w:rsidR="00A73B71">
        <w:t xml:space="preserve">1) that the representative applicant may conduct negotiations for the purpose of proposing terms of settlement of the representative proceedings.  As I have explained, the terms of settlement may include terms by which there may be a mechanism for settlement of group member claims (not just the determination of common questions).  This is because the terms of settlement may address any matter which is a bona fide term that has been included </w:t>
      </w:r>
      <w:proofErr w:type="gramStart"/>
      <w:r w:rsidR="00A73B71">
        <w:t>in order to</w:t>
      </w:r>
      <w:proofErr w:type="gramEnd"/>
      <w:r w:rsidR="00A73B71">
        <w:t xml:space="preserve"> reach agreement with the respondents to dispose of the underlying controversy that has given rise to the representative proceedings.  Settlement need not be confined to the resolution of common questions and any directions as to the resolution of individual claims.</w:t>
      </w:r>
    </w:p>
    <w:p w14:paraId="3EBD628C" w14:textId="41911D5F" w:rsidR="00A73B71" w:rsidRDefault="0071710E" w:rsidP="0071710E">
      <w:pPr>
        <w:pStyle w:val="ParaNumbering"/>
        <w:numPr>
          <w:ilvl w:val="0"/>
          <w:numId w:val="0"/>
        </w:numPr>
        <w:tabs>
          <w:tab w:val="left" w:pos="720"/>
        </w:tabs>
        <w:ind w:hanging="720"/>
      </w:pPr>
      <w:r>
        <w:rPr>
          <w:sz w:val="20"/>
        </w:rPr>
        <w:t>464</w:t>
      </w:r>
      <w:r>
        <w:rPr>
          <w:sz w:val="20"/>
        </w:rPr>
        <w:tab/>
      </w:r>
      <w:r w:rsidR="00A73B71">
        <w:t>However, the representative applicant has no authority conferred by Part IVA, whether fiduciary in character or otherwise, to agree to terms of settlement of the claims of individual group members.  Therefore, if those claims are to be settled, the terms of settlement for which approval is sought must propose some mechanism by which the settlement may be carried into effect despite the limits on the authority of the representative applicant.  This is an important contextual aspect when it comes to interpreting s 33</w:t>
      </w:r>
      <w:proofErr w:type="gramStart"/>
      <w:r w:rsidR="00A73B71">
        <w:t>V(</w:t>
      </w:r>
      <w:proofErr w:type="gramEnd"/>
      <w:r w:rsidR="00A73B71">
        <w:t>2).</w:t>
      </w:r>
    </w:p>
    <w:p w14:paraId="027A638A" w14:textId="5B9A17D5" w:rsidR="00A73B71" w:rsidRDefault="0071710E" w:rsidP="0071710E">
      <w:pPr>
        <w:pStyle w:val="ParaNumbering"/>
        <w:numPr>
          <w:ilvl w:val="0"/>
          <w:numId w:val="0"/>
        </w:numPr>
        <w:tabs>
          <w:tab w:val="left" w:pos="720"/>
        </w:tabs>
        <w:ind w:hanging="720"/>
      </w:pPr>
      <w:r>
        <w:rPr>
          <w:sz w:val="20"/>
        </w:rPr>
        <w:t>465</w:t>
      </w:r>
      <w:r>
        <w:rPr>
          <w:sz w:val="20"/>
        </w:rPr>
        <w:tab/>
      </w:r>
      <w:r w:rsidR="00A73B71">
        <w:t>For reasons which follow, in my view, s 33</w:t>
      </w:r>
      <w:proofErr w:type="gramStart"/>
      <w:r w:rsidR="00A73B71">
        <w:t>V(</w:t>
      </w:r>
      <w:proofErr w:type="gramEnd"/>
      <w:r w:rsidR="00A73B71">
        <w:t>2) is a mechanism by which a settlement may be carried into effect despite the limits on the authority of the representative applicant.  It confers jurisdiction on the Court, in a case where a settlement has been approved, to make such orders as are just with respect to the distribution of money paid under the settlement or paid into Court.</w:t>
      </w:r>
    </w:p>
    <w:p w14:paraId="2C494DF8" w14:textId="4C906C5D" w:rsidR="00A73B71" w:rsidRDefault="0071710E" w:rsidP="0071710E">
      <w:pPr>
        <w:pStyle w:val="ParaNumbering"/>
        <w:numPr>
          <w:ilvl w:val="0"/>
          <w:numId w:val="0"/>
        </w:numPr>
        <w:tabs>
          <w:tab w:val="left" w:pos="720"/>
        </w:tabs>
        <w:ind w:hanging="720"/>
      </w:pPr>
      <w:r>
        <w:rPr>
          <w:sz w:val="20"/>
        </w:rPr>
        <w:t>466</w:t>
      </w:r>
      <w:r>
        <w:rPr>
          <w:sz w:val="20"/>
        </w:rPr>
        <w:tab/>
      </w:r>
      <w:r w:rsidR="00A73B71">
        <w:t>It is possible to conceive of mechanisms which may facilitate agreement by individual group members to an approved settlement as a condition of the settlement taking effect.  However, in many claims such mechanisms are likely to be cumbersome and may tend to discourage settlement by respondents on a whole group basis.  In the context of Part IVA as a whole and the limited nature of the authority of a representative applicant, s 33</w:t>
      </w:r>
      <w:proofErr w:type="gramStart"/>
      <w:r w:rsidR="00A73B71">
        <w:t>V(</w:t>
      </w:r>
      <w:proofErr w:type="gramEnd"/>
      <w:r w:rsidR="00A73B71">
        <w:t>2) presents as a mechanism that is intended to confer authority upon the Court to make orders which enable an approved settlement to be carried into effect.</w:t>
      </w:r>
    </w:p>
    <w:p w14:paraId="1340FCB7" w14:textId="77777777" w:rsidR="00A73B71" w:rsidRDefault="00A73B71" w:rsidP="00A73B71">
      <w:pPr>
        <w:pStyle w:val="Heading3"/>
      </w:pPr>
      <w:r>
        <w:t>Proper construction of s 33V</w:t>
      </w:r>
    </w:p>
    <w:p w14:paraId="3F2BA5E3" w14:textId="0BDA30D7" w:rsidR="00A73B71" w:rsidRDefault="0071710E" w:rsidP="0071710E">
      <w:pPr>
        <w:pStyle w:val="ParaNumbering"/>
        <w:numPr>
          <w:ilvl w:val="0"/>
          <w:numId w:val="0"/>
        </w:numPr>
        <w:tabs>
          <w:tab w:val="left" w:pos="720"/>
        </w:tabs>
        <w:ind w:hanging="720"/>
      </w:pPr>
      <w:r>
        <w:rPr>
          <w:sz w:val="20"/>
        </w:rPr>
        <w:t>467</w:t>
      </w:r>
      <w:r>
        <w:rPr>
          <w:sz w:val="20"/>
        </w:rPr>
        <w:tab/>
      </w:r>
      <w:r w:rsidR="00A73B71">
        <w:t>For reasons that have been given, s 33</w:t>
      </w:r>
      <w:proofErr w:type="gramStart"/>
      <w:r w:rsidR="00A73B71">
        <w:t>V(</w:t>
      </w:r>
      <w:proofErr w:type="gramEnd"/>
      <w:r w:rsidR="00A73B71">
        <w:t xml:space="preserve">1) does not confer jurisdiction.  Rather it requires the exercise of the Court's existing jurisdiction to require the Court's approval before certain types of proceedings can be settled or discontinued to be invoked in the case of representative proceedings.  The nature and extent of that jurisdiction is determined by general law principles that are long-standing.  It is a jurisdiction that is exercised where the Court considers there is a need to protect the interests of </w:t>
      </w:r>
      <w:proofErr w:type="gramStart"/>
      <w:r w:rsidR="00A73B71">
        <w:t>particular parties</w:t>
      </w:r>
      <w:proofErr w:type="gramEnd"/>
      <w:r w:rsidR="00A73B71">
        <w:t xml:space="preserve"> when it comes to the resolution of proceedings by some means other than adjudication of the merits after a final hearing.</w:t>
      </w:r>
    </w:p>
    <w:p w14:paraId="0887D228" w14:textId="194BCBE8" w:rsidR="00A73B71" w:rsidRDefault="0071710E" w:rsidP="0071710E">
      <w:pPr>
        <w:pStyle w:val="ParaNumbering"/>
        <w:numPr>
          <w:ilvl w:val="0"/>
          <w:numId w:val="0"/>
        </w:numPr>
        <w:tabs>
          <w:tab w:val="left" w:pos="720"/>
        </w:tabs>
        <w:ind w:hanging="720"/>
      </w:pPr>
      <w:r>
        <w:rPr>
          <w:sz w:val="20"/>
        </w:rPr>
        <w:t>468</w:t>
      </w:r>
      <w:r>
        <w:rPr>
          <w:sz w:val="20"/>
        </w:rPr>
        <w:tab/>
      </w:r>
      <w:r w:rsidR="00A73B71">
        <w:t xml:space="preserve">The Court's approval jurisdiction is sufficiently broad to allow for the Court to consider whether, in an appropriate case, a settlement which contemplates the payment to a third-party funder of </w:t>
      </w:r>
      <w:proofErr w:type="gramStart"/>
      <w:r w:rsidR="00A73B71">
        <w:t>particular amounts</w:t>
      </w:r>
      <w:proofErr w:type="gramEnd"/>
      <w:r w:rsidR="00A73B71">
        <w:t xml:space="preserve"> should be approved.  Indeed, the Court will often consider the extent of any liability to pay costs and disbursements to lawyers and experts or receivers or other administrators in insolvency in deciding whether to approve a settlement (or in the exercise of the Court's related jurisdiction to provide judicial advice to a particular party acting in the interests of others as to whether that party is justified in settling court proceedings on </w:t>
      </w:r>
      <w:proofErr w:type="gramStart"/>
      <w:r w:rsidR="00A73B71">
        <w:t>particular terms</w:t>
      </w:r>
      <w:proofErr w:type="gramEnd"/>
      <w:r w:rsidR="00A73B71">
        <w:t>).</w:t>
      </w:r>
    </w:p>
    <w:p w14:paraId="5D95F018" w14:textId="382FB552" w:rsidR="00A73B71" w:rsidRDefault="0071710E" w:rsidP="0071710E">
      <w:pPr>
        <w:pStyle w:val="ParaNumbering"/>
        <w:numPr>
          <w:ilvl w:val="0"/>
          <w:numId w:val="0"/>
        </w:numPr>
        <w:tabs>
          <w:tab w:val="left" w:pos="720"/>
        </w:tabs>
        <w:ind w:hanging="720"/>
      </w:pPr>
      <w:r>
        <w:rPr>
          <w:sz w:val="20"/>
        </w:rPr>
        <w:t>469</w:t>
      </w:r>
      <w:r>
        <w:rPr>
          <w:sz w:val="20"/>
        </w:rPr>
        <w:tab/>
      </w:r>
      <w:r w:rsidR="00A73B71">
        <w:t>In any case where terms are proposed as part of the resolution of representative proceedings, it is likely that similar issues will arise.  There is no indication in the terms of s 33V that the kind of approval jurisdiction the exercise of which is contemplated by its terms is limited in any way.</w:t>
      </w:r>
    </w:p>
    <w:p w14:paraId="5C289EF6" w14:textId="66BB3D68" w:rsidR="00A73B71" w:rsidRDefault="0071710E" w:rsidP="0071710E">
      <w:pPr>
        <w:pStyle w:val="ParaNumbering"/>
        <w:numPr>
          <w:ilvl w:val="0"/>
          <w:numId w:val="0"/>
        </w:numPr>
        <w:tabs>
          <w:tab w:val="left" w:pos="720"/>
        </w:tabs>
        <w:ind w:hanging="720"/>
      </w:pPr>
      <w:r>
        <w:rPr>
          <w:sz w:val="20"/>
        </w:rPr>
        <w:t>470</w:t>
      </w:r>
      <w:r>
        <w:rPr>
          <w:sz w:val="20"/>
        </w:rPr>
        <w:tab/>
      </w:r>
      <w:r w:rsidR="00A73B71">
        <w:t xml:space="preserve">Importantly, in the present context, the Court's approval jurisdiction does not confine the types of terms that may be advanced as part of the settlement.  Rather, it contemplates the exercise of a protective role in scrutinising the terms that are proposed in the interests of the party whose interests are to be protected by the jurisdiction to approve.  The Court may require </w:t>
      </w:r>
      <w:proofErr w:type="gramStart"/>
      <w:r w:rsidR="00A73B71">
        <w:t>particular information</w:t>
      </w:r>
      <w:proofErr w:type="gramEnd"/>
      <w:r w:rsidR="00A73B71">
        <w:t xml:space="preserve"> to be provided as part of the approval process.  In an appropriate case, the Court may make orders by which legal representatives are appointed to make submissions as to the interests of those persons who are to be protected.  It is the exercise of that aspect of the jurisdiction that has caused this Court, on occasion, to require the appointment of legal representatives to present submissions as to the effect upon the interests of group members when considering whether to approve a proposed settlement of representative proceedings (with the costs of such representation to be borne by the parties to the representative proceedings in a manner determined by the Court).  Again, the making of such orders is an exercise of the Court's approval jurisdiction and does not require authority to be found in the terms of Part IVA.</w:t>
      </w:r>
    </w:p>
    <w:p w14:paraId="1D671FD5" w14:textId="13E5820F" w:rsidR="00A73B71" w:rsidRDefault="0071710E" w:rsidP="0071710E">
      <w:pPr>
        <w:pStyle w:val="ParaNumbering"/>
        <w:numPr>
          <w:ilvl w:val="0"/>
          <w:numId w:val="0"/>
        </w:numPr>
        <w:tabs>
          <w:tab w:val="left" w:pos="720"/>
        </w:tabs>
        <w:ind w:hanging="720"/>
      </w:pPr>
      <w:r>
        <w:rPr>
          <w:sz w:val="20"/>
        </w:rPr>
        <w:t>471</w:t>
      </w:r>
      <w:r>
        <w:rPr>
          <w:sz w:val="20"/>
        </w:rPr>
        <w:tab/>
      </w:r>
      <w:r w:rsidR="00A73B71">
        <w:t>As the language of s 33</w:t>
      </w:r>
      <w:proofErr w:type="gramStart"/>
      <w:r w:rsidR="00A73B71">
        <w:t>V(</w:t>
      </w:r>
      <w:proofErr w:type="gramEnd"/>
      <w:r w:rsidR="00A73B71">
        <w:t>2) exposes, it contemplates an approval process before the making of any orders in the exercise of the power conferred under that provision.  Therefore, in my view, it does not bifurcate the approval process such that those aspects of the settlement that are concerned with distribution of money (including any distribution to third-party funders) are considered under s 33</w:t>
      </w:r>
      <w:proofErr w:type="gramStart"/>
      <w:r w:rsidR="00A73B71">
        <w:t>V(</w:t>
      </w:r>
      <w:proofErr w:type="gramEnd"/>
      <w:r w:rsidR="00A73B71">
        <w:t>2).  The authority conferred by s 33</w:t>
      </w:r>
      <w:proofErr w:type="gramStart"/>
      <w:r w:rsidR="00A73B71">
        <w:t>V(</w:t>
      </w:r>
      <w:proofErr w:type="gramEnd"/>
      <w:r w:rsidR="00A73B71">
        <w:t>2) does not concern approval.  Rather, s 33</w:t>
      </w:r>
      <w:proofErr w:type="gramStart"/>
      <w:r w:rsidR="00A73B71">
        <w:t>V(</w:t>
      </w:r>
      <w:proofErr w:type="gramEnd"/>
      <w:r w:rsidR="00A73B71">
        <w:t>2) confers an authority to make orders as to the distribution of money even though the representative applicant has no authority to agree or consent to such orders on behalf of group members.  It is a jurisdiction that authorises the Court, consequent upon approval, to make orders as to distribution of settlement monies (or monies paid into Court) even though the group members are not parties to the representative proceedings and may only be bound by the determination of common questions (or the exercise of the limited powers to make directions that I have identified).</w:t>
      </w:r>
    </w:p>
    <w:p w14:paraId="183CE767" w14:textId="6BA429D3" w:rsidR="00A73B71" w:rsidRDefault="0071710E" w:rsidP="0071710E">
      <w:pPr>
        <w:pStyle w:val="ParaNumbering"/>
        <w:numPr>
          <w:ilvl w:val="0"/>
          <w:numId w:val="0"/>
        </w:numPr>
        <w:tabs>
          <w:tab w:val="left" w:pos="720"/>
        </w:tabs>
        <w:ind w:hanging="720"/>
      </w:pPr>
      <w:r>
        <w:rPr>
          <w:sz w:val="20"/>
        </w:rPr>
        <w:t>472</w:t>
      </w:r>
      <w:r>
        <w:rPr>
          <w:sz w:val="20"/>
        </w:rPr>
        <w:tab/>
      </w:r>
      <w:r w:rsidR="00A73B71">
        <w:t>Of course, the existence of the power conferred by s 33</w:t>
      </w:r>
      <w:proofErr w:type="gramStart"/>
      <w:r w:rsidR="00A73B71">
        <w:t>V(</w:t>
      </w:r>
      <w:proofErr w:type="gramEnd"/>
      <w:r w:rsidR="00A73B71">
        <w:t>2) means that the settlement terms proposed for approval may contemplate the exercise of the power.  If that is the case, then the Court will include that aspect of the settlement in the matters to be considered when undertaking its deliberation as to whether to approve the proposed settlement.</w:t>
      </w:r>
    </w:p>
    <w:p w14:paraId="738616A8" w14:textId="7BD3139B" w:rsidR="00A73B71" w:rsidRDefault="0071710E" w:rsidP="0071710E">
      <w:pPr>
        <w:pStyle w:val="ParaNumbering"/>
        <w:numPr>
          <w:ilvl w:val="0"/>
          <w:numId w:val="0"/>
        </w:numPr>
        <w:tabs>
          <w:tab w:val="left" w:pos="720"/>
        </w:tabs>
        <w:ind w:hanging="720"/>
      </w:pPr>
      <w:r>
        <w:rPr>
          <w:sz w:val="20"/>
        </w:rPr>
        <w:t>473</w:t>
      </w:r>
      <w:r>
        <w:rPr>
          <w:sz w:val="20"/>
        </w:rPr>
        <w:tab/>
      </w:r>
      <w:r w:rsidR="00A73B71">
        <w:t>However, on the proper construction of s 33V, the approval of the settlement does not involve two steps.  Rather, it requires a consideration of all of the settlement terms having regard to the existence of the jurisdiction to make an order under s 33</w:t>
      </w:r>
      <w:proofErr w:type="gramStart"/>
      <w:r w:rsidR="00A73B71">
        <w:t>V(</w:t>
      </w:r>
      <w:proofErr w:type="gramEnd"/>
      <w:r w:rsidR="00A73B71">
        <w:t>2) and whether it is contemplated by the proposed settlement that there will be an order of a particular kind made in the exercise of that jurisdiction.</w:t>
      </w:r>
    </w:p>
    <w:p w14:paraId="7A202CBB" w14:textId="1AC467E9" w:rsidR="00A73B71" w:rsidRDefault="0071710E" w:rsidP="0071710E">
      <w:pPr>
        <w:pStyle w:val="ParaNumbering"/>
        <w:numPr>
          <w:ilvl w:val="0"/>
          <w:numId w:val="0"/>
        </w:numPr>
        <w:tabs>
          <w:tab w:val="left" w:pos="720"/>
        </w:tabs>
        <w:ind w:hanging="720"/>
      </w:pPr>
      <w:r>
        <w:rPr>
          <w:sz w:val="20"/>
        </w:rPr>
        <w:t>474</w:t>
      </w:r>
      <w:r>
        <w:rPr>
          <w:sz w:val="20"/>
        </w:rPr>
        <w:tab/>
      </w:r>
      <w:r w:rsidR="00A73B71">
        <w:t xml:space="preserve">Conceivably, the Court may conclude that the total amount proposed to be paid by the respondents is reasonable (having regard to the evidence presented as to the merits of the competing positions of the parties and the confidential terms of any advice received by the representative applicant as to risks and contingencies) but conclude that the settlement is unreasonable because of the extent of the fees, disbursements and other amounts proposed to be paid from the monies to be paid by the respondents as part of the settlement (or the basis upon which those amounts are sought to be justified):  see, for example, the reasoning of Murphy J in </w:t>
      </w:r>
      <w:r w:rsidR="00A73B71" w:rsidRPr="00A01E91">
        <w:rPr>
          <w:i/>
          <w:iCs/>
        </w:rPr>
        <w:t>Petersen Superannuation Fund Pty Ltd v Bank of Queensland Limited (No 3)</w:t>
      </w:r>
      <w:r w:rsidR="00A73B71" w:rsidRPr="00A01E91">
        <w:t xml:space="preserve"> [2018] FCA 1842</w:t>
      </w:r>
      <w:r w:rsidR="00A73B71">
        <w:t>.  However, that is not to undertake a two</w:t>
      </w:r>
      <w:r w:rsidR="00A73B71">
        <w:noBreakHyphen/>
        <w:t>step evaluation.  Rather, it is to identify the aspect of the settlement that has led the Court to conclude that it should not be approved.</w:t>
      </w:r>
    </w:p>
    <w:p w14:paraId="3F60EBF5" w14:textId="440BFBB7" w:rsidR="00A73B71" w:rsidRDefault="0071710E" w:rsidP="0071710E">
      <w:pPr>
        <w:pStyle w:val="ParaNumbering"/>
        <w:numPr>
          <w:ilvl w:val="0"/>
          <w:numId w:val="0"/>
        </w:numPr>
        <w:tabs>
          <w:tab w:val="left" w:pos="720"/>
        </w:tabs>
        <w:ind w:hanging="720"/>
      </w:pPr>
      <w:r>
        <w:rPr>
          <w:sz w:val="20"/>
        </w:rPr>
        <w:t>475</w:t>
      </w:r>
      <w:r>
        <w:rPr>
          <w:sz w:val="20"/>
        </w:rPr>
        <w:tab/>
      </w:r>
      <w:r w:rsidR="00A73B71">
        <w:t xml:space="preserve">It is also possible that there is a term of the proposed settlement that is submitted for approval that contemplates payment out of the settlement monies of such fees, </w:t>
      </w:r>
      <w:proofErr w:type="gramStart"/>
      <w:r w:rsidR="00A73B71">
        <w:t>disbursements</w:t>
      </w:r>
      <w:proofErr w:type="gramEnd"/>
      <w:r w:rsidR="00A73B71">
        <w:t xml:space="preserve"> and other amounts that the Court is prepared to accept as reasonable and in such manner as the Court considers just for the purposes of approving the settlement.  However, a settlement proposal that is presented for approval in those terms still requires the whole of the settlement terms to be approved.</w:t>
      </w:r>
    </w:p>
    <w:p w14:paraId="0448F0BF" w14:textId="44D1EA08" w:rsidR="00A73B71" w:rsidRDefault="0071710E" w:rsidP="0071710E">
      <w:pPr>
        <w:pStyle w:val="ParaNumbering"/>
        <w:numPr>
          <w:ilvl w:val="0"/>
          <w:numId w:val="0"/>
        </w:numPr>
        <w:tabs>
          <w:tab w:val="left" w:pos="720"/>
        </w:tabs>
        <w:ind w:hanging="720"/>
      </w:pPr>
      <w:r>
        <w:rPr>
          <w:sz w:val="20"/>
        </w:rPr>
        <w:t>476</w:t>
      </w:r>
      <w:r>
        <w:rPr>
          <w:sz w:val="20"/>
        </w:rPr>
        <w:tab/>
      </w:r>
      <w:r w:rsidR="00A73B71">
        <w:t xml:space="preserve">In consequence, properly understood, no issue arises as to whether the Court has power to remake the terms of any agreement reached between a third-party funder and a representative applicant (or with a representative applicant and funded members).  Rather, any settlement requires the approval of the Court.  The fact that </w:t>
      </w:r>
      <w:proofErr w:type="gramStart"/>
      <w:r w:rsidR="00A73B71">
        <w:t>particular terms</w:t>
      </w:r>
      <w:proofErr w:type="gramEnd"/>
      <w:r w:rsidR="00A73B71">
        <w:t xml:space="preserve"> have been agreed with a third-party funder is one matter to be considered by the Court in deciding whether to grant the required approval.  However, the Court may refuse to approve a settlement even though its terms contemplate payment to the third-party funder of an amount determined in accordance with its agreement.  This is a </w:t>
      </w:r>
      <w:proofErr w:type="spellStart"/>
      <w:proofErr w:type="gramStart"/>
      <w:r w:rsidR="00A73B71">
        <w:t>well known</w:t>
      </w:r>
      <w:proofErr w:type="spellEnd"/>
      <w:proofErr w:type="gramEnd"/>
      <w:r w:rsidR="00A73B71">
        <w:t xml:space="preserve"> characteristic of the Court's approval jurisdiction.  In such cases the Court does not modify the agreement.  Rather, it simply declines to approve a settlement proposed </w:t>
      </w:r>
      <w:proofErr w:type="gramStart"/>
      <w:r w:rsidR="00A73B71">
        <w:t>on the basis of</w:t>
      </w:r>
      <w:proofErr w:type="gramEnd"/>
      <w:r w:rsidR="00A73B71">
        <w:t xml:space="preserve"> performance of the terms agreed, in the present context terms agreed between a funder and funded group members.  In considering whether it should do so, the Court will have regard to the interests of group members whose claims are proposed to be resolved by some mechanism advanced as part of the proposed settlement.</w:t>
      </w:r>
    </w:p>
    <w:p w14:paraId="7D488196" w14:textId="4BE25489" w:rsidR="00A73B71" w:rsidRDefault="0071710E" w:rsidP="0071710E">
      <w:pPr>
        <w:pStyle w:val="ParaNumbering"/>
        <w:numPr>
          <w:ilvl w:val="0"/>
          <w:numId w:val="0"/>
        </w:numPr>
        <w:tabs>
          <w:tab w:val="left" w:pos="720"/>
        </w:tabs>
        <w:ind w:hanging="720"/>
      </w:pPr>
      <w:r>
        <w:rPr>
          <w:sz w:val="20"/>
        </w:rPr>
        <w:t>477</w:t>
      </w:r>
      <w:r>
        <w:rPr>
          <w:sz w:val="20"/>
        </w:rPr>
        <w:tab/>
      </w:r>
      <w:r w:rsidR="00A73B71">
        <w:t>In any case where the Court is asked to exercise the jurisdiction conferred by s 33</w:t>
      </w:r>
      <w:proofErr w:type="gramStart"/>
      <w:r w:rsidR="00A73B71">
        <w:t>V(</w:t>
      </w:r>
      <w:proofErr w:type="gramEnd"/>
      <w:r w:rsidR="00A73B71">
        <w:t xml:space="preserve">2), the interests of the group members will loom large.  That is because the group members are not represented and will not have a further opportunity to consider whether to participate in the settlement or not.  Also of significance will be the fairness of the settlement as between group members:  </w:t>
      </w:r>
      <w:r w:rsidR="00A73B71" w:rsidRPr="00A01E91">
        <w:rPr>
          <w:i/>
          <w:iCs/>
        </w:rPr>
        <w:t xml:space="preserve">Blairgowrie Trading Ltd v </w:t>
      </w:r>
      <w:proofErr w:type="spellStart"/>
      <w:r w:rsidR="00A73B71" w:rsidRPr="00A01E91">
        <w:rPr>
          <w:i/>
          <w:iCs/>
        </w:rPr>
        <w:t>Allco</w:t>
      </w:r>
      <w:proofErr w:type="spellEnd"/>
      <w:r w:rsidR="00A73B71" w:rsidRPr="00A01E91">
        <w:rPr>
          <w:i/>
          <w:iCs/>
        </w:rPr>
        <w:t xml:space="preserve"> Finance Group Ltd (Receivers &amp; Managers Appointed) (In </w:t>
      </w:r>
      <w:proofErr w:type="spellStart"/>
      <w:r w:rsidR="00A73B71" w:rsidRPr="00A01E91">
        <w:rPr>
          <w:i/>
          <w:iCs/>
        </w:rPr>
        <w:t>Liq</w:t>
      </w:r>
      <w:proofErr w:type="spellEnd"/>
      <w:r w:rsidR="00A73B71" w:rsidRPr="00A01E91">
        <w:rPr>
          <w:i/>
          <w:iCs/>
        </w:rPr>
        <w:t>) (No 3)</w:t>
      </w:r>
      <w:r w:rsidR="00A73B71" w:rsidRPr="00A01E91">
        <w:t xml:space="preserve"> [2017] FCA 330</w:t>
      </w:r>
      <w:r w:rsidR="00A73B71">
        <w:t xml:space="preserve"> at [85] (Beach J)</w:t>
      </w:r>
    </w:p>
    <w:p w14:paraId="61A04C27" w14:textId="2732332F" w:rsidR="00A73B71" w:rsidRDefault="0071710E" w:rsidP="0071710E">
      <w:pPr>
        <w:pStyle w:val="ParaNumbering"/>
        <w:numPr>
          <w:ilvl w:val="0"/>
          <w:numId w:val="0"/>
        </w:numPr>
        <w:tabs>
          <w:tab w:val="left" w:pos="720"/>
        </w:tabs>
        <w:ind w:hanging="720"/>
      </w:pPr>
      <w:r>
        <w:rPr>
          <w:sz w:val="20"/>
        </w:rPr>
        <w:t>478</w:t>
      </w:r>
      <w:r>
        <w:rPr>
          <w:sz w:val="20"/>
        </w:rPr>
        <w:tab/>
      </w:r>
      <w:r w:rsidR="00A73B71">
        <w:t>The effect of the exercise of the jurisdiction conferred by s 33V(2) will be that the controversy concerning the common questions will be resolved on terms which provide for distribution of money to group members on a particular basis provided for in the orders (which may be expected to involve orders which will enable the settlement to operate with finality as to some or all of the claims of some or all of the group members).</w:t>
      </w:r>
    </w:p>
    <w:p w14:paraId="5D966D53" w14:textId="77777777" w:rsidR="00A73B71" w:rsidRDefault="00A73B71" w:rsidP="00A73B71">
      <w:pPr>
        <w:pStyle w:val="Heading3"/>
      </w:pPr>
      <w:r>
        <w:t>Settlement CFO</w:t>
      </w:r>
    </w:p>
    <w:p w14:paraId="6EECFE56" w14:textId="09F56BB8" w:rsidR="00A73B71" w:rsidRDefault="0071710E" w:rsidP="0071710E">
      <w:pPr>
        <w:pStyle w:val="ParaNumbering"/>
        <w:numPr>
          <w:ilvl w:val="0"/>
          <w:numId w:val="0"/>
        </w:numPr>
        <w:tabs>
          <w:tab w:val="left" w:pos="720"/>
        </w:tabs>
        <w:ind w:hanging="720"/>
      </w:pPr>
      <w:r>
        <w:rPr>
          <w:sz w:val="20"/>
        </w:rPr>
        <w:t>479</w:t>
      </w:r>
      <w:r>
        <w:rPr>
          <w:sz w:val="20"/>
        </w:rPr>
        <w:tab/>
      </w:r>
      <w:r w:rsidR="00A73B71">
        <w:t xml:space="preserve">Two questions remain.  The first question is whether there is any </w:t>
      </w:r>
      <w:proofErr w:type="gramStart"/>
      <w:r w:rsidR="00A73B71">
        <w:t>particular characteristic</w:t>
      </w:r>
      <w:proofErr w:type="gramEnd"/>
      <w:r w:rsidR="00A73B71">
        <w:t xml:space="preserve"> of a Settlement CFO which means that its inclusion within proposed terms of settlement or discontinuance of representative proceedings means that the Court is unable to approve the settlement.</w:t>
      </w:r>
    </w:p>
    <w:p w14:paraId="14E62CBF" w14:textId="228CADD4" w:rsidR="00A73B71" w:rsidRDefault="0071710E" w:rsidP="0071710E">
      <w:pPr>
        <w:pStyle w:val="ParaNumbering"/>
        <w:numPr>
          <w:ilvl w:val="0"/>
          <w:numId w:val="0"/>
        </w:numPr>
        <w:tabs>
          <w:tab w:val="left" w:pos="720"/>
        </w:tabs>
        <w:ind w:hanging="720"/>
      </w:pPr>
      <w:r>
        <w:rPr>
          <w:sz w:val="20"/>
        </w:rPr>
        <w:t>480</w:t>
      </w:r>
      <w:r>
        <w:rPr>
          <w:sz w:val="20"/>
        </w:rPr>
        <w:tab/>
      </w:r>
      <w:r w:rsidR="00A73B71">
        <w:t>The second question is whether the jurisdiction conferred by s 33</w:t>
      </w:r>
      <w:proofErr w:type="gramStart"/>
      <w:r w:rsidR="00A73B71">
        <w:t>V(</w:t>
      </w:r>
      <w:proofErr w:type="gramEnd"/>
      <w:r w:rsidR="00A73B71">
        <w:t>2) should be read as not extending to allowing the Court to make an order as to distribution of money that may be described as a Settlement CFO, even though the Court is persuaded that the terms of settlement should be approved and concludes that it is just to make orders of that kind.</w:t>
      </w:r>
    </w:p>
    <w:p w14:paraId="5D4F4678" w14:textId="180568A8" w:rsidR="00A73B71" w:rsidRDefault="0071710E" w:rsidP="0071710E">
      <w:pPr>
        <w:pStyle w:val="ParaNumbering"/>
        <w:numPr>
          <w:ilvl w:val="0"/>
          <w:numId w:val="0"/>
        </w:numPr>
        <w:tabs>
          <w:tab w:val="left" w:pos="720"/>
        </w:tabs>
        <w:ind w:hanging="720"/>
      </w:pPr>
      <w:r>
        <w:rPr>
          <w:sz w:val="20"/>
        </w:rPr>
        <w:t>481</w:t>
      </w:r>
      <w:r>
        <w:rPr>
          <w:sz w:val="20"/>
        </w:rPr>
        <w:tab/>
      </w:r>
      <w:r w:rsidR="00A73B71">
        <w:t>For reasons that have been given, the Court's approval jurisdiction is not confined in a manner that would prevent the approval of a settlement that included such a term.  Rather, the question whether it was approved would depend upon the exercise of the Court's protective jurisdiction to approve, being a jurisdiction that is guided by general law principles.</w:t>
      </w:r>
    </w:p>
    <w:p w14:paraId="454F5471" w14:textId="5B77A518" w:rsidR="00A73B71" w:rsidRDefault="0071710E" w:rsidP="0071710E">
      <w:pPr>
        <w:pStyle w:val="ParaNumbering"/>
        <w:numPr>
          <w:ilvl w:val="0"/>
          <w:numId w:val="0"/>
        </w:numPr>
        <w:tabs>
          <w:tab w:val="left" w:pos="720"/>
        </w:tabs>
        <w:ind w:hanging="720"/>
      </w:pPr>
      <w:r>
        <w:rPr>
          <w:sz w:val="20"/>
        </w:rPr>
        <w:t>482</w:t>
      </w:r>
      <w:r>
        <w:rPr>
          <w:sz w:val="20"/>
        </w:rPr>
        <w:tab/>
      </w:r>
      <w:r w:rsidR="00A73B71">
        <w:t>The fact that s 33</w:t>
      </w:r>
      <w:proofErr w:type="gramStart"/>
      <w:r w:rsidR="00A73B71">
        <w:t>V(</w:t>
      </w:r>
      <w:proofErr w:type="gramEnd"/>
      <w:r w:rsidR="00A73B71">
        <w:t>1) invokes the approval jurisdiction of the Court in an unqualified way is a significant contextual reason why s 33V(2) should be construed as facilitating the implementation of approved settlements having regard to the characteristics of representative proceedings (and the limited authority of the representative applicant) rather than curtailing in some way the universe of terms that may form part of an approved settlement.</w:t>
      </w:r>
    </w:p>
    <w:p w14:paraId="0F674DA4" w14:textId="5ECC3770" w:rsidR="00A73B71" w:rsidRDefault="0071710E" w:rsidP="0071710E">
      <w:pPr>
        <w:pStyle w:val="ParaNumbering"/>
        <w:numPr>
          <w:ilvl w:val="0"/>
          <w:numId w:val="0"/>
        </w:numPr>
        <w:tabs>
          <w:tab w:val="left" w:pos="720"/>
        </w:tabs>
        <w:ind w:hanging="720"/>
      </w:pPr>
      <w:r>
        <w:rPr>
          <w:sz w:val="20"/>
        </w:rPr>
        <w:t>483</w:t>
      </w:r>
      <w:r>
        <w:rPr>
          <w:sz w:val="20"/>
        </w:rPr>
        <w:tab/>
      </w:r>
      <w:r w:rsidR="00A73B71">
        <w:t>Further, as s 33</w:t>
      </w:r>
      <w:proofErr w:type="gramStart"/>
      <w:r w:rsidR="00A73B71">
        <w:t>V(</w:t>
      </w:r>
      <w:proofErr w:type="gramEnd"/>
      <w:r w:rsidR="00A73B71">
        <w:t xml:space="preserve">2) confers jurisdiction to make orders of a particular kind if it gives approval, </w:t>
      </w:r>
      <w:r w:rsidR="00A73B71" w:rsidRPr="006E71FC">
        <w:t>it is 'quite inappropriate' to read the provision 'by making implications or imposing limitations which are not found in the express words'</w:t>
      </w:r>
      <w:r w:rsidR="00A73B71">
        <w:t xml:space="preserve">:  </w:t>
      </w:r>
      <w:r w:rsidR="00A73B71" w:rsidRPr="00A01E91">
        <w:rPr>
          <w:i/>
          <w:iCs/>
        </w:rPr>
        <w:t xml:space="preserve">Owners of the Ship, Shin Kobe Maru v Empire Shipping Company Inc </w:t>
      </w:r>
      <w:r w:rsidR="00A73B71" w:rsidRPr="00A01E91">
        <w:t>(1994) 181 CLR 404</w:t>
      </w:r>
      <w:r w:rsidR="00A73B71">
        <w:t xml:space="preserve"> at </w:t>
      </w:r>
      <w:r w:rsidR="00A73B71" w:rsidRPr="006E71FC">
        <w:t>421</w:t>
      </w:r>
      <w:r w:rsidR="00A73B71">
        <w:t xml:space="preserve">.  </w:t>
      </w:r>
      <w:r w:rsidR="00A73B71" w:rsidRPr="006E71FC">
        <w:t xml:space="preserve">Powers conferred on courts are not to be construed as subject to limitations which their terms do not </w:t>
      </w:r>
      <w:proofErr w:type="gramStart"/>
      <w:r w:rsidR="00A73B71" w:rsidRPr="006E71FC">
        <w:t>require</w:t>
      </w:r>
      <w:r w:rsidR="00A73B71">
        <w:t>:</w:t>
      </w:r>
      <w:proofErr w:type="gramEnd"/>
      <w:r w:rsidR="00A73B71">
        <w:t xml:space="preserve">  </w:t>
      </w:r>
      <w:r w:rsidR="00A73B71" w:rsidRPr="00A01E91">
        <w:rPr>
          <w:i/>
          <w:iCs/>
        </w:rPr>
        <w:t xml:space="preserve">Commonwealth of Australia v SCI Operations Pty Ltd </w:t>
      </w:r>
      <w:r w:rsidR="00A73B71" w:rsidRPr="00A01E91">
        <w:t>(1998) 192 CLR 285</w:t>
      </w:r>
      <w:r w:rsidR="00A73B71">
        <w:t xml:space="preserve"> at [26] (</w:t>
      </w:r>
      <w:proofErr w:type="spellStart"/>
      <w:r w:rsidR="00A73B71">
        <w:t>Gaudron</w:t>
      </w:r>
      <w:proofErr w:type="spellEnd"/>
      <w:r w:rsidR="00A73B71">
        <w:t> </w:t>
      </w:r>
      <w:r w:rsidR="00A73B71" w:rsidRPr="006E71FC">
        <w:t>J).</w:t>
      </w:r>
    </w:p>
    <w:p w14:paraId="091A5736" w14:textId="40D24C77" w:rsidR="00A73B71" w:rsidRDefault="0071710E" w:rsidP="0071710E">
      <w:pPr>
        <w:pStyle w:val="ParaNumbering"/>
        <w:numPr>
          <w:ilvl w:val="0"/>
          <w:numId w:val="0"/>
        </w:numPr>
        <w:tabs>
          <w:tab w:val="left" w:pos="720"/>
        </w:tabs>
        <w:ind w:hanging="720"/>
      </w:pPr>
      <w:r>
        <w:rPr>
          <w:sz w:val="20"/>
        </w:rPr>
        <w:t>484</w:t>
      </w:r>
      <w:r>
        <w:rPr>
          <w:sz w:val="20"/>
        </w:rPr>
        <w:tab/>
      </w:r>
      <w:r w:rsidR="00A73B71">
        <w:t xml:space="preserve">As to the proposition that there is considered </w:t>
      </w:r>
      <w:r w:rsidR="00A73B71" w:rsidRPr="0048364B">
        <w:rPr>
          <w:i/>
          <w:iCs/>
        </w:rPr>
        <w:t>dicta</w:t>
      </w:r>
      <w:r w:rsidR="00A73B71">
        <w:t xml:space="preserve"> of the High Court in </w:t>
      </w:r>
      <w:r w:rsidR="00A73B71">
        <w:rPr>
          <w:i/>
          <w:iCs/>
        </w:rPr>
        <w:t xml:space="preserve">BMW Australia Ltd v Brewster </w:t>
      </w:r>
      <w:r w:rsidR="00A73B71">
        <w:t>to the effect that an order cannot be made under s 33V of a kind that would allow a third-party funder to be paid a percentage of the settlement monies, for reasons that have been given, s 33V is concerned with a very different subject matter to that which was before the High Court in that case.  I agree with Lee J that the question as to the justness of an order to be made under s 33</w:t>
      </w:r>
      <w:proofErr w:type="gramStart"/>
      <w:r w:rsidR="00A73B71">
        <w:t>V(</w:t>
      </w:r>
      <w:proofErr w:type="gramEnd"/>
      <w:r w:rsidR="00A73B71">
        <w:t xml:space="preserve">2) is broader than what was in issue in </w:t>
      </w:r>
      <w:r w:rsidR="00A73B71">
        <w:rPr>
          <w:i/>
          <w:iCs/>
        </w:rPr>
        <w:t>BMW Australia Ltd v Brewster</w:t>
      </w:r>
      <w:r w:rsidR="00A73B71">
        <w:t>.  Further, I agree with his Honour that the practical consequences of the argument to the effect that the order can only allow for payment to group members counts against the contention.</w:t>
      </w:r>
    </w:p>
    <w:p w14:paraId="529062CC" w14:textId="3479D44D" w:rsidR="00A73B71" w:rsidRDefault="0071710E" w:rsidP="0071710E">
      <w:pPr>
        <w:pStyle w:val="ParaNumbering"/>
        <w:numPr>
          <w:ilvl w:val="0"/>
          <w:numId w:val="0"/>
        </w:numPr>
        <w:tabs>
          <w:tab w:val="left" w:pos="720"/>
        </w:tabs>
        <w:ind w:hanging="720"/>
      </w:pPr>
      <w:r>
        <w:rPr>
          <w:sz w:val="20"/>
        </w:rPr>
        <w:t>485</w:t>
      </w:r>
      <w:r>
        <w:rPr>
          <w:sz w:val="20"/>
        </w:rPr>
        <w:tab/>
      </w:r>
      <w:r w:rsidR="00A73B71">
        <w:t xml:space="preserve">As to the </w:t>
      </w:r>
      <w:r w:rsidR="00A73B71">
        <w:rPr>
          <w:i/>
          <w:iCs/>
        </w:rPr>
        <w:t xml:space="preserve">obiter </w:t>
      </w:r>
      <w:r w:rsidR="00A73B71">
        <w:t xml:space="preserve">statements by Kiefel CJ, Bell and Keane JJ in forming part of the five member majority in </w:t>
      </w:r>
      <w:r w:rsidR="00A73B71">
        <w:rPr>
          <w:i/>
          <w:iCs/>
        </w:rPr>
        <w:t>BMW Australia Ltd v Brewster</w:t>
      </w:r>
      <w:r w:rsidR="00A73B71">
        <w:t>, those statements were directed to an unfairness that would follow if unfunded members were required to join in accepting the same funding terms as those which had been agreed by funded members:  at [</w:t>
      </w:r>
      <w:proofErr w:type="gramStart"/>
      <w:r w:rsidR="00A73B71">
        <w:t>85]</w:t>
      </w:r>
      <w:r w:rsidR="00A73B71">
        <w:noBreakHyphen/>
      </w:r>
      <w:proofErr w:type="gramEnd"/>
      <w:r w:rsidR="00A73B71">
        <w:t>[90].  It must be borne in mind that the High Court was concerned with the validity of an order made at an early stage of the representative proceedings by which, in effect, the terms of a CFO were approved by the Court with the consequence that all group members (whether funded or unfunded) were treated as if they had agreed to those terms.</w:t>
      </w:r>
    </w:p>
    <w:p w14:paraId="082AFE16" w14:textId="2348A1F4" w:rsidR="00A73B71" w:rsidRDefault="0071710E" w:rsidP="0071710E">
      <w:pPr>
        <w:pStyle w:val="ParaNumbering"/>
        <w:numPr>
          <w:ilvl w:val="0"/>
          <w:numId w:val="0"/>
        </w:numPr>
        <w:tabs>
          <w:tab w:val="left" w:pos="720"/>
        </w:tabs>
        <w:ind w:hanging="720"/>
      </w:pPr>
      <w:r>
        <w:rPr>
          <w:sz w:val="20"/>
        </w:rPr>
        <w:t>486</w:t>
      </w:r>
      <w:r>
        <w:rPr>
          <w:sz w:val="20"/>
        </w:rPr>
        <w:tab/>
      </w:r>
      <w:r w:rsidR="00A73B71">
        <w:t xml:space="preserve">The exercise by the Court of its protective approval jurisdiction in relation to proposed terms of settlement or discontinuance does not operate in the same way.  On an approval application the Court is not being asked to determine funding terms that will form the basis upon which representative proceedings are conducted such that the funder will be able to recover, in accordance with those terms, from any proceeds of claims the subject of the representative proceedings.  A CFO approved at that stage and for that purpose confined the Court's approval jurisdiction because, </w:t>
      </w:r>
      <w:proofErr w:type="gramStart"/>
      <w:r w:rsidR="00A73B71">
        <w:t>in order for</w:t>
      </w:r>
      <w:proofErr w:type="gramEnd"/>
      <w:r w:rsidR="00A73B71">
        <w:t xml:space="preserve"> it to be given effect, it required any approval to be considered on the basis that the funder was entitled to remuneration under the terms of the CFO.</w:t>
      </w:r>
    </w:p>
    <w:p w14:paraId="74623A87" w14:textId="145F3388" w:rsidR="00A73B71" w:rsidRDefault="0071710E" w:rsidP="0071710E">
      <w:pPr>
        <w:pStyle w:val="ParaNumbering"/>
        <w:numPr>
          <w:ilvl w:val="0"/>
          <w:numId w:val="0"/>
        </w:numPr>
        <w:tabs>
          <w:tab w:val="left" w:pos="720"/>
        </w:tabs>
        <w:ind w:hanging="720"/>
      </w:pPr>
      <w:r>
        <w:rPr>
          <w:sz w:val="20"/>
        </w:rPr>
        <w:t>487</w:t>
      </w:r>
      <w:r>
        <w:rPr>
          <w:sz w:val="20"/>
        </w:rPr>
        <w:tab/>
      </w:r>
      <w:r w:rsidR="00A73B71">
        <w:t>A Settlement CFO, if ordered, would form part of an approval.  Its justification would be found in the circumstances as they pertained at the time of the settlement.  It would be the outcome of an evaluative process undertaken in the interests of all group members and the interests as between them.  It would be informed by the protective role that the Court undertakes in exercising the approval jurisdiction.  It would be a term of settlement that may be proposed on the basis that it would be a fair mechanism by which to remunerate the funder not on the basis that there had been some earlier order imposing those terms on all group members.</w:t>
      </w:r>
    </w:p>
    <w:p w14:paraId="776C3125" w14:textId="300D96CE" w:rsidR="00A73B71" w:rsidRDefault="0071710E" w:rsidP="0071710E">
      <w:pPr>
        <w:pStyle w:val="ParaNumbering"/>
        <w:numPr>
          <w:ilvl w:val="0"/>
          <w:numId w:val="0"/>
        </w:numPr>
        <w:tabs>
          <w:tab w:val="left" w:pos="720"/>
        </w:tabs>
        <w:ind w:hanging="720"/>
      </w:pPr>
      <w:r>
        <w:rPr>
          <w:sz w:val="20"/>
        </w:rPr>
        <w:t>488</w:t>
      </w:r>
      <w:r>
        <w:rPr>
          <w:sz w:val="20"/>
        </w:rPr>
        <w:tab/>
      </w:r>
      <w:r w:rsidR="00A73B71">
        <w:t>Significantly, the reasons of the plurality expose a concern with an approach by which unfunded group members were to be required to agree to terms as to a percentage which was justified on the basis that it had been agreed to by the representative applicant (and any funded members) at the outset of the proceedings.  Their Honours reasoned at [87] that '</w:t>
      </w:r>
      <w:r w:rsidR="00A73B71" w:rsidRPr="00254176">
        <w:t>there is no reason why the amount taken from unfunded group members</w:t>
      </w:r>
      <w:r w:rsidR="00A73B71">
        <w:t>'</w:t>
      </w:r>
      <w:r w:rsidR="00A73B71" w:rsidRPr="00254176">
        <w:t xml:space="preserve"> awards should be directed to the litigation funder, much less that an order to that effect should be made at the outset of the proceeding rather than on the occasion contemplated by</w:t>
      </w:r>
      <w:r w:rsidR="00A73B71">
        <w:t xml:space="preserve"> s </w:t>
      </w:r>
      <w:r w:rsidR="00A73B71" w:rsidRPr="00254176">
        <w:t>33</w:t>
      </w:r>
      <w:proofErr w:type="gramStart"/>
      <w:r w:rsidR="00A73B71" w:rsidRPr="00254176">
        <w:t>ZJ(</w:t>
      </w:r>
      <w:proofErr w:type="gramEnd"/>
      <w:r w:rsidR="00A73B71" w:rsidRPr="00254176">
        <w:t xml:space="preserve">2) </w:t>
      </w:r>
      <w:r w:rsidR="00A73B71">
        <w:t xml:space="preserve">[of the </w:t>
      </w:r>
      <w:r w:rsidR="00A73B71">
        <w:rPr>
          <w:i/>
          <w:iCs/>
        </w:rPr>
        <w:t>Federal Court of Australia Act</w:t>
      </w:r>
      <w:r w:rsidR="00A73B71">
        <w:t>].'</w:t>
      </w:r>
    </w:p>
    <w:p w14:paraId="0CA64C0F" w14:textId="77BD30FF" w:rsidR="00A73B71" w:rsidRDefault="0071710E" w:rsidP="0071710E">
      <w:pPr>
        <w:pStyle w:val="ParaNumbering"/>
        <w:numPr>
          <w:ilvl w:val="0"/>
          <w:numId w:val="0"/>
        </w:numPr>
        <w:tabs>
          <w:tab w:val="left" w:pos="720"/>
        </w:tabs>
        <w:ind w:hanging="720"/>
      </w:pPr>
      <w:r>
        <w:rPr>
          <w:sz w:val="20"/>
        </w:rPr>
        <w:t>489</w:t>
      </w:r>
      <w:r>
        <w:rPr>
          <w:sz w:val="20"/>
        </w:rPr>
        <w:tab/>
      </w:r>
      <w:r w:rsidR="00A73B71">
        <w:t>Section 33</w:t>
      </w:r>
      <w:proofErr w:type="gramStart"/>
      <w:r w:rsidR="00A73B71">
        <w:t>ZJ(</w:t>
      </w:r>
      <w:proofErr w:type="gramEnd"/>
      <w:r w:rsidR="00A73B71">
        <w:t>2) is directed to an instance where the Court has made an award of damages in a representative proceeding.  It provides that the representative party may apply for any costs that are not recovered from the respondent to be recovered out of any damages awarded.  There is further provision in s 33</w:t>
      </w:r>
      <w:proofErr w:type="gramStart"/>
      <w:r w:rsidR="00A73B71">
        <w:t>ZJ(</w:t>
      </w:r>
      <w:proofErr w:type="gramEnd"/>
      <w:r w:rsidR="00A73B71">
        <w:t>3) that the Court may also make any other order that it thinks just.  As has been explained, in many instances a settlement will be proposed in circumstances where the nature of the representative proceedings is such that any damages award may be confined to the claim of the representative applicant with individual awards of damages being unable to be determined on a common basis.</w:t>
      </w:r>
    </w:p>
    <w:p w14:paraId="62C0996A" w14:textId="69D6FD38" w:rsidR="00A73B71" w:rsidRDefault="0071710E" w:rsidP="0071710E">
      <w:pPr>
        <w:pStyle w:val="ParaNumbering"/>
        <w:numPr>
          <w:ilvl w:val="0"/>
          <w:numId w:val="0"/>
        </w:numPr>
        <w:tabs>
          <w:tab w:val="left" w:pos="720"/>
        </w:tabs>
        <w:ind w:hanging="720"/>
      </w:pPr>
      <w:r>
        <w:rPr>
          <w:sz w:val="20"/>
        </w:rPr>
        <w:t>490</w:t>
      </w:r>
      <w:r>
        <w:rPr>
          <w:sz w:val="20"/>
        </w:rPr>
        <w:tab/>
      </w:r>
      <w:r w:rsidR="00A73B71">
        <w:t>The plurality then stated:  '</w:t>
      </w:r>
      <w:r w:rsidR="00A73B71" w:rsidRPr="00920511">
        <w:t>Unfunded group members have no contractual or other relationship with the funder</w:t>
      </w:r>
      <w:r w:rsidR="00A73B71">
        <w:t xml:space="preserve">.  </w:t>
      </w:r>
      <w:r w:rsidR="00A73B71" w:rsidRPr="00920511">
        <w:t>Nor have they any liability to the funder</w:t>
      </w:r>
      <w:r w:rsidR="00A73B71">
        <w:t xml:space="preserve">.  </w:t>
      </w:r>
      <w:r w:rsidR="00A73B71" w:rsidRPr="00920511">
        <w:t>The funder has no right to that money under contract or under equitable principles</w:t>
      </w:r>
      <w:r w:rsidR="00A73B71">
        <w:t>':  at [87].</w:t>
      </w:r>
    </w:p>
    <w:p w14:paraId="11CA59AB" w14:textId="6A9178DF" w:rsidR="00A73B71" w:rsidRDefault="0071710E" w:rsidP="0071710E">
      <w:pPr>
        <w:pStyle w:val="ParaNumbering"/>
        <w:numPr>
          <w:ilvl w:val="0"/>
          <w:numId w:val="0"/>
        </w:numPr>
        <w:tabs>
          <w:tab w:val="left" w:pos="720"/>
        </w:tabs>
        <w:ind w:hanging="720"/>
      </w:pPr>
      <w:r>
        <w:rPr>
          <w:sz w:val="20"/>
        </w:rPr>
        <w:t>491</w:t>
      </w:r>
      <w:r>
        <w:rPr>
          <w:sz w:val="20"/>
        </w:rPr>
        <w:tab/>
      </w:r>
      <w:r w:rsidR="00A73B71">
        <w:t>The Court then went on to refer to a preference for a FEO as the solution to the problem of 'free riding'.  It was said to be a better way to achieve the equitable spreading of cost because it takes as its starting point 'the actual cost incurred in funding the litigation':  at [88].  The plurality accepted that '</w:t>
      </w:r>
      <w:r w:rsidR="00A73B71" w:rsidRPr="005A66C9">
        <w:t>it must be accepted that the burden of the amounts that funded group members have agreed to pay to the funder under their agreements with the funder must be distributed fairly</w:t>
      </w:r>
      <w:r w:rsidR="00A73B71">
        <w:t xml:space="preserve">':  at [88].  The view was expressed that a FEO was </w:t>
      </w:r>
      <w:r w:rsidR="00A73B71" w:rsidRPr="005A66C9">
        <w:t xml:space="preserve">apt </w:t>
      </w:r>
      <w:r w:rsidR="00A73B71">
        <w:t xml:space="preserve">to </w:t>
      </w:r>
      <w:r w:rsidR="00A73B71" w:rsidRPr="005A66C9">
        <w:t xml:space="preserve">equitably distribute those amounts </w:t>
      </w:r>
      <w:r w:rsidR="00A73B71">
        <w:t>'</w:t>
      </w:r>
      <w:r w:rsidR="00A73B71" w:rsidRPr="005A66C9">
        <w:t>whereas a CFO seeks to impose an additional cost by imposing new obligations on the unfunded group members</w:t>
      </w:r>
      <w:r w:rsidR="00A73B71">
        <w:t>'</w:t>
      </w:r>
      <w:r w:rsidR="00A73B71" w:rsidRPr="005A66C9">
        <w:t>.</w:t>
      </w:r>
    </w:p>
    <w:p w14:paraId="1ADEA6A7" w14:textId="7E8C61D1" w:rsidR="00A73B71" w:rsidRDefault="0071710E" w:rsidP="0071710E">
      <w:pPr>
        <w:pStyle w:val="ParaNumbering"/>
        <w:numPr>
          <w:ilvl w:val="0"/>
          <w:numId w:val="0"/>
        </w:numPr>
        <w:tabs>
          <w:tab w:val="left" w:pos="720"/>
        </w:tabs>
        <w:ind w:hanging="720"/>
      </w:pPr>
      <w:r>
        <w:rPr>
          <w:sz w:val="20"/>
        </w:rPr>
        <w:t>492</w:t>
      </w:r>
      <w:r>
        <w:rPr>
          <w:sz w:val="20"/>
        </w:rPr>
        <w:tab/>
      </w:r>
      <w:r w:rsidR="00A73B71">
        <w:t xml:space="preserve">It may be observed that these characteristics of a CFO do not pertain to a Settlement CFO.  It need not be proposed by reference to agreed funding terms.  It may be proposed on the basis that it is a fair and reasonable settlement term in circumstances where the funder has met the costs and disbursements of the representative proceedings and taken on the risks described earlier in these reasons, for the benefit of all group members as reflected in the terms of settlement that are presented for approval.  In approving the settlement, the Court is not being asked to make a Settlement CFO because it reflects the terms agreed with funded members (although that may be part of the circumstances that are said to support the reasonableness of the proposed order - namely that many group members were willing to </w:t>
      </w:r>
      <w:proofErr w:type="gramStart"/>
      <w:r w:rsidR="00A73B71">
        <w:t>enter into</w:t>
      </w:r>
      <w:proofErr w:type="gramEnd"/>
      <w:r w:rsidR="00A73B71">
        <w:t xml:space="preserve"> those terms).  Rather, the Court is exercising its protective jurisdiction which includes the scrutiny of the reasonableness of any amounts to be paid to the funder.</w:t>
      </w:r>
    </w:p>
    <w:p w14:paraId="6AAC0A9D" w14:textId="633EE2B7" w:rsidR="00A73B71" w:rsidRDefault="0071710E" w:rsidP="0071710E">
      <w:pPr>
        <w:pStyle w:val="ParaNumbering"/>
        <w:numPr>
          <w:ilvl w:val="0"/>
          <w:numId w:val="0"/>
        </w:numPr>
        <w:tabs>
          <w:tab w:val="left" w:pos="720"/>
        </w:tabs>
        <w:ind w:hanging="720"/>
      </w:pPr>
      <w:r>
        <w:rPr>
          <w:sz w:val="20"/>
        </w:rPr>
        <w:t>493</w:t>
      </w:r>
      <w:r>
        <w:rPr>
          <w:sz w:val="20"/>
        </w:rPr>
        <w:tab/>
      </w:r>
      <w:r w:rsidR="00A73B71">
        <w:t>The plurality did briefly address the position where a settlement is reached.  Their Honours did so without adverting to the terms of s 33V.  After referring to the availability of FEO order where a settlement is reached, their Honours reasoned as follows at [89]:</w:t>
      </w:r>
    </w:p>
    <w:p w14:paraId="652020D8" w14:textId="77777777" w:rsidR="00A73B71" w:rsidRDefault="00A73B71" w:rsidP="00A73B71">
      <w:pPr>
        <w:pStyle w:val="Quote1"/>
        <w:spacing w:after="360"/>
      </w:pPr>
      <w:r w:rsidRPr="00075CBB">
        <w:t xml:space="preserve">A settlement must be approved by the court, and, in approving a settlement, the court must be satisfied that it is </w:t>
      </w:r>
      <w:r>
        <w:t>'</w:t>
      </w:r>
      <w:r w:rsidRPr="00075CBB">
        <w:t>fair and reasonable to all group members</w:t>
      </w:r>
      <w:r>
        <w:t xml:space="preserve">'.  </w:t>
      </w:r>
      <w:r w:rsidRPr="00075CBB">
        <w:t>A settlement that allows some group members to ride for free would not be fair and reasonable to the other group members.</w:t>
      </w:r>
    </w:p>
    <w:p w14:paraId="1C98E952" w14:textId="77777777" w:rsidR="00A73B71" w:rsidRDefault="00A73B71" w:rsidP="00A73B71">
      <w:pPr>
        <w:pStyle w:val="Quote1"/>
        <w:spacing w:after="360"/>
      </w:pPr>
      <w:r>
        <w:t>(</w:t>
      </w:r>
      <w:proofErr w:type="gramStart"/>
      <w:r>
        <w:t>footnotes</w:t>
      </w:r>
      <w:proofErr w:type="gramEnd"/>
      <w:r>
        <w:t xml:space="preserve"> omitted)</w:t>
      </w:r>
    </w:p>
    <w:p w14:paraId="313BA304" w14:textId="6BEFA2A1" w:rsidR="00A73B71" w:rsidRDefault="0071710E" w:rsidP="0071710E">
      <w:pPr>
        <w:pStyle w:val="ParaNumbering"/>
        <w:numPr>
          <w:ilvl w:val="0"/>
          <w:numId w:val="0"/>
        </w:numPr>
        <w:tabs>
          <w:tab w:val="left" w:pos="720"/>
        </w:tabs>
        <w:ind w:hanging="720"/>
      </w:pPr>
      <w:r>
        <w:rPr>
          <w:sz w:val="20"/>
        </w:rPr>
        <w:t>494</w:t>
      </w:r>
      <w:r>
        <w:rPr>
          <w:sz w:val="20"/>
        </w:rPr>
        <w:tab/>
      </w:r>
      <w:r w:rsidR="00A73B71">
        <w:t>However, the reasons of the plurality did not address the nature and significance of the protective aspects of the Court's approval jurisdiction that is invoked by s 33</w:t>
      </w:r>
      <w:proofErr w:type="gramStart"/>
      <w:r w:rsidR="00A73B71">
        <w:t>V(</w:t>
      </w:r>
      <w:proofErr w:type="gramEnd"/>
      <w:r w:rsidR="00A73B71">
        <w:t xml:space="preserve">1) and applied to presentative proceedings.  As has been explained, in the exercise of that jurisdiction, the Court may approve a settlement </w:t>
      </w:r>
      <w:proofErr w:type="gramStart"/>
      <w:r w:rsidR="00A73B71">
        <w:t>on the basis of</w:t>
      </w:r>
      <w:proofErr w:type="gramEnd"/>
      <w:r w:rsidR="00A73B71">
        <w:t xml:space="preserve"> the payment of a percentage of the settlement monies to a third-party funder which is a different percentage to that agreed by the third-party funder with the representative applicant (and any funded members).  That is to say, the vice (in the view of the plurality) of the type of order that was under consideration in </w:t>
      </w:r>
      <w:r w:rsidR="00A73B71">
        <w:rPr>
          <w:i/>
          <w:iCs/>
        </w:rPr>
        <w:t xml:space="preserve">BMW Australia Ltd v Brewster </w:t>
      </w:r>
      <w:r w:rsidR="00A73B71">
        <w:t xml:space="preserve">whereby the terms of the CFO to be made </w:t>
      </w:r>
      <w:proofErr w:type="gramStart"/>
      <w:r w:rsidR="00A73B71">
        <w:t>early on in the</w:t>
      </w:r>
      <w:proofErr w:type="gramEnd"/>
      <w:r w:rsidR="00A73B71">
        <w:t xml:space="preserve"> representative proceedings is sought to be justified by reference to the terms agreed by funded members (and not by unfunded members) does not pertain.  Rather, in the case of the Court considering whether to approve a Settlement CFO as part of a settlement of representative proceedings as required s 33</w:t>
      </w:r>
      <w:proofErr w:type="gramStart"/>
      <w:r w:rsidR="00A73B71">
        <w:t>V(</w:t>
      </w:r>
      <w:proofErr w:type="gramEnd"/>
      <w:r w:rsidR="00A73B71">
        <w:t>1), the Court is guided by the general law principles that apply to the exercise of its approval jurisdiction.</w:t>
      </w:r>
    </w:p>
    <w:p w14:paraId="57E99B15" w14:textId="003AD450" w:rsidR="00A73B71" w:rsidRDefault="0071710E" w:rsidP="0071710E">
      <w:pPr>
        <w:pStyle w:val="ParaNumbering"/>
        <w:numPr>
          <w:ilvl w:val="0"/>
          <w:numId w:val="0"/>
        </w:numPr>
        <w:tabs>
          <w:tab w:val="left" w:pos="720"/>
        </w:tabs>
        <w:ind w:hanging="720"/>
      </w:pPr>
      <w:r>
        <w:rPr>
          <w:sz w:val="20"/>
        </w:rPr>
        <w:t>495</w:t>
      </w:r>
      <w:r>
        <w:rPr>
          <w:sz w:val="20"/>
        </w:rPr>
        <w:tab/>
      </w:r>
      <w:r w:rsidR="00A73B71">
        <w:t>At the time of considering whether to approve a settlement, it is quite possible that the Court may view with circumspection a settlement which contemplates the payment to a funder of a proportionate share of money to be paid under the settlement based solely upon the fact that it reflects the terms agreed with a small group of funded members before the representative proceedings were commenced (or early on in the conduct of those proceedings).  However, the position may be different where a considerable number of group members agreed to those terms or where the terms may be demonstrated by evidence to conform with prevailing market terms upon which those in the business of providing funding are willing to do so or where the Court is persuaded that the value of the costs met and the risks borne by the funder for the benefit of all group members enable the Court to conclude that the proportionate share is just.  Whether or not such an approach is possible and appropriate will depend upon the Court's assessment at the time of approving the settlement.  In making that assessment, the Court will also consider whether approval of the settlement might not be given on the basis that a FEO was more appropriate in all the circumstances.</w:t>
      </w:r>
    </w:p>
    <w:p w14:paraId="37EF4B2C" w14:textId="3665F37D" w:rsidR="00A73B71" w:rsidRDefault="0071710E" w:rsidP="0071710E">
      <w:pPr>
        <w:pStyle w:val="ParaNumbering"/>
        <w:numPr>
          <w:ilvl w:val="0"/>
          <w:numId w:val="0"/>
        </w:numPr>
        <w:tabs>
          <w:tab w:val="left" w:pos="720"/>
        </w:tabs>
        <w:ind w:hanging="720"/>
      </w:pPr>
      <w:r>
        <w:rPr>
          <w:sz w:val="20"/>
        </w:rPr>
        <w:t>496</w:t>
      </w:r>
      <w:r>
        <w:rPr>
          <w:sz w:val="20"/>
        </w:rPr>
        <w:tab/>
      </w:r>
      <w:r w:rsidR="00A73B71">
        <w:t xml:space="preserve">In those circumstances, I agree with Moshinsky J that the observations by the plurality in </w:t>
      </w:r>
      <w:r w:rsidR="00A73B71">
        <w:rPr>
          <w:i/>
          <w:iCs/>
        </w:rPr>
        <w:t xml:space="preserve">BMW Australia Ltd v Brewster </w:t>
      </w:r>
      <w:r w:rsidR="00A73B71">
        <w:t xml:space="preserve">'clearly favour the making of a funding equalisation order over a common fund order (implicitly, at the conclusion of a proceeding)' and that their Honours do not thereby express a concluded view that there is no power under s 33V to make a common fund order at the time of approving a settlement as required by s 33V(1):  </w:t>
      </w:r>
      <w:r w:rsidR="00A73B71" w:rsidRPr="004F2237">
        <w:rPr>
          <w:i/>
          <w:iCs/>
        </w:rPr>
        <w:t xml:space="preserve">Fisher (trustee for the </w:t>
      </w:r>
      <w:proofErr w:type="spellStart"/>
      <w:r w:rsidR="00A73B71" w:rsidRPr="004F2237">
        <w:rPr>
          <w:i/>
          <w:iCs/>
        </w:rPr>
        <w:t>Tramik</w:t>
      </w:r>
      <w:proofErr w:type="spellEnd"/>
      <w:r w:rsidR="00A73B71" w:rsidRPr="004F2237">
        <w:rPr>
          <w:i/>
          <w:iCs/>
        </w:rPr>
        <w:t xml:space="preserve"> Super Fund Trust) v </w:t>
      </w:r>
      <w:proofErr w:type="spellStart"/>
      <w:r w:rsidR="00A73B71" w:rsidRPr="004F2237">
        <w:rPr>
          <w:i/>
          <w:iCs/>
        </w:rPr>
        <w:t>Vocus</w:t>
      </w:r>
      <w:proofErr w:type="spellEnd"/>
      <w:r w:rsidR="00A73B71" w:rsidRPr="004F2237">
        <w:rPr>
          <w:i/>
          <w:iCs/>
        </w:rPr>
        <w:t xml:space="preserve"> Group Limited (No 2)</w:t>
      </w:r>
      <w:r w:rsidR="00A73B71" w:rsidRPr="004F2237">
        <w:t xml:space="preserve"> </w:t>
      </w:r>
      <w:r w:rsidR="00A73B71">
        <w:t>at [72].</w:t>
      </w:r>
    </w:p>
    <w:p w14:paraId="7223A8F4" w14:textId="5DCDACAB" w:rsidR="00A73B71" w:rsidRDefault="0071710E" w:rsidP="0071710E">
      <w:pPr>
        <w:pStyle w:val="ParaNumbering"/>
        <w:numPr>
          <w:ilvl w:val="0"/>
          <w:numId w:val="0"/>
        </w:numPr>
        <w:tabs>
          <w:tab w:val="left" w:pos="720"/>
        </w:tabs>
        <w:ind w:hanging="720"/>
      </w:pPr>
      <w:r>
        <w:rPr>
          <w:sz w:val="20"/>
        </w:rPr>
        <w:t>497</w:t>
      </w:r>
      <w:r>
        <w:rPr>
          <w:sz w:val="20"/>
        </w:rPr>
        <w:tab/>
      </w:r>
      <w:r w:rsidR="00A73B71">
        <w:t xml:space="preserve">I can see no reason why the inclusion of a term of the proposed settlement that could be described as a CFO in and of itself would be a reason why a settlement must not be approved by the Court in the exercise of its approval jurisdiction.  Further, given the evident purpose of s 33V derived from the context of Part IVA and an understanding of the nature of representative proceedings, I see no reason to conclude that a Settlement CFO is somehow such that it could not be 'just' in </w:t>
      </w:r>
      <w:proofErr w:type="gramStart"/>
      <w:r w:rsidR="00A73B71">
        <w:t>any and all</w:t>
      </w:r>
      <w:proofErr w:type="gramEnd"/>
      <w:r w:rsidR="00A73B71">
        <w:t xml:space="preserve"> cases.  If that is so, there is otherwise no foothold in the language of s 33</w:t>
      </w:r>
      <w:proofErr w:type="gramStart"/>
      <w:r w:rsidR="00A73B71">
        <w:t>V(</w:t>
      </w:r>
      <w:proofErr w:type="gramEnd"/>
      <w:r w:rsidR="00A73B71">
        <w:t>2) for concluding that a Settlement CFO is a kind of order that falls outside the jurisdiction conferred by s 33V(2).</w:t>
      </w:r>
    </w:p>
    <w:p w14:paraId="5D158DE7" w14:textId="4D415103" w:rsidR="00A73B71" w:rsidRDefault="0071710E" w:rsidP="0071710E">
      <w:pPr>
        <w:pStyle w:val="ParaNumbering"/>
        <w:numPr>
          <w:ilvl w:val="0"/>
          <w:numId w:val="0"/>
        </w:numPr>
        <w:tabs>
          <w:tab w:val="left" w:pos="720"/>
        </w:tabs>
        <w:ind w:hanging="720"/>
      </w:pPr>
      <w:r>
        <w:rPr>
          <w:sz w:val="20"/>
        </w:rPr>
        <w:t>498</w:t>
      </w:r>
      <w:r>
        <w:rPr>
          <w:sz w:val="20"/>
        </w:rPr>
        <w:tab/>
      </w:r>
      <w:r w:rsidR="00A73B71">
        <w:t xml:space="preserve">As to the reasons by the other members of the majority in </w:t>
      </w:r>
      <w:r w:rsidR="00A73B71">
        <w:rPr>
          <w:i/>
          <w:iCs/>
        </w:rPr>
        <w:t>BMW Australia Ltd v Brewster</w:t>
      </w:r>
      <w:r w:rsidR="00A73B71">
        <w:t>, Gordon J said at [141]:</w:t>
      </w:r>
    </w:p>
    <w:p w14:paraId="1EF1BB19" w14:textId="77777777" w:rsidR="00A73B71" w:rsidRDefault="00A73B71" w:rsidP="00A73B71">
      <w:pPr>
        <w:pStyle w:val="Quote1"/>
        <w:spacing w:after="360"/>
      </w:pPr>
      <w:r w:rsidRPr="00054CA3">
        <w:t>A representative proceeding may not be settled or discontinued without the approval of the Court</w:t>
      </w:r>
      <w:r>
        <w:t xml:space="preserve">.  </w:t>
      </w:r>
      <w:r w:rsidRPr="00054CA3">
        <w:t>If the Court gives approval,</w:t>
      </w:r>
      <w:r>
        <w:t xml:space="preserve"> s </w:t>
      </w:r>
      <w:r w:rsidRPr="00054CA3">
        <w:t>33</w:t>
      </w:r>
      <w:proofErr w:type="gramStart"/>
      <w:r w:rsidRPr="00054CA3">
        <w:t>V(</w:t>
      </w:r>
      <w:proofErr w:type="gramEnd"/>
      <w:r w:rsidRPr="00054CA3">
        <w:t xml:space="preserve">2) confers power on the Court to </w:t>
      </w:r>
      <w:r>
        <w:t>'</w:t>
      </w:r>
      <w:r w:rsidRPr="00054CA3">
        <w:t>make such orders as are just with respect to the distribution of any money paid under a settlement or paid into the Court</w:t>
      </w:r>
      <w:r>
        <w:t xml:space="preserve">'.  </w:t>
      </w:r>
      <w:r w:rsidRPr="00054CA3">
        <w:t>But that provision does not envisage a Court making orders with respect to the economics of a proceeding by ensuring that a litigation funder obtains a particular return on funds invested.</w:t>
      </w:r>
    </w:p>
    <w:p w14:paraId="3AA3824D" w14:textId="77777777" w:rsidR="00A73B71" w:rsidRDefault="00A73B71" w:rsidP="00A73B71">
      <w:pPr>
        <w:pStyle w:val="Quote1"/>
        <w:spacing w:after="360"/>
      </w:pPr>
      <w:r>
        <w:t>(</w:t>
      </w:r>
      <w:proofErr w:type="gramStart"/>
      <w:r>
        <w:t>footnote</w:t>
      </w:r>
      <w:proofErr w:type="gramEnd"/>
      <w:r>
        <w:t xml:space="preserve"> omitted)</w:t>
      </w:r>
    </w:p>
    <w:p w14:paraId="2DCAA41B" w14:textId="019F09A3" w:rsidR="00A73B71" w:rsidRDefault="0071710E" w:rsidP="0071710E">
      <w:pPr>
        <w:pStyle w:val="ParaNumbering"/>
        <w:numPr>
          <w:ilvl w:val="0"/>
          <w:numId w:val="0"/>
        </w:numPr>
        <w:tabs>
          <w:tab w:val="left" w:pos="720"/>
        </w:tabs>
        <w:ind w:hanging="720"/>
      </w:pPr>
      <w:r>
        <w:rPr>
          <w:sz w:val="20"/>
        </w:rPr>
        <w:t>499</w:t>
      </w:r>
      <w:r>
        <w:rPr>
          <w:sz w:val="20"/>
        </w:rPr>
        <w:tab/>
      </w:r>
      <w:r w:rsidR="00A73B71">
        <w:t>The above statement is not concerned with whether it would be within the terms of s 33</w:t>
      </w:r>
      <w:proofErr w:type="gramStart"/>
      <w:r w:rsidR="00A73B71">
        <w:t>V(</w:t>
      </w:r>
      <w:proofErr w:type="gramEnd"/>
      <w:r w:rsidR="00A73B71">
        <w:t>2) to make an order distributing to a funder a proportionate share of money to be paid under an approved settlement (or whether a settlement that included such a term could be approved).  Rather, it is concerned with the basis upon which such an approval might be justified.  It emphasises that the Court's approval jurisdiction is not to be exercised in the interests of the funder.  There is nothing in that observation that means that a Settlement CFO cannot be made under s 33</w:t>
      </w:r>
      <w:proofErr w:type="gramStart"/>
      <w:r w:rsidR="00A73B71">
        <w:t>V(</w:t>
      </w:r>
      <w:proofErr w:type="gramEnd"/>
      <w:r w:rsidR="00A73B71">
        <w:t>2).</w:t>
      </w:r>
    </w:p>
    <w:p w14:paraId="52067B5F" w14:textId="3F38D062" w:rsidR="00A73B71" w:rsidRDefault="0071710E" w:rsidP="0071710E">
      <w:pPr>
        <w:pStyle w:val="ParaNumbering"/>
        <w:numPr>
          <w:ilvl w:val="0"/>
          <w:numId w:val="0"/>
        </w:numPr>
        <w:tabs>
          <w:tab w:val="left" w:pos="720"/>
        </w:tabs>
        <w:ind w:hanging="720"/>
      </w:pPr>
      <w:r>
        <w:rPr>
          <w:sz w:val="20"/>
        </w:rPr>
        <w:t>500</w:t>
      </w:r>
      <w:r>
        <w:rPr>
          <w:sz w:val="20"/>
        </w:rPr>
        <w:tab/>
      </w:r>
      <w:r w:rsidR="00A73B71">
        <w:t>Other statements by Gordon J to the effect that the Court does not have power to make a CFO reflect her Honour's usage of that term as explained at [135]:</w:t>
      </w:r>
    </w:p>
    <w:p w14:paraId="5DB7C400" w14:textId="77777777" w:rsidR="00A73B71" w:rsidRDefault="00A73B71" w:rsidP="00A73B71">
      <w:pPr>
        <w:pStyle w:val="Quote1"/>
      </w:pPr>
      <w:r w:rsidRPr="00D65A19">
        <w:t xml:space="preserve">A common fund order, in general terms, is a set of court orders, usually made early in the life of an open class proceeding, which impose on the representative party, and all group members, an obligation to pay a litigation funder a pro rata share of the legal costs incurred </w:t>
      </w:r>
      <w:r w:rsidRPr="003B2CA8">
        <w:rPr>
          <w:i/>
        </w:rPr>
        <w:t>and</w:t>
      </w:r>
      <w:r w:rsidRPr="00D65A19">
        <w:t xml:space="preserve"> a funding commission at a specified rate from the common fund of any settlement or judgment in their favour</w:t>
      </w:r>
      <w:r>
        <w:t xml:space="preserve">.  </w:t>
      </w:r>
      <w:r w:rsidRPr="00D65A19">
        <w:t xml:space="preserve">Such an order obliges all group members, including unfunded group members, to contribute to the legal costs </w:t>
      </w:r>
      <w:r w:rsidRPr="003B2CA8">
        <w:rPr>
          <w:i/>
        </w:rPr>
        <w:t>and</w:t>
      </w:r>
      <w:r w:rsidRPr="00D65A19">
        <w:t xml:space="preserve"> to pay the litigation funder a commission</w:t>
      </w:r>
      <w:r>
        <w:t xml:space="preserve">.  </w:t>
      </w:r>
      <w:proofErr w:type="gramStart"/>
      <w:r w:rsidRPr="00D65A19">
        <w:t>For the reasons that</w:t>
      </w:r>
      <w:proofErr w:type="gramEnd"/>
      <w:r w:rsidRPr="00D65A19">
        <w:t xml:space="preserve"> follow, Courts do not have the power to make a common fund order.</w:t>
      </w:r>
    </w:p>
    <w:p w14:paraId="6DE721B1" w14:textId="77777777" w:rsidR="00A73B71" w:rsidRDefault="00A73B71" w:rsidP="00A73B71">
      <w:pPr>
        <w:pStyle w:val="Quote1"/>
        <w:spacing w:after="360"/>
      </w:pPr>
      <w:r>
        <w:t>(</w:t>
      </w:r>
      <w:proofErr w:type="gramStart"/>
      <w:r>
        <w:t>footnote</w:t>
      </w:r>
      <w:proofErr w:type="gramEnd"/>
      <w:r>
        <w:t xml:space="preserve"> omitted, emphasis in original)</w:t>
      </w:r>
    </w:p>
    <w:p w14:paraId="57048081" w14:textId="505DF2CF" w:rsidR="00A73B71" w:rsidRDefault="0071710E" w:rsidP="0071710E">
      <w:pPr>
        <w:pStyle w:val="ParaNumbering"/>
        <w:numPr>
          <w:ilvl w:val="0"/>
          <w:numId w:val="0"/>
        </w:numPr>
        <w:tabs>
          <w:tab w:val="left" w:pos="720"/>
        </w:tabs>
        <w:ind w:hanging="720"/>
      </w:pPr>
      <w:r>
        <w:rPr>
          <w:sz w:val="20"/>
        </w:rPr>
        <w:t>501</w:t>
      </w:r>
      <w:r>
        <w:rPr>
          <w:sz w:val="20"/>
        </w:rPr>
        <w:tab/>
      </w:r>
      <w:r w:rsidR="00A73B71">
        <w:t>Significantly, her Honour described a CFO as an order usually made early on in representative proceedings being pursued on an open class basis which imposes an obligation in circumstances that do not refer to the approval of a settlement:  at [135].</w:t>
      </w:r>
    </w:p>
    <w:p w14:paraId="62C2C2C8" w14:textId="520CCE94" w:rsidR="00A73B71" w:rsidRDefault="0071710E" w:rsidP="0071710E">
      <w:pPr>
        <w:pStyle w:val="ParaNumbering"/>
        <w:numPr>
          <w:ilvl w:val="0"/>
          <w:numId w:val="0"/>
        </w:numPr>
        <w:tabs>
          <w:tab w:val="left" w:pos="720"/>
        </w:tabs>
        <w:ind w:hanging="720"/>
      </w:pPr>
      <w:r>
        <w:rPr>
          <w:sz w:val="20"/>
        </w:rPr>
        <w:t>502</w:t>
      </w:r>
      <w:r>
        <w:rPr>
          <w:sz w:val="20"/>
        </w:rPr>
        <w:tab/>
      </w:r>
      <w:r w:rsidR="00A73B71">
        <w:t>The reasons of Nettle J focus upon the terms of s 33ZF and the absence of an intention in enacting Part IVA to address the commercial interests that entrepreneurial litigation funders may have in addressing uncertainties on their part as to the financial viability of funding representative proceedings:  at [126].  They expressly differentiate s 33</w:t>
      </w:r>
      <w:proofErr w:type="gramStart"/>
      <w:r w:rsidR="00A73B71">
        <w:t>ZF(</w:t>
      </w:r>
      <w:proofErr w:type="gramEnd"/>
      <w:r w:rsidR="00A73B71">
        <w:t>1) from the detail and specificity of s 33V:  at [125].</w:t>
      </w:r>
    </w:p>
    <w:p w14:paraId="64B75E67" w14:textId="52924FD0" w:rsidR="00A73B71" w:rsidRDefault="0071710E" w:rsidP="0071710E">
      <w:pPr>
        <w:pStyle w:val="ParaNumbering"/>
        <w:numPr>
          <w:ilvl w:val="0"/>
          <w:numId w:val="0"/>
        </w:numPr>
        <w:tabs>
          <w:tab w:val="left" w:pos="720"/>
        </w:tabs>
        <w:ind w:hanging="720"/>
      </w:pPr>
      <w:r>
        <w:rPr>
          <w:sz w:val="20"/>
        </w:rPr>
        <w:t>503</w:t>
      </w:r>
      <w:r>
        <w:rPr>
          <w:sz w:val="20"/>
        </w:rPr>
        <w:tab/>
      </w:r>
      <w:r w:rsidR="00A73B71">
        <w:t>Finally, as Lee J has explained, the proposition that s 33</w:t>
      </w:r>
      <w:proofErr w:type="gramStart"/>
      <w:r w:rsidR="00A73B71">
        <w:t>V(</w:t>
      </w:r>
      <w:proofErr w:type="gramEnd"/>
      <w:r w:rsidR="00A73B71">
        <w:t>2) does not extend to making a Settlement CFO is contrary to a considerable body of jurisprudence in this and other Courts.</w:t>
      </w:r>
    </w:p>
    <w:p w14:paraId="69AD76E6" w14:textId="65C5065F" w:rsidR="00A73B71" w:rsidRDefault="0071710E" w:rsidP="0071710E">
      <w:pPr>
        <w:pStyle w:val="ParaNumbering"/>
        <w:numPr>
          <w:ilvl w:val="0"/>
          <w:numId w:val="0"/>
        </w:numPr>
        <w:tabs>
          <w:tab w:val="left" w:pos="720"/>
        </w:tabs>
        <w:ind w:hanging="720"/>
      </w:pPr>
      <w:r>
        <w:rPr>
          <w:sz w:val="20"/>
        </w:rPr>
        <w:t>504</w:t>
      </w:r>
      <w:r>
        <w:rPr>
          <w:sz w:val="20"/>
        </w:rPr>
        <w:tab/>
      </w:r>
      <w:r w:rsidR="00A73B71">
        <w:t>For those reasons, I agree with Lee J that s 33V confers a discretionary power to approve a settlement that is a just resolution of the representative proceeding and that a Settlement CFO is not a type of order that is outside the conception of a just order that could be made under s 33</w:t>
      </w:r>
      <w:proofErr w:type="gramStart"/>
      <w:r w:rsidR="00A73B71">
        <w:t>V(</w:t>
      </w:r>
      <w:proofErr w:type="gramEnd"/>
      <w:r w:rsidR="00A73B71">
        <w:t>2).</w:t>
      </w:r>
    </w:p>
    <w:p w14:paraId="3EB73B75" w14:textId="39289ABD" w:rsidR="00A73B71" w:rsidRDefault="0071710E" w:rsidP="0071710E">
      <w:pPr>
        <w:pStyle w:val="ParaNumbering"/>
        <w:numPr>
          <w:ilvl w:val="0"/>
          <w:numId w:val="0"/>
        </w:numPr>
        <w:tabs>
          <w:tab w:val="left" w:pos="720"/>
        </w:tabs>
        <w:ind w:hanging="720"/>
      </w:pPr>
      <w:r>
        <w:rPr>
          <w:sz w:val="20"/>
        </w:rPr>
        <w:t>505</w:t>
      </w:r>
      <w:r>
        <w:rPr>
          <w:sz w:val="20"/>
        </w:rPr>
        <w:tab/>
      </w:r>
      <w:r w:rsidR="00A73B71">
        <w:t xml:space="preserve">Respectfully, it follows that the reasoning to contrary effect by O'Callaghan J in </w:t>
      </w:r>
      <w:r w:rsidR="00A73B71" w:rsidRPr="00A01E91">
        <w:rPr>
          <w:i/>
          <w:iCs/>
        </w:rPr>
        <w:t>Davaria Pty Limited v 7-Eleven Stores Pty Ltd (No 13)</w:t>
      </w:r>
      <w:r w:rsidR="00A73B71" w:rsidRPr="00A01E91">
        <w:t xml:space="preserve"> [2023] FCA 84</w:t>
      </w:r>
      <w:r w:rsidR="00A73B71">
        <w:t xml:space="preserve"> at [179]-[191] should not be adopted in answering the reserved question.</w:t>
      </w:r>
    </w:p>
    <w:p w14:paraId="1670D28B" w14:textId="77777777" w:rsidR="00A73B71" w:rsidRDefault="00A73B71" w:rsidP="00A73B71">
      <w:pPr>
        <w:pStyle w:val="Heading2"/>
      </w:pPr>
      <w:r>
        <w:t>Issue as to the terms of the reserved question</w:t>
      </w:r>
    </w:p>
    <w:p w14:paraId="0149EC93" w14:textId="7D2CC258" w:rsidR="00A73B71" w:rsidRDefault="0071710E" w:rsidP="0071710E">
      <w:pPr>
        <w:pStyle w:val="ParaNumbering"/>
        <w:numPr>
          <w:ilvl w:val="0"/>
          <w:numId w:val="0"/>
        </w:numPr>
        <w:tabs>
          <w:tab w:val="left" w:pos="720"/>
        </w:tabs>
        <w:ind w:hanging="720"/>
      </w:pPr>
      <w:r>
        <w:rPr>
          <w:sz w:val="20"/>
        </w:rPr>
        <w:t>506</w:t>
      </w:r>
      <w:r>
        <w:rPr>
          <w:sz w:val="20"/>
        </w:rPr>
        <w:tab/>
      </w:r>
      <w:r w:rsidR="00A73B71">
        <w:t xml:space="preserve">I agreed that the reserved question should not be amended to include the question whether there was equitable power to make a Settlement CFO.  I did so because of the difficulties alluded to by Lee J when it comes to expressing a view as to the absence of equities without understanding the </w:t>
      </w:r>
      <w:proofErr w:type="gramStart"/>
      <w:r w:rsidR="00A73B71">
        <w:t>particular factual</w:t>
      </w:r>
      <w:proofErr w:type="gramEnd"/>
      <w:r w:rsidR="00A73B71">
        <w:t xml:space="preserve"> circumstances.  That said, equity has a long history of adjusting rights to assets or funds to allow fair recompense to those parties whose action has preserved or protected </w:t>
      </w:r>
      <w:proofErr w:type="gramStart"/>
      <w:r w:rsidR="00A73B71">
        <w:t>particular assets</w:t>
      </w:r>
      <w:proofErr w:type="gramEnd"/>
      <w:r w:rsidR="00A73B71">
        <w:t xml:space="preserve"> or funds.  They have included instances where court and other costs have been incurred in bringing proceedings to establish an entitlement to assets or funds.</w:t>
      </w:r>
    </w:p>
    <w:p w14:paraId="0C058139" w14:textId="77777777" w:rsidR="00A73B71" w:rsidRDefault="00A73B71" w:rsidP="00A73B71">
      <w:pPr>
        <w:pStyle w:val="Heading2"/>
      </w:pPr>
      <w:r>
        <w:t xml:space="preserve">Issue as to whether the reserved question is </w:t>
      </w:r>
      <w:proofErr w:type="gramStart"/>
      <w:r>
        <w:t>hypothetical</w:t>
      </w:r>
      <w:proofErr w:type="gramEnd"/>
    </w:p>
    <w:p w14:paraId="4A3B1590" w14:textId="6CE08A76" w:rsidR="00A73B71" w:rsidRDefault="0071710E" w:rsidP="0071710E">
      <w:pPr>
        <w:pStyle w:val="ParaNumbering"/>
        <w:numPr>
          <w:ilvl w:val="0"/>
          <w:numId w:val="0"/>
        </w:numPr>
        <w:tabs>
          <w:tab w:val="left" w:pos="720"/>
        </w:tabs>
        <w:ind w:hanging="720"/>
      </w:pPr>
      <w:r>
        <w:rPr>
          <w:sz w:val="20"/>
        </w:rPr>
        <w:t>507</w:t>
      </w:r>
      <w:r>
        <w:rPr>
          <w:sz w:val="20"/>
        </w:rPr>
        <w:tab/>
      </w:r>
      <w:r w:rsidR="00A73B71">
        <w:t>For the reasons given by Lee J I agree that it is appropriate to answer the reserved question.</w:t>
      </w:r>
    </w:p>
    <w:p w14:paraId="57B720F2" w14:textId="77777777" w:rsidR="00A73B71" w:rsidRDefault="00A73B71" w:rsidP="00A73B71">
      <w:pPr>
        <w:pStyle w:val="Heading2"/>
      </w:pPr>
      <w:r>
        <w:t>Form of order</w:t>
      </w:r>
    </w:p>
    <w:p w14:paraId="2777CE2A" w14:textId="11365827" w:rsidR="00A73B71" w:rsidRDefault="0071710E" w:rsidP="0071710E">
      <w:pPr>
        <w:pStyle w:val="ParaNumbering"/>
        <w:numPr>
          <w:ilvl w:val="0"/>
          <w:numId w:val="0"/>
        </w:numPr>
        <w:tabs>
          <w:tab w:val="left" w:pos="720"/>
        </w:tabs>
        <w:ind w:hanging="720"/>
      </w:pPr>
      <w:r>
        <w:rPr>
          <w:sz w:val="20"/>
        </w:rPr>
        <w:t>508</w:t>
      </w:r>
      <w:r>
        <w:rPr>
          <w:sz w:val="20"/>
        </w:rPr>
        <w:tab/>
      </w:r>
      <w:r w:rsidR="00A73B71">
        <w:t>For the reasons I have given, I agree with Lee J that the reserved question should be answered in the affirmative.  However, as I have indicated, I would answer the question in the following way:  'If the Court has approved the terms of settlement or discontinuance in the exercise of its approval jurisdiction, yes'.</w:t>
      </w:r>
    </w:p>
    <w:p w14:paraId="3A2CEA77" w14:textId="00F34F50" w:rsidR="00A73B71" w:rsidRDefault="0071710E" w:rsidP="0071710E">
      <w:pPr>
        <w:pStyle w:val="ParaNumbering"/>
        <w:numPr>
          <w:ilvl w:val="0"/>
          <w:numId w:val="0"/>
        </w:numPr>
        <w:tabs>
          <w:tab w:val="left" w:pos="720"/>
        </w:tabs>
        <w:ind w:hanging="720"/>
      </w:pPr>
      <w:r>
        <w:rPr>
          <w:sz w:val="20"/>
        </w:rPr>
        <w:t>509</w:t>
      </w:r>
      <w:r>
        <w:rPr>
          <w:sz w:val="20"/>
        </w:rPr>
        <w:tab/>
      </w:r>
      <w:r w:rsidR="00A73B71">
        <w:t>I agree that there should be no order as to costs.</w:t>
      </w:r>
    </w:p>
    <w:p w14:paraId="682B9C76" w14:textId="10D7E392" w:rsidR="00A73B71" w:rsidRDefault="00A73B71" w:rsidP="00A73B71">
      <w:pPr>
        <w:pStyle w:val="BodyText"/>
      </w:pPr>
    </w:p>
    <w:tbl>
      <w:tblPr>
        <w:tblW w:w="0" w:type="auto"/>
        <w:tblLook w:val="04A0" w:firstRow="1" w:lastRow="0" w:firstColumn="1" w:lastColumn="0" w:noHBand="0" w:noVBand="1"/>
      </w:tblPr>
      <w:tblGrid>
        <w:gridCol w:w="3794"/>
      </w:tblGrid>
      <w:tr w:rsidR="006A69C1" w:rsidRPr="0046167A" w14:paraId="538D2615" w14:textId="77777777" w:rsidTr="001971D2">
        <w:tc>
          <w:tcPr>
            <w:tcW w:w="3794" w:type="dxa"/>
            <w:shd w:val="clear" w:color="auto" w:fill="auto"/>
          </w:tcPr>
          <w:p w14:paraId="24FB30D5" w14:textId="3939F510" w:rsidR="006A69C1" w:rsidRPr="0046167A" w:rsidRDefault="006A69C1" w:rsidP="001971D2">
            <w:pPr>
              <w:pStyle w:val="Normal1linespace"/>
            </w:pPr>
            <w:r w:rsidRPr="0046167A">
              <w:t xml:space="preserve">I certify that the preceding </w:t>
            </w:r>
            <w:r w:rsidR="00CD3274">
              <w:t>eighty-five</w:t>
            </w:r>
            <w:r w:rsidRPr="0046167A">
              <w:t xml:space="preserve"> (</w:t>
            </w:r>
            <w:r w:rsidR="00CD3274">
              <w:t>85</w:t>
            </w:r>
            <w:r w:rsidRPr="0046167A">
              <w:t xml:space="preserve">) numbered </w:t>
            </w:r>
            <w:r>
              <w:t>paragraphs are</w:t>
            </w:r>
            <w:r w:rsidRPr="0046167A">
              <w:t xml:space="preserve"> a true copy of the Reasons for Judgment of the Honourable </w:t>
            </w:r>
            <w:r>
              <w:t>Justice Colvin</w:t>
            </w:r>
            <w:r w:rsidRPr="0046167A">
              <w:t>.</w:t>
            </w:r>
          </w:p>
        </w:tc>
      </w:tr>
    </w:tbl>
    <w:p w14:paraId="1BA8AD49" w14:textId="0EACFC55" w:rsidR="006A69C1" w:rsidRDefault="006A69C1" w:rsidP="00A73B71">
      <w:pPr>
        <w:pStyle w:val="BodyText"/>
      </w:pPr>
    </w:p>
    <w:p w14:paraId="49085F34" w14:textId="616C051F" w:rsidR="006A69C1" w:rsidRDefault="006A69C1" w:rsidP="00A73B71">
      <w:pPr>
        <w:pStyle w:val="BodyText"/>
      </w:pPr>
      <w:r>
        <w:t>Associate:</w:t>
      </w:r>
      <w:r w:rsidR="00CF1C30" w:rsidRPr="00CF1C30">
        <w:t xml:space="preserve"> </w:t>
      </w:r>
    </w:p>
    <w:p w14:paraId="5404D57E" w14:textId="77777777" w:rsidR="00CF1C30" w:rsidRDefault="00CF1C30" w:rsidP="00A73B71">
      <w:pPr>
        <w:pStyle w:val="BodyText"/>
      </w:pPr>
    </w:p>
    <w:p w14:paraId="6C1E54C6" w14:textId="3ABB9FB7" w:rsidR="00A73B71" w:rsidRDefault="00A73B71" w:rsidP="00A73B71">
      <w:pPr>
        <w:pStyle w:val="BodyText"/>
        <w:tabs>
          <w:tab w:val="left" w:pos="1134"/>
        </w:tabs>
      </w:pPr>
      <w:r>
        <w:t>Dated:</w:t>
      </w:r>
      <w:r>
        <w:tab/>
        <w:t>1</w:t>
      </w:r>
      <w:r w:rsidR="0074279C">
        <w:t>2</w:t>
      </w:r>
      <w:r>
        <w:t xml:space="preserve"> October 2023</w:t>
      </w:r>
    </w:p>
    <w:p w14:paraId="2B80DD5B" w14:textId="115115CB" w:rsidR="00B83165" w:rsidRPr="00A73B71" w:rsidRDefault="00A73B71" w:rsidP="00A73B71">
      <w:pPr>
        <w:pStyle w:val="BodyText"/>
      </w:pPr>
      <w:r>
        <w:br w:type="page"/>
      </w:r>
    </w:p>
    <w:p w14:paraId="09B8AA8D" w14:textId="77777777" w:rsidR="00486862" w:rsidRPr="00CD498A" w:rsidRDefault="00486862" w:rsidP="00486862">
      <w:pPr>
        <w:pStyle w:val="NormalHeadings"/>
        <w:spacing w:before="180" w:line="480" w:lineRule="auto"/>
        <w:jc w:val="center"/>
        <w:rPr>
          <w:sz w:val="28"/>
          <w:szCs w:val="28"/>
        </w:rPr>
      </w:pPr>
      <w:r w:rsidRPr="00CD498A">
        <w:rPr>
          <w:sz w:val="28"/>
          <w:szCs w:val="28"/>
        </w:rPr>
        <w:t>SCHEDULE OF PARTIES</w:t>
      </w:r>
    </w:p>
    <w:p w14:paraId="0C73A96F" w14:textId="77777777" w:rsidR="00486862" w:rsidRPr="00663089" w:rsidRDefault="00486862" w:rsidP="00486862">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486862" w14:paraId="343A57CA" w14:textId="77777777" w:rsidTr="005F3639">
        <w:tc>
          <w:tcPr>
            <w:tcW w:w="3368" w:type="dxa"/>
          </w:tcPr>
          <w:p w14:paraId="4C37C25E" w14:textId="77777777" w:rsidR="00486862" w:rsidRDefault="00486862" w:rsidP="005F3639">
            <w:pPr>
              <w:pStyle w:val="NormalHeadings"/>
              <w:jc w:val="left"/>
              <w:rPr>
                <w:caps/>
                <w:szCs w:val="24"/>
              </w:rPr>
            </w:pPr>
          </w:p>
        </w:tc>
        <w:tc>
          <w:tcPr>
            <w:tcW w:w="5874" w:type="dxa"/>
          </w:tcPr>
          <w:p w14:paraId="12286F16" w14:textId="77777777" w:rsidR="00486862" w:rsidRDefault="002774AC" w:rsidP="00486862">
            <w:pPr>
              <w:pStyle w:val="NormalHeadings"/>
              <w:jc w:val="right"/>
            </w:pPr>
            <w:fldSimple w:instr=" REF  FileNo " w:fldLock="1">
              <w:r w:rsidR="00486862">
                <w:t>SAD 127 of 2022</w:t>
              </w:r>
            </w:fldSimple>
          </w:p>
        </w:tc>
      </w:tr>
      <w:tr w:rsidR="00486862" w14:paraId="6ED0D656" w14:textId="77777777" w:rsidTr="005F3639">
        <w:trPr>
          <w:trHeight w:val="386"/>
        </w:trPr>
        <w:tc>
          <w:tcPr>
            <w:tcW w:w="3368" w:type="dxa"/>
          </w:tcPr>
          <w:p w14:paraId="3D46AE15" w14:textId="77777777" w:rsidR="00486862" w:rsidRDefault="00486862" w:rsidP="005F3639">
            <w:pPr>
              <w:pStyle w:val="BodyTextBold"/>
              <w:spacing w:before="180"/>
              <w:jc w:val="left"/>
            </w:pPr>
            <w:bookmarkStart w:id="32" w:name="SOP_RespondentsRows" w:colFirst="0" w:colLast="1"/>
            <w:r>
              <w:t>Respondents</w:t>
            </w:r>
          </w:p>
        </w:tc>
        <w:tc>
          <w:tcPr>
            <w:tcW w:w="5874" w:type="dxa"/>
            <w:tcMar>
              <w:left w:w="28" w:type="dxa"/>
            </w:tcMar>
          </w:tcPr>
          <w:p w14:paraId="5B914354" w14:textId="77777777" w:rsidR="00486862" w:rsidRDefault="00486862" w:rsidP="005F3639">
            <w:pPr>
              <w:pStyle w:val="BodyText"/>
              <w:jc w:val="left"/>
            </w:pPr>
          </w:p>
        </w:tc>
      </w:tr>
      <w:tr w:rsidR="00486862" w14:paraId="43A5A0AC" w14:textId="77777777" w:rsidTr="005F3639">
        <w:trPr>
          <w:trHeight w:val="386"/>
        </w:trPr>
        <w:tc>
          <w:tcPr>
            <w:tcW w:w="3368" w:type="dxa"/>
          </w:tcPr>
          <w:p w14:paraId="5CBBA5DD" w14:textId="77777777" w:rsidR="00486862" w:rsidRDefault="00486862" w:rsidP="005F3639">
            <w:pPr>
              <w:pStyle w:val="BodyText"/>
              <w:spacing w:after="240" w:line="240" w:lineRule="auto"/>
              <w:jc w:val="left"/>
            </w:pPr>
            <w:bookmarkStart w:id="33" w:name="SOP_FirstRespondent"/>
            <w:bookmarkEnd w:id="33"/>
            <w:r>
              <w:t>Fourth Respondent:</w:t>
            </w:r>
          </w:p>
        </w:tc>
        <w:tc>
          <w:tcPr>
            <w:tcW w:w="5874" w:type="dxa"/>
            <w:tcMar>
              <w:left w:w="28" w:type="dxa"/>
            </w:tcMar>
          </w:tcPr>
          <w:p w14:paraId="25D6FC9C" w14:textId="77777777" w:rsidR="00486862" w:rsidRDefault="00486862" w:rsidP="005F3639">
            <w:pPr>
              <w:pStyle w:val="BodyText"/>
              <w:spacing w:after="240" w:line="240" w:lineRule="auto"/>
              <w:jc w:val="left"/>
            </w:pPr>
            <w:r>
              <w:t>A.F. SPINKS PTY LTD</w:t>
            </w:r>
          </w:p>
        </w:tc>
      </w:tr>
      <w:tr w:rsidR="00486862" w14:paraId="6BEF3DC2" w14:textId="77777777" w:rsidTr="005F3639">
        <w:trPr>
          <w:trHeight w:val="386"/>
        </w:trPr>
        <w:tc>
          <w:tcPr>
            <w:tcW w:w="3368" w:type="dxa"/>
          </w:tcPr>
          <w:p w14:paraId="4411C292" w14:textId="77777777" w:rsidR="00486862" w:rsidRDefault="00486862" w:rsidP="005F3639">
            <w:pPr>
              <w:pStyle w:val="BodyText"/>
              <w:spacing w:after="240" w:line="240" w:lineRule="auto"/>
              <w:jc w:val="left"/>
            </w:pPr>
            <w:r>
              <w:t>Fifth Respondent:</w:t>
            </w:r>
          </w:p>
        </w:tc>
        <w:tc>
          <w:tcPr>
            <w:tcW w:w="5874" w:type="dxa"/>
            <w:tcMar>
              <w:left w:w="28" w:type="dxa"/>
            </w:tcMar>
          </w:tcPr>
          <w:p w14:paraId="78623DF1" w14:textId="77777777" w:rsidR="00486862" w:rsidRDefault="00486862" w:rsidP="005F3639">
            <w:pPr>
              <w:pStyle w:val="BodyText"/>
              <w:spacing w:after="240" w:line="240" w:lineRule="auto"/>
              <w:jc w:val="left"/>
            </w:pPr>
            <w:r>
              <w:t>AARROD PTY LTD</w:t>
            </w:r>
          </w:p>
        </w:tc>
      </w:tr>
      <w:tr w:rsidR="00486862" w14:paraId="4B3FC8D5" w14:textId="77777777" w:rsidTr="005F3639">
        <w:trPr>
          <w:trHeight w:val="386"/>
        </w:trPr>
        <w:tc>
          <w:tcPr>
            <w:tcW w:w="3368" w:type="dxa"/>
          </w:tcPr>
          <w:p w14:paraId="2AF27F14" w14:textId="77777777" w:rsidR="00486862" w:rsidRDefault="00486862" w:rsidP="005F3639">
            <w:pPr>
              <w:pStyle w:val="BodyText"/>
              <w:spacing w:after="240" w:line="240" w:lineRule="auto"/>
              <w:jc w:val="left"/>
            </w:pPr>
            <w:r>
              <w:t>Seventh Respondent:</w:t>
            </w:r>
          </w:p>
        </w:tc>
        <w:tc>
          <w:tcPr>
            <w:tcW w:w="5874" w:type="dxa"/>
            <w:tcMar>
              <w:left w:w="28" w:type="dxa"/>
            </w:tcMar>
          </w:tcPr>
          <w:p w14:paraId="3401FC7B" w14:textId="77777777" w:rsidR="00486862" w:rsidRDefault="00486862" w:rsidP="005F3639">
            <w:pPr>
              <w:pStyle w:val="BodyText"/>
              <w:spacing w:after="240" w:line="240" w:lineRule="auto"/>
              <w:jc w:val="left"/>
            </w:pPr>
            <w:r>
              <w:t>AGOSTINO GROUP HOLDINGS PTY LTD</w:t>
            </w:r>
          </w:p>
        </w:tc>
      </w:tr>
      <w:tr w:rsidR="00486862" w14:paraId="1C663297" w14:textId="77777777" w:rsidTr="005F3639">
        <w:trPr>
          <w:trHeight w:val="386"/>
        </w:trPr>
        <w:tc>
          <w:tcPr>
            <w:tcW w:w="3368" w:type="dxa"/>
          </w:tcPr>
          <w:p w14:paraId="69087E86" w14:textId="77777777" w:rsidR="00486862" w:rsidRDefault="00486862" w:rsidP="005F3639">
            <w:pPr>
              <w:pStyle w:val="BodyText"/>
              <w:spacing w:after="240" w:line="240" w:lineRule="auto"/>
              <w:jc w:val="left"/>
            </w:pPr>
            <w:r>
              <w:t>Eighth Respondent:</w:t>
            </w:r>
          </w:p>
        </w:tc>
        <w:tc>
          <w:tcPr>
            <w:tcW w:w="5874" w:type="dxa"/>
            <w:tcMar>
              <w:left w:w="28" w:type="dxa"/>
            </w:tcMar>
          </w:tcPr>
          <w:p w14:paraId="05EAD125" w14:textId="77777777" w:rsidR="00486862" w:rsidRDefault="00486862" w:rsidP="005F3639">
            <w:pPr>
              <w:pStyle w:val="BodyText"/>
              <w:spacing w:after="240" w:line="240" w:lineRule="auto"/>
              <w:jc w:val="left"/>
            </w:pPr>
            <w:r>
              <w:t>ALERUN PTY LTD</w:t>
            </w:r>
          </w:p>
        </w:tc>
      </w:tr>
      <w:tr w:rsidR="00486862" w14:paraId="54CA0FF1" w14:textId="77777777" w:rsidTr="005F3639">
        <w:trPr>
          <w:trHeight w:val="386"/>
        </w:trPr>
        <w:tc>
          <w:tcPr>
            <w:tcW w:w="3368" w:type="dxa"/>
          </w:tcPr>
          <w:p w14:paraId="34349665" w14:textId="77777777" w:rsidR="00486862" w:rsidRDefault="00486862" w:rsidP="005F3639">
            <w:pPr>
              <w:pStyle w:val="BodyText"/>
              <w:spacing w:after="240" w:line="240" w:lineRule="auto"/>
              <w:jc w:val="left"/>
            </w:pPr>
            <w:r>
              <w:t>Tenth Respondent:</w:t>
            </w:r>
          </w:p>
        </w:tc>
        <w:tc>
          <w:tcPr>
            <w:tcW w:w="5874" w:type="dxa"/>
            <w:tcMar>
              <w:left w:w="28" w:type="dxa"/>
            </w:tcMar>
          </w:tcPr>
          <w:p w14:paraId="607A743C" w14:textId="77777777" w:rsidR="00486862" w:rsidRDefault="00486862" w:rsidP="005F3639">
            <w:pPr>
              <w:pStyle w:val="BodyText"/>
              <w:spacing w:after="240" w:line="240" w:lineRule="auto"/>
              <w:jc w:val="left"/>
            </w:pPr>
            <w:r>
              <w:t>ALJAWIDA PTY LTD</w:t>
            </w:r>
          </w:p>
        </w:tc>
      </w:tr>
      <w:tr w:rsidR="007C1946" w14:paraId="235C0D29" w14:textId="77777777" w:rsidTr="005F3639">
        <w:trPr>
          <w:trHeight w:val="386"/>
        </w:trPr>
        <w:tc>
          <w:tcPr>
            <w:tcW w:w="3368" w:type="dxa"/>
          </w:tcPr>
          <w:p w14:paraId="440E0887" w14:textId="7ED7D420" w:rsidR="007C1946" w:rsidRDefault="007C1946" w:rsidP="007C1946">
            <w:pPr>
              <w:pStyle w:val="BodyText"/>
              <w:spacing w:after="240" w:line="240" w:lineRule="auto"/>
              <w:jc w:val="left"/>
            </w:pPr>
            <w:r>
              <w:t>Eleventh Respondent:</w:t>
            </w:r>
          </w:p>
        </w:tc>
        <w:tc>
          <w:tcPr>
            <w:tcW w:w="5874" w:type="dxa"/>
            <w:tcMar>
              <w:left w:w="28" w:type="dxa"/>
            </w:tcMar>
          </w:tcPr>
          <w:p w14:paraId="696A0559" w14:textId="7999DE20" w:rsidR="007C1946" w:rsidRDefault="007C1946" w:rsidP="007C1946">
            <w:pPr>
              <w:pStyle w:val="BodyText"/>
              <w:spacing w:after="240" w:line="240" w:lineRule="auto"/>
              <w:jc w:val="left"/>
            </w:pPr>
            <w:r>
              <w:t>ALLEECO PTY LTD</w:t>
            </w:r>
          </w:p>
        </w:tc>
      </w:tr>
      <w:tr w:rsidR="007C1946" w14:paraId="00D45BFD" w14:textId="77777777" w:rsidTr="005F3639">
        <w:trPr>
          <w:trHeight w:val="386"/>
        </w:trPr>
        <w:tc>
          <w:tcPr>
            <w:tcW w:w="3368" w:type="dxa"/>
          </w:tcPr>
          <w:p w14:paraId="7B12A706" w14:textId="3B702D76" w:rsidR="007C1946" w:rsidRDefault="007C1946" w:rsidP="007C1946">
            <w:pPr>
              <w:pStyle w:val="BodyText"/>
              <w:spacing w:after="240" w:line="240" w:lineRule="auto"/>
              <w:jc w:val="left"/>
            </w:pPr>
            <w:r>
              <w:t xml:space="preserve">Twelfth </w:t>
            </w:r>
            <w:r w:rsidR="009359AC">
              <w:t>Respondent:</w:t>
            </w:r>
          </w:p>
        </w:tc>
        <w:tc>
          <w:tcPr>
            <w:tcW w:w="5874" w:type="dxa"/>
            <w:tcMar>
              <w:left w:w="28" w:type="dxa"/>
            </w:tcMar>
          </w:tcPr>
          <w:p w14:paraId="159E9C06" w14:textId="523B8933" w:rsidR="007C1946" w:rsidRDefault="007C1946" w:rsidP="007C1946">
            <w:pPr>
              <w:pStyle w:val="BodyText"/>
              <w:spacing w:after="240" w:line="240" w:lineRule="auto"/>
              <w:jc w:val="left"/>
            </w:pPr>
            <w:r>
              <w:t>ALMIC HOLDINGS PTY LTD</w:t>
            </w:r>
          </w:p>
        </w:tc>
      </w:tr>
      <w:tr w:rsidR="007C1946" w14:paraId="0C7A6D78" w14:textId="77777777" w:rsidTr="005F3639">
        <w:trPr>
          <w:trHeight w:val="386"/>
        </w:trPr>
        <w:tc>
          <w:tcPr>
            <w:tcW w:w="3368" w:type="dxa"/>
          </w:tcPr>
          <w:p w14:paraId="10E3D0B6" w14:textId="0D59C751" w:rsidR="007C1946" w:rsidRDefault="007C1946" w:rsidP="007C1946">
            <w:pPr>
              <w:pStyle w:val="BodyText"/>
              <w:spacing w:after="240" w:line="240" w:lineRule="auto"/>
              <w:jc w:val="left"/>
            </w:pPr>
            <w:r>
              <w:t xml:space="preserve">Thirteenth </w:t>
            </w:r>
            <w:r w:rsidR="009359AC">
              <w:t>Respondent:</w:t>
            </w:r>
          </w:p>
        </w:tc>
        <w:tc>
          <w:tcPr>
            <w:tcW w:w="5874" w:type="dxa"/>
            <w:tcMar>
              <w:left w:w="28" w:type="dxa"/>
            </w:tcMar>
          </w:tcPr>
          <w:p w14:paraId="0ECA931D" w14:textId="06C47553" w:rsidR="007C1946" w:rsidRDefault="007C1946" w:rsidP="007C1946">
            <w:pPr>
              <w:pStyle w:val="BodyText"/>
              <w:spacing w:after="240" w:line="240" w:lineRule="auto"/>
              <w:jc w:val="left"/>
            </w:pPr>
            <w:r>
              <w:t>ALVARO RESTAURANTS PTY LTD</w:t>
            </w:r>
          </w:p>
        </w:tc>
      </w:tr>
      <w:tr w:rsidR="007C1946" w14:paraId="73718D57" w14:textId="77777777" w:rsidTr="005F3639">
        <w:trPr>
          <w:trHeight w:val="386"/>
        </w:trPr>
        <w:tc>
          <w:tcPr>
            <w:tcW w:w="3368" w:type="dxa"/>
          </w:tcPr>
          <w:p w14:paraId="58A94BB4" w14:textId="5FD74749" w:rsidR="007C1946" w:rsidRDefault="007C1946" w:rsidP="007C1946">
            <w:pPr>
              <w:pStyle w:val="BodyText"/>
              <w:spacing w:after="240" w:line="240" w:lineRule="auto"/>
              <w:jc w:val="left"/>
            </w:pPr>
            <w:r>
              <w:t xml:space="preserve">Fourteenth </w:t>
            </w:r>
            <w:r w:rsidR="009359AC">
              <w:t>Respondent:</w:t>
            </w:r>
          </w:p>
        </w:tc>
        <w:tc>
          <w:tcPr>
            <w:tcW w:w="5874" w:type="dxa"/>
            <w:tcMar>
              <w:left w:w="28" w:type="dxa"/>
            </w:tcMar>
          </w:tcPr>
          <w:p w14:paraId="71CA281B" w14:textId="7B0FE9C6" w:rsidR="007C1946" w:rsidRDefault="007C1946" w:rsidP="007C1946">
            <w:pPr>
              <w:pStyle w:val="BodyText"/>
              <w:spacing w:after="240" w:line="240" w:lineRule="auto"/>
              <w:jc w:val="left"/>
            </w:pPr>
            <w:r>
              <w:t>ARN TAS INVESTMENTS PTY LTD</w:t>
            </w:r>
          </w:p>
        </w:tc>
      </w:tr>
      <w:tr w:rsidR="007C1946" w14:paraId="0823841F" w14:textId="77777777" w:rsidTr="005F3639">
        <w:trPr>
          <w:trHeight w:val="386"/>
        </w:trPr>
        <w:tc>
          <w:tcPr>
            <w:tcW w:w="3368" w:type="dxa"/>
          </w:tcPr>
          <w:p w14:paraId="6844ABCA" w14:textId="52766B6A" w:rsidR="007C1946" w:rsidRDefault="007C1946" w:rsidP="007C1946">
            <w:pPr>
              <w:pStyle w:val="BodyText"/>
              <w:spacing w:after="240" w:line="240" w:lineRule="auto"/>
              <w:jc w:val="left"/>
            </w:pPr>
            <w:r>
              <w:t>Fifteenth</w:t>
            </w:r>
            <w:r w:rsidR="009359AC">
              <w:t xml:space="preserve"> Respondent:</w:t>
            </w:r>
          </w:p>
        </w:tc>
        <w:tc>
          <w:tcPr>
            <w:tcW w:w="5874" w:type="dxa"/>
            <w:tcMar>
              <w:left w:w="28" w:type="dxa"/>
            </w:tcMar>
          </w:tcPr>
          <w:p w14:paraId="2D7F4FC2" w14:textId="1B024A2A" w:rsidR="007C1946" w:rsidRDefault="007C1946" w:rsidP="007C1946">
            <w:pPr>
              <w:pStyle w:val="BodyText"/>
              <w:spacing w:after="240" w:line="240" w:lineRule="auto"/>
              <w:jc w:val="left"/>
            </w:pPr>
            <w:r>
              <w:t>ANJOHSCO PTY LTD</w:t>
            </w:r>
          </w:p>
        </w:tc>
      </w:tr>
      <w:tr w:rsidR="007C1946" w14:paraId="354C0AF7" w14:textId="77777777" w:rsidTr="005F3639">
        <w:trPr>
          <w:trHeight w:val="386"/>
        </w:trPr>
        <w:tc>
          <w:tcPr>
            <w:tcW w:w="3368" w:type="dxa"/>
          </w:tcPr>
          <w:p w14:paraId="40630FF5" w14:textId="3CF7CE23" w:rsidR="007C1946" w:rsidRDefault="007C1946" w:rsidP="007C1946">
            <w:pPr>
              <w:pStyle w:val="BodyText"/>
              <w:spacing w:after="240" w:line="240" w:lineRule="auto"/>
              <w:jc w:val="left"/>
            </w:pPr>
            <w:r>
              <w:t xml:space="preserve">Sixteenth </w:t>
            </w:r>
            <w:r w:rsidR="009359AC">
              <w:t>Respondent:</w:t>
            </w:r>
          </w:p>
        </w:tc>
        <w:tc>
          <w:tcPr>
            <w:tcW w:w="5874" w:type="dxa"/>
            <w:tcMar>
              <w:left w:w="28" w:type="dxa"/>
            </w:tcMar>
          </w:tcPr>
          <w:p w14:paraId="3367EF17" w14:textId="53AB46A7" w:rsidR="007C1946" w:rsidRDefault="007C1946" w:rsidP="007C1946">
            <w:pPr>
              <w:pStyle w:val="BodyText"/>
              <w:spacing w:after="240" w:line="240" w:lineRule="auto"/>
              <w:jc w:val="left"/>
            </w:pPr>
            <w:r>
              <w:t>ANMASAL PTY LTD</w:t>
            </w:r>
          </w:p>
        </w:tc>
      </w:tr>
      <w:tr w:rsidR="007C1946" w14:paraId="15901309" w14:textId="77777777" w:rsidTr="005F3639">
        <w:trPr>
          <w:trHeight w:val="386"/>
        </w:trPr>
        <w:tc>
          <w:tcPr>
            <w:tcW w:w="3368" w:type="dxa"/>
          </w:tcPr>
          <w:p w14:paraId="25DEFDA2" w14:textId="242ACC6A" w:rsidR="007C1946" w:rsidRDefault="007C1946" w:rsidP="007C1946">
            <w:pPr>
              <w:pStyle w:val="BodyText"/>
              <w:spacing w:after="240" w:line="240" w:lineRule="auto"/>
              <w:jc w:val="left"/>
            </w:pPr>
            <w:r>
              <w:t xml:space="preserve">Seventeenth </w:t>
            </w:r>
            <w:r w:rsidR="009359AC">
              <w:t>Respondent:</w:t>
            </w:r>
          </w:p>
        </w:tc>
        <w:tc>
          <w:tcPr>
            <w:tcW w:w="5874" w:type="dxa"/>
            <w:tcMar>
              <w:left w:w="28" w:type="dxa"/>
            </w:tcMar>
          </w:tcPr>
          <w:p w14:paraId="76B4EA5E" w14:textId="7D90BF4C" w:rsidR="007C1946" w:rsidRDefault="007C1946" w:rsidP="007C1946">
            <w:pPr>
              <w:pStyle w:val="BodyText"/>
              <w:spacing w:after="240" w:line="240" w:lineRule="auto"/>
              <w:jc w:val="left"/>
            </w:pPr>
            <w:r>
              <w:t>ARCHIE ENTERPRISES PTY LTD</w:t>
            </w:r>
          </w:p>
        </w:tc>
      </w:tr>
      <w:tr w:rsidR="007C1946" w14:paraId="5F394D86" w14:textId="77777777" w:rsidTr="005F3639">
        <w:trPr>
          <w:trHeight w:val="386"/>
        </w:trPr>
        <w:tc>
          <w:tcPr>
            <w:tcW w:w="3368" w:type="dxa"/>
          </w:tcPr>
          <w:p w14:paraId="7876E9D6" w14:textId="6880B8D5" w:rsidR="007C1946" w:rsidRDefault="007C1946" w:rsidP="007C1946">
            <w:pPr>
              <w:pStyle w:val="BodyText"/>
              <w:spacing w:after="240" w:line="240" w:lineRule="auto"/>
              <w:jc w:val="left"/>
            </w:pPr>
            <w:r>
              <w:t xml:space="preserve">Eighteenth </w:t>
            </w:r>
            <w:r w:rsidR="009359AC">
              <w:t>Respondent:</w:t>
            </w:r>
          </w:p>
        </w:tc>
        <w:tc>
          <w:tcPr>
            <w:tcW w:w="5874" w:type="dxa"/>
            <w:tcMar>
              <w:left w:w="28" w:type="dxa"/>
            </w:tcMar>
          </w:tcPr>
          <w:p w14:paraId="04F5A7F6" w14:textId="62049FAA" w:rsidR="007C1946" w:rsidRDefault="007C1946" w:rsidP="007C1946">
            <w:pPr>
              <w:pStyle w:val="BodyText"/>
              <w:spacing w:after="240" w:line="240" w:lineRule="auto"/>
              <w:jc w:val="left"/>
            </w:pPr>
            <w:r>
              <w:t>ARDEEN PTY LTD</w:t>
            </w:r>
          </w:p>
        </w:tc>
      </w:tr>
      <w:tr w:rsidR="007C1946" w14:paraId="098D27FB" w14:textId="77777777" w:rsidTr="005F3639">
        <w:trPr>
          <w:trHeight w:val="386"/>
        </w:trPr>
        <w:tc>
          <w:tcPr>
            <w:tcW w:w="3368" w:type="dxa"/>
          </w:tcPr>
          <w:p w14:paraId="5060A9E5" w14:textId="0005D669" w:rsidR="007C1946" w:rsidRDefault="007C1946" w:rsidP="007C1946">
            <w:pPr>
              <w:pStyle w:val="BodyText"/>
              <w:spacing w:after="240" w:line="240" w:lineRule="auto"/>
              <w:jc w:val="left"/>
            </w:pPr>
            <w:r>
              <w:t xml:space="preserve">Nineteenth </w:t>
            </w:r>
            <w:r w:rsidR="009359AC">
              <w:t>Respondent:</w:t>
            </w:r>
          </w:p>
        </w:tc>
        <w:tc>
          <w:tcPr>
            <w:tcW w:w="5874" w:type="dxa"/>
            <w:tcMar>
              <w:left w:w="28" w:type="dxa"/>
            </w:tcMar>
          </w:tcPr>
          <w:p w14:paraId="276284CB" w14:textId="43814D57" w:rsidR="007C1946" w:rsidRDefault="007C1946" w:rsidP="007C1946">
            <w:pPr>
              <w:pStyle w:val="BodyText"/>
              <w:spacing w:after="240" w:line="240" w:lineRule="auto"/>
              <w:jc w:val="left"/>
            </w:pPr>
            <w:r>
              <w:t>ASHDABS PTY LTD</w:t>
            </w:r>
          </w:p>
        </w:tc>
      </w:tr>
      <w:tr w:rsidR="007C1946" w14:paraId="20E773C9" w14:textId="77777777" w:rsidTr="005F3639">
        <w:trPr>
          <w:trHeight w:val="386"/>
        </w:trPr>
        <w:tc>
          <w:tcPr>
            <w:tcW w:w="3368" w:type="dxa"/>
          </w:tcPr>
          <w:p w14:paraId="2F7901DC" w14:textId="2C016D5E" w:rsidR="007C1946" w:rsidRDefault="007C1946" w:rsidP="007C1946">
            <w:pPr>
              <w:pStyle w:val="BodyText"/>
              <w:spacing w:after="240" w:line="240" w:lineRule="auto"/>
              <w:jc w:val="left"/>
            </w:pPr>
            <w:r>
              <w:t xml:space="preserve">Twentieth </w:t>
            </w:r>
            <w:r w:rsidR="009359AC">
              <w:t>Respondent:</w:t>
            </w:r>
          </w:p>
        </w:tc>
        <w:tc>
          <w:tcPr>
            <w:tcW w:w="5874" w:type="dxa"/>
            <w:tcMar>
              <w:left w:w="28" w:type="dxa"/>
            </w:tcMar>
          </w:tcPr>
          <w:p w14:paraId="50492399" w14:textId="5771CF32" w:rsidR="007C1946" w:rsidRDefault="007C1946" w:rsidP="007C1946">
            <w:pPr>
              <w:pStyle w:val="BodyText"/>
              <w:spacing w:after="240" w:line="240" w:lineRule="auto"/>
              <w:jc w:val="left"/>
            </w:pPr>
            <w:r>
              <w:t>AUZCAN PTY LTD</w:t>
            </w:r>
          </w:p>
        </w:tc>
      </w:tr>
      <w:tr w:rsidR="007C1946" w14:paraId="5C3EF52F" w14:textId="77777777" w:rsidTr="005F3639">
        <w:trPr>
          <w:trHeight w:val="386"/>
        </w:trPr>
        <w:tc>
          <w:tcPr>
            <w:tcW w:w="3368" w:type="dxa"/>
          </w:tcPr>
          <w:p w14:paraId="05323247" w14:textId="5C4A5A6A" w:rsidR="007C1946" w:rsidRDefault="007C1946" w:rsidP="007C1946">
            <w:pPr>
              <w:pStyle w:val="BodyText"/>
              <w:spacing w:after="240" w:line="240" w:lineRule="auto"/>
              <w:jc w:val="left"/>
            </w:pPr>
            <w:r>
              <w:t xml:space="preserve">Twenty First </w:t>
            </w:r>
            <w:r w:rsidR="009359AC">
              <w:t>Respondent:</w:t>
            </w:r>
          </w:p>
        </w:tc>
        <w:tc>
          <w:tcPr>
            <w:tcW w:w="5874" w:type="dxa"/>
            <w:tcMar>
              <w:left w:w="28" w:type="dxa"/>
            </w:tcMar>
          </w:tcPr>
          <w:p w14:paraId="71BF8ADB" w14:textId="19F583A5" w:rsidR="007C1946" w:rsidRDefault="007C1946" w:rsidP="007C1946">
            <w:pPr>
              <w:pStyle w:val="BodyText"/>
              <w:spacing w:after="240" w:line="240" w:lineRule="auto"/>
              <w:jc w:val="left"/>
            </w:pPr>
            <w:r>
              <w:t>BL FITZGERALD PTY LTD</w:t>
            </w:r>
          </w:p>
        </w:tc>
      </w:tr>
      <w:tr w:rsidR="007C1946" w14:paraId="60AF59A4" w14:textId="77777777" w:rsidTr="005F3639">
        <w:trPr>
          <w:trHeight w:val="386"/>
        </w:trPr>
        <w:tc>
          <w:tcPr>
            <w:tcW w:w="3368" w:type="dxa"/>
          </w:tcPr>
          <w:p w14:paraId="0E87A833" w14:textId="09ED7192" w:rsidR="007C1946" w:rsidRDefault="007C1946" w:rsidP="007C1946">
            <w:pPr>
              <w:pStyle w:val="BodyText"/>
              <w:spacing w:after="240" w:line="240" w:lineRule="auto"/>
              <w:jc w:val="left"/>
            </w:pPr>
            <w:r>
              <w:t xml:space="preserve">Twenty Second </w:t>
            </w:r>
            <w:r w:rsidR="00780801">
              <w:t>Respondent:</w:t>
            </w:r>
          </w:p>
        </w:tc>
        <w:tc>
          <w:tcPr>
            <w:tcW w:w="5874" w:type="dxa"/>
            <w:tcMar>
              <w:left w:w="28" w:type="dxa"/>
            </w:tcMar>
          </w:tcPr>
          <w:p w14:paraId="054C719D" w14:textId="4F8C8345" w:rsidR="007C1946" w:rsidRDefault="007C1946" w:rsidP="007C1946">
            <w:pPr>
              <w:pStyle w:val="BodyText"/>
              <w:spacing w:after="240" w:line="240" w:lineRule="auto"/>
              <w:jc w:val="left"/>
            </w:pPr>
            <w:r>
              <w:t>BAKSTON PTY LTD</w:t>
            </w:r>
          </w:p>
        </w:tc>
      </w:tr>
      <w:tr w:rsidR="007C1946" w14:paraId="10B3EF8C" w14:textId="77777777" w:rsidTr="005F3639">
        <w:trPr>
          <w:trHeight w:val="386"/>
        </w:trPr>
        <w:tc>
          <w:tcPr>
            <w:tcW w:w="3368" w:type="dxa"/>
          </w:tcPr>
          <w:p w14:paraId="66DA9CA3" w14:textId="00B0E90D" w:rsidR="007C1946" w:rsidRDefault="007C1946" w:rsidP="007C1946">
            <w:pPr>
              <w:pStyle w:val="BodyText"/>
              <w:spacing w:after="240" w:line="240" w:lineRule="auto"/>
              <w:jc w:val="left"/>
            </w:pPr>
            <w:r>
              <w:t xml:space="preserve">Twenty Third </w:t>
            </w:r>
            <w:r w:rsidR="00780801">
              <w:t>Respondent:</w:t>
            </w:r>
          </w:p>
        </w:tc>
        <w:tc>
          <w:tcPr>
            <w:tcW w:w="5874" w:type="dxa"/>
            <w:tcMar>
              <w:left w:w="28" w:type="dxa"/>
            </w:tcMar>
          </w:tcPr>
          <w:p w14:paraId="6BB8196A" w14:textId="3BD8126F" w:rsidR="007C1946" w:rsidRDefault="007C1946" w:rsidP="007C1946">
            <w:pPr>
              <w:pStyle w:val="BodyText"/>
              <w:spacing w:after="240" w:line="240" w:lineRule="auto"/>
              <w:jc w:val="left"/>
            </w:pPr>
            <w:r>
              <w:t>BALLAVARRA PTY LTD</w:t>
            </w:r>
          </w:p>
        </w:tc>
      </w:tr>
      <w:tr w:rsidR="007C1946" w14:paraId="43A18907" w14:textId="77777777" w:rsidTr="005F3639">
        <w:trPr>
          <w:trHeight w:val="386"/>
        </w:trPr>
        <w:tc>
          <w:tcPr>
            <w:tcW w:w="3368" w:type="dxa"/>
          </w:tcPr>
          <w:p w14:paraId="4B4D226F" w14:textId="7482A7A2" w:rsidR="007C1946" w:rsidRDefault="007C1946" w:rsidP="007C1946">
            <w:pPr>
              <w:pStyle w:val="BodyText"/>
              <w:spacing w:after="240" w:line="240" w:lineRule="auto"/>
              <w:jc w:val="left"/>
            </w:pPr>
            <w:r>
              <w:t>Twenty Fourth</w:t>
            </w:r>
            <w:r w:rsidR="00780801">
              <w:t xml:space="preserve"> Respondent:</w:t>
            </w:r>
          </w:p>
        </w:tc>
        <w:tc>
          <w:tcPr>
            <w:tcW w:w="5874" w:type="dxa"/>
            <w:tcMar>
              <w:left w:w="28" w:type="dxa"/>
            </w:tcMar>
          </w:tcPr>
          <w:p w14:paraId="692ECDFE" w14:textId="10881452" w:rsidR="007C1946" w:rsidRDefault="007C1946" w:rsidP="007C1946">
            <w:pPr>
              <w:pStyle w:val="BodyText"/>
              <w:spacing w:after="240" w:line="240" w:lineRule="auto"/>
              <w:jc w:val="left"/>
            </w:pPr>
            <w:r>
              <w:t>BALLENA PTY LTD</w:t>
            </w:r>
          </w:p>
        </w:tc>
      </w:tr>
      <w:tr w:rsidR="00DF7ED8" w14:paraId="37A980B0" w14:textId="77777777" w:rsidTr="005F3639">
        <w:trPr>
          <w:trHeight w:val="386"/>
        </w:trPr>
        <w:tc>
          <w:tcPr>
            <w:tcW w:w="3368" w:type="dxa"/>
          </w:tcPr>
          <w:p w14:paraId="44A76902" w14:textId="300E246C" w:rsidR="00DF7ED8" w:rsidRDefault="00DF7ED8" w:rsidP="007C1946">
            <w:pPr>
              <w:pStyle w:val="BodyText"/>
              <w:spacing w:after="240" w:line="240" w:lineRule="auto"/>
              <w:jc w:val="left"/>
            </w:pPr>
            <w:r>
              <w:t>Twenty Fifth Respondent:</w:t>
            </w:r>
          </w:p>
        </w:tc>
        <w:tc>
          <w:tcPr>
            <w:tcW w:w="5874" w:type="dxa"/>
            <w:tcMar>
              <w:left w:w="28" w:type="dxa"/>
            </w:tcMar>
          </w:tcPr>
          <w:p w14:paraId="65743F33" w14:textId="0A419FAD" w:rsidR="00DF7ED8" w:rsidRDefault="00DF7ED8" w:rsidP="007C1946">
            <w:pPr>
              <w:pStyle w:val="BodyText"/>
              <w:spacing w:after="240" w:line="240" w:lineRule="auto"/>
              <w:jc w:val="left"/>
            </w:pPr>
            <w:r>
              <w:t>BARTASE PTY LTD</w:t>
            </w:r>
          </w:p>
        </w:tc>
      </w:tr>
      <w:tr w:rsidR="007C1946" w14:paraId="443F0CE0" w14:textId="77777777" w:rsidTr="005F3639">
        <w:trPr>
          <w:trHeight w:val="386"/>
        </w:trPr>
        <w:tc>
          <w:tcPr>
            <w:tcW w:w="3368" w:type="dxa"/>
          </w:tcPr>
          <w:p w14:paraId="53644183" w14:textId="7AAE9FCB" w:rsidR="007C1946" w:rsidRDefault="007C1946" w:rsidP="007C1946">
            <w:pPr>
              <w:pStyle w:val="BodyText"/>
              <w:spacing w:after="240" w:line="240" w:lineRule="auto"/>
              <w:jc w:val="left"/>
            </w:pPr>
            <w:r>
              <w:t xml:space="preserve">Twenty Sixth </w:t>
            </w:r>
            <w:r w:rsidR="00DF7ED8">
              <w:t>Respondent:</w:t>
            </w:r>
          </w:p>
        </w:tc>
        <w:tc>
          <w:tcPr>
            <w:tcW w:w="5874" w:type="dxa"/>
            <w:tcMar>
              <w:left w:w="28" w:type="dxa"/>
            </w:tcMar>
          </w:tcPr>
          <w:p w14:paraId="4832143C" w14:textId="74361A64" w:rsidR="007C1946" w:rsidRDefault="007C1946" w:rsidP="007C1946">
            <w:pPr>
              <w:pStyle w:val="BodyText"/>
              <w:spacing w:after="240" w:line="240" w:lineRule="auto"/>
              <w:jc w:val="left"/>
            </w:pPr>
            <w:r>
              <w:t>BASILE ENTERPRISES PTY LTD</w:t>
            </w:r>
          </w:p>
        </w:tc>
      </w:tr>
      <w:tr w:rsidR="007C1946" w14:paraId="1960FD22" w14:textId="77777777" w:rsidTr="005F3639">
        <w:trPr>
          <w:trHeight w:val="386"/>
        </w:trPr>
        <w:tc>
          <w:tcPr>
            <w:tcW w:w="3368" w:type="dxa"/>
          </w:tcPr>
          <w:p w14:paraId="592FA235" w14:textId="4C317F1F" w:rsidR="007C1946" w:rsidRDefault="007C1946" w:rsidP="007C1946">
            <w:pPr>
              <w:pStyle w:val="BodyText"/>
              <w:spacing w:after="240" w:line="240" w:lineRule="auto"/>
              <w:jc w:val="left"/>
            </w:pPr>
            <w:r>
              <w:t xml:space="preserve">Twenty Seventh </w:t>
            </w:r>
            <w:r w:rsidR="00DF7ED8">
              <w:t>Respondent:</w:t>
            </w:r>
          </w:p>
        </w:tc>
        <w:tc>
          <w:tcPr>
            <w:tcW w:w="5874" w:type="dxa"/>
            <w:tcMar>
              <w:left w:w="28" w:type="dxa"/>
            </w:tcMar>
          </w:tcPr>
          <w:p w14:paraId="136EB6A1" w14:textId="5EDA8484" w:rsidR="007C1946" w:rsidRDefault="007C1946" w:rsidP="007C1946">
            <w:pPr>
              <w:pStyle w:val="BodyText"/>
              <w:spacing w:after="240" w:line="240" w:lineRule="auto"/>
              <w:jc w:val="left"/>
            </w:pPr>
            <w:r>
              <w:t>BDZ GROUP PTY LTD</w:t>
            </w:r>
          </w:p>
        </w:tc>
      </w:tr>
      <w:tr w:rsidR="007C1946" w14:paraId="1656146F" w14:textId="77777777" w:rsidTr="005F3639">
        <w:trPr>
          <w:trHeight w:val="386"/>
        </w:trPr>
        <w:tc>
          <w:tcPr>
            <w:tcW w:w="3368" w:type="dxa"/>
          </w:tcPr>
          <w:p w14:paraId="5E344BBB" w14:textId="598147FF" w:rsidR="007C1946" w:rsidRDefault="007C1946" w:rsidP="007C1946">
            <w:pPr>
              <w:pStyle w:val="BodyText"/>
              <w:spacing w:after="240" w:line="240" w:lineRule="auto"/>
              <w:jc w:val="left"/>
            </w:pPr>
            <w:r>
              <w:t xml:space="preserve">Twenty Eighth </w:t>
            </w:r>
            <w:r w:rsidR="007F456C">
              <w:t>Respondent:</w:t>
            </w:r>
          </w:p>
        </w:tc>
        <w:tc>
          <w:tcPr>
            <w:tcW w:w="5874" w:type="dxa"/>
            <w:tcMar>
              <w:left w:w="28" w:type="dxa"/>
            </w:tcMar>
          </w:tcPr>
          <w:p w14:paraId="174A3EC0" w14:textId="52E4D278" w:rsidR="007C1946" w:rsidRDefault="007C1946" w:rsidP="007C1946">
            <w:pPr>
              <w:pStyle w:val="BodyText"/>
              <w:spacing w:after="240" w:line="240" w:lineRule="auto"/>
              <w:jc w:val="left"/>
            </w:pPr>
            <w:r>
              <w:t>BELVIEW ENTERPRISES PTY LTD</w:t>
            </w:r>
          </w:p>
        </w:tc>
      </w:tr>
      <w:tr w:rsidR="007C1946" w14:paraId="1A152C68" w14:textId="77777777" w:rsidTr="005F3639">
        <w:trPr>
          <w:trHeight w:val="386"/>
        </w:trPr>
        <w:tc>
          <w:tcPr>
            <w:tcW w:w="3368" w:type="dxa"/>
          </w:tcPr>
          <w:p w14:paraId="6EDFCC38" w14:textId="648DFF0B" w:rsidR="007C1946" w:rsidRDefault="007C1946" w:rsidP="007C1946">
            <w:pPr>
              <w:pStyle w:val="BodyText"/>
              <w:spacing w:after="240" w:line="240" w:lineRule="auto"/>
              <w:jc w:val="left"/>
            </w:pPr>
            <w:r>
              <w:t xml:space="preserve">Twenty Ninth </w:t>
            </w:r>
            <w:r w:rsidR="000E417C">
              <w:t>Respondent:</w:t>
            </w:r>
          </w:p>
        </w:tc>
        <w:tc>
          <w:tcPr>
            <w:tcW w:w="5874" w:type="dxa"/>
            <w:tcMar>
              <w:left w:w="28" w:type="dxa"/>
            </w:tcMar>
          </w:tcPr>
          <w:p w14:paraId="1AAA80A0" w14:textId="169F6E8A" w:rsidR="007C1946" w:rsidRDefault="007C1946" w:rsidP="007C1946">
            <w:pPr>
              <w:pStyle w:val="BodyText"/>
              <w:spacing w:after="240" w:line="240" w:lineRule="auto"/>
              <w:jc w:val="left"/>
            </w:pPr>
            <w:r>
              <w:t>BERGER PTY LTD</w:t>
            </w:r>
          </w:p>
        </w:tc>
      </w:tr>
      <w:tr w:rsidR="007C1946" w14:paraId="3B0DEC08" w14:textId="77777777" w:rsidTr="005F3639">
        <w:trPr>
          <w:trHeight w:val="386"/>
        </w:trPr>
        <w:tc>
          <w:tcPr>
            <w:tcW w:w="3368" w:type="dxa"/>
          </w:tcPr>
          <w:p w14:paraId="22BC1626" w14:textId="211C5121" w:rsidR="007C1946" w:rsidRDefault="007C1946" w:rsidP="007C1946">
            <w:pPr>
              <w:pStyle w:val="BodyText"/>
              <w:spacing w:after="240" w:line="240" w:lineRule="auto"/>
              <w:jc w:val="left"/>
            </w:pPr>
            <w:r>
              <w:t xml:space="preserve">Thirtieth </w:t>
            </w:r>
            <w:r w:rsidR="000E417C">
              <w:t>Respondent:</w:t>
            </w:r>
          </w:p>
        </w:tc>
        <w:tc>
          <w:tcPr>
            <w:tcW w:w="5874" w:type="dxa"/>
            <w:tcMar>
              <w:left w:w="28" w:type="dxa"/>
            </w:tcMar>
          </w:tcPr>
          <w:p w14:paraId="24AA79C3" w14:textId="3CD768D6" w:rsidR="007C1946" w:rsidRDefault="007C1946" w:rsidP="007C1946">
            <w:pPr>
              <w:pStyle w:val="BodyText"/>
              <w:spacing w:after="240" w:line="240" w:lineRule="auto"/>
              <w:jc w:val="left"/>
            </w:pPr>
            <w:r>
              <w:t>BERWICK ENTERPRISES PTY LTD</w:t>
            </w:r>
          </w:p>
        </w:tc>
      </w:tr>
      <w:tr w:rsidR="007C1946" w14:paraId="09DD400F" w14:textId="77777777" w:rsidTr="005F3639">
        <w:trPr>
          <w:trHeight w:val="386"/>
        </w:trPr>
        <w:tc>
          <w:tcPr>
            <w:tcW w:w="3368" w:type="dxa"/>
          </w:tcPr>
          <w:p w14:paraId="61DA689D" w14:textId="698EDD0A" w:rsidR="007C1946" w:rsidRDefault="007C1946" w:rsidP="007C1946">
            <w:pPr>
              <w:pStyle w:val="BodyText"/>
              <w:spacing w:after="240" w:line="240" w:lineRule="auto"/>
              <w:jc w:val="left"/>
            </w:pPr>
            <w:r>
              <w:t xml:space="preserve">Thirty First </w:t>
            </w:r>
            <w:r w:rsidR="000E417C">
              <w:t>Respondent:</w:t>
            </w:r>
          </w:p>
        </w:tc>
        <w:tc>
          <w:tcPr>
            <w:tcW w:w="5874" w:type="dxa"/>
            <w:tcMar>
              <w:left w:w="28" w:type="dxa"/>
            </w:tcMar>
          </w:tcPr>
          <w:p w14:paraId="12EC2F3F" w14:textId="7DAFA935" w:rsidR="007C1946" w:rsidRDefault="007C1946" w:rsidP="007C1946">
            <w:pPr>
              <w:pStyle w:val="BodyText"/>
              <w:spacing w:after="240" w:line="240" w:lineRule="auto"/>
              <w:jc w:val="left"/>
            </w:pPr>
            <w:r>
              <w:t>BERWICK SOUTH ENTERPRISES PTY LTD</w:t>
            </w:r>
          </w:p>
        </w:tc>
      </w:tr>
      <w:tr w:rsidR="007C1946" w14:paraId="03C5DD1E" w14:textId="77777777" w:rsidTr="000E417C">
        <w:trPr>
          <w:trHeight w:val="501"/>
        </w:trPr>
        <w:tc>
          <w:tcPr>
            <w:tcW w:w="3368" w:type="dxa"/>
          </w:tcPr>
          <w:p w14:paraId="005CD341" w14:textId="48539DD1" w:rsidR="007C1946" w:rsidRDefault="007C1946" w:rsidP="007C1946">
            <w:pPr>
              <w:pStyle w:val="BodyText"/>
              <w:spacing w:after="240" w:line="240" w:lineRule="auto"/>
              <w:jc w:val="left"/>
            </w:pPr>
            <w:r>
              <w:t>Thirty Second</w:t>
            </w:r>
            <w:r w:rsidR="000E417C">
              <w:t xml:space="preserve"> Respondent:</w:t>
            </w:r>
          </w:p>
        </w:tc>
        <w:tc>
          <w:tcPr>
            <w:tcW w:w="5874" w:type="dxa"/>
            <w:tcMar>
              <w:left w:w="28" w:type="dxa"/>
            </w:tcMar>
          </w:tcPr>
          <w:p w14:paraId="04211240" w14:textId="699B12ED" w:rsidR="007C1946" w:rsidRDefault="007C1946" w:rsidP="007C1946">
            <w:pPr>
              <w:pStyle w:val="BodyText"/>
              <w:spacing w:after="240" w:line="240" w:lineRule="auto"/>
              <w:jc w:val="left"/>
            </w:pPr>
            <w:r>
              <w:t>BILJAC PTY LTD</w:t>
            </w:r>
          </w:p>
        </w:tc>
      </w:tr>
      <w:tr w:rsidR="007C1946" w14:paraId="12696472" w14:textId="77777777" w:rsidTr="005F3639">
        <w:trPr>
          <w:trHeight w:val="386"/>
        </w:trPr>
        <w:tc>
          <w:tcPr>
            <w:tcW w:w="3368" w:type="dxa"/>
          </w:tcPr>
          <w:p w14:paraId="13E9C47C" w14:textId="5E113E1B" w:rsidR="007C1946" w:rsidRDefault="007C1946" w:rsidP="007C1946">
            <w:pPr>
              <w:pStyle w:val="BodyText"/>
              <w:spacing w:after="240" w:line="240" w:lineRule="auto"/>
              <w:jc w:val="left"/>
            </w:pPr>
            <w:r>
              <w:t xml:space="preserve">Thirty Third </w:t>
            </w:r>
            <w:r w:rsidR="000E417C">
              <w:t>Respondent:</w:t>
            </w:r>
          </w:p>
        </w:tc>
        <w:tc>
          <w:tcPr>
            <w:tcW w:w="5874" w:type="dxa"/>
            <w:tcMar>
              <w:left w:w="28" w:type="dxa"/>
            </w:tcMar>
          </w:tcPr>
          <w:p w14:paraId="0A239720" w14:textId="3F6C9233" w:rsidR="007C1946" w:rsidRDefault="007C1946" w:rsidP="007C1946">
            <w:pPr>
              <w:pStyle w:val="BodyText"/>
              <w:spacing w:after="240" w:line="240" w:lineRule="auto"/>
              <w:jc w:val="left"/>
            </w:pPr>
            <w:r>
              <w:t>BK DUNCAN PTY LTD</w:t>
            </w:r>
          </w:p>
        </w:tc>
      </w:tr>
      <w:tr w:rsidR="007C1946" w14:paraId="1376A64D" w14:textId="77777777" w:rsidTr="005F3639">
        <w:trPr>
          <w:trHeight w:val="386"/>
        </w:trPr>
        <w:tc>
          <w:tcPr>
            <w:tcW w:w="3368" w:type="dxa"/>
          </w:tcPr>
          <w:p w14:paraId="1421F20F" w14:textId="4E342755" w:rsidR="007C1946" w:rsidRDefault="007C1946" w:rsidP="007C1946">
            <w:pPr>
              <w:pStyle w:val="BodyText"/>
              <w:spacing w:after="240" w:line="240" w:lineRule="auto"/>
              <w:jc w:val="left"/>
            </w:pPr>
            <w:r>
              <w:t xml:space="preserve">Thirty Fourth </w:t>
            </w:r>
            <w:r w:rsidR="000E417C">
              <w:t>Respondent:</w:t>
            </w:r>
          </w:p>
        </w:tc>
        <w:tc>
          <w:tcPr>
            <w:tcW w:w="5874" w:type="dxa"/>
            <w:tcMar>
              <w:left w:w="28" w:type="dxa"/>
            </w:tcMar>
          </w:tcPr>
          <w:p w14:paraId="754FDA4D" w14:textId="45409D01" w:rsidR="007C1946" w:rsidRDefault="007C1946" w:rsidP="007C1946">
            <w:pPr>
              <w:pStyle w:val="BodyText"/>
              <w:spacing w:after="240" w:line="240" w:lineRule="auto"/>
              <w:jc w:val="left"/>
            </w:pPr>
            <w:r>
              <w:t>BLACKSTEN PTY LTD</w:t>
            </w:r>
          </w:p>
        </w:tc>
      </w:tr>
      <w:tr w:rsidR="007C1946" w14:paraId="3F7302B5" w14:textId="77777777" w:rsidTr="005F3639">
        <w:trPr>
          <w:trHeight w:val="386"/>
        </w:trPr>
        <w:tc>
          <w:tcPr>
            <w:tcW w:w="3368" w:type="dxa"/>
          </w:tcPr>
          <w:p w14:paraId="5A0BBD5A" w14:textId="42BFE722" w:rsidR="007C1946" w:rsidRDefault="007C1946" w:rsidP="007C1946">
            <w:pPr>
              <w:pStyle w:val="BodyText"/>
              <w:spacing w:after="240" w:line="240" w:lineRule="auto"/>
              <w:jc w:val="left"/>
            </w:pPr>
            <w:r>
              <w:t xml:space="preserve">Thirty Fifth </w:t>
            </w:r>
            <w:r w:rsidR="000E417C">
              <w:t>Respondent:</w:t>
            </w:r>
          </w:p>
        </w:tc>
        <w:tc>
          <w:tcPr>
            <w:tcW w:w="5874" w:type="dxa"/>
            <w:tcMar>
              <w:left w:w="28" w:type="dxa"/>
            </w:tcMar>
          </w:tcPr>
          <w:p w14:paraId="0F6C0E73" w14:textId="1D2999A1" w:rsidR="007C1946" w:rsidRDefault="007C1946" w:rsidP="007C1946">
            <w:pPr>
              <w:pStyle w:val="BodyText"/>
              <w:spacing w:after="240" w:line="240" w:lineRule="auto"/>
              <w:jc w:val="left"/>
            </w:pPr>
            <w:r>
              <w:t>BLENIN PTY LTD</w:t>
            </w:r>
          </w:p>
        </w:tc>
      </w:tr>
      <w:tr w:rsidR="007C1946" w14:paraId="1E69B35B" w14:textId="77777777" w:rsidTr="005F3639">
        <w:trPr>
          <w:trHeight w:val="386"/>
        </w:trPr>
        <w:tc>
          <w:tcPr>
            <w:tcW w:w="3368" w:type="dxa"/>
          </w:tcPr>
          <w:p w14:paraId="084CAB5D" w14:textId="6FDE7660" w:rsidR="007C1946" w:rsidRDefault="007C1946" w:rsidP="007C1946">
            <w:pPr>
              <w:pStyle w:val="BodyText"/>
              <w:spacing w:after="240" w:line="240" w:lineRule="auto"/>
              <w:jc w:val="left"/>
            </w:pPr>
            <w:r>
              <w:t xml:space="preserve">Thirty Sixth </w:t>
            </w:r>
            <w:r w:rsidR="00FC71E1">
              <w:t>Respondent:</w:t>
            </w:r>
          </w:p>
        </w:tc>
        <w:tc>
          <w:tcPr>
            <w:tcW w:w="5874" w:type="dxa"/>
            <w:tcMar>
              <w:left w:w="28" w:type="dxa"/>
            </w:tcMar>
          </w:tcPr>
          <w:p w14:paraId="0056D659" w14:textId="54C063A3" w:rsidR="007C1946" w:rsidRDefault="007C1946" w:rsidP="007C1946">
            <w:pPr>
              <w:pStyle w:val="BodyText"/>
              <w:spacing w:after="240" w:line="240" w:lineRule="auto"/>
              <w:jc w:val="left"/>
            </w:pPr>
            <w:r>
              <w:t>BRATE PTY LTD</w:t>
            </w:r>
          </w:p>
        </w:tc>
      </w:tr>
      <w:tr w:rsidR="007C1946" w14:paraId="2950EC12" w14:textId="77777777" w:rsidTr="005F3639">
        <w:trPr>
          <w:trHeight w:val="386"/>
        </w:trPr>
        <w:tc>
          <w:tcPr>
            <w:tcW w:w="3368" w:type="dxa"/>
          </w:tcPr>
          <w:p w14:paraId="55E6C143" w14:textId="205B1B27" w:rsidR="007C1946" w:rsidRDefault="007C1946" w:rsidP="007C1946">
            <w:pPr>
              <w:pStyle w:val="BodyText"/>
              <w:spacing w:after="240" w:line="240" w:lineRule="auto"/>
              <w:jc w:val="left"/>
            </w:pPr>
            <w:r>
              <w:t xml:space="preserve">Thirty Seventh </w:t>
            </w:r>
            <w:r w:rsidR="00FC71E1">
              <w:t>Respondent:</w:t>
            </w:r>
          </w:p>
        </w:tc>
        <w:tc>
          <w:tcPr>
            <w:tcW w:w="5874" w:type="dxa"/>
            <w:tcMar>
              <w:left w:w="28" w:type="dxa"/>
            </w:tcMar>
          </w:tcPr>
          <w:p w14:paraId="109117F6" w14:textId="7D776F23" w:rsidR="007C1946" w:rsidRDefault="007C1946" w:rsidP="007C1946">
            <w:pPr>
              <w:pStyle w:val="BodyText"/>
              <w:spacing w:after="240" w:line="240" w:lineRule="auto"/>
              <w:jc w:val="left"/>
            </w:pPr>
            <w:r>
              <w:t>BRAYCON HOLDINGS PTY LTD</w:t>
            </w:r>
          </w:p>
        </w:tc>
      </w:tr>
      <w:tr w:rsidR="007C1946" w14:paraId="1ED68519" w14:textId="77777777" w:rsidTr="005F3639">
        <w:trPr>
          <w:trHeight w:val="386"/>
        </w:trPr>
        <w:tc>
          <w:tcPr>
            <w:tcW w:w="3368" w:type="dxa"/>
          </w:tcPr>
          <w:p w14:paraId="087E9491" w14:textId="0223504C" w:rsidR="007C1946" w:rsidRDefault="007C1946" w:rsidP="007C1946">
            <w:pPr>
              <w:pStyle w:val="BodyText"/>
              <w:spacing w:after="240" w:line="240" w:lineRule="auto"/>
              <w:jc w:val="left"/>
            </w:pPr>
            <w:r>
              <w:t xml:space="preserve">Thirty Eighth </w:t>
            </w:r>
            <w:r w:rsidR="00FC71E1">
              <w:t>Respondent:</w:t>
            </w:r>
          </w:p>
        </w:tc>
        <w:tc>
          <w:tcPr>
            <w:tcW w:w="5874" w:type="dxa"/>
            <w:tcMar>
              <w:left w:w="28" w:type="dxa"/>
            </w:tcMar>
          </w:tcPr>
          <w:p w14:paraId="7B163AB1" w14:textId="36EB657A" w:rsidR="007C1946" w:rsidRDefault="007C1946" w:rsidP="007C1946">
            <w:pPr>
              <w:pStyle w:val="BodyText"/>
              <w:spacing w:after="240" w:line="240" w:lineRule="auto"/>
              <w:jc w:val="left"/>
            </w:pPr>
            <w:r>
              <w:t>BRODIE RESTAURANTS PTY LTD</w:t>
            </w:r>
          </w:p>
        </w:tc>
      </w:tr>
      <w:tr w:rsidR="00C773D4" w14:paraId="2378F449" w14:textId="77777777" w:rsidTr="005F3639">
        <w:trPr>
          <w:trHeight w:val="386"/>
        </w:trPr>
        <w:tc>
          <w:tcPr>
            <w:tcW w:w="3368" w:type="dxa"/>
          </w:tcPr>
          <w:p w14:paraId="0CEC5AF6" w14:textId="7CB9DED6" w:rsidR="00C773D4" w:rsidRDefault="00C773D4" w:rsidP="007C1946">
            <w:pPr>
              <w:pStyle w:val="BodyText"/>
              <w:spacing w:after="240" w:line="240" w:lineRule="auto"/>
              <w:jc w:val="left"/>
            </w:pPr>
            <w:r>
              <w:t>Thirty Ninth Respondent:</w:t>
            </w:r>
          </w:p>
        </w:tc>
        <w:tc>
          <w:tcPr>
            <w:tcW w:w="5874" w:type="dxa"/>
            <w:tcMar>
              <w:left w:w="28" w:type="dxa"/>
            </w:tcMar>
          </w:tcPr>
          <w:p w14:paraId="626A4F81" w14:textId="381FA6BF" w:rsidR="00C773D4" w:rsidRDefault="00C773D4" w:rsidP="007C1946">
            <w:pPr>
              <w:pStyle w:val="BodyText"/>
              <w:spacing w:after="240" w:line="240" w:lineRule="auto"/>
              <w:jc w:val="left"/>
            </w:pPr>
            <w:r>
              <w:t>CABLESCO PTY LTD</w:t>
            </w:r>
          </w:p>
        </w:tc>
      </w:tr>
      <w:tr w:rsidR="007C1946" w14:paraId="133E8BE8" w14:textId="77777777" w:rsidTr="005F3639">
        <w:trPr>
          <w:trHeight w:val="386"/>
        </w:trPr>
        <w:tc>
          <w:tcPr>
            <w:tcW w:w="3368" w:type="dxa"/>
          </w:tcPr>
          <w:p w14:paraId="2B3E2FAA" w14:textId="59D91621" w:rsidR="007C1946" w:rsidRDefault="007C1946" w:rsidP="007C1946">
            <w:pPr>
              <w:pStyle w:val="BodyText"/>
              <w:spacing w:after="240" w:line="240" w:lineRule="auto"/>
              <w:jc w:val="left"/>
            </w:pPr>
            <w:r>
              <w:t xml:space="preserve">Fortieth </w:t>
            </w:r>
            <w:r w:rsidR="00C773D4">
              <w:t>Respondent:</w:t>
            </w:r>
          </w:p>
        </w:tc>
        <w:tc>
          <w:tcPr>
            <w:tcW w:w="5874" w:type="dxa"/>
            <w:tcMar>
              <w:left w:w="28" w:type="dxa"/>
            </w:tcMar>
          </w:tcPr>
          <w:p w14:paraId="0BB754D8" w14:textId="075E8489" w:rsidR="007C1946" w:rsidRDefault="007C1946" w:rsidP="007C1946">
            <w:pPr>
              <w:pStyle w:val="BodyText"/>
              <w:spacing w:after="240" w:line="240" w:lineRule="auto"/>
              <w:jc w:val="left"/>
            </w:pPr>
            <w:r>
              <w:t>CADMUN PTY LTD</w:t>
            </w:r>
          </w:p>
        </w:tc>
      </w:tr>
      <w:tr w:rsidR="007C1946" w14:paraId="2F23A490" w14:textId="77777777" w:rsidTr="005F3639">
        <w:trPr>
          <w:trHeight w:val="386"/>
        </w:trPr>
        <w:tc>
          <w:tcPr>
            <w:tcW w:w="3368" w:type="dxa"/>
          </w:tcPr>
          <w:p w14:paraId="1B5F7895" w14:textId="30F7B66E" w:rsidR="007C1946" w:rsidRDefault="007C1946" w:rsidP="007C1946">
            <w:pPr>
              <w:pStyle w:val="BodyText"/>
              <w:spacing w:after="240" w:line="240" w:lineRule="auto"/>
              <w:jc w:val="left"/>
            </w:pPr>
            <w:r>
              <w:t xml:space="preserve">Forty First </w:t>
            </w:r>
            <w:r w:rsidR="002A2C45">
              <w:t>Respondent:</w:t>
            </w:r>
          </w:p>
        </w:tc>
        <w:tc>
          <w:tcPr>
            <w:tcW w:w="5874" w:type="dxa"/>
            <w:tcMar>
              <w:left w:w="28" w:type="dxa"/>
            </w:tcMar>
          </w:tcPr>
          <w:p w14:paraId="38A1B82F" w14:textId="408E3423" w:rsidR="007C1946" w:rsidRDefault="007C1946" w:rsidP="007C1946">
            <w:pPr>
              <w:pStyle w:val="BodyText"/>
              <w:spacing w:after="240" w:line="240" w:lineRule="auto"/>
              <w:jc w:val="left"/>
            </w:pPr>
            <w:r>
              <w:t>CAHOW PTY LTD</w:t>
            </w:r>
          </w:p>
        </w:tc>
      </w:tr>
      <w:tr w:rsidR="007C1946" w14:paraId="63445A97" w14:textId="77777777" w:rsidTr="005F3639">
        <w:trPr>
          <w:trHeight w:val="386"/>
        </w:trPr>
        <w:tc>
          <w:tcPr>
            <w:tcW w:w="3368" w:type="dxa"/>
          </w:tcPr>
          <w:p w14:paraId="2766C10C" w14:textId="6DF9C962" w:rsidR="007C1946" w:rsidRDefault="007C1946" w:rsidP="007C1946">
            <w:pPr>
              <w:pStyle w:val="BodyText"/>
              <w:spacing w:after="240" w:line="240" w:lineRule="auto"/>
              <w:jc w:val="left"/>
            </w:pPr>
            <w:r>
              <w:t xml:space="preserve">Forty Second </w:t>
            </w:r>
            <w:r w:rsidR="002A2C45">
              <w:t>Respondent:</w:t>
            </w:r>
          </w:p>
        </w:tc>
        <w:tc>
          <w:tcPr>
            <w:tcW w:w="5874" w:type="dxa"/>
            <w:tcMar>
              <w:left w:w="28" w:type="dxa"/>
            </w:tcMar>
          </w:tcPr>
          <w:p w14:paraId="2C08A8E6" w14:textId="4C3FEC6D" w:rsidR="007C1946" w:rsidRDefault="007C1946" w:rsidP="007C1946">
            <w:pPr>
              <w:pStyle w:val="BodyText"/>
              <w:spacing w:after="240" w:line="240" w:lineRule="auto"/>
              <w:jc w:val="left"/>
            </w:pPr>
            <w:r>
              <w:t>CAISER PTY LTD</w:t>
            </w:r>
          </w:p>
        </w:tc>
      </w:tr>
      <w:tr w:rsidR="007C1946" w14:paraId="26A23C34" w14:textId="77777777" w:rsidTr="005F3639">
        <w:trPr>
          <w:trHeight w:val="386"/>
        </w:trPr>
        <w:tc>
          <w:tcPr>
            <w:tcW w:w="3368" w:type="dxa"/>
          </w:tcPr>
          <w:p w14:paraId="63531203" w14:textId="471772D8" w:rsidR="007C1946" w:rsidRDefault="007C1946" w:rsidP="007C1946">
            <w:pPr>
              <w:pStyle w:val="BodyText"/>
              <w:spacing w:after="240" w:line="240" w:lineRule="auto"/>
              <w:jc w:val="left"/>
            </w:pPr>
            <w:r>
              <w:t xml:space="preserve">Forty Third </w:t>
            </w:r>
            <w:r w:rsidR="002A2C45">
              <w:t>Respondent:</w:t>
            </w:r>
          </w:p>
        </w:tc>
        <w:tc>
          <w:tcPr>
            <w:tcW w:w="5874" w:type="dxa"/>
            <w:tcMar>
              <w:left w:w="28" w:type="dxa"/>
            </w:tcMar>
          </w:tcPr>
          <w:p w14:paraId="04E6D5BC" w14:textId="5FFE5B01" w:rsidR="007C1946" w:rsidRDefault="007C1946" w:rsidP="007C1946">
            <w:pPr>
              <w:pStyle w:val="BodyText"/>
              <w:spacing w:after="240" w:line="240" w:lineRule="auto"/>
              <w:jc w:val="left"/>
            </w:pPr>
            <w:r>
              <w:t>CAPALOY PTY LTD</w:t>
            </w:r>
          </w:p>
        </w:tc>
      </w:tr>
      <w:tr w:rsidR="007C1946" w14:paraId="2B999791" w14:textId="77777777" w:rsidTr="005F3639">
        <w:trPr>
          <w:trHeight w:val="386"/>
        </w:trPr>
        <w:tc>
          <w:tcPr>
            <w:tcW w:w="3368" w:type="dxa"/>
          </w:tcPr>
          <w:p w14:paraId="1EE96A77" w14:textId="311C9A9A" w:rsidR="007C1946" w:rsidRDefault="007C1946" w:rsidP="007C1946">
            <w:pPr>
              <w:pStyle w:val="BodyText"/>
              <w:spacing w:after="240" w:line="240" w:lineRule="auto"/>
              <w:jc w:val="left"/>
            </w:pPr>
            <w:r>
              <w:t xml:space="preserve">Forty Fourth </w:t>
            </w:r>
            <w:r w:rsidR="002A2C45">
              <w:t>Respondent:</w:t>
            </w:r>
          </w:p>
        </w:tc>
        <w:tc>
          <w:tcPr>
            <w:tcW w:w="5874" w:type="dxa"/>
            <w:tcMar>
              <w:left w:w="28" w:type="dxa"/>
            </w:tcMar>
          </w:tcPr>
          <w:p w14:paraId="7BA6084E" w14:textId="5E739263" w:rsidR="007C1946" w:rsidRDefault="007C1946" w:rsidP="007C1946">
            <w:pPr>
              <w:pStyle w:val="BodyText"/>
              <w:spacing w:after="240" w:line="240" w:lineRule="auto"/>
              <w:jc w:val="left"/>
            </w:pPr>
            <w:r>
              <w:t>CARACAL INVESTMENTS PTY LTD</w:t>
            </w:r>
          </w:p>
        </w:tc>
      </w:tr>
      <w:tr w:rsidR="007C1946" w14:paraId="64104DAA" w14:textId="77777777" w:rsidTr="005F3639">
        <w:trPr>
          <w:trHeight w:val="386"/>
        </w:trPr>
        <w:tc>
          <w:tcPr>
            <w:tcW w:w="3368" w:type="dxa"/>
          </w:tcPr>
          <w:p w14:paraId="3BB47CF1" w14:textId="3E1D7980" w:rsidR="007C1946" w:rsidRDefault="007C1946" w:rsidP="007C1946">
            <w:pPr>
              <w:pStyle w:val="BodyText"/>
              <w:spacing w:after="240" w:line="240" w:lineRule="auto"/>
              <w:jc w:val="left"/>
            </w:pPr>
            <w:r>
              <w:t xml:space="preserve">Forty Fifth </w:t>
            </w:r>
            <w:r w:rsidR="00B143CB">
              <w:t>Respondent:</w:t>
            </w:r>
          </w:p>
        </w:tc>
        <w:tc>
          <w:tcPr>
            <w:tcW w:w="5874" w:type="dxa"/>
            <w:tcMar>
              <w:left w:w="28" w:type="dxa"/>
            </w:tcMar>
          </w:tcPr>
          <w:p w14:paraId="1629FE5F" w14:textId="36186EF8" w:rsidR="007C1946" w:rsidRDefault="007C1946" w:rsidP="007C1946">
            <w:pPr>
              <w:pStyle w:val="BodyText"/>
              <w:spacing w:after="240" w:line="240" w:lineRule="auto"/>
              <w:jc w:val="left"/>
            </w:pPr>
            <w:r>
              <w:t>CEDALLA PTY LTD</w:t>
            </w:r>
          </w:p>
        </w:tc>
      </w:tr>
      <w:tr w:rsidR="007C1946" w14:paraId="3ACCE19A" w14:textId="77777777" w:rsidTr="005F3639">
        <w:trPr>
          <w:trHeight w:val="386"/>
        </w:trPr>
        <w:tc>
          <w:tcPr>
            <w:tcW w:w="3368" w:type="dxa"/>
          </w:tcPr>
          <w:p w14:paraId="353452AA" w14:textId="05EFBE13" w:rsidR="007C1946" w:rsidRDefault="007C1946" w:rsidP="007C1946">
            <w:pPr>
              <w:pStyle w:val="BodyText"/>
              <w:spacing w:after="240" w:line="240" w:lineRule="auto"/>
              <w:jc w:val="left"/>
            </w:pPr>
            <w:r>
              <w:t xml:space="preserve">Forty Sixth </w:t>
            </w:r>
            <w:r w:rsidR="00B143CB">
              <w:t>Respondent:</w:t>
            </w:r>
          </w:p>
        </w:tc>
        <w:tc>
          <w:tcPr>
            <w:tcW w:w="5874" w:type="dxa"/>
            <w:tcMar>
              <w:left w:w="28" w:type="dxa"/>
            </w:tcMar>
          </w:tcPr>
          <w:p w14:paraId="33540EE9" w14:textId="189EEFD9" w:rsidR="007C1946" w:rsidRDefault="007C1946" w:rsidP="007C1946">
            <w:pPr>
              <w:pStyle w:val="BodyText"/>
              <w:spacing w:after="240" w:line="240" w:lineRule="auto"/>
              <w:jc w:val="left"/>
            </w:pPr>
            <w:r>
              <w:t>CELLET PTY LTD</w:t>
            </w:r>
          </w:p>
        </w:tc>
      </w:tr>
      <w:tr w:rsidR="007C1946" w14:paraId="58FB8945" w14:textId="77777777" w:rsidTr="005F3639">
        <w:trPr>
          <w:trHeight w:val="386"/>
        </w:trPr>
        <w:tc>
          <w:tcPr>
            <w:tcW w:w="3368" w:type="dxa"/>
          </w:tcPr>
          <w:p w14:paraId="17B01DEB" w14:textId="28143009" w:rsidR="007C1946" w:rsidRDefault="007C1946" w:rsidP="007C1946">
            <w:pPr>
              <w:pStyle w:val="BodyText"/>
              <w:spacing w:after="240" w:line="240" w:lineRule="auto"/>
              <w:jc w:val="left"/>
            </w:pPr>
            <w:r>
              <w:t xml:space="preserve">Forty Seventh </w:t>
            </w:r>
            <w:r w:rsidR="00B143CB">
              <w:t>Respondent:</w:t>
            </w:r>
          </w:p>
        </w:tc>
        <w:tc>
          <w:tcPr>
            <w:tcW w:w="5874" w:type="dxa"/>
            <w:tcMar>
              <w:left w:w="28" w:type="dxa"/>
            </w:tcMar>
          </w:tcPr>
          <w:p w14:paraId="5A786D07" w14:textId="30C38463" w:rsidR="007C1946" w:rsidRDefault="007C1946" w:rsidP="007C1946">
            <w:pPr>
              <w:pStyle w:val="BodyText"/>
              <w:spacing w:after="240" w:line="240" w:lineRule="auto"/>
              <w:jc w:val="left"/>
            </w:pPr>
            <w:r>
              <w:t>CENTHEAD PTY LTD</w:t>
            </w:r>
          </w:p>
        </w:tc>
      </w:tr>
      <w:tr w:rsidR="007C1946" w14:paraId="59F6084B" w14:textId="77777777" w:rsidTr="005F3639">
        <w:trPr>
          <w:trHeight w:val="386"/>
        </w:trPr>
        <w:tc>
          <w:tcPr>
            <w:tcW w:w="3368" w:type="dxa"/>
          </w:tcPr>
          <w:p w14:paraId="3B135A62" w14:textId="35A2EE0F" w:rsidR="007C1946" w:rsidRDefault="007C1946" w:rsidP="007C1946">
            <w:pPr>
              <w:pStyle w:val="BodyText"/>
              <w:spacing w:after="240" w:line="240" w:lineRule="auto"/>
              <w:jc w:val="left"/>
            </w:pPr>
            <w:r>
              <w:t xml:space="preserve">Forty Eighth </w:t>
            </w:r>
            <w:r w:rsidR="00B143CB">
              <w:t>Respondent:</w:t>
            </w:r>
          </w:p>
        </w:tc>
        <w:tc>
          <w:tcPr>
            <w:tcW w:w="5874" w:type="dxa"/>
            <w:tcMar>
              <w:left w:w="28" w:type="dxa"/>
            </w:tcMar>
          </w:tcPr>
          <w:p w14:paraId="707F2D34" w14:textId="46992648" w:rsidR="007C1946" w:rsidRDefault="007C1946" w:rsidP="007C1946">
            <w:pPr>
              <w:pStyle w:val="BodyText"/>
              <w:spacing w:after="240" w:line="240" w:lineRule="auto"/>
              <w:jc w:val="left"/>
            </w:pPr>
            <w:r>
              <w:t>CERTIFY PTY LTD</w:t>
            </w:r>
          </w:p>
        </w:tc>
      </w:tr>
      <w:tr w:rsidR="007C1946" w14:paraId="4C8CF0E7" w14:textId="77777777" w:rsidTr="005F3639">
        <w:trPr>
          <w:trHeight w:val="386"/>
        </w:trPr>
        <w:tc>
          <w:tcPr>
            <w:tcW w:w="3368" w:type="dxa"/>
          </w:tcPr>
          <w:p w14:paraId="1CDA08F0" w14:textId="23353ADB" w:rsidR="007C1946" w:rsidRDefault="007C1946" w:rsidP="007C1946">
            <w:pPr>
              <w:pStyle w:val="BodyText"/>
              <w:spacing w:after="240" w:line="240" w:lineRule="auto"/>
              <w:jc w:val="left"/>
            </w:pPr>
            <w:r>
              <w:t xml:space="preserve">Forty Ninth </w:t>
            </w:r>
            <w:r w:rsidR="00B143CB">
              <w:t>Respondent:</w:t>
            </w:r>
          </w:p>
        </w:tc>
        <w:tc>
          <w:tcPr>
            <w:tcW w:w="5874" w:type="dxa"/>
            <w:tcMar>
              <w:left w:w="28" w:type="dxa"/>
            </w:tcMar>
          </w:tcPr>
          <w:p w14:paraId="73959548" w14:textId="403DBFE3" w:rsidR="007C1946" w:rsidRDefault="007C1946" w:rsidP="007C1946">
            <w:pPr>
              <w:pStyle w:val="BodyText"/>
              <w:spacing w:after="240" w:line="240" w:lineRule="auto"/>
              <w:jc w:val="left"/>
            </w:pPr>
            <w:r>
              <w:t>CHASMIC PTY LTD</w:t>
            </w:r>
          </w:p>
        </w:tc>
      </w:tr>
      <w:tr w:rsidR="00931076" w14:paraId="525051AF" w14:textId="77777777" w:rsidTr="005F3639">
        <w:trPr>
          <w:trHeight w:val="386"/>
        </w:trPr>
        <w:tc>
          <w:tcPr>
            <w:tcW w:w="3368" w:type="dxa"/>
          </w:tcPr>
          <w:p w14:paraId="773C2A31" w14:textId="2A826DC6" w:rsidR="00931076" w:rsidRDefault="00931076" w:rsidP="007C1946">
            <w:pPr>
              <w:pStyle w:val="BodyText"/>
              <w:spacing w:after="240" w:line="240" w:lineRule="auto"/>
              <w:jc w:val="left"/>
            </w:pPr>
            <w:r>
              <w:t>Fiftieth Respondent:</w:t>
            </w:r>
          </w:p>
        </w:tc>
        <w:tc>
          <w:tcPr>
            <w:tcW w:w="5874" w:type="dxa"/>
            <w:tcMar>
              <w:left w:w="28" w:type="dxa"/>
            </w:tcMar>
          </w:tcPr>
          <w:p w14:paraId="5A2B8313" w14:textId="0DB43F75" w:rsidR="00931076" w:rsidRDefault="00931076" w:rsidP="007C1946">
            <w:pPr>
              <w:pStyle w:val="BodyText"/>
              <w:spacing w:after="240" w:line="240" w:lineRule="auto"/>
              <w:jc w:val="left"/>
            </w:pPr>
            <w:r>
              <w:t>CHIAPELLO HOLDINGS PTY LTD</w:t>
            </w:r>
          </w:p>
        </w:tc>
      </w:tr>
      <w:tr w:rsidR="007C1946" w14:paraId="35C07C4A" w14:textId="77777777" w:rsidTr="005F3639">
        <w:trPr>
          <w:trHeight w:val="386"/>
        </w:trPr>
        <w:tc>
          <w:tcPr>
            <w:tcW w:w="3368" w:type="dxa"/>
          </w:tcPr>
          <w:p w14:paraId="016197A0" w14:textId="2F419AD0" w:rsidR="007C1946" w:rsidRDefault="007C1946" w:rsidP="007C1946">
            <w:pPr>
              <w:pStyle w:val="BodyText"/>
              <w:spacing w:after="240" w:line="240" w:lineRule="auto"/>
              <w:jc w:val="left"/>
            </w:pPr>
            <w:r>
              <w:t xml:space="preserve">Fifty First </w:t>
            </w:r>
            <w:r w:rsidR="00931076">
              <w:t>Respondent:</w:t>
            </w:r>
          </w:p>
        </w:tc>
        <w:tc>
          <w:tcPr>
            <w:tcW w:w="5874" w:type="dxa"/>
            <w:tcMar>
              <w:left w:w="28" w:type="dxa"/>
            </w:tcMar>
          </w:tcPr>
          <w:p w14:paraId="180292A5" w14:textId="538B6DF7" w:rsidR="007C1946" w:rsidRDefault="007C1946" w:rsidP="007C1946">
            <w:pPr>
              <w:pStyle w:val="BodyText"/>
              <w:spacing w:after="240" w:line="240" w:lineRule="auto"/>
              <w:jc w:val="left"/>
            </w:pPr>
            <w:r>
              <w:t>CIRCLES OF GOLD PTY LTD</w:t>
            </w:r>
          </w:p>
        </w:tc>
      </w:tr>
      <w:tr w:rsidR="007C1946" w14:paraId="00333F80" w14:textId="77777777" w:rsidTr="005F3639">
        <w:trPr>
          <w:trHeight w:val="386"/>
        </w:trPr>
        <w:tc>
          <w:tcPr>
            <w:tcW w:w="3368" w:type="dxa"/>
          </w:tcPr>
          <w:p w14:paraId="6B055F39" w14:textId="222F7B85" w:rsidR="007C1946" w:rsidRDefault="007C1946" w:rsidP="007C1946">
            <w:pPr>
              <w:pStyle w:val="BodyText"/>
              <w:spacing w:after="240" w:line="240" w:lineRule="auto"/>
              <w:jc w:val="left"/>
            </w:pPr>
            <w:r>
              <w:t xml:space="preserve">Fifty Second </w:t>
            </w:r>
            <w:r w:rsidR="00931076">
              <w:t>Respondent:</w:t>
            </w:r>
          </w:p>
        </w:tc>
        <w:tc>
          <w:tcPr>
            <w:tcW w:w="5874" w:type="dxa"/>
            <w:tcMar>
              <w:left w:w="28" w:type="dxa"/>
            </w:tcMar>
          </w:tcPr>
          <w:p w14:paraId="4822F58F" w14:textId="31708B09" w:rsidR="007C1946" w:rsidRDefault="007C1946" w:rsidP="007C1946">
            <w:pPr>
              <w:pStyle w:val="BodyText"/>
              <w:spacing w:after="240" w:line="240" w:lineRule="auto"/>
              <w:jc w:val="left"/>
            </w:pPr>
            <w:r>
              <w:t>CISKE GROUP PTY LTD</w:t>
            </w:r>
          </w:p>
        </w:tc>
      </w:tr>
      <w:tr w:rsidR="007C1946" w14:paraId="0DA5405D" w14:textId="77777777" w:rsidTr="005F3639">
        <w:trPr>
          <w:trHeight w:val="386"/>
        </w:trPr>
        <w:tc>
          <w:tcPr>
            <w:tcW w:w="3368" w:type="dxa"/>
          </w:tcPr>
          <w:p w14:paraId="1CDDB2A0" w14:textId="7977FC9A" w:rsidR="007C1946" w:rsidRDefault="007C1946" w:rsidP="007C1946">
            <w:pPr>
              <w:pStyle w:val="BodyText"/>
              <w:spacing w:after="240" w:line="240" w:lineRule="auto"/>
              <w:jc w:val="left"/>
            </w:pPr>
            <w:r>
              <w:t xml:space="preserve">Fifty Third </w:t>
            </w:r>
            <w:r w:rsidR="00931076">
              <w:t>Respondent:</w:t>
            </w:r>
          </w:p>
        </w:tc>
        <w:tc>
          <w:tcPr>
            <w:tcW w:w="5874" w:type="dxa"/>
            <w:tcMar>
              <w:left w:w="28" w:type="dxa"/>
            </w:tcMar>
          </w:tcPr>
          <w:p w14:paraId="001A57C1" w14:textId="5DA7F061" w:rsidR="007C1946" w:rsidRDefault="007C1946" w:rsidP="007C1946">
            <w:pPr>
              <w:pStyle w:val="BodyText"/>
              <w:spacing w:after="240" w:line="240" w:lineRule="auto"/>
              <w:jc w:val="left"/>
            </w:pPr>
            <w:r>
              <w:t>CLEMANDOT PTY LTD</w:t>
            </w:r>
          </w:p>
        </w:tc>
      </w:tr>
      <w:tr w:rsidR="00931076" w14:paraId="6D70D0B7" w14:textId="77777777" w:rsidTr="005F3639">
        <w:trPr>
          <w:trHeight w:val="386"/>
        </w:trPr>
        <w:tc>
          <w:tcPr>
            <w:tcW w:w="3368" w:type="dxa"/>
          </w:tcPr>
          <w:p w14:paraId="209EC05B" w14:textId="222F849A" w:rsidR="00931076" w:rsidRDefault="00931076" w:rsidP="007C1946">
            <w:pPr>
              <w:pStyle w:val="BodyText"/>
              <w:spacing w:after="240" w:line="240" w:lineRule="auto"/>
              <w:jc w:val="left"/>
            </w:pPr>
            <w:r>
              <w:t xml:space="preserve">Fifty </w:t>
            </w:r>
            <w:r w:rsidR="00B206BE">
              <w:t>Fourth Respondent:</w:t>
            </w:r>
          </w:p>
        </w:tc>
        <w:tc>
          <w:tcPr>
            <w:tcW w:w="5874" w:type="dxa"/>
            <w:tcMar>
              <w:left w:w="28" w:type="dxa"/>
            </w:tcMar>
          </w:tcPr>
          <w:p w14:paraId="05461A6F" w14:textId="3ED47C30" w:rsidR="00931076" w:rsidRDefault="00B206BE" w:rsidP="007C1946">
            <w:pPr>
              <w:pStyle w:val="BodyText"/>
              <w:spacing w:after="240" w:line="240" w:lineRule="auto"/>
              <w:jc w:val="left"/>
            </w:pPr>
            <w:r>
              <w:t>COLEDON PTY LTD</w:t>
            </w:r>
          </w:p>
        </w:tc>
      </w:tr>
      <w:tr w:rsidR="007C1946" w14:paraId="1F35493C" w14:textId="77777777" w:rsidTr="005F3639">
        <w:trPr>
          <w:trHeight w:val="386"/>
        </w:trPr>
        <w:tc>
          <w:tcPr>
            <w:tcW w:w="3368" w:type="dxa"/>
          </w:tcPr>
          <w:p w14:paraId="1F280172" w14:textId="4A892200" w:rsidR="007C1946" w:rsidRDefault="007C1946" w:rsidP="007C1946">
            <w:pPr>
              <w:pStyle w:val="BodyText"/>
              <w:spacing w:after="240" w:line="240" w:lineRule="auto"/>
              <w:jc w:val="left"/>
            </w:pPr>
            <w:r>
              <w:t xml:space="preserve">Fifty Sixth </w:t>
            </w:r>
            <w:r w:rsidR="00931076">
              <w:t>Respondent:</w:t>
            </w:r>
          </w:p>
        </w:tc>
        <w:tc>
          <w:tcPr>
            <w:tcW w:w="5874" w:type="dxa"/>
            <w:tcMar>
              <w:left w:w="28" w:type="dxa"/>
            </w:tcMar>
          </w:tcPr>
          <w:p w14:paraId="5CCC285C" w14:textId="7B866FBE" w:rsidR="007C1946" w:rsidRDefault="007C1946" w:rsidP="007C1946">
            <w:pPr>
              <w:pStyle w:val="BodyText"/>
              <w:spacing w:after="240" w:line="240" w:lineRule="auto"/>
              <w:jc w:val="left"/>
            </w:pPr>
            <w:r>
              <w:t>CORCORAN FOODS PTY LTD</w:t>
            </w:r>
          </w:p>
        </w:tc>
      </w:tr>
      <w:tr w:rsidR="007C1946" w14:paraId="64EB0208" w14:textId="77777777" w:rsidTr="005F3639">
        <w:trPr>
          <w:trHeight w:val="386"/>
        </w:trPr>
        <w:tc>
          <w:tcPr>
            <w:tcW w:w="3368" w:type="dxa"/>
          </w:tcPr>
          <w:p w14:paraId="57ACC0AF" w14:textId="40D503B1" w:rsidR="007C1946" w:rsidRDefault="007C1946" w:rsidP="007C1946">
            <w:pPr>
              <w:pStyle w:val="BodyText"/>
              <w:spacing w:after="240" w:line="240" w:lineRule="auto"/>
              <w:jc w:val="left"/>
            </w:pPr>
            <w:r>
              <w:t xml:space="preserve">Fifty Seventh </w:t>
            </w:r>
            <w:r w:rsidR="0043542E">
              <w:t>Respondent:</w:t>
            </w:r>
          </w:p>
        </w:tc>
        <w:tc>
          <w:tcPr>
            <w:tcW w:w="5874" w:type="dxa"/>
            <w:tcMar>
              <w:left w:w="28" w:type="dxa"/>
            </w:tcMar>
          </w:tcPr>
          <w:p w14:paraId="1968CF72" w14:textId="43F591ED" w:rsidR="007C1946" w:rsidRDefault="007C1946" w:rsidP="007C1946">
            <w:pPr>
              <w:pStyle w:val="BodyText"/>
              <w:spacing w:after="240" w:line="240" w:lineRule="auto"/>
              <w:jc w:val="left"/>
            </w:pPr>
            <w:r>
              <w:t>COYNE ENTERPRISES PTY LTD</w:t>
            </w:r>
          </w:p>
        </w:tc>
      </w:tr>
      <w:tr w:rsidR="007C1946" w14:paraId="25F796CE" w14:textId="77777777" w:rsidTr="005F3639">
        <w:trPr>
          <w:trHeight w:val="386"/>
        </w:trPr>
        <w:tc>
          <w:tcPr>
            <w:tcW w:w="3368" w:type="dxa"/>
          </w:tcPr>
          <w:p w14:paraId="259C056A" w14:textId="37BD55C3" w:rsidR="007C1946" w:rsidRDefault="007C1946" w:rsidP="007C1946">
            <w:pPr>
              <w:pStyle w:val="BodyText"/>
              <w:spacing w:after="240" w:line="240" w:lineRule="auto"/>
              <w:jc w:val="left"/>
            </w:pPr>
            <w:r>
              <w:t xml:space="preserve">Fifty Eighth </w:t>
            </w:r>
            <w:r w:rsidR="0043542E">
              <w:t>Respondent:</w:t>
            </w:r>
          </w:p>
        </w:tc>
        <w:tc>
          <w:tcPr>
            <w:tcW w:w="5874" w:type="dxa"/>
            <w:tcMar>
              <w:left w:w="28" w:type="dxa"/>
            </w:tcMar>
          </w:tcPr>
          <w:p w14:paraId="6D886E2D" w14:textId="78A3F1BA" w:rsidR="007C1946" w:rsidRDefault="007C1946" w:rsidP="007C1946">
            <w:pPr>
              <w:pStyle w:val="BodyText"/>
              <w:spacing w:after="240" w:line="240" w:lineRule="auto"/>
              <w:jc w:val="left"/>
            </w:pPr>
            <w:r>
              <w:t>CRAAMA PTY LTD</w:t>
            </w:r>
          </w:p>
        </w:tc>
      </w:tr>
      <w:tr w:rsidR="007C1946" w14:paraId="55A02603" w14:textId="77777777" w:rsidTr="005F3639">
        <w:trPr>
          <w:trHeight w:val="386"/>
        </w:trPr>
        <w:tc>
          <w:tcPr>
            <w:tcW w:w="3368" w:type="dxa"/>
          </w:tcPr>
          <w:p w14:paraId="37CA744B" w14:textId="5FB8BC09" w:rsidR="007C1946" w:rsidRDefault="007C1946" w:rsidP="007C1946">
            <w:pPr>
              <w:pStyle w:val="BodyText"/>
              <w:spacing w:after="240" w:line="240" w:lineRule="auto"/>
              <w:jc w:val="left"/>
            </w:pPr>
            <w:r>
              <w:t xml:space="preserve">Fifty Ninth </w:t>
            </w:r>
            <w:r w:rsidR="00D54118">
              <w:t>Respondent:</w:t>
            </w:r>
          </w:p>
        </w:tc>
        <w:tc>
          <w:tcPr>
            <w:tcW w:w="5874" w:type="dxa"/>
            <w:tcMar>
              <w:left w:w="28" w:type="dxa"/>
            </w:tcMar>
          </w:tcPr>
          <w:p w14:paraId="6CDC2C66" w14:textId="395DEB08" w:rsidR="007C1946" w:rsidRDefault="007C1946" w:rsidP="007C1946">
            <w:pPr>
              <w:pStyle w:val="BodyText"/>
              <w:spacing w:after="240" w:line="240" w:lineRule="auto"/>
              <w:jc w:val="left"/>
            </w:pPr>
            <w:r>
              <w:t>CRANBOURNE NORTH ENTERPRISES PTY LTD</w:t>
            </w:r>
          </w:p>
        </w:tc>
      </w:tr>
      <w:tr w:rsidR="007C1946" w14:paraId="4757BBEF" w14:textId="77777777" w:rsidTr="005F3639">
        <w:trPr>
          <w:trHeight w:val="386"/>
        </w:trPr>
        <w:tc>
          <w:tcPr>
            <w:tcW w:w="3368" w:type="dxa"/>
          </w:tcPr>
          <w:p w14:paraId="25B011A4" w14:textId="5CBC8E9D" w:rsidR="007C1946" w:rsidRDefault="007C1946" w:rsidP="007C1946">
            <w:pPr>
              <w:pStyle w:val="BodyText"/>
              <w:spacing w:after="240" w:line="240" w:lineRule="auto"/>
              <w:jc w:val="left"/>
            </w:pPr>
            <w:r>
              <w:t xml:space="preserve">Sixtieth </w:t>
            </w:r>
            <w:r w:rsidR="00D54118">
              <w:t>Respondent:</w:t>
            </w:r>
          </w:p>
        </w:tc>
        <w:tc>
          <w:tcPr>
            <w:tcW w:w="5874" w:type="dxa"/>
            <w:tcMar>
              <w:left w:w="28" w:type="dxa"/>
            </w:tcMar>
          </w:tcPr>
          <w:p w14:paraId="6EA19180" w14:textId="01B36F70" w:rsidR="007C1946" w:rsidRDefault="007C1946" w:rsidP="007C1946">
            <w:pPr>
              <w:pStyle w:val="BodyText"/>
              <w:spacing w:after="240" w:line="240" w:lineRule="auto"/>
              <w:jc w:val="left"/>
            </w:pPr>
            <w:r>
              <w:t>CRILLION PTY LTD</w:t>
            </w:r>
          </w:p>
        </w:tc>
      </w:tr>
      <w:tr w:rsidR="007C1946" w14:paraId="6686D41A" w14:textId="77777777" w:rsidTr="005F3639">
        <w:trPr>
          <w:trHeight w:val="386"/>
        </w:trPr>
        <w:tc>
          <w:tcPr>
            <w:tcW w:w="3368" w:type="dxa"/>
          </w:tcPr>
          <w:p w14:paraId="14A4A8B0" w14:textId="55475862" w:rsidR="007C1946" w:rsidRDefault="007C1946" w:rsidP="007C1946">
            <w:pPr>
              <w:pStyle w:val="BodyText"/>
              <w:spacing w:after="240" w:line="240" w:lineRule="auto"/>
              <w:jc w:val="left"/>
            </w:pPr>
            <w:r>
              <w:t xml:space="preserve">Sixty First </w:t>
            </w:r>
            <w:r w:rsidR="00D54118">
              <w:t>Respondent:</w:t>
            </w:r>
          </w:p>
        </w:tc>
        <w:tc>
          <w:tcPr>
            <w:tcW w:w="5874" w:type="dxa"/>
            <w:tcMar>
              <w:left w:w="28" w:type="dxa"/>
            </w:tcMar>
          </w:tcPr>
          <w:p w14:paraId="0BE836B1" w14:textId="28009E7B" w:rsidR="007C1946" w:rsidRDefault="007C1946" w:rsidP="007C1946">
            <w:pPr>
              <w:pStyle w:val="BodyText"/>
              <w:spacing w:after="240" w:line="240" w:lineRule="auto"/>
              <w:jc w:val="left"/>
            </w:pPr>
            <w:r>
              <w:t>DADAK PTY LTD</w:t>
            </w:r>
          </w:p>
        </w:tc>
      </w:tr>
      <w:tr w:rsidR="007C1946" w14:paraId="44163080" w14:textId="77777777" w:rsidTr="005F3639">
        <w:trPr>
          <w:trHeight w:val="386"/>
        </w:trPr>
        <w:tc>
          <w:tcPr>
            <w:tcW w:w="3368" w:type="dxa"/>
          </w:tcPr>
          <w:p w14:paraId="23570DD2" w14:textId="523D0B8F" w:rsidR="007C1946" w:rsidRDefault="007C1946" w:rsidP="007C1946">
            <w:pPr>
              <w:pStyle w:val="BodyText"/>
              <w:spacing w:after="240" w:line="240" w:lineRule="auto"/>
              <w:jc w:val="left"/>
            </w:pPr>
            <w:r>
              <w:t xml:space="preserve">Sixty Second </w:t>
            </w:r>
            <w:r w:rsidR="00D54118">
              <w:t>Respondent:</w:t>
            </w:r>
          </w:p>
        </w:tc>
        <w:tc>
          <w:tcPr>
            <w:tcW w:w="5874" w:type="dxa"/>
            <w:tcMar>
              <w:left w:w="28" w:type="dxa"/>
            </w:tcMar>
          </w:tcPr>
          <w:p w14:paraId="5DBA031C" w14:textId="5ACEB58C" w:rsidR="007C1946" w:rsidRDefault="007C1946" w:rsidP="007C1946">
            <w:pPr>
              <w:pStyle w:val="BodyText"/>
              <w:spacing w:after="240" w:line="240" w:lineRule="auto"/>
              <w:jc w:val="left"/>
            </w:pPr>
            <w:r>
              <w:t>DASTIM PTY LTD</w:t>
            </w:r>
          </w:p>
        </w:tc>
      </w:tr>
      <w:tr w:rsidR="007C1946" w14:paraId="081A4F8E" w14:textId="77777777" w:rsidTr="005F3639">
        <w:trPr>
          <w:trHeight w:val="386"/>
        </w:trPr>
        <w:tc>
          <w:tcPr>
            <w:tcW w:w="3368" w:type="dxa"/>
          </w:tcPr>
          <w:p w14:paraId="1E819DF2" w14:textId="67FB851C" w:rsidR="007C1946" w:rsidRDefault="007C1946" w:rsidP="007C1946">
            <w:pPr>
              <w:pStyle w:val="BodyText"/>
              <w:spacing w:after="240" w:line="240" w:lineRule="auto"/>
              <w:jc w:val="left"/>
            </w:pPr>
            <w:r>
              <w:t xml:space="preserve">Sixty Third </w:t>
            </w:r>
            <w:r w:rsidR="00D54118">
              <w:t>Respondent:</w:t>
            </w:r>
          </w:p>
        </w:tc>
        <w:tc>
          <w:tcPr>
            <w:tcW w:w="5874" w:type="dxa"/>
            <w:tcMar>
              <w:left w:w="28" w:type="dxa"/>
            </w:tcMar>
          </w:tcPr>
          <w:p w14:paraId="6D94FF7D" w14:textId="3D425ADD" w:rsidR="007C1946" w:rsidRDefault="007C1946" w:rsidP="007C1946">
            <w:pPr>
              <w:pStyle w:val="BodyText"/>
              <w:spacing w:after="240" w:line="240" w:lineRule="auto"/>
              <w:jc w:val="left"/>
            </w:pPr>
            <w:r>
              <w:t>DDSN PTY LTD</w:t>
            </w:r>
          </w:p>
        </w:tc>
      </w:tr>
      <w:tr w:rsidR="007C1946" w14:paraId="2EE8CCCA" w14:textId="77777777" w:rsidTr="005F3639">
        <w:trPr>
          <w:trHeight w:val="386"/>
        </w:trPr>
        <w:tc>
          <w:tcPr>
            <w:tcW w:w="3368" w:type="dxa"/>
          </w:tcPr>
          <w:p w14:paraId="787AD2AD" w14:textId="0B50CFA2" w:rsidR="007C1946" w:rsidRDefault="007C1946" w:rsidP="007C1946">
            <w:pPr>
              <w:pStyle w:val="BodyText"/>
              <w:spacing w:after="240" w:line="240" w:lineRule="auto"/>
              <w:jc w:val="left"/>
            </w:pPr>
            <w:r>
              <w:t xml:space="preserve">Sixty Fourth </w:t>
            </w:r>
            <w:r w:rsidR="00D54118">
              <w:t>Respondent:</w:t>
            </w:r>
          </w:p>
        </w:tc>
        <w:tc>
          <w:tcPr>
            <w:tcW w:w="5874" w:type="dxa"/>
            <w:tcMar>
              <w:left w:w="28" w:type="dxa"/>
            </w:tcMar>
          </w:tcPr>
          <w:p w14:paraId="1AF11CC1" w14:textId="45FA7FAF" w:rsidR="007C1946" w:rsidRDefault="007C1946" w:rsidP="007C1946">
            <w:pPr>
              <w:pStyle w:val="BodyText"/>
              <w:spacing w:after="240" w:line="240" w:lineRule="auto"/>
              <w:jc w:val="left"/>
            </w:pPr>
            <w:r>
              <w:t>DECORUS VITA PTY LTD</w:t>
            </w:r>
          </w:p>
        </w:tc>
      </w:tr>
      <w:tr w:rsidR="007C1946" w14:paraId="355748A3" w14:textId="77777777" w:rsidTr="005F3639">
        <w:trPr>
          <w:trHeight w:val="386"/>
        </w:trPr>
        <w:tc>
          <w:tcPr>
            <w:tcW w:w="3368" w:type="dxa"/>
          </w:tcPr>
          <w:p w14:paraId="7E69824C" w14:textId="70AD63E7" w:rsidR="007C1946" w:rsidRDefault="007C1946" w:rsidP="007C1946">
            <w:pPr>
              <w:pStyle w:val="BodyText"/>
              <w:spacing w:after="240" w:line="240" w:lineRule="auto"/>
              <w:jc w:val="left"/>
            </w:pPr>
            <w:r>
              <w:t xml:space="preserve">Sixty Fifth </w:t>
            </w:r>
            <w:r w:rsidR="00D54118">
              <w:t>Respondent:</w:t>
            </w:r>
          </w:p>
        </w:tc>
        <w:tc>
          <w:tcPr>
            <w:tcW w:w="5874" w:type="dxa"/>
            <w:tcMar>
              <w:left w:w="28" w:type="dxa"/>
            </w:tcMar>
          </w:tcPr>
          <w:p w14:paraId="30B89C77" w14:textId="0A6B96E8" w:rsidR="007C1946" w:rsidRDefault="007C1946" w:rsidP="007C1946">
            <w:pPr>
              <w:pStyle w:val="BodyText"/>
              <w:spacing w:after="240" w:line="240" w:lineRule="auto"/>
              <w:jc w:val="left"/>
            </w:pPr>
            <w:r>
              <w:t>DELICIOUS DOUGH PTY LTD</w:t>
            </w:r>
          </w:p>
        </w:tc>
      </w:tr>
      <w:tr w:rsidR="007C1946" w14:paraId="7FC5E02A" w14:textId="77777777" w:rsidTr="005F3639">
        <w:trPr>
          <w:trHeight w:val="386"/>
        </w:trPr>
        <w:tc>
          <w:tcPr>
            <w:tcW w:w="3368" w:type="dxa"/>
          </w:tcPr>
          <w:p w14:paraId="3A5A9B93" w14:textId="5FB329FB" w:rsidR="007C1946" w:rsidRDefault="007C1946" w:rsidP="007C1946">
            <w:pPr>
              <w:pStyle w:val="BodyText"/>
              <w:spacing w:after="240" w:line="240" w:lineRule="auto"/>
              <w:jc w:val="left"/>
            </w:pPr>
            <w:r>
              <w:t xml:space="preserve">Sixty Sixth </w:t>
            </w:r>
            <w:r w:rsidR="00D54118">
              <w:t>Respondent:</w:t>
            </w:r>
          </w:p>
        </w:tc>
        <w:tc>
          <w:tcPr>
            <w:tcW w:w="5874" w:type="dxa"/>
            <w:tcMar>
              <w:left w:w="28" w:type="dxa"/>
            </w:tcMar>
          </w:tcPr>
          <w:p w14:paraId="410F3736" w14:textId="56FCBFD1" w:rsidR="007C1946" w:rsidRDefault="007C1946" w:rsidP="007C1946">
            <w:pPr>
              <w:pStyle w:val="BodyText"/>
              <w:spacing w:after="240" w:line="240" w:lineRule="auto"/>
              <w:jc w:val="left"/>
            </w:pPr>
            <w:r>
              <w:t>DEMI PTY LTD</w:t>
            </w:r>
          </w:p>
        </w:tc>
      </w:tr>
      <w:tr w:rsidR="007C1946" w14:paraId="5B666C6D" w14:textId="77777777" w:rsidTr="005F3639">
        <w:trPr>
          <w:trHeight w:val="386"/>
        </w:trPr>
        <w:tc>
          <w:tcPr>
            <w:tcW w:w="3368" w:type="dxa"/>
          </w:tcPr>
          <w:p w14:paraId="12D98D13" w14:textId="7D361EBB" w:rsidR="007C1946" w:rsidRDefault="007C1946" w:rsidP="007C1946">
            <w:pPr>
              <w:pStyle w:val="BodyText"/>
              <w:spacing w:after="240" w:line="240" w:lineRule="auto"/>
              <w:jc w:val="left"/>
            </w:pPr>
            <w:r>
              <w:t xml:space="preserve">Sixty Seventh </w:t>
            </w:r>
            <w:r w:rsidR="00D54118">
              <w:t>Respondent:</w:t>
            </w:r>
          </w:p>
        </w:tc>
        <w:tc>
          <w:tcPr>
            <w:tcW w:w="5874" w:type="dxa"/>
            <w:tcMar>
              <w:left w:w="28" w:type="dxa"/>
            </w:tcMar>
          </w:tcPr>
          <w:p w14:paraId="3F05C514" w14:textId="413F9DAF" w:rsidR="007C1946" w:rsidRDefault="007C1946" w:rsidP="007C1946">
            <w:pPr>
              <w:pStyle w:val="BodyText"/>
              <w:spacing w:after="240" w:line="240" w:lineRule="auto"/>
              <w:jc w:val="left"/>
            </w:pPr>
            <w:r>
              <w:t>DENRICH PTY LTD</w:t>
            </w:r>
          </w:p>
        </w:tc>
      </w:tr>
      <w:tr w:rsidR="007C1946" w14:paraId="6B7B273C" w14:textId="77777777" w:rsidTr="005F3639">
        <w:trPr>
          <w:trHeight w:val="386"/>
        </w:trPr>
        <w:tc>
          <w:tcPr>
            <w:tcW w:w="3368" w:type="dxa"/>
          </w:tcPr>
          <w:p w14:paraId="6ED41E19" w14:textId="66A1CA69" w:rsidR="007C1946" w:rsidRDefault="007C1946" w:rsidP="007C1946">
            <w:pPr>
              <w:pStyle w:val="BodyText"/>
              <w:spacing w:after="240" w:line="240" w:lineRule="auto"/>
              <w:jc w:val="left"/>
            </w:pPr>
            <w:r>
              <w:t xml:space="preserve">Sixty Eighth </w:t>
            </w:r>
            <w:r w:rsidR="007A1D25">
              <w:t>Respondent:</w:t>
            </w:r>
          </w:p>
        </w:tc>
        <w:tc>
          <w:tcPr>
            <w:tcW w:w="5874" w:type="dxa"/>
            <w:tcMar>
              <w:left w:w="28" w:type="dxa"/>
            </w:tcMar>
          </w:tcPr>
          <w:p w14:paraId="5A9399AB" w14:textId="1C26EEC0" w:rsidR="007C1946" w:rsidRDefault="007C1946" w:rsidP="007C1946">
            <w:pPr>
              <w:pStyle w:val="BodyText"/>
              <w:spacing w:after="240" w:line="240" w:lineRule="auto"/>
              <w:jc w:val="left"/>
            </w:pPr>
            <w:r>
              <w:t>DIRECTWEST PTY LTD</w:t>
            </w:r>
          </w:p>
        </w:tc>
      </w:tr>
      <w:tr w:rsidR="007C1946" w14:paraId="1CEA89DB" w14:textId="77777777" w:rsidTr="005F3639">
        <w:trPr>
          <w:trHeight w:val="386"/>
        </w:trPr>
        <w:tc>
          <w:tcPr>
            <w:tcW w:w="3368" w:type="dxa"/>
          </w:tcPr>
          <w:p w14:paraId="74C52EBA" w14:textId="7071C97E" w:rsidR="007C1946" w:rsidRDefault="007C1946" w:rsidP="007C1946">
            <w:pPr>
              <w:pStyle w:val="BodyText"/>
              <w:spacing w:after="240" w:line="240" w:lineRule="auto"/>
              <w:jc w:val="left"/>
            </w:pPr>
            <w:r>
              <w:t xml:space="preserve">Sixty Ninth </w:t>
            </w:r>
            <w:r w:rsidR="007A1D25">
              <w:t>Respondent:</w:t>
            </w:r>
          </w:p>
        </w:tc>
        <w:tc>
          <w:tcPr>
            <w:tcW w:w="5874" w:type="dxa"/>
            <w:tcMar>
              <w:left w:w="28" w:type="dxa"/>
            </w:tcMar>
          </w:tcPr>
          <w:p w14:paraId="4B9E8F41" w14:textId="508B96D3" w:rsidR="007C1946" w:rsidRDefault="007C1946" w:rsidP="007C1946">
            <w:pPr>
              <w:pStyle w:val="BodyText"/>
              <w:spacing w:after="240" w:line="240" w:lineRule="auto"/>
              <w:jc w:val="left"/>
            </w:pPr>
            <w:r>
              <w:t>EASTSIDE QSR PTY LTD</w:t>
            </w:r>
          </w:p>
        </w:tc>
      </w:tr>
      <w:tr w:rsidR="007C1946" w14:paraId="160AC4E9" w14:textId="77777777" w:rsidTr="005F3639">
        <w:trPr>
          <w:trHeight w:val="386"/>
        </w:trPr>
        <w:tc>
          <w:tcPr>
            <w:tcW w:w="3368" w:type="dxa"/>
          </w:tcPr>
          <w:p w14:paraId="1A17A509" w14:textId="6F793E23" w:rsidR="007C1946" w:rsidRDefault="007C1946" w:rsidP="007C1946">
            <w:pPr>
              <w:pStyle w:val="BodyText"/>
              <w:spacing w:after="240" w:line="240" w:lineRule="auto"/>
              <w:jc w:val="left"/>
            </w:pPr>
            <w:r>
              <w:t xml:space="preserve">Seventieth </w:t>
            </w:r>
            <w:r w:rsidR="007A1D25">
              <w:t>Respondent:</w:t>
            </w:r>
          </w:p>
        </w:tc>
        <w:tc>
          <w:tcPr>
            <w:tcW w:w="5874" w:type="dxa"/>
            <w:tcMar>
              <w:left w:w="28" w:type="dxa"/>
            </w:tcMar>
          </w:tcPr>
          <w:p w14:paraId="18231C8B" w14:textId="090B2BAC" w:rsidR="007C1946" w:rsidRDefault="007C1946" w:rsidP="007C1946">
            <w:pPr>
              <w:pStyle w:val="BodyText"/>
              <w:spacing w:after="240" w:line="240" w:lineRule="auto"/>
              <w:jc w:val="left"/>
            </w:pPr>
            <w:r>
              <w:t>EBURG PTY LTD</w:t>
            </w:r>
          </w:p>
        </w:tc>
      </w:tr>
      <w:tr w:rsidR="007C1946" w14:paraId="17B17075" w14:textId="77777777" w:rsidTr="005F3639">
        <w:trPr>
          <w:trHeight w:val="386"/>
        </w:trPr>
        <w:tc>
          <w:tcPr>
            <w:tcW w:w="3368" w:type="dxa"/>
          </w:tcPr>
          <w:p w14:paraId="17F47F62" w14:textId="71389A53" w:rsidR="007C1946" w:rsidRDefault="007C1946" w:rsidP="007C1946">
            <w:pPr>
              <w:pStyle w:val="BodyText"/>
              <w:spacing w:after="240" w:line="240" w:lineRule="auto"/>
              <w:jc w:val="left"/>
            </w:pPr>
            <w:r>
              <w:t xml:space="preserve">Seventy First </w:t>
            </w:r>
            <w:r w:rsidR="007A1D25">
              <w:t>Respondent:</w:t>
            </w:r>
          </w:p>
        </w:tc>
        <w:tc>
          <w:tcPr>
            <w:tcW w:w="5874" w:type="dxa"/>
            <w:tcMar>
              <w:left w:w="28" w:type="dxa"/>
            </w:tcMar>
          </w:tcPr>
          <w:p w14:paraId="19C78E79" w14:textId="1BB190B4" w:rsidR="007C1946" w:rsidRDefault="007C1946" w:rsidP="007C1946">
            <w:pPr>
              <w:pStyle w:val="BodyText"/>
              <w:spacing w:after="240" w:line="240" w:lineRule="auto"/>
              <w:jc w:val="left"/>
            </w:pPr>
            <w:r>
              <w:t>EDEN CORPORATION PTY LTD</w:t>
            </w:r>
          </w:p>
        </w:tc>
      </w:tr>
      <w:tr w:rsidR="007C1946" w14:paraId="2F3F805C" w14:textId="77777777" w:rsidTr="005F3639">
        <w:trPr>
          <w:trHeight w:val="386"/>
        </w:trPr>
        <w:tc>
          <w:tcPr>
            <w:tcW w:w="3368" w:type="dxa"/>
          </w:tcPr>
          <w:p w14:paraId="3EB77180" w14:textId="4D914099" w:rsidR="007C1946" w:rsidRDefault="007C1946" w:rsidP="007C1946">
            <w:pPr>
              <w:pStyle w:val="BodyText"/>
              <w:spacing w:after="240" w:line="240" w:lineRule="auto"/>
              <w:jc w:val="left"/>
            </w:pPr>
            <w:r>
              <w:t xml:space="preserve">Seventy Second </w:t>
            </w:r>
            <w:r w:rsidR="007A1D25">
              <w:t>Respondent:</w:t>
            </w:r>
          </w:p>
        </w:tc>
        <w:tc>
          <w:tcPr>
            <w:tcW w:w="5874" w:type="dxa"/>
            <w:tcMar>
              <w:left w:w="28" w:type="dxa"/>
            </w:tcMar>
          </w:tcPr>
          <w:p w14:paraId="1E8A0070" w14:textId="621535BA" w:rsidR="007C1946" w:rsidRDefault="007C1946" w:rsidP="007C1946">
            <w:pPr>
              <w:pStyle w:val="BodyText"/>
              <w:spacing w:after="240" w:line="240" w:lineRule="auto"/>
              <w:jc w:val="left"/>
            </w:pPr>
            <w:r>
              <w:t>EMPAB PTY LTD</w:t>
            </w:r>
          </w:p>
        </w:tc>
      </w:tr>
      <w:tr w:rsidR="007C1946" w14:paraId="0BE4268C" w14:textId="77777777" w:rsidTr="005F3639">
        <w:trPr>
          <w:trHeight w:val="386"/>
        </w:trPr>
        <w:tc>
          <w:tcPr>
            <w:tcW w:w="3368" w:type="dxa"/>
          </w:tcPr>
          <w:p w14:paraId="1F3B62A7" w14:textId="2A562762" w:rsidR="007C1946" w:rsidRDefault="007C1946" w:rsidP="007C1946">
            <w:pPr>
              <w:pStyle w:val="BodyText"/>
              <w:spacing w:after="240" w:line="240" w:lineRule="auto"/>
              <w:jc w:val="left"/>
            </w:pPr>
            <w:r>
              <w:t xml:space="preserve">Seventy Third </w:t>
            </w:r>
            <w:r w:rsidR="007A1D25">
              <w:t>Respondent:</w:t>
            </w:r>
          </w:p>
        </w:tc>
        <w:tc>
          <w:tcPr>
            <w:tcW w:w="5874" w:type="dxa"/>
            <w:tcMar>
              <w:left w:w="28" w:type="dxa"/>
            </w:tcMar>
          </w:tcPr>
          <w:p w14:paraId="444450FF" w14:textId="19399FCF" w:rsidR="007C1946" w:rsidRDefault="007C1946" w:rsidP="007C1946">
            <w:pPr>
              <w:pStyle w:val="BodyText"/>
              <w:spacing w:after="240" w:line="240" w:lineRule="auto"/>
              <w:jc w:val="left"/>
            </w:pPr>
            <w:r>
              <w:t>EMQUEST PTY LTD</w:t>
            </w:r>
          </w:p>
        </w:tc>
      </w:tr>
      <w:tr w:rsidR="007C1946" w14:paraId="40A5140E" w14:textId="77777777" w:rsidTr="005F3639">
        <w:trPr>
          <w:trHeight w:val="386"/>
        </w:trPr>
        <w:tc>
          <w:tcPr>
            <w:tcW w:w="3368" w:type="dxa"/>
          </w:tcPr>
          <w:p w14:paraId="5CAEC95F" w14:textId="7774B7CE" w:rsidR="007C1946" w:rsidRDefault="007C1946" w:rsidP="007C1946">
            <w:pPr>
              <w:pStyle w:val="BodyText"/>
              <w:spacing w:after="240" w:line="240" w:lineRule="auto"/>
              <w:jc w:val="left"/>
            </w:pPr>
            <w:r>
              <w:t xml:space="preserve">Seventy Fourth </w:t>
            </w:r>
            <w:r w:rsidR="007A1D25">
              <w:t>Respondent:</w:t>
            </w:r>
          </w:p>
        </w:tc>
        <w:tc>
          <w:tcPr>
            <w:tcW w:w="5874" w:type="dxa"/>
            <w:tcMar>
              <w:left w:w="28" w:type="dxa"/>
            </w:tcMar>
          </w:tcPr>
          <w:p w14:paraId="387020BF" w14:textId="3660A2F5" w:rsidR="007C1946" w:rsidRDefault="007C1946" w:rsidP="007C1946">
            <w:pPr>
              <w:pStyle w:val="BodyText"/>
              <w:spacing w:after="240" w:line="240" w:lineRule="auto"/>
              <w:jc w:val="left"/>
            </w:pPr>
            <w:r>
              <w:t>EPREMA HOLDINGS PTY LTD</w:t>
            </w:r>
          </w:p>
        </w:tc>
      </w:tr>
      <w:tr w:rsidR="007C1946" w14:paraId="460A8978" w14:textId="77777777" w:rsidTr="005F3639">
        <w:trPr>
          <w:trHeight w:val="386"/>
        </w:trPr>
        <w:tc>
          <w:tcPr>
            <w:tcW w:w="3368" w:type="dxa"/>
          </w:tcPr>
          <w:p w14:paraId="5096DF28" w14:textId="48EBC90B" w:rsidR="007C1946" w:rsidRDefault="007C1946" w:rsidP="007C1946">
            <w:pPr>
              <w:pStyle w:val="BodyText"/>
              <w:spacing w:after="240" w:line="240" w:lineRule="auto"/>
              <w:jc w:val="left"/>
            </w:pPr>
            <w:r>
              <w:t xml:space="preserve">Seventy Fifth </w:t>
            </w:r>
            <w:r w:rsidR="00B62348">
              <w:t>Respondent:</w:t>
            </w:r>
          </w:p>
        </w:tc>
        <w:tc>
          <w:tcPr>
            <w:tcW w:w="5874" w:type="dxa"/>
            <w:tcMar>
              <w:left w:w="28" w:type="dxa"/>
            </w:tcMar>
          </w:tcPr>
          <w:p w14:paraId="46FBD441" w14:textId="0675F932" w:rsidR="007C1946" w:rsidRDefault="007C1946" w:rsidP="007C1946">
            <w:pPr>
              <w:pStyle w:val="BodyText"/>
              <w:spacing w:after="240" w:line="240" w:lineRule="auto"/>
              <w:jc w:val="left"/>
            </w:pPr>
            <w:r>
              <w:t>EVANS ARCHES PTY LTD</w:t>
            </w:r>
          </w:p>
        </w:tc>
      </w:tr>
      <w:tr w:rsidR="007C1946" w14:paraId="3C5C0645" w14:textId="77777777" w:rsidTr="005F3639">
        <w:trPr>
          <w:trHeight w:val="386"/>
        </w:trPr>
        <w:tc>
          <w:tcPr>
            <w:tcW w:w="3368" w:type="dxa"/>
          </w:tcPr>
          <w:p w14:paraId="3C5055ED" w14:textId="6371A4A9" w:rsidR="007C1946" w:rsidRDefault="007C1946" w:rsidP="007C1946">
            <w:pPr>
              <w:pStyle w:val="BodyText"/>
              <w:spacing w:after="240" w:line="240" w:lineRule="auto"/>
              <w:jc w:val="left"/>
            </w:pPr>
            <w:r>
              <w:t xml:space="preserve">Seventy Sixth </w:t>
            </w:r>
            <w:r w:rsidR="00B62348">
              <w:t>Respondent:</w:t>
            </w:r>
          </w:p>
        </w:tc>
        <w:tc>
          <w:tcPr>
            <w:tcW w:w="5874" w:type="dxa"/>
            <w:tcMar>
              <w:left w:w="28" w:type="dxa"/>
            </w:tcMar>
          </w:tcPr>
          <w:p w14:paraId="70FD315F" w14:textId="2F292175" w:rsidR="007C1946" w:rsidRDefault="007C1946" w:rsidP="007C1946">
            <w:pPr>
              <w:pStyle w:val="BodyText"/>
              <w:spacing w:after="240" w:line="240" w:lineRule="auto"/>
              <w:jc w:val="left"/>
            </w:pPr>
            <w:r>
              <w:t>EVENLITE PTY LTD</w:t>
            </w:r>
          </w:p>
        </w:tc>
      </w:tr>
      <w:tr w:rsidR="007C1946" w14:paraId="5D43000E" w14:textId="77777777" w:rsidTr="005F3639">
        <w:trPr>
          <w:trHeight w:val="386"/>
        </w:trPr>
        <w:tc>
          <w:tcPr>
            <w:tcW w:w="3368" w:type="dxa"/>
          </w:tcPr>
          <w:p w14:paraId="6B562918" w14:textId="7B4E712D" w:rsidR="007C1946" w:rsidRDefault="007C1946" w:rsidP="007C1946">
            <w:pPr>
              <w:pStyle w:val="BodyText"/>
              <w:spacing w:after="240" w:line="240" w:lineRule="auto"/>
              <w:jc w:val="left"/>
            </w:pPr>
            <w:r>
              <w:t xml:space="preserve">Seventy Seventh </w:t>
            </w:r>
            <w:r w:rsidR="00B62348">
              <w:t>Respondent:</w:t>
            </w:r>
          </w:p>
        </w:tc>
        <w:tc>
          <w:tcPr>
            <w:tcW w:w="5874" w:type="dxa"/>
            <w:tcMar>
              <w:left w:w="28" w:type="dxa"/>
            </w:tcMar>
          </w:tcPr>
          <w:p w14:paraId="637366FE" w14:textId="58619D0D" w:rsidR="007C1946" w:rsidRDefault="007C1946" w:rsidP="007C1946">
            <w:pPr>
              <w:pStyle w:val="BodyText"/>
              <w:spacing w:after="240" w:line="240" w:lineRule="auto"/>
              <w:jc w:val="left"/>
            </w:pPr>
            <w:r>
              <w:t>EYRIE HOLDINGS PTY LTD</w:t>
            </w:r>
          </w:p>
        </w:tc>
      </w:tr>
      <w:tr w:rsidR="007C1946" w14:paraId="799DEC00" w14:textId="77777777" w:rsidTr="005F3639">
        <w:trPr>
          <w:trHeight w:val="386"/>
        </w:trPr>
        <w:tc>
          <w:tcPr>
            <w:tcW w:w="3368" w:type="dxa"/>
          </w:tcPr>
          <w:p w14:paraId="4BE511D3" w14:textId="6A5FFC8E" w:rsidR="007C1946" w:rsidRDefault="007C1946" w:rsidP="007C1946">
            <w:pPr>
              <w:pStyle w:val="BodyText"/>
              <w:spacing w:after="240" w:line="240" w:lineRule="auto"/>
              <w:jc w:val="left"/>
            </w:pPr>
            <w:r>
              <w:t xml:space="preserve">Seventy Eighth </w:t>
            </w:r>
            <w:r w:rsidR="00B62348">
              <w:t>Respondent:</w:t>
            </w:r>
          </w:p>
        </w:tc>
        <w:tc>
          <w:tcPr>
            <w:tcW w:w="5874" w:type="dxa"/>
            <w:tcMar>
              <w:left w:w="28" w:type="dxa"/>
            </w:tcMar>
          </w:tcPr>
          <w:p w14:paraId="2DE9B3A7" w14:textId="03391D8A" w:rsidR="007C1946" w:rsidRDefault="007C1946" w:rsidP="007C1946">
            <w:pPr>
              <w:pStyle w:val="BodyText"/>
              <w:spacing w:after="240" w:line="240" w:lineRule="auto"/>
              <w:jc w:val="left"/>
            </w:pPr>
            <w:r>
              <w:t>F &amp; F LIEW PTY LTD</w:t>
            </w:r>
          </w:p>
        </w:tc>
      </w:tr>
      <w:tr w:rsidR="007C1946" w14:paraId="083F52B5" w14:textId="77777777" w:rsidTr="005F3639">
        <w:trPr>
          <w:trHeight w:val="386"/>
        </w:trPr>
        <w:tc>
          <w:tcPr>
            <w:tcW w:w="3368" w:type="dxa"/>
          </w:tcPr>
          <w:p w14:paraId="457B2627" w14:textId="6F560ECF" w:rsidR="007C1946" w:rsidRDefault="007C1946" w:rsidP="007C1946">
            <w:pPr>
              <w:pStyle w:val="BodyText"/>
              <w:spacing w:after="240" w:line="240" w:lineRule="auto"/>
              <w:jc w:val="left"/>
            </w:pPr>
            <w:r>
              <w:t xml:space="preserve">Seventy Ninth </w:t>
            </w:r>
            <w:r w:rsidR="00B62348">
              <w:t>Respondent:</w:t>
            </w:r>
          </w:p>
        </w:tc>
        <w:tc>
          <w:tcPr>
            <w:tcW w:w="5874" w:type="dxa"/>
            <w:tcMar>
              <w:left w:w="28" w:type="dxa"/>
            </w:tcMar>
          </w:tcPr>
          <w:p w14:paraId="2073743F" w14:textId="48491BCE" w:rsidR="007C1946" w:rsidRDefault="007C1946" w:rsidP="007C1946">
            <w:pPr>
              <w:pStyle w:val="BodyText"/>
              <w:spacing w:after="240" w:line="240" w:lineRule="auto"/>
              <w:jc w:val="left"/>
            </w:pPr>
            <w:r>
              <w:t>F &amp; J MADON PTY LTD</w:t>
            </w:r>
          </w:p>
        </w:tc>
      </w:tr>
      <w:tr w:rsidR="007C1946" w14:paraId="11A52E5B" w14:textId="77777777" w:rsidTr="005F3639">
        <w:trPr>
          <w:trHeight w:val="386"/>
        </w:trPr>
        <w:tc>
          <w:tcPr>
            <w:tcW w:w="3368" w:type="dxa"/>
          </w:tcPr>
          <w:p w14:paraId="4E94375C" w14:textId="64CDF20C" w:rsidR="007C1946" w:rsidRDefault="007C1946" w:rsidP="007C1946">
            <w:pPr>
              <w:pStyle w:val="BodyText"/>
              <w:spacing w:after="240" w:line="240" w:lineRule="auto"/>
              <w:jc w:val="left"/>
            </w:pPr>
            <w:r>
              <w:t xml:space="preserve">Eightieth </w:t>
            </w:r>
            <w:r w:rsidR="00B62348">
              <w:t>Respondent:</w:t>
            </w:r>
          </w:p>
        </w:tc>
        <w:tc>
          <w:tcPr>
            <w:tcW w:w="5874" w:type="dxa"/>
            <w:tcMar>
              <w:left w:w="28" w:type="dxa"/>
            </w:tcMar>
          </w:tcPr>
          <w:p w14:paraId="271CA9A7" w14:textId="7FE949BA" w:rsidR="007C1946" w:rsidRDefault="007C1946" w:rsidP="007C1946">
            <w:pPr>
              <w:pStyle w:val="BodyText"/>
              <w:spacing w:after="240" w:line="240" w:lineRule="auto"/>
              <w:jc w:val="left"/>
            </w:pPr>
            <w:r>
              <w:t>FAIRLIGHT RESTAURANTS PTY LTD</w:t>
            </w:r>
          </w:p>
        </w:tc>
      </w:tr>
      <w:tr w:rsidR="007C1946" w14:paraId="4952961C" w14:textId="77777777" w:rsidTr="005F3639">
        <w:trPr>
          <w:trHeight w:val="386"/>
        </w:trPr>
        <w:tc>
          <w:tcPr>
            <w:tcW w:w="3368" w:type="dxa"/>
          </w:tcPr>
          <w:p w14:paraId="6F58E422" w14:textId="0C1B0CE7" w:rsidR="007C1946" w:rsidRDefault="007C1946" w:rsidP="007C1946">
            <w:pPr>
              <w:pStyle w:val="BodyText"/>
              <w:spacing w:after="240" w:line="240" w:lineRule="auto"/>
              <w:jc w:val="left"/>
            </w:pPr>
            <w:r>
              <w:t xml:space="preserve">Eighty First </w:t>
            </w:r>
            <w:r w:rsidR="007059AA">
              <w:t>Respondent:</w:t>
            </w:r>
          </w:p>
        </w:tc>
        <w:tc>
          <w:tcPr>
            <w:tcW w:w="5874" w:type="dxa"/>
            <w:tcMar>
              <w:left w:w="28" w:type="dxa"/>
            </w:tcMar>
          </w:tcPr>
          <w:p w14:paraId="4034EC1B" w14:textId="6B8B530C" w:rsidR="007C1946" w:rsidRDefault="007C1946" w:rsidP="007C1946">
            <w:pPr>
              <w:pStyle w:val="BodyText"/>
              <w:spacing w:after="240" w:line="240" w:lineRule="auto"/>
              <w:jc w:val="left"/>
            </w:pPr>
            <w:r>
              <w:t>FAITH GROUP PTY LTD</w:t>
            </w:r>
          </w:p>
        </w:tc>
      </w:tr>
      <w:tr w:rsidR="007C1946" w14:paraId="1867CACD" w14:textId="77777777" w:rsidTr="005F3639">
        <w:trPr>
          <w:trHeight w:val="386"/>
        </w:trPr>
        <w:tc>
          <w:tcPr>
            <w:tcW w:w="3368" w:type="dxa"/>
          </w:tcPr>
          <w:p w14:paraId="67092B43" w14:textId="71CEE64E" w:rsidR="007C1946" w:rsidRDefault="007C1946" w:rsidP="007C1946">
            <w:pPr>
              <w:pStyle w:val="BodyText"/>
              <w:spacing w:after="240" w:line="240" w:lineRule="auto"/>
              <w:jc w:val="left"/>
            </w:pPr>
            <w:r>
              <w:t xml:space="preserve">Eighty Second </w:t>
            </w:r>
            <w:r w:rsidR="007059AA">
              <w:t>Respondent:</w:t>
            </w:r>
          </w:p>
        </w:tc>
        <w:tc>
          <w:tcPr>
            <w:tcW w:w="5874" w:type="dxa"/>
            <w:tcMar>
              <w:left w:w="28" w:type="dxa"/>
            </w:tcMar>
          </w:tcPr>
          <w:p w14:paraId="65CD84AD" w14:textId="6A8CFF8D" w:rsidR="007C1946" w:rsidRDefault="007C1946" w:rsidP="007C1946">
            <w:pPr>
              <w:pStyle w:val="BodyText"/>
              <w:spacing w:after="240" w:line="240" w:lineRule="auto"/>
              <w:jc w:val="left"/>
            </w:pPr>
            <w:r>
              <w:t>FAMILY CHIPS PTY LTD</w:t>
            </w:r>
          </w:p>
        </w:tc>
      </w:tr>
      <w:tr w:rsidR="007C1946" w14:paraId="6F39084F" w14:textId="77777777" w:rsidTr="005F3639">
        <w:trPr>
          <w:trHeight w:val="386"/>
        </w:trPr>
        <w:tc>
          <w:tcPr>
            <w:tcW w:w="3368" w:type="dxa"/>
          </w:tcPr>
          <w:p w14:paraId="03FF3AD5" w14:textId="4FDF23E2" w:rsidR="007C1946" w:rsidRDefault="007C1946" w:rsidP="007C1946">
            <w:pPr>
              <w:pStyle w:val="BodyText"/>
              <w:spacing w:after="240" w:line="240" w:lineRule="auto"/>
              <w:jc w:val="left"/>
            </w:pPr>
            <w:r>
              <w:t xml:space="preserve">Eighty Third </w:t>
            </w:r>
            <w:r w:rsidR="007059AA">
              <w:t>Respondent:</w:t>
            </w:r>
          </w:p>
        </w:tc>
        <w:tc>
          <w:tcPr>
            <w:tcW w:w="5874" w:type="dxa"/>
            <w:tcMar>
              <w:left w:w="28" w:type="dxa"/>
            </w:tcMar>
          </w:tcPr>
          <w:p w14:paraId="7180A4A3" w14:textId="06C896C7" w:rsidR="007C1946" w:rsidRDefault="007C1946" w:rsidP="007C1946">
            <w:pPr>
              <w:pStyle w:val="BodyText"/>
              <w:spacing w:after="240" w:line="240" w:lineRule="auto"/>
              <w:jc w:val="left"/>
            </w:pPr>
            <w:r>
              <w:t>FAVOTTO FAMILY RESTAURANTS PTY LTD</w:t>
            </w:r>
          </w:p>
        </w:tc>
      </w:tr>
      <w:tr w:rsidR="007C1946" w14:paraId="2D4B4F8A" w14:textId="77777777" w:rsidTr="005F3639">
        <w:trPr>
          <w:trHeight w:val="386"/>
        </w:trPr>
        <w:tc>
          <w:tcPr>
            <w:tcW w:w="3368" w:type="dxa"/>
          </w:tcPr>
          <w:p w14:paraId="50DA75EB" w14:textId="7AE3FF24" w:rsidR="007C1946" w:rsidRDefault="007C1946" w:rsidP="007C1946">
            <w:pPr>
              <w:pStyle w:val="BodyText"/>
              <w:spacing w:after="240" w:line="240" w:lineRule="auto"/>
              <w:jc w:val="left"/>
            </w:pPr>
            <w:r>
              <w:t xml:space="preserve">Eighty Fourth </w:t>
            </w:r>
            <w:r w:rsidR="007059AA">
              <w:t>Respondent:</w:t>
            </w:r>
          </w:p>
        </w:tc>
        <w:tc>
          <w:tcPr>
            <w:tcW w:w="5874" w:type="dxa"/>
            <w:tcMar>
              <w:left w:w="28" w:type="dxa"/>
            </w:tcMar>
          </w:tcPr>
          <w:p w14:paraId="67EA9462" w14:textId="0A235C8A" w:rsidR="007C1946" w:rsidRDefault="007C1946" w:rsidP="007C1946">
            <w:pPr>
              <w:pStyle w:val="BodyText"/>
              <w:spacing w:after="240" w:line="240" w:lineRule="auto"/>
              <w:jc w:val="left"/>
            </w:pPr>
            <w:r>
              <w:t>FISCHFOR4INVESTMENTS PTY LTD</w:t>
            </w:r>
          </w:p>
        </w:tc>
      </w:tr>
      <w:tr w:rsidR="007C1946" w14:paraId="553A5085" w14:textId="77777777" w:rsidTr="005F3639">
        <w:trPr>
          <w:trHeight w:val="386"/>
        </w:trPr>
        <w:tc>
          <w:tcPr>
            <w:tcW w:w="3368" w:type="dxa"/>
          </w:tcPr>
          <w:p w14:paraId="57EEF3FF" w14:textId="3CB167D6" w:rsidR="007C1946" w:rsidRDefault="007C1946" w:rsidP="007C1946">
            <w:pPr>
              <w:pStyle w:val="BodyText"/>
              <w:spacing w:after="240" w:line="240" w:lineRule="auto"/>
              <w:jc w:val="left"/>
            </w:pPr>
            <w:r>
              <w:t xml:space="preserve">Eighty Fifth </w:t>
            </w:r>
            <w:r w:rsidR="007059AA">
              <w:t>Respondent:</w:t>
            </w:r>
          </w:p>
        </w:tc>
        <w:tc>
          <w:tcPr>
            <w:tcW w:w="5874" w:type="dxa"/>
            <w:tcMar>
              <w:left w:w="28" w:type="dxa"/>
            </w:tcMar>
          </w:tcPr>
          <w:p w14:paraId="05136C9C" w14:textId="7F839A29" w:rsidR="007C1946" w:rsidRDefault="007C1946" w:rsidP="007C1946">
            <w:pPr>
              <w:pStyle w:val="BodyText"/>
              <w:spacing w:after="240" w:line="240" w:lineRule="auto"/>
              <w:jc w:val="left"/>
            </w:pPr>
            <w:r>
              <w:t>FISHER GRACE PTY LTD</w:t>
            </w:r>
          </w:p>
        </w:tc>
      </w:tr>
      <w:tr w:rsidR="007C1946" w14:paraId="6858751A" w14:textId="77777777" w:rsidTr="005F3639">
        <w:trPr>
          <w:trHeight w:val="386"/>
        </w:trPr>
        <w:tc>
          <w:tcPr>
            <w:tcW w:w="3368" w:type="dxa"/>
          </w:tcPr>
          <w:p w14:paraId="210A3EAA" w14:textId="5D01D552" w:rsidR="007C1946" w:rsidRDefault="007C1946" w:rsidP="007C1946">
            <w:pPr>
              <w:pStyle w:val="BodyText"/>
              <w:spacing w:after="240" w:line="240" w:lineRule="auto"/>
              <w:jc w:val="left"/>
            </w:pPr>
            <w:r>
              <w:t xml:space="preserve">Eighty Sixth </w:t>
            </w:r>
            <w:r w:rsidR="00E6487C">
              <w:t>Respondent:</w:t>
            </w:r>
          </w:p>
        </w:tc>
        <w:tc>
          <w:tcPr>
            <w:tcW w:w="5874" w:type="dxa"/>
            <w:tcMar>
              <w:left w:w="28" w:type="dxa"/>
            </w:tcMar>
          </w:tcPr>
          <w:p w14:paraId="2112C691" w14:textId="74EE7015" w:rsidR="007C1946" w:rsidRDefault="007C1946" w:rsidP="007C1946">
            <w:pPr>
              <w:pStyle w:val="BodyText"/>
              <w:spacing w:after="240" w:line="240" w:lineRule="auto"/>
              <w:jc w:val="left"/>
            </w:pPr>
            <w:r>
              <w:t>FOUR REDS PTY LTD</w:t>
            </w:r>
          </w:p>
        </w:tc>
      </w:tr>
      <w:tr w:rsidR="007C1946" w14:paraId="15166F18" w14:textId="77777777" w:rsidTr="005F3639">
        <w:trPr>
          <w:trHeight w:val="386"/>
        </w:trPr>
        <w:tc>
          <w:tcPr>
            <w:tcW w:w="3368" w:type="dxa"/>
          </w:tcPr>
          <w:p w14:paraId="115FD0E7" w14:textId="79F068BE" w:rsidR="007C1946" w:rsidRDefault="007C1946" w:rsidP="007C1946">
            <w:pPr>
              <w:pStyle w:val="BodyText"/>
              <w:spacing w:after="240" w:line="240" w:lineRule="auto"/>
              <w:jc w:val="left"/>
            </w:pPr>
            <w:r>
              <w:t xml:space="preserve">Eighty Seventh </w:t>
            </w:r>
            <w:r w:rsidR="00E6487C">
              <w:t>Respondent:</w:t>
            </w:r>
          </w:p>
        </w:tc>
        <w:tc>
          <w:tcPr>
            <w:tcW w:w="5874" w:type="dxa"/>
            <w:tcMar>
              <w:left w:w="28" w:type="dxa"/>
            </w:tcMar>
          </w:tcPr>
          <w:p w14:paraId="23DDF540" w14:textId="4DD7904E" w:rsidR="007C1946" w:rsidRDefault="007C1946" w:rsidP="007C1946">
            <w:pPr>
              <w:pStyle w:val="BodyText"/>
              <w:spacing w:after="240" w:line="240" w:lineRule="auto"/>
              <w:jc w:val="left"/>
            </w:pPr>
            <w:r>
              <w:t>FOXHOW PTY LTD</w:t>
            </w:r>
          </w:p>
        </w:tc>
      </w:tr>
      <w:tr w:rsidR="007C1946" w14:paraId="02099D73" w14:textId="77777777" w:rsidTr="005F3639">
        <w:trPr>
          <w:trHeight w:val="386"/>
        </w:trPr>
        <w:tc>
          <w:tcPr>
            <w:tcW w:w="3368" w:type="dxa"/>
          </w:tcPr>
          <w:p w14:paraId="7194040A" w14:textId="746F56C3" w:rsidR="007C1946" w:rsidRDefault="007C1946" w:rsidP="007C1946">
            <w:pPr>
              <w:pStyle w:val="BodyText"/>
              <w:spacing w:after="240" w:line="240" w:lineRule="auto"/>
              <w:jc w:val="left"/>
            </w:pPr>
            <w:r>
              <w:t xml:space="preserve">Eighty Eighth </w:t>
            </w:r>
            <w:r w:rsidR="00E6487C">
              <w:t>Respondent:</w:t>
            </w:r>
          </w:p>
        </w:tc>
        <w:tc>
          <w:tcPr>
            <w:tcW w:w="5874" w:type="dxa"/>
            <w:tcMar>
              <w:left w:w="28" w:type="dxa"/>
            </w:tcMar>
          </w:tcPr>
          <w:p w14:paraId="566BD650" w14:textId="38FD28C9" w:rsidR="007C1946" w:rsidRDefault="007C1946" w:rsidP="007C1946">
            <w:pPr>
              <w:pStyle w:val="BodyText"/>
              <w:spacing w:after="240" w:line="240" w:lineRule="auto"/>
              <w:jc w:val="left"/>
            </w:pPr>
            <w:r>
              <w:t>FREELAKE PTY LTD</w:t>
            </w:r>
          </w:p>
        </w:tc>
      </w:tr>
      <w:tr w:rsidR="007C1946" w14:paraId="4C09F4DF" w14:textId="77777777" w:rsidTr="005F3639">
        <w:trPr>
          <w:trHeight w:val="386"/>
        </w:trPr>
        <w:tc>
          <w:tcPr>
            <w:tcW w:w="3368" w:type="dxa"/>
          </w:tcPr>
          <w:p w14:paraId="21913AA1" w14:textId="03C129D2" w:rsidR="007C1946" w:rsidRDefault="007C1946" w:rsidP="007C1946">
            <w:pPr>
              <w:pStyle w:val="BodyText"/>
              <w:spacing w:after="240" w:line="240" w:lineRule="auto"/>
              <w:jc w:val="left"/>
            </w:pPr>
            <w:r>
              <w:t xml:space="preserve">Eighty Ninth </w:t>
            </w:r>
            <w:r w:rsidR="00E6487C">
              <w:t>Respondent:</w:t>
            </w:r>
          </w:p>
        </w:tc>
        <w:tc>
          <w:tcPr>
            <w:tcW w:w="5874" w:type="dxa"/>
            <w:tcMar>
              <w:left w:w="28" w:type="dxa"/>
            </w:tcMar>
          </w:tcPr>
          <w:p w14:paraId="5B8302A9" w14:textId="7125AF15" w:rsidR="007C1946" w:rsidRDefault="007C1946" w:rsidP="007C1946">
            <w:pPr>
              <w:pStyle w:val="BodyText"/>
              <w:spacing w:after="240" w:line="240" w:lineRule="auto"/>
              <w:jc w:val="left"/>
            </w:pPr>
            <w:r>
              <w:t>FRYDAYS PTY LTD</w:t>
            </w:r>
          </w:p>
        </w:tc>
      </w:tr>
      <w:tr w:rsidR="007C1946" w14:paraId="42D939BD" w14:textId="77777777" w:rsidTr="005F3639">
        <w:trPr>
          <w:trHeight w:val="386"/>
        </w:trPr>
        <w:tc>
          <w:tcPr>
            <w:tcW w:w="3368" w:type="dxa"/>
          </w:tcPr>
          <w:p w14:paraId="67D86843" w14:textId="2EC7F264" w:rsidR="007C1946" w:rsidRDefault="007C1946" w:rsidP="007C1946">
            <w:pPr>
              <w:pStyle w:val="BodyText"/>
              <w:spacing w:after="240" w:line="240" w:lineRule="auto"/>
              <w:jc w:val="left"/>
            </w:pPr>
            <w:r>
              <w:t xml:space="preserve">Ninetieth </w:t>
            </w:r>
            <w:r w:rsidR="00E6487C">
              <w:t>Respondent:</w:t>
            </w:r>
          </w:p>
        </w:tc>
        <w:tc>
          <w:tcPr>
            <w:tcW w:w="5874" w:type="dxa"/>
            <w:tcMar>
              <w:left w:w="28" w:type="dxa"/>
            </w:tcMar>
          </w:tcPr>
          <w:p w14:paraId="7424CCFF" w14:textId="77E3C14F" w:rsidR="007C1946" w:rsidRDefault="007C1946" w:rsidP="007C1946">
            <w:pPr>
              <w:pStyle w:val="BodyText"/>
              <w:spacing w:after="240" w:line="240" w:lineRule="auto"/>
              <w:jc w:val="left"/>
            </w:pPr>
            <w:r>
              <w:t>FULLMERE PTY LTD</w:t>
            </w:r>
          </w:p>
        </w:tc>
      </w:tr>
      <w:tr w:rsidR="007C1946" w14:paraId="78E3C2E5" w14:textId="77777777" w:rsidTr="005F3639">
        <w:trPr>
          <w:trHeight w:val="386"/>
        </w:trPr>
        <w:tc>
          <w:tcPr>
            <w:tcW w:w="3368" w:type="dxa"/>
          </w:tcPr>
          <w:p w14:paraId="00B6DC57" w14:textId="7C5BC622" w:rsidR="007C1946" w:rsidRDefault="007C1946" w:rsidP="007C1946">
            <w:pPr>
              <w:pStyle w:val="BodyText"/>
              <w:spacing w:after="240" w:line="240" w:lineRule="auto"/>
              <w:jc w:val="left"/>
            </w:pPr>
            <w:r>
              <w:t xml:space="preserve">Ninety First </w:t>
            </w:r>
            <w:r w:rsidR="00E6487C">
              <w:t>Respondent:</w:t>
            </w:r>
          </w:p>
        </w:tc>
        <w:tc>
          <w:tcPr>
            <w:tcW w:w="5874" w:type="dxa"/>
            <w:tcMar>
              <w:left w:w="28" w:type="dxa"/>
            </w:tcMar>
          </w:tcPr>
          <w:p w14:paraId="022FA544" w14:textId="4F081BED" w:rsidR="007C1946" w:rsidRDefault="007C1946" w:rsidP="007C1946">
            <w:pPr>
              <w:pStyle w:val="BodyText"/>
              <w:spacing w:after="240" w:line="240" w:lineRule="auto"/>
              <w:jc w:val="left"/>
            </w:pPr>
            <w:r>
              <w:t>FURTHER PROOF PTY LTD</w:t>
            </w:r>
          </w:p>
        </w:tc>
      </w:tr>
      <w:tr w:rsidR="007C1946" w14:paraId="64616ACE" w14:textId="77777777" w:rsidTr="005F3639">
        <w:trPr>
          <w:trHeight w:val="386"/>
        </w:trPr>
        <w:tc>
          <w:tcPr>
            <w:tcW w:w="3368" w:type="dxa"/>
          </w:tcPr>
          <w:p w14:paraId="7481C09D" w14:textId="4186B00E" w:rsidR="007C1946" w:rsidRDefault="007C1946" w:rsidP="007C1946">
            <w:pPr>
              <w:pStyle w:val="BodyText"/>
              <w:spacing w:after="240" w:line="240" w:lineRule="auto"/>
              <w:jc w:val="left"/>
            </w:pPr>
            <w:r>
              <w:t xml:space="preserve">Ninety Second </w:t>
            </w:r>
            <w:r w:rsidR="00E6487C">
              <w:t>Respondent:</w:t>
            </w:r>
          </w:p>
        </w:tc>
        <w:tc>
          <w:tcPr>
            <w:tcW w:w="5874" w:type="dxa"/>
            <w:tcMar>
              <w:left w:w="28" w:type="dxa"/>
            </w:tcMar>
          </w:tcPr>
          <w:p w14:paraId="30C72EF6" w14:textId="4EB12FFC" w:rsidR="007C1946" w:rsidRDefault="007C1946" w:rsidP="007C1946">
            <w:pPr>
              <w:pStyle w:val="BodyText"/>
              <w:spacing w:after="240" w:line="240" w:lineRule="auto"/>
              <w:jc w:val="left"/>
            </w:pPr>
            <w:r>
              <w:t>GAJJH UNITED PTY LIMITED</w:t>
            </w:r>
          </w:p>
        </w:tc>
      </w:tr>
      <w:tr w:rsidR="007C1946" w14:paraId="4A724A41" w14:textId="77777777" w:rsidTr="005F3639">
        <w:trPr>
          <w:trHeight w:val="386"/>
        </w:trPr>
        <w:tc>
          <w:tcPr>
            <w:tcW w:w="3368" w:type="dxa"/>
          </w:tcPr>
          <w:p w14:paraId="79FE9E23" w14:textId="59461AC3" w:rsidR="007C1946" w:rsidRDefault="007C1946" w:rsidP="007C1946">
            <w:pPr>
              <w:pStyle w:val="BodyText"/>
              <w:spacing w:after="240" w:line="240" w:lineRule="auto"/>
              <w:jc w:val="left"/>
            </w:pPr>
            <w:r>
              <w:t xml:space="preserve">Ninety Third </w:t>
            </w:r>
            <w:r w:rsidR="00E6487C">
              <w:t>Respondent:</w:t>
            </w:r>
          </w:p>
        </w:tc>
        <w:tc>
          <w:tcPr>
            <w:tcW w:w="5874" w:type="dxa"/>
            <w:tcMar>
              <w:left w:w="28" w:type="dxa"/>
            </w:tcMar>
          </w:tcPr>
          <w:p w14:paraId="38059D5A" w14:textId="58433B7E" w:rsidR="007C1946" w:rsidRDefault="007C1946" w:rsidP="007C1946">
            <w:pPr>
              <w:pStyle w:val="BodyText"/>
              <w:spacing w:after="240" w:line="240" w:lineRule="auto"/>
              <w:jc w:val="left"/>
            </w:pPr>
            <w:r>
              <w:t>GAILERO PTY LTD</w:t>
            </w:r>
          </w:p>
        </w:tc>
      </w:tr>
      <w:tr w:rsidR="007C1946" w14:paraId="30E9747C" w14:textId="77777777" w:rsidTr="005F3639">
        <w:trPr>
          <w:trHeight w:val="386"/>
        </w:trPr>
        <w:tc>
          <w:tcPr>
            <w:tcW w:w="3368" w:type="dxa"/>
          </w:tcPr>
          <w:p w14:paraId="2E12C969" w14:textId="56838624" w:rsidR="007C1946" w:rsidRDefault="007C1946" w:rsidP="007C1946">
            <w:pPr>
              <w:pStyle w:val="BodyText"/>
              <w:spacing w:after="240" w:line="240" w:lineRule="auto"/>
              <w:jc w:val="left"/>
            </w:pPr>
            <w:r>
              <w:t xml:space="preserve">Ninety Fifth </w:t>
            </w:r>
            <w:r w:rsidR="00663780">
              <w:t>Respondent:</w:t>
            </w:r>
          </w:p>
        </w:tc>
        <w:tc>
          <w:tcPr>
            <w:tcW w:w="5874" w:type="dxa"/>
            <w:tcMar>
              <w:left w:w="28" w:type="dxa"/>
            </w:tcMar>
          </w:tcPr>
          <w:p w14:paraId="21C580C3" w14:textId="6B7C7B8D" w:rsidR="007C1946" w:rsidRDefault="007C1946" w:rsidP="007C1946">
            <w:pPr>
              <w:pStyle w:val="BodyText"/>
              <w:spacing w:after="240" w:line="240" w:lineRule="auto"/>
              <w:jc w:val="left"/>
            </w:pPr>
            <w:r>
              <w:t>GARTON GROUP PTY LTD</w:t>
            </w:r>
          </w:p>
        </w:tc>
      </w:tr>
      <w:tr w:rsidR="007C1946" w14:paraId="7FFBFFDE" w14:textId="77777777" w:rsidTr="005F3639">
        <w:trPr>
          <w:trHeight w:val="386"/>
        </w:trPr>
        <w:tc>
          <w:tcPr>
            <w:tcW w:w="3368" w:type="dxa"/>
          </w:tcPr>
          <w:p w14:paraId="149C14AB" w14:textId="2B38F6E0" w:rsidR="007C1946" w:rsidRDefault="007C1946" w:rsidP="007C1946">
            <w:pPr>
              <w:pStyle w:val="BodyText"/>
              <w:spacing w:after="240" w:line="240" w:lineRule="auto"/>
              <w:jc w:val="left"/>
            </w:pPr>
            <w:r>
              <w:t xml:space="preserve">Ninety Sixth </w:t>
            </w:r>
            <w:r w:rsidR="00663780">
              <w:t>Respondent:</w:t>
            </w:r>
          </w:p>
        </w:tc>
        <w:tc>
          <w:tcPr>
            <w:tcW w:w="5874" w:type="dxa"/>
            <w:tcMar>
              <w:left w:w="28" w:type="dxa"/>
            </w:tcMar>
          </w:tcPr>
          <w:p w14:paraId="42D1A6E2" w14:textId="229FA308" w:rsidR="007C1946" w:rsidRDefault="007C1946" w:rsidP="007C1946">
            <w:pPr>
              <w:pStyle w:val="BodyText"/>
              <w:spacing w:after="240" w:line="240" w:lineRule="auto"/>
              <w:jc w:val="left"/>
            </w:pPr>
            <w:r>
              <w:t>GATMARCOLIN PTY LTD</w:t>
            </w:r>
          </w:p>
        </w:tc>
      </w:tr>
      <w:tr w:rsidR="007C1946" w14:paraId="2AC7E162" w14:textId="77777777" w:rsidTr="005F3639">
        <w:trPr>
          <w:trHeight w:val="386"/>
        </w:trPr>
        <w:tc>
          <w:tcPr>
            <w:tcW w:w="3368" w:type="dxa"/>
          </w:tcPr>
          <w:p w14:paraId="4582D216" w14:textId="6CE19E48" w:rsidR="007C1946" w:rsidRDefault="007C1946" w:rsidP="007C1946">
            <w:pPr>
              <w:pStyle w:val="BodyText"/>
              <w:spacing w:after="240" w:line="240" w:lineRule="auto"/>
              <w:jc w:val="left"/>
            </w:pPr>
            <w:r>
              <w:t>Ninety Seventh Respondent</w:t>
            </w:r>
            <w:r w:rsidR="00663780">
              <w:t>:</w:t>
            </w:r>
          </w:p>
        </w:tc>
        <w:tc>
          <w:tcPr>
            <w:tcW w:w="5874" w:type="dxa"/>
            <w:tcMar>
              <w:left w:w="28" w:type="dxa"/>
            </w:tcMar>
          </w:tcPr>
          <w:p w14:paraId="46C265CA" w14:textId="0DF4D798" w:rsidR="007C1946" w:rsidRDefault="007C1946" w:rsidP="007C1946">
            <w:pPr>
              <w:pStyle w:val="BodyText"/>
              <w:spacing w:after="240" w:line="240" w:lineRule="auto"/>
              <w:jc w:val="left"/>
            </w:pPr>
            <w:r>
              <w:t>GIDLEY HOLDINGS PTY LTD</w:t>
            </w:r>
          </w:p>
        </w:tc>
      </w:tr>
      <w:tr w:rsidR="007C1946" w14:paraId="681B889F" w14:textId="77777777" w:rsidTr="005F3639">
        <w:trPr>
          <w:trHeight w:val="386"/>
        </w:trPr>
        <w:tc>
          <w:tcPr>
            <w:tcW w:w="3368" w:type="dxa"/>
          </w:tcPr>
          <w:p w14:paraId="78796F59" w14:textId="64174C93" w:rsidR="007C1946" w:rsidRDefault="007C1946" w:rsidP="007C1946">
            <w:pPr>
              <w:pStyle w:val="BodyText"/>
              <w:spacing w:after="240" w:line="240" w:lineRule="auto"/>
              <w:jc w:val="left"/>
            </w:pPr>
            <w:r>
              <w:t xml:space="preserve">Ninety Eighth </w:t>
            </w:r>
            <w:r w:rsidR="00663780">
              <w:t>Respondent:</w:t>
            </w:r>
          </w:p>
        </w:tc>
        <w:tc>
          <w:tcPr>
            <w:tcW w:w="5874" w:type="dxa"/>
            <w:tcMar>
              <w:left w:w="28" w:type="dxa"/>
            </w:tcMar>
          </w:tcPr>
          <w:p w14:paraId="65B1912E" w14:textId="73AE9528" w:rsidR="007C1946" w:rsidRDefault="007C1946" w:rsidP="007C1946">
            <w:pPr>
              <w:pStyle w:val="BodyText"/>
              <w:spacing w:after="240" w:line="240" w:lineRule="auto"/>
              <w:jc w:val="left"/>
            </w:pPr>
            <w:r>
              <w:t>GIFF GAFF PTY LTD</w:t>
            </w:r>
          </w:p>
        </w:tc>
      </w:tr>
      <w:tr w:rsidR="007C1946" w14:paraId="71731796" w14:textId="77777777" w:rsidTr="005F3639">
        <w:trPr>
          <w:trHeight w:val="386"/>
        </w:trPr>
        <w:tc>
          <w:tcPr>
            <w:tcW w:w="3368" w:type="dxa"/>
          </w:tcPr>
          <w:p w14:paraId="0702D269" w14:textId="6AE51269" w:rsidR="007C1946" w:rsidRDefault="007C1946" w:rsidP="007C1946">
            <w:pPr>
              <w:pStyle w:val="BodyText"/>
              <w:spacing w:after="240" w:line="240" w:lineRule="auto"/>
              <w:jc w:val="left"/>
            </w:pPr>
            <w:r>
              <w:t xml:space="preserve">Ninety Ninth </w:t>
            </w:r>
            <w:r w:rsidR="00663780">
              <w:t>Respondent:</w:t>
            </w:r>
          </w:p>
        </w:tc>
        <w:tc>
          <w:tcPr>
            <w:tcW w:w="5874" w:type="dxa"/>
            <w:tcMar>
              <w:left w:w="28" w:type="dxa"/>
            </w:tcMar>
          </w:tcPr>
          <w:p w14:paraId="124EBB46" w14:textId="6D56F83D" w:rsidR="007C1946" w:rsidRDefault="007C1946" w:rsidP="007C1946">
            <w:pPr>
              <w:pStyle w:val="BodyText"/>
              <w:spacing w:after="240" w:line="240" w:lineRule="auto"/>
              <w:jc w:val="left"/>
            </w:pPr>
            <w:r>
              <w:t>GIQSR PTY LTD</w:t>
            </w:r>
          </w:p>
        </w:tc>
      </w:tr>
      <w:tr w:rsidR="007C1946" w14:paraId="0E6D4C4A" w14:textId="77777777" w:rsidTr="005F3639">
        <w:trPr>
          <w:trHeight w:val="386"/>
        </w:trPr>
        <w:tc>
          <w:tcPr>
            <w:tcW w:w="3368" w:type="dxa"/>
          </w:tcPr>
          <w:p w14:paraId="2709EC1E" w14:textId="24D4C127" w:rsidR="007C1946" w:rsidRDefault="007C1946" w:rsidP="007C1946">
            <w:pPr>
              <w:pStyle w:val="BodyText"/>
              <w:spacing w:after="240" w:line="240" w:lineRule="auto"/>
              <w:jc w:val="left"/>
            </w:pPr>
            <w:r>
              <w:t xml:space="preserve">One Hundredth </w:t>
            </w:r>
            <w:r w:rsidR="00C050FF">
              <w:t>Respondent:</w:t>
            </w:r>
          </w:p>
        </w:tc>
        <w:tc>
          <w:tcPr>
            <w:tcW w:w="5874" w:type="dxa"/>
            <w:tcMar>
              <w:left w:w="28" w:type="dxa"/>
            </w:tcMar>
          </w:tcPr>
          <w:p w14:paraId="42B3FFE8" w14:textId="32CD32EC" w:rsidR="007C1946" w:rsidRDefault="007C1946" w:rsidP="007C1946">
            <w:pPr>
              <w:pStyle w:val="BodyText"/>
              <w:spacing w:after="240" w:line="240" w:lineRule="auto"/>
              <w:jc w:val="left"/>
            </w:pPr>
            <w:r>
              <w:t>GLADSIDE PTY LTD</w:t>
            </w:r>
          </w:p>
        </w:tc>
      </w:tr>
      <w:tr w:rsidR="007C1946" w14:paraId="769EBB7D" w14:textId="77777777" w:rsidTr="005F3639">
        <w:trPr>
          <w:trHeight w:val="386"/>
        </w:trPr>
        <w:tc>
          <w:tcPr>
            <w:tcW w:w="3368" w:type="dxa"/>
          </w:tcPr>
          <w:p w14:paraId="39EAF3C4" w14:textId="517F53BD" w:rsidR="007C1946" w:rsidRDefault="007C1946" w:rsidP="007C1946">
            <w:pPr>
              <w:pStyle w:val="BodyText"/>
              <w:spacing w:after="240" w:line="240" w:lineRule="auto"/>
              <w:jc w:val="left"/>
            </w:pPr>
            <w:r>
              <w:t xml:space="preserve">One Hundred </w:t>
            </w:r>
            <w:r w:rsidR="00C050FF">
              <w:t>and First Respondent:</w:t>
            </w:r>
          </w:p>
        </w:tc>
        <w:tc>
          <w:tcPr>
            <w:tcW w:w="5874" w:type="dxa"/>
            <w:tcMar>
              <w:left w:w="28" w:type="dxa"/>
            </w:tcMar>
          </w:tcPr>
          <w:p w14:paraId="05966B4A" w14:textId="01A48BA7" w:rsidR="007C1946" w:rsidRDefault="007C1946" w:rsidP="007C1946">
            <w:pPr>
              <w:pStyle w:val="BodyText"/>
              <w:spacing w:after="240" w:line="240" w:lineRule="auto"/>
              <w:jc w:val="left"/>
            </w:pPr>
            <w:r>
              <w:t>GLENMORE PTY LTD</w:t>
            </w:r>
          </w:p>
        </w:tc>
      </w:tr>
      <w:tr w:rsidR="007C1946" w14:paraId="09416B90" w14:textId="77777777" w:rsidTr="005F3639">
        <w:trPr>
          <w:trHeight w:val="386"/>
        </w:trPr>
        <w:tc>
          <w:tcPr>
            <w:tcW w:w="3368" w:type="dxa"/>
          </w:tcPr>
          <w:p w14:paraId="1BD19A0A" w14:textId="593F4017" w:rsidR="007C1946" w:rsidRDefault="007C1946" w:rsidP="007C1946">
            <w:pPr>
              <w:pStyle w:val="BodyText"/>
              <w:spacing w:after="240" w:line="240" w:lineRule="auto"/>
              <w:jc w:val="left"/>
            </w:pPr>
            <w:r>
              <w:t>One Hundred</w:t>
            </w:r>
            <w:r w:rsidR="00C050FF">
              <w:t xml:space="preserve"> and</w:t>
            </w:r>
            <w:r>
              <w:t xml:space="preserve"> Second Responden</w:t>
            </w:r>
            <w:r w:rsidR="00C050FF">
              <w:t>t:</w:t>
            </w:r>
          </w:p>
        </w:tc>
        <w:tc>
          <w:tcPr>
            <w:tcW w:w="5874" w:type="dxa"/>
            <w:tcMar>
              <w:left w:w="28" w:type="dxa"/>
            </w:tcMar>
          </w:tcPr>
          <w:p w14:paraId="530F33C2" w14:textId="7550A4D9" w:rsidR="007C1946" w:rsidRDefault="007C1946" w:rsidP="007C1946">
            <w:pPr>
              <w:pStyle w:val="BodyText"/>
              <w:spacing w:after="240" w:line="240" w:lineRule="auto"/>
              <w:jc w:val="left"/>
            </w:pPr>
            <w:r>
              <w:t>GOLDMAKK PTY LTD</w:t>
            </w:r>
          </w:p>
        </w:tc>
      </w:tr>
      <w:tr w:rsidR="007C1946" w14:paraId="209C78D7" w14:textId="77777777" w:rsidTr="005F3639">
        <w:trPr>
          <w:trHeight w:val="386"/>
        </w:trPr>
        <w:tc>
          <w:tcPr>
            <w:tcW w:w="3368" w:type="dxa"/>
          </w:tcPr>
          <w:p w14:paraId="290E7A3C" w14:textId="1E0EE68F" w:rsidR="007C1946" w:rsidRDefault="007C1946" w:rsidP="007C1946">
            <w:pPr>
              <w:pStyle w:val="BodyText"/>
              <w:spacing w:after="240" w:line="240" w:lineRule="auto"/>
              <w:jc w:val="left"/>
            </w:pPr>
            <w:r>
              <w:t xml:space="preserve">One Hundred </w:t>
            </w:r>
            <w:r w:rsidR="00CF7506">
              <w:t xml:space="preserve">and </w:t>
            </w:r>
            <w:r>
              <w:t xml:space="preserve">Fourth </w:t>
            </w:r>
            <w:r w:rsidR="00CF7506">
              <w:t>Respondent:</w:t>
            </w:r>
          </w:p>
        </w:tc>
        <w:tc>
          <w:tcPr>
            <w:tcW w:w="5874" w:type="dxa"/>
            <w:tcMar>
              <w:left w:w="28" w:type="dxa"/>
            </w:tcMar>
          </w:tcPr>
          <w:p w14:paraId="2B741D80" w14:textId="4F07A2EF" w:rsidR="007C1946" w:rsidRDefault="007C1946" w:rsidP="007C1946">
            <w:pPr>
              <w:pStyle w:val="BodyText"/>
              <w:spacing w:after="240" w:line="240" w:lineRule="auto"/>
              <w:jc w:val="left"/>
            </w:pPr>
            <w:r>
              <w:t>GREENWICH INVESTMENTS (QLD) PTY LTD</w:t>
            </w:r>
          </w:p>
        </w:tc>
      </w:tr>
      <w:tr w:rsidR="007C1946" w14:paraId="111C10D7" w14:textId="77777777" w:rsidTr="005F3639">
        <w:trPr>
          <w:trHeight w:val="386"/>
        </w:trPr>
        <w:tc>
          <w:tcPr>
            <w:tcW w:w="3368" w:type="dxa"/>
          </w:tcPr>
          <w:p w14:paraId="6E8CF024" w14:textId="6FB8E6D0" w:rsidR="007C1946" w:rsidRDefault="007C1946" w:rsidP="007C1946">
            <w:pPr>
              <w:pStyle w:val="BodyText"/>
              <w:spacing w:after="240" w:line="240" w:lineRule="auto"/>
              <w:jc w:val="left"/>
            </w:pPr>
            <w:r>
              <w:t>One Hundred</w:t>
            </w:r>
            <w:r w:rsidR="00CF7506">
              <w:t xml:space="preserve"> and</w:t>
            </w:r>
            <w:r>
              <w:t xml:space="preserve"> Fifth </w:t>
            </w:r>
            <w:r w:rsidR="00CF7506">
              <w:t>Respondent:</w:t>
            </w:r>
          </w:p>
        </w:tc>
        <w:tc>
          <w:tcPr>
            <w:tcW w:w="5874" w:type="dxa"/>
            <w:tcMar>
              <w:left w:w="28" w:type="dxa"/>
            </w:tcMar>
          </w:tcPr>
          <w:p w14:paraId="2FE5773C" w14:textId="3EA4987B" w:rsidR="007C1946" w:rsidRDefault="007C1946" w:rsidP="007C1946">
            <w:pPr>
              <w:pStyle w:val="BodyText"/>
              <w:spacing w:after="240" w:line="240" w:lineRule="auto"/>
              <w:jc w:val="left"/>
            </w:pPr>
            <w:r>
              <w:t>GRIFFITH M PTY LTD</w:t>
            </w:r>
          </w:p>
        </w:tc>
      </w:tr>
      <w:tr w:rsidR="007C1946" w14:paraId="54A6A2FE" w14:textId="77777777" w:rsidTr="005F3639">
        <w:trPr>
          <w:trHeight w:val="386"/>
        </w:trPr>
        <w:tc>
          <w:tcPr>
            <w:tcW w:w="3368" w:type="dxa"/>
          </w:tcPr>
          <w:p w14:paraId="04830E0C" w14:textId="4A2E0DE5" w:rsidR="007C1946" w:rsidRDefault="007C1946" w:rsidP="007C1946">
            <w:pPr>
              <w:pStyle w:val="BodyText"/>
              <w:spacing w:after="240" w:line="240" w:lineRule="auto"/>
              <w:jc w:val="left"/>
            </w:pPr>
            <w:r>
              <w:t>One Hundred</w:t>
            </w:r>
            <w:r w:rsidR="00CF7506">
              <w:t xml:space="preserve"> and</w:t>
            </w:r>
            <w:r>
              <w:t xml:space="preserve"> Sixth </w:t>
            </w:r>
            <w:r w:rsidR="00CF7506">
              <w:t>Respondent:</w:t>
            </w:r>
          </w:p>
        </w:tc>
        <w:tc>
          <w:tcPr>
            <w:tcW w:w="5874" w:type="dxa"/>
            <w:tcMar>
              <w:left w:w="28" w:type="dxa"/>
            </w:tcMar>
          </w:tcPr>
          <w:p w14:paraId="32BE96A9" w14:textId="649ECB02" w:rsidR="007C1946" w:rsidRDefault="007C1946" w:rsidP="007C1946">
            <w:pPr>
              <w:pStyle w:val="BodyText"/>
              <w:spacing w:after="240" w:line="240" w:lineRule="auto"/>
              <w:jc w:val="left"/>
            </w:pPr>
            <w:r>
              <w:t>H &amp; I SMITH PTY LTD</w:t>
            </w:r>
          </w:p>
        </w:tc>
      </w:tr>
      <w:tr w:rsidR="007C1946" w14:paraId="33B76FCA" w14:textId="77777777" w:rsidTr="005F3639">
        <w:trPr>
          <w:trHeight w:val="386"/>
        </w:trPr>
        <w:tc>
          <w:tcPr>
            <w:tcW w:w="3368" w:type="dxa"/>
          </w:tcPr>
          <w:p w14:paraId="243FCBD8" w14:textId="135B5CD2" w:rsidR="007C1946" w:rsidRDefault="007C1946" w:rsidP="007C1946">
            <w:pPr>
              <w:pStyle w:val="BodyText"/>
              <w:spacing w:after="240" w:line="240" w:lineRule="auto"/>
              <w:jc w:val="left"/>
            </w:pPr>
            <w:r>
              <w:t xml:space="preserve">One Hundred </w:t>
            </w:r>
            <w:r w:rsidR="00CF7506">
              <w:t xml:space="preserve">and </w:t>
            </w:r>
            <w:r>
              <w:t xml:space="preserve">Seventh </w:t>
            </w:r>
            <w:r w:rsidR="00CF7506">
              <w:t>Respondent:</w:t>
            </w:r>
          </w:p>
        </w:tc>
        <w:tc>
          <w:tcPr>
            <w:tcW w:w="5874" w:type="dxa"/>
            <w:tcMar>
              <w:left w:w="28" w:type="dxa"/>
            </w:tcMar>
          </w:tcPr>
          <w:p w14:paraId="3E7BF01D" w14:textId="354DB4AE" w:rsidR="007C1946" w:rsidRDefault="007C1946" w:rsidP="007C1946">
            <w:pPr>
              <w:pStyle w:val="BodyText"/>
              <w:spacing w:after="240" w:line="240" w:lineRule="auto"/>
              <w:jc w:val="left"/>
            </w:pPr>
            <w:r>
              <w:t>HALFWAY HAMBURGERS PTY LTD</w:t>
            </w:r>
          </w:p>
        </w:tc>
      </w:tr>
      <w:tr w:rsidR="007C1946" w14:paraId="3D0494BB" w14:textId="77777777" w:rsidTr="005F3639">
        <w:trPr>
          <w:trHeight w:val="386"/>
        </w:trPr>
        <w:tc>
          <w:tcPr>
            <w:tcW w:w="3368" w:type="dxa"/>
          </w:tcPr>
          <w:p w14:paraId="47215022" w14:textId="5CE43707" w:rsidR="007C1946" w:rsidRDefault="007C1946" w:rsidP="007C1946">
            <w:pPr>
              <w:pStyle w:val="BodyText"/>
              <w:spacing w:after="240" w:line="240" w:lineRule="auto"/>
              <w:jc w:val="left"/>
            </w:pPr>
            <w:r>
              <w:t>One Hundred</w:t>
            </w:r>
            <w:r w:rsidR="00CF7506">
              <w:t xml:space="preserve"> and</w:t>
            </w:r>
            <w:r>
              <w:t xml:space="preserve"> Eighth </w:t>
            </w:r>
            <w:r w:rsidR="00CF7506">
              <w:t>Respondent:</w:t>
            </w:r>
          </w:p>
        </w:tc>
        <w:tc>
          <w:tcPr>
            <w:tcW w:w="5874" w:type="dxa"/>
            <w:tcMar>
              <w:left w:w="28" w:type="dxa"/>
            </w:tcMar>
          </w:tcPr>
          <w:p w14:paraId="640C0ABB" w14:textId="3E7E45AC" w:rsidR="007C1946" w:rsidRDefault="007C1946" w:rsidP="007C1946">
            <w:pPr>
              <w:pStyle w:val="BodyText"/>
              <w:spacing w:after="240" w:line="240" w:lineRule="auto"/>
              <w:jc w:val="left"/>
            </w:pPr>
            <w:r>
              <w:t>HANCOCK JONES GROUP PTY LTD</w:t>
            </w:r>
          </w:p>
        </w:tc>
      </w:tr>
      <w:tr w:rsidR="007C1946" w14:paraId="141D60CE" w14:textId="77777777" w:rsidTr="005F3639">
        <w:trPr>
          <w:trHeight w:val="386"/>
        </w:trPr>
        <w:tc>
          <w:tcPr>
            <w:tcW w:w="3368" w:type="dxa"/>
          </w:tcPr>
          <w:p w14:paraId="0E06746C" w14:textId="6F1C668D" w:rsidR="007C1946" w:rsidRDefault="007C1946" w:rsidP="007C1946">
            <w:pPr>
              <w:pStyle w:val="BodyText"/>
              <w:spacing w:after="240" w:line="240" w:lineRule="auto"/>
              <w:jc w:val="left"/>
            </w:pPr>
            <w:r>
              <w:t>One Hundred</w:t>
            </w:r>
            <w:r w:rsidR="00CF7506">
              <w:t xml:space="preserve"> and</w:t>
            </w:r>
            <w:r>
              <w:t xml:space="preserve"> Ninth </w:t>
            </w:r>
            <w:r w:rsidR="00CF7506">
              <w:t>Respondent:</w:t>
            </w:r>
          </w:p>
        </w:tc>
        <w:tc>
          <w:tcPr>
            <w:tcW w:w="5874" w:type="dxa"/>
            <w:tcMar>
              <w:left w:w="28" w:type="dxa"/>
            </w:tcMar>
          </w:tcPr>
          <w:p w14:paraId="28AD1C24" w14:textId="0E102726" w:rsidR="007C1946" w:rsidRDefault="007C1946" w:rsidP="007C1946">
            <w:pPr>
              <w:pStyle w:val="BodyText"/>
              <w:spacing w:after="240" w:line="240" w:lineRule="auto"/>
              <w:jc w:val="left"/>
            </w:pPr>
            <w:r>
              <w:t>HANGESID PTY LTD</w:t>
            </w:r>
          </w:p>
        </w:tc>
      </w:tr>
      <w:tr w:rsidR="007C1946" w14:paraId="17944711" w14:textId="77777777" w:rsidTr="005F3639">
        <w:trPr>
          <w:trHeight w:val="386"/>
        </w:trPr>
        <w:tc>
          <w:tcPr>
            <w:tcW w:w="3368" w:type="dxa"/>
          </w:tcPr>
          <w:p w14:paraId="3FE93C32" w14:textId="18AB5D48" w:rsidR="007C1946" w:rsidRDefault="007C1946" w:rsidP="007C1946">
            <w:pPr>
              <w:pStyle w:val="BodyText"/>
              <w:spacing w:after="240" w:line="240" w:lineRule="auto"/>
              <w:jc w:val="left"/>
            </w:pPr>
            <w:r>
              <w:t xml:space="preserve">One Hundred </w:t>
            </w:r>
            <w:r w:rsidR="00CF7506">
              <w:t xml:space="preserve">and </w:t>
            </w:r>
            <w:r>
              <w:t>Tenth Respondent</w:t>
            </w:r>
            <w:r w:rsidR="00CF7506">
              <w:t>:</w:t>
            </w:r>
          </w:p>
        </w:tc>
        <w:tc>
          <w:tcPr>
            <w:tcW w:w="5874" w:type="dxa"/>
            <w:tcMar>
              <w:left w:w="28" w:type="dxa"/>
            </w:tcMar>
          </w:tcPr>
          <w:p w14:paraId="71B71457" w14:textId="2A6A1D1D" w:rsidR="007C1946" w:rsidRDefault="007C1946" w:rsidP="007C1946">
            <w:pPr>
              <w:pStyle w:val="BodyText"/>
              <w:spacing w:after="240" w:line="240" w:lineRule="auto"/>
              <w:jc w:val="left"/>
            </w:pPr>
            <w:r>
              <w:t>HARRICO PTY LTD</w:t>
            </w:r>
          </w:p>
        </w:tc>
      </w:tr>
      <w:tr w:rsidR="007C1946" w14:paraId="332F6576" w14:textId="77777777" w:rsidTr="005F3639">
        <w:trPr>
          <w:trHeight w:val="386"/>
        </w:trPr>
        <w:tc>
          <w:tcPr>
            <w:tcW w:w="3368" w:type="dxa"/>
          </w:tcPr>
          <w:p w14:paraId="1F2B536F" w14:textId="31D5CD14" w:rsidR="007C1946" w:rsidRDefault="007C1946" w:rsidP="007C1946">
            <w:pPr>
              <w:pStyle w:val="BodyText"/>
              <w:spacing w:after="240" w:line="240" w:lineRule="auto"/>
              <w:jc w:val="left"/>
            </w:pPr>
            <w:r>
              <w:t>One Hundred</w:t>
            </w:r>
            <w:r w:rsidR="00CF7506">
              <w:t xml:space="preserve"> and</w:t>
            </w:r>
            <w:r>
              <w:t xml:space="preserve"> Eleventh Respondent</w:t>
            </w:r>
            <w:r w:rsidR="00CF7506">
              <w:t>:</w:t>
            </w:r>
          </w:p>
        </w:tc>
        <w:tc>
          <w:tcPr>
            <w:tcW w:w="5874" w:type="dxa"/>
            <w:tcMar>
              <w:left w:w="28" w:type="dxa"/>
            </w:tcMar>
          </w:tcPr>
          <w:p w14:paraId="5C2C8677" w14:textId="06F73DC4" w:rsidR="007C1946" w:rsidRDefault="007C1946" w:rsidP="007C1946">
            <w:pPr>
              <w:pStyle w:val="BodyText"/>
              <w:spacing w:after="240" w:line="240" w:lineRule="auto"/>
              <w:jc w:val="left"/>
            </w:pPr>
            <w:r>
              <w:t>HAYDAR PTY LTD</w:t>
            </w:r>
          </w:p>
        </w:tc>
      </w:tr>
      <w:tr w:rsidR="007C1946" w14:paraId="6C670545" w14:textId="77777777" w:rsidTr="005F3639">
        <w:trPr>
          <w:trHeight w:val="386"/>
        </w:trPr>
        <w:tc>
          <w:tcPr>
            <w:tcW w:w="3368" w:type="dxa"/>
          </w:tcPr>
          <w:p w14:paraId="09879C32" w14:textId="13937D6E" w:rsidR="007C1946" w:rsidRDefault="007C1946" w:rsidP="007C1946">
            <w:pPr>
              <w:pStyle w:val="BodyText"/>
              <w:spacing w:after="240" w:line="240" w:lineRule="auto"/>
              <w:jc w:val="left"/>
            </w:pPr>
            <w:r>
              <w:t xml:space="preserve">One Hundred </w:t>
            </w:r>
            <w:r w:rsidR="00CF7506">
              <w:t xml:space="preserve">and </w:t>
            </w:r>
            <w:r>
              <w:t>Eleventh Respondent</w:t>
            </w:r>
            <w:r w:rsidR="00CF7506">
              <w:t>:</w:t>
            </w:r>
          </w:p>
        </w:tc>
        <w:tc>
          <w:tcPr>
            <w:tcW w:w="5874" w:type="dxa"/>
            <w:tcMar>
              <w:left w:w="28" w:type="dxa"/>
            </w:tcMar>
          </w:tcPr>
          <w:p w14:paraId="327FD04E" w14:textId="4AF0EBC9" w:rsidR="007C1946" w:rsidRDefault="007C1946" w:rsidP="007C1946">
            <w:pPr>
              <w:pStyle w:val="BodyText"/>
              <w:spacing w:after="240" w:line="240" w:lineRule="auto"/>
              <w:jc w:val="left"/>
            </w:pPr>
            <w:r>
              <w:t>HAYDAR PTY LTD</w:t>
            </w:r>
          </w:p>
        </w:tc>
      </w:tr>
      <w:tr w:rsidR="007C1946" w14:paraId="554A0375" w14:textId="77777777" w:rsidTr="005F3639">
        <w:trPr>
          <w:trHeight w:val="386"/>
        </w:trPr>
        <w:tc>
          <w:tcPr>
            <w:tcW w:w="3368" w:type="dxa"/>
          </w:tcPr>
          <w:p w14:paraId="4377A1F9" w14:textId="1EC9E4A9" w:rsidR="007C1946" w:rsidRDefault="007C1946" w:rsidP="007C1946">
            <w:pPr>
              <w:pStyle w:val="BodyText"/>
              <w:spacing w:after="240" w:line="240" w:lineRule="auto"/>
              <w:jc w:val="left"/>
            </w:pPr>
            <w:r>
              <w:t>One Hundred</w:t>
            </w:r>
            <w:r w:rsidR="002655AA">
              <w:t xml:space="preserve"> and</w:t>
            </w:r>
            <w:r>
              <w:t xml:space="preserve"> Twelfth Respondent</w:t>
            </w:r>
            <w:r w:rsidR="002655AA">
              <w:t>:</w:t>
            </w:r>
          </w:p>
        </w:tc>
        <w:tc>
          <w:tcPr>
            <w:tcW w:w="5874" w:type="dxa"/>
            <w:tcMar>
              <w:left w:w="28" w:type="dxa"/>
            </w:tcMar>
          </w:tcPr>
          <w:p w14:paraId="5F8D92EA" w14:textId="5133A8EE" w:rsidR="007C1946" w:rsidRDefault="007C1946" w:rsidP="007C1946">
            <w:pPr>
              <w:pStyle w:val="BodyText"/>
              <w:spacing w:after="240" w:line="240" w:lineRule="auto"/>
              <w:jc w:val="left"/>
            </w:pPr>
            <w:r>
              <w:t>HBK HOLDINGS PTY LTD</w:t>
            </w:r>
          </w:p>
        </w:tc>
      </w:tr>
      <w:tr w:rsidR="007C1946" w14:paraId="0603D216" w14:textId="77777777" w:rsidTr="005F3639">
        <w:trPr>
          <w:trHeight w:val="386"/>
        </w:trPr>
        <w:tc>
          <w:tcPr>
            <w:tcW w:w="3368" w:type="dxa"/>
          </w:tcPr>
          <w:p w14:paraId="4D05F4A8" w14:textId="4AEA2EEC" w:rsidR="007C1946" w:rsidRDefault="007C1946" w:rsidP="007C1946">
            <w:pPr>
              <w:pStyle w:val="BodyText"/>
              <w:spacing w:after="240" w:line="240" w:lineRule="auto"/>
              <w:jc w:val="left"/>
            </w:pPr>
            <w:r>
              <w:t xml:space="preserve">One Hundred </w:t>
            </w:r>
            <w:r w:rsidR="002655AA">
              <w:t xml:space="preserve">and </w:t>
            </w:r>
            <w:r>
              <w:t>Thirteenth Respondent</w:t>
            </w:r>
            <w:r w:rsidR="002655AA">
              <w:t>:</w:t>
            </w:r>
          </w:p>
        </w:tc>
        <w:tc>
          <w:tcPr>
            <w:tcW w:w="5874" w:type="dxa"/>
            <w:tcMar>
              <w:left w:w="28" w:type="dxa"/>
            </w:tcMar>
          </w:tcPr>
          <w:p w14:paraId="78879FA1" w14:textId="0967CB8B" w:rsidR="007C1946" w:rsidRDefault="007C1946" w:rsidP="007C1946">
            <w:pPr>
              <w:pStyle w:val="BodyText"/>
              <w:spacing w:after="240" w:line="240" w:lineRule="auto"/>
              <w:jc w:val="left"/>
            </w:pPr>
            <w:r>
              <w:t>HDF HOLDINGS PTY LTD</w:t>
            </w:r>
          </w:p>
        </w:tc>
      </w:tr>
      <w:tr w:rsidR="007C1946" w14:paraId="55A49CDE" w14:textId="77777777" w:rsidTr="005F3639">
        <w:trPr>
          <w:trHeight w:val="386"/>
        </w:trPr>
        <w:tc>
          <w:tcPr>
            <w:tcW w:w="3368" w:type="dxa"/>
          </w:tcPr>
          <w:p w14:paraId="079A50DC" w14:textId="20C58E14" w:rsidR="007C1946" w:rsidRDefault="007C1946" w:rsidP="007C1946">
            <w:pPr>
              <w:pStyle w:val="BodyText"/>
              <w:spacing w:after="240" w:line="240" w:lineRule="auto"/>
              <w:jc w:val="left"/>
            </w:pPr>
            <w:r>
              <w:t xml:space="preserve">One Hundred </w:t>
            </w:r>
            <w:r w:rsidR="002655AA">
              <w:t xml:space="preserve">and </w:t>
            </w:r>
            <w:r>
              <w:t xml:space="preserve">Fourteenth </w:t>
            </w:r>
            <w:r w:rsidR="002655AA">
              <w:t>Respondent:</w:t>
            </w:r>
          </w:p>
        </w:tc>
        <w:tc>
          <w:tcPr>
            <w:tcW w:w="5874" w:type="dxa"/>
            <w:tcMar>
              <w:left w:w="28" w:type="dxa"/>
            </w:tcMar>
          </w:tcPr>
          <w:p w14:paraId="461CB04F" w14:textId="7C183694" w:rsidR="007C1946" w:rsidRDefault="007C1946" w:rsidP="007C1946">
            <w:pPr>
              <w:pStyle w:val="BodyText"/>
              <w:spacing w:after="240" w:line="240" w:lineRule="auto"/>
              <w:jc w:val="left"/>
            </w:pPr>
            <w:r>
              <w:t>HIGOAL PTY LTD</w:t>
            </w:r>
          </w:p>
        </w:tc>
      </w:tr>
      <w:tr w:rsidR="007C1946" w14:paraId="324825B3" w14:textId="77777777" w:rsidTr="005F3639">
        <w:trPr>
          <w:trHeight w:val="386"/>
        </w:trPr>
        <w:tc>
          <w:tcPr>
            <w:tcW w:w="3368" w:type="dxa"/>
          </w:tcPr>
          <w:p w14:paraId="58E5FE37" w14:textId="02415D1A" w:rsidR="007C1946" w:rsidRDefault="007C1946" w:rsidP="007C1946">
            <w:pPr>
              <w:pStyle w:val="BodyText"/>
              <w:spacing w:after="240" w:line="240" w:lineRule="auto"/>
              <w:jc w:val="left"/>
            </w:pPr>
            <w:r>
              <w:t>One Hundred</w:t>
            </w:r>
            <w:r w:rsidR="002655AA">
              <w:t xml:space="preserve"> and</w:t>
            </w:r>
            <w:r>
              <w:t xml:space="preserve"> Fifteenth </w:t>
            </w:r>
            <w:r w:rsidR="002655AA">
              <w:t>Respondent:</w:t>
            </w:r>
          </w:p>
        </w:tc>
        <w:tc>
          <w:tcPr>
            <w:tcW w:w="5874" w:type="dxa"/>
            <w:tcMar>
              <w:left w:w="28" w:type="dxa"/>
            </w:tcMar>
          </w:tcPr>
          <w:p w14:paraId="0A56780C" w14:textId="3194C7AC" w:rsidR="007C1946" w:rsidRDefault="007C1946" w:rsidP="007C1946">
            <w:pPr>
              <w:pStyle w:val="BodyText"/>
              <w:spacing w:after="240" w:line="240" w:lineRule="auto"/>
              <w:jc w:val="left"/>
            </w:pPr>
            <w:r>
              <w:t>HOLDEAST PTY LTD</w:t>
            </w:r>
          </w:p>
        </w:tc>
      </w:tr>
      <w:tr w:rsidR="007C1946" w14:paraId="288C029B" w14:textId="77777777" w:rsidTr="005F3639">
        <w:trPr>
          <w:trHeight w:val="386"/>
        </w:trPr>
        <w:tc>
          <w:tcPr>
            <w:tcW w:w="3368" w:type="dxa"/>
          </w:tcPr>
          <w:p w14:paraId="36F587D0" w14:textId="315906E1" w:rsidR="007C1946" w:rsidRDefault="007C1946" w:rsidP="007C1946">
            <w:pPr>
              <w:pStyle w:val="BodyText"/>
              <w:spacing w:after="240" w:line="240" w:lineRule="auto"/>
              <w:jc w:val="left"/>
            </w:pPr>
            <w:r>
              <w:t xml:space="preserve">One Hundred </w:t>
            </w:r>
            <w:r w:rsidR="004E43E1">
              <w:t xml:space="preserve">and </w:t>
            </w:r>
            <w:r>
              <w:t xml:space="preserve">Sixteenth </w:t>
            </w:r>
            <w:r w:rsidR="004E43E1">
              <w:t>Respondent:</w:t>
            </w:r>
          </w:p>
        </w:tc>
        <w:tc>
          <w:tcPr>
            <w:tcW w:w="5874" w:type="dxa"/>
            <w:tcMar>
              <w:left w:w="28" w:type="dxa"/>
            </w:tcMar>
          </w:tcPr>
          <w:p w14:paraId="046818CC" w14:textId="034E1C53" w:rsidR="007C1946" w:rsidRDefault="007C1946" w:rsidP="007C1946">
            <w:pPr>
              <w:pStyle w:val="BodyText"/>
              <w:spacing w:after="240" w:line="240" w:lineRule="auto"/>
              <w:jc w:val="left"/>
            </w:pPr>
            <w:r>
              <w:t>HOLDFAST MANAGEMENT SERVICE PTY LTD</w:t>
            </w:r>
          </w:p>
        </w:tc>
      </w:tr>
      <w:tr w:rsidR="007C1946" w14:paraId="153882FF" w14:textId="77777777" w:rsidTr="005F3639">
        <w:trPr>
          <w:trHeight w:val="386"/>
        </w:trPr>
        <w:tc>
          <w:tcPr>
            <w:tcW w:w="3368" w:type="dxa"/>
          </w:tcPr>
          <w:p w14:paraId="19E77A9C" w14:textId="2E28B95A" w:rsidR="007C1946" w:rsidRDefault="007C1946" w:rsidP="007C1946">
            <w:pPr>
              <w:pStyle w:val="BodyText"/>
              <w:spacing w:after="240" w:line="240" w:lineRule="auto"/>
              <w:jc w:val="left"/>
            </w:pPr>
            <w:r>
              <w:t xml:space="preserve">One Hundred </w:t>
            </w:r>
            <w:r w:rsidR="004E43E1">
              <w:t xml:space="preserve">and </w:t>
            </w:r>
            <w:r>
              <w:t xml:space="preserve">Seventeenth </w:t>
            </w:r>
            <w:r w:rsidR="004E43E1">
              <w:t>Respondent:</w:t>
            </w:r>
          </w:p>
        </w:tc>
        <w:tc>
          <w:tcPr>
            <w:tcW w:w="5874" w:type="dxa"/>
            <w:tcMar>
              <w:left w:w="28" w:type="dxa"/>
            </w:tcMar>
          </w:tcPr>
          <w:p w14:paraId="60576E8A" w14:textId="6A65010D" w:rsidR="007C1946" w:rsidRDefault="007C1946" w:rsidP="007C1946">
            <w:pPr>
              <w:pStyle w:val="BodyText"/>
              <w:spacing w:after="240" w:line="240" w:lineRule="auto"/>
              <w:jc w:val="left"/>
            </w:pPr>
            <w:r>
              <w:t>IMTUM PTY LTD</w:t>
            </w:r>
          </w:p>
        </w:tc>
      </w:tr>
      <w:tr w:rsidR="007C1946" w14:paraId="090F7B8E" w14:textId="77777777" w:rsidTr="005F3639">
        <w:trPr>
          <w:trHeight w:val="386"/>
        </w:trPr>
        <w:tc>
          <w:tcPr>
            <w:tcW w:w="3368" w:type="dxa"/>
          </w:tcPr>
          <w:p w14:paraId="4A2CF341" w14:textId="59E1125A" w:rsidR="007C1946" w:rsidRDefault="007C1946" w:rsidP="007C1946">
            <w:pPr>
              <w:pStyle w:val="BodyText"/>
              <w:spacing w:after="240" w:line="240" w:lineRule="auto"/>
              <w:jc w:val="left"/>
            </w:pPr>
            <w:r>
              <w:t xml:space="preserve">One Hundred </w:t>
            </w:r>
            <w:r w:rsidR="004E43E1">
              <w:t xml:space="preserve">and </w:t>
            </w:r>
            <w:r>
              <w:t xml:space="preserve">Eighteenth </w:t>
            </w:r>
            <w:r w:rsidR="004E43E1">
              <w:t>Respondent:</w:t>
            </w:r>
          </w:p>
        </w:tc>
        <w:tc>
          <w:tcPr>
            <w:tcW w:w="5874" w:type="dxa"/>
            <w:tcMar>
              <w:left w:w="28" w:type="dxa"/>
            </w:tcMar>
          </w:tcPr>
          <w:p w14:paraId="397CEFFC" w14:textId="50C58350" w:rsidR="007C1946" w:rsidRDefault="007C1946" w:rsidP="007C1946">
            <w:pPr>
              <w:pStyle w:val="BodyText"/>
              <w:spacing w:after="240" w:line="240" w:lineRule="auto"/>
              <w:jc w:val="left"/>
            </w:pPr>
            <w:r>
              <w:t>INVERELL M PTY LTD</w:t>
            </w:r>
          </w:p>
        </w:tc>
      </w:tr>
      <w:tr w:rsidR="007C1946" w14:paraId="18829812" w14:textId="77777777" w:rsidTr="005F3639">
        <w:trPr>
          <w:trHeight w:val="386"/>
        </w:trPr>
        <w:tc>
          <w:tcPr>
            <w:tcW w:w="3368" w:type="dxa"/>
          </w:tcPr>
          <w:p w14:paraId="40FEA5B8" w14:textId="550A8C29" w:rsidR="007C1946" w:rsidRDefault="007C1946" w:rsidP="007C1946">
            <w:pPr>
              <w:pStyle w:val="BodyText"/>
              <w:spacing w:after="240" w:line="240" w:lineRule="auto"/>
              <w:jc w:val="left"/>
            </w:pPr>
            <w:r>
              <w:t>One Hundred</w:t>
            </w:r>
            <w:r w:rsidR="004E43E1">
              <w:t xml:space="preserve"> and</w:t>
            </w:r>
            <w:r>
              <w:t xml:space="preserve"> Nineteenth </w:t>
            </w:r>
            <w:r w:rsidR="004E43E1">
              <w:t>Respondent:</w:t>
            </w:r>
          </w:p>
        </w:tc>
        <w:tc>
          <w:tcPr>
            <w:tcW w:w="5874" w:type="dxa"/>
            <w:tcMar>
              <w:left w:w="28" w:type="dxa"/>
            </w:tcMar>
          </w:tcPr>
          <w:p w14:paraId="042848EE" w14:textId="4DD1FFDA" w:rsidR="007C1946" w:rsidRDefault="007C1946" w:rsidP="007C1946">
            <w:pPr>
              <w:pStyle w:val="BodyText"/>
              <w:spacing w:after="240" w:line="240" w:lineRule="auto"/>
              <w:jc w:val="left"/>
            </w:pPr>
            <w:r>
              <w:t>J &amp; E LEMBERG PTY LTD</w:t>
            </w:r>
          </w:p>
        </w:tc>
      </w:tr>
      <w:tr w:rsidR="007C1946" w14:paraId="00CBB17D" w14:textId="77777777" w:rsidTr="005F3639">
        <w:trPr>
          <w:trHeight w:val="386"/>
        </w:trPr>
        <w:tc>
          <w:tcPr>
            <w:tcW w:w="3368" w:type="dxa"/>
          </w:tcPr>
          <w:p w14:paraId="5259738D" w14:textId="4E9E0524" w:rsidR="007C1946" w:rsidRDefault="007C1946" w:rsidP="007C1946">
            <w:pPr>
              <w:pStyle w:val="BodyText"/>
              <w:spacing w:after="240" w:line="240" w:lineRule="auto"/>
              <w:jc w:val="left"/>
            </w:pPr>
            <w:r>
              <w:t>One Hundred</w:t>
            </w:r>
            <w:r w:rsidR="004E43E1">
              <w:t xml:space="preserve"> and</w:t>
            </w:r>
            <w:r>
              <w:t xml:space="preserve"> Twentieth </w:t>
            </w:r>
            <w:r w:rsidR="004E43E1">
              <w:t>Respondent:</w:t>
            </w:r>
          </w:p>
        </w:tc>
        <w:tc>
          <w:tcPr>
            <w:tcW w:w="5874" w:type="dxa"/>
            <w:tcMar>
              <w:left w:w="28" w:type="dxa"/>
            </w:tcMar>
          </w:tcPr>
          <w:p w14:paraId="4CB2C210" w14:textId="307785EA" w:rsidR="007C1946" w:rsidRDefault="007C1946" w:rsidP="007C1946">
            <w:pPr>
              <w:pStyle w:val="BodyText"/>
              <w:spacing w:after="240" w:line="240" w:lineRule="auto"/>
              <w:jc w:val="left"/>
            </w:pPr>
            <w:r>
              <w:t>J. &amp; M. HODGE PTY LTD</w:t>
            </w:r>
          </w:p>
        </w:tc>
      </w:tr>
      <w:tr w:rsidR="007C1946" w14:paraId="1658A893" w14:textId="77777777" w:rsidTr="005F3639">
        <w:trPr>
          <w:trHeight w:val="386"/>
        </w:trPr>
        <w:tc>
          <w:tcPr>
            <w:tcW w:w="3368" w:type="dxa"/>
          </w:tcPr>
          <w:p w14:paraId="187D7A11" w14:textId="3C7759AB" w:rsidR="007C1946" w:rsidRDefault="007C1946" w:rsidP="007C1946">
            <w:pPr>
              <w:pStyle w:val="BodyText"/>
              <w:spacing w:after="240" w:line="240" w:lineRule="auto"/>
              <w:jc w:val="left"/>
            </w:pPr>
            <w:r>
              <w:t>One Hundred</w:t>
            </w:r>
            <w:r w:rsidR="004E43E1">
              <w:t xml:space="preserve"> and</w:t>
            </w:r>
            <w:r>
              <w:t xml:space="preserve"> Twenty First Respondent</w:t>
            </w:r>
            <w:r w:rsidR="004E43E1">
              <w:t>:</w:t>
            </w:r>
          </w:p>
        </w:tc>
        <w:tc>
          <w:tcPr>
            <w:tcW w:w="5874" w:type="dxa"/>
            <w:tcMar>
              <w:left w:w="28" w:type="dxa"/>
            </w:tcMar>
          </w:tcPr>
          <w:p w14:paraId="20C08FC8" w14:textId="79EBB6CA" w:rsidR="007C1946" w:rsidRDefault="007C1946" w:rsidP="007C1946">
            <w:pPr>
              <w:pStyle w:val="BodyText"/>
              <w:spacing w:after="240" w:line="240" w:lineRule="auto"/>
              <w:jc w:val="left"/>
            </w:pPr>
            <w:r>
              <w:t>J SADLER INVESTMENTS PTY LTD</w:t>
            </w:r>
          </w:p>
        </w:tc>
      </w:tr>
      <w:tr w:rsidR="007C1946" w14:paraId="03A635A8" w14:textId="77777777" w:rsidTr="005F3639">
        <w:trPr>
          <w:trHeight w:val="386"/>
        </w:trPr>
        <w:tc>
          <w:tcPr>
            <w:tcW w:w="3368" w:type="dxa"/>
          </w:tcPr>
          <w:p w14:paraId="0FBAED70" w14:textId="300AC206" w:rsidR="007C1946" w:rsidRDefault="007C1946" w:rsidP="007C1946">
            <w:pPr>
              <w:pStyle w:val="BodyText"/>
              <w:spacing w:after="240" w:line="240" w:lineRule="auto"/>
              <w:jc w:val="left"/>
            </w:pPr>
            <w:r>
              <w:t xml:space="preserve">One Hundred </w:t>
            </w:r>
            <w:r w:rsidR="004E43E1">
              <w:t xml:space="preserve">and </w:t>
            </w:r>
            <w:r>
              <w:t xml:space="preserve">Twenty Second </w:t>
            </w:r>
            <w:r w:rsidR="004E43E1">
              <w:t>Respondent:</w:t>
            </w:r>
          </w:p>
        </w:tc>
        <w:tc>
          <w:tcPr>
            <w:tcW w:w="5874" w:type="dxa"/>
            <w:tcMar>
              <w:left w:w="28" w:type="dxa"/>
            </w:tcMar>
          </w:tcPr>
          <w:p w14:paraId="113399F6" w14:textId="356A0266" w:rsidR="007C1946" w:rsidRDefault="007C1946" w:rsidP="007C1946">
            <w:pPr>
              <w:pStyle w:val="BodyText"/>
              <w:spacing w:after="240" w:line="240" w:lineRule="auto"/>
              <w:jc w:val="left"/>
            </w:pPr>
            <w:r>
              <w:t>JABAC PTY LTD</w:t>
            </w:r>
          </w:p>
        </w:tc>
      </w:tr>
      <w:tr w:rsidR="007C1946" w14:paraId="4E2A76E6" w14:textId="77777777" w:rsidTr="005F3639">
        <w:trPr>
          <w:trHeight w:val="386"/>
        </w:trPr>
        <w:tc>
          <w:tcPr>
            <w:tcW w:w="3368" w:type="dxa"/>
          </w:tcPr>
          <w:p w14:paraId="7F10C33B" w14:textId="21D1F893" w:rsidR="007C1946" w:rsidRDefault="007C1946" w:rsidP="007C1946">
            <w:pPr>
              <w:pStyle w:val="BodyText"/>
              <w:spacing w:after="240" w:line="240" w:lineRule="auto"/>
              <w:jc w:val="left"/>
            </w:pPr>
            <w:r>
              <w:t xml:space="preserve">One Hundred </w:t>
            </w:r>
            <w:r w:rsidR="004E43E1">
              <w:t xml:space="preserve">and </w:t>
            </w:r>
            <w:r>
              <w:t>Twenty Third Respondent</w:t>
            </w:r>
            <w:r w:rsidR="004E43E1">
              <w:t>:</w:t>
            </w:r>
          </w:p>
        </w:tc>
        <w:tc>
          <w:tcPr>
            <w:tcW w:w="5874" w:type="dxa"/>
            <w:tcMar>
              <w:left w:w="28" w:type="dxa"/>
            </w:tcMar>
          </w:tcPr>
          <w:p w14:paraId="411E9AEE" w14:textId="45289775" w:rsidR="007C1946" w:rsidRDefault="007C1946" w:rsidP="007C1946">
            <w:pPr>
              <w:pStyle w:val="BodyText"/>
              <w:spacing w:after="240" w:line="240" w:lineRule="auto"/>
              <w:jc w:val="left"/>
            </w:pPr>
            <w:r>
              <w:t>JABBA RESTAURANTS PTY LTD</w:t>
            </w:r>
          </w:p>
        </w:tc>
      </w:tr>
      <w:tr w:rsidR="007C1946" w14:paraId="31EB0C1C" w14:textId="77777777" w:rsidTr="005F3639">
        <w:trPr>
          <w:trHeight w:val="386"/>
        </w:trPr>
        <w:tc>
          <w:tcPr>
            <w:tcW w:w="3368" w:type="dxa"/>
          </w:tcPr>
          <w:p w14:paraId="22141D8B" w14:textId="4F40EAFE" w:rsidR="007C1946" w:rsidRDefault="007C1946" w:rsidP="007C1946">
            <w:pPr>
              <w:pStyle w:val="BodyText"/>
              <w:spacing w:after="240" w:line="240" w:lineRule="auto"/>
              <w:jc w:val="left"/>
            </w:pPr>
            <w:r>
              <w:t>One Hundred</w:t>
            </w:r>
            <w:r w:rsidR="00C773CB">
              <w:t xml:space="preserve"> and</w:t>
            </w:r>
            <w:r>
              <w:t xml:space="preserve"> Twenty Fourth </w:t>
            </w:r>
            <w:r w:rsidR="00C773CB">
              <w:t>Respondent:</w:t>
            </w:r>
          </w:p>
        </w:tc>
        <w:tc>
          <w:tcPr>
            <w:tcW w:w="5874" w:type="dxa"/>
            <w:tcMar>
              <w:left w:w="28" w:type="dxa"/>
            </w:tcMar>
          </w:tcPr>
          <w:p w14:paraId="78BE26FF" w14:textId="22053414" w:rsidR="007C1946" w:rsidRDefault="007C1946" w:rsidP="007C1946">
            <w:pPr>
              <w:pStyle w:val="BodyText"/>
              <w:spacing w:after="240" w:line="240" w:lineRule="auto"/>
              <w:jc w:val="left"/>
            </w:pPr>
            <w:r>
              <w:t>JADAM FOODS PTY LTD</w:t>
            </w:r>
          </w:p>
        </w:tc>
      </w:tr>
      <w:tr w:rsidR="007C1946" w14:paraId="442671BC" w14:textId="77777777" w:rsidTr="005F3639">
        <w:trPr>
          <w:trHeight w:val="386"/>
        </w:trPr>
        <w:tc>
          <w:tcPr>
            <w:tcW w:w="3368" w:type="dxa"/>
          </w:tcPr>
          <w:p w14:paraId="7B5EADF8" w14:textId="6E484004" w:rsidR="007C1946" w:rsidRDefault="007C1946" w:rsidP="007C1946">
            <w:pPr>
              <w:pStyle w:val="BodyText"/>
              <w:spacing w:after="240" w:line="240" w:lineRule="auto"/>
              <w:jc w:val="left"/>
            </w:pPr>
            <w:r>
              <w:t xml:space="preserve">One Hundred </w:t>
            </w:r>
            <w:r w:rsidR="00C773CB">
              <w:t xml:space="preserve">and </w:t>
            </w:r>
            <w:r>
              <w:t xml:space="preserve">Twenty Fifth </w:t>
            </w:r>
            <w:r w:rsidR="00C773CB">
              <w:t>Respondent:</w:t>
            </w:r>
          </w:p>
        </w:tc>
        <w:tc>
          <w:tcPr>
            <w:tcW w:w="5874" w:type="dxa"/>
            <w:tcMar>
              <w:left w:w="28" w:type="dxa"/>
            </w:tcMar>
          </w:tcPr>
          <w:p w14:paraId="7A450039" w14:textId="4114876C" w:rsidR="007C1946" w:rsidRDefault="007C1946" w:rsidP="007C1946">
            <w:pPr>
              <w:pStyle w:val="BodyText"/>
              <w:spacing w:after="240" w:line="240" w:lineRule="auto"/>
              <w:jc w:val="left"/>
            </w:pPr>
            <w:r>
              <w:t>JAELJAM PTY LTD</w:t>
            </w:r>
          </w:p>
        </w:tc>
      </w:tr>
      <w:tr w:rsidR="007C1946" w14:paraId="11F94384" w14:textId="77777777" w:rsidTr="005F3639">
        <w:trPr>
          <w:trHeight w:val="386"/>
        </w:trPr>
        <w:tc>
          <w:tcPr>
            <w:tcW w:w="3368" w:type="dxa"/>
          </w:tcPr>
          <w:p w14:paraId="56D4B184" w14:textId="7F63FEFC" w:rsidR="007C1946" w:rsidRDefault="007C1946" w:rsidP="007C1946">
            <w:pPr>
              <w:pStyle w:val="BodyText"/>
              <w:spacing w:after="240" w:line="240" w:lineRule="auto"/>
              <w:jc w:val="left"/>
            </w:pPr>
            <w:r>
              <w:t>One Hundred</w:t>
            </w:r>
            <w:r w:rsidR="00C773CB">
              <w:t xml:space="preserve"> and</w:t>
            </w:r>
            <w:r>
              <w:t xml:space="preserve"> Twenty Sixth </w:t>
            </w:r>
            <w:r w:rsidR="00C773CB">
              <w:t>Respondent:</w:t>
            </w:r>
          </w:p>
        </w:tc>
        <w:tc>
          <w:tcPr>
            <w:tcW w:w="5874" w:type="dxa"/>
            <w:tcMar>
              <w:left w:w="28" w:type="dxa"/>
            </w:tcMar>
          </w:tcPr>
          <w:p w14:paraId="38AAF802" w14:textId="670E0681" w:rsidR="007C1946" w:rsidRDefault="007C1946" w:rsidP="007C1946">
            <w:pPr>
              <w:pStyle w:val="BodyText"/>
              <w:spacing w:after="240" w:line="240" w:lineRule="auto"/>
              <w:jc w:val="left"/>
            </w:pPr>
            <w:r>
              <w:t>JAKIARA QLD PTY LTD</w:t>
            </w:r>
          </w:p>
        </w:tc>
      </w:tr>
      <w:tr w:rsidR="007C1946" w14:paraId="193BA33A" w14:textId="77777777" w:rsidTr="005F3639">
        <w:trPr>
          <w:trHeight w:val="386"/>
        </w:trPr>
        <w:tc>
          <w:tcPr>
            <w:tcW w:w="3368" w:type="dxa"/>
          </w:tcPr>
          <w:p w14:paraId="0CF89D12" w14:textId="36062C97" w:rsidR="007C1946" w:rsidRDefault="007C1946" w:rsidP="007C1946">
            <w:pPr>
              <w:pStyle w:val="BodyText"/>
              <w:spacing w:after="240" w:line="240" w:lineRule="auto"/>
              <w:jc w:val="left"/>
            </w:pPr>
            <w:r>
              <w:t xml:space="preserve">One Hundred </w:t>
            </w:r>
            <w:r w:rsidR="00C773CB">
              <w:t xml:space="preserve">and </w:t>
            </w:r>
            <w:r>
              <w:t xml:space="preserve">Twenty Seventh </w:t>
            </w:r>
            <w:r w:rsidR="00C773CB">
              <w:t>Respondent:</w:t>
            </w:r>
          </w:p>
        </w:tc>
        <w:tc>
          <w:tcPr>
            <w:tcW w:w="5874" w:type="dxa"/>
            <w:tcMar>
              <w:left w:w="28" w:type="dxa"/>
            </w:tcMar>
          </w:tcPr>
          <w:p w14:paraId="38AE7E9A" w14:textId="169DB0DB" w:rsidR="007C1946" w:rsidRDefault="007C1946" w:rsidP="007C1946">
            <w:pPr>
              <w:pStyle w:val="BodyText"/>
              <w:spacing w:after="240" w:line="240" w:lineRule="auto"/>
              <w:jc w:val="left"/>
            </w:pPr>
            <w:r>
              <w:t>JALPA FOODS PTY LTD</w:t>
            </w:r>
          </w:p>
        </w:tc>
      </w:tr>
      <w:tr w:rsidR="007C1946" w14:paraId="2148ABE4" w14:textId="77777777" w:rsidTr="005F3639">
        <w:trPr>
          <w:trHeight w:val="386"/>
        </w:trPr>
        <w:tc>
          <w:tcPr>
            <w:tcW w:w="3368" w:type="dxa"/>
          </w:tcPr>
          <w:p w14:paraId="4CFF3FC3" w14:textId="1FAA7545" w:rsidR="007C1946" w:rsidRDefault="007C1946" w:rsidP="007C1946">
            <w:pPr>
              <w:pStyle w:val="BodyText"/>
              <w:spacing w:after="240" w:line="240" w:lineRule="auto"/>
              <w:jc w:val="left"/>
            </w:pPr>
            <w:r>
              <w:t>One Hundred</w:t>
            </w:r>
            <w:r w:rsidR="00F5492F">
              <w:t xml:space="preserve"> and</w:t>
            </w:r>
            <w:r>
              <w:t xml:space="preserve"> Twenty Eighth </w:t>
            </w:r>
            <w:r w:rsidR="00F5492F">
              <w:t>Respondent:</w:t>
            </w:r>
          </w:p>
        </w:tc>
        <w:tc>
          <w:tcPr>
            <w:tcW w:w="5874" w:type="dxa"/>
            <w:tcMar>
              <w:left w:w="28" w:type="dxa"/>
            </w:tcMar>
          </w:tcPr>
          <w:p w14:paraId="773E04BD" w14:textId="4FAAD0A0" w:rsidR="007C1946" w:rsidRDefault="007C1946" w:rsidP="007C1946">
            <w:pPr>
              <w:pStyle w:val="BodyText"/>
              <w:spacing w:after="240" w:line="240" w:lineRule="auto"/>
              <w:jc w:val="left"/>
            </w:pPr>
            <w:r>
              <w:t>JAMADA PTY LTD</w:t>
            </w:r>
          </w:p>
        </w:tc>
      </w:tr>
      <w:tr w:rsidR="007C1946" w14:paraId="5811F31C" w14:textId="77777777" w:rsidTr="005F3639">
        <w:trPr>
          <w:trHeight w:val="386"/>
        </w:trPr>
        <w:tc>
          <w:tcPr>
            <w:tcW w:w="3368" w:type="dxa"/>
          </w:tcPr>
          <w:p w14:paraId="7A5BF06E" w14:textId="47FE6C08" w:rsidR="007C1946" w:rsidRDefault="007C1946" w:rsidP="007C1946">
            <w:pPr>
              <w:pStyle w:val="BodyText"/>
              <w:spacing w:after="240" w:line="240" w:lineRule="auto"/>
              <w:jc w:val="left"/>
            </w:pPr>
            <w:r>
              <w:t>One Hundred</w:t>
            </w:r>
            <w:r w:rsidR="00F5492F">
              <w:t xml:space="preserve"> and</w:t>
            </w:r>
            <w:r>
              <w:t xml:space="preserve"> Twenty Ninth </w:t>
            </w:r>
            <w:r w:rsidR="00F5492F">
              <w:t>Respondent:</w:t>
            </w:r>
          </w:p>
        </w:tc>
        <w:tc>
          <w:tcPr>
            <w:tcW w:w="5874" w:type="dxa"/>
            <w:tcMar>
              <w:left w:w="28" w:type="dxa"/>
            </w:tcMar>
          </w:tcPr>
          <w:p w14:paraId="3423AF89" w14:textId="2C68818C" w:rsidR="007C1946" w:rsidRDefault="007C1946" w:rsidP="007C1946">
            <w:pPr>
              <w:pStyle w:val="BodyText"/>
              <w:spacing w:after="240" w:line="240" w:lineRule="auto"/>
              <w:jc w:val="left"/>
            </w:pPr>
            <w:r>
              <w:t>JAMADU (QLD) PTY LTD</w:t>
            </w:r>
          </w:p>
        </w:tc>
      </w:tr>
      <w:tr w:rsidR="007C1946" w14:paraId="0AABDFBF" w14:textId="77777777" w:rsidTr="005F3639">
        <w:trPr>
          <w:trHeight w:val="386"/>
        </w:trPr>
        <w:tc>
          <w:tcPr>
            <w:tcW w:w="3368" w:type="dxa"/>
          </w:tcPr>
          <w:p w14:paraId="4BA8BF4C" w14:textId="4DCF34BA" w:rsidR="007C1946" w:rsidRDefault="007C1946" w:rsidP="007C1946">
            <w:pPr>
              <w:pStyle w:val="BodyText"/>
              <w:spacing w:after="240" w:line="240" w:lineRule="auto"/>
              <w:jc w:val="left"/>
            </w:pPr>
            <w:r>
              <w:t>One Hundred</w:t>
            </w:r>
            <w:r w:rsidR="00F5492F">
              <w:t xml:space="preserve"> and</w:t>
            </w:r>
            <w:r>
              <w:t xml:space="preserve"> Thirtieth </w:t>
            </w:r>
            <w:r w:rsidR="00F5492F">
              <w:t>Respondent:</w:t>
            </w:r>
          </w:p>
        </w:tc>
        <w:tc>
          <w:tcPr>
            <w:tcW w:w="5874" w:type="dxa"/>
            <w:tcMar>
              <w:left w:w="28" w:type="dxa"/>
            </w:tcMar>
          </w:tcPr>
          <w:p w14:paraId="23BFA865" w14:textId="3EA76B57" w:rsidR="007C1946" w:rsidRDefault="007C1946" w:rsidP="007C1946">
            <w:pPr>
              <w:pStyle w:val="BodyText"/>
              <w:spacing w:after="240" w:line="240" w:lineRule="auto"/>
              <w:jc w:val="left"/>
            </w:pPr>
            <w:r>
              <w:t>JAMEL PTY LTD</w:t>
            </w:r>
          </w:p>
        </w:tc>
      </w:tr>
      <w:tr w:rsidR="007C1946" w14:paraId="71A669ED" w14:textId="77777777" w:rsidTr="005F3639">
        <w:trPr>
          <w:trHeight w:val="386"/>
        </w:trPr>
        <w:tc>
          <w:tcPr>
            <w:tcW w:w="3368" w:type="dxa"/>
          </w:tcPr>
          <w:p w14:paraId="2ECA87A2" w14:textId="4D0ADE78" w:rsidR="007C1946" w:rsidRDefault="007C1946" w:rsidP="007C1946">
            <w:pPr>
              <w:pStyle w:val="BodyText"/>
              <w:spacing w:after="240" w:line="240" w:lineRule="auto"/>
              <w:jc w:val="left"/>
            </w:pPr>
            <w:r>
              <w:t>One Hundred</w:t>
            </w:r>
            <w:r w:rsidR="00F5492F">
              <w:t xml:space="preserve"> and</w:t>
            </w:r>
            <w:r>
              <w:t xml:space="preserve"> Thirty First </w:t>
            </w:r>
            <w:r w:rsidR="000A1045">
              <w:t>Respondent:</w:t>
            </w:r>
          </w:p>
        </w:tc>
        <w:tc>
          <w:tcPr>
            <w:tcW w:w="5874" w:type="dxa"/>
            <w:tcMar>
              <w:left w:w="28" w:type="dxa"/>
            </w:tcMar>
          </w:tcPr>
          <w:p w14:paraId="2AC20E2C" w14:textId="1989EE3F" w:rsidR="007C1946" w:rsidRDefault="007C1946" w:rsidP="007C1946">
            <w:pPr>
              <w:pStyle w:val="BodyText"/>
              <w:spacing w:after="240" w:line="240" w:lineRule="auto"/>
              <w:jc w:val="left"/>
            </w:pPr>
            <w:r>
              <w:t>JAMERI PTY LTD</w:t>
            </w:r>
          </w:p>
        </w:tc>
      </w:tr>
      <w:tr w:rsidR="007C1946" w14:paraId="0FFB2D61" w14:textId="77777777" w:rsidTr="005F3639">
        <w:trPr>
          <w:trHeight w:val="386"/>
        </w:trPr>
        <w:tc>
          <w:tcPr>
            <w:tcW w:w="3368" w:type="dxa"/>
          </w:tcPr>
          <w:p w14:paraId="709AAFE0" w14:textId="7E761B89" w:rsidR="007C1946" w:rsidRDefault="007C1946" w:rsidP="007C1946">
            <w:pPr>
              <w:pStyle w:val="BodyText"/>
              <w:spacing w:after="240" w:line="240" w:lineRule="auto"/>
              <w:jc w:val="left"/>
            </w:pPr>
            <w:r>
              <w:t xml:space="preserve">One Hundred </w:t>
            </w:r>
            <w:r w:rsidR="000A1045">
              <w:t xml:space="preserve">and </w:t>
            </w:r>
            <w:r>
              <w:t xml:space="preserve">Thirty Second </w:t>
            </w:r>
            <w:r w:rsidR="000A1045">
              <w:t>Respondent:</w:t>
            </w:r>
          </w:p>
        </w:tc>
        <w:tc>
          <w:tcPr>
            <w:tcW w:w="5874" w:type="dxa"/>
            <w:tcMar>
              <w:left w:w="28" w:type="dxa"/>
            </w:tcMar>
          </w:tcPr>
          <w:p w14:paraId="795A1597" w14:textId="122A33B4" w:rsidR="007C1946" w:rsidRDefault="007C1946" w:rsidP="007C1946">
            <w:pPr>
              <w:pStyle w:val="BodyText"/>
              <w:spacing w:after="240" w:line="240" w:lineRule="auto"/>
              <w:jc w:val="left"/>
            </w:pPr>
            <w:r>
              <w:t>JANASEL PTY LTD</w:t>
            </w:r>
          </w:p>
        </w:tc>
      </w:tr>
      <w:tr w:rsidR="007C1946" w14:paraId="2F9D8B04" w14:textId="77777777" w:rsidTr="005F3639">
        <w:trPr>
          <w:trHeight w:val="386"/>
        </w:trPr>
        <w:tc>
          <w:tcPr>
            <w:tcW w:w="3368" w:type="dxa"/>
          </w:tcPr>
          <w:p w14:paraId="5B0DD615" w14:textId="4AA2C34B" w:rsidR="007C1946" w:rsidRDefault="007C1946" w:rsidP="007C1946">
            <w:pPr>
              <w:pStyle w:val="BodyText"/>
              <w:spacing w:after="240" w:line="240" w:lineRule="auto"/>
              <w:jc w:val="left"/>
            </w:pPr>
            <w:r>
              <w:t xml:space="preserve">One Hundred </w:t>
            </w:r>
            <w:r w:rsidR="000A1045">
              <w:t xml:space="preserve">and </w:t>
            </w:r>
            <w:r>
              <w:t xml:space="preserve">Thirty Third </w:t>
            </w:r>
            <w:r w:rsidR="000A1045">
              <w:t>Respondent:</w:t>
            </w:r>
          </w:p>
        </w:tc>
        <w:tc>
          <w:tcPr>
            <w:tcW w:w="5874" w:type="dxa"/>
            <w:tcMar>
              <w:left w:w="28" w:type="dxa"/>
            </w:tcMar>
          </w:tcPr>
          <w:p w14:paraId="3CDAC3FD" w14:textId="534FF095" w:rsidR="007C1946" w:rsidRDefault="007C1946" w:rsidP="007C1946">
            <w:pPr>
              <w:pStyle w:val="BodyText"/>
              <w:spacing w:after="240" w:line="240" w:lineRule="auto"/>
              <w:jc w:val="left"/>
            </w:pPr>
            <w:r>
              <w:t>JANDA WHITEHOUSE PTY LTD</w:t>
            </w:r>
          </w:p>
        </w:tc>
      </w:tr>
      <w:tr w:rsidR="007C1946" w14:paraId="71C3454D" w14:textId="77777777" w:rsidTr="005F3639">
        <w:trPr>
          <w:trHeight w:val="386"/>
        </w:trPr>
        <w:tc>
          <w:tcPr>
            <w:tcW w:w="3368" w:type="dxa"/>
          </w:tcPr>
          <w:p w14:paraId="3A865667" w14:textId="616A2F7E" w:rsidR="007C1946" w:rsidRDefault="007C1946" w:rsidP="007C1946">
            <w:pPr>
              <w:pStyle w:val="BodyText"/>
              <w:spacing w:after="240" w:line="240" w:lineRule="auto"/>
              <w:jc w:val="left"/>
            </w:pPr>
            <w:r>
              <w:t>One Hundred</w:t>
            </w:r>
            <w:r w:rsidR="000A1045">
              <w:t xml:space="preserve"> and</w:t>
            </w:r>
            <w:r>
              <w:t xml:space="preserve"> Thirty Fourth </w:t>
            </w:r>
            <w:r w:rsidR="000A1045">
              <w:t>Respondent:</w:t>
            </w:r>
          </w:p>
        </w:tc>
        <w:tc>
          <w:tcPr>
            <w:tcW w:w="5874" w:type="dxa"/>
            <w:tcMar>
              <w:left w:w="28" w:type="dxa"/>
            </w:tcMar>
          </w:tcPr>
          <w:p w14:paraId="4EAD848F" w14:textId="0DE728AB" w:rsidR="007C1946" w:rsidRDefault="007C1946" w:rsidP="007C1946">
            <w:pPr>
              <w:pStyle w:val="BodyText"/>
              <w:spacing w:after="240" w:line="240" w:lineRule="auto"/>
              <w:jc w:val="left"/>
            </w:pPr>
            <w:r>
              <w:t>JARRON PTY LTD</w:t>
            </w:r>
          </w:p>
        </w:tc>
      </w:tr>
      <w:tr w:rsidR="007C1946" w14:paraId="39354E7D" w14:textId="77777777" w:rsidTr="005F3639">
        <w:trPr>
          <w:trHeight w:val="386"/>
        </w:trPr>
        <w:tc>
          <w:tcPr>
            <w:tcW w:w="3368" w:type="dxa"/>
          </w:tcPr>
          <w:p w14:paraId="589C9239" w14:textId="14C1C73F" w:rsidR="007C1946" w:rsidRDefault="007C1946" w:rsidP="007C1946">
            <w:pPr>
              <w:pStyle w:val="BodyText"/>
              <w:spacing w:after="240" w:line="240" w:lineRule="auto"/>
              <w:jc w:val="left"/>
            </w:pPr>
            <w:r>
              <w:t xml:space="preserve">One Hundred </w:t>
            </w:r>
            <w:r w:rsidR="000A1045">
              <w:t xml:space="preserve">and </w:t>
            </w:r>
            <w:r>
              <w:t xml:space="preserve">Thirty Fifth </w:t>
            </w:r>
            <w:r w:rsidR="000A1045">
              <w:t>Respondent:</w:t>
            </w:r>
          </w:p>
        </w:tc>
        <w:tc>
          <w:tcPr>
            <w:tcW w:w="5874" w:type="dxa"/>
            <w:tcMar>
              <w:left w:w="28" w:type="dxa"/>
            </w:tcMar>
          </w:tcPr>
          <w:p w14:paraId="09A27A2A" w14:textId="194F53C4" w:rsidR="007C1946" w:rsidRDefault="007C1946" w:rsidP="007C1946">
            <w:pPr>
              <w:pStyle w:val="BodyText"/>
              <w:spacing w:after="240" w:line="240" w:lineRule="auto"/>
              <w:jc w:val="left"/>
            </w:pPr>
            <w:r>
              <w:t>JASIE PTY LTD</w:t>
            </w:r>
          </w:p>
        </w:tc>
      </w:tr>
      <w:tr w:rsidR="007C1946" w14:paraId="2D638D23" w14:textId="77777777" w:rsidTr="005F3639">
        <w:trPr>
          <w:trHeight w:val="386"/>
        </w:trPr>
        <w:tc>
          <w:tcPr>
            <w:tcW w:w="3368" w:type="dxa"/>
          </w:tcPr>
          <w:p w14:paraId="1ACDEBDC" w14:textId="5747AEA5" w:rsidR="007C1946" w:rsidRDefault="007C1946" w:rsidP="007C1946">
            <w:pPr>
              <w:pStyle w:val="BodyText"/>
              <w:spacing w:after="240" w:line="240" w:lineRule="auto"/>
              <w:jc w:val="left"/>
            </w:pPr>
            <w:r>
              <w:t>One Hundred</w:t>
            </w:r>
            <w:r w:rsidR="001B5A0C">
              <w:t xml:space="preserve"> and</w:t>
            </w:r>
            <w:r>
              <w:t xml:space="preserve"> Thirty Sixth </w:t>
            </w:r>
            <w:r w:rsidR="001B5A0C">
              <w:t>Respondent:</w:t>
            </w:r>
          </w:p>
        </w:tc>
        <w:tc>
          <w:tcPr>
            <w:tcW w:w="5874" w:type="dxa"/>
            <w:tcMar>
              <w:left w:w="28" w:type="dxa"/>
            </w:tcMar>
          </w:tcPr>
          <w:p w14:paraId="68DE25F8" w14:textId="72686A35" w:rsidR="007C1946" w:rsidRDefault="007C1946" w:rsidP="007C1946">
            <w:pPr>
              <w:pStyle w:val="BodyText"/>
              <w:spacing w:after="240" w:line="240" w:lineRule="auto"/>
              <w:jc w:val="left"/>
            </w:pPr>
            <w:r>
              <w:t>JATAM PTY LTD</w:t>
            </w:r>
          </w:p>
        </w:tc>
      </w:tr>
      <w:tr w:rsidR="007C1946" w14:paraId="3AC20474" w14:textId="77777777" w:rsidTr="005F3639">
        <w:trPr>
          <w:trHeight w:val="386"/>
        </w:trPr>
        <w:tc>
          <w:tcPr>
            <w:tcW w:w="3368" w:type="dxa"/>
          </w:tcPr>
          <w:p w14:paraId="6ECA04EA" w14:textId="78703F86" w:rsidR="007C1946" w:rsidRDefault="007C1946" w:rsidP="007C1946">
            <w:pPr>
              <w:pStyle w:val="BodyText"/>
              <w:spacing w:after="240" w:line="240" w:lineRule="auto"/>
              <w:jc w:val="left"/>
            </w:pPr>
            <w:r>
              <w:t xml:space="preserve">One Hundred </w:t>
            </w:r>
            <w:r w:rsidR="001B5A0C">
              <w:t xml:space="preserve">and </w:t>
            </w:r>
            <w:r>
              <w:t xml:space="preserve">Thirty Seventh </w:t>
            </w:r>
            <w:r w:rsidR="001B5A0C">
              <w:t>Respondent:</w:t>
            </w:r>
          </w:p>
        </w:tc>
        <w:tc>
          <w:tcPr>
            <w:tcW w:w="5874" w:type="dxa"/>
            <w:tcMar>
              <w:left w:w="28" w:type="dxa"/>
            </w:tcMar>
          </w:tcPr>
          <w:p w14:paraId="572B7F5D" w14:textId="4AA0FFBB" w:rsidR="007C1946" w:rsidRDefault="007C1946" w:rsidP="007C1946">
            <w:pPr>
              <w:pStyle w:val="BodyText"/>
              <w:spacing w:after="240" w:line="240" w:lineRule="auto"/>
              <w:jc w:val="left"/>
            </w:pPr>
            <w:r>
              <w:t>JAVARI PTY LTD</w:t>
            </w:r>
          </w:p>
        </w:tc>
      </w:tr>
      <w:tr w:rsidR="007C1946" w14:paraId="3156C414" w14:textId="77777777" w:rsidTr="005F3639">
        <w:trPr>
          <w:trHeight w:val="386"/>
        </w:trPr>
        <w:tc>
          <w:tcPr>
            <w:tcW w:w="3368" w:type="dxa"/>
          </w:tcPr>
          <w:p w14:paraId="1070A162" w14:textId="383AB58F" w:rsidR="007C1946" w:rsidRDefault="007C1946" w:rsidP="007C1946">
            <w:pPr>
              <w:pStyle w:val="BodyText"/>
              <w:spacing w:after="240" w:line="240" w:lineRule="auto"/>
              <w:jc w:val="left"/>
            </w:pPr>
            <w:r>
              <w:t xml:space="preserve">One Hundred </w:t>
            </w:r>
            <w:r w:rsidR="001B5A0C">
              <w:t xml:space="preserve">and </w:t>
            </w:r>
            <w:r>
              <w:t xml:space="preserve">Thirty Eighth </w:t>
            </w:r>
            <w:r w:rsidR="001B5A0C">
              <w:t>Respondent:</w:t>
            </w:r>
          </w:p>
        </w:tc>
        <w:tc>
          <w:tcPr>
            <w:tcW w:w="5874" w:type="dxa"/>
            <w:tcMar>
              <w:left w:w="28" w:type="dxa"/>
            </w:tcMar>
          </w:tcPr>
          <w:p w14:paraId="4BEBD4FD" w14:textId="5135DDFB" w:rsidR="007C1946" w:rsidRDefault="007C1946" w:rsidP="007C1946">
            <w:pPr>
              <w:pStyle w:val="BodyText"/>
              <w:spacing w:after="240" w:line="240" w:lineRule="auto"/>
              <w:jc w:val="left"/>
            </w:pPr>
            <w:r>
              <w:t>JAYARK PTY LTD</w:t>
            </w:r>
          </w:p>
        </w:tc>
      </w:tr>
      <w:tr w:rsidR="007C1946" w14:paraId="6FB2B6EC" w14:textId="77777777" w:rsidTr="005F3639">
        <w:trPr>
          <w:trHeight w:val="386"/>
        </w:trPr>
        <w:tc>
          <w:tcPr>
            <w:tcW w:w="3368" w:type="dxa"/>
          </w:tcPr>
          <w:p w14:paraId="6E511356" w14:textId="54665ED3" w:rsidR="007C1946" w:rsidRDefault="007C1946" w:rsidP="007C1946">
            <w:pPr>
              <w:pStyle w:val="BodyText"/>
              <w:spacing w:after="240" w:line="240" w:lineRule="auto"/>
              <w:jc w:val="left"/>
            </w:pPr>
            <w:r>
              <w:t xml:space="preserve">One Hundred </w:t>
            </w:r>
            <w:r w:rsidR="001B5A0C">
              <w:t xml:space="preserve">and </w:t>
            </w:r>
            <w:r>
              <w:t xml:space="preserve">Thirty Ninth </w:t>
            </w:r>
            <w:r w:rsidR="001B5A0C">
              <w:t>Respondent:</w:t>
            </w:r>
          </w:p>
        </w:tc>
        <w:tc>
          <w:tcPr>
            <w:tcW w:w="5874" w:type="dxa"/>
            <w:tcMar>
              <w:left w:w="28" w:type="dxa"/>
            </w:tcMar>
          </w:tcPr>
          <w:p w14:paraId="375FC26E" w14:textId="1445BA49" w:rsidR="007C1946" w:rsidRDefault="007C1946" w:rsidP="007C1946">
            <w:pPr>
              <w:pStyle w:val="BodyText"/>
              <w:spacing w:after="240" w:line="240" w:lineRule="auto"/>
              <w:jc w:val="left"/>
            </w:pPr>
            <w:r>
              <w:t>JEFFERSON LANE ENTERPRISES PTY LTD</w:t>
            </w:r>
          </w:p>
        </w:tc>
      </w:tr>
      <w:tr w:rsidR="007C1946" w14:paraId="25B3BF92" w14:textId="77777777" w:rsidTr="005F3639">
        <w:trPr>
          <w:trHeight w:val="386"/>
        </w:trPr>
        <w:tc>
          <w:tcPr>
            <w:tcW w:w="3368" w:type="dxa"/>
          </w:tcPr>
          <w:p w14:paraId="02D0BD43" w14:textId="34CE02F5" w:rsidR="007C1946" w:rsidRDefault="007C1946" w:rsidP="007C1946">
            <w:pPr>
              <w:pStyle w:val="BodyText"/>
              <w:spacing w:after="240" w:line="240" w:lineRule="auto"/>
              <w:jc w:val="left"/>
            </w:pPr>
            <w:r>
              <w:t>One Hundred</w:t>
            </w:r>
            <w:r w:rsidR="00E74CA2">
              <w:t xml:space="preserve"> and</w:t>
            </w:r>
            <w:r>
              <w:t xml:space="preserve"> Fortieth </w:t>
            </w:r>
            <w:r w:rsidR="00E74CA2">
              <w:t>Respondent:</w:t>
            </w:r>
          </w:p>
        </w:tc>
        <w:tc>
          <w:tcPr>
            <w:tcW w:w="5874" w:type="dxa"/>
            <w:tcMar>
              <w:left w:w="28" w:type="dxa"/>
            </w:tcMar>
          </w:tcPr>
          <w:p w14:paraId="1CF95EBA" w14:textId="68E32814" w:rsidR="007C1946" w:rsidRDefault="007C1946" w:rsidP="007C1946">
            <w:pPr>
              <w:pStyle w:val="BodyText"/>
              <w:spacing w:after="240" w:line="240" w:lineRule="auto"/>
              <w:jc w:val="left"/>
            </w:pPr>
            <w:r>
              <w:t>JEMADA PTY LTD</w:t>
            </w:r>
          </w:p>
        </w:tc>
      </w:tr>
      <w:tr w:rsidR="007C1946" w14:paraId="592CEE45" w14:textId="77777777" w:rsidTr="005F3639">
        <w:trPr>
          <w:trHeight w:val="386"/>
        </w:trPr>
        <w:tc>
          <w:tcPr>
            <w:tcW w:w="3368" w:type="dxa"/>
          </w:tcPr>
          <w:p w14:paraId="0EB4824D" w14:textId="03A9B3CA" w:rsidR="007C1946" w:rsidRDefault="007C1946" w:rsidP="007C1946">
            <w:pPr>
              <w:pStyle w:val="BodyText"/>
              <w:spacing w:after="240" w:line="240" w:lineRule="auto"/>
              <w:jc w:val="left"/>
            </w:pPr>
            <w:r>
              <w:t xml:space="preserve">One Hundred </w:t>
            </w:r>
            <w:r w:rsidR="00E74CA2">
              <w:t xml:space="preserve">and </w:t>
            </w:r>
            <w:r>
              <w:t xml:space="preserve">Forty First </w:t>
            </w:r>
            <w:r w:rsidR="00E74CA2">
              <w:t>Respondent:</w:t>
            </w:r>
          </w:p>
        </w:tc>
        <w:tc>
          <w:tcPr>
            <w:tcW w:w="5874" w:type="dxa"/>
            <w:tcMar>
              <w:left w:w="28" w:type="dxa"/>
            </w:tcMar>
          </w:tcPr>
          <w:p w14:paraId="3DF77414" w14:textId="24B34FB9" w:rsidR="007C1946" w:rsidRDefault="007C1946" w:rsidP="007C1946">
            <w:pPr>
              <w:pStyle w:val="BodyText"/>
              <w:spacing w:after="240" w:line="240" w:lineRule="auto"/>
              <w:jc w:val="left"/>
            </w:pPr>
            <w:r>
              <w:t>JESMARDAN PTY LTD</w:t>
            </w:r>
          </w:p>
        </w:tc>
      </w:tr>
      <w:tr w:rsidR="007C1946" w14:paraId="341FB7E6" w14:textId="77777777" w:rsidTr="005F3639">
        <w:trPr>
          <w:trHeight w:val="386"/>
        </w:trPr>
        <w:tc>
          <w:tcPr>
            <w:tcW w:w="3368" w:type="dxa"/>
          </w:tcPr>
          <w:p w14:paraId="0568E2E3" w14:textId="6CCC9ADB" w:rsidR="007C1946" w:rsidRDefault="007C1946" w:rsidP="007C1946">
            <w:pPr>
              <w:pStyle w:val="BodyText"/>
              <w:spacing w:after="240" w:line="240" w:lineRule="auto"/>
              <w:jc w:val="left"/>
            </w:pPr>
            <w:r>
              <w:t>One Hundred</w:t>
            </w:r>
            <w:r w:rsidR="00E74CA2">
              <w:t xml:space="preserve"> and</w:t>
            </w:r>
            <w:r>
              <w:t xml:space="preserve"> Forty Second </w:t>
            </w:r>
            <w:r w:rsidR="00E74CA2">
              <w:t>Respondent:</w:t>
            </w:r>
          </w:p>
        </w:tc>
        <w:tc>
          <w:tcPr>
            <w:tcW w:w="5874" w:type="dxa"/>
            <w:tcMar>
              <w:left w:w="28" w:type="dxa"/>
            </w:tcMar>
          </w:tcPr>
          <w:p w14:paraId="23D4C1E8" w14:textId="613191EA" w:rsidR="007C1946" w:rsidRDefault="007C1946" w:rsidP="007C1946">
            <w:pPr>
              <w:pStyle w:val="BodyText"/>
              <w:spacing w:after="240" w:line="240" w:lineRule="auto"/>
              <w:jc w:val="left"/>
            </w:pPr>
            <w:r>
              <w:t>JETSRUS PTY LTD</w:t>
            </w:r>
          </w:p>
        </w:tc>
      </w:tr>
      <w:tr w:rsidR="007C1946" w14:paraId="56270C41" w14:textId="77777777" w:rsidTr="005F3639">
        <w:trPr>
          <w:trHeight w:val="386"/>
        </w:trPr>
        <w:tc>
          <w:tcPr>
            <w:tcW w:w="3368" w:type="dxa"/>
          </w:tcPr>
          <w:p w14:paraId="510BB7BA" w14:textId="5D1404D9" w:rsidR="007C1946" w:rsidRDefault="007C1946" w:rsidP="007C1946">
            <w:pPr>
              <w:pStyle w:val="BodyText"/>
              <w:spacing w:after="240" w:line="240" w:lineRule="auto"/>
              <w:jc w:val="left"/>
            </w:pPr>
            <w:r>
              <w:t>One Hundred</w:t>
            </w:r>
            <w:r w:rsidR="00E74CA2">
              <w:t xml:space="preserve"> and</w:t>
            </w:r>
            <w:r>
              <w:t xml:space="preserve"> Forty Fourth </w:t>
            </w:r>
            <w:r w:rsidR="00E74CA2">
              <w:t>Respondent:</w:t>
            </w:r>
          </w:p>
        </w:tc>
        <w:tc>
          <w:tcPr>
            <w:tcW w:w="5874" w:type="dxa"/>
            <w:tcMar>
              <w:left w:w="28" w:type="dxa"/>
            </w:tcMar>
          </w:tcPr>
          <w:p w14:paraId="499437A2" w14:textId="3B60C25F" w:rsidR="007C1946" w:rsidRDefault="007C1946" w:rsidP="007C1946">
            <w:pPr>
              <w:pStyle w:val="BodyText"/>
              <w:spacing w:after="240" w:line="240" w:lineRule="auto"/>
              <w:jc w:val="left"/>
            </w:pPr>
            <w:r>
              <w:t>JOHN FRANKHAM PTY LTD</w:t>
            </w:r>
          </w:p>
        </w:tc>
      </w:tr>
      <w:tr w:rsidR="007C1946" w14:paraId="4793EBC4" w14:textId="77777777" w:rsidTr="005F3639">
        <w:trPr>
          <w:trHeight w:val="386"/>
        </w:trPr>
        <w:tc>
          <w:tcPr>
            <w:tcW w:w="3368" w:type="dxa"/>
          </w:tcPr>
          <w:p w14:paraId="58EABD24" w14:textId="05A633FA" w:rsidR="007C1946" w:rsidRDefault="007C1946" w:rsidP="007C1946">
            <w:pPr>
              <w:pStyle w:val="BodyText"/>
              <w:spacing w:after="240" w:line="240" w:lineRule="auto"/>
              <w:jc w:val="left"/>
            </w:pPr>
            <w:r>
              <w:t xml:space="preserve">One Hundred </w:t>
            </w:r>
            <w:r w:rsidR="008C7D49">
              <w:t xml:space="preserve">and </w:t>
            </w:r>
            <w:r>
              <w:t xml:space="preserve">Forty Fifth </w:t>
            </w:r>
            <w:r w:rsidR="008C7D49">
              <w:t>Respondent:</w:t>
            </w:r>
          </w:p>
        </w:tc>
        <w:tc>
          <w:tcPr>
            <w:tcW w:w="5874" w:type="dxa"/>
            <w:tcMar>
              <w:left w:w="28" w:type="dxa"/>
            </w:tcMar>
          </w:tcPr>
          <w:p w14:paraId="4066ECB6" w14:textId="7B24682A" w:rsidR="007C1946" w:rsidRDefault="007C1946" w:rsidP="007C1946">
            <w:pPr>
              <w:pStyle w:val="BodyText"/>
              <w:spacing w:after="240" w:line="240" w:lineRule="auto"/>
              <w:jc w:val="left"/>
            </w:pPr>
            <w:r>
              <w:t>JOMIK INVESTMENTS PTY LTD</w:t>
            </w:r>
          </w:p>
        </w:tc>
      </w:tr>
      <w:tr w:rsidR="007C1946" w14:paraId="72AF6A38" w14:textId="77777777" w:rsidTr="005F3639">
        <w:trPr>
          <w:trHeight w:val="386"/>
        </w:trPr>
        <w:tc>
          <w:tcPr>
            <w:tcW w:w="3368" w:type="dxa"/>
          </w:tcPr>
          <w:p w14:paraId="189887F4" w14:textId="7F2BBF8E" w:rsidR="007C1946" w:rsidRDefault="007C1946" w:rsidP="007C1946">
            <w:pPr>
              <w:pStyle w:val="BodyText"/>
              <w:spacing w:after="240" w:line="240" w:lineRule="auto"/>
              <w:jc w:val="left"/>
            </w:pPr>
            <w:r>
              <w:t xml:space="preserve">One Hundred </w:t>
            </w:r>
            <w:r w:rsidR="008C7D49">
              <w:t xml:space="preserve">and </w:t>
            </w:r>
            <w:r>
              <w:t xml:space="preserve">Forty Sixth </w:t>
            </w:r>
            <w:r w:rsidR="008C7D49">
              <w:t>Respondent:</w:t>
            </w:r>
          </w:p>
        </w:tc>
        <w:tc>
          <w:tcPr>
            <w:tcW w:w="5874" w:type="dxa"/>
            <w:tcMar>
              <w:left w:w="28" w:type="dxa"/>
            </w:tcMar>
          </w:tcPr>
          <w:p w14:paraId="2EA45DCE" w14:textId="41599F01" w:rsidR="007C1946" w:rsidRDefault="007C1946" w:rsidP="007C1946">
            <w:pPr>
              <w:pStyle w:val="BodyText"/>
              <w:spacing w:after="240" w:line="240" w:lineRule="auto"/>
              <w:jc w:val="left"/>
            </w:pPr>
            <w:r>
              <w:t>JONCLO HOLDINGS PTY LTD</w:t>
            </w:r>
          </w:p>
        </w:tc>
      </w:tr>
      <w:tr w:rsidR="007C1946" w14:paraId="791BC963" w14:textId="77777777" w:rsidTr="005F3639">
        <w:trPr>
          <w:trHeight w:val="386"/>
        </w:trPr>
        <w:tc>
          <w:tcPr>
            <w:tcW w:w="3368" w:type="dxa"/>
          </w:tcPr>
          <w:p w14:paraId="7BEC90A6" w14:textId="0E4C41BA" w:rsidR="007C1946" w:rsidRDefault="007C1946" w:rsidP="007C1946">
            <w:pPr>
              <w:pStyle w:val="BodyText"/>
              <w:spacing w:after="240" w:line="240" w:lineRule="auto"/>
              <w:jc w:val="left"/>
            </w:pPr>
            <w:r>
              <w:t xml:space="preserve">One Hundred </w:t>
            </w:r>
            <w:r w:rsidR="008C7D49">
              <w:t xml:space="preserve">and </w:t>
            </w:r>
            <w:r>
              <w:t xml:space="preserve">Forty Seventh </w:t>
            </w:r>
            <w:r w:rsidR="008C7D49">
              <w:t>Respondent:</w:t>
            </w:r>
          </w:p>
        </w:tc>
        <w:tc>
          <w:tcPr>
            <w:tcW w:w="5874" w:type="dxa"/>
            <w:tcMar>
              <w:left w:w="28" w:type="dxa"/>
            </w:tcMar>
          </w:tcPr>
          <w:p w14:paraId="3D762950" w14:textId="243014B7" w:rsidR="007C1946" w:rsidRDefault="007C1946" w:rsidP="007C1946">
            <w:pPr>
              <w:pStyle w:val="BodyText"/>
              <w:spacing w:after="240" w:line="240" w:lineRule="auto"/>
              <w:jc w:val="left"/>
            </w:pPr>
            <w:r>
              <w:t>JORANDA PTY LTD</w:t>
            </w:r>
          </w:p>
        </w:tc>
      </w:tr>
      <w:tr w:rsidR="007C1946" w14:paraId="2284FC54" w14:textId="77777777" w:rsidTr="005F3639">
        <w:trPr>
          <w:trHeight w:val="386"/>
        </w:trPr>
        <w:tc>
          <w:tcPr>
            <w:tcW w:w="3368" w:type="dxa"/>
          </w:tcPr>
          <w:p w14:paraId="2688396D" w14:textId="759853EE" w:rsidR="007C1946" w:rsidRDefault="007C1946" w:rsidP="007C1946">
            <w:pPr>
              <w:pStyle w:val="BodyText"/>
              <w:spacing w:after="240" w:line="240" w:lineRule="auto"/>
              <w:jc w:val="left"/>
            </w:pPr>
            <w:r>
              <w:t>One Hundred</w:t>
            </w:r>
            <w:r w:rsidR="000F5B44">
              <w:t xml:space="preserve"> and</w:t>
            </w:r>
            <w:r>
              <w:t xml:space="preserve"> Forty Eighth </w:t>
            </w:r>
            <w:r w:rsidR="000F5B44">
              <w:t>Respondent:</w:t>
            </w:r>
          </w:p>
        </w:tc>
        <w:tc>
          <w:tcPr>
            <w:tcW w:w="5874" w:type="dxa"/>
            <w:tcMar>
              <w:left w:w="28" w:type="dxa"/>
            </w:tcMar>
          </w:tcPr>
          <w:p w14:paraId="530FDC58" w14:textId="04125BE5" w:rsidR="007C1946" w:rsidRDefault="007C1946" w:rsidP="007C1946">
            <w:pPr>
              <w:pStyle w:val="BodyText"/>
              <w:spacing w:after="240" w:line="240" w:lineRule="auto"/>
              <w:jc w:val="left"/>
            </w:pPr>
            <w:r>
              <w:t>JOSHMAT PTY LTD</w:t>
            </w:r>
          </w:p>
        </w:tc>
      </w:tr>
      <w:tr w:rsidR="007C1946" w14:paraId="4786FCB2" w14:textId="77777777" w:rsidTr="005F3639">
        <w:trPr>
          <w:trHeight w:val="386"/>
        </w:trPr>
        <w:tc>
          <w:tcPr>
            <w:tcW w:w="3368" w:type="dxa"/>
          </w:tcPr>
          <w:p w14:paraId="336A4681" w14:textId="3C974F40" w:rsidR="007C1946" w:rsidRDefault="007C1946" w:rsidP="007C1946">
            <w:pPr>
              <w:pStyle w:val="BodyText"/>
              <w:spacing w:after="240" w:line="240" w:lineRule="auto"/>
              <w:jc w:val="left"/>
            </w:pPr>
            <w:r>
              <w:t xml:space="preserve">One Hundred </w:t>
            </w:r>
            <w:r w:rsidR="000F5B44">
              <w:t xml:space="preserve">and </w:t>
            </w:r>
            <w:r>
              <w:t xml:space="preserve">Forty Ninth </w:t>
            </w:r>
            <w:r w:rsidR="000F5B44">
              <w:t>Respondent:</w:t>
            </w:r>
          </w:p>
        </w:tc>
        <w:tc>
          <w:tcPr>
            <w:tcW w:w="5874" w:type="dxa"/>
            <w:tcMar>
              <w:left w:w="28" w:type="dxa"/>
            </w:tcMar>
          </w:tcPr>
          <w:p w14:paraId="0F1F86E7" w14:textId="2CD4C01D" w:rsidR="007C1946" w:rsidRDefault="007C1946" w:rsidP="007C1946">
            <w:pPr>
              <w:pStyle w:val="BodyText"/>
              <w:spacing w:after="240" w:line="240" w:lineRule="auto"/>
              <w:jc w:val="left"/>
            </w:pPr>
            <w:r>
              <w:t>JUBCAN VENTURE PTY LTD</w:t>
            </w:r>
          </w:p>
        </w:tc>
      </w:tr>
      <w:tr w:rsidR="007C1946" w14:paraId="20684439" w14:textId="77777777" w:rsidTr="005F3639">
        <w:trPr>
          <w:trHeight w:val="386"/>
        </w:trPr>
        <w:tc>
          <w:tcPr>
            <w:tcW w:w="3368" w:type="dxa"/>
          </w:tcPr>
          <w:p w14:paraId="462928F4" w14:textId="1E0F7F97" w:rsidR="007C1946" w:rsidRDefault="007C1946" w:rsidP="007C1946">
            <w:pPr>
              <w:pStyle w:val="BodyText"/>
              <w:spacing w:after="240" w:line="240" w:lineRule="auto"/>
              <w:jc w:val="left"/>
            </w:pPr>
            <w:r>
              <w:t xml:space="preserve">One Hundred </w:t>
            </w:r>
            <w:r w:rsidR="000F5B44">
              <w:t xml:space="preserve">and </w:t>
            </w:r>
            <w:r>
              <w:t xml:space="preserve">Fiftieth </w:t>
            </w:r>
            <w:r w:rsidR="000F5B44">
              <w:t>Respondent:</w:t>
            </w:r>
          </w:p>
        </w:tc>
        <w:tc>
          <w:tcPr>
            <w:tcW w:w="5874" w:type="dxa"/>
            <w:tcMar>
              <w:left w:w="28" w:type="dxa"/>
            </w:tcMar>
          </w:tcPr>
          <w:p w14:paraId="3414E37F" w14:textId="43C86773" w:rsidR="007C1946" w:rsidRDefault="007C1946" w:rsidP="007C1946">
            <w:pPr>
              <w:pStyle w:val="BodyText"/>
              <w:spacing w:after="240" w:line="240" w:lineRule="auto"/>
              <w:jc w:val="left"/>
            </w:pPr>
            <w:r>
              <w:t>JUSTICE 2 PTY LTD</w:t>
            </w:r>
          </w:p>
        </w:tc>
      </w:tr>
      <w:tr w:rsidR="007C1946" w14:paraId="09C537C3" w14:textId="77777777" w:rsidTr="005F3639">
        <w:trPr>
          <w:trHeight w:val="386"/>
        </w:trPr>
        <w:tc>
          <w:tcPr>
            <w:tcW w:w="3368" w:type="dxa"/>
          </w:tcPr>
          <w:p w14:paraId="4BADB9DE" w14:textId="651877C8" w:rsidR="007C1946" w:rsidRDefault="007C1946" w:rsidP="007C1946">
            <w:pPr>
              <w:pStyle w:val="BodyText"/>
              <w:spacing w:after="240" w:line="240" w:lineRule="auto"/>
              <w:jc w:val="left"/>
            </w:pPr>
            <w:r>
              <w:t>One Hundred</w:t>
            </w:r>
            <w:r w:rsidR="009458B3">
              <w:t xml:space="preserve"> and</w:t>
            </w:r>
            <w:r>
              <w:t xml:space="preserve"> Fifty First </w:t>
            </w:r>
            <w:r w:rsidR="009458B3">
              <w:t>Respondent:</w:t>
            </w:r>
          </w:p>
        </w:tc>
        <w:tc>
          <w:tcPr>
            <w:tcW w:w="5874" w:type="dxa"/>
            <w:tcMar>
              <w:left w:w="28" w:type="dxa"/>
            </w:tcMar>
          </w:tcPr>
          <w:p w14:paraId="62C063E5" w14:textId="03782174" w:rsidR="007C1946" w:rsidRDefault="007C1946" w:rsidP="007C1946">
            <w:pPr>
              <w:pStyle w:val="BodyText"/>
              <w:spacing w:after="240" w:line="240" w:lineRule="auto"/>
              <w:jc w:val="left"/>
            </w:pPr>
            <w:r>
              <w:t>KAB (QLD) PTY LTD</w:t>
            </w:r>
          </w:p>
        </w:tc>
      </w:tr>
      <w:tr w:rsidR="007C1946" w14:paraId="57020B00" w14:textId="77777777" w:rsidTr="005F3639">
        <w:trPr>
          <w:trHeight w:val="386"/>
        </w:trPr>
        <w:tc>
          <w:tcPr>
            <w:tcW w:w="3368" w:type="dxa"/>
          </w:tcPr>
          <w:p w14:paraId="49688B2B" w14:textId="14F9845A" w:rsidR="007C1946" w:rsidRDefault="007C1946" w:rsidP="007C1946">
            <w:pPr>
              <w:pStyle w:val="BodyText"/>
              <w:spacing w:after="240" w:line="240" w:lineRule="auto"/>
              <w:jc w:val="left"/>
            </w:pPr>
            <w:r>
              <w:t xml:space="preserve">One Hundred </w:t>
            </w:r>
            <w:r w:rsidR="009458B3">
              <w:t xml:space="preserve">and </w:t>
            </w:r>
            <w:r>
              <w:t xml:space="preserve">Fifty Second </w:t>
            </w:r>
            <w:r w:rsidR="009458B3">
              <w:t>Respondent:</w:t>
            </w:r>
          </w:p>
        </w:tc>
        <w:tc>
          <w:tcPr>
            <w:tcW w:w="5874" w:type="dxa"/>
            <w:tcMar>
              <w:left w:w="28" w:type="dxa"/>
            </w:tcMar>
          </w:tcPr>
          <w:p w14:paraId="4AAFD819" w14:textId="614B64CE" w:rsidR="007C1946" w:rsidRDefault="007C1946" w:rsidP="007C1946">
            <w:pPr>
              <w:pStyle w:val="BodyText"/>
              <w:spacing w:after="240" w:line="240" w:lineRule="auto"/>
              <w:jc w:val="left"/>
            </w:pPr>
            <w:r>
              <w:t>KAILEV PTY LTD</w:t>
            </w:r>
          </w:p>
        </w:tc>
      </w:tr>
      <w:tr w:rsidR="007C1946" w14:paraId="387E07D7" w14:textId="77777777" w:rsidTr="005F3639">
        <w:trPr>
          <w:trHeight w:val="386"/>
        </w:trPr>
        <w:tc>
          <w:tcPr>
            <w:tcW w:w="3368" w:type="dxa"/>
          </w:tcPr>
          <w:p w14:paraId="038C49E2" w14:textId="440CB205" w:rsidR="007C1946" w:rsidRDefault="007C1946" w:rsidP="007C1946">
            <w:pPr>
              <w:pStyle w:val="BodyText"/>
              <w:spacing w:after="240" w:line="240" w:lineRule="auto"/>
              <w:jc w:val="left"/>
            </w:pPr>
            <w:r>
              <w:t>One Hundred</w:t>
            </w:r>
            <w:r w:rsidR="009458B3">
              <w:t xml:space="preserve"> and</w:t>
            </w:r>
            <w:r>
              <w:t xml:space="preserve"> Fifty Fourth Respondent</w:t>
            </w:r>
            <w:r w:rsidR="009458B3">
              <w:t>:</w:t>
            </w:r>
          </w:p>
        </w:tc>
        <w:tc>
          <w:tcPr>
            <w:tcW w:w="5874" w:type="dxa"/>
            <w:tcMar>
              <w:left w:w="28" w:type="dxa"/>
            </w:tcMar>
          </w:tcPr>
          <w:p w14:paraId="37FB2317" w14:textId="4A7C9E5A" w:rsidR="007C1946" w:rsidRDefault="007C1946" w:rsidP="007C1946">
            <w:pPr>
              <w:pStyle w:val="BodyText"/>
              <w:spacing w:after="240" w:line="240" w:lineRule="auto"/>
              <w:jc w:val="left"/>
            </w:pPr>
            <w:r>
              <w:t>KALBAK PTY LTD</w:t>
            </w:r>
          </w:p>
        </w:tc>
      </w:tr>
      <w:tr w:rsidR="007C1946" w14:paraId="280EBFBE" w14:textId="77777777" w:rsidTr="005F3639">
        <w:trPr>
          <w:trHeight w:val="386"/>
        </w:trPr>
        <w:tc>
          <w:tcPr>
            <w:tcW w:w="3368" w:type="dxa"/>
          </w:tcPr>
          <w:p w14:paraId="1B1DD67F" w14:textId="0DE0364F" w:rsidR="007C1946" w:rsidRDefault="007C1946" w:rsidP="007C1946">
            <w:pPr>
              <w:pStyle w:val="BodyText"/>
              <w:spacing w:after="240" w:line="240" w:lineRule="auto"/>
              <w:jc w:val="left"/>
            </w:pPr>
            <w:r>
              <w:t xml:space="preserve">One Hundred </w:t>
            </w:r>
            <w:r w:rsidR="009458B3">
              <w:t xml:space="preserve">and </w:t>
            </w:r>
            <w:r>
              <w:t>Fifty Fifth Respondent</w:t>
            </w:r>
            <w:r w:rsidR="009458B3">
              <w:t>:</w:t>
            </w:r>
          </w:p>
        </w:tc>
        <w:tc>
          <w:tcPr>
            <w:tcW w:w="5874" w:type="dxa"/>
            <w:tcMar>
              <w:left w:w="28" w:type="dxa"/>
            </w:tcMar>
          </w:tcPr>
          <w:p w14:paraId="62BA81B4" w14:textId="6F6D1990" w:rsidR="007C1946" w:rsidRDefault="007C1946" w:rsidP="007C1946">
            <w:pPr>
              <w:pStyle w:val="BodyText"/>
              <w:spacing w:after="240" w:line="240" w:lineRule="auto"/>
              <w:jc w:val="left"/>
            </w:pPr>
            <w:r>
              <w:t>KATAHDIN PTY LTD</w:t>
            </w:r>
          </w:p>
        </w:tc>
      </w:tr>
      <w:tr w:rsidR="007C1946" w14:paraId="70FFFA87" w14:textId="77777777" w:rsidTr="005F3639">
        <w:trPr>
          <w:trHeight w:val="386"/>
        </w:trPr>
        <w:tc>
          <w:tcPr>
            <w:tcW w:w="3368" w:type="dxa"/>
          </w:tcPr>
          <w:p w14:paraId="0A2D6922" w14:textId="42C089C4" w:rsidR="007C1946" w:rsidRDefault="007C1946" w:rsidP="007C1946">
            <w:pPr>
              <w:pStyle w:val="BodyText"/>
              <w:spacing w:after="240" w:line="240" w:lineRule="auto"/>
              <w:jc w:val="left"/>
            </w:pPr>
            <w:r>
              <w:t xml:space="preserve">One Hundred </w:t>
            </w:r>
            <w:r w:rsidR="009458B3">
              <w:t xml:space="preserve">and </w:t>
            </w:r>
            <w:r>
              <w:t xml:space="preserve">Fifty Sixth </w:t>
            </w:r>
            <w:r w:rsidR="001B3F72">
              <w:t>Respondent:</w:t>
            </w:r>
          </w:p>
        </w:tc>
        <w:tc>
          <w:tcPr>
            <w:tcW w:w="5874" w:type="dxa"/>
            <w:tcMar>
              <w:left w:w="28" w:type="dxa"/>
            </w:tcMar>
          </w:tcPr>
          <w:p w14:paraId="0B26F7E0" w14:textId="1ED702E1" w:rsidR="007C1946" w:rsidRDefault="007C1946" w:rsidP="007C1946">
            <w:pPr>
              <w:pStyle w:val="BodyText"/>
              <w:spacing w:after="240" w:line="240" w:lineRule="auto"/>
              <w:jc w:val="left"/>
            </w:pPr>
            <w:r>
              <w:t>KATHRYN &amp; IAN GARTON GROUP PTY LTD</w:t>
            </w:r>
          </w:p>
        </w:tc>
      </w:tr>
      <w:tr w:rsidR="007C1946" w14:paraId="6CF1BDA7" w14:textId="77777777" w:rsidTr="005F3639">
        <w:trPr>
          <w:trHeight w:val="386"/>
        </w:trPr>
        <w:tc>
          <w:tcPr>
            <w:tcW w:w="3368" w:type="dxa"/>
          </w:tcPr>
          <w:p w14:paraId="295BABAC" w14:textId="676308FC" w:rsidR="007C1946" w:rsidRDefault="007C1946" w:rsidP="007C1946">
            <w:pPr>
              <w:pStyle w:val="BodyText"/>
              <w:spacing w:after="240" w:line="240" w:lineRule="auto"/>
              <w:jc w:val="left"/>
            </w:pPr>
            <w:r>
              <w:t xml:space="preserve">One Hundred </w:t>
            </w:r>
            <w:r w:rsidR="001B3F72">
              <w:t xml:space="preserve">and </w:t>
            </w:r>
            <w:r>
              <w:t xml:space="preserve">Fifty Seventh </w:t>
            </w:r>
            <w:r w:rsidR="001B3F72">
              <w:t>Respondent:</w:t>
            </w:r>
          </w:p>
        </w:tc>
        <w:tc>
          <w:tcPr>
            <w:tcW w:w="5874" w:type="dxa"/>
            <w:tcMar>
              <w:left w:w="28" w:type="dxa"/>
            </w:tcMar>
          </w:tcPr>
          <w:p w14:paraId="3CD5B0F0" w14:textId="1FFFA95E" w:rsidR="007C1946" w:rsidRDefault="007C1946" w:rsidP="007C1946">
            <w:pPr>
              <w:pStyle w:val="BodyText"/>
              <w:spacing w:after="240" w:line="240" w:lineRule="auto"/>
              <w:jc w:val="left"/>
            </w:pPr>
            <w:r>
              <w:t>KATTERN PTY LTD</w:t>
            </w:r>
          </w:p>
        </w:tc>
      </w:tr>
      <w:tr w:rsidR="007C1946" w14:paraId="1D7B0959" w14:textId="77777777" w:rsidTr="005F3639">
        <w:trPr>
          <w:trHeight w:val="386"/>
        </w:trPr>
        <w:tc>
          <w:tcPr>
            <w:tcW w:w="3368" w:type="dxa"/>
          </w:tcPr>
          <w:p w14:paraId="060159E7" w14:textId="5940E609" w:rsidR="007C1946" w:rsidRDefault="007C1946" w:rsidP="007C1946">
            <w:pPr>
              <w:pStyle w:val="BodyText"/>
              <w:spacing w:after="240" w:line="240" w:lineRule="auto"/>
              <w:jc w:val="left"/>
            </w:pPr>
            <w:r>
              <w:t>One Hundred</w:t>
            </w:r>
            <w:r w:rsidR="001B3F72">
              <w:t xml:space="preserve"> and</w:t>
            </w:r>
            <w:r>
              <w:t xml:space="preserve"> Fifty Eighth </w:t>
            </w:r>
            <w:r w:rsidR="001B3F72">
              <w:t>Respondent:</w:t>
            </w:r>
          </w:p>
        </w:tc>
        <w:tc>
          <w:tcPr>
            <w:tcW w:w="5874" w:type="dxa"/>
            <w:tcMar>
              <w:left w:w="28" w:type="dxa"/>
            </w:tcMar>
          </w:tcPr>
          <w:p w14:paraId="7CE2A258" w14:textId="07BF78A1" w:rsidR="007C1946" w:rsidRDefault="007C1946" w:rsidP="007C1946">
            <w:pPr>
              <w:pStyle w:val="BodyText"/>
              <w:spacing w:after="240" w:line="240" w:lineRule="auto"/>
              <w:jc w:val="left"/>
            </w:pPr>
            <w:r>
              <w:t>KELLY FAMILY RESTAURANTS PTY LTD</w:t>
            </w:r>
          </w:p>
        </w:tc>
      </w:tr>
      <w:tr w:rsidR="007C1946" w14:paraId="257F2903" w14:textId="77777777" w:rsidTr="005F3639">
        <w:trPr>
          <w:trHeight w:val="386"/>
        </w:trPr>
        <w:tc>
          <w:tcPr>
            <w:tcW w:w="3368" w:type="dxa"/>
          </w:tcPr>
          <w:p w14:paraId="7D3FCFC4" w14:textId="624A6054" w:rsidR="007C1946" w:rsidRDefault="007C1946" w:rsidP="007C1946">
            <w:pPr>
              <w:pStyle w:val="BodyText"/>
              <w:spacing w:after="240" w:line="240" w:lineRule="auto"/>
              <w:jc w:val="left"/>
            </w:pPr>
            <w:r>
              <w:t xml:space="preserve">One Hundred </w:t>
            </w:r>
            <w:r w:rsidR="001B3F72">
              <w:t xml:space="preserve">and </w:t>
            </w:r>
            <w:r>
              <w:t xml:space="preserve">Fifty Ninth </w:t>
            </w:r>
            <w:r w:rsidR="001B3F72">
              <w:t>Respondent:</w:t>
            </w:r>
          </w:p>
        </w:tc>
        <w:tc>
          <w:tcPr>
            <w:tcW w:w="5874" w:type="dxa"/>
            <w:tcMar>
              <w:left w:w="28" w:type="dxa"/>
            </w:tcMar>
          </w:tcPr>
          <w:p w14:paraId="141284D9" w14:textId="503B76B6" w:rsidR="007C1946" w:rsidRDefault="007C1946" w:rsidP="007C1946">
            <w:pPr>
              <w:pStyle w:val="BodyText"/>
              <w:spacing w:after="240" w:line="240" w:lineRule="auto"/>
              <w:jc w:val="left"/>
            </w:pPr>
            <w:r>
              <w:t>KELLYCO RESTAURANTS PTY LTD</w:t>
            </w:r>
          </w:p>
        </w:tc>
      </w:tr>
      <w:tr w:rsidR="007C1946" w14:paraId="13D97846" w14:textId="77777777" w:rsidTr="005F3639">
        <w:trPr>
          <w:trHeight w:val="386"/>
        </w:trPr>
        <w:tc>
          <w:tcPr>
            <w:tcW w:w="3368" w:type="dxa"/>
          </w:tcPr>
          <w:p w14:paraId="33C07E42" w14:textId="56CF8CA3" w:rsidR="007C1946" w:rsidRDefault="007C1946" w:rsidP="007C1946">
            <w:pPr>
              <w:pStyle w:val="BodyText"/>
              <w:spacing w:after="240" w:line="240" w:lineRule="auto"/>
              <w:jc w:val="left"/>
            </w:pPr>
            <w:r>
              <w:t xml:space="preserve">One Hundred </w:t>
            </w:r>
            <w:r w:rsidR="001B3F72">
              <w:t xml:space="preserve">and </w:t>
            </w:r>
            <w:r>
              <w:t xml:space="preserve">Sixtieth </w:t>
            </w:r>
            <w:r w:rsidR="001B3F72">
              <w:t>Respondent:</w:t>
            </w:r>
          </w:p>
        </w:tc>
        <w:tc>
          <w:tcPr>
            <w:tcW w:w="5874" w:type="dxa"/>
            <w:tcMar>
              <w:left w:w="28" w:type="dxa"/>
            </w:tcMar>
          </w:tcPr>
          <w:p w14:paraId="7AB88529" w14:textId="0F63BA56" w:rsidR="007C1946" w:rsidRDefault="007C1946" w:rsidP="007C1946">
            <w:pPr>
              <w:pStyle w:val="BodyText"/>
              <w:spacing w:after="240" w:line="240" w:lineRule="auto"/>
              <w:jc w:val="left"/>
            </w:pPr>
            <w:r>
              <w:t>KESBES PTY LTD</w:t>
            </w:r>
          </w:p>
        </w:tc>
      </w:tr>
      <w:tr w:rsidR="007C1946" w14:paraId="247F2B3B" w14:textId="77777777" w:rsidTr="005F3639">
        <w:trPr>
          <w:trHeight w:val="386"/>
        </w:trPr>
        <w:tc>
          <w:tcPr>
            <w:tcW w:w="3368" w:type="dxa"/>
          </w:tcPr>
          <w:p w14:paraId="41FC3A70" w14:textId="1A8DF1FF" w:rsidR="007C1946" w:rsidRDefault="007C1946" w:rsidP="007C1946">
            <w:pPr>
              <w:pStyle w:val="BodyText"/>
              <w:spacing w:after="240" w:line="240" w:lineRule="auto"/>
              <w:jc w:val="left"/>
            </w:pPr>
            <w:r>
              <w:t xml:space="preserve">One Hundred </w:t>
            </w:r>
            <w:r w:rsidR="001B3F72">
              <w:t xml:space="preserve">and </w:t>
            </w:r>
            <w:r>
              <w:t xml:space="preserve">Sixty First </w:t>
            </w:r>
            <w:r w:rsidR="001B3F72">
              <w:t>Respondent:</w:t>
            </w:r>
          </w:p>
        </w:tc>
        <w:tc>
          <w:tcPr>
            <w:tcW w:w="5874" w:type="dxa"/>
            <w:tcMar>
              <w:left w:w="28" w:type="dxa"/>
            </w:tcMar>
          </w:tcPr>
          <w:p w14:paraId="045AA52C" w14:textId="442500AB" w:rsidR="007C1946" w:rsidRDefault="007C1946" w:rsidP="007C1946">
            <w:pPr>
              <w:pStyle w:val="BodyText"/>
              <w:spacing w:after="240" w:line="240" w:lineRule="auto"/>
              <w:jc w:val="left"/>
            </w:pPr>
            <w:r>
              <w:t>KEW ART PTY LTD</w:t>
            </w:r>
          </w:p>
        </w:tc>
      </w:tr>
      <w:tr w:rsidR="007C1946" w14:paraId="4CF347C6" w14:textId="77777777" w:rsidTr="005F3639">
        <w:trPr>
          <w:trHeight w:val="386"/>
        </w:trPr>
        <w:tc>
          <w:tcPr>
            <w:tcW w:w="3368" w:type="dxa"/>
          </w:tcPr>
          <w:p w14:paraId="19E179C5" w14:textId="38117F54" w:rsidR="007C1946" w:rsidRDefault="007C1946" w:rsidP="007C1946">
            <w:pPr>
              <w:pStyle w:val="BodyText"/>
              <w:spacing w:after="240" w:line="240" w:lineRule="auto"/>
              <w:jc w:val="left"/>
            </w:pPr>
            <w:r>
              <w:t xml:space="preserve">One Hundred </w:t>
            </w:r>
            <w:r w:rsidR="001B3F72">
              <w:t xml:space="preserve">and </w:t>
            </w:r>
            <w:r>
              <w:t xml:space="preserve">Sixty Second </w:t>
            </w:r>
            <w:r w:rsidR="001B3F72">
              <w:t>Respondent:</w:t>
            </w:r>
          </w:p>
        </w:tc>
        <w:tc>
          <w:tcPr>
            <w:tcW w:w="5874" w:type="dxa"/>
            <w:tcMar>
              <w:left w:w="28" w:type="dxa"/>
            </w:tcMar>
          </w:tcPr>
          <w:p w14:paraId="7A092C3E" w14:textId="4AB11141" w:rsidR="007C1946" w:rsidRDefault="007C1946" w:rsidP="007C1946">
            <w:pPr>
              <w:pStyle w:val="BodyText"/>
              <w:spacing w:after="240" w:line="240" w:lineRule="auto"/>
              <w:jc w:val="left"/>
            </w:pPr>
            <w:r>
              <w:t>KILSYTH FOODS PTY LTD</w:t>
            </w:r>
          </w:p>
        </w:tc>
      </w:tr>
      <w:tr w:rsidR="007C1946" w14:paraId="79A895BD" w14:textId="77777777" w:rsidTr="005F3639">
        <w:trPr>
          <w:trHeight w:val="386"/>
        </w:trPr>
        <w:tc>
          <w:tcPr>
            <w:tcW w:w="3368" w:type="dxa"/>
          </w:tcPr>
          <w:p w14:paraId="0B298743" w14:textId="5C700322" w:rsidR="007C1946" w:rsidRDefault="007C1946" w:rsidP="007C1946">
            <w:pPr>
              <w:pStyle w:val="BodyText"/>
              <w:spacing w:after="240" w:line="240" w:lineRule="auto"/>
              <w:jc w:val="left"/>
            </w:pPr>
            <w:r>
              <w:t xml:space="preserve">One Hundred </w:t>
            </w:r>
            <w:r w:rsidR="001B3F72">
              <w:t xml:space="preserve">and </w:t>
            </w:r>
            <w:r>
              <w:t xml:space="preserve">Sixty Third </w:t>
            </w:r>
            <w:r w:rsidR="001B3F72">
              <w:t>Respondent:</w:t>
            </w:r>
          </w:p>
        </w:tc>
        <w:tc>
          <w:tcPr>
            <w:tcW w:w="5874" w:type="dxa"/>
            <w:tcMar>
              <w:left w:w="28" w:type="dxa"/>
            </w:tcMar>
          </w:tcPr>
          <w:p w14:paraId="5336D57A" w14:textId="40C6621A" w:rsidR="007C1946" w:rsidRDefault="007C1946" w:rsidP="007C1946">
            <w:pPr>
              <w:pStyle w:val="BodyText"/>
              <w:spacing w:after="240" w:line="240" w:lineRule="auto"/>
              <w:jc w:val="left"/>
            </w:pPr>
            <w:r>
              <w:t>KIRKWAN PTY LTD</w:t>
            </w:r>
          </w:p>
        </w:tc>
      </w:tr>
      <w:tr w:rsidR="007C1946" w14:paraId="42B8A196" w14:textId="77777777" w:rsidTr="005F3639">
        <w:trPr>
          <w:trHeight w:val="386"/>
        </w:trPr>
        <w:tc>
          <w:tcPr>
            <w:tcW w:w="3368" w:type="dxa"/>
          </w:tcPr>
          <w:p w14:paraId="7736EF29" w14:textId="35EB1936" w:rsidR="007C1946" w:rsidRDefault="007C1946" w:rsidP="007C1946">
            <w:pPr>
              <w:pStyle w:val="BodyText"/>
              <w:spacing w:after="240" w:line="240" w:lineRule="auto"/>
              <w:jc w:val="left"/>
            </w:pPr>
            <w:r>
              <w:t>One Hundred</w:t>
            </w:r>
            <w:r w:rsidR="001B3F72">
              <w:t xml:space="preserve"> and</w:t>
            </w:r>
            <w:r>
              <w:t xml:space="preserve"> Sixty Fourth </w:t>
            </w:r>
            <w:r w:rsidR="001B3F72">
              <w:t>Respondent:</w:t>
            </w:r>
          </w:p>
        </w:tc>
        <w:tc>
          <w:tcPr>
            <w:tcW w:w="5874" w:type="dxa"/>
            <w:tcMar>
              <w:left w:w="28" w:type="dxa"/>
            </w:tcMar>
          </w:tcPr>
          <w:p w14:paraId="1181FC4C" w14:textId="071D9156" w:rsidR="007C1946" w:rsidRDefault="007C1946" w:rsidP="007C1946">
            <w:pPr>
              <w:pStyle w:val="BodyText"/>
              <w:spacing w:after="240" w:line="240" w:lineRule="auto"/>
              <w:jc w:val="left"/>
            </w:pPr>
            <w:r>
              <w:t>KITTOLINK PTY LTD</w:t>
            </w:r>
          </w:p>
        </w:tc>
      </w:tr>
      <w:tr w:rsidR="007C1946" w14:paraId="012FD5C1" w14:textId="77777777" w:rsidTr="005F3639">
        <w:trPr>
          <w:trHeight w:val="386"/>
        </w:trPr>
        <w:tc>
          <w:tcPr>
            <w:tcW w:w="3368" w:type="dxa"/>
          </w:tcPr>
          <w:p w14:paraId="0105DE3F" w14:textId="5C889E93" w:rsidR="007C1946" w:rsidRDefault="007C1946" w:rsidP="007C1946">
            <w:pPr>
              <w:pStyle w:val="BodyText"/>
              <w:spacing w:after="240" w:line="240" w:lineRule="auto"/>
              <w:jc w:val="left"/>
            </w:pPr>
            <w:r>
              <w:t xml:space="preserve">One Hundred </w:t>
            </w:r>
            <w:r w:rsidR="001B3F72">
              <w:t xml:space="preserve">and </w:t>
            </w:r>
            <w:r>
              <w:t xml:space="preserve">Sixty Fifth </w:t>
            </w:r>
            <w:r w:rsidR="001B3F72">
              <w:t>Respondent:</w:t>
            </w:r>
          </w:p>
        </w:tc>
        <w:tc>
          <w:tcPr>
            <w:tcW w:w="5874" w:type="dxa"/>
            <w:tcMar>
              <w:left w:w="28" w:type="dxa"/>
            </w:tcMar>
          </w:tcPr>
          <w:p w14:paraId="592BD24E" w14:textId="5018D920" w:rsidR="007C1946" w:rsidRDefault="007C1946" w:rsidP="007C1946">
            <w:pPr>
              <w:pStyle w:val="BodyText"/>
              <w:spacing w:after="240" w:line="240" w:lineRule="auto"/>
              <w:jc w:val="left"/>
            </w:pPr>
            <w:r>
              <w:t>KMA INVESTMENTS PTY LTD</w:t>
            </w:r>
          </w:p>
        </w:tc>
      </w:tr>
      <w:tr w:rsidR="007C1946" w14:paraId="70517A27" w14:textId="77777777" w:rsidTr="005F3639">
        <w:trPr>
          <w:trHeight w:val="386"/>
        </w:trPr>
        <w:tc>
          <w:tcPr>
            <w:tcW w:w="3368" w:type="dxa"/>
          </w:tcPr>
          <w:p w14:paraId="3FC5B170" w14:textId="74B8E5EC" w:rsidR="007C1946" w:rsidRDefault="007C1946" w:rsidP="007C1946">
            <w:pPr>
              <w:pStyle w:val="BodyText"/>
              <w:spacing w:after="240" w:line="240" w:lineRule="auto"/>
              <w:jc w:val="left"/>
            </w:pPr>
            <w:r>
              <w:t xml:space="preserve">One Hundred </w:t>
            </w:r>
            <w:r w:rsidR="00092478">
              <w:t xml:space="preserve">and </w:t>
            </w:r>
            <w:r>
              <w:t xml:space="preserve">Sixty Sixth </w:t>
            </w:r>
            <w:r w:rsidR="00092478">
              <w:t>Respondent:</w:t>
            </w:r>
          </w:p>
        </w:tc>
        <w:tc>
          <w:tcPr>
            <w:tcW w:w="5874" w:type="dxa"/>
            <w:tcMar>
              <w:left w:w="28" w:type="dxa"/>
            </w:tcMar>
          </w:tcPr>
          <w:p w14:paraId="1E34F2C0" w14:textId="166DD9F5" w:rsidR="007C1946" w:rsidRDefault="007C1946" w:rsidP="007C1946">
            <w:pPr>
              <w:pStyle w:val="BodyText"/>
              <w:spacing w:after="240" w:line="240" w:lineRule="auto"/>
              <w:jc w:val="left"/>
            </w:pPr>
            <w:r>
              <w:t>KNI-TIME PTY LTD</w:t>
            </w:r>
          </w:p>
        </w:tc>
      </w:tr>
      <w:tr w:rsidR="007C1946" w14:paraId="083C70B2" w14:textId="77777777" w:rsidTr="005F3639">
        <w:trPr>
          <w:trHeight w:val="386"/>
        </w:trPr>
        <w:tc>
          <w:tcPr>
            <w:tcW w:w="3368" w:type="dxa"/>
          </w:tcPr>
          <w:p w14:paraId="54F49F38" w14:textId="111D48FA" w:rsidR="007C1946" w:rsidRDefault="007C1946" w:rsidP="007C1946">
            <w:pPr>
              <w:pStyle w:val="BodyText"/>
              <w:spacing w:after="240" w:line="240" w:lineRule="auto"/>
              <w:jc w:val="left"/>
            </w:pPr>
            <w:r>
              <w:t>One Hundred</w:t>
            </w:r>
            <w:r w:rsidR="004C3340">
              <w:t xml:space="preserve"> and</w:t>
            </w:r>
            <w:r>
              <w:t xml:space="preserve"> Sixty Seventh </w:t>
            </w:r>
            <w:r w:rsidR="004C3340">
              <w:t>Respondent:</w:t>
            </w:r>
          </w:p>
        </w:tc>
        <w:tc>
          <w:tcPr>
            <w:tcW w:w="5874" w:type="dxa"/>
            <w:tcMar>
              <w:left w:w="28" w:type="dxa"/>
            </w:tcMar>
          </w:tcPr>
          <w:p w14:paraId="478D066D" w14:textId="7975E7B5" w:rsidR="007C1946" w:rsidRDefault="007C1946" w:rsidP="007C1946">
            <w:pPr>
              <w:pStyle w:val="BodyText"/>
              <w:spacing w:after="240" w:line="240" w:lineRule="auto"/>
              <w:jc w:val="left"/>
            </w:pPr>
            <w:r>
              <w:t>KRAMFORD PTY LTD</w:t>
            </w:r>
          </w:p>
        </w:tc>
      </w:tr>
      <w:tr w:rsidR="007C1946" w14:paraId="2DC2511C" w14:textId="77777777" w:rsidTr="005F3639">
        <w:trPr>
          <w:trHeight w:val="386"/>
        </w:trPr>
        <w:tc>
          <w:tcPr>
            <w:tcW w:w="3368" w:type="dxa"/>
          </w:tcPr>
          <w:p w14:paraId="72A8C084" w14:textId="056697E5" w:rsidR="007C1946" w:rsidRDefault="007C1946" w:rsidP="007C1946">
            <w:pPr>
              <w:pStyle w:val="BodyText"/>
              <w:spacing w:after="240" w:line="240" w:lineRule="auto"/>
              <w:jc w:val="left"/>
            </w:pPr>
            <w:r>
              <w:t xml:space="preserve">One Hundred </w:t>
            </w:r>
            <w:r w:rsidR="004C3340">
              <w:t xml:space="preserve">and </w:t>
            </w:r>
            <w:r>
              <w:t xml:space="preserve">Sixty Eighth </w:t>
            </w:r>
            <w:r w:rsidR="004C3340">
              <w:t>Respondent:</w:t>
            </w:r>
          </w:p>
        </w:tc>
        <w:tc>
          <w:tcPr>
            <w:tcW w:w="5874" w:type="dxa"/>
            <w:tcMar>
              <w:left w:w="28" w:type="dxa"/>
            </w:tcMar>
          </w:tcPr>
          <w:p w14:paraId="4EEE79C5" w14:textId="49376757" w:rsidR="007C1946" w:rsidRDefault="007C1946" w:rsidP="007C1946">
            <w:pPr>
              <w:pStyle w:val="BodyText"/>
              <w:spacing w:after="240" w:line="240" w:lineRule="auto"/>
              <w:jc w:val="left"/>
            </w:pPr>
            <w:r>
              <w:t>KWA SIMBI PTY LTD</w:t>
            </w:r>
          </w:p>
        </w:tc>
      </w:tr>
      <w:tr w:rsidR="004C3340" w14:paraId="7B35619D" w14:textId="77777777" w:rsidTr="005F3639">
        <w:trPr>
          <w:trHeight w:val="386"/>
        </w:trPr>
        <w:tc>
          <w:tcPr>
            <w:tcW w:w="3368" w:type="dxa"/>
          </w:tcPr>
          <w:p w14:paraId="4DB00114" w14:textId="0B89CEB1" w:rsidR="004C3340" w:rsidRDefault="0029207D" w:rsidP="007C1946">
            <w:pPr>
              <w:pStyle w:val="BodyText"/>
              <w:spacing w:after="240" w:line="240" w:lineRule="auto"/>
              <w:jc w:val="left"/>
            </w:pPr>
            <w:r>
              <w:t>One Hundred and Sixty Ninth Respondent:</w:t>
            </w:r>
          </w:p>
        </w:tc>
        <w:tc>
          <w:tcPr>
            <w:tcW w:w="5874" w:type="dxa"/>
            <w:tcMar>
              <w:left w:w="28" w:type="dxa"/>
            </w:tcMar>
          </w:tcPr>
          <w:p w14:paraId="74264516" w14:textId="3826F1D2" w:rsidR="004C3340" w:rsidRDefault="0029207D" w:rsidP="007C1946">
            <w:pPr>
              <w:pStyle w:val="BodyText"/>
              <w:spacing w:after="240" w:line="240" w:lineRule="auto"/>
              <w:jc w:val="left"/>
            </w:pPr>
            <w:r>
              <w:t>KYMAR NOMINEES PTY LTD</w:t>
            </w:r>
          </w:p>
        </w:tc>
      </w:tr>
      <w:tr w:rsidR="007C1946" w14:paraId="7681E335" w14:textId="77777777" w:rsidTr="005F3639">
        <w:trPr>
          <w:trHeight w:val="386"/>
        </w:trPr>
        <w:tc>
          <w:tcPr>
            <w:tcW w:w="3368" w:type="dxa"/>
          </w:tcPr>
          <w:p w14:paraId="455CF97A" w14:textId="17305A19" w:rsidR="007C1946" w:rsidRDefault="007C1946" w:rsidP="007C1946">
            <w:pPr>
              <w:pStyle w:val="BodyText"/>
              <w:spacing w:after="240" w:line="240" w:lineRule="auto"/>
              <w:jc w:val="left"/>
            </w:pPr>
            <w:r>
              <w:t xml:space="preserve">One Hundred </w:t>
            </w:r>
            <w:r w:rsidR="004C3340">
              <w:t xml:space="preserve">and </w:t>
            </w:r>
            <w:r>
              <w:t xml:space="preserve">Seventy First </w:t>
            </w:r>
            <w:r w:rsidR="004C3340">
              <w:t>Respondent:</w:t>
            </w:r>
          </w:p>
        </w:tc>
        <w:tc>
          <w:tcPr>
            <w:tcW w:w="5874" w:type="dxa"/>
            <w:tcMar>
              <w:left w:w="28" w:type="dxa"/>
            </w:tcMar>
          </w:tcPr>
          <w:p w14:paraId="1ADB9F7B" w14:textId="5B70FDE8" w:rsidR="007C1946" w:rsidRDefault="007C1946" w:rsidP="007C1946">
            <w:pPr>
              <w:pStyle w:val="BodyText"/>
              <w:spacing w:after="240" w:line="240" w:lineRule="auto"/>
              <w:jc w:val="left"/>
            </w:pPr>
            <w:r>
              <w:t>LARDNER HOLDINGS PTY LTD</w:t>
            </w:r>
          </w:p>
        </w:tc>
      </w:tr>
      <w:tr w:rsidR="007C1946" w14:paraId="34D8E823" w14:textId="77777777" w:rsidTr="005F3639">
        <w:trPr>
          <w:trHeight w:val="386"/>
        </w:trPr>
        <w:tc>
          <w:tcPr>
            <w:tcW w:w="3368" w:type="dxa"/>
          </w:tcPr>
          <w:p w14:paraId="36A8D649" w14:textId="24321199" w:rsidR="007C1946" w:rsidRDefault="007C1946" w:rsidP="007C1946">
            <w:pPr>
              <w:pStyle w:val="BodyText"/>
              <w:spacing w:after="240" w:line="240" w:lineRule="auto"/>
              <w:jc w:val="left"/>
            </w:pPr>
            <w:r>
              <w:t xml:space="preserve">One Hundred </w:t>
            </w:r>
            <w:r w:rsidR="00187EA2">
              <w:t xml:space="preserve">and </w:t>
            </w:r>
            <w:r>
              <w:t>Seventy Second Respondent</w:t>
            </w:r>
            <w:r w:rsidR="00187EA2">
              <w:t>:</w:t>
            </w:r>
          </w:p>
        </w:tc>
        <w:tc>
          <w:tcPr>
            <w:tcW w:w="5874" w:type="dxa"/>
            <w:tcMar>
              <w:left w:w="28" w:type="dxa"/>
            </w:tcMar>
          </w:tcPr>
          <w:p w14:paraId="06318571" w14:textId="5AE08D7D" w:rsidR="007C1946" w:rsidRDefault="007C1946" w:rsidP="007C1946">
            <w:pPr>
              <w:pStyle w:val="BodyText"/>
              <w:spacing w:after="240" w:line="240" w:lineRule="auto"/>
              <w:jc w:val="left"/>
            </w:pPr>
            <w:r>
              <w:t>LEVEKE PTY LTD</w:t>
            </w:r>
          </w:p>
        </w:tc>
      </w:tr>
      <w:tr w:rsidR="007C1946" w14:paraId="5B9994EF" w14:textId="77777777" w:rsidTr="005F3639">
        <w:trPr>
          <w:trHeight w:val="386"/>
        </w:trPr>
        <w:tc>
          <w:tcPr>
            <w:tcW w:w="3368" w:type="dxa"/>
          </w:tcPr>
          <w:p w14:paraId="6F3EBA73" w14:textId="1C9A13F3" w:rsidR="007C1946" w:rsidRDefault="007C1946" w:rsidP="007C1946">
            <w:pPr>
              <w:pStyle w:val="BodyText"/>
              <w:spacing w:after="240" w:line="240" w:lineRule="auto"/>
              <w:jc w:val="left"/>
            </w:pPr>
            <w:r>
              <w:t xml:space="preserve">One Hundred </w:t>
            </w:r>
            <w:r w:rsidR="00637894">
              <w:t xml:space="preserve">and </w:t>
            </w:r>
            <w:r>
              <w:t xml:space="preserve">Seventy Third </w:t>
            </w:r>
            <w:r w:rsidR="00637894">
              <w:t>Respondent:</w:t>
            </w:r>
          </w:p>
        </w:tc>
        <w:tc>
          <w:tcPr>
            <w:tcW w:w="5874" w:type="dxa"/>
            <w:tcMar>
              <w:left w:w="28" w:type="dxa"/>
            </w:tcMar>
          </w:tcPr>
          <w:p w14:paraId="5483B3E7" w14:textId="7216BCD4" w:rsidR="007C1946" w:rsidRDefault="007C1946" w:rsidP="007C1946">
            <w:pPr>
              <w:pStyle w:val="BodyText"/>
              <w:spacing w:after="240" w:line="240" w:lineRule="auto"/>
              <w:jc w:val="left"/>
            </w:pPr>
            <w:r>
              <w:t>LIME88 PTY LTD</w:t>
            </w:r>
          </w:p>
        </w:tc>
      </w:tr>
      <w:tr w:rsidR="007C1946" w14:paraId="670BCC72" w14:textId="77777777" w:rsidTr="005F3639">
        <w:trPr>
          <w:trHeight w:val="386"/>
        </w:trPr>
        <w:tc>
          <w:tcPr>
            <w:tcW w:w="3368" w:type="dxa"/>
          </w:tcPr>
          <w:p w14:paraId="03A622FE" w14:textId="2ABBA655" w:rsidR="007C1946" w:rsidRDefault="007C1946" w:rsidP="007C1946">
            <w:pPr>
              <w:pStyle w:val="BodyText"/>
              <w:spacing w:after="240" w:line="240" w:lineRule="auto"/>
              <w:jc w:val="left"/>
            </w:pPr>
            <w:r>
              <w:t>One Hundred</w:t>
            </w:r>
            <w:r w:rsidR="00637894">
              <w:t xml:space="preserve"> and</w:t>
            </w:r>
            <w:r>
              <w:t xml:space="preserve"> Seventy Fourth </w:t>
            </w:r>
            <w:r w:rsidR="00637894">
              <w:t>Respondent:</w:t>
            </w:r>
          </w:p>
        </w:tc>
        <w:tc>
          <w:tcPr>
            <w:tcW w:w="5874" w:type="dxa"/>
            <w:tcMar>
              <w:left w:w="28" w:type="dxa"/>
            </w:tcMar>
          </w:tcPr>
          <w:p w14:paraId="179916C9" w14:textId="3DEFAD7E" w:rsidR="007C1946" w:rsidRDefault="007C1946" w:rsidP="007C1946">
            <w:pPr>
              <w:pStyle w:val="BodyText"/>
              <w:spacing w:after="240" w:line="240" w:lineRule="auto"/>
              <w:jc w:val="left"/>
            </w:pPr>
            <w:r>
              <w:t>LONGRIDGE PRESTON PTY LTD</w:t>
            </w:r>
          </w:p>
        </w:tc>
      </w:tr>
      <w:tr w:rsidR="007C1946" w14:paraId="3470FEFA" w14:textId="77777777" w:rsidTr="005F3639">
        <w:trPr>
          <w:trHeight w:val="386"/>
        </w:trPr>
        <w:tc>
          <w:tcPr>
            <w:tcW w:w="3368" w:type="dxa"/>
          </w:tcPr>
          <w:p w14:paraId="202921A2" w14:textId="12059489" w:rsidR="007C1946" w:rsidRDefault="007C1946" w:rsidP="007C1946">
            <w:pPr>
              <w:pStyle w:val="BodyText"/>
              <w:spacing w:after="240" w:line="240" w:lineRule="auto"/>
              <w:jc w:val="left"/>
            </w:pPr>
            <w:r>
              <w:t xml:space="preserve">One Hundred </w:t>
            </w:r>
            <w:r w:rsidR="00637894">
              <w:t xml:space="preserve">and </w:t>
            </w:r>
            <w:r>
              <w:t xml:space="preserve">Seventy Fifth </w:t>
            </w:r>
            <w:r w:rsidR="00637894">
              <w:t>Respondent:</w:t>
            </w:r>
          </w:p>
        </w:tc>
        <w:tc>
          <w:tcPr>
            <w:tcW w:w="5874" w:type="dxa"/>
            <w:tcMar>
              <w:left w:w="28" w:type="dxa"/>
            </w:tcMar>
          </w:tcPr>
          <w:p w14:paraId="64FC0C4E" w14:textId="0E066905" w:rsidR="007C1946" w:rsidRDefault="007C1946" w:rsidP="007C1946">
            <w:pPr>
              <w:pStyle w:val="BodyText"/>
              <w:spacing w:after="240" w:line="240" w:lineRule="auto"/>
              <w:jc w:val="left"/>
            </w:pPr>
            <w:r>
              <w:t>LOUDOU PTY LTD</w:t>
            </w:r>
          </w:p>
        </w:tc>
      </w:tr>
      <w:tr w:rsidR="007C1946" w14:paraId="56FF9EA5" w14:textId="77777777" w:rsidTr="005F3639">
        <w:trPr>
          <w:trHeight w:val="386"/>
        </w:trPr>
        <w:tc>
          <w:tcPr>
            <w:tcW w:w="3368" w:type="dxa"/>
          </w:tcPr>
          <w:p w14:paraId="4EB89AB2" w14:textId="49872236" w:rsidR="007C1946" w:rsidRDefault="007C1946" w:rsidP="007C1946">
            <w:pPr>
              <w:pStyle w:val="BodyText"/>
              <w:spacing w:after="240" w:line="240" w:lineRule="auto"/>
              <w:jc w:val="left"/>
            </w:pPr>
            <w:r>
              <w:t>One Hundred</w:t>
            </w:r>
            <w:r w:rsidR="00B72EF4">
              <w:t xml:space="preserve"> and</w:t>
            </w:r>
            <w:r>
              <w:t xml:space="preserve"> Seventy Sixth </w:t>
            </w:r>
            <w:r w:rsidR="00B72EF4">
              <w:t>Respondent:</w:t>
            </w:r>
          </w:p>
        </w:tc>
        <w:tc>
          <w:tcPr>
            <w:tcW w:w="5874" w:type="dxa"/>
            <w:tcMar>
              <w:left w:w="28" w:type="dxa"/>
            </w:tcMar>
          </w:tcPr>
          <w:p w14:paraId="1B1385C5" w14:textId="783ACE71" w:rsidR="007C1946" w:rsidRDefault="007C1946" w:rsidP="007C1946">
            <w:pPr>
              <w:pStyle w:val="BodyText"/>
              <w:spacing w:after="240" w:line="240" w:lineRule="auto"/>
              <w:jc w:val="left"/>
            </w:pPr>
            <w:r>
              <w:t>LOWGAN PTY LTD</w:t>
            </w:r>
          </w:p>
        </w:tc>
      </w:tr>
      <w:tr w:rsidR="007C1946" w14:paraId="49956FA9" w14:textId="77777777" w:rsidTr="005F3639">
        <w:trPr>
          <w:trHeight w:val="386"/>
        </w:trPr>
        <w:tc>
          <w:tcPr>
            <w:tcW w:w="3368" w:type="dxa"/>
          </w:tcPr>
          <w:p w14:paraId="75A59454" w14:textId="7A5A02A2" w:rsidR="007C1946" w:rsidRDefault="007C1946" w:rsidP="007C1946">
            <w:pPr>
              <w:pStyle w:val="BodyText"/>
              <w:spacing w:after="240" w:line="240" w:lineRule="auto"/>
              <w:jc w:val="left"/>
            </w:pPr>
            <w:r>
              <w:t xml:space="preserve">One Hundred </w:t>
            </w:r>
            <w:r w:rsidR="00B72EF4">
              <w:t xml:space="preserve">and </w:t>
            </w:r>
            <w:r>
              <w:t xml:space="preserve">Seventy Eighth </w:t>
            </w:r>
            <w:r w:rsidR="00B72EF4">
              <w:t>Respondent:</w:t>
            </w:r>
          </w:p>
        </w:tc>
        <w:tc>
          <w:tcPr>
            <w:tcW w:w="5874" w:type="dxa"/>
            <w:tcMar>
              <w:left w:w="28" w:type="dxa"/>
            </w:tcMar>
          </w:tcPr>
          <w:p w14:paraId="6C385EB0" w14:textId="0E9E3BD1" w:rsidR="007C1946" w:rsidRDefault="007C1946" w:rsidP="007C1946">
            <w:pPr>
              <w:pStyle w:val="BodyText"/>
              <w:spacing w:after="240" w:line="240" w:lineRule="auto"/>
              <w:jc w:val="left"/>
            </w:pPr>
            <w:r>
              <w:t>LTD INVESTMENTS GROUP PTY LTD</w:t>
            </w:r>
          </w:p>
        </w:tc>
      </w:tr>
      <w:tr w:rsidR="007C1946" w14:paraId="624F6595" w14:textId="77777777" w:rsidTr="005F3639">
        <w:trPr>
          <w:trHeight w:val="386"/>
        </w:trPr>
        <w:tc>
          <w:tcPr>
            <w:tcW w:w="3368" w:type="dxa"/>
          </w:tcPr>
          <w:p w14:paraId="4A8E03C5" w14:textId="53E5FA11" w:rsidR="007C1946" w:rsidRDefault="007C1946" w:rsidP="007C1946">
            <w:pPr>
              <w:pStyle w:val="BodyText"/>
              <w:spacing w:after="240" w:line="240" w:lineRule="auto"/>
              <w:jc w:val="left"/>
            </w:pPr>
            <w:r>
              <w:t>One Hundred</w:t>
            </w:r>
            <w:r w:rsidR="00B72EF4">
              <w:t xml:space="preserve"> and</w:t>
            </w:r>
            <w:r>
              <w:t xml:space="preserve"> Seventy Ninth </w:t>
            </w:r>
            <w:r w:rsidR="00B72EF4">
              <w:t>Respondent:</w:t>
            </w:r>
          </w:p>
        </w:tc>
        <w:tc>
          <w:tcPr>
            <w:tcW w:w="5874" w:type="dxa"/>
            <w:tcMar>
              <w:left w:w="28" w:type="dxa"/>
            </w:tcMar>
          </w:tcPr>
          <w:p w14:paraId="45337655" w14:textId="591B7B6D" w:rsidR="007C1946" w:rsidRDefault="007C1946" w:rsidP="007C1946">
            <w:pPr>
              <w:pStyle w:val="BodyText"/>
              <w:spacing w:after="240" w:line="240" w:lineRule="auto"/>
              <w:jc w:val="left"/>
            </w:pPr>
            <w:r>
              <w:t>LUCKY LAKES PTY LTD</w:t>
            </w:r>
          </w:p>
        </w:tc>
      </w:tr>
      <w:tr w:rsidR="007C1946" w14:paraId="059D114C" w14:textId="77777777" w:rsidTr="005F3639">
        <w:trPr>
          <w:trHeight w:val="386"/>
        </w:trPr>
        <w:tc>
          <w:tcPr>
            <w:tcW w:w="3368" w:type="dxa"/>
          </w:tcPr>
          <w:p w14:paraId="58B74842" w14:textId="1D756C33" w:rsidR="007C1946" w:rsidRDefault="007C1946" w:rsidP="007C1946">
            <w:pPr>
              <w:pStyle w:val="BodyText"/>
              <w:spacing w:after="240" w:line="240" w:lineRule="auto"/>
              <w:jc w:val="left"/>
            </w:pPr>
            <w:r>
              <w:t xml:space="preserve">One Hundred Eightieth </w:t>
            </w:r>
            <w:r w:rsidR="00B72EF4">
              <w:t>Respondent:</w:t>
            </w:r>
          </w:p>
        </w:tc>
        <w:tc>
          <w:tcPr>
            <w:tcW w:w="5874" w:type="dxa"/>
            <w:tcMar>
              <w:left w:w="28" w:type="dxa"/>
            </w:tcMar>
          </w:tcPr>
          <w:p w14:paraId="0A5BFA46" w14:textId="1128880A" w:rsidR="007C1946" w:rsidRDefault="007C1946" w:rsidP="007C1946">
            <w:pPr>
              <w:pStyle w:val="BodyText"/>
              <w:spacing w:after="240" w:line="240" w:lineRule="auto"/>
              <w:jc w:val="left"/>
            </w:pPr>
            <w:r>
              <w:t>LUGESAL PTY LTS</w:t>
            </w:r>
          </w:p>
        </w:tc>
      </w:tr>
      <w:tr w:rsidR="007C1946" w14:paraId="321C6AFD" w14:textId="77777777" w:rsidTr="005F3639">
        <w:trPr>
          <w:trHeight w:val="386"/>
        </w:trPr>
        <w:tc>
          <w:tcPr>
            <w:tcW w:w="3368" w:type="dxa"/>
          </w:tcPr>
          <w:p w14:paraId="7A829DB6" w14:textId="7C588F45" w:rsidR="007C1946" w:rsidRDefault="007C1946" w:rsidP="007C1946">
            <w:pPr>
              <w:pStyle w:val="BodyText"/>
              <w:spacing w:after="240" w:line="240" w:lineRule="auto"/>
              <w:jc w:val="left"/>
            </w:pPr>
            <w:r>
              <w:t xml:space="preserve">One Hundred </w:t>
            </w:r>
            <w:r w:rsidR="00B72EF4">
              <w:t xml:space="preserve">and </w:t>
            </w:r>
            <w:r>
              <w:t xml:space="preserve">Eighty First </w:t>
            </w:r>
            <w:r w:rsidR="00B72EF4">
              <w:t>Respondent:</w:t>
            </w:r>
          </w:p>
        </w:tc>
        <w:tc>
          <w:tcPr>
            <w:tcW w:w="5874" w:type="dxa"/>
            <w:tcMar>
              <w:left w:w="28" w:type="dxa"/>
            </w:tcMar>
          </w:tcPr>
          <w:p w14:paraId="7FE93ED5" w14:textId="6CFE355A" w:rsidR="007C1946" w:rsidRDefault="007C1946" w:rsidP="007C1946">
            <w:pPr>
              <w:pStyle w:val="BodyText"/>
              <w:spacing w:after="240" w:line="240" w:lineRule="auto"/>
              <w:jc w:val="left"/>
            </w:pPr>
            <w:r>
              <w:t>LVANT MECCA PTY LTD</w:t>
            </w:r>
          </w:p>
        </w:tc>
      </w:tr>
      <w:tr w:rsidR="007C1946" w14:paraId="041682A6" w14:textId="77777777" w:rsidTr="005F3639">
        <w:trPr>
          <w:trHeight w:val="386"/>
        </w:trPr>
        <w:tc>
          <w:tcPr>
            <w:tcW w:w="3368" w:type="dxa"/>
          </w:tcPr>
          <w:p w14:paraId="50DD3F7E" w14:textId="733D2B15" w:rsidR="007C1946" w:rsidRDefault="007C1946" w:rsidP="007C1946">
            <w:pPr>
              <w:pStyle w:val="BodyText"/>
              <w:spacing w:after="240" w:line="240" w:lineRule="auto"/>
              <w:jc w:val="left"/>
            </w:pPr>
            <w:r>
              <w:t xml:space="preserve">One Hundred </w:t>
            </w:r>
            <w:r w:rsidR="00B72EF4">
              <w:t xml:space="preserve">and </w:t>
            </w:r>
            <w:r>
              <w:t xml:space="preserve">Eighty Second </w:t>
            </w:r>
            <w:r w:rsidR="00B72EF4">
              <w:t>Respondent:</w:t>
            </w:r>
          </w:p>
        </w:tc>
        <w:tc>
          <w:tcPr>
            <w:tcW w:w="5874" w:type="dxa"/>
            <w:tcMar>
              <w:left w:w="28" w:type="dxa"/>
            </w:tcMar>
          </w:tcPr>
          <w:p w14:paraId="52D9AEDF" w14:textId="5B6EF8AA" w:rsidR="007C1946" w:rsidRDefault="007C1946" w:rsidP="007C1946">
            <w:pPr>
              <w:pStyle w:val="BodyText"/>
              <w:spacing w:after="240" w:line="240" w:lineRule="auto"/>
              <w:jc w:val="left"/>
            </w:pPr>
            <w:r>
              <w:t>M&amp;P HANLON INVESTMENTS PTY LTD</w:t>
            </w:r>
          </w:p>
        </w:tc>
      </w:tr>
      <w:tr w:rsidR="007C1946" w14:paraId="7BB37E87" w14:textId="77777777" w:rsidTr="005F3639">
        <w:trPr>
          <w:trHeight w:val="386"/>
        </w:trPr>
        <w:tc>
          <w:tcPr>
            <w:tcW w:w="3368" w:type="dxa"/>
          </w:tcPr>
          <w:p w14:paraId="5A6160FC" w14:textId="4212835B" w:rsidR="007C1946" w:rsidRDefault="007C1946" w:rsidP="007C1946">
            <w:pPr>
              <w:pStyle w:val="BodyText"/>
              <w:spacing w:after="240" w:line="240" w:lineRule="auto"/>
              <w:jc w:val="left"/>
            </w:pPr>
            <w:r>
              <w:t>One Hundred</w:t>
            </w:r>
            <w:r w:rsidR="00B72EF4">
              <w:t xml:space="preserve"> and</w:t>
            </w:r>
            <w:r>
              <w:t xml:space="preserve"> Eighty Third </w:t>
            </w:r>
            <w:r w:rsidR="00B72EF4">
              <w:t>Respondent:</w:t>
            </w:r>
          </w:p>
        </w:tc>
        <w:tc>
          <w:tcPr>
            <w:tcW w:w="5874" w:type="dxa"/>
            <w:tcMar>
              <w:left w:w="28" w:type="dxa"/>
            </w:tcMar>
          </w:tcPr>
          <w:p w14:paraId="64D287E0" w14:textId="0A93E300" w:rsidR="007C1946" w:rsidRDefault="007C1946" w:rsidP="007C1946">
            <w:pPr>
              <w:pStyle w:val="BodyText"/>
              <w:spacing w:after="240" w:line="240" w:lineRule="auto"/>
              <w:jc w:val="left"/>
            </w:pPr>
            <w:r>
              <w:t>MACEY PTY LTD</w:t>
            </w:r>
          </w:p>
        </w:tc>
      </w:tr>
      <w:tr w:rsidR="007C1946" w14:paraId="1FD6164A" w14:textId="77777777" w:rsidTr="005F3639">
        <w:trPr>
          <w:trHeight w:val="386"/>
        </w:trPr>
        <w:tc>
          <w:tcPr>
            <w:tcW w:w="3368" w:type="dxa"/>
          </w:tcPr>
          <w:p w14:paraId="65561CBD" w14:textId="00B7AF2C" w:rsidR="007C1946" w:rsidRDefault="007C1946" w:rsidP="007C1946">
            <w:pPr>
              <w:pStyle w:val="BodyText"/>
              <w:spacing w:after="240" w:line="240" w:lineRule="auto"/>
              <w:jc w:val="left"/>
            </w:pPr>
            <w:r>
              <w:t xml:space="preserve">One Hundred </w:t>
            </w:r>
            <w:r w:rsidR="00B72EF4">
              <w:t xml:space="preserve">and </w:t>
            </w:r>
            <w:r>
              <w:t xml:space="preserve">Eighty Fourth </w:t>
            </w:r>
            <w:r w:rsidR="00B72EF4">
              <w:t>Respondent:</w:t>
            </w:r>
          </w:p>
        </w:tc>
        <w:tc>
          <w:tcPr>
            <w:tcW w:w="5874" w:type="dxa"/>
            <w:tcMar>
              <w:left w:w="28" w:type="dxa"/>
            </w:tcMar>
          </w:tcPr>
          <w:p w14:paraId="33996C22" w14:textId="76EA0B39" w:rsidR="007C1946" w:rsidRDefault="007C1946" w:rsidP="007C1946">
            <w:pPr>
              <w:pStyle w:val="BodyText"/>
              <w:spacing w:after="240" w:line="240" w:lineRule="auto"/>
              <w:jc w:val="left"/>
            </w:pPr>
            <w:r>
              <w:t>MACKALLAN PTY LTD</w:t>
            </w:r>
          </w:p>
        </w:tc>
      </w:tr>
      <w:tr w:rsidR="007C1946" w14:paraId="084E5AA4" w14:textId="77777777" w:rsidTr="005F3639">
        <w:trPr>
          <w:trHeight w:val="386"/>
        </w:trPr>
        <w:tc>
          <w:tcPr>
            <w:tcW w:w="3368" w:type="dxa"/>
          </w:tcPr>
          <w:p w14:paraId="1C0108DE" w14:textId="5CBDE6F6" w:rsidR="007C1946" w:rsidRDefault="007C1946" w:rsidP="007C1946">
            <w:pPr>
              <w:pStyle w:val="BodyText"/>
              <w:spacing w:after="240" w:line="240" w:lineRule="auto"/>
              <w:jc w:val="left"/>
            </w:pPr>
            <w:r>
              <w:t>One Hundred</w:t>
            </w:r>
            <w:r w:rsidR="00B72EF4">
              <w:t xml:space="preserve"> and</w:t>
            </w:r>
            <w:r>
              <w:t xml:space="preserve"> Eighty Fifth </w:t>
            </w:r>
            <w:r w:rsidR="00B72EF4">
              <w:t>Respondent:</w:t>
            </w:r>
          </w:p>
        </w:tc>
        <w:tc>
          <w:tcPr>
            <w:tcW w:w="5874" w:type="dxa"/>
            <w:tcMar>
              <w:left w:w="28" w:type="dxa"/>
            </w:tcMar>
          </w:tcPr>
          <w:p w14:paraId="6EBDF434" w14:textId="05455250" w:rsidR="007C1946" w:rsidRDefault="007C1946" w:rsidP="007C1946">
            <w:pPr>
              <w:pStyle w:val="BodyText"/>
              <w:spacing w:after="240" w:line="240" w:lineRule="auto"/>
              <w:jc w:val="left"/>
            </w:pPr>
            <w:r>
              <w:t>MACTER PTY LTD</w:t>
            </w:r>
          </w:p>
        </w:tc>
      </w:tr>
      <w:tr w:rsidR="007C1946" w14:paraId="0B19CAAE" w14:textId="77777777" w:rsidTr="005F3639">
        <w:trPr>
          <w:trHeight w:val="386"/>
        </w:trPr>
        <w:tc>
          <w:tcPr>
            <w:tcW w:w="3368" w:type="dxa"/>
          </w:tcPr>
          <w:p w14:paraId="1A12C381" w14:textId="55F97AE1" w:rsidR="007C1946" w:rsidRDefault="007C1946" w:rsidP="007C1946">
            <w:pPr>
              <w:pStyle w:val="BodyText"/>
              <w:spacing w:after="240" w:line="240" w:lineRule="auto"/>
              <w:jc w:val="left"/>
            </w:pPr>
            <w:r>
              <w:t>One Hundred</w:t>
            </w:r>
            <w:r w:rsidR="00B72EF4">
              <w:t xml:space="preserve"> and</w:t>
            </w:r>
            <w:r>
              <w:t xml:space="preserve"> Eighty Sixth </w:t>
            </w:r>
            <w:r w:rsidR="00B72EF4">
              <w:t>Respondent:</w:t>
            </w:r>
          </w:p>
        </w:tc>
        <w:tc>
          <w:tcPr>
            <w:tcW w:w="5874" w:type="dxa"/>
            <w:tcMar>
              <w:left w:w="28" w:type="dxa"/>
            </w:tcMar>
          </w:tcPr>
          <w:p w14:paraId="5CE2FD3C" w14:textId="31BD9134" w:rsidR="007C1946" w:rsidRDefault="007C1946" w:rsidP="007C1946">
            <w:pPr>
              <w:pStyle w:val="BodyText"/>
              <w:spacing w:after="240" w:line="240" w:lineRule="auto"/>
              <w:jc w:val="left"/>
            </w:pPr>
            <w:r>
              <w:t>MADIMASE BEYOND 13 PTY LTD</w:t>
            </w:r>
          </w:p>
        </w:tc>
      </w:tr>
      <w:tr w:rsidR="007C1946" w14:paraId="72D4A2D7" w14:textId="77777777" w:rsidTr="005F3639">
        <w:trPr>
          <w:trHeight w:val="386"/>
        </w:trPr>
        <w:tc>
          <w:tcPr>
            <w:tcW w:w="3368" w:type="dxa"/>
          </w:tcPr>
          <w:p w14:paraId="33426F43" w14:textId="3A93D43D" w:rsidR="007C1946" w:rsidRDefault="007C1946" w:rsidP="007C1946">
            <w:pPr>
              <w:pStyle w:val="BodyText"/>
              <w:spacing w:after="240" w:line="240" w:lineRule="auto"/>
              <w:jc w:val="left"/>
            </w:pPr>
            <w:r>
              <w:t xml:space="preserve">One Hundred </w:t>
            </w:r>
            <w:r w:rsidR="00B72EF4">
              <w:t xml:space="preserve">and </w:t>
            </w:r>
            <w:r>
              <w:t xml:space="preserve">Eighty Seventh </w:t>
            </w:r>
            <w:r w:rsidR="00B72EF4">
              <w:t>Respondent:</w:t>
            </w:r>
          </w:p>
        </w:tc>
        <w:tc>
          <w:tcPr>
            <w:tcW w:w="5874" w:type="dxa"/>
            <w:tcMar>
              <w:left w:w="28" w:type="dxa"/>
            </w:tcMar>
          </w:tcPr>
          <w:p w14:paraId="16B32D11" w14:textId="3074F447" w:rsidR="007C1946" w:rsidRDefault="007C1946" w:rsidP="007C1946">
            <w:pPr>
              <w:pStyle w:val="BodyText"/>
              <w:spacing w:after="240" w:line="240" w:lineRule="auto"/>
              <w:jc w:val="left"/>
            </w:pPr>
            <w:r>
              <w:t>MADMAC INVESTMENTS PTY LTD</w:t>
            </w:r>
          </w:p>
        </w:tc>
      </w:tr>
      <w:tr w:rsidR="007C1946" w14:paraId="641C9F88" w14:textId="77777777" w:rsidTr="005F3639">
        <w:trPr>
          <w:trHeight w:val="386"/>
        </w:trPr>
        <w:tc>
          <w:tcPr>
            <w:tcW w:w="3368" w:type="dxa"/>
          </w:tcPr>
          <w:p w14:paraId="71B6174A" w14:textId="1B5C6E98" w:rsidR="007C1946" w:rsidRDefault="007C1946" w:rsidP="007C1946">
            <w:pPr>
              <w:pStyle w:val="BodyText"/>
              <w:spacing w:after="240" w:line="240" w:lineRule="auto"/>
              <w:jc w:val="left"/>
            </w:pPr>
            <w:r>
              <w:t xml:space="preserve">One Hundred </w:t>
            </w:r>
            <w:r w:rsidR="00B72EF4">
              <w:t xml:space="preserve">and </w:t>
            </w:r>
            <w:r>
              <w:t xml:space="preserve">Eighty Eighth </w:t>
            </w:r>
            <w:r w:rsidR="00B72EF4">
              <w:t>Respondent:</w:t>
            </w:r>
          </w:p>
        </w:tc>
        <w:tc>
          <w:tcPr>
            <w:tcW w:w="5874" w:type="dxa"/>
            <w:tcMar>
              <w:left w:w="28" w:type="dxa"/>
            </w:tcMar>
          </w:tcPr>
          <w:p w14:paraId="71A8644C" w14:textId="472A4A7B" w:rsidR="007C1946" w:rsidRDefault="007C1946" w:rsidP="007C1946">
            <w:pPr>
              <w:pStyle w:val="BodyText"/>
              <w:spacing w:after="240" w:line="240" w:lineRule="auto"/>
              <w:jc w:val="left"/>
            </w:pPr>
            <w:r>
              <w:t>MADMEL INVESTMENTS PTY LTD</w:t>
            </w:r>
          </w:p>
        </w:tc>
      </w:tr>
      <w:tr w:rsidR="007C1946" w14:paraId="20453669" w14:textId="77777777" w:rsidTr="005F3639">
        <w:trPr>
          <w:trHeight w:val="386"/>
        </w:trPr>
        <w:tc>
          <w:tcPr>
            <w:tcW w:w="3368" w:type="dxa"/>
          </w:tcPr>
          <w:p w14:paraId="47830A40" w14:textId="5D801830" w:rsidR="007C1946" w:rsidRDefault="007C1946" w:rsidP="007C1946">
            <w:pPr>
              <w:pStyle w:val="BodyText"/>
              <w:spacing w:after="240" w:line="240" w:lineRule="auto"/>
              <w:jc w:val="left"/>
            </w:pPr>
            <w:r>
              <w:t>One Hundred</w:t>
            </w:r>
            <w:r w:rsidR="00B72EF4">
              <w:t xml:space="preserve"> and</w:t>
            </w:r>
            <w:r>
              <w:t xml:space="preserve"> Eighty Ninth </w:t>
            </w:r>
            <w:r w:rsidR="00B72EF4">
              <w:t>Respondent:</w:t>
            </w:r>
          </w:p>
        </w:tc>
        <w:tc>
          <w:tcPr>
            <w:tcW w:w="5874" w:type="dxa"/>
            <w:tcMar>
              <w:left w:w="28" w:type="dxa"/>
            </w:tcMar>
          </w:tcPr>
          <w:p w14:paraId="092D0C80" w14:textId="68B20134" w:rsidR="007C1946" w:rsidRDefault="007C1946" w:rsidP="007C1946">
            <w:pPr>
              <w:pStyle w:val="BodyText"/>
              <w:spacing w:after="240" w:line="240" w:lineRule="auto"/>
              <w:jc w:val="left"/>
            </w:pPr>
            <w:r>
              <w:t>MADTIME PTY LTD</w:t>
            </w:r>
          </w:p>
        </w:tc>
      </w:tr>
      <w:tr w:rsidR="007C1946" w14:paraId="478F2FAE" w14:textId="77777777" w:rsidTr="005F3639">
        <w:trPr>
          <w:trHeight w:val="386"/>
        </w:trPr>
        <w:tc>
          <w:tcPr>
            <w:tcW w:w="3368" w:type="dxa"/>
          </w:tcPr>
          <w:p w14:paraId="208D87E7" w14:textId="51E14D73" w:rsidR="007C1946" w:rsidRDefault="007C1946" w:rsidP="007C1946">
            <w:pPr>
              <w:pStyle w:val="BodyText"/>
              <w:spacing w:after="240" w:line="240" w:lineRule="auto"/>
              <w:jc w:val="left"/>
            </w:pPr>
            <w:r>
              <w:t>One Hundred</w:t>
            </w:r>
            <w:r w:rsidR="00B72EF4">
              <w:t xml:space="preserve"> and</w:t>
            </w:r>
            <w:r>
              <w:t xml:space="preserve"> Ninetieth </w:t>
            </w:r>
            <w:r w:rsidR="00B72EF4">
              <w:t>Respondent:</w:t>
            </w:r>
          </w:p>
        </w:tc>
        <w:tc>
          <w:tcPr>
            <w:tcW w:w="5874" w:type="dxa"/>
            <w:tcMar>
              <w:left w:w="28" w:type="dxa"/>
            </w:tcMar>
          </w:tcPr>
          <w:p w14:paraId="70A3660F" w14:textId="36433B9A" w:rsidR="007C1946" w:rsidRDefault="007C1946" w:rsidP="007C1946">
            <w:pPr>
              <w:pStyle w:val="BodyText"/>
              <w:spacing w:after="240" w:line="240" w:lineRule="auto"/>
              <w:jc w:val="left"/>
            </w:pPr>
            <w:r>
              <w:t>MAJAB ENTERPRISES PTY LTD</w:t>
            </w:r>
          </w:p>
        </w:tc>
      </w:tr>
      <w:tr w:rsidR="007C1946" w14:paraId="36BEA42B" w14:textId="77777777" w:rsidTr="005F3639">
        <w:trPr>
          <w:trHeight w:val="386"/>
        </w:trPr>
        <w:tc>
          <w:tcPr>
            <w:tcW w:w="3368" w:type="dxa"/>
          </w:tcPr>
          <w:p w14:paraId="6F67C966" w14:textId="1AC77B21" w:rsidR="007C1946" w:rsidRDefault="007C1946" w:rsidP="007C1946">
            <w:pPr>
              <w:pStyle w:val="BodyText"/>
              <w:spacing w:after="240" w:line="240" w:lineRule="auto"/>
              <w:jc w:val="left"/>
            </w:pPr>
            <w:r>
              <w:t xml:space="preserve">One Hundred </w:t>
            </w:r>
            <w:r w:rsidR="007F0E4F">
              <w:t xml:space="preserve">and </w:t>
            </w:r>
            <w:r>
              <w:t xml:space="preserve">Ninety First </w:t>
            </w:r>
            <w:r w:rsidR="007F0E4F">
              <w:t>Respondent:</w:t>
            </w:r>
          </w:p>
        </w:tc>
        <w:tc>
          <w:tcPr>
            <w:tcW w:w="5874" w:type="dxa"/>
            <w:tcMar>
              <w:left w:w="28" w:type="dxa"/>
            </w:tcMar>
          </w:tcPr>
          <w:p w14:paraId="7BA652AD" w14:textId="651C8281" w:rsidR="007C1946" w:rsidRDefault="007C1946" w:rsidP="007C1946">
            <w:pPr>
              <w:pStyle w:val="BodyText"/>
              <w:spacing w:after="240" w:line="240" w:lineRule="auto"/>
              <w:jc w:val="left"/>
            </w:pPr>
            <w:r>
              <w:t>MAJERO INVESTMENTS PTY LTD</w:t>
            </w:r>
          </w:p>
        </w:tc>
      </w:tr>
      <w:tr w:rsidR="007C1946" w14:paraId="6538BC01" w14:textId="77777777" w:rsidTr="005F3639">
        <w:trPr>
          <w:trHeight w:val="386"/>
        </w:trPr>
        <w:tc>
          <w:tcPr>
            <w:tcW w:w="3368" w:type="dxa"/>
          </w:tcPr>
          <w:p w14:paraId="1425F2FD" w14:textId="78B73112" w:rsidR="007C1946" w:rsidRDefault="007C1946" w:rsidP="007C1946">
            <w:pPr>
              <w:pStyle w:val="BodyText"/>
              <w:spacing w:after="240" w:line="240" w:lineRule="auto"/>
              <w:jc w:val="left"/>
            </w:pPr>
            <w:r>
              <w:t xml:space="preserve">One Hundred </w:t>
            </w:r>
            <w:r w:rsidR="007F0E4F">
              <w:t xml:space="preserve">and </w:t>
            </w:r>
            <w:r>
              <w:t xml:space="preserve">Ninety Second </w:t>
            </w:r>
            <w:r w:rsidR="007F0E4F">
              <w:t>Respondent:</w:t>
            </w:r>
          </w:p>
        </w:tc>
        <w:tc>
          <w:tcPr>
            <w:tcW w:w="5874" w:type="dxa"/>
            <w:tcMar>
              <w:left w:w="28" w:type="dxa"/>
            </w:tcMar>
          </w:tcPr>
          <w:p w14:paraId="0EE79480" w14:textId="7E3C0C04" w:rsidR="007C1946" w:rsidRDefault="007C1946" w:rsidP="007C1946">
            <w:pPr>
              <w:pStyle w:val="BodyText"/>
              <w:spacing w:after="240" w:line="240" w:lineRule="auto"/>
              <w:jc w:val="left"/>
            </w:pPr>
            <w:r>
              <w:t>MAMMATH PTY LTD</w:t>
            </w:r>
          </w:p>
        </w:tc>
      </w:tr>
      <w:tr w:rsidR="007C1946" w14:paraId="646728B6" w14:textId="77777777" w:rsidTr="005F3639">
        <w:trPr>
          <w:trHeight w:val="386"/>
        </w:trPr>
        <w:tc>
          <w:tcPr>
            <w:tcW w:w="3368" w:type="dxa"/>
          </w:tcPr>
          <w:p w14:paraId="1C13CBB0" w14:textId="11D6D755" w:rsidR="007C1946" w:rsidRDefault="007C1946" w:rsidP="007C1946">
            <w:pPr>
              <w:pStyle w:val="BodyText"/>
              <w:spacing w:after="240" w:line="240" w:lineRule="auto"/>
              <w:jc w:val="left"/>
            </w:pPr>
            <w:r>
              <w:t xml:space="preserve">One Hundred </w:t>
            </w:r>
            <w:r w:rsidR="007F0E4F">
              <w:t xml:space="preserve">and </w:t>
            </w:r>
            <w:r>
              <w:t xml:space="preserve">Ninety Third </w:t>
            </w:r>
            <w:r w:rsidR="007F0E4F">
              <w:t>Respondent:</w:t>
            </w:r>
          </w:p>
        </w:tc>
        <w:tc>
          <w:tcPr>
            <w:tcW w:w="5874" w:type="dxa"/>
            <w:tcMar>
              <w:left w:w="28" w:type="dxa"/>
            </w:tcMar>
          </w:tcPr>
          <w:p w14:paraId="3E79DEDA" w14:textId="43CB2954" w:rsidR="007C1946" w:rsidRDefault="007C1946" w:rsidP="007C1946">
            <w:pPr>
              <w:pStyle w:val="BodyText"/>
              <w:spacing w:after="240" w:line="240" w:lineRule="auto"/>
              <w:jc w:val="left"/>
            </w:pPr>
            <w:r>
              <w:t>MANHAD PTY LTD</w:t>
            </w:r>
          </w:p>
        </w:tc>
      </w:tr>
      <w:tr w:rsidR="007C1946" w14:paraId="4B488B87" w14:textId="77777777" w:rsidTr="005F3639">
        <w:trPr>
          <w:trHeight w:val="386"/>
        </w:trPr>
        <w:tc>
          <w:tcPr>
            <w:tcW w:w="3368" w:type="dxa"/>
          </w:tcPr>
          <w:p w14:paraId="59354E3C" w14:textId="7B47B00A" w:rsidR="007C1946" w:rsidRDefault="007C1946" w:rsidP="007C1946">
            <w:pPr>
              <w:pStyle w:val="BodyText"/>
              <w:spacing w:after="240" w:line="240" w:lineRule="auto"/>
              <w:jc w:val="left"/>
            </w:pPr>
            <w:r>
              <w:t xml:space="preserve">One Hundred </w:t>
            </w:r>
            <w:r w:rsidR="007F0E4F">
              <w:t xml:space="preserve">and </w:t>
            </w:r>
            <w:r>
              <w:t xml:space="preserve">Ninety Fourth </w:t>
            </w:r>
            <w:r w:rsidR="007F0E4F">
              <w:t>Respondent:</w:t>
            </w:r>
          </w:p>
        </w:tc>
        <w:tc>
          <w:tcPr>
            <w:tcW w:w="5874" w:type="dxa"/>
            <w:tcMar>
              <w:left w:w="28" w:type="dxa"/>
            </w:tcMar>
          </w:tcPr>
          <w:p w14:paraId="6D074755" w14:textId="3F93CD34" w:rsidR="007C1946" w:rsidRDefault="007C1946" w:rsidP="007C1946">
            <w:pPr>
              <w:pStyle w:val="BodyText"/>
              <w:spacing w:after="240" w:line="240" w:lineRule="auto"/>
              <w:jc w:val="left"/>
            </w:pPr>
            <w:r>
              <w:t>MARC AUSTRALIA PTY LTD</w:t>
            </w:r>
          </w:p>
        </w:tc>
      </w:tr>
      <w:tr w:rsidR="007C1946" w14:paraId="484A849E" w14:textId="77777777" w:rsidTr="005F3639">
        <w:trPr>
          <w:trHeight w:val="386"/>
        </w:trPr>
        <w:tc>
          <w:tcPr>
            <w:tcW w:w="3368" w:type="dxa"/>
          </w:tcPr>
          <w:p w14:paraId="2FB83983" w14:textId="6DB5FE4E" w:rsidR="007C1946" w:rsidRDefault="007C1946" w:rsidP="007C1946">
            <w:pPr>
              <w:pStyle w:val="BodyText"/>
              <w:spacing w:after="240" w:line="240" w:lineRule="auto"/>
              <w:jc w:val="left"/>
            </w:pPr>
            <w:r>
              <w:t>One Hundred</w:t>
            </w:r>
            <w:r w:rsidR="007F0E4F">
              <w:t xml:space="preserve"> and</w:t>
            </w:r>
            <w:r>
              <w:t xml:space="preserve"> Ninety Fifth </w:t>
            </w:r>
            <w:r w:rsidR="007F0E4F">
              <w:t>Respondent:</w:t>
            </w:r>
          </w:p>
        </w:tc>
        <w:tc>
          <w:tcPr>
            <w:tcW w:w="5874" w:type="dxa"/>
            <w:tcMar>
              <w:left w:w="28" w:type="dxa"/>
            </w:tcMar>
          </w:tcPr>
          <w:p w14:paraId="49832C62" w14:textId="242432CD" w:rsidR="007C1946" w:rsidRDefault="007C1946" w:rsidP="007C1946">
            <w:pPr>
              <w:pStyle w:val="BodyText"/>
              <w:spacing w:after="240" w:line="240" w:lineRule="auto"/>
              <w:jc w:val="left"/>
            </w:pPr>
            <w:r>
              <w:t>MARJOM PTY LTD</w:t>
            </w:r>
          </w:p>
        </w:tc>
      </w:tr>
      <w:tr w:rsidR="007C1946" w14:paraId="6C503F42" w14:textId="77777777" w:rsidTr="005F3639">
        <w:trPr>
          <w:trHeight w:val="386"/>
        </w:trPr>
        <w:tc>
          <w:tcPr>
            <w:tcW w:w="3368" w:type="dxa"/>
          </w:tcPr>
          <w:p w14:paraId="284E6E6E" w14:textId="21D76D0C" w:rsidR="007C1946" w:rsidRDefault="007C1946" w:rsidP="007C1946">
            <w:pPr>
              <w:pStyle w:val="BodyText"/>
              <w:spacing w:after="240" w:line="240" w:lineRule="auto"/>
              <w:jc w:val="left"/>
            </w:pPr>
            <w:r>
              <w:t>One Hundred</w:t>
            </w:r>
            <w:r w:rsidR="007F0E4F">
              <w:t xml:space="preserve"> and</w:t>
            </w:r>
            <w:r>
              <w:t xml:space="preserve"> Ninety Sixth </w:t>
            </w:r>
            <w:r w:rsidR="007F0E4F">
              <w:t>Respondent:</w:t>
            </w:r>
          </w:p>
        </w:tc>
        <w:tc>
          <w:tcPr>
            <w:tcW w:w="5874" w:type="dxa"/>
            <w:tcMar>
              <w:left w:w="28" w:type="dxa"/>
            </w:tcMar>
          </w:tcPr>
          <w:p w14:paraId="63EF3EFC" w14:textId="1F0F4C15" w:rsidR="007C1946" w:rsidRDefault="007C1946" w:rsidP="007C1946">
            <w:pPr>
              <w:pStyle w:val="BodyText"/>
              <w:spacing w:after="240" w:line="240" w:lineRule="auto"/>
              <w:jc w:val="left"/>
            </w:pPr>
            <w:r>
              <w:t>MARJONS RESTAURANTS PTY LTD</w:t>
            </w:r>
          </w:p>
        </w:tc>
      </w:tr>
      <w:tr w:rsidR="007C1946" w14:paraId="27826EBC" w14:textId="77777777" w:rsidTr="005F3639">
        <w:trPr>
          <w:trHeight w:val="386"/>
        </w:trPr>
        <w:tc>
          <w:tcPr>
            <w:tcW w:w="3368" w:type="dxa"/>
          </w:tcPr>
          <w:p w14:paraId="69054542" w14:textId="0218B154" w:rsidR="007C1946" w:rsidRDefault="007C1946" w:rsidP="007C1946">
            <w:pPr>
              <w:pStyle w:val="BodyText"/>
              <w:spacing w:after="240" w:line="240" w:lineRule="auto"/>
              <w:jc w:val="left"/>
            </w:pPr>
            <w:r>
              <w:t>One Hundred</w:t>
            </w:r>
            <w:r w:rsidR="007F0E4F">
              <w:t xml:space="preserve"> and</w:t>
            </w:r>
            <w:r>
              <w:t xml:space="preserve"> Ninety Seventh </w:t>
            </w:r>
            <w:r w:rsidR="007F0E4F">
              <w:t>Respondent:</w:t>
            </w:r>
          </w:p>
        </w:tc>
        <w:tc>
          <w:tcPr>
            <w:tcW w:w="5874" w:type="dxa"/>
            <w:tcMar>
              <w:left w:w="28" w:type="dxa"/>
            </w:tcMar>
          </w:tcPr>
          <w:p w14:paraId="0A3ED51D" w14:textId="7247DEB6" w:rsidR="007C1946" w:rsidRDefault="007C1946" w:rsidP="007C1946">
            <w:pPr>
              <w:pStyle w:val="BodyText"/>
              <w:spacing w:after="240" w:line="240" w:lineRule="auto"/>
              <w:jc w:val="left"/>
            </w:pPr>
            <w:r>
              <w:t>MATTAUD PTY LTD</w:t>
            </w:r>
          </w:p>
        </w:tc>
      </w:tr>
      <w:tr w:rsidR="007C1946" w14:paraId="157BE517" w14:textId="77777777" w:rsidTr="005F3639">
        <w:trPr>
          <w:trHeight w:val="386"/>
        </w:trPr>
        <w:tc>
          <w:tcPr>
            <w:tcW w:w="3368" w:type="dxa"/>
          </w:tcPr>
          <w:p w14:paraId="1565F781" w14:textId="377B41FC" w:rsidR="007C1946" w:rsidRDefault="007C1946" w:rsidP="007C1946">
            <w:pPr>
              <w:pStyle w:val="BodyText"/>
              <w:spacing w:after="240" w:line="240" w:lineRule="auto"/>
              <w:jc w:val="left"/>
            </w:pPr>
            <w:r>
              <w:t>One Hundred</w:t>
            </w:r>
            <w:r w:rsidR="007F0E4F">
              <w:t xml:space="preserve"> and</w:t>
            </w:r>
            <w:r>
              <w:t xml:space="preserve"> Ninety Eighth </w:t>
            </w:r>
            <w:r w:rsidR="007F0E4F">
              <w:t>Respondent:</w:t>
            </w:r>
          </w:p>
        </w:tc>
        <w:tc>
          <w:tcPr>
            <w:tcW w:w="5874" w:type="dxa"/>
            <w:tcMar>
              <w:left w:w="28" w:type="dxa"/>
            </w:tcMar>
          </w:tcPr>
          <w:p w14:paraId="03D4CAFC" w14:textId="070DF8FC" w:rsidR="007C1946" w:rsidRDefault="007C1946" w:rsidP="007C1946">
            <w:pPr>
              <w:pStyle w:val="BodyText"/>
              <w:spacing w:after="240" w:line="240" w:lineRule="auto"/>
              <w:jc w:val="left"/>
            </w:pPr>
            <w:r>
              <w:t>MAYMAC FOODS PTY LTD</w:t>
            </w:r>
          </w:p>
        </w:tc>
      </w:tr>
      <w:tr w:rsidR="007C1946" w14:paraId="02ED9586" w14:textId="77777777" w:rsidTr="005F3639">
        <w:trPr>
          <w:trHeight w:val="386"/>
        </w:trPr>
        <w:tc>
          <w:tcPr>
            <w:tcW w:w="3368" w:type="dxa"/>
          </w:tcPr>
          <w:p w14:paraId="44C85B7F" w14:textId="05530620" w:rsidR="007C1946" w:rsidRDefault="007C1946" w:rsidP="007C1946">
            <w:pPr>
              <w:pStyle w:val="BodyText"/>
              <w:spacing w:after="240" w:line="240" w:lineRule="auto"/>
              <w:jc w:val="left"/>
            </w:pPr>
            <w:r>
              <w:t xml:space="preserve">One Hundred </w:t>
            </w:r>
            <w:r w:rsidR="007F0E4F">
              <w:t xml:space="preserve">and </w:t>
            </w:r>
            <w:r>
              <w:t xml:space="preserve">Ninety Ninth </w:t>
            </w:r>
            <w:r w:rsidR="007F0E4F">
              <w:t>Respondent:</w:t>
            </w:r>
          </w:p>
        </w:tc>
        <w:tc>
          <w:tcPr>
            <w:tcW w:w="5874" w:type="dxa"/>
            <w:tcMar>
              <w:left w:w="28" w:type="dxa"/>
            </w:tcMar>
          </w:tcPr>
          <w:p w14:paraId="556AF2B3" w14:textId="2F707526" w:rsidR="007C1946" w:rsidRDefault="007C1946" w:rsidP="007C1946">
            <w:pPr>
              <w:pStyle w:val="BodyText"/>
              <w:spacing w:after="240" w:line="240" w:lineRule="auto"/>
              <w:jc w:val="left"/>
            </w:pPr>
            <w:r>
              <w:t>MAZCAR PTY LTD</w:t>
            </w:r>
          </w:p>
        </w:tc>
      </w:tr>
      <w:tr w:rsidR="007C1946" w14:paraId="19DCC7DF" w14:textId="77777777" w:rsidTr="005F3639">
        <w:trPr>
          <w:trHeight w:val="386"/>
        </w:trPr>
        <w:tc>
          <w:tcPr>
            <w:tcW w:w="3368" w:type="dxa"/>
          </w:tcPr>
          <w:p w14:paraId="3D57FEB8" w14:textId="5635D3BE" w:rsidR="007C1946" w:rsidRDefault="007C1946" w:rsidP="007C1946">
            <w:pPr>
              <w:pStyle w:val="BodyText"/>
              <w:spacing w:after="240" w:line="240" w:lineRule="auto"/>
              <w:jc w:val="left"/>
            </w:pPr>
            <w:r>
              <w:t xml:space="preserve">Two Hundredth </w:t>
            </w:r>
            <w:r w:rsidR="001A0592">
              <w:t>Respondent:</w:t>
            </w:r>
          </w:p>
        </w:tc>
        <w:tc>
          <w:tcPr>
            <w:tcW w:w="5874" w:type="dxa"/>
            <w:tcMar>
              <w:left w:w="28" w:type="dxa"/>
            </w:tcMar>
          </w:tcPr>
          <w:p w14:paraId="73D3A7E4" w14:textId="1C3E1390" w:rsidR="007C1946" w:rsidRDefault="007C1946" w:rsidP="007C1946">
            <w:pPr>
              <w:pStyle w:val="BodyText"/>
              <w:spacing w:after="240" w:line="240" w:lineRule="auto"/>
              <w:jc w:val="left"/>
            </w:pPr>
            <w:r>
              <w:t>MAZER PTY LTD</w:t>
            </w:r>
          </w:p>
        </w:tc>
      </w:tr>
      <w:tr w:rsidR="007C1946" w14:paraId="76B109E7" w14:textId="77777777" w:rsidTr="005F3639">
        <w:trPr>
          <w:trHeight w:val="386"/>
        </w:trPr>
        <w:tc>
          <w:tcPr>
            <w:tcW w:w="3368" w:type="dxa"/>
          </w:tcPr>
          <w:p w14:paraId="172E43D6" w14:textId="112508CD" w:rsidR="007C1946" w:rsidRDefault="007C1946" w:rsidP="007C1946">
            <w:pPr>
              <w:pStyle w:val="BodyText"/>
              <w:spacing w:after="240" w:line="240" w:lineRule="auto"/>
              <w:jc w:val="left"/>
            </w:pPr>
            <w:r>
              <w:t xml:space="preserve">Two Hundred </w:t>
            </w:r>
            <w:r w:rsidR="001A0592">
              <w:t xml:space="preserve">and </w:t>
            </w:r>
            <w:r>
              <w:t>First</w:t>
            </w:r>
            <w:r w:rsidR="001A0592">
              <w:t xml:space="preserve"> Respondent:</w:t>
            </w:r>
          </w:p>
        </w:tc>
        <w:tc>
          <w:tcPr>
            <w:tcW w:w="5874" w:type="dxa"/>
            <w:tcMar>
              <w:left w:w="28" w:type="dxa"/>
            </w:tcMar>
          </w:tcPr>
          <w:p w14:paraId="64ED17A5" w14:textId="25D36C54" w:rsidR="007C1946" w:rsidRDefault="007C1946" w:rsidP="007C1946">
            <w:pPr>
              <w:pStyle w:val="BodyText"/>
              <w:spacing w:after="240" w:line="240" w:lineRule="auto"/>
              <w:jc w:val="left"/>
            </w:pPr>
            <w:r>
              <w:t>MC PETERS PTY LTD</w:t>
            </w:r>
          </w:p>
        </w:tc>
      </w:tr>
      <w:tr w:rsidR="007C1946" w14:paraId="31B34E0C" w14:textId="77777777" w:rsidTr="005F3639">
        <w:trPr>
          <w:trHeight w:val="386"/>
        </w:trPr>
        <w:tc>
          <w:tcPr>
            <w:tcW w:w="3368" w:type="dxa"/>
          </w:tcPr>
          <w:p w14:paraId="24C7BC7B" w14:textId="3B7BC3BB" w:rsidR="007C1946" w:rsidRDefault="007C1946" w:rsidP="007C1946">
            <w:pPr>
              <w:pStyle w:val="BodyText"/>
              <w:spacing w:after="240" w:line="240" w:lineRule="auto"/>
              <w:jc w:val="left"/>
            </w:pPr>
            <w:r>
              <w:t xml:space="preserve">Two Hundred </w:t>
            </w:r>
            <w:r w:rsidR="001A0592">
              <w:t xml:space="preserve">and </w:t>
            </w:r>
            <w:r>
              <w:t xml:space="preserve">Second </w:t>
            </w:r>
            <w:r w:rsidR="001A0592">
              <w:t>Respondent:</w:t>
            </w:r>
          </w:p>
        </w:tc>
        <w:tc>
          <w:tcPr>
            <w:tcW w:w="5874" w:type="dxa"/>
            <w:tcMar>
              <w:left w:w="28" w:type="dxa"/>
            </w:tcMar>
          </w:tcPr>
          <w:p w14:paraId="1D967FD8" w14:textId="32525A41" w:rsidR="007C1946" w:rsidRDefault="007C1946" w:rsidP="007C1946">
            <w:pPr>
              <w:pStyle w:val="BodyText"/>
              <w:spacing w:after="240" w:line="240" w:lineRule="auto"/>
              <w:jc w:val="left"/>
            </w:pPr>
            <w:r>
              <w:t>MCFAMILY ENTERPRISES PTY LTD</w:t>
            </w:r>
          </w:p>
        </w:tc>
      </w:tr>
      <w:tr w:rsidR="007C1946" w14:paraId="2F7D7C80" w14:textId="77777777" w:rsidTr="005F3639">
        <w:trPr>
          <w:trHeight w:val="386"/>
        </w:trPr>
        <w:tc>
          <w:tcPr>
            <w:tcW w:w="3368" w:type="dxa"/>
          </w:tcPr>
          <w:p w14:paraId="27733EB4" w14:textId="41A82984" w:rsidR="007C1946" w:rsidRDefault="007C1946" w:rsidP="007C1946">
            <w:pPr>
              <w:pStyle w:val="BodyText"/>
              <w:spacing w:after="240" w:line="240" w:lineRule="auto"/>
              <w:jc w:val="left"/>
            </w:pPr>
            <w:r>
              <w:t xml:space="preserve">Two Hundred </w:t>
            </w:r>
            <w:r w:rsidR="001A0592">
              <w:t xml:space="preserve">and </w:t>
            </w:r>
            <w:r>
              <w:t xml:space="preserve">Third </w:t>
            </w:r>
            <w:r w:rsidR="001A0592">
              <w:t>Respondent:</w:t>
            </w:r>
          </w:p>
        </w:tc>
        <w:tc>
          <w:tcPr>
            <w:tcW w:w="5874" w:type="dxa"/>
            <w:tcMar>
              <w:left w:w="28" w:type="dxa"/>
            </w:tcMar>
          </w:tcPr>
          <w:p w14:paraId="0B3947A0" w14:textId="2495721B" w:rsidR="007C1946" w:rsidRDefault="007C1946" w:rsidP="007C1946">
            <w:pPr>
              <w:pStyle w:val="BodyText"/>
              <w:spacing w:after="240" w:line="240" w:lineRule="auto"/>
              <w:jc w:val="left"/>
            </w:pPr>
            <w:r>
              <w:t>MCKEIR PTY LTD</w:t>
            </w:r>
          </w:p>
        </w:tc>
      </w:tr>
      <w:tr w:rsidR="007C1946" w14:paraId="34428F69" w14:textId="77777777" w:rsidTr="005F3639">
        <w:trPr>
          <w:trHeight w:val="386"/>
        </w:trPr>
        <w:tc>
          <w:tcPr>
            <w:tcW w:w="3368" w:type="dxa"/>
          </w:tcPr>
          <w:p w14:paraId="2ECDB49A" w14:textId="6BCA031C" w:rsidR="007C1946" w:rsidRDefault="007C1946" w:rsidP="007C1946">
            <w:pPr>
              <w:pStyle w:val="BodyText"/>
              <w:spacing w:after="240" w:line="240" w:lineRule="auto"/>
              <w:jc w:val="left"/>
            </w:pPr>
            <w:r>
              <w:t xml:space="preserve">Two Hundred </w:t>
            </w:r>
            <w:r w:rsidR="001A0592">
              <w:t xml:space="preserve">and </w:t>
            </w:r>
            <w:r>
              <w:t xml:space="preserve">Fourth </w:t>
            </w:r>
            <w:r w:rsidR="001A0592">
              <w:t>Respondent:</w:t>
            </w:r>
          </w:p>
        </w:tc>
        <w:tc>
          <w:tcPr>
            <w:tcW w:w="5874" w:type="dxa"/>
            <w:tcMar>
              <w:left w:w="28" w:type="dxa"/>
            </w:tcMar>
          </w:tcPr>
          <w:p w14:paraId="24964785" w14:textId="0DD5F0C0" w:rsidR="007C1946" w:rsidRDefault="007C1946" w:rsidP="007C1946">
            <w:pPr>
              <w:pStyle w:val="BodyText"/>
              <w:spacing w:after="240" w:line="240" w:lineRule="auto"/>
              <w:jc w:val="left"/>
            </w:pPr>
            <w:r>
              <w:t>MCKEOUGH GROUP GRETA PTY LTD</w:t>
            </w:r>
          </w:p>
        </w:tc>
      </w:tr>
      <w:tr w:rsidR="007C1946" w14:paraId="0860B468" w14:textId="77777777" w:rsidTr="005F3639">
        <w:trPr>
          <w:trHeight w:val="386"/>
        </w:trPr>
        <w:tc>
          <w:tcPr>
            <w:tcW w:w="3368" w:type="dxa"/>
          </w:tcPr>
          <w:p w14:paraId="1A8CE99B" w14:textId="2D6B922D" w:rsidR="007C1946" w:rsidRDefault="007C1946" w:rsidP="007C1946">
            <w:pPr>
              <w:pStyle w:val="BodyText"/>
              <w:spacing w:after="240" w:line="240" w:lineRule="auto"/>
              <w:jc w:val="left"/>
            </w:pPr>
            <w:r>
              <w:t>Two Hundred</w:t>
            </w:r>
            <w:r w:rsidR="001A0592">
              <w:t xml:space="preserve"> and</w:t>
            </w:r>
            <w:r>
              <w:t xml:space="preserve"> Fifth </w:t>
            </w:r>
            <w:r w:rsidR="001A0592">
              <w:t>Respondent:</w:t>
            </w:r>
          </w:p>
        </w:tc>
        <w:tc>
          <w:tcPr>
            <w:tcW w:w="5874" w:type="dxa"/>
            <w:tcMar>
              <w:left w:w="28" w:type="dxa"/>
            </w:tcMar>
          </w:tcPr>
          <w:p w14:paraId="2AEAAFA2" w14:textId="6C173DCE" w:rsidR="007C1946" w:rsidRDefault="007C1946" w:rsidP="007C1946">
            <w:pPr>
              <w:pStyle w:val="BodyText"/>
              <w:spacing w:after="240" w:line="240" w:lineRule="auto"/>
              <w:jc w:val="left"/>
            </w:pPr>
            <w:r>
              <w:t>MCMASTER &amp; CO PTY LTD</w:t>
            </w:r>
          </w:p>
        </w:tc>
      </w:tr>
      <w:tr w:rsidR="007C1946" w14:paraId="5975DC05" w14:textId="77777777" w:rsidTr="005F3639">
        <w:trPr>
          <w:trHeight w:val="386"/>
        </w:trPr>
        <w:tc>
          <w:tcPr>
            <w:tcW w:w="3368" w:type="dxa"/>
          </w:tcPr>
          <w:p w14:paraId="67ADE37F" w14:textId="644A8D42" w:rsidR="007C1946" w:rsidRDefault="007C1946" w:rsidP="007C1946">
            <w:pPr>
              <w:pStyle w:val="BodyText"/>
              <w:spacing w:after="240" w:line="240" w:lineRule="auto"/>
              <w:jc w:val="left"/>
            </w:pPr>
            <w:r>
              <w:t xml:space="preserve">Two Hundred </w:t>
            </w:r>
            <w:r w:rsidR="001A0592">
              <w:t xml:space="preserve">and </w:t>
            </w:r>
            <w:r>
              <w:t xml:space="preserve">Sixth </w:t>
            </w:r>
            <w:r w:rsidR="001A0592">
              <w:t>Respondent:</w:t>
            </w:r>
          </w:p>
        </w:tc>
        <w:tc>
          <w:tcPr>
            <w:tcW w:w="5874" w:type="dxa"/>
            <w:tcMar>
              <w:left w:w="28" w:type="dxa"/>
            </w:tcMar>
          </w:tcPr>
          <w:p w14:paraId="14FD6E1C" w14:textId="5CC1A1A9" w:rsidR="007C1946" w:rsidRDefault="007C1946" w:rsidP="007C1946">
            <w:pPr>
              <w:pStyle w:val="BodyText"/>
              <w:spacing w:after="240" w:line="240" w:lineRule="auto"/>
              <w:jc w:val="left"/>
            </w:pPr>
            <w:r>
              <w:t>MC SQUARED PTY LTD</w:t>
            </w:r>
          </w:p>
        </w:tc>
      </w:tr>
      <w:tr w:rsidR="007C1946" w14:paraId="6FB1CCA3" w14:textId="77777777" w:rsidTr="005F3639">
        <w:trPr>
          <w:trHeight w:val="386"/>
        </w:trPr>
        <w:tc>
          <w:tcPr>
            <w:tcW w:w="3368" w:type="dxa"/>
          </w:tcPr>
          <w:p w14:paraId="17998438" w14:textId="2E311279" w:rsidR="007C1946" w:rsidRDefault="007C1946" w:rsidP="007C1946">
            <w:pPr>
              <w:pStyle w:val="BodyText"/>
              <w:spacing w:after="240" w:line="240" w:lineRule="auto"/>
              <w:jc w:val="left"/>
            </w:pPr>
            <w:r>
              <w:t xml:space="preserve">Two Hundred </w:t>
            </w:r>
            <w:r w:rsidR="001A0592">
              <w:t xml:space="preserve">and </w:t>
            </w:r>
            <w:r>
              <w:t xml:space="preserve">Seventh </w:t>
            </w:r>
            <w:r w:rsidR="001A0592">
              <w:t>Respondent:</w:t>
            </w:r>
          </w:p>
        </w:tc>
        <w:tc>
          <w:tcPr>
            <w:tcW w:w="5874" w:type="dxa"/>
            <w:tcMar>
              <w:left w:w="28" w:type="dxa"/>
            </w:tcMar>
          </w:tcPr>
          <w:p w14:paraId="77721C3A" w14:textId="2D05030E" w:rsidR="007C1946" w:rsidRDefault="007C1946" w:rsidP="007C1946">
            <w:pPr>
              <w:pStyle w:val="BodyText"/>
              <w:spacing w:after="240" w:line="240" w:lineRule="auto"/>
              <w:jc w:val="left"/>
            </w:pPr>
            <w:r>
              <w:t>MEADOWS FAMILY RESTAURANTS PTY LTD</w:t>
            </w:r>
          </w:p>
        </w:tc>
      </w:tr>
      <w:tr w:rsidR="007C1946" w14:paraId="6BB8BC05" w14:textId="77777777" w:rsidTr="005F3639">
        <w:trPr>
          <w:trHeight w:val="386"/>
        </w:trPr>
        <w:tc>
          <w:tcPr>
            <w:tcW w:w="3368" w:type="dxa"/>
          </w:tcPr>
          <w:p w14:paraId="50585927" w14:textId="43ADE4E2" w:rsidR="007C1946" w:rsidRDefault="007C1946" w:rsidP="007C1946">
            <w:pPr>
              <w:pStyle w:val="BodyText"/>
              <w:spacing w:after="240" w:line="240" w:lineRule="auto"/>
              <w:jc w:val="left"/>
            </w:pPr>
            <w:r>
              <w:t xml:space="preserve">Two Hundred </w:t>
            </w:r>
            <w:r w:rsidR="001A0592">
              <w:t xml:space="preserve">and </w:t>
            </w:r>
            <w:r>
              <w:t xml:space="preserve">Eighth </w:t>
            </w:r>
            <w:r w:rsidR="001A0592">
              <w:t>Respondent:</w:t>
            </w:r>
          </w:p>
        </w:tc>
        <w:tc>
          <w:tcPr>
            <w:tcW w:w="5874" w:type="dxa"/>
            <w:tcMar>
              <w:left w:w="28" w:type="dxa"/>
            </w:tcMar>
          </w:tcPr>
          <w:p w14:paraId="6860FC37" w14:textId="3144D184" w:rsidR="007C1946" w:rsidRDefault="007C1946" w:rsidP="007C1946">
            <w:pPr>
              <w:pStyle w:val="BodyText"/>
              <w:spacing w:after="240" w:line="240" w:lineRule="auto"/>
              <w:jc w:val="left"/>
            </w:pPr>
            <w:r>
              <w:t>MEDURI ENTERPRISES PTY LTD</w:t>
            </w:r>
          </w:p>
        </w:tc>
      </w:tr>
      <w:tr w:rsidR="007C1946" w14:paraId="32D0DCB4" w14:textId="77777777" w:rsidTr="005F3639">
        <w:trPr>
          <w:trHeight w:val="386"/>
        </w:trPr>
        <w:tc>
          <w:tcPr>
            <w:tcW w:w="3368" w:type="dxa"/>
          </w:tcPr>
          <w:p w14:paraId="36A89167" w14:textId="2A16FCAA" w:rsidR="007C1946" w:rsidRDefault="007C1946" w:rsidP="007C1946">
            <w:pPr>
              <w:pStyle w:val="BodyText"/>
              <w:spacing w:after="240" w:line="240" w:lineRule="auto"/>
              <w:jc w:val="left"/>
            </w:pPr>
            <w:r>
              <w:t xml:space="preserve">Two Hundred </w:t>
            </w:r>
            <w:r w:rsidR="001A0592">
              <w:t xml:space="preserve">and </w:t>
            </w:r>
            <w:r>
              <w:t xml:space="preserve">Ninth </w:t>
            </w:r>
            <w:r w:rsidR="001A0592">
              <w:t>Respondent:</w:t>
            </w:r>
          </w:p>
        </w:tc>
        <w:tc>
          <w:tcPr>
            <w:tcW w:w="5874" w:type="dxa"/>
            <w:tcMar>
              <w:left w:w="28" w:type="dxa"/>
            </w:tcMar>
          </w:tcPr>
          <w:p w14:paraId="7BDEF102" w14:textId="1B73ACB3" w:rsidR="007C1946" w:rsidRDefault="007C1946" w:rsidP="007C1946">
            <w:pPr>
              <w:pStyle w:val="BodyText"/>
              <w:spacing w:after="240" w:line="240" w:lineRule="auto"/>
              <w:jc w:val="left"/>
            </w:pPr>
            <w:r>
              <w:t>MELROSE UNITED PTY LTD</w:t>
            </w:r>
          </w:p>
        </w:tc>
      </w:tr>
      <w:tr w:rsidR="007C1946" w14:paraId="66967E15" w14:textId="77777777" w:rsidTr="005F3639">
        <w:trPr>
          <w:trHeight w:val="386"/>
        </w:trPr>
        <w:tc>
          <w:tcPr>
            <w:tcW w:w="3368" w:type="dxa"/>
          </w:tcPr>
          <w:p w14:paraId="4D4C29E1" w14:textId="278B46F7" w:rsidR="007C1946" w:rsidRDefault="007C1946" w:rsidP="007C1946">
            <w:pPr>
              <w:pStyle w:val="BodyText"/>
              <w:spacing w:after="240" w:line="240" w:lineRule="auto"/>
              <w:jc w:val="left"/>
            </w:pPr>
            <w:r>
              <w:t xml:space="preserve">Two Hundred </w:t>
            </w:r>
            <w:r w:rsidR="001A0592">
              <w:t xml:space="preserve">and </w:t>
            </w:r>
            <w:r>
              <w:t xml:space="preserve">Tenth </w:t>
            </w:r>
            <w:r w:rsidR="001A0592">
              <w:t>Respondent:</w:t>
            </w:r>
          </w:p>
        </w:tc>
        <w:tc>
          <w:tcPr>
            <w:tcW w:w="5874" w:type="dxa"/>
            <w:tcMar>
              <w:left w:w="28" w:type="dxa"/>
            </w:tcMar>
          </w:tcPr>
          <w:p w14:paraId="7DEF7633" w14:textId="7BFF7B58" w:rsidR="007C1946" w:rsidRDefault="007C1946" w:rsidP="007C1946">
            <w:pPr>
              <w:pStyle w:val="BodyText"/>
              <w:spacing w:after="240" w:line="240" w:lineRule="auto"/>
              <w:jc w:val="left"/>
            </w:pPr>
            <w:r>
              <w:t>MELWELLO PTY LTD</w:t>
            </w:r>
          </w:p>
        </w:tc>
      </w:tr>
      <w:tr w:rsidR="007C1946" w14:paraId="57B5CADF" w14:textId="77777777" w:rsidTr="005F3639">
        <w:trPr>
          <w:trHeight w:val="386"/>
        </w:trPr>
        <w:tc>
          <w:tcPr>
            <w:tcW w:w="3368" w:type="dxa"/>
          </w:tcPr>
          <w:p w14:paraId="32ADD32B" w14:textId="0CD530FD" w:rsidR="007C1946" w:rsidRDefault="007C1946" w:rsidP="007C1946">
            <w:pPr>
              <w:pStyle w:val="BodyText"/>
              <w:spacing w:after="240" w:line="240" w:lineRule="auto"/>
              <w:jc w:val="left"/>
            </w:pPr>
            <w:r>
              <w:t>Two Hundred</w:t>
            </w:r>
            <w:r w:rsidR="001A0592">
              <w:t xml:space="preserve"> and</w:t>
            </w:r>
            <w:r>
              <w:t xml:space="preserve"> Eleventh </w:t>
            </w:r>
            <w:r w:rsidR="001A0592">
              <w:t>Respondent:</w:t>
            </w:r>
          </w:p>
        </w:tc>
        <w:tc>
          <w:tcPr>
            <w:tcW w:w="5874" w:type="dxa"/>
            <w:tcMar>
              <w:left w:w="28" w:type="dxa"/>
            </w:tcMar>
          </w:tcPr>
          <w:p w14:paraId="518ADFBA" w14:textId="220BD537" w:rsidR="007C1946" w:rsidRDefault="007C1946" w:rsidP="007C1946">
            <w:pPr>
              <w:pStyle w:val="BodyText"/>
              <w:spacing w:after="240" w:line="240" w:lineRule="auto"/>
              <w:jc w:val="left"/>
            </w:pPr>
            <w:r>
              <w:t>MEMPHIS CORPORATION PTY LTD</w:t>
            </w:r>
          </w:p>
        </w:tc>
      </w:tr>
      <w:tr w:rsidR="007C1946" w14:paraId="4A92F5C9" w14:textId="77777777" w:rsidTr="005F3639">
        <w:trPr>
          <w:trHeight w:val="386"/>
        </w:trPr>
        <w:tc>
          <w:tcPr>
            <w:tcW w:w="3368" w:type="dxa"/>
          </w:tcPr>
          <w:p w14:paraId="30FBC2F0" w14:textId="34D9D599" w:rsidR="007C1946" w:rsidRDefault="007C1946" w:rsidP="007C1946">
            <w:pPr>
              <w:pStyle w:val="BodyText"/>
              <w:spacing w:after="240" w:line="240" w:lineRule="auto"/>
              <w:jc w:val="left"/>
            </w:pPr>
            <w:r>
              <w:t xml:space="preserve">Two Hundred </w:t>
            </w:r>
            <w:r w:rsidR="00156D94">
              <w:t xml:space="preserve">and </w:t>
            </w:r>
            <w:r>
              <w:t xml:space="preserve">Twelfth </w:t>
            </w:r>
            <w:r w:rsidR="00156D94">
              <w:t>Respondent:</w:t>
            </w:r>
          </w:p>
        </w:tc>
        <w:tc>
          <w:tcPr>
            <w:tcW w:w="5874" w:type="dxa"/>
            <w:tcMar>
              <w:left w:w="28" w:type="dxa"/>
            </w:tcMar>
          </w:tcPr>
          <w:p w14:paraId="45723CCA" w14:textId="3427A436" w:rsidR="007C1946" w:rsidRDefault="007C1946" w:rsidP="007C1946">
            <w:pPr>
              <w:pStyle w:val="BodyText"/>
              <w:spacing w:after="240" w:line="240" w:lineRule="auto"/>
              <w:jc w:val="left"/>
            </w:pPr>
            <w:r>
              <w:t>MERSEY NOMINEES PTY LTD</w:t>
            </w:r>
          </w:p>
        </w:tc>
      </w:tr>
      <w:tr w:rsidR="007C1946" w14:paraId="4680E661" w14:textId="77777777" w:rsidTr="005F3639">
        <w:trPr>
          <w:trHeight w:val="386"/>
        </w:trPr>
        <w:tc>
          <w:tcPr>
            <w:tcW w:w="3368" w:type="dxa"/>
          </w:tcPr>
          <w:p w14:paraId="09A0E6F5" w14:textId="3E0E2C0E" w:rsidR="007C1946" w:rsidRDefault="007C1946" w:rsidP="007C1946">
            <w:pPr>
              <w:pStyle w:val="BodyText"/>
              <w:spacing w:after="240" w:line="240" w:lineRule="auto"/>
              <w:jc w:val="left"/>
            </w:pPr>
            <w:r>
              <w:t xml:space="preserve">Two Hundred </w:t>
            </w:r>
            <w:r w:rsidR="00156D94">
              <w:t xml:space="preserve">and </w:t>
            </w:r>
            <w:r>
              <w:t xml:space="preserve">Thirteenth </w:t>
            </w:r>
            <w:r w:rsidR="00156D94">
              <w:t>Respondent:</w:t>
            </w:r>
          </w:p>
        </w:tc>
        <w:tc>
          <w:tcPr>
            <w:tcW w:w="5874" w:type="dxa"/>
            <w:tcMar>
              <w:left w:w="28" w:type="dxa"/>
            </w:tcMar>
          </w:tcPr>
          <w:p w14:paraId="7CC902E4" w14:textId="240D9A0F" w:rsidR="007C1946" w:rsidRDefault="007C1946" w:rsidP="007C1946">
            <w:pPr>
              <w:pStyle w:val="BodyText"/>
              <w:spacing w:after="240" w:line="240" w:lineRule="auto"/>
              <w:jc w:val="left"/>
            </w:pPr>
            <w:r>
              <w:t>METIME INVESTMENTS PTY LTD</w:t>
            </w:r>
          </w:p>
        </w:tc>
      </w:tr>
      <w:tr w:rsidR="007C1946" w14:paraId="776237B3" w14:textId="77777777" w:rsidTr="005F3639">
        <w:trPr>
          <w:trHeight w:val="386"/>
        </w:trPr>
        <w:tc>
          <w:tcPr>
            <w:tcW w:w="3368" w:type="dxa"/>
          </w:tcPr>
          <w:p w14:paraId="1C236919" w14:textId="46FE6F64" w:rsidR="007C1946" w:rsidRDefault="007C1946" w:rsidP="007C1946">
            <w:pPr>
              <w:pStyle w:val="BodyText"/>
              <w:spacing w:after="240" w:line="240" w:lineRule="auto"/>
              <w:jc w:val="left"/>
            </w:pPr>
            <w:r>
              <w:t>Two Hundred</w:t>
            </w:r>
            <w:r w:rsidR="00156D94">
              <w:t xml:space="preserve"> and</w:t>
            </w:r>
            <w:r>
              <w:t xml:space="preserve"> Fourteenth </w:t>
            </w:r>
            <w:r w:rsidR="00156D94">
              <w:t>Respondent:</w:t>
            </w:r>
          </w:p>
        </w:tc>
        <w:tc>
          <w:tcPr>
            <w:tcW w:w="5874" w:type="dxa"/>
            <w:tcMar>
              <w:left w:w="28" w:type="dxa"/>
            </w:tcMar>
          </w:tcPr>
          <w:p w14:paraId="1583ABCB" w14:textId="29808037" w:rsidR="007C1946" w:rsidRDefault="007C1946" w:rsidP="007C1946">
            <w:pPr>
              <w:pStyle w:val="BodyText"/>
              <w:spacing w:after="240" w:line="240" w:lineRule="auto"/>
              <w:jc w:val="left"/>
            </w:pPr>
            <w:r>
              <w:t>MICAN ENTERPRISES PTY LTD</w:t>
            </w:r>
          </w:p>
        </w:tc>
      </w:tr>
      <w:tr w:rsidR="007C1946" w14:paraId="79C55DAD" w14:textId="77777777" w:rsidTr="005F3639">
        <w:trPr>
          <w:trHeight w:val="386"/>
        </w:trPr>
        <w:tc>
          <w:tcPr>
            <w:tcW w:w="3368" w:type="dxa"/>
          </w:tcPr>
          <w:p w14:paraId="354AFF1E" w14:textId="16245F08" w:rsidR="007C1946" w:rsidRDefault="007C1946" w:rsidP="007C1946">
            <w:pPr>
              <w:pStyle w:val="BodyText"/>
              <w:spacing w:after="240" w:line="240" w:lineRule="auto"/>
              <w:jc w:val="left"/>
            </w:pPr>
            <w:r>
              <w:t>Two Hundred</w:t>
            </w:r>
            <w:r w:rsidR="00156D94">
              <w:t xml:space="preserve"> and</w:t>
            </w:r>
            <w:r>
              <w:t xml:space="preserve"> Fifteenth </w:t>
            </w:r>
            <w:r w:rsidR="00156D94">
              <w:t>Respondent:</w:t>
            </w:r>
          </w:p>
        </w:tc>
        <w:tc>
          <w:tcPr>
            <w:tcW w:w="5874" w:type="dxa"/>
            <w:tcMar>
              <w:left w:w="28" w:type="dxa"/>
            </w:tcMar>
          </w:tcPr>
          <w:p w14:paraId="1929F5BF" w14:textId="7198BE24" w:rsidR="007C1946" w:rsidRDefault="007C1946" w:rsidP="007C1946">
            <w:pPr>
              <w:pStyle w:val="BodyText"/>
              <w:spacing w:after="240" w:line="240" w:lineRule="auto"/>
              <w:jc w:val="left"/>
            </w:pPr>
            <w:r>
              <w:t>MIELS FAMILY HOLDINGS PTY LTD</w:t>
            </w:r>
          </w:p>
        </w:tc>
      </w:tr>
      <w:tr w:rsidR="007C1946" w14:paraId="40ED015E" w14:textId="77777777" w:rsidTr="005F3639">
        <w:trPr>
          <w:trHeight w:val="386"/>
        </w:trPr>
        <w:tc>
          <w:tcPr>
            <w:tcW w:w="3368" w:type="dxa"/>
          </w:tcPr>
          <w:p w14:paraId="2F77718D" w14:textId="4FFF83AB" w:rsidR="007C1946" w:rsidRDefault="007C1946" w:rsidP="007C1946">
            <w:pPr>
              <w:pStyle w:val="BodyText"/>
              <w:spacing w:after="240" w:line="240" w:lineRule="auto"/>
              <w:jc w:val="left"/>
            </w:pPr>
            <w:r>
              <w:t xml:space="preserve">Two Hundred </w:t>
            </w:r>
            <w:r w:rsidR="00156D94">
              <w:t xml:space="preserve">and </w:t>
            </w:r>
            <w:r>
              <w:t xml:space="preserve">Sixteenth </w:t>
            </w:r>
            <w:r w:rsidR="00156D94">
              <w:t>Respondent:</w:t>
            </w:r>
          </w:p>
        </w:tc>
        <w:tc>
          <w:tcPr>
            <w:tcW w:w="5874" w:type="dxa"/>
            <w:tcMar>
              <w:left w:w="28" w:type="dxa"/>
            </w:tcMar>
          </w:tcPr>
          <w:p w14:paraId="144BF46F" w14:textId="270BCECA" w:rsidR="007C1946" w:rsidRDefault="007C1946" w:rsidP="007C1946">
            <w:pPr>
              <w:pStyle w:val="BodyText"/>
              <w:spacing w:after="240" w:line="240" w:lineRule="auto"/>
              <w:jc w:val="left"/>
            </w:pPr>
            <w:r>
              <w:t>MIJAN PTY LTD</w:t>
            </w:r>
          </w:p>
        </w:tc>
      </w:tr>
      <w:tr w:rsidR="007C1946" w14:paraId="27290754" w14:textId="77777777" w:rsidTr="005F3639">
        <w:trPr>
          <w:trHeight w:val="386"/>
        </w:trPr>
        <w:tc>
          <w:tcPr>
            <w:tcW w:w="3368" w:type="dxa"/>
          </w:tcPr>
          <w:p w14:paraId="66E02957" w14:textId="2A7FDF1B" w:rsidR="007C1946" w:rsidRDefault="007C1946" w:rsidP="007C1946">
            <w:pPr>
              <w:pStyle w:val="BodyText"/>
              <w:spacing w:after="240" w:line="240" w:lineRule="auto"/>
              <w:jc w:val="left"/>
            </w:pPr>
            <w:r>
              <w:t xml:space="preserve">Two Hundred </w:t>
            </w:r>
            <w:r w:rsidR="00156D94">
              <w:t xml:space="preserve">and </w:t>
            </w:r>
            <w:r>
              <w:t xml:space="preserve">Seventeenth </w:t>
            </w:r>
            <w:r w:rsidR="00156D94">
              <w:t>Respondent:</w:t>
            </w:r>
          </w:p>
        </w:tc>
        <w:tc>
          <w:tcPr>
            <w:tcW w:w="5874" w:type="dxa"/>
            <w:tcMar>
              <w:left w:w="28" w:type="dxa"/>
            </w:tcMar>
          </w:tcPr>
          <w:p w14:paraId="409ECCF1" w14:textId="79B901FD" w:rsidR="007C1946" w:rsidRDefault="007C1946" w:rsidP="007C1946">
            <w:pPr>
              <w:pStyle w:val="BodyText"/>
              <w:spacing w:after="240" w:line="240" w:lineRule="auto"/>
              <w:jc w:val="left"/>
            </w:pPr>
            <w:r>
              <w:t>MIJO GROUP PTY LTD</w:t>
            </w:r>
          </w:p>
        </w:tc>
      </w:tr>
      <w:tr w:rsidR="007C1946" w14:paraId="41C0EFEF" w14:textId="77777777" w:rsidTr="005F3639">
        <w:trPr>
          <w:trHeight w:val="386"/>
        </w:trPr>
        <w:tc>
          <w:tcPr>
            <w:tcW w:w="3368" w:type="dxa"/>
          </w:tcPr>
          <w:p w14:paraId="524B2484" w14:textId="27DF200E" w:rsidR="007C1946" w:rsidRDefault="007C1946" w:rsidP="007C1946">
            <w:pPr>
              <w:pStyle w:val="BodyText"/>
              <w:spacing w:after="240" w:line="240" w:lineRule="auto"/>
              <w:jc w:val="left"/>
            </w:pPr>
            <w:r>
              <w:t xml:space="preserve">Two Hundred </w:t>
            </w:r>
            <w:r w:rsidR="003B045A">
              <w:t xml:space="preserve">and </w:t>
            </w:r>
            <w:r>
              <w:t xml:space="preserve">Eighteenth </w:t>
            </w:r>
            <w:r w:rsidR="003B045A">
              <w:t>Respondent:</w:t>
            </w:r>
          </w:p>
        </w:tc>
        <w:tc>
          <w:tcPr>
            <w:tcW w:w="5874" w:type="dxa"/>
            <w:tcMar>
              <w:left w:w="28" w:type="dxa"/>
            </w:tcMar>
          </w:tcPr>
          <w:p w14:paraId="27C4BE30" w14:textId="16BF7747" w:rsidR="007C1946" w:rsidRDefault="007C1946" w:rsidP="007C1946">
            <w:pPr>
              <w:pStyle w:val="BodyText"/>
              <w:spacing w:after="240" w:line="240" w:lineRule="auto"/>
              <w:jc w:val="left"/>
            </w:pPr>
            <w:r>
              <w:t>MILC NOMINEES PTY LTD</w:t>
            </w:r>
          </w:p>
        </w:tc>
      </w:tr>
      <w:tr w:rsidR="007C1946" w14:paraId="5B5ECA65" w14:textId="77777777" w:rsidTr="005F3639">
        <w:trPr>
          <w:trHeight w:val="386"/>
        </w:trPr>
        <w:tc>
          <w:tcPr>
            <w:tcW w:w="3368" w:type="dxa"/>
          </w:tcPr>
          <w:p w14:paraId="7148CA5E" w14:textId="4F8BBE0B" w:rsidR="007C1946" w:rsidRDefault="007C1946" w:rsidP="007C1946">
            <w:pPr>
              <w:pStyle w:val="BodyText"/>
              <w:spacing w:after="240" w:line="240" w:lineRule="auto"/>
              <w:jc w:val="left"/>
            </w:pPr>
            <w:r>
              <w:t xml:space="preserve">Two Hundred </w:t>
            </w:r>
            <w:r w:rsidR="003B045A">
              <w:t xml:space="preserve">and </w:t>
            </w:r>
            <w:r>
              <w:t xml:space="preserve">Nineteenth </w:t>
            </w:r>
            <w:r w:rsidR="003B045A">
              <w:t>Respondent:</w:t>
            </w:r>
          </w:p>
        </w:tc>
        <w:tc>
          <w:tcPr>
            <w:tcW w:w="5874" w:type="dxa"/>
            <w:tcMar>
              <w:left w:w="28" w:type="dxa"/>
            </w:tcMar>
          </w:tcPr>
          <w:p w14:paraId="10886386" w14:textId="0A7336E2" w:rsidR="007C1946" w:rsidRDefault="007C1946" w:rsidP="007C1946">
            <w:pPr>
              <w:pStyle w:val="BodyText"/>
              <w:spacing w:after="240" w:line="240" w:lineRule="auto"/>
              <w:jc w:val="left"/>
            </w:pPr>
            <w:r>
              <w:t>MINSTOL PTY LTD</w:t>
            </w:r>
          </w:p>
        </w:tc>
      </w:tr>
      <w:tr w:rsidR="007C1946" w14:paraId="0E9D323D" w14:textId="77777777" w:rsidTr="005F3639">
        <w:trPr>
          <w:trHeight w:val="386"/>
        </w:trPr>
        <w:tc>
          <w:tcPr>
            <w:tcW w:w="3368" w:type="dxa"/>
          </w:tcPr>
          <w:p w14:paraId="098F8102" w14:textId="7F2C34C5" w:rsidR="007C1946" w:rsidRDefault="007C1946" w:rsidP="007C1946">
            <w:pPr>
              <w:pStyle w:val="BodyText"/>
              <w:spacing w:after="240" w:line="240" w:lineRule="auto"/>
              <w:jc w:val="left"/>
            </w:pPr>
            <w:r>
              <w:t xml:space="preserve">Two Hundred </w:t>
            </w:r>
            <w:r w:rsidR="003B045A">
              <w:t xml:space="preserve">and </w:t>
            </w:r>
            <w:r>
              <w:t xml:space="preserve">Twentieth </w:t>
            </w:r>
            <w:r w:rsidR="003B045A">
              <w:t>Respondent:</w:t>
            </w:r>
          </w:p>
        </w:tc>
        <w:tc>
          <w:tcPr>
            <w:tcW w:w="5874" w:type="dxa"/>
            <w:tcMar>
              <w:left w:w="28" w:type="dxa"/>
            </w:tcMar>
          </w:tcPr>
          <w:p w14:paraId="6154D5DC" w14:textId="084B79C0" w:rsidR="007C1946" w:rsidRDefault="007C1946" w:rsidP="007C1946">
            <w:pPr>
              <w:pStyle w:val="BodyText"/>
              <w:spacing w:after="240" w:line="240" w:lineRule="auto"/>
              <w:jc w:val="left"/>
            </w:pPr>
            <w:r>
              <w:t>M &amp; M BENSON INVESTMENTS PTY LTD</w:t>
            </w:r>
          </w:p>
        </w:tc>
      </w:tr>
      <w:tr w:rsidR="003B045A" w14:paraId="3E30AA79" w14:textId="77777777" w:rsidTr="005F3639">
        <w:trPr>
          <w:trHeight w:val="386"/>
        </w:trPr>
        <w:tc>
          <w:tcPr>
            <w:tcW w:w="3368" w:type="dxa"/>
          </w:tcPr>
          <w:p w14:paraId="596B7CC0" w14:textId="6316731E" w:rsidR="003B045A" w:rsidRDefault="003B045A" w:rsidP="007C1946">
            <w:pPr>
              <w:pStyle w:val="BodyText"/>
              <w:spacing w:after="240" w:line="240" w:lineRule="auto"/>
              <w:jc w:val="left"/>
            </w:pPr>
            <w:r>
              <w:t>Two Hundred and Twenty First Respondent:</w:t>
            </w:r>
          </w:p>
        </w:tc>
        <w:tc>
          <w:tcPr>
            <w:tcW w:w="5874" w:type="dxa"/>
            <w:tcMar>
              <w:left w:w="28" w:type="dxa"/>
            </w:tcMar>
          </w:tcPr>
          <w:p w14:paraId="0B9DC239" w14:textId="1BA9797D" w:rsidR="003B045A" w:rsidRDefault="003B045A" w:rsidP="007C1946">
            <w:pPr>
              <w:pStyle w:val="BodyText"/>
              <w:spacing w:after="240" w:line="240" w:lineRule="auto"/>
              <w:jc w:val="left"/>
            </w:pPr>
            <w:r>
              <w:t>MOJJOS PTY LTD</w:t>
            </w:r>
          </w:p>
        </w:tc>
      </w:tr>
      <w:tr w:rsidR="007C1946" w14:paraId="1E91C9F1" w14:textId="77777777" w:rsidTr="005F3639">
        <w:trPr>
          <w:trHeight w:val="386"/>
        </w:trPr>
        <w:tc>
          <w:tcPr>
            <w:tcW w:w="3368" w:type="dxa"/>
          </w:tcPr>
          <w:p w14:paraId="5EE9532F" w14:textId="0B2F24EF" w:rsidR="007C1946" w:rsidRDefault="007C1946" w:rsidP="007C1946">
            <w:pPr>
              <w:pStyle w:val="BodyText"/>
              <w:spacing w:after="240" w:line="240" w:lineRule="auto"/>
              <w:jc w:val="left"/>
            </w:pPr>
            <w:r>
              <w:t xml:space="preserve">Two Hundred </w:t>
            </w:r>
            <w:r w:rsidR="003B045A">
              <w:t xml:space="preserve">and </w:t>
            </w:r>
            <w:r>
              <w:t xml:space="preserve">Twenty Second </w:t>
            </w:r>
            <w:r w:rsidR="005C3D26">
              <w:t>Respondent:</w:t>
            </w:r>
          </w:p>
        </w:tc>
        <w:tc>
          <w:tcPr>
            <w:tcW w:w="5874" w:type="dxa"/>
            <w:tcMar>
              <w:left w:w="28" w:type="dxa"/>
            </w:tcMar>
          </w:tcPr>
          <w:p w14:paraId="38292C35" w14:textId="57A24E90" w:rsidR="007C1946" w:rsidRDefault="007C1946" w:rsidP="007C1946">
            <w:pPr>
              <w:pStyle w:val="BodyText"/>
              <w:spacing w:after="240" w:line="240" w:lineRule="auto"/>
              <w:jc w:val="left"/>
            </w:pPr>
            <w:r>
              <w:t>MPP PTY LTD</w:t>
            </w:r>
          </w:p>
        </w:tc>
      </w:tr>
      <w:tr w:rsidR="007C1946" w14:paraId="60A99573" w14:textId="77777777" w:rsidTr="005F3639">
        <w:trPr>
          <w:trHeight w:val="386"/>
        </w:trPr>
        <w:tc>
          <w:tcPr>
            <w:tcW w:w="3368" w:type="dxa"/>
          </w:tcPr>
          <w:p w14:paraId="6204D4AB" w14:textId="7D7191D7" w:rsidR="007C1946" w:rsidRDefault="007C1946" w:rsidP="007C1946">
            <w:pPr>
              <w:pStyle w:val="BodyText"/>
              <w:spacing w:after="240" w:line="240" w:lineRule="auto"/>
              <w:jc w:val="left"/>
            </w:pPr>
            <w:r>
              <w:t xml:space="preserve">Two Hundred </w:t>
            </w:r>
            <w:r w:rsidR="005C3D26">
              <w:t xml:space="preserve">and </w:t>
            </w:r>
            <w:r>
              <w:t xml:space="preserve">Twenty Third </w:t>
            </w:r>
            <w:r w:rsidR="005C3D26">
              <w:t>Respondent:</w:t>
            </w:r>
          </w:p>
        </w:tc>
        <w:tc>
          <w:tcPr>
            <w:tcW w:w="5874" w:type="dxa"/>
            <w:tcMar>
              <w:left w:w="28" w:type="dxa"/>
            </w:tcMar>
          </w:tcPr>
          <w:p w14:paraId="6E5F7F75" w14:textId="3430E534" w:rsidR="007C1946" w:rsidRDefault="007C1946" w:rsidP="007C1946">
            <w:pPr>
              <w:pStyle w:val="BodyText"/>
              <w:spacing w:after="240" w:line="240" w:lineRule="auto"/>
              <w:jc w:val="left"/>
            </w:pPr>
            <w:r>
              <w:t>MSJI PTY LTD</w:t>
            </w:r>
          </w:p>
        </w:tc>
      </w:tr>
      <w:tr w:rsidR="007C1946" w14:paraId="5C54E045" w14:textId="77777777" w:rsidTr="005F3639">
        <w:trPr>
          <w:trHeight w:val="386"/>
        </w:trPr>
        <w:tc>
          <w:tcPr>
            <w:tcW w:w="3368" w:type="dxa"/>
          </w:tcPr>
          <w:p w14:paraId="2D2CE719" w14:textId="74E902CA" w:rsidR="007C1946" w:rsidRDefault="007C1946" w:rsidP="007C1946">
            <w:pPr>
              <w:pStyle w:val="BodyText"/>
              <w:spacing w:after="240" w:line="240" w:lineRule="auto"/>
              <w:jc w:val="left"/>
            </w:pPr>
            <w:r>
              <w:t xml:space="preserve">Two Hundred </w:t>
            </w:r>
            <w:r w:rsidR="005C3D26">
              <w:t xml:space="preserve">and </w:t>
            </w:r>
            <w:r>
              <w:t xml:space="preserve">Twenty Fourth </w:t>
            </w:r>
            <w:r w:rsidR="005C3D26">
              <w:t>Respondent:</w:t>
            </w:r>
          </w:p>
        </w:tc>
        <w:tc>
          <w:tcPr>
            <w:tcW w:w="5874" w:type="dxa"/>
            <w:tcMar>
              <w:left w:w="28" w:type="dxa"/>
            </w:tcMar>
          </w:tcPr>
          <w:p w14:paraId="2EAA74F0" w14:textId="2E7786A8" w:rsidR="007C1946" w:rsidRDefault="007C1946" w:rsidP="007C1946">
            <w:pPr>
              <w:pStyle w:val="BodyText"/>
              <w:spacing w:after="240" w:line="240" w:lineRule="auto"/>
              <w:jc w:val="left"/>
            </w:pPr>
            <w:r>
              <w:t>MSJI QLD PTY LTD</w:t>
            </w:r>
          </w:p>
        </w:tc>
      </w:tr>
      <w:tr w:rsidR="007C1946" w14:paraId="0F0F5449" w14:textId="77777777" w:rsidTr="005F3639">
        <w:trPr>
          <w:trHeight w:val="386"/>
        </w:trPr>
        <w:tc>
          <w:tcPr>
            <w:tcW w:w="3368" w:type="dxa"/>
          </w:tcPr>
          <w:p w14:paraId="370F8B67" w14:textId="3A5A49D1" w:rsidR="007C1946" w:rsidRDefault="007C1946" w:rsidP="007C1946">
            <w:pPr>
              <w:pStyle w:val="BodyText"/>
              <w:spacing w:after="240" w:line="240" w:lineRule="auto"/>
              <w:jc w:val="left"/>
            </w:pPr>
            <w:r>
              <w:t xml:space="preserve">Two Hundred </w:t>
            </w:r>
            <w:r w:rsidR="005C3D26">
              <w:t xml:space="preserve">and </w:t>
            </w:r>
            <w:r>
              <w:t xml:space="preserve">Twenty Fifth </w:t>
            </w:r>
            <w:r w:rsidR="005C3D26">
              <w:t>Respondent:</w:t>
            </w:r>
          </w:p>
        </w:tc>
        <w:tc>
          <w:tcPr>
            <w:tcW w:w="5874" w:type="dxa"/>
            <w:tcMar>
              <w:left w:w="28" w:type="dxa"/>
            </w:tcMar>
          </w:tcPr>
          <w:p w14:paraId="6A63BB24" w14:textId="43CEE168" w:rsidR="007C1946" w:rsidRDefault="007C1946" w:rsidP="007C1946">
            <w:pPr>
              <w:pStyle w:val="BodyText"/>
              <w:spacing w:after="240" w:line="240" w:lineRule="auto"/>
              <w:jc w:val="left"/>
            </w:pPr>
            <w:r>
              <w:t>NEKA ENTERPRISES PTY LTD</w:t>
            </w:r>
          </w:p>
        </w:tc>
      </w:tr>
      <w:tr w:rsidR="007C1946" w14:paraId="6B7AB933" w14:textId="77777777" w:rsidTr="005F3639">
        <w:trPr>
          <w:trHeight w:val="386"/>
        </w:trPr>
        <w:tc>
          <w:tcPr>
            <w:tcW w:w="3368" w:type="dxa"/>
          </w:tcPr>
          <w:p w14:paraId="2161DBBD" w14:textId="27E132CA" w:rsidR="007C1946" w:rsidRDefault="007C1946" w:rsidP="007C1946">
            <w:pPr>
              <w:pStyle w:val="BodyText"/>
              <w:spacing w:after="240" w:line="240" w:lineRule="auto"/>
              <w:jc w:val="left"/>
            </w:pPr>
            <w:r>
              <w:t>Two Hundred</w:t>
            </w:r>
            <w:r w:rsidR="005C3D26">
              <w:t xml:space="preserve"> and</w:t>
            </w:r>
            <w:r>
              <w:t xml:space="preserve"> Twenty Sixth </w:t>
            </w:r>
            <w:r w:rsidR="005C3D26">
              <w:t>Respondent:</w:t>
            </w:r>
          </w:p>
        </w:tc>
        <w:tc>
          <w:tcPr>
            <w:tcW w:w="5874" w:type="dxa"/>
            <w:tcMar>
              <w:left w:w="28" w:type="dxa"/>
            </w:tcMar>
          </w:tcPr>
          <w:p w14:paraId="4237A326" w14:textId="065E1334" w:rsidR="007C1946" w:rsidRDefault="007C1946" w:rsidP="007C1946">
            <w:pPr>
              <w:pStyle w:val="BodyText"/>
              <w:spacing w:after="240" w:line="240" w:lineRule="auto"/>
              <w:jc w:val="left"/>
            </w:pPr>
            <w:r>
              <w:t>NELLANDI PTY LTD</w:t>
            </w:r>
          </w:p>
        </w:tc>
      </w:tr>
      <w:tr w:rsidR="007C1946" w14:paraId="5ADBF3A1" w14:textId="77777777" w:rsidTr="005F3639">
        <w:trPr>
          <w:trHeight w:val="386"/>
        </w:trPr>
        <w:tc>
          <w:tcPr>
            <w:tcW w:w="3368" w:type="dxa"/>
          </w:tcPr>
          <w:p w14:paraId="13C4658D" w14:textId="5C6F47B6" w:rsidR="007C1946" w:rsidRDefault="007C1946" w:rsidP="007C1946">
            <w:pPr>
              <w:pStyle w:val="BodyText"/>
              <w:spacing w:after="240" w:line="240" w:lineRule="auto"/>
              <w:jc w:val="left"/>
            </w:pPr>
            <w:r>
              <w:t>Two Hundred</w:t>
            </w:r>
            <w:r w:rsidR="005C3D26">
              <w:t xml:space="preserve"> and</w:t>
            </w:r>
            <w:r>
              <w:t xml:space="preserve"> Twenty Seventh </w:t>
            </w:r>
            <w:r w:rsidR="005C3D26">
              <w:t>Respondent:</w:t>
            </w:r>
          </w:p>
        </w:tc>
        <w:tc>
          <w:tcPr>
            <w:tcW w:w="5874" w:type="dxa"/>
            <w:tcMar>
              <w:left w:w="28" w:type="dxa"/>
            </w:tcMar>
          </w:tcPr>
          <w:p w14:paraId="707886E5" w14:textId="7C4F7314" w:rsidR="007C1946" w:rsidRDefault="007C1946" w:rsidP="007C1946">
            <w:pPr>
              <w:pStyle w:val="BodyText"/>
              <w:spacing w:after="240" w:line="240" w:lineRule="auto"/>
              <w:jc w:val="left"/>
            </w:pPr>
            <w:r>
              <w:t>NEWSTORES PTY LTD</w:t>
            </w:r>
          </w:p>
        </w:tc>
      </w:tr>
      <w:tr w:rsidR="007C1946" w14:paraId="02250F5B" w14:textId="77777777" w:rsidTr="005F3639">
        <w:trPr>
          <w:trHeight w:val="386"/>
        </w:trPr>
        <w:tc>
          <w:tcPr>
            <w:tcW w:w="3368" w:type="dxa"/>
          </w:tcPr>
          <w:p w14:paraId="6CC917CE" w14:textId="7CCB5CCF" w:rsidR="007C1946" w:rsidRDefault="007C1946" w:rsidP="007C1946">
            <w:pPr>
              <w:pStyle w:val="BodyText"/>
              <w:spacing w:after="240" w:line="240" w:lineRule="auto"/>
              <w:jc w:val="left"/>
            </w:pPr>
            <w:r>
              <w:t>Two Hundred</w:t>
            </w:r>
            <w:r w:rsidR="005C3D26">
              <w:t xml:space="preserve"> and</w:t>
            </w:r>
            <w:r>
              <w:t xml:space="preserve"> Twenty Eighth </w:t>
            </w:r>
            <w:r w:rsidR="005C3D26">
              <w:t>Respondent:</w:t>
            </w:r>
          </w:p>
        </w:tc>
        <w:tc>
          <w:tcPr>
            <w:tcW w:w="5874" w:type="dxa"/>
            <w:tcMar>
              <w:left w:w="28" w:type="dxa"/>
            </w:tcMar>
          </w:tcPr>
          <w:p w14:paraId="79A3208F" w14:textId="04D578AA" w:rsidR="007C1946" w:rsidRDefault="007C1946" w:rsidP="007C1946">
            <w:pPr>
              <w:pStyle w:val="BodyText"/>
              <w:spacing w:after="240" w:line="240" w:lineRule="auto"/>
              <w:jc w:val="left"/>
            </w:pPr>
            <w:r>
              <w:t>NEZCOPIC (HOGAN</w:t>
            </w:r>
            <w:r w:rsidR="003705E6">
              <w:t>’</w:t>
            </w:r>
            <w:r>
              <w:t>S CORNER) PTY LTD</w:t>
            </w:r>
          </w:p>
        </w:tc>
      </w:tr>
      <w:tr w:rsidR="007C1946" w14:paraId="56109EB3" w14:textId="77777777" w:rsidTr="005F3639">
        <w:trPr>
          <w:trHeight w:val="386"/>
        </w:trPr>
        <w:tc>
          <w:tcPr>
            <w:tcW w:w="3368" w:type="dxa"/>
          </w:tcPr>
          <w:p w14:paraId="6106B57D" w14:textId="080EB1F5" w:rsidR="007C1946" w:rsidRDefault="007C1946" w:rsidP="007C1946">
            <w:pPr>
              <w:pStyle w:val="BodyText"/>
              <w:spacing w:after="240" w:line="240" w:lineRule="auto"/>
              <w:jc w:val="left"/>
            </w:pPr>
            <w:r>
              <w:t xml:space="preserve">Two Hundred </w:t>
            </w:r>
            <w:r w:rsidR="003705E6">
              <w:t xml:space="preserve">and </w:t>
            </w:r>
            <w:r>
              <w:t xml:space="preserve">Twenty Ninth </w:t>
            </w:r>
            <w:r w:rsidR="003705E6">
              <w:t>Respondent:</w:t>
            </w:r>
          </w:p>
        </w:tc>
        <w:tc>
          <w:tcPr>
            <w:tcW w:w="5874" w:type="dxa"/>
            <w:tcMar>
              <w:left w:w="28" w:type="dxa"/>
            </w:tcMar>
          </w:tcPr>
          <w:p w14:paraId="596D6D8D" w14:textId="192759EA" w:rsidR="007C1946" w:rsidRDefault="007C1946" w:rsidP="007C1946">
            <w:pPr>
              <w:pStyle w:val="BodyText"/>
              <w:spacing w:after="240" w:line="240" w:lineRule="auto"/>
              <w:jc w:val="left"/>
            </w:pPr>
            <w:r>
              <w:t>NFR HOLDINGS PTY LTD</w:t>
            </w:r>
          </w:p>
        </w:tc>
      </w:tr>
      <w:tr w:rsidR="007C1946" w14:paraId="41AF2DCD" w14:textId="77777777" w:rsidTr="005F3639">
        <w:trPr>
          <w:trHeight w:val="386"/>
        </w:trPr>
        <w:tc>
          <w:tcPr>
            <w:tcW w:w="3368" w:type="dxa"/>
          </w:tcPr>
          <w:p w14:paraId="1309E489" w14:textId="39D3C82C" w:rsidR="007C1946" w:rsidRDefault="007C1946" w:rsidP="007C1946">
            <w:pPr>
              <w:pStyle w:val="BodyText"/>
              <w:spacing w:after="240" w:line="240" w:lineRule="auto"/>
              <w:jc w:val="left"/>
            </w:pPr>
            <w:r>
              <w:t>Two Hundred</w:t>
            </w:r>
            <w:r w:rsidR="003705E6">
              <w:t xml:space="preserve"> and</w:t>
            </w:r>
            <w:r>
              <w:t xml:space="preserve"> Thirtieth </w:t>
            </w:r>
            <w:r w:rsidR="003705E6">
              <w:t>Respondent:</w:t>
            </w:r>
          </w:p>
        </w:tc>
        <w:tc>
          <w:tcPr>
            <w:tcW w:w="5874" w:type="dxa"/>
            <w:tcMar>
              <w:left w:w="28" w:type="dxa"/>
            </w:tcMar>
          </w:tcPr>
          <w:p w14:paraId="7D9113BD" w14:textId="68C14BBC" w:rsidR="007C1946" w:rsidRDefault="007C1946" w:rsidP="007C1946">
            <w:pPr>
              <w:pStyle w:val="BodyText"/>
              <w:spacing w:after="240" w:line="240" w:lineRule="auto"/>
              <w:jc w:val="left"/>
            </w:pPr>
            <w:r>
              <w:t>NGI HOLDINGS PTY LTD</w:t>
            </w:r>
          </w:p>
        </w:tc>
      </w:tr>
      <w:tr w:rsidR="007C1946" w14:paraId="723D6DD4" w14:textId="77777777" w:rsidTr="005F3639">
        <w:trPr>
          <w:trHeight w:val="386"/>
        </w:trPr>
        <w:tc>
          <w:tcPr>
            <w:tcW w:w="3368" w:type="dxa"/>
          </w:tcPr>
          <w:p w14:paraId="2DC74130" w14:textId="12AE7AD0" w:rsidR="007C1946" w:rsidRDefault="007C1946" w:rsidP="007C1946">
            <w:pPr>
              <w:pStyle w:val="BodyText"/>
              <w:spacing w:after="240" w:line="240" w:lineRule="auto"/>
              <w:jc w:val="left"/>
            </w:pPr>
            <w:r>
              <w:t>Two Hundred</w:t>
            </w:r>
            <w:r w:rsidR="003705E6">
              <w:t xml:space="preserve"> and</w:t>
            </w:r>
            <w:r>
              <w:t xml:space="preserve"> Thirty First </w:t>
            </w:r>
            <w:r w:rsidR="003705E6">
              <w:t>Respondent:</w:t>
            </w:r>
          </w:p>
        </w:tc>
        <w:tc>
          <w:tcPr>
            <w:tcW w:w="5874" w:type="dxa"/>
            <w:tcMar>
              <w:left w:w="28" w:type="dxa"/>
            </w:tcMar>
          </w:tcPr>
          <w:p w14:paraId="501C8C41" w14:textId="7F3BD139" w:rsidR="007C1946" w:rsidRDefault="007C1946" w:rsidP="007C1946">
            <w:pPr>
              <w:pStyle w:val="BodyText"/>
              <w:spacing w:after="240" w:line="240" w:lineRule="auto"/>
              <w:jc w:val="left"/>
            </w:pPr>
            <w:r>
              <w:t xml:space="preserve">N H </w:t>
            </w:r>
            <w:proofErr w:type="spellStart"/>
            <w:r>
              <w:t>H</w:t>
            </w:r>
            <w:proofErr w:type="spellEnd"/>
            <w:r>
              <w:t xml:space="preserve"> C PTY LTD</w:t>
            </w:r>
          </w:p>
        </w:tc>
      </w:tr>
      <w:tr w:rsidR="007C1946" w14:paraId="4F02AC13" w14:textId="77777777" w:rsidTr="005F3639">
        <w:trPr>
          <w:trHeight w:val="386"/>
        </w:trPr>
        <w:tc>
          <w:tcPr>
            <w:tcW w:w="3368" w:type="dxa"/>
          </w:tcPr>
          <w:p w14:paraId="7B3D7D5A" w14:textId="57B9FDB5" w:rsidR="007C1946" w:rsidRDefault="007C1946" w:rsidP="007C1946">
            <w:pPr>
              <w:pStyle w:val="BodyText"/>
              <w:spacing w:after="240" w:line="240" w:lineRule="auto"/>
              <w:jc w:val="left"/>
            </w:pPr>
            <w:r>
              <w:t>Two Hundred</w:t>
            </w:r>
            <w:r w:rsidR="003705E6">
              <w:t xml:space="preserve"> and</w:t>
            </w:r>
            <w:r>
              <w:t xml:space="preserve"> Thirty Second </w:t>
            </w:r>
            <w:r w:rsidR="003705E6">
              <w:t>Respondent:</w:t>
            </w:r>
          </w:p>
        </w:tc>
        <w:tc>
          <w:tcPr>
            <w:tcW w:w="5874" w:type="dxa"/>
            <w:tcMar>
              <w:left w:w="28" w:type="dxa"/>
            </w:tcMar>
          </w:tcPr>
          <w:p w14:paraId="00FEEE25" w14:textId="1C6654C1" w:rsidR="007C1946" w:rsidRDefault="007C1946" w:rsidP="007C1946">
            <w:pPr>
              <w:pStyle w:val="BodyText"/>
              <w:spacing w:after="240" w:line="240" w:lineRule="auto"/>
              <w:jc w:val="left"/>
            </w:pPr>
            <w:r>
              <w:t>NICO HOLDINGS PTY LTD</w:t>
            </w:r>
          </w:p>
        </w:tc>
      </w:tr>
      <w:tr w:rsidR="007C1946" w14:paraId="6F61D171" w14:textId="77777777" w:rsidTr="005F3639">
        <w:trPr>
          <w:trHeight w:val="386"/>
        </w:trPr>
        <w:tc>
          <w:tcPr>
            <w:tcW w:w="3368" w:type="dxa"/>
          </w:tcPr>
          <w:p w14:paraId="3BED1EA1" w14:textId="43A792C5" w:rsidR="007C1946" w:rsidRDefault="007C1946" w:rsidP="007C1946">
            <w:pPr>
              <w:pStyle w:val="BodyText"/>
              <w:spacing w:after="240" w:line="240" w:lineRule="auto"/>
              <w:jc w:val="left"/>
            </w:pPr>
            <w:r>
              <w:t xml:space="preserve">Two Hundred </w:t>
            </w:r>
            <w:r w:rsidR="003705E6">
              <w:t xml:space="preserve">and </w:t>
            </w:r>
            <w:r>
              <w:t xml:space="preserve">Thirty Third </w:t>
            </w:r>
            <w:r w:rsidR="003705E6">
              <w:t>Respondent:</w:t>
            </w:r>
          </w:p>
        </w:tc>
        <w:tc>
          <w:tcPr>
            <w:tcW w:w="5874" w:type="dxa"/>
            <w:tcMar>
              <w:left w:w="28" w:type="dxa"/>
            </w:tcMar>
          </w:tcPr>
          <w:p w14:paraId="12BCC86E" w14:textId="7C434CB4" w:rsidR="007C1946" w:rsidRDefault="007C1946" w:rsidP="007C1946">
            <w:pPr>
              <w:pStyle w:val="BodyText"/>
              <w:spacing w:after="240" w:line="240" w:lineRule="auto"/>
              <w:jc w:val="left"/>
            </w:pPr>
            <w:r>
              <w:t>NIEUMORR PTY LTD</w:t>
            </w:r>
          </w:p>
        </w:tc>
      </w:tr>
      <w:tr w:rsidR="007C1946" w14:paraId="78F185F6" w14:textId="77777777" w:rsidTr="005F3639">
        <w:trPr>
          <w:trHeight w:val="386"/>
        </w:trPr>
        <w:tc>
          <w:tcPr>
            <w:tcW w:w="3368" w:type="dxa"/>
          </w:tcPr>
          <w:p w14:paraId="19F01F54" w14:textId="5AA29B49" w:rsidR="007C1946" w:rsidRDefault="007C1946" w:rsidP="007C1946">
            <w:pPr>
              <w:pStyle w:val="BodyText"/>
              <w:spacing w:after="240" w:line="240" w:lineRule="auto"/>
              <w:jc w:val="left"/>
            </w:pPr>
            <w:r>
              <w:t xml:space="preserve">Two Hundred </w:t>
            </w:r>
            <w:r w:rsidR="003705E6">
              <w:t xml:space="preserve">and </w:t>
            </w:r>
            <w:r>
              <w:t xml:space="preserve">Thirty Fourth </w:t>
            </w:r>
            <w:r w:rsidR="003705E6">
              <w:t>Respondent:</w:t>
            </w:r>
          </w:p>
        </w:tc>
        <w:tc>
          <w:tcPr>
            <w:tcW w:w="5874" w:type="dxa"/>
            <w:tcMar>
              <w:left w:w="28" w:type="dxa"/>
            </w:tcMar>
          </w:tcPr>
          <w:p w14:paraId="2BEE8859" w14:textId="60DB0010" w:rsidR="007C1946" w:rsidRDefault="007C1946" w:rsidP="007C1946">
            <w:pPr>
              <w:pStyle w:val="BodyText"/>
              <w:spacing w:after="240" w:line="240" w:lineRule="auto"/>
              <w:jc w:val="left"/>
            </w:pPr>
            <w:r>
              <w:t>NIXMAX PTY LTD</w:t>
            </w:r>
          </w:p>
        </w:tc>
      </w:tr>
      <w:tr w:rsidR="007C1946" w14:paraId="7E3C5B9B" w14:textId="77777777" w:rsidTr="005F3639">
        <w:trPr>
          <w:trHeight w:val="386"/>
        </w:trPr>
        <w:tc>
          <w:tcPr>
            <w:tcW w:w="3368" w:type="dxa"/>
          </w:tcPr>
          <w:p w14:paraId="24E8F3AE" w14:textId="056458A4" w:rsidR="007C1946" w:rsidRDefault="007C1946" w:rsidP="007C1946">
            <w:pPr>
              <w:pStyle w:val="BodyText"/>
              <w:spacing w:after="240" w:line="240" w:lineRule="auto"/>
              <w:jc w:val="left"/>
            </w:pPr>
            <w:r>
              <w:t>Two Hundred</w:t>
            </w:r>
            <w:r w:rsidR="003705E6">
              <w:t xml:space="preserve"> and</w:t>
            </w:r>
            <w:r>
              <w:t xml:space="preserve"> Thirty Fifth </w:t>
            </w:r>
            <w:r w:rsidR="003705E6">
              <w:t>Respondent:</w:t>
            </w:r>
          </w:p>
        </w:tc>
        <w:tc>
          <w:tcPr>
            <w:tcW w:w="5874" w:type="dxa"/>
            <w:tcMar>
              <w:left w:w="28" w:type="dxa"/>
            </w:tcMar>
          </w:tcPr>
          <w:p w14:paraId="17D91662" w14:textId="66C057A2" w:rsidR="007C1946" w:rsidRDefault="007C1946" w:rsidP="007C1946">
            <w:pPr>
              <w:pStyle w:val="BodyText"/>
              <w:spacing w:after="240" w:line="240" w:lineRule="auto"/>
              <w:jc w:val="left"/>
            </w:pPr>
            <w:r>
              <w:t>NO LIMITS PTY LTD</w:t>
            </w:r>
          </w:p>
        </w:tc>
      </w:tr>
      <w:tr w:rsidR="007C1946" w14:paraId="7C681B15" w14:textId="77777777" w:rsidTr="005F3639">
        <w:trPr>
          <w:trHeight w:val="386"/>
        </w:trPr>
        <w:tc>
          <w:tcPr>
            <w:tcW w:w="3368" w:type="dxa"/>
          </w:tcPr>
          <w:p w14:paraId="6E8E2A71" w14:textId="04F9435C" w:rsidR="007C1946" w:rsidRDefault="007C1946" w:rsidP="007C1946">
            <w:pPr>
              <w:pStyle w:val="BodyText"/>
              <w:spacing w:after="240" w:line="240" w:lineRule="auto"/>
              <w:jc w:val="left"/>
            </w:pPr>
            <w:r>
              <w:t>Two Hundred</w:t>
            </w:r>
            <w:r w:rsidR="003705E6">
              <w:t xml:space="preserve"> and</w:t>
            </w:r>
            <w:r>
              <w:t xml:space="preserve"> Thirty Sixth </w:t>
            </w:r>
            <w:r w:rsidR="003705E6">
              <w:t>Respondent:</w:t>
            </w:r>
          </w:p>
        </w:tc>
        <w:tc>
          <w:tcPr>
            <w:tcW w:w="5874" w:type="dxa"/>
            <w:tcMar>
              <w:left w:w="28" w:type="dxa"/>
            </w:tcMar>
          </w:tcPr>
          <w:p w14:paraId="5EFF1F7E" w14:textId="031D8DC0" w:rsidR="007C1946" w:rsidRDefault="007C1946" w:rsidP="007C1946">
            <w:pPr>
              <w:pStyle w:val="BodyText"/>
              <w:spacing w:after="240" w:line="240" w:lineRule="auto"/>
              <w:jc w:val="left"/>
            </w:pPr>
            <w:r>
              <w:t>NORCLIFFE PTY LTD</w:t>
            </w:r>
          </w:p>
        </w:tc>
      </w:tr>
      <w:tr w:rsidR="007C1946" w14:paraId="540CB44F" w14:textId="77777777" w:rsidTr="005F3639">
        <w:trPr>
          <w:trHeight w:val="386"/>
        </w:trPr>
        <w:tc>
          <w:tcPr>
            <w:tcW w:w="3368" w:type="dxa"/>
          </w:tcPr>
          <w:p w14:paraId="52B80035" w14:textId="1986B78F" w:rsidR="007C1946" w:rsidRDefault="007C1946" w:rsidP="007C1946">
            <w:pPr>
              <w:pStyle w:val="BodyText"/>
              <w:spacing w:after="240" w:line="240" w:lineRule="auto"/>
              <w:jc w:val="left"/>
            </w:pPr>
            <w:r>
              <w:t xml:space="preserve">Two Hundred </w:t>
            </w:r>
            <w:r w:rsidR="003705E6">
              <w:t xml:space="preserve">and </w:t>
            </w:r>
            <w:r>
              <w:t xml:space="preserve">Thirty Seventh </w:t>
            </w:r>
            <w:r w:rsidR="003705E6">
              <w:t>Respondent:</w:t>
            </w:r>
          </w:p>
        </w:tc>
        <w:tc>
          <w:tcPr>
            <w:tcW w:w="5874" w:type="dxa"/>
            <w:tcMar>
              <w:left w:w="28" w:type="dxa"/>
            </w:tcMar>
          </w:tcPr>
          <w:p w14:paraId="77ECD74E" w14:textId="4AD9E3FD" w:rsidR="007C1946" w:rsidRDefault="007C1946" w:rsidP="007C1946">
            <w:pPr>
              <w:pStyle w:val="BodyText"/>
              <w:spacing w:after="240" w:line="240" w:lineRule="auto"/>
              <w:jc w:val="left"/>
            </w:pPr>
            <w:r>
              <w:t>NORTH SHORE QSR PTY LTD</w:t>
            </w:r>
          </w:p>
        </w:tc>
      </w:tr>
      <w:tr w:rsidR="007C1946" w14:paraId="26E5CFB8" w14:textId="77777777" w:rsidTr="005F3639">
        <w:trPr>
          <w:trHeight w:val="386"/>
        </w:trPr>
        <w:tc>
          <w:tcPr>
            <w:tcW w:w="3368" w:type="dxa"/>
          </w:tcPr>
          <w:p w14:paraId="4F458E22" w14:textId="19B01B9F" w:rsidR="007C1946" w:rsidRDefault="007C1946" w:rsidP="007C1946">
            <w:pPr>
              <w:pStyle w:val="BodyText"/>
              <w:spacing w:after="240" w:line="240" w:lineRule="auto"/>
              <w:jc w:val="left"/>
            </w:pPr>
            <w:r>
              <w:t xml:space="preserve">Two Hundred </w:t>
            </w:r>
            <w:r w:rsidR="003705E6">
              <w:t xml:space="preserve">and </w:t>
            </w:r>
            <w:r>
              <w:t xml:space="preserve">Thirty Eighth </w:t>
            </w:r>
            <w:r w:rsidR="003705E6">
              <w:t>Respondent:</w:t>
            </w:r>
          </w:p>
        </w:tc>
        <w:tc>
          <w:tcPr>
            <w:tcW w:w="5874" w:type="dxa"/>
            <w:tcMar>
              <w:left w:w="28" w:type="dxa"/>
            </w:tcMar>
          </w:tcPr>
          <w:p w14:paraId="3A6A9BBF" w14:textId="1DD8F17B" w:rsidR="007C1946" w:rsidRDefault="007C1946" w:rsidP="007C1946">
            <w:pPr>
              <w:pStyle w:val="BodyText"/>
              <w:spacing w:after="240" w:line="240" w:lineRule="auto"/>
              <w:jc w:val="left"/>
            </w:pPr>
            <w:proofErr w:type="gramStart"/>
            <w:r>
              <w:t>NORTH WEST</w:t>
            </w:r>
            <w:proofErr w:type="gramEnd"/>
            <w:r>
              <w:t xml:space="preserve"> INVESTMENTS PTY LTD</w:t>
            </w:r>
          </w:p>
        </w:tc>
      </w:tr>
      <w:tr w:rsidR="007C1946" w14:paraId="2CB317F1" w14:textId="77777777" w:rsidTr="005F3639">
        <w:trPr>
          <w:trHeight w:val="386"/>
        </w:trPr>
        <w:tc>
          <w:tcPr>
            <w:tcW w:w="3368" w:type="dxa"/>
          </w:tcPr>
          <w:p w14:paraId="387F0D58" w14:textId="20A5DE35" w:rsidR="007C1946" w:rsidRDefault="007C1946" w:rsidP="007C1946">
            <w:pPr>
              <w:pStyle w:val="BodyText"/>
              <w:spacing w:after="240" w:line="240" w:lineRule="auto"/>
              <w:jc w:val="left"/>
            </w:pPr>
            <w:r>
              <w:t xml:space="preserve">Two Hundred </w:t>
            </w:r>
            <w:r w:rsidR="00491A6C">
              <w:t xml:space="preserve">and </w:t>
            </w:r>
            <w:r>
              <w:t xml:space="preserve">Thirty Ninth </w:t>
            </w:r>
            <w:r w:rsidR="00491A6C">
              <w:t>Respondent:</w:t>
            </w:r>
          </w:p>
        </w:tc>
        <w:tc>
          <w:tcPr>
            <w:tcW w:w="5874" w:type="dxa"/>
            <w:tcMar>
              <w:left w:w="28" w:type="dxa"/>
            </w:tcMar>
          </w:tcPr>
          <w:p w14:paraId="7D2FC55A" w14:textId="352591AE" w:rsidR="007C1946" w:rsidRDefault="007C1946" w:rsidP="007C1946">
            <w:pPr>
              <w:pStyle w:val="BodyText"/>
              <w:spacing w:after="240" w:line="240" w:lineRule="auto"/>
              <w:jc w:val="left"/>
            </w:pPr>
            <w:r>
              <w:t>NOWGUNNADOIT PTY LTD</w:t>
            </w:r>
          </w:p>
        </w:tc>
      </w:tr>
      <w:tr w:rsidR="007C1946" w14:paraId="30C062E9" w14:textId="77777777" w:rsidTr="005F3639">
        <w:trPr>
          <w:trHeight w:val="386"/>
        </w:trPr>
        <w:tc>
          <w:tcPr>
            <w:tcW w:w="3368" w:type="dxa"/>
          </w:tcPr>
          <w:p w14:paraId="01D097EC" w14:textId="5922A0EE" w:rsidR="007C1946" w:rsidRDefault="007C1946" w:rsidP="007C1946">
            <w:pPr>
              <w:pStyle w:val="BodyText"/>
              <w:spacing w:after="240" w:line="240" w:lineRule="auto"/>
              <w:jc w:val="left"/>
            </w:pPr>
            <w:r>
              <w:t>Two Hundred</w:t>
            </w:r>
            <w:r w:rsidR="00491A6C">
              <w:t xml:space="preserve"> and</w:t>
            </w:r>
            <w:r>
              <w:t xml:space="preserve"> Fortieth </w:t>
            </w:r>
            <w:r w:rsidR="00491A6C">
              <w:t>Respondent:</w:t>
            </w:r>
          </w:p>
        </w:tc>
        <w:tc>
          <w:tcPr>
            <w:tcW w:w="5874" w:type="dxa"/>
            <w:tcMar>
              <w:left w:w="28" w:type="dxa"/>
            </w:tcMar>
          </w:tcPr>
          <w:p w14:paraId="3A60DB0D" w14:textId="7B4CC284" w:rsidR="007C1946" w:rsidRDefault="007C1946" w:rsidP="007C1946">
            <w:pPr>
              <w:pStyle w:val="BodyText"/>
              <w:spacing w:after="240" w:line="240" w:lineRule="auto"/>
              <w:jc w:val="left"/>
            </w:pPr>
            <w:r>
              <w:t>OF GROUP PTY LTD</w:t>
            </w:r>
          </w:p>
        </w:tc>
      </w:tr>
      <w:tr w:rsidR="007C1946" w14:paraId="6728124D" w14:textId="77777777" w:rsidTr="005F3639">
        <w:trPr>
          <w:trHeight w:val="386"/>
        </w:trPr>
        <w:tc>
          <w:tcPr>
            <w:tcW w:w="3368" w:type="dxa"/>
          </w:tcPr>
          <w:p w14:paraId="38993C4D" w14:textId="2D26C9DD" w:rsidR="007C1946" w:rsidRDefault="007C1946" w:rsidP="007C1946">
            <w:pPr>
              <w:pStyle w:val="BodyText"/>
              <w:spacing w:after="240" w:line="240" w:lineRule="auto"/>
              <w:jc w:val="left"/>
            </w:pPr>
            <w:r>
              <w:t xml:space="preserve">Two Hundred </w:t>
            </w:r>
            <w:r w:rsidR="00491A6C">
              <w:t xml:space="preserve">and </w:t>
            </w:r>
            <w:r>
              <w:t xml:space="preserve">Forty First </w:t>
            </w:r>
            <w:r w:rsidR="00491A6C">
              <w:t>Respondent:</w:t>
            </w:r>
          </w:p>
        </w:tc>
        <w:tc>
          <w:tcPr>
            <w:tcW w:w="5874" w:type="dxa"/>
            <w:tcMar>
              <w:left w:w="28" w:type="dxa"/>
            </w:tcMar>
          </w:tcPr>
          <w:p w14:paraId="69AB2E9C" w14:textId="178AA76C" w:rsidR="007C1946" w:rsidRDefault="007C1946" w:rsidP="007C1946">
            <w:pPr>
              <w:pStyle w:val="BodyText"/>
              <w:spacing w:after="240" w:line="240" w:lineRule="auto"/>
              <w:jc w:val="left"/>
            </w:pPr>
            <w:r>
              <w:t>OHTO PTY LTD</w:t>
            </w:r>
          </w:p>
        </w:tc>
      </w:tr>
      <w:tr w:rsidR="007C1946" w14:paraId="1C8CF979" w14:textId="77777777" w:rsidTr="005F3639">
        <w:trPr>
          <w:trHeight w:val="386"/>
        </w:trPr>
        <w:tc>
          <w:tcPr>
            <w:tcW w:w="3368" w:type="dxa"/>
          </w:tcPr>
          <w:p w14:paraId="7A27B115" w14:textId="3B6AE40C" w:rsidR="007C1946" w:rsidRDefault="007C1946" w:rsidP="007C1946">
            <w:pPr>
              <w:pStyle w:val="BodyText"/>
              <w:spacing w:after="240" w:line="240" w:lineRule="auto"/>
              <w:jc w:val="left"/>
            </w:pPr>
            <w:r>
              <w:t xml:space="preserve">Two Hundred </w:t>
            </w:r>
            <w:r w:rsidR="00491A6C">
              <w:t xml:space="preserve">and </w:t>
            </w:r>
            <w:r>
              <w:t xml:space="preserve">Forty Second </w:t>
            </w:r>
            <w:r w:rsidR="00491A6C">
              <w:t>Respondent:</w:t>
            </w:r>
          </w:p>
        </w:tc>
        <w:tc>
          <w:tcPr>
            <w:tcW w:w="5874" w:type="dxa"/>
            <w:tcMar>
              <w:left w:w="28" w:type="dxa"/>
            </w:tcMar>
          </w:tcPr>
          <w:p w14:paraId="5FC17AB2" w14:textId="5286C70D" w:rsidR="007C1946" w:rsidRDefault="007C1946" w:rsidP="007C1946">
            <w:pPr>
              <w:pStyle w:val="BodyText"/>
              <w:spacing w:after="240" w:line="240" w:lineRule="auto"/>
              <w:jc w:val="left"/>
            </w:pPr>
            <w:r>
              <w:t>ORANGE BEAR AUSTRALIA PTY LTD</w:t>
            </w:r>
          </w:p>
        </w:tc>
      </w:tr>
      <w:tr w:rsidR="007C1946" w14:paraId="14BEF528" w14:textId="77777777" w:rsidTr="005F3639">
        <w:trPr>
          <w:trHeight w:val="386"/>
        </w:trPr>
        <w:tc>
          <w:tcPr>
            <w:tcW w:w="3368" w:type="dxa"/>
          </w:tcPr>
          <w:p w14:paraId="13301F44" w14:textId="32B38FEB" w:rsidR="007C1946" w:rsidRDefault="007C1946" w:rsidP="007C1946">
            <w:pPr>
              <w:pStyle w:val="BodyText"/>
              <w:spacing w:after="240" w:line="240" w:lineRule="auto"/>
              <w:jc w:val="left"/>
            </w:pPr>
            <w:r>
              <w:t>Two Hundred</w:t>
            </w:r>
            <w:r w:rsidR="00491A6C">
              <w:t xml:space="preserve"> and</w:t>
            </w:r>
            <w:r>
              <w:t xml:space="preserve"> Forty Third </w:t>
            </w:r>
            <w:r w:rsidR="00491A6C">
              <w:t>Respondent:</w:t>
            </w:r>
          </w:p>
        </w:tc>
        <w:tc>
          <w:tcPr>
            <w:tcW w:w="5874" w:type="dxa"/>
            <w:tcMar>
              <w:left w:w="28" w:type="dxa"/>
            </w:tcMar>
          </w:tcPr>
          <w:p w14:paraId="382C40CE" w14:textId="488314D8" w:rsidR="007C1946" w:rsidRDefault="007C1946" w:rsidP="007C1946">
            <w:pPr>
              <w:pStyle w:val="BodyText"/>
              <w:spacing w:after="240" w:line="240" w:lineRule="auto"/>
              <w:jc w:val="left"/>
            </w:pPr>
            <w:r>
              <w:t>P J ANNELLS PTY LTD</w:t>
            </w:r>
          </w:p>
        </w:tc>
      </w:tr>
      <w:tr w:rsidR="007C1946" w14:paraId="4D38E5F3" w14:textId="77777777" w:rsidTr="005F3639">
        <w:trPr>
          <w:trHeight w:val="386"/>
        </w:trPr>
        <w:tc>
          <w:tcPr>
            <w:tcW w:w="3368" w:type="dxa"/>
          </w:tcPr>
          <w:p w14:paraId="5523C458" w14:textId="4C483251" w:rsidR="007C1946" w:rsidRDefault="007C1946" w:rsidP="007C1946">
            <w:pPr>
              <w:pStyle w:val="BodyText"/>
              <w:spacing w:after="240" w:line="240" w:lineRule="auto"/>
              <w:jc w:val="left"/>
            </w:pPr>
            <w:r>
              <w:t>Two Hundred</w:t>
            </w:r>
            <w:r w:rsidR="00491A6C">
              <w:t xml:space="preserve"> and</w:t>
            </w:r>
            <w:r>
              <w:t xml:space="preserve"> Forty Fourth </w:t>
            </w:r>
            <w:r w:rsidR="00491A6C">
              <w:t>Respondent:</w:t>
            </w:r>
          </w:p>
        </w:tc>
        <w:tc>
          <w:tcPr>
            <w:tcW w:w="5874" w:type="dxa"/>
            <w:tcMar>
              <w:left w:w="28" w:type="dxa"/>
            </w:tcMar>
          </w:tcPr>
          <w:p w14:paraId="58303A49" w14:textId="4A026F1D" w:rsidR="007C1946" w:rsidRDefault="007C1946" w:rsidP="007C1946">
            <w:pPr>
              <w:pStyle w:val="BodyText"/>
              <w:spacing w:after="240" w:line="240" w:lineRule="auto"/>
              <w:jc w:val="left"/>
            </w:pPr>
            <w:r>
              <w:t>PADERSON PTY LTD</w:t>
            </w:r>
          </w:p>
        </w:tc>
      </w:tr>
      <w:tr w:rsidR="007C1946" w14:paraId="2D711B30" w14:textId="77777777" w:rsidTr="005F3639">
        <w:trPr>
          <w:trHeight w:val="386"/>
        </w:trPr>
        <w:tc>
          <w:tcPr>
            <w:tcW w:w="3368" w:type="dxa"/>
          </w:tcPr>
          <w:p w14:paraId="727CFA33" w14:textId="1CFFD667" w:rsidR="007C1946" w:rsidRDefault="007C1946" w:rsidP="007C1946">
            <w:pPr>
              <w:pStyle w:val="BodyText"/>
              <w:spacing w:after="240" w:line="240" w:lineRule="auto"/>
              <w:jc w:val="left"/>
            </w:pPr>
            <w:r>
              <w:t xml:space="preserve">Two Hundred </w:t>
            </w:r>
            <w:r w:rsidR="00491A6C">
              <w:t xml:space="preserve">and </w:t>
            </w:r>
            <w:r>
              <w:t xml:space="preserve">Forty Fifth </w:t>
            </w:r>
            <w:r w:rsidR="00491A6C">
              <w:t>Respondent:</w:t>
            </w:r>
          </w:p>
        </w:tc>
        <w:tc>
          <w:tcPr>
            <w:tcW w:w="5874" w:type="dxa"/>
            <w:tcMar>
              <w:left w:w="28" w:type="dxa"/>
            </w:tcMar>
          </w:tcPr>
          <w:p w14:paraId="3F976100" w14:textId="3AD93457" w:rsidR="007C1946" w:rsidRDefault="007C1946" w:rsidP="007C1946">
            <w:pPr>
              <w:pStyle w:val="BodyText"/>
              <w:spacing w:after="240" w:line="240" w:lineRule="auto"/>
              <w:jc w:val="left"/>
            </w:pPr>
            <w:r>
              <w:t>PALSS PTY LTD</w:t>
            </w:r>
          </w:p>
        </w:tc>
      </w:tr>
      <w:tr w:rsidR="007C1946" w14:paraId="56509395" w14:textId="77777777" w:rsidTr="005F3639">
        <w:trPr>
          <w:trHeight w:val="386"/>
        </w:trPr>
        <w:tc>
          <w:tcPr>
            <w:tcW w:w="3368" w:type="dxa"/>
          </w:tcPr>
          <w:p w14:paraId="002126A0" w14:textId="25217EA6" w:rsidR="007C1946" w:rsidRDefault="007C1946" w:rsidP="007C1946">
            <w:pPr>
              <w:pStyle w:val="BodyText"/>
              <w:spacing w:after="240" w:line="240" w:lineRule="auto"/>
              <w:jc w:val="left"/>
            </w:pPr>
            <w:r>
              <w:t xml:space="preserve">Two Hundred </w:t>
            </w:r>
            <w:r w:rsidR="00491A6C">
              <w:t xml:space="preserve">and </w:t>
            </w:r>
            <w:r>
              <w:t xml:space="preserve">Forty Sixth </w:t>
            </w:r>
            <w:r w:rsidR="00491A6C">
              <w:t>Respondent:</w:t>
            </w:r>
          </w:p>
        </w:tc>
        <w:tc>
          <w:tcPr>
            <w:tcW w:w="5874" w:type="dxa"/>
            <w:tcMar>
              <w:left w:w="28" w:type="dxa"/>
            </w:tcMar>
          </w:tcPr>
          <w:p w14:paraId="12D37C34" w14:textId="2156A674" w:rsidR="007C1946" w:rsidRDefault="007C1946" w:rsidP="007C1946">
            <w:pPr>
              <w:pStyle w:val="BodyText"/>
              <w:spacing w:after="240" w:line="240" w:lineRule="auto"/>
              <w:jc w:val="left"/>
            </w:pPr>
            <w:r>
              <w:t>PANAREA ENTERPRISES PTY LTD</w:t>
            </w:r>
          </w:p>
        </w:tc>
      </w:tr>
      <w:tr w:rsidR="007C1946" w14:paraId="204ED43F" w14:textId="77777777" w:rsidTr="005F3639">
        <w:trPr>
          <w:trHeight w:val="386"/>
        </w:trPr>
        <w:tc>
          <w:tcPr>
            <w:tcW w:w="3368" w:type="dxa"/>
          </w:tcPr>
          <w:p w14:paraId="64A20A77" w14:textId="04800B71" w:rsidR="007C1946" w:rsidRDefault="007C1946" w:rsidP="007C1946">
            <w:pPr>
              <w:pStyle w:val="BodyText"/>
              <w:spacing w:after="240" w:line="240" w:lineRule="auto"/>
              <w:jc w:val="left"/>
            </w:pPr>
            <w:r>
              <w:t>Two Hundred</w:t>
            </w:r>
            <w:r w:rsidR="00491A6C">
              <w:t xml:space="preserve"> and</w:t>
            </w:r>
            <w:r>
              <w:t xml:space="preserve"> Forty Seventh </w:t>
            </w:r>
            <w:r w:rsidR="00491A6C">
              <w:t>Respondent:</w:t>
            </w:r>
          </w:p>
        </w:tc>
        <w:tc>
          <w:tcPr>
            <w:tcW w:w="5874" w:type="dxa"/>
            <w:tcMar>
              <w:left w:w="28" w:type="dxa"/>
            </w:tcMar>
          </w:tcPr>
          <w:p w14:paraId="377861DB" w14:textId="77790E5E" w:rsidR="007C1946" w:rsidRDefault="007C1946" w:rsidP="007C1946">
            <w:pPr>
              <w:pStyle w:val="BodyText"/>
              <w:spacing w:after="240" w:line="240" w:lineRule="auto"/>
              <w:jc w:val="left"/>
            </w:pPr>
            <w:r>
              <w:t>PARAMOR PTY LTD</w:t>
            </w:r>
          </w:p>
        </w:tc>
      </w:tr>
      <w:tr w:rsidR="007C1946" w14:paraId="753ABD8D" w14:textId="77777777" w:rsidTr="005F3639">
        <w:trPr>
          <w:trHeight w:val="386"/>
        </w:trPr>
        <w:tc>
          <w:tcPr>
            <w:tcW w:w="3368" w:type="dxa"/>
          </w:tcPr>
          <w:p w14:paraId="00F6958D" w14:textId="7B841A16" w:rsidR="007C1946" w:rsidRDefault="007C1946" w:rsidP="007C1946">
            <w:pPr>
              <w:pStyle w:val="BodyText"/>
              <w:spacing w:after="240" w:line="240" w:lineRule="auto"/>
              <w:jc w:val="left"/>
            </w:pPr>
            <w:r>
              <w:t>Two Hundred</w:t>
            </w:r>
            <w:r w:rsidR="00491A6C">
              <w:t xml:space="preserve"> and</w:t>
            </w:r>
            <w:r>
              <w:t xml:space="preserve"> Forty Eighth </w:t>
            </w:r>
            <w:r w:rsidR="00491A6C">
              <w:t>Respondent:</w:t>
            </w:r>
          </w:p>
        </w:tc>
        <w:tc>
          <w:tcPr>
            <w:tcW w:w="5874" w:type="dxa"/>
            <w:tcMar>
              <w:left w:w="28" w:type="dxa"/>
            </w:tcMar>
          </w:tcPr>
          <w:p w14:paraId="0ED3FA6C" w14:textId="704ED90E" w:rsidR="007C1946" w:rsidRDefault="007C1946" w:rsidP="007C1946">
            <w:pPr>
              <w:pStyle w:val="BodyText"/>
              <w:spacing w:after="240" w:line="240" w:lineRule="auto"/>
              <w:jc w:val="left"/>
            </w:pPr>
            <w:r>
              <w:t>PARCORP INVESTMENTS PTY LTD</w:t>
            </w:r>
          </w:p>
        </w:tc>
      </w:tr>
      <w:tr w:rsidR="007C1946" w14:paraId="27819893" w14:textId="77777777" w:rsidTr="005F3639">
        <w:trPr>
          <w:trHeight w:val="386"/>
        </w:trPr>
        <w:tc>
          <w:tcPr>
            <w:tcW w:w="3368" w:type="dxa"/>
          </w:tcPr>
          <w:p w14:paraId="255ECB71" w14:textId="638A83D9" w:rsidR="007C1946" w:rsidRDefault="007C1946" w:rsidP="007C1946">
            <w:pPr>
              <w:pStyle w:val="BodyText"/>
              <w:spacing w:after="240" w:line="240" w:lineRule="auto"/>
              <w:jc w:val="left"/>
            </w:pPr>
            <w:r>
              <w:t xml:space="preserve">Two Hundred </w:t>
            </w:r>
            <w:r w:rsidR="00491A6C">
              <w:t xml:space="preserve">and </w:t>
            </w:r>
            <w:r>
              <w:t xml:space="preserve">Forty Ninth </w:t>
            </w:r>
            <w:r w:rsidR="00491A6C">
              <w:t>Respondent:</w:t>
            </w:r>
          </w:p>
        </w:tc>
        <w:tc>
          <w:tcPr>
            <w:tcW w:w="5874" w:type="dxa"/>
            <w:tcMar>
              <w:left w:w="28" w:type="dxa"/>
            </w:tcMar>
          </w:tcPr>
          <w:p w14:paraId="40AF7E00" w14:textId="3957A84A" w:rsidR="007C1946" w:rsidRDefault="007C1946" w:rsidP="007C1946">
            <w:pPr>
              <w:pStyle w:val="BodyText"/>
              <w:spacing w:after="240" w:line="240" w:lineRule="auto"/>
              <w:jc w:val="left"/>
            </w:pPr>
            <w:r>
              <w:t>PD AND KJ SHAW PTY LTD</w:t>
            </w:r>
          </w:p>
        </w:tc>
      </w:tr>
      <w:tr w:rsidR="007C1946" w14:paraId="5E01F16E" w14:textId="77777777" w:rsidTr="005F3639">
        <w:trPr>
          <w:trHeight w:val="386"/>
        </w:trPr>
        <w:tc>
          <w:tcPr>
            <w:tcW w:w="3368" w:type="dxa"/>
          </w:tcPr>
          <w:p w14:paraId="6E217945" w14:textId="515E65C6" w:rsidR="007C1946" w:rsidRDefault="007C1946" w:rsidP="007C1946">
            <w:pPr>
              <w:pStyle w:val="BodyText"/>
              <w:spacing w:after="240" w:line="240" w:lineRule="auto"/>
              <w:jc w:val="left"/>
            </w:pPr>
            <w:r>
              <w:t xml:space="preserve">Two Hundred </w:t>
            </w:r>
            <w:r w:rsidR="00491A6C">
              <w:t xml:space="preserve">and </w:t>
            </w:r>
            <w:r>
              <w:t xml:space="preserve">Fiftieth </w:t>
            </w:r>
            <w:r w:rsidR="00491A6C">
              <w:t>Respondent:</w:t>
            </w:r>
          </w:p>
        </w:tc>
        <w:tc>
          <w:tcPr>
            <w:tcW w:w="5874" w:type="dxa"/>
            <w:tcMar>
              <w:left w:w="28" w:type="dxa"/>
            </w:tcMar>
          </w:tcPr>
          <w:p w14:paraId="15364501" w14:textId="6154110F" w:rsidR="007C1946" w:rsidRDefault="007C1946" w:rsidP="007C1946">
            <w:pPr>
              <w:pStyle w:val="BodyText"/>
              <w:spacing w:after="240" w:line="240" w:lineRule="auto"/>
              <w:jc w:val="left"/>
            </w:pPr>
            <w:r>
              <w:t>PEARSE GROUP PTY LTD</w:t>
            </w:r>
          </w:p>
        </w:tc>
      </w:tr>
      <w:tr w:rsidR="007C1946" w14:paraId="3DBAA52B" w14:textId="77777777" w:rsidTr="005F3639">
        <w:trPr>
          <w:trHeight w:val="386"/>
        </w:trPr>
        <w:tc>
          <w:tcPr>
            <w:tcW w:w="3368" w:type="dxa"/>
          </w:tcPr>
          <w:p w14:paraId="65E141E3" w14:textId="2E1B524E" w:rsidR="007C1946" w:rsidRDefault="007C1946" w:rsidP="007C1946">
            <w:pPr>
              <w:pStyle w:val="BodyText"/>
              <w:spacing w:after="240" w:line="240" w:lineRule="auto"/>
              <w:jc w:val="left"/>
            </w:pPr>
            <w:r>
              <w:t xml:space="preserve">Two Hundred </w:t>
            </w:r>
            <w:r w:rsidR="00491A6C">
              <w:t xml:space="preserve">and </w:t>
            </w:r>
            <w:r>
              <w:t xml:space="preserve">Fifty First </w:t>
            </w:r>
            <w:r w:rsidR="00491A6C">
              <w:t>Respondent:</w:t>
            </w:r>
          </w:p>
        </w:tc>
        <w:tc>
          <w:tcPr>
            <w:tcW w:w="5874" w:type="dxa"/>
            <w:tcMar>
              <w:left w:w="28" w:type="dxa"/>
            </w:tcMar>
          </w:tcPr>
          <w:p w14:paraId="0DA994B5" w14:textId="2A29C8DD" w:rsidR="007C1946" w:rsidRDefault="007C1946" w:rsidP="007C1946">
            <w:pPr>
              <w:pStyle w:val="BodyText"/>
              <w:spacing w:after="240" w:line="240" w:lineRule="auto"/>
              <w:jc w:val="left"/>
            </w:pPr>
            <w:r>
              <w:t>PEFIDY PTY LTD</w:t>
            </w:r>
          </w:p>
        </w:tc>
      </w:tr>
      <w:tr w:rsidR="007C1946" w14:paraId="18CD6DF2" w14:textId="77777777" w:rsidTr="005F3639">
        <w:trPr>
          <w:trHeight w:val="386"/>
        </w:trPr>
        <w:tc>
          <w:tcPr>
            <w:tcW w:w="3368" w:type="dxa"/>
          </w:tcPr>
          <w:p w14:paraId="698FE739" w14:textId="5A68355A" w:rsidR="007C1946" w:rsidRDefault="007C1946" w:rsidP="007C1946">
            <w:pPr>
              <w:pStyle w:val="BodyText"/>
              <w:spacing w:after="240" w:line="240" w:lineRule="auto"/>
              <w:jc w:val="left"/>
            </w:pPr>
            <w:r>
              <w:t xml:space="preserve">Two Hundred </w:t>
            </w:r>
            <w:r w:rsidR="00491A6C">
              <w:t xml:space="preserve">and </w:t>
            </w:r>
            <w:r>
              <w:t xml:space="preserve">Fifty Second </w:t>
            </w:r>
            <w:r w:rsidR="00491A6C">
              <w:t>Respondent:</w:t>
            </w:r>
          </w:p>
        </w:tc>
        <w:tc>
          <w:tcPr>
            <w:tcW w:w="5874" w:type="dxa"/>
            <w:tcMar>
              <w:left w:w="28" w:type="dxa"/>
            </w:tcMar>
          </w:tcPr>
          <w:p w14:paraId="50A659BC" w14:textId="3880C4E9" w:rsidR="007C1946" w:rsidRDefault="007C1946" w:rsidP="007C1946">
            <w:pPr>
              <w:pStyle w:val="BodyText"/>
              <w:spacing w:after="240" w:line="240" w:lineRule="auto"/>
              <w:jc w:val="left"/>
            </w:pPr>
            <w:r>
              <w:t>PENFREY NOMINEES PTY LTD</w:t>
            </w:r>
          </w:p>
        </w:tc>
      </w:tr>
      <w:tr w:rsidR="007C1946" w14:paraId="06C6FFFB" w14:textId="77777777" w:rsidTr="005F3639">
        <w:trPr>
          <w:trHeight w:val="386"/>
        </w:trPr>
        <w:tc>
          <w:tcPr>
            <w:tcW w:w="3368" w:type="dxa"/>
          </w:tcPr>
          <w:p w14:paraId="7374A1EC" w14:textId="410054CA" w:rsidR="007C1946" w:rsidRDefault="007C1946" w:rsidP="007C1946">
            <w:pPr>
              <w:pStyle w:val="BodyText"/>
              <w:spacing w:after="240" w:line="240" w:lineRule="auto"/>
              <w:jc w:val="left"/>
            </w:pPr>
            <w:r>
              <w:t>Two Hundred</w:t>
            </w:r>
            <w:r w:rsidR="00491A6C">
              <w:t xml:space="preserve"> and</w:t>
            </w:r>
            <w:r>
              <w:t xml:space="preserve"> Fifty Third </w:t>
            </w:r>
            <w:r w:rsidR="00491A6C">
              <w:t>Respondent:</w:t>
            </w:r>
          </w:p>
        </w:tc>
        <w:tc>
          <w:tcPr>
            <w:tcW w:w="5874" w:type="dxa"/>
            <w:tcMar>
              <w:left w:w="28" w:type="dxa"/>
            </w:tcMar>
          </w:tcPr>
          <w:p w14:paraId="5C74C56E" w14:textId="70C31817" w:rsidR="007C1946" w:rsidRDefault="007C1946" w:rsidP="007C1946">
            <w:pPr>
              <w:pStyle w:val="BodyText"/>
              <w:spacing w:after="240" w:line="240" w:lineRule="auto"/>
              <w:jc w:val="left"/>
            </w:pPr>
            <w:r>
              <w:t>PENNON ENTERPRISES PTY LTD</w:t>
            </w:r>
          </w:p>
        </w:tc>
      </w:tr>
      <w:tr w:rsidR="007C1946" w14:paraId="098D5563" w14:textId="77777777" w:rsidTr="005F3639">
        <w:trPr>
          <w:trHeight w:val="386"/>
        </w:trPr>
        <w:tc>
          <w:tcPr>
            <w:tcW w:w="3368" w:type="dxa"/>
          </w:tcPr>
          <w:p w14:paraId="278BFD5B" w14:textId="10872671" w:rsidR="007C1946" w:rsidRDefault="007C1946" w:rsidP="007C1946">
            <w:pPr>
              <w:pStyle w:val="BodyText"/>
              <w:spacing w:after="240" w:line="240" w:lineRule="auto"/>
              <w:jc w:val="left"/>
            </w:pPr>
            <w:r>
              <w:t xml:space="preserve">Two Hundred </w:t>
            </w:r>
            <w:r w:rsidR="00491A6C">
              <w:t xml:space="preserve">and </w:t>
            </w:r>
            <w:r>
              <w:t xml:space="preserve">Fifty Fourth </w:t>
            </w:r>
            <w:r w:rsidR="00491A6C">
              <w:t>Respondent:</w:t>
            </w:r>
          </w:p>
        </w:tc>
        <w:tc>
          <w:tcPr>
            <w:tcW w:w="5874" w:type="dxa"/>
            <w:tcMar>
              <w:left w:w="28" w:type="dxa"/>
            </w:tcMar>
          </w:tcPr>
          <w:p w14:paraId="4083562A" w14:textId="50521E83" w:rsidR="007C1946" w:rsidRDefault="007C1946" w:rsidP="007C1946">
            <w:pPr>
              <w:pStyle w:val="BodyText"/>
              <w:spacing w:after="240" w:line="240" w:lineRule="auto"/>
              <w:jc w:val="left"/>
            </w:pPr>
            <w:r>
              <w:t>PERTEX PTY LTD</w:t>
            </w:r>
          </w:p>
        </w:tc>
      </w:tr>
      <w:tr w:rsidR="007C1946" w14:paraId="296968AE" w14:textId="77777777" w:rsidTr="005F3639">
        <w:trPr>
          <w:trHeight w:val="386"/>
        </w:trPr>
        <w:tc>
          <w:tcPr>
            <w:tcW w:w="3368" w:type="dxa"/>
          </w:tcPr>
          <w:p w14:paraId="7CEB3B44" w14:textId="45402A96" w:rsidR="007C1946" w:rsidRDefault="007C1946" w:rsidP="007C1946">
            <w:pPr>
              <w:pStyle w:val="BodyText"/>
              <w:spacing w:after="240" w:line="240" w:lineRule="auto"/>
              <w:jc w:val="left"/>
            </w:pPr>
            <w:r>
              <w:t xml:space="preserve">Two Hundred </w:t>
            </w:r>
            <w:r w:rsidR="00705873">
              <w:t xml:space="preserve">and </w:t>
            </w:r>
            <w:r>
              <w:t xml:space="preserve">Fifty Fifth </w:t>
            </w:r>
            <w:r w:rsidR="00705873">
              <w:t>Respondent:</w:t>
            </w:r>
          </w:p>
        </w:tc>
        <w:tc>
          <w:tcPr>
            <w:tcW w:w="5874" w:type="dxa"/>
            <w:tcMar>
              <w:left w:w="28" w:type="dxa"/>
            </w:tcMar>
          </w:tcPr>
          <w:p w14:paraId="674DA96B" w14:textId="2B3F38AA" w:rsidR="007C1946" w:rsidRDefault="007C1946" w:rsidP="007C1946">
            <w:pPr>
              <w:pStyle w:val="BodyText"/>
              <w:spacing w:after="240" w:line="240" w:lineRule="auto"/>
              <w:jc w:val="left"/>
            </w:pPr>
            <w:r>
              <w:t>PETER &amp; MARCELLE BAIN PTY LTD</w:t>
            </w:r>
          </w:p>
        </w:tc>
      </w:tr>
      <w:tr w:rsidR="007C1946" w14:paraId="40A56F80" w14:textId="77777777" w:rsidTr="005F3639">
        <w:trPr>
          <w:trHeight w:val="386"/>
        </w:trPr>
        <w:tc>
          <w:tcPr>
            <w:tcW w:w="3368" w:type="dxa"/>
          </w:tcPr>
          <w:p w14:paraId="67F3FF54" w14:textId="71F4B092" w:rsidR="007C1946" w:rsidRDefault="007C1946" w:rsidP="007C1946">
            <w:pPr>
              <w:pStyle w:val="BodyText"/>
              <w:spacing w:after="240" w:line="240" w:lineRule="auto"/>
              <w:jc w:val="left"/>
            </w:pPr>
            <w:r>
              <w:t xml:space="preserve">Two Hundred </w:t>
            </w:r>
            <w:r w:rsidR="00705873">
              <w:t xml:space="preserve">and </w:t>
            </w:r>
            <w:r>
              <w:t xml:space="preserve">Fifty Sixth </w:t>
            </w:r>
            <w:r w:rsidR="00705873">
              <w:t>Respondent:</w:t>
            </w:r>
          </w:p>
        </w:tc>
        <w:tc>
          <w:tcPr>
            <w:tcW w:w="5874" w:type="dxa"/>
            <w:tcMar>
              <w:left w:w="28" w:type="dxa"/>
            </w:tcMar>
          </w:tcPr>
          <w:p w14:paraId="16972CFC" w14:textId="6E33D9B9" w:rsidR="007C1946" w:rsidRDefault="007C1946" w:rsidP="007C1946">
            <w:pPr>
              <w:pStyle w:val="BodyText"/>
              <w:spacing w:after="240" w:line="240" w:lineRule="auto"/>
              <w:jc w:val="left"/>
            </w:pPr>
            <w:r>
              <w:t>PETONA PTY LTD</w:t>
            </w:r>
          </w:p>
        </w:tc>
      </w:tr>
      <w:tr w:rsidR="007C1946" w14:paraId="6A6D07B6" w14:textId="77777777" w:rsidTr="005F3639">
        <w:trPr>
          <w:trHeight w:val="386"/>
        </w:trPr>
        <w:tc>
          <w:tcPr>
            <w:tcW w:w="3368" w:type="dxa"/>
          </w:tcPr>
          <w:p w14:paraId="205070D4" w14:textId="779733CF" w:rsidR="007C1946" w:rsidRDefault="007C1946" w:rsidP="007C1946">
            <w:pPr>
              <w:pStyle w:val="BodyText"/>
              <w:spacing w:after="240" w:line="240" w:lineRule="auto"/>
              <w:jc w:val="left"/>
            </w:pPr>
            <w:r>
              <w:t>Two Hundred</w:t>
            </w:r>
            <w:r w:rsidR="00705873">
              <w:t xml:space="preserve"> and</w:t>
            </w:r>
            <w:r>
              <w:t xml:space="preserve"> Fifty Seventh </w:t>
            </w:r>
            <w:r w:rsidR="00705873">
              <w:t>Respondent:</w:t>
            </w:r>
          </w:p>
        </w:tc>
        <w:tc>
          <w:tcPr>
            <w:tcW w:w="5874" w:type="dxa"/>
            <w:tcMar>
              <w:left w:w="28" w:type="dxa"/>
            </w:tcMar>
          </w:tcPr>
          <w:p w14:paraId="49054676" w14:textId="3A00C72B" w:rsidR="007C1946" w:rsidRDefault="007C1946" w:rsidP="007C1946">
            <w:pPr>
              <w:pStyle w:val="BodyText"/>
              <w:spacing w:after="240" w:line="240" w:lineRule="auto"/>
              <w:jc w:val="left"/>
            </w:pPr>
            <w:r>
              <w:t>PLEXET PTY LTD</w:t>
            </w:r>
          </w:p>
        </w:tc>
      </w:tr>
      <w:tr w:rsidR="007C1946" w14:paraId="1B689ACD" w14:textId="77777777" w:rsidTr="005F3639">
        <w:trPr>
          <w:trHeight w:val="386"/>
        </w:trPr>
        <w:tc>
          <w:tcPr>
            <w:tcW w:w="3368" w:type="dxa"/>
          </w:tcPr>
          <w:p w14:paraId="401C9A55" w14:textId="06057916" w:rsidR="007C1946" w:rsidRDefault="007C1946" w:rsidP="007C1946">
            <w:pPr>
              <w:pStyle w:val="BodyText"/>
              <w:spacing w:after="240" w:line="240" w:lineRule="auto"/>
              <w:jc w:val="left"/>
            </w:pPr>
            <w:r>
              <w:t xml:space="preserve">Two Hundred </w:t>
            </w:r>
            <w:r w:rsidR="00705873">
              <w:t xml:space="preserve">and </w:t>
            </w:r>
            <w:r>
              <w:t xml:space="preserve">Fifty Eighth </w:t>
            </w:r>
            <w:r w:rsidR="00705873">
              <w:t>Respondent:</w:t>
            </w:r>
          </w:p>
        </w:tc>
        <w:tc>
          <w:tcPr>
            <w:tcW w:w="5874" w:type="dxa"/>
            <w:tcMar>
              <w:left w:w="28" w:type="dxa"/>
            </w:tcMar>
          </w:tcPr>
          <w:p w14:paraId="245992FC" w14:textId="123B92FA" w:rsidR="007C1946" w:rsidRDefault="007C1946" w:rsidP="007C1946">
            <w:pPr>
              <w:pStyle w:val="BodyText"/>
              <w:spacing w:after="240" w:line="240" w:lineRule="auto"/>
              <w:jc w:val="left"/>
            </w:pPr>
            <w:r>
              <w:t>POLLBURG PTY LTD</w:t>
            </w:r>
          </w:p>
        </w:tc>
      </w:tr>
      <w:tr w:rsidR="007C1946" w14:paraId="2F63FA86" w14:textId="77777777" w:rsidTr="005F3639">
        <w:trPr>
          <w:trHeight w:val="386"/>
        </w:trPr>
        <w:tc>
          <w:tcPr>
            <w:tcW w:w="3368" w:type="dxa"/>
          </w:tcPr>
          <w:p w14:paraId="7D59B75F" w14:textId="3754A1FF" w:rsidR="007C1946" w:rsidRDefault="007C1946" w:rsidP="007C1946">
            <w:pPr>
              <w:pStyle w:val="BodyText"/>
              <w:spacing w:after="240" w:line="240" w:lineRule="auto"/>
              <w:jc w:val="left"/>
            </w:pPr>
            <w:r>
              <w:t xml:space="preserve">Two Hundred </w:t>
            </w:r>
            <w:r w:rsidR="00705873">
              <w:t xml:space="preserve">and </w:t>
            </w:r>
            <w:r>
              <w:t xml:space="preserve">Fifty Ninth </w:t>
            </w:r>
            <w:r w:rsidR="00705873">
              <w:t>Respondent:</w:t>
            </w:r>
          </w:p>
        </w:tc>
        <w:tc>
          <w:tcPr>
            <w:tcW w:w="5874" w:type="dxa"/>
            <w:tcMar>
              <w:left w:w="28" w:type="dxa"/>
            </w:tcMar>
          </w:tcPr>
          <w:p w14:paraId="75DCB6F6" w14:textId="6026F1E8" w:rsidR="007C1946" w:rsidRDefault="007C1946" w:rsidP="007C1946">
            <w:pPr>
              <w:pStyle w:val="BodyText"/>
              <w:spacing w:after="240" w:line="240" w:lineRule="auto"/>
              <w:jc w:val="left"/>
            </w:pPr>
            <w:r>
              <w:t>P S &amp; D R COOMES PTY LTD</w:t>
            </w:r>
          </w:p>
        </w:tc>
      </w:tr>
      <w:tr w:rsidR="007C1946" w14:paraId="22FF299E" w14:textId="77777777" w:rsidTr="005F3639">
        <w:trPr>
          <w:trHeight w:val="386"/>
        </w:trPr>
        <w:tc>
          <w:tcPr>
            <w:tcW w:w="3368" w:type="dxa"/>
          </w:tcPr>
          <w:p w14:paraId="49F041D9" w14:textId="68AEDEF5" w:rsidR="007C1946" w:rsidRDefault="007C1946" w:rsidP="007C1946">
            <w:pPr>
              <w:pStyle w:val="BodyText"/>
              <w:spacing w:after="240" w:line="240" w:lineRule="auto"/>
              <w:jc w:val="left"/>
            </w:pPr>
            <w:r>
              <w:t xml:space="preserve">Two Hundred </w:t>
            </w:r>
            <w:r w:rsidR="00705873">
              <w:t xml:space="preserve">and </w:t>
            </w:r>
            <w:r>
              <w:t xml:space="preserve">Sixtieth </w:t>
            </w:r>
            <w:r w:rsidR="00705873">
              <w:t>Respondent:</w:t>
            </w:r>
          </w:p>
        </w:tc>
        <w:tc>
          <w:tcPr>
            <w:tcW w:w="5874" w:type="dxa"/>
            <w:tcMar>
              <w:left w:w="28" w:type="dxa"/>
            </w:tcMar>
          </w:tcPr>
          <w:p w14:paraId="211AFA40" w14:textId="506C921B" w:rsidR="007C1946" w:rsidRDefault="007C1946" w:rsidP="007C1946">
            <w:pPr>
              <w:pStyle w:val="BodyText"/>
              <w:spacing w:after="240" w:line="240" w:lineRule="auto"/>
              <w:jc w:val="left"/>
            </w:pPr>
            <w:r>
              <w:t>PS.ESC PTY LTD</w:t>
            </w:r>
          </w:p>
        </w:tc>
      </w:tr>
      <w:tr w:rsidR="007C1946" w14:paraId="76898754" w14:textId="77777777" w:rsidTr="005F3639">
        <w:trPr>
          <w:trHeight w:val="386"/>
        </w:trPr>
        <w:tc>
          <w:tcPr>
            <w:tcW w:w="3368" w:type="dxa"/>
          </w:tcPr>
          <w:p w14:paraId="01C31930" w14:textId="6F181521" w:rsidR="007C1946" w:rsidRDefault="007C1946" w:rsidP="007C1946">
            <w:pPr>
              <w:pStyle w:val="BodyText"/>
              <w:spacing w:after="240" w:line="240" w:lineRule="auto"/>
              <w:jc w:val="left"/>
            </w:pPr>
            <w:r>
              <w:t xml:space="preserve">Two Hundred </w:t>
            </w:r>
            <w:r w:rsidR="00705873">
              <w:t xml:space="preserve">and </w:t>
            </w:r>
            <w:r>
              <w:t xml:space="preserve">Sixty First </w:t>
            </w:r>
            <w:r w:rsidR="00705873">
              <w:t>Respondent:</w:t>
            </w:r>
          </w:p>
        </w:tc>
        <w:tc>
          <w:tcPr>
            <w:tcW w:w="5874" w:type="dxa"/>
            <w:tcMar>
              <w:left w:w="28" w:type="dxa"/>
            </w:tcMar>
          </w:tcPr>
          <w:p w14:paraId="34A9F0D9" w14:textId="10FC7D03" w:rsidR="007C1946" w:rsidRDefault="007C1946" w:rsidP="007C1946">
            <w:pPr>
              <w:pStyle w:val="BodyText"/>
              <w:spacing w:after="240" w:line="240" w:lineRule="auto"/>
              <w:jc w:val="left"/>
            </w:pPr>
            <w:r>
              <w:t>QUEBANI PTY LTD</w:t>
            </w:r>
          </w:p>
        </w:tc>
      </w:tr>
      <w:tr w:rsidR="007C1946" w14:paraId="0E887561" w14:textId="77777777" w:rsidTr="005F3639">
        <w:trPr>
          <w:trHeight w:val="386"/>
        </w:trPr>
        <w:tc>
          <w:tcPr>
            <w:tcW w:w="3368" w:type="dxa"/>
          </w:tcPr>
          <w:p w14:paraId="036C53E5" w14:textId="032E0CBE" w:rsidR="007C1946" w:rsidRDefault="007C1946" w:rsidP="007C1946">
            <w:pPr>
              <w:pStyle w:val="BodyText"/>
              <w:spacing w:after="240" w:line="240" w:lineRule="auto"/>
              <w:jc w:val="left"/>
            </w:pPr>
            <w:r>
              <w:t xml:space="preserve">Two Hundred </w:t>
            </w:r>
            <w:r w:rsidR="00705873">
              <w:t xml:space="preserve">and </w:t>
            </w:r>
            <w:r>
              <w:t xml:space="preserve">Sixty Second </w:t>
            </w:r>
            <w:r w:rsidR="00705873">
              <w:t>Respondent:</w:t>
            </w:r>
          </w:p>
        </w:tc>
        <w:tc>
          <w:tcPr>
            <w:tcW w:w="5874" w:type="dxa"/>
            <w:tcMar>
              <w:left w:w="28" w:type="dxa"/>
            </w:tcMar>
          </w:tcPr>
          <w:p w14:paraId="6DDB3B8D" w14:textId="72BBD8AA" w:rsidR="007C1946" w:rsidRDefault="007C1946" w:rsidP="007C1946">
            <w:pPr>
              <w:pStyle w:val="BodyText"/>
              <w:spacing w:after="240" w:line="240" w:lineRule="auto"/>
              <w:jc w:val="left"/>
            </w:pPr>
            <w:r>
              <w:t>RADWELL NOMINEES PTY LTD</w:t>
            </w:r>
          </w:p>
        </w:tc>
      </w:tr>
      <w:tr w:rsidR="007C1946" w14:paraId="7B90A09E" w14:textId="77777777" w:rsidTr="005F3639">
        <w:trPr>
          <w:trHeight w:val="386"/>
        </w:trPr>
        <w:tc>
          <w:tcPr>
            <w:tcW w:w="3368" w:type="dxa"/>
          </w:tcPr>
          <w:p w14:paraId="67FFEB4C" w14:textId="379E33B0" w:rsidR="007C1946" w:rsidRDefault="007C1946" w:rsidP="007C1946">
            <w:pPr>
              <w:pStyle w:val="BodyText"/>
              <w:spacing w:after="240" w:line="240" w:lineRule="auto"/>
              <w:jc w:val="left"/>
            </w:pPr>
            <w:r>
              <w:t xml:space="preserve">Two Hundred </w:t>
            </w:r>
            <w:r w:rsidR="00705873">
              <w:t xml:space="preserve">and </w:t>
            </w:r>
            <w:r>
              <w:t xml:space="preserve">Sixty Third </w:t>
            </w:r>
            <w:r w:rsidR="00705873">
              <w:t>Respondent:</w:t>
            </w:r>
          </w:p>
        </w:tc>
        <w:tc>
          <w:tcPr>
            <w:tcW w:w="5874" w:type="dxa"/>
            <w:tcMar>
              <w:left w:w="28" w:type="dxa"/>
            </w:tcMar>
          </w:tcPr>
          <w:p w14:paraId="5FF2AAD5" w14:textId="102948DB" w:rsidR="007C1946" w:rsidRDefault="007C1946" w:rsidP="007C1946">
            <w:pPr>
              <w:pStyle w:val="BodyText"/>
              <w:spacing w:after="240" w:line="240" w:lineRule="auto"/>
              <w:jc w:val="left"/>
            </w:pPr>
            <w:r>
              <w:t>RAH NOMINEES PTY LTD</w:t>
            </w:r>
          </w:p>
        </w:tc>
      </w:tr>
      <w:tr w:rsidR="007C1946" w14:paraId="5F4EA435" w14:textId="77777777" w:rsidTr="005F3639">
        <w:trPr>
          <w:trHeight w:val="386"/>
        </w:trPr>
        <w:tc>
          <w:tcPr>
            <w:tcW w:w="3368" w:type="dxa"/>
          </w:tcPr>
          <w:p w14:paraId="56839739" w14:textId="2101EE53" w:rsidR="007C1946" w:rsidRDefault="007C1946" w:rsidP="007C1946">
            <w:pPr>
              <w:pStyle w:val="BodyText"/>
              <w:spacing w:after="240" w:line="240" w:lineRule="auto"/>
              <w:jc w:val="left"/>
            </w:pPr>
            <w:r>
              <w:t xml:space="preserve">Two Hundred </w:t>
            </w:r>
            <w:r w:rsidR="000C0AEF">
              <w:t xml:space="preserve">and </w:t>
            </w:r>
            <w:r>
              <w:t xml:space="preserve">Sixty Fourth </w:t>
            </w:r>
            <w:r w:rsidR="000C0AEF">
              <w:t>Respondent:</w:t>
            </w:r>
          </w:p>
        </w:tc>
        <w:tc>
          <w:tcPr>
            <w:tcW w:w="5874" w:type="dxa"/>
            <w:tcMar>
              <w:left w:w="28" w:type="dxa"/>
            </w:tcMar>
          </w:tcPr>
          <w:p w14:paraId="114D58A6" w14:textId="4795CD43" w:rsidR="007C1946" w:rsidRDefault="007C1946" w:rsidP="007C1946">
            <w:pPr>
              <w:pStyle w:val="BodyText"/>
              <w:spacing w:after="240" w:line="240" w:lineRule="auto"/>
              <w:jc w:val="left"/>
            </w:pPr>
            <w:r>
              <w:t>RAINBOW BRIDGE PTY LTD</w:t>
            </w:r>
          </w:p>
        </w:tc>
      </w:tr>
      <w:tr w:rsidR="007C1946" w14:paraId="6A7A91BE" w14:textId="77777777" w:rsidTr="005F3639">
        <w:trPr>
          <w:trHeight w:val="386"/>
        </w:trPr>
        <w:tc>
          <w:tcPr>
            <w:tcW w:w="3368" w:type="dxa"/>
          </w:tcPr>
          <w:p w14:paraId="43E370A9" w14:textId="23D39BB6" w:rsidR="007C1946" w:rsidRDefault="007C1946" w:rsidP="007C1946">
            <w:pPr>
              <w:pStyle w:val="BodyText"/>
              <w:spacing w:after="240" w:line="240" w:lineRule="auto"/>
              <w:jc w:val="left"/>
            </w:pPr>
            <w:r>
              <w:t xml:space="preserve">Two Hundred </w:t>
            </w:r>
            <w:r w:rsidR="000C0AEF">
              <w:t xml:space="preserve">and </w:t>
            </w:r>
            <w:r>
              <w:t xml:space="preserve">Sixty Fifth </w:t>
            </w:r>
            <w:r w:rsidR="000C0AEF">
              <w:t>Respondent:</w:t>
            </w:r>
          </w:p>
        </w:tc>
        <w:tc>
          <w:tcPr>
            <w:tcW w:w="5874" w:type="dxa"/>
            <w:tcMar>
              <w:left w:w="28" w:type="dxa"/>
            </w:tcMar>
          </w:tcPr>
          <w:p w14:paraId="0765E122" w14:textId="63F5B850" w:rsidR="007C1946" w:rsidRDefault="007C1946" w:rsidP="007C1946">
            <w:pPr>
              <w:pStyle w:val="BodyText"/>
              <w:spacing w:after="240" w:line="240" w:lineRule="auto"/>
              <w:jc w:val="left"/>
            </w:pPr>
            <w:r>
              <w:t>RAW TALENT PTY LTD</w:t>
            </w:r>
          </w:p>
        </w:tc>
      </w:tr>
      <w:tr w:rsidR="007C1946" w14:paraId="288034A6" w14:textId="77777777" w:rsidTr="005F3639">
        <w:trPr>
          <w:trHeight w:val="386"/>
        </w:trPr>
        <w:tc>
          <w:tcPr>
            <w:tcW w:w="3368" w:type="dxa"/>
          </w:tcPr>
          <w:p w14:paraId="68E96B22" w14:textId="722EE9C0" w:rsidR="007C1946" w:rsidRDefault="007C1946" w:rsidP="007C1946">
            <w:pPr>
              <w:pStyle w:val="BodyText"/>
              <w:spacing w:after="240" w:line="240" w:lineRule="auto"/>
              <w:jc w:val="left"/>
            </w:pPr>
            <w:r>
              <w:t xml:space="preserve">Two Hundred </w:t>
            </w:r>
            <w:r w:rsidR="000C0AEF">
              <w:t xml:space="preserve">and </w:t>
            </w:r>
            <w:r>
              <w:t xml:space="preserve">Sixty Seventh </w:t>
            </w:r>
            <w:r w:rsidR="000C0AEF">
              <w:t>Respondent:</w:t>
            </w:r>
          </w:p>
        </w:tc>
        <w:tc>
          <w:tcPr>
            <w:tcW w:w="5874" w:type="dxa"/>
            <w:tcMar>
              <w:left w:w="28" w:type="dxa"/>
            </w:tcMar>
          </w:tcPr>
          <w:p w14:paraId="5DBFF754" w14:textId="4C7910C4" w:rsidR="007C1946" w:rsidRDefault="007C1946" w:rsidP="007C1946">
            <w:pPr>
              <w:pStyle w:val="BodyText"/>
              <w:spacing w:after="240" w:line="240" w:lineRule="auto"/>
              <w:jc w:val="left"/>
            </w:pPr>
            <w:r>
              <w:t>RELLOM HOLDINGS PTY LTD</w:t>
            </w:r>
          </w:p>
        </w:tc>
      </w:tr>
      <w:tr w:rsidR="007C1946" w14:paraId="55EC9356" w14:textId="77777777" w:rsidTr="005F3639">
        <w:trPr>
          <w:trHeight w:val="386"/>
        </w:trPr>
        <w:tc>
          <w:tcPr>
            <w:tcW w:w="3368" w:type="dxa"/>
          </w:tcPr>
          <w:p w14:paraId="203D54A7" w14:textId="5E188991" w:rsidR="007C1946" w:rsidRDefault="007C1946" w:rsidP="007C1946">
            <w:pPr>
              <w:pStyle w:val="BodyText"/>
              <w:spacing w:after="240" w:line="240" w:lineRule="auto"/>
              <w:jc w:val="left"/>
            </w:pPr>
            <w:r>
              <w:t xml:space="preserve">Two Hundred </w:t>
            </w:r>
            <w:r w:rsidR="000C0AEF">
              <w:t xml:space="preserve">and </w:t>
            </w:r>
            <w:r>
              <w:t xml:space="preserve">Sixty Eighth </w:t>
            </w:r>
            <w:r w:rsidR="000C0AEF">
              <w:t>Respondent:</w:t>
            </w:r>
          </w:p>
        </w:tc>
        <w:tc>
          <w:tcPr>
            <w:tcW w:w="5874" w:type="dxa"/>
            <w:tcMar>
              <w:left w:w="28" w:type="dxa"/>
            </w:tcMar>
          </w:tcPr>
          <w:p w14:paraId="6BE54748" w14:textId="11119310" w:rsidR="007C1946" w:rsidRDefault="007C1946" w:rsidP="007C1946">
            <w:pPr>
              <w:pStyle w:val="BodyText"/>
              <w:spacing w:after="240" w:line="240" w:lineRule="auto"/>
              <w:jc w:val="left"/>
            </w:pPr>
            <w:r>
              <w:t>REMDA PTY LTD</w:t>
            </w:r>
          </w:p>
        </w:tc>
      </w:tr>
      <w:tr w:rsidR="007C1946" w14:paraId="750A43C4" w14:textId="77777777" w:rsidTr="005F3639">
        <w:trPr>
          <w:trHeight w:val="386"/>
        </w:trPr>
        <w:tc>
          <w:tcPr>
            <w:tcW w:w="3368" w:type="dxa"/>
          </w:tcPr>
          <w:p w14:paraId="415D907C" w14:textId="76B06867" w:rsidR="007C1946" w:rsidRDefault="007C1946" w:rsidP="007C1946">
            <w:pPr>
              <w:pStyle w:val="BodyText"/>
              <w:spacing w:after="240" w:line="240" w:lineRule="auto"/>
              <w:jc w:val="left"/>
            </w:pPr>
            <w:r>
              <w:t>Two Hundred</w:t>
            </w:r>
            <w:r w:rsidR="000C0AEF">
              <w:t xml:space="preserve"> and</w:t>
            </w:r>
            <w:r>
              <w:t xml:space="preserve"> Sixty Ninth </w:t>
            </w:r>
            <w:r w:rsidR="000C0AEF">
              <w:t>Respondent:</w:t>
            </w:r>
          </w:p>
        </w:tc>
        <w:tc>
          <w:tcPr>
            <w:tcW w:w="5874" w:type="dxa"/>
            <w:tcMar>
              <w:left w:w="28" w:type="dxa"/>
            </w:tcMar>
          </w:tcPr>
          <w:p w14:paraId="3D7CBA77" w14:textId="3540D239" w:rsidR="007C1946" w:rsidRDefault="007C1946" w:rsidP="007C1946">
            <w:pPr>
              <w:pStyle w:val="BodyText"/>
              <w:spacing w:after="240" w:line="240" w:lineRule="auto"/>
              <w:jc w:val="left"/>
            </w:pPr>
            <w:r>
              <w:t>RETSILLACM PTY LTD</w:t>
            </w:r>
          </w:p>
        </w:tc>
      </w:tr>
      <w:tr w:rsidR="007C1946" w14:paraId="27DCE8EE" w14:textId="77777777" w:rsidTr="005F3639">
        <w:trPr>
          <w:trHeight w:val="386"/>
        </w:trPr>
        <w:tc>
          <w:tcPr>
            <w:tcW w:w="3368" w:type="dxa"/>
          </w:tcPr>
          <w:p w14:paraId="40D973B5" w14:textId="5F4E9EA3" w:rsidR="007C1946" w:rsidRDefault="007C1946" w:rsidP="007C1946">
            <w:pPr>
              <w:pStyle w:val="BodyText"/>
              <w:spacing w:after="240" w:line="240" w:lineRule="auto"/>
              <w:jc w:val="left"/>
            </w:pPr>
            <w:r>
              <w:t xml:space="preserve">Two Hundred </w:t>
            </w:r>
            <w:r w:rsidR="000C0AEF">
              <w:t xml:space="preserve">and </w:t>
            </w:r>
            <w:r>
              <w:t xml:space="preserve">Seventieth </w:t>
            </w:r>
            <w:r w:rsidR="0065650F">
              <w:t>Respondent:</w:t>
            </w:r>
          </w:p>
        </w:tc>
        <w:tc>
          <w:tcPr>
            <w:tcW w:w="5874" w:type="dxa"/>
            <w:tcMar>
              <w:left w:w="28" w:type="dxa"/>
            </w:tcMar>
          </w:tcPr>
          <w:p w14:paraId="7138B74D" w14:textId="2716A52B" w:rsidR="007C1946" w:rsidRDefault="007C1946" w:rsidP="007C1946">
            <w:pPr>
              <w:pStyle w:val="BodyText"/>
              <w:spacing w:after="240" w:line="240" w:lineRule="auto"/>
              <w:jc w:val="left"/>
            </w:pPr>
            <w:r>
              <w:t>ROBANLOU PTY LTD</w:t>
            </w:r>
          </w:p>
        </w:tc>
      </w:tr>
      <w:tr w:rsidR="007C1946" w14:paraId="0B3E558D" w14:textId="77777777" w:rsidTr="005F3639">
        <w:trPr>
          <w:trHeight w:val="386"/>
        </w:trPr>
        <w:tc>
          <w:tcPr>
            <w:tcW w:w="3368" w:type="dxa"/>
          </w:tcPr>
          <w:p w14:paraId="7505F2AC" w14:textId="077B6E9B" w:rsidR="007C1946" w:rsidRDefault="007C1946" w:rsidP="007C1946">
            <w:pPr>
              <w:pStyle w:val="BodyText"/>
              <w:spacing w:after="240" w:line="240" w:lineRule="auto"/>
              <w:jc w:val="left"/>
            </w:pPr>
            <w:r>
              <w:t xml:space="preserve">Two Hundred </w:t>
            </w:r>
            <w:r w:rsidR="0065650F">
              <w:t xml:space="preserve">and </w:t>
            </w:r>
            <w:r>
              <w:t xml:space="preserve">Seventy First </w:t>
            </w:r>
            <w:r w:rsidR="0065650F">
              <w:t>Respondent:</w:t>
            </w:r>
          </w:p>
        </w:tc>
        <w:tc>
          <w:tcPr>
            <w:tcW w:w="5874" w:type="dxa"/>
            <w:tcMar>
              <w:left w:w="28" w:type="dxa"/>
            </w:tcMar>
          </w:tcPr>
          <w:p w14:paraId="003BA53A" w14:textId="3E62222C" w:rsidR="007C1946" w:rsidRDefault="007C1946" w:rsidP="007C1946">
            <w:pPr>
              <w:pStyle w:val="BodyText"/>
              <w:spacing w:after="240" w:line="240" w:lineRule="auto"/>
              <w:jc w:val="left"/>
            </w:pPr>
            <w:r>
              <w:t>ROMALD PTY LTD</w:t>
            </w:r>
          </w:p>
        </w:tc>
      </w:tr>
      <w:tr w:rsidR="007C1946" w14:paraId="3C3D522B" w14:textId="77777777" w:rsidTr="005F3639">
        <w:trPr>
          <w:trHeight w:val="386"/>
        </w:trPr>
        <w:tc>
          <w:tcPr>
            <w:tcW w:w="3368" w:type="dxa"/>
          </w:tcPr>
          <w:p w14:paraId="2BCA96B4" w14:textId="5D7D2C96" w:rsidR="007C1946" w:rsidRDefault="007C1946" w:rsidP="007C1946">
            <w:pPr>
              <w:pStyle w:val="BodyText"/>
              <w:spacing w:after="240" w:line="240" w:lineRule="auto"/>
              <w:jc w:val="left"/>
            </w:pPr>
            <w:r>
              <w:t>Two Hundred</w:t>
            </w:r>
            <w:r w:rsidR="0065650F">
              <w:t xml:space="preserve"> and</w:t>
            </w:r>
            <w:r>
              <w:t xml:space="preserve"> Seventy Third </w:t>
            </w:r>
            <w:r w:rsidR="0065650F">
              <w:t>Respondent:</w:t>
            </w:r>
          </w:p>
        </w:tc>
        <w:tc>
          <w:tcPr>
            <w:tcW w:w="5874" w:type="dxa"/>
            <w:tcMar>
              <w:left w:w="28" w:type="dxa"/>
            </w:tcMar>
          </w:tcPr>
          <w:p w14:paraId="160440F9" w14:textId="0FA9EDC1" w:rsidR="007C1946" w:rsidRDefault="007C1946" w:rsidP="007C1946">
            <w:pPr>
              <w:pStyle w:val="BodyText"/>
              <w:spacing w:after="240" w:line="240" w:lineRule="auto"/>
              <w:jc w:val="left"/>
            </w:pPr>
            <w:r>
              <w:t>ROSSGLEN PTY LTD</w:t>
            </w:r>
          </w:p>
        </w:tc>
      </w:tr>
      <w:tr w:rsidR="007C1946" w14:paraId="270FD867" w14:textId="77777777" w:rsidTr="005F3639">
        <w:trPr>
          <w:trHeight w:val="386"/>
        </w:trPr>
        <w:tc>
          <w:tcPr>
            <w:tcW w:w="3368" w:type="dxa"/>
          </w:tcPr>
          <w:p w14:paraId="374F057E" w14:textId="2FEBFCAD" w:rsidR="007C1946" w:rsidRDefault="007C1946" w:rsidP="007C1946">
            <w:pPr>
              <w:pStyle w:val="BodyText"/>
              <w:spacing w:after="240" w:line="240" w:lineRule="auto"/>
              <w:jc w:val="left"/>
            </w:pPr>
            <w:r>
              <w:t xml:space="preserve">Two Hundred </w:t>
            </w:r>
            <w:r w:rsidR="0065650F">
              <w:t xml:space="preserve">and </w:t>
            </w:r>
            <w:r>
              <w:t xml:space="preserve">Seventy Fourth </w:t>
            </w:r>
            <w:r w:rsidR="0065650F">
              <w:t>Respondent:</w:t>
            </w:r>
          </w:p>
        </w:tc>
        <w:tc>
          <w:tcPr>
            <w:tcW w:w="5874" w:type="dxa"/>
            <w:tcMar>
              <w:left w:w="28" w:type="dxa"/>
            </w:tcMar>
          </w:tcPr>
          <w:p w14:paraId="6D9277EE" w14:textId="2B0AEA72" w:rsidR="007C1946" w:rsidRDefault="007C1946" w:rsidP="007C1946">
            <w:pPr>
              <w:pStyle w:val="BodyText"/>
              <w:spacing w:after="240" w:line="240" w:lineRule="auto"/>
              <w:jc w:val="left"/>
            </w:pPr>
            <w:r>
              <w:t>SARONBELL PTY LTD</w:t>
            </w:r>
          </w:p>
        </w:tc>
      </w:tr>
      <w:tr w:rsidR="007C1946" w14:paraId="15706B6C" w14:textId="77777777" w:rsidTr="005F3639">
        <w:trPr>
          <w:trHeight w:val="386"/>
        </w:trPr>
        <w:tc>
          <w:tcPr>
            <w:tcW w:w="3368" w:type="dxa"/>
          </w:tcPr>
          <w:p w14:paraId="75D5D7AF" w14:textId="19DCB39D" w:rsidR="007C1946" w:rsidRDefault="007C1946" w:rsidP="007C1946">
            <w:pPr>
              <w:pStyle w:val="BodyText"/>
              <w:spacing w:after="240" w:line="240" w:lineRule="auto"/>
              <w:jc w:val="left"/>
            </w:pPr>
            <w:r>
              <w:t xml:space="preserve">Two Hundred </w:t>
            </w:r>
            <w:r w:rsidR="00AA75A6">
              <w:t xml:space="preserve">and </w:t>
            </w:r>
            <w:r>
              <w:t xml:space="preserve">Seventy Fifth </w:t>
            </w:r>
            <w:r w:rsidR="00AA75A6">
              <w:t>Respondent:</w:t>
            </w:r>
          </w:p>
        </w:tc>
        <w:tc>
          <w:tcPr>
            <w:tcW w:w="5874" w:type="dxa"/>
            <w:tcMar>
              <w:left w:w="28" w:type="dxa"/>
            </w:tcMar>
          </w:tcPr>
          <w:p w14:paraId="27C04053" w14:textId="6B5AA7E9" w:rsidR="007C1946" w:rsidRDefault="007C1946" w:rsidP="007C1946">
            <w:pPr>
              <w:pStyle w:val="BodyText"/>
              <w:spacing w:after="240" w:line="240" w:lineRule="auto"/>
              <w:jc w:val="left"/>
            </w:pPr>
            <w:r>
              <w:t>SCETTELS PTY LTD</w:t>
            </w:r>
          </w:p>
        </w:tc>
      </w:tr>
      <w:tr w:rsidR="007C1946" w14:paraId="62C5489D" w14:textId="77777777" w:rsidTr="005F3639">
        <w:trPr>
          <w:trHeight w:val="386"/>
        </w:trPr>
        <w:tc>
          <w:tcPr>
            <w:tcW w:w="3368" w:type="dxa"/>
          </w:tcPr>
          <w:p w14:paraId="418B9B53" w14:textId="2B074362" w:rsidR="007C1946" w:rsidRDefault="007C1946" w:rsidP="007C1946">
            <w:pPr>
              <w:pStyle w:val="BodyText"/>
              <w:spacing w:after="240" w:line="240" w:lineRule="auto"/>
              <w:jc w:val="left"/>
            </w:pPr>
            <w:r>
              <w:t xml:space="preserve">Two Hundred </w:t>
            </w:r>
            <w:r w:rsidR="00AA75A6">
              <w:t xml:space="preserve">and </w:t>
            </w:r>
            <w:r>
              <w:t xml:space="preserve">Seventy Sixth </w:t>
            </w:r>
            <w:r w:rsidR="00AA75A6">
              <w:t>Respondent:</w:t>
            </w:r>
          </w:p>
        </w:tc>
        <w:tc>
          <w:tcPr>
            <w:tcW w:w="5874" w:type="dxa"/>
            <w:tcMar>
              <w:left w:w="28" w:type="dxa"/>
            </w:tcMar>
          </w:tcPr>
          <w:p w14:paraId="23D2A309" w14:textId="4C1CA3BB" w:rsidR="007C1946" w:rsidRDefault="007C1946" w:rsidP="007C1946">
            <w:pPr>
              <w:pStyle w:val="BodyText"/>
              <w:spacing w:after="240" w:line="240" w:lineRule="auto"/>
              <w:jc w:val="left"/>
            </w:pPr>
            <w:r>
              <w:t>SECCA HOLDINGS PTY LTD</w:t>
            </w:r>
          </w:p>
        </w:tc>
      </w:tr>
      <w:tr w:rsidR="007C1946" w14:paraId="5CF40D5F" w14:textId="77777777" w:rsidTr="005F3639">
        <w:trPr>
          <w:trHeight w:val="386"/>
        </w:trPr>
        <w:tc>
          <w:tcPr>
            <w:tcW w:w="3368" w:type="dxa"/>
          </w:tcPr>
          <w:p w14:paraId="1884EDC1" w14:textId="7D0B3D0C" w:rsidR="007C1946" w:rsidRDefault="007C1946" w:rsidP="007C1946">
            <w:pPr>
              <w:pStyle w:val="BodyText"/>
              <w:spacing w:after="240" w:line="240" w:lineRule="auto"/>
              <w:jc w:val="left"/>
            </w:pPr>
            <w:r>
              <w:t>Two Hundred</w:t>
            </w:r>
            <w:r w:rsidR="00AA75A6">
              <w:t xml:space="preserve"> and</w:t>
            </w:r>
            <w:r>
              <w:t xml:space="preserve"> Seventy Seventh </w:t>
            </w:r>
            <w:r w:rsidR="00AA75A6">
              <w:t>Respondent:</w:t>
            </w:r>
          </w:p>
        </w:tc>
        <w:tc>
          <w:tcPr>
            <w:tcW w:w="5874" w:type="dxa"/>
            <w:tcMar>
              <w:left w:w="28" w:type="dxa"/>
            </w:tcMar>
          </w:tcPr>
          <w:p w14:paraId="3EA1B6F1" w14:textId="5771EA16" w:rsidR="007C1946" w:rsidRDefault="007C1946" w:rsidP="007C1946">
            <w:pPr>
              <w:pStyle w:val="BodyText"/>
              <w:spacing w:after="240" w:line="240" w:lineRule="auto"/>
              <w:jc w:val="left"/>
            </w:pPr>
            <w:r>
              <w:t>SEDAH PTY LTD</w:t>
            </w:r>
          </w:p>
        </w:tc>
      </w:tr>
      <w:tr w:rsidR="007C1946" w14:paraId="230283D7" w14:textId="77777777" w:rsidTr="005F3639">
        <w:trPr>
          <w:trHeight w:val="386"/>
        </w:trPr>
        <w:tc>
          <w:tcPr>
            <w:tcW w:w="3368" w:type="dxa"/>
          </w:tcPr>
          <w:p w14:paraId="56433B98" w14:textId="28C4DD75" w:rsidR="007C1946" w:rsidRDefault="007C1946" w:rsidP="007C1946">
            <w:pPr>
              <w:pStyle w:val="BodyText"/>
              <w:spacing w:after="240" w:line="240" w:lineRule="auto"/>
              <w:jc w:val="left"/>
            </w:pPr>
            <w:r>
              <w:t>Two Hundred</w:t>
            </w:r>
            <w:r w:rsidR="00AA75A6">
              <w:t xml:space="preserve"> and</w:t>
            </w:r>
            <w:r>
              <w:t xml:space="preserve"> Seventy Eighth </w:t>
            </w:r>
            <w:r w:rsidR="00AA75A6">
              <w:t>Respondent:</w:t>
            </w:r>
          </w:p>
        </w:tc>
        <w:tc>
          <w:tcPr>
            <w:tcW w:w="5874" w:type="dxa"/>
            <w:tcMar>
              <w:left w:w="28" w:type="dxa"/>
            </w:tcMar>
          </w:tcPr>
          <w:p w14:paraId="6C520E7B" w14:textId="3B708F82" w:rsidR="007C1946" w:rsidRDefault="007C1946" w:rsidP="007C1946">
            <w:pPr>
              <w:pStyle w:val="BodyText"/>
              <w:spacing w:after="240" w:line="240" w:lineRule="auto"/>
              <w:jc w:val="left"/>
            </w:pPr>
            <w:r>
              <w:t>SESJ PTY LTD</w:t>
            </w:r>
          </w:p>
        </w:tc>
      </w:tr>
      <w:tr w:rsidR="007C1946" w14:paraId="2CE06C42" w14:textId="77777777" w:rsidTr="005F3639">
        <w:trPr>
          <w:trHeight w:val="386"/>
        </w:trPr>
        <w:tc>
          <w:tcPr>
            <w:tcW w:w="3368" w:type="dxa"/>
          </w:tcPr>
          <w:p w14:paraId="269ADDD6" w14:textId="65B4D5C0" w:rsidR="007C1946" w:rsidRDefault="007C1946" w:rsidP="007C1946">
            <w:pPr>
              <w:pStyle w:val="BodyText"/>
              <w:spacing w:after="240" w:line="240" w:lineRule="auto"/>
              <w:jc w:val="left"/>
            </w:pPr>
            <w:r>
              <w:t>Two Hundred</w:t>
            </w:r>
            <w:r w:rsidR="00ED2D66">
              <w:t xml:space="preserve"> and</w:t>
            </w:r>
            <w:r>
              <w:t xml:space="preserve"> Seventy Ninth </w:t>
            </w:r>
            <w:r w:rsidR="00BF79D4">
              <w:t>Respondent:</w:t>
            </w:r>
          </w:p>
        </w:tc>
        <w:tc>
          <w:tcPr>
            <w:tcW w:w="5874" w:type="dxa"/>
            <w:tcMar>
              <w:left w:w="28" w:type="dxa"/>
            </w:tcMar>
          </w:tcPr>
          <w:p w14:paraId="1E3D3329" w14:textId="5298B6A8" w:rsidR="007C1946" w:rsidRDefault="007C1946" w:rsidP="007C1946">
            <w:pPr>
              <w:pStyle w:val="BodyText"/>
              <w:spacing w:after="240" w:line="240" w:lineRule="auto"/>
              <w:jc w:val="left"/>
            </w:pPr>
            <w:r>
              <w:t>SHARLUMAH PTY LTD</w:t>
            </w:r>
          </w:p>
        </w:tc>
      </w:tr>
      <w:tr w:rsidR="007C1946" w14:paraId="1ACE8B70" w14:textId="77777777" w:rsidTr="005F3639">
        <w:trPr>
          <w:trHeight w:val="386"/>
        </w:trPr>
        <w:tc>
          <w:tcPr>
            <w:tcW w:w="3368" w:type="dxa"/>
          </w:tcPr>
          <w:p w14:paraId="4564F7DD" w14:textId="454E4207" w:rsidR="007C1946" w:rsidRDefault="007C1946" w:rsidP="007C1946">
            <w:pPr>
              <w:pStyle w:val="BodyText"/>
              <w:spacing w:after="240" w:line="240" w:lineRule="auto"/>
              <w:jc w:val="left"/>
            </w:pPr>
            <w:r>
              <w:t xml:space="preserve">Two Hundred </w:t>
            </w:r>
            <w:r w:rsidR="00BF79D4">
              <w:t xml:space="preserve">and </w:t>
            </w:r>
            <w:r>
              <w:t xml:space="preserve">Eightieth </w:t>
            </w:r>
            <w:r w:rsidR="00BF79D4" w:rsidRPr="00BF79D4">
              <w:t>Respondent:</w:t>
            </w:r>
          </w:p>
        </w:tc>
        <w:tc>
          <w:tcPr>
            <w:tcW w:w="5874" w:type="dxa"/>
            <w:tcMar>
              <w:left w:w="28" w:type="dxa"/>
            </w:tcMar>
          </w:tcPr>
          <w:p w14:paraId="4D85A317" w14:textId="1764F91B" w:rsidR="007C1946" w:rsidRDefault="007C1946" w:rsidP="007C1946">
            <w:pPr>
              <w:pStyle w:val="BodyText"/>
              <w:spacing w:after="240" w:line="240" w:lineRule="auto"/>
              <w:jc w:val="left"/>
            </w:pPr>
            <w:r>
              <w:t>SHERLEE PTY LTD</w:t>
            </w:r>
          </w:p>
        </w:tc>
      </w:tr>
      <w:tr w:rsidR="007C1946" w14:paraId="5D5BC336" w14:textId="77777777" w:rsidTr="005F3639">
        <w:trPr>
          <w:trHeight w:val="386"/>
        </w:trPr>
        <w:tc>
          <w:tcPr>
            <w:tcW w:w="3368" w:type="dxa"/>
          </w:tcPr>
          <w:p w14:paraId="528A1E26" w14:textId="2ADC4186" w:rsidR="007C1946" w:rsidRDefault="007C1946" w:rsidP="007C1946">
            <w:pPr>
              <w:pStyle w:val="BodyText"/>
              <w:spacing w:after="240" w:line="240" w:lineRule="auto"/>
              <w:jc w:val="left"/>
            </w:pPr>
            <w:r>
              <w:t xml:space="preserve">Two Hundred </w:t>
            </w:r>
            <w:r w:rsidR="00163521">
              <w:t xml:space="preserve">and </w:t>
            </w:r>
            <w:r>
              <w:t xml:space="preserve">Eighty First </w:t>
            </w:r>
            <w:r w:rsidR="00163521">
              <w:t>Respondent:</w:t>
            </w:r>
          </w:p>
        </w:tc>
        <w:tc>
          <w:tcPr>
            <w:tcW w:w="5874" w:type="dxa"/>
            <w:tcMar>
              <w:left w:w="28" w:type="dxa"/>
            </w:tcMar>
          </w:tcPr>
          <w:p w14:paraId="17B38757" w14:textId="16664379" w:rsidR="007C1946" w:rsidRDefault="007C1946" w:rsidP="007C1946">
            <w:pPr>
              <w:pStyle w:val="BodyText"/>
              <w:spacing w:after="240" w:line="240" w:lineRule="auto"/>
              <w:jc w:val="left"/>
            </w:pPr>
            <w:r>
              <w:t>SHILLINGTON GROUP PTY LTD</w:t>
            </w:r>
          </w:p>
        </w:tc>
      </w:tr>
      <w:tr w:rsidR="007C1946" w14:paraId="0A47FDE9" w14:textId="77777777" w:rsidTr="005F3639">
        <w:trPr>
          <w:trHeight w:val="386"/>
        </w:trPr>
        <w:tc>
          <w:tcPr>
            <w:tcW w:w="3368" w:type="dxa"/>
          </w:tcPr>
          <w:p w14:paraId="23929FAE" w14:textId="39BB4553" w:rsidR="007C1946" w:rsidRDefault="007C1946" w:rsidP="007C1946">
            <w:pPr>
              <w:pStyle w:val="BodyText"/>
              <w:spacing w:after="240" w:line="240" w:lineRule="auto"/>
              <w:jc w:val="left"/>
            </w:pPr>
            <w:r>
              <w:t xml:space="preserve">Two Hundred </w:t>
            </w:r>
            <w:r w:rsidR="00163521">
              <w:t xml:space="preserve">and </w:t>
            </w:r>
            <w:r>
              <w:t xml:space="preserve">Eighty Second </w:t>
            </w:r>
            <w:r w:rsidR="00163521" w:rsidRPr="00163521">
              <w:t>Respondent:</w:t>
            </w:r>
          </w:p>
        </w:tc>
        <w:tc>
          <w:tcPr>
            <w:tcW w:w="5874" w:type="dxa"/>
            <w:tcMar>
              <w:left w:w="28" w:type="dxa"/>
            </w:tcMar>
          </w:tcPr>
          <w:p w14:paraId="4B0497FF" w14:textId="0AD542C5" w:rsidR="007C1946" w:rsidRDefault="007C1946" w:rsidP="007C1946">
            <w:pPr>
              <w:pStyle w:val="BodyText"/>
              <w:spacing w:after="240" w:line="240" w:lineRule="auto"/>
              <w:jc w:val="left"/>
            </w:pPr>
            <w:r>
              <w:t>SINCRO (WA) HOLDINGS PTY LTD</w:t>
            </w:r>
          </w:p>
        </w:tc>
      </w:tr>
      <w:tr w:rsidR="007C1946" w14:paraId="4B914F7F" w14:textId="77777777" w:rsidTr="005F3639">
        <w:trPr>
          <w:trHeight w:val="386"/>
        </w:trPr>
        <w:tc>
          <w:tcPr>
            <w:tcW w:w="3368" w:type="dxa"/>
          </w:tcPr>
          <w:p w14:paraId="4C0ED7EF" w14:textId="6F5BFEBE" w:rsidR="007C1946" w:rsidRDefault="007C1946" w:rsidP="007C1946">
            <w:pPr>
              <w:pStyle w:val="BodyText"/>
              <w:spacing w:after="240" w:line="240" w:lineRule="auto"/>
              <w:jc w:val="left"/>
            </w:pPr>
            <w:r>
              <w:t xml:space="preserve">Two Hundred </w:t>
            </w:r>
            <w:r w:rsidR="00F51858">
              <w:t xml:space="preserve">and </w:t>
            </w:r>
            <w:r>
              <w:t xml:space="preserve">Eighty Third </w:t>
            </w:r>
            <w:r w:rsidR="00F51858" w:rsidRPr="00F51858">
              <w:t>Respondent:</w:t>
            </w:r>
          </w:p>
        </w:tc>
        <w:tc>
          <w:tcPr>
            <w:tcW w:w="5874" w:type="dxa"/>
            <w:tcMar>
              <w:left w:w="28" w:type="dxa"/>
            </w:tcMar>
          </w:tcPr>
          <w:p w14:paraId="707ECD27" w14:textId="4006FBF0" w:rsidR="007C1946" w:rsidRDefault="007C1946" w:rsidP="007C1946">
            <w:pPr>
              <w:pStyle w:val="BodyText"/>
              <w:spacing w:after="240" w:line="240" w:lineRule="auto"/>
              <w:jc w:val="left"/>
            </w:pPr>
            <w:r>
              <w:t>SMSM PTY LTD</w:t>
            </w:r>
          </w:p>
        </w:tc>
      </w:tr>
      <w:tr w:rsidR="007C1946" w14:paraId="6D1CA860" w14:textId="77777777" w:rsidTr="005F3639">
        <w:trPr>
          <w:trHeight w:val="386"/>
        </w:trPr>
        <w:tc>
          <w:tcPr>
            <w:tcW w:w="3368" w:type="dxa"/>
          </w:tcPr>
          <w:p w14:paraId="737D3407" w14:textId="437FC439" w:rsidR="007C1946" w:rsidRDefault="007C1946" w:rsidP="007C1946">
            <w:pPr>
              <w:pStyle w:val="BodyText"/>
              <w:spacing w:after="240" w:line="240" w:lineRule="auto"/>
              <w:jc w:val="left"/>
            </w:pPr>
            <w:r>
              <w:t>Two Hundred</w:t>
            </w:r>
            <w:r w:rsidR="00F51858">
              <w:t xml:space="preserve"> and</w:t>
            </w:r>
            <w:r>
              <w:t xml:space="preserve"> Eighty Fourth </w:t>
            </w:r>
            <w:r w:rsidR="00F51858" w:rsidRPr="00F51858">
              <w:t>Respondent:</w:t>
            </w:r>
          </w:p>
        </w:tc>
        <w:tc>
          <w:tcPr>
            <w:tcW w:w="5874" w:type="dxa"/>
            <w:tcMar>
              <w:left w:w="28" w:type="dxa"/>
            </w:tcMar>
          </w:tcPr>
          <w:p w14:paraId="2541EC8D" w14:textId="2B8E0605" w:rsidR="007C1946" w:rsidRDefault="007C1946" w:rsidP="007C1946">
            <w:pPr>
              <w:pStyle w:val="BodyText"/>
              <w:spacing w:after="240" w:line="240" w:lineRule="auto"/>
              <w:jc w:val="left"/>
            </w:pPr>
            <w:r>
              <w:t>SNR ENTERPRISES PTY LTD</w:t>
            </w:r>
          </w:p>
        </w:tc>
      </w:tr>
      <w:tr w:rsidR="007C1946" w14:paraId="64A89258" w14:textId="77777777" w:rsidTr="005F3639">
        <w:trPr>
          <w:trHeight w:val="386"/>
        </w:trPr>
        <w:tc>
          <w:tcPr>
            <w:tcW w:w="3368" w:type="dxa"/>
          </w:tcPr>
          <w:p w14:paraId="7AD4FF73" w14:textId="01A73697" w:rsidR="007C1946" w:rsidRDefault="007C1946" w:rsidP="007C1946">
            <w:pPr>
              <w:pStyle w:val="BodyText"/>
              <w:spacing w:after="240" w:line="240" w:lineRule="auto"/>
              <w:jc w:val="left"/>
            </w:pPr>
            <w:r>
              <w:t>Two Hundred</w:t>
            </w:r>
            <w:r w:rsidR="00D67ED1">
              <w:t xml:space="preserve"> and</w:t>
            </w:r>
            <w:r>
              <w:t xml:space="preserve"> Eighty Sixth </w:t>
            </w:r>
            <w:r w:rsidR="00D67ED1">
              <w:t>Respondent:</w:t>
            </w:r>
          </w:p>
        </w:tc>
        <w:tc>
          <w:tcPr>
            <w:tcW w:w="5874" w:type="dxa"/>
            <w:tcMar>
              <w:left w:w="28" w:type="dxa"/>
            </w:tcMar>
          </w:tcPr>
          <w:p w14:paraId="5858E07A" w14:textId="3B3B5C73" w:rsidR="007C1946" w:rsidRDefault="007C1946" w:rsidP="007C1946">
            <w:pPr>
              <w:pStyle w:val="BodyText"/>
              <w:spacing w:after="240" w:line="240" w:lineRule="auto"/>
              <w:jc w:val="left"/>
            </w:pPr>
            <w:r>
              <w:t>STEEKIM PTY LTD</w:t>
            </w:r>
          </w:p>
        </w:tc>
      </w:tr>
      <w:tr w:rsidR="007C1946" w14:paraId="04EDD30E" w14:textId="77777777" w:rsidTr="005F3639">
        <w:trPr>
          <w:trHeight w:val="386"/>
        </w:trPr>
        <w:tc>
          <w:tcPr>
            <w:tcW w:w="3368" w:type="dxa"/>
          </w:tcPr>
          <w:p w14:paraId="441904D4" w14:textId="30EA068B" w:rsidR="007C1946" w:rsidRDefault="007C1946" w:rsidP="007C1946">
            <w:pPr>
              <w:pStyle w:val="BodyText"/>
              <w:spacing w:after="240" w:line="240" w:lineRule="auto"/>
              <w:jc w:val="left"/>
            </w:pPr>
            <w:r>
              <w:t>Two Hundred</w:t>
            </w:r>
            <w:r w:rsidR="00D67ED1">
              <w:t xml:space="preserve"> and</w:t>
            </w:r>
            <w:r>
              <w:t xml:space="preserve"> Eighty Seventh </w:t>
            </w:r>
            <w:r w:rsidR="00D67ED1">
              <w:t>Respondent:</w:t>
            </w:r>
          </w:p>
        </w:tc>
        <w:tc>
          <w:tcPr>
            <w:tcW w:w="5874" w:type="dxa"/>
            <w:tcMar>
              <w:left w:w="28" w:type="dxa"/>
            </w:tcMar>
          </w:tcPr>
          <w:p w14:paraId="0EDB0F7C" w14:textId="014698C2" w:rsidR="007C1946" w:rsidRDefault="007C1946" w:rsidP="007C1946">
            <w:pPr>
              <w:pStyle w:val="BodyText"/>
              <w:spacing w:after="240" w:line="240" w:lineRule="auto"/>
              <w:jc w:val="left"/>
            </w:pPr>
            <w:r>
              <w:t>STOCKFAM PTY LTD</w:t>
            </w:r>
          </w:p>
        </w:tc>
      </w:tr>
      <w:tr w:rsidR="007C1946" w14:paraId="07C18183" w14:textId="77777777" w:rsidTr="005F3639">
        <w:trPr>
          <w:trHeight w:val="386"/>
        </w:trPr>
        <w:tc>
          <w:tcPr>
            <w:tcW w:w="3368" w:type="dxa"/>
          </w:tcPr>
          <w:p w14:paraId="4BAB142F" w14:textId="079EFF1B" w:rsidR="007C1946" w:rsidRDefault="007C1946" w:rsidP="007C1946">
            <w:pPr>
              <w:pStyle w:val="BodyText"/>
              <w:spacing w:after="240" w:line="240" w:lineRule="auto"/>
              <w:jc w:val="left"/>
            </w:pPr>
            <w:r>
              <w:t>Two Hundred</w:t>
            </w:r>
            <w:r w:rsidR="0090571F">
              <w:t xml:space="preserve"> and</w:t>
            </w:r>
            <w:r>
              <w:t xml:space="preserve"> Eighty Eighth </w:t>
            </w:r>
            <w:r w:rsidR="0090571F">
              <w:t>Respondent:</w:t>
            </w:r>
          </w:p>
        </w:tc>
        <w:tc>
          <w:tcPr>
            <w:tcW w:w="5874" w:type="dxa"/>
            <w:tcMar>
              <w:left w:w="28" w:type="dxa"/>
            </w:tcMar>
          </w:tcPr>
          <w:p w14:paraId="7D3224FA" w14:textId="72F99A78" w:rsidR="007C1946" w:rsidRDefault="007C1946" w:rsidP="007C1946">
            <w:pPr>
              <w:pStyle w:val="BodyText"/>
              <w:spacing w:after="240" w:line="240" w:lineRule="auto"/>
              <w:jc w:val="left"/>
            </w:pPr>
            <w:r>
              <w:t>STRENSON PTY LTD</w:t>
            </w:r>
          </w:p>
        </w:tc>
      </w:tr>
      <w:tr w:rsidR="007C1946" w14:paraId="64863FA0" w14:textId="77777777" w:rsidTr="005F3639">
        <w:trPr>
          <w:trHeight w:val="386"/>
        </w:trPr>
        <w:tc>
          <w:tcPr>
            <w:tcW w:w="3368" w:type="dxa"/>
          </w:tcPr>
          <w:p w14:paraId="46FDC063" w14:textId="5EB4B782" w:rsidR="007C1946" w:rsidRDefault="007C1946" w:rsidP="007C1946">
            <w:pPr>
              <w:pStyle w:val="BodyText"/>
              <w:spacing w:after="240" w:line="240" w:lineRule="auto"/>
              <w:jc w:val="left"/>
            </w:pPr>
            <w:r>
              <w:t xml:space="preserve">Two Hundred </w:t>
            </w:r>
            <w:r w:rsidR="0090571F">
              <w:t xml:space="preserve">and </w:t>
            </w:r>
            <w:r>
              <w:t xml:space="preserve">Eighty Ninth </w:t>
            </w:r>
            <w:r w:rsidR="0090571F">
              <w:t>Respondent:</w:t>
            </w:r>
          </w:p>
        </w:tc>
        <w:tc>
          <w:tcPr>
            <w:tcW w:w="5874" w:type="dxa"/>
            <w:tcMar>
              <w:left w:w="28" w:type="dxa"/>
            </w:tcMar>
          </w:tcPr>
          <w:p w14:paraId="0FCA720E" w14:textId="7E35C0B4" w:rsidR="007C1946" w:rsidRDefault="007C1946" w:rsidP="007C1946">
            <w:pPr>
              <w:pStyle w:val="BodyText"/>
              <w:spacing w:after="240" w:line="240" w:lineRule="auto"/>
              <w:jc w:val="left"/>
            </w:pPr>
            <w:r>
              <w:t>SWANSTAR NOMINEES PTY LTD</w:t>
            </w:r>
          </w:p>
        </w:tc>
      </w:tr>
      <w:tr w:rsidR="007C1946" w14:paraId="47C76CE1" w14:textId="77777777" w:rsidTr="005F3639">
        <w:trPr>
          <w:trHeight w:val="386"/>
        </w:trPr>
        <w:tc>
          <w:tcPr>
            <w:tcW w:w="3368" w:type="dxa"/>
          </w:tcPr>
          <w:p w14:paraId="5BE6B7F1" w14:textId="0E0831AA" w:rsidR="007C1946" w:rsidRDefault="007C1946" w:rsidP="007C1946">
            <w:pPr>
              <w:pStyle w:val="BodyText"/>
              <w:spacing w:after="240" w:line="240" w:lineRule="auto"/>
              <w:jc w:val="left"/>
            </w:pPr>
            <w:r>
              <w:t xml:space="preserve">Two Hundred </w:t>
            </w:r>
            <w:r w:rsidR="0090571F">
              <w:t xml:space="preserve">and </w:t>
            </w:r>
            <w:r>
              <w:t xml:space="preserve">Ninetieth </w:t>
            </w:r>
            <w:r w:rsidR="0090571F">
              <w:t>Respondent:</w:t>
            </w:r>
          </w:p>
        </w:tc>
        <w:tc>
          <w:tcPr>
            <w:tcW w:w="5874" w:type="dxa"/>
            <w:tcMar>
              <w:left w:w="28" w:type="dxa"/>
            </w:tcMar>
          </w:tcPr>
          <w:p w14:paraId="3D2B78D6" w14:textId="0D7388FF" w:rsidR="007C1946" w:rsidRDefault="007C1946" w:rsidP="007C1946">
            <w:pPr>
              <w:pStyle w:val="BodyText"/>
              <w:spacing w:after="240" w:line="240" w:lineRule="auto"/>
              <w:jc w:val="left"/>
            </w:pPr>
            <w:r>
              <w:t>T &amp; K BRYANT PTY LTD</w:t>
            </w:r>
          </w:p>
        </w:tc>
      </w:tr>
      <w:tr w:rsidR="007C1946" w14:paraId="1EDB47EE" w14:textId="77777777" w:rsidTr="005F3639">
        <w:trPr>
          <w:trHeight w:val="386"/>
        </w:trPr>
        <w:tc>
          <w:tcPr>
            <w:tcW w:w="3368" w:type="dxa"/>
          </w:tcPr>
          <w:p w14:paraId="68EF014B" w14:textId="6898247A" w:rsidR="007C1946" w:rsidRDefault="007C1946" w:rsidP="007C1946">
            <w:pPr>
              <w:pStyle w:val="BodyText"/>
              <w:spacing w:after="240" w:line="240" w:lineRule="auto"/>
              <w:jc w:val="left"/>
            </w:pPr>
            <w:r>
              <w:t xml:space="preserve">Two Hundred </w:t>
            </w:r>
            <w:r w:rsidR="0090571F">
              <w:t xml:space="preserve">and </w:t>
            </w:r>
            <w:r>
              <w:t xml:space="preserve">Ninety First </w:t>
            </w:r>
            <w:r w:rsidR="0090571F">
              <w:t>Respondent:</w:t>
            </w:r>
          </w:p>
        </w:tc>
        <w:tc>
          <w:tcPr>
            <w:tcW w:w="5874" w:type="dxa"/>
            <w:tcMar>
              <w:left w:w="28" w:type="dxa"/>
            </w:tcMar>
          </w:tcPr>
          <w:p w14:paraId="341182FF" w14:textId="43AA0861" w:rsidR="007C1946" w:rsidRDefault="007C1946" w:rsidP="007C1946">
            <w:pPr>
              <w:pStyle w:val="BodyText"/>
              <w:spacing w:after="240" w:line="240" w:lineRule="auto"/>
              <w:jc w:val="left"/>
            </w:pPr>
            <w:r>
              <w:t>TAMRATH PTY LTD</w:t>
            </w:r>
          </w:p>
        </w:tc>
      </w:tr>
      <w:tr w:rsidR="007C1946" w14:paraId="4B1A61EB" w14:textId="77777777" w:rsidTr="005F3639">
        <w:trPr>
          <w:trHeight w:val="386"/>
        </w:trPr>
        <w:tc>
          <w:tcPr>
            <w:tcW w:w="3368" w:type="dxa"/>
          </w:tcPr>
          <w:p w14:paraId="74689D34" w14:textId="1433419E" w:rsidR="007C1946" w:rsidRDefault="007C1946" w:rsidP="007C1946">
            <w:pPr>
              <w:pStyle w:val="BodyText"/>
              <w:spacing w:after="240" w:line="240" w:lineRule="auto"/>
              <w:jc w:val="left"/>
            </w:pPr>
            <w:r>
              <w:t>Two Hundred</w:t>
            </w:r>
            <w:r w:rsidR="0090571F">
              <w:t xml:space="preserve"> and</w:t>
            </w:r>
            <w:r>
              <w:t xml:space="preserve"> Ninety Third </w:t>
            </w:r>
            <w:r w:rsidR="0090571F">
              <w:t>Respondent:</w:t>
            </w:r>
          </w:p>
        </w:tc>
        <w:tc>
          <w:tcPr>
            <w:tcW w:w="5874" w:type="dxa"/>
            <w:tcMar>
              <w:left w:w="28" w:type="dxa"/>
            </w:tcMar>
          </w:tcPr>
          <w:p w14:paraId="6C63C8C7" w14:textId="6F9AB152" w:rsidR="007C1946" w:rsidRDefault="007C1946" w:rsidP="007C1946">
            <w:pPr>
              <w:pStyle w:val="BodyText"/>
              <w:spacing w:after="240" w:line="240" w:lineRule="auto"/>
              <w:jc w:val="left"/>
            </w:pPr>
            <w:r>
              <w:t>TANDER PTY LTD</w:t>
            </w:r>
          </w:p>
        </w:tc>
      </w:tr>
      <w:tr w:rsidR="007C1946" w14:paraId="17B4EC68" w14:textId="77777777" w:rsidTr="005F3639">
        <w:trPr>
          <w:trHeight w:val="386"/>
        </w:trPr>
        <w:tc>
          <w:tcPr>
            <w:tcW w:w="3368" w:type="dxa"/>
          </w:tcPr>
          <w:p w14:paraId="1BC49E82" w14:textId="65102C00" w:rsidR="007C1946" w:rsidRDefault="007C1946" w:rsidP="007C1946">
            <w:pPr>
              <w:pStyle w:val="BodyText"/>
              <w:spacing w:after="240" w:line="240" w:lineRule="auto"/>
              <w:jc w:val="left"/>
            </w:pPr>
            <w:r>
              <w:t xml:space="preserve">Two Hundred </w:t>
            </w:r>
            <w:r w:rsidR="0090571F">
              <w:t xml:space="preserve">and </w:t>
            </w:r>
            <w:r>
              <w:t xml:space="preserve">Ninety Fourth </w:t>
            </w:r>
            <w:r w:rsidR="0090571F">
              <w:t>Respondent:</w:t>
            </w:r>
          </w:p>
        </w:tc>
        <w:tc>
          <w:tcPr>
            <w:tcW w:w="5874" w:type="dxa"/>
            <w:tcMar>
              <w:left w:w="28" w:type="dxa"/>
            </w:tcMar>
          </w:tcPr>
          <w:p w14:paraId="6101A8C8" w14:textId="6BA1B974" w:rsidR="007C1946" w:rsidRDefault="007C1946" w:rsidP="007C1946">
            <w:pPr>
              <w:pStyle w:val="BodyText"/>
              <w:spacing w:after="240" w:line="240" w:lineRule="auto"/>
              <w:jc w:val="left"/>
            </w:pPr>
            <w:r>
              <w:t>TARL PTY LTD</w:t>
            </w:r>
          </w:p>
        </w:tc>
      </w:tr>
      <w:tr w:rsidR="007C1946" w14:paraId="48A20BB9" w14:textId="77777777" w:rsidTr="005F3639">
        <w:trPr>
          <w:trHeight w:val="386"/>
        </w:trPr>
        <w:tc>
          <w:tcPr>
            <w:tcW w:w="3368" w:type="dxa"/>
          </w:tcPr>
          <w:p w14:paraId="790CD716" w14:textId="5B7164A4" w:rsidR="007C1946" w:rsidRDefault="007C1946" w:rsidP="007C1946">
            <w:pPr>
              <w:pStyle w:val="BodyText"/>
              <w:spacing w:after="240" w:line="240" w:lineRule="auto"/>
              <w:jc w:val="left"/>
            </w:pPr>
            <w:r>
              <w:t xml:space="preserve">Two Hundred </w:t>
            </w:r>
            <w:r w:rsidR="0090571F">
              <w:t xml:space="preserve">and </w:t>
            </w:r>
            <w:r>
              <w:t xml:space="preserve">Ninety Fifth </w:t>
            </w:r>
            <w:r w:rsidR="0090571F">
              <w:t>Respondent:</w:t>
            </w:r>
          </w:p>
        </w:tc>
        <w:tc>
          <w:tcPr>
            <w:tcW w:w="5874" w:type="dxa"/>
            <w:tcMar>
              <w:left w:w="28" w:type="dxa"/>
            </w:tcMar>
          </w:tcPr>
          <w:p w14:paraId="7CA45D73" w14:textId="5DC0DEFA" w:rsidR="007C1946" w:rsidRDefault="007C1946" w:rsidP="007C1946">
            <w:pPr>
              <w:pStyle w:val="BodyText"/>
              <w:spacing w:after="240" w:line="240" w:lineRule="auto"/>
              <w:jc w:val="left"/>
            </w:pPr>
            <w:r>
              <w:t>TAROWOOD PTY LTD</w:t>
            </w:r>
          </w:p>
        </w:tc>
      </w:tr>
      <w:tr w:rsidR="007C1946" w14:paraId="5DDB963A" w14:textId="77777777" w:rsidTr="005F3639">
        <w:trPr>
          <w:trHeight w:val="386"/>
        </w:trPr>
        <w:tc>
          <w:tcPr>
            <w:tcW w:w="3368" w:type="dxa"/>
          </w:tcPr>
          <w:p w14:paraId="2F314253" w14:textId="11EED413" w:rsidR="007C1946" w:rsidRDefault="007C1946" w:rsidP="007C1946">
            <w:pPr>
              <w:pStyle w:val="BodyText"/>
              <w:spacing w:after="240" w:line="240" w:lineRule="auto"/>
              <w:jc w:val="left"/>
            </w:pPr>
            <w:r>
              <w:t>Two Hundred</w:t>
            </w:r>
            <w:r w:rsidR="00F06C30">
              <w:t xml:space="preserve"> and</w:t>
            </w:r>
            <w:r>
              <w:t xml:space="preserve"> Ninety Sixth </w:t>
            </w:r>
            <w:r w:rsidR="00F06C30">
              <w:t>Respondent:</w:t>
            </w:r>
          </w:p>
        </w:tc>
        <w:tc>
          <w:tcPr>
            <w:tcW w:w="5874" w:type="dxa"/>
            <w:tcMar>
              <w:left w:w="28" w:type="dxa"/>
            </w:tcMar>
          </w:tcPr>
          <w:p w14:paraId="0FCA4591" w14:textId="61DB93D1" w:rsidR="007C1946" w:rsidRDefault="007C1946" w:rsidP="007C1946">
            <w:pPr>
              <w:pStyle w:val="BodyText"/>
              <w:spacing w:after="240" w:line="240" w:lineRule="auto"/>
              <w:jc w:val="left"/>
            </w:pPr>
            <w:r>
              <w:t>TONDOL PTY LTD</w:t>
            </w:r>
          </w:p>
        </w:tc>
      </w:tr>
      <w:tr w:rsidR="007C1946" w14:paraId="6A8AB0EB" w14:textId="77777777" w:rsidTr="005F3639">
        <w:trPr>
          <w:trHeight w:val="386"/>
        </w:trPr>
        <w:tc>
          <w:tcPr>
            <w:tcW w:w="3368" w:type="dxa"/>
          </w:tcPr>
          <w:p w14:paraId="617BCF4B" w14:textId="394CF9F6" w:rsidR="007C1946" w:rsidRDefault="007C1946" w:rsidP="007C1946">
            <w:pPr>
              <w:pStyle w:val="BodyText"/>
              <w:spacing w:after="240" w:line="240" w:lineRule="auto"/>
              <w:jc w:val="left"/>
            </w:pPr>
            <w:r>
              <w:t xml:space="preserve">Two Hundred </w:t>
            </w:r>
            <w:r w:rsidR="00F06C30">
              <w:t xml:space="preserve">and </w:t>
            </w:r>
            <w:r>
              <w:t xml:space="preserve">Ninety Seventh </w:t>
            </w:r>
            <w:r w:rsidR="00F06C30">
              <w:t>Respondent:</w:t>
            </w:r>
          </w:p>
        </w:tc>
        <w:tc>
          <w:tcPr>
            <w:tcW w:w="5874" w:type="dxa"/>
            <w:tcMar>
              <w:left w:w="28" w:type="dxa"/>
            </w:tcMar>
          </w:tcPr>
          <w:p w14:paraId="65CC52A0" w14:textId="7D299524" w:rsidR="007C1946" w:rsidRDefault="007C1946" w:rsidP="007C1946">
            <w:pPr>
              <w:pStyle w:val="BodyText"/>
              <w:spacing w:after="240" w:line="240" w:lineRule="auto"/>
              <w:jc w:val="left"/>
            </w:pPr>
            <w:r>
              <w:t>TORCOOMES PTY LTD</w:t>
            </w:r>
          </w:p>
        </w:tc>
      </w:tr>
      <w:tr w:rsidR="007C1946" w14:paraId="1A58917E" w14:textId="77777777" w:rsidTr="005F3639">
        <w:trPr>
          <w:trHeight w:val="386"/>
        </w:trPr>
        <w:tc>
          <w:tcPr>
            <w:tcW w:w="3368" w:type="dxa"/>
          </w:tcPr>
          <w:p w14:paraId="6DA695DF" w14:textId="5F09ED0C" w:rsidR="007C1946" w:rsidRDefault="007C1946" w:rsidP="007C1946">
            <w:pPr>
              <w:pStyle w:val="BodyText"/>
              <w:spacing w:after="240" w:line="240" w:lineRule="auto"/>
              <w:jc w:val="left"/>
            </w:pPr>
            <w:r>
              <w:t xml:space="preserve">Two Hundred </w:t>
            </w:r>
            <w:r w:rsidR="00F06C30">
              <w:t xml:space="preserve">and </w:t>
            </w:r>
            <w:r>
              <w:t xml:space="preserve">Ninety Eighth </w:t>
            </w:r>
            <w:r w:rsidR="00F06C30">
              <w:t>Respondent:</w:t>
            </w:r>
          </w:p>
        </w:tc>
        <w:tc>
          <w:tcPr>
            <w:tcW w:w="5874" w:type="dxa"/>
            <w:tcMar>
              <w:left w:w="28" w:type="dxa"/>
            </w:tcMar>
          </w:tcPr>
          <w:p w14:paraId="2AD07656" w14:textId="6A5ADF5B" w:rsidR="007C1946" w:rsidRDefault="007C1946" w:rsidP="007C1946">
            <w:pPr>
              <w:pStyle w:val="BodyText"/>
              <w:spacing w:after="240" w:line="240" w:lineRule="auto"/>
              <w:jc w:val="left"/>
            </w:pPr>
            <w:r>
              <w:t>TROIS AMIGOS PTY LTD</w:t>
            </w:r>
          </w:p>
        </w:tc>
      </w:tr>
      <w:tr w:rsidR="007C1946" w14:paraId="3AB9EAF9" w14:textId="77777777" w:rsidTr="005F3639">
        <w:trPr>
          <w:trHeight w:val="386"/>
        </w:trPr>
        <w:tc>
          <w:tcPr>
            <w:tcW w:w="3368" w:type="dxa"/>
          </w:tcPr>
          <w:p w14:paraId="5D6B7F6C" w14:textId="1EC9A067" w:rsidR="007C1946" w:rsidRDefault="007C1946" w:rsidP="007C1946">
            <w:pPr>
              <w:pStyle w:val="BodyText"/>
              <w:spacing w:after="240" w:line="240" w:lineRule="auto"/>
              <w:jc w:val="left"/>
            </w:pPr>
            <w:r>
              <w:t>Two Hundred</w:t>
            </w:r>
            <w:r w:rsidR="00F06C30">
              <w:t xml:space="preserve"> and</w:t>
            </w:r>
            <w:r>
              <w:t xml:space="preserve"> Ninety Ninth </w:t>
            </w:r>
            <w:r w:rsidR="00F06C30">
              <w:t>Respondent:</w:t>
            </w:r>
          </w:p>
        </w:tc>
        <w:tc>
          <w:tcPr>
            <w:tcW w:w="5874" w:type="dxa"/>
            <w:tcMar>
              <w:left w:w="28" w:type="dxa"/>
            </w:tcMar>
          </w:tcPr>
          <w:p w14:paraId="00042988" w14:textId="603756F0" w:rsidR="007C1946" w:rsidRDefault="007C1946" w:rsidP="007C1946">
            <w:pPr>
              <w:pStyle w:val="BodyText"/>
              <w:spacing w:after="240" w:line="240" w:lineRule="auto"/>
              <w:jc w:val="left"/>
            </w:pPr>
            <w:r>
              <w:t>TROPHI RESTAURANTS PTY LTD</w:t>
            </w:r>
          </w:p>
        </w:tc>
      </w:tr>
      <w:tr w:rsidR="007C1946" w14:paraId="2B0558F1" w14:textId="77777777" w:rsidTr="005F3639">
        <w:trPr>
          <w:trHeight w:val="386"/>
        </w:trPr>
        <w:tc>
          <w:tcPr>
            <w:tcW w:w="3368" w:type="dxa"/>
          </w:tcPr>
          <w:p w14:paraId="234E365D" w14:textId="0B466152" w:rsidR="007C1946" w:rsidRDefault="007C1946" w:rsidP="007C1946">
            <w:pPr>
              <w:pStyle w:val="BodyText"/>
              <w:spacing w:after="240" w:line="240" w:lineRule="auto"/>
              <w:jc w:val="left"/>
            </w:pPr>
            <w:r>
              <w:t xml:space="preserve">Three Hundredth </w:t>
            </w:r>
            <w:r w:rsidR="00F06C30">
              <w:t>Respondent:</w:t>
            </w:r>
          </w:p>
        </w:tc>
        <w:tc>
          <w:tcPr>
            <w:tcW w:w="5874" w:type="dxa"/>
            <w:tcMar>
              <w:left w:w="28" w:type="dxa"/>
            </w:tcMar>
          </w:tcPr>
          <w:p w14:paraId="0A8853D9" w14:textId="1DF98C32" w:rsidR="007C1946" w:rsidRDefault="007C1946" w:rsidP="007C1946">
            <w:pPr>
              <w:pStyle w:val="BodyText"/>
              <w:spacing w:after="240" w:line="240" w:lineRule="auto"/>
              <w:jc w:val="left"/>
            </w:pPr>
            <w:r>
              <w:t>TWOCOOL PTY LTD</w:t>
            </w:r>
          </w:p>
        </w:tc>
      </w:tr>
      <w:tr w:rsidR="007C1946" w14:paraId="6C15F56C" w14:textId="77777777" w:rsidTr="005F3639">
        <w:trPr>
          <w:trHeight w:val="386"/>
        </w:trPr>
        <w:tc>
          <w:tcPr>
            <w:tcW w:w="3368" w:type="dxa"/>
          </w:tcPr>
          <w:p w14:paraId="7010FE17" w14:textId="5A86D32A" w:rsidR="007C1946" w:rsidRDefault="007C1946" w:rsidP="007C1946">
            <w:pPr>
              <w:pStyle w:val="BodyText"/>
              <w:spacing w:after="240" w:line="240" w:lineRule="auto"/>
              <w:jc w:val="left"/>
            </w:pPr>
            <w:r>
              <w:t>Three Hundred</w:t>
            </w:r>
            <w:r w:rsidR="00F06C30">
              <w:t xml:space="preserve"> and First</w:t>
            </w:r>
            <w:r>
              <w:t xml:space="preserve"> </w:t>
            </w:r>
            <w:r w:rsidR="00F06C30">
              <w:t>Respondent:</w:t>
            </w:r>
          </w:p>
        </w:tc>
        <w:tc>
          <w:tcPr>
            <w:tcW w:w="5874" w:type="dxa"/>
            <w:tcMar>
              <w:left w:w="28" w:type="dxa"/>
            </w:tcMar>
          </w:tcPr>
          <w:p w14:paraId="56F0B9D5" w14:textId="22FEE1FE" w:rsidR="007C1946" w:rsidRDefault="007C1946" w:rsidP="007C1946">
            <w:pPr>
              <w:pStyle w:val="BodyText"/>
              <w:spacing w:after="240" w:line="240" w:lineRule="auto"/>
              <w:jc w:val="left"/>
            </w:pPr>
            <w:r>
              <w:t>TYMAD INVESTMENTS PTY LTD</w:t>
            </w:r>
          </w:p>
        </w:tc>
      </w:tr>
      <w:tr w:rsidR="00414526" w14:paraId="1D7F1478" w14:textId="77777777" w:rsidTr="005F3639">
        <w:trPr>
          <w:trHeight w:val="386"/>
        </w:trPr>
        <w:tc>
          <w:tcPr>
            <w:tcW w:w="3368" w:type="dxa"/>
          </w:tcPr>
          <w:p w14:paraId="31FC4C46" w14:textId="58A5C715" w:rsidR="00414526" w:rsidRDefault="00414526" w:rsidP="007C1946">
            <w:pPr>
              <w:pStyle w:val="BodyText"/>
              <w:spacing w:after="240" w:line="240" w:lineRule="auto"/>
              <w:jc w:val="left"/>
            </w:pPr>
            <w:r>
              <w:t>Three Hundred and Third</w:t>
            </w:r>
            <w:r w:rsidR="00DA70B4">
              <w:t xml:space="preserve"> Respondent:</w:t>
            </w:r>
          </w:p>
        </w:tc>
        <w:tc>
          <w:tcPr>
            <w:tcW w:w="5874" w:type="dxa"/>
            <w:tcMar>
              <w:left w:w="28" w:type="dxa"/>
            </w:tcMar>
          </w:tcPr>
          <w:p w14:paraId="3706DDFD" w14:textId="5280E8DF" w:rsidR="00414526" w:rsidRDefault="00DA70B4" w:rsidP="007C1946">
            <w:pPr>
              <w:pStyle w:val="BodyText"/>
              <w:spacing w:after="240" w:line="240" w:lineRule="auto"/>
              <w:jc w:val="left"/>
            </w:pPr>
            <w:r>
              <w:t>TYRELL GROUP HOLDINGS PTY LTD</w:t>
            </w:r>
          </w:p>
        </w:tc>
      </w:tr>
      <w:tr w:rsidR="007C1946" w14:paraId="5A1BC198" w14:textId="77777777" w:rsidTr="005F3639">
        <w:trPr>
          <w:trHeight w:val="386"/>
        </w:trPr>
        <w:tc>
          <w:tcPr>
            <w:tcW w:w="3368" w:type="dxa"/>
          </w:tcPr>
          <w:p w14:paraId="3F38162F" w14:textId="3216AFC9" w:rsidR="007C1946" w:rsidRDefault="007C1946" w:rsidP="007C1946">
            <w:pPr>
              <w:pStyle w:val="BodyText"/>
              <w:spacing w:after="240" w:line="240" w:lineRule="auto"/>
              <w:jc w:val="left"/>
            </w:pPr>
            <w:r>
              <w:t xml:space="preserve">Three Hundred </w:t>
            </w:r>
            <w:r w:rsidR="00DA70B4">
              <w:t>and Fourth Respondent:</w:t>
            </w:r>
          </w:p>
        </w:tc>
        <w:tc>
          <w:tcPr>
            <w:tcW w:w="5874" w:type="dxa"/>
            <w:tcMar>
              <w:left w:w="28" w:type="dxa"/>
            </w:tcMar>
          </w:tcPr>
          <w:p w14:paraId="65B7E010" w14:textId="55958F2D" w:rsidR="007C1946" w:rsidRDefault="00DA70B4" w:rsidP="007C1946">
            <w:pPr>
              <w:pStyle w:val="BodyText"/>
              <w:spacing w:after="240" w:line="240" w:lineRule="auto"/>
              <w:jc w:val="left"/>
            </w:pPr>
            <w:r>
              <w:t>UMELCO PTY LTD</w:t>
            </w:r>
          </w:p>
        </w:tc>
      </w:tr>
      <w:tr w:rsidR="00DA70B4" w14:paraId="11C49503" w14:textId="77777777" w:rsidTr="005F3639">
        <w:trPr>
          <w:trHeight w:val="386"/>
        </w:trPr>
        <w:tc>
          <w:tcPr>
            <w:tcW w:w="3368" w:type="dxa"/>
          </w:tcPr>
          <w:p w14:paraId="61107B73" w14:textId="2D81E9BE" w:rsidR="00DA70B4" w:rsidRDefault="00DA70B4" w:rsidP="007C1946">
            <w:pPr>
              <w:pStyle w:val="BodyText"/>
              <w:spacing w:after="240" w:line="240" w:lineRule="auto"/>
              <w:jc w:val="left"/>
            </w:pPr>
            <w:r>
              <w:t>Three Hundred and Fifth Respondent:</w:t>
            </w:r>
          </w:p>
        </w:tc>
        <w:tc>
          <w:tcPr>
            <w:tcW w:w="5874" w:type="dxa"/>
            <w:tcMar>
              <w:left w:w="28" w:type="dxa"/>
            </w:tcMar>
          </w:tcPr>
          <w:p w14:paraId="505CC37E" w14:textId="263A290D" w:rsidR="00DA70B4" w:rsidRDefault="00831A89" w:rsidP="007C1946">
            <w:pPr>
              <w:pStyle w:val="BodyText"/>
              <w:spacing w:after="240" w:line="240" w:lineRule="auto"/>
              <w:jc w:val="left"/>
            </w:pPr>
            <w:r w:rsidRPr="00831A89">
              <w:t>VANT MANAGEMENT PTY LTD</w:t>
            </w:r>
          </w:p>
        </w:tc>
      </w:tr>
      <w:tr w:rsidR="007C1946" w14:paraId="288D160D" w14:textId="77777777" w:rsidTr="005F3639">
        <w:trPr>
          <w:trHeight w:val="386"/>
        </w:trPr>
        <w:tc>
          <w:tcPr>
            <w:tcW w:w="3368" w:type="dxa"/>
          </w:tcPr>
          <w:p w14:paraId="76337EF4" w14:textId="7FB9AF82" w:rsidR="007C1946" w:rsidRDefault="007C1946" w:rsidP="007C1946">
            <w:pPr>
              <w:pStyle w:val="BodyText"/>
              <w:spacing w:after="240" w:line="240" w:lineRule="auto"/>
              <w:jc w:val="left"/>
            </w:pPr>
            <w:r>
              <w:t xml:space="preserve">Three Hundred </w:t>
            </w:r>
            <w:r w:rsidR="00831A89">
              <w:t xml:space="preserve">and </w:t>
            </w:r>
            <w:r>
              <w:t>Six</w:t>
            </w:r>
            <w:r w:rsidR="00831A89">
              <w:t>th Respondent:</w:t>
            </w:r>
          </w:p>
        </w:tc>
        <w:tc>
          <w:tcPr>
            <w:tcW w:w="5874" w:type="dxa"/>
            <w:tcMar>
              <w:left w:w="28" w:type="dxa"/>
            </w:tcMar>
          </w:tcPr>
          <w:p w14:paraId="309A3FC4" w14:textId="07879943" w:rsidR="007C1946" w:rsidRDefault="007C1946" w:rsidP="007C1946">
            <w:pPr>
              <w:pStyle w:val="BodyText"/>
              <w:spacing w:after="240" w:line="240" w:lineRule="auto"/>
              <w:jc w:val="left"/>
            </w:pPr>
            <w:r>
              <w:t>VIDROL PTY LTD</w:t>
            </w:r>
          </w:p>
        </w:tc>
      </w:tr>
      <w:tr w:rsidR="007C1946" w14:paraId="7B0E1F38" w14:textId="77777777" w:rsidTr="005F3639">
        <w:trPr>
          <w:trHeight w:val="386"/>
        </w:trPr>
        <w:tc>
          <w:tcPr>
            <w:tcW w:w="3368" w:type="dxa"/>
          </w:tcPr>
          <w:p w14:paraId="431C16BF" w14:textId="2204AD51" w:rsidR="007C1946" w:rsidRDefault="007C1946" w:rsidP="007C1946">
            <w:pPr>
              <w:pStyle w:val="BodyText"/>
              <w:spacing w:after="240" w:line="240" w:lineRule="auto"/>
              <w:jc w:val="left"/>
            </w:pPr>
            <w:r>
              <w:t xml:space="preserve">Three Hundred </w:t>
            </w:r>
            <w:r w:rsidR="00831A89">
              <w:t xml:space="preserve">and </w:t>
            </w:r>
            <w:r>
              <w:t xml:space="preserve">Seventh </w:t>
            </w:r>
            <w:r w:rsidR="00831A89">
              <w:t>Respondent:</w:t>
            </w:r>
          </w:p>
        </w:tc>
        <w:tc>
          <w:tcPr>
            <w:tcW w:w="5874" w:type="dxa"/>
            <w:tcMar>
              <w:left w:w="28" w:type="dxa"/>
            </w:tcMar>
          </w:tcPr>
          <w:p w14:paraId="27A188E9" w14:textId="48A1CFA9" w:rsidR="007C1946" w:rsidRDefault="007C1946" w:rsidP="007C1946">
            <w:pPr>
              <w:pStyle w:val="BodyText"/>
              <w:spacing w:after="240" w:line="240" w:lineRule="auto"/>
              <w:jc w:val="left"/>
            </w:pPr>
            <w:r>
              <w:t>VOMDAY PTY LTD</w:t>
            </w:r>
          </w:p>
        </w:tc>
      </w:tr>
      <w:tr w:rsidR="007C1946" w14:paraId="51D64364" w14:textId="77777777" w:rsidTr="005F3639">
        <w:trPr>
          <w:trHeight w:val="386"/>
        </w:trPr>
        <w:tc>
          <w:tcPr>
            <w:tcW w:w="3368" w:type="dxa"/>
          </w:tcPr>
          <w:p w14:paraId="5F064191" w14:textId="0C728388" w:rsidR="007C1946" w:rsidRDefault="007C1946" w:rsidP="007C1946">
            <w:pPr>
              <w:pStyle w:val="BodyText"/>
              <w:spacing w:after="240" w:line="240" w:lineRule="auto"/>
              <w:jc w:val="left"/>
            </w:pPr>
            <w:r>
              <w:t>Three Hundred</w:t>
            </w:r>
            <w:r w:rsidR="00831A89">
              <w:t xml:space="preserve"> and</w:t>
            </w:r>
            <w:r>
              <w:t xml:space="preserve"> Eighth Respondent</w:t>
            </w:r>
            <w:r w:rsidR="00831A89">
              <w:t>:</w:t>
            </w:r>
          </w:p>
        </w:tc>
        <w:tc>
          <w:tcPr>
            <w:tcW w:w="5874" w:type="dxa"/>
            <w:tcMar>
              <w:left w:w="28" w:type="dxa"/>
            </w:tcMar>
          </w:tcPr>
          <w:p w14:paraId="0E0E3364" w14:textId="05632840" w:rsidR="007C1946" w:rsidRDefault="007C1946" w:rsidP="007C1946">
            <w:pPr>
              <w:pStyle w:val="BodyText"/>
              <w:spacing w:after="240" w:line="240" w:lineRule="auto"/>
              <w:jc w:val="left"/>
            </w:pPr>
            <w:r>
              <w:t>WAVEMAX PTY LTD</w:t>
            </w:r>
          </w:p>
        </w:tc>
      </w:tr>
      <w:tr w:rsidR="007C1946" w14:paraId="52B5B963" w14:textId="77777777" w:rsidTr="005F3639">
        <w:trPr>
          <w:trHeight w:val="386"/>
        </w:trPr>
        <w:tc>
          <w:tcPr>
            <w:tcW w:w="3368" w:type="dxa"/>
          </w:tcPr>
          <w:p w14:paraId="020BE200" w14:textId="2A10FEEF" w:rsidR="007C1946" w:rsidRDefault="007C1946" w:rsidP="007C1946">
            <w:pPr>
              <w:pStyle w:val="BodyText"/>
              <w:spacing w:after="240" w:line="240" w:lineRule="auto"/>
              <w:jc w:val="left"/>
            </w:pPr>
            <w:r>
              <w:t xml:space="preserve">Three Hundred </w:t>
            </w:r>
            <w:r w:rsidR="00831A89">
              <w:t xml:space="preserve">and </w:t>
            </w:r>
            <w:r>
              <w:t>Ninth Respondent</w:t>
            </w:r>
            <w:r w:rsidR="00831A89">
              <w:t>:</w:t>
            </w:r>
          </w:p>
        </w:tc>
        <w:tc>
          <w:tcPr>
            <w:tcW w:w="5874" w:type="dxa"/>
            <w:tcMar>
              <w:left w:w="28" w:type="dxa"/>
            </w:tcMar>
          </w:tcPr>
          <w:p w14:paraId="1CE9DC50" w14:textId="334C0F6E" w:rsidR="007C1946" w:rsidRDefault="007C1946" w:rsidP="007C1946">
            <w:pPr>
              <w:pStyle w:val="BodyText"/>
              <w:spacing w:after="240" w:line="240" w:lineRule="auto"/>
              <w:jc w:val="left"/>
            </w:pPr>
            <w:r>
              <w:t>WAX UP PTY LTD</w:t>
            </w:r>
          </w:p>
        </w:tc>
      </w:tr>
      <w:tr w:rsidR="007C1946" w14:paraId="099FD949" w14:textId="77777777" w:rsidTr="005F3639">
        <w:trPr>
          <w:trHeight w:val="386"/>
        </w:trPr>
        <w:tc>
          <w:tcPr>
            <w:tcW w:w="3368" w:type="dxa"/>
          </w:tcPr>
          <w:p w14:paraId="12EC1E07" w14:textId="2D42C997" w:rsidR="007C1946" w:rsidRDefault="007C1946" w:rsidP="007C1946">
            <w:pPr>
              <w:pStyle w:val="BodyText"/>
              <w:spacing w:after="240" w:line="240" w:lineRule="auto"/>
              <w:jc w:val="left"/>
            </w:pPr>
            <w:r>
              <w:t>Three Hundred</w:t>
            </w:r>
            <w:r w:rsidR="00831A89">
              <w:t xml:space="preserve"> and</w:t>
            </w:r>
            <w:r>
              <w:t xml:space="preserve"> Tenth </w:t>
            </w:r>
            <w:r w:rsidR="00831A89">
              <w:t>Respondent:</w:t>
            </w:r>
          </w:p>
        </w:tc>
        <w:tc>
          <w:tcPr>
            <w:tcW w:w="5874" w:type="dxa"/>
            <w:tcMar>
              <w:left w:w="28" w:type="dxa"/>
            </w:tcMar>
          </w:tcPr>
          <w:p w14:paraId="0748A99E" w14:textId="6CBA6B6E" w:rsidR="007C1946" w:rsidRDefault="007C1946" w:rsidP="007C1946">
            <w:pPr>
              <w:pStyle w:val="BodyText"/>
              <w:spacing w:after="240" w:line="240" w:lineRule="auto"/>
              <w:jc w:val="left"/>
            </w:pPr>
            <w:r>
              <w:t>WEIGHTMAN GROUP PTY LTD</w:t>
            </w:r>
          </w:p>
        </w:tc>
      </w:tr>
      <w:tr w:rsidR="007C1946" w14:paraId="3643CC11" w14:textId="77777777" w:rsidTr="005F3639">
        <w:trPr>
          <w:trHeight w:val="386"/>
        </w:trPr>
        <w:tc>
          <w:tcPr>
            <w:tcW w:w="3368" w:type="dxa"/>
          </w:tcPr>
          <w:p w14:paraId="394F3605" w14:textId="1AE4DD07" w:rsidR="007C1946" w:rsidRDefault="007C1946" w:rsidP="007C1946">
            <w:pPr>
              <w:pStyle w:val="BodyText"/>
              <w:spacing w:after="240" w:line="240" w:lineRule="auto"/>
              <w:jc w:val="left"/>
            </w:pPr>
            <w:r>
              <w:t xml:space="preserve">Three Hundred </w:t>
            </w:r>
            <w:r w:rsidR="00831A89">
              <w:t xml:space="preserve">and </w:t>
            </w:r>
            <w:r>
              <w:t xml:space="preserve">Eleventh </w:t>
            </w:r>
            <w:r w:rsidR="00831A89">
              <w:t>Respondent:</w:t>
            </w:r>
          </w:p>
        </w:tc>
        <w:tc>
          <w:tcPr>
            <w:tcW w:w="5874" w:type="dxa"/>
            <w:tcMar>
              <w:left w:w="28" w:type="dxa"/>
            </w:tcMar>
          </w:tcPr>
          <w:p w14:paraId="2ED82D04" w14:textId="17051517" w:rsidR="007C1946" w:rsidRDefault="007C1946" w:rsidP="007C1946">
            <w:pPr>
              <w:pStyle w:val="BodyText"/>
              <w:spacing w:after="240" w:line="240" w:lineRule="auto"/>
              <w:jc w:val="left"/>
            </w:pPr>
            <w:r>
              <w:t>WESLIN CO PTY LTD</w:t>
            </w:r>
          </w:p>
        </w:tc>
      </w:tr>
      <w:tr w:rsidR="007C1946" w14:paraId="00DC0DF1" w14:textId="77777777" w:rsidTr="005F3639">
        <w:trPr>
          <w:trHeight w:val="386"/>
        </w:trPr>
        <w:tc>
          <w:tcPr>
            <w:tcW w:w="3368" w:type="dxa"/>
          </w:tcPr>
          <w:p w14:paraId="70EE61B7" w14:textId="5893C477" w:rsidR="007C1946" w:rsidRDefault="007C1946" w:rsidP="007C1946">
            <w:pPr>
              <w:pStyle w:val="BodyText"/>
              <w:spacing w:after="240" w:line="240" w:lineRule="auto"/>
              <w:jc w:val="left"/>
            </w:pPr>
            <w:r>
              <w:t>Three Hundred</w:t>
            </w:r>
            <w:r w:rsidR="00831A89">
              <w:t xml:space="preserve"> and</w:t>
            </w:r>
            <w:r>
              <w:t xml:space="preserve"> Twelfth </w:t>
            </w:r>
            <w:r w:rsidR="00831A89">
              <w:t>Respondent:</w:t>
            </w:r>
          </w:p>
        </w:tc>
        <w:tc>
          <w:tcPr>
            <w:tcW w:w="5874" w:type="dxa"/>
            <w:tcMar>
              <w:left w:w="28" w:type="dxa"/>
            </w:tcMar>
          </w:tcPr>
          <w:p w14:paraId="0427AB1C" w14:textId="11F80BA8" w:rsidR="007C1946" w:rsidRDefault="007C1946" w:rsidP="007C1946">
            <w:pPr>
              <w:pStyle w:val="BodyText"/>
              <w:spacing w:after="240" w:line="240" w:lineRule="auto"/>
              <w:jc w:val="left"/>
            </w:pPr>
            <w:r>
              <w:t>WESTSIDE QSR PTY LTD</w:t>
            </w:r>
          </w:p>
        </w:tc>
      </w:tr>
      <w:tr w:rsidR="007C1946" w14:paraId="34DE4D77" w14:textId="77777777" w:rsidTr="005F3639">
        <w:trPr>
          <w:trHeight w:val="386"/>
        </w:trPr>
        <w:tc>
          <w:tcPr>
            <w:tcW w:w="3368" w:type="dxa"/>
          </w:tcPr>
          <w:p w14:paraId="3C0B116A" w14:textId="0A6F444D" w:rsidR="007C1946" w:rsidRDefault="007C1946" w:rsidP="007C1946">
            <w:pPr>
              <w:pStyle w:val="BodyText"/>
              <w:spacing w:after="240" w:line="240" w:lineRule="auto"/>
              <w:jc w:val="left"/>
            </w:pPr>
            <w:r>
              <w:t>Three Hundred</w:t>
            </w:r>
            <w:r w:rsidR="00831A89">
              <w:t xml:space="preserve"> and</w:t>
            </w:r>
            <w:r>
              <w:t xml:space="preserve"> Thirteenth </w:t>
            </w:r>
            <w:r w:rsidR="00831A89">
              <w:t>Respondent:</w:t>
            </w:r>
          </w:p>
        </w:tc>
        <w:tc>
          <w:tcPr>
            <w:tcW w:w="5874" w:type="dxa"/>
            <w:tcMar>
              <w:left w:w="28" w:type="dxa"/>
            </w:tcMar>
          </w:tcPr>
          <w:p w14:paraId="0FA7D68B" w14:textId="174AAF72" w:rsidR="007C1946" w:rsidRDefault="007C1946" w:rsidP="007C1946">
            <w:pPr>
              <w:pStyle w:val="BodyText"/>
              <w:spacing w:after="240" w:line="240" w:lineRule="auto"/>
              <w:jc w:val="left"/>
            </w:pPr>
            <w:r>
              <w:t>WHITAYLEE &amp; SONS PTY LTD</w:t>
            </w:r>
          </w:p>
        </w:tc>
      </w:tr>
      <w:tr w:rsidR="007C1946" w14:paraId="77634E24" w14:textId="77777777" w:rsidTr="005F3639">
        <w:trPr>
          <w:trHeight w:val="386"/>
        </w:trPr>
        <w:tc>
          <w:tcPr>
            <w:tcW w:w="3368" w:type="dxa"/>
          </w:tcPr>
          <w:p w14:paraId="1AB5BB2C" w14:textId="68AF7E3B" w:rsidR="007C1946" w:rsidRDefault="007C1946" w:rsidP="007C1946">
            <w:pPr>
              <w:pStyle w:val="BodyText"/>
              <w:spacing w:after="240" w:line="240" w:lineRule="auto"/>
              <w:jc w:val="left"/>
            </w:pPr>
            <w:r>
              <w:t>Three Hundred</w:t>
            </w:r>
            <w:r w:rsidR="00831A89">
              <w:t xml:space="preserve"> and</w:t>
            </w:r>
            <w:r>
              <w:t xml:space="preserve"> Fourteenth Respondent</w:t>
            </w:r>
            <w:r w:rsidR="00831A89">
              <w:t>:</w:t>
            </w:r>
          </w:p>
        </w:tc>
        <w:tc>
          <w:tcPr>
            <w:tcW w:w="5874" w:type="dxa"/>
            <w:tcMar>
              <w:left w:w="28" w:type="dxa"/>
            </w:tcMar>
          </w:tcPr>
          <w:p w14:paraId="48DA3D02" w14:textId="678136DF" w:rsidR="007C1946" w:rsidRDefault="007C1946" w:rsidP="007C1946">
            <w:pPr>
              <w:pStyle w:val="BodyText"/>
              <w:spacing w:after="240" w:line="240" w:lineRule="auto"/>
              <w:jc w:val="left"/>
            </w:pPr>
            <w:r>
              <w:t>WILBRIDGE SECURITIES PTY LTD</w:t>
            </w:r>
          </w:p>
        </w:tc>
      </w:tr>
      <w:tr w:rsidR="007C1946" w14:paraId="025FE0AC" w14:textId="77777777" w:rsidTr="005F3639">
        <w:trPr>
          <w:trHeight w:val="386"/>
        </w:trPr>
        <w:tc>
          <w:tcPr>
            <w:tcW w:w="3368" w:type="dxa"/>
          </w:tcPr>
          <w:p w14:paraId="5BFE7339" w14:textId="292A87A8" w:rsidR="007C1946" w:rsidRDefault="007C1946" w:rsidP="007C1946">
            <w:pPr>
              <w:pStyle w:val="BodyText"/>
              <w:spacing w:after="240" w:line="240" w:lineRule="auto"/>
              <w:jc w:val="left"/>
            </w:pPr>
            <w:r>
              <w:t xml:space="preserve">Three Hundred </w:t>
            </w:r>
            <w:r w:rsidR="00613B04">
              <w:t xml:space="preserve">and </w:t>
            </w:r>
            <w:r>
              <w:t>Fifteenth Respondent</w:t>
            </w:r>
            <w:r w:rsidR="00613B04">
              <w:t>:</w:t>
            </w:r>
          </w:p>
        </w:tc>
        <w:tc>
          <w:tcPr>
            <w:tcW w:w="5874" w:type="dxa"/>
            <w:tcMar>
              <w:left w:w="28" w:type="dxa"/>
            </w:tcMar>
          </w:tcPr>
          <w:p w14:paraId="4B9731D7" w14:textId="7394C65E" w:rsidR="007C1946" w:rsidRDefault="007C1946" w:rsidP="007C1946">
            <w:pPr>
              <w:pStyle w:val="BodyText"/>
              <w:spacing w:after="240" w:line="240" w:lineRule="auto"/>
              <w:jc w:val="left"/>
            </w:pPr>
            <w:r>
              <w:t>WILGEN PTY LTD</w:t>
            </w:r>
          </w:p>
        </w:tc>
      </w:tr>
      <w:tr w:rsidR="007C1946" w14:paraId="147D952E" w14:textId="77777777" w:rsidTr="005F3639">
        <w:trPr>
          <w:trHeight w:val="386"/>
        </w:trPr>
        <w:tc>
          <w:tcPr>
            <w:tcW w:w="3368" w:type="dxa"/>
          </w:tcPr>
          <w:p w14:paraId="31F9D211" w14:textId="2E8F1867" w:rsidR="007C1946" w:rsidRDefault="007C1946" w:rsidP="007C1946">
            <w:pPr>
              <w:pStyle w:val="BodyText"/>
              <w:spacing w:after="240" w:line="240" w:lineRule="auto"/>
              <w:jc w:val="left"/>
            </w:pPr>
            <w:r>
              <w:t xml:space="preserve">Three Hundred </w:t>
            </w:r>
            <w:r w:rsidR="00613B04">
              <w:t xml:space="preserve">and </w:t>
            </w:r>
            <w:r>
              <w:t>Sixteenth Respondent</w:t>
            </w:r>
            <w:r w:rsidR="00613B04">
              <w:t>:</w:t>
            </w:r>
          </w:p>
        </w:tc>
        <w:tc>
          <w:tcPr>
            <w:tcW w:w="5874" w:type="dxa"/>
            <w:tcMar>
              <w:left w:w="28" w:type="dxa"/>
            </w:tcMar>
          </w:tcPr>
          <w:p w14:paraId="57FCB376" w14:textId="52A23501" w:rsidR="007C1946" w:rsidRDefault="007C1946" w:rsidP="007C1946">
            <w:pPr>
              <w:pStyle w:val="BodyText"/>
              <w:spacing w:after="240" w:line="240" w:lineRule="auto"/>
              <w:jc w:val="left"/>
            </w:pPr>
            <w:r>
              <w:t>WINDMAR PTY LTD</w:t>
            </w:r>
          </w:p>
        </w:tc>
      </w:tr>
      <w:tr w:rsidR="007C1946" w14:paraId="068E21A5" w14:textId="77777777" w:rsidTr="005F3639">
        <w:trPr>
          <w:trHeight w:val="386"/>
        </w:trPr>
        <w:tc>
          <w:tcPr>
            <w:tcW w:w="3368" w:type="dxa"/>
          </w:tcPr>
          <w:p w14:paraId="5251FFBE" w14:textId="4E25968E" w:rsidR="007C1946" w:rsidRDefault="007C1946" w:rsidP="007C1946">
            <w:pPr>
              <w:pStyle w:val="BodyText"/>
              <w:spacing w:after="240" w:line="240" w:lineRule="auto"/>
              <w:jc w:val="left"/>
            </w:pPr>
            <w:r>
              <w:t xml:space="preserve">Three Hundred </w:t>
            </w:r>
            <w:r w:rsidR="00613B04">
              <w:t xml:space="preserve">and </w:t>
            </w:r>
            <w:r>
              <w:t>Seventeenth Respondent</w:t>
            </w:r>
            <w:r w:rsidR="00613B04">
              <w:t>:</w:t>
            </w:r>
          </w:p>
        </w:tc>
        <w:tc>
          <w:tcPr>
            <w:tcW w:w="5874" w:type="dxa"/>
            <w:tcMar>
              <w:left w:w="28" w:type="dxa"/>
            </w:tcMar>
          </w:tcPr>
          <w:p w14:paraId="2ECCEC33" w14:textId="37F546C3" w:rsidR="007C1946" w:rsidRDefault="007C1946" w:rsidP="007C1946">
            <w:pPr>
              <w:pStyle w:val="BodyText"/>
              <w:spacing w:after="240" w:line="240" w:lineRule="auto"/>
              <w:jc w:val="left"/>
            </w:pPr>
            <w:r>
              <w:t>YASINCO PTY LTD</w:t>
            </w:r>
          </w:p>
        </w:tc>
      </w:tr>
      <w:tr w:rsidR="007C1946" w14:paraId="4269107E" w14:textId="77777777" w:rsidTr="005F3639">
        <w:trPr>
          <w:trHeight w:val="386"/>
        </w:trPr>
        <w:tc>
          <w:tcPr>
            <w:tcW w:w="3368" w:type="dxa"/>
          </w:tcPr>
          <w:p w14:paraId="17F6C6E8" w14:textId="25277331" w:rsidR="007C1946" w:rsidRDefault="007C1946" w:rsidP="007C1946">
            <w:pPr>
              <w:pStyle w:val="BodyText"/>
              <w:spacing w:after="240" w:line="240" w:lineRule="auto"/>
              <w:jc w:val="left"/>
            </w:pPr>
            <w:r>
              <w:t>Three Hundred</w:t>
            </w:r>
            <w:r w:rsidR="00613B04">
              <w:t xml:space="preserve"> and</w:t>
            </w:r>
            <w:r>
              <w:t xml:space="preserve"> Eighteenth </w:t>
            </w:r>
            <w:r w:rsidR="00613B04">
              <w:t>Respondent:</w:t>
            </w:r>
          </w:p>
        </w:tc>
        <w:tc>
          <w:tcPr>
            <w:tcW w:w="5874" w:type="dxa"/>
            <w:tcMar>
              <w:left w:w="28" w:type="dxa"/>
            </w:tcMar>
          </w:tcPr>
          <w:p w14:paraId="71396874" w14:textId="5172CF6E" w:rsidR="007C1946" w:rsidRDefault="007C1946" w:rsidP="007C1946">
            <w:pPr>
              <w:pStyle w:val="BodyText"/>
              <w:spacing w:after="240" w:line="240" w:lineRule="auto"/>
              <w:jc w:val="left"/>
            </w:pPr>
            <w:r>
              <w:t>YIPPY TRI-SMITH PTY LTD</w:t>
            </w:r>
          </w:p>
        </w:tc>
      </w:tr>
      <w:tr w:rsidR="007C1946" w14:paraId="52AE2455" w14:textId="77777777" w:rsidTr="005F3639">
        <w:trPr>
          <w:trHeight w:val="386"/>
        </w:trPr>
        <w:tc>
          <w:tcPr>
            <w:tcW w:w="3368" w:type="dxa"/>
          </w:tcPr>
          <w:p w14:paraId="2F124C7E" w14:textId="285D49F7" w:rsidR="007C1946" w:rsidRDefault="007C1946" w:rsidP="007C1946">
            <w:pPr>
              <w:pStyle w:val="BodyText"/>
              <w:spacing w:after="240" w:line="240" w:lineRule="auto"/>
              <w:jc w:val="left"/>
            </w:pPr>
            <w:r>
              <w:t xml:space="preserve">Three Hundred </w:t>
            </w:r>
            <w:r w:rsidR="00613B04">
              <w:t xml:space="preserve">and </w:t>
            </w:r>
            <w:r>
              <w:t xml:space="preserve">Nineteenth </w:t>
            </w:r>
            <w:r w:rsidR="00613B04">
              <w:t>Respondent:</w:t>
            </w:r>
          </w:p>
        </w:tc>
        <w:tc>
          <w:tcPr>
            <w:tcW w:w="5874" w:type="dxa"/>
            <w:tcMar>
              <w:left w:w="28" w:type="dxa"/>
            </w:tcMar>
          </w:tcPr>
          <w:p w14:paraId="6C0D3B70" w14:textId="19398D2C" w:rsidR="007C1946" w:rsidRDefault="007C1946" w:rsidP="007C1946">
            <w:pPr>
              <w:pStyle w:val="BodyText"/>
              <w:spacing w:after="240" w:line="240" w:lineRule="auto"/>
              <w:jc w:val="left"/>
            </w:pPr>
            <w:r>
              <w:t>YOUNGHOLMES PTY LTD</w:t>
            </w:r>
          </w:p>
        </w:tc>
      </w:tr>
      <w:tr w:rsidR="007C1946" w14:paraId="57EA013A" w14:textId="77777777" w:rsidTr="005F3639">
        <w:trPr>
          <w:trHeight w:val="386"/>
        </w:trPr>
        <w:tc>
          <w:tcPr>
            <w:tcW w:w="3368" w:type="dxa"/>
          </w:tcPr>
          <w:p w14:paraId="54356F05" w14:textId="1BA6AEEE" w:rsidR="007C1946" w:rsidRDefault="007C1946" w:rsidP="007C1946">
            <w:pPr>
              <w:pStyle w:val="BodyText"/>
              <w:spacing w:after="240" w:line="240" w:lineRule="auto"/>
              <w:jc w:val="left"/>
            </w:pPr>
            <w:r>
              <w:t xml:space="preserve">Three Hundred </w:t>
            </w:r>
            <w:r w:rsidR="00613B04">
              <w:t xml:space="preserve">and </w:t>
            </w:r>
            <w:r>
              <w:t xml:space="preserve">Twentieth </w:t>
            </w:r>
            <w:r w:rsidR="00613B04">
              <w:t>Respondent:</w:t>
            </w:r>
          </w:p>
        </w:tc>
        <w:tc>
          <w:tcPr>
            <w:tcW w:w="5874" w:type="dxa"/>
            <w:tcMar>
              <w:left w:w="28" w:type="dxa"/>
            </w:tcMar>
          </w:tcPr>
          <w:p w14:paraId="20F0FB6B" w14:textId="2BF6D2D4" w:rsidR="007C1946" w:rsidRDefault="007C1946" w:rsidP="007C1946">
            <w:pPr>
              <w:pStyle w:val="BodyText"/>
              <w:spacing w:after="240" w:line="240" w:lineRule="auto"/>
              <w:jc w:val="left"/>
            </w:pPr>
            <w:r>
              <w:t>ZACALE PTY LTD</w:t>
            </w:r>
          </w:p>
        </w:tc>
      </w:tr>
      <w:tr w:rsidR="007C1946" w14:paraId="4B224741" w14:textId="77777777" w:rsidTr="005F3639">
        <w:trPr>
          <w:trHeight w:val="386"/>
        </w:trPr>
        <w:tc>
          <w:tcPr>
            <w:tcW w:w="3368" w:type="dxa"/>
          </w:tcPr>
          <w:p w14:paraId="2DE28315" w14:textId="0DC0F8B0" w:rsidR="007C1946" w:rsidRDefault="007C1946" w:rsidP="007C1946">
            <w:pPr>
              <w:pStyle w:val="BodyText"/>
              <w:spacing w:after="240" w:line="240" w:lineRule="auto"/>
              <w:jc w:val="left"/>
            </w:pPr>
            <w:r>
              <w:t xml:space="preserve">Three Hundred </w:t>
            </w:r>
            <w:r w:rsidR="00613B04">
              <w:t xml:space="preserve">and </w:t>
            </w:r>
            <w:r>
              <w:t xml:space="preserve">Twenty First </w:t>
            </w:r>
            <w:r w:rsidR="00613B04">
              <w:t>Respondent:</w:t>
            </w:r>
          </w:p>
        </w:tc>
        <w:tc>
          <w:tcPr>
            <w:tcW w:w="5874" w:type="dxa"/>
            <w:tcMar>
              <w:left w:w="28" w:type="dxa"/>
            </w:tcMar>
          </w:tcPr>
          <w:p w14:paraId="65CB810A" w14:textId="14CC4E64" w:rsidR="007C1946" w:rsidRDefault="007C1946" w:rsidP="007C1946">
            <w:pPr>
              <w:pStyle w:val="BodyText"/>
              <w:spacing w:after="240" w:line="240" w:lineRule="auto"/>
              <w:jc w:val="left"/>
            </w:pPr>
            <w:r>
              <w:t>ZACALEKYE PTY LTD</w:t>
            </w:r>
          </w:p>
        </w:tc>
      </w:tr>
      <w:tr w:rsidR="007C1946" w14:paraId="64690258" w14:textId="77777777" w:rsidTr="005F3639">
        <w:trPr>
          <w:trHeight w:val="386"/>
        </w:trPr>
        <w:tc>
          <w:tcPr>
            <w:tcW w:w="3368" w:type="dxa"/>
          </w:tcPr>
          <w:p w14:paraId="130833F6" w14:textId="02CF2C2B" w:rsidR="007C1946" w:rsidRDefault="007C1946" w:rsidP="007C1946">
            <w:pPr>
              <w:pStyle w:val="BodyText"/>
              <w:spacing w:after="240" w:line="240" w:lineRule="auto"/>
              <w:jc w:val="left"/>
            </w:pPr>
            <w:r>
              <w:t>Three Hundred</w:t>
            </w:r>
            <w:r w:rsidR="009D0415">
              <w:t xml:space="preserve"> and</w:t>
            </w:r>
            <w:r>
              <w:t xml:space="preserve"> Twenty Fourth Respondent</w:t>
            </w:r>
            <w:r w:rsidR="009D0415">
              <w:t>:</w:t>
            </w:r>
          </w:p>
        </w:tc>
        <w:tc>
          <w:tcPr>
            <w:tcW w:w="5874" w:type="dxa"/>
            <w:tcMar>
              <w:left w:w="28" w:type="dxa"/>
            </w:tcMar>
          </w:tcPr>
          <w:p w14:paraId="3CBE1CF0" w14:textId="2FD1C09C" w:rsidR="007C1946" w:rsidRDefault="007C1946" w:rsidP="007C1946">
            <w:pPr>
              <w:pStyle w:val="BodyText"/>
              <w:spacing w:after="240" w:line="240" w:lineRule="auto"/>
              <w:jc w:val="left"/>
            </w:pPr>
            <w:r>
              <w:t>ZOHO PTY LTD</w:t>
            </w:r>
          </w:p>
        </w:tc>
      </w:tr>
      <w:bookmarkEnd w:id="32"/>
    </w:tbl>
    <w:p w14:paraId="66D26AD6" w14:textId="77777777" w:rsidR="00486862" w:rsidRDefault="00486862" w:rsidP="00486862">
      <w:pPr>
        <w:pStyle w:val="BodyText"/>
      </w:pPr>
    </w:p>
    <w:bookmarkEnd w:id="31"/>
    <w:p w14:paraId="31598F3A" w14:textId="77777777" w:rsidR="00486862" w:rsidRDefault="00486862" w:rsidP="00486862">
      <w:pPr>
        <w:pStyle w:val="BodyText"/>
      </w:pPr>
    </w:p>
    <w:p w14:paraId="53D864BC" w14:textId="77777777" w:rsidR="003A7459" w:rsidRDefault="003A7459" w:rsidP="007F7FC7">
      <w:pPr>
        <w:spacing w:line="240" w:lineRule="auto"/>
        <w:jc w:val="left"/>
      </w:pPr>
    </w:p>
    <w:sectPr w:rsidR="003A7459" w:rsidSect="00A84FD0">
      <w:headerReference w:type="even" r:id="rId36"/>
      <w:headerReference w:type="default" r:id="rId37"/>
      <w:footerReference w:type="default" r:id="rId38"/>
      <w:headerReference w:type="first" r:id="rId39"/>
      <w:footerReference w:type="first" r:id="rId4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0538" w14:textId="77777777" w:rsidR="00F310B4" w:rsidRDefault="00F310B4">
      <w:pPr>
        <w:spacing w:line="20" w:lineRule="exact"/>
      </w:pPr>
    </w:p>
    <w:p w14:paraId="3776322D" w14:textId="77777777" w:rsidR="00F310B4" w:rsidRDefault="00F310B4"/>
    <w:p w14:paraId="4C6FB380" w14:textId="77777777" w:rsidR="00F310B4" w:rsidRDefault="00F310B4"/>
  </w:endnote>
  <w:endnote w:type="continuationSeparator" w:id="0">
    <w:p w14:paraId="3FD861FE" w14:textId="77777777" w:rsidR="00F310B4" w:rsidRDefault="00F310B4">
      <w:r>
        <w:t xml:space="preserve"> </w:t>
      </w:r>
    </w:p>
    <w:p w14:paraId="6B341EDE" w14:textId="77777777" w:rsidR="00F310B4" w:rsidRDefault="00F310B4"/>
    <w:p w14:paraId="4991236F" w14:textId="77777777" w:rsidR="00F310B4" w:rsidRDefault="00F310B4"/>
  </w:endnote>
  <w:endnote w:type="continuationNotice" w:id="1">
    <w:p w14:paraId="5ADD30DC" w14:textId="77777777" w:rsidR="00F310B4" w:rsidRDefault="00F310B4">
      <w:r>
        <w:t xml:space="preserve"> </w:t>
      </w:r>
    </w:p>
    <w:p w14:paraId="72A85DC8" w14:textId="77777777" w:rsidR="00F310B4" w:rsidRDefault="00F310B4"/>
    <w:p w14:paraId="4022B725" w14:textId="77777777" w:rsidR="00F310B4" w:rsidRDefault="00F31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DEE4" w14:textId="62E9F6DF" w:rsidR="005B3B34" w:rsidRPr="00C47B9D" w:rsidRDefault="005B3B3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5EEF18C" wp14:editId="0AB54D0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A93C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801BD">
          <w:rPr>
            <w:bCs/>
            <w:sz w:val="18"/>
            <w:szCs w:val="18"/>
          </w:rPr>
          <w:t>Elliott-Carde v McDonald’s Australia Limited [2023] FCAFC 162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E74" w14:textId="4A91D245" w:rsidR="005B3B34" w:rsidRPr="00C47B9D" w:rsidRDefault="005B3B3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68588564" wp14:editId="27023F9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F2229"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831216538"/>
        <w:placeholder>
          <w:docPart w:val="2F053EAACEAA41C78C55752AE0E9CCA5"/>
        </w:placeholder>
        <w:dataBinding w:prefixMappings="xmlns:ns0='http://schemas.globalmacros.com/FCA'" w:xpath="/ns0:root[1]/ns0:Name[1]" w:storeItemID="{687E7CCB-4AA5-44E7-B148-17BA2B6F57C0}"/>
        <w:text w:multiLine="1"/>
      </w:sdtPr>
      <w:sdtEndPr/>
      <w:sdtContent>
        <w:r w:rsidR="00E801BD">
          <w:rPr>
            <w:bCs/>
            <w:sz w:val="18"/>
            <w:szCs w:val="18"/>
          </w:rPr>
          <w:t>Elliott-Carde v McDonald’s Australia Limited [2023] FCAFC 162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26A4">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E935" w14:textId="43E5633E" w:rsidR="005B3B34" w:rsidRPr="00C47B9D" w:rsidRDefault="005B3B3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1C4E8423" wp14:editId="0B2FE4F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3897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510263260"/>
        <w:placeholder>
          <w:docPart w:val="39EBCAEE790B47BCA0D385553F37640C"/>
        </w:placeholder>
        <w:dataBinding w:prefixMappings="xmlns:ns0='http://schemas.globalmacros.com/FCA'" w:xpath="/ns0:root[1]/ns0:Name[1]" w:storeItemID="{687E7CCB-4AA5-44E7-B148-17BA2B6F57C0}"/>
        <w:text w:multiLine="1"/>
      </w:sdtPr>
      <w:sdtEndPr/>
      <w:sdtContent>
        <w:r w:rsidR="00E801BD">
          <w:rPr>
            <w:bCs/>
            <w:sz w:val="18"/>
            <w:szCs w:val="18"/>
          </w:rPr>
          <w:t>Elliott-Carde v McDonald’s Australia Limited [2023] FCAFC 162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26A4">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620A" w14:textId="3FB2C759" w:rsidR="005B3B34" w:rsidRPr="00C47B9D" w:rsidRDefault="005B3B3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4770B98B" wp14:editId="4A8AD81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03D4E"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095746746"/>
        <w:placeholder>
          <w:docPart w:val="63328200A2A54050A940A961A98F0A24"/>
        </w:placeholder>
        <w:dataBinding w:prefixMappings="xmlns:ns0='http://schemas.globalmacros.com/FCA'" w:xpath="/ns0:root[1]/ns0:Name[1]" w:storeItemID="{687E7CCB-4AA5-44E7-B148-17BA2B6F57C0}"/>
        <w:text w:multiLine="1"/>
      </w:sdtPr>
      <w:sdtEndPr/>
      <w:sdtContent>
        <w:r w:rsidR="00E801BD">
          <w:rPr>
            <w:bCs/>
            <w:sz w:val="18"/>
            <w:szCs w:val="18"/>
          </w:rPr>
          <w:t>Elliott-Carde v McDonald’s Australia Limited [2023] FCAFC 162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26A4">
      <w:rPr>
        <w:bCs/>
        <w:noProof/>
        <w:sz w:val="20"/>
      </w:rPr>
      <w:t>16</w:t>
    </w:r>
    <w:r w:rsidRPr="00EA7F6D">
      <w:rPr>
        <w:bCs/>
        <w:noProof/>
        <w:sz w:val="20"/>
      </w:rPr>
      <w:fldChar w:fldCharType="end"/>
    </w:r>
  </w:p>
  <w:p w14:paraId="05A5FA38" w14:textId="77777777" w:rsidR="005B3B34" w:rsidRDefault="005B3B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BD9B" w14:textId="5002F887" w:rsidR="005B3B34" w:rsidRPr="00C47B9D" w:rsidRDefault="005B3B3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4B90FF50" wp14:editId="149F7DC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3525A"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532949365"/>
        <w:placeholder>
          <w:docPart w:val="A13A11486A9D499C8B10EE9A913AE707"/>
        </w:placeholder>
        <w:dataBinding w:prefixMappings="xmlns:ns0='http://schemas.globalmacros.com/FCA'" w:xpath="/ns0:root[1]/ns0:Name[1]" w:storeItemID="{687E7CCB-4AA5-44E7-B148-17BA2B6F57C0}"/>
        <w:text w:multiLine="1"/>
      </w:sdtPr>
      <w:sdtEndPr/>
      <w:sdtContent>
        <w:r w:rsidR="00E801BD">
          <w:rPr>
            <w:bCs/>
            <w:sz w:val="18"/>
            <w:szCs w:val="18"/>
          </w:rPr>
          <w:t>Elliott-Carde v McDonald’s Australia Limited [2023] FCAFC 162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26A4">
      <w:rPr>
        <w:bCs/>
        <w:noProof/>
        <w:sz w:val="20"/>
      </w:rPr>
      <w:t>1</w:t>
    </w:r>
    <w:r w:rsidRPr="00EA7F6D">
      <w:rPr>
        <w:bCs/>
        <w:noProof/>
        <w:sz w:val="20"/>
      </w:rPr>
      <w:fldChar w:fldCharType="end"/>
    </w:r>
  </w:p>
  <w:p w14:paraId="3E02ACF7" w14:textId="77777777" w:rsidR="005B3B34" w:rsidRDefault="005B3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EE53" w14:textId="77777777" w:rsidR="00F310B4" w:rsidRDefault="00F310B4"/>
  </w:footnote>
  <w:footnote w:type="continuationSeparator" w:id="0">
    <w:p w14:paraId="79C06638" w14:textId="77777777" w:rsidR="00F310B4" w:rsidRDefault="00F310B4">
      <w:r>
        <w:continuationSeparator/>
      </w:r>
    </w:p>
    <w:p w14:paraId="651E6E59" w14:textId="77777777" w:rsidR="00F310B4" w:rsidRDefault="00F310B4"/>
    <w:p w14:paraId="5B7C3DD9" w14:textId="77777777" w:rsidR="00F310B4" w:rsidRDefault="00F310B4"/>
  </w:footnote>
  <w:footnote w:type="continuationNotice" w:id="1">
    <w:p w14:paraId="483BB6DF" w14:textId="77777777" w:rsidR="00F310B4" w:rsidRDefault="00F310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FBDE" w14:textId="77777777" w:rsidR="005B3B34" w:rsidRDefault="005B3B3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E302" w14:textId="77777777" w:rsidR="005B3B34" w:rsidRDefault="005B3B3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F620" w14:textId="77777777" w:rsidR="005B3B34" w:rsidRDefault="005B3B34"/>
  <w:p w14:paraId="77E7EE1B" w14:textId="77777777" w:rsidR="005B3B34" w:rsidRDefault="005B3B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3D8B" w14:textId="77777777" w:rsidR="005B3B34" w:rsidRDefault="005B3B34">
    <w:pPr>
      <w:tabs>
        <w:tab w:val="center" w:pos="4512"/>
      </w:tabs>
      <w:suppressAutoHyphens/>
    </w:pPr>
  </w:p>
  <w:p w14:paraId="338CDB02" w14:textId="77777777" w:rsidR="005B3B34" w:rsidRDefault="005B3B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460A" w14:textId="77777777" w:rsidR="005B3B34" w:rsidRPr="007F7FC7" w:rsidRDefault="005B3B34" w:rsidP="007F7FC7">
    <w:pPr>
      <w:pStyle w:val="Header"/>
    </w:pPr>
  </w:p>
  <w:p w14:paraId="1A30B737" w14:textId="77777777" w:rsidR="005B3B34" w:rsidRDefault="005B3B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6A354AE"/>
    <w:multiLevelType w:val="hybridMultilevel"/>
    <w:tmpl w:val="B7887648"/>
    <w:lvl w:ilvl="0" w:tplc="76C49A52">
      <w:start w:val="1"/>
      <w:numFmt w:val="lowerLetter"/>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2" w15:restartNumberingAfterBreak="0">
    <w:nsid w:val="079467A1"/>
    <w:multiLevelType w:val="hybridMultilevel"/>
    <w:tmpl w:val="FCB2FBAC"/>
    <w:lvl w:ilvl="0" w:tplc="C922988E">
      <w:start w:val="2"/>
      <w:numFmt w:val="lowerRoman"/>
      <w:lvlText w:val="(%1)"/>
      <w:lvlJc w:val="left"/>
      <w:pPr>
        <w:ind w:left="2177" w:hanging="72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1FF94F05"/>
    <w:multiLevelType w:val="hybridMultilevel"/>
    <w:tmpl w:val="C784860C"/>
    <w:lvl w:ilvl="0" w:tplc="35A6A9C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43452F"/>
    <w:multiLevelType w:val="hybridMultilevel"/>
    <w:tmpl w:val="29DC2AB0"/>
    <w:lvl w:ilvl="0" w:tplc="2C14590A">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2293221D"/>
    <w:multiLevelType w:val="hybridMultilevel"/>
    <w:tmpl w:val="88328150"/>
    <w:lvl w:ilvl="0" w:tplc="CC16E57C">
      <w:start w:val="1"/>
      <w:numFmt w:val="lowerLetter"/>
      <w:lvlText w:val="(%1)"/>
      <w:lvlJc w:val="left"/>
      <w:pPr>
        <w:ind w:left="1457" w:hanging="360"/>
      </w:pPr>
      <w:rPr>
        <w:rFonts w:hint="default"/>
        <w:color w:val="000000"/>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9" w15:restartNumberingAfterBreak="0">
    <w:nsid w:val="23442498"/>
    <w:multiLevelType w:val="hybridMultilevel"/>
    <w:tmpl w:val="BBAAEB50"/>
    <w:lvl w:ilvl="0" w:tplc="B1127CF2">
      <w:start w:val="1"/>
      <w:numFmt w:val="lowerLetter"/>
      <w:lvlText w:val="(%1)"/>
      <w:lvlJc w:val="left"/>
      <w:pPr>
        <w:ind w:left="1457" w:hanging="360"/>
      </w:pPr>
      <w:rPr>
        <w:rFonts w:hint="default"/>
        <w:color w:val="000000"/>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0" w15:restartNumberingAfterBreak="0">
    <w:nsid w:val="29AE3DD1"/>
    <w:multiLevelType w:val="singleLevel"/>
    <w:tmpl w:val="5D16AF24"/>
    <w:lvl w:ilvl="0">
      <w:start w:val="1"/>
      <w:numFmt w:val="decimal"/>
      <w:lvlRestart w:val="0"/>
      <w:pStyle w:val="ParaNumbering"/>
      <w:lvlText w:val="%1"/>
      <w:lvlJc w:val="left"/>
      <w:pPr>
        <w:tabs>
          <w:tab w:val="num" w:pos="720"/>
        </w:tabs>
        <w:ind w:left="0" w:hanging="720"/>
      </w:pPr>
      <w:rPr>
        <w:rFonts w:hint="default"/>
        <w:b w:val="0"/>
        <w:bCs w:val="0"/>
        <w:sz w:val="20"/>
      </w:rPr>
    </w:lvl>
  </w:abstractNum>
  <w:abstractNum w:abstractNumId="21"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1287860"/>
    <w:multiLevelType w:val="hybridMultilevel"/>
    <w:tmpl w:val="C794F394"/>
    <w:lvl w:ilvl="0" w:tplc="94282C8E">
      <w:start w:val="1"/>
      <w:numFmt w:val="decimal"/>
      <w:lvlText w:val="(%1)"/>
      <w:lvlJc w:val="left"/>
      <w:pPr>
        <w:ind w:left="1109" w:hanging="372"/>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6" w15:restartNumberingAfterBreak="0">
    <w:nsid w:val="3A9349DF"/>
    <w:multiLevelType w:val="hybridMultilevel"/>
    <w:tmpl w:val="29DC2AB0"/>
    <w:lvl w:ilvl="0" w:tplc="FFFFFFFF">
      <w:start w:val="1"/>
      <w:numFmt w:val="decimal"/>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7" w15:restartNumberingAfterBreak="0">
    <w:nsid w:val="494817A7"/>
    <w:multiLevelType w:val="multilevel"/>
    <w:tmpl w:val="0F0EC90E"/>
    <w:numStyleLink w:val="FCListNo"/>
  </w:abstractNum>
  <w:abstractNum w:abstractNumId="2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78C6388"/>
    <w:multiLevelType w:val="hybridMultilevel"/>
    <w:tmpl w:val="427E6758"/>
    <w:lvl w:ilvl="0" w:tplc="896EB84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FDE1536"/>
    <w:multiLevelType w:val="hybridMultilevel"/>
    <w:tmpl w:val="29DC2AB0"/>
    <w:lvl w:ilvl="0" w:tplc="FFFFFFFF">
      <w:start w:val="1"/>
      <w:numFmt w:val="decimal"/>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2" w15:restartNumberingAfterBreak="0">
    <w:nsid w:val="601B3F37"/>
    <w:multiLevelType w:val="hybridMultilevel"/>
    <w:tmpl w:val="23085F3E"/>
    <w:lvl w:ilvl="0" w:tplc="25C0ADEE">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F1671DA"/>
    <w:multiLevelType w:val="hybridMultilevel"/>
    <w:tmpl w:val="CE16BBBA"/>
    <w:lvl w:ilvl="0" w:tplc="D24C275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6" w15:restartNumberingAfterBreak="0">
    <w:nsid w:val="74175CDF"/>
    <w:multiLevelType w:val="hybridMultilevel"/>
    <w:tmpl w:val="6E923240"/>
    <w:lvl w:ilvl="0" w:tplc="10A84C6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7A206C37"/>
    <w:multiLevelType w:val="hybridMultilevel"/>
    <w:tmpl w:val="9D1E336E"/>
    <w:lvl w:ilvl="0" w:tplc="BE4887FE">
      <w:start w:val="9"/>
      <w:numFmt w:val="lowerLetter"/>
      <w:lvlText w:val="(%1)"/>
      <w:lvlJc w:val="left"/>
      <w:pPr>
        <w:ind w:left="1817" w:hanging="360"/>
      </w:pPr>
      <w:rPr>
        <w:rFonts w:hint="default"/>
        <w:color w:val="000000"/>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38" w15:restartNumberingAfterBreak="0">
    <w:nsid w:val="7C896306"/>
    <w:multiLevelType w:val="hybridMultilevel"/>
    <w:tmpl w:val="D2C08A9A"/>
    <w:lvl w:ilvl="0" w:tplc="DC4C0442">
      <w:start w:val="1"/>
      <w:numFmt w:val="lowerRoman"/>
      <w:lvlText w:val="(%1)"/>
      <w:lvlJc w:val="left"/>
      <w:pPr>
        <w:ind w:left="2705" w:hanging="720"/>
      </w:pPr>
      <w:rPr>
        <w:rFonts w:hint="default"/>
        <w:color w:val="00000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7D4463F7"/>
    <w:multiLevelType w:val="hybridMultilevel"/>
    <w:tmpl w:val="57CEF182"/>
    <w:lvl w:ilvl="0" w:tplc="3C6C5506">
      <w:start w:val="1"/>
      <w:numFmt w:val="lowerLetter"/>
      <w:lvlText w:val="(%1)"/>
      <w:lvlJc w:val="left"/>
      <w:pPr>
        <w:ind w:left="1800" w:hanging="36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726640688">
    <w:abstractNumId w:val="20"/>
  </w:num>
  <w:num w:numId="2" w16cid:durableId="2077362117">
    <w:abstractNumId w:val="9"/>
  </w:num>
  <w:num w:numId="3" w16cid:durableId="911618047">
    <w:abstractNumId w:val="7"/>
  </w:num>
  <w:num w:numId="4" w16cid:durableId="53819634">
    <w:abstractNumId w:val="6"/>
  </w:num>
  <w:num w:numId="5" w16cid:durableId="318585202">
    <w:abstractNumId w:val="5"/>
  </w:num>
  <w:num w:numId="6" w16cid:durableId="58789663">
    <w:abstractNumId w:val="4"/>
  </w:num>
  <w:num w:numId="7" w16cid:durableId="1723408257">
    <w:abstractNumId w:val="8"/>
  </w:num>
  <w:num w:numId="8" w16cid:durableId="869492623">
    <w:abstractNumId w:val="3"/>
  </w:num>
  <w:num w:numId="9" w16cid:durableId="1432779325">
    <w:abstractNumId w:val="2"/>
  </w:num>
  <w:num w:numId="10" w16cid:durableId="760372616">
    <w:abstractNumId w:val="1"/>
  </w:num>
  <w:num w:numId="11" w16cid:durableId="1922332016">
    <w:abstractNumId w:val="0"/>
  </w:num>
  <w:num w:numId="12" w16cid:durableId="1797914983">
    <w:abstractNumId w:val="33"/>
  </w:num>
  <w:num w:numId="13" w16cid:durableId="921644182">
    <w:abstractNumId w:val="28"/>
  </w:num>
  <w:num w:numId="14" w16cid:durableId="1872843070">
    <w:abstractNumId w:val="29"/>
  </w:num>
  <w:num w:numId="15" w16cid:durableId="1401753817">
    <w:abstractNumId w:val="39"/>
  </w:num>
  <w:num w:numId="16" w16cid:durableId="270673434">
    <w:abstractNumId w:val="15"/>
  </w:num>
  <w:num w:numId="17" w16cid:durableId="2073650668">
    <w:abstractNumId w:val="35"/>
  </w:num>
  <w:num w:numId="18" w16cid:durableId="1121923876">
    <w:abstractNumId w:val="13"/>
  </w:num>
  <w:num w:numId="19" w16cid:durableId="1238516356">
    <w:abstractNumId w:val="25"/>
  </w:num>
  <w:num w:numId="20" w16cid:durableId="1898927684">
    <w:abstractNumId w:val="21"/>
  </w:num>
  <w:num w:numId="21" w16cid:durableId="17127874">
    <w:abstractNumId w:val="22"/>
  </w:num>
  <w:num w:numId="22" w16cid:durableId="1207571101">
    <w:abstractNumId w:val="27"/>
  </w:num>
  <w:num w:numId="23" w16cid:durableId="1073704225">
    <w:abstractNumId w:val="10"/>
  </w:num>
  <w:num w:numId="24" w16cid:durableId="176578266">
    <w:abstractNumId w:val="14"/>
  </w:num>
  <w:num w:numId="25" w16cid:durableId="1394157397">
    <w:abstractNumId w:val="24"/>
  </w:num>
  <w:num w:numId="26" w16cid:durableId="1660648777">
    <w:abstractNumId w:val="23"/>
  </w:num>
  <w:num w:numId="27" w16cid:durableId="928736500">
    <w:abstractNumId w:val="30"/>
  </w:num>
  <w:num w:numId="28" w16cid:durableId="691078373">
    <w:abstractNumId w:val="36"/>
  </w:num>
  <w:num w:numId="29" w16cid:durableId="1767192201">
    <w:abstractNumId w:val="17"/>
  </w:num>
  <w:num w:numId="30" w16cid:durableId="1734231904">
    <w:abstractNumId w:val="11"/>
  </w:num>
  <w:num w:numId="31" w16cid:durableId="1656911976">
    <w:abstractNumId w:val="19"/>
  </w:num>
  <w:num w:numId="32" w16cid:durableId="658652524">
    <w:abstractNumId w:val="37"/>
  </w:num>
  <w:num w:numId="33" w16cid:durableId="130444984">
    <w:abstractNumId w:val="12"/>
  </w:num>
  <w:num w:numId="34" w16cid:durableId="1390180574">
    <w:abstractNumId w:val="32"/>
  </w:num>
  <w:num w:numId="35" w16cid:durableId="643512682">
    <w:abstractNumId w:val="16"/>
  </w:num>
  <w:num w:numId="36" w16cid:durableId="359548349">
    <w:abstractNumId w:val="26"/>
  </w:num>
  <w:num w:numId="37" w16cid:durableId="715472106">
    <w:abstractNumId w:val="34"/>
  </w:num>
  <w:num w:numId="38" w16cid:durableId="357391474">
    <w:abstractNumId w:val="18"/>
  </w:num>
  <w:num w:numId="39" w16cid:durableId="1557398977">
    <w:abstractNumId w:val="40"/>
  </w:num>
  <w:num w:numId="40" w16cid:durableId="1747874718">
    <w:abstractNumId w:val="38"/>
  </w:num>
  <w:num w:numId="41" w16cid:durableId="118196810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81"/>
    <w:rsid w:val="00000747"/>
    <w:rsid w:val="00000B8D"/>
    <w:rsid w:val="000014CC"/>
    <w:rsid w:val="00003A6C"/>
    <w:rsid w:val="000053F0"/>
    <w:rsid w:val="00006966"/>
    <w:rsid w:val="00010B33"/>
    <w:rsid w:val="000115C5"/>
    <w:rsid w:val="00011852"/>
    <w:rsid w:val="000127C9"/>
    <w:rsid w:val="00012C3A"/>
    <w:rsid w:val="0001469E"/>
    <w:rsid w:val="00014DC9"/>
    <w:rsid w:val="00015108"/>
    <w:rsid w:val="00015993"/>
    <w:rsid w:val="00016A82"/>
    <w:rsid w:val="0001752C"/>
    <w:rsid w:val="000175BB"/>
    <w:rsid w:val="00020A23"/>
    <w:rsid w:val="00021CCB"/>
    <w:rsid w:val="00022289"/>
    <w:rsid w:val="000237E9"/>
    <w:rsid w:val="00024D7F"/>
    <w:rsid w:val="00024E53"/>
    <w:rsid w:val="000264CD"/>
    <w:rsid w:val="000267AC"/>
    <w:rsid w:val="00026964"/>
    <w:rsid w:val="00026B3E"/>
    <w:rsid w:val="00027398"/>
    <w:rsid w:val="000300FA"/>
    <w:rsid w:val="00030B4E"/>
    <w:rsid w:val="0003201A"/>
    <w:rsid w:val="0003207A"/>
    <w:rsid w:val="00032184"/>
    <w:rsid w:val="00032F9F"/>
    <w:rsid w:val="00036188"/>
    <w:rsid w:val="00036795"/>
    <w:rsid w:val="00037315"/>
    <w:rsid w:val="00037420"/>
    <w:rsid w:val="00037717"/>
    <w:rsid w:val="000400DC"/>
    <w:rsid w:val="00041C07"/>
    <w:rsid w:val="000422F6"/>
    <w:rsid w:val="0004271E"/>
    <w:rsid w:val="00042EED"/>
    <w:rsid w:val="000448E9"/>
    <w:rsid w:val="00045A43"/>
    <w:rsid w:val="00045BB7"/>
    <w:rsid w:val="00045FAB"/>
    <w:rsid w:val="00046387"/>
    <w:rsid w:val="000464E2"/>
    <w:rsid w:val="00047173"/>
    <w:rsid w:val="00047A33"/>
    <w:rsid w:val="00050044"/>
    <w:rsid w:val="000515B8"/>
    <w:rsid w:val="00051CA7"/>
    <w:rsid w:val="00052459"/>
    <w:rsid w:val="00052892"/>
    <w:rsid w:val="00052D6B"/>
    <w:rsid w:val="00053A51"/>
    <w:rsid w:val="00054D84"/>
    <w:rsid w:val="00055719"/>
    <w:rsid w:val="0005641B"/>
    <w:rsid w:val="00056745"/>
    <w:rsid w:val="0005677D"/>
    <w:rsid w:val="00057FDF"/>
    <w:rsid w:val="000610B3"/>
    <w:rsid w:val="00061781"/>
    <w:rsid w:val="0006196A"/>
    <w:rsid w:val="00062023"/>
    <w:rsid w:val="00062323"/>
    <w:rsid w:val="00062F49"/>
    <w:rsid w:val="0006346F"/>
    <w:rsid w:val="00064382"/>
    <w:rsid w:val="00064A2C"/>
    <w:rsid w:val="000650F0"/>
    <w:rsid w:val="00065AA9"/>
    <w:rsid w:val="000660C8"/>
    <w:rsid w:val="00067161"/>
    <w:rsid w:val="00071FB3"/>
    <w:rsid w:val="00074C3F"/>
    <w:rsid w:val="0007602B"/>
    <w:rsid w:val="00077402"/>
    <w:rsid w:val="00077768"/>
    <w:rsid w:val="00077B0B"/>
    <w:rsid w:val="00077FAA"/>
    <w:rsid w:val="00080B38"/>
    <w:rsid w:val="00080D6A"/>
    <w:rsid w:val="00080F25"/>
    <w:rsid w:val="00081497"/>
    <w:rsid w:val="000831EC"/>
    <w:rsid w:val="00084126"/>
    <w:rsid w:val="000847E0"/>
    <w:rsid w:val="00084B81"/>
    <w:rsid w:val="00085255"/>
    <w:rsid w:val="000853F2"/>
    <w:rsid w:val="00085478"/>
    <w:rsid w:val="00085AA2"/>
    <w:rsid w:val="00085F1A"/>
    <w:rsid w:val="0008787A"/>
    <w:rsid w:val="000879CE"/>
    <w:rsid w:val="00090115"/>
    <w:rsid w:val="00090B54"/>
    <w:rsid w:val="00091E92"/>
    <w:rsid w:val="000922EC"/>
    <w:rsid w:val="00092478"/>
    <w:rsid w:val="0009287C"/>
    <w:rsid w:val="0009311A"/>
    <w:rsid w:val="000934B2"/>
    <w:rsid w:val="0009458D"/>
    <w:rsid w:val="00096A20"/>
    <w:rsid w:val="00097A4D"/>
    <w:rsid w:val="00097C8D"/>
    <w:rsid w:val="000A06EE"/>
    <w:rsid w:val="000A1045"/>
    <w:rsid w:val="000A1165"/>
    <w:rsid w:val="000A1666"/>
    <w:rsid w:val="000A1692"/>
    <w:rsid w:val="000A2E76"/>
    <w:rsid w:val="000A37BA"/>
    <w:rsid w:val="000A3F46"/>
    <w:rsid w:val="000A42AC"/>
    <w:rsid w:val="000A4514"/>
    <w:rsid w:val="000A4807"/>
    <w:rsid w:val="000A4B3C"/>
    <w:rsid w:val="000A4BE4"/>
    <w:rsid w:val="000A51AF"/>
    <w:rsid w:val="000A5ACA"/>
    <w:rsid w:val="000A5D44"/>
    <w:rsid w:val="000A6357"/>
    <w:rsid w:val="000B055E"/>
    <w:rsid w:val="000B0DA8"/>
    <w:rsid w:val="000B1641"/>
    <w:rsid w:val="000B1CFA"/>
    <w:rsid w:val="000B1DD2"/>
    <w:rsid w:val="000B3648"/>
    <w:rsid w:val="000B3E97"/>
    <w:rsid w:val="000B47CE"/>
    <w:rsid w:val="000B5373"/>
    <w:rsid w:val="000B5DE5"/>
    <w:rsid w:val="000B632C"/>
    <w:rsid w:val="000B6DC6"/>
    <w:rsid w:val="000B7ABD"/>
    <w:rsid w:val="000B7B92"/>
    <w:rsid w:val="000C023E"/>
    <w:rsid w:val="000C0AEF"/>
    <w:rsid w:val="000C212D"/>
    <w:rsid w:val="000C25F2"/>
    <w:rsid w:val="000C2B4A"/>
    <w:rsid w:val="000C2F14"/>
    <w:rsid w:val="000C2F55"/>
    <w:rsid w:val="000C3AA9"/>
    <w:rsid w:val="000C3E01"/>
    <w:rsid w:val="000C405D"/>
    <w:rsid w:val="000C406C"/>
    <w:rsid w:val="000C50DC"/>
    <w:rsid w:val="000C5195"/>
    <w:rsid w:val="000C5D18"/>
    <w:rsid w:val="000C62EF"/>
    <w:rsid w:val="000C63C3"/>
    <w:rsid w:val="000C6F4C"/>
    <w:rsid w:val="000C7391"/>
    <w:rsid w:val="000D07C6"/>
    <w:rsid w:val="000D17BD"/>
    <w:rsid w:val="000D1B96"/>
    <w:rsid w:val="000D2137"/>
    <w:rsid w:val="000D3253"/>
    <w:rsid w:val="000D38C3"/>
    <w:rsid w:val="000D3FD2"/>
    <w:rsid w:val="000D451A"/>
    <w:rsid w:val="000D4563"/>
    <w:rsid w:val="000D4B2E"/>
    <w:rsid w:val="000D56E5"/>
    <w:rsid w:val="000D57D6"/>
    <w:rsid w:val="000D6C2F"/>
    <w:rsid w:val="000E11B0"/>
    <w:rsid w:val="000E2D38"/>
    <w:rsid w:val="000E3B0E"/>
    <w:rsid w:val="000E3FC8"/>
    <w:rsid w:val="000E417C"/>
    <w:rsid w:val="000E6D6D"/>
    <w:rsid w:val="000E7BAE"/>
    <w:rsid w:val="000F0176"/>
    <w:rsid w:val="000F133D"/>
    <w:rsid w:val="000F1B6B"/>
    <w:rsid w:val="000F2675"/>
    <w:rsid w:val="000F39D2"/>
    <w:rsid w:val="000F4739"/>
    <w:rsid w:val="000F52C7"/>
    <w:rsid w:val="000F5B44"/>
    <w:rsid w:val="000F79B7"/>
    <w:rsid w:val="0010184C"/>
    <w:rsid w:val="00101EFD"/>
    <w:rsid w:val="0010208F"/>
    <w:rsid w:val="001029A7"/>
    <w:rsid w:val="00103A3D"/>
    <w:rsid w:val="00104BDC"/>
    <w:rsid w:val="00104F7F"/>
    <w:rsid w:val="00105113"/>
    <w:rsid w:val="0010536B"/>
    <w:rsid w:val="001053FD"/>
    <w:rsid w:val="00105528"/>
    <w:rsid w:val="001066AE"/>
    <w:rsid w:val="001106D6"/>
    <w:rsid w:val="0011145C"/>
    <w:rsid w:val="00111CDF"/>
    <w:rsid w:val="001127E8"/>
    <w:rsid w:val="001128BD"/>
    <w:rsid w:val="00112A85"/>
    <w:rsid w:val="00112C49"/>
    <w:rsid w:val="0011386E"/>
    <w:rsid w:val="0011419D"/>
    <w:rsid w:val="00114B02"/>
    <w:rsid w:val="00115C24"/>
    <w:rsid w:val="0011690E"/>
    <w:rsid w:val="0011724C"/>
    <w:rsid w:val="00117C49"/>
    <w:rsid w:val="00117D4C"/>
    <w:rsid w:val="00121354"/>
    <w:rsid w:val="001216BA"/>
    <w:rsid w:val="001226C0"/>
    <w:rsid w:val="00123F8B"/>
    <w:rsid w:val="00125849"/>
    <w:rsid w:val="001260B4"/>
    <w:rsid w:val="00126EC8"/>
    <w:rsid w:val="0012731C"/>
    <w:rsid w:val="0012752B"/>
    <w:rsid w:val="00127DF9"/>
    <w:rsid w:val="00130050"/>
    <w:rsid w:val="0013106A"/>
    <w:rsid w:val="00132054"/>
    <w:rsid w:val="001323B8"/>
    <w:rsid w:val="00132889"/>
    <w:rsid w:val="00133B41"/>
    <w:rsid w:val="001341A8"/>
    <w:rsid w:val="001347A7"/>
    <w:rsid w:val="00134964"/>
    <w:rsid w:val="001351B9"/>
    <w:rsid w:val="001360ED"/>
    <w:rsid w:val="00140F2B"/>
    <w:rsid w:val="00141E6F"/>
    <w:rsid w:val="00142800"/>
    <w:rsid w:val="00145148"/>
    <w:rsid w:val="001451CB"/>
    <w:rsid w:val="0014590A"/>
    <w:rsid w:val="00145BD1"/>
    <w:rsid w:val="001466A7"/>
    <w:rsid w:val="00147EC8"/>
    <w:rsid w:val="001517ED"/>
    <w:rsid w:val="00153386"/>
    <w:rsid w:val="001536AB"/>
    <w:rsid w:val="00153CF3"/>
    <w:rsid w:val="001549BC"/>
    <w:rsid w:val="00154B7B"/>
    <w:rsid w:val="00154F05"/>
    <w:rsid w:val="001552B1"/>
    <w:rsid w:val="00155CD2"/>
    <w:rsid w:val="00155E89"/>
    <w:rsid w:val="00156206"/>
    <w:rsid w:val="00156AC5"/>
    <w:rsid w:val="00156D94"/>
    <w:rsid w:val="00160212"/>
    <w:rsid w:val="00160F12"/>
    <w:rsid w:val="0016239F"/>
    <w:rsid w:val="00162DF5"/>
    <w:rsid w:val="00163521"/>
    <w:rsid w:val="00163DA9"/>
    <w:rsid w:val="00164720"/>
    <w:rsid w:val="00165864"/>
    <w:rsid w:val="00165F04"/>
    <w:rsid w:val="00166030"/>
    <w:rsid w:val="00166DB7"/>
    <w:rsid w:val="001674FF"/>
    <w:rsid w:val="00170208"/>
    <w:rsid w:val="00171218"/>
    <w:rsid w:val="00172555"/>
    <w:rsid w:val="001727A4"/>
    <w:rsid w:val="00173469"/>
    <w:rsid w:val="0017376C"/>
    <w:rsid w:val="001738AB"/>
    <w:rsid w:val="001738CA"/>
    <w:rsid w:val="00173F70"/>
    <w:rsid w:val="00174F34"/>
    <w:rsid w:val="00175129"/>
    <w:rsid w:val="0017529D"/>
    <w:rsid w:val="0017599C"/>
    <w:rsid w:val="001763BB"/>
    <w:rsid w:val="001765E0"/>
    <w:rsid w:val="00177759"/>
    <w:rsid w:val="00180BB3"/>
    <w:rsid w:val="001821EB"/>
    <w:rsid w:val="001829B3"/>
    <w:rsid w:val="0018373D"/>
    <w:rsid w:val="001845B7"/>
    <w:rsid w:val="00185101"/>
    <w:rsid w:val="001856AC"/>
    <w:rsid w:val="00185A76"/>
    <w:rsid w:val="00185DD6"/>
    <w:rsid w:val="00185E6B"/>
    <w:rsid w:val="00185FEC"/>
    <w:rsid w:val="001867BD"/>
    <w:rsid w:val="00186F45"/>
    <w:rsid w:val="00187504"/>
    <w:rsid w:val="0018761E"/>
    <w:rsid w:val="00187711"/>
    <w:rsid w:val="00187BBC"/>
    <w:rsid w:val="00187C90"/>
    <w:rsid w:val="00187EA2"/>
    <w:rsid w:val="0019027B"/>
    <w:rsid w:val="001908EF"/>
    <w:rsid w:val="001913D4"/>
    <w:rsid w:val="00192613"/>
    <w:rsid w:val="00192C39"/>
    <w:rsid w:val="001932F3"/>
    <w:rsid w:val="00193FF4"/>
    <w:rsid w:val="001944BD"/>
    <w:rsid w:val="0019552B"/>
    <w:rsid w:val="0019640F"/>
    <w:rsid w:val="00196A80"/>
    <w:rsid w:val="00197287"/>
    <w:rsid w:val="001977B7"/>
    <w:rsid w:val="001A0592"/>
    <w:rsid w:val="001A0B59"/>
    <w:rsid w:val="001A1041"/>
    <w:rsid w:val="001A127C"/>
    <w:rsid w:val="001A1E3D"/>
    <w:rsid w:val="001A2B40"/>
    <w:rsid w:val="001A3816"/>
    <w:rsid w:val="001A3CFD"/>
    <w:rsid w:val="001A4309"/>
    <w:rsid w:val="001A46AE"/>
    <w:rsid w:val="001A5147"/>
    <w:rsid w:val="001A5418"/>
    <w:rsid w:val="001A5591"/>
    <w:rsid w:val="001A5BA1"/>
    <w:rsid w:val="001A5C4C"/>
    <w:rsid w:val="001A5FD4"/>
    <w:rsid w:val="001A675B"/>
    <w:rsid w:val="001A69EA"/>
    <w:rsid w:val="001A6A05"/>
    <w:rsid w:val="001A6C52"/>
    <w:rsid w:val="001B04D1"/>
    <w:rsid w:val="001B08A7"/>
    <w:rsid w:val="001B0A7A"/>
    <w:rsid w:val="001B1053"/>
    <w:rsid w:val="001B14AC"/>
    <w:rsid w:val="001B197A"/>
    <w:rsid w:val="001B29EE"/>
    <w:rsid w:val="001B2C31"/>
    <w:rsid w:val="001B3F72"/>
    <w:rsid w:val="001B5A0C"/>
    <w:rsid w:val="001B727E"/>
    <w:rsid w:val="001B7940"/>
    <w:rsid w:val="001B7DD1"/>
    <w:rsid w:val="001C0318"/>
    <w:rsid w:val="001C04BA"/>
    <w:rsid w:val="001C1019"/>
    <w:rsid w:val="001C171A"/>
    <w:rsid w:val="001C2DB9"/>
    <w:rsid w:val="001C2FE0"/>
    <w:rsid w:val="001C37CA"/>
    <w:rsid w:val="001C4085"/>
    <w:rsid w:val="001C48DB"/>
    <w:rsid w:val="001C4E71"/>
    <w:rsid w:val="001C6F2F"/>
    <w:rsid w:val="001C731E"/>
    <w:rsid w:val="001C7997"/>
    <w:rsid w:val="001D0077"/>
    <w:rsid w:val="001D05D9"/>
    <w:rsid w:val="001D1273"/>
    <w:rsid w:val="001D1CBE"/>
    <w:rsid w:val="001D1EFB"/>
    <w:rsid w:val="001D2169"/>
    <w:rsid w:val="001D3614"/>
    <w:rsid w:val="001D4303"/>
    <w:rsid w:val="001D4868"/>
    <w:rsid w:val="001D4F97"/>
    <w:rsid w:val="001D57E3"/>
    <w:rsid w:val="001D6746"/>
    <w:rsid w:val="001D6885"/>
    <w:rsid w:val="001E0C61"/>
    <w:rsid w:val="001E21CE"/>
    <w:rsid w:val="001E2BC6"/>
    <w:rsid w:val="001E35E0"/>
    <w:rsid w:val="001E35EA"/>
    <w:rsid w:val="001E3B49"/>
    <w:rsid w:val="001E3FC7"/>
    <w:rsid w:val="001E4801"/>
    <w:rsid w:val="001E4A05"/>
    <w:rsid w:val="001E4D38"/>
    <w:rsid w:val="001E564D"/>
    <w:rsid w:val="001E6A19"/>
    <w:rsid w:val="001E7388"/>
    <w:rsid w:val="001E7736"/>
    <w:rsid w:val="001F01F0"/>
    <w:rsid w:val="001F03DD"/>
    <w:rsid w:val="001F0FBA"/>
    <w:rsid w:val="001F13DD"/>
    <w:rsid w:val="001F17BB"/>
    <w:rsid w:val="001F18D9"/>
    <w:rsid w:val="001F220A"/>
    <w:rsid w:val="001F22BF"/>
    <w:rsid w:val="001F2473"/>
    <w:rsid w:val="001F2DBC"/>
    <w:rsid w:val="001F525C"/>
    <w:rsid w:val="001F5DE6"/>
    <w:rsid w:val="001F606B"/>
    <w:rsid w:val="001F65F7"/>
    <w:rsid w:val="001F6FA8"/>
    <w:rsid w:val="001F7396"/>
    <w:rsid w:val="001F73E8"/>
    <w:rsid w:val="00200924"/>
    <w:rsid w:val="0020124C"/>
    <w:rsid w:val="00201525"/>
    <w:rsid w:val="0020262C"/>
    <w:rsid w:val="00202723"/>
    <w:rsid w:val="00204B09"/>
    <w:rsid w:val="00205484"/>
    <w:rsid w:val="00206263"/>
    <w:rsid w:val="00207EB9"/>
    <w:rsid w:val="00211661"/>
    <w:rsid w:val="00211916"/>
    <w:rsid w:val="00211A3E"/>
    <w:rsid w:val="00211FFF"/>
    <w:rsid w:val="00212FA6"/>
    <w:rsid w:val="00213016"/>
    <w:rsid w:val="002137BC"/>
    <w:rsid w:val="00213E13"/>
    <w:rsid w:val="00213F20"/>
    <w:rsid w:val="00214055"/>
    <w:rsid w:val="00214C3B"/>
    <w:rsid w:val="00215806"/>
    <w:rsid w:val="00215BCA"/>
    <w:rsid w:val="002160F5"/>
    <w:rsid w:val="00216561"/>
    <w:rsid w:val="0021751A"/>
    <w:rsid w:val="0021754A"/>
    <w:rsid w:val="00217AB8"/>
    <w:rsid w:val="00217AC4"/>
    <w:rsid w:val="00220289"/>
    <w:rsid w:val="00221461"/>
    <w:rsid w:val="0022147C"/>
    <w:rsid w:val="00221B2D"/>
    <w:rsid w:val="002220A1"/>
    <w:rsid w:val="002223F9"/>
    <w:rsid w:val="00222E76"/>
    <w:rsid w:val="00223803"/>
    <w:rsid w:val="00224537"/>
    <w:rsid w:val="00224714"/>
    <w:rsid w:val="00226817"/>
    <w:rsid w:val="00226B1B"/>
    <w:rsid w:val="00227512"/>
    <w:rsid w:val="002306CD"/>
    <w:rsid w:val="002312C4"/>
    <w:rsid w:val="002321F6"/>
    <w:rsid w:val="002333F3"/>
    <w:rsid w:val="0023377E"/>
    <w:rsid w:val="00233915"/>
    <w:rsid w:val="00234457"/>
    <w:rsid w:val="00234C50"/>
    <w:rsid w:val="00234DE4"/>
    <w:rsid w:val="00235956"/>
    <w:rsid w:val="00235DF8"/>
    <w:rsid w:val="0023633B"/>
    <w:rsid w:val="00237CBA"/>
    <w:rsid w:val="0024154D"/>
    <w:rsid w:val="00242ADD"/>
    <w:rsid w:val="00243E1D"/>
    <w:rsid w:val="00243E5E"/>
    <w:rsid w:val="00244ABA"/>
    <w:rsid w:val="00245853"/>
    <w:rsid w:val="002467A6"/>
    <w:rsid w:val="00246E9C"/>
    <w:rsid w:val="00247C9A"/>
    <w:rsid w:val="002509E0"/>
    <w:rsid w:val="00250A7C"/>
    <w:rsid w:val="00250B09"/>
    <w:rsid w:val="00250F21"/>
    <w:rsid w:val="0025160C"/>
    <w:rsid w:val="0025213B"/>
    <w:rsid w:val="00252524"/>
    <w:rsid w:val="002526D4"/>
    <w:rsid w:val="002529BF"/>
    <w:rsid w:val="002535D0"/>
    <w:rsid w:val="002539B3"/>
    <w:rsid w:val="002541E0"/>
    <w:rsid w:val="00256336"/>
    <w:rsid w:val="0025798A"/>
    <w:rsid w:val="00257C3E"/>
    <w:rsid w:val="002602C2"/>
    <w:rsid w:val="0026041F"/>
    <w:rsid w:val="00260BA0"/>
    <w:rsid w:val="00261D48"/>
    <w:rsid w:val="002621EF"/>
    <w:rsid w:val="00263226"/>
    <w:rsid w:val="0026328D"/>
    <w:rsid w:val="0026375C"/>
    <w:rsid w:val="00263C93"/>
    <w:rsid w:val="002655AA"/>
    <w:rsid w:val="0026569E"/>
    <w:rsid w:val="002658A8"/>
    <w:rsid w:val="00265F39"/>
    <w:rsid w:val="00265F64"/>
    <w:rsid w:val="002664F8"/>
    <w:rsid w:val="002666C9"/>
    <w:rsid w:val="00267112"/>
    <w:rsid w:val="00270136"/>
    <w:rsid w:val="00270A2E"/>
    <w:rsid w:val="00270D6C"/>
    <w:rsid w:val="00270FD7"/>
    <w:rsid w:val="00272DE4"/>
    <w:rsid w:val="00273179"/>
    <w:rsid w:val="00273E76"/>
    <w:rsid w:val="00274660"/>
    <w:rsid w:val="00274F5B"/>
    <w:rsid w:val="00275093"/>
    <w:rsid w:val="00276A12"/>
    <w:rsid w:val="00276DFD"/>
    <w:rsid w:val="0027701C"/>
    <w:rsid w:val="002774AC"/>
    <w:rsid w:val="00277681"/>
    <w:rsid w:val="002776E4"/>
    <w:rsid w:val="002804C2"/>
    <w:rsid w:val="00280636"/>
    <w:rsid w:val="00280836"/>
    <w:rsid w:val="002813CC"/>
    <w:rsid w:val="00281DE9"/>
    <w:rsid w:val="002826EF"/>
    <w:rsid w:val="00282E1A"/>
    <w:rsid w:val="00283D73"/>
    <w:rsid w:val="002840F1"/>
    <w:rsid w:val="00284B90"/>
    <w:rsid w:val="00284C45"/>
    <w:rsid w:val="00285922"/>
    <w:rsid w:val="00286FF2"/>
    <w:rsid w:val="00287154"/>
    <w:rsid w:val="00287386"/>
    <w:rsid w:val="00287F35"/>
    <w:rsid w:val="002904FA"/>
    <w:rsid w:val="00290578"/>
    <w:rsid w:val="002908BD"/>
    <w:rsid w:val="0029113B"/>
    <w:rsid w:val="00291C29"/>
    <w:rsid w:val="0029207D"/>
    <w:rsid w:val="002920A2"/>
    <w:rsid w:val="002920C0"/>
    <w:rsid w:val="00292487"/>
    <w:rsid w:val="0029317B"/>
    <w:rsid w:val="002934C0"/>
    <w:rsid w:val="00293E1F"/>
    <w:rsid w:val="00294112"/>
    <w:rsid w:val="00296553"/>
    <w:rsid w:val="0029764C"/>
    <w:rsid w:val="002A0690"/>
    <w:rsid w:val="002A0B74"/>
    <w:rsid w:val="002A1268"/>
    <w:rsid w:val="002A1641"/>
    <w:rsid w:val="002A1B50"/>
    <w:rsid w:val="002A2C45"/>
    <w:rsid w:val="002A53D3"/>
    <w:rsid w:val="002A53D5"/>
    <w:rsid w:val="002A5C3E"/>
    <w:rsid w:val="002A6186"/>
    <w:rsid w:val="002A70A9"/>
    <w:rsid w:val="002A7249"/>
    <w:rsid w:val="002A7619"/>
    <w:rsid w:val="002A77EB"/>
    <w:rsid w:val="002B0E91"/>
    <w:rsid w:val="002B0F92"/>
    <w:rsid w:val="002B132C"/>
    <w:rsid w:val="002B1AC9"/>
    <w:rsid w:val="002B3DC3"/>
    <w:rsid w:val="002B3F23"/>
    <w:rsid w:val="002B4EB5"/>
    <w:rsid w:val="002B5122"/>
    <w:rsid w:val="002B5AF5"/>
    <w:rsid w:val="002B643B"/>
    <w:rsid w:val="002B6721"/>
    <w:rsid w:val="002B6779"/>
    <w:rsid w:val="002B71C0"/>
    <w:rsid w:val="002B782A"/>
    <w:rsid w:val="002B7A34"/>
    <w:rsid w:val="002C03DB"/>
    <w:rsid w:val="002C12F5"/>
    <w:rsid w:val="002C1907"/>
    <w:rsid w:val="002C2A77"/>
    <w:rsid w:val="002C31AD"/>
    <w:rsid w:val="002C3BD7"/>
    <w:rsid w:val="002C506C"/>
    <w:rsid w:val="002C5E5F"/>
    <w:rsid w:val="002C71D1"/>
    <w:rsid w:val="002C7385"/>
    <w:rsid w:val="002D05FC"/>
    <w:rsid w:val="002D0601"/>
    <w:rsid w:val="002D120F"/>
    <w:rsid w:val="002D13C8"/>
    <w:rsid w:val="002D2DBB"/>
    <w:rsid w:val="002D30A0"/>
    <w:rsid w:val="002D37D8"/>
    <w:rsid w:val="002D424E"/>
    <w:rsid w:val="002D4527"/>
    <w:rsid w:val="002D4E9B"/>
    <w:rsid w:val="002D526E"/>
    <w:rsid w:val="002D54A6"/>
    <w:rsid w:val="002D60E5"/>
    <w:rsid w:val="002D64E9"/>
    <w:rsid w:val="002D6D41"/>
    <w:rsid w:val="002D7332"/>
    <w:rsid w:val="002D749D"/>
    <w:rsid w:val="002D75C6"/>
    <w:rsid w:val="002E06AC"/>
    <w:rsid w:val="002E0B4D"/>
    <w:rsid w:val="002E1173"/>
    <w:rsid w:val="002E16F4"/>
    <w:rsid w:val="002E28F9"/>
    <w:rsid w:val="002E293B"/>
    <w:rsid w:val="002E325C"/>
    <w:rsid w:val="002E3779"/>
    <w:rsid w:val="002E5BCA"/>
    <w:rsid w:val="002E5BF9"/>
    <w:rsid w:val="002E6A7A"/>
    <w:rsid w:val="002E756D"/>
    <w:rsid w:val="002E76D1"/>
    <w:rsid w:val="002E77A3"/>
    <w:rsid w:val="002E7C29"/>
    <w:rsid w:val="002F0C75"/>
    <w:rsid w:val="002F1E49"/>
    <w:rsid w:val="002F2822"/>
    <w:rsid w:val="002F29C2"/>
    <w:rsid w:val="002F2D66"/>
    <w:rsid w:val="002F499C"/>
    <w:rsid w:val="002F4AE3"/>
    <w:rsid w:val="002F4E9C"/>
    <w:rsid w:val="002F580C"/>
    <w:rsid w:val="002F6E15"/>
    <w:rsid w:val="002F73B4"/>
    <w:rsid w:val="0030065F"/>
    <w:rsid w:val="00302644"/>
    <w:rsid w:val="0030265B"/>
    <w:rsid w:val="00302F4E"/>
    <w:rsid w:val="00303852"/>
    <w:rsid w:val="00303C03"/>
    <w:rsid w:val="0030503E"/>
    <w:rsid w:val="003061F3"/>
    <w:rsid w:val="00306853"/>
    <w:rsid w:val="0030742C"/>
    <w:rsid w:val="003104DB"/>
    <w:rsid w:val="00311E39"/>
    <w:rsid w:val="0031256C"/>
    <w:rsid w:val="003127FD"/>
    <w:rsid w:val="0031486B"/>
    <w:rsid w:val="00314D6C"/>
    <w:rsid w:val="00315A86"/>
    <w:rsid w:val="00316244"/>
    <w:rsid w:val="00316D2A"/>
    <w:rsid w:val="003200F6"/>
    <w:rsid w:val="0032022A"/>
    <w:rsid w:val="00320304"/>
    <w:rsid w:val="00321BA0"/>
    <w:rsid w:val="00322A7C"/>
    <w:rsid w:val="00322BF9"/>
    <w:rsid w:val="00322EEC"/>
    <w:rsid w:val="00323061"/>
    <w:rsid w:val="00323937"/>
    <w:rsid w:val="00323E1A"/>
    <w:rsid w:val="003245F6"/>
    <w:rsid w:val="00324F60"/>
    <w:rsid w:val="00326475"/>
    <w:rsid w:val="00326671"/>
    <w:rsid w:val="0032756D"/>
    <w:rsid w:val="003302ED"/>
    <w:rsid w:val="003305C4"/>
    <w:rsid w:val="003313D4"/>
    <w:rsid w:val="00334E3D"/>
    <w:rsid w:val="00335375"/>
    <w:rsid w:val="00335CE5"/>
    <w:rsid w:val="00335E49"/>
    <w:rsid w:val="0033634E"/>
    <w:rsid w:val="0033741B"/>
    <w:rsid w:val="003402D3"/>
    <w:rsid w:val="003403DE"/>
    <w:rsid w:val="0034046F"/>
    <w:rsid w:val="0034068E"/>
    <w:rsid w:val="00341B49"/>
    <w:rsid w:val="00341B78"/>
    <w:rsid w:val="00343176"/>
    <w:rsid w:val="003431D8"/>
    <w:rsid w:val="0034393F"/>
    <w:rsid w:val="00343ABC"/>
    <w:rsid w:val="00344379"/>
    <w:rsid w:val="003444A8"/>
    <w:rsid w:val="0034518B"/>
    <w:rsid w:val="003458A2"/>
    <w:rsid w:val="00345CBD"/>
    <w:rsid w:val="003463FE"/>
    <w:rsid w:val="003472FC"/>
    <w:rsid w:val="00347D41"/>
    <w:rsid w:val="00350854"/>
    <w:rsid w:val="003519B9"/>
    <w:rsid w:val="00352A6E"/>
    <w:rsid w:val="003535CF"/>
    <w:rsid w:val="003536A7"/>
    <w:rsid w:val="00354929"/>
    <w:rsid w:val="003551FB"/>
    <w:rsid w:val="003554B3"/>
    <w:rsid w:val="00356391"/>
    <w:rsid w:val="00356632"/>
    <w:rsid w:val="00357C7E"/>
    <w:rsid w:val="00361C25"/>
    <w:rsid w:val="00362A42"/>
    <w:rsid w:val="00363D00"/>
    <w:rsid w:val="00364CF5"/>
    <w:rsid w:val="00364D78"/>
    <w:rsid w:val="003653B6"/>
    <w:rsid w:val="00365487"/>
    <w:rsid w:val="00365990"/>
    <w:rsid w:val="00365B3C"/>
    <w:rsid w:val="003674B0"/>
    <w:rsid w:val="00370327"/>
    <w:rsid w:val="003705E6"/>
    <w:rsid w:val="00370C70"/>
    <w:rsid w:val="00371FE7"/>
    <w:rsid w:val="00372C95"/>
    <w:rsid w:val="00372E00"/>
    <w:rsid w:val="00372E36"/>
    <w:rsid w:val="00373083"/>
    <w:rsid w:val="00373345"/>
    <w:rsid w:val="00374CC4"/>
    <w:rsid w:val="0037716B"/>
    <w:rsid w:val="003771D4"/>
    <w:rsid w:val="003774B2"/>
    <w:rsid w:val="003778B0"/>
    <w:rsid w:val="0037794B"/>
    <w:rsid w:val="00377A1D"/>
    <w:rsid w:val="00380F2D"/>
    <w:rsid w:val="003816BE"/>
    <w:rsid w:val="00382CCF"/>
    <w:rsid w:val="003842E2"/>
    <w:rsid w:val="0038430C"/>
    <w:rsid w:val="003845A9"/>
    <w:rsid w:val="003847E9"/>
    <w:rsid w:val="003847F3"/>
    <w:rsid w:val="00384C8A"/>
    <w:rsid w:val="003850C9"/>
    <w:rsid w:val="00385368"/>
    <w:rsid w:val="0038642F"/>
    <w:rsid w:val="00386ADC"/>
    <w:rsid w:val="00387BBB"/>
    <w:rsid w:val="00390883"/>
    <w:rsid w:val="00390A0B"/>
    <w:rsid w:val="00390E8E"/>
    <w:rsid w:val="00390FBE"/>
    <w:rsid w:val="003913A2"/>
    <w:rsid w:val="0039178A"/>
    <w:rsid w:val="003920C1"/>
    <w:rsid w:val="003922F8"/>
    <w:rsid w:val="003949FD"/>
    <w:rsid w:val="00395B24"/>
    <w:rsid w:val="00395BD9"/>
    <w:rsid w:val="003962D9"/>
    <w:rsid w:val="0039708E"/>
    <w:rsid w:val="003A0A27"/>
    <w:rsid w:val="003A0E0A"/>
    <w:rsid w:val="003A1158"/>
    <w:rsid w:val="003A2D38"/>
    <w:rsid w:val="003A2D40"/>
    <w:rsid w:val="003A4F31"/>
    <w:rsid w:val="003A504E"/>
    <w:rsid w:val="003A519E"/>
    <w:rsid w:val="003A5EDB"/>
    <w:rsid w:val="003A6C1F"/>
    <w:rsid w:val="003A7459"/>
    <w:rsid w:val="003A7655"/>
    <w:rsid w:val="003A7ECC"/>
    <w:rsid w:val="003B0199"/>
    <w:rsid w:val="003B045A"/>
    <w:rsid w:val="003B0CEC"/>
    <w:rsid w:val="003B0D5E"/>
    <w:rsid w:val="003B2487"/>
    <w:rsid w:val="003B2C72"/>
    <w:rsid w:val="003B40FA"/>
    <w:rsid w:val="003B44F2"/>
    <w:rsid w:val="003B4885"/>
    <w:rsid w:val="003B538E"/>
    <w:rsid w:val="003B5689"/>
    <w:rsid w:val="003B58B4"/>
    <w:rsid w:val="003B6E6A"/>
    <w:rsid w:val="003C1333"/>
    <w:rsid w:val="003C1410"/>
    <w:rsid w:val="003C20FF"/>
    <w:rsid w:val="003C2260"/>
    <w:rsid w:val="003C4F6B"/>
    <w:rsid w:val="003C550A"/>
    <w:rsid w:val="003C6055"/>
    <w:rsid w:val="003C7477"/>
    <w:rsid w:val="003C7AA5"/>
    <w:rsid w:val="003D03CB"/>
    <w:rsid w:val="003D0E18"/>
    <w:rsid w:val="003D19DE"/>
    <w:rsid w:val="003D2650"/>
    <w:rsid w:val="003D32A1"/>
    <w:rsid w:val="003D3770"/>
    <w:rsid w:val="003D3A92"/>
    <w:rsid w:val="003D3FB0"/>
    <w:rsid w:val="003D4159"/>
    <w:rsid w:val="003D560C"/>
    <w:rsid w:val="003D5C00"/>
    <w:rsid w:val="003D5D26"/>
    <w:rsid w:val="003D6C4B"/>
    <w:rsid w:val="003D6D63"/>
    <w:rsid w:val="003D7E1E"/>
    <w:rsid w:val="003E0E5C"/>
    <w:rsid w:val="003E1C0C"/>
    <w:rsid w:val="003E271D"/>
    <w:rsid w:val="003E2F1E"/>
    <w:rsid w:val="003E3154"/>
    <w:rsid w:val="003E50F1"/>
    <w:rsid w:val="003E5307"/>
    <w:rsid w:val="003E5315"/>
    <w:rsid w:val="003E5874"/>
    <w:rsid w:val="003E6A1D"/>
    <w:rsid w:val="003E6B4D"/>
    <w:rsid w:val="003E72D3"/>
    <w:rsid w:val="003E76CB"/>
    <w:rsid w:val="003F0347"/>
    <w:rsid w:val="003F170B"/>
    <w:rsid w:val="003F193E"/>
    <w:rsid w:val="003F242C"/>
    <w:rsid w:val="003F263B"/>
    <w:rsid w:val="003F275C"/>
    <w:rsid w:val="003F28EA"/>
    <w:rsid w:val="003F34F1"/>
    <w:rsid w:val="003F35C9"/>
    <w:rsid w:val="003F55BD"/>
    <w:rsid w:val="003F6422"/>
    <w:rsid w:val="003F645B"/>
    <w:rsid w:val="003F70AC"/>
    <w:rsid w:val="003F7514"/>
    <w:rsid w:val="003F78D3"/>
    <w:rsid w:val="003F7904"/>
    <w:rsid w:val="0040167B"/>
    <w:rsid w:val="00401D12"/>
    <w:rsid w:val="004023D3"/>
    <w:rsid w:val="004031D8"/>
    <w:rsid w:val="00404410"/>
    <w:rsid w:val="00404EEC"/>
    <w:rsid w:val="004067CF"/>
    <w:rsid w:val="004069BE"/>
    <w:rsid w:val="00407F69"/>
    <w:rsid w:val="004104B6"/>
    <w:rsid w:val="00411AE8"/>
    <w:rsid w:val="00411D9F"/>
    <w:rsid w:val="00411FF0"/>
    <w:rsid w:val="0041212B"/>
    <w:rsid w:val="0041230A"/>
    <w:rsid w:val="004130A5"/>
    <w:rsid w:val="00413B74"/>
    <w:rsid w:val="00414526"/>
    <w:rsid w:val="00414B52"/>
    <w:rsid w:val="00415AD4"/>
    <w:rsid w:val="0041690A"/>
    <w:rsid w:val="00416A29"/>
    <w:rsid w:val="00417EEA"/>
    <w:rsid w:val="00420040"/>
    <w:rsid w:val="0042189E"/>
    <w:rsid w:val="00421DB5"/>
    <w:rsid w:val="0042337C"/>
    <w:rsid w:val="00423393"/>
    <w:rsid w:val="00426CB2"/>
    <w:rsid w:val="00427D88"/>
    <w:rsid w:val="00430D0F"/>
    <w:rsid w:val="004342F3"/>
    <w:rsid w:val="0043542E"/>
    <w:rsid w:val="0043597F"/>
    <w:rsid w:val="00435C5F"/>
    <w:rsid w:val="00436155"/>
    <w:rsid w:val="00436460"/>
    <w:rsid w:val="0043676C"/>
    <w:rsid w:val="00437654"/>
    <w:rsid w:val="00440036"/>
    <w:rsid w:val="00440AC3"/>
    <w:rsid w:val="004412A2"/>
    <w:rsid w:val="00441E98"/>
    <w:rsid w:val="00444100"/>
    <w:rsid w:val="00444452"/>
    <w:rsid w:val="00444E7F"/>
    <w:rsid w:val="00445322"/>
    <w:rsid w:val="0044618C"/>
    <w:rsid w:val="00447495"/>
    <w:rsid w:val="00447535"/>
    <w:rsid w:val="00447541"/>
    <w:rsid w:val="00450F3A"/>
    <w:rsid w:val="00451A64"/>
    <w:rsid w:val="00452263"/>
    <w:rsid w:val="004528BB"/>
    <w:rsid w:val="004532F7"/>
    <w:rsid w:val="004534BF"/>
    <w:rsid w:val="00455459"/>
    <w:rsid w:val="00455757"/>
    <w:rsid w:val="00455E4B"/>
    <w:rsid w:val="0045669A"/>
    <w:rsid w:val="00456E4D"/>
    <w:rsid w:val="004570FB"/>
    <w:rsid w:val="00457F39"/>
    <w:rsid w:val="004602EE"/>
    <w:rsid w:val="00460B54"/>
    <w:rsid w:val="00461240"/>
    <w:rsid w:val="0046167A"/>
    <w:rsid w:val="00462322"/>
    <w:rsid w:val="004630C8"/>
    <w:rsid w:val="0046416C"/>
    <w:rsid w:val="00464D51"/>
    <w:rsid w:val="004657A0"/>
    <w:rsid w:val="004663D6"/>
    <w:rsid w:val="004664BE"/>
    <w:rsid w:val="0046710E"/>
    <w:rsid w:val="004671B0"/>
    <w:rsid w:val="004675ED"/>
    <w:rsid w:val="004679F4"/>
    <w:rsid w:val="00467B15"/>
    <w:rsid w:val="00470648"/>
    <w:rsid w:val="00472027"/>
    <w:rsid w:val="004720C2"/>
    <w:rsid w:val="0047251B"/>
    <w:rsid w:val="00473044"/>
    <w:rsid w:val="00474028"/>
    <w:rsid w:val="004750E0"/>
    <w:rsid w:val="004753BD"/>
    <w:rsid w:val="004755DF"/>
    <w:rsid w:val="00475B34"/>
    <w:rsid w:val="004760D6"/>
    <w:rsid w:val="00476750"/>
    <w:rsid w:val="00476FAA"/>
    <w:rsid w:val="0047748B"/>
    <w:rsid w:val="0047752A"/>
    <w:rsid w:val="0048005E"/>
    <w:rsid w:val="004804CF"/>
    <w:rsid w:val="004804EB"/>
    <w:rsid w:val="00481A80"/>
    <w:rsid w:val="00481BEB"/>
    <w:rsid w:val="004820E5"/>
    <w:rsid w:val="004826EE"/>
    <w:rsid w:val="00483308"/>
    <w:rsid w:val="00483314"/>
    <w:rsid w:val="0048356D"/>
    <w:rsid w:val="00484026"/>
    <w:rsid w:val="004848EC"/>
    <w:rsid w:val="00484962"/>
    <w:rsid w:val="00484F3D"/>
    <w:rsid w:val="00484F6D"/>
    <w:rsid w:val="00484FB7"/>
    <w:rsid w:val="004850AA"/>
    <w:rsid w:val="00485222"/>
    <w:rsid w:val="0048554D"/>
    <w:rsid w:val="004858A2"/>
    <w:rsid w:val="00486862"/>
    <w:rsid w:val="00486ED1"/>
    <w:rsid w:val="00486F64"/>
    <w:rsid w:val="004902B0"/>
    <w:rsid w:val="004913B9"/>
    <w:rsid w:val="00491A6C"/>
    <w:rsid w:val="0049323D"/>
    <w:rsid w:val="0049338A"/>
    <w:rsid w:val="0049417F"/>
    <w:rsid w:val="00496D41"/>
    <w:rsid w:val="004A02C9"/>
    <w:rsid w:val="004A043A"/>
    <w:rsid w:val="004A0517"/>
    <w:rsid w:val="004A26CD"/>
    <w:rsid w:val="004A3274"/>
    <w:rsid w:val="004A32DA"/>
    <w:rsid w:val="004A34D5"/>
    <w:rsid w:val="004A39BC"/>
    <w:rsid w:val="004A3BA1"/>
    <w:rsid w:val="004A4218"/>
    <w:rsid w:val="004A4819"/>
    <w:rsid w:val="004A4C24"/>
    <w:rsid w:val="004A54DF"/>
    <w:rsid w:val="004A55B4"/>
    <w:rsid w:val="004A6602"/>
    <w:rsid w:val="004A75F4"/>
    <w:rsid w:val="004A7960"/>
    <w:rsid w:val="004A7EB2"/>
    <w:rsid w:val="004B05CD"/>
    <w:rsid w:val="004B148B"/>
    <w:rsid w:val="004B14C6"/>
    <w:rsid w:val="004B1C41"/>
    <w:rsid w:val="004B248E"/>
    <w:rsid w:val="004B2C08"/>
    <w:rsid w:val="004B3157"/>
    <w:rsid w:val="004B3C15"/>
    <w:rsid w:val="004B3EFA"/>
    <w:rsid w:val="004B5BD7"/>
    <w:rsid w:val="004B72D7"/>
    <w:rsid w:val="004C0848"/>
    <w:rsid w:val="004C2A87"/>
    <w:rsid w:val="004C2F0F"/>
    <w:rsid w:val="004C32AE"/>
    <w:rsid w:val="004C3340"/>
    <w:rsid w:val="004C39BB"/>
    <w:rsid w:val="004C3BA4"/>
    <w:rsid w:val="004C4234"/>
    <w:rsid w:val="004C42CC"/>
    <w:rsid w:val="004C4612"/>
    <w:rsid w:val="004C4D7B"/>
    <w:rsid w:val="004C4E6C"/>
    <w:rsid w:val="004C4ED3"/>
    <w:rsid w:val="004C5630"/>
    <w:rsid w:val="004C605C"/>
    <w:rsid w:val="004C6110"/>
    <w:rsid w:val="004C667B"/>
    <w:rsid w:val="004C6711"/>
    <w:rsid w:val="004C7ECD"/>
    <w:rsid w:val="004C7F6C"/>
    <w:rsid w:val="004D030E"/>
    <w:rsid w:val="004D0899"/>
    <w:rsid w:val="004D09EE"/>
    <w:rsid w:val="004D0B11"/>
    <w:rsid w:val="004D1B54"/>
    <w:rsid w:val="004D22BE"/>
    <w:rsid w:val="004D2EA5"/>
    <w:rsid w:val="004D32A6"/>
    <w:rsid w:val="004D53E5"/>
    <w:rsid w:val="004D6D6E"/>
    <w:rsid w:val="004D74A4"/>
    <w:rsid w:val="004D74E0"/>
    <w:rsid w:val="004D7950"/>
    <w:rsid w:val="004E0154"/>
    <w:rsid w:val="004E150D"/>
    <w:rsid w:val="004E187F"/>
    <w:rsid w:val="004E1AE1"/>
    <w:rsid w:val="004E43E1"/>
    <w:rsid w:val="004E443C"/>
    <w:rsid w:val="004E49E5"/>
    <w:rsid w:val="004E4F41"/>
    <w:rsid w:val="004E624C"/>
    <w:rsid w:val="004E6DC4"/>
    <w:rsid w:val="004E6F8C"/>
    <w:rsid w:val="004E7EF7"/>
    <w:rsid w:val="004F01A5"/>
    <w:rsid w:val="004F16F5"/>
    <w:rsid w:val="004F21C1"/>
    <w:rsid w:val="004F2EEA"/>
    <w:rsid w:val="004F318E"/>
    <w:rsid w:val="004F32E7"/>
    <w:rsid w:val="004F35EA"/>
    <w:rsid w:val="004F38BA"/>
    <w:rsid w:val="004F4AD6"/>
    <w:rsid w:val="004F50CB"/>
    <w:rsid w:val="004F5DA3"/>
    <w:rsid w:val="004F627D"/>
    <w:rsid w:val="004F6EFC"/>
    <w:rsid w:val="004F74FA"/>
    <w:rsid w:val="004F7D8B"/>
    <w:rsid w:val="00500002"/>
    <w:rsid w:val="0050018E"/>
    <w:rsid w:val="005006C1"/>
    <w:rsid w:val="00501A12"/>
    <w:rsid w:val="0050309C"/>
    <w:rsid w:val="005030F6"/>
    <w:rsid w:val="005039EC"/>
    <w:rsid w:val="00505D84"/>
    <w:rsid w:val="00505EF8"/>
    <w:rsid w:val="0050648E"/>
    <w:rsid w:val="00510889"/>
    <w:rsid w:val="00510968"/>
    <w:rsid w:val="00511C62"/>
    <w:rsid w:val="00512343"/>
    <w:rsid w:val="0051327C"/>
    <w:rsid w:val="0051346D"/>
    <w:rsid w:val="00513C33"/>
    <w:rsid w:val="00513EAE"/>
    <w:rsid w:val="0051434F"/>
    <w:rsid w:val="0051468E"/>
    <w:rsid w:val="00516806"/>
    <w:rsid w:val="0052098C"/>
    <w:rsid w:val="00520C7B"/>
    <w:rsid w:val="00521AD3"/>
    <w:rsid w:val="005232B8"/>
    <w:rsid w:val="00525787"/>
    <w:rsid w:val="00525A49"/>
    <w:rsid w:val="005262D1"/>
    <w:rsid w:val="00526810"/>
    <w:rsid w:val="00526842"/>
    <w:rsid w:val="005269A9"/>
    <w:rsid w:val="00527619"/>
    <w:rsid w:val="0053024A"/>
    <w:rsid w:val="00530876"/>
    <w:rsid w:val="00532164"/>
    <w:rsid w:val="00532B9A"/>
    <w:rsid w:val="00533273"/>
    <w:rsid w:val="00534148"/>
    <w:rsid w:val="0053485A"/>
    <w:rsid w:val="00534978"/>
    <w:rsid w:val="00535613"/>
    <w:rsid w:val="00535867"/>
    <w:rsid w:val="005359EB"/>
    <w:rsid w:val="00535F13"/>
    <w:rsid w:val="00536AAE"/>
    <w:rsid w:val="00536FE3"/>
    <w:rsid w:val="00540806"/>
    <w:rsid w:val="00541256"/>
    <w:rsid w:val="005420B6"/>
    <w:rsid w:val="0054222E"/>
    <w:rsid w:val="0054254A"/>
    <w:rsid w:val="005440B5"/>
    <w:rsid w:val="00544C90"/>
    <w:rsid w:val="0054500B"/>
    <w:rsid w:val="00545855"/>
    <w:rsid w:val="00545ADE"/>
    <w:rsid w:val="00545BA0"/>
    <w:rsid w:val="00546367"/>
    <w:rsid w:val="005466B5"/>
    <w:rsid w:val="00546EE0"/>
    <w:rsid w:val="005479CE"/>
    <w:rsid w:val="00551CD1"/>
    <w:rsid w:val="00551F7A"/>
    <w:rsid w:val="00552D71"/>
    <w:rsid w:val="00553D41"/>
    <w:rsid w:val="00554314"/>
    <w:rsid w:val="00554726"/>
    <w:rsid w:val="00554821"/>
    <w:rsid w:val="00554EB5"/>
    <w:rsid w:val="00556C57"/>
    <w:rsid w:val="0055709D"/>
    <w:rsid w:val="00557E1B"/>
    <w:rsid w:val="0056062A"/>
    <w:rsid w:val="00560E2C"/>
    <w:rsid w:val="00562251"/>
    <w:rsid w:val="00562829"/>
    <w:rsid w:val="005629B3"/>
    <w:rsid w:val="005649CA"/>
    <w:rsid w:val="00564D4C"/>
    <w:rsid w:val="00566695"/>
    <w:rsid w:val="00566BFF"/>
    <w:rsid w:val="00567AAE"/>
    <w:rsid w:val="00570017"/>
    <w:rsid w:val="00570A7C"/>
    <w:rsid w:val="00570DCD"/>
    <w:rsid w:val="0057128A"/>
    <w:rsid w:val="00571AA5"/>
    <w:rsid w:val="00571D77"/>
    <w:rsid w:val="005724F6"/>
    <w:rsid w:val="0057250D"/>
    <w:rsid w:val="005732C8"/>
    <w:rsid w:val="00573AC4"/>
    <w:rsid w:val="00573DF8"/>
    <w:rsid w:val="0057636C"/>
    <w:rsid w:val="00576BFC"/>
    <w:rsid w:val="005773A9"/>
    <w:rsid w:val="005801FC"/>
    <w:rsid w:val="00581314"/>
    <w:rsid w:val="0058158E"/>
    <w:rsid w:val="005820A2"/>
    <w:rsid w:val="005825E8"/>
    <w:rsid w:val="00584117"/>
    <w:rsid w:val="00585BA9"/>
    <w:rsid w:val="005862D8"/>
    <w:rsid w:val="00586833"/>
    <w:rsid w:val="00586A51"/>
    <w:rsid w:val="00587359"/>
    <w:rsid w:val="00587471"/>
    <w:rsid w:val="0058782E"/>
    <w:rsid w:val="00587C07"/>
    <w:rsid w:val="00590CAA"/>
    <w:rsid w:val="00590E53"/>
    <w:rsid w:val="00591CC4"/>
    <w:rsid w:val="0059255D"/>
    <w:rsid w:val="00592C29"/>
    <w:rsid w:val="00592ED1"/>
    <w:rsid w:val="0059375E"/>
    <w:rsid w:val="00594FE1"/>
    <w:rsid w:val="00595016"/>
    <w:rsid w:val="0059576D"/>
    <w:rsid w:val="0059651B"/>
    <w:rsid w:val="00596FB9"/>
    <w:rsid w:val="00597AAE"/>
    <w:rsid w:val="00597F33"/>
    <w:rsid w:val="005A18B1"/>
    <w:rsid w:val="005A222C"/>
    <w:rsid w:val="005A290F"/>
    <w:rsid w:val="005A35BA"/>
    <w:rsid w:val="005A3816"/>
    <w:rsid w:val="005A4DF8"/>
    <w:rsid w:val="005A51F5"/>
    <w:rsid w:val="005A588E"/>
    <w:rsid w:val="005A5F93"/>
    <w:rsid w:val="005A64AE"/>
    <w:rsid w:val="005A6E38"/>
    <w:rsid w:val="005A756A"/>
    <w:rsid w:val="005A78C8"/>
    <w:rsid w:val="005A7B78"/>
    <w:rsid w:val="005A7CD6"/>
    <w:rsid w:val="005B0C92"/>
    <w:rsid w:val="005B1426"/>
    <w:rsid w:val="005B25DE"/>
    <w:rsid w:val="005B35F1"/>
    <w:rsid w:val="005B3797"/>
    <w:rsid w:val="005B3B34"/>
    <w:rsid w:val="005B4F1A"/>
    <w:rsid w:val="005B7A87"/>
    <w:rsid w:val="005C0A8E"/>
    <w:rsid w:val="005C1767"/>
    <w:rsid w:val="005C185C"/>
    <w:rsid w:val="005C1F92"/>
    <w:rsid w:val="005C29EE"/>
    <w:rsid w:val="005C3D26"/>
    <w:rsid w:val="005C42EF"/>
    <w:rsid w:val="005C4FDE"/>
    <w:rsid w:val="005C50B0"/>
    <w:rsid w:val="005C51A9"/>
    <w:rsid w:val="005C6A16"/>
    <w:rsid w:val="005C6EA2"/>
    <w:rsid w:val="005D0E3E"/>
    <w:rsid w:val="005D125A"/>
    <w:rsid w:val="005D145F"/>
    <w:rsid w:val="005D2310"/>
    <w:rsid w:val="005D26BE"/>
    <w:rsid w:val="005D29A6"/>
    <w:rsid w:val="005D389E"/>
    <w:rsid w:val="005D3B1C"/>
    <w:rsid w:val="005D4262"/>
    <w:rsid w:val="005D4AF5"/>
    <w:rsid w:val="005D531F"/>
    <w:rsid w:val="005D5A12"/>
    <w:rsid w:val="005D6770"/>
    <w:rsid w:val="005D7C59"/>
    <w:rsid w:val="005E02F5"/>
    <w:rsid w:val="005E0510"/>
    <w:rsid w:val="005E06A2"/>
    <w:rsid w:val="005E09FD"/>
    <w:rsid w:val="005E0A07"/>
    <w:rsid w:val="005E176E"/>
    <w:rsid w:val="005E1FFC"/>
    <w:rsid w:val="005E218E"/>
    <w:rsid w:val="005E2279"/>
    <w:rsid w:val="005E35A0"/>
    <w:rsid w:val="005E3F88"/>
    <w:rsid w:val="005E4EFD"/>
    <w:rsid w:val="005E5453"/>
    <w:rsid w:val="005F0D1B"/>
    <w:rsid w:val="005F1861"/>
    <w:rsid w:val="005F1865"/>
    <w:rsid w:val="005F1EB8"/>
    <w:rsid w:val="005F20DC"/>
    <w:rsid w:val="005F271E"/>
    <w:rsid w:val="005F2D82"/>
    <w:rsid w:val="005F2DEF"/>
    <w:rsid w:val="005F3242"/>
    <w:rsid w:val="005F3639"/>
    <w:rsid w:val="005F424F"/>
    <w:rsid w:val="005F43E6"/>
    <w:rsid w:val="005F599E"/>
    <w:rsid w:val="005F782B"/>
    <w:rsid w:val="005F7EDD"/>
    <w:rsid w:val="006007BD"/>
    <w:rsid w:val="00600832"/>
    <w:rsid w:val="00601224"/>
    <w:rsid w:val="006013C8"/>
    <w:rsid w:val="00601D13"/>
    <w:rsid w:val="0060270D"/>
    <w:rsid w:val="0060313B"/>
    <w:rsid w:val="00604112"/>
    <w:rsid w:val="00604342"/>
    <w:rsid w:val="00604611"/>
    <w:rsid w:val="00604A0C"/>
    <w:rsid w:val="006052B3"/>
    <w:rsid w:val="00605BD5"/>
    <w:rsid w:val="00610113"/>
    <w:rsid w:val="0061027D"/>
    <w:rsid w:val="0061042D"/>
    <w:rsid w:val="00611175"/>
    <w:rsid w:val="006112D6"/>
    <w:rsid w:val="00611586"/>
    <w:rsid w:val="0061252C"/>
    <w:rsid w:val="00612D26"/>
    <w:rsid w:val="00613778"/>
    <w:rsid w:val="00613B04"/>
    <w:rsid w:val="006144CE"/>
    <w:rsid w:val="00615855"/>
    <w:rsid w:val="0061647D"/>
    <w:rsid w:val="00616F12"/>
    <w:rsid w:val="00620D34"/>
    <w:rsid w:val="00620DA8"/>
    <w:rsid w:val="00621624"/>
    <w:rsid w:val="00621887"/>
    <w:rsid w:val="00624520"/>
    <w:rsid w:val="00626517"/>
    <w:rsid w:val="006271F5"/>
    <w:rsid w:val="006272BC"/>
    <w:rsid w:val="0063049C"/>
    <w:rsid w:val="00631149"/>
    <w:rsid w:val="00631A27"/>
    <w:rsid w:val="00632174"/>
    <w:rsid w:val="00632300"/>
    <w:rsid w:val="00632889"/>
    <w:rsid w:val="00632BB7"/>
    <w:rsid w:val="006354CF"/>
    <w:rsid w:val="00635A31"/>
    <w:rsid w:val="00635B36"/>
    <w:rsid w:val="00635DB2"/>
    <w:rsid w:val="00636871"/>
    <w:rsid w:val="0063784C"/>
    <w:rsid w:val="00637894"/>
    <w:rsid w:val="006378F4"/>
    <w:rsid w:val="00637F32"/>
    <w:rsid w:val="00640EE1"/>
    <w:rsid w:val="00640F4E"/>
    <w:rsid w:val="0064126B"/>
    <w:rsid w:val="00641B07"/>
    <w:rsid w:val="006423C6"/>
    <w:rsid w:val="006430BC"/>
    <w:rsid w:val="0064327C"/>
    <w:rsid w:val="0064335C"/>
    <w:rsid w:val="00643DE0"/>
    <w:rsid w:val="0064437D"/>
    <w:rsid w:val="00644E85"/>
    <w:rsid w:val="0064506B"/>
    <w:rsid w:val="00645279"/>
    <w:rsid w:val="00645431"/>
    <w:rsid w:val="006461B6"/>
    <w:rsid w:val="00646543"/>
    <w:rsid w:val="00646E61"/>
    <w:rsid w:val="00647349"/>
    <w:rsid w:val="0065091C"/>
    <w:rsid w:val="006513E8"/>
    <w:rsid w:val="006516D8"/>
    <w:rsid w:val="006517E4"/>
    <w:rsid w:val="0065182E"/>
    <w:rsid w:val="00651E3B"/>
    <w:rsid w:val="00651F93"/>
    <w:rsid w:val="006529F2"/>
    <w:rsid w:val="00652C52"/>
    <w:rsid w:val="00653BE0"/>
    <w:rsid w:val="006542F5"/>
    <w:rsid w:val="00656282"/>
    <w:rsid w:val="0065650F"/>
    <w:rsid w:val="00657057"/>
    <w:rsid w:val="00657634"/>
    <w:rsid w:val="00660512"/>
    <w:rsid w:val="0066063F"/>
    <w:rsid w:val="00660C15"/>
    <w:rsid w:val="0066150C"/>
    <w:rsid w:val="00662BB0"/>
    <w:rsid w:val="00662BB9"/>
    <w:rsid w:val="00663780"/>
    <w:rsid w:val="00663878"/>
    <w:rsid w:val="00663FE1"/>
    <w:rsid w:val="00664765"/>
    <w:rsid w:val="00664A2B"/>
    <w:rsid w:val="00664ADA"/>
    <w:rsid w:val="00664ADC"/>
    <w:rsid w:val="00665BBC"/>
    <w:rsid w:val="00666A18"/>
    <w:rsid w:val="0066731B"/>
    <w:rsid w:val="00667364"/>
    <w:rsid w:val="00667773"/>
    <w:rsid w:val="00670743"/>
    <w:rsid w:val="00670A31"/>
    <w:rsid w:val="00671DE9"/>
    <w:rsid w:val="00672AC1"/>
    <w:rsid w:val="0067324C"/>
    <w:rsid w:val="006757EB"/>
    <w:rsid w:val="00675C29"/>
    <w:rsid w:val="00676441"/>
    <w:rsid w:val="006773F3"/>
    <w:rsid w:val="00680065"/>
    <w:rsid w:val="006807CC"/>
    <w:rsid w:val="00680A85"/>
    <w:rsid w:val="00681765"/>
    <w:rsid w:val="00681ADF"/>
    <w:rsid w:val="00681DCC"/>
    <w:rsid w:val="006822A0"/>
    <w:rsid w:val="006824C1"/>
    <w:rsid w:val="00684704"/>
    <w:rsid w:val="006849FB"/>
    <w:rsid w:val="006851D3"/>
    <w:rsid w:val="006856F5"/>
    <w:rsid w:val="006866C6"/>
    <w:rsid w:val="00686FFA"/>
    <w:rsid w:val="006871EC"/>
    <w:rsid w:val="00687A10"/>
    <w:rsid w:val="00690CD6"/>
    <w:rsid w:val="00690EE2"/>
    <w:rsid w:val="006913AD"/>
    <w:rsid w:val="006927B6"/>
    <w:rsid w:val="006929F7"/>
    <w:rsid w:val="00693854"/>
    <w:rsid w:val="0069434A"/>
    <w:rsid w:val="00694BEB"/>
    <w:rsid w:val="00696561"/>
    <w:rsid w:val="00696628"/>
    <w:rsid w:val="006A0288"/>
    <w:rsid w:val="006A0E20"/>
    <w:rsid w:val="006A108A"/>
    <w:rsid w:val="006A24E3"/>
    <w:rsid w:val="006A2D61"/>
    <w:rsid w:val="006A324C"/>
    <w:rsid w:val="006A4CFB"/>
    <w:rsid w:val="006A52A8"/>
    <w:rsid w:val="006A5695"/>
    <w:rsid w:val="006A5700"/>
    <w:rsid w:val="006A589C"/>
    <w:rsid w:val="006A66B8"/>
    <w:rsid w:val="006A6739"/>
    <w:rsid w:val="006A69C1"/>
    <w:rsid w:val="006A69EB"/>
    <w:rsid w:val="006A6B12"/>
    <w:rsid w:val="006A75BB"/>
    <w:rsid w:val="006A7A62"/>
    <w:rsid w:val="006A7B08"/>
    <w:rsid w:val="006B0439"/>
    <w:rsid w:val="006B07C8"/>
    <w:rsid w:val="006B18DB"/>
    <w:rsid w:val="006B1E0D"/>
    <w:rsid w:val="006B34D8"/>
    <w:rsid w:val="006B3904"/>
    <w:rsid w:val="006B487F"/>
    <w:rsid w:val="006B4AD0"/>
    <w:rsid w:val="006B56E9"/>
    <w:rsid w:val="006B592A"/>
    <w:rsid w:val="006B5B7D"/>
    <w:rsid w:val="006B650F"/>
    <w:rsid w:val="006C0163"/>
    <w:rsid w:val="006C0759"/>
    <w:rsid w:val="006C099A"/>
    <w:rsid w:val="006C1722"/>
    <w:rsid w:val="006C3AC3"/>
    <w:rsid w:val="006C3CD9"/>
    <w:rsid w:val="006C5B46"/>
    <w:rsid w:val="006C6E39"/>
    <w:rsid w:val="006D0022"/>
    <w:rsid w:val="006D02CF"/>
    <w:rsid w:val="006D0ECF"/>
    <w:rsid w:val="006D13A2"/>
    <w:rsid w:val="006D192A"/>
    <w:rsid w:val="006D1C2A"/>
    <w:rsid w:val="006D2328"/>
    <w:rsid w:val="006D2AD9"/>
    <w:rsid w:val="006D3364"/>
    <w:rsid w:val="006D3D5B"/>
    <w:rsid w:val="006D43E4"/>
    <w:rsid w:val="006D4402"/>
    <w:rsid w:val="006D45B0"/>
    <w:rsid w:val="006D49B0"/>
    <w:rsid w:val="006D4BFE"/>
    <w:rsid w:val="006D4C92"/>
    <w:rsid w:val="006D4EB6"/>
    <w:rsid w:val="006D5A5A"/>
    <w:rsid w:val="006D7FBC"/>
    <w:rsid w:val="006E07A7"/>
    <w:rsid w:val="006E0E92"/>
    <w:rsid w:val="006E0F26"/>
    <w:rsid w:val="006E1DA0"/>
    <w:rsid w:val="006E25D0"/>
    <w:rsid w:val="006E2D7D"/>
    <w:rsid w:val="006E35BF"/>
    <w:rsid w:val="006E36BE"/>
    <w:rsid w:val="006E3A34"/>
    <w:rsid w:val="006E3E8A"/>
    <w:rsid w:val="006E6052"/>
    <w:rsid w:val="006E64AE"/>
    <w:rsid w:val="006E6A2B"/>
    <w:rsid w:val="006E7850"/>
    <w:rsid w:val="006F0253"/>
    <w:rsid w:val="006F19D8"/>
    <w:rsid w:val="006F1AE5"/>
    <w:rsid w:val="006F1B8A"/>
    <w:rsid w:val="006F271D"/>
    <w:rsid w:val="006F2DCE"/>
    <w:rsid w:val="006F374B"/>
    <w:rsid w:val="006F43F6"/>
    <w:rsid w:val="006F46D6"/>
    <w:rsid w:val="006F4BBB"/>
    <w:rsid w:val="006F4BEA"/>
    <w:rsid w:val="006F563F"/>
    <w:rsid w:val="006F5714"/>
    <w:rsid w:val="006F657F"/>
    <w:rsid w:val="0070082A"/>
    <w:rsid w:val="00700CD0"/>
    <w:rsid w:val="00701062"/>
    <w:rsid w:val="00701F4F"/>
    <w:rsid w:val="00702512"/>
    <w:rsid w:val="007028D9"/>
    <w:rsid w:val="00703D5E"/>
    <w:rsid w:val="007052FD"/>
    <w:rsid w:val="00705873"/>
    <w:rsid w:val="007059AA"/>
    <w:rsid w:val="007060C2"/>
    <w:rsid w:val="007062EE"/>
    <w:rsid w:val="00707218"/>
    <w:rsid w:val="0070763E"/>
    <w:rsid w:val="00710041"/>
    <w:rsid w:val="00710D04"/>
    <w:rsid w:val="00711985"/>
    <w:rsid w:val="00712B1D"/>
    <w:rsid w:val="00713885"/>
    <w:rsid w:val="00713FE7"/>
    <w:rsid w:val="00715751"/>
    <w:rsid w:val="0071672F"/>
    <w:rsid w:val="0071710E"/>
    <w:rsid w:val="007171BA"/>
    <w:rsid w:val="00717616"/>
    <w:rsid w:val="0071787B"/>
    <w:rsid w:val="007202BA"/>
    <w:rsid w:val="0072107E"/>
    <w:rsid w:val="007213D3"/>
    <w:rsid w:val="00722348"/>
    <w:rsid w:val="00722800"/>
    <w:rsid w:val="007229DA"/>
    <w:rsid w:val="00723ED8"/>
    <w:rsid w:val="00724546"/>
    <w:rsid w:val="00725C0B"/>
    <w:rsid w:val="00725DDC"/>
    <w:rsid w:val="00726FAF"/>
    <w:rsid w:val="00727036"/>
    <w:rsid w:val="00730558"/>
    <w:rsid w:val="0073155E"/>
    <w:rsid w:val="007325D9"/>
    <w:rsid w:val="00732C85"/>
    <w:rsid w:val="00733615"/>
    <w:rsid w:val="007337B5"/>
    <w:rsid w:val="0073413F"/>
    <w:rsid w:val="007343BF"/>
    <w:rsid w:val="007346D3"/>
    <w:rsid w:val="00734AD1"/>
    <w:rsid w:val="0073536B"/>
    <w:rsid w:val="00735645"/>
    <w:rsid w:val="0073583B"/>
    <w:rsid w:val="007360CA"/>
    <w:rsid w:val="007363D6"/>
    <w:rsid w:val="00740A17"/>
    <w:rsid w:val="00740D5F"/>
    <w:rsid w:val="0074102A"/>
    <w:rsid w:val="00741121"/>
    <w:rsid w:val="00741C42"/>
    <w:rsid w:val="00742079"/>
    <w:rsid w:val="0074279C"/>
    <w:rsid w:val="00743C2A"/>
    <w:rsid w:val="00744ABE"/>
    <w:rsid w:val="00744C73"/>
    <w:rsid w:val="00745014"/>
    <w:rsid w:val="0074667B"/>
    <w:rsid w:val="007470BD"/>
    <w:rsid w:val="007478E8"/>
    <w:rsid w:val="00751250"/>
    <w:rsid w:val="00751E2B"/>
    <w:rsid w:val="007520E4"/>
    <w:rsid w:val="0075237F"/>
    <w:rsid w:val="00752A94"/>
    <w:rsid w:val="00753ED0"/>
    <w:rsid w:val="00754A79"/>
    <w:rsid w:val="00755530"/>
    <w:rsid w:val="00756D58"/>
    <w:rsid w:val="00757D10"/>
    <w:rsid w:val="00760EC0"/>
    <w:rsid w:val="007618D9"/>
    <w:rsid w:val="00762110"/>
    <w:rsid w:val="00763D0F"/>
    <w:rsid w:val="00764F97"/>
    <w:rsid w:val="00765DF5"/>
    <w:rsid w:val="007665A4"/>
    <w:rsid w:val="007665BE"/>
    <w:rsid w:val="0076670A"/>
    <w:rsid w:val="007668B3"/>
    <w:rsid w:val="007669D6"/>
    <w:rsid w:val="0077028D"/>
    <w:rsid w:val="0077106B"/>
    <w:rsid w:val="007711BD"/>
    <w:rsid w:val="00771EC5"/>
    <w:rsid w:val="007732DA"/>
    <w:rsid w:val="00775DF4"/>
    <w:rsid w:val="007762BE"/>
    <w:rsid w:val="0078003A"/>
    <w:rsid w:val="00780771"/>
    <w:rsid w:val="00780801"/>
    <w:rsid w:val="00780FDB"/>
    <w:rsid w:val="00781D82"/>
    <w:rsid w:val="0078347B"/>
    <w:rsid w:val="007842B4"/>
    <w:rsid w:val="007844E6"/>
    <w:rsid w:val="00784A56"/>
    <w:rsid w:val="00786D45"/>
    <w:rsid w:val="007922E1"/>
    <w:rsid w:val="007929CF"/>
    <w:rsid w:val="00792B27"/>
    <w:rsid w:val="00793B33"/>
    <w:rsid w:val="00793DBB"/>
    <w:rsid w:val="00793DED"/>
    <w:rsid w:val="007940D5"/>
    <w:rsid w:val="00794BBB"/>
    <w:rsid w:val="00795E1A"/>
    <w:rsid w:val="00796246"/>
    <w:rsid w:val="00797BA8"/>
    <w:rsid w:val="007A06B0"/>
    <w:rsid w:val="007A0723"/>
    <w:rsid w:val="007A081D"/>
    <w:rsid w:val="007A1D25"/>
    <w:rsid w:val="007A3000"/>
    <w:rsid w:val="007A453D"/>
    <w:rsid w:val="007A49E7"/>
    <w:rsid w:val="007A4BDB"/>
    <w:rsid w:val="007A50C1"/>
    <w:rsid w:val="007A6F28"/>
    <w:rsid w:val="007A7A72"/>
    <w:rsid w:val="007B03C6"/>
    <w:rsid w:val="007B0534"/>
    <w:rsid w:val="007B0DB1"/>
    <w:rsid w:val="007B0EC7"/>
    <w:rsid w:val="007B0F01"/>
    <w:rsid w:val="007B1CFE"/>
    <w:rsid w:val="007B1F08"/>
    <w:rsid w:val="007B2035"/>
    <w:rsid w:val="007B240D"/>
    <w:rsid w:val="007B40FD"/>
    <w:rsid w:val="007B4B68"/>
    <w:rsid w:val="007B511C"/>
    <w:rsid w:val="007B5637"/>
    <w:rsid w:val="007B5673"/>
    <w:rsid w:val="007B5679"/>
    <w:rsid w:val="007B5E93"/>
    <w:rsid w:val="007B7238"/>
    <w:rsid w:val="007B76FF"/>
    <w:rsid w:val="007C1946"/>
    <w:rsid w:val="007C3ACE"/>
    <w:rsid w:val="007C3BF6"/>
    <w:rsid w:val="007C3D6D"/>
    <w:rsid w:val="007C4020"/>
    <w:rsid w:val="007C484A"/>
    <w:rsid w:val="007C50E0"/>
    <w:rsid w:val="007C67B3"/>
    <w:rsid w:val="007C6E76"/>
    <w:rsid w:val="007C738D"/>
    <w:rsid w:val="007C7D64"/>
    <w:rsid w:val="007C7FE1"/>
    <w:rsid w:val="007D05A9"/>
    <w:rsid w:val="007D0EE2"/>
    <w:rsid w:val="007D0FD2"/>
    <w:rsid w:val="007D1256"/>
    <w:rsid w:val="007D25BE"/>
    <w:rsid w:val="007D2EF8"/>
    <w:rsid w:val="007D3DB9"/>
    <w:rsid w:val="007D4A35"/>
    <w:rsid w:val="007D4BB3"/>
    <w:rsid w:val="007D561F"/>
    <w:rsid w:val="007D57E4"/>
    <w:rsid w:val="007D5D67"/>
    <w:rsid w:val="007D6A74"/>
    <w:rsid w:val="007D7FD2"/>
    <w:rsid w:val="007E0C7B"/>
    <w:rsid w:val="007E13D9"/>
    <w:rsid w:val="007E25CC"/>
    <w:rsid w:val="007E2AEC"/>
    <w:rsid w:val="007E322C"/>
    <w:rsid w:val="007E3794"/>
    <w:rsid w:val="007E3A72"/>
    <w:rsid w:val="007E3C5B"/>
    <w:rsid w:val="007E41BE"/>
    <w:rsid w:val="007E45CE"/>
    <w:rsid w:val="007E4987"/>
    <w:rsid w:val="007E4DB6"/>
    <w:rsid w:val="007E6733"/>
    <w:rsid w:val="007E67D0"/>
    <w:rsid w:val="007E7983"/>
    <w:rsid w:val="007E7CD4"/>
    <w:rsid w:val="007F0135"/>
    <w:rsid w:val="007F027F"/>
    <w:rsid w:val="007F0E4F"/>
    <w:rsid w:val="007F12AC"/>
    <w:rsid w:val="007F13E1"/>
    <w:rsid w:val="007F26B7"/>
    <w:rsid w:val="007F282A"/>
    <w:rsid w:val="007F3324"/>
    <w:rsid w:val="007F3412"/>
    <w:rsid w:val="007F4501"/>
    <w:rsid w:val="007F456C"/>
    <w:rsid w:val="007F5DDD"/>
    <w:rsid w:val="007F60DF"/>
    <w:rsid w:val="007F6C2F"/>
    <w:rsid w:val="007F7FC7"/>
    <w:rsid w:val="007F7FEA"/>
    <w:rsid w:val="00800547"/>
    <w:rsid w:val="008015C6"/>
    <w:rsid w:val="00801800"/>
    <w:rsid w:val="00801861"/>
    <w:rsid w:val="00801A90"/>
    <w:rsid w:val="00801B5B"/>
    <w:rsid w:val="00804248"/>
    <w:rsid w:val="0080542B"/>
    <w:rsid w:val="00805A30"/>
    <w:rsid w:val="0080724E"/>
    <w:rsid w:val="00807734"/>
    <w:rsid w:val="00807E4F"/>
    <w:rsid w:val="008105FD"/>
    <w:rsid w:val="008108F4"/>
    <w:rsid w:val="00811966"/>
    <w:rsid w:val="00811CB4"/>
    <w:rsid w:val="00813A99"/>
    <w:rsid w:val="00813D63"/>
    <w:rsid w:val="008144EB"/>
    <w:rsid w:val="008146F5"/>
    <w:rsid w:val="00814DC9"/>
    <w:rsid w:val="008156E4"/>
    <w:rsid w:val="00815EB4"/>
    <w:rsid w:val="0081703B"/>
    <w:rsid w:val="008176F8"/>
    <w:rsid w:val="008178B4"/>
    <w:rsid w:val="00817CE8"/>
    <w:rsid w:val="008216E7"/>
    <w:rsid w:val="00821B27"/>
    <w:rsid w:val="0082260D"/>
    <w:rsid w:val="00825BE6"/>
    <w:rsid w:val="00826132"/>
    <w:rsid w:val="00826368"/>
    <w:rsid w:val="00826BEC"/>
    <w:rsid w:val="00827368"/>
    <w:rsid w:val="008276B4"/>
    <w:rsid w:val="008277B0"/>
    <w:rsid w:val="00831927"/>
    <w:rsid w:val="00831A89"/>
    <w:rsid w:val="0083254A"/>
    <w:rsid w:val="00832FFF"/>
    <w:rsid w:val="0083521A"/>
    <w:rsid w:val="008354A0"/>
    <w:rsid w:val="00835C39"/>
    <w:rsid w:val="008360FC"/>
    <w:rsid w:val="0083653B"/>
    <w:rsid w:val="00836C90"/>
    <w:rsid w:val="00837288"/>
    <w:rsid w:val="008406A3"/>
    <w:rsid w:val="0084181A"/>
    <w:rsid w:val="008419C2"/>
    <w:rsid w:val="00841BD3"/>
    <w:rsid w:val="0084273D"/>
    <w:rsid w:val="00844D7D"/>
    <w:rsid w:val="00844E3F"/>
    <w:rsid w:val="0084565B"/>
    <w:rsid w:val="00845A83"/>
    <w:rsid w:val="00845DCE"/>
    <w:rsid w:val="00846BB9"/>
    <w:rsid w:val="008477E7"/>
    <w:rsid w:val="008479F2"/>
    <w:rsid w:val="00847B29"/>
    <w:rsid w:val="00847F7C"/>
    <w:rsid w:val="00850DC5"/>
    <w:rsid w:val="008518AD"/>
    <w:rsid w:val="008519EA"/>
    <w:rsid w:val="00851EAF"/>
    <w:rsid w:val="00852071"/>
    <w:rsid w:val="00854495"/>
    <w:rsid w:val="00855E1B"/>
    <w:rsid w:val="00855F60"/>
    <w:rsid w:val="0085656E"/>
    <w:rsid w:val="00857277"/>
    <w:rsid w:val="00857B28"/>
    <w:rsid w:val="00857B3B"/>
    <w:rsid w:val="00860050"/>
    <w:rsid w:val="00861EC4"/>
    <w:rsid w:val="00863102"/>
    <w:rsid w:val="008633CE"/>
    <w:rsid w:val="008647BD"/>
    <w:rsid w:val="008649D5"/>
    <w:rsid w:val="00865244"/>
    <w:rsid w:val="00865A39"/>
    <w:rsid w:val="00866490"/>
    <w:rsid w:val="00866930"/>
    <w:rsid w:val="0086706D"/>
    <w:rsid w:val="008678E9"/>
    <w:rsid w:val="00867966"/>
    <w:rsid w:val="0087009F"/>
    <w:rsid w:val="00870247"/>
    <w:rsid w:val="00870CC9"/>
    <w:rsid w:val="008712BB"/>
    <w:rsid w:val="0087168A"/>
    <w:rsid w:val="0087190A"/>
    <w:rsid w:val="008726A4"/>
    <w:rsid w:val="008746CB"/>
    <w:rsid w:val="008749AF"/>
    <w:rsid w:val="00875D8C"/>
    <w:rsid w:val="008775C3"/>
    <w:rsid w:val="008809A2"/>
    <w:rsid w:val="00880F41"/>
    <w:rsid w:val="00881DAE"/>
    <w:rsid w:val="00882319"/>
    <w:rsid w:val="00882FC5"/>
    <w:rsid w:val="008830E7"/>
    <w:rsid w:val="008847D3"/>
    <w:rsid w:val="00884A0E"/>
    <w:rsid w:val="008855AD"/>
    <w:rsid w:val="00886BFD"/>
    <w:rsid w:val="0088721D"/>
    <w:rsid w:val="00887396"/>
    <w:rsid w:val="00887FE0"/>
    <w:rsid w:val="00890EDE"/>
    <w:rsid w:val="008918E7"/>
    <w:rsid w:val="00892B38"/>
    <w:rsid w:val="00893650"/>
    <w:rsid w:val="00893A88"/>
    <w:rsid w:val="00893BD6"/>
    <w:rsid w:val="00894437"/>
    <w:rsid w:val="00894622"/>
    <w:rsid w:val="008956CD"/>
    <w:rsid w:val="008956FE"/>
    <w:rsid w:val="008958A8"/>
    <w:rsid w:val="00895A1A"/>
    <w:rsid w:val="00896A31"/>
    <w:rsid w:val="008A0942"/>
    <w:rsid w:val="008A1741"/>
    <w:rsid w:val="008A1900"/>
    <w:rsid w:val="008A1D66"/>
    <w:rsid w:val="008A2484"/>
    <w:rsid w:val="008A3150"/>
    <w:rsid w:val="008A3282"/>
    <w:rsid w:val="008A343D"/>
    <w:rsid w:val="008A4E26"/>
    <w:rsid w:val="008A52F3"/>
    <w:rsid w:val="008A59C4"/>
    <w:rsid w:val="008A7C8A"/>
    <w:rsid w:val="008B012A"/>
    <w:rsid w:val="008B1BF9"/>
    <w:rsid w:val="008B1D94"/>
    <w:rsid w:val="008B2A3C"/>
    <w:rsid w:val="008B3118"/>
    <w:rsid w:val="008B37AB"/>
    <w:rsid w:val="008B4699"/>
    <w:rsid w:val="008B62AD"/>
    <w:rsid w:val="008B72C7"/>
    <w:rsid w:val="008C2214"/>
    <w:rsid w:val="008C2459"/>
    <w:rsid w:val="008C26D9"/>
    <w:rsid w:val="008C3412"/>
    <w:rsid w:val="008C3596"/>
    <w:rsid w:val="008C5663"/>
    <w:rsid w:val="008C5EFE"/>
    <w:rsid w:val="008C628C"/>
    <w:rsid w:val="008C6D50"/>
    <w:rsid w:val="008C7167"/>
    <w:rsid w:val="008C7503"/>
    <w:rsid w:val="008C7816"/>
    <w:rsid w:val="008C7856"/>
    <w:rsid w:val="008C7D49"/>
    <w:rsid w:val="008D0619"/>
    <w:rsid w:val="008D1617"/>
    <w:rsid w:val="008D212A"/>
    <w:rsid w:val="008D330F"/>
    <w:rsid w:val="008D4156"/>
    <w:rsid w:val="008D48C1"/>
    <w:rsid w:val="008D5898"/>
    <w:rsid w:val="008D6752"/>
    <w:rsid w:val="008E0F06"/>
    <w:rsid w:val="008E1839"/>
    <w:rsid w:val="008E22EE"/>
    <w:rsid w:val="008E3167"/>
    <w:rsid w:val="008E3B1D"/>
    <w:rsid w:val="008E5AD7"/>
    <w:rsid w:val="008E6315"/>
    <w:rsid w:val="008E64C9"/>
    <w:rsid w:val="008E6753"/>
    <w:rsid w:val="008E75A0"/>
    <w:rsid w:val="008F0267"/>
    <w:rsid w:val="008F0480"/>
    <w:rsid w:val="008F06CD"/>
    <w:rsid w:val="008F07FC"/>
    <w:rsid w:val="008F11E0"/>
    <w:rsid w:val="008F2368"/>
    <w:rsid w:val="008F3E80"/>
    <w:rsid w:val="008F3EA7"/>
    <w:rsid w:val="008F3FA1"/>
    <w:rsid w:val="008F4588"/>
    <w:rsid w:val="008F48FF"/>
    <w:rsid w:val="008F561E"/>
    <w:rsid w:val="008F5AAE"/>
    <w:rsid w:val="008F5E18"/>
    <w:rsid w:val="008F6A78"/>
    <w:rsid w:val="008F7549"/>
    <w:rsid w:val="008F78BC"/>
    <w:rsid w:val="008F7B63"/>
    <w:rsid w:val="008F7D6A"/>
    <w:rsid w:val="0090182B"/>
    <w:rsid w:val="00901C86"/>
    <w:rsid w:val="00903603"/>
    <w:rsid w:val="00903B72"/>
    <w:rsid w:val="009040B4"/>
    <w:rsid w:val="00905093"/>
    <w:rsid w:val="009054CB"/>
    <w:rsid w:val="0090571F"/>
    <w:rsid w:val="00906331"/>
    <w:rsid w:val="00906A2E"/>
    <w:rsid w:val="00907FC4"/>
    <w:rsid w:val="009101A3"/>
    <w:rsid w:val="0091173F"/>
    <w:rsid w:val="00911F8D"/>
    <w:rsid w:val="00912795"/>
    <w:rsid w:val="00912F94"/>
    <w:rsid w:val="00913273"/>
    <w:rsid w:val="00913C52"/>
    <w:rsid w:val="00914029"/>
    <w:rsid w:val="009171BC"/>
    <w:rsid w:val="009200B0"/>
    <w:rsid w:val="00921329"/>
    <w:rsid w:val="009221D5"/>
    <w:rsid w:val="00922C0E"/>
    <w:rsid w:val="00923377"/>
    <w:rsid w:val="009239AE"/>
    <w:rsid w:val="00923DD8"/>
    <w:rsid w:val="0092497E"/>
    <w:rsid w:val="0092590B"/>
    <w:rsid w:val="00925BF3"/>
    <w:rsid w:val="00925E60"/>
    <w:rsid w:val="009262ED"/>
    <w:rsid w:val="009264B3"/>
    <w:rsid w:val="00926C2D"/>
    <w:rsid w:val="00927C35"/>
    <w:rsid w:val="00930A43"/>
    <w:rsid w:val="00931076"/>
    <w:rsid w:val="009313CC"/>
    <w:rsid w:val="00931E4C"/>
    <w:rsid w:val="00932038"/>
    <w:rsid w:val="00932245"/>
    <w:rsid w:val="00933408"/>
    <w:rsid w:val="0093432D"/>
    <w:rsid w:val="0093462D"/>
    <w:rsid w:val="009359AC"/>
    <w:rsid w:val="009359E0"/>
    <w:rsid w:val="00935EF6"/>
    <w:rsid w:val="009365E0"/>
    <w:rsid w:val="009374A0"/>
    <w:rsid w:val="00937DA4"/>
    <w:rsid w:val="00940FB2"/>
    <w:rsid w:val="00942BA2"/>
    <w:rsid w:val="009432B7"/>
    <w:rsid w:val="009432DD"/>
    <w:rsid w:val="00943937"/>
    <w:rsid w:val="00943D46"/>
    <w:rsid w:val="009440D9"/>
    <w:rsid w:val="00944C86"/>
    <w:rsid w:val="009458B3"/>
    <w:rsid w:val="009474D5"/>
    <w:rsid w:val="00947C02"/>
    <w:rsid w:val="00947EFC"/>
    <w:rsid w:val="00950594"/>
    <w:rsid w:val="00950BE6"/>
    <w:rsid w:val="00952C57"/>
    <w:rsid w:val="00953299"/>
    <w:rsid w:val="00953714"/>
    <w:rsid w:val="00954909"/>
    <w:rsid w:val="00955A23"/>
    <w:rsid w:val="00955CBA"/>
    <w:rsid w:val="00956D9A"/>
    <w:rsid w:val="00957AC5"/>
    <w:rsid w:val="00957DE8"/>
    <w:rsid w:val="009608BF"/>
    <w:rsid w:val="00960ECB"/>
    <w:rsid w:val="009615D6"/>
    <w:rsid w:val="009615FF"/>
    <w:rsid w:val="00961B75"/>
    <w:rsid w:val="00961EC0"/>
    <w:rsid w:val="00961F43"/>
    <w:rsid w:val="009642B9"/>
    <w:rsid w:val="00964856"/>
    <w:rsid w:val="00964E86"/>
    <w:rsid w:val="0096514D"/>
    <w:rsid w:val="0096553F"/>
    <w:rsid w:val="00965ABA"/>
    <w:rsid w:val="0096746D"/>
    <w:rsid w:val="00967855"/>
    <w:rsid w:val="00971218"/>
    <w:rsid w:val="00971CD1"/>
    <w:rsid w:val="00973700"/>
    <w:rsid w:val="00974709"/>
    <w:rsid w:val="009747AE"/>
    <w:rsid w:val="009801AE"/>
    <w:rsid w:val="00980736"/>
    <w:rsid w:val="009814CF"/>
    <w:rsid w:val="00981A39"/>
    <w:rsid w:val="00982D56"/>
    <w:rsid w:val="00983741"/>
    <w:rsid w:val="00983DBF"/>
    <w:rsid w:val="009858B2"/>
    <w:rsid w:val="00986B3F"/>
    <w:rsid w:val="00986CFD"/>
    <w:rsid w:val="00986D89"/>
    <w:rsid w:val="00987097"/>
    <w:rsid w:val="009870F9"/>
    <w:rsid w:val="0099018F"/>
    <w:rsid w:val="00991123"/>
    <w:rsid w:val="009919F4"/>
    <w:rsid w:val="00991CAB"/>
    <w:rsid w:val="0099237A"/>
    <w:rsid w:val="00993E58"/>
    <w:rsid w:val="009941D8"/>
    <w:rsid w:val="0099502E"/>
    <w:rsid w:val="00995B50"/>
    <w:rsid w:val="00995D79"/>
    <w:rsid w:val="0099706D"/>
    <w:rsid w:val="00997235"/>
    <w:rsid w:val="009A0151"/>
    <w:rsid w:val="009A05A6"/>
    <w:rsid w:val="009A10F5"/>
    <w:rsid w:val="009A2161"/>
    <w:rsid w:val="009A3A9C"/>
    <w:rsid w:val="009A427F"/>
    <w:rsid w:val="009A4F2C"/>
    <w:rsid w:val="009A5170"/>
    <w:rsid w:val="009A5FE8"/>
    <w:rsid w:val="009B019E"/>
    <w:rsid w:val="009B03B3"/>
    <w:rsid w:val="009B046C"/>
    <w:rsid w:val="009B076C"/>
    <w:rsid w:val="009B1091"/>
    <w:rsid w:val="009B13FA"/>
    <w:rsid w:val="009B1425"/>
    <w:rsid w:val="009B1E2D"/>
    <w:rsid w:val="009B27C4"/>
    <w:rsid w:val="009B2804"/>
    <w:rsid w:val="009B31D8"/>
    <w:rsid w:val="009B4371"/>
    <w:rsid w:val="009B49C6"/>
    <w:rsid w:val="009B4F25"/>
    <w:rsid w:val="009B5D97"/>
    <w:rsid w:val="009B67B8"/>
    <w:rsid w:val="009B69B7"/>
    <w:rsid w:val="009B6C03"/>
    <w:rsid w:val="009B6F42"/>
    <w:rsid w:val="009B71D1"/>
    <w:rsid w:val="009B7916"/>
    <w:rsid w:val="009B7A39"/>
    <w:rsid w:val="009B7EAD"/>
    <w:rsid w:val="009C0042"/>
    <w:rsid w:val="009C075D"/>
    <w:rsid w:val="009C0A14"/>
    <w:rsid w:val="009C32C8"/>
    <w:rsid w:val="009C442E"/>
    <w:rsid w:val="009C48D1"/>
    <w:rsid w:val="009C4E22"/>
    <w:rsid w:val="009C59FB"/>
    <w:rsid w:val="009C6F3B"/>
    <w:rsid w:val="009C7156"/>
    <w:rsid w:val="009D0415"/>
    <w:rsid w:val="009D0DA5"/>
    <w:rsid w:val="009D1467"/>
    <w:rsid w:val="009D21BF"/>
    <w:rsid w:val="009D22F1"/>
    <w:rsid w:val="009D2CCE"/>
    <w:rsid w:val="009D328D"/>
    <w:rsid w:val="009D47A0"/>
    <w:rsid w:val="009D4D79"/>
    <w:rsid w:val="009D4FEB"/>
    <w:rsid w:val="009D508B"/>
    <w:rsid w:val="009D6081"/>
    <w:rsid w:val="009D7AF2"/>
    <w:rsid w:val="009E09B7"/>
    <w:rsid w:val="009E1640"/>
    <w:rsid w:val="009E1EB9"/>
    <w:rsid w:val="009E2423"/>
    <w:rsid w:val="009E2C8D"/>
    <w:rsid w:val="009E37D6"/>
    <w:rsid w:val="009E3D02"/>
    <w:rsid w:val="009E4527"/>
    <w:rsid w:val="009E4B71"/>
    <w:rsid w:val="009E4D74"/>
    <w:rsid w:val="009E4FA6"/>
    <w:rsid w:val="009E6048"/>
    <w:rsid w:val="009E68E7"/>
    <w:rsid w:val="009E6C64"/>
    <w:rsid w:val="009E7049"/>
    <w:rsid w:val="009E7255"/>
    <w:rsid w:val="009E76AE"/>
    <w:rsid w:val="009E7D93"/>
    <w:rsid w:val="009F05BE"/>
    <w:rsid w:val="009F15A7"/>
    <w:rsid w:val="009F1CC8"/>
    <w:rsid w:val="009F38C2"/>
    <w:rsid w:val="009F3C34"/>
    <w:rsid w:val="009F3D5E"/>
    <w:rsid w:val="009F3E33"/>
    <w:rsid w:val="009F462C"/>
    <w:rsid w:val="009F4FAD"/>
    <w:rsid w:val="009F5C33"/>
    <w:rsid w:val="009F76F5"/>
    <w:rsid w:val="00A00705"/>
    <w:rsid w:val="00A026F0"/>
    <w:rsid w:val="00A0316F"/>
    <w:rsid w:val="00A0387D"/>
    <w:rsid w:val="00A03EAC"/>
    <w:rsid w:val="00A0443A"/>
    <w:rsid w:val="00A04465"/>
    <w:rsid w:val="00A04DBB"/>
    <w:rsid w:val="00A05EB6"/>
    <w:rsid w:val="00A06AE4"/>
    <w:rsid w:val="00A07EA0"/>
    <w:rsid w:val="00A11CA6"/>
    <w:rsid w:val="00A127CB"/>
    <w:rsid w:val="00A1344C"/>
    <w:rsid w:val="00A1438C"/>
    <w:rsid w:val="00A15067"/>
    <w:rsid w:val="00A1677A"/>
    <w:rsid w:val="00A16FBB"/>
    <w:rsid w:val="00A17FF7"/>
    <w:rsid w:val="00A20188"/>
    <w:rsid w:val="00A20C49"/>
    <w:rsid w:val="00A216D4"/>
    <w:rsid w:val="00A22932"/>
    <w:rsid w:val="00A246BC"/>
    <w:rsid w:val="00A24D4A"/>
    <w:rsid w:val="00A24FF7"/>
    <w:rsid w:val="00A2573D"/>
    <w:rsid w:val="00A25D10"/>
    <w:rsid w:val="00A25E67"/>
    <w:rsid w:val="00A269CA"/>
    <w:rsid w:val="00A270C6"/>
    <w:rsid w:val="00A27550"/>
    <w:rsid w:val="00A2759D"/>
    <w:rsid w:val="00A3042B"/>
    <w:rsid w:val="00A30591"/>
    <w:rsid w:val="00A32B93"/>
    <w:rsid w:val="00A336EE"/>
    <w:rsid w:val="00A33A09"/>
    <w:rsid w:val="00A33F46"/>
    <w:rsid w:val="00A3427E"/>
    <w:rsid w:val="00A348E2"/>
    <w:rsid w:val="00A355E7"/>
    <w:rsid w:val="00A359AC"/>
    <w:rsid w:val="00A3622B"/>
    <w:rsid w:val="00A3658E"/>
    <w:rsid w:val="00A368C5"/>
    <w:rsid w:val="00A373C9"/>
    <w:rsid w:val="00A40F83"/>
    <w:rsid w:val="00A410FB"/>
    <w:rsid w:val="00A41413"/>
    <w:rsid w:val="00A42021"/>
    <w:rsid w:val="00A42BB3"/>
    <w:rsid w:val="00A431E6"/>
    <w:rsid w:val="00A43630"/>
    <w:rsid w:val="00A436E8"/>
    <w:rsid w:val="00A437FF"/>
    <w:rsid w:val="00A44235"/>
    <w:rsid w:val="00A45FB1"/>
    <w:rsid w:val="00A46974"/>
    <w:rsid w:val="00A46A0F"/>
    <w:rsid w:val="00A46CCC"/>
    <w:rsid w:val="00A47045"/>
    <w:rsid w:val="00A47996"/>
    <w:rsid w:val="00A501E7"/>
    <w:rsid w:val="00A50BCD"/>
    <w:rsid w:val="00A5115E"/>
    <w:rsid w:val="00A51CFE"/>
    <w:rsid w:val="00A5204D"/>
    <w:rsid w:val="00A5405F"/>
    <w:rsid w:val="00A54098"/>
    <w:rsid w:val="00A54572"/>
    <w:rsid w:val="00A54651"/>
    <w:rsid w:val="00A55BE7"/>
    <w:rsid w:val="00A56CDE"/>
    <w:rsid w:val="00A56E77"/>
    <w:rsid w:val="00A57C83"/>
    <w:rsid w:val="00A60CFC"/>
    <w:rsid w:val="00A61605"/>
    <w:rsid w:val="00A618AA"/>
    <w:rsid w:val="00A62B0B"/>
    <w:rsid w:val="00A63988"/>
    <w:rsid w:val="00A63CE2"/>
    <w:rsid w:val="00A64ABE"/>
    <w:rsid w:val="00A65296"/>
    <w:rsid w:val="00A655EC"/>
    <w:rsid w:val="00A65F97"/>
    <w:rsid w:val="00A67A84"/>
    <w:rsid w:val="00A67B60"/>
    <w:rsid w:val="00A71F3D"/>
    <w:rsid w:val="00A737AE"/>
    <w:rsid w:val="00A73B04"/>
    <w:rsid w:val="00A73B71"/>
    <w:rsid w:val="00A74668"/>
    <w:rsid w:val="00A747DE"/>
    <w:rsid w:val="00A74CB3"/>
    <w:rsid w:val="00A75CDF"/>
    <w:rsid w:val="00A7614C"/>
    <w:rsid w:val="00A76921"/>
    <w:rsid w:val="00A7692E"/>
    <w:rsid w:val="00A76C13"/>
    <w:rsid w:val="00A76E6F"/>
    <w:rsid w:val="00A7738E"/>
    <w:rsid w:val="00A77EBC"/>
    <w:rsid w:val="00A800E5"/>
    <w:rsid w:val="00A82111"/>
    <w:rsid w:val="00A826DC"/>
    <w:rsid w:val="00A82C25"/>
    <w:rsid w:val="00A836D2"/>
    <w:rsid w:val="00A8378F"/>
    <w:rsid w:val="00A84A46"/>
    <w:rsid w:val="00A84FD0"/>
    <w:rsid w:val="00A853DB"/>
    <w:rsid w:val="00A85B7C"/>
    <w:rsid w:val="00A85BA7"/>
    <w:rsid w:val="00A8618F"/>
    <w:rsid w:val="00A866F4"/>
    <w:rsid w:val="00A86B14"/>
    <w:rsid w:val="00A8752E"/>
    <w:rsid w:val="00A87A9C"/>
    <w:rsid w:val="00A87EB1"/>
    <w:rsid w:val="00A90B34"/>
    <w:rsid w:val="00A91456"/>
    <w:rsid w:val="00A91CD0"/>
    <w:rsid w:val="00A9224D"/>
    <w:rsid w:val="00A92E79"/>
    <w:rsid w:val="00A944A5"/>
    <w:rsid w:val="00A950B6"/>
    <w:rsid w:val="00A95D45"/>
    <w:rsid w:val="00A9661D"/>
    <w:rsid w:val="00A973F9"/>
    <w:rsid w:val="00A975DF"/>
    <w:rsid w:val="00A97966"/>
    <w:rsid w:val="00AA3EA8"/>
    <w:rsid w:val="00AA491C"/>
    <w:rsid w:val="00AA4A8B"/>
    <w:rsid w:val="00AA5711"/>
    <w:rsid w:val="00AA5EB3"/>
    <w:rsid w:val="00AA5FA7"/>
    <w:rsid w:val="00AA63B8"/>
    <w:rsid w:val="00AA69E5"/>
    <w:rsid w:val="00AA75A6"/>
    <w:rsid w:val="00AA7C97"/>
    <w:rsid w:val="00AA7E8D"/>
    <w:rsid w:val="00AB0030"/>
    <w:rsid w:val="00AB10A2"/>
    <w:rsid w:val="00AB1380"/>
    <w:rsid w:val="00AB1971"/>
    <w:rsid w:val="00AB1B0E"/>
    <w:rsid w:val="00AB2228"/>
    <w:rsid w:val="00AB260C"/>
    <w:rsid w:val="00AB41C1"/>
    <w:rsid w:val="00AB4CF2"/>
    <w:rsid w:val="00AB4E14"/>
    <w:rsid w:val="00AB66A6"/>
    <w:rsid w:val="00AB6866"/>
    <w:rsid w:val="00AB68DA"/>
    <w:rsid w:val="00AB6CCA"/>
    <w:rsid w:val="00AB7B2B"/>
    <w:rsid w:val="00AB7E39"/>
    <w:rsid w:val="00AC0758"/>
    <w:rsid w:val="00AC223F"/>
    <w:rsid w:val="00AC33B1"/>
    <w:rsid w:val="00AC3ECA"/>
    <w:rsid w:val="00AC5822"/>
    <w:rsid w:val="00AC5CB9"/>
    <w:rsid w:val="00AC6AF6"/>
    <w:rsid w:val="00AD08CF"/>
    <w:rsid w:val="00AD12A8"/>
    <w:rsid w:val="00AD12D0"/>
    <w:rsid w:val="00AD16BB"/>
    <w:rsid w:val="00AD1D49"/>
    <w:rsid w:val="00AD2365"/>
    <w:rsid w:val="00AD483A"/>
    <w:rsid w:val="00AD4C81"/>
    <w:rsid w:val="00AD5DAA"/>
    <w:rsid w:val="00AD5EAB"/>
    <w:rsid w:val="00AD7299"/>
    <w:rsid w:val="00AE023F"/>
    <w:rsid w:val="00AE0829"/>
    <w:rsid w:val="00AE1235"/>
    <w:rsid w:val="00AE3003"/>
    <w:rsid w:val="00AE3334"/>
    <w:rsid w:val="00AE3B83"/>
    <w:rsid w:val="00AE4FCC"/>
    <w:rsid w:val="00AE5B2D"/>
    <w:rsid w:val="00AE68D6"/>
    <w:rsid w:val="00AE6BEB"/>
    <w:rsid w:val="00AF25C7"/>
    <w:rsid w:val="00AF2FB3"/>
    <w:rsid w:val="00AF325B"/>
    <w:rsid w:val="00AF3577"/>
    <w:rsid w:val="00AF35F9"/>
    <w:rsid w:val="00AF5686"/>
    <w:rsid w:val="00AF596C"/>
    <w:rsid w:val="00AF65E2"/>
    <w:rsid w:val="00AF6F17"/>
    <w:rsid w:val="00AF72DB"/>
    <w:rsid w:val="00AF7638"/>
    <w:rsid w:val="00AF799E"/>
    <w:rsid w:val="00B01989"/>
    <w:rsid w:val="00B0424C"/>
    <w:rsid w:val="00B0435C"/>
    <w:rsid w:val="00B04CE5"/>
    <w:rsid w:val="00B051B9"/>
    <w:rsid w:val="00B05C7D"/>
    <w:rsid w:val="00B0659F"/>
    <w:rsid w:val="00B11780"/>
    <w:rsid w:val="00B12FC1"/>
    <w:rsid w:val="00B13339"/>
    <w:rsid w:val="00B13402"/>
    <w:rsid w:val="00B13B48"/>
    <w:rsid w:val="00B13C80"/>
    <w:rsid w:val="00B143CB"/>
    <w:rsid w:val="00B143F3"/>
    <w:rsid w:val="00B15D57"/>
    <w:rsid w:val="00B16347"/>
    <w:rsid w:val="00B171CA"/>
    <w:rsid w:val="00B175BF"/>
    <w:rsid w:val="00B17C66"/>
    <w:rsid w:val="00B17D6E"/>
    <w:rsid w:val="00B20573"/>
    <w:rsid w:val="00B206BE"/>
    <w:rsid w:val="00B20803"/>
    <w:rsid w:val="00B20CA2"/>
    <w:rsid w:val="00B212B2"/>
    <w:rsid w:val="00B21AA3"/>
    <w:rsid w:val="00B2298D"/>
    <w:rsid w:val="00B2435E"/>
    <w:rsid w:val="00B24B38"/>
    <w:rsid w:val="00B24BA7"/>
    <w:rsid w:val="00B250E3"/>
    <w:rsid w:val="00B2691A"/>
    <w:rsid w:val="00B26E25"/>
    <w:rsid w:val="00B30EA1"/>
    <w:rsid w:val="00B31479"/>
    <w:rsid w:val="00B31AC5"/>
    <w:rsid w:val="00B31EEA"/>
    <w:rsid w:val="00B3286E"/>
    <w:rsid w:val="00B3312B"/>
    <w:rsid w:val="00B346C3"/>
    <w:rsid w:val="00B34AE8"/>
    <w:rsid w:val="00B34D18"/>
    <w:rsid w:val="00B34FAF"/>
    <w:rsid w:val="00B36CEB"/>
    <w:rsid w:val="00B372CB"/>
    <w:rsid w:val="00B378A1"/>
    <w:rsid w:val="00B37F40"/>
    <w:rsid w:val="00B4005C"/>
    <w:rsid w:val="00B4006C"/>
    <w:rsid w:val="00B40166"/>
    <w:rsid w:val="00B4069C"/>
    <w:rsid w:val="00B41033"/>
    <w:rsid w:val="00B4136D"/>
    <w:rsid w:val="00B4227E"/>
    <w:rsid w:val="00B42A60"/>
    <w:rsid w:val="00B42EF5"/>
    <w:rsid w:val="00B437B3"/>
    <w:rsid w:val="00B4380B"/>
    <w:rsid w:val="00B4432A"/>
    <w:rsid w:val="00B4471C"/>
    <w:rsid w:val="00B451A6"/>
    <w:rsid w:val="00B45E0A"/>
    <w:rsid w:val="00B46172"/>
    <w:rsid w:val="00B462DD"/>
    <w:rsid w:val="00B46E46"/>
    <w:rsid w:val="00B47632"/>
    <w:rsid w:val="00B51EBD"/>
    <w:rsid w:val="00B52F67"/>
    <w:rsid w:val="00B5441A"/>
    <w:rsid w:val="00B552DA"/>
    <w:rsid w:val="00B56095"/>
    <w:rsid w:val="00B5640F"/>
    <w:rsid w:val="00B56D6E"/>
    <w:rsid w:val="00B56DA0"/>
    <w:rsid w:val="00B56F94"/>
    <w:rsid w:val="00B5721A"/>
    <w:rsid w:val="00B57DEF"/>
    <w:rsid w:val="00B61921"/>
    <w:rsid w:val="00B621C2"/>
    <w:rsid w:val="00B62348"/>
    <w:rsid w:val="00B63E70"/>
    <w:rsid w:val="00B642A9"/>
    <w:rsid w:val="00B64347"/>
    <w:rsid w:val="00B65DC6"/>
    <w:rsid w:val="00B65F62"/>
    <w:rsid w:val="00B668EA"/>
    <w:rsid w:val="00B67AC2"/>
    <w:rsid w:val="00B707D9"/>
    <w:rsid w:val="00B716E1"/>
    <w:rsid w:val="00B722DE"/>
    <w:rsid w:val="00B72BC8"/>
    <w:rsid w:val="00B72EF4"/>
    <w:rsid w:val="00B730CD"/>
    <w:rsid w:val="00B751E3"/>
    <w:rsid w:val="00B757D1"/>
    <w:rsid w:val="00B75B80"/>
    <w:rsid w:val="00B75BA6"/>
    <w:rsid w:val="00B761C6"/>
    <w:rsid w:val="00B763C5"/>
    <w:rsid w:val="00B76C0D"/>
    <w:rsid w:val="00B76C44"/>
    <w:rsid w:val="00B774F9"/>
    <w:rsid w:val="00B80708"/>
    <w:rsid w:val="00B8184A"/>
    <w:rsid w:val="00B82283"/>
    <w:rsid w:val="00B828D8"/>
    <w:rsid w:val="00B82ED7"/>
    <w:rsid w:val="00B82F96"/>
    <w:rsid w:val="00B83165"/>
    <w:rsid w:val="00B832F0"/>
    <w:rsid w:val="00B83F87"/>
    <w:rsid w:val="00B840B7"/>
    <w:rsid w:val="00B8667B"/>
    <w:rsid w:val="00B87695"/>
    <w:rsid w:val="00B87B98"/>
    <w:rsid w:val="00B87CDC"/>
    <w:rsid w:val="00B910C1"/>
    <w:rsid w:val="00B9166B"/>
    <w:rsid w:val="00B93527"/>
    <w:rsid w:val="00B935C6"/>
    <w:rsid w:val="00B942AC"/>
    <w:rsid w:val="00B94691"/>
    <w:rsid w:val="00B94C45"/>
    <w:rsid w:val="00B965E1"/>
    <w:rsid w:val="00BA06B1"/>
    <w:rsid w:val="00BA1423"/>
    <w:rsid w:val="00BA2BC8"/>
    <w:rsid w:val="00BA2CA4"/>
    <w:rsid w:val="00BA2EFA"/>
    <w:rsid w:val="00BA3332"/>
    <w:rsid w:val="00BA3DBC"/>
    <w:rsid w:val="00BA4491"/>
    <w:rsid w:val="00BA6202"/>
    <w:rsid w:val="00BA707A"/>
    <w:rsid w:val="00BA7B8D"/>
    <w:rsid w:val="00BA7DDE"/>
    <w:rsid w:val="00BA7FB4"/>
    <w:rsid w:val="00BB0EB0"/>
    <w:rsid w:val="00BB1AFB"/>
    <w:rsid w:val="00BB233E"/>
    <w:rsid w:val="00BB27AE"/>
    <w:rsid w:val="00BB2DA2"/>
    <w:rsid w:val="00BB34D8"/>
    <w:rsid w:val="00BB391B"/>
    <w:rsid w:val="00BB3BCE"/>
    <w:rsid w:val="00BB4494"/>
    <w:rsid w:val="00BB48F5"/>
    <w:rsid w:val="00BB56DC"/>
    <w:rsid w:val="00BB7338"/>
    <w:rsid w:val="00BC0F4B"/>
    <w:rsid w:val="00BC117D"/>
    <w:rsid w:val="00BC1275"/>
    <w:rsid w:val="00BC159D"/>
    <w:rsid w:val="00BC1925"/>
    <w:rsid w:val="00BC1F31"/>
    <w:rsid w:val="00BC2AB7"/>
    <w:rsid w:val="00BC2D83"/>
    <w:rsid w:val="00BC2E06"/>
    <w:rsid w:val="00BC4C88"/>
    <w:rsid w:val="00BC4F3A"/>
    <w:rsid w:val="00BC5C6E"/>
    <w:rsid w:val="00BC6101"/>
    <w:rsid w:val="00BC64F4"/>
    <w:rsid w:val="00BC6E2B"/>
    <w:rsid w:val="00BC718B"/>
    <w:rsid w:val="00BD00A3"/>
    <w:rsid w:val="00BD0AA9"/>
    <w:rsid w:val="00BD14FE"/>
    <w:rsid w:val="00BD1FA5"/>
    <w:rsid w:val="00BD2F7D"/>
    <w:rsid w:val="00BD2FE7"/>
    <w:rsid w:val="00BD3761"/>
    <w:rsid w:val="00BD4065"/>
    <w:rsid w:val="00BD4727"/>
    <w:rsid w:val="00BD5892"/>
    <w:rsid w:val="00BD590C"/>
    <w:rsid w:val="00BD598B"/>
    <w:rsid w:val="00BD5B24"/>
    <w:rsid w:val="00BD5DAB"/>
    <w:rsid w:val="00BD61B2"/>
    <w:rsid w:val="00BD6762"/>
    <w:rsid w:val="00BD7DB3"/>
    <w:rsid w:val="00BE0681"/>
    <w:rsid w:val="00BE1307"/>
    <w:rsid w:val="00BE15E4"/>
    <w:rsid w:val="00BE183D"/>
    <w:rsid w:val="00BE2E12"/>
    <w:rsid w:val="00BE38BF"/>
    <w:rsid w:val="00BE38DB"/>
    <w:rsid w:val="00BE454B"/>
    <w:rsid w:val="00BE4AF7"/>
    <w:rsid w:val="00BE7FFE"/>
    <w:rsid w:val="00BF099D"/>
    <w:rsid w:val="00BF0E45"/>
    <w:rsid w:val="00BF10B4"/>
    <w:rsid w:val="00BF113E"/>
    <w:rsid w:val="00BF1C8D"/>
    <w:rsid w:val="00BF2428"/>
    <w:rsid w:val="00BF24C2"/>
    <w:rsid w:val="00BF2691"/>
    <w:rsid w:val="00BF2922"/>
    <w:rsid w:val="00BF5D7A"/>
    <w:rsid w:val="00BF6034"/>
    <w:rsid w:val="00BF630A"/>
    <w:rsid w:val="00BF68DB"/>
    <w:rsid w:val="00BF79D4"/>
    <w:rsid w:val="00C00FCA"/>
    <w:rsid w:val="00C01B8C"/>
    <w:rsid w:val="00C01C2E"/>
    <w:rsid w:val="00C0224E"/>
    <w:rsid w:val="00C02A56"/>
    <w:rsid w:val="00C02D33"/>
    <w:rsid w:val="00C04B53"/>
    <w:rsid w:val="00C04C79"/>
    <w:rsid w:val="00C050FF"/>
    <w:rsid w:val="00C05C39"/>
    <w:rsid w:val="00C0690C"/>
    <w:rsid w:val="00C07528"/>
    <w:rsid w:val="00C10278"/>
    <w:rsid w:val="00C10D52"/>
    <w:rsid w:val="00C10DBE"/>
    <w:rsid w:val="00C10F2B"/>
    <w:rsid w:val="00C11962"/>
    <w:rsid w:val="00C1232C"/>
    <w:rsid w:val="00C12DB5"/>
    <w:rsid w:val="00C130F4"/>
    <w:rsid w:val="00C13660"/>
    <w:rsid w:val="00C13B9B"/>
    <w:rsid w:val="00C144CC"/>
    <w:rsid w:val="00C15967"/>
    <w:rsid w:val="00C159B6"/>
    <w:rsid w:val="00C16735"/>
    <w:rsid w:val="00C17ECC"/>
    <w:rsid w:val="00C20615"/>
    <w:rsid w:val="00C207D1"/>
    <w:rsid w:val="00C2180A"/>
    <w:rsid w:val="00C21D23"/>
    <w:rsid w:val="00C22137"/>
    <w:rsid w:val="00C230F7"/>
    <w:rsid w:val="00C23AC6"/>
    <w:rsid w:val="00C2586D"/>
    <w:rsid w:val="00C26339"/>
    <w:rsid w:val="00C268CC"/>
    <w:rsid w:val="00C26A7A"/>
    <w:rsid w:val="00C26E05"/>
    <w:rsid w:val="00C26F90"/>
    <w:rsid w:val="00C27C6B"/>
    <w:rsid w:val="00C30246"/>
    <w:rsid w:val="00C305D6"/>
    <w:rsid w:val="00C3087F"/>
    <w:rsid w:val="00C32284"/>
    <w:rsid w:val="00C3386E"/>
    <w:rsid w:val="00C33F2C"/>
    <w:rsid w:val="00C3517D"/>
    <w:rsid w:val="00C35739"/>
    <w:rsid w:val="00C3594D"/>
    <w:rsid w:val="00C3629C"/>
    <w:rsid w:val="00C3636C"/>
    <w:rsid w:val="00C36442"/>
    <w:rsid w:val="00C368AF"/>
    <w:rsid w:val="00C37218"/>
    <w:rsid w:val="00C37C21"/>
    <w:rsid w:val="00C400CE"/>
    <w:rsid w:val="00C4029B"/>
    <w:rsid w:val="00C410FD"/>
    <w:rsid w:val="00C43358"/>
    <w:rsid w:val="00C44049"/>
    <w:rsid w:val="00C4448F"/>
    <w:rsid w:val="00C44C27"/>
    <w:rsid w:val="00C457DE"/>
    <w:rsid w:val="00C46901"/>
    <w:rsid w:val="00C46976"/>
    <w:rsid w:val="00C47B40"/>
    <w:rsid w:val="00C47DD3"/>
    <w:rsid w:val="00C5316F"/>
    <w:rsid w:val="00C53562"/>
    <w:rsid w:val="00C539FB"/>
    <w:rsid w:val="00C543B7"/>
    <w:rsid w:val="00C55EEC"/>
    <w:rsid w:val="00C56E56"/>
    <w:rsid w:val="00C57259"/>
    <w:rsid w:val="00C57AC8"/>
    <w:rsid w:val="00C60341"/>
    <w:rsid w:val="00C608D8"/>
    <w:rsid w:val="00C60CC9"/>
    <w:rsid w:val="00C60F90"/>
    <w:rsid w:val="00C6146F"/>
    <w:rsid w:val="00C625C7"/>
    <w:rsid w:val="00C64E05"/>
    <w:rsid w:val="00C65083"/>
    <w:rsid w:val="00C665C8"/>
    <w:rsid w:val="00C66AA3"/>
    <w:rsid w:val="00C66E57"/>
    <w:rsid w:val="00C677ED"/>
    <w:rsid w:val="00C67D29"/>
    <w:rsid w:val="00C70977"/>
    <w:rsid w:val="00C71AA3"/>
    <w:rsid w:val="00C71B77"/>
    <w:rsid w:val="00C71C4A"/>
    <w:rsid w:val="00C724D7"/>
    <w:rsid w:val="00C72715"/>
    <w:rsid w:val="00C727A5"/>
    <w:rsid w:val="00C72999"/>
    <w:rsid w:val="00C72C13"/>
    <w:rsid w:val="00C74150"/>
    <w:rsid w:val="00C74915"/>
    <w:rsid w:val="00C74D0F"/>
    <w:rsid w:val="00C74DB1"/>
    <w:rsid w:val="00C75594"/>
    <w:rsid w:val="00C7562B"/>
    <w:rsid w:val="00C75E18"/>
    <w:rsid w:val="00C76840"/>
    <w:rsid w:val="00C76E42"/>
    <w:rsid w:val="00C773CB"/>
    <w:rsid w:val="00C773D4"/>
    <w:rsid w:val="00C779BA"/>
    <w:rsid w:val="00C8015D"/>
    <w:rsid w:val="00C80A2F"/>
    <w:rsid w:val="00C80B33"/>
    <w:rsid w:val="00C80CBE"/>
    <w:rsid w:val="00C80EBE"/>
    <w:rsid w:val="00C82A88"/>
    <w:rsid w:val="00C839C9"/>
    <w:rsid w:val="00C83BB2"/>
    <w:rsid w:val="00C84312"/>
    <w:rsid w:val="00C84883"/>
    <w:rsid w:val="00C85982"/>
    <w:rsid w:val="00C8685A"/>
    <w:rsid w:val="00C90A35"/>
    <w:rsid w:val="00C92822"/>
    <w:rsid w:val="00C94683"/>
    <w:rsid w:val="00C955A9"/>
    <w:rsid w:val="00C977CC"/>
    <w:rsid w:val="00CA040A"/>
    <w:rsid w:val="00CA0466"/>
    <w:rsid w:val="00CA0E38"/>
    <w:rsid w:val="00CA15A9"/>
    <w:rsid w:val="00CA1CD5"/>
    <w:rsid w:val="00CA246D"/>
    <w:rsid w:val="00CA31C4"/>
    <w:rsid w:val="00CA3A93"/>
    <w:rsid w:val="00CA3B1D"/>
    <w:rsid w:val="00CA42E1"/>
    <w:rsid w:val="00CA50D9"/>
    <w:rsid w:val="00CA56FD"/>
    <w:rsid w:val="00CA6042"/>
    <w:rsid w:val="00CA721F"/>
    <w:rsid w:val="00CB036B"/>
    <w:rsid w:val="00CB0611"/>
    <w:rsid w:val="00CB0AC3"/>
    <w:rsid w:val="00CB180E"/>
    <w:rsid w:val="00CB1FA2"/>
    <w:rsid w:val="00CB23B1"/>
    <w:rsid w:val="00CB2D98"/>
    <w:rsid w:val="00CB3054"/>
    <w:rsid w:val="00CB3F7A"/>
    <w:rsid w:val="00CB4683"/>
    <w:rsid w:val="00CB518E"/>
    <w:rsid w:val="00CB5636"/>
    <w:rsid w:val="00CB5F30"/>
    <w:rsid w:val="00CB6676"/>
    <w:rsid w:val="00CB77C5"/>
    <w:rsid w:val="00CC00C7"/>
    <w:rsid w:val="00CC0656"/>
    <w:rsid w:val="00CC12EC"/>
    <w:rsid w:val="00CC2328"/>
    <w:rsid w:val="00CC2C53"/>
    <w:rsid w:val="00CC3EE5"/>
    <w:rsid w:val="00CC57F2"/>
    <w:rsid w:val="00CC6E47"/>
    <w:rsid w:val="00CC7AA5"/>
    <w:rsid w:val="00CD1346"/>
    <w:rsid w:val="00CD24CF"/>
    <w:rsid w:val="00CD28DA"/>
    <w:rsid w:val="00CD3274"/>
    <w:rsid w:val="00CD3C4D"/>
    <w:rsid w:val="00CD3CF6"/>
    <w:rsid w:val="00CD48A1"/>
    <w:rsid w:val="00CD5340"/>
    <w:rsid w:val="00CD6154"/>
    <w:rsid w:val="00CD61F7"/>
    <w:rsid w:val="00CD7579"/>
    <w:rsid w:val="00CE1B52"/>
    <w:rsid w:val="00CE3ED6"/>
    <w:rsid w:val="00CE425C"/>
    <w:rsid w:val="00CE4312"/>
    <w:rsid w:val="00CE4C73"/>
    <w:rsid w:val="00CE58AC"/>
    <w:rsid w:val="00CE5E98"/>
    <w:rsid w:val="00CE682E"/>
    <w:rsid w:val="00CE7483"/>
    <w:rsid w:val="00CE77D2"/>
    <w:rsid w:val="00CF070D"/>
    <w:rsid w:val="00CF1BA2"/>
    <w:rsid w:val="00CF1C30"/>
    <w:rsid w:val="00CF2B5D"/>
    <w:rsid w:val="00CF4040"/>
    <w:rsid w:val="00CF422A"/>
    <w:rsid w:val="00CF4857"/>
    <w:rsid w:val="00CF4F95"/>
    <w:rsid w:val="00CF5A80"/>
    <w:rsid w:val="00CF5BBE"/>
    <w:rsid w:val="00CF5CF8"/>
    <w:rsid w:val="00CF7506"/>
    <w:rsid w:val="00D008A6"/>
    <w:rsid w:val="00D009AE"/>
    <w:rsid w:val="00D0286C"/>
    <w:rsid w:val="00D045EE"/>
    <w:rsid w:val="00D05091"/>
    <w:rsid w:val="00D05630"/>
    <w:rsid w:val="00D05865"/>
    <w:rsid w:val="00D06067"/>
    <w:rsid w:val="00D07165"/>
    <w:rsid w:val="00D10CA6"/>
    <w:rsid w:val="00D10EDF"/>
    <w:rsid w:val="00D10F21"/>
    <w:rsid w:val="00D12B77"/>
    <w:rsid w:val="00D134CF"/>
    <w:rsid w:val="00D137E3"/>
    <w:rsid w:val="00D1532C"/>
    <w:rsid w:val="00D15513"/>
    <w:rsid w:val="00D1573B"/>
    <w:rsid w:val="00D15833"/>
    <w:rsid w:val="00D20230"/>
    <w:rsid w:val="00D20B84"/>
    <w:rsid w:val="00D223B4"/>
    <w:rsid w:val="00D22EEF"/>
    <w:rsid w:val="00D22F7F"/>
    <w:rsid w:val="00D2351A"/>
    <w:rsid w:val="00D24806"/>
    <w:rsid w:val="00D258C1"/>
    <w:rsid w:val="00D27024"/>
    <w:rsid w:val="00D273F2"/>
    <w:rsid w:val="00D277AD"/>
    <w:rsid w:val="00D27F78"/>
    <w:rsid w:val="00D31799"/>
    <w:rsid w:val="00D326B6"/>
    <w:rsid w:val="00D33CD2"/>
    <w:rsid w:val="00D34040"/>
    <w:rsid w:val="00D34E69"/>
    <w:rsid w:val="00D36C78"/>
    <w:rsid w:val="00D375EE"/>
    <w:rsid w:val="00D3772A"/>
    <w:rsid w:val="00D401F3"/>
    <w:rsid w:val="00D412AE"/>
    <w:rsid w:val="00D416BA"/>
    <w:rsid w:val="00D41DA5"/>
    <w:rsid w:val="00D4378D"/>
    <w:rsid w:val="00D43B99"/>
    <w:rsid w:val="00D44511"/>
    <w:rsid w:val="00D452E0"/>
    <w:rsid w:val="00D4597E"/>
    <w:rsid w:val="00D45A98"/>
    <w:rsid w:val="00D45DA7"/>
    <w:rsid w:val="00D46DCE"/>
    <w:rsid w:val="00D50222"/>
    <w:rsid w:val="00D513E5"/>
    <w:rsid w:val="00D5280F"/>
    <w:rsid w:val="00D5296B"/>
    <w:rsid w:val="00D53365"/>
    <w:rsid w:val="00D537A6"/>
    <w:rsid w:val="00D53ACB"/>
    <w:rsid w:val="00D53D0D"/>
    <w:rsid w:val="00D54118"/>
    <w:rsid w:val="00D546BE"/>
    <w:rsid w:val="00D54E63"/>
    <w:rsid w:val="00D55628"/>
    <w:rsid w:val="00D55730"/>
    <w:rsid w:val="00D55AE8"/>
    <w:rsid w:val="00D55D29"/>
    <w:rsid w:val="00D56056"/>
    <w:rsid w:val="00D6085F"/>
    <w:rsid w:val="00D62699"/>
    <w:rsid w:val="00D6294A"/>
    <w:rsid w:val="00D63DFE"/>
    <w:rsid w:val="00D664BD"/>
    <w:rsid w:val="00D67ED1"/>
    <w:rsid w:val="00D70BFC"/>
    <w:rsid w:val="00D7162D"/>
    <w:rsid w:val="00D71D85"/>
    <w:rsid w:val="00D72BA6"/>
    <w:rsid w:val="00D73F9B"/>
    <w:rsid w:val="00D73FC6"/>
    <w:rsid w:val="00D73FF8"/>
    <w:rsid w:val="00D74260"/>
    <w:rsid w:val="00D7481A"/>
    <w:rsid w:val="00D748E5"/>
    <w:rsid w:val="00D75CD8"/>
    <w:rsid w:val="00D76FBB"/>
    <w:rsid w:val="00D77323"/>
    <w:rsid w:val="00D778E9"/>
    <w:rsid w:val="00D77E9C"/>
    <w:rsid w:val="00D80012"/>
    <w:rsid w:val="00D809AB"/>
    <w:rsid w:val="00D8113B"/>
    <w:rsid w:val="00D812BF"/>
    <w:rsid w:val="00D81A71"/>
    <w:rsid w:val="00D81C6B"/>
    <w:rsid w:val="00D82620"/>
    <w:rsid w:val="00D83233"/>
    <w:rsid w:val="00D83990"/>
    <w:rsid w:val="00D8477C"/>
    <w:rsid w:val="00D85707"/>
    <w:rsid w:val="00D861E3"/>
    <w:rsid w:val="00D916B0"/>
    <w:rsid w:val="00D91783"/>
    <w:rsid w:val="00D91955"/>
    <w:rsid w:val="00D924BF"/>
    <w:rsid w:val="00D9270D"/>
    <w:rsid w:val="00D92E30"/>
    <w:rsid w:val="00D945AB"/>
    <w:rsid w:val="00D9474D"/>
    <w:rsid w:val="00D94B92"/>
    <w:rsid w:val="00D96396"/>
    <w:rsid w:val="00D96B03"/>
    <w:rsid w:val="00D9725F"/>
    <w:rsid w:val="00D97DAA"/>
    <w:rsid w:val="00DA01B1"/>
    <w:rsid w:val="00DA11A2"/>
    <w:rsid w:val="00DA14ED"/>
    <w:rsid w:val="00DA15A8"/>
    <w:rsid w:val="00DA16FF"/>
    <w:rsid w:val="00DA2125"/>
    <w:rsid w:val="00DA26D6"/>
    <w:rsid w:val="00DA5676"/>
    <w:rsid w:val="00DA6C80"/>
    <w:rsid w:val="00DA6CD5"/>
    <w:rsid w:val="00DA70B4"/>
    <w:rsid w:val="00DA71F2"/>
    <w:rsid w:val="00DB254F"/>
    <w:rsid w:val="00DB2EF1"/>
    <w:rsid w:val="00DB3DE1"/>
    <w:rsid w:val="00DB4D2B"/>
    <w:rsid w:val="00DB5DA0"/>
    <w:rsid w:val="00DB7036"/>
    <w:rsid w:val="00DB716C"/>
    <w:rsid w:val="00DC1E58"/>
    <w:rsid w:val="00DC26C0"/>
    <w:rsid w:val="00DC284C"/>
    <w:rsid w:val="00DC3D68"/>
    <w:rsid w:val="00DC469D"/>
    <w:rsid w:val="00DC5233"/>
    <w:rsid w:val="00DC5C29"/>
    <w:rsid w:val="00DC5C85"/>
    <w:rsid w:val="00DC6076"/>
    <w:rsid w:val="00DC7048"/>
    <w:rsid w:val="00DC7AA7"/>
    <w:rsid w:val="00DC7C5D"/>
    <w:rsid w:val="00DD0487"/>
    <w:rsid w:val="00DD0CAD"/>
    <w:rsid w:val="00DD1072"/>
    <w:rsid w:val="00DD23A7"/>
    <w:rsid w:val="00DD2CF2"/>
    <w:rsid w:val="00DD3CCF"/>
    <w:rsid w:val="00DD3DD9"/>
    <w:rsid w:val="00DD4236"/>
    <w:rsid w:val="00DD44F1"/>
    <w:rsid w:val="00DD4D5F"/>
    <w:rsid w:val="00DD4FF0"/>
    <w:rsid w:val="00DD5758"/>
    <w:rsid w:val="00DD6957"/>
    <w:rsid w:val="00DD6E7A"/>
    <w:rsid w:val="00DD7397"/>
    <w:rsid w:val="00DD75A2"/>
    <w:rsid w:val="00DD7BFE"/>
    <w:rsid w:val="00DE0FFB"/>
    <w:rsid w:val="00DE129C"/>
    <w:rsid w:val="00DE2550"/>
    <w:rsid w:val="00DE2C40"/>
    <w:rsid w:val="00DE3059"/>
    <w:rsid w:val="00DE3067"/>
    <w:rsid w:val="00DE4C75"/>
    <w:rsid w:val="00DE569F"/>
    <w:rsid w:val="00DE63CF"/>
    <w:rsid w:val="00DE735A"/>
    <w:rsid w:val="00DF0B81"/>
    <w:rsid w:val="00DF0F13"/>
    <w:rsid w:val="00DF3A7A"/>
    <w:rsid w:val="00DF3EEE"/>
    <w:rsid w:val="00DF5187"/>
    <w:rsid w:val="00DF5B52"/>
    <w:rsid w:val="00DF64AC"/>
    <w:rsid w:val="00DF75E1"/>
    <w:rsid w:val="00DF7705"/>
    <w:rsid w:val="00DF771D"/>
    <w:rsid w:val="00DF7ED8"/>
    <w:rsid w:val="00E00CC0"/>
    <w:rsid w:val="00E00F65"/>
    <w:rsid w:val="00E01892"/>
    <w:rsid w:val="00E0199C"/>
    <w:rsid w:val="00E022E1"/>
    <w:rsid w:val="00E027BC"/>
    <w:rsid w:val="00E035EA"/>
    <w:rsid w:val="00E045BE"/>
    <w:rsid w:val="00E0586A"/>
    <w:rsid w:val="00E0612B"/>
    <w:rsid w:val="00E06347"/>
    <w:rsid w:val="00E0696D"/>
    <w:rsid w:val="00E072F5"/>
    <w:rsid w:val="00E076E6"/>
    <w:rsid w:val="00E10F0D"/>
    <w:rsid w:val="00E119FD"/>
    <w:rsid w:val="00E12830"/>
    <w:rsid w:val="00E12897"/>
    <w:rsid w:val="00E1298C"/>
    <w:rsid w:val="00E14EA5"/>
    <w:rsid w:val="00E17176"/>
    <w:rsid w:val="00E17495"/>
    <w:rsid w:val="00E175F1"/>
    <w:rsid w:val="00E17668"/>
    <w:rsid w:val="00E177B8"/>
    <w:rsid w:val="00E178AB"/>
    <w:rsid w:val="00E17A73"/>
    <w:rsid w:val="00E201F4"/>
    <w:rsid w:val="00E2070E"/>
    <w:rsid w:val="00E21133"/>
    <w:rsid w:val="00E2146B"/>
    <w:rsid w:val="00E21536"/>
    <w:rsid w:val="00E21E72"/>
    <w:rsid w:val="00E22816"/>
    <w:rsid w:val="00E231EB"/>
    <w:rsid w:val="00E2327E"/>
    <w:rsid w:val="00E23577"/>
    <w:rsid w:val="00E266EF"/>
    <w:rsid w:val="00E26FCC"/>
    <w:rsid w:val="00E27395"/>
    <w:rsid w:val="00E27EA8"/>
    <w:rsid w:val="00E27EBF"/>
    <w:rsid w:val="00E31FF9"/>
    <w:rsid w:val="00E326A8"/>
    <w:rsid w:val="00E32E2F"/>
    <w:rsid w:val="00E33CE8"/>
    <w:rsid w:val="00E33FF3"/>
    <w:rsid w:val="00E34348"/>
    <w:rsid w:val="00E34992"/>
    <w:rsid w:val="00E34EB1"/>
    <w:rsid w:val="00E34F2C"/>
    <w:rsid w:val="00E35D36"/>
    <w:rsid w:val="00E36F8C"/>
    <w:rsid w:val="00E400A8"/>
    <w:rsid w:val="00E4046C"/>
    <w:rsid w:val="00E40D4C"/>
    <w:rsid w:val="00E4199B"/>
    <w:rsid w:val="00E41E6F"/>
    <w:rsid w:val="00E420EE"/>
    <w:rsid w:val="00E42B2B"/>
    <w:rsid w:val="00E43FAF"/>
    <w:rsid w:val="00E459B6"/>
    <w:rsid w:val="00E45F62"/>
    <w:rsid w:val="00E46C7A"/>
    <w:rsid w:val="00E4709C"/>
    <w:rsid w:val="00E47428"/>
    <w:rsid w:val="00E5058E"/>
    <w:rsid w:val="00E50A0E"/>
    <w:rsid w:val="00E51141"/>
    <w:rsid w:val="00E51592"/>
    <w:rsid w:val="00E51BF7"/>
    <w:rsid w:val="00E51C5C"/>
    <w:rsid w:val="00E52764"/>
    <w:rsid w:val="00E54B8D"/>
    <w:rsid w:val="00E54DA2"/>
    <w:rsid w:val="00E56C8E"/>
    <w:rsid w:val="00E5716B"/>
    <w:rsid w:val="00E57F1F"/>
    <w:rsid w:val="00E60338"/>
    <w:rsid w:val="00E611E2"/>
    <w:rsid w:val="00E61925"/>
    <w:rsid w:val="00E61CCC"/>
    <w:rsid w:val="00E63D2F"/>
    <w:rsid w:val="00E645FB"/>
    <w:rsid w:val="00E6487C"/>
    <w:rsid w:val="00E64A97"/>
    <w:rsid w:val="00E64E92"/>
    <w:rsid w:val="00E65023"/>
    <w:rsid w:val="00E65EEF"/>
    <w:rsid w:val="00E66B9F"/>
    <w:rsid w:val="00E67B1A"/>
    <w:rsid w:val="00E701E5"/>
    <w:rsid w:val="00E70A6A"/>
    <w:rsid w:val="00E70CE5"/>
    <w:rsid w:val="00E710D6"/>
    <w:rsid w:val="00E73DA4"/>
    <w:rsid w:val="00E74C1E"/>
    <w:rsid w:val="00E74CA2"/>
    <w:rsid w:val="00E74E76"/>
    <w:rsid w:val="00E75EEF"/>
    <w:rsid w:val="00E761B9"/>
    <w:rsid w:val="00E76E45"/>
    <w:rsid w:val="00E777C9"/>
    <w:rsid w:val="00E77C2D"/>
    <w:rsid w:val="00E801BD"/>
    <w:rsid w:val="00E80A29"/>
    <w:rsid w:val="00E81DA6"/>
    <w:rsid w:val="00E825E7"/>
    <w:rsid w:val="00E84212"/>
    <w:rsid w:val="00E84A44"/>
    <w:rsid w:val="00E84FBE"/>
    <w:rsid w:val="00E8616E"/>
    <w:rsid w:val="00E86369"/>
    <w:rsid w:val="00E864D5"/>
    <w:rsid w:val="00E867B4"/>
    <w:rsid w:val="00E869E5"/>
    <w:rsid w:val="00E87B0E"/>
    <w:rsid w:val="00E9086C"/>
    <w:rsid w:val="00E90AAA"/>
    <w:rsid w:val="00E911A2"/>
    <w:rsid w:val="00E91A0F"/>
    <w:rsid w:val="00E92E7D"/>
    <w:rsid w:val="00E94A71"/>
    <w:rsid w:val="00E94CBF"/>
    <w:rsid w:val="00E95045"/>
    <w:rsid w:val="00E9515D"/>
    <w:rsid w:val="00E955AC"/>
    <w:rsid w:val="00E95C45"/>
    <w:rsid w:val="00E95FB0"/>
    <w:rsid w:val="00E97141"/>
    <w:rsid w:val="00E97EC7"/>
    <w:rsid w:val="00EA03CE"/>
    <w:rsid w:val="00EA086E"/>
    <w:rsid w:val="00EA0BB3"/>
    <w:rsid w:val="00EA235D"/>
    <w:rsid w:val="00EA23E5"/>
    <w:rsid w:val="00EA2C3A"/>
    <w:rsid w:val="00EA4E2E"/>
    <w:rsid w:val="00EA6D53"/>
    <w:rsid w:val="00EB066B"/>
    <w:rsid w:val="00EB179B"/>
    <w:rsid w:val="00EB1864"/>
    <w:rsid w:val="00EB2417"/>
    <w:rsid w:val="00EB2A87"/>
    <w:rsid w:val="00EB2CCB"/>
    <w:rsid w:val="00EB3747"/>
    <w:rsid w:val="00EB4AF8"/>
    <w:rsid w:val="00EB4C19"/>
    <w:rsid w:val="00EB6028"/>
    <w:rsid w:val="00EB6EA5"/>
    <w:rsid w:val="00EB7A25"/>
    <w:rsid w:val="00EC0EE4"/>
    <w:rsid w:val="00EC0F3E"/>
    <w:rsid w:val="00EC2348"/>
    <w:rsid w:val="00EC367A"/>
    <w:rsid w:val="00EC470D"/>
    <w:rsid w:val="00EC57A7"/>
    <w:rsid w:val="00EC5DF9"/>
    <w:rsid w:val="00EC66A6"/>
    <w:rsid w:val="00EC70CA"/>
    <w:rsid w:val="00EC7B9C"/>
    <w:rsid w:val="00ED0447"/>
    <w:rsid w:val="00ED0817"/>
    <w:rsid w:val="00ED0C1D"/>
    <w:rsid w:val="00ED0CE3"/>
    <w:rsid w:val="00ED0F79"/>
    <w:rsid w:val="00ED21DC"/>
    <w:rsid w:val="00ED2D66"/>
    <w:rsid w:val="00ED2F8B"/>
    <w:rsid w:val="00ED2FC7"/>
    <w:rsid w:val="00ED3075"/>
    <w:rsid w:val="00ED4ABC"/>
    <w:rsid w:val="00ED4AE8"/>
    <w:rsid w:val="00ED4C61"/>
    <w:rsid w:val="00ED6CCF"/>
    <w:rsid w:val="00ED7DD9"/>
    <w:rsid w:val="00EE069B"/>
    <w:rsid w:val="00EE0B60"/>
    <w:rsid w:val="00EE18B4"/>
    <w:rsid w:val="00EE3F42"/>
    <w:rsid w:val="00EE445B"/>
    <w:rsid w:val="00EE504C"/>
    <w:rsid w:val="00EE6A6C"/>
    <w:rsid w:val="00EE79A1"/>
    <w:rsid w:val="00EF0897"/>
    <w:rsid w:val="00EF1122"/>
    <w:rsid w:val="00EF1493"/>
    <w:rsid w:val="00EF1716"/>
    <w:rsid w:val="00EF1C32"/>
    <w:rsid w:val="00EF1C59"/>
    <w:rsid w:val="00EF2199"/>
    <w:rsid w:val="00EF3113"/>
    <w:rsid w:val="00EF3F84"/>
    <w:rsid w:val="00EF5592"/>
    <w:rsid w:val="00EF55AE"/>
    <w:rsid w:val="00EF5B7B"/>
    <w:rsid w:val="00EF5C8E"/>
    <w:rsid w:val="00EF6238"/>
    <w:rsid w:val="00EF7178"/>
    <w:rsid w:val="00EF7E16"/>
    <w:rsid w:val="00F027CC"/>
    <w:rsid w:val="00F02911"/>
    <w:rsid w:val="00F0361E"/>
    <w:rsid w:val="00F04144"/>
    <w:rsid w:val="00F0481D"/>
    <w:rsid w:val="00F04B92"/>
    <w:rsid w:val="00F05A24"/>
    <w:rsid w:val="00F05F00"/>
    <w:rsid w:val="00F06C30"/>
    <w:rsid w:val="00F07640"/>
    <w:rsid w:val="00F10131"/>
    <w:rsid w:val="00F10939"/>
    <w:rsid w:val="00F1183B"/>
    <w:rsid w:val="00F11DFF"/>
    <w:rsid w:val="00F13344"/>
    <w:rsid w:val="00F1381A"/>
    <w:rsid w:val="00F14990"/>
    <w:rsid w:val="00F15444"/>
    <w:rsid w:val="00F15B4F"/>
    <w:rsid w:val="00F16CF9"/>
    <w:rsid w:val="00F171D2"/>
    <w:rsid w:val="00F176AC"/>
    <w:rsid w:val="00F1797D"/>
    <w:rsid w:val="00F201EA"/>
    <w:rsid w:val="00F20B38"/>
    <w:rsid w:val="00F210BF"/>
    <w:rsid w:val="00F21596"/>
    <w:rsid w:val="00F22D35"/>
    <w:rsid w:val="00F235CF"/>
    <w:rsid w:val="00F235F5"/>
    <w:rsid w:val="00F239C2"/>
    <w:rsid w:val="00F23BB9"/>
    <w:rsid w:val="00F23D5E"/>
    <w:rsid w:val="00F2519C"/>
    <w:rsid w:val="00F254A1"/>
    <w:rsid w:val="00F26D2A"/>
    <w:rsid w:val="00F26F28"/>
    <w:rsid w:val="00F2710B"/>
    <w:rsid w:val="00F27714"/>
    <w:rsid w:val="00F3027B"/>
    <w:rsid w:val="00F310B4"/>
    <w:rsid w:val="00F314D0"/>
    <w:rsid w:val="00F318C1"/>
    <w:rsid w:val="00F321D0"/>
    <w:rsid w:val="00F3276E"/>
    <w:rsid w:val="00F32DC4"/>
    <w:rsid w:val="00F3321E"/>
    <w:rsid w:val="00F33D3C"/>
    <w:rsid w:val="00F34AF4"/>
    <w:rsid w:val="00F34BE3"/>
    <w:rsid w:val="00F35325"/>
    <w:rsid w:val="00F3693B"/>
    <w:rsid w:val="00F378BD"/>
    <w:rsid w:val="00F37982"/>
    <w:rsid w:val="00F37A91"/>
    <w:rsid w:val="00F37E43"/>
    <w:rsid w:val="00F404D8"/>
    <w:rsid w:val="00F408A0"/>
    <w:rsid w:val="00F40A89"/>
    <w:rsid w:val="00F417AF"/>
    <w:rsid w:val="00F41F20"/>
    <w:rsid w:val="00F4212C"/>
    <w:rsid w:val="00F42FB7"/>
    <w:rsid w:val="00F4505C"/>
    <w:rsid w:val="00F459F1"/>
    <w:rsid w:val="00F45CF5"/>
    <w:rsid w:val="00F469D0"/>
    <w:rsid w:val="00F46CA2"/>
    <w:rsid w:val="00F47DB0"/>
    <w:rsid w:val="00F508AB"/>
    <w:rsid w:val="00F50B6E"/>
    <w:rsid w:val="00F50C3F"/>
    <w:rsid w:val="00F50E34"/>
    <w:rsid w:val="00F5133D"/>
    <w:rsid w:val="00F51858"/>
    <w:rsid w:val="00F51AFB"/>
    <w:rsid w:val="00F5290A"/>
    <w:rsid w:val="00F532D1"/>
    <w:rsid w:val="00F53EF7"/>
    <w:rsid w:val="00F5492F"/>
    <w:rsid w:val="00F54BF2"/>
    <w:rsid w:val="00F55074"/>
    <w:rsid w:val="00F55352"/>
    <w:rsid w:val="00F55515"/>
    <w:rsid w:val="00F55999"/>
    <w:rsid w:val="00F5624D"/>
    <w:rsid w:val="00F564C6"/>
    <w:rsid w:val="00F5679B"/>
    <w:rsid w:val="00F56831"/>
    <w:rsid w:val="00F56B45"/>
    <w:rsid w:val="00F56F99"/>
    <w:rsid w:val="00F57488"/>
    <w:rsid w:val="00F57AE4"/>
    <w:rsid w:val="00F6040B"/>
    <w:rsid w:val="00F6258B"/>
    <w:rsid w:val="00F62614"/>
    <w:rsid w:val="00F63424"/>
    <w:rsid w:val="00F6498E"/>
    <w:rsid w:val="00F65501"/>
    <w:rsid w:val="00F661DC"/>
    <w:rsid w:val="00F67A48"/>
    <w:rsid w:val="00F67BCC"/>
    <w:rsid w:val="00F70CCD"/>
    <w:rsid w:val="00F71812"/>
    <w:rsid w:val="00F72643"/>
    <w:rsid w:val="00F73E4B"/>
    <w:rsid w:val="00F75D37"/>
    <w:rsid w:val="00F775AC"/>
    <w:rsid w:val="00F80939"/>
    <w:rsid w:val="00F80E58"/>
    <w:rsid w:val="00F81BE9"/>
    <w:rsid w:val="00F831F0"/>
    <w:rsid w:val="00F8397F"/>
    <w:rsid w:val="00F8441C"/>
    <w:rsid w:val="00F845AE"/>
    <w:rsid w:val="00F84EBD"/>
    <w:rsid w:val="00F85016"/>
    <w:rsid w:val="00F8534B"/>
    <w:rsid w:val="00F876EE"/>
    <w:rsid w:val="00F8792F"/>
    <w:rsid w:val="00F87D2C"/>
    <w:rsid w:val="00F9214D"/>
    <w:rsid w:val="00F92355"/>
    <w:rsid w:val="00F9372C"/>
    <w:rsid w:val="00F93963"/>
    <w:rsid w:val="00F93DB1"/>
    <w:rsid w:val="00F94224"/>
    <w:rsid w:val="00F94291"/>
    <w:rsid w:val="00F9436A"/>
    <w:rsid w:val="00F947A0"/>
    <w:rsid w:val="00F9641B"/>
    <w:rsid w:val="00F96E39"/>
    <w:rsid w:val="00F97110"/>
    <w:rsid w:val="00F9787D"/>
    <w:rsid w:val="00FA0357"/>
    <w:rsid w:val="00FA0741"/>
    <w:rsid w:val="00FA0826"/>
    <w:rsid w:val="00FA298A"/>
    <w:rsid w:val="00FA4757"/>
    <w:rsid w:val="00FA4A85"/>
    <w:rsid w:val="00FA56E3"/>
    <w:rsid w:val="00FA58C2"/>
    <w:rsid w:val="00FA5B66"/>
    <w:rsid w:val="00FA7BEA"/>
    <w:rsid w:val="00FB0B9C"/>
    <w:rsid w:val="00FB1491"/>
    <w:rsid w:val="00FB2122"/>
    <w:rsid w:val="00FB30EB"/>
    <w:rsid w:val="00FB568C"/>
    <w:rsid w:val="00FB5AF7"/>
    <w:rsid w:val="00FB5B73"/>
    <w:rsid w:val="00FB726E"/>
    <w:rsid w:val="00FB7982"/>
    <w:rsid w:val="00FC0734"/>
    <w:rsid w:val="00FC0FC5"/>
    <w:rsid w:val="00FC126B"/>
    <w:rsid w:val="00FC25B6"/>
    <w:rsid w:val="00FC31E1"/>
    <w:rsid w:val="00FC3446"/>
    <w:rsid w:val="00FC4D60"/>
    <w:rsid w:val="00FC4F57"/>
    <w:rsid w:val="00FC588F"/>
    <w:rsid w:val="00FC5DC1"/>
    <w:rsid w:val="00FC6879"/>
    <w:rsid w:val="00FC71E1"/>
    <w:rsid w:val="00FC7D2D"/>
    <w:rsid w:val="00FD0455"/>
    <w:rsid w:val="00FD1458"/>
    <w:rsid w:val="00FD1CF0"/>
    <w:rsid w:val="00FD43C2"/>
    <w:rsid w:val="00FD492F"/>
    <w:rsid w:val="00FD57CC"/>
    <w:rsid w:val="00FD59EC"/>
    <w:rsid w:val="00FE1B30"/>
    <w:rsid w:val="00FE1D3E"/>
    <w:rsid w:val="00FE2B05"/>
    <w:rsid w:val="00FE30EB"/>
    <w:rsid w:val="00FE3A72"/>
    <w:rsid w:val="00FE4009"/>
    <w:rsid w:val="00FE5DB6"/>
    <w:rsid w:val="00FE6AE6"/>
    <w:rsid w:val="00FE6D2D"/>
    <w:rsid w:val="00FE78C8"/>
    <w:rsid w:val="00FE7B44"/>
    <w:rsid w:val="00FF17F7"/>
    <w:rsid w:val="00FF1FAC"/>
    <w:rsid w:val="00FF4565"/>
    <w:rsid w:val="00FF5388"/>
    <w:rsid w:val="00FF54BD"/>
    <w:rsid w:val="00FF5AAC"/>
    <w:rsid w:val="00FF5E51"/>
    <w:rsid w:val="00FF6362"/>
    <w:rsid w:val="00FF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640"/>
    <w:pPr>
      <w:spacing w:line="360" w:lineRule="auto"/>
      <w:jc w:val="both"/>
    </w:pPr>
    <w:rPr>
      <w:sz w:val="24"/>
      <w:lang w:eastAsia="en-US"/>
    </w:rPr>
  </w:style>
  <w:style w:type="paragraph" w:styleId="Heading1">
    <w:name w:val="heading 1"/>
    <w:basedOn w:val="Normal"/>
    <w:next w:val="ParaNumbering"/>
    <w:link w:val="Heading1Char"/>
    <w:qFormat/>
    <w:rsid w:val="009E1640"/>
    <w:pPr>
      <w:keepNext/>
      <w:spacing w:before="240" w:after="60" w:line="240" w:lineRule="auto"/>
      <w:outlineLvl w:val="0"/>
    </w:pPr>
    <w:rPr>
      <w:b/>
      <w:caps/>
      <w:kern w:val="28"/>
    </w:rPr>
  </w:style>
  <w:style w:type="paragraph" w:styleId="Heading2">
    <w:name w:val="heading 2"/>
    <w:basedOn w:val="Normal"/>
    <w:next w:val="ParaNumbering"/>
    <w:link w:val="Heading2Char"/>
    <w:qFormat/>
    <w:rsid w:val="009E1640"/>
    <w:pPr>
      <w:keepNext/>
      <w:spacing w:before="240" w:after="60" w:line="240" w:lineRule="auto"/>
      <w:outlineLvl w:val="1"/>
    </w:pPr>
    <w:rPr>
      <w:b/>
      <w:szCs w:val="24"/>
    </w:rPr>
  </w:style>
  <w:style w:type="paragraph" w:styleId="Heading3">
    <w:name w:val="heading 3"/>
    <w:basedOn w:val="Normal"/>
    <w:next w:val="ParaNumbering"/>
    <w:link w:val="Heading3Char"/>
    <w:qFormat/>
    <w:rsid w:val="009E1640"/>
    <w:pPr>
      <w:keepNext/>
      <w:spacing w:before="240" w:after="60" w:line="240" w:lineRule="auto"/>
      <w:outlineLvl w:val="2"/>
    </w:pPr>
    <w:rPr>
      <w:b/>
      <w:i/>
    </w:rPr>
  </w:style>
  <w:style w:type="paragraph" w:styleId="Heading4">
    <w:name w:val="heading 4"/>
    <w:basedOn w:val="Normal"/>
    <w:next w:val="ParaNumbering"/>
    <w:link w:val="Heading4Char"/>
    <w:qFormat/>
    <w:rsid w:val="009E1640"/>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9E1640"/>
    <w:pPr>
      <w:outlineLvl w:val="4"/>
    </w:pPr>
    <w:rPr>
      <w:caps w:val="0"/>
    </w:rPr>
  </w:style>
  <w:style w:type="paragraph" w:styleId="Heading6">
    <w:name w:val="heading 6"/>
    <w:basedOn w:val="fcHeading2"/>
    <w:next w:val="ParaNumbering"/>
    <w:link w:val="Heading6Char"/>
    <w:qFormat/>
    <w:rsid w:val="009E1640"/>
    <w:pPr>
      <w:outlineLvl w:val="5"/>
    </w:pPr>
  </w:style>
  <w:style w:type="paragraph" w:styleId="Heading7">
    <w:name w:val="heading 7"/>
    <w:basedOn w:val="fcHeading3"/>
    <w:next w:val="ParaNumbering"/>
    <w:link w:val="Heading7Char"/>
    <w:qFormat/>
    <w:rsid w:val="009E1640"/>
    <w:pPr>
      <w:outlineLvl w:val="6"/>
    </w:pPr>
    <w:rPr>
      <w:i w:val="0"/>
    </w:rPr>
  </w:style>
  <w:style w:type="paragraph" w:styleId="Heading8">
    <w:name w:val="heading 8"/>
    <w:basedOn w:val="fcHeading4"/>
    <w:next w:val="ParaNumbering"/>
    <w:link w:val="Heading8Char"/>
    <w:rsid w:val="009E1640"/>
    <w:pPr>
      <w:outlineLvl w:val="7"/>
    </w:pPr>
    <w:rPr>
      <w:smallCaps w:val="0"/>
    </w:rPr>
  </w:style>
  <w:style w:type="paragraph" w:styleId="Heading9">
    <w:name w:val="heading 9"/>
    <w:basedOn w:val="fcHeading5"/>
    <w:next w:val="ParaNumbering"/>
    <w:link w:val="Heading9Char"/>
    <w:rsid w:val="009E1640"/>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9E1640"/>
    <w:pPr>
      <w:spacing w:line="240" w:lineRule="auto"/>
    </w:pPr>
  </w:style>
  <w:style w:type="paragraph" w:styleId="Header">
    <w:name w:val="header"/>
    <w:basedOn w:val="Normal"/>
    <w:link w:val="HeaderChar"/>
    <w:semiHidden/>
    <w:rsid w:val="009E1640"/>
    <w:pPr>
      <w:tabs>
        <w:tab w:val="center" w:pos="4320"/>
        <w:tab w:val="right" w:pos="8640"/>
      </w:tabs>
    </w:pPr>
  </w:style>
  <w:style w:type="paragraph" w:styleId="Footer">
    <w:name w:val="footer"/>
    <w:basedOn w:val="Normal"/>
    <w:link w:val="FooterChar"/>
    <w:semiHidden/>
    <w:rsid w:val="009E1640"/>
    <w:pPr>
      <w:tabs>
        <w:tab w:val="center" w:pos="4320"/>
        <w:tab w:val="right" w:pos="8640"/>
      </w:tabs>
    </w:pPr>
  </w:style>
  <w:style w:type="paragraph" w:customStyle="1" w:styleId="ParaNumbering">
    <w:name w:val="ParaNumbering"/>
    <w:basedOn w:val="Normal"/>
    <w:rsid w:val="009E1640"/>
    <w:pPr>
      <w:numPr>
        <w:numId w:val="1"/>
      </w:numPr>
      <w:spacing w:before="180" w:after="180"/>
    </w:pPr>
  </w:style>
  <w:style w:type="paragraph" w:customStyle="1" w:styleId="Quote1">
    <w:name w:val="Quote1"/>
    <w:rsid w:val="009E1640"/>
    <w:pPr>
      <w:widowControl w:val="0"/>
      <w:spacing w:after="180"/>
      <w:ind w:left="737" w:right="737"/>
      <w:jc w:val="both"/>
    </w:pPr>
    <w:rPr>
      <w:sz w:val="22"/>
      <w:lang w:eastAsia="en-US"/>
    </w:rPr>
  </w:style>
  <w:style w:type="paragraph" w:customStyle="1" w:styleId="NormalHeadings">
    <w:name w:val="Normal Headings"/>
    <w:link w:val="NormalHeadingsChar"/>
    <w:rsid w:val="009E1640"/>
    <w:pPr>
      <w:widowControl w:val="0"/>
      <w:jc w:val="both"/>
    </w:pPr>
    <w:rPr>
      <w:b/>
      <w:sz w:val="24"/>
      <w:lang w:eastAsia="en-US"/>
    </w:rPr>
  </w:style>
  <w:style w:type="table" w:styleId="TableGrid">
    <w:name w:val="Table Grid"/>
    <w:basedOn w:val="TableNormal"/>
    <w:rsid w:val="009E1640"/>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9E1640"/>
    <w:pPr>
      <w:spacing w:before="20" w:after="20"/>
      <w:jc w:val="center"/>
    </w:pPr>
    <w:rPr>
      <w:b/>
      <w:sz w:val="26"/>
    </w:rPr>
  </w:style>
  <w:style w:type="paragraph" w:customStyle="1" w:styleId="Normal1linespace">
    <w:name w:val="Normal1linespace"/>
    <w:basedOn w:val="Normal"/>
    <w:rsid w:val="009E1640"/>
    <w:pPr>
      <w:spacing w:line="240" w:lineRule="auto"/>
    </w:pPr>
  </w:style>
  <w:style w:type="paragraph" w:styleId="BalloonText">
    <w:name w:val="Balloon Text"/>
    <w:basedOn w:val="Normal"/>
    <w:link w:val="BalloonTextChar"/>
    <w:semiHidden/>
    <w:rsid w:val="009E1640"/>
    <w:rPr>
      <w:rFonts w:ascii="Tahoma" w:hAnsi="Tahoma" w:cs="Tahoma"/>
      <w:sz w:val="16"/>
      <w:szCs w:val="16"/>
    </w:rPr>
  </w:style>
  <w:style w:type="paragraph" w:customStyle="1" w:styleId="StyleBold">
    <w:name w:val="Style Bold"/>
    <w:basedOn w:val="Normal"/>
    <w:next w:val="BodyText"/>
    <w:semiHidden/>
    <w:rsid w:val="009E1640"/>
    <w:rPr>
      <w:szCs w:val="24"/>
    </w:rPr>
  </w:style>
  <w:style w:type="paragraph" w:customStyle="1" w:styleId="Bold">
    <w:name w:val="Bold"/>
    <w:basedOn w:val="Normal"/>
    <w:next w:val="Normal"/>
    <w:semiHidden/>
    <w:rsid w:val="009E1640"/>
    <w:pPr>
      <w:suppressAutoHyphens/>
      <w:jc w:val="left"/>
    </w:pPr>
    <w:rPr>
      <w:b/>
      <w:szCs w:val="24"/>
    </w:rPr>
  </w:style>
  <w:style w:type="paragraph" w:customStyle="1" w:styleId="Certify">
    <w:name w:val="Certify"/>
    <w:basedOn w:val="Normal"/>
    <w:link w:val="CertifyChar"/>
    <w:semiHidden/>
    <w:rsid w:val="009E1640"/>
    <w:pPr>
      <w:spacing w:line="240" w:lineRule="auto"/>
    </w:pPr>
    <w:rPr>
      <w:szCs w:val="24"/>
    </w:rPr>
  </w:style>
  <w:style w:type="character" w:styleId="CommentReference">
    <w:name w:val="annotation reference"/>
    <w:semiHidden/>
    <w:rsid w:val="009E1640"/>
    <w:rPr>
      <w:sz w:val="16"/>
      <w:szCs w:val="16"/>
    </w:rPr>
  </w:style>
  <w:style w:type="paragraph" w:styleId="CommentText">
    <w:name w:val="annotation text"/>
    <w:basedOn w:val="Normal"/>
    <w:link w:val="CommentTextChar"/>
    <w:semiHidden/>
    <w:rsid w:val="009E1640"/>
    <w:rPr>
      <w:sz w:val="20"/>
    </w:rPr>
  </w:style>
  <w:style w:type="paragraph" w:styleId="CommentSubject">
    <w:name w:val="annotation subject"/>
    <w:basedOn w:val="CommentText"/>
    <w:next w:val="CommentText"/>
    <w:link w:val="CommentSubjectChar"/>
    <w:semiHidden/>
    <w:rsid w:val="009E1640"/>
    <w:rPr>
      <w:b/>
      <w:bCs/>
    </w:rPr>
  </w:style>
  <w:style w:type="paragraph" w:customStyle="1" w:styleId="FCBullets">
    <w:name w:val="FCBullets"/>
    <w:basedOn w:val="Normal"/>
    <w:rsid w:val="009E1640"/>
    <w:pPr>
      <w:numPr>
        <w:numId w:val="24"/>
      </w:numPr>
      <w:spacing w:before="60" w:after="60"/>
    </w:pPr>
  </w:style>
  <w:style w:type="paragraph" w:customStyle="1" w:styleId="JudgeStyle">
    <w:name w:val="JudgeStyle"/>
    <w:basedOn w:val="Heading1"/>
    <w:next w:val="ParaNumbering"/>
    <w:semiHidden/>
    <w:rsid w:val="009E1640"/>
  </w:style>
  <w:style w:type="paragraph" w:styleId="TOC1">
    <w:name w:val="toc 1"/>
    <w:basedOn w:val="Normal"/>
    <w:next w:val="Normal"/>
    <w:autoRedefine/>
    <w:semiHidden/>
    <w:rsid w:val="009E1640"/>
    <w:pPr>
      <w:tabs>
        <w:tab w:val="right" w:leader="dot" w:pos="9071"/>
      </w:tabs>
    </w:pPr>
  </w:style>
  <w:style w:type="paragraph" w:styleId="TOC2">
    <w:name w:val="toc 2"/>
    <w:basedOn w:val="Normal"/>
    <w:next w:val="Normal"/>
    <w:autoRedefine/>
    <w:semiHidden/>
    <w:rsid w:val="009E1640"/>
    <w:pPr>
      <w:tabs>
        <w:tab w:val="right" w:leader="dot" w:pos="9071"/>
      </w:tabs>
      <w:ind w:left="240"/>
    </w:pPr>
  </w:style>
  <w:style w:type="paragraph" w:styleId="TOC3">
    <w:name w:val="toc 3"/>
    <w:basedOn w:val="Normal"/>
    <w:next w:val="Normal"/>
    <w:autoRedefine/>
    <w:semiHidden/>
    <w:rsid w:val="009E1640"/>
    <w:pPr>
      <w:tabs>
        <w:tab w:val="right" w:leader="dot" w:pos="9071"/>
      </w:tabs>
      <w:ind w:left="480"/>
    </w:pPr>
  </w:style>
  <w:style w:type="paragraph" w:styleId="TOC4">
    <w:name w:val="toc 4"/>
    <w:basedOn w:val="Normal"/>
    <w:next w:val="Normal"/>
    <w:autoRedefine/>
    <w:semiHidden/>
    <w:rsid w:val="009E1640"/>
    <w:pPr>
      <w:tabs>
        <w:tab w:val="right" w:leader="dot" w:pos="9071"/>
      </w:tabs>
      <w:ind w:left="720"/>
    </w:pPr>
  </w:style>
  <w:style w:type="paragraph" w:customStyle="1" w:styleId="NoNum">
    <w:name w:val="No Num"/>
    <w:basedOn w:val="Normal1linespace"/>
    <w:rsid w:val="009E1640"/>
    <w:pPr>
      <w:spacing w:before="120" w:after="180" w:line="360" w:lineRule="auto"/>
    </w:pPr>
  </w:style>
  <w:style w:type="paragraph" w:customStyle="1" w:styleId="AppealTable">
    <w:name w:val="AppealTable"/>
    <w:basedOn w:val="Normal"/>
    <w:unhideWhenUsed/>
    <w:rsid w:val="009E1640"/>
    <w:pPr>
      <w:spacing w:line="240" w:lineRule="auto"/>
      <w:jc w:val="left"/>
    </w:pPr>
    <w:rPr>
      <w:b/>
      <w:caps/>
      <w:sz w:val="22"/>
      <w:szCs w:val="22"/>
    </w:rPr>
  </w:style>
  <w:style w:type="paragraph" w:customStyle="1" w:styleId="Quote3">
    <w:name w:val="Quote3"/>
    <w:basedOn w:val="Quote1"/>
    <w:rsid w:val="009E1640"/>
    <w:pPr>
      <w:ind w:left="2160"/>
    </w:pPr>
  </w:style>
  <w:style w:type="paragraph" w:customStyle="1" w:styleId="Quote2">
    <w:name w:val="Quote2"/>
    <w:basedOn w:val="Quote1"/>
    <w:rsid w:val="009E1640"/>
    <w:pPr>
      <w:ind w:left="1440"/>
    </w:pPr>
  </w:style>
  <w:style w:type="paragraph" w:customStyle="1" w:styleId="FTOC1">
    <w:name w:val="FTOC 1"/>
    <w:basedOn w:val="Normal"/>
    <w:semiHidden/>
    <w:rsid w:val="009E1640"/>
    <w:pPr>
      <w:tabs>
        <w:tab w:val="right" w:leader="dot" w:pos="9072"/>
      </w:tabs>
      <w:spacing w:before="120" w:after="60" w:line="240" w:lineRule="auto"/>
      <w:jc w:val="left"/>
    </w:pPr>
    <w:rPr>
      <w:b/>
      <w:caps/>
      <w:kern w:val="28"/>
    </w:rPr>
  </w:style>
  <w:style w:type="paragraph" w:customStyle="1" w:styleId="ListNo1">
    <w:name w:val="List No 1"/>
    <w:basedOn w:val="Normal"/>
    <w:rsid w:val="009E1640"/>
    <w:pPr>
      <w:numPr>
        <w:numId w:val="22"/>
      </w:numPr>
      <w:spacing w:before="60" w:after="60"/>
    </w:pPr>
  </w:style>
  <w:style w:type="paragraph" w:customStyle="1" w:styleId="FTOC2">
    <w:name w:val="FTOC 2"/>
    <w:basedOn w:val="Normal"/>
    <w:semiHidden/>
    <w:rsid w:val="009E1640"/>
    <w:pPr>
      <w:tabs>
        <w:tab w:val="right" w:leader="dot" w:pos="9072"/>
      </w:tabs>
      <w:spacing w:before="120" w:after="60" w:line="240" w:lineRule="auto"/>
      <w:ind w:left="238"/>
      <w:jc w:val="left"/>
    </w:pPr>
    <w:rPr>
      <w:b/>
    </w:rPr>
  </w:style>
  <w:style w:type="paragraph" w:customStyle="1" w:styleId="FTOC3">
    <w:name w:val="FTOC 3"/>
    <w:basedOn w:val="Normal"/>
    <w:semiHidden/>
    <w:rsid w:val="009E1640"/>
    <w:pPr>
      <w:tabs>
        <w:tab w:val="right" w:leader="dot" w:pos="9072"/>
      </w:tabs>
      <w:spacing w:before="120" w:after="60" w:line="240" w:lineRule="auto"/>
      <w:ind w:left="482"/>
      <w:jc w:val="left"/>
    </w:pPr>
    <w:rPr>
      <w:b/>
      <w:i/>
    </w:rPr>
  </w:style>
  <w:style w:type="paragraph" w:customStyle="1" w:styleId="FTOC4">
    <w:name w:val="FTOC 4"/>
    <w:basedOn w:val="Normal"/>
    <w:semiHidden/>
    <w:rsid w:val="009E1640"/>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9E1640"/>
    <w:pPr>
      <w:tabs>
        <w:tab w:val="right" w:leader="dot" w:pos="9072"/>
      </w:tabs>
      <w:ind w:left="960"/>
    </w:pPr>
  </w:style>
  <w:style w:type="numbering" w:styleId="111111">
    <w:name w:val="Outline List 2"/>
    <w:basedOn w:val="NoList"/>
    <w:semiHidden/>
    <w:rsid w:val="009E1640"/>
    <w:pPr>
      <w:numPr>
        <w:numId w:val="12"/>
      </w:numPr>
    </w:pPr>
  </w:style>
  <w:style w:type="numbering" w:styleId="1ai">
    <w:name w:val="Outline List 1"/>
    <w:basedOn w:val="NoList"/>
    <w:semiHidden/>
    <w:rsid w:val="009E1640"/>
    <w:pPr>
      <w:numPr>
        <w:numId w:val="13"/>
      </w:numPr>
    </w:pPr>
  </w:style>
  <w:style w:type="numbering" w:styleId="ArticleSection">
    <w:name w:val="Outline List 3"/>
    <w:basedOn w:val="NoList"/>
    <w:semiHidden/>
    <w:rsid w:val="009E1640"/>
    <w:pPr>
      <w:numPr>
        <w:numId w:val="14"/>
      </w:numPr>
    </w:pPr>
  </w:style>
  <w:style w:type="paragraph" w:styleId="BodyText">
    <w:name w:val="Body Text"/>
    <w:basedOn w:val="Normal"/>
    <w:link w:val="BodyTextChar"/>
    <w:qFormat/>
    <w:rsid w:val="009E1640"/>
  </w:style>
  <w:style w:type="paragraph" w:styleId="BodyText2">
    <w:name w:val="Body Text 2"/>
    <w:basedOn w:val="Normal"/>
    <w:link w:val="BodyText2Char"/>
    <w:semiHidden/>
    <w:rsid w:val="009E1640"/>
    <w:pPr>
      <w:spacing w:after="120" w:line="480" w:lineRule="auto"/>
    </w:pPr>
  </w:style>
  <w:style w:type="paragraph" w:styleId="BodyText3">
    <w:name w:val="Body Text 3"/>
    <w:basedOn w:val="Normal"/>
    <w:link w:val="BodyText3Char"/>
    <w:semiHidden/>
    <w:rsid w:val="009E1640"/>
    <w:pPr>
      <w:spacing w:after="120"/>
    </w:pPr>
    <w:rPr>
      <w:sz w:val="16"/>
      <w:szCs w:val="16"/>
    </w:rPr>
  </w:style>
  <w:style w:type="paragraph" w:styleId="BodyTextFirstIndent">
    <w:name w:val="Body Text First Indent"/>
    <w:basedOn w:val="BodyText"/>
    <w:link w:val="BodyTextFirstIndentChar"/>
    <w:semiHidden/>
    <w:rsid w:val="009E1640"/>
    <w:pPr>
      <w:ind w:firstLine="210"/>
    </w:pPr>
  </w:style>
  <w:style w:type="paragraph" w:styleId="BodyTextIndent">
    <w:name w:val="Body Text Indent"/>
    <w:basedOn w:val="Normal"/>
    <w:link w:val="BodyTextIndentChar"/>
    <w:semiHidden/>
    <w:rsid w:val="009E1640"/>
    <w:pPr>
      <w:spacing w:after="120"/>
      <w:ind w:left="283"/>
    </w:pPr>
  </w:style>
  <w:style w:type="paragraph" w:styleId="BodyTextFirstIndent2">
    <w:name w:val="Body Text First Indent 2"/>
    <w:basedOn w:val="BodyTextIndent"/>
    <w:link w:val="BodyTextFirstIndent2Char"/>
    <w:semiHidden/>
    <w:rsid w:val="009E1640"/>
    <w:pPr>
      <w:ind w:firstLine="210"/>
    </w:pPr>
  </w:style>
  <w:style w:type="paragraph" w:styleId="BodyTextIndent2">
    <w:name w:val="Body Text Indent 2"/>
    <w:basedOn w:val="Normal"/>
    <w:link w:val="BodyTextIndent2Char"/>
    <w:semiHidden/>
    <w:rsid w:val="009E1640"/>
    <w:pPr>
      <w:spacing w:after="120" w:line="480" w:lineRule="auto"/>
      <w:ind w:left="283"/>
    </w:pPr>
  </w:style>
  <w:style w:type="paragraph" w:styleId="BodyTextIndent3">
    <w:name w:val="Body Text Indent 3"/>
    <w:basedOn w:val="Normal"/>
    <w:link w:val="BodyTextIndent3Char"/>
    <w:semiHidden/>
    <w:rsid w:val="009E1640"/>
    <w:pPr>
      <w:spacing w:after="120"/>
      <w:ind w:left="283"/>
    </w:pPr>
    <w:rPr>
      <w:sz w:val="16"/>
      <w:szCs w:val="16"/>
    </w:rPr>
  </w:style>
  <w:style w:type="paragraph" w:styleId="Closing">
    <w:name w:val="Closing"/>
    <w:basedOn w:val="Normal"/>
    <w:link w:val="ClosingChar"/>
    <w:semiHidden/>
    <w:rsid w:val="009E1640"/>
    <w:pPr>
      <w:ind w:left="4252"/>
    </w:pPr>
  </w:style>
  <w:style w:type="paragraph" w:styleId="Date">
    <w:name w:val="Date"/>
    <w:basedOn w:val="Normal"/>
    <w:next w:val="Normal"/>
    <w:link w:val="DateChar"/>
    <w:semiHidden/>
    <w:rsid w:val="009E1640"/>
  </w:style>
  <w:style w:type="paragraph" w:styleId="E-mailSignature">
    <w:name w:val="E-mail Signature"/>
    <w:basedOn w:val="Normal"/>
    <w:link w:val="E-mailSignatureChar"/>
    <w:semiHidden/>
    <w:rsid w:val="009E1640"/>
  </w:style>
  <w:style w:type="character" w:styleId="Emphasis">
    <w:name w:val="Emphasis"/>
    <w:rsid w:val="009E1640"/>
    <w:rPr>
      <w:i/>
      <w:iCs/>
    </w:rPr>
  </w:style>
  <w:style w:type="paragraph" w:styleId="EnvelopeAddress">
    <w:name w:val="envelope address"/>
    <w:basedOn w:val="Normal"/>
    <w:semiHidden/>
    <w:rsid w:val="009E164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9E1640"/>
    <w:rPr>
      <w:rFonts w:ascii="Arial" w:hAnsi="Arial" w:cs="Arial"/>
      <w:sz w:val="20"/>
    </w:rPr>
  </w:style>
  <w:style w:type="character" w:styleId="FollowedHyperlink">
    <w:name w:val="FollowedHyperlink"/>
    <w:semiHidden/>
    <w:rsid w:val="009E1640"/>
    <w:rPr>
      <w:color w:val="800080"/>
      <w:u w:val="single"/>
    </w:rPr>
  </w:style>
  <w:style w:type="character" w:styleId="HTMLAcronym">
    <w:name w:val="HTML Acronym"/>
    <w:basedOn w:val="DefaultParagraphFont"/>
    <w:semiHidden/>
    <w:rsid w:val="009E1640"/>
  </w:style>
  <w:style w:type="paragraph" w:styleId="HTMLAddress">
    <w:name w:val="HTML Address"/>
    <w:basedOn w:val="Normal"/>
    <w:link w:val="HTMLAddressChar"/>
    <w:semiHidden/>
    <w:rsid w:val="009E1640"/>
    <w:rPr>
      <w:i/>
      <w:iCs/>
    </w:rPr>
  </w:style>
  <w:style w:type="character" w:styleId="HTMLCite">
    <w:name w:val="HTML Cite"/>
    <w:semiHidden/>
    <w:rsid w:val="009E1640"/>
    <w:rPr>
      <w:i/>
      <w:iCs/>
    </w:rPr>
  </w:style>
  <w:style w:type="character" w:styleId="HTMLCode">
    <w:name w:val="HTML Code"/>
    <w:semiHidden/>
    <w:rsid w:val="009E1640"/>
    <w:rPr>
      <w:rFonts w:ascii="Courier New" w:hAnsi="Courier New" w:cs="Courier New"/>
      <w:sz w:val="20"/>
      <w:szCs w:val="20"/>
    </w:rPr>
  </w:style>
  <w:style w:type="character" w:styleId="HTMLDefinition">
    <w:name w:val="HTML Definition"/>
    <w:semiHidden/>
    <w:rsid w:val="009E1640"/>
    <w:rPr>
      <w:i/>
      <w:iCs/>
    </w:rPr>
  </w:style>
  <w:style w:type="character" w:styleId="HTMLKeyboard">
    <w:name w:val="HTML Keyboard"/>
    <w:semiHidden/>
    <w:rsid w:val="009E1640"/>
    <w:rPr>
      <w:rFonts w:ascii="Courier New" w:hAnsi="Courier New" w:cs="Courier New"/>
      <w:sz w:val="20"/>
      <w:szCs w:val="20"/>
    </w:rPr>
  </w:style>
  <w:style w:type="paragraph" w:styleId="HTMLPreformatted">
    <w:name w:val="HTML Preformatted"/>
    <w:basedOn w:val="Normal"/>
    <w:link w:val="HTMLPreformattedChar"/>
    <w:semiHidden/>
    <w:rsid w:val="009E1640"/>
    <w:rPr>
      <w:rFonts w:ascii="Courier New" w:hAnsi="Courier New" w:cs="Courier New"/>
      <w:sz w:val="20"/>
    </w:rPr>
  </w:style>
  <w:style w:type="character" w:styleId="HTMLSample">
    <w:name w:val="HTML Sample"/>
    <w:semiHidden/>
    <w:rsid w:val="009E1640"/>
    <w:rPr>
      <w:rFonts w:ascii="Courier New" w:hAnsi="Courier New" w:cs="Courier New"/>
    </w:rPr>
  </w:style>
  <w:style w:type="character" w:styleId="HTMLTypewriter">
    <w:name w:val="HTML Typewriter"/>
    <w:semiHidden/>
    <w:rsid w:val="009E1640"/>
    <w:rPr>
      <w:rFonts w:ascii="Courier New" w:hAnsi="Courier New" w:cs="Courier New"/>
      <w:sz w:val="20"/>
      <w:szCs w:val="20"/>
    </w:rPr>
  </w:style>
  <w:style w:type="character" w:styleId="HTMLVariable">
    <w:name w:val="HTML Variable"/>
    <w:semiHidden/>
    <w:rsid w:val="009E1640"/>
    <w:rPr>
      <w:i/>
      <w:iCs/>
    </w:rPr>
  </w:style>
  <w:style w:type="character" w:styleId="Hyperlink">
    <w:name w:val="Hyperlink"/>
    <w:semiHidden/>
    <w:rsid w:val="009E1640"/>
    <w:rPr>
      <w:color w:val="0000FF"/>
      <w:u w:val="single"/>
    </w:rPr>
  </w:style>
  <w:style w:type="character" w:styleId="LineNumber">
    <w:name w:val="line number"/>
    <w:basedOn w:val="DefaultParagraphFont"/>
    <w:semiHidden/>
    <w:rsid w:val="009E1640"/>
  </w:style>
  <w:style w:type="paragraph" w:styleId="List">
    <w:name w:val="List"/>
    <w:basedOn w:val="Normal"/>
    <w:semiHidden/>
    <w:rsid w:val="009E1640"/>
    <w:pPr>
      <w:ind w:left="283" w:hanging="283"/>
    </w:pPr>
  </w:style>
  <w:style w:type="paragraph" w:styleId="List2">
    <w:name w:val="List 2"/>
    <w:basedOn w:val="Normal"/>
    <w:semiHidden/>
    <w:rsid w:val="009E1640"/>
    <w:pPr>
      <w:ind w:left="566" w:hanging="283"/>
    </w:pPr>
  </w:style>
  <w:style w:type="paragraph" w:styleId="List3">
    <w:name w:val="List 3"/>
    <w:basedOn w:val="Normal"/>
    <w:semiHidden/>
    <w:rsid w:val="009E1640"/>
    <w:pPr>
      <w:ind w:left="849" w:hanging="283"/>
    </w:pPr>
  </w:style>
  <w:style w:type="paragraph" w:styleId="List4">
    <w:name w:val="List 4"/>
    <w:basedOn w:val="Normal"/>
    <w:semiHidden/>
    <w:rsid w:val="009E1640"/>
    <w:pPr>
      <w:ind w:left="1132" w:hanging="283"/>
    </w:pPr>
  </w:style>
  <w:style w:type="paragraph" w:styleId="List5">
    <w:name w:val="List 5"/>
    <w:basedOn w:val="Normal"/>
    <w:semiHidden/>
    <w:rsid w:val="009E1640"/>
    <w:pPr>
      <w:ind w:left="1415" w:hanging="283"/>
    </w:pPr>
  </w:style>
  <w:style w:type="paragraph" w:styleId="ListBullet">
    <w:name w:val="List Bullet"/>
    <w:basedOn w:val="Normal"/>
    <w:semiHidden/>
    <w:rsid w:val="009E1640"/>
    <w:pPr>
      <w:numPr>
        <w:numId w:val="2"/>
      </w:numPr>
    </w:pPr>
  </w:style>
  <w:style w:type="paragraph" w:styleId="ListBullet2">
    <w:name w:val="List Bullet 2"/>
    <w:basedOn w:val="Normal"/>
    <w:semiHidden/>
    <w:rsid w:val="009E1640"/>
    <w:pPr>
      <w:numPr>
        <w:numId w:val="3"/>
      </w:numPr>
    </w:pPr>
  </w:style>
  <w:style w:type="paragraph" w:styleId="ListBullet3">
    <w:name w:val="List Bullet 3"/>
    <w:basedOn w:val="Normal"/>
    <w:semiHidden/>
    <w:rsid w:val="009E1640"/>
    <w:pPr>
      <w:numPr>
        <w:numId w:val="4"/>
      </w:numPr>
    </w:pPr>
  </w:style>
  <w:style w:type="paragraph" w:styleId="ListBullet4">
    <w:name w:val="List Bullet 4"/>
    <w:basedOn w:val="Normal"/>
    <w:semiHidden/>
    <w:rsid w:val="009E1640"/>
    <w:pPr>
      <w:numPr>
        <w:numId w:val="5"/>
      </w:numPr>
    </w:pPr>
  </w:style>
  <w:style w:type="paragraph" w:styleId="ListBullet5">
    <w:name w:val="List Bullet 5"/>
    <w:basedOn w:val="Normal"/>
    <w:semiHidden/>
    <w:rsid w:val="009E1640"/>
    <w:pPr>
      <w:numPr>
        <w:numId w:val="6"/>
      </w:numPr>
    </w:pPr>
  </w:style>
  <w:style w:type="paragraph" w:styleId="ListContinue">
    <w:name w:val="List Continue"/>
    <w:basedOn w:val="Normal"/>
    <w:semiHidden/>
    <w:rsid w:val="009E1640"/>
    <w:pPr>
      <w:spacing w:after="120"/>
      <w:ind w:left="283"/>
    </w:pPr>
  </w:style>
  <w:style w:type="paragraph" w:styleId="ListContinue2">
    <w:name w:val="List Continue 2"/>
    <w:basedOn w:val="Normal"/>
    <w:semiHidden/>
    <w:rsid w:val="009E1640"/>
    <w:pPr>
      <w:spacing w:after="120"/>
      <w:ind w:left="566"/>
    </w:pPr>
  </w:style>
  <w:style w:type="paragraph" w:styleId="ListContinue3">
    <w:name w:val="List Continue 3"/>
    <w:basedOn w:val="Normal"/>
    <w:semiHidden/>
    <w:rsid w:val="009E1640"/>
    <w:pPr>
      <w:spacing w:after="120"/>
      <w:ind w:left="849"/>
    </w:pPr>
  </w:style>
  <w:style w:type="paragraph" w:styleId="ListContinue4">
    <w:name w:val="List Continue 4"/>
    <w:basedOn w:val="Normal"/>
    <w:semiHidden/>
    <w:rsid w:val="009E1640"/>
    <w:pPr>
      <w:spacing w:after="120"/>
      <w:ind w:left="1132"/>
    </w:pPr>
  </w:style>
  <w:style w:type="paragraph" w:styleId="ListContinue5">
    <w:name w:val="List Continue 5"/>
    <w:basedOn w:val="Normal"/>
    <w:semiHidden/>
    <w:rsid w:val="009E1640"/>
    <w:pPr>
      <w:spacing w:after="120"/>
      <w:ind w:left="1415"/>
    </w:pPr>
  </w:style>
  <w:style w:type="paragraph" w:styleId="ListNumber">
    <w:name w:val="List Number"/>
    <w:basedOn w:val="Normal"/>
    <w:semiHidden/>
    <w:rsid w:val="009E1640"/>
    <w:pPr>
      <w:numPr>
        <w:numId w:val="7"/>
      </w:numPr>
    </w:pPr>
  </w:style>
  <w:style w:type="paragraph" w:styleId="ListNumber2">
    <w:name w:val="List Number 2"/>
    <w:basedOn w:val="Normal"/>
    <w:semiHidden/>
    <w:rsid w:val="009E1640"/>
    <w:pPr>
      <w:numPr>
        <w:numId w:val="8"/>
      </w:numPr>
    </w:pPr>
  </w:style>
  <w:style w:type="paragraph" w:styleId="ListNumber3">
    <w:name w:val="List Number 3"/>
    <w:basedOn w:val="Normal"/>
    <w:semiHidden/>
    <w:rsid w:val="009E1640"/>
    <w:pPr>
      <w:numPr>
        <w:numId w:val="9"/>
      </w:numPr>
    </w:pPr>
  </w:style>
  <w:style w:type="paragraph" w:styleId="ListNumber4">
    <w:name w:val="List Number 4"/>
    <w:basedOn w:val="Normal"/>
    <w:semiHidden/>
    <w:rsid w:val="009E1640"/>
    <w:pPr>
      <w:numPr>
        <w:numId w:val="10"/>
      </w:numPr>
    </w:pPr>
  </w:style>
  <w:style w:type="paragraph" w:styleId="ListNumber5">
    <w:name w:val="List Number 5"/>
    <w:basedOn w:val="Normal"/>
    <w:semiHidden/>
    <w:rsid w:val="009E1640"/>
    <w:pPr>
      <w:numPr>
        <w:numId w:val="11"/>
      </w:numPr>
    </w:pPr>
  </w:style>
  <w:style w:type="paragraph" w:styleId="MessageHeader">
    <w:name w:val="Message Header"/>
    <w:basedOn w:val="Normal"/>
    <w:link w:val="MessageHeaderChar"/>
    <w:semiHidden/>
    <w:rsid w:val="009E16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9E1640"/>
    <w:rPr>
      <w:szCs w:val="24"/>
    </w:rPr>
  </w:style>
  <w:style w:type="paragraph" w:styleId="NormalIndent">
    <w:name w:val="Normal Indent"/>
    <w:basedOn w:val="Normal"/>
    <w:semiHidden/>
    <w:rsid w:val="009E1640"/>
    <w:pPr>
      <w:ind w:left="720"/>
    </w:pPr>
  </w:style>
  <w:style w:type="paragraph" w:styleId="NoteHeading">
    <w:name w:val="Note Heading"/>
    <w:basedOn w:val="Normal"/>
    <w:next w:val="Normal"/>
    <w:link w:val="NoteHeadingChar"/>
    <w:semiHidden/>
    <w:rsid w:val="009E1640"/>
  </w:style>
  <w:style w:type="character" w:styleId="PageNumber">
    <w:name w:val="page number"/>
    <w:basedOn w:val="DefaultParagraphFont"/>
    <w:semiHidden/>
    <w:rsid w:val="009E1640"/>
  </w:style>
  <w:style w:type="paragraph" w:styleId="PlainText">
    <w:name w:val="Plain Text"/>
    <w:basedOn w:val="Normal"/>
    <w:link w:val="PlainTextChar"/>
    <w:semiHidden/>
    <w:rsid w:val="009E1640"/>
    <w:rPr>
      <w:rFonts w:ascii="Courier New" w:hAnsi="Courier New" w:cs="Courier New"/>
      <w:sz w:val="20"/>
    </w:rPr>
  </w:style>
  <w:style w:type="paragraph" w:styleId="Salutation">
    <w:name w:val="Salutation"/>
    <w:basedOn w:val="Normal"/>
    <w:next w:val="Normal"/>
    <w:link w:val="SalutationChar"/>
    <w:semiHidden/>
    <w:rsid w:val="009E1640"/>
  </w:style>
  <w:style w:type="paragraph" w:styleId="Signature">
    <w:name w:val="Signature"/>
    <w:basedOn w:val="Normal"/>
    <w:link w:val="SignatureChar"/>
    <w:semiHidden/>
    <w:rsid w:val="009E1640"/>
    <w:pPr>
      <w:ind w:left="4252"/>
    </w:pPr>
  </w:style>
  <w:style w:type="character" w:styleId="Strong">
    <w:name w:val="Strong"/>
    <w:rsid w:val="009E1640"/>
    <w:rPr>
      <w:b/>
      <w:bCs/>
    </w:rPr>
  </w:style>
  <w:style w:type="paragraph" w:styleId="Subtitle">
    <w:name w:val="Subtitle"/>
    <w:basedOn w:val="Normal"/>
    <w:link w:val="SubtitleChar"/>
    <w:rsid w:val="009E1640"/>
    <w:pPr>
      <w:spacing w:after="60"/>
      <w:jc w:val="center"/>
      <w:outlineLvl w:val="1"/>
    </w:pPr>
    <w:rPr>
      <w:rFonts w:ascii="Arial" w:hAnsi="Arial" w:cs="Arial"/>
      <w:szCs w:val="24"/>
    </w:rPr>
  </w:style>
  <w:style w:type="table" w:styleId="Table3Deffects1">
    <w:name w:val="Table 3D effects 1"/>
    <w:basedOn w:val="TableNormal"/>
    <w:semiHidden/>
    <w:rsid w:val="009E1640"/>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E1640"/>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E1640"/>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E1640"/>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E1640"/>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E1640"/>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E1640"/>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E1640"/>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E1640"/>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E1640"/>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E1640"/>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E1640"/>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E1640"/>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E1640"/>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E1640"/>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E1640"/>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E1640"/>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E1640"/>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E1640"/>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E1640"/>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E1640"/>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E1640"/>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E1640"/>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E1640"/>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E1640"/>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E1640"/>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E1640"/>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E1640"/>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E1640"/>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E1640"/>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E1640"/>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E1640"/>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E1640"/>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E1640"/>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E1640"/>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E1640"/>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E1640"/>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E1640"/>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E1640"/>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E164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E1640"/>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E1640"/>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E1640"/>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9E1640"/>
    <w:pPr>
      <w:spacing w:before="120" w:after="60" w:line="240" w:lineRule="auto"/>
      <w:jc w:val="left"/>
    </w:pPr>
  </w:style>
  <w:style w:type="paragraph" w:customStyle="1" w:styleId="bTOC2">
    <w:name w:val="bTOC 2"/>
    <w:basedOn w:val="TOC2"/>
    <w:semiHidden/>
    <w:rsid w:val="009E1640"/>
    <w:pPr>
      <w:spacing w:before="120" w:after="60" w:line="240" w:lineRule="auto"/>
      <w:ind w:left="238"/>
      <w:jc w:val="left"/>
    </w:pPr>
  </w:style>
  <w:style w:type="paragraph" w:customStyle="1" w:styleId="bTOC3">
    <w:name w:val="bTOC 3"/>
    <w:basedOn w:val="TOC3"/>
    <w:semiHidden/>
    <w:rsid w:val="009E1640"/>
    <w:pPr>
      <w:spacing w:before="120" w:after="60" w:line="240" w:lineRule="auto"/>
      <w:ind w:left="482"/>
      <w:jc w:val="left"/>
    </w:pPr>
  </w:style>
  <w:style w:type="paragraph" w:customStyle="1" w:styleId="bTOC4">
    <w:name w:val="bTOC 4"/>
    <w:basedOn w:val="TOC4"/>
    <w:semiHidden/>
    <w:rsid w:val="009E1640"/>
    <w:pPr>
      <w:spacing w:before="120" w:after="60" w:line="240" w:lineRule="auto"/>
      <w:jc w:val="left"/>
    </w:pPr>
  </w:style>
  <w:style w:type="paragraph" w:customStyle="1" w:styleId="Counsel">
    <w:name w:val="Counsel"/>
    <w:basedOn w:val="Normal"/>
    <w:unhideWhenUsed/>
    <w:rsid w:val="009E1640"/>
    <w:pPr>
      <w:widowControl w:val="0"/>
      <w:suppressAutoHyphens/>
      <w:spacing w:line="240" w:lineRule="auto"/>
    </w:pPr>
  </w:style>
  <w:style w:type="character" w:customStyle="1" w:styleId="CertifyChar">
    <w:name w:val="Certify Char"/>
    <w:link w:val="Certify"/>
    <w:rsid w:val="009E1640"/>
    <w:rPr>
      <w:sz w:val="24"/>
      <w:szCs w:val="24"/>
      <w:lang w:eastAsia="en-US"/>
    </w:rPr>
  </w:style>
  <w:style w:type="paragraph" w:customStyle="1" w:styleId="fcHeading1">
    <w:name w:val="fcHeading 1"/>
    <w:basedOn w:val="Normal"/>
    <w:next w:val="ParaNumbering"/>
    <w:semiHidden/>
    <w:rsid w:val="009E1640"/>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9E1640"/>
    <w:pPr>
      <w:keepNext/>
      <w:numPr>
        <w:ilvl w:val="1"/>
        <w:numId w:val="15"/>
      </w:numPr>
      <w:spacing w:before="240" w:after="60" w:line="240" w:lineRule="auto"/>
    </w:pPr>
    <w:rPr>
      <w:b/>
    </w:rPr>
  </w:style>
  <w:style w:type="paragraph" w:customStyle="1" w:styleId="fcHeading3">
    <w:name w:val="fcHeading 3"/>
    <w:basedOn w:val="Normal"/>
    <w:next w:val="ParaNumbering"/>
    <w:semiHidden/>
    <w:rsid w:val="009E1640"/>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9E1640"/>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9E1640"/>
    <w:pPr>
      <w:keepNext/>
      <w:numPr>
        <w:ilvl w:val="4"/>
        <w:numId w:val="15"/>
      </w:numPr>
      <w:spacing w:before="240" w:after="60" w:line="240" w:lineRule="auto"/>
    </w:pPr>
    <w:rPr>
      <w:b/>
      <w:caps/>
    </w:rPr>
  </w:style>
  <w:style w:type="paragraph" w:customStyle="1" w:styleId="FTOC5">
    <w:name w:val="FTOC 5"/>
    <w:basedOn w:val="Normal"/>
    <w:semiHidden/>
    <w:rsid w:val="009E1640"/>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9E1640"/>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9E1640"/>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9E1640"/>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9E1640"/>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9E1640"/>
    <w:pPr>
      <w:tabs>
        <w:tab w:val="right" w:leader="dot" w:pos="9072"/>
      </w:tabs>
      <w:spacing w:before="120" w:after="60" w:line="240" w:lineRule="auto"/>
      <w:ind w:left="709" w:hanging="709"/>
      <w:jc w:val="left"/>
    </w:pPr>
  </w:style>
  <w:style w:type="paragraph" w:customStyle="1" w:styleId="bTOC6">
    <w:name w:val="bTOC 6"/>
    <w:basedOn w:val="Normal"/>
    <w:semiHidden/>
    <w:rsid w:val="009E1640"/>
    <w:pPr>
      <w:tabs>
        <w:tab w:val="right" w:leader="dot" w:pos="9072"/>
      </w:tabs>
      <w:spacing w:before="120" w:after="60" w:line="240" w:lineRule="auto"/>
      <w:ind w:left="1418" w:hanging="709"/>
      <w:jc w:val="left"/>
    </w:pPr>
  </w:style>
  <w:style w:type="paragraph" w:customStyle="1" w:styleId="bTOC7">
    <w:name w:val="bTOC 7"/>
    <w:basedOn w:val="Normal"/>
    <w:semiHidden/>
    <w:rsid w:val="009E1640"/>
    <w:pPr>
      <w:tabs>
        <w:tab w:val="right" w:leader="dot" w:pos="9072"/>
      </w:tabs>
      <w:spacing w:before="120" w:after="60" w:line="240" w:lineRule="auto"/>
      <w:ind w:left="2240" w:hanging="822"/>
      <w:jc w:val="left"/>
    </w:pPr>
  </w:style>
  <w:style w:type="paragraph" w:customStyle="1" w:styleId="bTOC8">
    <w:name w:val="bTOC 8"/>
    <w:basedOn w:val="Normal"/>
    <w:semiHidden/>
    <w:rsid w:val="009E1640"/>
    <w:pPr>
      <w:keepNext/>
      <w:tabs>
        <w:tab w:val="right" w:leader="dot" w:pos="9072"/>
      </w:tabs>
      <w:spacing w:before="120" w:after="60" w:line="240" w:lineRule="auto"/>
      <w:ind w:left="3373" w:hanging="1247"/>
      <w:jc w:val="left"/>
    </w:pPr>
  </w:style>
  <w:style w:type="paragraph" w:customStyle="1" w:styleId="bTOC9">
    <w:name w:val="bTOC 9"/>
    <w:basedOn w:val="Normal"/>
    <w:semiHidden/>
    <w:rsid w:val="009E1640"/>
    <w:pPr>
      <w:keepNext/>
      <w:tabs>
        <w:tab w:val="right" w:leader="dot" w:pos="9072"/>
      </w:tabs>
      <w:spacing w:before="120" w:after="60" w:line="240" w:lineRule="auto"/>
      <w:ind w:left="4082" w:hanging="1247"/>
      <w:jc w:val="left"/>
    </w:pPr>
  </w:style>
  <w:style w:type="paragraph" w:customStyle="1" w:styleId="ListNo2">
    <w:name w:val="List No 2"/>
    <w:basedOn w:val="ListNo1"/>
    <w:rsid w:val="009E1640"/>
    <w:pPr>
      <w:numPr>
        <w:ilvl w:val="1"/>
      </w:numPr>
    </w:pPr>
  </w:style>
  <w:style w:type="paragraph" w:customStyle="1" w:styleId="ListNo3">
    <w:name w:val="List No 3"/>
    <w:basedOn w:val="ListNo2"/>
    <w:rsid w:val="009E1640"/>
    <w:pPr>
      <w:numPr>
        <w:ilvl w:val="2"/>
      </w:numPr>
    </w:pPr>
  </w:style>
  <w:style w:type="numbering" w:customStyle="1" w:styleId="FCListNo">
    <w:name w:val="FCListNo"/>
    <w:uiPriority w:val="99"/>
    <w:rsid w:val="009E1640"/>
    <w:pPr>
      <w:numPr>
        <w:numId w:val="16"/>
      </w:numPr>
    </w:pPr>
  </w:style>
  <w:style w:type="paragraph" w:customStyle="1" w:styleId="SingleSpace">
    <w:name w:val="SingleSpace"/>
    <w:basedOn w:val="Normal"/>
    <w:rsid w:val="009E1640"/>
    <w:pPr>
      <w:spacing w:line="240" w:lineRule="auto"/>
    </w:pPr>
    <w:rPr>
      <w:szCs w:val="22"/>
    </w:rPr>
  </w:style>
  <w:style w:type="paragraph" w:customStyle="1" w:styleId="Quote1Bullet">
    <w:name w:val="Quote1 Bullet"/>
    <w:basedOn w:val="Quote1"/>
    <w:rsid w:val="009E1640"/>
    <w:pPr>
      <w:numPr>
        <w:numId w:val="17"/>
      </w:numPr>
      <w:ind w:left="1440" w:hanging="720"/>
    </w:pPr>
  </w:style>
  <w:style w:type="paragraph" w:customStyle="1" w:styleId="Quote2Bullet">
    <w:name w:val="Quote2 Bullet"/>
    <w:basedOn w:val="Quote2"/>
    <w:rsid w:val="009E1640"/>
    <w:pPr>
      <w:numPr>
        <w:numId w:val="18"/>
      </w:numPr>
      <w:ind w:hanging="720"/>
    </w:pPr>
  </w:style>
  <w:style w:type="paragraph" w:customStyle="1" w:styleId="Quote3Bullet">
    <w:name w:val="Quote3 Bullet"/>
    <w:basedOn w:val="Quote3"/>
    <w:rsid w:val="009E1640"/>
    <w:pPr>
      <w:numPr>
        <w:numId w:val="19"/>
      </w:numPr>
      <w:ind w:hanging="720"/>
    </w:pPr>
  </w:style>
  <w:style w:type="paragraph" w:customStyle="1" w:styleId="Order1">
    <w:name w:val="Order 1"/>
    <w:basedOn w:val="Normal"/>
    <w:rsid w:val="009E1640"/>
    <w:pPr>
      <w:numPr>
        <w:numId w:val="20"/>
      </w:numPr>
      <w:spacing w:before="60" w:after="60"/>
    </w:pPr>
  </w:style>
  <w:style w:type="numbering" w:customStyle="1" w:styleId="FCOrders">
    <w:name w:val="FCOrders"/>
    <w:uiPriority w:val="99"/>
    <w:rsid w:val="009E1640"/>
    <w:pPr>
      <w:numPr>
        <w:numId w:val="20"/>
      </w:numPr>
    </w:pPr>
  </w:style>
  <w:style w:type="paragraph" w:customStyle="1" w:styleId="BodyTextBold">
    <w:name w:val="Body Text Bold"/>
    <w:basedOn w:val="BodyText"/>
    <w:rsid w:val="009E1640"/>
    <w:rPr>
      <w:b/>
    </w:rPr>
  </w:style>
  <w:style w:type="paragraph" w:customStyle="1" w:styleId="GeneralHeading">
    <w:name w:val="General Heading"/>
    <w:basedOn w:val="BodyTextBold"/>
    <w:next w:val="BodyText"/>
    <w:rsid w:val="009E1640"/>
    <w:pPr>
      <w:spacing w:line="480" w:lineRule="auto"/>
      <w:jc w:val="center"/>
    </w:pPr>
    <w:rPr>
      <w:sz w:val="28"/>
    </w:rPr>
  </w:style>
  <w:style w:type="paragraph" w:customStyle="1" w:styleId="ReasonJudge">
    <w:name w:val="Reason Judge"/>
    <w:basedOn w:val="BodyText"/>
    <w:next w:val="BodyText"/>
    <w:rsid w:val="009E1640"/>
    <w:pPr>
      <w:jc w:val="left"/>
    </w:pPr>
    <w:rPr>
      <w:b/>
      <w:sz w:val="26"/>
    </w:rPr>
  </w:style>
  <w:style w:type="paragraph" w:customStyle="1" w:styleId="FileNo">
    <w:name w:val="FileNo"/>
    <w:basedOn w:val="NormalHeadings"/>
    <w:rsid w:val="009E1640"/>
    <w:pPr>
      <w:tabs>
        <w:tab w:val="right" w:pos="3609"/>
      </w:tabs>
      <w:spacing w:line="276" w:lineRule="auto"/>
      <w:jc w:val="right"/>
    </w:pPr>
    <w:rPr>
      <w:szCs w:val="24"/>
    </w:rPr>
  </w:style>
  <w:style w:type="paragraph" w:customStyle="1" w:styleId="CasesLegislationAppealFrom">
    <w:name w:val="Cases Legislation Appeal From"/>
    <w:basedOn w:val="Normal1linespace"/>
    <w:rsid w:val="009E1640"/>
    <w:pPr>
      <w:widowControl w:val="0"/>
      <w:spacing w:after="100"/>
      <w:jc w:val="left"/>
    </w:pPr>
  </w:style>
  <w:style w:type="paragraph" w:customStyle="1" w:styleId="PartyName">
    <w:name w:val="Party Name"/>
    <w:basedOn w:val="NormalHeadings"/>
    <w:rsid w:val="009E1640"/>
    <w:pPr>
      <w:jc w:val="left"/>
    </w:pPr>
    <w:rPr>
      <w:szCs w:val="24"/>
    </w:rPr>
  </w:style>
  <w:style w:type="paragraph" w:customStyle="1" w:styleId="PartyType">
    <w:name w:val="Party Type"/>
    <w:basedOn w:val="PartyName"/>
    <w:rsid w:val="009E1640"/>
    <w:rPr>
      <w:b w:val="0"/>
    </w:rPr>
  </w:style>
  <w:style w:type="paragraph" w:customStyle="1" w:styleId="Small-TableswithinQuotes">
    <w:name w:val="Small - Tables within Quotes"/>
    <w:basedOn w:val="BodyText"/>
    <w:rsid w:val="009E1640"/>
    <w:pPr>
      <w:spacing w:line="240" w:lineRule="auto"/>
      <w:jc w:val="left"/>
    </w:pPr>
    <w:rPr>
      <w:sz w:val="22"/>
    </w:rPr>
  </w:style>
  <w:style w:type="character" w:customStyle="1" w:styleId="BodyTextChar">
    <w:name w:val="Body Text Char"/>
    <w:basedOn w:val="DefaultParagraphFont"/>
    <w:link w:val="BodyText"/>
    <w:rsid w:val="009E1640"/>
    <w:rPr>
      <w:sz w:val="24"/>
      <w:lang w:eastAsia="en-US"/>
    </w:rPr>
  </w:style>
  <w:style w:type="character" w:customStyle="1" w:styleId="NormalHeadingsChar">
    <w:name w:val="Normal Headings Char"/>
    <w:basedOn w:val="DefaultParagraphFont"/>
    <w:link w:val="NormalHeadings"/>
    <w:rsid w:val="009E1640"/>
    <w:rPr>
      <w:b/>
      <w:sz w:val="24"/>
      <w:lang w:eastAsia="en-US"/>
    </w:rPr>
  </w:style>
  <w:style w:type="paragraph" w:customStyle="1" w:styleId="CourtTitle">
    <w:name w:val="CourtTitle"/>
    <w:basedOn w:val="NormalHeadings"/>
    <w:rsid w:val="009E1640"/>
    <w:pPr>
      <w:jc w:val="center"/>
    </w:pPr>
    <w:rPr>
      <w:caps/>
      <w:sz w:val="32"/>
    </w:rPr>
  </w:style>
  <w:style w:type="paragraph" w:customStyle="1" w:styleId="MNC">
    <w:name w:val="MNC"/>
    <w:basedOn w:val="MediaNeutralStyle"/>
    <w:rsid w:val="009E1640"/>
    <w:pPr>
      <w:spacing w:after="240"/>
    </w:pPr>
    <w:rPr>
      <w:sz w:val="28"/>
    </w:rPr>
  </w:style>
  <w:style w:type="paragraph" w:customStyle="1" w:styleId="Quote4">
    <w:name w:val="Quote4"/>
    <w:basedOn w:val="Quote1"/>
    <w:rsid w:val="009E1640"/>
    <w:pPr>
      <w:ind w:left="2880"/>
    </w:pPr>
  </w:style>
  <w:style w:type="paragraph" w:customStyle="1" w:styleId="Quote4Bullet">
    <w:name w:val="Quote4 Bullet"/>
    <w:basedOn w:val="Quote4"/>
    <w:rsid w:val="009E1640"/>
    <w:pPr>
      <w:numPr>
        <w:numId w:val="21"/>
      </w:numPr>
      <w:ind w:hanging="720"/>
    </w:pPr>
  </w:style>
  <w:style w:type="character" w:styleId="PlaceholderText">
    <w:name w:val="Placeholder Text"/>
    <w:basedOn w:val="DefaultParagraphFont"/>
    <w:uiPriority w:val="99"/>
    <w:semiHidden/>
    <w:rsid w:val="009E1640"/>
    <w:rPr>
      <w:color w:val="808080"/>
    </w:rPr>
  </w:style>
  <w:style w:type="paragraph" w:customStyle="1" w:styleId="Order2">
    <w:name w:val="Order 2"/>
    <w:basedOn w:val="Order1"/>
    <w:rsid w:val="009E1640"/>
    <w:pPr>
      <w:numPr>
        <w:ilvl w:val="1"/>
      </w:numPr>
    </w:pPr>
  </w:style>
  <w:style w:type="paragraph" w:customStyle="1" w:styleId="Order3">
    <w:name w:val="Order 3"/>
    <w:basedOn w:val="Order2"/>
    <w:rsid w:val="009E1640"/>
    <w:pPr>
      <w:numPr>
        <w:ilvl w:val="2"/>
      </w:numPr>
    </w:pPr>
  </w:style>
  <w:style w:type="paragraph" w:customStyle="1" w:styleId="ListNo1alt">
    <w:name w:val="List No 1 (alt)"/>
    <w:basedOn w:val="Normal"/>
    <w:rsid w:val="009E1640"/>
    <w:pPr>
      <w:numPr>
        <w:numId w:val="23"/>
      </w:numPr>
      <w:spacing w:before="60" w:after="60"/>
    </w:pPr>
  </w:style>
  <w:style w:type="paragraph" w:customStyle="1" w:styleId="ListNo2alt">
    <w:name w:val="List No 2 (alt)"/>
    <w:basedOn w:val="ListNo1alt"/>
    <w:rsid w:val="009E1640"/>
    <w:pPr>
      <w:numPr>
        <w:ilvl w:val="1"/>
      </w:numPr>
    </w:pPr>
  </w:style>
  <w:style w:type="paragraph" w:customStyle="1" w:styleId="ListNo3alt">
    <w:name w:val="List No 3 (alt)"/>
    <w:basedOn w:val="ListNo2alt"/>
    <w:rsid w:val="009E1640"/>
    <w:pPr>
      <w:numPr>
        <w:ilvl w:val="2"/>
      </w:numPr>
    </w:pPr>
  </w:style>
  <w:style w:type="numbering" w:customStyle="1" w:styleId="FCListNoalt">
    <w:name w:val="FC List No (alt)"/>
    <w:uiPriority w:val="99"/>
    <w:rsid w:val="009E1640"/>
    <w:pPr>
      <w:numPr>
        <w:numId w:val="23"/>
      </w:numPr>
    </w:pPr>
  </w:style>
  <w:style w:type="paragraph" w:customStyle="1" w:styleId="Order4">
    <w:name w:val="Order 4"/>
    <w:basedOn w:val="Order3"/>
    <w:rsid w:val="009E1640"/>
    <w:pPr>
      <w:numPr>
        <w:ilvl w:val="3"/>
      </w:numPr>
    </w:pPr>
  </w:style>
  <w:style w:type="paragraph" w:styleId="FootnoteText">
    <w:name w:val="footnote text"/>
    <w:basedOn w:val="Normal"/>
    <w:link w:val="FootnoteTextChar"/>
    <w:semiHidden/>
    <w:unhideWhenUsed/>
    <w:rsid w:val="009E1640"/>
    <w:pPr>
      <w:spacing w:line="240" w:lineRule="auto"/>
    </w:pPr>
    <w:rPr>
      <w:sz w:val="20"/>
    </w:rPr>
  </w:style>
  <w:style w:type="character" w:customStyle="1" w:styleId="FootnoteTextChar">
    <w:name w:val="Footnote Text Char"/>
    <w:basedOn w:val="DefaultParagraphFont"/>
    <w:link w:val="FootnoteText"/>
    <w:semiHidden/>
    <w:rsid w:val="009E1640"/>
    <w:rPr>
      <w:lang w:eastAsia="en-US"/>
    </w:rPr>
  </w:style>
  <w:style w:type="character" w:styleId="FootnoteReference">
    <w:name w:val="footnote reference"/>
    <w:basedOn w:val="DefaultParagraphFont"/>
    <w:semiHidden/>
    <w:unhideWhenUsed/>
    <w:rsid w:val="009E1640"/>
    <w:rPr>
      <w:vertAlign w:val="superscript"/>
    </w:rPr>
  </w:style>
  <w:style w:type="paragraph" w:customStyle="1" w:styleId="FCBullets2">
    <w:name w:val="FCBullets2"/>
    <w:basedOn w:val="FCBullets"/>
    <w:rsid w:val="009E1640"/>
    <w:pPr>
      <w:numPr>
        <w:ilvl w:val="1"/>
      </w:numPr>
    </w:pPr>
  </w:style>
  <w:style w:type="numbering" w:customStyle="1" w:styleId="FCNotes">
    <w:name w:val="FCNotes"/>
    <w:uiPriority w:val="99"/>
    <w:rsid w:val="009E1640"/>
    <w:pPr>
      <w:numPr>
        <w:numId w:val="25"/>
      </w:numPr>
    </w:pPr>
  </w:style>
  <w:style w:type="paragraph" w:customStyle="1" w:styleId="Notes">
    <w:name w:val="Notes"/>
    <w:basedOn w:val="Normal"/>
    <w:rsid w:val="009E1640"/>
    <w:pPr>
      <w:numPr>
        <w:numId w:val="25"/>
      </w:numPr>
      <w:spacing w:before="60" w:after="60"/>
    </w:pPr>
  </w:style>
  <w:style w:type="paragraph" w:customStyle="1" w:styleId="OrdersHeading1">
    <w:name w:val="Orders Heading 1"/>
    <w:basedOn w:val="Normal"/>
    <w:next w:val="BodyText"/>
    <w:rsid w:val="009E1640"/>
    <w:pPr>
      <w:keepNext/>
      <w:spacing w:before="240" w:after="180" w:line="240" w:lineRule="auto"/>
    </w:pPr>
    <w:rPr>
      <w:b/>
      <w:caps/>
    </w:rPr>
  </w:style>
  <w:style w:type="paragraph" w:customStyle="1" w:styleId="OrdersHeading2">
    <w:name w:val="Orders Heading 2"/>
    <w:basedOn w:val="Normal"/>
    <w:next w:val="BodyText"/>
    <w:rsid w:val="009E1640"/>
    <w:pPr>
      <w:keepNext/>
      <w:spacing w:before="240" w:after="180" w:line="240" w:lineRule="auto"/>
    </w:pPr>
    <w:rPr>
      <w:b/>
    </w:rPr>
  </w:style>
  <w:style w:type="character" w:customStyle="1" w:styleId="bnwrappedspan">
    <w:name w:val="bn_wrapped_span"/>
    <w:basedOn w:val="DefaultParagraphFont"/>
    <w:rsid w:val="0059255D"/>
  </w:style>
  <w:style w:type="paragraph" w:customStyle="1" w:styleId="Default">
    <w:name w:val="Default"/>
    <w:rsid w:val="00B30EA1"/>
    <w:pPr>
      <w:autoSpaceDE w:val="0"/>
      <w:autoSpaceDN w:val="0"/>
      <w:adjustRightInd w:val="0"/>
    </w:pPr>
    <w:rPr>
      <w:color w:val="000000"/>
      <w:sz w:val="24"/>
      <w:szCs w:val="24"/>
    </w:rPr>
  </w:style>
  <w:style w:type="paragraph" w:styleId="ListParagraph">
    <w:name w:val="List Paragraph"/>
    <w:basedOn w:val="Normal"/>
    <w:uiPriority w:val="1"/>
    <w:qFormat/>
    <w:rsid w:val="00780FDB"/>
    <w:pPr>
      <w:widowControl w:val="0"/>
      <w:autoSpaceDE w:val="0"/>
      <w:autoSpaceDN w:val="0"/>
      <w:spacing w:line="240" w:lineRule="auto"/>
      <w:ind w:left="500" w:right="193" w:hanging="360"/>
    </w:pPr>
    <w:rPr>
      <w:rFonts w:ascii="Baskerville Old Face" w:eastAsia="Baskerville Old Face" w:hAnsi="Baskerville Old Face" w:cs="Baskerville Old Face"/>
      <w:sz w:val="22"/>
      <w:szCs w:val="22"/>
      <w:lang w:val="en-US"/>
    </w:rPr>
  </w:style>
  <w:style w:type="paragraph" w:customStyle="1" w:styleId="subsection">
    <w:name w:val="subsection"/>
    <w:basedOn w:val="Normal"/>
    <w:rsid w:val="00A82C25"/>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A82C25"/>
    <w:pPr>
      <w:spacing w:before="100" w:beforeAutospacing="1" w:after="100" w:afterAutospacing="1" w:line="240" w:lineRule="auto"/>
      <w:jc w:val="left"/>
    </w:pPr>
    <w:rPr>
      <w:rFonts w:eastAsia="Times New Roman"/>
      <w:szCs w:val="24"/>
      <w:lang w:eastAsia="en-AU"/>
    </w:rPr>
  </w:style>
  <w:style w:type="character" w:customStyle="1" w:styleId="jade-incoming-citation">
    <w:name w:val="jade-incoming-citation"/>
    <w:basedOn w:val="DefaultParagraphFont"/>
    <w:rsid w:val="00663FE1"/>
  </w:style>
  <w:style w:type="character" w:customStyle="1" w:styleId="gwt-inlinelabel">
    <w:name w:val="gwt-inlinelabel"/>
    <w:basedOn w:val="DefaultParagraphFont"/>
    <w:rsid w:val="00961EC0"/>
  </w:style>
  <w:style w:type="paragraph" w:customStyle="1" w:styleId="jade-outdent">
    <w:name w:val="jade-outdent"/>
    <w:basedOn w:val="Normal"/>
    <w:rsid w:val="00D916B0"/>
    <w:pPr>
      <w:spacing w:before="100" w:beforeAutospacing="1" w:after="100" w:afterAutospacing="1" w:line="240" w:lineRule="auto"/>
      <w:jc w:val="left"/>
    </w:pPr>
    <w:rPr>
      <w:rFonts w:eastAsia="Times New Roman"/>
      <w:szCs w:val="24"/>
      <w:lang w:val="en-GB" w:eastAsia="en-GB"/>
    </w:rPr>
  </w:style>
  <w:style w:type="character" w:customStyle="1" w:styleId="jade-ts-11">
    <w:name w:val="jade-ts-11"/>
    <w:basedOn w:val="DefaultParagraphFont"/>
    <w:rsid w:val="00D916B0"/>
  </w:style>
  <w:style w:type="paragraph" w:customStyle="1" w:styleId="TableParagraph">
    <w:name w:val="Table Paragraph"/>
    <w:basedOn w:val="Normal"/>
    <w:uiPriority w:val="1"/>
    <w:qFormat/>
    <w:rsid w:val="00817CE8"/>
    <w:pPr>
      <w:widowControl w:val="0"/>
      <w:autoSpaceDE w:val="0"/>
      <w:autoSpaceDN w:val="0"/>
      <w:spacing w:line="240" w:lineRule="auto"/>
      <w:jc w:val="left"/>
    </w:pPr>
    <w:rPr>
      <w:rFonts w:eastAsia="Times New Roman"/>
      <w:sz w:val="22"/>
      <w:szCs w:val="22"/>
      <w:lang w:val="en-US"/>
    </w:rPr>
  </w:style>
  <w:style w:type="paragraph" w:customStyle="1" w:styleId="end-logo">
    <w:name w:val="end-logo"/>
    <w:basedOn w:val="Normal"/>
    <w:rsid w:val="00A87EB1"/>
    <w:pPr>
      <w:spacing w:before="100" w:beforeAutospacing="1" w:after="100" w:afterAutospacing="1" w:line="240" w:lineRule="auto"/>
      <w:jc w:val="left"/>
    </w:pPr>
    <w:rPr>
      <w:rFonts w:eastAsia="Times New Roman"/>
      <w:szCs w:val="24"/>
      <w:lang w:eastAsia="en-AU"/>
    </w:rPr>
  </w:style>
  <w:style w:type="character" w:customStyle="1" w:styleId="Heading4Char">
    <w:name w:val="Heading 4 Char"/>
    <w:basedOn w:val="DefaultParagraphFont"/>
    <w:link w:val="Heading4"/>
    <w:rsid w:val="00BC64F4"/>
    <w:rPr>
      <w:i/>
      <w:sz w:val="24"/>
      <w:szCs w:val="24"/>
      <w:lang w:eastAsia="en-US"/>
    </w:rPr>
  </w:style>
  <w:style w:type="character" w:customStyle="1" w:styleId="Heading1Char">
    <w:name w:val="Heading 1 Char"/>
    <w:basedOn w:val="DefaultParagraphFont"/>
    <w:link w:val="Heading1"/>
    <w:rsid w:val="00BC64F4"/>
    <w:rPr>
      <w:b/>
      <w:caps/>
      <w:kern w:val="28"/>
      <w:sz w:val="24"/>
      <w:lang w:eastAsia="en-US"/>
    </w:rPr>
  </w:style>
  <w:style w:type="character" w:customStyle="1" w:styleId="Heading2Char">
    <w:name w:val="Heading 2 Char"/>
    <w:basedOn w:val="DefaultParagraphFont"/>
    <w:link w:val="Heading2"/>
    <w:rsid w:val="00BC64F4"/>
    <w:rPr>
      <w:b/>
      <w:sz w:val="24"/>
      <w:szCs w:val="24"/>
      <w:lang w:eastAsia="en-US"/>
    </w:rPr>
  </w:style>
  <w:style w:type="character" w:customStyle="1" w:styleId="Heading3Char">
    <w:name w:val="Heading 3 Char"/>
    <w:basedOn w:val="DefaultParagraphFont"/>
    <w:link w:val="Heading3"/>
    <w:rsid w:val="00BC64F4"/>
    <w:rPr>
      <w:b/>
      <w:i/>
      <w:sz w:val="24"/>
      <w:lang w:eastAsia="en-US"/>
    </w:rPr>
  </w:style>
  <w:style w:type="character" w:customStyle="1" w:styleId="Heading5Char">
    <w:name w:val="Heading 5 Char"/>
    <w:basedOn w:val="DefaultParagraphFont"/>
    <w:link w:val="Heading5"/>
    <w:rsid w:val="00BC64F4"/>
    <w:rPr>
      <w:b/>
      <w:kern w:val="28"/>
      <w:sz w:val="24"/>
      <w:lang w:eastAsia="en-US"/>
    </w:rPr>
  </w:style>
  <w:style w:type="character" w:customStyle="1" w:styleId="Heading6Char">
    <w:name w:val="Heading 6 Char"/>
    <w:basedOn w:val="DefaultParagraphFont"/>
    <w:link w:val="Heading6"/>
    <w:rsid w:val="00BC64F4"/>
    <w:rPr>
      <w:b/>
      <w:sz w:val="24"/>
      <w:lang w:eastAsia="en-US"/>
    </w:rPr>
  </w:style>
  <w:style w:type="character" w:customStyle="1" w:styleId="Heading7Char">
    <w:name w:val="Heading 7 Char"/>
    <w:basedOn w:val="DefaultParagraphFont"/>
    <w:link w:val="Heading7"/>
    <w:rsid w:val="00BC64F4"/>
    <w:rPr>
      <w:b/>
      <w:sz w:val="24"/>
      <w:lang w:eastAsia="en-US"/>
    </w:rPr>
  </w:style>
  <w:style w:type="character" w:customStyle="1" w:styleId="Heading8Char">
    <w:name w:val="Heading 8 Char"/>
    <w:basedOn w:val="DefaultParagraphFont"/>
    <w:link w:val="Heading8"/>
    <w:rsid w:val="00BC64F4"/>
    <w:rPr>
      <w:b/>
      <w:sz w:val="24"/>
      <w:lang w:eastAsia="en-US"/>
    </w:rPr>
  </w:style>
  <w:style w:type="character" w:customStyle="1" w:styleId="Heading9Char">
    <w:name w:val="Heading 9 Char"/>
    <w:basedOn w:val="DefaultParagraphFont"/>
    <w:link w:val="Heading9"/>
    <w:rsid w:val="00BC64F4"/>
    <w:rPr>
      <w:b/>
      <w:sz w:val="24"/>
      <w:lang w:eastAsia="en-US"/>
    </w:rPr>
  </w:style>
  <w:style w:type="character" w:customStyle="1" w:styleId="HeaderChar">
    <w:name w:val="Header Char"/>
    <w:basedOn w:val="DefaultParagraphFont"/>
    <w:link w:val="Header"/>
    <w:semiHidden/>
    <w:rsid w:val="00BC64F4"/>
    <w:rPr>
      <w:sz w:val="24"/>
      <w:lang w:eastAsia="en-US"/>
    </w:rPr>
  </w:style>
  <w:style w:type="character" w:customStyle="1" w:styleId="FooterChar">
    <w:name w:val="Footer Char"/>
    <w:basedOn w:val="DefaultParagraphFont"/>
    <w:link w:val="Footer"/>
    <w:semiHidden/>
    <w:rsid w:val="00BC64F4"/>
    <w:rPr>
      <w:sz w:val="24"/>
      <w:lang w:eastAsia="en-US"/>
    </w:rPr>
  </w:style>
  <w:style w:type="character" w:customStyle="1" w:styleId="BalloonTextChar">
    <w:name w:val="Balloon Text Char"/>
    <w:basedOn w:val="DefaultParagraphFont"/>
    <w:link w:val="BalloonText"/>
    <w:semiHidden/>
    <w:rsid w:val="00BC64F4"/>
    <w:rPr>
      <w:rFonts w:ascii="Tahoma" w:hAnsi="Tahoma" w:cs="Tahoma"/>
      <w:sz w:val="16"/>
      <w:szCs w:val="16"/>
      <w:lang w:eastAsia="en-US"/>
    </w:rPr>
  </w:style>
  <w:style w:type="character" w:customStyle="1" w:styleId="CommentTextChar">
    <w:name w:val="Comment Text Char"/>
    <w:basedOn w:val="DefaultParagraphFont"/>
    <w:link w:val="CommentText"/>
    <w:semiHidden/>
    <w:rsid w:val="00BC64F4"/>
    <w:rPr>
      <w:lang w:eastAsia="en-US"/>
    </w:rPr>
  </w:style>
  <w:style w:type="character" w:customStyle="1" w:styleId="CommentSubjectChar">
    <w:name w:val="Comment Subject Char"/>
    <w:basedOn w:val="CommentTextChar"/>
    <w:link w:val="CommentSubject"/>
    <w:semiHidden/>
    <w:rsid w:val="00BC64F4"/>
    <w:rPr>
      <w:b/>
      <w:bCs/>
      <w:lang w:eastAsia="en-US"/>
    </w:rPr>
  </w:style>
  <w:style w:type="character" w:customStyle="1" w:styleId="BodyText2Char">
    <w:name w:val="Body Text 2 Char"/>
    <w:basedOn w:val="DefaultParagraphFont"/>
    <w:link w:val="BodyText2"/>
    <w:semiHidden/>
    <w:rsid w:val="00BC64F4"/>
    <w:rPr>
      <w:sz w:val="24"/>
      <w:lang w:eastAsia="en-US"/>
    </w:rPr>
  </w:style>
  <w:style w:type="character" w:customStyle="1" w:styleId="BodyText3Char">
    <w:name w:val="Body Text 3 Char"/>
    <w:basedOn w:val="DefaultParagraphFont"/>
    <w:link w:val="BodyText3"/>
    <w:semiHidden/>
    <w:rsid w:val="00BC64F4"/>
    <w:rPr>
      <w:sz w:val="16"/>
      <w:szCs w:val="16"/>
      <w:lang w:eastAsia="en-US"/>
    </w:rPr>
  </w:style>
  <w:style w:type="character" w:customStyle="1" w:styleId="BodyTextFirstIndentChar">
    <w:name w:val="Body Text First Indent Char"/>
    <w:basedOn w:val="BodyTextChar"/>
    <w:link w:val="BodyTextFirstIndent"/>
    <w:semiHidden/>
    <w:rsid w:val="00BC64F4"/>
    <w:rPr>
      <w:sz w:val="24"/>
      <w:lang w:eastAsia="en-US"/>
    </w:rPr>
  </w:style>
  <w:style w:type="character" w:customStyle="1" w:styleId="BodyTextIndentChar">
    <w:name w:val="Body Text Indent Char"/>
    <w:basedOn w:val="DefaultParagraphFont"/>
    <w:link w:val="BodyTextIndent"/>
    <w:semiHidden/>
    <w:rsid w:val="00BC64F4"/>
    <w:rPr>
      <w:sz w:val="24"/>
      <w:lang w:eastAsia="en-US"/>
    </w:rPr>
  </w:style>
  <w:style w:type="character" w:customStyle="1" w:styleId="BodyTextFirstIndent2Char">
    <w:name w:val="Body Text First Indent 2 Char"/>
    <w:basedOn w:val="BodyTextIndentChar"/>
    <w:link w:val="BodyTextFirstIndent2"/>
    <w:semiHidden/>
    <w:rsid w:val="00BC64F4"/>
    <w:rPr>
      <w:sz w:val="24"/>
      <w:lang w:eastAsia="en-US"/>
    </w:rPr>
  </w:style>
  <w:style w:type="character" w:customStyle="1" w:styleId="BodyTextIndent2Char">
    <w:name w:val="Body Text Indent 2 Char"/>
    <w:basedOn w:val="DefaultParagraphFont"/>
    <w:link w:val="BodyTextIndent2"/>
    <w:semiHidden/>
    <w:rsid w:val="00BC64F4"/>
    <w:rPr>
      <w:sz w:val="24"/>
      <w:lang w:eastAsia="en-US"/>
    </w:rPr>
  </w:style>
  <w:style w:type="character" w:customStyle="1" w:styleId="BodyTextIndent3Char">
    <w:name w:val="Body Text Indent 3 Char"/>
    <w:basedOn w:val="DefaultParagraphFont"/>
    <w:link w:val="BodyTextIndent3"/>
    <w:semiHidden/>
    <w:rsid w:val="00BC64F4"/>
    <w:rPr>
      <w:sz w:val="16"/>
      <w:szCs w:val="16"/>
      <w:lang w:eastAsia="en-US"/>
    </w:rPr>
  </w:style>
  <w:style w:type="character" w:customStyle="1" w:styleId="ClosingChar">
    <w:name w:val="Closing Char"/>
    <w:basedOn w:val="DefaultParagraphFont"/>
    <w:link w:val="Closing"/>
    <w:semiHidden/>
    <w:rsid w:val="00BC64F4"/>
    <w:rPr>
      <w:sz w:val="24"/>
      <w:lang w:eastAsia="en-US"/>
    </w:rPr>
  </w:style>
  <w:style w:type="character" w:customStyle="1" w:styleId="DateChar">
    <w:name w:val="Date Char"/>
    <w:basedOn w:val="DefaultParagraphFont"/>
    <w:link w:val="Date"/>
    <w:semiHidden/>
    <w:rsid w:val="00BC64F4"/>
    <w:rPr>
      <w:sz w:val="24"/>
      <w:lang w:eastAsia="en-US"/>
    </w:rPr>
  </w:style>
  <w:style w:type="character" w:customStyle="1" w:styleId="E-mailSignatureChar">
    <w:name w:val="E-mail Signature Char"/>
    <w:basedOn w:val="DefaultParagraphFont"/>
    <w:link w:val="E-mailSignature"/>
    <w:semiHidden/>
    <w:rsid w:val="00BC64F4"/>
    <w:rPr>
      <w:sz w:val="24"/>
      <w:lang w:eastAsia="en-US"/>
    </w:rPr>
  </w:style>
  <w:style w:type="character" w:customStyle="1" w:styleId="HTMLAddressChar">
    <w:name w:val="HTML Address Char"/>
    <w:basedOn w:val="DefaultParagraphFont"/>
    <w:link w:val="HTMLAddress"/>
    <w:semiHidden/>
    <w:rsid w:val="00BC64F4"/>
    <w:rPr>
      <w:i/>
      <w:iCs/>
      <w:sz w:val="24"/>
      <w:lang w:eastAsia="en-US"/>
    </w:rPr>
  </w:style>
  <w:style w:type="character" w:customStyle="1" w:styleId="HTMLPreformattedChar">
    <w:name w:val="HTML Preformatted Char"/>
    <w:basedOn w:val="DefaultParagraphFont"/>
    <w:link w:val="HTMLPreformatted"/>
    <w:semiHidden/>
    <w:rsid w:val="00BC64F4"/>
    <w:rPr>
      <w:rFonts w:ascii="Courier New" w:hAnsi="Courier New" w:cs="Courier New"/>
      <w:lang w:eastAsia="en-US"/>
    </w:rPr>
  </w:style>
  <w:style w:type="character" w:customStyle="1" w:styleId="MessageHeaderChar">
    <w:name w:val="Message Header Char"/>
    <w:basedOn w:val="DefaultParagraphFont"/>
    <w:link w:val="MessageHeader"/>
    <w:semiHidden/>
    <w:rsid w:val="00BC64F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BC64F4"/>
    <w:rPr>
      <w:sz w:val="24"/>
      <w:lang w:eastAsia="en-US"/>
    </w:rPr>
  </w:style>
  <w:style w:type="character" w:customStyle="1" w:styleId="PlainTextChar">
    <w:name w:val="Plain Text Char"/>
    <w:basedOn w:val="DefaultParagraphFont"/>
    <w:link w:val="PlainText"/>
    <w:semiHidden/>
    <w:rsid w:val="00BC64F4"/>
    <w:rPr>
      <w:rFonts w:ascii="Courier New" w:hAnsi="Courier New" w:cs="Courier New"/>
      <w:lang w:eastAsia="en-US"/>
    </w:rPr>
  </w:style>
  <w:style w:type="character" w:customStyle="1" w:styleId="SalutationChar">
    <w:name w:val="Salutation Char"/>
    <w:basedOn w:val="DefaultParagraphFont"/>
    <w:link w:val="Salutation"/>
    <w:semiHidden/>
    <w:rsid w:val="00BC64F4"/>
    <w:rPr>
      <w:sz w:val="24"/>
      <w:lang w:eastAsia="en-US"/>
    </w:rPr>
  </w:style>
  <w:style w:type="character" w:customStyle="1" w:styleId="SignatureChar">
    <w:name w:val="Signature Char"/>
    <w:basedOn w:val="DefaultParagraphFont"/>
    <w:link w:val="Signature"/>
    <w:semiHidden/>
    <w:rsid w:val="00BC64F4"/>
    <w:rPr>
      <w:sz w:val="24"/>
      <w:lang w:eastAsia="en-US"/>
    </w:rPr>
  </w:style>
  <w:style w:type="character" w:customStyle="1" w:styleId="SubtitleChar">
    <w:name w:val="Subtitle Char"/>
    <w:basedOn w:val="DefaultParagraphFont"/>
    <w:link w:val="Subtitle"/>
    <w:rsid w:val="00BC64F4"/>
    <w:rPr>
      <w:rFonts w:ascii="Arial" w:hAnsi="Arial" w:cs="Arial"/>
      <w:sz w:val="24"/>
      <w:szCs w:val="24"/>
      <w:lang w:eastAsia="en-US"/>
    </w:rPr>
  </w:style>
  <w:style w:type="paragraph" w:customStyle="1" w:styleId="tabletext">
    <w:name w:val="tabletext"/>
    <w:basedOn w:val="Normal"/>
    <w:rsid w:val="00BC64F4"/>
    <w:pPr>
      <w:spacing w:before="100" w:beforeAutospacing="1" w:after="100" w:afterAutospacing="1" w:line="240" w:lineRule="auto"/>
      <w:jc w:val="left"/>
    </w:pPr>
    <w:rPr>
      <w:rFonts w:eastAsia="Times New Roman"/>
      <w:szCs w:val="24"/>
      <w:lang w:eastAsia="en-AU"/>
    </w:rPr>
  </w:style>
  <w:style w:type="paragraph" w:customStyle="1" w:styleId="tablea">
    <w:name w:val="tablea"/>
    <w:basedOn w:val="Normal"/>
    <w:rsid w:val="00BC64F4"/>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A73B71"/>
    <w:rPr>
      <w:sz w:val="24"/>
      <w:lang w:eastAsia="en-US"/>
    </w:rPr>
  </w:style>
  <w:style w:type="character" w:styleId="UnresolvedMention">
    <w:name w:val="Unresolved Mention"/>
    <w:basedOn w:val="DefaultParagraphFont"/>
    <w:uiPriority w:val="99"/>
    <w:semiHidden/>
    <w:unhideWhenUsed/>
    <w:rsid w:val="001F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4281">
      <w:bodyDiv w:val="1"/>
      <w:marLeft w:val="0"/>
      <w:marRight w:val="0"/>
      <w:marTop w:val="0"/>
      <w:marBottom w:val="0"/>
      <w:divBdr>
        <w:top w:val="none" w:sz="0" w:space="0" w:color="auto"/>
        <w:left w:val="none" w:sz="0" w:space="0" w:color="auto"/>
        <w:bottom w:val="none" w:sz="0" w:space="0" w:color="auto"/>
        <w:right w:val="none" w:sz="0" w:space="0" w:color="auto"/>
      </w:divBdr>
      <w:divsChild>
        <w:div w:id="61899220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244997191">
      <w:bodyDiv w:val="1"/>
      <w:marLeft w:val="0"/>
      <w:marRight w:val="0"/>
      <w:marTop w:val="0"/>
      <w:marBottom w:val="0"/>
      <w:divBdr>
        <w:top w:val="none" w:sz="0" w:space="0" w:color="auto"/>
        <w:left w:val="none" w:sz="0" w:space="0" w:color="auto"/>
        <w:bottom w:val="none" w:sz="0" w:space="0" w:color="auto"/>
        <w:right w:val="none" w:sz="0" w:space="0" w:color="auto"/>
      </w:divBdr>
      <w:divsChild>
        <w:div w:id="153711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1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7903223">
      <w:bodyDiv w:val="1"/>
      <w:marLeft w:val="0"/>
      <w:marRight w:val="0"/>
      <w:marTop w:val="0"/>
      <w:marBottom w:val="0"/>
      <w:divBdr>
        <w:top w:val="none" w:sz="0" w:space="0" w:color="auto"/>
        <w:left w:val="none" w:sz="0" w:space="0" w:color="auto"/>
        <w:bottom w:val="none" w:sz="0" w:space="0" w:color="auto"/>
        <w:right w:val="none" w:sz="0" w:space="0" w:color="auto"/>
      </w:divBdr>
      <w:divsChild>
        <w:div w:id="90492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73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56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2892045">
      <w:bodyDiv w:val="1"/>
      <w:marLeft w:val="0"/>
      <w:marRight w:val="0"/>
      <w:marTop w:val="0"/>
      <w:marBottom w:val="0"/>
      <w:divBdr>
        <w:top w:val="none" w:sz="0" w:space="0" w:color="auto"/>
        <w:left w:val="none" w:sz="0" w:space="0" w:color="auto"/>
        <w:bottom w:val="none" w:sz="0" w:space="0" w:color="auto"/>
        <w:right w:val="none" w:sz="0" w:space="0" w:color="auto"/>
      </w:divBdr>
    </w:div>
    <w:div w:id="779446266">
      <w:bodyDiv w:val="1"/>
      <w:marLeft w:val="0"/>
      <w:marRight w:val="0"/>
      <w:marTop w:val="0"/>
      <w:marBottom w:val="0"/>
      <w:divBdr>
        <w:top w:val="none" w:sz="0" w:space="0" w:color="auto"/>
        <w:left w:val="none" w:sz="0" w:space="0" w:color="auto"/>
        <w:bottom w:val="none" w:sz="0" w:space="0" w:color="auto"/>
        <w:right w:val="none" w:sz="0" w:space="0" w:color="auto"/>
      </w:divBdr>
    </w:div>
    <w:div w:id="829097686">
      <w:bodyDiv w:val="1"/>
      <w:marLeft w:val="0"/>
      <w:marRight w:val="0"/>
      <w:marTop w:val="0"/>
      <w:marBottom w:val="0"/>
      <w:divBdr>
        <w:top w:val="none" w:sz="0" w:space="0" w:color="auto"/>
        <w:left w:val="none" w:sz="0" w:space="0" w:color="auto"/>
        <w:bottom w:val="none" w:sz="0" w:space="0" w:color="auto"/>
        <w:right w:val="none" w:sz="0" w:space="0" w:color="auto"/>
      </w:divBdr>
      <w:divsChild>
        <w:div w:id="1714840881">
          <w:marLeft w:val="0"/>
          <w:marRight w:val="0"/>
          <w:marTop w:val="0"/>
          <w:marBottom w:val="0"/>
          <w:divBdr>
            <w:top w:val="none" w:sz="0" w:space="0" w:color="auto"/>
            <w:left w:val="none" w:sz="0" w:space="0" w:color="auto"/>
            <w:bottom w:val="none" w:sz="0" w:space="0" w:color="auto"/>
            <w:right w:val="none" w:sz="0" w:space="0" w:color="auto"/>
          </w:divBdr>
          <w:divsChild>
            <w:div w:id="1032804377">
              <w:marLeft w:val="0"/>
              <w:marRight w:val="0"/>
              <w:marTop w:val="0"/>
              <w:marBottom w:val="0"/>
              <w:divBdr>
                <w:top w:val="none" w:sz="0" w:space="0" w:color="auto"/>
                <w:left w:val="none" w:sz="0" w:space="0" w:color="auto"/>
                <w:bottom w:val="none" w:sz="0" w:space="0" w:color="auto"/>
                <w:right w:val="none" w:sz="0" w:space="0" w:color="auto"/>
              </w:divBdr>
              <w:divsChild>
                <w:div w:id="7067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3517">
      <w:bodyDiv w:val="1"/>
      <w:marLeft w:val="0"/>
      <w:marRight w:val="0"/>
      <w:marTop w:val="0"/>
      <w:marBottom w:val="0"/>
      <w:divBdr>
        <w:top w:val="none" w:sz="0" w:space="0" w:color="auto"/>
        <w:left w:val="none" w:sz="0" w:space="0" w:color="auto"/>
        <w:bottom w:val="none" w:sz="0" w:space="0" w:color="auto"/>
        <w:right w:val="none" w:sz="0" w:space="0" w:color="auto"/>
      </w:divBdr>
    </w:div>
    <w:div w:id="1063337803">
      <w:bodyDiv w:val="1"/>
      <w:marLeft w:val="0"/>
      <w:marRight w:val="0"/>
      <w:marTop w:val="0"/>
      <w:marBottom w:val="0"/>
      <w:divBdr>
        <w:top w:val="none" w:sz="0" w:space="0" w:color="auto"/>
        <w:left w:val="none" w:sz="0" w:space="0" w:color="auto"/>
        <w:bottom w:val="none" w:sz="0" w:space="0" w:color="auto"/>
        <w:right w:val="none" w:sz="0" w:space="0" w:color="auto"/>
      </w:divBdr>
    </w:div>
    <w:div w:id="1106001824">
      <w:bodyDiv w:val="1"/>
      <w:marLeft w:val="0"/>
      <w:marRight w:val="0"/>
      <w:marTop w:val="0"/>
      <w:marBottom w:val="0"/>
      <w:divBdr>
        <w:top w:val="none" w:sz="0" w:space="0" w:color="auto"/>
        <w:left w:val="none" w:sz="0" w:space="0" w:color="auto"/>
        <w:bottom w:val="none" w:sz="0" w:space="0" w:color="auto"/>
        <w:right w:val="none" w:sz="0" w:space="0" w:color="auto"/>
      </w:divBdr>
    </w:div>
    <w:div w:id="1203128743">
      <w:bodyDiv w:val="1"/>
      <w:marLeft w:val="0"/>
      <w:marRight w:val="0"/>
      <w:marTop w:val="0"/>
      <w:marBottom w:val="0"/>
      <w:divBdr>
        <w:top w:val="none" w:sz="0" w:space="0" w:color="auto"/>
        <w:left w:val="none" w:sz="0" w:space="0" w:color="auto"/>
        <w:bottom w:val="none" w:sz="0" w:space="0" w:color="auto"/>
        <w:right w:val="none" w:sz="0" w:space="0" w:color="auto"/>
      </w:divBdr>
      <w:divsChild>
        <w:div w:id="1254321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3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6095762">
      <w:bodyDiv w:val="1"/>
      <w:marLeft w:val="0"/>
      <w:marRight w:val="0"/>
      <w:marTop w:val="0"/>
      <w:marBottom w:val="0"/>
      <w:divBdr>
        <w:top w:val="none" w:sz="0" w:space="0" w:color="auto"/>
        <w:left w:val="none" w:sz="0" w:space="0" w:color="auto"/>
        <w:bottom w:val="none" w:sz="0" w:space="0" w:color="auto"/>
        <w:right w:val="none" w:sz="0" w:space="0" w:color="auto"/>
      </w:divBdr>
      <w:divsChild>
        <w:div w:id="18924226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9425795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1620135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851673952">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304979">
              <w:blockQuote w:val="1"/>
              <w:marLeft w:val="768"/>
              <w:marRight w:val="720"/>
              <w:marTop w:val="0"/>
              <w:marBottom w:val="0"/>
              <w:divBdr>
                <w:top w:val="none" w:sz="0" w:space="0" w:color="auto"/>
                <w:left w:val="none" w:sz="0" w:space="0" w:color="auto"/>
                <w:bottom w:val="none" w:sz="0" w:space="0" w:color="auto"/>
                <w:right w:val="none" w:sz="0" w:space="0" w:color="auto"/>
              </w:divBdr>
              <w:divsChild>
                <w:div w:id="837042047">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313335175">
          <w:blockQuote w:val="1"/>
          <w:marLeft w:val="768"/>
          <w:marRight w:val="720"/>
          <w:marTop w:val="0"/>
          <w:marBottom w:val="0"/>
          <w:divBdr>
            <w:top w:val="none" w:sz="0" w:space="0" w:color="auto"/>
            <w:left w:val="none" w:sz="0" w:space="0" w:color="auto"/>
            <w:bottom w:val="none" w:sz="0" w:space="0" w:color="auto"/>
            <w:right w:val="none" w:sz="0" w:space="0" w:color="auto"/>
          </w:divBdr>
          <w:divsChild>
            <w:div w:id="2219168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35970408">
      <w:bodyDiv w:val="1"/>
      <w:marLeft w:val="0"/>
      <w:marRight w:val="0"/>
      <w:marTop w:val="0"/>
      <w:marBottom w:val="0"/>
      <w:divBdr>
        <w:top w:val="none" w:sz="0" w:space="0" w:color="auto"/>
        <w:left w:val="none" w:sz="0" w:space="0" w:color="auto"/>
        <w:bottom w:val="none" w:sz="0" w:space="0" w:color="auto"/>
        <w:right w:val="none" w:sz="0" w:space="0" w:color="auto"/>
      </w:divBdr>
    </w:div>
    <w:div w:id="1609701477">
      <w:bodyDiv w:val="1"/>
      <w:marLeft w:val="0"/>
      <w:marRight w:val="0"/>
      <w:marTop w:val="0"/>
      <w:marBottom w:val="0"/>
      <w:divBdr>
        <w:top w:val="none" w:sz="0" w:space="0" w:color="auto"/>
        <w:left w:val="none" w:sz="0" w:space="0" w:color="auto"/>
        <w:bottom w:val="none" w:sz="0" w:space="0" w:color="auto"/>
        <w:right w:val="none" w:sz="0" w:space="0" w:color="auto"/>
      </w:divBdr>
    </w:div>
    <w:div w:id="1671833594">
      <w:bodyDiv w:val="1"/>
      <w:marLeft w:val="0"/>
      <w:marRight w:val="0"/>
      <w:marTop w:val="0"/>
      <w:marBottom w:val="0"/>
      <w:divBdr>
        <w:top w:val="none" w:sz="0" w:space="0" w:color="auto"/>
        <w:left w:val="none" w:sz="0" w:space="0" w:color="auto"/>
        <w:bottom w:val="none" w:sz="0" w:space="0" w:color="auto"/>
        <w:right w:val="none" w:sz="0" w:space="0" w:color="auto"/>
      </w:divBdr>
    </w:div>
    <w:div w:id="1673868917">
      <w:bodyDiv w:val="1"/>
      <w:marLeft w:val="0"/>
      <w:marRight w:val="0"/>
      <w:marTop w:val="0"/>
      <w:marBottom w:val="0"/>
      <w:divBdr>
        <w:top w:val="none" w:sz="0" w:space="0" w:color="auto"/>
        <w:left w:val="none" w:sz="0" w:space="0" w:color="auto"/>
        <w:bottom w:val="none" w:sz="0" w:space="0" w:color="auto"/>
        <w:right w:val="none" w:sz="0" w:space="0" w:color="auto"/>
      </w:divBdr>
      <w:divsChild>
        <w:div w:id="18640488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88672304">
      <w:bodyDiv w:val="1"/>
      <w:marLeft w:val="0"/>
      <w:marRight w:val="0"/>
      <w:marTop w:val="0"/>
      <w:marBottom w:val="0"/>
      <w:divBdr>
        <w:top w:val="none" w:sz="0" w:space="0" w:color="auto"/>
        <w:left w:val="none" w:sz="0" w:space="0" w:color="auto"/>
        <w:bottom w:val="none" w:sz="0" w:space="0" w:color="auto"/>
        <w:right w:val="none" w:sz="0" w:space="0" w:color="auto"/>
      </w:divBdr>
    </w:div>
    <w:div w:id="1752390106">
      <w:bodyDiv w:val="1"/>
      <w:marLeft w:val="0"/>
      <w:marRight w:val="0"/>
      <w:marTop w:val="0"/>
      <w:marBottom w:val="0"/>
      <w:divBdr>
        <w:top w:val="none" w:sz="0" w:space="0" w:color="auto"/>
        <w:left w:val="none" w:sz="0" w:space="0" w:color="auto"/>
        <w:bottom w:val="none" w:sz="0" w:space="0" w:color="auto"/>
        <w:right w:val="none" w:sz="0" w:space="0" w:color="auto"/>
      </w:divBdr>
    </w:div>
    <w:div w:id="1782333621">
      <w:bodyDiv w:val="1"/>
      <w:marLeft w:val="0"/>
      <w:marRight w:val="0"/>
      <w:marTop w:val="0"/>
      <w:marBottom w:val="0"/>
      <w:divBdr>
        <w:top w:val="none" w:sz="0" w:space="0" w:color="auto"/>
        <w:left w:val="none" w:sz="0" w:space="0" w:color="auto"/>
        <w:bottom w:val="none" w:sz="0" w:space="0" w:color="auto"/>
        <w:right w:val="none" w:sz="0" w:space="0" w:color="auto"/>
      </w:divBdr>
    </w:div>
    <w:div w:id="2120106601">
      <w:bodyDiv w:val="1"/>
      <w:marLeft w:val="0"/>
      <w:marRight w:val="0"/>
      <w:marTop w:val="0"/>
      <w:marBottom w:val="0"/>
      <w:divBdr>
        <w:top w:val="none" w:sz="0" w:space="0" w:color="auto"/>
        <w:left w:val="none" w:sz="0" w:space="0" w:color="auto"/>
        <w:bottom w:val="none" w:sz="0" w:space="0" w:color="auto"/>
        <w:right w:val="none" w:sz="0" w:space="0" w:color="auto"/>
      </w:divBdr>
      <w:divsChild>
        <w:div w:id="580874849">
          <w:marLeft w:val="0"/>
          <w:marRight w:val="0"/>
          <w:marTop w:val="0"/>
          <w:marBottom w:val="0"/>
          <w:divBdr>
            <w:top w:val="none" w:sz="0" w:space="0" w:color="auto"/>
            <w:left w:val="none" w:sz="0" w:space="0" w:color="auto"/>
            <w:bottom w:val="none" w:sz="0" w:space="0" w:color="auto"/>
            <w:right w:val="none" w:sz="0" w:space="0" w:color="auto"/>
          </w:divBdr>
          <w:divsChild>
            <w:div w:id="30955303">
              <w:marLeft w:val="0"/>
              <w:marRight w:val="0"/>
              <w:marTop w:val="0"/>
              <w:marBottom w:val="0"/>
              <w:divBdr>
                <w:top w:val="none" w:sz="0" w:space="0" w:color="auto"/>
                <w:left w:val="none" w:sz="0" w:space="0" w:color="auto"/>
                <w:bottom w:val="none" w:sz="0" w:space="0" w:color="auto"/>
                <w:right w:val="none" w:sz="0" w:space="0" w:color="auto"/>
              </w:divBdr>
              <w:divsChild>
                <w:div w:id="1589073144">
                  <w:blockQuote w:val="1"/>
                  <w:marLeft w:val="768"/>
                  <w:marRight w:val="720"/>
                  <w:marTop w:val="0"/>
                  <w:marBottom w:val="0"/>
                  <w:divBdr>
                    <w:top w:val="none" w:sz="0" w:space="0" w:color="auto"/>
                    <w:left w:val="none" w:sz="0" w:space="0" w:color="auto"/>
                    <w:bottom w:val="none" w:sz="0" w:space="0" w:color="auto"/>
                    <w:right w:val="none" w:sz="0" w:space="0" w:color="auto"/>
                  </w:divBdr>
                </w:div>
                <w:div w:id="16357936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348944610">
          <w:marLeft w:val="0"/>
          <w:marRight w:val="0"/>
          <w:marTop w:val="0"/>
          <w:marBottom w:val="0"/>
          <w:divBdr>
            <w:top w:val="none" w:sz="0" w:space="0" w:color="auto"/>
            <w:left w:val="none" w:sz="0" w:space="0" w:color="auto"/>
            <w:bottom w:val="none" w:sz="0" w:space="0" w:color="auto"/>
            <w:right w:val="none" w:sz="0" w:space="0" w:color="auto"/>
          </w:divBdr>
          <w:divsChild>
            <w:div w:id="12819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jade.io/article/404137/section/140890" TargetMode="External"/><Relationship Id="rId26" Type="http://schemas.openxmlformats.org/officeDocument/2006/relationships/hyperlink" Target="http://www.austlii.edu.au/cgi-bin/viewdoc/au/legis/cth/consol_act/fcoaa1976249/s22.html" TargetMode="External"/><Relationship Id="rId39" Type="http://schemas.openxmlformats.org/officeDocument/2006/relationships/header" Target="header5.xml"/><Relationship Id="rId21" Type="http://schemas.openxmlformats.org/officeDocument/2006/relationships/hyperlink" Target="https://jade.io/article/218300" TargetMode="External"/><Relationship Id="rId34" Type="http://schemas.openxmlformats.org/officeDocument/2006/relationships/hyperlink" Target="https://jade.io/article/117285/section/630"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jade.io/article/218300" TargetMode="External"/><Relationship Id="rId29" Type="http://schemas.openxmlformats.org/officeDocument/2006/relationships/hyperlink" Target="https://jade.io/article/68149/section/1401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ustlii.edu.au/cgi-bin/viewdoc/au/legis/cth/consol_act/fwa2009114/s12.html" TargetMode="External"/><Relationship Id="rId32" Type="http://schemas.openxmlformats.org/officeDocument/2006/relationships/hyperlink" Target="https://jade.io/article/667562/section/140705"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jade.io/article/65206/section/139986" TargetMode="External"/><Relationship Id="rId28" Type="http://schemas.openxmlformats.org/officeDocument/2006/relationships/hyperlink" Target="https://jade.io/article/68149"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jade.io/article/404137/section/140890" TargetMode="External"/><Relationship Id="rId31" Type="http://schemas.openxmlformats.org/officeDocument/2006/relationships/hyperlink" Target="https://jade.io/article/66756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jade.io/article/65206" TargetMode="External"/><Relationship Id="rId27" Type="http://schemas.openxmlformats.org/officeDocument/2006/relationships/hyperlink" Target="http://www.austlii.edu.au/cgi-bin/viewdoc/au/legis/cth/consol_act/fcoaa1976249/s23.html" TargetMode="External"/><Relationship Id="rId30" Type="http://schemas.openxmlformats.org/officeDocument/2006/relationships/hyperlink" Target="https://jade.io/article/68149/section/140185" TargetMode="External"/><Relationship Id="rId35" Type="http://schemas.openxmlformats.org/officeDocument/2006/relationships/hyperlink" Target="https://jade.io/article/117285/section/630"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jade.io/article/404137" TargetMode="External"/><Relationship Id="rId25" Type="http://schemas.openxmlformats.org/officeDocument/2006/relationships/hyperlink" Target="http://www.austlii.edu.au/cgi-bin/viewdoc/au/legis/cth/consol_act/fcoaa1976249/s21.html" TargetMode="External"/><Relationship Id="rId33" Type="http://schemas.openxmlformats.org/officeDocument/2006/relationships/hyperlink" Target="https://jade.io/article/667562/section/140705"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D8ABCFC7C4E1A992852583D734941"/>
        <w:category>
          <w:name w:val="General"/>
          <w:gallery w:val="placeholder"/>
        </w:category>
        <w:types>
          <w:type w:val="bbPlcHdr"/>
        </w:types>
        <w:behaviors>
          <w:behavior w:val="content"/>
        </w:behaviors>
        <w:guid w:val="{1529EDF4-4DAE-4D53-AEEA-498675B4535C}"/>
      </w:docPartPr>
      <w:docPartBody>
        <w:p w:rsidR="006B775E" w:rsidRDefault="006B775E">
          <w:pPr>
            <w:pStyle w:val="853D8ABCFC7C4E1A992852583D734941"/>
          </w:pPr>
          <w:r>
            <w:rPr>
              <w:rStyle w:val="PlaceholderText"/>
            </w:rPr>
            <w:t>MNC Text</w:t>
          </w:r>
        </w:p>
      </w:docPartBody>
    </w:docPart>
    <w:docPart>
      <w:docPartPr>
        <w:name w:val="2F053EAACEAA41C78C55752AE0E9CCA5"/>
        <w:category>
          <w:name w:val="General"/>
          <w:gallery w:val="placeholder"/>
        </w:category>
        <w:types>
          <w:type w:val="bbPlcHdr"/>
        </w:types>
        <w:behaviors>
          <w:behavior w:val="content"/>
        </w:behaviors>
        <w:guid w:val="{9FDA51ED-2EB7-4B91-9431-85C70F9634D9}"/>
      </w:docPartPr>
      <w:docPartBody>
        <w:p w:rsidR="006B775E" w:rsidRDefault="006B775E">
          <w:pPr>
            <w:pStyle w:val="2F053EAACEAA41C78C55752AE0E9CCA5"/>
          </w:pPr>
          <w:r w:rsidRPr="005C44BE">
            <w:rPr>
              <w:rStyle w:val="PlaceholderText"/>
            </w:rPr>
            <w:t>Click or tap here to enter text.</w:t>
          </w:r>
        </w:p>
      </w:docPartBody>
    </w:docPart>
    <w:docPart>
      <w:docPartPr>
        <w:name w:val="39EBCAEE790B47BCA0D385553F37640C"/>
        <w:category>
          <w:name w:val="General"/>
          <w:gallery w:val="placeholder"/>
        </w:category>
        <w:types>
          <w:type w:val="bbPlcHdr"/>
        </w:types>
        <w:behaviors>
          <w:behavior w:val="content"/>
        </w:behaviors>
        <w:guid w:val="{2ED31D55-F18F-4C0F-B80C-DA5411AA502F}"/>
      </w:docPartPr>
      <w:docPartBody>
        <w:p w:rsidR="006B775E" w:rsidRDefault="006B775E">
          <w:pPr>
            <w:pStyle w:val="39EBCAEE790B47BCA0D385553F37640C"/>
          </w:pPr>
          <w:r w:rsidRPr="005C44BE">
            <w:rPr>
              <w:rStyle w:val="PlaceholderText"/>
            </w:rPr>
            <w:t>Click or tap here to enter text.</w:t>
          </w:r>
        </w:p>
      </w:docPartBody>
    </w:docPart>
    <w:docPart>
      <w:docPartPr>
        <w:name w:val="63328200A2A54050A940A961A98F0A24"/>
        <w:category>
          <w:name w:val="General"/>
          <w:gallery w:val="placeholder"/>
        </w:category>
        <w:types>
          <w:type w:val="bbPlcHdr"/>
        </w:types>
        <w:behaviors>
          <w:behavior w:val="content"/>
        </w:behaviors>
        <w:guid w:val="{53B52294-44B3-4B0F-93CC-F61E5705A671}"/>
      </w:docPartPr>
      <w:docPartBody>
        <w:p w:rsidR="006B775E" w:rsidRDefault="006B775E">
          <w:pPr>
            <w:pStyle w:val="63328200A2A54050A940A961A98F0A24"/>
          </w:pPr>
          <w:r w:rsidRPr="005C44BE">
            <w:rPr>
              <w:rStyle w:val="PlaceholderText"/>
            </w:rPr>
            <w:t>Click or tap here to enter text.</w:t>
          </w:r>
        </w:p>
      </w:docPartBody>
    </w:docPart>
    <w:docPart>
      <w:docPartPr>
        <w:name w:val="A13A11486A9D499C8B10EE9A913AE707"/>
        <w:category>
          <w:name w:val="General"/>
          <w:gallery w:val="placeholder"/>
        </w:category>
        <w:types>
          <w:type w:val="bbPlcHdr"/>
        </w:types>
        <w:behaviors>
          <w:behavior w:val="content"/>
        </w:behaviors>
        <w:guid w:val="{96FD6656-62D4-45D3-BFD9-A6288D466FCE}"/>
      </w:docPartPr>
      <w:docPartBody>
        <w:p w:rsidR="006B775E" w:rsidRDefault="006B775E">
          <w:pPr>
            <w:pStyle w:val="A13A11486A9D499C8B10EE9A913AE70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5E"/>
    <w:rsid w:val="00011721"/>
    <w:rsid w:val="000B27DB"/>
    <w:rsid w:val="001A7CF9"/>
    <w:rsid w:val="002F5052"/>
    <w:rsid w:val="00305F78"/>
    <w:rsid w:val="0034652B"/>
    <w:rsid w:val="00373C34"/>
    <w:rsid w:val="003946AA"/>
    <w:rsid w:val="003B0C3A"/>
    <w:rsid w:val="003D648F"/>
    <w:rsid w:val="004A23C7"/>
    <w:rsid w:val="004C4025"/>
    <w:rsid w:val="00596BD0"/>
    <w:rsid w:val="005A271B"/>
    <w:rsid w:val="00636982"/>
    <w:rsid w:val="006B775E"/>
    <w:rsid w:val="006D74B9"/>
    <w:rsid w:val="00790322"/>
    <w:rsid w:val="007A17E5"/>
    <w:rsid w:val="007E2FF6"/>
    <w:rsid w:val="008A3642"/>
    <w:rsid w:val="00BD07C6"/>
    <w:rsid w:val="00C8390B"/>
    <w:rsid w:val="00CC2C60"/>
    <w:rsid w:val="00D75253"/>
    <w:rsid w:val="00D8300C"/>
    <w:rsid w:val="00D90777"/>
    <w:rsid w:val="00DE27B8"/>
    <w:rsid w:val="00EC4983"/>
    <w:rsid w:val="00ED7CDE"/>
    <w:rsid w:val="00F8384F"/>
    <w:rsid w:val="00FA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4B9"/>
    <w:rPr>
      <w:color w:val="808080"/>
    </w:rPr>
  </w:style>
  <w:style w:type="paragraph" w:customStyle="1" w:styleId="853D8ABCFC7C4E1A992852583D734941">
    <w:name w:val="853D8ABCFC7C4E1A992852583D734941"/>
  </w:style>
  <w:style w:type="paragraph" w:customStyle="1" w:styleId="2F053EAACEAA41C78C55752AE0E9CCA5">
    <w:name w:val="2F053EAACEAA41C78C55752AE0E9CCA5"/>
  </w:style>
  <w:style w:type="paragraph" w:customStyle="1" w:styleId="39EBCAEE790B47BCA0D385553F37640C">
    <w:name w:val="39EBCAEE790B47BCA0D385553F37640C"/>
  </w:style>
  <w:style w:type="paragraph" w:customStyle="1" w:styleId="63328200A2A54050A940A961A98F0A24">
    <w:name w:val="63328200A2A54050A940A961A98F0A24"/>
  </w:style>
  <w:style w:type="paragraph" w:customStyle="1" w:styleId="A13A11486A9D499C8B10EE9A913AE707">
    <w:name w:val="A13A11486A9D499C8B10EE9A913AE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DC48445C59B49A254E42B272CE578" ma:contentTypeVersion="18" ma:contentTypeDescription="Create a new document." ma:contentTypeScope="" ma:versionID="9e966f776ad7cd018d2958cba4b58dff">
  <xsd:schema xmlns:xsd="http://www.w3.org/2001/XMLSchema" xmlns:xs="http://www.w3.org/2001/XMLSchema" xmlns:p="http://schemas.microsoft.com/office/2006/metadata/properties" xmlns:ns2="cd4b570f-2c34-4c01-a22a-5690c8d637b5" xmlns:ns3="c66e4427-4c34-4e73-a0e4-c06fd3725bf3" targetNamespace="http://schemas.microsoft.com/office/2006/metadata/properties" ma:root="true" ma:fieldsID="5c4820c25793c153fa73b19bb4f1e5a7" ns2:_="" ns3:_="">
    <xsd:import namespace="cd4b570f-2c34-4c01-a22a-5690c8d637b5"/>
    <xsd:import namespace="c66e4427-4c34-4e73-a0e4-c06fd3725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3:NavigatorClassifi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b570f-2c34-4c01-a22a-5690c8d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267fee-1754-45a8-ba16-746eaa2ef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e4427-4c34-4e73-a0e4-c06fd3725b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a573a-7767-4f35-bf70-babc426a417e}" ma:internalName="TaxCatchAll" ma:showField="CatchAllData" ma:web="c66e4427-4c34-4e73-a0e4-c06fd3725b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NavigatorClassification" ma:index="24" nillable="true" ma:displayName="Site Classification" ma:default="Chamber" ma:internalName="NavigatorClassifi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xmlns="http://schemas.globalmacros.com/FCA">
  <Name>Elliott-Carde v McDonald’s Australia Limited [2023] FCAFC 162</Name>
</root>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d4b570f-2c34-4c01-a22a-5690c8d637b5">
      <Terms xmlns="http://schemas.microsoft.com/office/infopath/2007/PartnerControls"/>
    </lcf76f155ced4ddcb4097134ff3c332f>
    <TaxCatchAll xmlns="c66e4427-4c34-4e73-a0e4-c06fd3725bf3" xsi:nil="true"/>
    <NavigatorClassification xmlns="c66e4427-4c34-4e73-a0e4-c06fd3725bf3">Chamber</NavigatorClassification>
  </documentManagement>
</p:properties>
</file>

<file path=customXml/itemProps1.xml><?xml version="1.0" encoding="utf-8"?>
<ds:datastoreItem xmlns:ds="http://schemas.openxmlformats.org/officeDocument/2006/customXml" ds:itemID="{011D06EB-51CF-48D6-9BB2-904B4A89E853}">
  <ds:schemaRefs>
    <ds:schemaRef ds:uri="http://schemas.microsoft.com/sharepoint/v3/contenttype/forms"/>
  </ds:schemaRefs>
</ds:datastoreItem>
</file>

<file path=customXml/itemProps2.xml><?xml version="1.0" encoding="utf-8"?>
<ds:datastoreItem xmlns:ds="http://schemas.openxmlformats.org/officeDocument/2006/customXml" ds:itemID="{DDC59101-4F38-4B91-908D-2554A5C2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b570f-2c34-4c01-a22a-5690c8d637b5"/>
    <ds:schemaRef ds:uri="c66e4427-4c34-4e73-a0e4-c06fd3725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A0F98-3C02-44C2-978E-1D3A219CDCBD}">
  <ds:schemaRefs>
    <ds:schemaRef ds:uri="http://schemas.openxmlformats.org/officeDocument/2006/bibliography"/>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42E67E3B-5196-4A74-BE54-49E9AB96486B}">
  <ds:schemaRefs>
    <ds:schemaRef ds:uri="c66e4427-4c34-4e73-a0e4-c06fd3725bf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cd4b570f-2c34-4c01-a22a-5690c8d637b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132</Pages>
  <Words>49822</Words>
  <Characters>249006</Characters>
  <Application>Microsoft Office Word</Application>
  <DocSecurity>0</DocSecurity>
  <PresentationFormat/>
  <Lines>4698</Lines>
  <Paragraphs>1867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Elliott-Carde v McDonald’s Australia Limited [2023] FCAFC 162</vt:lpstr>
    </vt:vector>
  </TitlesOfParts>
  <Manager/>
  <Company/>
  <LinksUpToDate>false</LinksUpToDate>
  <CharactersWithSpaces>296961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2023-05-10T07:51:00Z</cp:lastPrinted>
  <dcterms:created xsi:type="dcterms:W3CDTF">2023-10-12T00:31:00Z</dcterms:created>
  <dcterms:modified xsi:type="dcterms:W3CDTF">2023-10-12T00:36:00Z</dcterms:modified>
  <cp:category/>
  <cp:contentStatus/>
  <dc:language/>
  <cp:version/>
</cp:coreProperties>
</file>