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81998" w14:textId="35E335B0" w:rsidR="00395B24" w:rsidRDefault="001D7B98" w:rsidP="00A22932">
      <w:pPr>
        <w:pStyle w:val="CourtTitle"/>
      </w:pPr>
      <w:r>
        <w:rPr>
          <w:caps w:val="0"/>
        </w:rPr>
        <w:t>FEDERAL COURT OF AUSTRALIA</w:t>
      </w:r>
    </w:p>
    <w:p w14:paraId="596B0BB7" w14:textId="77777777" w:rsidR="004D7950" w:rsidRDefault="004D7950">
      <w:pPr>
        <w:pStyle w:val="NormalHeadings"/>
        <w:jc w:val="center"/>
        <w:rPr>
          <w:sz w:val="32"/>
        </w:rPr>
      </w:pPr>
    </w:p>
    <w:bookmarkStart w:id="0" w:name="MNC"/>
    <w:p w14:paraId="7AAD40E0" w14:textId="78101216" w:rsidR="00374CC4" w:rsidRDefault="007C4D0E" w:rsidP="001A2B40">
      <w:pPr>
        <w:pStyle w:val="MNC"/>
      </w:pPr>
      <w:sdt>
        <w:sdtPr>
          <w:alias w:val="MNC"/>
          <w:tag w:val="MNC"/>
          <w:id w:val="343289786"/>
          <w:lock w:val="sdtLocked"/>
          <w:placeholder>
            <w:docPart w:val="D800BD5FC94B4966BA51567BE761559D"/>
          </w:placeholder>
          <w:dataBinding w:prefixMappings="xmlns:ns0='http://schemas.globalmacros.com/FCA'" w:xpath="/ns0:root[1]/ns0:Name[1]" w:storeItemID="{687E7CCB-4AA5-44E7-B148-17BA2B6F57C0}"/>
          <w:text w:multiLine="1"/>
        </w:sdtPr>
        <w:sdtEndPr/>
        <w:sdtContent>
          <w:r w:rsidR="004C2F52">
            <w:t>Luke v Aveo Group Limited (No 3) [2023] FCA 1665</w:t>
          </w:r>
        </w:sdtContent>
      </w:sdt>
      <w:bookmarkEnd w:id="0"/>
    </w:p>
    <w:tbl>
      <w:tblPr>
        <w:tblW w:w="9072" w:type="dxa"/>
        <w:tblLayout w:type="fixed"/>
        <w:tblLook w:val="01E0" w:firstRow="1" w:lastRow="1" w:firstColumn="1" w:lastColumn="1" w:noHBand="0" w:noVBand="0"/>
        <w:tblCaption w:val="Cover Table"/>
        <w:tblDescription w:val="Cover Table"/>
      </w:tblPr>
      <w:tblGrid>
        <w:gridCol w:w="3083"/>
        <w:gridCol w:w="5989"/>
      </w:tblGrid>
      <w:tr w:rsidR="00395B24" w14:paraId="1C755315" w14:textId="77777777" w:rsidTr="00760402">
        <w:tc>
          <w:tcPr>
            <w:tcW w:w="3083" w:type="dxa"/>
            <w:shd w:val="clear" w:color="auto" w:fill="auto"/>
          </w:tcPr>
          <w:p w14:paraId="3A27950A" w14:textId="77777777" w:rsidR="00395B24" w:rsidRDefault="002C7385" w:rsidP="00663878">
            <w:pPr>
              <w:pStyle w:val="Normal1linespace"/>
              <w:widowControl w:val="0"/>
              <w:jc w:val="left"/>
            </w:pPr>
            <w:r>
              <w:t>File number(s):</w:t>
            </w:r>
          </w:p>
        </w:tc>
        <w:tc>
          <w:tcPr>
            <w:tcW w:w="5989" w:type="dxa"/>
            <w:shd w:val="clear" w:color="auto" w:fill="auto"/>
          </w:tcPr>
          <w:p w14:paraId="1B8D72AF" w14:textId="20D668D5" w:rsidR="00395B24" w:rsidRPr="00EC7785" w:rsidRDefault="00733FEF" w:rsidP="00EC7785">
            <w:pPr>
              <w:pStyle w:val="Normal1linespace"/>
              <w:jc w:val="left"/>
            </w:pPr>
            <w:fldSimple w:instr=" REF  FileNo  \* MERGEFORMAT " w:fldLock="1">
              <w:r w:rsidR="00EC7785" w:rsidRPr="00EC7785">
                <w:t>VID 996 of 2017</w:t>
              </w:r>
            </w:fldSimple>
          </w:p>
        </w:tc>
      </w:tr>
      <w:tr w:rsidR="00395B24" w14:paraId="3D647C1C" w14:textId="77777777" w:rsidTr="00760402">
        <w:tc>
          <w:tcPr>
            <w:tcW w:w="3083" w:type="dxa"/>
            <w:shd w:val="clear" w:color="auto" w:fill="auto"/>
          </w:tcPr>
          <w:p w14:paraId="5C01063F" w14:textId="77777777" w:rsidR="00395B24" w:rsidRDefault="00395B24" w:rsidP="00663878">
            <w:pPr>
              <w:pStyle w:val="Normal1linespace"/>
              <w:widowControl w:val="0"/>
              <w:jc w:val="left"/>
            </w:pPr>
          </w:p>
        </w:tc>
        <w:tc>
          <w:tcPr>
            <w:tcW w:w="5989" w:type="dxa"/>
            <w:shd w:val="clear" w:color="auto" w:fill="auto"/>
          </w:tcPr>
          <w:p w14:paraId="2E5992E1" w14:textId="77777777" w:rsidR="00395B24" w:rsidRDefault="00395B24" w:rsidP="00663878">
            <w:pPr>
              <w:pStyle w:val="Normal1linespace"/>
              <w:widowControl w:val="0"/>
              <w:jc w:val="left"/>
            </w:pPr>
          </w:p>
        </w:tc>
      </w:tr>
      <w:tr w:rsidR="00395B24" w14:paraId="64785054" w14:textId="77777777" w:rsidTr="00760402">
        <w:tc>
          <w:tcPr>
            <w:tcW w:w="3083" w:type="dxa"/>
            <w:shd w:val="clear" w:color="auto" w:fill="auto"/>
          </w:tcPr>
          <w:p w14:paraId="52FA04C1"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5C953DFF" w14:textId="761B6483" w:rsidR="00395B24" w:rsidRDefault="002C7385" w:rsidP="00663878">
            <w:pPr>
              <w:pStyle w:val="Normal1linespace"/>
              <w:widowControl w:val="0"/>
              <w:jc w:val="left"/>
              <w:rPr>
                <w:b/>
              </w:rPr>
            </w:pPr>
            <w:r w:rsidRPr="00EC7785">
              <w:rPr>
                <w:b/>
              </w:rPr>
              <w:fldChar w:fldCharType="begin" w:fldLock="1"/>
            </w:r>
            <w:r w:rsidRPr="00EC7785">
              <w:rPr>
                <w:b/>
              </w:rPr>
              <w:instrText xml:space="preserve"> REF  Judge  \* MERGEFORMAT </w:instrText>
            </w:r>
            <w:r w:rsidRPr="00EC7785">
              <w:rPr>
                <w:b/>
              </w:rPr>
              <w:fldChar w:fldCharType="separate"/>
            </w:r>
            <w:r w:rsidR="00EC7785" w:rsidRPr="00EC7785">
              <w:rPr>
                <w:b/>
                <w:caps/>
                <w:szCs w:val="24"/>
              </w:rPr>
              <w:t>MURPHY J</w:t>
            </w:r>
            <w:r w:rsidRPr="00EC7785">
              <w:rPr>
                <w:b/>
              </w:rPr>
              <w:fldChar w:fldCharType="end"/>
            </w:r>
          </w:p>
        </w:tc>
      </w:tr>
      <w:tr w:rsidR="00395B24" w14:paraId="3EE738FA" w14:textId="77777777" w:rsidTr="00760402">
        <w:tc>
          <w:tcPr>
            <w:tcW w:w="3083" w:type="dxa"/>
            <w:shd w:val="clear" w:color="auto" w:fill="auto"/>
          </w:tcPr>
          <w:p w14:paraId="76AE878B" w14:textId="77777777" w:rsidR="00395B24" w:rsidRDefault="00395B24" w:rsidP="00663878">
            <w:pPr>
              <w:pStyle w:val="Normal1linespace"/>
              <w:widowControl w:val="0"/>
              <w:jc w:val="left"/>
            </w:pPr>
          </w:p>
        </w:tc>
        <w:tc>
          <w:tcPr>
            <w:tcW w:w="5989" w:type="dxa"/>
            <w:shd w:val="clear" w:color="auto" w:fill="auto"/>
          </w:tcPr>
          <w:p w14:paraId="2092E851" w14:textId="77777777" w:rsidR="00395B24" w:rsidRDefault="00395B24" w:rsidP="00663878">
            <w:pPr>
              <w:pStyle w:val="Normal1linespace"/>
              <w:widowControl w:val="0"/>
              <w:jc w:val="left"/>
            </w:pPr>
          </w:p>
        </w:tc>
      </w:tr>
      <w:tr w:rsidR="00395B24" w14:paraId="68F754AC" w14:textId="77777777" w:rsidTr="00760402">
        <w:tc>
          <w:tcPr>
            <w:tcW w:w="3083" w:type="dxa"/>
            <w:shd w:val="clear" w:color="auto" w:fill="auto"/>
          </w:tcPr>
          <w:p w14:paraId="4781A896" w14:textId="77777777" w:rsidR="00395B24" w:rsidRDefault="002C7385" w:rsidP="00663878">
            <w:pPr>
              <w:pStyle w:val="Normal1linespace"/>
              <w:widowControl w:val="0"/>
              <w:jc w:val="left"/>
            </w:pPr>
            <w:r>
              <w:t>Date of judgment:</w:t>
            </w:r>
          </w:p>
        </w:tc>
        <w:tc>
          <w:tcPr>
            <w:tcW w:w="5989" w:type="dxa"/>
            <w:shd w:val="clear" w:color="auto" w:fill="auto"/>
          </w:tcPr>
          <w:p w14:paraId="542D4D32" w14:textId="5B58406C" w:rsidR="00395B24" w:rsidRDefault="00D74B97" w:rsidP="00663878">
            <w:pPr>
              <w:pStyle w:val="Normal1linespace"/>
              <w:widowControl w:val="0"/>
              <w:jc w:val="left"/>
            </w:pPr>
            <w:r>
              <w:t xml:space="preserve">22 </w:t>
            </w:r>
            <w:r w:rsidR="0084233B">
              <w:t>December</w:t>
            </w:r>
            <w:r>
              <w:t xml:space="preserve"> 2023</w:t>
            </w:r>
          </w:p>
        </w:tc>
      </w:tr>
      <w:tr w:rsidR="00395B24" w14:paraId="0BB8F2B5" w14:textId="77777777" w:rsidTr="00760402">
        <w:tc>
          <w:tcPr>
            <w:tcW w:w="3083" w:type="dxa"/>
            <w:shd w:val="clear" w:color="auto" w:fill="auto"/>
          </w:tcPr>
          <w:p w14:paraId="73783EB2" w14:textId="77777777" w:rsidR="00395B24" w:rsidRDefault="00395B24" w:rsidP="00663878">
            <w:pPr>
              <w:pStyle w:val="Normal1linespace"/>
              <w:widowControl w:val="0"/>
              <w:jc w:val="left"/>
            </w:pPr>
          </w:p>
        </w:tc>
        <w:tc>
          <w:tcPr>
            <w:tcW w:w="5989" w:type="dxa"/>
            <w:shd w:val="clear" w:color="auto" w:fill="auto"/>
          </w:tcPr>
          <w:p w14:paraId="670A284D" w14:textId="77777777" w:rsidR="00395B24" w:rsidRDefault="00395B24" w:rsidP="00663878">
            <w:pPr>
              <w:pStyle w:val="Normal1linespace"/>
              <w:widowControl w:val="0"/>
              <w:jc w:val="left"/>
            </w:pPr>
          </w:p>
        </w:tc>
      </w:tr>
      <w:tr w:rsidR="00395B24" w14:paraId="54E12951" w14:textId="77777777" w:rsidTr="00760402">
        <w:tc>
          <w:tcPr>
            <w:tcW w:w="3083" w:type="dxa"/>
            <w:shd w:val="clear" w:color="auto" w:fill="auto"/>
          </w:tcPr>
          <w:p w14:paraId="5143D056" w14:textId="77777777" w:rsidR="00395B24" w:rsidRDefault="002C7385" w:rsidP="00663878">
            <w:pPr>
              <w:pStyle w:val="Normal1linespace"/>
              <w:widowControl w:val="0"/>
              <w:jc w:val="left"/>
            </w:pPr>
            <w:r>
              <w:t>Catchwords:</w:t>
            </w:r>
          </w:p>
        </w:tc>
        <w:tc>
          <w:tcPr>
            <w:tcW w:w="5989" w:type="dxa"/>
            <w:shd w:val="clear" w:color="auto" w:fill="auto"/>
          </w:tcPr>
          <w:p w14:paraId="319C5121" w14:textId="17B3A8C2" w:rsidR="00395B24" w:rsidRDefault="00EC7785" w:rsidP="00663878">
            <w:pPr>
              <w:pStyle w:val="Normal1linespace"/>
              <w:widowControl w:val="0"/>
              <w:jc w:val="left"/>
            </w:pPr>
            <w:bookmarkStart w:id="1" w:name="Catchwords"/>
            <w:r w:rsidRPr="00325B46">
              <w:rPr>
                <w:b/>
              </w:rPr>
              <w:t>REPRESENTATIVE PROCEEDING</w:t>
            </w:r>
            <w:r>
              <w:t xml:space="preserve"> – settlement approval application</w:t>
            </w:r>
            <w:r w:rsidR="00064A3F">
              <w:t xml:space="preserve"> </w:t>
            </w:r>
            <w:r w:rsidR="00064A3F" w:rsidRPr="008010F2">
              <w:rPr>
                <w:rStyle w:val="eop"/>
                <w:color w:val="000000"/>
                <w:shd w:val="clear" w:color="auto" w:fill="FFFFFF"/>
              </w:rPr>
              <w:t xml:space="preserve">under s 33V of the </w:t>
            </w:r>
            <w:r w:rsidR="00064A3F" w:rsidRPr="008010F2">
              <w:rPr>
                <w:rStyle w:val="eop"/>
                <w:i/>
                <w:iCs/>
                <w:color w:val="000000"/>
                <w:shd w:val="clear" w:color="auto" w:fill="FFFFFF"/>
              </w:rPr>
              <w:t>Federal Court of Australia Act 1976</w:t>
            </w:r>
            <w:r w:rsidR="00064A3F" w:rsidRPr="008010F2">
              <w:rPr>
                <w:rStyle w:val="eop"/>
                <w:color w:val="000000"/>
                <w:shd w:val="clear" w:color="auto" w:fill="FFFFFF"/>
              </w:rPr>
              <w:t xml:space="preserve"> (</w:t>
            </w:r>
            <w:proofErr w:type="spellStart"/>
            <w:r w:rsidR="00064A3F" w:rsidRPr="008010F2">
              <w:rPr>
                <w:rStyle w:val="eop"/>
                <w:color w:val="000000"/>
                <w:shd w:val="clear" w:color="auto" w:fill="FFFFFF"/>
              </w:rPr>
              <w:t>Cth</w:t>
            </w:r>
            <w:proofErr w:type="spellEnd"/>
            <w:r w:rsidR="00064A3F" w:rsidRPr="008010F2">
              <w:rPr>
                <w:rStyle w:val="eop"/>
                <w:color w:val="000000"/>
                <w:shd w:val="clear" w:color="auto" w:fill="FFFFFF"/>
              </w:rPr>
              <w:t xml:space="preserve">) – whether the proposed settlement is fair and reasonable in the interests of group members to be bound to it including as between group members – </w:t>
            </w:r>
            <w:r w:rsidR="00C175A7">
              <w:rPr>
                <w:rStyle w:val="eop"/>
                <w:color w:val="000000"/>
                <w:shd w:val="clear" w:color="auto" w:fill="FFFFFF"/>
              </w:rPr>
              <w:t xml:space="preserve">the </w:t>
            </w:r>
            <w:r w:rsidR="00064A3F" w:rsidRPr="008010F2">
              <w:rPr>
                <w:rStyle w:val="eop"/>
                <w:color w:val="000000"/>
                <w:shd w:val="clear" w:color="auto" w:fill="FFFFFF"/>
              </w:rPr>
              <w:t xml:space="preserve">role of a contradictor – </w:t>
            </w:r>
            <w:r w:rsidR="00325B46">
              <w:rPr>
                <w:rStyle w:val="eop"/>
                <w:color w:val="000000"/>
                <w:shd w:val="clear" w:color="auto" w:fill="FFFFFF"/>
              </w:rPr>
              <w:t xml:space="preserve">serious </w:t>
            </w:r>
            <w:r w:rsidR="00035E3F">
              <w:rPr>
                <w:rStyle w:val="eop"/>
                <w:color w:val="000000"/>
                <w:shd w:val="clear" w:color="auto" w:fill="FFFFFF"/>
              </w:rPr>
              <w:t xml:space="preserve">lack of expedition </w:t>
            </w:r>
            <w:r w:rsidR="00325B46">
              <w:rPr>
                <w:rStyle w:val="eop"/>
                <w:color w:val="000000"/>
                <w:shd w:val="clear" w:color="auto" w:fill="FFFFFF"/>
              </w:rPr>
              <w:t xml:space="preserve">and </w:t>
            </w:r>
            <w:r w:rsidR="00D453B5">
              <w:rPr>
                <w:rStyle w:val="eop"/>
                <w:color w:val="000000"/>
                <w:shd w:val="clear" w:color="auto" w:fill="FFFFFF"/>
              </w:rPr>
              <w:t>inefficiency</w:t>
            </w:r>
            <w:r w:rsidR="00325B46">
              <w:rPr>
                <w:rStyle w:val="eop"/>
                <w:color w:val="000000"/>
                <w:shd w:val="clear" w:color="auto" w:fill="FFFFFF"/>
              </w:rPr>
              <w:t xml:space="preserve"> on</w:t>
            </w:r>
            <w:r w:rsidR="00064A3F" w:rsidRPr="008010F2">
              <w:rPr>
                <w:rStyle w:val="eop"/>
                <w:color w:val="000000"/>
                <w:shd w:val="clear" w:color="auto" w:fill="FFFFFF"/>
              </w:rPr>
              <w:t xml:space="preserve"> the </w:t>
            </w:r>
            <w:r w:rsidR="00325B46">
              <w:rPr>
                <w:rStyle w:val="eop"/>
                <w:color w:val="000000"/>
                <w:shd w:val="clear" w:color="auto" w:fill="FFFFFF"/>
              </w:rPr>
              <w:t xml:space="preserve">part of the applicants’ solicitors </w:t>
            </w:r>
            <w:r w:rsidR="009D5004">
              <w:rPr>
                <w:rStyle w:val="eop"/>
                <w:color w:val="000000"/>
                <w:shd w:val="clear" w:color="auto" w:fill="FFFFFF"/>
              </w:rPr>
              <w:t>–</w:t>
            </w:r>
            <w:r w:rsidR="00325B46">
              <w:rPr>
                <w:rStyle w:val="eop"/>
                <w:color w:val="000000"/>
                <w:shd w:val="clear" w:color="auto" w:fill="FFFFFF"/>
              </w:rPr>
              <w:t xml:space="preserve"> </w:t>
            </w:r>
            <w:r w:rsidR="00ED1136" w:rsidRPr="008010F2">
              <w:rPr>
                <w:rStyle w:val="eop"/>
                <w:color w:val="000000"/>
                <w:shd w:val="clear" w:color="auto" w:fill="FFFFFF"/>
              </w:rPr>
              <w:t>proposed settlement approved</w:t>
            </w:r>
            <w:r w:rsidR="00ED1136">
              <w:rPr>
                <w:rStyle w:val="eop"/>
                <w:color w:val="000000"/>
                <w:shd w:val="clear" w:color="auto" w:fill="FFFFFF"/>
              </w:rPr>
              <w:t xml:space="preserve"> </w:t>
            </w:r>
            <w:r w:rsidR="009D5004">
              <w:rPr>
                <w:rStyle w:val="eop"/>
                <w:color w:val="000000"/>
                <w:shd w:val="clear" w:color="auto" w:fill="FFFFFF"/>
              </w:rPr>
              <w:t>–</w:t>
            </w:r>
            <w:r w:rsidR="00ED1136">
              <w:rPr>
                <w:rStyle w:val="eop"/>
                <w:color w:val="000000"/>
                <w:shd w:val="clear" w:color="auto" w:fill="FFFFFF"/>
              </w:rPr>
              <w:t xml:space="preserve"> applicants’ </w:t>
            </w:r>
            <w:r w:rsidR="00064A3F" w:rsidRPr="008010F2">
              <w:rPr>
                <w:rStyle w:val="eop"/>
                <w:color w:val="000000"/>
                <w:shd w:val="clear" w:color="auto" w:fill="FFFFFF"/>
              </w:rPr>
              <w:t xml:space="preserve">legal costs </w:t>
            </w:r>
            <w:r w:rsidR="00ED1136">
              <w:rPr>
                <w:rStyle w:val="eop"/>
                <w:color w:val="000000"/>
                <w:shd w:val="clear" w:color="auto" w:fill="FFFFFF"/>
              </w:rPr>
              <w:t xml:space="preserve">approved </w:t>
            </w:r>
            <w:r w:rsidR="00064A3F" w:rsidRPr="008010F2">
              <w:rPr>
                <w:rStyle w:val="eop"/>
                <w:color w:val="000000"/>
                <w:shd w:val="clear" w:color="auto" w:fill="FFFFFF"/>
              </w:rPr>
              <w:t>in a substantially reduced amount</w:t>
            </w:r>
            <w:r w:rsidR="00652AFE">
              <w:rPr>
                <w:rStyle w:val="eop"/>
                <w:color w:val="000000"/>
                <w:shd w:val="clear" w:color="auto" w:fill="FFFFFF"/>
              </w:rPr>
              <w:t>.</w:t>
            </w:r>
            <w:r w:rsidR="00064A3F" w:rsidRPr="008010F2">
              <w:rPr>
                <w:rStyle w:val="eop"/>
                <w:color w:val="000000"/>
                <w:shd w:val="clear" w:color="auto" w:fill="FFFFFF"/>
              </w:rPr>
              <w:t xml:space="preserve"> </w:t>
            </w:r>
            <w:bookmarkEnd w:id="1"/>
          </w:p>
        </w:tc>
      </w:tr>
      <w:tr w:rsidR="00395B24" w14:paraId="0F001DC5" w14:textId="77777777" w:rsidTr="00760402">
        <w:tc>
          <w:tcPr>
            <w:tcW w:w="3083" w:type="dxa"/>
            <w:shd w:val="clear" w:color="auto" w:fill="auto"/>
          </w:tcPr>
          <w:p w14:paraId="5CFAE975" w14:textId="77777777" w:rsidR="00395B24" w:rsidRDefault="00395B24" w:rsidP="00663878">
            <w:pPr>
              <w:pStyle w:val="Normal1linespace"/>
              <w:widowControl w:val="0"/>
              <w:jc w:val="left"/>
            </w:pPr>
          </w:p>
        </w:tc>
        <w:tc>
          <w:tcPr>
            <w:tcW w:w="5989" w:type="dxa"/>
            <w:shd w:val="clear" w:color="auto" w:fill="auto"/>
          </w:tcPr>
          <w:p w14:paraId="20DB0FF6" w14:textId="77777777" w:rsidR="00395B24" w:rsidRDefault="00395B24" w:rsidP="00663878">
            <w:pPr>
              <w:pStyle w:val="Normal1linespace"/>
              <w:widowControl w:val="0"/>
              <w:jc w:val="left"/>
            </w:pPr>
          </w:p>
        </w:tc>
      </w:tr>
      <w:tr w:rsidR="00395B24" w14:paraId="645A74F9" w14:textId="77777777" w:rsidTr="00760402">
        <w:tc>
          <w:tcPr>
            <w:tcW w:w="3083" w:type="dxa"/>
            <w:shd w:val="clear" w:color="auto" w:fill="auto"/>
          </w:tcPr>
          <w:p w14:paraId="1282DA66" w14:textId="77777777" w:rsidR="00395B24" w:rsidRDefault="002C7385" w:rsidP="00663878">
            <w:pPr>
              <w:pStyle w:val="Normal1linespace"/>
              <w:widowControl w:val="0"/>
              <w:jc w:val="left"/>
            </w:pPr>
            <w:r>
              <w:t>Legislation:</w:t>
            </w:r>
          </w:p>
        </w:tc>
        <w:tc>
          <w:tcPr>
            <w:tcW w:w="5989" w:type="dxa"/>
            <w:shd w:val="clear" w:color="auto" w:fill="auto"/>
          </w:tcPr>
          <w:p w14:paraId="410127A3" w14:textId="3096286C" w:rsidR="00395B24" w:rsidRDefault="001D40F2" w:rsidP="00D82620">
            <w:pPr>
              <w:pStyle w:val="CasesLegislationAppealFrom"/>
              <w:spacing w:after="60"/>
            </w:pPr>
            <w:bookmarkStart w:id="2" w:name="Legislation"/>
            <w:r w:rsidRPr="007F3DEE">
              <w:rPr>
                <w:i/>
              </w:rPr>
              <w:t xml:space="preserve">Federal Court of Australia Act 1976 </w:t>
            </w:r>
            <w:r w:rsidRPr="002837D0">
              <w:t>(</w:t>
            </w:r>
            <w:proofErr w:type="spellStart"/>
            <w:r w:rsidRPr="002837D0">
              <w:t>Cth</w:t>
            </w:r>
            <w:proofErr w:type="spellEnd"/>
            <w:r w:rsidRPr="002837D0">
              <w:t>)</w:t>
            </w:r>
            <w:r w:rsidR="00715751">
              <w:t xml:space="preserve"> </w:t>
            </w:r>
            <w:r w:rsidR="0054488C">
              <w:t xml:space="preserve">ss </w:t>
            </w:r>
            <w:bookmarkEnd w:id="2"/>
            <w:r w:rsidR="00194318">
              <w:t>33C, 33V</w:t>
            </w:r>
            <w:r w:rsidR="00EF5F41">
              <w:t>, 37AF, 37AG</w:t>
            </w:r>
            <w:r w:rsidR="00194318">
              <w:t xml:space="preserve"> </w:t>
            </w:r>
            <w:r w:rsidR="0054488C">
              <w:t xml:space="preserve"> </w:t>
            </w:r>
            <w:r w:rsidR="002C7385">
              <w:t xml:space="preserve"> </w:t>
            </w:r>
          </w:p>
        </w:tc>
      </w:tr>
      <w:tr w:rsidR="00395B24" w14:paraId="1F369DC9" w14:textId="77777777" w:rsidTr="00760402">
        <w:tc>
          <w:tcPr>
            <w:tcW w:w="3083" w:type="dxa"/>
            <w:shd w:val="clear" w:color="auto" w:fill="auto"/>
          </w:tcPr>
          <w:p w14:paraId="7D466FB6" w14:textId="77777777" w:rsidR="00395B24" w:rsidRDefault="00395B24" w:rsidP="00663878">
            <w:pPr>
              <w:pStyle w:val="Normal1linespace"/>
              <w:widowControl w:val="0"/>
              <w:jc w:val="left"/>
            </w:pPr>
          </w:p>
        </w:tc>
        <w:tc>
          <w:tcPr>
            <w:tcW w:w="5989" w:type="dxa"/>
            <w:shd w:val="clear" w:color="auto" w:fill="auto"/>
          </w:tcPr>
          <w:p w14:paraId="1238919B" w14:textId="77777777" w:rsidR="00395B24" w:rsidRDefault="00395B24" w:rsidP="00663878">
            <w:pPr>
              <w:pStyle w:val="Normal1linespace"/>
              <w:widowControl w:val="0"/>
              <w:jc w:val="left"/>
            </w:pPr>
          </w:p>
        </w:tc>
      </w:tr>
      <w:tr w:rsidR="00395B24" w14:paraId="1EC2D1A4" w14:textId="77777777" w:rsidTr="00760402">
        <w:tc>
          <w:tcPr>
            <w:tcW w:w="3083" w:type="dxa"/>
            <w:shd w:val="clear" w:color="auto" w:fill="auto"/>
          </w:tcPr>
          <w:p w14:paraId="0D4FDD86" w14:textId="77777777" w:rsidR="00395B24" w:rsidRDefault="002C7385" w:rsidP="00663878">
            <w:pPr>
              <w:pStyle w:val="Normal1linespace"/>
              <w:widowControl w:val="0"/>
              <w:jc w:val="left"/>
            </w:pPr>
            <w:r>
              <w:t>Cases cited:</w:t>
            </w:r>
          </w:p>
        </w:tc>
        <w:tc>
          <w:tcPr>
            <w:tcW w:w="5989" w:type="dxa"/>
            <w:shd w:val="clear" w:color="auto" w:fill="auto"/>
          </w:tcPr>
          <w:p w14:paraId="15EADE55" w14:textId="5FEB45E3" w:rsidR="00AC782C" w:rsidRPr="00AC782C" w:rsidRDefault="00AC782C" w:rsidP="00020AC9">
            <w:pPr>
              <w:pStyle w:val="ParaNumbering"/>
              <w:numPr>
                <w:ilvl w:val="0"/>
                <w:numId w:val="0"/>
              </w:numPr>
              <w:spacing w:before="0" w:after="60" w:line="240" w:lineRule="auto"/>
            </w:pPr>
            <w:bookmarkStart w:id="3" w:name="Cases_Cited"/>
            <w:r w:rsidRPr="00AC782C">
              <w:rPr>
                <w:rStyle w:val="cf01"/>
                <w:rFonts w:ascii="Times New Roman" w:hAnsi="Times New Roman" w:cs="Times New Roman"/>
                <w:sz w:val="24"/>
                <w:szCs w:val="24"/>
              </w:rPr>
              <w:t>Attorney-General v Mayas </w:t>
            </w:r>
            <w:r w:rsidRPr="00AC782C">
              <w:rPr>
                <w:rStyle w:val="cf11"/>
                <w:rFonts w:ascii="Times New Roman" w:hAnsi="Times New Roman" w:cs="Times New Roman"/>
                <w:sz w:val="24"/>
                <w:szCs w:val="24"/>
              </w:rPr>
              <w:t>(1988) 14 NSWLR 342</w:t>
            </w:r>
          </w:p>
          <w:p w14:paraId="6E600D10" w14:textId="1A5F6350" w:rsidR="00AC782C" w:rsidRPr="00AC782C" w:rsidRDefault="00AC782C" w:rsidP="00AC782C">
            <w:pPr>
              <w:pStyle w:val="CasesLegislationAppealFrom"/>
              <w:spacing w:after="60"/>
            </w:pPr>
            <w:r w:rsidRPr="00AC782C">
              <w:rPr>
                <w:i/>
                <w:iCs/>
              </w:rPr>
              <w:t>Bolitho v Banksia Securities Ltd (No 6)</w:t>
            </w:r>
            <w:r w:rsidRPr="00AC782C">
              <w:t xml:space="preserve"> [2019] VSC 653 </w:t>
            </w:r>
          </w:p>
          <w:p w14:paraId="75E202C4" w14:textId="77777777" w:rsidR="00AC782C" w:rsidRPr="00AC782C" w:rsidRDefault="00AC782C" w:rsidP="00AC782C">
            <w:pPr>
              <w:pStyle w:val="CasesLegislationAppealFrom"/>
              <w:spacing w:after="60"/>
            </w:pPr>
            <w:proofErr w:type="spellStart"/>
            <w:r w:rsidRPr="00020AC9">
              <w:rPr>
                <w:i/>
              </w:rPr>
              <w:t>Caason</w:t>
            </w:r>
            <w:proofErr w:type="spellEnd"/>
            <w:r w:rsidRPr="00AC782C">
              <w:rPr>
                <w:i/>
                <w:iCs/>
              </w:rPr>
              <w:t xml:space="preserve"> Investments Pty Limited v Cao (No 2)</w:t>
            </w:r>
            <w:r w:rsidRPr="00AC782C">
              <w:t xml:space="preserve"> [2018] FCA 527</w:t>
            </w:r>
          </w:p>
          <w:p w14:paraId="7A90FF07" w14:textId="4CCD7EB7" w:rsidR="00AC782C" w:rsidRPr="00AC782C" w:rsidRDefault="00AC782C" w:rsidP="00AC782C">
            <w:pPr>
              <w:pStyle w:val="CasesLegislationAppealFrom"/>
              <w:spacing w:after="60"/>
            </w:pPr>
            <w:r w:rsidRPr="00020AC9">
              <w:rPr>
                <w:i/>
              </w:rPr>
              <w:t>Clarke</w:t>
            </w:r>
            <w:r w:rsidRPr="00AC782C">
              <w:rPr>
                <w:i/>
                <w:iCs/>
              </w:rPr>
              <w:t xml:space="preserve"> v Sandhurst Trustees Ltd</w:t>
            </w:r>
            <w:r w:rsidRPr="00AC782C">
              <w:t xml:space="preserve"> (No 2) [2018] FCA 511 </w:t>
            </w:r>
          </w:p>
          <w:p w14:paraId="2794AA0D" w14:textId="02830F05" w:rsidR="00AC782C" w:rsidRPr="00AC782C" w:rsidRDefault="00AC782C" w:rsidP="00AC782C">
            <w:pPr>
              <w:pStyle w:val="CasesLegislationAppealFrom"/>
              <w:spacing w:after="60"/>
            </w:pPr>
            <w:proofErr w:type="spellStart"/>
            <w:r w:rsidRPr="00AC782C">
              <w:rPr>
                <w:i/>
                <w:iCs/>
              </w:rPr>
              <w:t>Coatman</w:t>
            </w:r>
            <w:proofErr w:type="spellEnd"/>
            <w:r w:rsidRPr="00AC782C">
              <w:rPr>
                <w:i/>
                <w:iCs/>
              </w:rPr>
              <w:t xml:space="preserve"> v Colonial First State Investments Ltd</w:t>
            </w:r>
            <w:r w:rsidRPr="00AC782C">
              <w:t xml:space="preserve"> [2022] FCA 1611 </w:t>
            </w:r>
          </w:p>
          <w:p w14:paraId="0D4C8DF7" w14:textId="78E3F2CD" w:rsidR="00AC782C" w:rsidRPr="00AC782C" w:rsidRDefault="00AC782C" w:rsidP="00AC782C">
            <w:pPr>
              <w:pStyle w:val="CasesLegislationAppealFrom"/>
              <w:spacing w:after="60"/>
              <w:rPr>
                <w:color w:val="000000"/>
                <w:szCs w:val="24"/>
                <w:lang w:eastAsia="en-AU"/>
              </w:rPr>
            </w:pPr>
            <w:proofErr w:type="spellStart"/>
            <w:r w:rsidRPr="00020AC9">
              <w:rPr>
                <w:i/>
              </w:rPr>
              <w:t>Dyczynski</w:t>
            </w:r>
            <w:proofErr w:type="spellEnd"/>
            <w:r w:rsidRPr="00020AC9">
              <w:rPr>
                <w:i/>
              </w:rPr>
              <w:t xml:space="preserve"> </w:t>
            </w:r>
            <w:r w:rsidRPr="00AC782C">
              <w:rPr>
                <w:i/>
                <w:iCs/>
              </w:rPr>
              <w:t>v Gibson</w:t>
            </w:r>
            <w:r w:rsidRPr="00AC782C">
              <w:t xml:space="preserve"> </w:t>
            </w:r>
            <w:r w:rsidRPr="00AC782C">
              <w:rPr>
                <w:color w:val="000000"/>
                <w:szCs w:val="24"/>
                <w:lang w:eastAsia="en-AU"/>
              </w:rPr>
              <w:t>[2020] FCAFC 120; 280 FCR 583</w:t>
            </w:r>
          </w:p>
          <w:p w14:paraId="4CEEFD05" w14:textId="77777777" w:rsidR="00AC782C" w:rsidRPr="00AC782C" w:rsidRDefault="00AC782C" w:rsidP="00AC782C">
            <w:pPr>
              <w:pStyle w:val="CasesLegislationAppealFrom"/>
              <w:spacing w:after="60"/>
              <w:rPr>
                <w:lang w:val="en"/>
              </w:rPr>
            </w:pPr>
            <w:proofErr w:type="spellStart"/>
            <w:r w:rsidRPr="00020AC9">
              <w:rPr>
                <w:i/>
                <w:lang w:val="en"/>
              </w:rPr>
              <w:t>Earglow</w:t>
            </w:r>
            <w:proofErr w:type="spellEnd"/>
            <w:r w:rsidRPr="00020AC9">
              <w:rPr>
                <w:i/>
                <w:lang w:val="en"/>
              </w:rPr>
              <w:t xml:space="preserve"> </w:t>
            </w:r>
            <w:r w:rsidRPr="00AC782C">
              <w:rPr>
                <w:i/>
                <w:lang w:val="en"/>
              </w:rPr>
              <w:t>Pty Ltd v Newcrest Mining Ltd</w:t>
            </w:r>
            <w:r w:rsidRPr="00AC782C">
              <w:rPr>
                <w:lang w:val="en"/>
              </w:rPr>
              <w:t xml:space="preserve"> [2016] FCA 1433</w:t>
            </w:r>
          </w:p>
          <w:p w14:paraId="076D7CD1" w14:textId="5BE6A752" w:rsidR="00AC782C" w:rsidRPr="00AC782C" w:rsidRDefault="00AC782C" w:rsidP="00AC782C">
            <w:pPr>
              <w:pStyle w:val="CasesLegislationAppealFrom"/>
              <w:spacing w:after="60"/>
              <w:rPr>
                <w:rFonts w:ascii="TimesNewRomanPSMT" w:hAnsi="TimesNewRomanPSMT" w:cs="TimesNewRomanPSMT"/>
                <w:sz w:val="23"/>
                <w:szCs w:val="23"/>
                <w:lang w:eastAsia="en-AU"/>
              </w:rPr>
            </w:pPr>
            <w:r w:rsidRPr="00AC782C">
              <w:rPr>
                <w:rFonts w:ascii="TimesNewRomanPS-ItalicMT" w:hAnsi="TimesNewRomanPS-ItalicMT" w:cs="TimesNewRomanPS-ItalicMT"/>
                <w:i/>
                <w:iCs/>
                <w:sz w:val="23"/>
                <w:szCs w:val="23"/>
                <w:lang w:eastAsia="en-AU"/>
              </w:rPr>
              <w:t xml:space="preserve">Elliott-Carde v McDonald's Australia Ltd </w:t>
            </w:r>
            <w:r w:rsidRPr="00AC782C">
              <w:rPr>
                <w:rFonts w:ascii="TimesNewRomanPSMT" w:hAnsi="TimesNewRomanPSMT" w:cs="TimesNewRomanPSMT"/>
                <w:sz w:val="23"/>
                <w:szCs w:val="23"/>
                <w:lang w:eastAsia="en-AU"/>
              </w:rPr>
              <w:t xml:space="preserve">[2023] FCAFC 162 </w:t>
            </w:r>
          </w:p>
          <w:p w14:paraId="0E5A02CB" w14:textId="3AADE781" w:rsidR="00AC782C" w:rsidRPr="00AC782C" w:rsidRDefault="00AC782C" w:rsidP="00AC782C">
            <w:pPr>
              <w:pStyle w:val="CasesLegislationAppealFrom"/>
              <w:spacing w:after="60"/>
            </w:pPr>
            <w:r w:rsidRPr="00AC782C">
              <w:rPr>
                <w:i/>
                <w:iCs/>
              </w:rPr>
              <w:t>Ghee v BT Funds Management Limited</w:t>
            </w:r>
            <w:r w:rsidRPr="00AC782C">
              <w:t xml:space="preserve"> [2023] FCA 1553 </w:t>
            </w:r>
          </w:p>
          <w:p w14:paraId="244BF313" w14:textId="6924948E" w:rsidR="00AC782C" w:rsidRPr="00AC782C" w:rsidRDefault="00AC782C" w:rsidP="00AC782C">
            <w:pPr>
              <w:pStyle w:val="CasesLegislationAppealFrom"/>
              <w:spacing w:after="60"/>
            </w:pPr>
            <w:r w:rsidRPr="00AC782C">
              <w:rPr>
                <w:i/>
                <w:iCs/>
              </w:rPr>
              <w:t xml:space="preserve">Gill v Ethicon </w:t>
            </w:r>
            <w:proofErr w:type="spellStart"/>
            <w:r w:rsidRPr="00AC782C">
              <w:rPr>
                <w:i/>
                <w:iCs/>
              </w:rPr>
              <w:t>S</w:t>
            </w:r>
            <w:r w:rsidRPr="00AC782C">
              <w:rPr>
                <w:i/>
                <w:iCs/>
                <w:color w:val="3D3D3D"/>
                <w:szCs w:val="24"/>
                <w:shd w:val="clear" w:color="auto" w:fill="FFFFFF"/>
              </w:rPr>
              <w:t>à</w:t>
            </w:r>
            <w:r w:rsidRPr="00AC782C">
              <w:rPr>
                <w:i/>
                <w:iCs/>
              </w:rPr>
              <w:t>rl</w:t>
            </w:r>
            <w:proofErr w:type="spellEnd"/>
            <w:r w:rsidRPr="00AC782C">
              <w:rPr>
                <w:i/>
                <w:iCs/>
              </w:rPr>
              <w:t xml:space="preserve"> (No 10)</w:t>
            </w:r>
            <w:r w:rsidRPr="00AC782C">
              <w:t xml:space="preserve"> [2023] FCA 228 </w:t>
            </w:r>
            <w:r w:rsidRPr="00020AC9">
              <w:rPr>
                <w:i/>
              </w:rPr>
              <w:t xml:space="preserve">Hogan </w:t>
            </w:r>
            <w:r w:rsidRPr="00AC782C">
              <w:rPr>
                <w:i/>
              </w:rPr>
              <w:t>v Australian Crime Commission</w:t>
            </w:r>
            <w:r w:rsidRPr="00AC782C">
              <w:t xml:space="preserve"> [2010] HCA 21; 240 CLR 651 </w:t>
            </w:r>
          </w:p>
          <w:p w14:paraId="10B8E7D6" w14:textId="77777777" w:rsidR="00AC782C" w:rsidRPr="00AC782C" w:rsidRDefault="00AC782C" w:rsidP="00AC782C">
            <w:pPr>
              <w:pStyle w:val="CasesLegislationAppealFrom"/>
              <w:spacing w:after="60"/>
            </w:pPr>
            <w:r w:rsidRPr="00020AC9">
              <w:rPr>
                <w:i/>
              </w:rPr>
              <w:t>Kelly</w:t>
            </w:r>
            <w:r w:rsidRPr="00AC782C">
              <w:rPr>
                <w:i/>
                <w:iCs/>
              </w:rPr>
              <w:t xml:space="preserve"> v Willmott Forests Ltd (in liquidation) (No 4) </w:t>
            </w:r>
            <w:r w:rsidRPr="00AC782C">
              <w:t>[2016] FCA 323; 335 ALR 439</w:t>
            </w:r>
          </w:p>
          <w:p w14:paraId="20A2BE9B" w14:textId="063F4BEA" w:rsidR="00AC782C" w:rsidRPr="00AC782C" w:rsidRDefault="00AC782C" w:rsidP="00AC782C">
            <w:pPr>
              <w:pStyle w:val="CasesLegislationAppealFrom"/>
              <w:spacing w:after="60"/>
            </w:pPr>
            <w:proofErr w:type="spellStart"/>
            <w:r w:rsidRPr="00020AC9">
              <w:rPr>
                <w:i/>
              </w:rPr>
              <w:t>Kuterba</w:t>
            </w:r>
            <w:proofErr w:type="spellEnd"/>
            <w:r w:rsidRPr="00AC782C">
              <w:rPr>
                <w:i/>
                <w:iCs/>
              </w:rPr>
              <w:t xml:space="preserve"> v </w:t>
            </w:r>
            <w:proofErr w:type="spellStart"/>
            <w:r w:rsidRPr="00AC782C">
              <w:rPr>
                <w:i/>
                <w:iCs/>
              </w:rPr>
              <w:t>Sirtex</w:t>
            </w:r>
            <w:proofErr w:type="spellEnd"/>
            <w:r w:rsidRPr="00AC782C">
              <w:rPr>
                <w:i/>
                <w:iCs/>
              </w:rPr>
              <w:t xml:space="preserve"> Medical Limited (No 3)</w:t>
            </w:r>
            <w:r w:rsidRPr="00AC782C">
              <w:t xml:space="preserve"> [2019] FCA 1374 </w:t>
            </w:r>
          </w:p>
          <w:p w14:paraId="1E770D30" w14:textId="77777777" w:rsidR="00AC782C" w:rsidRPr="00AC782C" w:rsidRDefault="00AC782C" w:rsidP="00AC782C">
            <w:pPr>
              <w:pStyle w:val="CasesLegislationAppealFrom"/>
              <w:spacing w:after="60"/>
            </w:pPr>
            <w:r w:rsidRPr="00020AC9">
              <w:rPr>
                <w:i/>
              </w:rPr>
              <w:t>Petersen</w:t>
            </w:r>
            <w:r w:rsidRPr="00AC782C">
              <w:rPr>
                <w:i/>
                <w:iCs/>
              </w:rPr>
              <w:t xml:space="preserve"> Superannuation Fund Pty Ltd v Bank of Queensland Ltd (No 3)</w:t>
            </w:r>
            <w:r w:rsidRPr="00AC782C">
              <w:t xml:space="preserve"> [2018] FCA 1842; 132 ACSR 258</w:t>
            </w:r>
          </w:p>
          <w:bookmarkEnd w:id="3"/>
          <w:p w14:paraId="4BF20551" w14:textId="196B74DF" w:rsidR="00395B24" w:rsidRDefault="00AC782C" w:rsidP="00D82620">
            <w:pPr>
              <w:pStyle w:val="CasesLegislationAppealFrom"/>
              <w:spacing w:after="60"/>
            </w:pPr>
            <w:r w:rsidRPr="00020AC9">
              <w:rPr>
                <w:i/>
              </w:rPr>
              <w:t>Webb</w:t>
            </w:r>
            <w:r w:rsidRPr="00AC782C">
              <w:rPr>
                <w:i/>
              </w:rPr>
              <w:t xml:space="preserve"> v </w:t>
            </w:r>
            <w:proofErr w:type="spellStart"/>
            <w:r w:rsidRPr="00AC782C">
              <w:rPr>
                <w:i/>
              </w:rPr>
              <w:t>GetSwift</w:t>
            </w:r>
            <w:proofErr w:type="spellEnd"/>
            <w:r w:rsidRPr="00AC782C">
              <w:rPr>
                <w:i/>
              </w:rPr>
              <w:t xml:space="preserve"> Limited (No 7) </w:t>
            </w:r>
            <w:r w:rsidRPr="00AC782C">
              <w:t xml:space="preserve">[2023] FCA 90 </w:t>
            </w:r>
          </w:p>
        </w:tc>
      </w:tr>
      <w:tr w:rsidR="00EC7785" w14:paraId="33791442" w14:textId="77777777" w:rsidTr="00760402">
        <w:tc>
          <w:tcPr>
            <w:tcW w:w="3083" w:type="dxa"/>
            <w:shd w:val="clear" w:color="auto" w:fill="auto"/>
          </w:tcPr>
          <w:p w14:paraId="3806AE48" w14:textId="77777777" w:rsidR="00EC7785" w:rsidRDefault="00EC7785">
            <w:pPr>
              <w:pStyle w:val="Normal1linespace"/>
              <w:widowControl w:val="0"/>
            </w:pPr>
          </w:p>
        </w:tc>
        <w:tc>
          <w:tcPr>
            <w:tcW w:w="5989" w:type="dxa"/>
            <w:shd w:val="clear" w:color="auto" w:fill="auto"/>
          </w:tcPr>
          <w:p w14:paraId="7358DF3D" w14:textId="3380BD17" w:rsidR="00EC7785" w:rsidRDefault="0040395C" w:rsidP="0040395C">
            <w:pPr>
              <w:pStyle w:val="Normal1linespace"/>
              <w:widowControl w:val="0"/>
              <w:tabs>
                <w:tab w:val="left" w:pos="2411"/>
              </w:tabs>
              <w:jc w:val="left"/>
            </w:pPr>
            <w:r>
              <w:tab/>
            </w:r>
          </w:p>
        </w:tc>
      </w:tr>
      <w:tr w:rsidR="00EC7785" w14:paraId="02EEC4B7" w14:textId="77777777" w:rsidTr="00760402">
        <w:tc>
          <w:tcPr>
            <w:tcW w:w="3083" w:type="dxa"/>
            <w:shd w:val="clear" w:color="auto" w:fill="auto"/>
          </w:tcPr>
          <w:p w14:paraId="470AED6F" w14:textId="77777777" w:rsidR="00EC7785" w:rsidRDefault="00EC7785" w:rsidP="00501A12">
            <w:pPr>
              <w:pStyle w:val="Normal1linespace"/>
              <w:widowControl w:val="0"/>
            </w:pPr>
            <w:r>
              <w:t>Division:</w:t>
            </w:r>
          </w:p>
        </w:tc>
        <w:tc>
          <w:tcPr>
            <w:tcW w:w="5989" w:type="dxa"/>
            <w:shd w:val="clear" w:color="auto" w:fill="auto"/>
          </w:tcPr>
          <w:p w14:paraId="0943A3C7" w14:textId="5551CB13" w:rsidR="00EC7785" w:rsidRPr="00F17599" w:rsidRDefault="00EC7785" w:rsidP="00501A12">
            <w:pPr>
              <w:pStyle w:val="Normal1linespace"/>
              <w:widowControl w:val="0"/>
              <w:jc w:val="left"/>
            </w:pPr>
            <w:r>
              <w:t>General Division</w:t>
            </w:r>
          </w:p>
        </w:tc>
      </w:tr>
      <w:tr w:rsidR="00EC7785" w14:paraId="18491FF2" w14:textId="77777777" w:rsidTr="00760402">
        <w:tc>
          <w:tcPr>
            <w:tcW w:w="3083" w:type="dxa"/>
            <w:shd w:val="clear" w:color="auto" w:fill="auto"/>
          </w:tcPr>
          <w:p w14:paraId="1CFD5588" w14:textId="77777777" w:rsidR="00EC7785" w:rsidRDefault="00EC7785" w:rsidP="00501A12">
            <w:pPr>
              <w:pStyle w:val="Normal1linespace"/>
              <w:widowControl w:val="0"/>
            </w:pPr>
            <w:bookmarkStart w:id="4" w:name="Registry_rows" w:colFirst="0" w:colLast="1"/>
          </w:p>
        </w:tc>
        <w:tc>
          <w:tcPr>
            <w:tcW w:w="5989" w:type="dxa"/>
            <w:shd w:val="clear" w:color="auto" w:fill="auto"/>
          </w:tcPr>
          <w:p w14:paraId="3DC70CF6" w14:textId="77777777" w:rsidR="00EC7785" w:rsidRDefault="00EC7785" w:rsidP="00501A12">
            <w:pPr>
              <w:pStyle w:val="Normal1linespace"/>
              <w:widowControl w:val="0"/>
              <w:jc w:val="left"/>
            </w:pPr>
          </w:p>
        </w:tc>
      </w:tr>
      <w:tr w:rsidR="00EC7785" w14:paraId="67F8461A" w14:textId="77777777" w:rsidTr="00760402">
        <w:tc>
          <w:tcPr>
            <w:tcW w:w="3083" w:type="dxa"/>
            <w:shd w:val="clear" w:color="auto" w:fill="auto"/>
          </w:tcPr>
          <w:p w14:paraId="485B53F1" w14:textId="77777777" w:rsidR="00EC7785" w:rsidRDefault="00EC7785" w:rsidP="00501A12">
            <w:pPr>
              <w:pStyle w:val="Normal1linespace"/>
              <w:widowControl w:val="0"/>
            </w:pPr>
            <w:r>
              <w:lastRenderedPageBreak/>
              <w:t>Registry:</w:t>
            </w:r>
          </w:p>
        </w:tc>
        <w:tc>
          <w:tcPr>
            <w:tcW w:w="5989" w:type="dxa"/>
            <w:shd w:val="clear" w:color="auto" w:fill="auto"/>
          </w:tcPr>
          <w:p w14:paraId="72B013E6" w14:textId="18048759" w:rsidR="00EC7785" w:rsidRPr="00F17599" w:rsidRDefault="00EC7785" w:rsidP="00501A12">
            <w:pPr>
              <w:pStyle w:val="Normal1linespace"/>
              <w:widowControl w:val="0"/>
              <w:jc w:val="left"/>
            </w:pPr>
            <w:r>
              <w:t>Victoria</w:t>
            </w:r>
          </w:p>
        </w:tc>
      </w:tr>
      <w:tr w:rsidR="00EC7785" w14:paraId="571EF3C9" w14:textId="77777777" w:rsidTr="00760402">
        <w:tc>
          <w:tcPr>
            <w:tcW w:w="3083" w:type="dxa"/>
            <w:shd w:val="clear" w:color="auto" w:fill="auto"/>
          </w:tcPr>
          <w:p w14:paraId="54245F4C" w14:textId="77777777" w:rsidR="00EC7785" w:rsidRDefault="00EC7785" w:rsidP="00501A12">
            <w:pPr>
              <w:pStyle w:val="Normal1linespace"/>
              <w:widowControl w:val="0"/>
            </w:pPr>
            <w:bookmarkStart w:id="5" w:name="NPARow" w:colFirst="0" w:colLast="1"/>
            <w:bookmarkEnd w:id="4"/>
          </w:p>
        </w:tc>
        <w:tc>
          <w:tcPr>
            <w:tcW w:w="5989" w:type="dxa"/>
            <w:shd w:val="clear" w:color="auto" w:fill="auto"/>
          </w:tcPr>
          <w:p w14:paraId="1268BCC8" w14:textId="77777777" w:rsidR="00EC7785" w:rsidRPr="00F17599" w:rsidRDefault="00EC7785" w:rsidP="00501A12">
            <w:pPr>
              <w:pStyle w:val="Normal1linespace"/>
              <w:widowControl w:val="0"/>
              <w:jc w:val="left"/>
              <w:rPr>
                <w:b/>
              </w:rPr>
            </w:pPr>
          </w:p>
        </w:tc>
      </w:tr>
      <w:tr w:rsidR="00EC7785" w14:paraId="185E7882" w14:textId="77777777" w:rsidTr="00760402">
        <w:tc>
          <w:tcPr>
            <w:tcW w:w="3083" w:type="dxa"/>
            <w:shd w:val="clear" w:color="auto" w:fill="auto"/>
          </w:tcPr>
          <w:p w14:paraId="597B4986" w14:textId="77777777" w:rsidR="00EC7785" w:rsidRDefault="00EC7785" w:rsidP="00501A12">
            <w:pPr>
              <w:pStyle w:val="Normal1linespace"/>
              <w:widowControl w:val="0"/>
            </w:pPr>
            <w:r>
              <w:t>National Practice Area:</w:t>
            </w:r>
          </w:p>
        </w:tc>
        <w:tc>
          <w:tcPr>
            <w:tcW w:w="5989" w:type="dxa"/>
            <w:shd w:val="clear" w:color="auto" w:fill="auto"/>
          </w:tcPr>
          <w:p w14:paraId="69C07BE9" w14:textId="3D1BFBC7" w:rsidR="00EC7785" w:rsidRPr="00F17599" w:rsidRDefault="00EC7785">
            <w:pPr>
              <w:pStyle w:val="Normal1linespace"/>
              <w:widowControl w:val="0"/>
              <w:jc w:val="left"/>
              <w:rPr>
                <w:b/>
              </w:rPr>
            </w:pPr>
            <w:r>
              <w:t>Commercial and Corporations</w:t>
            </w:r>
          </w:p>
        </w:tc>
      </w:tr>
      <w:tr w:rsidR="00EC7785" w14:paraId="766B5A9B" w14:textId="77777777" w:rsidTr="00760402">
        <w:tc>
          <w:tcPr>
            <w:tcW w:w="3083" w:type="dxa"/>
            <w:shd w:val="clear" w:color="auto" w:fill="auto"/>
          </w:tcPr>
          <w:p w14:paraId="7B41C50D" w14:textId="77777777" w:rsidR="00EC7785" w:rsidRDefault="00EC7785" w:rsidP="00501A12">
            <w:pPr>
              <w:pStyle w:val="Normal1linespace"/>
              <w:widowControl w:val="0"/>
            </w:pPr>
            <w:bookmarkStart w:id="6" w:name="SubAreaRow" w:colFirst="0" w:colLast="1"/>
            <w:bookmarkEnd w:id="5"/>
          </w:p>
        </w:tc>
        <w:tc>
          <w:tcPr>
            <w:tcW w:w="5989" w:type="dxa"/>
            <w:shd w:val="clear" w:color="auto" w:fill="auto"/>
          </w:tcPr>
          <w:p w14:paraId="25317BE9" w14:textId="77777777" w:rsidR="00EC7785" w:rsidRDefault="00EC7785">
            <w:pPr>
              <w:pStyle w:val="Normal1linespace"/>
              <w:widowControl w:val="0"/>
              <w:jc w:val="left"/>
            </w:pPr>
          </w:p>
        </w:tc>
      </w:tr>
      <w:tr w:rsidR="00EC7785" w14:paraId="50C11972" w14:textId="77777777" w:rsidTr="00760402">
        <w:tc>
          <w:tcPr>
            <w:tcW w:w="3083" w:type="dxa"/>
            <w:shd w:val="clear" w:color="auto" w:fill="auto"/>
          </w:tcPr>
          <w:p w14:paraId="0F7FD8A9" w14:textId="77777777" w:rsidR="00EC7785" w:rsidRDefault="00EC7785" w:rsidP="00501A12">
            <w:pPr>
              <w:pStyle w:val="Normal1linespace"/>
              <w:widowControl w:val="0"/>
            </w:pPr>
            <w:r>
              <w:t>Sub-area:</w:t>
            </w:r>
          </w:p>
        </w:tc>
        <w:tc>
          <w:tcPr>
            <w:tcW w:w="5989" w:type="dxa"/>
            <w:shd w:val="clear" w:color="auto" w:fill="auto"/>
          </w:tcPr>
          <w:p w14:paraId="36A771AF" w14:textId="0DD4548F" w:rsidR="00EC7785" w:rsidRPr="00837288" w:rsidRDefault="00BF718F">
            <w:pPr>
              <w:pStyle w:val="Normal1linespace"/>
              <w:widowControl w:val="0"/>
              <w:jc w:val="left"/>
            </w:pPr>
            <w:r w:rsidRPr="00BF718F">
              <w:rPr>
                <w:color w:val="000000"/>
                <w:szCs w:val="24"/>
                <w:lang w:val="en-US"/>
              </w:rPr>
              <w:t xml:space="preserve">Commercial Contracts, Banking, </w:t>
            </w:r>
            <w:proofErr w:type="gramStart"/>
            <w:r w:rsidRPr="00BF718F">
              <w:rPr>
                <w:color w:val="000000"/>
                <w:szCs w:val="24"/>
                <w:lang w:val="en-US"/>
              </w:rPr>
              <w:t>Finance</w:t>
            </w:r>
            <w:proofErr w:type="gramEnd"/>
            <w:r w:rsidRPr="00BF718F">
              <w:rPr>
                <w:color w:val="000000"/>
                <w:szCs w:val="24"/>
                <w:lang w:val="en-US"/>
              </w:rPr>
              <w:t xml:space="preserve"> and Insurance</w:t>
            </w:r>
          </w:p>
        </w:tc>
      </w:tr>
      <w:bookmarkEnd w:id="6"/>
      <w:tr w:rsidR="00EC7785" w14:paraId="127B6A9C" w14:textId="77777777" w:rsidTr="00760402">
        <w:tc>
          <w:tcPr>
            <w:tcW w:w="3083" w:type="dxa"/>
            <w:shd w:val="clear" w:color="auto" w:fill="auto"/>
          </w:tcPr>
          <w:p w14:paraId="46A74D50" w14:textId="77777777" w:rsidR="00EC7785" w:rsidRDefault="00EC7785" w:rsidP="00501A12">
            <w:pPr>
              <w:pStyle w:val="Normal1linespace"/>
              <w:widowControl w:val="0"/>
            </w:pPr>
          </w:p>
        </w:tc>
        <w:tc>
          <w:tcPr>
            <w:tcW w:w="5989" w:type="dxa"/>
            <w:shd w:val="clear" w:color="auto" w:fill="auto"/>
          </w:tcPr>
          <w:p w14:paraId="1B4DCB42" w14:textId="77777777" w:rsidR="00EC7785" w:rsidRDefault="00EC7785" w:rsidP="00501A12">
            <w:pPr>
              <w:pStyle w:val="Normal1linespace"/>
              <w:widowControl w:val="0"/>
              <w:jc w:val="left"/>
            </w:pPr>
          </w:p>
        </w:tc>
      </w:tr>
      <w:tr w:rsidR="00EC7785" w14:paraId="36ECD269" w14:textId="77777777" w:rsidTr="00124796">
        <w:tc>
          <w:tcPr>
            <w:tcW w:w="3083" w:type="dxa"/>
            <w:shd w:val="clear" w:color="auto" w:fill="auto"/>
          </w:tcPr>
          <w:p w14:paraId="23B5AF07" w14:textId="77777777" w:rsidR="00EC7785" w:rsidRDefault="00EC7785" w:rsidP="00501A12">
            <w:pPr>
              <w:pStyle w:val="Normal1linespace"/>
              <w:widowControl w:val="0"/>
            </w:pPr>
            <w:r>
              <w:t>Number of paragraphs:</w:t>
            </w:r>
          </w:p>
        </w:tc>
        <w:tc>
          <w:tcPr>
            <w:tcW w:w="5989" w:type="dxa"/>
            <w:shd w:val="clear" w:color="auto" w:fill="auto"/>
          </w:tcPr>
          <w:p w14:paraId="0C08568B" w14:textId="1260A210" w:rsidR="00EC7785" w:rsidRDefault="00EC71EC" w:rsidP="00501A12">
            <w:pPr>
              <w:pStyle w:val="Normal1linespace"/>
              <w:widowControl w:val="0"/>
              <w:jc w:val="left"/>
            </w:pPr>
            <w:bookmarkStart w:id="7" w:name="PlaceCategoryParagraphs"/>
            <w:r>
              <w:t>160</w:t>
            </w:r>
            <w:bookmarkEnd w:id="7"/>
          </w:p>
        </w:tc>
      </w:tr>
      <w:tr w:rsidR="00EC7785" w14:paraId="3AD74AF3" w14:textId="77777777" w:rsidTr="00124796">
        <w:tc>
          <w:tcPr>
            <w:tcW w:w="3083" w:type="dxa"/>
            <w:shd w:val="clear" w:color="auto" w:fill="auto"/>
          </w:tcPr>
          <w:p w14:paraId="21C89E11" w14:textId="77777777" w:rsidR="00EC7785" w:rsidRDefault="00EC7785" w:rsidP="00EC7785">
            <w:pPr>
              <w:pStyle w:val="Normal1linespace"/>
              <w:widowControl w:val="0"/>
              <w:jc w:val="left"/>
            </w:pPr>
          </w:p>
        </w:tc>
        <w:tc>
          <w:tcPr>
            <w:tcW w:w="5989" w:type="dxa"/>
            <w:shd w:val="clear" w:color="auto" w:fill="auto"/>
          </w:tcPr>
          <w:p w14:paraId="2864B743" w14:textId="77777777" w:rsidR="00EC7785" w:rsidRDefault="00EC7785" w:rsidP="00EC7785">
            <w:pPr>
              <w:pStyle w:val="Normal1linespace"/>
              <w:widowControl w:val="0"/>
              <w:jc w:val="left"/>
            </w:pPr>
          </w:p>
        </w:tc>
      </w:tr>
      <w:tr w:rsidR="00EC7785" w14:paraId="2A883615" w14:textId="77777777" w:rsidTr="00124796">
        <w:tc>
          <w:tcPr>
            <w:tcW w:w="3083" w:type="dxa"/>
            <w:shd w:val="clear" w:color="auto" w:fill="auto"/>
          </w:tcPr>
          <w:p w14:paraId="7512A44F" w14:textId="77777777" w:rsidR="00EC7785" w:rsidRDefault="00EC7785" w:rsidP="00EC7785">
            <w:pPr>
              <w:pStyle w:val="Normal1linespace"/>
              <w:widowControl w:val="0"/>
              <w:jc w:val="left"/>
            </w:pPr>
            <w:bookmarkStart w:id="8" w:name="CounselDate" w:colFirst="0" w:colLast="2"/>
            <w:r w:rsidRPr="006A24E3">
              <w:t>Date of hearing:</w:t>
            </w:r>
          </w:p>
        </w:tc>
        <w:tc>
          <w:tcPr>
            <w:tcW w:w="5989" w:type="dxa"/>
            <w:shd w:val="clear" w:color="auto" w:fill="auto"/>
          </w:tcPr>
          <w:p w14:paraId="673655D8" w14:textId="58AB0030" w:rsidR="00EC7785" w:rsidRDefault="00EC7785" w:rsidP="00EC7785">
            <w:pPr>
              <w:pStyle w:val="Normal1linespace"/>
              <w:widowControl w:val="0"/>
              <w:jc w:val="left"/>
            </w:pPr>
            <w:bookmarkStart w:id="9" w:name="HearingDate"/>
            <w:r>
              <w:t xml:space="preserve">22 November 2023 </w:t>
            </w:r>
            <w:bookmarkEnd w:id="9"/>
          </w:p>
        </w:tc>
      </w:tr>
      <w:tr w:rsidR="00EC7785" w14:paraId="0130C002" w14:textId="77777777" w:rsidTr="00124796">
        <w:tc>
          <w:tcPr>
            <w:tcW w:w="3083" w:type="dxa"/>
            <w:shd w:val="clear" w:color="auto" w:fill="auto"/>
          </w:tcPr>
          <w:p w14:paraId="468F8BB6" w14:textId="77777777" w:rsidR="00EC7785" w:rsidRDefault="00EC7785" w:rsidP="00EC7785">
            <w:pPr>
              <w:pStyle w:val="Normal1linespace"/>
              <w:widowControl w:val="0"/>
              <w:jc w:val="left"/>
            </w:pPr>
          </w:p>
        </w:tc>
        <w:tc>
          <w:tcPr>
            <w:tcW w:w="5989" w:type="dxa"/>
            <w:shd w:val="clear" w:color="auto" w:fill="auto"/>
          </w:tcPr>
          <w:p w14:paraId="0BEF94EB" w14:textId="77777777" w:rsidR="00EC7785" w:rsidRDefault="00EC7785" w:rsidP="00EC7785">
            <w:pPr>
              <w:pStyle w:val="Normal1linespace"/>
              <w:widowControl w:val="0"/>
              <w:jc w:val="left"/>
            </w:pPr>
          </w:p>
        </w:tc>
      </w:tr>
      <w:tr w:rsidR="00EC7785" w14:paraId="4FEBC2B9" w14:textId="77777777" w:rsidTr="00124796">
        <w:tc>
          <w:tcPr>
            <w:tcW w:w="3083" w:type="dxa"/>
            <w:shd w:val="clear" w:color="auto" w:fill="auto"/>
          </w:tcPr>
          <w:p w14:paraId="2B6CCD31" w14:textId="56FD3BAE" w:rsidR="00EC7785" w:rsidRDefault="00EC7785" w:rsidP="00EC7785">
            <w:pPr>
              <w:pStyle w:val="Normal1linespace"/>
              <w:widowControl w:val="0"/>
              <w:jc w:val="left"/>
            </w:pPr>
            <w:bookmarkStart w:id="10" w:name="Counsel" w:colFirst="0" w:colLast="2"/>
            <w:bookmarkEnd w:id="8"/>
            <w:r>
              <w:t>Counsel for the Applicants:</w:t>
            </w:r>
          </w:p>
        </w:tc>
        <w:tc>
          <w:tcPr>
            <w:tcW w:w="5989" w:type="dxa"/>
            <w:shd w:val="clear" w:color="auto" w:fill="auto"/>
          </w:tcPr>
          <w:p w14:paraId="0808AD44" w14:textId="10725525" w:rsidR="00EC7785" w:rsidRDefault="00EC7785" w:rsidP="00EC7785">
            <w:pPr>
              <w:pStyle w:val="Normal1linespace"/>
              <w:widowControl w:val="0"/>
              <w:jc w:val="left"/>
            </w:pPr>
            <w:bookmarkStart w:id="11" w:name="AppCounsel"/>
            <w:bookmarkEnd w:id="11"/>
            <w:r>
              <w:t>Mr N J Kidd SC and Mr D Meyerowitz-Katz</w:t>
            </w:r>
          </w:p>
        </w:tc>
      </w:tr>
      <w:tr w:rsidR="00EC7785" w14:paraId="350EA19B" w14:textId="77777777" w:rsidTr="00124796">
        <w:tc>
          <w:tcPr>
            <w:tcW w:w="3083" w:type="dxa"/>
            <w:shd w:val="clear" w:color="auto" w:fill="auto"/>
          </w:tcPr>
          <w:p w14:paraId="2FF1D939" w14:textId="77777777" w:rsidR="00EC7785" w:rsidRDefault="00EC7785" w:rsidP="00EC7785">
            <w:pPr>
              <w:pStyle w:val="Normal1linespace"/>
              <w:widowControl w:val="0"/>
              <w:jc w:val="left"/>
            </w:pPr>
          </w:p>
        </w:tc>
        <w:tc>
          <w:tcPr>
            <w:tcW w:w="5989" w:type="dxa"/>
            <w:shd w:val="clear" w:color="auto" w:fill="auto"/>
          </w:tcPr>
          <w:p w14:paraId="6C2726F6" w14:textId="77777777" w:rsidR="00EC7785" w:rsidRDefault="00EC7785" w:rsidP="00EC7785">
            <w:pPr>
              <w:pStyle w:val="Normal1linespace"/>
              <w:widowControl w:val="0"/>
              <w:jc w:val="left"/>
            </w:pPr>
          </w:p>
        </w:tc>
      </w:tr>
      <w:tr w:rsidR="00EC7785" w14:paraId="614CEF59" w14:textId="77777777" w:rsidTr="00124796">
        <w:tc>
          <w:tcPr>
            <w:tcW w:w="3083" w:type="dxa"/>
            <w:shd w:val="clear" w:color="auto" w:fill="auto"/>
          </w:tcPr>
          <w:p w14:paraId="3CBDCE44" w14:textId="5AF8A605" w:rsidR="00EC7785" w:rsidRDefault="00EC7785" w:rsidP="00EC7785">
            <w:pPr>
              <w:pStyle w:val="Normal1linespace"/>
              <w:widowControl w:val="0"/>
              <w:jc w:val="left"/>
            </w:pPr>
            <w:r>
              <w:t>Solicitor for the Applicants:</w:t>
            </w:r>
          </w:p>
        </w:tc>
        <w:tc>
          <w:tcPr>
            <w:tcW w:w="5989" w:type="dxa"/>
            <w:shd w:val="clear" w:color="auto" w:fill="auto"/>
          </w:tcPr>
          <w:p w14:paraId="589EDB39" w14:textId="2888987B" w:rsidR="00EC7785" w:rsidRDefault="00EC7785" w:rsidP="00EC7785">
            <w:pPr>
              <w:pStyle w:val="Normal1linespace"/>
              <w:widowControl w:val="0"/>
              <w:jc w:val="left"/>
            </w:pPr>
            <w:r>
              <w:t>Levitt Robinson Solicitors</w:t>
            </w:r>
          </w:p>
        </w:tc>
      </w:tr>
      <w:tr w:rsidR="00EC7785" w14:paraId="4940F216" w14:textId="77777777" w:rsidTr="00124796">
        <w:tc>
          <w:tcPr>
            <w:tcW w:w="3083" w:type="dxa"/>
            <w:shd w:val="clear" w:color="auto" w:fill="auto"/>
          </w:tcPr>
          <w:p w14:paraId="333D9AEE" w14:textId="77777777" w:rsidR="00EC7785" w:rsidRDefault="00EC7785" w:rsidP="00EC7785">
            <w:pPr>
              <w:pStyle w:val="Normal1linespace"/>
              <w:widowControl w:val="0"/>
              <w:jc w:val="left"/>
            </w:pPr>
          </w:p>
        </w:tc>
        <w:tc>
          <w:tcPr>
            <w:tcW w:w="5989" w:type="dxa"/>
            <w:shd w:val="clear" w:color="auto" w:fill="auto"/>
          </w:tcPr>
          <w:p w14:paraId="5D6D6823" w14:textId="77777777" w:rsidR="00EC7785" w:rsidRDefault="00EC7785" w:rsidP="00EC7785">
            <w:pPr>
              <w:pStyle w:val="Normal1linespace"/>
              <w:widowControl w:val="0"/>
              <w:jc w:val="left"/>
            </w:pPr>
          </w:p>
        </w:tc>
      </w:tr>
      <w:tr w:rsidR="00EC7785" w14:paraId="2F514893" w14:textId="77777777" w:rsidTr="00124796">
        <w:tc>
          <w:tcPr>
            <w:tcW w:w="3083" w:type="dxa"/>
            <w:shd w:val="clear" w:color="auto" w:fill="auto"/>
          </w:tcPr>
          <w:p w14:paraId="34ABDDD2" w14:textId="7C801A0D" w:rsidR="00EC7785" w:rsidRDefault="00EC7785" w:rsidP="00EC7785">
            <w:pPr>
              <w:pStyle w:val="Normal1linespace"/>
              <w:widowControl w:val="0"/>
              <w:jc w:val="left"/>
            </w:pPr>
            <w:r>
              <w:t>Counsel for the Respondent:</w:t>
            </w:r>
          </w:p>
        </w:tc>
        <w:tc>
          <w:tcPr>
            <w:tcW w:w="5989" w:type="dxa"/>
            <w:shd w:val="clear" w:color="auto" w:fill="auto"/>
          </w:tcPr>
          <w:p w14:paraId="4069A0F9" w14:textId="139E96C2" w:rsidR="00EC7785" w:rsidRDefault="00EC7785" w:rsidP="00EC7785">
            <w:pPr>
              <w:pStyle w:val="Normal1linespace"/>
              <w:widowControl w:val="0"/>
              <w:jc w:val="left"/>
            </w:pPr>
            <w:r>
              <w:t xml:space="preserve">Mr P D Crutchfield KC and Mr B </w:t>
            </w:r>
            <w:r w:rsidR="00917CA0" w:rsidRPr="00DD09DB">
              <w:t>A</w:t>
            </w:r>
            <w:r w:rsidRPr="00DD09DB">
              <w:t xml:space="preserve"> </w:t>
            </w:r>
            <w:r>
              <w:t>McLachlan</w:t>
            </w:r>
          </w:p>
        </w:tc>
      </w:tr>
      <w:tr w:rsidR="00EC7785" w14:paraId="2396EC96" w14:textId="77777777" w:rsidTr="00124796">
        <w:tc>
          <w:tcPr>
            <w:tcW w:w="3083" w:type="dxa"/>
            <w:shd w:val="clear" w:color="auto" w:fill="auto"/>
          </w:tcPr>
          <w:p w14:paraId="28A5A185" w14:textId="77777777" w:rsidR="00EC7785" w:rsidRDefault="00EC7785" w:rsidP="00EC7785">
            <w:pPr>
              <w:pStyle w:val="Normal1linespace"/>
              <w:widowControl w:val="0"/>
              <w:jc w:val="left"/>
            </w:pPr>
          </w:p>
        </w:tc>
        <w:tc>
          <w:tcPr>
            <w:tcW w:w="5989" w:type="dxa"/>
            <w:shd w:val="clear" w:color="auto" w:fill="auto"/>
          </w:tcPr>
          <w:p w14:paraId="75323E8F" w14:textId="77777777" w:rsidR="00EC7785" w:rsidRDefault="00EC7785" w:rsidP="00EC7785">
            <w:pPr>
              <w:pStyle w:val="Normal1linespace"/>
              <w:widowControl w:val="0"/>
              <w:jc w:val="left"/>
            </w:pPr>
          </w:p>
        </w:tc>
      </w:tr>
      <w:tr w:rsidR="00EC7785" w14:paraId="5E60BE14" w14:textId="77777777" w:rsidTr="00124796">
        <w:tc>
          <w:tcPr>
            <w:tcW w:w="3083" w:type="dxa"/>
            <w:shd w:val="clear" w:color="auto" w:fill="auto"/>
          </w:tcPr>
          <w:p w14:paraId="1674A7D1" w14:textId="4BD18DD7" w:rsidR="00EC7785" w:rsidRDefault="00EC7785" w:rsidP="00EC7785">
            <w:pPr>
              <w:pStyle w:val="Normal1linespace"/>
              <w:widowControl w:val="0"/>
              <w:jc w:val="left"/>
            </w:pPr>
            <w:r>
              <w:t>Solicitor for the Respondent:</w:t>
            </w:r>
          </w:p>
        </w:tc>
        <w:tc>
          <w:tcPr>
            <w:tcW w:w="5989" w:type="dxa"/>
            <w:shd w:val="clear" w:color="auto" w:fill="auto"/>
          </w:tcPr>
          <w:p w14:paraId="1456BB6B" w14:textId="24724255" w:rsidR="00EC7785" w:rsidRDefault="00EC7785" w:rsidP="00EC7785">
            <w:pPr>
              <w:pStyle w:val="Normal1linespace"/>
              <w:widowControl w:val="0"/>
              <w:jc w:val="left"/>
            </w:pPr>
            <w:r>
              <w:t xml:space="preserve">Arnold Bloch </w:t>
            </w:r>
            <w:proofErr w:type="spellStart"/>
            <w:r>
              <w:t>Leibler</w:t>
            </w:r>
            <w:proofErr w:type="spellEnd"/>
          </w:p>
        </w:tc>
      </w:tr>
      <w:tr w:rsidR="00EC7785" w14:paraId="278D918F" w14:textId="77777777" w:rsidTr="00124796">
        <w:tc>
          <w:tcPr>
            <w:tcW w:w="3083" w:type="dxa"/>
            <w:shd w:val="clear" w:color="auto" w:fill="auto"/>
          </w:tcPr>
          <w:p w14:paraId="7E0B4902" w14:textId="77777777" w:rsidR="00EC7785" w:rsidRDefault="00EC7785" w:rsidP="00EC7785">
            <w:pPr>
              <w:pStyle w:val="Normal1linespace"/>
              <w:widowControl w:val="0"/>
              <w:jc w:val="left"/>
            </w:pPr>
          </w:p>
        </w:tc>
        <w:tc>
          <w:tcPr>
            <w:tcW w:w="5989" w:type="dxa"/>
            <w:shd w:val="clear" w:color="auto" w:fill="auto"/>
          </w:tcPr>
          <w:p w14:paraId="11FCBA8E" w14:textId="77777777" w:rsidR="00EC7785" w:rsidRDefault="00EC7785" w:rsidP="00EC7785">
            <w:pPr>
              <w:pStyle w:val="Normal1linespace"/>
              <w:widowControl w:val="0"/>
              <w:jc w:val="left"/>
            </w:pPr>
          </w:p>
        </w:tc>
      </w:tr>
      <w:tr w:rsidR="00EC7785" w14:paraId="461D6518" w14:textId="77777777" w:rsidTr="00124796">
        <w:tc>
          <w:tcPr>
            <w:tcW w:w="3083" w:type="dxa"/>
            <w:shd w:val="clear" w:color="auto" w:fill="auto"/>
          </w:tcPr>
          <w:p w14:paraId="7C384926" w14:textId="4F972C9A" w:rsidR="00EC7785" w:rsidRDefault="00EC7785" w:rsidP="00EC7785">
            <w:pPr>
              <w:pStyle w:val="Normal1linespace"/>
              <w:widowControl w:val="0"/>
              <w:jc w:val="left"/>
            </w:pPr>
            <w:r>
              <w:t>The Contraveners:</w:t>
            </w:r>
          </w:p>
        </w:tc>
        <w:tc>
          <w:tcPr>
            <w:tcW w:w="5989" w:type="dxa"/>
            <w:shd w:val="clear" w:color="auto" w:fill="auto"/>
          </w:tcPr>
          <w:p w14:paraId="165B42C6" w14:textId="0AE218D2" w:rsidR="00EC7785" w:rsidRDefault="00EC7785" w:rsidP="00EC7785">
            <w:pPr>
              <w:pStyle w:val="Normal1linespace"/>
              <w:widowControl w:val="0"/>
              <w:jc w:val="left"/>
            </w:pPr>
            <w:r>
              <w:t xml:space="preserve">Mr L </w:t>
            </w:r>
            <w:r w:rsidR="00724DE0" w:rsidRPr="00DD09DB">
              <w:t>W L</w:t>
            </w:r>
            <w:r w:rsidRPr="00DD09DB">
              <w:t xml:space="preserve"> </w:t>
            </w:r>
            <w:r>
              <w:t>Armstrong KC and Mr K Loxley</w:t>
            </w:r>
          </w:p>
        </w:tc>
      </w:tr>
      <w:tr w:rsidR="00EC7785" w14:paraId="4C6A2283" w14:textId="77777777" w:rsidTr="00124796">
        <w:tc>
          <w:tcPr>
            <w:tcW w:w="3083" w:type="dxa"/>
            <w:shd w:val="clear" w:color="auto" w:fill="auto"/>
          </w:tcPr>
          <w:p w14:paraId="0D7A2975" w14:textId="77777777" w:rsidR="00EC7785" w:rsidRDefault="00EC7785" w:rsidP="00EC7785">
            <w:pPr>
              <w:pStyle w:val="Normal1linespace"/>
              <w:widowControl w:val="0"/>
              <w:jc w:val="left"/>
            </w:pPr>
          </w:p>
        </w:tc>
        <w:tc>
          <w:tcPr>
            <w:tcW w:w="5989" w:type="dxa"/>
            <w:shd w:val="clear" w:color="auto" w:fill="auto"/>
          </w:tcPr>
          <w:p w14:paraId="22951598" w14:textId="77777777" w:rsidR="00EC7785" w:rsidRDefault="00EC7785" w:rsidP="00EC7785">
            <w:pPr>
              <w:pStyle w:val="Normal1linespace"/>
              <w:widowControl w:val="0"/>
              <w:jc w:val="left"/>
            </w:pPr>
          </w:p>
        </w:tc>
      </w:tr>
      <w:tr w:rsidR="00EC7785" w14:paraId="49443048" w14:textId="77777777" w:rsidTr="00124796">
        <w:tc>
          <w:tcPr>
            <w:tcW w:w="3083" w:type="dxa"/>
            <w:shd w:val="clear" w:color="auto" w:fill="auto"/>
          </w:tcPr>
          <w:p w14:paraId="11B95888" w14:textId="13245357" w:rsidR="00EC7785" w:rsidRDefault="00EC7785" w:rsidP="00EC7785">
            <w:pPr>
              <w:pStyle w:val="Normal1linespace"/>
              <w:widowControl w:val="0"/>
              <w:jc w:val="left"/>
            </w:pPr>
            <w:r>
              <w:t>Counsel for Mr Stewart Levitt trading as Levitt Robinson Solicitors:</w:t>
            </w:r>
          </w:p>
        </w:tc>
        <w:tc>
          <w:tcPr>
            <w:tcW w:w="5989" w:type="dxa"/>
            <w:shd w:val="clear" w:color="auto" w:fill="auto"/>
          </w:tcPr>
          <w:p w14:paraId="0E86179A" w14:textId="74237B8C" w:rsidR="00EC7785" w:rsidRDefault="00EC7785" w:rsidP="00EC7785">
            <w:pPr>
              <w:pStyle w:val="Normal1linespace"/>
              <w:widowControl w:val="0"/>
              <w:jc w:val="left"/>
            </w:pPr>
            <w:r>
              <w:t>Mr S Puttick</w:t>
            </w:r>
          </w:p>
        </w:tc>
      </w:tr>
      <w:tr w:rsidR="00EC7785" w14:paraId="237A4B0B" w14:textId="77777777" w:rsidTr="00124796">
        <w:tc>
          <w:tcPr>
            <w:tcW w:w="3083" w:type="dxa"/>
            <w:shd w:val="clear" w:color="auto" w:fill="auto"/>
          </w:tcPr>
          <w:p w14:paraId="5E057CAE" w14:textId="77777777" w:rsidR="00EC7785" w:rsidRDefault="00EC7785" w:rsidP="00EC7785">
            <w:pPr>
              <w:pStyle w:val="Normal1linespace"/>
              <w:widowControl w:val="0"/>
              <w:jc w:val="left"/>
            </w:pPr>
          </w:p>
        </w:tc>
        <w:tc>
          <w:tcPr>
            <w:tcW w:w="5989" w:type="dxa"/>
            <w:shd w:val="clear" w:color="auto" w:fill="auto"/>
          </w:tcPr>
          <w:p w14:paraId="138D015F" w14:textId="77777777" w:rsidR="00EC7785" w:rsidRDefault="00EC7785" w:rsidP="00EC7785">
            <w:pPr>
              <w:pStyle w:val="Normal1linespace"/>
              <w:widowControl w:val="0"/>
              <w:jc w:val="left"/>
            </w:pPr>
          </w:p>
        </w:tc>
      </w:tr>
      <w:tr w:rsidR="00EC7785" w14:paraId="3CB23BA9" w14:textId="77777777" w:rsidTr="00124796">
        <w:tc>
          <w:tcPr>
            <w:tcW w:w="3083" w:type="dxa"/>
            <w:shd w:val="clear" w:color="auto" w:fill="auto"/>
          </w:tcPr>
          <w:p w14:paraId="0E7D3F46" w14:textId="10CCACFD" w:rsidR="00EC7785" w:rsidRDefault="00EC7785" w:rsidP="00EC7785">
            <w:pPr>
              <w:pStyle w:val="Normal1linespace"/>
              <w:widowControl w:val="0"/>
              <w:jc w:val="left"/>
            </w:pPr>
            <w:r>
              <w:t>Counsel for the Interveners:</w:t>
            </w:r>
          </w:p>
        </w:tc>
        <w:tc>
          <w:tcPr>
            <w:tcW w:w="5989" w:type="dxa"/>
            <w:shd w:val="clear" w:color="auto" w:fill="auto"/>
          </w:tcPr>
          <w:p w14:paraId="75F114A7" w14:textId="1802A70D" w:rsidR="00EC7785" w:rsidRDefault="00EC7785" w:rsidP="00EC7785">
            <w:pPr>
              <w:pStyle w:val="Normal1linespace"/>
              <w:widowControl w:val="0"/>
              <w:jc w:val="left"/>
            </w:pPr>
            <w:r>
              <w:t>Mr J Adamopoulos</w:t>
            </w:r>
          </w:p>
        </w:tc>
      </w:tr>
      <w:bookmarkEnd w:id="10"/>
    </w:tbl>
    <w:p w14:paraId="5F1BCC9D" w14:textId="77777777" w:rsidR="00395B24" w:rsidRDefault="00395B24">
      <w:pPr>
        <w:pStyle w:val="Normal1linespace"/>
      </w:pPr>
    </w:p>
    <w:tbl>
      <w:tblPr>
        <w:tblpPr w:leftFromText="181" w:rightFromText="181" w:vertAnchor="page" w:horzAnchor="margin" w:tblpY="10741"/>
        <w:tblOverlap w:val="never"/>
        <w:tblW w:w="9044" w:type="dxa"/>
        <w:tblLayout w:type="fixed"/>
        <w:tblLook w:val="01E0" w:firstRow="1" w:lastRow="1" w:firstColumn="1" w:lastColumn="1" w:noHBand="0" w:noVBand="0"/>
      </w:tblPr>
      <w:tblGrid>
        <w:gridCol w:w="2552"/>
        <w:gridCol w:w="6492"/>
      </w:tblGrid>
      <w:tr w:rsidR="007C4D0E" w14:paraId="28EE1983" w14:textId="77777777" w:rsidTr="007C4D0E">
        <w:tc>
          <w:tcPr>
            <w:tcW w:w="2552" w:type="dxa"/>
            <w:shd w:val="clear" w:color="auto" w:fill="auto"/>
          </w:tcPr>
          <w:p w14:paraId="6D2CDB9F" w14:textId="77777777" w:rsidR="007C4D0E" w:rsidRPr="00223FB4" w:rsidRDefault="007C4D0E" w:rsidP="007C4D0E">
            <w:pPr>
              <w:pStyle w:val="Normal1linespace"/>
              <w:jc w:val="left"/>
              <w:rPr>
                <w:b/>
              </w:rPr>
            </w:pPr>
            <w:r w:rsidRPr="00223FB4">
              <w:rPr>
                <w:b/>
              </w:rPr>
              <w:t>Table of Corrections</w:t>
            </w:r>
          </w:p>
        </w:tc>
        <w:tc>
          <w:tcPr>
            <w:tcW w:w="6492" w:type="dxa"/>
            <w:shd w:val="clear" w:color="auto" w:fill="auto"/>
          </w:tcPr>
          <w:p w14:paraId="6CF25D31" w14:textId="77777777" w:rsidR="007C4D0E" w:rsidRDefault="007C4D0E" w:rsidP="007C4D0E">
            <w:pPr>
              <w:pStyle w:val="Normal1linespace"/>
              <w:widowControl w:val="0"/>
              <w:jc w:val="left"/>
              <w:rPr>
                <w:b/>
              </w:rPr>
            </w:pPr>
          </w:p>
        </w:tc>
      </w:tr>
      <w:tr w:rsidR="007C4D0E" w14:paraId="10E6BE3D" w14:textId="77777777" w:rsidTr="007C4D0E">
        <w:tc>
          <w:tcPr>
            <w:tcW w:w="2552" w:type="dxa"/>
            <w:shd w:val="clear" w:color="auto" w:fill="auto"/>
          </w:tcPr>
          <w:p w14:paraId="5155820B" w14:textId="77777777" w:rsidR="007C4D0E" w:rsidRDefault="007C4D0E" w:rsidP="007C4D0E">
            <w:pPr>
              <w:pStyle w:val="Normal1linespace"/>
              <w:widowControl w:val="0"/>
              <w:jc w:val="left"/>
            </w:pPr>
            <w:r>
              <w:t>12 March 2024</w:t>
            </w:r>
          </w:p>
        </w:tc>
        <w:tc>
          <w:tcPr>
            <w:tcW w:w="6492" w:type="dxa"/>
            <w:shd w:val="clear" w:color="auto" w:fill="auto"/>
          </w:tcPr>
          <w:p w14:paraId="586AB676" w14:textId="77777777" w:rsidR="007C4D0E" w:rsidRDefault="007C4D0E" w:rsidP="007C4D0E">
            <w:pPr>
              <w:pStyle w:val="Normal1linespace"/>
              <w:widowControl w:val="0"/>
              <w:jc w:val="left"/>
            </w:pPr>
            <w:r w:rsidRPr="0037050A">
              <w:rPr>
                <w:szCs w:val="24"/>
              </w:rPr>
              <w:t>In the</w:t>
            </w:r>
            <w:r>
              <w:rPr>
                <w:szCs w:val="24"/>
              </w:rPr>
              <w:t xml:space="preserve"> third sentence of the</w:t>
            </w:r>
            <w:r w:rsidRPr="0037050A">
              <w:rPr>
                <w:szCs w:val="24"/>
              </w:rPr>
              <w:t xml:space="preserve"> </w:t>
            </w:r>
            <w:r>
              <w:rPr>
                <w:szCs w:val="24"/>
              </w:rPr>
              <w:t>quote at</w:t>
            </w:r>
            <w:r w:rsidRPr="0037050A">
              <w:rPr>
                <w:szCs w:val="24"/>
              </w:rPr>
              <w:t xml:space="preserve"> paragraph </w:t>
            </w:r>
            <w:r>
              <w:rPr>
                <w:szCs w:val="24"/>
              </w:rPr>
              <w:t>159</w:t>
            </w:r>
            <w:r w:rsidRPr="0037050A">
              <w:rPr>
                <w:szCs w:val="24"/>
              </w:rPr>
              <w:t>, replacing “</w:t>
            </w:r>
            <w:r w:rsidRPr="0037050A">
              <w:rPr>
                <w:color w:val="000000"/>
                <w:szCs w:val="24"/>
                <w:shd w:val="clear" w:color="auto" w:fill="FFFFFF"/>
              </w:rPr>
              <w:t>Frequently, class actions perform a public function by being employed to vindicate statutory policies such as disclosure to the securities market, approving cartels of posturing safe medical and pharmaceutical products: see Legg M, </w:t>
            </w:r>
            <w:r w:rsidRPr="0037050A">
              <w:rPr>
                <w:i/>
                <w:iCs/>
                <w:color w:val="000000"/>
                <w:szCs w:val="24"/>
                <w:shd w:val="clear" w:color="auto" w:fill="FFFFFF"/>
              </w:rPr>
              <w:t>Class Actions, Litigation Funding and Access to Justice</w:t>
            </w:r>
            <w:r w:rsidRPr="0037050A">
              <w:rPr>
                <w:color w:val="000000"/>
                <w:szCs w:val="24"/>
                <w:shd w:val="clear" w:color="auto" w:fill="FFFFFF"/>
              </w:rPr>
              <w:t> (Law Research Paper No 17-57, UNSW, 7 September 2017)</w:t>
            </w:r>
            <w:r>
              <w:rPr>
                <w:color w:val="000000"/>
                <w:szCs w:val="24"/>
                <w:shd w:val="clear" w:color="auto" w:fill="FFFFFF"/>
              </w:rPr>
              <w:t>” with “</w:t>
            </w:r>
            <w:r>
              <w:t>F</w:t>
            </w:r>
            <w:r w:rsidRPr="00C41F4C">
              <w:t>requently</w:t>
            </w:r>
            <w:r>
              <w:t xml:space="preserve">, class actions </w:t>
            </w:r>
            <w:r w:rsidRPr="00C41F4C">
              <w:t xml:space="preserve">perform a public function by being employed to vindicate statutory policies such as disclosure to the securities market, </w:t>
            </w:r>
            <w:r>
              <w:t>prohibition of</w:t>
            </w:r>
            <w:r w:rsidRPr="00C41F4C">
              <w:t xml:space="preserve"> cartel</w:t>
            </w:r>
            <w:r>
              <w:t xml:space="preserve"> conduct and the provision of </w:t>
            </w:r>
            <w:r w:rsidRPr="00C41F4C">
              <w:t xml:space="preserve">safe medical and pharmaceutical products: see Legg M, </w:t>
            </w:r>
            <w:r w:rsidRPr="00C41F4C">
              <w:rPr>
                <w:i/>
              </w:rPr>
              <w:t>Class Actions, Litigation Funding and Access to Justice</w:t>
            </w:r>
            <w:r w:rsidRPr="00C41F4C">
              <w:t xml:space="preserve"> (Law Research Paper No 17-57, UNSW, 7 September 2017)</w:t>
            </w:r>
            <w:r>
              <w:t>”.</w:t>
            </w:r>
          </w:p>
        </w:tc>
      </w:tr>
      <w:tr w:rsidR="007C4D0E" w14:paraId="4BB544E1" w14:textId="77777777" w:rsidTr="007C4D0E">
        <w:tc>
          <w:tcPr>
            <w:tcW w:w="2552" w:type="dxa"/>
            <w:shd w:val="clear" w:color="auto" w:fill="auto"/>
          </w:tcPr>
          <w:p w14:paraId="7F1CD6D0" w14:textId="77777777" w:rsidR="007C4D0E" w:rsidRDefault="007C4D0E" w:rsidP="007C4D0E">
            <w:pPr>
              <w:pStyle w:val="Normal1linespace"/>
              <w:widowControl w:val="0"/>
              <w:jc w:val="left"/>
            </w:pPr>
            <w:bookmarkStart w:id="12" w:name="SelectMe"/>
            <w:bookmarkEnd w:id="12"/>
          </w:p>
        </w:tc>
        <w:tc>
          <w:tcPr>
            <w:tcW w:w="6492" w:type="dxa"/>
            <w:shd w:val="clear" w:color="auto" w:fill="auto"/>
          </w:tcPr>
          <w:p w14:paraId="1069F3A9" w14:textId="77777777" w:rsidR="007C4D0E" w:rsidRDefault="007C4D0E" w:rsidP="007C4D0E">
            <w:pPr>
              <w:pStyle w:val="Normal1linespace"/>
              <w:widowControl w:val="0"/>
              <w:jc w:val="left"/>
            </w:pPr>
          </w:p>
        </w:tc>
      </w:tr>
    </w:tbl>
    <w:p w14:paraId="1DBFFDD7" w14:textId="77777777" w:rsidR="009624BD" w:rsidRDefault="009624BD" w:rsidP="009624BD"/>
    <w:p w14:paraId="03B26A55" w14:textId="77777777" w:rsidR="005D4AE6" w:rsidRPr="009624BD" w:rsidRDefault="005D4AE6" w:rsidP="009624BD"/>
    <w:p w14:paraId="039AB5C2" w14:textId="77777777" w:rsidR="009624BD" w:rsidRPr="009624BD" w:rsidRDefault="009624BD" w:rsidP="009624BD"/>
    <w:p w14:paraId="45A659F0" w14:textId="77777777" w:rsidR="009624BD" w:rsidRPr="009624BD" w:rsidRDefault="009624BD" w:rsidP="009624BD"/>
    <w:p w14:paraId="2373B172" w14:textId="77777777" w:rsidR="009624BD" w:rsidRPr="009624BD" w:rsidRDefault="009624BD" w:rsidP="009624BD"/>
    <w:p w14:paraId="706A33D6" w14:textId="77777777" w:rsidR="007470BD" w:rsidRDefault="007470BD" w:rsidP="009624BD"/>
    <w:p w14:paraId="5E90422A" w14:textId="77777777" w:rsidR="00395B24" w:rsidRDefault="00395B24" w:rsidP="009624BD">
      <w:pPr>
        <w:sectPr w:rsidR="00395B24" w:rsidSect="001F2473">
          <w:footerReference w:type="default" r:id="rId9"/>
          <w:footerReference w:type="first" r:id="rId10"/>
          <w:endnotePr>
            <w:numFmt w:val="decimal"/>
          </w:endnotePr>
          <w:type w:val="continuous"/>
          <w:pgSz w:w="11907" w:h="16840" w:code="9"/>
          <w:pgMar w:top="1440" w:right="1440" w:bottom="1440" w:left="1440" w:header="851" w:footer="768" w:gutter="0"/>
          <w:pgNumType w:start="1"/>
          <w:cols w:space="720"/>
          <w:noEndnote/>
          <w:titlePg/>
        </w:sectPr>
      </w:pPr>
    </w:p>
    <w:p w14:paraId="3A68F451" w14:textId="77777777" w:rsidR="009F6B27" w:rsidRPr="00045BB7" w:rsidRDefault="009F6B27" w:rsidP="009F6B27">
      <w:pPr>
        <w:pStyle w:val="NormalHeadings"/>
        <w:spacing w:line="480" w:lineRule="auto"/>
        <w:jc w:val="center"/>
        <w:rPr>
          <w:sz w:val="28"/>
          <w:szCs w:val="28"/>
        </w:rPr>
      </w:pPr>
      <w:r w:rsidRPr="00045BB7">
        <w:rPr>
          <w:sz w:val="28"/>
          <w:szCs w:val="28"/>
        </w:rPr>
        <w:lastRenderedPageBreak/>
        <w:t>ORDERS</w:t>
      </w:r>
    </w:p>
    <w:tbl>
      <w:tblPr>
        <w:tblW w:w="9242" w:type="dxa"/>
        <w:tblLayout w:type="fixed"/>
        <w:tblLook w:val="0000" w:firstRow="0" w:lastRow="0" w:firstColumn="0" w:lastColumn="0" w:noHBand="0" w:noVBand="0"/>
        <w:tblCaption w:val="Parties"/>
        <w:tblDescription w:val="Parties"/>
      </w:tblPr>
      <w:tblGrid>
        <w:gridCol w:w="2376"/>
        <w:gridCol w:w="4536"/>
        <w:gridCol w:w="2330"/>
      </w:tblGrid>
      <w:tr w:rsidR="009F6B27" w14:paraId="6AC2A19E" w14:textId="77777777">
        <w:tc>
          <w:tcPr>
            <w:tcW w:w="6912" w:type="dxa"/>
            <w:gridSpan w:val="2"/>
          </w:tcPr>
          <w:p w14:paraId="677198CC" w14:textId="77777777" w:rsidR="009F6B27" w:rsidRPr="001765E0" w:rsidRDefault="009F6B27">
            <w:pPr>
              <w:pStyle w:val="NormalHeadings"/>
            </w:pPr>
          </w:p>
        </w:tc>
        <w:tc>
          <w:tcPr>
            <w:tcW w:w="2330" w:type="dxa"/>
          </w:tcPr>
          <w:p w14:paraId="0BFFADFE" w14:textId="77777777" w:rsidR="009F6B27" w:rsidRDefault="009F6B27">
            <w:pPr>
              <w:pStyle w:val="NormalHeadings"/>
              <w:jc w:val="right"/>
            </w:pPr>
            <w:r>
              <w:t>VID 996 of 2017</w:t>
            </w:r>
          </w:p>
        </w:tc>
      </w:tr>
      <w:tr w:rsidR="009F6B27" w14:paraId="097C4285" w14:textId="77777777">
        <w:tc>
          <w:tcPr>
            <w:tcW w:w="9242" w:type="dxa"/>
            <w:gridSpan w:val="3"/>
          </w:tcPr>
          <w:p w14:paraId="47BF1B04" w14:textId="77777777" w:rsidR="009F6B27" w:rsidRPr="00A76C13" w:rsidRDefault="009F6B27">
            <w:pPr>
              <w:pStyle w:val="NormalHeadings"/>
              <w:jc w:val="left"/>
            </w:pPr>
            <w:r>
              <w:t xml:space="preserve"> </w:t>
            </w:r>
          </w:p>
        </w:tc>
      </w:tr>
      <w:tr w:rsidR="009F6B27" w14:paraId="67687570" w14:textId="77777777">
        <w:trPr>
          <w:trHeight w:val="386"/>
        </w:trPr>
        <w:tc>
          <w:tcPr>
            <w:tcW w:w="2376" w:type="dxa"/>
          </w:tcPr>
          <w:p w14:paraId="7F10A887" w14:textId="77777777" w:rsidR="009F6B27" w:rsidRDefault="009F6B27">
            <w:pPr>
              <w:pStyle w:val="NormalHeadings"/>
              <w:jc w:val="left"/>
              <w:rPr>
                <w:caps/>
                <w:szCs w:val="24"/>
              </w:rPr>
            </w:pPr>
            <w:r>
              <w:rPr>
                <w:caps/>
                <w:szCs w:val="24"/>
              </w:rPr>
              <w:t>BETWEEN:</w:t>
            </w:r>
          </w:p>
        </w:tc>
        <w:tc>
          <w:tcPr>
            <w:tcW w:w="6866" w:type="dxa"/>
            <w:gridSpan w:val="2"/>
          </w:tcPr>
          <w:p w14:paraId="3D1E366F" w14:textId="77777777" w:rsidR="009F6B27" w:rsidRDefault="009F6B27">
            <w:pPr>
              <w:pStyle w:val="NormalHeadings"/>
              <w:jc w:val="left"/>
            </w:pPr>
            <w:r>
              <w:t>MICHAEL ROBERT LUKE (IN HIS CAPACITY AS THE CO-EXECUTOR OF THE ESTATE OF ROBERT COLIN LUKE, DECEASED)</w:t>
            </w:r>
          </w:p>
          <w:p w14:paraId="4B1B0FAC" w14:textId="77777777" w:rsidR="009F6B27" w:rsidRDefault="009F6B27">
            <w:pPr>
              <w:pStyle w:val="PartyType"/>
            </w:pPr>
            <w:r>
              <w:t>First Applicant</w:t>
            </w:r>
          </w:p>
          <w:p w14:paraId="68352108" w14:textId="77777777" w:rsidR="009F6B27" w:rsidRDefault="009F6B27">
            <w:pPr>
              <w:pStyle w:val="NormalHeadings"/>
              <w:jc w:val="left"/>
              <w:rPr>
                <w:szCs w:val="24"/>
              </w:rPr>
            </w:pPr>
          </w:p>
          <w:p w14:paraId="59413128" w14:textId="77777777" w:rsidR="009F6B27" w:rsidRDefault="009F6B27">
            <w:pPr>
              <w:pStyle w:val="NormalHeadings"/>
              <w:jc w:val="left"/>
            </w:pPr>
            <w:r>
              <w:t>MEREDITH ANNE LUKE (IN HER CAPACITY AS THE CO-EXECUTOR OF THE ESTATE OF ROBERT COLIN LUKE, DECEASED)</w:t>
            </w:r>
          </w:p>
          <w:p w14:paraId="3507B209" w14:textId="77777777" w:rsidR="009F6B27" w:rsidRDefault="009F6B27">
            <w:pPr>
              <w:pStyle w:val="PartyType"/>
            </w:pPr>
            <w:r>
              <w:t>Second Applicant</w:t>
            </w:r>
          </w:p>
          <w:p w14:paraId="0345C955" w14:textId="77777777" w:rsidR="009F6B27" w:rsidRDefault="009F6B27">
            <w:pPr>
              <w:pStyle w:val="NormalHeadings"/>
              <w:jc w:val="left"/>
              <w:rPr>
                <w:szCs w:val="24"/>
              </w:rPr>
            </w:pPr>
          </w:p>
          <w:p w14:paraId="27496EFD" w14:textId="77777777" w:rsidR="009F6B27" w:rsidRDefault="009F6B27">
            <w:pPr>
              <w:pStyle w:val="NormalHeadings"/>
              <w:jc w:val="left"/>
            </w:pPr>
            <w:r>
              <w:t xml:space="preserve">ANN MARY STROUD (IN HER CAPACITY AS THE CO-EXECUTOR OF THE ESTATE OF JOAN MARY COLOMBARI, DECEASED) </w:t>
            </w:r>
            <w:r w:rsidRPr="00EC7785">
              <w:rPr>
                <w:b w:val="0"/>
              </w:rPr>
              <w:t>(and another named in the Schedule)</w:t>
            </w:r>
          </w:p>
          <w:p w14:paraId="4733A0BA" w14:textId="77777777" w:rsidR="009F6B27" w:rsidRDefault="009F6B27">
            <w:pPr>
              <w:pStyle w:val="PartyType"/>
            </w:pPr>
            <w:r>
              <w:t>Third Applicant</w:t>
            </w:r>
          </w:p>
          <w:p w14:paraId="22A9CE9F" w14:textId="77777777" w:rsidR="009F6B27" w:rsidRPr="006555B4" w:rsidRDefault="009F6B27">
            <w:pPr>
              <w:pStyle w:val="NormalHeadings"/>
              <w:jc w:val="left"/>
            </w:pPr>
          </w:p>
        </w:tc>
      </w:tr>
      <w:tr w:rsidR="009F6B27" w14:paraId="72F25D20" w14:textId="77777777">
        <w:trPr>
          <w:trHeight w:val="386"/>
        </w:trPr>
        <w:tc>
          <w:tcPr>
            <w:tcW w:w="2376" w:type="dxa"/>
          </w:tcPr>
          <w:p w14:paraId="2D6E3510" w14:textId="77777777" w:rsidR="009F6B27" w:rsidRDefault="009F6B27">
            <w:pPr>
              <w:pStyle w:val="NormalHeadings"/>
              <w:jc w:val="left"/>
              <w:rPr>
                <w:caps/>
                <w:szCs w:val="24"/>
              </w:rPr>
            </w:pPr>
            <w:r>
              <w:rPr>
                <w:caps/>
                <w:szCs w:val="24"/>
              </w:rPr>
              <w:t>AND:</w:t>
            </w:r>
          </w:p>
        </w:tc>
        <w:tc>
          <w:tcPr>
            <w:tcW w:w="6866" w:type="dxa"/>
            <w:gridSpan w:val="2"/>
          </w:tcPr>
          <w:p w14:paraId="77F66573" w14:textId="77777777" w:rsidR="009F6B27" w:rsidRDefault="009F6B27">
            <w:pPr>
              <w:pStyle w:val="NormalHeadings"/>
              <w:jc w:val="left"/>
            </w:pPr>
            <w:r>
              <w:t>AVEO GROUP LIMITED (ACN 010 729 950)</w:t>
            </w:r>
          </w:p>
          <w:p w14:paraId="429EE749" w14:textId="77777777" w:rsidR="009F6B27" w:rsidRDefault="009F6B27">
            <w:pPr>
              <w:pStyle w:val="PartyType"/>
            </w:pPr>
            <w:r>
              <w:t>Respondent</w:t>
            </w:r>
          </w:p>
          <w:p w14:paraId="651BB4C2" w14:textId="77777777" w:rsidR="009F6B27" w:rsidRPr="006555B4" w:rsidRDefault="009F6B27">
            <w:pPr>
              <w:pStyle w:val="NormalHeadings"/>
              <w:jc w:val="left"/>
            </w:pPr>
          </w:p>
        </w:tc>
      </w:tr>
    </w:tbl>
    <w:p w14:paraId="56EB8EFB" w14:textId="77777777" w:rsidR="009F6B27" w:rsidRDefault="009F6B27" w:rsidP="009F6B27">
      <w:pPr>
        <w:pStyle w:val="NormalHeadings"/>
      </w:pPr>
    </w:p>
    <w:tbl>
      <w:tblPr>
        <w:tblW w:w="0" w:type="auto"/>
        <w:tblLayout w:type="fixed"/>
        <w:tblLook w:val="0000" w:firstRow="0" w:lastRow="0" w:firstColumn="0" w:lastColumn="0" w:noHBand="0" w:noVBand="0"/>
        <w:tblCaption w:val="Judge"/>
        <w:tblDescription w:val="Judge"/>
      </w:tblPr>
      <w:tblGrid>
        <w:gridCol w:w="2376"/>
        <w:gridCol w:w="6866"/>
      </w:tblGrid>
      <w:tr w:rsidR="009F6B27" w14:paraId="1CCEBDD1" w14:textId="77777777">
        <w:tc>
          <w:tcPr>
            <w:tcW w:w="2376" w:type="dxa"/>
          </w:tcPr>
          <w:p w14:paraId="25D924DA" w14:textId="77777777" w:rsidR="009F6B27" w:rsidRDefault="009F6B27">
            <w:pPr>
              <w:pStyle w:val="NormalHeadings"/>
              <w:spacing w:after="120"/>
              <w:jc w:val="left"/>
              <w:rPr>
                <w:caps/>
                <w:szCs w:val="24"/>
              </w:rPr>
            </w:pPr>
            <w:r>
              <w:rPr>
                <w:caps/>
                <w:szCs w:val="24"/>
              </w:rPr>
              <w:t>order made by:</w:t>
            </w:r>
          </w:p>
        </w:tc>
        <w:tc>
          <w:tcPr>
            <w:tcW w:w="6866" w:type="dxa"/>
          </w:tcPr>
          <w:p w14:paraId="166787BB" w14:textId="77777777" w:rsidR="009F6B27" w:rsidRDefault="009F6B27">
            <w:pPr>
              <w:pStyle w:val="NormalHeadings"/>
              <w:jc w:val="left"/>
              <w:rPr>
                <w:caps/>
                <w:szCs w:val="24"/>
              </w:rPr>
            </w:pPr>
            <w:r>
              <w:rPr>
                <w:caps/>
                <w:szCs w:val="24"/>
              </w:rPr>
              <w:t>MURPHY J</w:t>
            </w:r>
          </w:p>
        </w:tc>
      </w:tr>
      <w:tr w:rsidR="009F6B27" w14:paraId="1BF887CF" w14:textId="77777777">
        <w:tc>
          <w:tcPr>
            <w:tcW w:w="2376" w:type="dxa"/>
          </w:tcPr>
          <w:p w14:paraId="4254CD32" w14:textId="77777777" w:rsidR="009F6B27" w:rsidRDefault="009F6B27">
            <w:pPr>
              <w:pStyle w:val="NormalHeadings"/>
              <w:spacing w:after="120"/>
              <w:jc w:val="left"/>
              <w:rPr>
                <w:caps/>
                <w:szCs w:val="24"/>
              </w:rPr>
            </w:pPr>
            <w:r>
              <w:rPr>
                <w:caps/>
                <w:szCs w:val="24"/>
              </w:rPr>
              <w:t>DATE OF ORDER:</w:t>
            </w:r>
          </w:p>
        </w:tc>
        <w:tc>
          <w:tcPr>
            <w:tcW w:w="6866" w:type="dxa"/>
          </w:tcPr>
          <w:p w14:paraId="4A50E1F0" w14:textId="3D152EFF" w:rsidR="009F6B27" w:rsidRDefault="009F6B27">
            <w:pPr>
              <w:pStyle w:val="NormalHeadings"/>
              <w:jc w:val="left"/>
              <w:rPr>
                <w:caps/>
                <w:szCs w:val="24"/>
              </w:rPr>
            </w:pPr>
            <w:r>
              <w:rPr>
                <w:caps/>
                <w:szCs w:val="24"/>
              </w:rPr>
              <w:t>22 december 2023</w:t>
            </w:r>
          </w:p>
        </w:tc>
      </w:tr>
    </w:tbl>
    <w:p w14:paraId="375A8E53" w14:textId="77777777" w:rsidR="00A90AF3" w:rsidRPr="00D71C1E" w:rsidRDefault="00A90AF3" w:rsidP="00A90AF3">
      <w:pPr>
        <w:tabs>
          <w:tab w:val="left" w:pos="-720"/>
        </w:tabs>
        <w:suppressAutoHyphens/>
        <w:ind w:right="95"/>
        <w:rPr>
          <w:spacing w:val="-3"/>
        </w:rPr>
      </w:pPr>
    </w:p>
    <w:p w14:paraId="28BD513D" w14:textId="77777777" w:rsidR="00AE49FC" w:rsidRDefault="00834AAC" w:rsidP="00834AAC">
      <w:pPr>
        <w:pStyle w:val="Default"/>
        <w:spacing w:before="120" w:after="120" w:line="360" w:lineRule="auto"/>
        <w:rPr>
          <w:b/>
          <w:bCs/>
        </w:rPr>
      </w:pPr>
      <w:r w:rsidRPr="00834AAC">
        <w:rPr>
          <w:b/>
          <w:bCs/>
        </w:rPr>
        <w:t>THE COURT NOTES THAT</w:t>
      </w:r>
      <w:r w:rsidR="009F6B27">
        <w:rPr>
          <w:b/>
          <w:bCs/>
        </w:rPr>
        <w:t>:</w:t>
      </w:r>
    </w:p>
    <w:p w14:paraId="6D6458EB" w14:textId="4E1F9886" w:rsidR="00834AAC" w:rsidRDefault="001D7B98" w:rsidP="001D7B98">
      <w:pPr>
        <w:pStyle w:val="Notes"/>
        <w:numPr>
          <w:ilvl w:val="0"/>
          <w:numId w:val="0"/>
        </w:numPr>
        <w:tabs>
          <w:tab w:val="left" w:pos="720"/>
        </w:tabs>
        <w:ind w:left="720" w:hanging="720"/>
      </w:pPr>
      <w:r>
        <w:t>A.</w:t>
      </w:r>
      <w:r>
        <w:tab/>
      </w:r>
      <w:r w:rsidR="00834AAC">
        <w:t xml:space="preserve"> Galactic Aveo LLC </w:t>
      </w:r>
      <w:r w:rsidR="00ED1136">
        <w:t xml:space="preserve">will </w:t>
      </w:r>
      <w:r w:rsidR="00834AAC">
        <w:t xml:space="preserve">not seek to recover a funding commission from the applicants and group members; and </w:t>
      </w:r>
    </w:p>
    <w:p w14:paraId="1F937AC1" w14:textId="73218480" w:rsidR="00426251" w:rsidRDefault="00A90AF3" w:rsidP="00A11AE6">
      <w:pPr>
        <w:pStyle w:val="BodyText"/>
        <w:rPr>
          <w:b/>
          <w:bCs/>
        </w:rPr>
      </w:pPr>
      <w:r w:rsidRPr="00A11AE6">
        <w:rPr>
          <w:b/>
          <w:bCs/>
        </w:rPr>
        <w:t>UPON THE UNDERTAKING</w:t>
      </w:r>
      <w:r w:rsidR="00426251">
        <w:rPr>
          <w:b/>
          <w:bCs/>
        </w:rPr>
        <w:t>S</w:t>
      </w:r>
      <w:r w:rsidRPr="00A11AE6">
        <w:rPr>
          <w:b/>
          <w:bCs/>
        </w:rPr>
        <w:t xml:space="preserve"> BY</w:t>
      </w:r>
      <w:r w:rsidR="00355C4D">
        <w:rPr>
          <w:b/>
          <w:bCs/>
        </w:rPr>
        <w:t>:</w:t>
      </w:r>
      <w:r w:rsidRPr="00A11AE6">
        <w:rPr>
          <w:b/>
          <w:bCs/>
        </w:rPr>
        <w:t xml:space="preserve"> </w:t>
      </w:r>
    </w:p>
    <w:p w14:paraId="78B4A6F3" w14:textId="2ED8CC3A" w:rsidR="00A11AE6" w:rsidRPr="00216D78" w:rsidRDefault="001D7B98" w:rsidP="001D7B98">
      <w:pPr>
        <w:pStyle w:val="Order1"/>
        <w:numPr>
          <w:ilvl w:val="0"/>
          <w:numId w:val="0"/>
        </w:numPr>
        <w:tabs>
          <w:tab w:val="left" w:pos="720"/>
        </w:tabs>
        <w:ind w:left="720" w:hanging="720"/>
      </w:pPr>
      <w:r w:rsidRPr="00216D78">
        <w:t>1.</w:t>
      </w:r>
      <w:r w:rsidRPr="00216D78">
        <w:tab/>
      </w:r>
      <w:r w:rsidR="00A11AE6" w:rsidRPr="00A11AE6">
        <w:rPr>
          <w:b/>
          <w:bCs/>
        </w:rPr>
        <w:t>GALACTI</w:t>
      </w:r>
      <w:r w:rsidR="00355C4D">
        <w:rPr>
          <w:b/>
          <w:bCs/>
        </w:rPr>
        <w:t>C</w:t>
      </w:r>
      <w:r w:rsidR="00A11AE6" w:rsidRPr="00A11AE6">
        <w:rPr>
          <w:b/>
          <w:bCs/>
        </w:rPr>
        <w:t xml:space="preserve"> AVEO LLC</w:t>
      </w:r>
      <w:r w:rsidR="00834AAC">
        <w:rPr>
          <w:b/>
          <w:bCs/>
        </w:rPr>
        <w:t xml:space="preserve"> THAT</w:t>
      </w:r>
      <w:r w:rsidR="00FF6B4F">
        <w:t xml:space="preserve"> </w:t>
      </w:r>
      <w:r w:rsidR="00A11AE6">
        <w:t xml:space="preserve">it will not seek to enforce any contractual rights it has in relation to recovery of legal costs and disbursements from group members </w:t>
      </w:r>
      <w:r w:rsidR="00A11AE6" w:rsidRPr="00A11AE6">
        <w:rPr>
          <w:bCs/>
        </w:rPr>
        <w:t>who entered into a litigation funding agreement with it</w:t>
      </w:r>
      <w:r w:rsidR="00A11AE6">
        <w:rPr>
          <w:bCs/>
        </w:rPr>
        <w:t>; and</w:t>
      </w:r>
    </w:p>
    <w:p w14:paraId="784D5EB1" w14:textId="77847065" w:rsidR="00216D78" w:rsidRPr="00216D78" w:rsidRDefault="001D7B98" w:rsidP="001D7B98">
      <w:pPr>
        <w:pStyle w:val="Order1"/>
        <w:numPr>
          <w:ilvl w:val="0"/>
          <w:numId w:val="0"/>
        </w:numPr>
        <w:tabs>
          <w:tab w:val="left" w:pos="720"/>
        </w:tabs>
        <w:ind w:left="720" w:hanging="720"/>
      </w:pPr>
      <w:r w:rsidRPr="00216D78">
        <w:t>2.</w:t>
      </w:r>
      <w:r w:rsidRPr="00216D78">
        <w:tab/>
      </w:r>
      <w:r w:rsidR="00216D78" w:rsidRPr="00A11AE6">
        <w:rPr>
          <w:b/>
          <w:bCs/>
        </w:rPr>
        <w:t xml:space="preserve">STEWART </w:t>
      </w:r>
      <w:r w:rsidR="00ED4A78" w:rsidRPr="00A11AE6">
        <w:rPr>
          <w:b/>
          <w:bCs/>
        </w:rPr>
        <w:t>LEVITT TRADING AS LEVITT ROBINSON SOLICITORS</w:t>
      </w:r>
      <w:r w:rsidR="00FF6B4F">
        <w:t xml:space="preserve"> </w:t>
      </w:r>
      <w:r w:rsidR="00834AAC" w:rsidRPr="00834AAC">
        <w:rPr>
          <w:b/>
          <w:bCs/>
        </w:rPr>
        <w:t>THAT</w:t>
      </w:r>
      <w:r w:rsidR="00FF6B4F">
        <w:t xml:space="preserve"> Levi</w:t>
      </w:r>
      <w:r w:rsidR="00A11AE6">
        <w:t xml:space="preserve">tt Robinson Solicitors will not seek to enforce any contractual rights </w:t>
      </w:r>
      <w:r w:rsidR="00834AAC">
        <w:t>the</w:t>
      </w:r>
      <w:r w:rsidR="00F46DE5">
        <w:t xml:space="preserve"> firm has</w:t>
      </w:r>
      <w:r w:rsidR="00834AAC">
        <w:t xml:space="preserve"> </w:t>
      </w:r>
      <w:r w:rsidR="00A11AE6">
        <w:t xml:space="preserve">in relation to recovery of legal costs and disbursements from group members who </w:t>
      </w:r>
      <w:r w:rsidR="003D75A2">
        <w:t>retained</w:t>
      </w:r>
      <w:r w:rsidR="00834AAC">
        <w:t xml:space="preserve"> </w:t>
      </w:r>
      <w:r w:rsidR="00A11AE6">
        <w:t>the firm</w:t>
      </w:r>
      <w:r w:rsidR="00BD4AEB">
        <w:t>.</w:t>
      </w:r>
    </w:p>
    <w:p w14:paraId="7B3D4DE6" w14:textId="77777777" w:rsidR="00FB546F" w:rsidRDefault="00FB546F">
      <w:pPr>
        <w:spacing w:line="240" w:lineRule="auto"/>
        <w:jc w:val="left"/>
        <w:rPr>
          <w:b/>
          <w:caps/>
        </w:rPr>
      </w:pPr>
      <w:r>
        <w:br w:type="page"/>
      </w:r>
    </w:p>
    <w:p w14:paraId="5EAB686B" w14:textId="6CFC91EF" w:rsidR="009F6B27" w:rsidRPr="00264815" w:rsidRDefault="00A90AF3" w:rsidP="00264815">
      <w:pPr>
        <w:pStyle w:val="Order1"/>
        <w:numPr>
          <w:ilvl w:val="0"/>
          <w:numId w:val="0"/>
        </w:numPr>
        <w:rPr>
          <w:b/>
        </w:rPr>
      </w:pPr>
      <w:r w:rsidRPr="00C57ABB">
        <w:rPr>
          <w:b/>
        </w:rPr>
        <w:lastRenderedPageBreak/>
        <w:t>THE COURT ORDERS THAT:</w:t>
      </w:r>
    </w:p>
    <w:p w14:paraId="6ED655A1" w14:textId="08D687AD" w:rsidR="00694EA2" w:rsidRPr="00264815" w:rsidRDefault="009F6A19" w:rsidP="00264815">
      <w:pPr>
        <w:pStyle w:val="Order1"/>
        <w:numPr>
          <w:ilvl w:val="0"/>
          <w:numId w:val="0"/>
        </w:numPr>
        <w:ind w:left="720" w:hanging="720"/>
        <w:rPr>
          <w:b/>
        </w:rPr>
      </w:pPr>
      <w:r w:rsidRPr="00264815">
        <w:rPr>
          <w:b/>
        </w:rPr>
        <w:t>Costs</w:t>
      </w:r>
    </w:p>
    <w:p w14:paraId="68BC78D5" w14:textId="2B625C87" w:rsidR="00A91F1B" w:rsidRPr="000A4AF4" w:rsidRDefault="001D7B98" w:rsidP="001D7B98">
      <w:pPr>
        <w:pStyle w:val="Order1"/>
        <w:numPr>
          <w:ilvl w:val="0"/>
          <w:numId w:val="0"/>
        </w:numPr>
        <w:tabs>
          <w:tab w:val="left" w:pos="720"/>
        </w:tabs>
        <w:ind w:left="720" w:hanging="720"/>
      </w:pPr>
      <w:r w:rsidRPr="000A4AF4">
        <w:t>1.</w:t>
      </w:r>
      <w:r w:rsidRPr="000A4AF4">
        <w:tab/>
      </w:r>
      <w:r w:rsidR="00357BFF" w:rsidRPr="000A4AF4">
        <w:t>Pursuant to s 33</w:t>
      </w:r>
      <w:proofErr w:type="gramStart"/>
      <w:r w:rsidR="00357BFF" w:rsidRPr="000A4AF4">
        <w:t>V</w:t>
      </w:r>
      <w:r w:rsidR="00A91F1B" w:rsidRPr="000A4AF4">
        <w:t>(</w:t>
      </w:r>
      <w:proofErr w:type="gramEnd"/>
      <w:r w:rsidR="00A91F1B" w:rsidRPr="000A4AF4">
        <w:t>2)</w:t>
      </w:r>
      <w:r w:rsidR="00357BFF" w:rsidRPr="000A4AF4">
        <w:t xml:space="preserve"> of the</w:t>
      </w:r>
      <w:r w:rsidR="00A91F1B" w:rsidRPr="000A4AF4">
        <w:t xml:space="preserve"> </w:t>
      </w:r>
      <w:r w:rsidR="00A91F1B" w:rsidRPr="009F6A19">
        <w:rPr>
          <w:i/>
        </w:rPr>
        <w:t>Federal Court of Australia Act 1976</w:t>
      </w:r>
      <w:r w:rsidR="00A91F1B" w:rsidRPr="000A4AF4">
        <w:t xml:space="preserve"> (</w:t>
      </w:r>
      <w:proofErr w:type="spellStart"/>
      <w:r w:rsidR="00A91F1B" w:rsidRPr="000A4AF4">
        <w:t>Cth</w:t>
      </w:r>
      <w:proofErr w:type="spellEnd"/>
      <w:r w:rsidR="00A91F1B" w:rsidRPr="000A4AF4">
        <w:t>);</w:t>
      </w:r>
    </w:p>
    <w:p w14:paraId="580B1791" w14:textId="21288AD2" w:rsidR="00357BFF" w:rsidRPr="006A7FB1" w:rsidRDefault="001D7B98" w:rsidP="001D7B98">
      <w:pPr>
        <w:pStyle w:val="Order2"/>
        <w:numPr>
          <w:ilvl w:val="0"/>
          <w:numId w:val="0"/>
        </w:numPr>
        <w:ind w:left="1440" w:hanging="720"/>
      </w:pPr>
      <w:r w:rsidRPr="006A7FB1">
        <w:t>(a)</w:t>
      </w:r>
      <w:r w:rsidRPr="006A7FB1">
        <w:tab/>
      </w:r>
      <w:r w:rsidR="00357BFF" w:rsidRPr="000A4AF4">
        <w:t>the Applicants’ legal costs and disbursements for the conduct of this proceeding</w:t>
      </w:r>
      <w:r w:rsidR="00A91F1B" w:rsidRPr="000A4AF4">
        <w:t xml:space="preserve"> up to the date of settlement </w:t>
      </w:r>
      <w:r w:rsidR="00357BFF" w:rsidRPr="000A4AF4">
        <w:t>be approved in</w:t>
      </w:r>
      <w:r w:rsidR="00357BFF" w:rsidRPr="005031C0">
        <w:t xml:space="preserve"> the sum of </w:t>
      </w:r>
      <w:proofErr w:type="gramStart"/>
      <w:r w:rsidR="004F755C" w:rsidRPr="005031C0">
        <w:t>$8,</w:t>
      </w:r>
      <w:r w:rsidR="00886027">
        <w:t>523,516</w:t>
      </w:r>
      <w:r w:rsidR="00CB4D75" w:rsidRPr="005031C0">
        <w:t>;</w:t>
      </w:r>
      <w:proofErr w:type="gramEnd"/>
      <w:r w:rsidR="00DA037B" w:rsidRPr="005031C0">
        <w:t xml:space="preserve"> </w:t>
      </w:r>
    </w:p>
    <w:p w14:paraId="444B9074" w14:textId="62242EE9" w:rsidR="00CB4D75" w:rsidRPr="006A7FB1" w:rsidRDefault="001D7B98" w:rsidP="001D7B98">
      <w:pPr>
        <w:pStyle w:val="Order2"/>
        <w:numPr>
          <w:ilvl w:val="0"/>
          <w:numId w:val="0"/>
        </w:numPr>
        <w:ind w:left="1440" w:hanging="720"/>
      </w:pPr>
      <w:r w:rsidRPr="006A7FB1">
        <w:t>(b)</w:t>
      </w:r>
      <w:r w:rsidRPr="006A7FB1">
        <w:tab/>
      </w:r>
      <w:r w:rsidR="00A2411B" w:rsidRPr="006A7FB1">
        <w:t>the Applicant</w:t>
      </w:r>
      <w:r w:rsidR="00EF616C" w:rsidRPr="006A7FB1">
        <w:t>s</w:t>
      </w:r>
      <w:r w:rsidR="00DA037B" w:rsidRPr="006A7FB1">
        <w:t>’</w:t>
      </w:r>
      <w:r w:rsidR="00EF616C" w:rsidRPr="006A7FB1">
        <w:t xml:space="preserve"> </w:t>
      </w:r>
      <w:r w:rsidR="008B09BA" w:rsidRPr="006A7FB1">
        <w:t xml:space="preserve">legal costs of </w:t>
      </w:r>
      <w:r w:rsidR="00440DAE" w:rsidRPr="006A7FB1">
        <w:t xml:space="preserve">the settlement approval process </w:t>
      </w:r>
      <w:r w:rsidR="00B95C10">
        <w:t>be</w:t>
      </w:r>
      <w:r w:rsidR="00882281">
        <w:t xml:space="preserve"> </w:t>
      </w:r>
      <w:r w:rsidR="00B95C10">
        <w:t>approved in the sum of $394,538</w:t>
      </w:r>
      <w:r w:rsidR="00DA037B" w:rsidRPr="006A7FB1">
        <w:t>; and</w:t>
      </w:r>
    </w:p>
    <w:p w14:paraId="3C93EC98" w14:textId="3329B57C" w:rsidR="00357BFF" w:rsidRPr="006A7FB1" w:rsidRDefault="001D7B98" w:rsidP="001D7B98">
      <w:pPr>
        <w:pStyle w:val="Order2"/>
        <w:numPr>
          <w:ilvl w:val="0"/>
          <w:numId w:val="0"/>
        </w:numPr>
        <w:ind w:left="1440" w:hanging="720"/>
      </w:pPr>
      <w:r w:rsidRPr="006A7FB1">
        <w:t>(c)</w:t>
      </w:r>
      <w:r w:rsidRPr="006A7FB1">
        <w:tab/>
      </w:r>
      <w:r w:rsidR="00357BFF" w:rsidRPr="006A7FB1">
        <w:t>the Administration Costs, as defined in the Settlement Scheme, be approved in the sum of $186,000 plus GST.</w:t>
      </w:r>
    </w:p>
    <w:p w14:paraId="4A8172F6" w14:textId="37FAFF87" w:rsidR="006A7FB1" w:rsidRDefault="001D7B98" w:rsidP="001D7B98">
      <w:pPr>
        <w:pStyle w:val="Order1"/>
        <w:numPr>
          <w:ilvl w:val="0"/>
          <w:numId w:val="0"/>
        </w:numPr>
        <w:tabs>
          <w:tab w:val="left" w:pos="720"/>
        </w:tabs>
        <w:ind w:left="720" w:hanging="720"/>
      </w:pPr>
      <w:r>
        <w:t>2.</w:t>
      </w:r>
      <w:r>
        <w:tab/>
      </w:r>
      <w:r w:rsidR="00A641F5" w:rsidRPr="006A7FB1">
        <w:t xml:space="preserve">Stewart Levitt trading as Levitt Robinson pay the </w:t>
      </w:r>
      <w:r w:rsidR="006C4958" w:rsidRPr="006A7FB1">
        <w:t xml:space="preserve">Contradictor’s reasonable fees within </w:t>
      </w:r>
      <w:r w:rsidR="00962C93" w:rsidRPr="006A7FB1">
        <w:t xml:space="preserve">21 </w:t>
      </w:r>
      <w:r w:rsidR="006C4958" w:rsidRPr="006A7FB1">
        <w:t>days of receipt of an invoice</w:t>
      </w:r>
      <w:r w:rsidR="00D20903" w:rsidRPr="006A7FB1">
        <w:t>.</w:t>
      </w:r>
    </w:p>
    <w:p w14:paraId="72113D43" w14:textId="4CB1FA70" w:rsidR="006359E4" w:rsidRPr="00264815" w:rsidRDefault="006359E4" w:rsidP="00264815">
      <w:pPr>
        <w:pStyle w:val="Order1"/>
        <w:numPr>
          <w:ilvl w:val="0"/>
          <w:numId w:val="0"/>
        </w:numPr>
        <w:rPr>
          <w:b/>
        </w:rPr>
      </w:pPr>
      <w:r w:rsidRPr="00264815">
        <w:rPr>
          <w:b/>
        </w:rPr>
        <w:t>Administration</w:t>
      </w:r>
    </w:p>
    <w:p w14:paraId="05285905" w14:textId="09C07952" w:rsidR="006A7FB1" w:rsidRDefault="001D7B98" w:rsidP="001D7B98">
      <w:pPr>
        <w:pStyle w:val="Order1"/>
        <w:numPr>
          <w:ilvl w:val="0"/>
          <w:numId w:val="0"/>
        </w:numPr>
        <w:tabs>
          <w:tab w:val="left" w:pos="720"/>
        </w:tabs>
        <w:ind w:left="720" w:hanging="720"/>
      </w:pPr>
      <w:r>
        <w:t>3.</w:t>
      </w:r>
      <w:r>
        <w:tab/>
      </w:r>
      <w:r w:rsidR="00357BFF" w:rsidRPr="006A7FB1">
        <w:t>Within</w:t>
      </w:r>
      <w:r w:rsidR="00357BFF" w:rsidRPr="006A7FB1" w:rsidDel="009F6B27">
        <w:t xml:space="preserve"> </w:t>
      </w:r>
      <w:r w:rsidR="009F6B27">
        <w:t>seven</w:t>
      </w:r>
      <w:r w:rsidR="009F6B27" w:rsidRPr="006A7FB1">
        <w:t xml:space="preserve"> </w:t>
      </w:r>
      <w:r w:rsidR="009F6B27">
        <w:t xml:space="preserve">(7) </w:t>
      </w:r>
      <w:r w:rsidR="00357BFF" w:rsidRPr="006A7FB1">
        <w:t>days after the distribution by the Administrator of the whole of the Settlement Sum, the Administrator is to apply to the Court for the proceeding to be dismissed with no further order as to costs.</w:t>
      </w:r>
      <w:bookmarkStart w:id="13" w:name="_Ref131525446"/>
    </w:p>
    <w:p w14:paraId="038C01B5" w14:textId="59462335" w:rsidR="006A7FB1" w:rsidRDefault="001D7B98" w:rsidP="001D7B98">
      <w:pPr>
        <w:pStyle w:val="Order1"/>
        <w:numPr>
          <w:ilvl w:val="0"/>
          <w:numId w:val="0"/>
        </w:numPr>
        <w:tabs>
          <w:tab w:val="left" w:pos="720"/>
        </w:tabs>
        <w:ind w:left="720" w:hanging="720"/>
      </w:pPr>
      <w:r>
        <w:t>4.</w:t>
      </w:r>
      <w:r>
        <w:tab/>
      </w:r>
      <w:r w:rsidR="00A641F5" w:rsidRPr="006A7FB1">
        <w:t>T</w:t>
      </w:r>
      <w:r w:rsidR="00357BFF" w:rsidRPr="006A7FB1">
        <w:t xml:space="preserve">he Administrator </w:t>
      </w:r>
      <w:r w:rsidR="00A641F5" w:rsidRPr="006A7FB1">
        <w:t xml:space="preserve">have </w:t>
      </w:r>
      <w:r w:rsidR="00357BFF" w:rsidRPr="006A7FB1">
        <w:t>liberty to apply with respect to any issues arising under the Administration.</w:t>
      </w:r>
      <w:bookmarkEnd w:id="13"/>
      <w:r w:rsidR="00357BFF" w:rsidRPr="006A7FB1">
        <w:t xml:space="preserve"> </w:t>
      </w:r>
    </w:p>
    <w:p w14:paraId="315BD146" w14:textId="1E19A7C6" w:rsidR="00357BFF" w:rsidRDefault="001D7B98" w:rsidP="001D7B98">
      <w:pPr>
        <w:pStyle w:val="Order1"/>
        <w:numPr>
          <w:ilvl w:val="0"/>
          <w:numId w:val="0"/>
        </w:numPr>
        <w:tabs>
          <w:tab w:val="left" w:pos="720"/>
        </w:tabs>
        <w:ind w:left="720" w:hanging="720"/>
      </w:pPr>
      <w:r>
        <w:t>5.</w:t>
      </w:r>
      <w:r>
        <w:tab/>
      </w:r>
      <w:r w:rsidR="00357BFF" w:rsidRPr="00694EA2">
        <w:t xml:space="preserve">The Applicants and the Respondent be excused from attendance in relation to any application brought by the Administrator pursuant to </w:t>
      </w:r>
      <w:r w:rsidR="00FB546F">
        <w:t>O</w:t>
      </w:r>
      <w:r w:rsidR="00357BFF" w:rsidRPr="006A7FB1">
        <w:t>rder</w:t>
      </w:r>
      <w:r w:rsidR="00357BFF" w:rsidRPr="00694EA2">
        <w:t xml:space="preserve"> </w:t>
      </w:r>
      <w:r w:rsidR="00B651E0">
        <w:t>4</w:t>
      </w:r>
      <w:r w:rsidR="00357BFF" w:rsidRPr="00694EA2">
        <w:t>.</w:t>
      </w:r>
    </w:p>
    <w:p w14:paraId="189B6F2F" w14:textId="31429583" w:rsidR="006359E4" w:rsidRPr="00D32FB7" w:rsidRDefault="006359E4" w:rsidP="00264815">
      <w:pPr>
        <w:pStyle w:val="Order1"/>
        <w:numPr>
          <w:ilvl w:val="0"/>
          <w:numId w:val="0"/>
        </w:numPr>
        <w:rPr>
          <w:b/>
        </w:rPr>
      </w:pPr>
      <w:r w:rsidRPr="00264815">
        <w:rPr>
          <w:b/>
        </w:rPr>
        <w:t>Confidentiality Application</w:t>
      </w:r>
    </w:p>
    <w:p w14:paraId="73DBC49D" w14:textId="114BA585" w:rsidR="009F6B27" w:rsidRPr="00694EA2" w:rsidRDefault="001D7B98" w:rsidP="001D7B98">
      <w:pPr>
        <w:pStyle w:val="Order1"/>
        <w:numPr>
          <w:ilvl w:val="0"/>
          <w:numId w:val="0"/>
        </w:numPr>
        <w:tabs>
          <w:tab w:val="left" w:pos="720"/>
        </w:tabs>
        <w:ind w:left="720" w:hanging="720"/>
      </w:pPr>
      <w:r w:rsidRPr="00694EA2">
        <w:t>6.</w:t>
      </w:r>
      <w:r w:rsidRPr="00694EA2">
        <w:tab/>
      </w:r>
      <w:r w:rsidR="0067255E" w:rsidRPr="00D32FB7">
        <w:t xml:space="preserve">Pursuant to ss 37AF and 37AG(1)(a) of the </w:t>
      </w:r>
      <w:r w:rsidR="0067255E" w:rsidRPr="00552F27">
        <w:rPr>
          <w:i/>
        </w:rPr>
        <w:t>Federal Court of Australia Act 1976</w:t>
      </w:r>
      <w:r w:rsidR="0067255E" w:rsidRPr="00D32FB7">
        <w:t xml:space="preserve"> (</w:t>
      </w:r>
      <w:proofErr w:type="spellStart"/>
      <w:r w:rsidR="0067255E" w:rsidRPr="00D32FB7">
        <w:t>Cth</w:t>
      </w:r>
      <w:proofErr w:type="spellEnd"/>
      <w:r w:rsidR="0067255E" w:rsidRPr="00D32FB7">
        <w:t xml:space="preserve">) (the </w:t>
      </w:r>
      <w:r w:rsidR="0067255E" w:rsidRPr="00F616F6">
        <w:rPr>
          <w:b/>
        </w:rPr>
        <w:t>Act</w:t>
      </w:r>
      <w:r w:rsidR="0067255E" w:rsidRPr="00D32FB7">
        <w:t xml:space="preserve">), on the ground that the order is necessary to prevent prejudice to the proper administration of justice, the material set out in </w:t>
      </w:r>
      <w:r w:rsidR="0067255E" w:rsidRPr="00D32FB7">
        <w:rPr>
          <w:b/>
        </w:rPr>
        <w:t xml:space="preserve">Annexure A (Confidential Material A) </w:t>
      </w:r>
      <w:r w:rsidR="0067255E" w:rsidRPr="00D32FB7">
        <w:t xml:space="preserve">is, until further order or until after the expiry of all periods in which an appeal may be brought from this Court’s orders made on 22 November 2023 (as specified in Annexure A), not to be published or disclosed without prior leave of the Court to any person other than: (a) the Court; (b) the Applicants; (c) the Applicants’ legal representatives; (d) group members who have provided an appropriate acknowledgment of their obligations under this order; (e) counsel appointed as Contradictor; (f) counsel for Levitt Robinson; (g) Galactic Aveo LLC; and (h) Galactic Aveo LLC’s legal representatives, with such permitted disclosures to be on terms that </w:t>
      </w:r>
      <w:r w:rsidR="0067255E" w:rsidRPr="00D32FB7">
        <w:lastRenderedPageBreak/>
        <w:t>none of those persons or entities disclose the Confidential Material A or any part of it to any person or entity other than those listed in this order.</w:t>
      </w:r>
    </w:p>
    <w:p w14:paraId="08AC978E" w14:textId="68B560B3" w:rsidR="00A37347" w:rsidRDefault="001D7B98" w:rsidP="001D7B98">
      <w:pPr>
        <w:pStyle w:val="Order1"/>
        <w:numPr>
          <w:ilvl w:val="0"/>
          <w:numId w:val="0"/>
        </w:numPr>
        <w:tabs>
          <w:tab w:val="left" w:pos="720"/>
        </w:tabs>
        <w:ind w:left="720" w:hanging="720"/>
      </w:pPr>
      <w:r>
        <w:t>7.</w:t>
      </w:r>
      <w:r>
        <w:tab/>
      </w:r>
      <w:r w:rsidR="0079010C" w:rsidRPr="00D32FB7">
        <w:t xml:space="preserve">Pursuant to ss 37AF and 37AG(1)(a) of the Act, on the ground that the order is necessary to prevent prejudice to the proper administration of justice and until further order, the material set out in </w:t>
      </w:r>
      <w:r w:rsidR="0079010C" w:rsidRPr="00D32FB7">
        <w:rPr>
          <w:b/>
        </w:rPr>
        <w:t xml:space="preserve">Annexure B (Confidential Material B) </w:t>
      </w:r>
      <w:r w:rsidR="0079010C" w:rsidRPr="00D32FB7">
        <w:t>is not to be published or disclosed without prior leave of the Court to any person other than: (a) the Court; (b) the Applicants; (c) the Applicants’ legal representatives; (d) counsel appointed as Contradictor; (e) counsel for Levitt Robinson; (f) Galactic Aveo LLC; and (g) Galactic Aveo LLC’s legal representatives, with such permitted disclosures to be on terms that none of those persons or entities disclose the Confidential Material B or any part of it to any person or entity other than those listed in this order.</w:t>
      </w:r>
    </w:p>
    <w:p w14:paraId="4567E243" w14:textId="77777777" w:rsidR="00AA3E62" w:rsidRPr="0067255E" w:rsidRDefault="00AA3E62" w:rsidP="00AA3E62">
      <w:pPr>
        <w:pStyle w:val="Order1"/>
        <w:numPr>
          <w:ilvl w:val="0"/>
          <w:numId w:val="0"/>
        </w:numPr>
        <w:ind w:left="720"/>
      </w:pPr>
    </w:p>
    <w:p w14:paraId="2A782613" w14:textId="5411BD9B" w:rsidR="00357BFF" w:rsidRPr="00357BFF" w:rsidRDefault="009F6B27" w:rsidP="00D32FB7">
      <w:pPr>
        <w:pStyle w:val="Order1"/>
        <w:numPr>
          <w:ilvl w:val="0"/>
          <w:numId w:val="0"/>
        </w:numPr>
        <w:ind w:left="720" w:hanging="720"/>
      </w:pPr>
      <w:r>
        <w:t>Note:</w:t>
      </w:r>
      <w:r>
        <w:tab/>
        <w:t xml:space="preserve">Entry of orders is dealt with in Rule 39.32 of the </w:t>
      </w:r>
      <w:r>
        <w:rPr>
          <w:i/>
        </w:rPr>
        <w:t>Federal Court Rules 2011</w:t>
      </w:r>
      <w:r>
        <w:t>.</w:t>
      </w:r>
    </w:p>
    <w:p w14:paraId="5E5970DB" w14:textId="19F85083" w:rsidR="00357BFF" w:rsidRDefault="0079010C">
      <w:pPr>
        <w:spacing w:line="240" w:lineRule="auto"/>
        <w:jc w:val="left"/>
        <w:rPr>
          <w:rFonts w:eastAsia="Times New Roman"/>
          <w:color w:val="000000"/>
          <w:szCs w:val="24"/>
          <w:lang w:eastAsia="en-AU"/>
        </w:rPr>
      </w:pPr>
      <w:r>
        <w:br w:type="page"/>
      </w:r>
    </w:p>
    <w:p w14:paraId="66356656" w14:textId="4A1BE867" w:rsidR="00357BFF" w:rsidRDefault="0079010C" w:rsidP="0079010C">
      <w:pPr>
        <w:pStyle w:val="Default"/>
        <w:spacing w:line="360" w:lineRule="auto"/>
        <w:jc w:val="center"/>
        <w:rPr>
          <w:b/>
          <w:bCs/>
        </w:rPr>
      </w:pPr>
      <w:r w:rsidRPr="00264815">
        <w:rPr>
          <w:b/>
        </w:rPr>
        <w:lastRenderedPageBreak/>
        <w:t>Annexure A</w:t>
      </w:r>
    </w:p>
    <w:tbl>
      <w:tblPr>
        <w:tblW w:w="87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23"/>
        <w:gridCol w:w="715"/>
        <w:gridCol w:w="2809"/>
        <w:gridCol w:w="2536"/>
        <w:gridCol w:w="2172"/>
      </w:tblGrid>
      <w:tr w:rsidR="006D35B0" w14:paraId="77EFB644" w14:textId="77777777" w:rsidTr="00923743">
        <w:tc>
          <w:tcPr>
            <w:tcW w:w="523" w:type="dxa"/>
            <w:shd w:val="clear" w:color="auto" w:fill="auto"/>
          </w:tcPr>
          <w:p w14:paraId="06810C61" w14:textId="77777777" w:rsidR="006D35B0" w:rsidRPr="006D0BB9" w:rsidRDefault="006D35B0" w:rsidP="006D35B0">
            <w:pPr>
              <w:spacing w:before="120" w:after="120"/>
              <w:rPr>
                <w:b/>
                <w:bCs/>
                <w:szCs w:val="22"/>
              </w:rPr>
            </w:pPr>
            <w:r w:rsidRPr="006D0BB9">
              <w:rPr>
                <w:b/>
                <w:bCs/>
                <w:szCs w:val="22"/>
              </w:rPr>
              <w:t>#</w:t>
            </w:r>
          </w:p>
        </w:tc>
        <w:tc>
          <w:tcPr>
            <w:tcW w:w="715" w:type="dxa"/>
          </w:tcPr>
          <w:p w14:paraId="1FC4A7C7" w14:textId="77777777" w:rsidR="006D35B0" w:rsidRPr="006D0BB9" w:rsidRDefault="006D35B0" w:rsidP="006D35B0">
            <w:pPr>
              <w:spacing w:before="120" w:after="120"/>
              <w:rPr>
                <w:b/>
                <w:bCs/>
                <w:szCs w:val="22"/>
              </w:rPr>
            </w:pPr>
            <w:r>
              <w:rPr>
                <w:b/>
                <w:bCs/>
                <w:szCs w:val="22"/>
              </w:rPr>
              <w:t>CB tab</w:t>
            </w:r>
          </w:p>
        </w:tc>
        <w:tc>
          <w:tcPr>
            <w:tcW w:w="2809" w:type="dxa"/>
            <w:shd w:val="clear" w:color="auto" w:fill="auto"/>
          </w:tcPr>
          <w:p w14:paraId="56653C28" w14:textId="77777777" w:rsidR="006D35B0" w:rsidRPr="006D0BB9" w:rsidRDefault="006D35B0" w:rsidP="006D35B0">
            <w:pPr>
              <w:spacing w:before="120" w:after="120"/>
              <w:rPr>
                <w:b/>
                <w:bCs/>
                <w:szCs w:val="22"/>
              </w:rPr>
            </w:pPr>
            <w:r w:rsidRPr="006D0BB9">
              <w:rPr>
                <w:b/>
                <w:bCs/>
                <w:szCs w:val="22"/>
              </w:rPr>
              <w:t>Evidence/ Submissions</w:t>
            </w:r>
          </w:p>
        </w:tc>
        <w:tc>
          <w:tcPr>
            <w:tcW w:w="2536" w:type="dxa"/>
            <w:shd w:val="clear" w:color="auto" w:fill="auto"/>
          </w:tcPr>
          <w:p w14:paraId="04C1B396" w14:textId="77777777" w:rsidR="006D35B0" w:rsidRPr="006D0BB9" w:rsidRDefault="006D35B0" w:rsidP="006D35B0">
            <w:pPr>
              <w:spacing w:before="120" w:after="120"/>
              <w:rPr>
                <w:b/>
                <w:bCs/>
              </w:rPr>
            </w:pPr>
            <w:r w:rsidRPr="006D0BB9">
              <w:rPr>
                <w:b/>
                <w:bCs/>
              </w:rPr>
              <w:t xml:space="preserve">Document /Section over which Confidentiality claimed </w:t>
            </w:r>
          </w:p>
        </w:tc>
        <w:tc>
          <w:tcPr>
            <w:tcW w:w="2172" w:type="dxa"/>
          </w:tcPr>
          <w:p w14:paraId="161327EF" w14:textId="77777777" w:rsidR="006D35B0" w:rsidRPr="006D0BB9" w:rsidRDefault="006D35B0" w:rsidP="006D35B0">
            <w:pPr>
              <w:spacing w:before="120" w:after="120"/>
              <w:rPr>
                <w:b/>
                <w:bCs/>
                <w:szCs w:val="22"/>
              </w:rPr>
            </w:pPr>
            <w:r>
              <w:rPr>
                <w:b/>
                <w:bCs/>
                <w:szCs w:val="22"/>
              </w:rPr>
              <w:t>Time</w:t>
            </w:r>
          </w:p>
        </w:tc>
      </w:tr>
      <w:tr w:rsidR="006D35B0" w14:paraId="4CD55C80" w14:textId="77777777" w:rsidTr="00923743">
        <w:tc>
          <w:tcPr>
            <w:tcW w:w="523" w:type="dxa"/>
            <w:shd w:val="clear" w:color="auto" w:fill="auto"/>
          </w:tcPr>
          <w:p w14:paraId="4230429E" w14:textId="77777777" w:rsidR="006D35B0" w:rsidRPr="006D0BB9" w:rsidRDefault="006D35B0" w:rsidP="006D35B0">
            <w:pPr>
              <w:spacing w:before="120" w:after="120"/>
              <w:rPr>
                <w:szCs w:val="22"/>
              </w:rPr>
            </w:pPr>
            <w:r w:rsidRPr="006D0BB9">
              <w:rPr>
                <w:szCs w:val="22"/>
              </w:rPr>
              <w:t>2.</w:t>
            </w:r>
          </w:p>
        </w:tc>
        <w:tc>
          <w:tcPr>
            <w:tcW w:w="715" w:type="dxa"/>
          </w:tcPr>
          <w:p w14:paraId="5078813D" w14:textId="77777777" w:rsidR="006D35B0" w:rsidRPr="00215F2E" w:rsidRDefault="006D35B0" w:rsidP="006D35B0">
            <w:pPr>
              <w:spacing w:before="120" w:after="120"/>
              <w:rPr>
                <w:szCs w:val="22"/>
              </w:rPr>
            </w:pPr>
            <w:r>
              <w:rPr>
                <w:szCs w:val="22"/>
              </w:rPr>
              <w:t>7</w:t>
            </w:r>
          </w:p>
        </w:tc>
        <w:tc>
          <w:tcPr>
            <w:tcW w:w="2809" w:type="dxa"/>
            <w:shd w:val="clear" w:color="auto" w:fill="auto"/>
          </w:tcPr>
          <w:p w14:paraId="3A02D2D5" w14:textId="77777777" w:rsidR="006D35B0" w:rsidRPr="003943D0" w:rsidRDefault="006D35B0" w:rsidP="006D35B0">
            <w:pPr>
              <w:spacing w:before="120" w:after="120"/>
              <w:rPr>
                <w:b/>
                <w:bCs/>
                <w:szCs w:val="22"/>
              </w:rPr>
            </w:pPr>
            <w:r>
              <w:rPr>
                <w:b/>
                <w:bCs/>
                <w:szCs w:val="22"/>
              </w:rPr>
              <w:t xml:space="preserve">Confidential </w:t>
            </w:r>
            <w:r w:rsidRPr="003943D0">
              <w:rPr>
                <w:b/>
                <w:bCs/>
                <w:szCs w:val="22"/>
              </w:rPr>
              <w:t>Affidavit of Stewart Alan Levitt 29 September 2023</w:t>
            </w:r>
          </w:p>
        </w:tc>
        <w:tc>
          <w:tcPr>
            <w:tcW w:w="2536" w:type="dxa"/>
            <w:shd w:val="clear" w:color="auto" w:fill="auto"/>
          </w:tcPr>
          <w:p w14:paraId="195F0EC5" w14:textId="77777777" w:rsidR="006D35B0" w:rsidRPr="006D0BB9" w:rsidRDefault="006D35B0" w:rsidP="006D35B0">
            <w:pPr>
              <w:spacing w:before="120" w:after="120"/>
              <w:rPr>
                <w:szCs w:val="22"/>
              </w:rPr>
            </w:pPr>
            <w:r w:rsidRPr="006D0BB9">
              <w:rPr>
                <w:szCs w:val="22"/>
              </w:rPr>
              <w:t xml:space="preserve">Exhibit SAL-10 Confidential Opinion </w:t>
            </w:r>
            <w:r>
              <w:rPr>
                <w:szCs w:val="22"/>
              </w:rPr>
              <w:t>(w</w:t>
            </w:r>
            <w:r w:rsidRPr="006D0BB9">
              <w:rPr>
                <w:szCs w:val="22"/>
              </w:rPr>
              <w:t>hole</w:t>
            </w:r>
            <w:r>
              <w:rPr>
                <w:szCs w:val="22"/>
              </w:rPr>
              <w:t>)</w:t>
            </w:r>
          </w:p>
        </w:tc>
        <w:tc>
          <w:tcPr>
            <w:tcW w:w="2172" w:type="dxa"/>
          </w:tcPr>
          <w:p w14:paraId="6EC669CA" w14:textId="77777777" w:rsidR="006D35B0" w:rsidRPr="006D0BB9" w:rsidRDefault="006D35B0" w:rsidP="006D35B0">
            <w:pPr>
              <w:spacing w:before="120" w:after="120"/>
              <w:rPr>
                <w:szCs w:val="22"/>
              </w:rPr>
            </w:pPr>
            <w:r>
              <w:rPr>
                <w:szCs w:val="22"/>
              </w:rPr>
              <w:t>Until further order</w:t>
            </w:r>
          </w:p>
        </w:tc>
      </w:tr>
      <w:tr w:rsidR="006D35B0" w14:paraId="605B76C3" w14:textId="77777777" w:rsidTr="00923743">
        <w:tc>
          <w:tcPr>
            <w:tcW w:w="523" w:type="dxa"/>
            <w:shd w:val="clear" w:color="auto" w:fill="auto"/>
          </w:tcPr>
          <w:p w14:paraId="304A668E" w14:textId="77777777" w:rsidR="006D35B0" w:rsidRPr="006D0BB9" w:rsidRDefault="006D35B0" w:rsidP="006D35B0">
            <w:pPr>
              <w:spacing w:before="120" w:after="120"/>
              <w:rPr>
                <w:szCs w:val="22"/>
              </w:rPr>
            </w:pPr>
            <w:r>
              <w:rPr>
                <w:szCs w:val="22"/>
              </w:rPr>
              <w:t>3</w:t>
            </w:r>
            <w:r w:rsidRPr="006D0BB9">
              <w:rPr>
                <w:szCs w:val="22"/>
              </w:rPr>
              <w:t>.</w:t>
            </w:r>
          </w:p>
        </w:tc>
        <w:tc>
          <w:tcPr>
            <w:tcW w:w="715" w:type="dxa"/>
          </w:tcPr>
          <w:p w14:paraId="314D1713" w14:textId="77777777" w:rsidR="006D35B0" w:rsidRPr="00215F2E" w:rsidRDefault="006D35B0" w:rsidP="006D35B0">
            <w:pPr>
              <w:spacing w:before="120" w:after="120"/>
              <w:rPr>
                <w:szCs w:val="22"/>
              </w:rPr>
            </w:pPr>
            <w:r>
              <w:rPr>
                <w:szCs w:val="22"/>
              </w:rPr>
              <w:t xml:space="preserve">11 </w:t>
            </w:r>
          </w:p>
        </w:tc>
        <w:tc>
          <w:tcPr>
            <w:tcW w:w="2809" w:type="dxa"/>
            <w:shd w:val="clear" w:color="auto" w:fill="auto"/>
          </w:tcPr>
          <w:p w14:paraId="757B044C" w14:textId="77777777" w:rsidR="006D35B0" w:rsidRPr="003943D0" w:rsidRDefault="006D35B0" w:rsidP="006D35B0">
            <w:pPr>
              <w:spacing w:before="120" w:after="120"/>
              <w:rPr>
                <w:b/>
                <w:bCs/>
                <w:szCs w:val="22"/>
              </w:rPr>
            </w:pPr>
            <w:r w:rsidRPr="003943D0">
              <w:rPr>
                <w:b/>
                <w:bCs/>
                <w:szCs w:val="22"/>
              </w:rPr>
              <w:t xml:space="preserve">Contradictors’ </w:t>
            </w:r>
            <w:r>
              <w:rPr>
                <w:b/>
                <w:bCs/>
                <w:szCs w:val="22"/>
              </w:rPr>
              <w:t>Confidential Outline of S</w:t>
            </w:r>
            <w:r w:rsidRPr="003943D0">
              <w:rPr>
                <w:b/>
                <w:bCs/>
                <w:szCs w:val="22"/>
              </w:rPr>
              <w:t>ubmissions dated 16 October 2023</w:t>
            </w:r>
          </w:p>
        </w:tc>
        <w:tc>
          <w:tcPr>
            <w:tcW w:w="2536" w:type="dxa"/>
            <w:shd w:val="clear" w:color="auto" w:fill="auto"/>
          </w:tcPr>
          <w:p w14:paraId="0B60D3FE" w14:textId="77777777" w:rsidR="006D35B0" w:rsidRPr="006D0BB9" w:rsidRDefault="006D35B0" w:rsidP="006D35B0">
            <w:pPr>
              <w:spacing w:before="120" w:after="120"/>
              <w:rPr>
                <w:szCs w:val="22"/>
              </w:rPr>
            </w:pPr>
            <w:r w:rsidRPr="006D0BB9">
              <w:rPr>
                <w:szCs w:val="22"/>
              </w:rPr>
              <w:t>Parts specified below.</w:t>
            </w:r>
          </w:p>
        </w:tc>
        <w:tc>
          <w:tcPr>
            <w:tcW w:w="2172" w:type="dxa"/>
          </w:tcPr>
          <w:p w14:paraId="1CB17ED5" w14:textId="77777777" w:rsidR="006D35B0" w:rsidRPr="006D0BB9" w:rsidRDefault="006D35B0" w:rsidP="006D35B0">
            <w:pPr>
              <w:spacing w:before="120" w:after="120"/>
              <w:rPr>
                <w:szCs w:val="22"/>
              </w:rPr>
            </w:pPr>
          </w:p>
        </w:tc>
      </w:tr>
      <w:tr w:rsidR="006D35B0" w14:paraId="171EA071" w14:textId="77777777" w:rsidTr="00923743">
        <w:tc>
          <w:tcPr>
            <w:tcW w:w="523" w:type="dxa"/>
            <w:shd w:val="clear" w:color="auto" w:fill="auto"/>
          </w:tcPr>
          <w:p w14:paraId="2FE7F853" w14:textId="77777777" w:rsidR="006D35B0" w:rsidRPr="006D0BB9" w:rsidRDefault="006D35B0" w:rsidP="006D35B0">
            <w:pPr>
              <w:spacing w:before="120" w:after="120"/>
              <w:rPr>
                <w:szCs w:val="22"/>
              </w:rPr>
            </w:pPr>
          </w:p>
        </w:tc>
        <w:tc>
          <w:tcPr>
            <w:tcW w:w="715" w:type="dxa"/>
          </w:tcPr>
          <w:p w14:paraId="712E47B0" w14:textId="77777777" w:rsidR="006D35B0" w:rsidRPr="006D0BB9" w:rsidRDefault="006D35B0" w:rsidP="006D35B0">
            <w:pPr>
              <w:spacing w:before="120" w:after="120"/>
              <w:rPr>
                <w:szCs w:val="22"/>
              </w:rPr>
            </w:pPr>
          </w:p>
        </w:tc>
        <w:tc>
          <w:tcPr>
            <w:tcW w:w="2809" w:type="dxa"/>
            <w:shd w:val="clear" w:color="auto" w:fill="auto"/>
          </w:tcPr>
          <w:p w14:paraId="17812C57" w14:textId="77777777" w:rsidR="006D35B0" w:rsidRPr="006D0BB9" w:rsidRDefault="006D35B0" w:rsidP="006D35B0">
            <w:pPr>
              <w:spacing w:before="120" w:after="120"/>
              <w:rPr>
                <w:szCs w:val="22"/>
              </w:rPr>
            </w:pPr>
            <w:r w:rsidRPr="006D0BB9">
              <w:rPr>
                <w:szCs w:val="22"/>
              </w:rPr>
              <w:t>[23]</w:t>
            </w:r>
          </w:p>
        </w:tc>
        <w:tc>
          <w:tcPr>
            <w:tcW w:w="2536" w:type="dxa"/>
            <w:shd w:val="clear" w:color="auto" w:fill="auto"/>
          </w:tcPr>
          <w:p w14:paraId="518ED3C1" w14:textId="77777777" w:rsidR="006D35B0" w:rsidRPr="006D0BB9" w:rsidRDefault="006D35B0" w:rsidP="006D35B0">
            <w:pPr>
              <w:spacing w:before="120" w:after="120"/>
              <w:rPr>
                <w:szCs w:val="22"/>
              </w:rPr>
            </w:pPr>
            <w:r w:rsidRPr="006D0BB9">
              <w:rPr>
                <w:szCs w:val="22"/>
              </w:rPr>
              <w:t>content of footnote 30.</w:t>
            </w:r>
          </w:p>
        </w:tc>
        <w:tc>
          <w:tcPr>
            <w:tcW w:w="2172" w:type="dxa"/>
          </w:tcPr>
          <w:p w14:paraId="6F5E7E42" w14:textId="77777777" w:rsidR="006D35B0" w:rsidRPr="006D0BB9" w:rsidRDefault="006D35B0" w:rsidP="006D35B0">
            <w:pPr>
              <w:spacing w:before="120" w:after="120"/>
              <w:rPr>
                <w:szCs w:val="22"/>
              </w:rPr>
            </w:pPr>
            <w:r>
              <w:rPr>
                <w:szCs w:val="22"/>
              </w:rPr>
              <w:t>Until expiry of appeal periods</w:t>
            </w:r>
          </w:p>
        </w:tc>
      </w:tr>
      <w:tr w:rsidR="006D35B0" w14:paraId="2022FF54" w14:textId="77777777" w:rsidTr="00923743">
        <w:tc>
          <w:tcPr>
            <w:tcW w:w="523" w:type="dxa"/>
            <w:shd w:val="clear" w:color="auto" w:fill="auto"/>
          </w:tcPr>
          <w:p w14:paraId="0CFDC946" w14:textId="77777777" w:rsidR="006D35B0" w:rsidRPr="006D0BB9" w:rsidRDefault="006D35B0" w:rsidP="006D35B0">
            <w:pPr>
              <w:spacing w:before="120" w:after="120"/>
              <w:rPr>
                <w:szCs w:val="22"/>
              </w:rPr>
            </w:pPr>
          </w:p>
        </w:tc>
        <w:tc>
          <w:tcPr>
            <w:tcW w:w="715" w:type="dxa"/>
          </w:tcPr>
          <w:p w14:paraId="7F1F3B12" w14:textId="77777777" w:rsidR="006D35B0" w:rsidRPr="006D0BB9" w:rsidRDefault="006D35B0" w:rsidP="006D35B0">
            <w:pPr>
              <w:spacing w:before="120" w:after="120"/>
              <w:rPr>
                <w:szCs w:val="22"/>
              </w:rPr>
            </w:pPr>
          </w:p>
        </w:tc>
        <w:tc>
          <w:tcPr>
            <w:tcW w:w="2809" w:type="dxa"/>
            <w:shd w:val="clear" w:color="auto" w:fill="auto"/>
          </w:tcPr>
          <w:p w14:paraId="6C2A2E07" w14:textId="77777777" w:rsidR="006D35B0" w:rsidRPr="006D0BB9" w:rsidRDefault="006D35B0" w:rsidP="006D35B0">
            <w:pPr>
              <w:spacing w:before="120" w:after="120"/>
              <w:rPr>
                <w:szCs w:val="22"/>
              </w:rPr>
            </w:pPr>
            <w:r w:rsidRPr="006D0BB9">
              <w:rPr>
                <w:szCs w:val="22"/>
              </w:rPr>
              <w:t>[25]-[27]</w:t>
            </w:r>
          </w:p>
        </w:tc>
        <w:tc>
          <w:tcPr>
            <w:tcW w:w="2536" w:type="dxa"/>
            <w:shd w:val="clear" w:color="auto" w:fill="auto"/>
          </w:tcPr>
          <w:p w14:paraId="2934B290" w14:textId="77777777" w:rsidR="006D35B0" w:rsidRPr="006D0BB9" w:rsidRDefault="006D35B0" w:rsidP="006D35B0">
            <w:pPr>
              <w:spacing w:before="120" w:after="120"/>
              <w:rPr>
                <w:szCs w:val="22"/>
              </w:rPr>
            </w:pPr>
            <w:r w:rsidRPr="006D0BB9">
              <w:rPr>
                <w:szCs w:val="22"/>
              </w:rPr>
              <w:t>whole</w:t>
            </w:r>
          </w:p>
        </w:tc>
        <w:tc>
          <w:tcPr>
            <w:tcW w:w="2172" w:type="dxa"/>
          </w:tcPr>
          <w:p w14:paraId="65B30711" w14:textId="77777777" w:rsidR="006D35B0" w:rsidRPr="006D0BB9" w:rsidRDefault="006D35B0" w:rsidP="006D35B0">
            <w:pPr>
              <w:spacing w:before="120" w:after="120"/>
              <w:rPr>
                <w:szCs w:val="22"/>
              </w:rPr>
            </w:pPr>
            <w:r w:rsidRPr="006765D3">
              <w:rPr>
                <w:szCs w:val="22"/>
              </w:rPr>
              <w:t>Until further order</w:t>
            </w:r>
          </w:p>
        </w:tc>
      </w:tr>
      <w:tr w:rsidR="006D35B0" w14:paraId="6E9F2F23" w14:textId="77777777" w:rsidTr="00923743">
        <w:tc>
          <w:tcPr>
            <w:tcW w:w="523" w:type="dxa"/>
            <w:shd w:val="clear" w:color="auto" w:fill="auto"/>
          </w:tcPr>
          <w:p w14:paraId="79A9FF6C" w14:textId="77777777" w:rsidR="006D35B0" w:rsidRPr="006D0BB9" w:rsidRDefault="006D35B0" w:rsidP="006D35B0">
            <w:pPr>
              <w:spacing w:before="120" w:after="120"/>
              <w:rPr>
                <w:szCs w:val="22"/>
              </w:rPr>
            </w:pPr>
          </w:p>
        </w:tc>
        <w:tc>
          <w:tcPr>
            <w:tcW w:w="715" w:type="dxa"/>
          </w:tcPr>
          <w:p w14:paraId="09B8BE22" w14:textId="77777777" w:rsidR="006D35B0" w:rsidRPr="006D0BB9" w:rsidRDefault="006D35B0" w:rsidP="006D35B0">
            <w:pPr>
              <w:spacing w:before="120" w:after="120"/>
              <w:rPr>
                <w:szCs w:val="22"/>
              </w:rPr>
            </w:pPr>
          </w:p>
        </w:tc>
        <w:tc>
          <w:tcPr>
            <w:tcW w:w="2809" w:type="dxa"/>
            <w:shd w:val="clear" w:color="auto" w:fill="auto"/>
          </w:tcPr>
          <w:p w14:paraId="0F62E769" w14:textId="77777777" w:rsidR="006D35B0" w:rsidRPr="006D0BB9" w:rsidRDefault="006D35B0" w:rsidP="006D35B0">
            <w:pPr>
              <w:spacing w:before="120" w:after="120"/>
              <w:rPr>
                <w:szCs w:val="22"/>
              </w:rPr>
            </w:pPr>
            <w:r w:rsidRPr="006D0BB9">
              <w:rPr>
                <w:szCs w:val="22"/>
              </w:rPr>
              <w:t>[31]</w:t>
            </w:r>
          </w:p>
        </w:tc>
        <w:tc>
          <w:tcPr>
            <w:tcW w:w="2536" w:type="dxa"/>
            <w:shd w:val="clear" w:color="auto" w:fill="auto"/>
          </w:tcPr>
          <w:p w14:paraId="60545E71" w14:textId="77777777" w:rsidR="006D35B0" w:rsidRPr="006D0BB9" w:rsidRDefault="006D35B0" w:rsidP="006D35B0">
            <w:pPr>
              <w:spacing w:before="120" w:after="120"/>
              <w:rPr>
                <w:szCs w:val="22"/>
              </w:rPr>
            </w:pPr>
            <w:r w:rsidRPr="006D0BB9">
              <w:rPr>
                <w:szCs w:val="22"/>
              </w:rPr>
              <w:t>whole</w:t>
            </w:r>
          </w:p>
        </w:tc>
        <w:tc>
          <w:tcPr>
            <w:tcW w:w="2172" w:type="dxa"/>
          </w:tcPr>
          <w:p w14:paraId="1FB7F0D7" w14:textId="77777777" w:rsidR="006D35B0" w:rsidRPr="006D0BB9" w:rsidRDefault="006D35B0" w:rsidP="006D35B0">
            <w:pPr>
              <w:spacing w:before="120" w:after="120"/>
              <w:rPr>
                <w:szCs w:val="22"/>
              </w:rPr>
            </w:pPr>
            <w:r w:rsidRPr="006765D3">
              <w:rPr>
                <w:szCs w:val="22"/>
              </w:rPr>
              <w:t>Until further order</w:t>
            </w:r>
          </w:p>
        </w:tc>
      </w:tr>
      <w:tr w:rsidR="006D35B0" w14:paraId="5643D9AE" w14:textId="77777777" w:rsidTr="00923743">
        <w:tc>
          <w:tcPr>
            <w:tcW w:w="523" w:type="dxa"/>
            <w:shd w:val="clear" w:color="auto" w:fill="auto"/>
          </w:tcPr>
          <w:p w14:paraId="6BE0330B" w14:textId="77777777" w:rsidR="006D35B0" w:rsidRPr="006D0BB9" w:rsidRDefault="006D35B0" w:rsidP="006D35B0">
            <w:pPr>
              <w:spacing w:before="120" w:after="120"/>
              <w:rPr>
                <w:szCs w:val="22"/>
              </w:rPr>
            </w:pPr>
          </w:p>
        </w:tc>
        <w:tc>
          <w:tcPr>
            <w:tcW w:w="715" w:type="dxa"/>
          </w:tcPr>
          <w:p w14:paraId="13132B67" w14:textId="77777777" w:rsidR="006D35B0" w:rsidRPr="006D0BB9" w:rsidRDefault="006D35B0" w:rsidP="006D35B0">
            <w:pPr>
              <w:spacing w:before="120" w:after="120"/>
              <w:rPr>
                <w:szCs w:val="22"/>
              </w:rPr>
            </w:pPr>
          </w:p>
        </w:tc>
        <w:tc>
          <w:tcPr>
            <w:tcW w:w="2809" w:type="dxa"/>
            <w:shd w:val="clear" w:color="auto" w:fill="auto"/>
          </w:tcPr>
          <w:p w14:paraId="6174D260" w14:textId="77777777" w:rsidR="006D35B0" w:rsidRPr="006D0BB9" w:rsidRDefault="006D35B0" w:rsidP="006D35B0">
            <w:pPr>
              <w:spacing w:before="120" w:after="120"/>
              <w:rPr>
                <w:szCs w:val="22"/>
              </w:rPr>
            </w:pPr>
            <w:r w:rsidRPr="006D0BB9">
              <w:rPr>
                <w:szCs w:val="22"/>
              </w:rPr>
              <w:t>[43]</w:t>
            </w:r>
          </w:p>
        </w:tc>
        <w:tc>
          <w:tcPr>
            <w:tcW w:w="2536" w:type="dxa"/>
            <w:shd w:val="clear" w:color="auto" w:fill="auto"/>
          </w:tcPr>
          <w:p w14:paraId="59B7A369" w14:textId="77777777" w:rsidR="006D35B0" w:rsidRPr="006D0BB9" w:rsidRDefault="006D35B0" w:rsidP="006D35B0">
            <w:pPr>
              <w:spacing w:before="120" w:after="120"/>
              <w:rPr>
                <w:szCs w:val="22"/>
              </w:rPr>
            </w:pPr>
            <w:r w:rsidRPr="006D0BB9">
              <w:rPr>
                <w:szCs w:val="22"/>
              </w:rPr>
              <w:t>From “That abandonment” to end paragraph</w:t>
            </w:r>
          </w:p>
        </w:tc>
        <w:tc>
          <w:tcPr>
            <w:tcW w:w="2172" w:type="dxa"/>
          </w:tcPr>
          <w:p w14:paraId="7504DA9E" w14:textId="77777777" w:rsidR="006D35B0" w:rsidRPr="006D0BB9" w:rsidRDefault="006D35B0" w:rsidP="006D35B0">
            <w:pPr>
              <w:spacing w:before="120" w:after="120"/>
              <w:rPr>
                <w:szCs w:val="22"/>
              </w:rPr>
            </w:pPr>
            <w:r w:rsidRPr="006765D3">
              <w:rPr>
                <w:szCs w:val="22"/>
              </w:rPr>
              <w:t>Until further order</w:t>
            </w:r>
          </w:p>
        </w:tc>
      </w:tr>
      <w:tr w:rsidR="006D35B0" w14:paraId="14021BFA" w14:textId="77777777" w:rsidTr="00923743">
        <w:tc>
          <w:tcPr>
            <w:tcW w:w="523" w:type="dxa"/>
            <w:shd w:val="clear" w:color="auto" w:fill="auto"/>
          </w:tcPr>
          <w:p w14:paraId="0402D2D6" w14:textId="77777777" w:rsidR="006D35B0" w:rsidRPr="006D0BB9" w:rsidRDefault="006D35B0" w:rsidP="006D35B0">
            <w:pPr>
              <w:spacing w:before="120" w:after="120"/>
              <w:rPr>
                <w:szCs w:val="22"/>
              </w:rPr>
            </w:pPr>
          </w:p>
        </w:tc>
        <w:tc>
          <w:tcPr>
            <w:tcW w:w="715" w:type="dxa"/>
          </w:tcPr>
          <w:p w14:paraId="7B5F216C" w14:textId="77777777" w:rsidR="006D35B0" w:rsidRPr="006D0BB9" w:rsidRDefault="006D35B0" w:rsidP="006D35B0">
            <w:pPr>
              <w:spacing w:before="120" w:after="120"/>
              <w:rPr>
                <w:szCs w:val="22"/>
              </w:rPr>
            </w:pPr>
          </w:p>
        </w:tc>
        <w:tc>
          <w:tcPr>
            <w:tcW w:w="2809" w:type="dxa"/>
            <w:shd w:val="clear" w:color="auto" w:fill="auto"/>
          </w:tcPr>
          <w:p w14:paraId="0B922998" w14:textId="77777777" w:rsidR="006D35B0" w:rsidRPr="006D0BB9" w:rsidRDefault="006D35B0" w:rsidP="006D35B0">
            <w:pPr>
              <w:spacing w:before="120" w:after="120"/>
              <w:rPr>
                <w:szCs w:val="22"/>
              </w:rPr>
            </w:pPr>
            <w:r w:rsidRPr="006D0BB9">
              <w:rPr>
                <w:szCs w:val="22"/>
              </w:rPr>
              <w:t>[44]</w:t>
            </w:r>
          </w:p>
        </w:tc>
        <w:tc>
          <w:tcPr>
            <w:tcW w:w="2536" w:type="dxa"/>
            <w:shd w:val="clear" w:color="auto" w:fill="auto"/>
          </w:tcPr>
          <w:p w14:paraId="01525B5A" w14:textId="77777777" w:rsidR="006D35B0" w:rsidRPr="006D0BB9" w:rsidRDefault="006D35B0" w:rsidP="006D35B0">
            <w:pPr>
              <w:spacing w:before="120" w:after="120"/>
              <w:rPr>
                <w:szCs w:val="22"/>
              </w:rPr>
            </w:pPr>
            <w:r w:rsidRPr="006D0BB9">
              <w:rPr>
                <w:szCs w:val="22"/>
              </w:rPr>
              <w:t>whole</w:t>
            </w:r>
          </w:p>
        </w:tc>
        <w:tc>
          <w:tcPr>
            <w:tcW w:w="2172" w:type="dxa"/>
          </w:tcPr>
          <w:p w14:paraId="4F8748D6" w14:textId="77777777" w:rsidR="006D35B0" w:rsidRPr="006D0BB9" w:rsidRDefault="006D35B0" w:rsidP="006D35B0">
            <w:pPr>
              <w:spacing w:before="120" w:after="120"/>
              <w:rPr>
                <w:szCs w:val="22"/>
              </w:rPr>
            </w:pPr>
            <w:r w:rsidRPr="006765D3">
              <w:rPr>
                <w:szCs w:val="22"/>
              </w:rPr>
              <w:t>Until further order</w:t>
            </w:r>
          </w:p>
        </w:tc>
      </w:tr>
      <w:tr w:rsidR="006D35B0" w14:paraId="568B0FC8" w14:textId="77777777" w:rsidTr="00923743">
        <w:tc>
          <w:tcPr>
            <w:tcW w:w="523" w:type="dxa"/>
            <w:shd w:val="clear" w:color="auto" w:fill="auto"/>
          </w:tcPr>
          <w:p w14:paraId="2FF809C8" w14:textId="77777777" w:rsidR="006D35B0" w:rsidRPr="006D0BB9" w:rsidRDefault="006D35B0" w:rsidP="006D35B0">
            <w:pPr>
              <w:spacing w:before="120" w:after="120"/>
              <w:rPr>
                <w:szCs w:val="22"/>
              </w:rPr>
            </w:pPr>
          </w:p>
        </w:tc>
        <w:tc>
          <w:tcPr>
            <w:tcW w:w="715" w:type="dxa"/>
          </w:tcPr>
          <w:p w14:paraId="599C0DD4" w14:textId="77777777" w:rsidR="006D35B0" w:rsidRPr="006D0BB9" w:rsidRDefault="006D35B0" w:rsidP="006D35B0">
            <w:pPr>
              <w:spacing w:before="120" w:after="120"/>
              <w:rPr>
                <w:rFonts w:ascii="Palatino" w:hAnsi="Palatino"/>
              </w:rPr>
            </w:pPr>
          </w:p>
        </w:tc>
        <w:tc>
          <w:tcPr>
            <w:tcW w:w="2809" w:type="dxa"/>
            <w:shd w:val="clear" w:color="auto" w:fill="auto"/>
          </w:tcPr>
          <w:p w14:paraId="52CB657E" w14:textId="77777777" w:rsidR="006D35B0" w:rsidRPr="006D0BB9" w:rsidRDefault="006D35B0" w:rsidP="006D35B0">
            <w:pPr>
              <w:spacing w:before="120" w:after="120"/>
              <w:rPr>
                <w:szCs w:val="22"/>
              </w:rPr>
            </w:pPr>
            <w:r w:rsidRPr="00A87BA9">
              <w:t>[48]</w:t>
            </w:r>
          </w:p>
        </w:tc>
        <w:tc>
          <w:tcPr>
            <w:tcW w:w="2536" w:type="dxa"/>
            <w:shd w:val="clear" w:color="auto" w:fill="auto"/>
          </w:tcPr>
          <w:p w14:paraId="600166B1" w14:textId="77777777" w:rsidR="006D35B0" w:rsidRPr="006D0BB9" w:rsidRDefault="006D35B0" w:rsidP="006D35B0">
            <w:pPr>
              <w:spacing w:before="120" w:after="120"/>
              <w:rPr>
                <w:szCs w:val="22"/>
              </w:rPr>
            </w:pPr>
            <w:r w:rsidRPr="006D0BB9">
              <w:rPr>
                <w:szCs w:val="22"/>
              </w:rPr>
              <w:t>From “We address this below” to end paragraph</w:t>
            </w:r>
          </w:p>
        </w:tc>
        <w:tc>
          <w:tcPr>
            <w:tcW w:w="2172" w:type="dxa"/>
          </w:tcPr>
          <w:p w14:paraId="30CD7EED" w14:textId="77777777" w:rsidR="006D35B0" w:rsidRPr="006D0BB9" w:rsidRDefault="006D35B0" w:rsidP="006D35B0">
            <w:pPr>
              <w:spacing w:before="120" w:after="120"/>
              <w:rPr>
                <w:szCs w:val="22"/>
              </w:rPr>
            </w:pPr>
            <w:r w:rsidRPr="006765D3">
              <w:rPr>
                <w:szCs w:val="22"/>
              </w:rPr>
              <w:t>Until further order</w:t>
            </w:r>
          </w:p>
        </w:tc>
      </w:tr>
      <w:tr w:rsidR="006D35B0" w14:paraId="437EA122" w14:textId="77777777" w:rsidTr="00923743">
        <w:tc>
          <w:tcPr>
            <w:tcW w:w="523" w:type="dxa"/>
            <w:shd w:val="clear" w:color="auto" w:fill="auto"/>
          </w:tcPr>
          <w:p w14:paraId="2FE942A6" w14:textId="77777777" w:rsidR="006D35B0" w:rsidRPr="006D0BB9" w:rsidRDefault="006D35B0" w:rsidP="006D35B0">
            <w:pPr>
              <w:spacing w:before="120" w:after="120"/>
              <w:rPr>
                <w:szCs w:val="22"/>
              </w:rPr>
            </w:pPr>
          </w:p>
        </w:tc>
        <w:tc>
          <w:tcPr>
            <w:tcW w:w="715" w:type="dxa"/>
          </w:tcPr>
          <w:p w14:paraId="22AEAFBA" w14:textId="77777777" w:rsidR="006D35B0" w:rsidRPr="006D0BB9" w:rsidRDefault="006D35B0" w:rsidP="006D35B0">
            <w:pPr>
              <w:spacing w:before="120" w:after="120"/>
              <w:rPr>
                <w:rFonts w:ascii="Palatino" w:hAnsi="Palatino"/>
              </w:rPr>
            </w:pPr>
          </w:p>
        </w:tc>
        <w:tc>
          <w:tcPr>
            <w:tcW w:w="2809" w:type="dxa"/>
            <w:shd w:val="clear" w:color="auto" w:fill="auto"/>
          </w:tcPr>
          <w:p w14:paraId="229828BF" w14:textId="77777777" w:rsidR="006D35B0" w:rsidRPr="006D0BB9" w:rsidRDefault="006D35B0" w:rsidP="006D35B0">
            <w:pPr>
              <w:spacing w:before="120" w:after="120"/>
              <w:rPr>
                <w:szCs w:val="22"/>
              </w:rPr>
            </w:pPr>
            <w:r w:rsidRPr="00A87BA9">
              <w:t>[49]</w:t>
            </w:r>
          </w:p>
        </w:tc>
        <w:tc>
          <w:tcPr>
            <w:tcW w:w="2536" w:type="dxa"/>
            <w:shd w:val="clear" w:color="auto" w:fill="auto"/>
          </w:tcPr>
          <w:p w14:paraId="425FE760" w14:textId="77777777" w:rsidR="006D35B0" w:rsidRPr="006D0BB9" w:rsidRDefault="006D35B0" w:rsidP="006D35B0">
            <w:pPr>
              <w:spacing w:before="120" w:after="120"/>
              <w:rPr>
                <w:szCs w:val="22"/>
              </w:rPr>
            </w:pPr>
            <w:r w:rsidRPr="006D0BB9">
              <w:rPr>
                <w:szCs w:val="22"/>
              </w:rPr>
              <w:t>From “Having analysed” to end paragraph</w:t>
            </w:r>
          </w:p>
        </w:tc>
        <w:tc>
          <w:tcPr>
            <w:tcW w:w="2172" w:type="dxa"/>
          </w:tcPr>
          <w:p w14:paraId="743C2C5B" w14:textId="77777777" w:rsidR="006D35B0" w:rsidRPr="006D0BB9" w:rsidRDefault="006D35B0" w:rsidP="006D35B0">
            <w:pPr>
              <w:spacing w:before="120" w:after="120"/>
              <w:rPr>
                <w:szCs w:val="22"/>
              </w:rPr>
            </w:pPr>
            <w:r w:rsidRPr="006765D3">
              <w:rPr>
                <w:szCs w:val="22"/>
              </w:rPr>
              <w:t>Until further order</w:t>
            </w:r>
          </w:p>
        </w:tc>
      </w:tr>
      <w:tr w:rsidR="006D35B0" w14:paraId="52056A0E" w14:textId="77777777" w:rsidTr="00923743">
        <w:tc>
          <w:tcPr>
            <w:tcW w:w="523" w:type="dxa"/>
            <w:shd w:val="clear" w:color="auto" w:fill="auto"/>
          </w:tcPr>
          <w:p w14:paraId="6BF87BC7" w14:textId="77777777" w:rsidR="006D35B0" w:rsidRPr="006D0BB9" w:rsidRDefault="006D35B0" w:rsidP="006D35B0">
            <w:pPr>
              <w:spacing w:before="120" w:after="120"/>
              <w:rPr>
                <w:szCs w:val="22"/>
              </w:rPr>
            </w:pPr>
          </w:p>
        </w:tc>
        <w:tc>
          <w:tcPr>
            <w:tcW w:w="715" w:type="dxa"/>
          </w:tcPr>
          <w:p w14:paraId="36B166BF" w14:textId="77777777" w:rsidR="006D35B0" w:rsidRPr="006D0BB9" w:rsidRDefault="006D35B0" w:rsidP="006D35B0">
            <w:pPr>
              <w:spacing w:before="120" w:after="120"/>
              <w:rPr>
                <w:rFonts w:ascii="Palatino" w:hAnsi="Palatino"/>
              </w:rPr>
            </w:pPr>
          </w:p>
        </w:tc>
        <w:tc>
          <w:tcPr>
            <w:tcW w:w="2809" w:type="dxa"/>
            <w:shd w:val="clear" w:color="auto" w:fill="auto"/>
          </w:tcPr>
          <w:p w14:paraId="4EBF8521" w14:textId="77777777" w:rsidR="006D35B0" w:rsidRPr="006D0BB9" w:rsidRDefault="006D35B0" w:rsidP="006D35B0">
            <w:pPr>
              <w:spacing w:before="120" w:after="120"/>
              <w:rPr>
                <w:szCs w:val="22"/>
              </w:rPr>
            </w:pPr>
            <w:r w:rsidRPr="00A87BA9">
              <w:t>[50]</w:t>
            </w:r>
          </w:p>
        </w:tc>
        <w:tc>
          <w:tcPr>
            <w:tcW w:w="2536" w:type="dxa"/>
            <w:shd w:val="clear" w:color="auto" w:fill="auto"/>
          </w:tcPr>
          <w:p w14:paraId="2463115E" w14:textId="77777777" w:rsidR="006D35B0" w:rsidRPr="006D0BB9" w:rsidRDefault="006D35B0" w:rsidP="006D35B0">
            <w:pPr>
              <w:spacing w:before="120" w:after="120"/>
              <w:rPr>
                <w:szCs w:val="22"/>
              </w:rPr>
            </w:pPr>
            <w:r w:rsidRPr="006D0BB9">
              <w:rPr>
                <w:szCs w:val="22"/>
              </w:rPr>
              <w:t>Whole</w:t>
            </w:r>
          </w:p>
        </w:tc>
        <w:tc>
          <w:tcPr>
            <w:tcW w:w="2172" w:type="dxa"/>
          </w:tcPr>
          <w:p w14:paraId="079DF67A" w14:textId="77777777" w:rsidR="006D35B0" w:rsidRPr="006D0BB9" w:rsidRDefault="006D35B0" w:rsidP="006D35B0">
            <w:pPr>
              <w:spacing w:before="120" w:after="120"/>
              <w:rPr>
                <w:szCs w:val="22"/>
              </w:rPr>
            </w:pPr>
            <w:r w:rsidRPr="006765D3">
              <w:rPr>
                <w:szCs w:val="22"/>
              </w:rPr>
              <w:t>Until further order</w:t>
            </w:r>
          </w:p>
        </w:tc>
      </w:tr>
      <w:tr w:rsidR="006D35B0" w14:paraId="12E16EB0" w14:textId="77777777" w:rsidTr="00923743">
        <w:tc>
          <w:tcPr>
            <w:tcW w:w="523" w:type="dxa"/>
            <w:shd w:val="clear" w:color="auto" w:fill="auto"/>
          </w:tcPr>
          <w:p w14:paraId="34C27CB8" w14:textId="77777777" w:rsidR="006D35B0" w:rsidRPr="006D0BB9" w:rsidRDefault="006D35B0" w:rsidP="006D35B0">
            <w:pPr>
              <w:spacing w:before="120" w:after="120"/>
              <w:rPr>
                <w:szCs w:val="22"/>
              </w:rPr>
            </w:pPr>
          </w:p>
        </w:tc>
        <w:tc>
          <w:tcPr>
            <w:tcW w:w="715" w:type="dxa"/>
          </w:tcPr>
          <w:p w14:paraId="24376C52" w14:textId="77777777" w:rsidR="006D35B0" w:rsidRPr="006D0BB9" w:rsidRDefault="006D35B0" w:rsidP="006D35B0">
            <w:pPr>
              <w:spacing w:before="120" w:after="120"/>
              <w:rPr>
                <w:rFonts w:ascii="Palatino" w:hAnsi="Palatino"/>
              </w:rPr>
            </w:pPr>
          </w:p>
        </w:tc>
        <w:tc>
          <w:tcPr>
            <w:tcW w:w="2809" w:type="dxa"/>
            <w:shd w:val="clear" w:color="auto" w:fill="auto"/>
          </w:tcPr>
          <w:p w14:paraId="7D435895" w14:textId="77777777" w:rsidR="006D35B0" w:rsidRPr="006D0BB9" w:rsidRDefault="006D35B0" w:rsidP="006D35B0">
            <w:pPr>
              <w:spacing w:before="120" w:after="120"/>
              <w:rPr>
                <w:szCs w:val="22"/>
              </w:rPr>
            </w:pPr>
            <w:r w:rsidRPr="00A87BA9">
              <w:t>[52-62]</w:t>
            </w:r>
          </w:p>
        </w:tc>
        <w:tc>
          <w:tcPr>
            <w:tcW w:w="2536" w:type="dxa"/>
            <w:shd w:val="clear" w:color="auto" w:fill="auto"/>
          </w:tcPr>
          <w:p w14:paraId="1BAA4152" w14:textId="77777777" w:rsidR="006D35B0" w:rsidRPr="006D0BB9" w:rsidRDefault="006D35B0" w:rsidP="006D35B0">
            <w:pPr>
              <w:spacing w:before="120" w:after="120"/>
              <w:rPr>
                <w:szCs w:val="22"/>
              </w:rPr>
            </w:pPr>
            <w:r w:rsidRPr="006D0BB9">
              <w:rPr>
                <w:szCs w:val="22"/>
              </w:rPr>
              <w:t>Whole</w:t>
            </w:r>
          </w:p>
        </w:tc>
        <w:tc>
          <w:tcPr>
            <w:tcW w:w="2172" w:type="dxa"/>
          </w:tcPr>
          <w:p w14:paraId="6D989D8F" w14:textId="77777777" w:rsidR="006D35B0" w:rsidRPr="006D0BB9" w:rsidRDefault="006D35B0" w:rsidP="006D35B0">
            <w:pPr>
              <w:spacing w:before="120" w:after="120"/>
              <w:rPr>
                <w:szCs w:val="22"/>
              </w:rPr>
            </w:pPr>
            <w:r w:rsidRPr="006765D3">
              <w:rPr>
                <w:szCs w:val="22"/>
              </w:rPr>
              <w:t>Until further order</w:t>
            </w:r>
          </w:p>
        </w:tc>
      </w:tr>
      <w:tr w:rsidR="006D35B0" w14:paraId="7326AFE4" w14:textId="77777777" w:rsidTr="00923743">
        <w:tc>
          <w:tcPr>
            <w:tcW w:w="523" w:type="dxa"/>
            <w:shd w:val="clear" w:color="auto" w:fill="auto"/>
          </w:tcPr>
          <w:p w14:paraId="6D60139A" w14:textId="77777777" w:rsidR="006D35B0" w:rsidRPr="006D0BB9" w:rsidRDefault="006D35B0" w:rsidP="006D35B0">
            <w:pPr>
              <w:spacing w:before="120" w:after="120"/>
              <w:rPr>
                <w:szCs w:val="22"/>
              </w:rPr>
            </w:pPr>
          </w:p>
        </w:tc>
        <w:tc>
          <w:tcPr>
            <w:tcW w:w="715" w:type="dxa"/>
          </w:tcPr>
          <w:p w14:paraId="19DCE798" w14:textId="77777777" w:rsidR="006D35B0" w:rsidRPr="006D0BB9" w:rsidRDefault="006D35B0" w:rsidP="006D35B0">
            <w:pPr>
              <w:spacing w:before="120" w:after="120"/>
              <w:rPr>
                <w:rFonts w:ascii="Palatino" w:hAnsi="Palatino"/>
              </w:rPr>
            </w:pPr>
          </w:p>
        </w:tc>
        <w:tc>
          <w:tcPr>
            <w:tcW w:w="2809" w:type="dxa"/>
            <w:shd w:val="clear" w:color="auto" w:fill="auto"/>
          </w:tcPr>
          <w:p w14:paraId="4AAD7461" w14:textId="77777777" w:rsidR="006D35B0" w:rsidRPr="006D0BB9" w:rsidRDefault="006D35B0" w:rsidP="006D35B0">
            <w:pPr>
              <w:spacing w:before="120" w:after="120"/>
              <w:rPr>
                <w:szCs w:val="22"/>
              </w:rPr>
            </w:pPr>
            <w:r w:rsidRPr="00A87BA9">
              <w:t>[66]</w:t>
            </w:r>
          </w:p>
        </w:tc>
        <w:tc>
          <w:tcPr>
            <w:tcW w:w="2536" w:type="dxa"/>
            <w:shd w:val="clear" w:color="auto" w:fill="auto"/>
          </w:tcPr>
          <w:p w14:paraId="7B5695FC" w14:textId="77777777" w:rsidR="006D35B0" w:rsidRPr="006D0BB9" w:rsidRDefault="006D35B0" w:rsidP="006D35B0">
            <w:pPr>
              <w:spacing w:before="120" w:after="120"/>
              <w:rPr>
                <w:szCs w:val="22"/>
              </w:rPr>
            </w:pPr>
            <w:r w:rsidRPr="006D0BB9">
              <w:rPr>
                <w:szCs w:val="22"/>
              </w:rPr>
              <w:t>The words in parentheses</w:t>
            </w:r>
          </w:p>
        </w:tc>
        <w:tc>
          <w:tcPr>
            <w:tcW w:w="2172" w:type="dxa"/>
          </w:tcPr>
          <w:p w14:paraId="43C4E234" w14:textId="77777777" w:rsidR="006D35B0" w:rsidRPr="006D0BB9" w:rsidRDefault="006D35B0" w:rsidP="006D35B0">
            <w:pPr>
              <w:spacing w:before="120" w:after="120"/>
              <w:rPr>
                <w:szCs w:val="22"/>
              </w:rPr>
            </w:pPr>
            <w:r w:rsidRPr="006765D3">
              <w:rPr>
                <w:szCs w:val="22"/>
              </w:rPr>
              <w:t>Until further order</w:t>
            </w:r>
          </w:p>
        </w:tc>
      </w:tr>
      <w:tr w:rsidR="006D35B0" w14:paraId="4EADF9ED" w14:textId="77777777" w:rsidTr="00923743">
        <w:tc>
          <w:tcPr>
            <w:tcW w:w="523" w:type="dxa"/>
            <w:shd w:val="clear" w:color="auto" w:fill="auto"/>
          </w:tcPr>
          <w:p w14:paraId="2E36B737" w14:textId="77777777" w:rsidR="006D35B0" w:rsidRPr="006D0BB9" w:rsidRDefault="006D35B0" w:rsidP="006D35B0">
            <w:pPr>
              <w:spacing w:before="120" w:after="120"/>
              <w:rPr>
                <w:szCs w:val="22"/>
              </w:rPr>
            </w:pPr>
          </w:p>
        </w:tc>
        <w:tc>
          <w:tcPr>
            <w:tcW w:w="715" w:type="dxa"/>
          </w:tcPr>
          <w:p w14:paraId="041F765A" w14:textId="77777777" w:rsidR="006D35B0" w:rsidRPr="006D0BB9" w:rsidRDefault="006D35B0" w:rsidP="006D35B0">
            <w:pPr>
              <w:spacing w:before="120" w:after="120"/>
              <w:rPr>
                <w:rFonts w:ascii="Palatino" w:hAnsi="Palatino"/>
              </w:rPr>
            </w:pPr>
          </w:p>
        </w:tc>
        <w:tc>
          <w:tcPr>
            <w:tcW w:w="2809" w:type="dxa"/>
            <w:shd w:val="clear" w:color="auto" w:fill="auto"/>
          </w:tcPr>
          <w:p w14:paraId="460C051B" w14:textId="77777777" w:rsidR="006D35B0" w:rsidRPr="006D0BB9" w:rsidRDefault="006D35B0" w:rsidP="006D35B0">
            <w:pPr>
              <w:spacing w:before="120" w:after="120"/>
              <w:rPr>
                <w:szCs w:val="22"/>
              </w:rPr>
            </w:pPr>
            <w:r w:rsidRPr="00A87BA9">
              <w:t>[67]</w:t>
            </w:r>
          </w:p>
        </w:tc>
        <w:tc>
          <w:tcPr>
            <w:tcW w:w="2536" w:type="dxa"/>
            <w:shd w:val="clear" w:color="auto" w:fill="auto"/>
          </w:tcPr>
          <w:p w14:paraId="562CAF4E" w14:textId="77777777" w:rsidR="006D35B0" w:rsidRPr="006D0BB9" w:rsidRDefault="006D35B0" w:rsidP="006D35B0">
            <w:pPr>
              <w:spacing w:before="120" w:after="120"/>
              <w:rPr>
                <w:szCs w:val="22"/>
              </w:rPr>
            </w:pPr>
            <w:r w:rsidRPr="006D0BB9">
              <w:rPr>
                <w:szCs w:val="22"/>
              </w:rPr>
              <w:t>Contents of footnote 45.</w:t>
            </w:r>
          </w:p>
        </w:tc>
        <w:tc>
          <w:tcPr>
            <w:tcW w:w="2172" w:type="dxa"/>
          </w:tcPr>
          <w:p w14:paraId="0B4E1CA7" w14:textId="77777777" w:rsidR="006D35B0" w:rsidRPr="006D0BB9" w:rsidRDefault="006D35B0" w:rsidP="006D35B0">
            <w:pPr>
              <w:spacing w:before="120" w:after="120"/>
              <w:rPr>
                <w:szCs w:val="22"/>
              </w:rPr>
            </w:pPr>
            <w:r w:rsidRPr="006765D3">
              <w:rPr>
                <w:szCs w:val="22"/>
              </w:rPr>
              <w:t>Until further order</w:t>
            </w:r>
          </w:p>
        </w:tc>
      </w:tr>
      <w:tr w:rsidR="006D35B0" w14:paraId="206BBACA" w14:textId="77777777" w:rsidTr="00923743">
        <w:tc>
          <w:tcPr>
            <w:tcW w:w="523" w:type="dxa"/>
            <w:shd w:val="clear" w:color="auto" w:fill="auto"/>
          </w:tcPr>
          <w:p w14:paraId="0359C8FA" w14:textId="77777777" w:rsidR="006D35B0" w:rsidRPr="006D0BB9" w:rsidRDefault="006D35B0" w:rsidP="006D35B0">
            <w:pPr>
              <w:spacing w:before="120" w:after="120"/>
              <w:rPr>
                <w:szCs w:val="22"/>
              </w:rPr>
            </w:pPr>
          </w:p>
        </w:tc>
        <w:tc>
          <w:tcPr>
            <w:tcW w:w="715" w:type="dxa"/>
          </w:tcPr>
          <w:p w14:paraId="267FC410" w14:textId="77777777" w:rsidR="006D35B0" w:rsidRPr="006D0BB9" w:rsidRDefault="006D35B0" w:rsidP="006D35B0">
            <w:pPr>
              <w:spacing w:before="120" w:after="120"/>
              <w:rPr>
                <w:rFonts w:ascii="Palatino" w:hAnsi="Palatino"/>
              </w:rPr>
            </w:pPr>
          </w:p>
        </w:tc>
        <w:tc>
          <w:tcPr>
            <w:tcW w:w="2809" w:type="dxa"/>
            <w:shd w:val="clear" w:color="auto" w:fill="auto"/>
          </w:tcPr>
          <w:p w14:paraId="0E9157DB" w14:textId="77777777" w:rsidR="006D35B0" w:rsidRPr="006D0BB9" w:rsidRDefault="006D35B0" w:rsidP="006D35B0">
            <w:pPr>
              <w:spacing w:before="120" w:after="120"/>
              <w:rPr>
                <w:szCs w:val="22"/>
              </w:rPr>
            </w:pPr>
            <w:r w:rsidRPr="00A87BA9">
              <w:t>[69]</w:t>
            </w:r>
          </w:p>
        </w:tc>
        <w:tc>
          <w:tcPr>
            <w:tcW w:w="2536" w:type="dxa"/>
            <w:shd w:val="clear" w:color="auto" w:fill="auto"/>
          </w:tcPr>
          <w:p w14:paraId="78E42F51" w14:textId="77777777" w:rsidR="006D35B0" w:rsidRPr="006D0BB9" w:rsidRDefault="006D35B0" w:rsidP="006D35B0">
            <w:pPr>
              <w:spacing w:before="120" w:after="120"/>
              <w:rPr>
                <w:szCs w:val="22"/>
              </w:rPr>
            </w:pPr>
            <w:r w:rsidRPr="006D0BB9">
              <w:rPr>
                <w:szCs w:val="22"/>
              </w:rPr>
              <w:t>The words “it appears” in the first line to “the litigation funder” in the penultimate line</w:t>
            </w:r>
          </w:p>
        </w:tc>
        <w:tc>
          <w:tcPr>
            <w:tcW w:w="2172" w:type="dxa"/>
          </w:tcPr>
          <w:p w14:paraId="64F8308F" w14:textId="77777777" w:rsidR="006D35B0" w:rsidRPr="006D0BB9" w:rsidRDefault="006D35B0" w:rsidP="006D35B0">
            <w:pPr>
              <w:spacing w:before="120" w:after="120"/>
              <w:rPr>
                <w:szCs w:val="22"/>
              </w:rPr>
            </w:pPr>
            <w:r w:rsidRPr="006765D3">
              <w:rPr>
                <w:szCs w:val="22"/>
              </w:rPr>
              <w:t>Until further order</w:t>
            </w:r>
          </w:p>
        </w:tc>
      </w:tr>
      <w:tr w:rsidR="006D35B0" w14:paraId="0ADC2127" w14:textId="77777777" w:rsidTr="00923743">
        <w:tc>
          <w:tcPr>
            <w:tcW w:w="523" w:type="dxa"/>
            <w:shd w:val="clear" w:color="auto" w:fill="auto"/>
          </w:tcPr>
          <w:p w14:paraId="5FE98CE1" w14:textId="77777777" w:rsidR="006D35B0" w:rsidRPr="006D0BB9" w:rsidRDefault="006D35B0" w:rsidP="006D35B0">
            <w:pPr>
              <w:spacing w:before="120" w:after="120"/>
              <w:rPr>
                <w:szCs w:val="22"/>
              </w:rPr>
            </w:pPr>
          </w:p>
        </w:tc>
        <w:tc>
          <w:tcPr>
            <w:tcW w:w="715" w:type="dxa"/>
          </w:tcPr>
          <w:p w14:paraId="1DCE881B" w14:textId="77777777" w:rsidR="006D35B0" w:rsidRPr="006D0BB9" w:rsidRDefault="006D35B0" w:rsidP="006D35B0">
            <w:pPr>
              <w:spacing w:before="120" w:after="120"/>
              <w:rPr>
                <w:rFonts w:ascii="Palatino" w:hAnsi="Palatino"/>
              </w:rPr>
            </w:pPr>
          </w:p>
        </w:tc>
        <w:tc>
          <w:tcPr>
            <w:tcW w:w="2809" w:type="dxa"/>
            <w:shd w:val="clear" w:color="auto" w:fill="auto"/>
          </w:tcPr>
          <w:p w14:paraId="17482AA9" w14:textId="77777777" w:rsidR="006D35B0" w:rsidRPr="006D0BB9" w:rsidRDefault="006D35B0" w:rsidP="006D35B0">
            <w:pPr>
              <w:spacing w:before="120" w:after="120"/>
              <w:rPr>
                <w:szCs w:val="22"/>
              </w:rPr>
            </w:pPr>
            <w:r w:rsidRPr="00A87BA9">
              <w:t>[70]</w:t>
            </w:r>
          </w:p>
        </w:tc>
        <w:tc>
          <w:tcPr>
            <w:tcW w:w="2536" w:type="dxa"/>
            <w:shd w:val="clear" w:color="auto" w:fill="auto"/>
          </w:tcPr>
          <w:p w14:paraId="4699475F" w14:textId="77777777" w:rsidR="006D35B0" w:rsidRPr="006D0BB9" w:rsidRDefault="006D35B0" w:rsidP="006D35B0">
            <w:pPr>
              <w:spacing w:before="120" w:after="120"/>
              <w:rPr>
                <w:szCs w:val="22"/>
              </w:rPr>
            </w:pPr>
            <w:r w:rsidRPr="006D0BB9">
              <w:rPr>
                <w:szCs w:val="22"/>
              </w:rPr>
              <w:t>Whole</w:t>
            </w:r>
          </w:p>
        </w:tc>
        <w:tc>
          <w:tcPr>
            <w:tcW w:w="2172" w:type="dxa"/>
          </w:tcPr>
          <w:p w14:paraId="0153E746" w14:textId="77777777" w:rsidR="006D35B0" w:rsidRPr="006D0BB9" w:rsidRDefault="006D35B0" w:rsidP="006D35B0">
            <w:pPr>
              <w:spacing w:before="120" w:after="120"/>
              <w:rPr>
                <w:szCs w:val="22"/>
              </w:rPr>
            </w:pPr>
            <w:r w:rsidRPr="006765D3">
              <w:rPr>
                <w:szCs w:val="22"/>
              </w:rPr>
              <w:t>Until further order</w:t>
            </w:r>
          </w:p>
        </w:tc>
      </w:tr>
      <w:tr w:rsidR="006D35B0" w14:paraId="544A17F5" w14:textId="77777777" w:rsidTr="00923743">
        <w:tc>
          <w:tcPr>
            <w:tcW w:w="523" w:type="dxa"/>
            <w:shd w:val="clear" w:color="auto" w:fill="auto"/>
          </w:tcPr>
          <w:p w14:paraId="39F09BE7" w14:textId="77777777" w:rsidR="006D35B0" w:rsidRPr="006D0BB9" w:rsidRDefault="006D35B0" w:rsidP="006D35B0">
            <w:pPr>
              <w:spacing w:before="120" w:after="120"/>
              <w:rPr>
                <w:szCs w:val="22"/>
              </w:rPr>
            </w:pPr>
          </w:p>
        </w:tc>
        <w:tc>
          <w:tcPr>
            <w:tcW w:w="715" w:type="dxa"/>
          </w:tcPr>
          <w:p w14:paraId="5E99BDE0" w14:textId="77777777" w:rsidR="006D35B0" w:rsidRPr="006D0BB9" w:rsidRDefault="006D35B0" w:rsidP="006D35B0">
            <w:pPr>
              <w:spacing w:before="120" w:after="120"/>
              <w:rPr>
                <w:rFonts w:ascii="Palatino" w:hAnsi="Palatino"/>
              </w:rPr>
            </w:pPr>
          </w:p>
        </w:tc>
        <w:tc>
          <w:tcPr>
            <w:tcW w:w="2809" w:type="dxa"/>
            <w:shd w:val="clear" w:color="auto" w:fill="auto"/>
          </w:tcPr>
          <w:p w14:paraId="4B163183" w14:textId="77777777" w:rsidR="006D35B0" w:rsidRPr="006D0BB9" w:rsidRDefault="006D35B0" w:rsidP="006D35B0">
            <w:pPr>
              <w:spacing w:before="120" w:after="120"/>
              <w:rPr>
                <w:szCs w:val="22"/>
              </w:rPr>
            </w:pPr>
            <w:r w:rsidRPr="00A87BA9">
              <w:t>[74]</w:t>
            </w:r>
          </w:p>
        </w:tc>
        <w:tc>
          <w:tcPr>
            <w:tcW w:w="2536" w:type="dxa"/>
            <w:shd w:val="clear" w:color="auto" w:fill="auto"/>
          </w:tcPr>
          <w:p w14:paraId="2D764116" w14:textId="77777777" w:rsidR="006D35B0" w:rsidRPr="006D0BB9" w:rsidRDefault="006D35B0" w:rsidP="006D35B0">
            <w:pPr>
              <w:spacing w:before="120" w:after="120"/>
              <w:rPr>
                <w:szCs w:val="22"/>
              </w:rPr>
            </w:pPr>
            <w:r w:rsidRPr="006D0BB9">
              <w:rPr>
                <w:szCs w:val="22"/>
              </w:rPr>
              <w:t>Whole</w:t>
            </w:r>
          </w:p>
        </w:tc>
        <w:tc>
          <w:tcPr>
            <w:tcW w:w="2172" w:type="dxa"/>
          </w:tcPr>
          <w:p w14:paraId="2CABC24F" w14:textId="77777777" w:rsidR="006D35B0" w:rsidRPr="006D0BB9" w:rsidRDefault="006D35B0" w:rsidP="006D35B0">
            <w:pPr>
              <w:spacing w:before="120" w:after="120"/>
              <w:rPr>
                <w:szCs w:val="22"/>
              </w:rPr>
            </w:pPr>
            <w:r w:rsidRPr="006765D3">
              <w:rPr>
                <w:szCs w:val="22"/>
              </w:rPr>
              <w:t>Until further order</w:t>
            </w:r>
          </w:p>
        </w:tc>
      </w:tr>
      <w:tr w:rsidR="006D35B0" w14:paraId="7F39296A" w14:textId="77777777" w:rsidTr="00923743">
        <w:tc>
          <w:tcPr>
            <w:tcW w:w="523" w:type="dxa"/>
            <w:shd w:val="clear" w:color="auto" w:fill="auto"/>
          </w:tcPr>
          <w:p w14:paraId="3985E1E1" w14:textId="77777777" w:rsidR="006D35B0" w:rsidRPr="006D0BB9" w:rsidRDefault="006D35B0" w:rsidP="006D35B0">
            <w:pPr>
              <w:spacing w:before="120" w:after="120"/>
              <w:rPr>
                <w:szCs w:val="22"/>
              </w:rPr>
            </w:pPr>
          </w:p>
        </w:tc>
        <w:tc>
          <w:tcPr>
            <w:tcW w:w="715" w:type="dxa"/>
          </w:tcPr>
          <w:p w14:paraId="60374057" w14:textId="77777777" w:rsidR="006D35B0" w:rsidRPr="006D0BB9" w:rsidRDefault="006D35B0" w:rsidP="006D35B0">
            <w:pPr>
              <w:spacing w:before="120" w:after="120"/>
              <w:rPr>
                <w:rFonts w:ascii="Palatino" w:hAnsi="Palatino"/>
              </w:rPr>
            </w:pPr>
          </w:p>
        </w:tc>
        <w:tc>
          <w:tcPr>
            <w:tcW w:w="2809" w:type="dxa"/>
            <w:shd w:val="clear" w:color="auto" w:fill="auto"/>
          </w:tcPr>
          <w:p w14:paraId="42AC2E02" w14:textId="77777777" w:rsidR="006D35B0" w:rsidRPr="006D0BB9" w:rsidRDefault="006D35B0" w:rsidP="006D35B0">
            <w:pPr>
              <w:spacing w:before="120" w:after="120"/>
              <w:rPr>
                <w:szCs w:val="22"/>
              </w:rPr>
            </w:pPr>
            <w:r w:rsidRPr="00A87BA9">
              <w:t>[79(a)]</w:t>
            </w:r>
          </w:p>
        </w:tc>
        <w:tc>
          <w:tcPr>
            <w:tcW w:w="2536" w:type="dxa"/>
            <w:shd w:val="clear" w:color="auto" w:fill="auto"/>
          </w:tcPr>
          <w:p w14:paraId="626DEBD9" w14:textId="77777777" w:rsidR="006D35B0" w:rsidRPr="006D0BB9" w:rsidRDefault="006D35B0" w:rsidP="006D35B0">
            <w:pPr>
              <w:spacing w:before="120" w:after="120"/>
              <w:rPr>
                <w:szCs w:val="22"/>
              </w:rPr>
            </w:pPr>
            <w:r w:rsidRPr="006D0BB9">
              <w:rPr>
                <w:szCs w:val="22"/>
              </w:rPr>
              <w:t>The words “having regard … the evidence,”</w:t>
            </w:r>
          </w:p>
        </w:tc>
        <w:tc>
          <w:tcPr>
            <w:tcW w:w="2172" w:type="dxa"/>
          </w:tcPr>
          <w:p w14:paraId="2DFDDDF7" w14:textId="77777777" w:rsidR="006D35B0" w:rsidRPr="006D0BB9" w:rsidRDefault="006D35B0" w:rsidP="006D35B0">
            <w:pPr>
              <w:spacing w:before="120" w:after="120"/>
              <w:rPr>
                <w:szCs w:val="22"/>
              </w:rPr>
            </w:pPr>
            <w:r w:rsidRPr="006765D3">
              <w:rPr>
                <w:szCs w:val="22"/>
              </w:rPr>
              <w:t>Until further order</w:t>
            </w:r>
          </w:p>
        </w:tc>
      </w:tr>
      <w:tr w:rsidR="006D35B0" w14:paraId="2EACF260" w14:textId="77777777" w:rsidTr="00923743">
        <w:tc>
          <w:tcPr>
            <w:tcW w:w="523" w:type="dxa"/>
            <w:shd w:val="clear" w:color="auto" w:fill="auto"/>
          </w:tcPr>
          <w:p w14:paraId="4EF6BBCC" w14:textId="77777777" w:rsidR="006D35B0" w:rsidRPr="006D0BB9" w:rsidRDefault="006D35B0" w:rsidP="006D35B0">
            <w:pPr>
              <w:spacing w:before="120" w:after="120"/>
              <w:rPr>
                <w:szCs w:val="22"/>
              </w:rPr>
            </w:pPr>
          </w:p>
        </w:tc>
        <w:tc>
          <w:tcPr>
            <w:tcW w:w="715" w:type="dxa"/>
          </w:tcPr>
          <w:p w14:paraId="6A8F5759" w14:textId="77777777" w:rsidR="006D35B0" w:rsidRPr="006D0BB9" w:rsidRDefault="006D35B0" w:rsidP="006D35B0">
            <w:pPr>
              <w:spacing w:before="120" w:after="120"/>
              <w:rPr>
                <w:rFonts w:ascii="Palatino" w:hAnsi="Palatino"/>
              </w:rPr>
            </w:pPr>
          </w:p>
        </w:tc>
        <w:tc>
          <w:tcPr>
            <w:tcW w:w="2809" w:type="dxa"/>
            <w:shd w:val="clear" w:color="auto" w:fill="auto"/>
          </w:tcPr>
          <w:p w14:paraId="1816F429" w14:textId="77777777" w:rsidR="006D35B0" w:rsidRPr="006D0BB9" w:rsidRDefault="006D35B0" w:rsidP="006D35B0">
            <w:pPr>
              <w:spacing w:before="120" w:after="120"/>
              <w:rPr>
                <w:szCs w:val="22"/>
              </w:rPr>
            </w:pPr>
            <w:r w:rsidRPr="00A87BA9">
              <w:t>[100]-[101]</w:t>
            </w:r>
          </w:p>
        </w:tc>
        <w:tc>
          <w:tcPr>
            <w:tcW w:w="2536" w:type="dxa"/>
            <w:shd w:val="clear" w:color="auto" w:fill="auto"/>
          </w:tcPr>
          <w:p w14:paraId="43A181EA" w14:textId="77777777" w:rsidR="006D35B0" w:rsidRPr="006D0BB9" w:rsidRDefault="006D35B0" w:rsidP="006D35B0">
            <w:pPr>
              <w:spacing w:before="120" w:after="120"/>
              <w:rPr>
                <w:szCs w:val="22"/>
              </w:rPr>
            </w:pPr>
            <w:r w:rsidRPr="006D0BB9">
              <w:rPr>
                <w:szCs w:val="22"/>
              </w:rPr>
              <w:t>Whole</w:t>
            </w:r>
          </w:p>
        </w:tc>
        <w:tc>
          <w:tcPr>
            <w:tcW w:w="2172" w:type="dxa"/>
          </w:tcPr>
          <w:p w14:paraId="2601D09E" w14:textId="77777777" w:rsidR="006D35B0" w:rsidRPr="006D0BB9" w:rsidRDefault="006D35B0" w:rsidP="006D35B0">
            <w:pPr>
              <w:spacing w:before="120" w:after="120"/>
              <w:rPr>
                <w:szCs w:val="22"/>
              </w:rPr>
            </w:pPr>
            <w:r w:rsidRPr="006765D3">
              <w:rPr>
                <w:szCs w:val="22"/>
              </w:rPr>
              <w:t>Until further order</w:t>
            </w:r>
          </w:p>
        </w:tc>
      </w:tr>
      <w:tr w:rsidR="006D35B0" w14:paraId="006B9137" w14:textId="77777777" w:rsidTr="00923743">
        <w:tc>
          <w:tcPr>
            <w:tcW w:w="523" w:type="dxa"/>
            <w:shd w:val="clear" w:color="auto" w:fill="auto"/>
          </w:tcPr>
          <w:p w14:paraId="3BDB1076" w14:textId="77777777" w:rsidR="006D35B0" w:rsidRPr="006D0BB9" w:rsidRDefault="006D35B0" w:rsidP="006D35B0">
            <w:pPr>
              <w:spacing w:before="120" w:after="120"/>
              <w:rPr>
                <w:szCs w:val="22"/>
              </w:rPr>
            </w:pPr>
          </w:p>
        </w:tc>
        <w:tc>
          <w:tcPr>
            <w:tcW w:w="715" w:type="dxa"/>
          </w:tcPr>
          <w:p w14:paraId="5E135290" w14:textId="77777777" w:rsidR="006D35B0" w:rsidRPr="006D0BB9" w:rsidRDefault="006D35B0" w:rsidP="006D35B0">
            <w:pPr>
              <w:spacing w:before="120" w:after="120"/>
              <w:rPr>
                <w:rFonts w:ascii="Palatino" w:hAnsi="Palatino"/>
              </w:rPr>
            </w:pPr>
          </w:p>
        </w:tc>
        <w:tc>
          <w:tcPr>
            <w:tcW w:w="2809" w:type="dxa"/>
            <w:shd w:val="clear" w:color="auto" w:fill="auto"/>
          </w:tcPr>
          <w:p w14:paraId="26533408" w14:textId="77777777" w:rsidR="006D35B0" w:rsidRPr="006D0BB9" w:rsidRDefault="006D35B0" w:rsidP="006D35B0">
            <w:pPr>
              <w:spacing w:before="120" w:after="120"/>
              <w:rPr>
                <w:szCs w:val="22"/>
              </w:rPr>
            </w:pPr>
            <w:r w:rsidRPr="00A87BA9">
              <w:t>[127]</w:t>
            </w:r>
          </w:p>
        </w:tc>
        <w:tc>
          <w:tcPr>
            <w:tcW w:w="2536" w:type="dxa"/>
            <w:shd w:val="clear" w:color="auto" w:fill="auto"/>
          </w:tcPr>
          <w:p w14:paraId="60FFE8F3" w14:textId="77777777" w:rsidR="006D35B0" w:rsidRPr="006D0BB9" w:rsidRDefault="006D35B0" w:rsidP="006D35B0">
            <w:pPr>
              <w:spacing w:before="120" w:after="120"/>
              <w:rPr>
                <w:szCs w:val="22"/>
              </w:rPr>
            </w:pPr>
            <w:r w:rsidRPr="006D0BB9">
              <w:rPr>
                <w:szCs w:val="22"/>
              </w:rPr>
              <w:t>Second sentence of chapeau (“With the benefit … the Court.”)</w:t>
            </w:r>
          </w:p>
        </w:tc>
        <w:tc>
          <w:tcPr>
            <w:tcW w:w="2172" w:type="dxa"/>
          </w:tcPr>
          <w:p w14:paraId="5498AE82" w14:textId="77777777" w:rsidR="006D35B0" w:rsidRPr="006D0BB9" w:rsidRDefault="006D35B0" w:rsidP="006D35B0">
            <w:pPr>
              <w:spacing w:before="120" w:after="120"/>
              <w:rPr>
                <w:szCs w:val="22"/>
              </w:rPr>
            </w:pPr>
            <w:r w:rsidRPr="006765D3">
              <w:rPr>
                <w:szCs w:val="22"/>
              </w:rPr>
              <w:t>Until further order</w:t>
            </w:r>
          </w:p>
        </w:tc>
      </w:tr>
      <w:tr w:rsidR="006D35B0" w14:paraId="36AE527C" w14:textId="77777777" w:rsidTr="00923743">
        <w:tc>
          <w:tcPr>
            <w:tcW w:w="523" w:type="dxa"/>
            <w:shd w:val="clear" w:color="auto" w:fill="auto"/>
          </w:tcPr>
          <w:p w14:paraId="39AE923E" w14:textId="77777777" w:rsidR="006D35B0" w:rsidRPr="006D0BB9" w:rsidRDefault="006D35B0" w:rsidP="006D35B0">
            <w:pPr>
              <w:spacing w:before="120" w:after="120"/>
              <w:rPr>
                <w:szCs w:val="22"/>
              </w:rPr>
            </w:pPr>
          </w:p>
        </w:tc>
        <w:tc>
          <w:tcPr>
            <w:tcW w:w="715" w:type="dxa"/>
          </w:tcPr>
          <w:p w14:paraId="792D3541" w14:textId="77777777" w:rsidR="006D35B0" w:rsidRPr="006D0BB9" w:rsidRDefault="006D35B0" w:rsidP="006D35B0">
            <w:pPr>
              <w:spacing w:before="120" w:after="120"/>
              <w:rPr>
                <w:rFonts w:ascii="Palatino" w:hAnsi="Palatino"/>
              </w:rPr>
            </w:pPr>
          </w:p>
        </w:tc>
        <w:tc>
          <w:tcPr>
            <w:tcW w:w="2809" w:type="dxa"/>
            <w:shd w:val="clear" w:color="auto" w:fill="auto"/>
          </w:tcPr>
          <w:p w14:paraId="5660F706" w14:textId="77777777" w:rsidR="006D35B0" w:rsidRPr="006D0BB9" w:rsidRDefault="006D35B0" w:rsidP="006D35B0">
            <w:pPr>
              <w:spacing w:before="120" w:after="120"/>
              <w:rPr>
                <w:szCs w:val="22"/>
              </w:rPr>
            </w:pPr>
            <w:r w:rsidRPr="00A87BA9">
              <w:t>[127(a)]</w:t>
            </w:r>
          </w:p>
        </w:tc>
        <w:tc>
          <w:tcPr>
            <w:tcW w:w="2536" w:type="dxa"/>
            <w:shd w:val="clear" w:color="auto" w:fill="auto"/>
          </w:tcPr>
          <w:p w14:paraId="60F1771F" w14:textId="77777777" w:rsidR="006D35B0" w:rsidRPr="006D0BB9" w:rsidRDefault="006D35B0" w:rsidP="006D35B0">
            <w:pPr>
              <w:spacing w:before="120" w:after="120"/>
              <w:rPr>
                <w:szCs w:val="22"/>
              </w:rPr>
            </w:pPr>
            <w:r w:rsidRPr="006D0BB9">
              <w:rPr>
                <w:szCs w:val="22"/>
              </w:rPr>
              <w:t>Whole</w:t>
            </w:r>
          </w:p>
        </w:tc>
        <w:tc>
          <w:tcPr>
            <w:tcW w:w="2172" w:type="dxa"/>
          </w:tcPr>
          <w:p w14:paraId="2A73C737" w14:textId="77777777" w:rsidR="006D35B0" w:rsidRPr="006D0BB9" w:rsidRDefault="006D35B0" w:rsidP="006D35B0">
            <w:pPr>
              <w:spacing w:before="120" w:after="120"/>
              <w:rPr>
                <w:szCs w:val="22"/>
              </w:rPr>
            </w:pPr>
            <w:r w:rsidRPr="006765D3">
              <w:rPr>
                <w:szCs w:val="22"/>
              </w:rPr>
              <w:t>Until further order</w:t>
            </w:r>
          </w:p>
        </w:tc>
      </w:tr>
      <w:tr w:rsidR="006D35B0" w14:paraId="6F2080DC" w14:textId="77777777" w:rsidTr="00923743">
        <w:tc>
          <w:tcPr>
            <w:tcW w:w="523" w:type="dxa"/>
            <w:shd w:val="clear" w:color="auto" w:fill="auto"/>
          </w:tcPr>
          <w:p w14:paraId="589F4027" w14:textId="77777777" w:rsidR="006D35B0" w:rsidRPr="006D0BB9" w:rsidRDefault="006D35B0" w:rsidP="006D35B0">
            <w:pPr>
              <w:spacing w:before="120" w:after="120"/>
              <w:rPr>
                <w:szCs w:val="22"/>
              </w:rPr>
            </w:pPr>
          </w:p>
        </w:tc>
        <w:tc>
          <w:tcPr>
            <w:tcW w:w="715" w:type="dxa"/>
          </w:tcPr>
          <w:p w14:paraId="706D0197" w14:textId="77777777" w:rsidR="006D35B0" w:rsidRPr="006D0BB9" w:rsidRDefault="006D35B0" w:rsidP="006D35B0">
            <w:pPr>
              <w:spacing w:before="120" w:after="120"/>
              <w:rPr>
                <w:rFonts w:ascii="Palatino" w:hAnsi="Palatino"/>
              </w:rPr>
            </w:pPr>
          </w:p>
        </w:tc>
        <w:tc>
          <w:tcPr>
            <w:tcW w:w="2809" w:type="dxa"/>
            <w:shd w:val="clear" w:color="auto" w:fill="auto"/>
          </w:tcPr>
          <w:p w14:paraId="20E2ED80" w14:textId="77777777" w:rsidR="006D35B0" w:rsidRPr="006D0BB9" w:rsidRDefault="006D35B0" w:rsidP="006D35B0">
            <w:pPr>
              <w:spacing w:before="120" w:after="120"/>
              <w:rPr>
                <w:szCs w:val="22"/>
              </w:rPr>
            </w:pPr>
            <w:r w:rsidRPr="00A87BA9">
              <w:t>[127(d)-(e)]</w:t>
            </w:r>
          </w:p>
        </w:tc>
        <w:tc>
          <w:tcPr>
            <w:tcW w:w="2536" w:type="dxa"/>
            <w:shd w:val="clear" w:color="auto" w:fill="auto"/>
          </w:tcPr>
          <w:p w14:paraId="3CBE13DA" w14:textId="77777777" w:rsidR="006D35B0" w:rsidRPr="006D0BB9" w:rsidRDefault="006D35B0" w:rsidP="006D35B0">
            <w:pPr>
              <w:spacing w:before="120" w:after="120"/>
              <w:rPr>
                <w:szCs w:val="22"/>
              </w:rPr>
            </w:pPr>
            <w:r w:rsidRPr="006D0BB9">
              <w:rPr>
                <w:szCs w:val="22"/>
              </w:rPr>
              <w:t>Whole</w:t>
            </w:r>
          </w:p>
        </w:tc>
        <w:tc>
          <w:tcPr>
            <w:tcW w:w="2172" w:type="dxa"/>
          </w:tcPr>
          <w:p w14:paraId="630C6F8E" w14:textId="77777777" w:rsidR="006D35B0" w:rsidRPr="006D0BB9" w:rsidRDefault="006D35B0" w:rsidP="006D35B0">
            <w:pPr>
              <w:spacing w:before="120" w:after="120"/>
              <w:rPr>
                <w:szCs w:val="22"/>
              </w:rPr>
            </w:pPr>
            <w:r w:rsidRPr="006765D3">
              <w:rPr>
                <w:szCs w:val="22"/>
              </w:rPr>
              <w:t>Until further order</w:t>
            </w:r>
          </w:p>
        </w:tc>
      </w:tr>
      <w:tr w:rsidR="006D35B0" w14:paraId="0CAC9089" w14:textId="77777777" w:rsidTr="00923743">
        <w:tc>
          <w:tcPr>
            <w:tcW w:w="523" w:type="dxa"/>
            <w:shd w:val="clear" w:color="auto" w:fill="auto"/>
          </w:tcPr>
          <w:p w14:paraId="4CFC75CD" w14:textId="77777777" w:rsidR="006D35B0" w:rsidRPr="006D0BB9" w:rsidRDefault="006D35B0" w:rsidP="006D35B0">
            <w:pPr>
              <w:spacing w:before="120" w:after="120"/>
              <w:rPr>
                <w:szCs w:val="22"/>
              </w:rPr>
            </w:pPr>
          </w:p>
        </w:tc>
        <w:tc>
          <w:tcPr>
            <w:tcW w:w="715" w:type="dxa"/>
          </w:tcPr>
          <w:p w14:paraId="0C40194F" w14:textId="77777777" w:rsidR="006D35B0" w:rsidRPr="006D0BB9" w:rsidRDefault="006D35B0" w:rsidP="006D35B0">
            <w:pPr>
              <w:spacing w:before="120" w:after="120"/>
              <w:rPr>
                <w:rFonts w:ascii="Palatino" w:hAnsi="Palatino"/>
              </w:rPr>
            </w:pPr>
          </w:p>
        </w:tc>
        <w:tc>
          <w:tcPr>
            <w:tcW w:w="2809" w:type="dxa"/>
            <w:shd w:val="clear" w:color="auto" w:fill="auto"/>
          </w:tcPr>
          <w:p w14:paraId="1217AB64" w14:textId="77777777" w:rsidR="006D35B0" w:rsidRPr="006D0BB9" w:rsidRDefault="006D35B0" w:rsidP="006D35B0">
            <w:pPr>
              <w:spacing w:before="120" w:after="120"/>
              <w:rPr>
                <w:szCs w:val="22"/>
              </w:rPr>
            </w:pPr>
            <w:r w:rsidRPr="00A87BA9">
              <w:t>[128]-[129]</w:t>
            </w:r>
          </w:p>
        </w:tc>
        <w:tc>
          <w:tcPr>
            <w:tcW w:w="2536" w:type="dxa"/>
            <w:shd w:val="clear" w:color="auto" w:fill="auto"/>
          </w:tcPr>
          <w:p w14:paraId="3116DDF1" w14:textId="77777777" w:rsidR="006D35B0" w:rsidRPr="006D0BB9" w:rsidRDefault="006D35B0" w:rsidP="006D35B0">
            <w:pPr>
              <w:spacing w:before="120" w:after="120"/>
              <w:rPr>
                <w:szCs w:val="22"/>
              </w:rPr>
            </w:pPr>
            <w:r w:rsidRPr="006D0BB9">
              <w:rPr>
                <w:szCs w:val="22"/>
              </w:rPr>
              <w:t>Whole</w:t>
            </w:r>
          </w:p>
        </w:tc>
        <w:tc>
          <w:tcPr>
            <w:tcW w:w="2172" w:type="dxa"/>
          </w:tcPr>
          <w:p w14:paraId="554D2C62" w14:textId="77777777" w:rsidR="006D35B0" w:rsidRPr="006D0BB9" w:rsidRDefault="006D35B0" w:rsidP="006D35B0">
            <w:pPr>
              <w:spacing w:before="120" w:after="120"/>
              <w:rPr>
                <w:szCs w:val="22"/>
              </w:rPr>
            </w:pPr>
            <w:r w:rsidRPr="006765D3">
              <w:rPr>
                <w:szCs w:val="22"/>
              </w:rPr>
              <w:t>Until further order</w:t>
            </w:r>
          </w:p>
        </w:tc>
      </w:tr>
      <w:tr w:rsidR="006D35B0" w14:paraId="1CCBF725" w14:textId="77777777" w:rsidTr="00923743">
        <w:tc>
          <w:tcPr>
            <w:tcW w:w="523" w:type="dxa"/>
            <w:shd w:val="clear" w:color="auto" w:fill="auto"/>
          </w:tcPr>
          <w:p w14:paraId="53317E95" w14:textId="77777777" w:rsidR="006D35B0" w:rsidRPr="006D0BB9" w:rsidRDefault="006D35B0" w:rsidP="006D35B0">
            <w:pPr>
              <w:spacing w:before="120" w:after="120"/>
              <w:rPr>
                <w:szCs w:val="22"/>
              </w:rPr>
            </w:pPr>
          </w:p>
        </w:tc>
        <w:tc>
          <w:tcPr>
            <w:tcW w:w="715" w:type="dxa"/>
          </w:tcPr>
          <w:p w14:paraId="2CD1F76B" w14:textId="77777777" w:rsidR="006D35B0" w:rsidRPr="006D0BB9" w:rsidRDefault="006D35B0" w:rsidP="006D35B0">
            <w:pPr>
              <w:spacing w:before="120" w:after="120"/>
              <w:rPr>
                <w:rFonts w:ascii="Palatino" w:hAnsi="Palatino"/>
              </w:rPr>
            </w:pPr>
          </w:p>
        </w:tc>
        <w:tc>
          <w:tcPr>
            <w:tcW w:w="2809" w:type="dxa"/>
            <w:shd w:val="clear" w:color="auto" w:fill="auto"/>
          </w:tcPr>
          <w:p w14:paraId="0E0D7CD2" w14:textId="77777777" w:rsidR="006D35B0" w:rsidRPr="006D0BB9" w:rsidRDefault="006D35B0" w:rsidP="006D35B0">
            <w:pPr>
              <w:spacing w:before="120" w:after="120"/>
              <w:rPr>
                <w:szCs w:val="22"/>
              </w:rPr>
            </w:pPr>
            <w:r w:rsidRPr="00A87BA9">
              <w:t>[132]</w:t>
            </w:r>
          </w:p>
        </w:tc>
        <w:tc>
          <w:tcPr>
            <w:tcW w:w="2536" w:type="dxa"/>
            <w:shd w:val="clear" w:color="auto" w:fill="auto"/>
          </w:tcPr>
          <w:p w14:paraId="367A3990" w14:textId="77777777" w:rsidR="006D35B0" w:rsidRPr="006D0BB9" w:rsidRDefault="006D35B0" w:rsidP="006D35B0">
            <w:pPr>
              <w:spacing w:before="120" w:after="120"/>
              <w:rPr>
                <w:szCs w:val="22"/>
              </w:rPr>
            </w:pPr>
            <w:r>
              <w:rPr>
                <w:szCs w:val="22"/>
              </w:rPr>
              <w:t>Second sentence (“That history”) to end paragraph</w:t>
            </w:r>
          </w:p>
        </w:tc>
        <w:tc>
          <w:tcPr>
            <w:tcW w:w="2172" w:type="dxa"/>
          </w:tcPr>
          <w:p w14:paraId="09FF28C6" w14:textId="77777777" w:rsidR="006D35B0" w:rsidRPr="006D0BB9" w:rsidRDefault="006D35B0" w:rsidP="006D35B0">
            <w:pPr>
              <w:spacing w:before="120" w:after="120"/>
              <w:rPr>
                <w:szCs w:val="22"/>
              </w:rPr>
            </w:pPr>
            <w:r w:rsidRPr="006765D3">
              <w:rPr>
                <w:szCs w:val="22"/>
              </w:rPr>
              <w:t>Until further order</w:t>
            </w:r>
          </w:p>
        </w:tc>
      </w:tr>
      <w:tr w:rsidR="006D35B0" w14:paraId="37CED8EB" w14:textId="77777777" w:rsidTr="00923743">
        <w:tc>
          <w:tcPr>
            <w:tcW w:w="523" w:type="dxa"/>
            <w:shd w:val="clear" w:color="auto" w:fill="auto"/>
          </w:tcPr>
          <w:p w14:paraId="57D4F74B" w14:textId="77777777" w:rsidR="006D35B0" w:rsidRPr="006D0BB9" w:rsidRDefault="006D35B0" w:rsidP="006D35B0">
            <w:pPr>
              <w:spacing w:before="120" w:after="120"/>
              <w:rPr>
                <w:szCs w:val="22"/>
              </w:rPr>
            </w:pPr>
          </w:p>
        </w:tc>
        <w:tc>
          <w:tcPr>
            <w:tcW w:w="715" w:type="dxa"/>
          </w:tcPr>
          <w:p w14:paraId="201FE292" w14:textId="77777777" w:rsidR="006D35B0" w:rsidRPr="006D0BB9" w:rsidRDefault="006D35B0" w:rsidP="006D35B0">
            <w:pPr>
              <w:spacing w:before="120" w:after="120"/>
              <w:rPr>
                <w:rFonts w:ascii="Palatino" w:hAnsi="Palatino"/>
              </w:rPr>
            </w:pPr>
          </w:p>
        </w:tc>
        <w:tc>
          <w:tcPr>
            <w:tcW w:w="2809" w:type="dxa"/>
            <w:shd w:val="clear" w:color="auto" w:fill="auto"/>
          </w:tcPr>
          <w:p w14:paraId="0243CB37" w14:textId="77777777" w:rsidR="006D35B0" w:rsidRPr="00A87BA9" w:rsidRDefault="006D35B0" w:rsidP="006D35B0">
            <w:pPr>
              <w:spacing w:before="120" w:after="120"/>
            </w:pPr>
            <w:r w:rsidRPr="00A87BA9">
              <w:t>[136]-[137]</w:t>
            </w:r>
          </w:p>
        </w:tc>
        <w:tc>
          <w:tcPr>
            <w:tcW w:w="2536" w:type="dxa"/>
            <w:shd w:val="clear" w:color="auto" w:fill="auto"/>
          </w:tcPr>
          <w:p w14:paraId="7DD7BE17" w14:textId="77777777" w:rsidR="006D35B0" w:rsidRPr="006D0BB9" w:rsidRDefault="006D35B0" w:rsidP="006D35B0">
            <w:pPr>
              <w:spacing w:before="120" w:after="120"/>
              <w:rPr>
                <w:szCs w:val="22"/>
              </w:rPr>
            </w:pPr>
            <w:r>
              <w:rPr>
                <w:szCs w:val="22"/>
              </w:rPr>
              <w:t>Whole</w:t>
            </w:r>
          </w:p>
        </w:tc>
        <w:tc>
          <w:tcPr>
            <w:tcW w:w="2172" w:type="dxa"/>
          </w:tcPr>
          <w:p w14:paraId="58A472A4" w14:textId="77777777" w:rsidR="006D35B0" w:rsidRPr="006765D3" w:rsidRDefault="006D35B0" w:rsidP="006D35B0">
            <w:pPr>
              <w:spacing w:before="120" w:after="120"/>
              <w:rPr>
                <w:szCs w:val="22"/>
              </w:rPr>
            </w:pPr>
            <w:r>
              <w:rPr>
                <w:szCs w:val="22"/>
              </w:rPr>
              <w:t>Until expiry of appeal periods</w:t>
            </w:r>
          </w:p>
        </w:tc>
      </w:tr>
      <w:tr w:rsidR="006D35B0" w14:paraId="7A4304C8" w14:textId="77777777" w:rsidTr="00923743">
        <w:tc>
          <w:tcPr>
            <w:tcW w:w="523" w:type="dxa"/>
            <w:shd w:val="clear" w:color="auto" w:fill="auto"/>
          </w:tcPr>
          <w:p w14:paraId="156472F6" w14:textId="77777777" w:rsidR="006D35B0" w:rsidRPr="006D0BB9" w:rsidRDefault="006D35B0" w:rsidP="006D35B0">
            <w:pPr>
              <w:spacing w:before="120" w:after="120"/>
              <w:rPr>
                <w:szCs w:val="22"/>
              </w:rPr>
            </w:pPr>
          </w:p>
        </w:tc>
        <w:tc>
          <w:tcPr>
            <w:tcW w:w="715" w:type="dxa"/>
          </w:tcPr>
          <w:p w14:paraId="499AF4B3" w14:textId="77777777" w:rsidR="006D35B0" w:rsidRPr="006D0BB9" w:rsidRDefault="006D35B0" w:rsidP="006D35B0">
            <w:pPr>
              <w:spacing w:before="120" w:after="120"/>
              <w:rPr>
                <w:rFonts w:ascii="Palatino" w:hAnsi="Palatino"/>
              </w:rPr>
            </w:pPr>
          </w:p>
        </w:tc>
        <w:tc>
          <w:tcPr>
            <w:tcW w:w="2809" w:type="dxa"/>
            <w:shd w:val="clear" w:color="auto" w:fill="auto"/>
          </w:tcPr>
          <w:p w14:paraId="58AA4CBE" w14:textId="77777777" w:rsidR="006D35B0" w:rsidRPr="006D0BB9" w:rsidRDefault="006D35B0" w:rsidP="006D35B0">
            <w:pPr>
              <w:spacing w:before="120" w:after="120"/>
              <w:rPr>
                <w:szCs w:val="22"/>
              </w:rPr>
            </w:pPr>
            <w:r w:rsidRPr="00A87BA9">
              <w:t>[139]</w:t>
            </w:r>
          </w:p>
        </w:tc>
        <w:tc>
          <w:tcPr>
            <w:tcW w:w="2536" w:type="dxa"/>
            <w:shd w:val="clear" w:color="auto" w:fill="auto"/>
          </w:tcPr>
          <w:p w14:paraId="184F0D70" w14:textId="77777777" w:rsidR="006D35B0" w:rsidRPr="006D0BB9" w:rsidRDefault="006D35B0" w:rsidP="006D35B0">
            <w:pPr>
              <w:spacing w:before="120" w:after="120"/>
              <w:rPr>
                <w:szCs w:val="22"/>
              </w:rPr>
            </w:pPr>
            <w:r w:rsidRPr="006D0BB9">
              <w:rPr>
                <w:szCs w:val="22"/>
              </w:rPr>
              <w:t>From beginning up to the words “instructions from Adamson,” in the second sentence</w:t>
            </w:r>
          </w:p>
        </w:tc>
        <w:tc>
          <w:tcPr>
            <w:tcW w:w="2172" w:type="dxa"/>
          </w:tcPr>
          <w:p w14:paraId="2BC33132" w14:textId="77777777" w:rsidR="006D35B0" w:rsidRPr="006D0BB9" w:rsidRDefault="006D35B0" w:rsidP="006D35B0">
            <w:pPr>
              <w:spacing w:before="120" w:after="120"/>
              <w:rPr>
                <w:szCs w:val="22"/>
              </w:rPr>
            </w:pPr>
            <w:r>
              <w:rPr>
                <w:szCs w:val="22"/>
              </w:rPr>
              <w:t>Until expiry of appeal periods</w:t>
            </w:r>
          </w:p>
        </w:tc>
      </w:tr>
      <w:tr w:rsidR="006D35B0" w14:paraId="76690320" w14:textId="77777777" w:rsidTr="00923743">
        <w:tc>
          <w:tcPr>
            <w:tcW w:w="523" w:type="dxa"/>
            <w:shd w:val="clear" w:color="auto" w:fill="auto"/>
          </w:tcPr>
          <w:p w14:paraId="781B60A4" w14:textId="77777777" w:rsidR="006D35B0" w:rsidRPr="006D0BB9" w:rsidRDefault="006D35B0" w:rsidP="006D35B0">
            <w:pPr>
              <w:spacing w:before="120" w:after="120"/>
              <w:rPr>
                <w:szCs w:val="22"/>
              </w:rPr>
            </w:pPr>
          </w:p>
        </w:tc>
        <w:tc>
          <w:tcPr>
            <w:tcW w:w="715" w:type="dxa"/>
          </w:tcPr>
          <w:p w14:paraId="4D577AAC" w14:textId="77777777" w:rsidR="006D35B0" w:rsidRPr="006D0BB9" w:rsidRDefault="006D35B0" w:rsidP="006D35B0">
            <w:pPr>
              <w:spacing w:before="120" w:after="120"/>
              <w:rPr>
                <w:rFonts w:ascii="Palatino" w:hAnsi="Palatino"/>
              </w:rPr>
            </w:pPr>
          </w:p>
        </w:tc>
        <w:tc>
          <w:tcPr>
            <w:tcW w:w="2809" w:type="dxa"/>
            <w:shd w:val="clear" w:color="auto" w:fill="auto"/>
          </w:tcPr>
          <w:p w14:paraId="300A0582" w14:textId="77777777" w:rsidR="006D35B0" w:rsidRPr="006D0BB9" w:rsidRDefault="006D35B0" w:rsidP="006D35B0">
            <w:pPr>
              <w:spacing w:before="120" w:after="120"/>
              <w:rPr>
                <w:szCs w:val="22"/>
              </w:rPr>
            </w:pPr>
            <w:r w:rsidRPr="00A87BA9">
              <w:t>[142(d)]</w:t>
            </w:r>
          </w:p>
        </w:tc>
        <w:tc>
          <w:tcPr>
            <w:tcW w:w="2536" w:type="dxa"/>
            <w:shd w:val="clear" w:color="auto" w:fill="auto"/>
          </w:tcPr>
          <w:p w14:paraId="0B820AB8" w14:textId="77777777" w:rsidR="006D35B0" w:rsidRPr="006D0BB9" w:rsidRDefault="006D35B0" w:rsidP="006D35B0">
            <w:pPr>
              <w:spacing w:before="120" w:after="120"/>
              <w:rPr>
                <w:szCs w:val="22"/>
              </w:rPr>
            </w:pPr>
            <w:r w:rsidRPr="006D0BB9">
              <w:rPr>
                <w:szCs w:val="22"/>
              </w:rPr>
              <w:t>The words “although it is … much,”</w:t>
            </w:r>
          </w:p>
        </w:tc>
        <w:tc>
          <w:tcPr>
            <w:tcW w:w="2172" w:type="dxa"/>
          </w:tcPr>
          <w:p w14:paraId="16E1FB0E" w14:textId="77777777" w:rsidR="006D35B0" w:rsidRPr="006D0BB9" w:rsidRDefault="006D35B0" w:rsidP="006D35B0">
            <w:pPr>
              <w:spacing w:before="120" w:after="120"/>
              <w:rPr>
                <w:szCs w:val="22"/>
              </w:rPr>
            </w:pPr>
            <w:r>
              <w:rPr>
                <w:szCs w:val="22"/>
              </w:rPr>
              <w:t>Until expiry of appeal periods</w:t>
            </w:r>
          </w:p>
        </w:tc>
      </w:tr>
      <w:tr w:rsidR="006D35B0" w14:paraId="10194048" w14:textId="77777777" w:rsidTr="00923743">
        <w:tc>
          <w:tcPr>
            <w:tcW w:w="523" w:type="dxa"/>
            <w:shd w:val="clear" w:color="auto" w:fill="auto"/>
          </w:tcPr>
          <w:p w14:paraId="35A9E7EC" w14:textId="77777777" w:rsidR="006D35B0" w:rsidRPr="006D0BB9" w:rsidRDefault="006D35B0" w:rsidP="006D35B0">
            <w:pPr>
              <w:spacing w:before="120" w:after="120"/>
              <w:rPr>
                <w:szCs w:val="22"/>
              </w:rPr>
            </w:pPr>
          </w:p>
        </w:tc>
        <w:tc>
          <w:tcPr>
            <w:tcW w:w="715" w:type="dxa"/>
          </w:tcPr>
          <w:p w14:paraId="523327F8" w14:textId="77777777" w:rsidR="006D35B0" w:rsidRPr="006D0BB9" w:rsidRDefault="006D35B0" w:rsidP="006D35B0">
            <w:pPr>
              <w:spacing w:before="120" w:after="120"/>
              <w:rPr>
                <w:szCs w:val="22"/>
              </w:rPr>
            </w:pPr>
          </w:p>
        </w:tc>
        <w:tc>
          <w:tcPr>
            <w:tcW w:w="2809" w:type="dxa"/>
            <w:shd w:val="clear" w:color="auto" w:fill="auto"/>
          </w:tcPr>
          <w:p w14:paraId="0F9129C4" w14:textId="77777777" w:rsidR="006D35B0" w:rsidRPr="006D0BB9" w:rsidRDefault="006D35B0" w:rsidP="006D35B0">
            <w:pPr>
              <w:spacing w:before="120" w:after="120"/>
              <w:rPr>
                <w:szCs w:val="22"/>
              </w:rPr>
            </w:pPr>
            <w:r w:rsidRPr="006D0BB9">
              <w:rPr>
                <w:szCs w:val="22"/>
              </w:rPr>
              <w:t>[143]</w:t>
            </w:r>
          </w:p>
        </w:tc>
        <w:tc>
          <w:tcPr>
            <w:tcW w:w="2536" w:type="dxa"/>
            <w:shd w:val="clear" w:color="auto" w:fill="auto"/>
          </w:tcPr>
          <w:p w14:paraId="4EFC016B" w14:textId="77777777" w:rsidR="006D35B0" w:rsidRPr="006D0BB9" w:rsidRDefault="006D35B0" w:rsidP="006D35B0">
            <w:pPr>
              <w:spacing w:before="120" w:after="120"/>
              <w:rPr>
                <w:szCs w:val="22"/>
              </w:rPr>
            </w:pPr>
            <w:r w:rsidRPr="006D0BB9">
              <w:rPr>
                <w:szCs w:val="22"/>
              </w:rPr>
              <w:t>Second sentence</w:t>
            </w:r>
          </w:p>
        </w:tc>
        <w:tc>
          <w:tcPr>
            <w:tcW w:w="2172" w:type="dxa"/>
          </w:tcPr>
          <w:p w14:paraId="34CF4F12" w14:textId="77777777" w:rsidR="006D35B0" w:rsidRPr="006D0BB9" w:rsidRDefault="006D35B0" w:rsidP="006D35B0">
            <w:pPr>
              <w:spacing w:before="120" w:after="120"/>
              <w:rPr>
                <w:szCs w:val="22"/>
              </w:rPr>
            </w:pPr>
            <w:r w:rsidRPr="006765D3">
              <w:rPr>
                <w:szCs w:val="22"/>
              </w:rPr>
              <w:t>Until further order</w:t>
            </w:r>
          </w:p>
        </w:tc>
      </w:tr>
      <w:tr w:rsidR="006D35B0" w14:paraId="40270AB9" w14:textId="77777777" w:rsidTr="00923743">
        <w:tc>
          <w:tcPr>
            <w:tcW w:w="523" w:type="dxa"/>
            <w:shd w:val="clear" w:color="auto" w:fill="auto"/>
          </w:tcPr>
          <w:p w14:paraId="33C3BC5C" w14:textId="77777777" w:rsidR="006D35B0" w:rsidRPr="006D0BB9" w:rsidRDefault="006D35B0" w:rsidP="006D35B0">
            <w:pPr>
              <w:spacing w:before="120" w:after="120"/>
              <w:rPr>
                <w:szCs w:val="22"/>
              </w:rPr>
            </w:pPr>
          </w:p>
        </w:tc>
        <w:tc>
          <w:tcPr>
            <w:tcW w:w="715" w:type="dxa"/>
          </w:tcPr>
          <w:p w14:paraId="771DE3B8" w14:textId="77777777" w:rsidR="006D35B0" w:rsidRPr="006D0BB9" w:rsidRDefault="006D35B0" w:rsidP="006D35B0">
            <w:pPr>
              <w:spacing w:before="120" w:after="120"/>
              <w:rPr>
                <w:szCs w:val="22"/>
              </w:rPr>
            </w:pPr>
          </w:p>
        </w:tc>
        <w:tc>
          <w:tcPr>
            <w:tcW w:w="2809" w:type="dxa"/>
            <w:shd w:val="clear" w:color="auto" w:fill="auto"/>
          </w:tcPr>
          <w:p w14:paraId="50B602ED" w14:textId="77777777" w:rsidR="006D35B0" w:rsidRPr="006D0BB9" w:rsidRDefault="006D35B0" w:rsidP="006D35B0">
            <w:pPr>
              <w:spacing w:before="120" w:after="120"/>
              <w:rPr>
                <w:szCs w:val="22"/>
              </w:rPr>
            </w:pPr>
            <w:r w:rsidRPr="006D0BB9">
              <w:rPr>
                <w:szCs w:val="22"/>
              </w:rPr>
              <w:t>[143]</w:t>
            </w:r>
          </w:p>
        </w:tc>
        <w:tc>
          <w:tcPr>
            <w:tcW w:w="2536" w:type="dxa"/>
            <w:shd w:val="clear" w:color="auto" w:fill="auto"/>
          </w:tcPr>
          <w:p w14:paraId="719B2C51" w14:textId="77777777" w:rsidR="006D35B0" w:rsidRPr="006D0BB9" w:rsidRDefault="006D35B0" w:rsidP="006D35B0">
            <w:pPr>
              <w:spacing w:before="120" w:after="120"/>
              <w:rPr>
                <w:szCs w:val="22"/>
              </w:rPr>
            </w:pPr>
            <w:r w:rsidRPr="006D0BB9">
              <w:rPr>
                <w:szCs w:val="22"/>
              </w:rPr>
              <w:t>Last sentence, the words “the claims here … reports, then”</w:t>
            </w:r>
          </w:p>
        </w:tc>
        <w:tc>
          <w:tcPr>
            <w:tcW w:w="2172" w:type="dxa"/>
          </w:tcPr>
          <w:p w14:paraId="690000AE" w14:textId="77777777" w:rsidR="006D35B0" w:rsidRPr="006D0BB9" w:rsidRDefault="006D35B0" w:rsidP="006D35B0">
            <w:pPr>
              <w:spacing w:before="120" w:after="120"/>
              <w:rPr>
                <w:szCs w:val="22"/>
              </w:rPr>
            </w:pPr>
            <w:r w:rsidRPr="006765D3">
              <w:rPr>
                <w:szCs w:val="22"/>
              </w:rPr>
              <w:t>Until further order</w:t>
            </w:r>
          </w:p>
        </w:tc>
      </w:tr>
      <w:tr w:rsidR="006D35B0" w14:paraId="7814FBAD" w14:textId="77777777" w:rsidTr="00923743">
        <w:tc>
          <w:tcPr>
            <w:tcW w:w="523" w:type="dxa"/>
            <w:shd w:val="clear" w:color="auto" w:fill="auto"/>
          </w:tcPr>
          <w:p w14:paraId="34D32A2F" w14:textId="77777777" w:rsidR="006D35B0" w:rsidRPr="006D0BB9" w:rsidRDefault="006D35B0" w:rsidP="006D35B0">
            <w:pPr>
              <w:spacing w:before="120" w:after="120"/>
              <w:rPr>
                <w:szCs w:val="22"/>
              </w:rPr>
            </w:pPr>
            <w:r>
              <w:rPr>
                <w:szCs w:val="22"/>
              </w:rPr>
              <w:t>4</w:t>
            </w:r>
            <w:r w:rsidRPr="006D0BB9">
              <w:rPr>
                <w:szCs w:val="22"/>
              </w:rPr>
              <w:t>.</w:t>
            </w:r>
          </w:p>
        </w:tc>
        <w:tc>
          <w:tcPr>
            <w:tcW w:w="715" w:type="dxa"/>
          </w:tcPr>
          <w:p w14:paraId="240611C9" w14:textId="77777777" w:rsidR="006D35B0" w:rsidRPr="00215F2E" w:rsidRDefault="006D35B0" w:rsidP="006D35B0">
            <w:pPr>
              <w:spacing w:before="120" w:after="120"/>
              <w:rPr>
                <w:szCs w:val="22"/>
              </w:rPr>
            </w:pPr>
            <w:r>
              <w:rPr>
                <w:szCs w:val="22"/>
              </w:rPr>
              <w:t>10</w:t>
            </w:r>
          </w:p>
        </w:tc>
        <w:tc>
          <w:tcPr>
            <w:tcW w:w="2809" w:type="dxa"/>
            <w:shd w:val="clear" w:color="auto" w:fill="auto"/>
          </w:tcPr>
          <w:p w14:paraId="17E51527" w14:textId="77777777" w:rsidR="006D35B0" w:rsidRPr="003943D0" w:rsidRDefault="006D35B0" w:rsidP="006D35B0">
            <w:pPr>
              <w:spacing w:before="120" w:after="120"/>
              <w:rPr>
                <w:b/>
                <w:bCs/>
                <w:szCs w:val="22"/>
              </w:rPr>
            </w:pPr>
            <w:r w:rsidRPr="003943D0">
              <w:rPr>
                <w:b/>
                <w:bCs/>
                <w:szCs w:val="22"/>
              </w:rPr>
              <w:t xml:space="preserve">Applicants’ </w:t>
            </w:r>
            <w:r>
              <w:rPr>
                <w:b/>
                <w:bCs/>
                <w:szCs w:val="22"/>
              </w:rPr>
              <w:t xml:space="preserve">Confidential </w:t>
            </w:r>
            <w:r w:rsidRPr="003943D0">
              <w:rPr>
                <w:b/>
                <w:bCs/>
                <w:szCs w:val="22"/>
              </w:rPr>
              <w:t>submissions in reply dated 31 October 2023</w:t>
            </w:r>
          </w:p>
        </w:tc>
        <w:tc>
          <w:tcPr>
            <w:tcW w:w="2536" w:type="dxa"/>
            <w:shd w:val="clear" w:color="auto" w:fill="auto"/>
          </w:tcPr>
          <w:p w14:paraId="4A69376F" w14:textId="77777777" w:rsidR="006D35B0" w:rsidRPr="006D0BB9" w:rsidRDefault="006D35B0" w:rsidP="006D35B0">
            <w:pPr>
              <w:spacing w:before="120" w:after="120"/>
              <w:rPr>
                <w:szCs w:val="22"/>
              </w:rPr>
            </w:pPr>
            <w:r w:rsidRPr="006D0BB9">
              <w:rPr>
                <w:szCs w:val="22"/>
              </w:rPr>
              <w:t>Parts specified below.</w:t>
            </w:r>
          </w:p>
        </w:tc>
        <w:tc>
          <w:tcPr>
            <w:tcW w:w="2172" w:type="dxa"/>
          </w:tcPr>
          <w:p w14:paraId="418074FE" w14:textId="77777777" w:rsidR="006D35B0" w:rsidRPr="006D0BB9" w:rsidRDefault="006D35B0" w:rsidP="006D35B0">
            <w:pPr>
              <w:spacing w:before="120" w:after="120"/>
              <w:rPr>
                <w:szCs w:val="22"/>
              </w:rPr>
            </w:pPr>
          </w:p>
        </w:tc>
      </w:tr>
      <w:tr w:rsidR="006D35B0" w14:paraId="2C7C32F4" w14:textId="77777777" w:rsidTr="00923743">
        <w:tc>
          <w:tcPr>
            <w:tcW w:w="523" w:type="dxa"/>
            <w:shd w:val="clear" w:color="auto" w:fill="auto"/>
          </w:tcPr>
          <w:p w14:paraId="58082005" w14:textId="77777777" w:rsidR="006D35B0" w:rsidRPr="006D0BB9" w:rsidRDefault="006D35B0" w:rsidP="006D35B0">
            <w:pPr>
              <w:spacing w:before="120" w:after="120"/>
              <w:rPr>
                <w:szCs w:val="22"/>
              </w:rPr>
            </w:pPr>
          </w:p>
        </w:tc>
        <w:tc>
          <w:tcPr>
            <w:tcW w:w="715" w:type="dxa"/>
          </w:tcPr>
          <w:p w14:paraId="4AC1498A" w14:textId="77777777" w:rsidR="006D35B0" w:rsidRPr="006D0BB9" w:rsidRDefault="006D35B0" w:rsidP="006D35B0">
            <w:pPr>
              <w:spacing w:before="120" w:after="120"/>
              <w:rPr>
                <w:szCs w:val="22"/>
              </w:rPr>
            </w:pPr>
          </w:p>
        </w:tc>
        <w:tc>
          <w:tcPr>
            <w:tcW w:w="2809" w:type="dxa"/>
            <w:shd w:val="clear" w:color="auto" w:fill="auto"/>
          </w:tcPr>
          <w:p w14:paraId="742F1848" w14:textId="77777777" w:rsidR="006D35B0" w:rsidRPr="006D0BB9" w:rsidRDefault="006D35B0" w:rsidP="006D35B0">
            <w:pPr>
              <w:spacing w:before="120" w:after="120"/>
              <w:rPr>
                <w:szCs w:val="22"/>
              </w:rPr>
            </w:pPr>
            <w:r w:rsidRPr="006D0BB9">
              <w:rPr>
                <w:szCs w:val="22"/>
              </w:rPr>
              <w:t>[7]-[14]</w:t>
            </w:r>
          </w:p>
        </w:tc>
        <w:tc>
          <w:tcPr>
            <w:tcW w:w="2536" w:type="dxa"/>
            <w:shd w:val="clear" w:color="auto" w:fill="auto"/>
          </w:tcPr>
          <w:p w14:paraId="4DC38A9A" w14:textId="77777777" w:rsidR="006D35B0" w:rsidRPr="006D0BB9" w:rsidRDefault="006D35B0" w:rsidP="006D35B0">
            <w:pPr>
              <w:spacing w:before="120" w:after="120"/>
              <w:rPr>
                <w:szCs w:val="22"/>
              </w:rPr>
            </w:pPr>
            <w:r w:rsidRPr="006D0BB9">
              <w:rPr>
                <w:szCs w:val="22"/>
              </w:rPr>
              <w:t>Whole</w:t>
            </w:r>
          </w:p>
        </w:tc>
        <w:tc>
          <w:tcPr>
            <w:tcW w:w="2172" w:type="dxa"/>
          </w:tcPr>
          <w:p w14:paraId="61A906F1" w14:textId="77777777" w:rsidR="006D35B0" w:rsidRPr="006D0BB9" w:rsidRDefault="006D35B0" w:rsidP="006D35B0">
            <w:pPr>
              <w:spacing w:before="120" w:after="120"/>
              <w:rPr>
                <w:szCs w:val="22"/>
              </w:rPr>
            </w:pPr>
            <w:r w:rsidRPr="006765D3">
              <w:rPr>
                <w:szCs w:val="22"/>
              </w:rPr>
              <w:t>Until further order</w:t>
            </w:r>
          </w:p>
        </w:tc>
      </w:tr>
      <w:tr w:rsidR="006D35B0" w14:paraId="04F3CAF9" w14:textId="77777777" w:rsidTr="00923743">
        <w:tc>
          <w:tcPr>
            <w:tcW w:w="523" w:type="dxa"/>
            <w:shd w:val="clear" w:color="auto" w:fill="auto"/>
          </w:tcPr>
          <w:p w14:paraId="33BB8798" w14:textId="77777777" w:rsidR="006D35B0" w:rsidRPr="006D0BB9" w:rsidRDefault="006D35B0" w:rsidP="006D35B0">
            <w:pPr>
              <w:spacing w:before="120" w:after="120"/>
              <w:rPr>
                <w:szCs w:val="22"/>
              </w:rPr>
            </w:pPr>
            <w:r>
              <w:rPr>
                <w:szCs w:val="22"/>
              </w:rPr>
              <w:t>5</w:t>
            </w:r>
            <w:r w:rsidRPr="006D0BB9">
              <w:rPr>
                <w:szCs w:val="22"/>
              </w:rPr>
              <w:t>.</w:t>
            </w:r>
          </w:p>
        </w:tc>
        <w:tc>
          <w:tcPr>
            <w:tcW w:w="715" w:type="dxa"/>
          </w:tcPr>
          <w:p w14:paraId="3C4D9A9A" w14:textId="77777777" w:rsidR="006D35B0" w:rsidRPr="00215F2E" w:rsidRDefault="006D35B0" w:rsidP="006D35B0">
            <w:pPr>
              <w:spacing w:before="120" w:after="120"/>
              <w:rPr>
                <w:szCs w:val="22"/>
              </w:rPr>
            </w:pPr>
            <w:r w:rsidRPr="00215F2E">
              <w:rPr>
                <w:szCs w:val="22"/>
              </w:rPr>
              <w:t xml:space="preserve">18 </w:t>
            </w:r>
          </w:p>
        </w:tc>
        <w:tc>
          <w:tcPr>
            <w:tcW w:w="2809" w:type="dxa"/>
            <w:shd w:val="clear" w:color="auto" w:fill="auto"/>
          </w:tcPr>
          <w:p w14:paraId="0830CB42" w14:textId="77777777" w:rsidR="006D35B0" w:rsidRPr="003943D0" w:rsidRDefault="006D35B0" w:rsidP="006D35B0">
            <w:pPr>
              <w:spacing w:before="120" w:after="120"/>
              <w:rPr>
                <w:b/>
                <w:bCs/>
                <w:szCs w:val="22"/>
              </w:rPr>
            </w:pPr>
            <w:r>
              <w:rPr>
                <w:b/>
                <w:bCs/>
                <w:szCs w:val="22"/>
              </w:rPr>
              <w:t xml:space="preserve">Confidential </w:t>
            </w:r>
            <w:r w:rsidRPr="003943D0">
              <w:rPr>
                <w:b/>
                <w:bCs/>
                <w:szCs w:val="22"/>
              </w:rPr>
              <w:t>Affidavit of Stewart Alan Levitt sworn 2 November 2023</w:t>
            </w:r>
          </w:p>
        </w:tc>
        <w:tc>
          <w:tcPr>
            <w:tcW w:w="2536" w:type="dxa"/>
            <w:shd w:val="clear" w:color="auto" w:fill="auto"/>
          </w:tcPr>
          <w:p w14:paraId="52F25720" w14:textId="77777777" w:rsidR="006D35B0" w:rsidRPr="006D0BB9" w:rsidRDefault="006D35B0" w:rsidP="006D35B0">
            <w:pPr>
              <w:spacing w:before="120" w:after="120"/>
              <w:rPr>
                <w:szCs w:val="22"/>
              </w:rPr>
            </w:pPr>
            <w:r w:rsidRPr="006D0BB9">
              <w:rPr>
                <w:szCs w:val="22"/>
              </w:rPr>
              <w:t>Parts specified below.</w:t>
            </w:r>
          </w:p>
        </w:tc>
        <w:tc>
          <w:tcPr>
            <w:tcW w:w="2172" w:type="dxa"/>
          </w:tcPr>
          <w:p w14:paraId="360550A6" w14:textId="77777777" w:rsidR="006D35B0" w:rsidRDefault="006D35B0" w:rsidP="006D35B0">
            <w:pPr>
              <w:spacing w:before="120" w:after="120"/>
              <w:rPr>
                <w:szCs w:val="22"/>
              </w:rPr>
            </w:pPr>
          </w:p>
        </w:tc>
      </w:tr>
      <w:tr w:rsidR="006D35B0" w14:paraId="75438172" w14:textId="77777777" w:rsidTr="00923743">
        <w:tc>
          <w:tcPr>
            <w:tcW w:w="523" w:type="dxa"/>
            <w:shd w:val="clear" w:color="auto" w:fill="auto"/>
          </w:tcPr>
          <w:p w14:paraId="17BE5DB2" w14:textId="77777777" w:rsidR="006D35B0" w:rsidRPr="006D0BB9" w:rsidRDefault="006D35B0" w:rsidP="006D35B0">
            <w:pPr>
              <w:spacing w:before="120" w:after="120"/>
              <w:rPr>
                <w:szCs w:val="22"/>
              </w:rPr>
            </w:pPr>
          </w:p>
        </w:tc>
        <w:tc>
          <w:tcPr>
            <w:tcW w:w="715" w:type="dxa"/>
          </w:tcPr>
          <w:p w14:paraId="7D1D21B8" w14:textId="77777777" w:rsidR="006D35B0" w:rsidRPr="006D0BB9" w:rsidRDefault="006D35B0" w:rsidP="006D35B0">
            <w:pPr>
              <w:spacing w:before="120" w:after="120"/>
              <w:rPr>
                <w:szCs w:val="22"/>
              </w:rPr>
            </w:pPr>
          </w:p>
        </w:tc>
        <w:tc>
          <w:tcPr>
            <w:tcW w:w="2809" w:type="dxa"/>
            <w:shd w:val="clear" w:color="auto" w:fill="auto"/>
          </w:tcPr>
          <w:p w14:paraId="61A3888D" w14:textId="77777777" w:rsidR="006D35B0" w:rsidRPr="006D0BB9" w:rsidRDefault="006D35B0" w:rsidP="006D35B0">
            <w:pPr>
              <w:spacing w:before="120" w:after="120"/>
              <w:rPr>
                <w:szCs w:val="22"/>
              </w:rPr>
            </w:pPr>
            <w:r w:rsidRPr="006D0BB9">
              <w:rPr>
                <w:szCs w:val="22"/>
              </w:rPr>
              <w:t>[24]-[2</w:t>
            </w:r>
            <w:r>
              <w:rPr>
                <w:szCs w:val="22"/>
              </w:rPr>
              <w:t>5</w:t>
            </w:r>
            <w:r w:rsidRPr="006D0BB9">
              <w:rPr>
                <w:szCs w:val="22"/>
              </w:rPr>
              <w:t>]</w:t>
            </w:r>
          </w:p>
        </w:tc>
        <w:tc>
          <w:tcPr>
            <w:tcW w:w="2536" w:type="dxa"/>
            <w:shd w:val="clear" w:color="auto" w:fill="auto"/>
          </w:tcPr>
          <w:p w14:paraId="59BA7B0A" w14:textId="77777777" w:rsidR="006D35B0" w:rsidRPr="006D0BB9" w:rsidRDefault="006D35B0" w:rsidP="006D35B0">
            <w:pPr>
              <w:spacing w:before="120" w:after="120"/>
              <w:rPr>
                <w:szCs w:val="22"/>
              </w:rPr>
            </w:pPr>
            <w:r w:rsidRPr="006D0BB9">
              <w:rPr>
                <w:szCs w:val="22"/>
              </w:rPr>
              <w:t>Whole.</w:t>
            </w:r>
          </w:p>
        </w:tc>
        <w:tc>
          <w:tcPr>
            <w:tcW w:w="2172" w:type="dxa"/>
          </w:tcPr>
          <w:p w14:paraId="620F0519" w14:textId="77777777" w:rsidR="006D35B0" w:rsidRPr="006D0BB9" w:rsidRDefault="006D35B0" w:rsidP="006D35B0">
            <w:pPr>
              <w:spacing w:before="120" w:after="120"/>
              <w:rPr>
                <w:szCs w:val="22"/>
              </w:rPr>
            </w:pPr>
            <w:r w:rsidRPr="006765D3">
              <w:rPr>
                <w:szCs w:val="22"/>
              </w:rPr>
              <w:t>Until further order</w:t>
            </w:r>
          </w:p>
        </w:tc>
      </w:tr>
      <w:tr w:rsidR="006D35B0" w14:paraId="7487D0CA" w14:textId="77777777" w:rsidTr="00923743">
        <w:tc>
          <w:tcPr>
            <w:tcW w:w="523" w:type="dxa"/>
            <w:shd w:val="clear" w:color="auto" w:fill="auto"/>
          </w:tcPr>
          <w:p w14:paraId="39C9EBCC" w14:textId="77777777" w:rsidR="006D35B0" w:rsidRPr="006D0BB9" w:rsidRDefault="006D35B0" w:rsidP="006D35B0">
            <w:pPr>
              <w:spacing w:before="120" w:after="120"/>
              <w:rPr>
                <w:szCs w:val="22"/>
              </w:rPr>
            </w:pPr>
          </w:p>
        </w:tc>
        <w:tc>
          <w:tcPr>
            <w:tcW w:w="715" w:type="dxa"/>
          </w:tcPr>
          <w:p w14:paraId="1267D4D8" w14:textId="77777777" w:rsidR="006D35B0" w:rsidRPr="006D0BB9" w:rsidRDefault="006D35B0" w:rsidP="006D35B0">
            <w:pPr>
              <w:spacing w:before="120" w:after="120"/>
              <w:rPr>
                <w:szCs w:val="22"/>
              </w:rPr>
            </w:pPr>
          </w:p>
        </w:tc>
        <w:tc>
          <w:tcPr>
            <w:tcW w:w="2809" w:type="dxa"/>
            <w:shd w:val="clear" w:color="auto" w:fill="auto"/>
          </w:tcPr>
          <w:p w14:paraId="345D0CE1" w14:textId="77777777" w:rsidR="006D35B0" w:rsidRPr="006D0BB9" w:rsidRDefault="006D35B0" w:rsidP="006D35B0">
            <w:pPr>
              <w:spacing w:before="120" w:after="120"/>
              <w:rPr>
                <w:szCs w:val="22"/>
              </w:rPr>
            </w:pPr>
            <w:r>
              <w:rPr>
                <w:szCs w:val="22"/>
              </w:rPr>
              <w:t>[26]</w:t>
            </w:r>
          </w:p>
        </w:tc>
        <w:tc>
          <w:tcPr>
            <w:tcW w:w="2536" w:type="dxa"/>
            <w:shd w:val="clear" w:color="auto" w:fill="auto"/>
          </w:tcPr>
          <w:p w14:paraId="70C3E63B" w14:textId="77777777" w:rsidR="006D35B0" w:rsidRPr="006D0BB9" w:rsidRDefault="006D35B0" w:rsidP="006D35B0">
            <w:pPr>
              <w:spacing w:before="120" w:after="120"/>
              <w:rPr>
                <w:szCs w:val="22"/>
              </w:rPr>
            </w:pPr>
            <w:r>
              <w:rPr>
                <w:szCs w:val="22"/>
              </w:rPr>
              <w:t>Whole.</w:t>
            </w:r>
          </w:p>
        </w:tc>
        <w:tc>
          <w:tcPr>
            <w:tcW w:w="2172" w:type="dxa"/>
          </w:tcPr>
          <w:p w14:paraId="2664651D" w14:textId="77777777" w:rsidR="006D35B0" w:rsidRPr="006765D3" w:rsidRDefault="006D35B0" w:rsidP="006D35B0">
            <w:pPr>
              <w:spacing w:before="120" w:after="120"/>
              <w:rPr>
                <w:szCs w:val="22"/>
              </w:rPr>
            </w:pPr>
            <w:r>
              <w:rPr>
                <w:szCs w:val="22"/>
              </w:rPr>
              <w:t>Until expiry of appeal periods</w:t>
            </w:r>
          </w:p>
        </w:tc>
      </w:tr>
      <w:tr w:rsidR="006D35B0" w14:paraId="67E0A4FF" w14:textId="77777777" w:rsidTr="00923743">
        <w:tc>
          <w:tcPr>
            <w:tcW w:w="523" w:type="dxa"/>
            <w:shd w:val="clear" w:color="auto" w:fill="auto"/>
          </w:tcPr>
          <w:p w14:paraId="1961CB9F" w14:textId="77777777" w:rsidR="006D35B0" w:rsidRPr="006D0BB9" w:rsidRDefault="006D35B0" w:rsidP="006D35B0">
            <w:pPr>
              <w:spacing w:before="120" w:after="120"/>
              <w:rPr>
                <w:szCs w:val="22"/>
              </w:rPr>
            </w:pPr>
          </w:p>
        </w:tc>
        <w:tc>
          <w:tcPr>
            <w:tcW w:w="715" w:type="dxa"/>
          </w:tcPr>
          <w:p w14:paraId="57CD5E83" w14:textId="77777777" w:rsidR="006D35B0" w:rsidRPr="006D0BB9" w:rsidRDefault="006D35B0" w:rsidP="006D35B0">
            <w:pPr>
              <w:spacing w:before="120" w:after="120"/>
              <w:rPr>
                <w:szCs w:val="22"/>
              </w:rPr>
            </w:pPr>
          </w:p>
        </w:tc>
        <w:tc>
          <w:tcPr>
            <w:tcW w:w="2809" w:type="dxa"/>
            <w:shd w:val="clear" w:color="auto" w:fill="auto"/>
          </w:tcPr>
          <w:p w14:paraId="7CAFB9ED" w14:textId="77777777" w:rsidR="006D35B0" w:rsidRPr="006D0BB9" w:rsidRDefault="006D35B0" w:rsidP="006D35B0">
            <w:pPr>
              <w:spacing w:before="120" w:after="120"/>
              <w:rPr>
                <w:szCs w:val="22"/>
              </w:rPr>
            </w:pPr>
            <w:r w:rsidRPr="006D0BB9">
              <w:rPr>
                <w:szCs w:val="22"/>
              </w:rPr>
              <w:t>[29]</w:t>
            </w:r>
          </w:p>
        </w:tc>
        <w:tc>
          <w:tcPr>
            <w:tcW w:w="2536" w:type="dxa"/>
            <w:shd w:val="clear" w:color="auto" w:fill="auto"/>
          </w:tcPr>
          <w:p w14:paraId="7C7CC057" w14:textId="77777777" w:rsidR="006D35B0" w:rsidRPr="006D0BB9" w:rsidRDefault="006D35B0" w:rsidP="006D35B0">
            <w:pPr>
              <w:spacing w:before="120" w:after="120"/>
              <w:rPr>
                <w:szCs w:val="22"/>
              </w:rPr>
            </w:pPr>
            <w:r w:rsidRPr="006D0BB9">
              <w:rPr>
                <w:szCs w:val="22"/>
              </w:rPr>
              <w:t>Fourth and fifth lines, the words “other than” to “Adam Bell SC”.</w:t>
            </w:r>
          </w:p>
        </w:tc>
        <w:tc>
          <w:tcPr>
            <w:tcW w:w="2172" w:type="dxa"/>
          </w:tcPr>
          <w:p w14:paraId="58EBC490" w14:textId="77777777" w:rsidR="006D35B0" w:rsidRPr="006D0BB9" w:rsidRDefault="006D35B0" w:rsidP="006D35B0">
            <w:pPr>
              <w:spacing w:before="120" w:after="120"/>
              <w:rPr>
                <w:szCs w:val="22"/>
              </w:rPr>
            </w:pPr>
            <w:r w:rsidRPr="006765D3">
              <w:rPr>
                <w:szCs w:val="22"/>
              </w:rPr>
              <w:t>Until further order</w:t>
            </w:r>
          </w:p>
        </w:tc>
      </w:tr>
      <w:tr w:rsidR="006D35B0" w14:paraId="6BDA13EC" w14:textId="77777777" w:rsidTr="00923743">
        <w:tc>
          <w:tcPr>
            <w:tcW w:w="523" w:type="dxa"/>
            <w:shd w:val="clear" w:color="auto" w:fill="auto"/>
          </w:tcPr>
          <w:p w14:paraId="3026BEED" w14:textId="77777777" w:rsidR="006D35B0" w:rsidRPr="006D0BB9" w:rsidRDefault="006D35B0" w:rsidP="006D35B0">
            <w:pPr>
              <w:spacing w:before="120" w:after="120"/>
              <w:rPr>
                <w:szCs w:val="22"/>
              </w:rPr>
            </w:pPr>
            <w:r>
              <w:rPr>
                <w:szCs w:val="22"/>
              </w:rPr>
              <w:t>9.</w:t>
            </w:r>
          </w:p>
        </w:tc>
        <w:tc>
          <w:tcPr>
            <w:tcW w:w="715" w:type="dxa"/>
          </w:tcPr>
          <w:p w14:paraId="59776057" w14:textId="77777777" w:rsidR="006D35B0" w:rsidRPr="006D0BB9" w:rsidRDefault="006D35B0" w:rsidP="006D35B0">
            <w:pPr>
              <w:spacing w:before="120" w:after="120"/>
              <w:rPr>
                <w:szCs w:val="22"/>
              </w:rPr>
            </w:pPr>
            <w:r>
              <w:rPr>
                <w:szCs w:val="22"/>
              </w:rPr>
              <w:t>13</w:t>
            </w:r>
          </w:p>
        </w:tc>
        <w:tc>
          <w:tcPr>
            <w:tcW w:w="2809" w:type="dxa"/>
            <w:shd w:val="clear" w:color="auto" w:fill="auto"/>
          </w:tcPr>
          <w:p w14:paraId="53B7C611" w14:textId="77777777" w:rsidR="006D35B0" w:rsidRPr="000D4018" w:rsidRDefault="006D35B0" w:rsidP="006D35B0">
            <w:pPr>
              <w:spacing w:before="120" w:after="120"/>
              <w:rPr>
                <w:b/>
                <w:bCs/>
                <w:szCs w:val="22"/>
              </w:rPr>
            </w:pPr>
            <w:r w:rsidRPr="000D4018">
              <w:rPr>
                <w:b/>
                <w:bCs/>
                <w:szCs w:val="22"/>
              </w:rPr>
              <w:t>Costs Referee’s first report dated 26 July 2023</w:t>
            </w:r>
          </w:p>
        </w:tc>
        <w:tc>
          <w:tcPr>
            <w:tcW w:w="2536" w:type="dxa"/>
            <w:shd w:val="clear" w:color="auto" w:fill="auto"/>
          </w:tcPr>
          <w:p w14:paraId="4C36598F" w14:textId="77777777" w:rsidR="006D35B0" w:rsidRPr="006D0BB9" w:rsidRDefault="006D35B0" w:rsidP="006D35B0">
            <w:pPr>
              <w:spacing w:before="120" w:after="120"/>
              <w:rPr>
                <w:szCs w:val="22"/>
              </w:rPr>
            </w:pPr>
            <w:r w:rsidRPr="006D0BB9">
              <w:rPr>
                <w:szCs w:val="22"/>
              </w:rPr>
              <w:t>Part</w:t>
            </w:r>
            <w:r>
              <w:rPr>
                <w:szCs w:val="22"/>
              </w:rPr>
              <w:t>s</w:t>
            </w:r>
            <w:r w:rsidRPr="006D0BB9">
              <w:rPr>
                <w:szCs w:val="22"/>
              </w:rPr>
              <w:t xml:space="preserve"> specified below.</w:t>
            </w:r>
          </w:p>
        </w:tc>
        <w:tc>
          <w:tcPr>
            <w:tcW w:w="2172" w:type="dxa"/>
          </w:tcPr>
          <w:p w14:paraId="5C16A58E" w14:textId="77777777" w:rsidR="006D35B0" w:rsidRDefault="006D35B0" w:rsidP="006D35B0">
            <w:pPr>
              <w:spacing w:before="120" w:after="120"/>
              <w:rPr>
                <w:szCs w:val="22"/>
              </w:rPr>
            </w:pPr>
          </w:p>
        </w:tc>
      </w:tr>
      <w:tr w:rsidR="006D35B0" w14:paraId="7E50E2ED" w14:textId="77777777" w:rsidTr="00923743">
        <w:tc>
          <w:tcPr>
            <w:tcW w:w="523" w:type="dxa"/>
            <w:shd w:val="clear" w:color="auto" w:fill="auto"/>
          </w:tcPr>
          <w:p w14:paraId="283B2EAF" w14:textId="77777777" w:rsidR="006D35B0" w:rsidRDefault="006D35B0" w:rsidP="006D35B0">
            <w:pPr>
              <w:spacing w:before="120" w:after="120"/>
              <w:rPr>
                <w:szCs w:val="22"/>
              </w:rPr>
            </w:pPr>
          </w:p>
        </w:tc>
        <w:tc>
          <w:tcPr>
            <w:tcW w:w="715" w:type="dxa"/>
          </w:tcPr>
          <w:p w14:paraId="017AC36C" w14:textId="77777777" w:rsidR="006D35B0" w:rsidRDefault="006D35B0" w:rsidP="006D35B0">
            <w:pPr>
              <w:spacing w:before="120" w:after="120"/>
              <w:rPr>
                <w:szCs w:val="22"/>
              </w:rPr>
            </w:pPr>
          </w:p>
        </w:tc>
        <w:tc>
          <w:tcPr>
            <w:tcW w:w="2809" w:type="dxa"/>
            <w:shd w:val="clear" w:color="auto" w:fill="auto"/>
          </w:tcPr>
          <w:p w14:paraId="5DA7C386" w14:textId="77777777" w:rsidR="006D35B0" w:rsidRPr="00951CDE" w:rsidRDefault="006D35B0" w:rsidP="006D35B0">
            <w:pPr>
              <w:spacing w:before="120" w:after="120"/>
              <w:rPr>
                <w:szCs w:val="22"/>
              </w:rPr>
            </w:pPr>
            <w:r>
              <w:rPr>
                <w:szCs w:val="22"/>
              </w:rPr>
              <w:t>[20]</w:t>
            </w:r>
          </w:p>
        </w:tc>
        <w:tc>
          <w:tcPr>
            <w:tcW w:w="2536" w:type="dxa"/>
            <w:shd w:val="clear" w:color="auto" w:fill="auto"/>
          </w:tcPr>
          <w:p w14:paraId="0804DBDA" w14:textId="77777777" w:rsidR="006D35B0" w:rsidRDefault="006D35B0" w:rsidP="006D35B0">
            <w:pPr>
              <w:spacing w:before="120" w:after="120"/>
              <w:rPr>
                <w:szCs w:val="22"/>
              </w:rPr>
            </w:pPr>
            <w:r>
              <w:rPr>
                <w:szCs w:val="22"/>
              </w:rPr>
              <w:t>First sentence, the words “Whilst … applicant,”</w:t>
            </w:r>
          </w:p>
        </w:tc>
        <w:tc>
          <w:tcPr>
            <w:tcW w:w="2172" w:type="dxa"/>
          </w:tcPr>
          <w:p w14:paraId="3D72F5EA" w14:textId="77777777" w:rsidR="006D35B0" w:rsidRPr="006765D3" w:rsidRDefault="006D35B0" w:rsidP="006D35B0">
            <w:pPr>
              <w:spacing w:before="120" w:after="120"/>
              <w:rPr>
                <w:szCs w:val="22"/>
              </w:rPr>
            </w:pPr>
            <w:r w:rsidRPr="006765D3">
              <w:rPr>
                <w:szCs w:val="22"/>
              </w:rPr>
              <w:t>Until further order</w:t>
            </w:r>
          </w:p>
        </w:tc>
      </w:tr>
      <w:tr w:rsidR="006D35B0" w14:paraId="39E2506F" w14:textId="77777777" w:rsidTr="00923743">
        <w:tc>
          <w:tcPr>
            <w:tcW w:w="523" w:type="dxa"/>
            <w:shd w:val="clear" w:color="auto" w:fill="auto"/>
          </w:tcPr>
          <w:p w14:paraId="001EA4E6" w14:textId="77777777" w:rsidR="006D35B0" w:rsidRDefault="006D35B0" w:rsidP="006D35B0">
            <w:pPr>
              <w:spacing w:before="120" w:after="120"/>
              <w:rPr>
                <w:szCs w:val="22"/>
              </w:rPr>
            </w:pPr>
          </w:p>
        </w:tc>
        <w:tc>
          <w:tcPr>
            <w:tcW w:w="715" w:type="dxa"/>
          </w:tcPr>
          <w:p w14:paraId="32A8B657" w14:textId="77777777" w:rsidR="006D35B0" w:rsidRDefault="006D35B0" w:rsidP="006D35B0">
            <w:pPr>
              <w:spacing w:before="120" w:after="120"/>
              <w:rPr>
                <w:szCs w:val="22"/>
              </w:rPr>
            </w:pPr>
          </w:p>
        </w:tc>
        <w:tc>
          <w:tcPr>
            <w:tcW w:w="2809" w:type="dxa"/>
            <w:shd w:val="clear" w:color="auto" w:fill="auto"/>
          </w:tcPr>
          <w:p w14:paraId="0D67F696" w14:textId="77777777" w:rsidR="006D35B0" w:rsidRDefault="006D35B0" w:rsidP="006D35B0">
            <w:pPr>
              <w:spacing w:before="120" w:after="120"/>
              <w:rPr>
                <w:szCs w:val="22"/>
              </w:rPr>
            </w:pPr>
            <w:r>
              <w:rPr>
                <w:szCs w:val="22"/>
              </w:rPr>
              <w:t>[21]-[22]</w:t>
            </w:r>
          </w:p>
        </w:tc>
        <w:tc>
          <w:tcPr>
            <w:tcW w:w="2536" w:type="dxa"/>
            <w:shd w:val="clear" w:color="auto" w:fill="auto"/>
          </w:tcPr>
          <w:p w14:paraId="686B8539" w14:textId="77777777" w:rsidR="006D35B0" w:rsidRDefault="006D35B0" w:rsidP="006D35B0">
            <w:pPr>
              <w:spacing w:before="120" w:after="120"/>
              <w:rPr>
                <w:szCs w:val="22"/>
              </w:rPr>
            </w:pPr>
            <w:r>
              <w:rPr>
                <w:szCs w:val="22"/>
              </w:rPr>
              <w:t>Whole</w:t>
            </w:r>
          </w:p>
        </w:tc>
        <w:tc>
          <w:tcPr>
            <w:tcW w:w="2172" w:type="dxa"/>
          </w:tcPr>
          <w:p w14:paraId="7FE2C667" w14:textId="77777777" w:rsidR="006D35B0" w:rsidRPr="006765D3" w:rsidRDefault="006D35B0" w:rsidP="006D35B0">
            <w:pPr>
              <w:spacing w:before="120" w:after="120"/>
              <w:rPr>
                <w:szCs w:val="22"/>
              </w:rPr>
            </w:pPr>
            <w:r>
              <w:rPr>
                <w:szCs w:val="22"/>
              </w:rPr>
              <w:t>Until further order</w:t>
            </w:r>
          </w:p>
        </w:tc>
      </w:tr>
      <w:tr w:rsidR="006D35B0" w14:paraId="40BC847F" w14:textId="77777777" w:rsidTr="00923743">
        <w:tc>
          <w:tcPr>
            <w:tcW w:w="523" w:type="dxa"/>
            <w:shd w:val="clear" w:color="auto" w:fill="auto"/>
          </w:tcPr>
          <w:p w14:paraId="3A348545" w14:textId="77777777" w:rsidR="006D35B0" w:rsidRDefault="006D35B0" w:rsidP="006D35B0">
            <w:pPr>
              <w:spacing w:before="120" w:after="120"/>
              <w:rPr>
                <w:szCs w:val="22"/>
              </w:rPr>
            </w:pPr>
          </w:p>
        </w:tc>
        <w:tc>
          <w:tcPr>
            <w:tcW w:w="715" w:type="dxa"/>
          </w:tcPr>
          <w:p w14:paraId="0BE984D5" w14:textId="77777777" w:rsidR="006D35B0" w:rsidRDefault="006D35B0" w:rsidP="006D35B0">
            <w:pPr>
              <w:spacing w:before="120" w:after="120"/>
              <w:rPr>
                <w:szCs w:val="22"/>
              </w:rPr>
            </w:pPr>
          </w:p>
        </w:tc>
        <w:tc>
          <w:tcPr>
            <w:tcW w:w="2809" w:type="dxa"/>
            <w:shd w:val="clear" w:color="auto" w:fill="auto"/>
          </w:tcPr>
          <w:p w14:paraId="18998DEA" w14:textId="77777777" w:rsidR="006D35B0" w:rsidRPr="00951CDE" w:rsidRDefault="006D35B0" w:rsidP="006D35B0">
            <w:pPr>
              <w:spacing w:before="120" w:after="120"/>
              <w:rPr>
                <w:szCs w:val="22"/>
              </w:rPr>
            </w:pPr>
            <w:r>
              <w:rPr>
                <w:szCs w:val="22"/>
              </w:rPr>
              <w:t>[24]</w:t>
            </w:r>
          </w:p>
        </w:tc>
        <w:tc>
          <w:tcPr>
            <w:tcW w:w="2536" w:type="dxa"/>
            <w:shd w:val="clear" w:color="auto" w:fill="auto"/>
          </w:tcPr>
          <w:p w14:paraId="55E5F5C4" w14:textId="77777777" w:rsidR="006D35B0" w:rsidRDefault="006D35B0" w:rsidP="006D35B0">
            <w:pPr>
              <w:spacing w:before="120" w:after="120"/>
              <w:rPr>
                <w:szCs w:val="22"/>
              </w:rPr>
            </w:pPr>
            <w:r>
              <w:rPr>
                <w:szCs w:val="22"/>
              </w:rPr>
              <w:t>Whole</w:t>
            </w:r>
          </w:p>
        </w:tc>
        <w:tc>
          <w:tcPr>
            <w:tcW w:w="2172" w:type="dxa"/>
          </w:tcPr>
          <w:p w14:paraId="72123D09" w14:textId="77777777" w:rsidR="006D35B0" w:rsidRDefault="006D35B0" w:rsidP="006D35B0">
            <w:pPr>
              <w:spacing w:before="120" w:after="120"/>
              <w:rPr>
                <w:szCs w:val="22"/>
              </w:rPr>
            </w:pPr>
            <w:r w:rsidRPr="006765D3">
              <w:rPr>
                <w:szCs w:val="22"/>
              </w:rPr>
              <w:t>Until further order</w:t>
            </w:r>
          </w:p>
        </w:tc>
      </w:tr>
      <w:tr w:rsidR="006D35B0" w14:paraId="3FF01DDC" w14:textId="77777777" w:rsidTr="00923743">
        <w:tc>
          <w:tcPr>
            <w:tcW w:w="523" w:type="dxa"/>
            <w:shd w:val="clear" w:color="auto" w:fill="auto"/>
          </w:tcPr>
          <w:p w14:paraId="1B33CA4A" w14:textId="77777777" w:rsidR="006D35B0" w:rsidRDefault="006D35B0" w:rsidP="006D35B0">
            <w:pPr>
              <w:spacing w:before="120" w:after="120"/>
              <w:rPr>
                <w:szCs w:val="22"/>
              </w:rPr>
            </w:pPr>
          </w:p>
        </w:tc>
        <w:tc>
          <w:tcPr>
            <w:tcW w:w="715" w:type="dxa"/>
          </w:tcPr>
          <w:p w14:paraId="2CE43DAB" w14:textId="77777777" w:rsidR="006D35B0" w:rsidRDefault="006D35B0" w:rsidP="006D35B0">
            <w:pPr>
              <w:spacing w:before="120" w:after="120"/>
              <w:rPr>
                <w:szCs w:val="22"/>
              </w:rPr>
            </w:pPr>
          </w:p>
        </w:tc>
        <w:tc>
          <w:tcPr>
            <w:tcW w:w="2809" w:type="dxa"/>
            <w:shd w:val="clear" w:color="auto" w:fill="auto"/>
          </w:tcPr>
          <w:p w14:paraId="4B1E9938" w14:textId="77777777" w:rsidR="006D35B0" w:rsidRPr="00951CDE" w:rsidRDefault="006D35B0" w:rsidP="006D35B0">
            <w:pPr>
              <w:spacing w:before="120" w:after="120"/>
              <w:rPr>
                <w:szCs w:val="22"/>
              </w:rPr>
            </w:pPr>
            <w:r>
              <w:rPr>
                <w:szCs w:val="22"/>
              </w:rPr>
              <w:t>[26]</w:t>
            </w:r>
          </w:p>
        </w:tc>
        <w:tc>
          <w:tcPr>
            <w:tcW w:w="2536" w:type="dxa"/>
            <w:shd w:val="clear" w:color="auto" w:fill="auto"/>
          </w:tcPr>
          <w:p w14:paraId="6FE8D9D9" w14:textId="77777777" w:rsidR="006D35B0" w:rsidRDefault="006D35B0" w:rsidP="006D35B0">
            <w:pPr>
              <w:spacing w:before="120" w:after="120"/>
              <w:rPr>
                <w:szCs w:val="22"/>
              </w:rPr>
            </w:pPr>
            <w:r>
              <w:rPr>
                <w:szCs w:val="22"/>
              </w:rPr>
              <w:t>Entries in chronology bearing the following dates:</w:t>
            </w:r>
          </w:p>
          <w:p w14:paraId="52FA583C" w14:textId="77777777" w:rsidR="006D35B0" w:rsidRDefault="006D35B0" w:rsidP="006D35B0">
            <w:pPr>
              <w:spacing w:before="120" w:after="120"/>
              <w:rPr>
                <w:szCs w:val="22"/>
              </w:rPr>
            </w:pPr>
            <w:r>
              <w:rPr>
                <w:szCs w:val="22"/>
              </w:rPr>
              <w:t xml:space="preserve">March 2016 </w:t>
            </w:r>
          </w:p>
          <w:p w14:paraId="6917E01E" w14:textId="77777777" w:rsidR="006D35B0" w:rsidRDefault="006D35B0" w:rsidP="006D35B0">
            <w:pPr>
              <w:spacing w:before="120" w:after="120"/>
              <w:rPr>
                <w:szCs w:val="22"/>
              </w:rPr>
            </w:pPr>
            <w:r>
              <w:rPr>
                <w:szCs w:val="22"/>
              </w:rPr>
              <w:t>May 2016</w:t>
            </w:r>
          </w:p>
          <w:p w14:paraId="53FDD56F" w14:textId="77777777" w:rsidR="006D35B0" w:rsidRDefault="006D35B0" w:rsidP="006D35B0">
            <w:pPr>
              <w:spacing w:before="120" w:after="120"/>
              <w:rPr>
                <w:szCs w:val="22"/>
              </w:rPr>
            </w:pPr>
            <w:r>
              <w:rPr>
                <w:szCs w:val="22"/>
              </w:rPr>
              <w:t>October 2016</w:t>
            </w:r>
          </w:p>
          <w:p w14:paraId="4BF1EACD" w14:textId="77777777" w:rsidR="006D35B0" w:rsidRDefault="006D35B0" w:rsidP="006D35B0">
            <w:pPr>
              <w:spacing w:before="120" w:after="120"/>
              <w:rPr>
                <w:szCs w:val="22"/>
              </w:rPr>
            </w:pPr>
            <w:r>
              <w:rPr>
                <w:szCs w:val="22"/>
              </w:rPr>
              <w:t>August 2017</w:t>
            </w:r>
          </w:p>
          <w:p w14:paraId="1AC98E65" w14:textId="77777777" w:rsidR="006D35B0" w:rsidRDefault="006D35B0" w:rsidP="006D35B0">
            <w:pPr>
              <w:spacing w:before="120" w:after="120"/>
              <w:rPr>
                <w:szCs w:val="22"/>
              </w:rPr>
            </w:pPr>
            <w:r>
              <w:rPr>
                <w:szCs w:val="22"/>
              </w:rPr>
              <w:t>December 2017</w:t>
            </w:r>
          </w:p>
          <w:p w14:paraId="41687CF4" w14:textId="77777777" w:rsidR="006D35B0" w:rsidRDefault="006D35B0" w:rsidP="006D35B0">
            <w:pPr>
              <w:spacing w:before="120" w:after="120"/>
              <w:rPr>
                <w:szCs w:val="22"/>
              </w:rPr>
            </w:pPr>
            <w:r>
              <w:rPr>
                <w:szCs w:val="22"/>
              </w:rPr>
              <w:t>July 2020</w:t>
            </w:r>
          </w:p>
          <w:p w14:paraId="608E6253" w14:textId="77777777" w:rsidR="006D35B0" w:rsidRDefault="006D35B0" w:rsidP="006D35B0">
            <w:pPr>
              <w:spacing w:before="120" w:after="120"/>
              <w:rPr>
                <w:szCs w:val="22"/>
              </w:rPr>
            </w:pPr>
            <w:r>
              <w:rPr>
                <w:szCs w:val="22"/>
              </w:rPr>
              <w:t>15 June 2022 (first sentence only)</w:t>
            </w:r>
          </w:p>
        </w:tc>
        <w:tc>
          <w:tcPr>
            <w:tcW w:w="2172" w:type="dxa"/>
          </w:tcPr>
          <w:p w14:paraId="515EE125" w14:textId="77777777" w:rsidR="006D35B0" w:rsidRDefault="006D35B0" w:rsidP="006D35B0">
            <w:pPr>
              <w:spacing w:before="120" w:after="120"/>
              <w:rPr>
                <w:szCs w:val="22"/>
              </w:rPr>
            </w:pPr>
            <w:r w:rsidRPr="006765D3">
              <w:rPr>
                <w:szCs w:val="22"/>
              </w:rPr>
              <w:t>Until further order</w:t>
            </w:r>
          </w:p>
        </w:tc>
      </w:tr>
      <w:tr w:rsidR="006D35B0" w14:paraId="5E593891" w14:textId="77777777" w:rsidTr="00923743">
        <w:tc>
          <w:tcPr>
            <w:tcW w:w="523" w:type="dxa"/>
            <w:shd w:val="clear" w:color="auto" w:fill="auto"/>
          </w:tcPr>
          <w:p w14:paraId="79B65D75" w14:textId="77777777" w:rsidR="006D35B0" w:rsidRDefault="006D35B0" w:rsidP="006D35B0">
            <w:pPr>
              <w:spacing w:before="120" w:after="120"/>
              <w:rPr>
                <w:szCs w:val="22"/>
              </w:rPr>
            </w:pPr>
          </w:p>
        </w:tc>
        <w:tc>
          <w:tcPr>
            <w:tcW w:w="715" w:type="dxa"/>
          </w:tcPr>
          <w:p w14:paraId="642C37DB" w14:textId="77777777" w:rsidR="006D35B0" w:rsidRDefault="006D35B0" w:rsidP="006D35B0">
            <w:pPr>
              <w:spacing w:before="120" w:after="120"/>
              <w:rPr>
                <w:szCs w:val="22"/>
              </w:rPr>
            </w:pPr>
          </w:p>
        </w:tc>
        <w:tc>
          <w:tcPr>
            <w:tcW w:w="2809" w:type="dxa"/>
            <w:shd w:val="clear" w:color="auto" w:fill="auto"/>
          </w:tcPr>
          <w:p w14:paraId="0F67AB32" w14:textId="77777777" w:rsidR="006D35B0" w:rsidRPr="00951CDE" w:rsidRDefault="006D35B0" w:rsidP="006D35B0">
            <w:pPr>
              <w:spacing w:before="120" w:after="120"/>
              <w:rPr>
                <w:szCs w:val="22"/>
              </w:rPr>
            </w:pPr>
            <w:r>
              <w:rPr>
                <w:szCs w:val="22"/>
              </w:rPr>
              <w:t>[46]-[50]</w:t>
            </w:r>
          </w:p>
        </w:tc>
        <w:tc>
          <w:tcPr>
            <w:tcW w:w="2536" w:type="dxa"/>
            <w:shd w:val="clear" w:color="auto" w:fill="auto"/>
          </w:tcPr>
          <w:p w14:paraId="171F6074" w14:textId="77777777" w:rsidR="006D35B0" w:rsidRDefault="006D35B0" w:rsidP="006D35B0">
            <w:pPr>
              <w:spacing w:before="120" w:after="120"/>
              <w:rPr>
                <w:szCs w:val="22"/>
              </w:rPr>
            </w:pPr>
            <w:r>
              <w:rPr>
                <w:szCs w:val="22"/>
              </w:rPr>
              <w:t>Whole (including sub-heading F.1)</w:t>
            </w:r>
          </w:p>
        </w:tc>
        <w:tc>
          <w:tcPr>
            <w:tcW w:w="2172" w:type="dxa"/>
          </w:tcPr>
          <w:p w14:paraId="29C3F9F7" w14:textId="77777777" w:rsidR="006D35B0" w:rsidRDefault="006D35B0" w:rsidP="006D35B0">
            <w:pPr>
              <w:spacing w:before="120" w:after="120"/>
              <w:rPr>
                <w:szCs w:val="22"/>
              </w:rPr>
            </w:pPr>
            <w:r w:rsidRPr="006765D3">
              <w:rPr>
                <w:szCs w:val="22"/>
              </w:rPr>
              <w:t>Until further order</w:t>
            </w:r>
          </w:p>
        </w:tc>
      </w:tr>
      <w:tr w:rsidR="006D35B0" w14:paraId="5E5C42E8" w14:textId="77777777" w:rsidTr="00923743">
        <w:tc>
          <w:tcPr>
            <w:tcW w:w="523" w:type="dxa"/>
            <w:shd w:val="clear" w:color="auto" w:fill="auto"/>
          </w:tcPr>
          <w:p w14:paraId="1FDC0997" w14:textId="77777777" w:rsidR="006D35B0" w:rsidRDefault="006D35B0" w:rsidP="006D35B0">
            <w:pPr>
              <w:spacing w:before="120" w:after="120"/>
              <w:rPr>
                <w:szCs w:val="22"/>
              </w:rPr>
            </w:pPr>
          </w:p>
        </w:tc>
        <w:tc>
          <w:tcPr>
            <w:tcW w:w="715" w:type="dxa"/>
          </w:tcPr>
          <w:p w14:paraId="5768A372" w14:textId="77777777" w:rsidR="006D35B0" w:rsidRDefault="006D35B0" w:rsidP="006D35B0">
            <w:pPr>
              <w:spacing w:before="120" w:after="120"/>
              <w:rPr>
                <w:szCs w:val="22"/>
              </w:rPr>
            </w:pPr>
          </w:p>
        </w:tc>
        <w:tc>
          <w:tcPr>
            <w:tcW w:w="2809" w:type="dxa"/>
            <w:shd w:val="clear" w:color="auto" w:fill="auto"/>
          </w:tcPr>
          <w:p w14:paraId="64533217" w14:textId="77777777" w:rsidR="006D35B0" w:rsidRPr="00951CDE" w:rsidRDefault="006D35B0" w:rsidP="006D35B0">
            <w:pPr>
              <w:spacing w:before="120" w:after="120"/>
              <w:rPr>
                <w:szCs w:val="22"/>
              </w:rPr>
            </w:pPr>
            <w:r>
              <w:rPr>
                <w:szCs w:val="22"/>
              </w:rPr>
              <w:t>[75]</w:t>
            </w:r>
          </w:p>
        </w:tc>
        <w:tc>
          <w:tcPr>
            <w:tcW w:w="2536" w:type="dxa"/>
            <w:shd w:val="clear" w:color="auto" w:fill="auto"/>
          </w:tcPr>
          <w:p w14:paraId="66B588D9" w14:textId="77777777" w:rsidR="006D35B0" w:rsidRDefault="006D35B0" w:rsidP="006D35B0">
            <w:pPr>
              <w:spacing w:before="120" w:after="120"/>
              <w:rPr>
                <w:szCs w:val="22"/>
              </w:rPr>
            </w:pPr>
            <w:r>
              <w:rPr>
                <w:szCs w:val="22"/>
              </w:rPr>
              <w:t>First sentence, the words “not to … fees and”</w:t>
            </w:r>
          </w:p>
        </w:tc>
        <w:tc>
          <w:tcPr>
            <w:tcW w:w="2172" w:type="dxa"/>
          </w:tcPr>
          <w:p w14:paraId="5D4FEDA2" w14:textId="77777777" w:rsidR="006D35B0" w:rsidRDefault="006D35B0" w:rsidP="006D35B0">
            <w:pPr>
              <w:spacing w:before="120" w:after="120"/>
              <w:rPr>
                <w:szCs w:val="22"/>
              </w:rPr>
            </w:pPr>
            <w:r w:rsidRPr="006765D3">
              <w:rPr>
                <w:szCs w:val="22"/>
              </w:rPr>
              <w:t>Until further order</w:t>
            </w:r>
          </w:p>
        </w:tc>
      </w:tr>
      <w:tr w:rsidR="006D35B0" w14:paraId="67E8376B" w14:textId="77777777" w:rsidTr="00923743">
        <w:tc>
          <w:tcPr>
            <w:tcW w:w="523" w:type="dxa"/>
            <w:shd w:val="clear" w:color="auto" w:fill="auto"/>
          </w:tcPr>
          <w:p w14:paraId="147F9D12" w14:textId="77777777" w:rsidR="006D35B0" w:rsidRDefault="006D35B0" w:rsidP="006D35B0">
            <w:pPr>
              <w:spacing w:before="120" w:after="120"/>
              <w:rPr>
                <w:szCs w:val="22"/>
              </w:rPr>
            </w:pPr>
          </w:p>
        </w:tc>
        <w:tc>
          <w:tcPr>
            <w:tcW w:w="715" w:type="dxa"/>
          </w:tcPr>
          <w:p w14:paraId="7EB96665" w14:textId="77777777" w:rsidR="006D35B0" w:rsidRDefault="006D35B0" w:rsidP="006D35B0">
            <w:pPr>
              <w:spacing w:before="120" w:after="120"/>
              <w:rPr>
                <w:szCs w:val="22"/>
              </w:rPr>
            </w:pPr>
          </w:p>
        </w:tc>
        <w:tc>
          <w:tcPr>
            <w:tcW w:w="2809" w:type="dxa"/>
            <w:shd w:val="clear" w:color="auto" w:fill="auto"/>
          </w:tcPr>
          <w:p w14:paraId="299A2D00" w14:textId="77777777" w:rsidR="006D35B0" w:rsidRPr="00951CDE" w:rsidRDefault="006D35B0" w:rsidP="006D35B0">
            <w:pPr>
              <w:spacing w:before="120" w:after="120"/>
              <w:rPr>
                <w:szCs w:val="22"/>
              </w:rPr>
            </w:pPr>
            <w:r>
              <w:rPr>
                <w:szCs w:val="22"/>
              </w:rPr>
              <w:t>[77]</w:t>
            </w:r>
          </w:p>
        </w:tc>
        <w:tc>
          <w:tcPr>
            <w:tcW w:w="2536" w:type="dxa"/>
            <w:shd w:val="clear" w:color="auto" w:fill="auto"/>
          </w:tcPr>
          <w:p w14:paraId="1ABD19AA" w14:textId="77777777" w:rsidR="006D35B0" w:rsidRDefault="006D35B0" w:rsidP="006D35B0">
            <w:pPr>
              <w:spacing w:before="120" w:after="120"/>
              <w:rPr>
                <w:szCs w:val="22"/>
              </w:rPr>
            </w:pPr>
            <w:r>
              <w:rPr>
                <w:szCs w:val="22"/>
              </w:rPr>
              <w:t>Whole</w:t>
            </w:r>
          </w:p>
        </w:tc>
        <w:tc>
          <w:tcPr>
            <w:tcW w:w="2172" w:type="dxa"/>
          </w:tcPr>
          <w:p w14:paraId="638E5F3B" w14:textId="77777777" w:rsidR="006D35B0" w:rsidRDefault="006D35B0" w:rsidP="006D35B0">
            <w:pPr>
              <w:spacing w:before="120" w:after="120"/>
              <w:rPr>
                <w:szCs w:val="22"/>
              </w:rPr>
            </w:pPr>
            <w:r>
              <w:rPr>
                <w:szCs w:val="22"/>
              </w:rPr>
              <w:t>Until expiry of appeal periods</w:t>
            </w:r>
          </w:p>
        </w:tc>
      </w:tr>
      <w:tr w:rsidR="006D35B0" w14:paraId="1DBE8992" w14:textId="77777777" w:rsidTr="00923743">
        <w:tc>
          <w:tcPr>
            <w:tcW w:w="523" w:type="dxa"/>
            <w:shd w:val="clear" w:color="auto" w:fill="auto"/>
          </w:tcPr>
          <w:p w14:paraId="52A2EDAB" w14:textId="77777777" w:rsidR="006D35B0" w:rsidRDefault="006D35B0" w:rsidP="006D35B0">
            <w:pPr>
              <w:spacing w:before="120" w:after="120"/>
              <w:rPr>
                <w:szCs w:val="22"/>
              </w:rPr>
            </w:pPr>
          </w:p>
        </w:tc>
        <w:tc>
          <w:tcPr>
            <w:tcW w:w="715" w:type="dxa"/>
          </w:tcPr>
          <w:p w14:paraId="4F84A53E" w14:textId="77777777" w:rsidR="006D35B0" w:rsidRDefault="006D35B0" w:rsidP="006D35B0">
            <w:pPr>
              <w:spacing w:before="120" w:after="120"/>
              <w:rPr>
                <w:szCs w:val="22"/>
              </w:rPr>
            </w:pPr>
          </w:p>
        </w:tc>
        <w:tc>
          <w:tcPr>
            <w:tcW w:w="2809" w:type="dxa"/>
            <w:shd w:val="clear" w:color="auto" w:fill="auto"/>
          </w:tcPr>
          <w:p w14:paraId="2EC4197C" w14:textId="77777777" w:rsidR="006D35B0" w:rsidRDefault="006D35B0" w:rsidP="006D35B0">
            <w:pPr>
              <w:spacing w:before="120" w:after="120"/>
              <w:rPr>
                <w:szCs w:val="22"/>
              </w:rPr>
            </w:pPr>
            <w:r>
              <w:rPr>
                <w:szCs w:val="22"/>
              </w:rPr>
              <w:t>[78]</w:t>
            </w:r>
          </w:p>
        </w:tc>
        <w:tc>
          <w:tcPr>
            <w:tcW w:w="2536" w:type="dxa"/>
            <w:shd w:val="clear" w:color="auto" w:fill="auto"/>
          </w:tcPr>
          <w:p w14:paraId="34127B58" w14:textId="77777777" w:rsidR="006D35B0" w:rsidRDefault="006D35B0" w:rsidP="006D35B0">
            <w:pPr>
              <w:spacing w:before="120" w:after="120"/>
              <w:rPr>
                <w:szCs w:val="22"/>
              </w:rPr>
            </w:pPr>
            <w:r>
              <w:rPr>
                <w:szCs w:val="22"/>
              </w:rPr>
              <w:t>Whole</w:t>
            </w:r>
          </w:p>
        </w:tc>
        <w:tc>
          <w:tcPr>
            <w:tcW w:w="2172" w:type="dxa"/>
          </w:tcPr>
          <w:p w14:paraId="4412BBE1" w14:textId="77777777" w:rsidR="006D35B0" w:rsidRPr="006765D3" w:rsidRDefault="006D35B0" w:rsidP="006D35B0">
            <w:pPr>
              <w:spacing w:before="120" w:after="120"/>
              <w:rPr>
                <w:szCs w:val="22"/>
              </w:rPr>
            </w:pPr>
            <w:r w:rsidRPr="006765D3">
              <w:rPr>
                <w:szCs w:val="22"/>
              </w:rPr>
              <w:t>Until further order</w:t>
            </w:r>
          </w:p>
        </w:tc>
      </w:tr>
      <w:tr w:rsidR="006D35B0" w14:paraId="4A83E93C" w14:textId="77777777" w:rsidTr="00923743">
        <w:tc>
          <w:tcPr>
            <w:tcW w:w="523" w:type="dxa"/>
            <w:shd w:val="clear" w:color="auto" w:fill="auto"/>
          </w:tcPr>
          <w:p w14:paraId="31B06FEB" w14:textId="77777777" w:rsidR="006D35B0" w:rsidRDefault="006D35B0" w:rsidP="006D35B0">
            <w:pPr>
              <w:spacing w:before="120" w:after="120"/>
              <w:rPr>
                <w:szCs w:val="22"/>
              </w:rPr>
            </w:pPr>
          </w:p>
        </w:tc>
        <w:tc>
          <w:tcPr>
            <w:tcW w:w="715" w:type="dxa"/>
          </w:tcPr>
          <w:p w14:paraId="58C267F5" w14:textId="77777777" w:rsidR="006D35B0" w:rsidRDefault="006D35B0" w:rsidP="006D35B0">
            <w:pPr>
              <w:spacing w:before="120" w:after="120"/>
              <w:rPr>
                <w:szCs w:val="22"/>
              </w:rPr>
            </w:pPr>
          </w:p>
        </w:tc>
        <w:tc>
          <w:tcPr>
            <w:tcW w:w="2809" w:type="dxa"/>
            <w:shd w:val="clear" w:color="auto" w:fill="auto"/>
          </w:tcPr>
          <w:p w14:paraId="351AF6D3" w14:textId="77777777" w:rsidR="006D35B0" w:rsidRPr="00951CDE" w:rsidRDefault="006D35B0" w:rsidP="006D35B0">
            <w:pPr>
              <w:spacing w:before="120" w:after="120"/>
              <w:rPr>
                <w:szCs w:val="22"/>
              </w:rPr>
            </w:pPr>
            <w:r>
              <w:rPr>
                <w:szCs w:val="22"/>
              </w:rPr>
              <w:t>[86]-[105]</w:t>
            </w:r>
          </w:p>
        </w:tc>
        <w:tc>
          <w:tcPr>
            <w:tcW w:w="2536" w:type="dxa"/>
            <w:shd w:val="clear" w:color="auto" w:fill="auto"/>
          </w:tcPr>
          <w:p w14:paraId="667BC7CE" w14:textId="77777777" w:rsidR="006D35B0" w:rsidRDefault="006D35B0" w:rsidP="006D35B0">
            <w:pPr>
              <w:spacing w:before="120" w:after="120"/>
              <w:rPr>
                <w:szCs w:val="22"/>
              </w:rPr>
            </w:pPr>
            <w:r>
              <w:rPr>
                <w:szCs w:val="22"/>
              </w:rPr>
              <w:t>Whole (including headings)</w:t>
            </w:r>
          </w:p>
        </w:tc>
        <w:tc>
          <w:tcPr>
            <w:tcW w:w="2172" w:type="dxa"/>
          </w:tcPr>
          <w:p w14:paraId="35AD0ACB" w14:textId="77777777" w:rsidR="006D35B0" w:rsidRDefault="006D35B0" w:rsidP="006D35B0">
            <w:pPr>
              <w:spacing w:before="120" w:after="120"/>
              <w:rPr>
                <w:szCs w:val="22"/>
              </w:rPr>
            </w:pPr>
            <w:r w:rsidRPr="006765D3">
              <w:rPr>
                <w:szCs w:val="22"/>
              </w:rPr>
              <w:t>Until further order</w:t>
            </w:r>
          </w:p>
        </w:tc>
      </w:tr>
      <w:tr w:rsidR="006D35B0" w14:paraId="0B95094C" w14:textId="77777777" w:rsidTr="00923743">
        <w:tc>
          <w:tcPr>
            <w:tcW w:w="523" w:type="dxa"/>
            <w:shd w:val="clear" w:color="auto" w:fill="auto"/>
          </w:tcPr>
          <w:p w14:paraId="41977452" w14:textId="77777777" w:rsidR="006D35B0" w:rsidRDefault="006D35B0" w:rsidP="006D35B0">
            <w:pPr>
              <w:spacing w:before="120" w:after="120"/>
              <w:rPr>
                <w:szCs w:val="22"/>
              </w:rPr>
            </w:pPr>
          </w:p>
        </w:tc>
        <w:tc>
          <w:tcPr>
            <w:tcW w:w="715" w:type="dxa"/>
          </w:tcPr>
          <w:p w14:paraId="6A56393D" w14:textId="77777777" w:rsidR="006D35B0" w:rsidRDefault="006D35B0" w:rsidP="006D35B0">
            <w:pPr>
              <w:spacing w:before="120" w:after="120"/>
              <w:rPr>
                <w:szCs w:val="22"/>
              </w:rPr>
            </w:pPr>
          </w:p>
        </w:tc>
        <w:tc>
          <w:tcPr>
            <w:tcW w:w="2809" w:type="dxa"/>
            <w:shd w:val="clear" w:color="auto" w:fill="auto"/>
          </w:tcPr>
          <w:p w14:paraId="08DED5FF" w14:textId="77777777" w:rsidR="006D35B0" w:rsidRPr="00951CDE" w:rsidRDefault="006D35B0" w:rsidP="006D35B0">
            <w:pPr>
              <w:spacing w:before="120" w:after="120"/>
              <w:rPr>
                <w:szCs w:val="22"/>
              </w:rPr>
            </w:pPr>
            <w:r>
              <w:rPr>
                <w:szCs w:val="22"/>
              </w:rPr>
              <w:t>[110]</w:t>
            </w:r>
          </w:p>
        </w:tc>
        <w:tc>
          <w:tcPr>
            <w:tcW w:w="2536" w:type="dxa"/>
            <w:shd w:val="clear" w:color="auto" w:fill="auto"/>
          </w:tcPr>
          <w:p w14:paraId="67C43C46" w14:textId="77777777" w:rsidR="006D35B0" w:rsidRDefault="006D35B0" w:rsidP="006D35B0">
            <w:pPr>
              <w:spacing w:before="120" w:after="120"/>
              <w:rPr>
                <w:szCs w:val="22"/>
              </w:rPr>
            </w:pPr>
            <w:r>
              <w:rPr>
                <w:szCs w:val="22"/>
              </w:rPr>
              <w:t>First two sentences</w:t>
            </w:r>
          </w:p>
        </w:tc>
        <w:tc>
          <w:tcPr>
            <w:tcW w:w="2172" w:type="dxa"/>
          </w:tcPr>
          <w:p w14:paraId="6E4942D0" w14:textId="77777777" w:rsidR="006D35B0" w:rsidRDefault="006D35B0" w:rsidP="006D35B0">
            <w:pPr>
              <w:spacing w:before="120" w:after="120"/>
              <w:rPr>
                <w:szCs w:val="22"/>
              </w:rPr>
            </w:pPr>
            <w:r>
              <w:rPr>
                <w:szCs w:val="22"/>
              </w:rPr>
              <w:t>Until expiry of appeal periods</w:t>
            </w:r>
          </w:p>
        </w:tc>
      </w:tr>
      <w:tr w:rsidR="006D35B0" w14:paraId="671E60BE" w14:textId="77777777" w:rsidTr="00923743">
        <w:tc>
          <w:tcPr>
            <w:tcW w:w="523" w:type="dxa"/>
            <w:shd w:val="clear" w:color="auto" w:fill="auto"/>
          </w:tcPr>
          <w:p w14:paraId="6F925317" w14:textId="77777777" w:rsidR="006D35B0" w:rsidRDefault="006D35B0" w:rsidP="006D35B0">
            <w:pPr>
              <w:spacing w:before="120" w:after="120"/>
              <w:rPr>
                <w:szCs w:val="22"/>
              </w:rPr>
            </w:pPr>
          </w:p>
        </w:tc>
        <w:tc>
          <w:tcPr>
            <w:tcW w:w="715" w:type="dxa"/>
          </w:tcPr>
          <w:p w14:paraId="5B8A992F" w14:textId="77777777" w:rsidR="006D35B0" w:rsidRDefault="006D35B0" w:rsidP="006D35B0">
            <w:pPr>
              <w:spacing w:before="120" w:after="120"/>
              <w:rPr>
                <w:szCs w:val="22"/>
              </w:rPr>
            </w:pPr>
          </w:p>
        </w:tc>
        <w:tc>
          <w:tcPr>
            <w:tcW w:w="2809" w:type="dxa"/>
            <w:shd w:val="clear" w:color="auto" w:fill="auto"/>
          </w:tcPr>
          <w:p w14:paraId="6F23756A" w14:textId="77777777" w:rsidR="006D35B0" w:rsidRPr="00951CDE" w:rsidRDefault="006D35B0" w:rsidP="006D35B0">
            <w:pPr>
              <w:spacing w:before="120" w:after="120"/>
              <w:rPr>
                <w:szCs w:val="22"/>
              </w:rPr>
            </w:pPr>
            <w:r>
              <w:rPr>
                <w:szCs w:val="22"/>
              </w:rPr>
              <w:t>[111]</w:t>
            </w:r>
          </w:p>
        </w:tc>
        <w:tc>
          <w:tcPr>
            <w:tcW w:w="2536" w:type="dxa"/>
            <w:shd w:val="clear" w:color="auto" w:fill="auto"/>
          </w:tcPr>
          <w:p w14:paraId="3E5C5F71" w14:textId="77777777" w:rsidR="006D35B0" w:rsidRDefault="006D35B0" w:rsidP="006D35B0">
            <w:pPr>
              <w:spacing w:before="120" w:after="120"/>
              <w:rPr>
                <w:szCs w:val="22"/>
              </w:rPr>
            </w:pPr>
            <w:r>
              <w:rPr>
                <w:szCs w:val="22"/>
              </w:rPr>
              <w:t>Second and third sentences (“On a number … being incurred.”)</w:t>
            </w:r>
          </w:p>
        </w:tc>
        <w:tc>
          <w:tcPr>
            <w:tcW w:w="2172" w:type="dxa"/>
          </w:tcPr>
          <w:p w14:paraId="78C6364F" w14:textId="77777777" w:rsidR="006D35B0" w:rsidRDefault="006D35B0" w:rsidP="006D35B0">
            <w:pPr>
              <w:spacing w:before="120" w:after="120"/>
              <w:rPr>
                <w:szCs w:val="22"/>
              </w:rPr>
            </w:pPr>
            <w:r>
              <w:rPr>
                <w:szCs w:val="22"/>
              </w:rPr>
              <w:t>Until expiry of appeal periods</w:t>
            </w:r>
          </w:p>
        </w:tc>
      </w:tr>
      <w:tr w:rsidR="006D35B0" w14:paraId="08C9BF12" w14:textId="77777777" w:rsidTr="00923743">
        <w:tc>
          <w:tcPr>
            <w:tcW w:w="523" w:type="dxa"/>
            <w:shd w:val="clear" w:color="auto" w:fill="auto"/>
          </w:tcPr>
          <w:p w14:paraId="13725688" w14:textId="77777777" w:rsidR="006D35B0" w:rsidRDefault="006D35B0" w:rsidP="006D35B0">
            <w:pPr>
              <w:spacing w:before="120" w:after="120"/>
              <w:rPr>
                <w:szCs w:val="22"/>
              </w:rPr>
            </w:pPr>
          </w:p>
        </w:tc>
        <w:tc>
          <w:tcPr>
            <w:tcW w:w="715" w:type="dxa"/>
          </w:tcPr>
          <w:p w14:paraId="246E5C66" w14:textId="77777777" w:rsidR="006D35B0" w:rsidRDefault="006D35B0" w:rsidP="006D35B0">
            <w:pPr>
              <w:spacing w:before="120" w:after="120"/>
              <w:rPr>
                <w:szCs w:val="22"/>
              </w:rPr>
            </w:pPr>
          </w:p>
        </w:tc>
        <w:tc>
          <w:tcPr>
            <w:tcW w:w="2809" w:type="dxa"/>
            <w:shd w:val="clear" w:color="auto" w:fill="auto"/>
          </w:tcPr>
          <w:p w14:paraId="38DB895A" w14:textId="77777777" w:rsidR="006D35B0" w:rsidRPr="00951CDE" w:rsidRDefault="006D35B0" w:rsidP="006D35B0">
            <w:pPr>
              <w:spacing w:before="120" w:after="120"/>
              <w:rPr>
                <w:szCs w:val="22"/>
              </w:rPr>
            </w:pPr>
            <w:r>
              <w:rPr>
                <w:szCs w:val="22"/>
              </w:rPr>
              <w:t>[112]</w:t>
            </w:r>
          </w:p>
        </w:tc>
        <w:tc>
          <w:tcPr>
            <w:tcW w:w="2536" w:type="dxa"/>
            <w:shd w:val="clear" w:color="auto" w:fill="auto"/>
          </w:tcPr>
          <w:p w14:paraId="5931026F" w14:textId="77777777" w:rsidR="006D35B0" w:rsidRDefault="006D35B0" w:rsidP="006D35B0">
            <w:pPr>
              <w:spacing w:before="120" w:after="120"/>
              <w:rPr>
                <w:szCs w:val="22"/>
              </w:rPr>
            </w:pPr>
            <w:r>
              <w:rPr>
                <w:szCs w:val="22"/>
              </w:rPr>
              <w:t>Second sentence (“I assume…”) to end paragraph</w:t>
            </w:r>
          </w:p>
        </w:tc>
        <w:tc>
          <w:tcPr>
            <w:tcW w:w="2172" w:type="dxa"/>
          </w:tcPr>
          <w:p w14:paraId="483733C4" w14:textId="77777777" w:rsidR="006D35B0" w:rsidRDefault="006D35B0" w:rsidP="006D35B0">
            <w:pPr>
              <w:spacing w:before="120" w:after="120"/>
              <w:rPr>
                <w:szCs w:val="22"/>
              </w:rPr>
            </w:pPr>
            <w:r>
              <w:rPr>
                <w:szCs w:val="22"/>
              </w:rPr>
              <w:t>Until expiry of appeal periods</w:t>
            </w:r>
          </w:p>
        </w:tc>
      </w:tr>
      <w:tr w:rsidR="006D35B0" w14:paraId="3D38F750" w14:textId="77777777" w:rsidTr="00923743">
        <w:tc>
          <w:tcPr>
            <w:tcW w:w="523" w:type="dxa"/>
            <w:shd w:val="clear" w:color="auto" w:fill="auto"/>
          </w:tcPr>
          <w:p w14:paraId="3EB3D959" w14:textId="77777777" w:rsidR="006D35B0" w:rsidRDefault="006D35B0" w:rsidP="006D35B0">
            <w:pPr>
              <w:spacing w:before="120" w:after="120"/>
              <w:rPr>
                <w:szCs w:val="22"/>
              </w:rPr>
            </w:pPr>
          </w:p>
        </w:tc>
        <w:tc>
          <w:tcPr>
            <w:tcW w:w="715" w:type="dxa"/>
          </w:tcPr>
          <w:p w14:paraId="14A613EF" w14:textId="77777777" w:rsidR="006D35B0" w:rsidRDefault="006D35B0" w:rsidP="006D35B0">
            <w:pPr>
              <w:spacing w:before="120" w:after="120"/>
              <w:rPr>
                <w:szCs w:val="22"/>
              </w:rPr>
            </w:pPr>
          </w:p>
        </w:tc>
        <w:tc>
          <w:tcPr>
            <w:tcW w:w="2809" w:type="dxa"/>
            <w:shd w:val="clear" w:color="auto" w:fill="auto"/>
          </w:tcPr>
          <w:p w14:paraId="4257812E" w14:textId="77777777" w:rsidR="006D35B0" w:rsidRPr="00951CDE" w:rsidRDefault="006D35B0" w:rsidP="006D35B0">
            <w:pPr>
              <w:spacing w:before="120" w:after="120"/>
              <w:rPr>
                <w:szCs w:val="22"/>
              </w:rPr>
            </w:pPr>
            <w:r>
              <w:rPr>
                <w:szCs w:val="22"/>
              </w:rPr>
              <w:t>[113]</w:t>
            </w:r>
          </w:p>
        </w:tc>
        <w:tc>
          <w:tcPr>
            <w:tcW w:w="2536" w:type="dxa"/>
            <w:shd w:val="clear" w:color="auto" w:fill="auto"/>
          </w:tcPr>
          <w:p w14:paraId="320394E2" w14:textId="77777777" w:rsidR="006D35B0" w:rsidRDefault="006D35B0" w:rsidP="006D35B0">
            <w:pPr>
              <w:spacing w:before="120" w:after="120"/>
              <w:rPr>
                <w:szCs w:val="22"/>
              </w:rPr>
            </w:pPr>
            <w:r>
              <w:rPr>
                <w:szCs w:val="22"/>
              </w:rPr>
              <w:t>Whole</w:t>
            </w:r>
          </w:p>
        </w:tc>
        <w:tc>
          <w:tcPr>
            <w:tcW w:w="2172" w:type="dxa"/>
          </w:tcPr>
          <w:p w14:paraId="4E736D67" w14:textId="77777777" w:rsidR="006D35B0" w:rsidRDefault="006D35B0" w:rsidP="006D35B0">
            <w:pPr>
              <w:spacing w:before="120" w:after="120"/>
              <w:rPr>
                <w:szCs w:val="22"/>
              </w:rPr>
            </w:pPr>
            <w:r w:rsidRPr="006765D3">
              <w:rPr>
                <w:szCs w:val="22"/>
              </w:rPr>
              <w:t>Until further order</w:t>
            </w:r>
          </w:p>
        </w:tc>
      </w:tr>
      <w:tr w:rsidR="006D35B0" w14:paraId="1C47AC19" w14:textId="77777777" w:rsidTr="00923743">
        <w:tc>
          <w:tcPr>
            <w:tcW w:w="523" w:type="dxa"/>
            <w:shd w:val="clear" w:color="auto" w:fill="auto"/>
          </w:tcPr>
          <w:p w14:paraId="4D748B4F" w14:textId="77777777" w:rsidR="006D35B0" w:rsidRDefault="006D35B0" w:rsidP="006D35B0">
            <w:pPr>
              <w:spacing w:before="120" w:after="120"/>
              <w:rPr>
                <w:szCs w:val="22"/>
              </w:rPr>
            </w:pPr>
          </w:p>
        </w:tc>
        <w:tc>
          <w:tcPr>
            <w:tcW w:w="715" w:type="dxa"/>
          </w:tcPr>
          <w:p w14:paraId="0B1127F9" w14:textId="77777777" w:rsidR="006D35B0" w:rsidRDefault="006D35B0" w:rsidP="006D35B0">
            <w:pPr>
              <w:spacing w:before="120" w:after="120"/>
              <w:rPr>
                <w:szCs w:val="22"/>
              </w:rPr>
            </w:pPr>
          </w:p>
        </w:tc>
        <w:tc>
          <w:tcPr>
            <w:tcW w:w="2809" w:type="dxa"/>
            <w:shd w:val="clear" w:color="auto" w:fill="auto"/>
          </w:tcPr>
          <w:p w14:paraId="2C373FDE" w14:textId="77777777" w:rsidR="006D35B0" w:rsidRPr="00951CDE" w:rsidRDefault="006D35B0" w:rsidP="006D35B0">
            <w:pPr>
              <w:spacing w:before="120" w:after="120"/>
              <w:rPr>
                <w:szCs w:val="22"/>
              </w:rPr>
            </w:pPr>
            <w:r>
              <w:rPr>
                <w:szCs w:val="22"/>
              </w:rPr>
              <w:t>[114]</w:t>
            </w:r>
          </w:p>
        </w:tc>
        <w:tc>
          <w:tcPr>
            <w:tcW w:w="2536" w:type="dxa"/>
            <w:shd w:val="clear" w:color="auto" w:fill="auto"/>
          </w:tcPr>
          <w:p w14:paraId="5E99FB44" w14:textId="77777777" w:rsidR="006D35B0" w:rsidRDefault="006D35B0" w:rsidP="006D35B0">
            <w:pPr>
              <w:spacing w:before="120" w:after="120"/>
              <w:rPr>
                <w:szCs w:val="22"/>
              </w:rPr>
            </w:pPr>
            <w:r>
              <w:rPr>
                <w:szCs w:val="22"/>
              </w:rPr>
              <w:t>Second sentence (“An example…” to end paragraph</w:t>
            </w:r>
          </w:p>
        </w:tc>
        <w:tc>
          <w:tcPr>
            <w:tcW w:w="2172" w:type="dxa"/>
          </w:tcPr>
          <w:p w14:paraId="544954D1" w14:textId="77777777" w:rsidR="006D35B0" w:rsidRDefault="006D35B0" w:rsidP="006D35B0">
            <w:pPr>
              <w:spacing w:before="120" w:after="120"/>
              <w:rPr>
                <w:szCs w:val="22"/>
              </w:rPr>
            </w:pPr>
            <w:r>
              <w:rPr>
                <w:szCs w:val="22"/>
              </w:rPr>
              <w:t>Until expiry of appeal periods</w:t>
            </w:r>
          </w:p>
        </w:tc>
      </w:tr>
      <w:tr w:rsidR="006D35B0" w14:paraId="1F7DAAD2" w14:textId="77777777" w:rsidTr="00923743">
        <w:tc>
          <w:tcPr>
            <w:tcW w:w="523" w:type="dxa"/>
            <w:shd w:val="clear" w:color="auto" w:fill="auto"/>
          </w:tcPr>
          <w:p w14:paraId="04A1EA37" w14:textId="77777777" w:rsidR="006D35B0" w:rsidRDefault="006D35B0" w:rsidP="006D35B0">
            <w:pPr>
              <w:spacing w:before="120" w:after="120"/>
              <w:rPr>
                <w:szCs w:val="22"/>
              </w:rPr>
            </w:pPr>
          </w:p>
        </w:tc>
        <w:tc>
          <w:tcPr>
            <w:tcW w:w="715" w:type="dxa"/>
          </w:tcPr>
          <w:p w14:paraId="52A2FD1F" w14:textId="77777777" w:rsidR="006D35B0" w:rsidRDefault="006D35B0" w:rsidP="006D35B0">
            <w:pPr>
              <w:spacing w:before="120" w:after="120"/>
              <w:rPr>
                <w:szCs w:val="22"/>
              </w:rPr>
            </w:pPr>
          </w:p>
        </w:tc>
        <w:tc>
          <w:tcPr>
            <w:tcW w:w="2809" w:type="dxa"/>
            <w:shd w:val="clear" w:color="auto" w:fill="auto"/>
          </w:tcPr>
          <w:p w14:paraId="51D5707E" w14:textId="77777777" w:rsidR="006D35B0" w:rsidRPr="00951CDE" w:rsidRDefault="006D35B0" w:rsidP="006D35B0">
            <w:pPr>
              <w:spacing w:before="120" w:after="120"/>
              <w:rPr>
                <w:szCs w:val="22"/>
              </w:rPr>
            </w:pPr>
            <w:r>
              <w:rPr>
                <w:szCs w:val="22"/>
              </w:rPr>
              <w:t>[116]</w:t>
            </w:r>
          </w:p>
        </w:tc>
        <w:tc>
          <w:tcPr>
            <w:tcW w:w="2536" w:type="dxa"/>
            <w:shd w:val="clear" w:color="auto" w:fill="auto"/>
          </w:tcPr>
          <w:p w14:paraId="044970A3" w14:textId="77777777" w:rsidR="006D35B0" w:rsidRDefault="006D35B0" w:rsidP="006D35B0">
            <w:pPr>
              <w:spacing w:before="120" w:after="120"/>
              <w:rPr>
                <w:szCs w:val="22"/>
              </w:rPr>
            </w:pPr>
            <w:r>
              <w:rPr>
                <w:szCs w:val="22"/>
              </w:rPr>
              <w:t>Second sentence (“A March…”) to end paragraph</w:t>
            </w:r>
          </w:p>
        </w:tc>
        <w:tc>
          <w:tcPr>
            <w:tcW w:w="2172" w:type="dxa"/>
          </w:tcPr>
          <w:p w14:paraId="1072CF0C" w14:textId="77777777" w:rsidR="006D35B0" w:rsidRDefault="006D35B0" w:rsidP="006D35B0">
            <w:pPr>
              <w:spacing w:before="120" w:after="120"/>
              <w:rPr>
                <w:szCs w:val="22"/>
              </w:rPr>
            </w:pPr>
            <w:r>
              <w:rPr>
                <w:szCs w:val="22"/>
              </w:rPr>
              <w:t>Until expiry of appeal periods</w:t>
            </w:r>
          </w:p>
        </w:tc>
      </w:tr>
      <w:tr w:rsidR="006D35B0" w14:paraId="5FE90EB1" w14:textId="77777777" w:rsidTr="00923743">
        <w:tc>
          <w:tcPr>
            <w:tcW w:w="523" w:type="dxa"/>
            <w:shd w:val="clear" w:color="auto" w:fill="auto"/>
          </w:tcPr>
          <w:p w14:paraId="330EFB41" w14:textId="77777777" w:rsidR="006D35B0" w:rsidRDefault="006D35B0" w:rsidP="006D35B0">
            <w:pPr>
              <w:spacing w:before="120" w:after="120"/>
              <w:rPr>
                <w:szCs w:val="22"/>
              </w:rPr>
            </w:pPr>
          </w:p>
        </w:tc>
        <w:tc>
          <w:tcPr>
            <w:tcW w:w="715" w:type="dxa"/>
          </w:tcPr>
          <w:p w14:paraId="60C9B298" w14:textId="77777777" w:rsidR="006D35B0" w:rsidRDefault="006D35B0" w:rsidP="006D35B0">
            <w:pPr>
              <w:spacing w:before="120" w:after="120"/>
              <w:rPr>
                <w:szCs w:val="22"/>
              </w:rPr>
            </w:pPr>
          </w:p>
        </w:tc>
        <w:tc>
          <w:tcPr>
            <w:tcW w:w="2809" w:type="dxa"/>
            <w:shd w:val="clear" w:color="auto" w:fill="auto"/>
          </w:tcPr>
          <w:p w14:paraId="34D56416" w14:textId="77777777" w:rsidR="006D35B0" w:rsidRPr="00951CDE" w:rsidRDefault="006D35B0" w:rsidP="006D35B0">
            <w:pPr>
              <w:spacing w:before="120" w:after="120"/>
              <w:rPr>
                <w:szCs w:val="22"/>
              </w:rPr>
            </w:pPr>
            <w:r>
              <w:rPr>
                <w:szCs w:val="22"/>
              </w:rPr>
              <w:t>[132]</w:t>
            </w:r>
          </w:p>
        </w:tc>
        <w:tc>
          <w:tcPr>
            <w:tcW w:w="2536" w:type="dxa"/>
            <w:shd w:val="clear" w:color="auto" w:fill="auto"/>
          </w:tcPr>
          <w:p w14:paraId="796D64EC" w14:textId="77777777" w:rsidR="006D35B0" w:rsidRDefault="006D35B0" w:rsidP="006D35B0">
            <w:pPr>
              <w:spacing w:before="120" w:after="120"/>
              <w:rPr>
                <w:szCs w:val="22"/>
              </w:rPr>
            </w:pPr>
            <w:r>
              <w:rPr>
                <w:szCs w:val="22"/>
              </w:rPr>
              <w:t>Whole</w:t>
            </w:r>
          </w:p>
        </w:tc>
        <w:tc>
          <w:tcPr>
            <w:tcW w:w="2172" w:type="dxa"/>
          </w:tcPr>
          <w:p w14:paraId="74C5B621" w14:textId="77777777" w:rsidR="006D35B0" w:rsidRDefault="006D35B0" w:rsidP="006D35B0">
            <w:pPr>
              <w:spacing w:before="120" w:after="120"/>
              <w:rPr>
                <w:szCs w:val="22"/>
              </w:rPr>
            </w:pPr>
            <w:r w:rsidRPr="006765D3">
              <w:rPr>
                <w:szCs w:val="22"/>
              </w:rPr>
              <w:t>Until further order</w:t>
            </w:r>
          </w:p>
        </w:tc>
      </w:tr>
      <w:tr w:rsidR="006D35B0" w14:paraId="06F9ACDA" w14:textId="77777777" w:rsidTr="00923743">
        <w:tc>
          <w:tcPr>
            <w:tcW w:w="523" w:type="dxa"/>
            <w:shd w:val="clear" w:color="auto" w:fill="auto"/>
          </w:tcPr>
          <w:p w14:paraId="0AE57C23" w14:textId="77777777" w:rsidR="006D35B0" w:rsidRDefault="006D35B0" w:rsidP="006D35B0">
            <w:pPr>
              <w:spacing w:before="120" w:after="120"/>
              <w:rPr>
                <w:szCs w:val="22"/>
              </w:rPr>
            </w:pPr>
          </w:p>
        </w:tc>
        <w:tc>
          <w:tcPr>
            <w:tcW w:w="715" w:type="dxa"/>
          </w:tcPr>
          <w:p w14:paraId="20D80A68" w14:textId="77777777" w:rsidR="006D35B0" w:rsidRDefault="006D35B0" w:rsidP="006D35B0">
            <w:pPr>
              <w:spacing w:before="120" w:after="120"/>
              <w:rPr>
                <w:szCs w:val="22"/>
              </w:rPr>
            </w:pPr>
          </w:p>
        </w:tc>
        <w:tc>
          <w:tcPr>
            <w:tcW w:w="2809" w:type="dxa"/>
            <w:shd w:val="clear" w:color="auto" w:fill="auto"/>
          </w:tcPr>
          <w:p w14:paraId="1B13FA65" w14:textId="77777777" w:rsidR="006D35B0" w:rsidRPr="00951CDE" w:rsidRDefault="006D35B0" w:rsidP="006D35B0">
            <w:pPr>
              <w:spacing w:before="120" w:after="120"/>
              <w:rPr>
                <w:szCs w:val="22"/>
              </w:rPr>
            </w:pPr>
            <w:r>
              <w:rPr>
                <w:szCs w:val="22"/>
              </w:rPr>
              <w:t>[142]-[143]</w:t>
            </w:r>
          </w:p>
        </w:tc>
        <w:tc>
          <w:tcPr>
            <w:tcW w:w="2536" w:type="dxa"/>
            <w:shd w:val="clear" w:color="auto" w:fill="auto"/>
          </w:tcPr>
          <w:p w14:paraId="6879BA86" w14:textId="77777777" w:rsidR="006D35B0" w:rsidRDefault="006D35B0" w:rsidP="006D35B0">
            <w:pPr>
              <w:spacing w:before="120" w:after="120"/>
              <w:rPr>
                <w:szCs w:val="22"/>
              </w:rPr>
            </w:pPr>
            <w:r>
              <w:rPr>
                <w:szCs w:val="22"/>
              </w:rPr>
              <w:t>Whole</w:t>
            </w:r>
          </w:p>
        </w:tc>
        <w:tc>
          <w:tcPr>
            <w:tcW w:w="2172" w:type="dxa"/>
          </w:tcPr>
          <w:p w14:paraId="20F58B9C" w14:textId="77777777" w:rsidR="006D35B0" w:rsidRDefault="006D35B0" w:rsidP="006D35B0">
            <w:pPr>
              <w:spacing w:before="120" w:after="120"/>
              <w:rPr>
                <w:szCs w:val="22"/>
              </w:rPr>
            </w:pPr>
            <w:r w:rsidRPr="006765D3">
              <w:rPr>
                <w:szCs w:val="22"/>
              </w:rPr>
              <w:t>Until further order</w:t>
            </w:r>
          </w:p>
        </w:tc>
      </w:tr>
      <w:tr w:rsidR="006D35B0" w14:paraId="45527BAD" w14:textId="77777777" w:rsidTr="00923743">
        <w:tc>
          <w:tcPr>
            <w:tcW w:w="523" w:type="dxa"/>
            <w:shd w:val="clear" w:color="auto" w:fill="auto"/>
          </w:tcPr>
          <w:p w14:paraId="3368DE1E" w14:textId="77777777" w:rsidR="006D35B0" w:rsidRDefault="006D35B0" w:rsidP="006D35B0">
            <w:pPr>
              <w:spacing w:before="120" w:after="120"/>
              <w:rPr>
                <w:szCs w:val="22"/>
              </w:rPr>
            </w:pPr>
          </w:p>
        </w:tc>
        <w:tc>
          <w:tcPr>
            <w:tcW w:w="715" w:type="dxa"/>
          </w:tcPr>
          <w:p w14:paraId="591E0435" w14:textId="77777777" w:rsidR="006D35B0" w:rsidRDefault="006D35B0" w:rsidP="006D35B0">
            <w:pPr>
              <w:spacing w:before="120" w:after="120"/>
              <w:rPr>
                <w:szCs w:val="22"/>
              </w:rPr>
            </w:pPr>
          </w:p>
        </w:tc>
        <w:tc>
          <w:tcPr>
            <w:tcW w:w="2809" w:type="dxa"/>
            <w:shd w:val="clear" w:color="auto" w:fill="auto"/>
          </w:tcPr>
          <w:p w14:paraId="6F9440E3" w14:textId="77777777" w:rsidR="006D35B0" w:rsidRPr="00951CDE" w:rsidRDefault="006D35B0" w:rsidP="006D35B0">
            <w:pPr>
              <w:spacing w:before="120" w:after="120"/>
              <w:rPr>
                <w:szCs w:val="22"/>
              </w:rPr>
            </w:pPr>
            <w:r>
              <w:rPr>
                <w:szCs w:val="22"/>
              </w:rPr>
              <w:t>[152]</w:t>
            </w:r>
          </w:p>
        </w:tc>
        <w:tc>
          <w:tcPr>
            <w:tcW w:w="2536" w:type="dxa"/>
            <w:shd w:val="clear" w:color="auto" w:fill="auto"/>
          </w:tcPr>
          <w:p w14:paraId="258A4A4A" w14:textId="77777777" w:rsidR="006D35B0" w:rsidRDefault="006D35B0" w:rsidP="006D35B0">
            <w:pPr>
              <w:spacing w:before="120" w:after="120"/>
              <w:rPr>
                <w:szCs w:val="22"/>
              </w:rPr>
            </w:pPr>
            <w:r>
              <w:rPr>
                <w:szCs w:val="22"/>
              </w:rPr>
              <w:t>Second sentence (“By late…”) to end paragraph</w:t>
            </w:r>
          </w:p>
        </w:tc>
        <w:tc>
          <w:tcPr>
            <w:tcW w:w="2172" w:type="dxa"/>
          </w:tcPr>
          <w:p w14:paraId="4550BC3E" w14:textId="77777777" w:rsidR="006D35B0" w:rsidRDefault="006D35B0" w:rsidP="006D35B0">
            <w:pPr>
              <w:spacing w:before="120" w:after="120"/>
              <w:rPr>
                <w:szCs w:val="22"/>
              </w:rPr>
            </w:pPr>
            <w:r>
              <w:rPr>
                <w:szCs w:val="22"/>
              </w:rPr>
              <w:t>Until expiry of appeal periods</w:t>
            </w:r>
          </w:p>
        </w:tc>
      </w:tr>
      <w:tr w:rsidR="006D35B0" w14:paraId="01B9FFA8" w14:textId="77777777" w:rsidTr="00923743">
        <w:tc>
          <w:tcPr>
            <w:tcW w:w="523" w:type="dxa"/>
            <w:shd w:val="clear" w:color="auto" w:fill="auto"/>
          </w:tcPr>
          <w:p w14:paraId="085F7DEF" w14:textId="77777777" w:rsidR="006D35B0" w:rsidRDefault="006D35B0" w:rsidP="006D35B0">
            <w:pPr>
              <w:spacing w:before="120" w:after="120"/>
              <w:rPr>
                <w:szCs w:val="22"/>
              </w:rPr>
            </w:pPr>
          </w:p>
        </w:tc>
        <w:tc>
          <w:tcPr>
            <w:tcW w:w="715" w:type="dxa"/>
          </w:tcPr>
          <w:p w14:paraId="526EE462" w14:textId="77777777" w:rsidR="006D35B0" w:rsidRDefault="006D35B0" w:rsidP="006D35B0">
            <w:pPr>
              <w:spacing w:before="120" w:after="120"/>
              <w:rPr>
                <w:szCs w:val="22"/>
              </w:rPr>
            </w:pPr>
          </w:p>
        </w:tc>
        <w:tc>
          <w:tcPr>
            <w:tcW w:w="2809" w:type="dxa"/>
            <w:shd w:val="clear" w:color="auto" w:fill="auto"/>
          </w:tcPr>
          <w:p w14:paraId="033C640A" w14:textId="77777777" w:rsidR="006D35B0" w:rsidRDefault="006D35B0" w:rsidP="006D35B0">
            <w:pPr>
              <w:spacing w:before="120" w:after="120"/>
              <w:rPr>
                <w:szCs w:val="22"/>
              </w:rPr>
            </w:pPr>
            <w:r>
              <w:rPr>
                <w:szCs w:val="22"/>
              </w:rPr>
              <w:t>[168]</w:t>
            </w:r>
          </w:p>
        </w:tc>
        <w:tc>
          <w:tcPr>
            <w:tcW w:w="2536" w:type="dxa"/>
            <w:shd w:val="clear" w:color="auto" w:fill="auto"/>
          </w:tcPr>
          <w:p w14:paraId="3ED67E58" w14:textId="77777777" w:rsidR="006D35B0" w:rsidRDefault="006D35B0" w:rsidP="006D35B0">
            <w:pPr>
              <w:spacing w:before="120" w:after="120"/>
              <w:rPr>
                <w:szCs w:val="22"/>
              </w:rPr>
            </w:pPr>
            <w:r>
              <w:rPr>
                <w:szCs w:val="22"/>
              </w:rPr>
              <w:t>Whole</w:t>
            </w:r>
          </w:p>
        </w:tc>
        <w:tc>
          <w:tcPr>
            <w:tcW w:w="2172" w:type="dxa"/>
          </w:tcPr>
          <w:p w14:paraId="45B9BDFA" w14:textId="77777777" w:rsidR="006D35B0" w:rsidRDefault="006D35B0" w:rsidP="006D35B0">
            <w:pPr>
              <w:spacing w:before="120" w:after="120"/>
              <w:rPr>
                <w:szCs w:val="22"/>
              </w:rPr>
            </w:pPr>
            <w:r w:rsidRPr="006765D3">
              <w:rPr>
                <w:szCs w:val="22"/>
              </w:rPr>
              <w:t>Until further order</w:t>
            </w:r>
          </w:p>
        </w:tc>
      </w:tr>
      <w:tr w:rsidR="006D35B0" w14:paraId="3DA2F45B" w14:textId="77777777" w:rsidTr="00923743">
        <w:tc>
          <w:tcPr>
            <w:tcW w:w="523" w:type="dxa"/>
            <w:shd w:val="clear" w:color="auto" w:fill="auto"/>
          </w:tcPr>
          <w:p w14:paraId="57918FB8" w14:textId="77777777" w:rsidR="006D35B0" w:rsidRDefault="006D35B0" w:rsidP="006D35B0">
            <w:pPr>
              <w:spacing w:before="120" w:after="120"/>
              <w:rPr>
                <w:szCs w:val="22"/>
              </w:rPr>
            </w:pPr>
          </w:p>
        </w:tc>
        <w:tc>
          <w:tcPr>
            <w:tcW w:w="715" w:type="dxa"/>
          </w:tcPr>
          <w:p w14:paraId="06436ED3" w14:textId="77777777" w:rsidR="006D35B0" w:rsidRDefault="006D35B0" w:rsidP="006D35B0">
            <w:pPr>
              <w:spacing w:before="120" w:after="120"/>
              <w:rPr>
                <w:szCs w:val="22"/>
              </w:rPr>
            </w:pPr>
          </w:p>
        </w:tc>
        <w:tc>
          <w:tcPr>
            <w:tcW w:w="2809" w:type="dxa"/>
            <w:shd w:val="clear" w:color="auto" w:fill="auto"/>
          </w:tcPr>
          <w:p w14:paraId="63FF4B20" w14:textId="77777777" w:rsidR="006D35B0" w:rsidRDefault="006D35B0" w:rsidP="006D35B0">
            <w:pPr>
              <w:spacing w:before="120" w:after="120"/>
              <w:rPr>
                <w:szCs w:val="22"/>
              </w:rPr>
            </w:pPr>
            <w:r>
              <w:rPr>
                <w:szCs w:val="22"/>
              </w:rPr>
              <w:t>[169]</w:t>
            </w:r>
          </w:p>
        </w:tc>
        <w:tc>
          <w:tcPr>
            <w:tcW w:w="2536" w:type="dxa"/>
            <w:shd w:val="clear" w:color="auto" w:fill="auto"/>
          </w:tcPr>
          <w:p w14:paraId="53F1E67C" w14:textId="77777777" w:rsidR="006D35B0" w:rsidRDefault="006D35B0" w:rsidP="006D35B0">
            <w:pPr>
              <w:spacing w:before="120" w:after="120"/>
              <w:rPr>
                <w:szCs w:val="22"/>
              </w:rPr>
            </w:pPr>
            <w:r>
              <w:rPr>
                <w:szCs w:val="22"/>
              </w:rPr>
              <w:t>Whole</w:t>
            </w:r>
          </w:p>
        </w:tc>
        <w:tc>
          <w:tcPr>
            <w:tcW w:w="2172" w:type="dxa"/>
          </w:tcPr>
          <w:p w14:paraId="0224176A" w14:textId="77777777" w:rsidR="006D35B0" w:rsidRPr="006765D3" w:rsidRDefault="006D35B0" w:rsidP="006D35B0">
            <w:pPr>
              <w:spacing w:before="120" w:after="120"/>
              <w:rPr>
                <w:szCs w:val="22"/>
              </w:rPr>
            </w:pPr>
            <w:r>
              <w:rPr>
                <w:szCs w:val="22"/>
              </w:rPr>
              <w:t>Until expiry of appeal periods</w:t>
            </w:r>
          </w:p>
        </w:tc>
      </w:tr>
      <w:tr w:rsidR="006D35B0" w14:paraId="2CFD5E17" w14:textId="77777777" w:rsidTr="00923743">
        <w:tc>
          <w:tcPr>
            <w:tcW w:w="523" w:type="dxa"/>
            <w:shd w:val="clear" w:color="auto" w:fill="auto"/>
          </w:tcPr>
          <w:p w14:paraId="2F851F67" w14:textId="77777777" w:rsidR="006D35B0" w:rsidRDefault="006D35B0" w:rsidP="006D35B0">
            <w:pPr>
              <w:spacing w:before="120" w:after="120"/>
              <w:rPr>
                <w:szCs w:val="22"/>
              </w:rPr>
            </w:pPr>
          </w:p>
        </w:tc>
        <w:tc>
          <w:tcPr>
            <w:tcW w:w="715" w:type="dxa"/>
          </w:tcPr>
          <w:p w14:paraId="211282D1" w14:textId="77777777" w:rsidR="006D35B0" w:rsidRDefault="006D35B0" w:rsidP="006D35B0">
            <w:pPr>
              <w:spacing w:before="120" w:after="120"/>
              <w:rPr>
                <w:szCs w:val="22"/>
              </w:rPr>
            </w:pPr>
          </w:p>
        </w:tc>
        <w:tc>
          <w:tcPr>
            <w:tcW w:w="2809" w:type="dxa"/>
            <w:shd w:val="clear" w:color="auto" w:fill="auto"/>
          </w:tcPr>
          <w:p w14:paraId="5E3161F1" w14:textId="77777777" w:rsidR="006D35B0" w:rsidRDefault="006D35B0" w:rsidP="006D35B0">
            <w:pPr>
              <w:spacing w:before="120" w:after="120"/>
              <w:rPr>
                <w:szCs w:val="22"/>
              </w:rPr>
            </w:pPr>
            <w:r>
              <w:rPr>
                <w:szCs w:val="22"/>
              </w:rPr>
              <w:t>[170]</w:t>
            </w:r>
          </w:p>
        </w:tc>
        <w:tc>
          <w:tcPr>
            <w:tcW w:w="2536" w:type="dxa"/>
            <w:shd w:val="clear" w:color="auto" w:fill="auto"/>
          </w:tcPr>
          <w:p w14:paraId="27874879" w14:textId="77777777" w:rsidR="006D35B0" w:rsidRDefault="006D35B0" w:rsidP="006D35B0">
            <w:pPr>
              <w:spacing w:before="120" w:after="120"/>
              <w:rPr>
                <w:szCs w:val="22"/>
              </w:rPr>
            </w:pPr>
            <w:r>
              <w:rPr>
                <w:szCs w:val="22"/>
              </w:rPr>
              <w:t>Whole</w:t>
            </w:r>
          </w:p>
        </w:tc>
        <w:tc>
          <w:tcPr>
            <w:tcW w:w="2172" w:type="dxa"/>
          </w:tcPr>
          <w:p w14:paraId="0BF40F58" w14:textId="77777777" w:rsidR="006D35B0" w:rsidRPr="006765D3" w:rsidRDefault="006D35B0" w:rsidP="006D35B0">
            <w:pPr>
              <w:spacing w:before="120" w:after="120"/>
              <w:rPr>
                <w:szCs w:val="22"/>
              </w:rPr>
            </w:pPr>
            <w:r>
              <w:rPr>
                <w:szCs w:val="22"/>
              </w:rPr>
              <w:t>Until further order</w:t>
            </w:r>
          </w:p>
        </w:tc>
      </w:tr>
      <w:tr w:rsidR="006D35B0" w14:paraId="324BA922" w14:textId="77777777" w:rsidTr="00923743">
        <w:tc>
          <w:tcPr>
            <w:tcW w:w="523" w:type="dxa"/>
            <w:shd w:val="clear" w:color="auto" w:fill="auto"/>
          </w:tcPr>
          <w:p w14:paraId="0F0F57E6" w14:textId="77777777" w:rsidR="006D35B0" w:rsidRDefault="006D35B0" w:rsidP="006D35B0">
            <w:pPr>
              <w:spacing w:before="120" w:after="120"/>
              <w:rPr>
                <w:szCs w:val="22"/>
              </w:rPr>
            </w:pPr>
          </w:p>
        </w:tc>
        <w:tc>
          <w:tcPr>
            <w:tcW w:w="715" w:type="dxa"/>
          </w:tcPr>
          <w:p w14:paraId="5AABC73A" w14:textId="77777777" w:rsidR="006D35B0" w:rsidRDefault="006D35B0" w:rsidP="006D35B0">
            <w:pPr>
              <w:spacing w:before="120" w:after="120"/>
              <w:rPr>
                <w:szCs w:val="22"/>
              </w:rPr>
            </w:pPr>
          </w:p>
        </w:tc>
        <w:tc>
          <w:tcPr>
            <w:tcW w:w="2809" w:type="dxa"/>
            <w:shd w:val="clear" w:color="auto" w:fill="auto"/>
          </w:tcPr>
          <w:p w14:paraId="0B06F083" w14:textId="77777777" w:rsidR="006D35B0" w:rsidRDefault="006D35B0" w:rsidP="006D35B0">
            <w:pPr>
              <w:spacing w:before="120" w:after="120"/>
              <w:rPr>
                <w:szCs w:val="22"/>
              </w:rPr>
            </w:pPr>
            <w:r>
              <w:rPr>
                <w:szCs w:val="22"/>
              </w:rPr>
              <w:t>[215]</w:t>
            </w:r>
          </w:p>
        </w:tc>
        <w:tc>
          <w:tcPr>
            <w:tcW w:w="2536" w:type="dxa"/>
            <w:shd w:val="clear" w:color="auto" w:fill="auto"/>
          </w:tcPr>
          <w:p w14:paraId="24458F68" w14:textId="77777777" w:rsidR="006D35B0" w:rsidRDefault="006D35B0" w:rsidP="006D35B0">
            <w:pPr>
              <w:spacing w:before="120" w:after="120"/>
              <w:rPr>
                <w:szCs w:val="22"/>
              </w:rPr>
            </w:pPr>
            <w:r>
              <w:rPr>
                <w:szCs w:val="22"/>
              </w:rPr>
              <w:t>The third sentence (“However, I consider…”)</w:t>
            </w:r>
          </w:p>
        </w:tc>
        <w:tc>
          <w:tcPr>
            <w:tcW w:w="2172" w:type="dxa"/>
          </w:tcPr>
          <w:p w14:paraId="1B9B5D01" w14:textId="77777777" w:rsidR="006D35B0" w:rsidRDefault="006D35B0" w:rsidP="006D35B0">
            <w:pPr>
              <w:spacing w:before="120" w:after="120"/>
              <w:rPr>
                <w:szCs w:val="22"/>
              </w:rPr>
            </w:pPr>
            <w:r w:rsidRPr="006765D3">
              <w:rPr>
                <w:szCs w:val="22"/>
              </w:rPr>
              <w:t>Until further order</w:t>
            </w:r>
          </w:p>
        </w:tc>
      </w:tr>
      <w:tr w:rsidR="006D35B0" w14:paraId="5A06AC37" w14:textId="77777777" w:rsidTr="00923743">
        <w:tc>
          <w:tcPr>
            <w:tcW w:w="523" w:type="dxa"/>
            <w:shd w:val="clear" w:color="auto" w:fill="auto"/>
          </w:tcPr>
          <w:p w14:paraId="1BA458EB" w14:textId="77777777" w:rsidR="006D35B0" w:rsidRDefault="006D35B0" w:rsidP="006D35B0">
            <w:pPr>
              <w:spacing w:before="120" w:after="120"/>
              <w:rPr>
                <w:szCs w:val="22"/>
              </w:rPr>
            </w:pPr>
          </w:p>
        </w:tc>
        <w:tc>
          <w:tcPr>
            <w:tcW w:w="715" w:type="dxa"/>
          </w:tcPr>
          <w:p w14:paraId="0AF3E180" w14:textId="77777777" w:rsidR="006D35B0" w:rsidRDefault="006D35B0" w:rsidP="006D35B0">
            <w:pPr>
              <w:spacing w:before="120" w:after="120"/>
              <w:rPr>
                <w:szCs w:val="22"/>
              </w:rPr>
            </w:pPr>
          </w:p>
        </w:tc>
        <w:tc>
          <w:tcPr>
            <w:tcW w:w="2809" w:type="dxa"/>
            <w:shd w:val="clear" w:color="auto" w:fill="auto"/>
          </w:tcPr>
          <w:p w14:paraId="491EB2D5" w14:textId="77777777" w:rsidR="006D35B0" w:rsidRDefault="006D35B0" w:rsidP="006D35B0">
            <w:pPr>
              <w:spacing w:before="120" w:after="120"/>
              <w:rPr>
                <w:szCs w:val="22"/>
              </w:rPr>
            </w:pPr>
            <w:r>
              <w:rPr>
                <w:szCs w:val="22"/>
              </w:rPr>
              <w:t>[218]</w:t>
            </w:r>
          </w:p>
        </w:tc>
        <w:tc>
          <w:tcPr>
            <w:tcW w:w="2536" w:type="dxa"/>
            <w:shd w:val="clear" w:color="auto" w:fill="auto"/>
          </w:tcPr>
          <w:p w14:paraId="39BF6C39" w14:textId="77777777" w:rsidR="006D35B0" w:rsidRDefault="006D35B0" w:rsidP="006D35B0">
            <w:pPr>
              <w:spacing w:before="120" w:after="120"/>
              <w:rPr>
                <w:szCs w:val="22"/>
              </w:rPr>
            </w:pPr>
            <w:r>
              <w:rPr>
                <w:szCs w:val="22"/>
              </w:rPr>
              <w:t>Third and fourth sentences (“The file … be successful.”)</w:t>
            </w:r>
          </w:p>
        </w:tc>
        <w:tc>
          <w:tcPr>
            <w:tcW w:w="2172" w:type="dxa"/>
          </w:tcPr>
          <w:p w14:paraId="7FA78E2F" w14:textId="77777777" w:rsidR="006D35B0" w:rsidRDefault="006D35B0" w:rsidP="006D35B0">
            <w:pPr>
              <w:spacing w:before="120" w:after="120"/>
              <w:rPr>
                <w:szCs w:val="22"/>
              </w:rPr>
            </w:pPr>
            <w:r w:rsidRPr="006765D3">
              <w:rPr>
                <w:szCs w:val="22"/>
              </w:rPr>
              <w:t>Until further order</w:t>
            </w:r>
          </w:p>
        </w:tc>
      </w:tr>
    </w:tbl>
    <w:p w14:paraId="053EDC88" w14:textId="5B55D691" w:rsidR="006D35B0" w:rsidRDefault="006D35B0" w:rsidP="006D35B0">
      <w:pPr>
        <w:pStyle w:val="FED1"/>
        <w:rPr>
          <w:rFonts w:ascii="Times New Roman" w:hAnsi="Times New Roman"/>
          <w:bCs/>
          <w:sz w:val="24"/>
        </w:rPr>
      </w:pPr>
      <w:r>
        <w:rPr>
          <w:b w:val="0"/>
          <w:bCs/>
          <w:szCs w:val="22"/>
        </w:rPr>
        <w:br w:type="page"/>
      </w:r>
      <w:r w:rsidRPr="00264815">
        <w:rPr>
          <w:rFonts w:ascii="Times New Roman" w:hAnsi="Times New Roman"/>
          <w:sz w:val="24"/>
        </w:rPr>
        <w:lastRenderedPageBreak/>
        <w:t>Annexure B</w:t>
      </w:r>
    </w:p>
    <w:p w14:paraId="6E1C22A0" w14:textId="77777777" w:rsidR="006D35B0" w:rsidRPr="00264815" w:rsidRDefault="006D35B0" w:rsidP="006D35B0">
      <w:pPr>
        <w:pStyle w:val="FED1"/>
        <w:rPr>
          <w:rFonts w:ascii="Times New Roman" w:hAnsi="Times New Roman"/>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23"/>
        <w:gridCol w:w="1367"/>
        <w:gridCol w:w="2311"/>
        <w:gridCol w:w="3303"/>
        <w:gridCol w:w="1507"/>
      </w:tblGrid>
      <w:tr w:rsidR="006D35B0" w14:paraId="7F03D57B" w14:textId="77777777" w:rsidTr="00923743">
        <w:tc>
          <w:tcPr>
            <w:tcW w:w="524" w:type="dxa"/>
            <w:shd w:val="clear" w:color="auto" w:fill="auto"/>
          </w:tcPr>
          <w:p w14:paraId="579F017B" w14:textId="77777777" w:rsidR="006D35B0" w:rsidRPr="006503BB" w:rsidRDefault="006D35B0" w:rsidP="006D35B0">
            <w:pPr>
              <w:spacing w:before="120" w:after="120"/>
              <w:rPr>
                <w:b/>
                <w:bCs/>
              </w:rPr>
            </w:pPr>
            <w:r w:rsidRPr="006503BB">
              <w:rPr>
                <w:b/>
                <w:bCs/>
              </w:rPr>
              <w:t>#</w:t>
            </w:r>
          </w:p>
        </w:tc>
        <w:tc>
          <w:tcPr>
            <w:tcW w:w="1397" w:type="dxa"/>
          </w:tcPr>
          <w:p w14:paraId="0A08AEBE" w14:textId="77777777" w:rsidR="006D35B0" w:rsidRPr="006503BB" w:rsidRDefault="006D35B0" w:rsidP="006D35B0">
            <w:pPr>
              <w:spacing w:before="120" w:after="120"/>
              <w:rPr>
                <w:b/>
                <w:bCs/>
              </w:rPr>
            </w:pPr>
            <w:r w:rsidRPr="006503BB">
              <w:rPr>
                <w:b/>
                <w:bCs/>
              </w:rPr>
              <w:t>CB tab reference</w:t>
            </w:r>
          </w:p>
        </w:tc>
        <w:tc>
          <w:tcPr>
            <w:tcW w:w="2440" w:type="dxa"/>
            <w:shd w:val="clear" w:color="auto" w:fill="auto"/>
          </w:tcPr>
          <w:p w14:paraId="0A246773" w14:textId="77777777" w:rsidR="006D35B0" w:rsidRPr="006503BB" w:rsidRDefault="006D35B0" w:rsidP="006D35B0">
            <w:pPr>
              <w:spacing w:before="120" w:after="120"/>
              <w:rPr>
                <w:b/>
                <w:bCs/>
              </w:rPr>
            </w:pPr>
            <w:r w:rsidRPr="006503BB">
              <w:rPr>
                <w:b/>
                <w:bCs/>
              </w:rPr>
              <w:t>Evidence/ Submissions</w:t>
            </w:r>
          </w:p>
        </w:tc>
        <w:tc>
          <w:tcPr>
            <w:tcW w:w="3544" w:type="dxa"/>
            <w:shd w:val="clear" w:color="auto" w:fill="auto"/>
          </w:tcPr>
          <w:p w14:paraId="31A151A3" w14:textId="77777777" w:rsidR="006D35B0" w:rsidRPr="006503BB" w:rsidRDefault="006D35B0" w:rsidP="006D35B0">
            <w:pPr>
              <w:spacing w:before="120" w:after="120"/>
              <w:rPr>
                <w:b/>
                <w:bCs/>
              </w:rPr>
            </w:pPr>
            <w:r w:rsidRPr="006503BB">
              <w:rPr>
                <w:b/>
                <w:bCs/>
              </w:rPr>
              <w:t xml:space="preserve">Document /Section over which Confidentiality claimed </w:t>
            </w:r>
          </w:p>
        </w:tc>
        <w:tc>
          <w:tcPr>
            <w:tcW w:w="1559" w:type="dxa"/>
            <w:shd w:val="clear" w:color="auto" w:fill="auto"/>
          </w:tcPr>
          <w:p w14:paraId="14C5B029" w14:textId="77777777" w:rsidR="006D35B0" w:rsidRPr="006503BB" w:rsidRDefault="006D35B0" w:rsidP="006D35B0">
            <w:pPr>
              <w:spacing w:before="120" w:after="120"/>
              <w:rPr>
                <w:b/>
                <w:bCs/>
              </w:rPr>
            </w:pPr>
            <w:r w:rsidRPr="006503BB">
              <w:rPr>
                <w:b/>
                <w:bCs/>
              </w:rPr>
              <w:t>Claimant</w:t>
            </w:r>
          </w:p>
        </w:tc>
      </w:tr>
      <w:tr w:rsidR="006D35B0" w14:paraId="1D29FC13" w14:textId="77777777" w:rsidTr="00923743">
        <w:tc>
          <w:tcPr>
            <w:tcW w:w="524" w:type="dxa"/>
            <w:shd w:val="clear" w:color="auto" w:fill="auto"/>
          </w:tcPr>
          <w:p w14:paraId="5121BF8D" w14:textId="77777777" w:rsidR="006D35B0" w:rsidRPr="006503BB" w:rsidRDefault="006D35B0" w:rsidP="006D35B0">
            <w:pPr>
              <w:spacing w:before="120" w:after="120"/>
            </w:pPr>
            <w:r w:rsidRPr="006503BB">
              <w:t>10.</w:t>
            </w:r>
          </w:p>
        </w:tc>
        <w:tc>
          <w:tcPr>
            <w:tcW w:w="1397" w:type="dxa"/>
          </w:tcPr>
          <w:p w14:paraId="16BE6568" w14:textId="77777777" w:rsidR="006D35B0" w:rsidRPr="006503BB" w:rsidRDefault="006D35B0" w:rsidP="006D35B0">
            <w:pPr>
              <w:spacing w:before="120" w:after="120"/>
            </w:pPr>
            <w:r w:rsidRPr="006503BB">
              <w:t>5</w:t>
            </w:r>
          </w:p>
        </w:tc>
        <w:tc>
          <w:tcPr>
            <w:tcW w:w="2440" w:type="dxa"/>
            <w:shd w:val="clear" w:color="auto" w:fill="auto"/>
          </w:tcPr>
          <w:p w14:paraId="214510D0" w14:textId="77777777" w:rsidR="006D35B0" w:rsidRPr="006503BB" w:rsidRDefault="006D35B0" w:rsidP="006D35B0">
            <w:pPr>
              <w:spacing w:before="120" w:after="120"/>
            </w:pPr>
            <w:r w:rsidRPr="006503BB">
              <w:t>Confidential Affidavit of Stewart Alan Levitt 28 September 2023</w:t>
            </w:r>
          </w:p>
        </w:tc>
        <w:tc>
          <w:tcPr>
            <w:tcW w:w="3544" w:type="dxa"/>
            <w:shd w:val="clear" w:color="auto" w:fill="auto"/>
          </w:tcPr>
          <w:p w14:paraId="71A2C0B8" w14:textId="77777777" w:rsidR="006D35B0" w:rsidRPr="006503BB" w:rsidRDefault="006D35B0" w:rsidP="006D35B0">
            <w:pPr>
              <w:spacing w:before="120" w:after="120"/>
            </w:pPr>
            <w:r w:rsidRPr="006503BB">
              <w:t>[11]</w:t>
            </w:r>
            <w:proofErr w:type="gramStart"/>
            <w:r w:rsidRPr="006503BB">
              <w:t>–[</w:t>
            </w:r>
            <w:proofErr w:type="gramEnd"/>
            <w:r w:rsidRPr="006503BB">
              <w:t>21]</w:t>
            </w:r>
            <w:r>
              <w:t>, whole</w:t>
            </w:r>
          </w:p>
        </w:tc>
        <w:tc>
          <w:tcPr>
            <w:tcW w:w="1559" w:type="dxa"/>
            <w:shd w:val="clear" w:color="auto" w:fill="auto"/>
          </w:tcPr>
          <w:p w14:paraId="0BC845CA" w14:textId="77777777" w:rsidR="006D35B0" w:rsidRPr="006503BB" w:rsidRDefault="006D35B0" w:rsidP="006D35B0">
            <w:pPr>
              <w:spacing w:before="120" w:after="120"/>
            </w:pPr>
            <w:r w:rsidRPr="006503BB">
              <w:t xml:space="preserve">Stewart Levitt </w:t>
            </w:r>
          </w:p>
        </w:tc>
      </w:tr>
    </w:tbl>
    <w:p w14:paraId="13CABC35" w14:textId="77777777" w:rsidR="00312CB2" w:rsidRPr="00D71C1E" w:rsidRDefault="00312CB2" w:rsidP="00312CB2">
      <w:pPr>
        <w:tabs>
          <w:tab w:val="right" w:pos="9026"/>
        </w:tabs>
        <w:suppressAutoHyphens/>
        <w:ind w:right="1008"/>
        <w:rPr>
          <w:b/>
        </w:rPr>
      </w:pPr>
    </w:p>
    <w:p w14:paraId="3B6BD3A2" w14:textId="77777777" w:rsidR="00395B24" w:rsidRDefault="00395B24">
      <w:pPr>
        <w:pStyle w:val="NormalHeadings"/>
        <w:spacing w:before="240" w:after="120"/>
        <w:rPr>
          <w:b w:val="0"/>
        </w:rPr>
        <w:sectPr w:rsidR="00395B24" w:rsidSect="0092590B">
          <w:headerReference w:type="default" r:id="rId11"/>
          <w:footerReference w:type="default" r:id="rId12"/>
          <w:headerReference w:type="first" r:id="rId13"/>
          <w:footerReference w:type="first" r:id="rId14"/>
          <w:endnotePr>
            <w:numFmt w:val="decimal"/>
          </w:endnotePr>
          <w:pgSz w:w="11907" w:h="16840" w:code="9"/>
          <w:pgMar w:top="1440" w:right="1440" w:bottom="1440" w:left="1440" w:header="851" w:footer="851" w:gutter="0"/>
          <w:pgNumType w:fmt="lowerRoman" w:start="1"/>
          <w:cols w:space="720"/>
          <w:noEndnote/>
          <w:titlePg/>
        </w:sectPr>
      </w:pPr>
    </w:p>
    <w:p w14:paraId="32A2C631" w14:textId="77777777" w:rsidR="00484F6D" w:rsidRPr="00045BB7" w:rsidRDefault="00484F6D" w:rsidP="00045BB7">
      <w:pPr>
        <w:pStyle w:val="NormalHeadings"/>
        <w:spacing w:line="480" w:lineRule="auto"/>
        <w:jc w:val="center"/>
        <w:rPr>
          <w:sz w:val="28"/>
          <w:szCs w:val="28"/>
        </w:rPr>
      </w:pPr>
      <w:bookmarkStart w:id="14" w:name="ReasonsPage"/>
      <w:bookmarkEnd w:id="14"/>
      <w:r w:rsidRPr="00045BB7">
        <w:rPr>
          <w:sz w:val="28"/>
          <w:szCs w:val="28"/>
        </w:rPr>
        <w:lastRenderedPageBreak/>
        <w:t>REASONS FOR JUDGMENT</w:t>
      </w:r>
    </w:p>
    <w:p w14:paraId="299A2590" w14:textId="13883ABF" w:rsidR="00694BEB" w:rsidRDefault="00325DD8" w:rsidP="005E0510">
      <w:pPr>
        <w:pStyle w:val="NormalHeadings"/>
        <w:spacing w:line="360" w:lineRule="auto"/>
        <w:jc w:val="left"/>
        <w:rPr>
          <w:sz w:val="26"/>
          <w:szCs w:val="26"/>
        </w:rPr>
      </w:pPr>
      <w:r>
        <w:rPr>
          <w:sz w:val="26"/>
          <w:szCs w:val="26"/>
        </w:rPr>
        <w:t>MURPHY J:</w:t>
      </w:r>
    </w:p>
    <w:p w14:paraId="6067922A" w14:textId="75A660C9" w:rsidR="00A50ACD" w:rsidRDefault="001D7B98" w:rsidP="00B05F84">
      <w:pPr>
        <w:pStyle w:val="Heading1"/>
      </w:pPr>
      <w:r>
        <w:rPr>
          <w:caps w:val="0"/>
        </w:rPr>
        <w:t>INTRODUCTION</w:t>
      </w:r>
    </w:p>
    <w:p w14:paraId="576624D1" w14:textId="54301645" w:rsidR="00E57107" w:rsidRDefault="001D7B98" w:rsidP="001D7B98">
      <w:pPr>
        <w:pStyle w:val="ParaNumbering"/>
        <w:numPr>
          <w:ilvl w:val="0"/>
          <w:numId w:val="0"/>
        </w:numPr>
        <w:tabs>
          <w:tab w:val="left" w:pos="720"/>
        </w:tabs>
        <w:ind w:hanging="720"/>
      </w:pPr>
      <w:r>
        <w:rPr>
          <w:sz w:val="20"/>
        </w:rPr>
        <w:t>1</w:t>
      </w:r>
      <w:r>
        <w:rPr>
          <w:sz w:val="20"/>
        </w:rPr>
        <w:tab/>
      </w:r>
      <w:r w:rsidR="00E57107">
        <w:t>Before the Court is an interlocutory application dated 2</w:t>
      </w:r>
      <w:r w:rsidR="00C202B0">
        <w:t>8</w:t>
      </w:r>
      <w:r w:rsidR="00E57107">
        <w:t xml:space="preserve"> April 2023 in which </w:t>
      </w:r>
      <w:r w:rsidR="00612E36">
        <w:t xml:space="preserve">the </w:t>
      </w:r>
      <w:r w:rsidR="00E57107">
        <w:t xml:space="preserve">applicants in this class action, Michael Robert Luke and Meredith Ann Luke (in their capacities as co-executors of the estate of Robert Colin Luke, deceased) and Ann </w:t>
      </w:r>
      <w:r w:rsidR="002A3217">
        <w:t xml:space="preserve">Mary </w:t>
      </w:r>
      <w:r w:rsidR="00E57107">
        <w:t xml:space="preserve">Stroud and Neil Bernard </w:t>
      </w:r>
      <w:proofErr w:type="spellStart"/>
      <w:r w:rsidR="00E57107">
        <w:t>Colombari</w:t>
      </w:r>
      <w:proofErr w:type="spellEnd"/>
      <w:r w:rsidR="00E57107">
        <w:t xml:space="preserve"> (in their capacities as co-executors of the estate of Joan Mary </w:t>
      </w:r>
      <w:proofErr w:type="spellStart"/>
      <w:r w:rsidR="00E57107">
        <w:t>Colombari</w:t>
      </w:r>
      <w:proofErr w:type="spellEnd"/>
      <w:r w:rsidR="00E57107">
        <w:t>, deceased)</w:t>
      </w:r>
      <w:r w:rsidR="00E57107" w:rsidRPr="00477493">
        <w:t>, seek Court approval of</w:t>
      </w:r>
      <w:r w:rsidR="00E57107">
        <w:t xml:space="preserve"> a proposed </w:t>
      </w:r>
      <w:r w:rsidR="00E57107" w:rsidRPr="00477493">
        <w:t>settlement under s 33V of the </w:t>
      </w:r>
      <w:r w:rsidR="00E57107" w:rsidRPr="008B0645">
        <w:rPr>
          <w:i/>
        </w:rPr>
        <w:t>Federal Court of Australia Act 1976</w:t>
      </w:r>
      <w:r w:rsidR="00E57107" w:rsidRPr="00477493">
        <w:t> (</w:t>
      </w:r>
      <w:proofErr w:type="spellStart"/>
      <w:r w:rsidR="00E57107" w:rsidRPr="00477493">
        <w:t>Cth</w:t>
      </w:r>
      <w:proofErr w:type="spellEnd"/>
      <w:r w:rsidR="00E57107" w:rsidRPr="00477493">
        <w:t>) (</w:t>
      </w:r>
      <w:r w:rsidR="00830E86">
        <w:t xml:space="preserve">the </w:t>
      </w:r>
      <w:r w:rsidR="00E57107" w:rsidRPr="008B0645">
        <w:rPr>
          <w:b/>
        </w:rPr>
        <w:t>Act</w:t>
      </w:r>
      <w:r w:rsidR="00E57107" w:rsidRPr="00477493">
        <w:t>).</w:t>
      </w:r>
      <w:r w:rsidR="00E57107">
        <w:t xml:space="preserve"> </w:t>
      </w:r>
    </w:p>
    <w:p w14:paraId="78ADB441" w14:textId="4CAE423E" w:rsidR="008B0645" w:rsidRDefault="001D7B98" w:rsidP="001D7B98">
      <w:pPr>
        <w:pStyle w:val="ParaNumbering"/>
        <w:numPr>
          <w:ilvl w:val="0"/>
          <w:numId w:val="0"/>
        </w:numPr>
        <w:tabs>
          <w:tab w:val="left" w:pos="720"/>
        </w:tabs>
        <w:ind w:hanging="720"/>
      </w:pPr>
      <w:r>
        <w:rPr>
          <w:sz w:val="20"/>
        </w:rPr>
        <w:t>2</w:t>
      </w:r>
      <w:r>
        <w:rPr>
          <w:sz w:val="20"/>
        </w:rPr>
        <w:tab/>
      </w:r>
      <w:r w:rsidR="00FC77E0" w:rsidRPr="00477493">
        <w:t>The applicant</w:t>
      </w:r>
      <w:r w:rsidR="00FC77E0">
        <w:t>s</w:t>
      </w:r>
      <w:r w:rsidR="002D74D8">
        <w:t xml:space="preserve"> bring </w:t>
      </w:r>
      <w:r w:rsidR="00E57107">
        <w:t xml:space="preserve">the </w:t>
      </w:r>
      <w:r w:rsidR="002F2880">
        <w:t xml:space="preserve">class action on their own behalf and on behalf of approximately 2,700 current and former owners of freehold or leasehold interests in units in retirement villages operated by the respondent, </w:t>
      </w:r>
      <w:r w:rsidR="002F2880" w:rsidRPr="00343257">
        <w:rPr>
          <w:b/>
          <w:bCs/>
        </w:rPr>
        <w:t>Aveo</w:t>
      </w:r>
      <w:r w:rsidR="002F2880">
        <w:t xml:space="preserve"> Group Limited</w:t>
      </w:r>
      <w:r w:rsidR="006335FE">
        <w:t xml:space="preserve">, which </w:t>
      </w:r>
      <w:r w:rsidR="002F2880">
        <w:t xml:space="preserve">is a major operator of retirement villages in Australia. </w:t>
      </w:r>
      <w:r w:rsidR="008B0645">
        <w:t xml:space="preserve">The proceeding is funded by </w:t>
      </w:r>
      <w:r w:rsidR="008B0645" w:rsidRPr="007E207C">
        <w:rPr>
          <w:b/>
          <w:bCs/>
        </w:rPr>
        <w:t>Galactic</w:t>
      </w:r>
      <w:r w:rsidR="008B0645">
        <w:t xml:space="preserve"> Aveo LLC</w:t>
      </w:r>
      <w:r w:rsidR="00FC398A">
        <w:t xml:space="preserve"> pursuant to litigation funding agreements it </w:t>
      </w:r>
      <w:proofErr w:type="gramStart"/>
      <w:r w:rsidR="00FC398A">
        <w:t>entered into</w:t>
      </w:r>
      <w:proofErr w:type="gramEnd"/>
      <w:r w:rsidR="00FC398A">
        <w:t xml:space="preserve"> with the applicants and </w:t>
      </w:r>
      <w:r w:rsidR="00BB1AD5">
        <w:t>approximately 2</w:t>
      </w:r>
      <w:r w:rsidR="00D94846">
        <w:t>32</w:t>
      </w:r>
      <w:r w:rsidR="00FC398A">
        <w:t xml:space="preserve"> group members</w:t>
      </w:r>
      <w:r w:rsidR="008B0645">
        <w:t>.</w:t>
      </w:r>
    </w:p>
    <w:p w14:paraId="6949A4E2" w14:textId="7E20D592" w:rsidR="0093353E" w:rsidRDefault="001D7B98" w:rsidP="001D7B98">
      <w:pPr>
        <w:pStyle w:val="ParaNumbering"/>
        <w:numPr>
          <w:ilvl w:val="0"/>
          <w:numId w:val="0"/>
        </w:numPr>
        <w:tabs>
          <w:tab w:val="left" w:pos="720"/>
        </w:tabs>
        <w:ind w:hanging="720"/>
      </w:pPr>
      <w:r>
        <w:rPr>
          <w:sz w:val="20"/>
        </w:rPr>
        <w:t>3</w:t>
      </w:r>
      <w:r>
        <w:rPr>
          <w:sz w:val="20"/>
        </w:rPr>
        <w:tab/>
      </w:r>
      <w:r w:rsidR="0093353E">
        <w:t xml:space="preserve">The </w:t>
      </w:r>
      <w:r w:rsidR="00426BEC">
        <w:t xml:space="preserve">applicants’ </w:t>
      </w:r>
      <w:r w:rsidR="0093353E">
        <w:t xml:space="preserve">claims </w:t>
      </w:r>
      <w:r w:rsidR="004B23F0">
        <w:t>arise from</w:t>
      </w:r>
      <w:r w:rsidR="0093353E">
        <w:t xml:space="preserve"> </w:t>
      </w:r>
      <w:r w:rsidR="00426BEC">
        <w:t>Aveo’s introduction of the</w:t>
      </w:r>
      <w:r w:rsidR="0093353E">
        <w:t xml:space="preserve"> “</w:t>
      </w:r>
      <w:r w:rsidR="0093353E" w:rsidRPr="00962C93">
        <w:t>Aveo Way</w:t>
      </w:r>
      <w:r w:rsidR="00120ADD">
        <w:t xml:space="preserve"> </w:t>
      </w:r>
      <w:r w:rsidR="00120ADD" w:rsidRPr="00110487">
        <w:rPr>
          <w:bCs/>
        </w:rPr>
        <w:t>Programme</w:t>
      </w:r>
      <w:r w:rsidR="0093353E">
        <w:t xml:space="preserve">”, which it began implementing in about 2014 and 2015, and which it continues to implement today. The essence of the claims is that Aveo sold to the applicants and group members their rights to occupy </w:t>
      </w:r>
      <w:r w:rsidR="00FA238C">
        <w:t>a</w:t>
      </w:r>
      <w:r w:rsidR="0093353E">
        <w:t xml:space="preserve"> retirement village unit upon a certain set of </w:t>
      </w:r>
      <w:r w:rsidR="00EF69B3">
        <w:t xml:space="preserve">contractual </w:t>
      </w:r>
      <w:r w:rsidR="0093353E">
        <w:t xml:space="preserve">terms, commonly a freehold interest in the unit with </w:t>
      </w:r>
      <w:r w:rsidR="00902186">
        <w:t>lower</w:t>
      </w:r>
      <w:r w:rsidR="0093353E">
        <w:t xml:space="preserve"> deferred management fees and the prospect of </w:t>
      </w:r>
      <w:r w:rsidR="00FA238C">
        <w:t xml:space="preserve">a </w:t>
      </w:r>
      <w:r w:rsidR="0093353E">
        <w:t>capital gain</w:t>
      </w:r>
      <w:r w:rsidR="00FA238C">
        <w:t xml:space="preserve"> when leaving the unit</w:t>
      </w:r>
      <w:r w:rsidR="0093353E">
        <w:t xml:space="preserve">, Aveo then altered the terms on which incoming residents were </w:t>
      </w:r>
      <w:r w:rsidR="00426BEC">
        <w:t xml:space="preserve">to be </w:t>
      </w:r>
      <w:r w:rsidR="0093353E">
        <w:t xml:space="preserve">offered units. The central allegation is that </w:t>
      </w:r>
      <w:r w:rsidR="00EF69B3">
        <w:t>under the</w:t>
      </w:r>
      <w:r w:rsidR="00110487">
        <w:t xml:space="preserve"> Aveo Way</w:t>
      </w:r>
      <w:r w:rsidR="00EF69B3">
        <w:t xml:space="preserve">, </w:t>
      </w:r>
      <w:r w:rsidR="00426BEC">
        <w:t>in practice</w:t>
      </w:r>
      <w:r w:rsidR="00EF69B3">
        <w:t xml:space="preserve">, incoming residents could only acquire a leasehold interest, </w:t>
      </w:r>
      <w:r w:rsidR="009D60F0">
        <w:t>w</w:t>
      </w:r>
      <w:r w:rsidR="001678CA">
        <w:t>hich meant</w:t>
      </w:r>
      <w:r w:rsidR="009D60F0">
        <w:t xml:space="preserve"> </w:t>
      </w:r>
      <w:r w:rsidR="0093353E">
        <w:t xml:space="preserve">that the applicants and group members were not able to sell as attractive a set of rights to incoming residents as </w:t>
      </w:r>
      <w:r w:rsidR="00EF69B3">
        <w:t>the rights</w:t>
      </w:r>
      <w:r w:rsidR="0093353E">
        <w:t xml:space="preserve"> </w:t>
      </w:r>
      <w:r w:rsidR="00EF69B3">
        <w:t xml:space="preserve">they </w:t>
      </w:r>
      <w:r w:rsidR="0093353E">
        <w:t>had themselves originally purchased</w:t>
      </w:r>
      <w:r w:rsidR="00EF69B3">
        <w:t>;</w:t>
      </w:r>
      <w:r w:rsidR="0093353E">
        <w:t xml:space="preserve"> that the value of their existing rights was therefore materially diminished</w:t>
      </w:r>
      <w:r w:rsidR="00EF69B3">
        <w:t>;</w:t>
      </w:r>
      <w:r w:rsidR="0093353E">
        <w:t xml:space="preserve"> and that Aveo unconscionably </w:t>
      </w:r>
      <w:r w:rsidR="00D9358A">
        <w:t xml:space="preserve">took </w:t>
      </w:r>
      <w:r w:rsidR="0093353E">
        <w:t xml:space="preserve">advantage of its bargaining power in order to shift the applicant and group members over to being required to sell their existing rights under the </w:t>
      </w:r>
      <w:r w:rsidR="00BB139D">
        <w:t>Aveo Way</w:t>
      </w:r>
      <w:r w:rsidR="0093353E">
        <w:t>.</w:t>
      </w:r>
    </w:p>
    <w:p w14:paraId="0B7512C4" w14:textId="3F88CCAD" w:rsidR="00D75A1D" w:rsidRDefault="001D7B98" w:rsidP="001D7B98">
      <w:pPr>
        <w:pStyle w:val="ParaNumbering"/>
        <w:numPr>
          <w:ilvl w:val="0"/>
          <w:numId w:val="0"/>
        </w:numPr>
        <w:tabs>
          <w:tab w:val="left" w:pos="720"/>
        </w:tabs>
        <w:ind w:hanging="720"/>
      </w:pPr>
      <w:r>
        <w:rPr>
          <w:sz w:val="20"/>
        </w:rPr>
        <w:t>4</w:t>
      </w:r>
      <w:r>
        <w:rPr>
          <w:sz w:val="20"/>
        </w:rPr>
        <w:tab/>
      </w:r>
      <w:r w:rsidR="00D75A1D">
        <w:t>The applicants have reached an in-</w:t>
      </w:r>
      <w:proofErr w:type="gramStart"/>
      <w:r w:rsidR="00D75A1D">
        <w:t>principle</w:t>
      </w:r>
      <w:proofErr w:type="gramEnd"/>
      <w:r w:rsidR="00D75A1D">
        <w:t xml:space="preserve"> settlement </w:t>
      </w:r>
      <w:r w:rsidR="000569FB">
        <w:t xml:space="preserve">with Aveo </w:t>
      </w:r>
      <w:r w:rsidR="00D75A1D">
        <w:t>(</w:t>
      </w:r>
      <w:r w:rsidR="002C1A6D">
        <w:t xml:space="preserve">the </w:t>
      </w:r>
      <w:r w:rsidR="00D75A1D" w:rsidRPr="00D75A1D">
        <w:rPr>
          <w:b/>
          <w:bCs/>
        </w:rPr>
        <w:t>proposed settlement</w:t>
      </w:r>
      <w:r w:rsidR="00D75A1D">
        <w:t>)</w:t>
      </w:r>
      <w:r w:rsidR="00791452">
        <w:t xml:space="preserve"> under which, if approved, </w:t>
      </w:r>
      <w:r w:rsidR="00D75A1D">
        <w:t>Aveo</w:t>
      </w:r>
      <w:r w:rsidR="00791452">
        <w:t xml:space="preserve"> will </w:t>
      </w:r>
      <w:r w:rsidR="00D75A1D">
        <w:t xml:space="preserve">pay </w:t>
      </w:r>
      <w:r w:rsidR="006B10C8">
        <w:t xml:space="preserve">the applicants and group members </w:t>
      </w:r>
      <w:r w:rsidR="00D75A1D">
        <w:t xml:space="preserve">$11 million </w:t>
      </w:r>
      <w:r w:rsidR="00D75A1D">
        <w:lastRenderedPageBreak/>
        <w:t>(</w:t>
      </w:r>
      <w:r w:rsidR="00D75A1D" w:rsidRPr="008B0645">
        <w:rPr>
          <w:b/>
          <w:bCs/>
        </w:rPr>
        <w:t>settlement sum</w:t>
      </w:r>
      <w:r w:rsidR="00D75A1D">
        <w:t>) inclusive of interest, legal costs and settlement administration costs</w:t>
      </w:r>
      <w:r w:rsidR="006B10C8" w:rsidRPr="006B10C8">
        <w:t xml:space="preserve"> </w:t>
      </w:r>
      <w:r w:rsidR="006B10C8">
        <w:t>in full and final settlement of the proceeding</w:t>
      </w:r>
      <w:r w:rsidR="00F311CD">
        <w:t>.</w:t>
      </w:r>
    </w:p>
    <w:p w14:paraId="699B56CC" w14:textId="2A880732" w:rsidR="009E36E7" w:rsidRDefault="001D7B98" w:rsidP="001D7B98">
      <w:pPr>
        <w:pStyle w:val="ParaNumbering"/>
        <w:numPr>
          <w:ilvl w:val="0"/>
          <w:numId w:val="0"/>
        </w:numPr>
        <w:tabs>
          <w:tab w:val="left" w:pos="720"/>
        </w:tabs>
        <w:ind w:hanging="720"/>
      </w:pPr>
      <w:r>
        <w:rPr>
          <w:sz w:val="20"/>
        </w:rPr>
        <w:t>5</w:t>
      </w:r>
      <w:r>
        <w:rPr>
          <w:sz w:val="20"/>
        </w:rPr>
        <w:tab/>
      </w:r>
      <w:r w:rsidR="009E6249">
        <w:t xml:space="preserve">Mr Levitt’s evidence in the </w:t>
      </w:r>
      <w:r w:rsidR="008E184F">
        <w:t xml:space="preserve">approval </w:t>
      </w:r>
      <w:r w:rsidR="009E6249">
        <w:t>application shows that he</w:t>
      </w:r>
      <w:r w:rsidR="008E184F">
        <w:t xml:space="preserve"> knew that the </w:t>
      </w:r>
      <w:r w:rsidR="00D41371">
        <w:t xml:space="preserve">settlement </w:t>
      </w:r>
      <w:r w:rsidR="008E184F">
        <w:t xml:space="preserve">sum </w:t>
      </w:r>
      <w:r w:rsidR="009E36E7">
        <w:t>would be consumed by</w:t>
      </w:r>
      <w:r w:rsidR="008E184F">
        <w:t xml:space="preserve"> Levitt Robinson’s </w:t>
      </w:r>
      <w:r w:rsidR="00612E36">
        <w:t>legal</w:t>
      </w:r>
      <w:r w:rsidR="009E36E7">
        <w:t xml:space="preserve"> costs</w:t>
      </w:r>
      <w:r w:rsidR="00D41371">
        <w:t>.</w:t>
      </w:r>
      <w:r w:rsidR="0043649A">
        <w:t xml:space="preserve"> </w:t>
      </w:r>
      <w:r w:rsidR="00006D28">
        <w:t xml:space="preserve">In an affidavit in support </w:t>
      </w:r>
      <w:r w:rsidR="00A37074">
        <w:t xml:space="preserve">of the approval application </w:t>
      </w:r>
      <w:r w:rsidR="00096A14">
        <w:t>h</w:t>
      </w:r>
      <w:r w:rsidR="0043649A">
        <w:t>e</w:t>
      </w:r>
      <w:r w:rsidR="00D41371" w:rsidDel="00096A14">
        <w:t xml:space="preserve"> </w:t>
      </w:r>
      <w:r w:rsidR="00D87EF1">
        <w:t xml:space="preserve">said </w:t>
      </w:r>
      <w:r w:rsidR="00D41371">
        <w:t>that</w:t>
      </w:r>
      <w:r w:rsidR="00EF7E41">
        <w:t xml:space="preserve"> the firm </w:t>
      </w:r>
      <w:r w:rsidR="00D87EF1">
        <w:t>had</w:t>
      </w:r>
      <w:r w:rsidR="00EF7E41">
        <w:t xml:space="preserve"> </w:t>
      </w:r>
      <w:r w:rsidR="00D41371">
        <w:t xml:space="preserve">incurred </w:t>
      </w:r>
      <w:r w:rsidR="00EB083A">
        <w:t>$10,999</w:t>
      </w:r>
      <w:r w:rsidR="00C828F3">
        <w:t xml:space="preserve">,558 </w:t>
      </w:r>
      <w:r w:rsidR="00D41371">
        <w:t xml:space="preserve">in </w:t>
      </w:r>
      <w:r w:rsidR="00F14DE0">
        <w:t xml:space="preserve">legal costs in </w:t>
      </w:r>
      <w:r w:rsidR="00D41371">
        <w:t>conducting the case up to the</w:t>
      </w:r>
      <w:r w:rsidR="00F14DE0">
        <w:t xml:space="preserve"> date of </w:t>
      </w:r>
      <w:proofErr w:type="gramStart"/>
      <w:r w:rsidR="00F14DE0">
        <w:t>settlement</w:t>
      </w:r>
      <w:r w:rsidR="00F609F3">
        <w:t xml:space="preserve">, </w:t>
      </w:r>
      <w:r w:rsidR="003C6060">
        <w:t>and</w:t>
      </w:r>
      <w:proofErr w:type="gramEnd"/>
      <w:r w:rsidR="003C6060">
        <w:t xml:space="preserve"> estimated the costs</w:t>
      </w:r>
      <w:r w:rsidR="00D844CA">
        <w:t xml:space="preserve"> of the settlement approval</w:t>
      </w:r>
      <w:r w:rsidR="00DA1C90">
        <w:t xml:space="preserve"> application</w:t>
      </w:r>
      <w:r w:rsidR="009B5347">
        <w:t xml:space="preserve"> at $251,</w:t>
      </w:r>
      <w:r w:rsidR="00270CC6">
        <w:t>450</w:t>
      </w:r>
      <w:r w:rsidR="00CF2775">
        <w:t>.</w:t>
      </w:r>
      <w:r w:rsidR="00270CC6">
        <w:t xml:space="preserve"> It must have been plain to Mr Levitt </w:t>
      </w:r>
      <w:r w:rsidR="008E184F">
        <w:t xml:space="preserve">that the </w:t>
      </w:r>
      <w:r w:rsidR="003C16E0">
        <w:t xml:space="preserve">sum provided under the </w:t>
      </w:r>
      <w:r w:rsidR="007837E0">
        <w:t xml:space="preserve">proposed </w:t>
      </w:r>
      <w:r w:rsidR="008E184F">
        <w:t xml:space="preserve">settlement </w:t>
      </w:r>
      <w:r w:rsidR="003C16E0">
        <w:t>would mean</w:t>
      </w:r>
      <w:r w:rsidR="007837E0">
        <w:t xml:space="preserve"> that the applicants and group members would get nothing</w:t>
      </w:r>
      <w:r w:rsidR="009E36E7">
        <w:t xml:space="preserve">. </w:t>
      </w:r>
    </w:p>
    <w:p w14:paraId="15EC0171" w14:textId="0F0E16A9" w:rsidR="007459AA" w:rsidRDefault="001D7B98" w:rsidP="001D7B98">
      <w:pPr>
        <w:pStyle w:val="ParaNumbering"/>
        <w:numPr>
          <w:ilvl w:val="0"/>
          <w:numId w:val="0"/>
        </w:numPr>
        <w:tabs>
          <w:tab w:val="left" w:pos="720"/>
        </w:tabs>
        <w:ind w:hanging="720"/>
      </w:pPr>
      <w:r>
        <w:rPr>
          <w:sz w:val="20"/>
        </w:rPr>
        <w:t>6</w:t>
      </w:r>
      <w:r>
        <w:rPr>
          <w:sz w:val="20"/>
        </w:rPr>
        <w:tab/>
      </w:r>
      <w:r w:rsidR="0020581E">
        <w:t>Group members might reasonably ask how the applicants and</w:t>
      </w:r>
      <w:r w:rsidR="005F2F30">
        <w:t xml:space="preserve"> their lawyers </w:t>
      </w:r>
      <w:r w:rsidR="0020581E">
        <w:t>could conscientiously put forward the proposed settlement for approval when the group members are to receive nothing under the settlement,</w:t>
      </w:r>
      <w:r w:rsidR="005F2F30">
        <w:t xml:space="preserve"> yet </w:t>
      </w:r>
      <w:r w:rsidR="0020581E">
        <w:t xml:space="preserve">the </w:t>
      </w:r>
      <w:r w:rsidR="005F2F30">
        <w:t>applicants’ l</w:t>
      </w:r>
      <w:r w:rsidR="0020581E">
        <w:t xml:space="preserve">awyers </w:t>
      </w:r>
      <w:r w:rsidR="005545BE">
        <w:t>seek</w:t>
      </w:r>
      <w:r w:rsidR="0020581E">
        <w:t xml:space="preserve"> payment in full</w:t>
      </w:r>
      <w:r w:rsidR="005545BE">
        <w:t xml:space="preserve"> for their work</w:t>
      </w:r>
      <w:r w:rsidR="0020581E">
        <w:t xml:space="preserve">. </w:t>
      </w:r>
      <w:r w:rsidR="00D3445E">
        <w:t xml:space="preserve">A group member who objected to the proposed settlement </w:t>
      </w:r>
      <w:r w:rsidR="001F1E6B">
        <w:t>complained that</w:t>
      </w:r>
      <w:r w:rsidR="00D3445E">
        <w:t xml:space="preserve"> the “[t]he fees applied by Levitt Robinson appear to be unreasonable and what remains for the Group Members is an insult”. Group members</w:t>
      </w:r>
      <w:r w:rsidR="0020581E" w:rsidDel="00D3445E">
        <w:t xml:space="preserve"> </w:t>
      </w:r>
      <w:r w:rsidR="0020581E">
        <w:t xml:space="preserve">might also reasonably ask how the Court could </w:t>
      </w:r>
      <w:r w:rsidR="00F52F01">
        <w:t>conclude</w:t>
      </w:r>
      <w:r w:rsidR="0020581E">
        <w:t xml:space="preserve"> that such a settlement is fair and reasonable in the </w:t>
      </w:r>
      <w:r w:rsidR="00D3445E">
        <w:t xml:space="preserve">group members’ </w:t>
      </w:r>
      <w:r w:rsidR="0020581E">
        <w:t>interests. They might think that a settlement under which the only winners are the lawyers indicates that something is terribly amiss in the operation of the class action regime in Pt IVA of the Act.</w:t>
      </w:r>
      <w:r w:rsidR="0020581E" w:rsidDel="007459AA">
        <w:t xml:space="preserve"> </w:t>
      </w:r>
    </w:p>
    <w:p w14:paraId="3D12CA10" w14:textId="085063B7" w:rsidR="0020581E" w:rsidRDefault="001D7B98" w:rsidP="001D7B98">
      <w:pPr>
        <w:pStyle w:val="ParaNumbering"/>
        <w:numPr>
          <w:ilvl w:val="0"/>
          <w:numId w:val="0"/>
        </w:numPr>
        <w:tabs>
          <w:tab w:val="left" w:pos="720"/>
        </w:tabs>
        <w:ind w:hanging="720"/>
      </w:pPr>
      <w:r>
        <w:rPr>
          <w:sz w:val="20"/>
        </w:rPr>
        <w:t>7</w:t>
      </w:r>
      <w:r>
        <w:rPr>
          <w:sz w:val="20"/>
        </w:rPr>
        <w:tab/>
      </w:r>
      <w:r w:rsidR="00E67D30" w:rsidRPr="00E1627E">
        <w:t xml:space="preserve">The Court’s fundamental task </w:t>
      </w:r>
      <w:r w:rsidR="00E67D30">
        <w:t>in a settlement approval application under s 33</w:t>
      </w:r>
      <w:proofErr w:type="gramStart"/>
      <w:r w:rsidR="00E67D30">
        <w:t>V(</w:t>
      </w:r>
      <w:proofErr w:type="gramEnd"/>
      <w:r w:rsidR="00E67D30">
        <w:t xml:space="preserve">1) of the Act </w:t>
      </w:r>
      <w:r w:rsidR="00E67D30" w:rsidRPr="00E1627E">
        <w:t>is to determine whether the settlement is fair and reasonable and in the interests of the group members who will be bound by it, including as between the group members</w:t>
      </w:r>
      <w:r w:rsidR="00E67D30">
        <w:rPr>
          <w:iCs/>
        </w:rPr>
        <w:t xml:space="preserve">. </w:t>
      </w:r>
      <w:r w:rsidR="0020581E" w:rsidRPr="00E67D30">
        <w:rPr>
          <w:iCs/>
        </w:rPr>
        <w:t>There</w:t>
      </w:r>
      <w:r w:rsidR="0020581E">
        <w:t xml:space="preserve"> must be a good reason why a settlement could be considered fair and reasonable from the perspective of group members, when the</w:t>
      </w:r>
      <w:r w:rsidR="00E67D30">
        <w:t xml:space="preserve"> lawyers and litigation funders </w:t>
      </w:r>
      <w:r w:rsidR="0020581E">
        <w:t>get more out of</w:t>
      </w:r>
      <w:r w:rsidR="00EC380A">
        <w:t xml:space="preserve"> the class action </w:t>
      </w:r>
      <w:r w:rsidR="0020581E">
        <w:t>than the people</w:t>
      </w:r>
      <w:r w:rsidR="00EC380A">
        <w:t xml:space="preserve"> for whom the proceeding is brought</w:t>
      </w:r>
      <w:r w:rsidR="0020581E">
        <w:t xml:space="preserve">: </w:t>
      </w:r>
      <w:r w:rsidR="0020581E" w:rsidRPr="00F70777">
        <w:rPr>
          <w:i/>
        </w:rPr>
        <w:t>Clarke</w:t>
      </w:r>
      <w:r w:rsidR="0020581E" w:rsidRPr="00AC782C">
        <w:rPr>
          <w:i/>
        </w:rPr>
        <w:t xml:space="preserve"> v Sandhurst Trustees Ltd</w:t>
      </w:r>
      <w:r w:rsidR="0020581E" w:rsidRPr="00AC782C">
        <w:t xml:space="preserve"> (No 2) [2018] FCA 511 at [29]</w:t>
      </w:r>
      <w:r w:rsidR="0020581E" w:rsidRPr="00CF7922">
        <w:rPr>
          <w:lang w:val="en"/>
        </w:rPr>
        <w:t>;</w:t>
      </w:r>
      <w:r w:rsidR="0020581E" w:rsidRPr="00CF7922">
        <w:rPr>
          <w:b/>
          <w:bCs/>
          <w:i/>
          <w:iCs/>
        </w:rPr>
        <w:t xml:space="preserve"> </w:t>
      </w:r>
      <w:r w:rsidR="0020581E" w:rsidRPr="00AC782C">
        <w:rPr>
          <w:b/>
          <w:i/>
        </w:rPr>
        <w:t>Petersen</w:t>
      </w:r>
      <w:r w:rsidR="0020581E" w:rsidRPr="00AC782C">
        <w:rPr>
          <w:i/>
        </w:rPr>
        <w:t xml:space="preserve"> Superannuation Fund Pty Ltd v Bank of Queensland Ltd (No 3)</w:t>
      </w:r>
      <w:r w:rsidR="0020581E" w:rsidRPr="00AC782C">
        <w:t xml:space="preserve"> [2018] FCA 1842; 132 ACSR 258</w:t>
      </w:r>
      <w:r w:rsidR="0020581E" w:rsidRPr="00556163">
        <w:t xml:space="preserve"> at </w:t>
      </w:r>
      <w:r w:rsidR="007502FB">
        <w:t>[244</w:t>
      </w:r>
      <w:r w:rsidR="0020581E" w:rsidRPr="00556163">
        <w:t>]</w:t>
      </w:r>
      <w:r w:rsidR="00611CBC">
        <w:t>.</w:t>
      </w:r>
    </w:p>
    <w:p w14:paraId="3D79390F" w14:textId="7F876591" w:rsidR="00FB0B11" w:rsidRDefault="001D7B98" w:rsidP="001D7B98">
      <w:pPr>
        <w:pStyle w:val="ParaNumbering"/>
        <w:numPr>
          <w:ilvl w:val="0"/>
          <w:numId w:val="0"/>
        </w:numPr>
        <w:tabs>
          <w:tab w:val="left" w:pos="720"/>
        </w:tabs>
        <w:ind w:hanging="720"/>
      </w:pPr>
      <w:r>
        <w:rPr>
          <w:sz w:val="20"/>
        </w:rPr>
        <w:t>8</w:t>
      </w:r>
      <w:r>
        <w:rPr>
          <w:sz w:val="20"/>
        </w:rPr>
        <w:tab/>
      </w:r>
      <w:r w:rsidR="00611CBC">
        <w:t>However, the</w:t>
      </w:r>
      <w:r w:rsidR="00BF2F83">
        <w:t xml:space="preserve"> </w:t>
      </w:r>
      <w:r w:rsidR="00FB0B11">
        <w:t xml:space="preserve">fact that a </w:t>
      </w:r>
      <w:r w:rsidR="00D20097">
        <w:t xml:space="preserve">proposed </w:t>
      </w:r>
      <w:r w:rsidR="00FB0B11">
        <w:t xml:space="preserve">settlement is reached on terms </w:t>
      </w:r>
      <w:r w:rsidR="00E67D30">
        <w:t xml:space="preserve">which are </w:t>
      </w:r>
      <w:r w:rsidR="00F52F01">
        <w:t xml:space="preserve">quite </w:t>
      </w:r>
      <w:r w:rsidR="00E67D30">
        <w:t xml:space="preserve">unfavourable </w:t>
      </w:r>
      <w:r w:rsidR="00FB0B11">
        <w:t xml:space="preserve">to group members does not necessarily indicate that </w:t>
      </w:r>
      <w:r w:rsidR="00041AE2">
        <w:t xml:space="preserve">the settlement </w:t>
      </w:r>
      <w:r w:rsidR="00FB0B11">
        <w:t>is not fair and reasonable</w:t>
      </w:r>
      <w:r w:rsidR="00EC380A">
        <w:t xml:space="preserve"> having regard to their interests</w:t>
      </w:r>
      <w:r w:rsidR="00FB0B11">
        <w:t xml:space="preserve">, nor does it necessarily indicate a failure in the operation of the Pt IVA regime. Every day, in courts around the country, </w:t>
      </w:r>
      <w:r w:rsidR="00591F67">
        <w:t>litigants</w:t>
      </w:r>
      <w:r w:rsidR="00FB0B11">
        <w:t xml:space="preserve"> are</w:t>
      </w:r>
      <w:r w:rsidR="00EC380A">
        <w:t xml:space="preserve"> forced </w:t>
      </w:r>
      <w:r w:rsidR="00FB0B11">
        <w:t xml:space="preserve">to confront the reality that their claims or defences are not as strong as they </w:t>
      </w:r>
      <w:proofErr w:type="gramStart"/>
      <w:r w:rsidR="00FB0B11">
        <w:t>thought</w:t>
      </w:r>
      <w:r w:rsidR="004B7B50">
        <w:t>,</w:t>
      </w:r>
      <w:r w:rsidR="00EC380A">
        <w:t xml:space="preserve"> </w:t>
      </w:r>
      <w:r w:rsidR="004B7B50">
        <w:t>and</w:t>
      </w:r>
      <w:proofErr w:type="gramEnd"/>
      <w:r w:rsidR="004B7B50">
        <w:t xml:space="preserve"> </w:t>
      </w:r>
      <w:r w:rsidR="00EC380A">
        <w:t xml:space="preserve">are </w:t>
      </w:r>
      <w:r w:rsidR="004B7B50">
        <w:t xml:space="preserve">forced </w:t>
      </w:r>
      <w:r w:rsidR="00EC380A">
        <w:t xml:space="preserve">to the </w:t>
      </w:r>
      <w:r w:rsidR="00FB0B11">
        <w:lastRenderedPageBreak/>
        <w:t>realisation that</w:t>
      </w:r>
      <w:r w:rsidR="00FB2253">
        <w:t xml:space="preserve"> it is appropriate to settle the case </w:t>
      </w:r>
      <w:r w:rsidR="00A11FA7">
        <w:t xml:space="preserve">on </w:t>
      </w:r>
      <w:r w:rsidR="00FB2253">
        <w:t>unfavourable</w:t>
      </w:r>
      <w:r w:rsidR="00BE5EC7">
        <w:t xml:space="preserve"> terms</w:t>
      </w:r>
      <w:r w:rsidR="00FB2253">
        <w:t>,</w:t>
      </w:r>
      <w:r w:rsidR="00F54AD9">
        <w:t xml:space="preserve"> </w:t>
      </w:r>
      <w:r w:rsidR="00611CBC">
        <w:t xml:space="preserve">or </w:t>
      </w:r>
      <w:r w:rsidR="00F54AD9">
        <w:t>even to entirely capitulate</w:t>
      </w:r>
      <w:r w:rsidR="00FB0B11">
        <w:t>. That is what happened here.</w:t>
      </w:r>
    </w:p>
    <w:p w14:paraId="64E7591D" w14:textId="644328F7" w:rsidR="0032465C" w:rsidRDefault="001D7B98" w:rsidP="001D7B98">
      <w:pPr>
        <w:pStyle w:val="ParaNumbering"/>
        <w:numPr>
          <w:ilvl w:val="0"/>
          <w:numId w:val="0"/>
        </w:numPr>
        <w:tabs>
          <w:tab w:val="left" w:pos="720"/>
        </w:tabs>
        <w:ind w:hanging="720"/>
      </w:pPr>
      <w:r>
        <w:rPr>
          <w:sz w:val="20"/>
        </w:rPr>
        <w:t>9</w:t>
      </w:r>
      <w:r>
        <w:rPr>
          <w:sz w:val="20"/>
        </w:rPr>
        <w:tab/>
      </w:r>
      <w:r w:rsidR="00A11FA7">
        <w:t xml:space="preserve">The </w:t>
      </w:r>
      <w:r w:rsidR="00FB0B11">
        <w:t>parties reached the proposed settlement after six days of trial</w:t>
      </w:r>
      <w:r w:rsidR="00FE6F0B">
        <w:t>.</w:t>
      </w:r>
      <w:r w:rsidR="00A11FA7">
        <w:t xml:space="preserve"> The evidence in the approval application tends to show </w:t>
      </w:r>
      <w:r w:rsidR="00FB0B11">
        <w:t>that the</w:t>
      </w:r>
      <w:r w:rsidR="00A11FA7">
        <w:t xml:space="preserve"> applicants </w:t>
      </w:r>
      <w:r w:rsidR="004B7B50">
        <w:t>accepted</w:t>
      </w:r>
      <w:r w:rsidR="00532B34">
        <w:t xml:space="preserve"> the offer of $11 million inclusive of costs </w:t>
      </w:r>
      <w:r w:rsidR="00FB0B11">
        <w:t xml:space="preserve">because they </w:t>
      </w:r>
      <w:r w:rsidR="00E3634C">
        <w:t>(or more</w:t>
      </w:r>
      <w:r w:rsidR="00CB14E0">
        <w:t xml:space="preserve"> accurately their lawyers) </w:t>
      </w:r>
      <w:r w:rsidR="00FB0B11">
        <w:t>had come to the view</w:t>
      </w:r>
      <w:r w:rsidR="00FB0B11" w:rsidRPr="004830AB">
        <w:t xml:space="preserve"> </w:t>
      </w:r>
      <w:r w:rsidR="00FB0B11">
        <w:t>that the applicants</w:t>
      </w:r>
      <w:r w:rsidR="00CB14E0">
        <w:t>’</w:t>
      </w:r>
      <w:r w:rsidR="00FB0B11">
        <w:t xml:space="preserve"> and</w:t>
      </w:r>
      <w:r w:rsidR="00532B34">
        <w:t xml:space="preserve"> group members</w:t>
      </w:r>
      <w:r w:rsidR="00CB14E0">
        <w:t>’ claims</w:t>
      </w:r>
      <w:r w:rsidR="00532B34">
        <w:t xml:space="preserve"> </w:t>
      </w:r>
      <w:r w:rsidR="00891509">
        <w:t xml:space="preserve">were </w:t>
      </w:r>
      <w:r w:rsidR="00532B34">
        <w:t xml:space="preserve">likely to fail if the </w:t>
      </w:r>
      <w:r w:rsidR="00611CBC">
        <w:t xml:space="preserve">trial </w:t>
      </w:r>
      <w:r w:rsidR="00532B34">
        <w:t>continued</w:t>
      </w:r>
      <w:r w:rsidR="00611CBC">
        <w:t xml:space="preserve"> to judgment</w:t>
      </w:r>
      <w:r w:rsidR="00FB0B11">
        <w:t>.</w:t>
      </w:r>
      <w:r w:rsidR="00695B80">
        <w:t xml:space="preserve"> </w:t>
      </w:r>
      <w:r w:rsidR="00260A7F">
        <w:t xml:space="preserve">It </w:t>
      </w:r>
      <w:r w:rsidR="00695B80">
        <w:t>is not</w:t>
      </w:r>
      <w:r w:rsidR="00F74990">
        <w:t xml:space="preserve"> the Court’s </w:t>
      </w:r>
      <w:r w:rsidR="00695B80">
        <w:t xml:space="preserve">role </w:t>
      </w:r>
      <w:r w:rsidR="00F74990">
        <w:t xml:space="preserve">in a settlement approval application </w:t>
      </w:r>
      <w:r w:rsidR="00695B80">
        <w:t xml:space="preserve">to second guess the decisions or risk appetite of the applicants </w:t>
      </w:r>
      <w:r w:rsidR="00611CBC">
        <w:t xml:space="preserve">or their </w:t>
      </w:r>
      <w:r w:rsidR="00695B80">
        <w:t>lawyers. Different applicants and different lawyers will have different risk settings</w:t>
      </w:r>
      <w:r w:rsidR="00260A7F">
        <w:t xml:space="preserve">, and the question is whether the proposed settlement falls within the range of reasonable </w:t>
      </w:r>
      <w:r w:rsidR="00EB7097">
        <w:t xml:space="preserve">outcomes: </w:t>
      </w:r>
      <w:r w:rsidR="00EB7097" w:rsidRPr="00AC782C">
        <w:rPr>
          <w:b/>
          <w:i/>
        </w:rPr>
        <w:t>Kelly</w:t>
      </w:r>
      <w:r w:rsidR="00EB7097" w:rsidRPr="00AC782C">
        <w:rPr>
          <w:i/>
        </w:rPr>
        <w:t xml:space="preserve"> v Willmott Forests Ltd (in liquidation) (No 4) </w:t>
      </w:r>
      <w:r w:rsidR="00EB7097" w:rsidRPr="00AC782C">
        <w:t xml:space="preserve">[2016] FCA 323; 335 ALR 439 </w:t>
      </w:r>
      <w:r w:rsidR="00EB7097">
        <w:t>at [74]</w:t>
      </w:r>
      <w:r w:rsidR="002138F3">
        <w:t>.</w:t>
      </w:r>
      <w:r w:rsidR="00695B80">
        <w:t xml:space="preserve"> Even so,</w:t>
      </w:r>
      <w:r w:rsidR="00532B34">
        <w:t xml:space="preserve"> it is </w:t>
      </w:r>
      <w:r w:rsidR="00CB14E0">
        <w:t xml:space="preserve">perhaps </w:t>
      </w:r>
      <w:r w:rsidR="00532B34">
        <w:t xml:space="preserve">worth noting </w:t>
      </w:r>
      <w:r w:rsidR="00FB0B11">
        <w:t>that</w:t>
      </w:r>
      <w:r w:rsidR="001F731A">
        <w:t xml:space="preserve"> the </w:t>
      </w:r>
      <w:r w:rsidR="00CB14E0">
        <w:t xml:space="preserve">applicants’ </w:t>
      </w:r>
      <w:r w:rsidR="001F731A">
        <w:t xml:space="preserve">assessment </w:t>
      </w:r>
      <w:r w:rsidR="00CB14E0">
        <w:t>of their prospects of success</w:t>
      </w:r>
      <w:r w:rsidR="005252FC">
        <w:t xml:space="preserve"> had </w:t>
      </w:r>
      <w:r w:rsidR="001F731A">
        <w:t>a sound basis.</w:t>
      </w:r>
      <w:r w:rsidR="0032465C">
        <w:t xml:space="preserve"> Having regard to the materials in the </w:t>
      </w:r>
      <w:r w:rsidR="00CB14E0">
        <w:t xml:space="preserve">approval </w:t>
      </w:r>
      <w:r w:rsidR="0032465C">
        <w:t xml:space="preserve">application, I consider that </w:t>
      </w:r>
      <w:r w:rsidR="00611CBC">
        <w:t xml:space="preserve">their claims </w:t>
      </w:r>
      <w:r w:rsidR="00FB0B11">
        <w:t xml:space="preserve">were likely to </w:t>
      </w:r>
      <w:r w:rsidR="004E10CE">
        <w:t>have failed</w:t>
      </w:r>
      <w:r w:rsidR="00611CBC">
        <w:t xml:space="preserve"> had the trial continued to judgment</w:t>
      </w:r>
      <w:r w:rsidR="004E10CE">
        <w:t xml:space="preserve">. </w:t>
      </w:r>
    </w:p>
    <w:p w14:paraId="321F1250" w14:textId="5743EF60" w:rsidR="00780525" w:rsidRDefault="001D7B98" w:rsidP="001D7B98">
      <w:pPr>
        <w:pStyle w:val="ParaNumbering"/>
        <w:numPr>
          <w:ilvl w:val="0"/>
          <w:numId w:val="0"/>
        </w:numPr>
        <w:tabs>
          <w:tab w:val="left" w:pos="720"/>
        </w:tabs>
        <w:ind w:hanging="720"/>
      </w:pPr>
      <w:r>
        <w:rPr>
          <w:sz w:val="20"/>
        </w:rPr>
        <w:t>10</w:t>
      </w:r>
      <w:r>
        <w:rPr>
          <w:sz w:val="20"/>
        </w:rPr>
        <w:tab/>
      </w:r>
      <w:r w:rsidR="00FB0B11">
        <w:t xml:space="preserve">I </w:t>
      </w:r>
      <w:r w:rsidR="00611CBC">
        <w:t>was</w:t>
      </w:r>
      <w:r w:rsidR="000E5EEA">
        <w:t xml:space="preserve"> </w:t>
      </w:r>
      <w:r w:rsidR="001F731A">
        <w:t xml:space="preserve">satisfied </w:t>
      </w:r>
      <w:r w:rsidR="00FB0B11">
        <w:t xml:space="preserve">that the proposed settlement </w:t>
      </w:r>
      <w:r w:rsidR="00AA3863">
        <w:t xml:space="preserve">fell </w:t>
      </w:r>
      <w:r w:rsidR="00FB0B11">
        <w:t xml:space="preserve">within the range of reasonable outcomes </w:t>
      </w:r>
      <w:r w:rsidR="00611CBC">
        <w:t xml:space="preserve">of </w:t>
      </w:r>
      <w:r w:rsidR="00FB0B11">
        <w:t>the proceeding</w:t>
      </w:r>
      <w:r w:rsidR="00611CBC">
        <w:t xml:space="preserve">, and </w:t>
      </w:r>
      <w:r w:rsidR="00FB0B11">
        <w:t xml:space="preserve">fair and reasonable in the interests of group </w:t>
      </w:r>
      <w:r w:rsidR="004E10CE">
        <w:t xml:space="preserve">members </w:t>
      </w:r>
      <w:r w:rsidR="00FB0B11">
        <w:t>to be bound to it,</w:t>
      </w:r>
      <w:r w:rsidR="004E10CE">
        <w:t xml:space="preserve"> including </w:t>
      </w:r>
      <w:r w:rsidR="00FB0B11">
        <w:t>as between group members</w:t>
      </w:r>
      <w:r w:rsidR="00611CBC">
        <w:t xml:space="preserve">. On </w:t>
      </w:r>
      <w:r w:rsidR="0032465C">
        <w:t>22 November 2023 I made orders to approve the proposed settlement</w:t>
      </w:r>
      <w:r w:rsidR="00FB0B11">
        <w:t>.</w:t>
      </w:r>
      <w:r w:rsidR="004E10CE" w:rsidRPr="004E10CE">
        <w:t xml:space="preserve"> </w:t>
      </w:r>
    </w:p>
    <w:p w14:paraId="4632C2D3" w14:textId="49C9A175" w:rsidR="00F05BD4" w:rsidRDefault="001D7B98" w:rsidP="001D7B98">
      <w:pPr>
        <w:pStyle w:val="ParaNumbering"/>
        <w:numPr>
          <w:ilvl w:val="0"/>
          <w:numId w:val="0"/>
        </w:numPr>
        <w:tabs>
          <w:tab w:val="left" w:pos="720"/>
        </w:tabs>
        <w:ind w:hanging="720"/>
      </w:pPr>
      <w:r>
        <w:rPr>
          <w:sz w:val="20"/>
        </w:rPr>
        <w:t>11</w:t>
      </w:r>
      <w:r>
        <w:rPr>
          <w:sz w:val="20"/>
        </w:rPr>
        <w:tab/>
      </w:r>
      <w:r w:rsidR="00AA3863">
        <w:t xml:space="preserve">But there remained </w:t>
      </w:r>
      <w:r w:rsidR="00BC08A7">
        <w:t>a question</w:t>
      </w:r>
      <w:r w:rsidR="00FB0B11">
        <w:t xml:space="preserve"> as to</w:t>
      </w:r>
      <w:r w:rsidR="001F731A">
        <w:t xml:space="preserve"> the </w:t>
      </w:r>
      <w:r w:rsidR="00C52C43">
        <w:t xml:space="preserve">reasonableness of </w:t>
      </w:r>
      <w:r w:rsidR="00BF1C70">
        <w:t>Levitt Robinson’s</w:t>
      </w:r>
      <w:r w:rsidR="001F731A">
        <w:t xml:space="preserve"> legal costs</w:t>
      </w:r>
      <w:r w:rsidR="00B67F0C">
        <w:t xml:space="preserve"> </w:t>
      </w:r>
      <w:r w:rsidR="001F731A">
        <w:t>and</w:t>
      </w:r>
      <w:r w:rsidR="00B67F0C">
        <w:t xml:space="preserve"> </w:t>
      </w:r>
      <w:r w:rsidR="00AA3863">
        <w:t xml:space="preserve">of </w:t>
      </w:r>
      <w:r w:rsidR="00B67F0C">
        <w:t xml:space="preserve">Galactic’s </w:t>
      </w:r>
      <w:r w:rsidR="001F731A">
        <w:t>litigation funding charges</w:t>
      </w:r>
      <w:r w:rsidR="00BF1C70">
        <w:t xml:space="preserve">. </w:t>
      </w:r>
      <w:r w:rsidR="00231D53">
        <w:t xml:space="preserve">The Court must decide </w:t>
      </w:r>
      <w:r w:rsidR="00696ED6">
        <w:t>whether</w:t>
      </w:r>
      <w:r w:rsidR="00FB0B11">
        <w:t xml:space="preserve"> it</w:t>
      </w:r>
      <w:r w:rsidR="00B67F0C">
        <w:t xml:space="preserve"> is </w:t>
      </w:r>
      <w:r w:rsidR="00FB0B11">
        <w:t>‘just’ under s 33</w:t>
      </w:r>
      <w:proofErr w:type="gramStart"/>
      <w:r w:rsidR="00FB0B11">
        <w:t>V(</w:t>
      </w:r>
      <w:proofErr w:type="gramEnd"/>
      <w:r w:rsidR="00FB0B11">
        <w:t>2) of the Act to</w:t>
      </w:r>
      <w:r w:rsidR="001D1BCF">
        <w:t xml:space="preserve"> approve </w:t>
      </w:r>
      <w:r w:rsidR="00BC08A7">
        <w:t>the</w:t>
      </w:r>
      <w:r w:rsidR="00F56BC9">
        <w:t xml:space="preserve"> payment </w:t>
      </w:r>
      <w:r w:rsidR="00BC08A7">
        <w:t>of those amounts from the settlement</w:t>
      </w:r>
      <w:r w:rsidR="00780525">
        <w:t xml:space="preserve"> fund.</w:t>
      </w:r>
    </w:p>
    <w:p w14:paraId="672354DA" w14:textId="3CC76DBC" w:rsidR="00F05BD4" w:rsidRDefault="001D7B98" w:rsidP="001D7B98">
      <w:pPr>
        <w:pStyle w:val="ParaNumbering"/>
        <w:numPr>
          <w:ilvl w:val="0"/>
          <w:numId w:val="0"/>
        </w:numPr>
        <w:tabs>
          <w:tab w:val="left" w:pos="720"/>
        </w:tabs>
        <w:ind w:hanging="720"/>
      </w:pPr>
      <w:r>
        <w:rPr>
          <w:sz w:val="20"/>
        </w:rPr>
        <w:t>12</w:t>
      </w:r>
      <w:r>
        <w:rPr>
          <w:sz w:val="20"/>
        </w:rPr>
        <w:tab/>
      </w:r>
      <w:r w:rsidR="00F05BD4">
        <w:t xml:space="preserve">Class actions are intended to be conducted for the benefit of the applicants and group members rather than for service providers such as lawyers and funders and the legal costs </w:t>
      </w:r>
      <w:r w:rsidR="00AC2E2D">
        <w:t xml:space="preserve">and litigation funding charges </w:t>
      </w:r>
      <w:r w:rsidR="00F05BD4">
        <w:t xml:space="preserve">should be both reasonable and proportionate: </w:t>
      </w:r>
      <w:proofErr w:type="spellStart"/>
      <w:r w:rsidR="00F05BD4" w:rsidRPr="00F70777">
        <w:rPr>
          <w:i/>
        </w:rPr>
        <w:t>Caason</w:t>
      </w:r>
      <w:proofErr w:type="spellEnd"/>
      <w:r w:rsidR="00F05BD4" w:rsidRPr="00AC782C">
        <w:rPr>
          <w:i/>
        </w:rPr>
        <w:t xml:space="preserve"> Investments Pty Limited v Cao (No 2)</w:t>
      </w:r>
      <w:r w:rsidR="00F05BD4" w:rsidRPr="00AC782C">
        <w:t xml:space="preserve"> [2018] FCA 527 </w:t>
      </w:r>
      <w:r w:rsidR="00F05BD4">
        <w:t>at [148]. The Court</w:t>
      </w:r>
      <w:r w:rsidR="00F05BD4" w:rsidRPr="00F05BD4">
        <w:t xml:space="preserve"> </w:t>
      </w:r>
      <w:r w:rsidR="00F05BD4">
        <w:t xml:space="preserve">has a supervisory role in relation to the legal costs </w:t>
      </w:r>
      <w:r w:rsidR="00AA3863">
        <w:t xml:space="preserve">and litigation funding charges </w:t>
      </w:r>
      <w:r w:rsidR="00F05BD4">
        <w:t>proposed to be deducted from a settlement, and it is appropriate to scrutinise those costs as part of the settlement approval process:</w:t>
      </w:r>
      <w:r w:rsidR="00F05BD4" w:rsidRPr="00F05BD4">
        <w:rPr>
          <w:b/>
          <w:bCs/>
          <w:i/>
          <w:iCs/>
          <w:lang w:val="en"/>
        </w:rPr>
        <w:t xml:space="preserve"> </w:t>
      </w:r>
      <w:r w:rsidR="00F05BD4" w:rsidRPr="00F70777">
        <w:rPr>
          <w:i/>
          <w:lang w:val="en"/>
        </w:rPr>
        <w:t>Kelly</w:t>
      </w:r>
      <w:r w:rsidR="00F05BD4" w:rsidRPr="00F05BD4">
        <w:rPr>
          <w:i/>
          <w:iCs/>
          <w:lang w:val="en"/>
        </w:rPr>
        <w:t xml:space="preserve"> </w:t>
      </w:r>
      <w:r w:rsidR="00F05BD4">
        <w:t xml:space="preserve">at [11], [333] and [346]; </w:t>
      </w:r>
      <w:proofErr w:type="spellStart"/>
      <w:r w:rsidR="00F05BD4" w:rsidRPr="00F70777">
        <w:rPr>
          <w:i/>
          <w:lang w:val="en"/>
        </w:rPr>
        <w:t>Earglow</w:t>
      </w:r>
      <w:proofErr w:type="spellEnd"/>
      <w:r w:rsidR="00F05BD4" w:rsidRPr="00F70777">
        <w:rPr>
          <w:i/>
          <w:lang w:val="en"/>
        </w:rPr>
        <w:t xml:space="preserve"> </w:t>
      </w:r>
      <w:r w:rsidR="00F05BD4" w:rsidRPr="00AC782C">
        <w:rPr>
          <w:i/>
          <w:lang w:val="en"/>
        </w:rPr>
        <w:t>Pty Ltd v Newcrest Mining Ltd</w:t>
      </w:r>
      <w:r w:rsidR="00F05BD4" w:rsidRPr="00AC782C">
        <w:rPr>
          <w:lang w:val="en"/>
        </w:rPr>
        <w:t xml:space="preserve"> [2016] FCA 1433</w:t>
      </w:r>
      <w:r w:rsidR="00F05BD4" w:rsidRPr="00F05BD4">
        <w:rPr>
          <w:lang w:val="en"/>
        </w:rPr>
        <w:t xml:space="preserve"> </w:t>
      </w:r>
      <w:r w:rsidR="00F05BD4">
        <w:t>at [91].</w:t>
      </w:r>
    </w:p>
    <w:p w14:paraId="3C347556" w14:textId="4F70FDDA" w:rsidR="00F055CB" w:rsidRDefault="001D7B98" w:rsidP="001D7B98">
      <w:pPr>
        <w:pStyle w:val="ParaNumbering"/>
        <w:numPr>
          <w:ilvl w:val="0"/>
          <w:numId w:val="0"/>
        </w:numPr>
        <w:tabs>
          <w:tab w:val="left" w:pos="720"/>
        </w:tabs>
        <w:ind w:hanging="720"/>
      </w:pPr>
      <w:r>
        <w:rPr>
          <w:sz w:val="20"/>
        </w:rPr>
        <w:t>13</w:t>
      </w:r>
      <w:r>
        <w:rPr>
          <w:sz w:val="20"/>
        </w:rPr>
        <w:tab/>
      </w:r>
      <w:r w:rsidR="00C668D4">
        <w:t>In order to</w:t>
      </w:r>
      <w:r w:rsidR="006F40C6">
        <w:t xml:space="preserve"> best protect the </w:t>
      </w:r>
      <w:r w:rsidR="00AA3863">
        <w:t xml:space="preserve">group members’ </w:t>
      </w:r>
      <w:r w:rsidR="006F40C6">
        <w:t xml:space="preserve">interests </w:t>
      </w:r>
      <w:r w:rsidR="00AA3863">
        <w:t xml:space="preserve">I made orders </w:t>
      </w:r>
      <w:r w:rsidR="00215E0A">
        <w:t xml:space="preserve">on </w:t>
      </w:r>
      <w:r w:rsidR="00F56BC9">
        <w:t>8 June</w:t>
      </w:r>
      <w:r w:rsidR="00215E0A">
        <w:t xml:space="preserve"> 2023 to</w:t>
      </w:r>
      <w:r w:rsidR="000E6559" w:rsidRPr="000E6559">
        <w:t xml:space="preserve"> </w:t>
      </w:r>
      <w:r w:rsidR="000E6559">
        <w:t>appoint</w:t>
      </w:r>
      <w:r w:rsidR="00F055CB">
        <w:t>:</w:t>
      </w:r>
    </w:p>
    <w:p w14:paraId="26BE97FF" w14:textId="6BB30FC6" w:rsidR="00C668D4" w:rsidRDefault="001D7B98" w:rsidP="001D7B98">
      <w:pPr>
        <w:pStyle w:val="ListNo1alt"/>
        <w:numPr>
          <w:ilvl w:val="0"/>
          <w:numId w:val="0"/>
        </w:numPr>
        <w:tabs>
          <w:tab w:val="left" w:pos="720"/>
        </w:tabs>
        <w:ind w:left="720" w:hanging="720"/>
      </w:pPr>
      <w:r>
        <w:lastRenderedPageBreak/>
        <w:t>(a)</w:t>
      </w:r>
      <w:r>
        <w:tab/>
      </w:r>
      <w:r w:rsidR="005B7D3A">
        <w:t>Elizabeth Harris, an experienced legal costs consultant, as a referee pursuant to s 54A of the Act (</w:t>
      </w:r>
      <w:r w:rsidR="00AA3863">
        <w:t xml:space="preserve">the </w:t>
      </w:r>
      <w:r w:rsidR="005B7D3A" w:rsidRPr="00B94D2D">
        <w:rPr>
          <w:b/>
          <w:bCs/>
        </w:rPr>
        <w:t>Costs Referee</w:t>
      </w:r>
      <w:r w:rsidR="005B7D3A">
        <w:t xml:space="preserve">) to inquire and report in relation to the reasonableness of the applicants’ legal costs </w:t>
      </w:r>
      <w:r w:rsidR="005B7D3A" w:rsidRPr="00D3560A">
        <w:t xml:space="preserve">for work done up to the hearing of the settlement approval application, including costs anticipated </w:t>
      </w:r>
      <w:proofErr w:type="gramStart"/>
      <w:r w:rsidR="005B7D3A" w:rsidRPr="00D3560A">
        <w:t>but yet</w:t>
      </w:r>
      <w:proofErr w:type="gramEnd"/>
      <w:r w:rsidR="005B7D3A" w:rsidRPr="00D3560A">
        <w:t xml:space="preserve"> to be incurred as at the date of</w:t>
      </w:r>
      <w:r w:rsidR="005B7D3A">
        <w:t xml:space="preserve"> her report.</w:t>
      </w:r>
      <w:r w:rsidR="005B7D3A" w:rsidRPr="005B7D3A">
        <w:t xml:space="preserve"> </w:t>
      </w:r>
      <w:r w:rsidR="005B7D3A">
        <w:t xml:space="preserve">The Costs Referee concluded that the reasonable legal costs incurred by Levitt Robinson up to the date settlement was reached were not $11 million as </w:t>
      </w:r>
      <w:r w:rsidR="00AA3863">
        <w:t xml:space="preserve">Levitt Robinson initially </w:t>
      </w:r>
      <w:r w:rsidR="005B7D3A">
        <w:t xml:space="preserve">claimed, but instead </w:t>
      </w:r>
      <w:r w:rsidR="009D0AC5">
        <w:t>$9,664,594</w:t>
      </w:r>
      <w:r w:rsidR="00AA3863">
        <w:t xml:space="preserve">. That represented </w:t>
      </w:r>
      <w:r w:rsidR="005B7D3A">
        <w:t>a reduction of $1</w:t>
      </w:r>
      <w:r w:rsidR="00AE70D7">
        <w:t>,</w:t>
      </w:r>
      <w:r w:rsidR="0033092F">
        <w:t>334</w:t>
      </w:r>
      <w:r w:rsidR="00AE70D7">
        <w:t>,</w:t>
      </w:r>
      <w:r w:rsidR="0033092F">
        <w:t>96</w:t>
      </w:r>
      <w:r w:rsidR="00D61F30">
        <w:t>4</w:t>
      </w:r>
      <w:r w:rsidR="00773605" w:rsidDel="00AE70D7">
        <w:t xml:space="preserve"> </w:t>
      </w:r>
      <w:r w:rsidR="00773605">
        <w:t xml:space="preserve">(the </w:t>
      </w:r>
      <w:r w:rsidR="00B63A61" w:rsidRPr="00B63A61">
        <w:rPr>
          <w:b/>
          <w:bCs/>
        </w:rPr>
        <w:t>Disallowed Costs</w:t>
      </w:r>
      <w:r w:rsidR="005B7D3A">
        <w:t>).</w:t>
      </w:r>
      <w:r w:rsidR="00CA1C21">
        <w:t xml:space="preserve"> Neither </w:t>
      </w:r>
      <w:r w:rsidR="005B7D3A">
        <w:t xml:space="preserve">the applicants, Levitt Robinson </w:t>
      </w:r>
      <w:r w:rsidR="00CA1C21">
        <w:t>n</w:t>
      </w:r>
      <w:r w:rsidR="005B7D3A">
        <w:t>or Galactic opposed adoption of the Costs Referee’s</w:t>
      </w:r>
      <w:r w:rsidR="00CA1C21">
        <w:t xml:space="preserve"> reports, and </w:t>
      </w:r>
      <w:r w:rsidR="005B7D3A">
        <w:t>I concluded that it was appropriate to</w:t>
      </w:r>
      <w:r w:rsidR="0042301E">
        <w:t xml:space="preserve"> adopt the reports</w:t>
      </w:r>
      <w:r w:rsidR="00F055CB">
        <w:t xml:space="preserve"> and disallow those costs; and</w:t>
      </w:r>
    </w:p>
    <w:p w14:paraId="0346ED33" w14:textId="003AD2BB" w:rsidR="00F055CB" w:rsidRDefault="001D7B98" w:rsidP="001D7B98">
      <w:pPr>
        <w:pStyle w:val="ListNo1alt"/>
        <w:numPr>
          <w:ilvl w:val="0"/>
          <w:numId w:val="0"/>
        </w:numPr>
        <w:tabs>
          <w:tab w:val="left" w:pos="720"/>
        </w:tabs>
        <w:ind w:left="720" w:hanging="720"/>
      </w:pPr>
      <w:r>
        <w:t>(b)</w:t>
      </w:r>
      <w:r>
        <w:tab/>
      </w:r>
      <w:r w:rsidR="00043652">
        <w:t xml:space="preserve">Lachlan Armstrong KC and Kane Loxley of counsel as contradictor </w:t>
      </w:r>
      <w:r w:rsidR="004A08DF">
        <w:t>(</w:t>
      </w:r>
      <w:r w:rsidR="004A08DF" w:rsidRPr="005B7D3A">
        <w:rPr>
          <w:b/>
          <w:bCs/>
        </w:rPr>
        <w:t>Contradictor</w:t>
      </w:r>
      <w:r w:rsidR="004A08DF">
        <w:t>)</w:t>
      </w:r>
      <w:r w:rsidR="00215E0A">
        <w:t xml:space="preserve">, </w:t>
      </w:r>
      <w:r w:rsidR="004A08DF" w:rsidRPr="00D3560A">
        <w:t>to assist the Court to perform its judicial function</w:t>
      </w:r>
      <w:r w:rsidR="004A08DF">
        <w:t xml:space="preserve"> by representing </w:t>
      </w:r>
      <w:r w:rsidR="00215E0A">
        <w:t>group members</w:t>
      </w:r>
      <w:r w:rsidR="004A08DF">
        <w:t>’ interests</w:t>
      </w:r>
      <w:r w:rsidR="00215E0A">
        <w:t xml:space="preserve"> </w:t>
      </w:r>
      <w:r w:rsidR="004A08DF">
        <w:t>in the settlement approval application</w:t>
      </w:r>
      <w:r w:rsidR="001F710D">
        <w:t>.</w:t>
      </w:r>
      <w:r w:rsidR="00215E0A" w:rsidRPr="00215E0A">
        <w:t xml:space="preserve"> </w:t>
      </w:r>
      <w:r w:rsidR="002A445B">
        <w:t xml:space="preserve">The </w:t>
      </w:r>
      <w:r w:rsidR="000A5977">
        <w:t xml:space="preserve">Contradictor submitted that </w:t>
      </w:r>
      <w:r w:rsidR="00B63A61">
        <w:t xml:space="preserve">after taking account of the Disallowed Costs, </w:t>
      </w:r>
      <w:r w:rsidR="006B3AE3">
        <w:t xml:space="preserve">the </w:t>
      </w:r>
      <w:r w:rsidR="00EF68B7">
        <w:t>Court should</w:t>
      </w:r>
      <w:r w:rsidR="00B63A61">
        <w:t xml:space="preserve"> further reduce </w:t>
      </w:r>
      <w:r w:rsidR="00EF68B7">
        <w:t xml:space="preserve">Levitt Robinson’s </w:t>
      </w:r>
      <w:r w:rsidR="00B63A61">
        <w:t xml:space="preserve">approved </w:t>
      </w:r>
      <w:r w:rsidR="006B3AE3">
        <w:t xml:space="preserve">costs </w:t>
      </w:r>
      <w:r w:rsidR="00B63A61">
        <w:t xml:space="preserve">by </w:t>
      </w:r>
      <w:r w:rsidR="00B63A61" w:rsidRPr="00A638D6">
        <w:t>$1</w:t>
      </w:r>
      <w:r w:rsidR="00F117B6" w:rsidRPr="00A638D6">
        <w:t>,</w:t>
      </w:r>
      <w:r w:rsidR="008452A9" w:rsidRPr="00A638D6">
        <w:t>1</w:t>
      </w:r>
      <w:r w:rsidR="00B63A61" w:rsidRPr="00A638D6">
        <w:t>41</w:t>
      </w:r>
      <w:r w:rsidR="00005E7A" w:rsidRPr="00A638D6">
        <w:t>,</w:t>
      </w:r>
      <w:r w:rsidR="00266982" w:rsidRPr="00A638D6">
        <w:t>078</w:t>
      </w:r>
      <w:r w:rsidR="00741245" w:rsidDel="000E6559">
        <w:t xml:space="preserve"> </w:t>
      </w:r>
      <w:r w:rsidR="00741245">
        <w:t xml:space="preserve">which </w:t>
      </w:r>
      <w:r w:rsidR="003B431B">
        <w:t>the Contradictor submitted resulted</w:t>
      </w:r>
      <w:r w:rsidR="00741245">
        <w:t xml:space="preserve"> from </w:t>
      </w:r>
      <w:r w:rsidR="003B431B">
        <w:t xml:space="preserve">Levitt Robinson’s </w:t>
      </w:r>
      <w:r w:rsidR="000E6559">
        <w:t xml:space="preserve">lack of expedition and </w:t>
      </w:r>
      <w:r w:rsidR="00741245">
        <w:t xml:space="preserve">serious inefficiency </w:t>
      </w:r>
      <w:r w:rsidR="000E6559">
        <w:t xml:space="preserve">(the </w:t>
      </w:r>
      <w:r w:rsidR="000E6559" w:rsidRPr="00741245">
        <w:rPr>
          <w:b/>
          <w:bCs/>
        </w:rPr>
        <w:t>Avoidable Costs</w:t>
      </w:r>
      <w:r w:rsidR="000E6559">
        <w:t>)</w:t>
      </w:r>
      <w:r w:rsidR="00741245">
        <w:t xml:space="preserve">. </w:t>
      </w:r>
    </w:p>
    <w:p w14:paraId="54623EC2" w14:textId="13895D4D" w:rsidR="00610DA9" w:rsidRDefault="00437D8F" w:rsidP="00F9141A">
      <w:pPr>
        <w:pStyle w:val="NoNum"/>
      </w:pPr>
      <w:r>
        <w:t>If</w:t>
      </w:r>
      <w:r w:rsidR="00BF6A3E">
        <w:t xml:space="preserve"> </w:t>
      </w:r>
      <w:r w:rsidR="000E6559">
        <w:t xml:space="preserve">both </w:t>
      </w:r>
      <w:r w:rsidR="00741245">
        <w:t xml:space="preserve">the Disallowed Costs and the Avoidable Costs </w:t>
      </w:r>
      <w:r w:rsidR="003F586B">
        <w:t xml:space="preserve">are </w:t>
      </w:r>
      <w:proofErr w:type="gramStart"/>
      <w:r w:rsidR="003F586B">
        <w:t>taken into account</w:t>
      </w:r>
      <w:proofErr w:type="gramEnd"/>
      <w:r w:rsidR="003F586B">
        <w:t xml:space="preserve"> </w:t>
      </w:r>
      <w:r w:rsidR="00EE59BC">
        <w:t xml:space="preserve">Levitt Robinson’s reasonable legal costs </w:t>
      </w:r>
      <w:r w:rsidR="000E6559">
        <w:t>will</w:t>
      </w:r>
      <w:r w:rsidR="00BF6A3E">
        <w:t xml:space="preserve"> </w:t>
      </w:r>
      <w:r w:rsidR="003B431B">
        <w:t xml:space="preserve">be reduced </w:t>
      </w:r>
      <w:r w:rsidR="000E6559">
        <w:t xml:space="preserve">by </w:t>
      </w:r>
      <w:r w:rsidR="00E77C71">
        <w:t>$2,47</w:t>
      </w:r>
      <w:r w:rsidR="00F744AE">
        <w:t>6</w:t>
      </w:r>
      <w:r w:rsidR="00917948">
        <w:t>,042</w:t>
      </w:r>
      <w:r w:rsidR="00F744AE">
        <w:t xml:space="preserve">, </w:t>
      </w:r>
      <w:r w:rsidR="003B431B">
        <w:t xml:space="preserve">to a </w:t>
      </w:r>
      <w:r w:rsidR="00EE59BC">
        <w:t xml:space="preserve">total </w:t>
      </w:r>
      <w:r w:rsidR="00610DA9">
        <w:t>$8</w:t>
      </w:r>
      <w:r w:rsidR="003F586B">
        <w:t>,</w:t>
      </w:r>
      <w:r w:rsidR="00886027">
        <w:t>523,516</w:t>
      </w:r>
      <w:r w:rsidR="00610DA9">
        <w:t>.</w:t>
      </w:r>
    </w:p>
    <w:p w14:paraId="6DF6B954" w14:textId="00420808" w:rsidR="00224805" w:rsidRDefault="001D7B98" w:rsidP="001D7B98">
      <w:pPr>
        <w:pStyle w:val="ParaNumbering"/>
        <w:numPr>
          <w:ilvl w:val="0"/>
          <w:numId w:val="0"/>
        </w:numPr>
        <w:tabs>
          <w:tab w:val="left" w:pos="720"/>
        </w:tabs>
        <w:ind w:hanging="720"/>
      </w:pPr>
      <w:r>
        <w:rPr>
          <w:sz w:val="20"/>
        </w:rPr>
        <w:t>14</w:t>
      </w:r>
      <w:r>
        <w:rPr>
          <w:sz w:val="20"/>
        </w:rPr>
        <w:tab/>
      </w:r>
      <w:r w:rsidR="00BC1583">
        <w:t>T</w:t>
      </w:r>
      <w:r w:rsidR="000628A5">
        <w:t xml:space="preserve">he </w:t>
      </w:r>
      <w:r w:rsidR="00746F0C">
        <w:t>Contradictor contended that</w:t>
      </w:r>
      <w:r w:rsidR="003408EB">
        <w:t xml:space="preserve"> Levitt Robinson </w:t>
      </w:r>
      <w:r w:rsidR="00203B3C">
        <w:t>failed</w:t>
      </w:r>
      <w:r w:rsidR="003408EB">
        <w:t xml:space="preserve"> to </w:t>
      </w:r>
      <w:r w:rsidR="00203B3C">
        <w:t xml:space="preserve">act with </w:t>
      </w:r>
      <w:r w:rsidR="00A6039D">
        <w:t xml:space="preserve">due </w:t>
      </w:r>
      <w:r w:rsidR="00203B3C">
        <w:t xml:space="preserve">expedition </w:t>
      </w:r>
      <w:r w:rsidR="00A6039D">
        <w:t xml:space="preserve">and efficiency </w:t>
      </w:r>
      <w:r w:rsidR="00203B3C">
        <w:t>by</w:t>
      </w:r>
      <w:r w:rsidR="00746F0C">
        <w:t xml:space="preserve"> failing to serve the </w:t>
      </w:r>
      <w:r w:rsidR="003408EB">
        <w:t>applicants’ expert evidence</w:t>
      </w:r>
      <w:r w:rsidR="00746F0C">
        <w:t xml:space="preserve"> in accordance</w:t>
      </w:r>
      <w:r w:rsidR="004C00AF">
        <w:t xml:space="preserve"> with the </w:t>
      </w:r>
      <w:r w:rsidR="00B965EF">
        <w:t>Court ordered pre-</w:t>
      </w:r>
      <w:r w:rsidR="00682D80">
        <w:t>trial</w:t>
      </w:r>
      <w:r w:rsidR="00B965EF">
        <w:t xml:space="preserve"> timetable.</w:t>
      </w:r>
      <w:r w:rsidR="003676E0">
        <w:t xml:space="preserve"> On the Contradictor’s argument, </w:t>
      </w:r>
      <w:r w:rsidR="00682D80">
        <w:t>had Levitt Robinson complied with the pre-trial timetable</w:t>
      </w:r>
      <w:r w:rsidR="00D94466">
        <w:t xml:space="preserve"> in relation to the service of its expert evidence</w:t>
      </w:r>
      <w:r w:rsidR="00D6071A">
        <w:t xml:space="preserve"> the applicants </w:t>
      </w:r>
      <w:r w:rsidR="00682D80">
        <w:t xml:space="preserve">would have had </w:t>
      </w:r>
      <w:r w:rsidR="005252FC">
        <w:t xml:space="preserve">Aveo’s </w:t>
      </w:r>
      <w:r w:rsidR="00682D80">
        <w:t>expert reports</w:t>
      </w:r>
      <w:r w:rsidR="00D6071A">
        <w:t xml:space="preserve"> by </w:t>
      </w:r>
      <w:r w:rsidR="00D94466">
        <w:t xml:space="preserve">late </w:t>
      </w:r>
      <w:r w:rsidR="00BE341A">
        <w:t>November</w:t>
      </w:r>
      <w:r w:rsidR="00D94466">
        <w:t xml:space="preserve">/early </w:t>
      </w:r>
      <w:r w:rsidR="00BE341A">
        <w:t>December 2022</w:t>
      </w:r>
      <w:r w:rsidR="009729D4">
        <w:t xml:space="preserve">; </w:t>
      </w:r>
      <w:r w:rsidR="003676E0">
        <w:t>because of Levitt Robinson’s late service of its expert reports it did not receive Aveo’s expert reports until</w:t>
      </w:r>
      <w:r w:rsidR="00B366ED">
        <w:t xml:space="preserve"> the eve of </w:t>
      </w:r>
      <w:r w:rsidR="003676E0">
        <w:t xml:space="preserve">trial; </w:t>
      </w:r>
      <w:r w:rsidR="009729D4">
        <w:t xml:space="preserve">that the </w:t>
      </w:r>
      <w:r w:rsidR="003676E0">
        <w:t xml:space="preserve">parties’ </w:t>
      </w:r>
      <w:r w:rsidR="009729D4">
        <w:t>expert evidence was pivotal to achieving a settlement</w:t>
      </w:r>
      <w:r w:rsidR="001F1E0B">
        <w:t xml:space="preserve"> and </w:t>
      </w:r>
      <w:r w:rsidR="00A6039D">
        <w:t xml:space="preserve">that </w:t>
      </w:r>
      <w:r w:rsidR="002D6CDB">
        <w:t xml:space="preserve">the case would most likely have settled at a </w:t>
      </w:r>
      <w:r w:rsidR="001F1E0B">
        <w:t>mediation in December 2022</w:t>
      </w:r>
      <w:r w:rsidR="009729D4">
        <w:t xml:space="preserve"> had the expert evidence been on</w:t>
      </w:r>
      <w:r w:rsidR="005A094A">
        <w:t xml:space="preserve">; and </w:t>
      </w:r>
      <w:r w:rsidR="009729D4">
        <w:t>because the</w:t>
      </w:r>
      <w:r w:rsidR="002A2966">
        <w:t xml:space="preserve"> parties did not have their expert evidence</w:t>
      </w:r>
      <w:r w:rsidR="00B3598C">
        <w:t>,</w:t>
      </w:r>
      <w:r w:rsidR="002A2966">
        <w:t xml:space="preserve"> the case did not settle at the mediation and Levitt Robinson</w:t>
      </w:r>
      <w:r w:rsidR="000628A5">
        <w:t xml:space="preserve"> </w:t>
      </w:r>
      <w:r w:rsidR="002A2966">
        <w:t>ran up $1.141 million in</w:t>
      </w:r>
      <w:r w:rsidR="005F00B4">
        <w:t xml:space="preserve"> costs </w:t>
      </w:r>
      <w:r w:rsidR="002A2966">
        <w:t>in the period</w:t>
      </w:r>
      <w:r w:rsidR="000628A5">
        <w:t xml:space="preserve"> </w:t>
      </w:r>
      <w:r w:rsidR="00682D80">
        <w:t>immediately prior to trial</w:t>
      </w:r>
      <w:r w:rsidR="005A094A">
        <w:t xml:space="preserve"> which </w:t>
      </w:r>
      <w:r w:rsidR="00682D80">
        <w:t>would have been avoided</w:t>
      </w:r>
      <w:r w:rsidR="00203B3C">
        <w:t xml:space="preserve"> </w:t>
      </w:r>
      <w:r w:rsidR="00E40A2D">
        <w:t xml:space="preserve">had </w:t>
      </w:r>
      <w:r w:rsidR="00203B3C">
        <w:t>the firm complied with</w:t>
      </w:r>
      <w:r w:rsidR="00E40A2D">
        <w:t xml:space="preserve"> its</w:t>
      </w:r>
      <w:r w:rsidR="000628A5">
        <w:t xml:space="preserve"> </w:t>
      </w:r>
      <w:r w:rsidR="00203B3C">
        <w:t>professional obligations.</w:t>
      </w:r>
    </w:p>
    <w:p w14:paraId="626ED334" w14:textId="5D50CFD5" w:rsidR="00837D3F" w:rsidRDefault="001D7B98" w:rsidP="001D7B98">
      <w:pPr>
        <w:pStyle w:val="ParaNumbering"/>
        <w:numPr>
          <w:ilvl w:val="0"/>
          <w:numId w:val="0"/>
        </w:numPr>
        <w:tabs>
          <w:tab w:val="left" w:pos="720"/>
        </w:tabs>
        <w:ind w:hanging="720"/>
      </w:pPr>
      <w:r>
        <w:rPr>
          <w:sz w:val="20"/>
        </w:rPr>
        <w:lastRenderedPageBreak/>
        <w:t>15</w:t>
      </w:r>
      <w:r>
        <w:rPr>
          <w:sz w:val="20"/>
        </w:rPr>
        <w:tab/>
      </w:r>
      <w:r w:rsidR="00BD2BFD">
        <w:t xml:space="preserve">Levitt Robinson denied any serious </w:t>
      </w:r>
      <w:r w:rsidR="00203B3C">
        <w:t xml:space="preserve">lack of expedition, </w:t>
      </w:r>
      <w:proofErr w:type="gramStart"/>
      <w:r w:rsidR="00BD2BFD">
        <w:t>inefficiency</w:t>
      </w:r>
      <w:proofErr w:type="gramEnd"/>
      <w:r w:rsidR="00BD2BFD">
        <w:t xml:space="preserve"> or delay, and </w:t>
      </w:r>
      <w:r w:rsidR="00203B3C">
        <w:t>said</w:t>
      </w:r>
      <w:r w:rsidR="00BD2BFD">
        <w:t xml:space="preserve"> that any </w:t>
      </w:r>
      <w:r w:rsidR="00203B3C">
        <w:t>failure</w:t>
      </w:r>
      <w:r w:rsidR="00BD2BFD">
        <w:t xml:space="preserve"> on its part that </w:t>
      </w:r>
      <w:r w:rsidR="00203B3C">
        <w:t>was</w:t>
      </w:r>
      <w:r w:rsidR="00BD2BFD">
        <w:t xml:space="preserve"> found to exist</w:t>
      </w:r>
      <w:r w:rsidR="00203B3C">
        <w:t xml:space="preserve"> did not cause the Avoidable Costs</w:t>
      </w:r>
      <w:r w:rsidR="00BD2BFD">
        <w:t>. It said</w:t>
      </w:r>
      <w:r w:rsidR="00203B3C">
        <w:t>, and I accept,</w:t>
      </w:r>
      <w:r w:rsidR="00BD2BFD">
        <w:t xml:space="preserve"> that the Court should be cautious before </w:t>
      </w:r>
      <w:r w:rsidR="008D18CB">
        <w:t>requiring</w:t>
      </w:r>
      <w:r w:rsidR="004D2C2B">
        <w:t xml:space="preserve"> </w:t>
      </w:r>
      <w:r w:rsidR="006B61A5">
        <w:t>the firm</w:t>
      </w:r>
      <w:r w:rsidR="002F6419">
        <w:t xml:space="preserve"> to write off substantial costs when there is no suggestion that they were incurred other than in an honest endeavour to </w:t>
      </w:r>
      <w:r w:rsidR="00F514EE">
        <w:t>prosecute</w:t>
      </w:r>
      <w:r w:rsidR="009C465C">
        <w:t xml:space="preserve"> the applicants</w:t>
      </w:r>
      <w:r w:rsidR="00CE1E02">
        <w:t>’</w:t>
      </w:r>
      <w:r w:rsidR="009C465C">
        <w:t xml:space="preserve"> and group members’ </w:t>
      </w:r>
      <w:r w:rsidR="00F514EE">
        <w:t>claims</w:t>
      </w:r>
      <w:r w:rsidR="009C465C">
        <w:t xml:space="preserve">. </w:t>
      </w:r>
      <w:r w:rsidR="00BD2BFD">
        <w:t xml:space="preserve"> </w:t>
      </w:r>
      <w:r w:rsidR="00B563E8">
        <w:t xml:space="preserve">This was a large and complex </w:t>
      </w:r>
      <w:proofErr w:type="gramStart"/>
      <w:r w:rsidR="00B563E8">
        <w:t>case</w:t>
      </w:r>
      <w:proofErr w:type="gramEnd"/>
      <w:r w:rsidR="00837D3F">
        <w:t xml:space="preserve"> and </w:t>
      </w:r>
      <w:r w:rsidR="00847DCA">
        <w:t xml:space="preserve">it is appropriate to be </w:t>
      </w:r>
      <w:r w:rsidR="00837D3F">
        <w:t>cautious before</w:t>
      </w:r>
      <w:r w:rsidR="0048458B">
        <w:t xml:space="preserve"> reaching a conclusion</w:t>
      </w:r>
      <w:r w:rsidR="00837D3F">
        <w:t>,</w:t>
      </w:r>
      <w:r w:rsidR="0015361B">
        <w:t xml:space="preserve"> </w:t>
      </w:r>
      <w:r w:rsidR="007E4375">
        <w:t xml:space="preserve">several </w:t>
      </w:r>
      <w:r w:rsidR="0015361B">
        <w:t xml:space="preserve">years </w:t>
      </w:r>
      <w:r w:rsidR="00837D3F">
        <w:t>later</w:t>
      </w:r>
      <w:r w:rsidR="0048458B">
        <w:t>,</w:t>
      </w:r>
      <w:r w:rsidR="0015361B">
        <w:t xml:space="preserve"> well removed from the heat of battle, </w:t>
      </w:r>
      <w:r w:rsidR="0048458B">
        <w:t>and</w:t>
      </w:r>
      <w:r w:rsidR="00837D3F">
        <w:t xml:space="preserve"> with the benefit of 20/20 hindsight, as to what could or should have been done by </w:t>
      </w:r>
      <w:r w:rsidR="00203B3C">
        <w:t>Levitt Robinson</w:t>
      </w:r>
      <w:r w:rsidR="00837D3F">
        <w:t>.</w:t>
      </w:r>
      <w:r w:rsidR="00811C40">
        <w:t xml:space="preserve"> </w:t>
      </w:r>
    </w:p>
    <w:p w14:paraId="429F8BD8" w14:textId="1911DCD0" w:rsidR="00F22B43" w:rsidRDefault="001D7B98" w:rsidP="001D7B98">
      <w:pPr>
        <w:pStyle w:val="ParaNumbering"/>
        <w:numPr>
          <w:ilvl w:val="0"/>
          <w:numId w:val="0"/>
        </w:numPr>
        <w:tabs>
          <w:tab w:val="left" w:pos="720"/>
        </w:tabs>
        <w:ind w:hanging="720"/>
      </w:pPr>
      <w:r>
        <w:rPr>
          <w:sz w:val="20"/>
        </w:rPr>
        <w:t>16</w:t>
      </w:r>
      <w:r>
        <w:rPr>
          <w:sz w:val="20"/>
        </w:rPr>
        <w:tab/>
      </w:r>
      <w:r w:rsidR="00DE76EC">
        <w:t>But for the reasons I explain I came to broadly accept the Contradictor’s submissions.</w:t>
      </w:r>
      <w:r w:rsidR="0015361B">
        <w:t xml:space="preserve"> I am persuaded </w:t>
      </w:r>
      <w:r w:rsidR="00DE76EC">
        <w:t xml:space="preserve">that Levitt Robinson </w:t>
      </w:r>
      <w:r w:rsidR="00203B3C">
        <w:t xml:space="preserve">failed to act with due expedition and was seriously </w:t>
      </w:r>
      <w:r w:rsidR="00742FA0">
        <w:t xml:space="preserve">derelict </w:t>
      </w:r>
      <w:r w:rsidR="00DE76EC">
        <w:t xml:space="preserve">in </w:t>
      </w:r>
      <w:r w:rsidR="009666DD">
        <w:t xml:space="preserve">failing to serve </w:t>
      </w:r>
      <w:r w:rsidR="00F43897">
        <w:t xml:space="preserve">the applicants’ </w:t>
      </w:r>
      <w:r w:rsidR="00DE76EC">
        <w:t>expert evidenc</w:t>
      </w:r>
      <w:r w:rsidR="006C0D12">
        <w:t>e</w:t>
      </w:r>
      <w:r w:rsidR="009666DD">
        <w:t xml:space="preserve"> in accordance with the</w:t>
      </w:r>
      <w:r w:rsidR="006C0D12">
        <w:t xml:space="preserve"> Court-ordered pre-trial timetable</w:t>
      </w:r>
      <w:r w:rsidR="00742FA0">
        <w:t>s.</w:t>
      </w:r>
      <w:r w:rsidR="006C0D12">
        <w:t xml:space="preserve"> It is more likely than not that </w:t>
      </w:r>
      <w:r w:rsidR="00AA3C99">
        <w:t xml:space="preserve">the case would have settled earlier had the firm complied with its professional obligations, and the </w:t>
      </w:r>
      <w:r w:rsidR="00DE76EC">
        <w:t>$</w:t>
      </w:r>
      <w:r w:rsidR="00933CC6">
        <w:t>1.141</w:t>
      </w:r>
      <w:r w:rsidR="00DE76EC">
        <w:t xml:space="preserve"> million </w:t>
      </w:r>
      <w:r w:rsidR="00FA48AB">
        <w:t xml:space="preserve">in </w:t>
      </w:r>
      <w:r w:rsidR="00AA3C99">
        <w:t xml:space="preserve">costs which the firm ran up </w:t>
      </w:r>
      <w:r w:rsidR="00F22B43">
        <w:t>in the immediate lead up to trial</w:t>
      </w:r>
      <w:r w:rsidR="00AA3C99">
        <w:t xml:space="preserve"> were avoidable</w:t>
      </w:r>
      <w:r w:rsidR="00F22B43">
        <w:t xml:space="preserve">. </w:t>
      </w:r>
    </w:p>
    <w:p w14:paraId="09787DC0" w14:textId="35ABC0D8" w:rsidR="003C743E" w:rsidRDefault="001D7B98" w:rsidP="001D7B98">
      <w:pPr>
        <w:pStyle w:val="ParaNumbering"/>
        <w:numPr>
          <w:ilvl w:val="0"/>
          <w:numId w:val="0"/>
        </w:numPr>
        <w:tabs>
          <w:tab w:val="left" w:pos="720"/>
        </w:tabs>
        <w:ind w:hanging="720"/>
      </w:pPr>
      <w:r>
        <w:rPr>
          <w:sz w:val="20"/>
        </w:rPr>
        <w:t>17</w:t>
      </w:r>
      <w:r>
        <w:rPr>
          <w:sz w:val="20"/>
        </w:rPr>
        <w:tab/>
      </w:r>
      <w:r w:rsidR="00AA3C99">
        <w:t xml:space="preserve">It is material to my view that the </w:t>
      </w:r>
      <w:r w:rsidR="00E25442">
        <w:t xml:space="preserve">question of whether the applicants and group members had suffered any loss </w:t>
      </w:r>
      <w:r w:rsidR="003C743E">
        <w:t xml:space="preserve">in the value of </w:t>
      </w:r>
      <w:r w:rsidR="008D5BAB">
        <w:t>their</w:t>
      </w:r>
      <w:r w:rsidR="003C743E">
        <w:t xml:space="preserve"> </w:t>
      </w:r>
      <w:r w:rsidR="00D6071A">
        <w:t xml:space="preserve">freehold or leasehold </w:t>
      </w:r>
      <w:r w:rsidR="003C743E">
        <w:t>interests</w:t>
      </w:r>
      <w:r w:rsidR="00B66698">
        <w:t xml:space="preserve"> in </w:t>
      </w:r>
      <w:r w:rsidR="00D42858">
        <w:t>units</w:t>
      </w:r>
      <w:r w:rsidR="00B66698">
        <w:t xml:space="preserve"> </w:t>
      </w:r>
      <w:r w:rsidR="00D6071A">
        <w:t xml:space="preserve">in retirement village </w:t>
      </w:r>
      <w:r w:rsidR="00B66698">
        <w:t xml:space="preserve">operated by Aveo was </w:t>
      </w:r>
      <w:r w:rsidR="00E25442">
        <w:t>central</w:t>
      </w:r>
      <w:r w:rsidR="00AA3C99">
        <w:t xml:space="preserve"> to the case.</w:t>
      </w:r>
      <w:r w:rsidR="00D6071A">
        <w:t xml:space="preserve"> Notwithstanding that centrality, </w:t>
      </w:r>
      <w:r w:rsidR="002E0CD8">
        <w:t xml:space="preserve">Levitt Robinson ran the case for more than five </w:t>
      </w:r>
      <w:r w:rsidR="00F22B43">
        <w:t xml:space="preserve">and a quarter </w:t>
      </w:r>
      <w:r w:rsidR="000B0A75">
        <w:t xml:space="preserve">years </w:t>
      </w:r>
      <w:r w:rsidR="002E0CD8">
        <w:t>before</w:t>
      </w:r>
      <w:r w:rsidR="00E25442">
        <w:t xml:space="preserve"> it </w:t>
      </w:r>
      <w:r w:rsidR="00CE1E02">
        <w:t xml:space="preserve">obtained </w:t>
      </w:r>
      <w:r w:rsidR="002E0CD8">
        <w:t xml:space="preserve">a report </w:t>
      </w:r>
      <w:r w:rsidR="00F22B43">
        <w:t xml:space="preserve">by </w:t>
      </w:r>
      <w:r w:rsidR="002E0CD8">
        <w:t>an expert property valuer</w:t>
      </w:r>
      <w:r w:rsidR="00F22B43">
        <w:t xml:space="preserve">. Levitt Robinson did not </w:t>
      </w:r>
      <w:r w:rsidR="001B45A2">
        <w:t>serve</w:t>
      </w:r>
      <w:r w:rsidR="00F22B43">
        <w:t xml:space="preserve"> its expert evidence until 16 January 2023, </w:t>
      </w:r>
      <w:r w:rsidR="001B45A2">
        <w:t>which was</w:t>
      </w:r>
      <w:r w:rsidR="00F22B43">
        <w:t xml:space="preserve"> so late that the applicants could not realistically expect to receive Aveo’s expert reports in response until effectively the eve of trial</w:t>
      </w:r>
      <w:r w:rsidR="002E0CD8">
        <w:t>.</w:t>
      </w:r>
      <w:r w:rsidR="00E25442">
        <w:t xml:space="preserve"> </w:t>
      </w:r>
    </w:p>
    <w:p w14:paraId="39ED7D29" w14:textId="121B201D" w:rsidR="00A07DC2" w:rsidRDefault="001D7B98" w:rsidP="001D7B98">
      <w:pPr>
        <w:pStyle w:val="ParaNumbering"/>
        <w:numPr>
          <w:ilvl w:val="0"/>
          <w:numId w:val="0"/>
        </w:numPr>
        <w:tabs>
          <w:tab w:val="left" w:pos="720"/>
        </w:tabs>
        <w:ind w:hanging="720"/>
      </w:pPr>
      <w:r>
        <w:rPr>
          <w:sz w:val="20"/>
        </w:rPr>
        <w:t>18</w:t>
      </w:r>
      <w:r>
        <w:rPr>
          <w:sz w:val="20"/>
        </w:rPr>
        <w:tab/>
      </w:r>
      <w:r w:rsidR="00A07DC2">
        <w:t>When</w:t>
      </w:r>
      <w:r w:rsidR="00B07623">
        <w:t xml:space="preserve"> </w:t>
      </w:r>
      <w:r w:rsidR="00B66698">
        <w:t xml:space="preserve">Aveo </w:t>
      </w:r>
      <w:r w:rsidR="00A07DC2">
        <w:t xml:space="preserve">served </w:t>
      </w:r>
      <w:r w:rsidR="00B66698">
        <w:t>its expert reports</w:t>
      </w:r>
      <w:r w:rsidR="00B07623">
        <w:t xml:space="preserve"> on 10 March 2023</w:t>
      </w:r>
      <w:r w:rsidR="00A07DC2">
        <w:t>, three business days before trial,</w:t>
      </w:r>
      <w:r w:rsidR="00B07623">
        <w:t xml:space="preserve"> </w:t>
      </w:r>
      <w:r w:rsidR="00A07DC2">
        <w:t>it</w:t>
      </w:r>
      <w:r w:rsidR="00A07DC2" w:rsidDel="00D6071A">
        <w:t xml:space="preserve"> </w:t>
      </w:r>
      <w:r w:rsidR="00D6071A">
        <w:t xml:space="preserve">should </w:t>
      </w:r>
      <w:r w:rsidR="00A07DC2">
        <w:t>have been</w:t>
      </w:r>
      <w:r w:rsidR="00B07623">
        <w:t xml:space="preserve"> </w:t>
      </w:r>
      <w:r w:rsidR="00A07DC2">
        <w:t xml:space="preserve">immediately </w:t>
      </w:r>
      <w:r w:rsidR="00307C70">
        <w:t>apparent</w:t>
      </w:r>
      <w:r w:rsidR="00B66698">
        <w:t xml:space="preserve"> that</w:t>
      </w:r>
      <w:r w:rsidR="00B07623">
        <w:t xml:space="preserve"> Aveo’s expert evidence</w:t>
      </w:r>
      <w:r w:rsidR="00B66698">
        <w:t xml:space="preserve">, </w:t>
      </w:r>
      <w:r w:rsidR="009009EF">
        <w:t>coupled with</w:t>
      </w:r>
      <w:r w:rsidR="00B07623">
        <w:t xml:space="preserve"> the evidence of </w:t>
      </w:r>
      <w:r w:rsidR="009009EF">
        <w:t>its sales managers,</w:t>
      </w:r>
      <w:r w:rsidR="00FB5BFD">
        <w:t xml:space="preserve"> seriously </w:t>
      </w:r>
      <w:r w:rsidR="001054D5">
        <w:t xml:space="preserve">damaged </w:t>
      </w:r>
      <w:r w:rsidR="009009EF">
        <w:t xml:space="preserve">the </w:t>
      </w:r>
      <w:r w:rsidR="00FB5BFD">
        <w:t>prospects of the applicants being able to establish loss</w:t>
      </w:r>
      <w:r w:rsidR="0036470F">
        <w:t>.</w:t>
      </w:r>
      <w:r w:rsidR="00087D40">
        <w:t xml:space="preserve"> </w:t>
      </w:r>
      <w:r w:rsidR="001054D5">
        <w:t>I</w:t>
      </w:r>
      <w:r w:rsidR="00087D40">
        <w:t xml:space="preserve">t is sufficiently clear </w:t>
      </w:r>
      <w:r w:rsidR="00D6071A">
        <w:t xml:space="preserve">on the materials in the approval application </w:t>
      </w:r>
      <w:r w:rsidR="00087D40">
        <w:t xml:space="preserve">that the difficulties the applicants faced in establishing loss were significant in the decision to accept the proposed settlement. </w:t>
      </w:r>
      <w:r w:rsidR="00A07DC2">
        <w:t>Had</w:t>
      </w:r>
      <w:r w:rsidR="009414DA">
        <w:t xml:space="preserve"> Levitt Robinson complied with the pre-trial timetable</w:t>
      </w:r>
      <w:r w:rsidR="009414DA" w:rsidDel="00D6071A">
        <w:t xml:space="preserve"> </w:t>
      </w:r>
      <w:r w:rsidR="00D6071A">
        <w:t xml:space="preserve">so that </w:t>
      </w:r>
      <w:r w:rsidR="00A07DC2">
        <w:t xml:space="preserve">Aveo </w:t>
      </w:r>
      <w:r w:rsidR="00B366ED">
        <w:t xml:space="preserve">was required by the pre-trial timetable to serve its </w:t>
      </w:r>
      <w:r w:rsidR="00A07DC2">
        <w:t>expert evidence</w:t>
      </w:r>
      <w:r w:rsidR="009414DA" w:rsidDel="00B366ED">
        <w:t xml:space="preserve"> </w:t>
      </w:r>
      <w:r w:rsidR="00B366ED">
        <w:t xml:space="preserve">by </w:t>
      </w:r>
      <w:r w:rsidR="009414DA">
        <w:t>late November</w:t>
      </w:r>
      <w:r w:rsidR="00B366ED">
        <w:t xml:space="preserve"> 2022, </w:t>
      </w:r>
      <w:r w:rsidR="009414DA">
        <w:t xml:space="preserve">it is </w:t>
      </w:r>
      <w:r w:rsidR="00A07DC2">
        <w:t>likely</w:t>
      </w:r>
      <w:r w:rsidR="009414DA" w:rsidDel="00B366ED">
        <w:t xml:space="preserve"> </w:t>
      </w:r>
      <w:r w:rsidR="00B366ED">
        <w:t xml:space="preserve">that at the December 2022 mediation the applicants' lawyers </w:t>
      </w:r>
      <w:r w:rsidR="009414DA">
        <w:t xml:space="preserve">would have </w:t>
      </w:r>
      <w:r w:rsidR="00A07DC2">
        <w:t>understood the difficulties</w:t>
      </w:r>
      <w:r w:rsidR="009414DA">
        <w:t xml:space="preserve"> the applicants </w:t>
      </w:r>
      <w:r w:rsidR="00A07DC2">
        <w:t>faced in establishing loss</w:t>
      </w:r>
      <w:r w:rsidR="001054D5">
        <w:t>,</w:t>
      </w:r>
      <w:r w:rsidR="00A94A35">
        <w:t xml:space="preserve"> and </w:t>
      </w:r>
      <w:r w:rsidR="009414DA">
        <w:t xml:space="preserve">that the case would have </w:t>
      </w:r>
      <w:r w:rsidR="00A07DC2">
        <w:t>settled at</w:t>
      </w:r>
      <w:r w:rsidR="00A07DC2" w:rsidDel="00B366ED">
        <w:t xml:space="preserve"> </w:t>
      </w:r>
      <w:r w:rsidR="00B366ED">
        <w:t xml:space="preserve">around that </w:t>
      </w:r>
      <w:r w:rsidR="00A07DC2">
        <w:t xml:space="preserve">point. The applicants would thereby have avoided the $1.141 million in </w:t>
      </w:r>
      <w:r w:rsidR="00B366ED">
        <w:t>Avoidable C</w:t>
      </w:r>
      <w:r w:rsidR="001054D5">
        <w:t xml:space="preserve">osts </w:t>
      </w:r>
      <w:r w:rsidR="00A07DC2">
        <w:t xml:space="preserve">that Levitt Robinson ran up in </w:t>
      </w:r>
      <w:r w:rsidR="004C2F52">
        <w:t xml:space="preserve">2023, in </w:t>
      </w:r>
      <w:r w:rsidR="00A07DC2">
        <w:t xml:space="preserve">the </w:t>
      </w:r>
      <w:r w:rsidR="009414DA">
        <w:t xml:space="preserve">immediate </w:t>
      </w:r>
      <w:r w:rsidR="00A07DC2">
        <w:t>pre-trial period.</w:t>
      </w:r>
    </w:p>
    <w:p w14:paraId="07E4C779" w14:textId="0D5F0A4F" w:rsidR="00B41E1C" w:rsidRPr="00F26E49" w:rsidRDefault="001D7B98" w:rsidP="001D7B98">
      <w:pPr>
        <w:pStyle w:val="ParaNumbering"/>
        <w:numPr>
          <w:ilvl w:val="0"/>
          <w:numId w:val="0"/>
        </w:numPr>
        <w:tabs>
          <w:tab w:val="left" w:pos="720"/>
        </w:tabs>
        <w:ind w:hanging="720"/>
      </w:pPr>
      <w:r w:rsidRPr="00F26E49">
        <w:rPr>
          <w:sz w:val="20"/>
        </w:rPr>
        <w:lastRenderedPageBreak/>
        <w:t>19</w:t>
      </w:r>
      <w:r w:rsidRPr="00F26E49">
        <w:rPr>
          <w:sz w:val="20"/>
        </w:rPr>
        <w:tab/>
      </w:r>
      <w:r w:rsidR="00D826FD" w:rsidRPr="00F26E49">
        <w:t>I do not, though, accept the Contradictor’s</w:t>
      </w:r>
      <w:r w:rsidR="00D826FD" w:rsidRPr="00F26E49" w:rsidDel="004C2F52">
        <w:t xml:space="preserve"> </w:t>
      </w:r>
      <w:r w:rsidR="004C2F52">
        <w:t xml:space="preserve">contention </w:t>
      </w:r>
      <w:r w:rsidR="00D826FD" w:rsidRPr="00F26E49">
        <w:t xml:space="preserve">that </w:t>
      </w:r>
      <w:r w:rsidR="00563A98" w:rsidRPr="00F26E49">
        <w:t xml:space="preserve">after reducing Levitt Robinson’s </w:t>
      </w:r>
      <w:r w:rsidR="00333398">
        <w:t xml:space="preserve">approved </w:t>
      </w:r>
      <w:r w:rsidR="00563A98" w:rsidRPr="00F26E49">
        <w:t>costs by</w:t>
      </w:r>
      <w:r w:rsidR="00435063">
        <w:t>:</w:t>
      </w:r>
      <w:r w:rsidR="00FF3D55">
        <w:t xml:space="preserve"> (a) </w:t>
      </w:r>
      <w:r w:rsidR="00563A98" w:rsidRPr="00F26E49">
        <w:t>$1.</w:t>
      </w:r>
      <w:r w:rsidR="00CB5540" w:rsidRPr="00F26E49">
        <w:t>3</w:t>
      </w:r>
      <w:r w:rsidR="00CB5540">
        <w:t>3</w:t>
      </w:r>
      <w:r w:rsidR="00CB5540" w:rsidRPr="00F26E49">
        <w:t xml:space="preserve">5 </w:t>
      </w:r>
      <w:r w:rsidR="00563A98" w:rsidRPr="00F26E49">
        <w:t>million</w:t>
      </w:r>
      <w:r w:rsidR="00B41E1C" w:rsidRPr="00F26E49" w:rsidDel="004C2F52">
        <w:t xml:space="preserve"> </w:t>
      </w:r>
      <w:r w:rsidR="004C2F52">
        <w:t>in Disallowed Costs</w:t>
      </w:r>
      <w:r w:rsidR="00563A98" w:rsidRPr="00F26E49">
        <w:t>;</w:t>
      </w:r>
      <w:r w:rsidR="00B41E1C" w:rsidRPr="00F26E49">
        <w:t xml:space="preserve"> and</w:t>
      </w:r>
      <w:r w:rsidR="00FF3D55">
        <w:t xml:space="preserve"> (b) </w:t>
      </w:r>
      <w:r w:rsidR="00B41E1C" w:rsidRPr="00F26E49">
        <w:t>$1.1</w:t>
      </w:r>
      <w:r w:rsidR="00A01660">
        <w:t>41</w:t>
      </w:r>
      <w:r w:rsidR="00B41E1C" w:rsidRPr="00F26E49">
        <w:t xml:space="preserve"> million in </w:t>
      </w:r>
      <w:r w:rsidR="004C2F52">
        <w:t>A</w:t>
      </w:r>
      <w:r w:rsidR="004C2F52" w:rsidRPr="00F26E49">
        <w:t xml:space="preserve">voidable </w:t>
      </w:r>
      <w:r w:rsidR="004C2F52">
        <w:t>C</w:t>
      </w:r>
      <w:r w:rsidR="001C676E" w:rsidRPr="00F26E49">
        <w:t>osts</w:t>
      </w:r>
      <w:r w:rsidR="00B41E1C" w:rsidRPr="00F26E49">
        <w:t>;</w:t>
      </w:r>
      <w:r w:rsidR="00333398">
        <w:t xml:space="preserve"> </w:t>
      </w:r>
      <w:r w:rsidR="00C66074" w:rsidRPr="00F26E49">
        <w:t xml:space="preserve">none of </w:t>
      </w:r>
      <w:r w:rsidR="00B41E1C" w:rsidRPr="00F26E49">
        <w:t>Levitt Robinson</w:t>
      </w:r>
      <w:r w:rsidR="00C66074" w:rsidRPr="00F26E49">
        <w:t xml:space="preserve">’s costs </w:t>
      </w:r>
      <w:r w:rsidR="00AA3DC7">
        <w:t xml:space="preserve">incurred </w:t>
      </w:r>
      <w:r w:rsidR="00347764">
        <w:t xml:space="preserve">in the settlement approval application </w:t>
      </w:r>
      <w:r w:rsidR="00C66074" w:rsidRPr="00F26E49">
        <w:t>should be approved</w:t>
      </w:r>
      <w:r w:rsidR="00B41E1C" w:rsidRPr="00F26E49">
        <w:t>.</w:t>
      </w:r>
      <w:r w:rsidR="00143BC9">
        <w:t xml:space="preserve"> In the circumstances of the case </w:t>
      </w:r>
      <w:r w:rsidR="00B41E1C" w:rsidRPr="00F26E49">
        <w:t>a reduction of $</w:t>
      </w:r>
      <w:r w:rsidR="006C1E1B">
        <w:t>2.476</w:t>
      </w:r>
      <w:r w:rsidR="00B41E1C" w:rsidRPr="00F26E49">
        <w:t xml:space="preserve"> million is sufficient</w:t>
      </w:r>
      <w:r w:rsidR="00AF6600">
        <w:t>,</w:t>
      </w:r>
      <w:r w:rsidR="00B41E1C" w:rsidRPr="00F26E49">
        <w:t xml:space="preserve"> and Levitt Robinson</w:t>
      </w:r>
      <w:r w:rsidR="00143BC9">
        <w:t>’s</w:t>
      </w:r>
      <w:r w:rsidR="00B41E1C" w:rsidRPr="00F26E49">
        <w:t xml:space="preserve"> reasonable costs incurred in the settlement approval application</w:t>
      </w:r>
      <w:r w:rsidR="007D1689" w:rsidRPr="00F26E49">
        <w:t xml:space="preserve"> </w:t>
      </w:r>
      <w:r w:rsidR="00F16E81" w:rsidRPr="00F26E49">
        <w:t>should be approved</w:t>
      </w:r>
      <w:r w:rsidR="008E1A68" w:rsidRPr="00F26E49">
        <w:t xml:space="preserve">. </w:t>
      </w:r>
      <w:r w:rsidR="00A82EE3">
        <w:t>Those</w:t>
      </w:r>
      <w:r w:rsidR="00143BC9">
        <w:t xml:space="preserve"> </w:t>
      </w:r>
      <w:r w:rsidR="008E1A68" w:rsidRPr="00F26E49">
        <w:t xml:space="preserve">costs </w:t>
      </w:r>
      <w:r w:rsidR="00143BC9">
        <w:t xml:space="preserve">are minor in the scheme of </w:t>
      </w:r>
      <w:proofErr w:type="gramStart"/>
      <w:r w:rsidR="00143BC9">
        <w:t>things</w:t>
      </w:r>
      <w:proofErr w:type="gramEnd"/>
      <w:r w:rsidR="00143BC9">
        <w:t xml:space="preserve"> and they </w:t>
      </w:r>
      <w:r w:rsidR="008E1A68" w:rsidRPr="00F26E49">
        <w:t xml:space="preserve">would have been incurred </w:t>
      </w:r>
      <w:r w:rsidR="002E581F">
        <w:t xml:space="preserve">regardless of </w:t>
      </w:r>
      <w:r w:rsidR="008E1A68" w:rsidRPr="00F26E49">
        <w:t xml:space="preserve">whether Levitt Robinson </w:t>
      </w:r>
      <w:r w:rsidR="00D822BB">
        <w:t xml:space="preserve">complied </w:t>
      </w:r>
      <w:r w:rsidR="00143BC9">
        <w:t>with the pre-trial timetable for service of the applicants’ expert reports</w:t>
      </w:r>
      <w:r w:rsidR="008E1A68" w:rsidRPr="00F26E49">
        <w:t>.</w:t>
      </w:r>
      <w:r w:rsidR="00143BC9">
        <w:t xml:space="preserve"> </w:t>
      </w:r>
    </w:p>
    <w:p w14:paraId="5468667F" w14:textId="65912C58" w:rsidR="00221FCF" w:rsidRDefault="001D7B98" w:rsidP="001D7B98">
      <w:pPr>
        <w:pStyle w:val="ParaNumbering"/>
        <w:numPr>
          <w:ilvl w:val="0"/>
          <w:numId w:val="0"/>
        </w:numPr>
        <w:tabs>
          <w:tab w:val="left" w:pos="720"/>
        </w:tabs>
        <w:ind w:hanging="720"/>
      </w:pPr>
      <w:r>
        <w:rPr>
          <w:sz w:val="20"/>
        </w:rPr>
        <w:t>20</w:t>
      </w:r>
      <w:r>
        <w:rPr>
          <w:sz w:val="20"/>
        </w:rPr>
        <w:tab/>
      </w:r>
      <w:r w:rsidR="00E25F25">
        <w:t>I have therefore approved</w:t>
      </w:r>
      <w:r w:rsidR="007D1689" w:rsidRPr="00F26E49">
        <w:t xml:space="preserve"> Levitt Robinson’s </w:t>
      </w:r>
      <w:r w:rsidR="00B955CE">
        <w:t xml:space="preserve">reasonable and proportionate </w:t>
      </w:r>
      <w:r w:rsidR="007D1689" w:rsidRPr="00F26E49">
        <w:t xml:space="preserve">costs </w:t>
      </w:r>
      <w:r w:rsidR="00B82A96" w:rsidRPr="00F26E49">
        <w:t>up to the</w:t>
      </w:r>
      <w:r w:rsidR="00F16E81" w:rsidRPr="00F26E49">
        <w:t xml:space="preserve"> date </w:t>
      </w:r>
      <w:r w:rsidR="00B82A96" w:rsidRPr="00F26E49">
        <w:t>of settlement</w:t>
      </w:r>
      <w:r w:rsidR="00E25F25">
        <w:t xml:space="preserve"> in the amount of </w:t>
      </w:r>
      <w:r w:rsidR="008F0410" w:rsidRPr="00F26E49">
        <w:t>$8</w:t>
      </w:r>
      <w:r w:rsidR="00A82EE3">
        <w:t>,</w:t>
      </w:r>
      <w:r w:rsidR="00DB36FA">
        <w:t>523</w:t>
      </w:r>
      <w:r w:rsidR="00A82EE3">
        <w:t>,</w:t>
      </w:r>
      <w:r w:rsidR="00861FAD">
        <w:t>516</w:t>
      </w:r>
      <w:r w:rsidR="005E682D" w:rsidRPr="00F26E49">
        <w:t xml:space="preserve">, </w:t>
      </w:r>
      <w:proofErr w:type="gramStart"/>
      <w:r w:rsidR="005E682D" w:rsidRPr="00F26E49">
        <w:t>and</w:t>
      </w:r>
      <w:r w:rsidR="00E25F25">
        <w:t xml:space="preserve"> also</w:t>
      </w:r>
      <w:proofErr w:type="gramEnd"/>
      <w:r w:rsidR="00E25F25">
        <w:t xml:space="preserve"> </w:t>
      </w:r>
      <w:r w:rsidR="00B3615F">
        <w:t xml:space="preserve">approved </w:t>
      </w:r>
      <w:r w:rsidR="00D0225F">
        <w:t xml:space="preserve">the firm's </w:t>
      </w:r>
      <w:r w:rsidR="00F16E81" w:rsidRPr="00F26E49">
        <w:t xml:space="preserve">reasonable </w:t>
      </w:r>
      <w:r w:rsidR="005E682D" w:rsidRPr="00F26E49">
        <w:t>costs</w:t>
      </w:r>
      <w:r w:rsidR="00F16E81" w:rsidRPr="00F26E49">
        <w:t xml:space="preserve"> of </w:t>
      </w:r>
      <w:r w:rsidR="005E682D" w:rsidRPr="00F26E49">
        <w:t>the settlement approval process</w:t>
      </w:r>
      <w:r w:rsidR="005E682D" w:rsidRPr="00F26E49" w:rsidDel="00D0225F">
        <w:t xml:space="preserve"> </w:t>
      </w:r>
      <w:r w:rsidR="00D0225F">
        <w:t>in the amount of $394,538, as assessed by the Costs Referee</w:t>
      </w:r>
      <w:r w:rsidR="00E25F25">
        <w:t xml:space="preserve">. </w:t>
      </w:r>
      <w:r w:rsidR="00D0225F">
        <w:t xml:space="preserve">I have </w:t>
      </w:r>
      <w:r w:rsidR="00B955CE">
        <w:t>order</w:t>
      </w:r>
      <w:r w:rsidR="00D0225F">
        <w:t>ed</w:t>
      </w:r>
      <w:r w:rsidR="00B955CE">
        <w:t xml:space="preserve"> </w:t>
      </w:r>
      <w:r w:rsidR="00303702">
        <w:t>that Levitt Robinson</w:t>
      </w:r>
      <w:r w:rsidR="00C44479">
        <w:t xml:space="preserve"> </w:t>
      </w:r>
      <w:r w:rsidR="00C91ADE">
        <w:t xml:space="preserve">pay </w:t>
      </w:r>
      <w:r w:rsidR="00521677">
        <w:t xml:space="preserve">the </w:t>
      </w:r>
      <w:r w:rsidR="00D0225F">
        <w:t xml:space="preserve">costs of the </w:t>
      </w:r>
      <w:r w:rsidR="00521677">
        <w:t>Contradictor</w:t>
      </w:r>
      <w:r w:rsidR="00C44479">
        <w:t>. If not for the</w:t>
      </w:r>
      <w:r w:rsidR="00D0225F">
        <w:t xml:space="preserve"> legal</w:t>
      </w:r>
      <w:r w:rsidR="00C44479">
        <w:t xml:space="preserve"> costs that</w:t>
      </w:r>
      <w:r w:rsidR="00C44479" w:rsidDel="00D0225F">
        <w:t xml:space="preserve"> </w:t>
      </w:r>
      <w:r w:rsidR="00D0225F">
        <w:t xml:space="preserve">Levitt Robinson </w:t>
      </w:r>
      <w:r w:rsidR="00C44479">
        <w:t>sought to</w:t>
      </w:r>
      <w:r w:rsidR="00C44479" w:rsidDel="00D0225F">
        <w:t xml:space="preserve"> </w:t>
      </w:r>
      <w:r w:rsidR="00D0225F">
        <w:t xml:space="preserve">have deducted from the settlement fund </w:t>
      </w:r>
      <w:r w:rsidR="00B955CE">
        <w:t xml:space="preserve">the greater part of the Contradictor’s fees </w:t>
      </w:r>
      <w:r w:rsidR="00C44479">
        <w:t>would not have been incurred.</w:t>
      </w:r>
    </w:p>
    <w:p w14:paraId="02824862" w14:textId="18ED6039" w:rsidR="00D826FD" w:rsidRPr="00F26E49" w:rsidRDefault="001D7B98" w:rsidP="001D7B98">
      <w:pPr>
        <w:pStyle w:val="ParaNumbering"/>
        <w:numPr>
          <w:ilvl w:val="0"/>
          <w:numId w:val="0"/>
        </w:numPr>
        <w:tabs>
          <w:tab w:val="left" w:pos="720"/>
        </w:tabs>
        <w:ind w:hanging="720"/>
      </w:pPr>
      <w:r w:rsidRPr="00F26E49">
        <w:rPr>
          <w:sz w:val="20"/>
        </w:rPr>
        <w:t>21</w:t>
      </w:r>
      <w:r w:rsidRPr="00F26E49">
        <w:rPr>
          <w:sz w:val="20"/>
        </w:rPr>
        <w:tab/>
      </w:r>
      <w:r w:rsidR="00E25F25">
        <w:t xml:space="preserve">When </w:t>
      </w:r>
      <w:r w:rsidR="0077123C">
        <w:t>the</w:t>
      </w:r>
      <w:r w:rsidR="005252B3">
        <w:t xml:space="preserve"> settlement approval costs</w:t>
      </w:r>
      <w:r w:rsidR="005252B3" w:rsidDel="00D0225F">
        <w:t xml:space="preserve"> </w:t>
      </w:r>
      <w:r w:rsidR="00A73E53">
        <w:t xml:space="preserve">and the settlement administration costs (estimated </w:t>
      </w:r>
      <w:r w:rsidR="004279B2">
        <w:t xml:space="preserve">at </w:t>
      </w:r>
      <w:r w:rsidR="00A73E53">
        <w:t>$186,000)</w:t>
      </w:r>
      <w:r w:rsidR="000C39CB">
        <w:t xml:space="preserve"> are </w:t>
      </w:r>
      <w:proofErr w:type="gramStart"/>
      <w:r w:rsidR="000C39CB">
        <w:t>taken into account</w:t>
      </w:r>
      <w:proofErr w:type="gramEnd"/>
      <w:r w:rsidR="00A73E53">
        <w:t xml:space="preserve">, </w:t>
      </w:r>
      <w:r w:rsidR="00B82A96" w:rsidRPr="00F26E49">
        <w:t>there will b</w:t>
      </w:r>
      <w:r w:rsidR="007C799B">
        <w:t xml:space="preserve">e </w:t>
      </w:r>
      <w:r w:rsidR="007C799B" w:rsidRPr="00BB76B0">
        <w:t>approximately</w:t>
      </w:r>
      <w:r w:rsidR="00B82A96" w:rsidRPr="00BB76B0">
        <w:t xml:space="preserve"> $</w:t>
      </w:r>
      <w:r w:rsidR="007C799B" w:rsidRPr="00BB76B0">
        <w:t>1,895,</w:t>
      </w:r>
      <w:r w:rsidR="00426D2E" w:rsidRPr="00BB76B0">
        <w:t>946</w:t>
      </w:r>
      <w:r w:rsidR="003C2492">
        <w:t xml:space="preserve"> </w:t>
      </w:r>
      <w:r w:rsidR="00326C48">
        <w:t>a</w:t>
      </w:r>
      <w:r w:rsidR="00B82A96" w:rsidRPr="00F26E49">
        <w:t>vailable for distribution to the applicants and group members</w:t>
      </w:r>
      <w:r w:rsidR="00355C4D">
        <w:t>, which</w:t>
      </w:r>
      <w:r w:rsidR="008F0410" w:rsidRPr="00F26E49">
        <w:t xml:space="preserve"> represents approximately </w:t>
      </w:r>
      <w:r w:rsidR="00B575B2">
        <w:t>1</w:t>
      </w:r>
      <w:r w:rsidR="00CC5F33">
        <w:t>7</w:t>
      </w:r>
      <w:r w:rsidR="008F0410" w:rsidRPr="00F26E49">
        <w:t>% of the settlement</w:t>
      </w:r>
      <w:r w:rsidR="00355C4D">
        <w:t xml:space="preserve">. That is </w:t>
      </w:r>
      <w:r w:rsidR="00B575B2">
        <w:t xml:space="preserve">a </w:t>
      </w:r>
      <w:r w:rsidR="00355C4D">
        <w:t>far from</w:t>
      </w:r>
      <w:r w:rsidR="005C7F1D">
        <w:t xml:space="preserve"> a</w:t>
      </w:r>
      <w:r w:rsidR="00B575B2">
        <w:t xml:space="preserve"> happy result </w:t>
      </w:r>
      <w:r w:rsidR="00355C4D">
        <w:t>for them</w:t>
      </w:r>
      <w:r w:rsidR="00BD1701">
        <w:t>,</w:t>
      </w:r>
      <w:r w:rsidR="00355C4D">
        <w:t xml:space="preserve"> but the unfortunate reality</w:t>
      </w:r>
      <w:r w:rsidR="005312FC">
        <w:t xml:space="preserve"> is that the</w:t>
      </w:r>
      <w:r w:rsidR="00495005">
        <w:t>ir</w:t>
      </w:r>
      <w:r w:rsidR="005312FC">
        <w:t xml:space="preserve"> case was weak</w:t>
      </w:r>
      <w:r w:rsidR="00495005">
        <w:t xml:space="preserve"> and </w:t>
      </w:r>
      <w:r w:rsidR="00B575B2">
        <w:t xml:space="preserve">always </w:t>
      </w:r>
      <w:r w:rsidR="00495005">
        <w:t>likely to fail.</w:t>
      </w:r>
      <w:r w:rsidR="00B575B2">
        <w:t xml:space="preserve"> </w:t>
      </w:r>
      <w:r w:rsidR="006219F9">
        <w:t xml:space="preserve">The fact that this is a class action rather than ordinary </w:t>
      </w:r>
      <w:r w:rsidR="006219F9" w:rsidRPr="00F15E0F">
        <w:rPr>
          <w:i/>
          <w:iCs/>
        </w:rPr>
        <w:t>inter partes</w:t>
      </w:r>
      <w:r w:rsidR="006219F9">
        <w:t xml:space="preserve"> litigation does not </w:t>
      </w:r>
      <w:r w:rsidR="00337875" w:rsidRPr="00337875">
        <w:t>provide a proper basis for giving group members something for what turned out to be worth nothing</w:t>
      </w:r>
      <w:r w:rsidR="004F63CF">
        <w:t xml:space="preserve"> or something beyond what the true value of their claims are worth</w:t>
      </w:r>
      <w:r w:rsidR="00337875">
        <w:t xml:space="preserve">: </w:t>
      </w:r>
      <w:proofErr w:type="spellStart"/>
      <w:r w:rsidR="00337875" w:rsidRPr="00AC782C">
        <w:rPr>
          <w:b/>
          <w:i/>
        </w:rPr>
        <w:t>Kuterba</w:t>
      </w:r>
      <w:proofErr w:type="spellEnd"/>
      <w:r w:rsidR="00337875" w:rsidRPr="00AC782C">
        <w:rPr>
          <w:i/>
        </w:rPr>
        <w:t xml:space="preserve"> v </w:t>
      </w:r>
      <w:proofErr w:type="spellStart"/>
      <w:r w:rsidR="00337875" w:rsidRPr="00AC782C">
        <w:rPr>
          <w:i/>
        </w:rPr>
        <w:t>Sirtex</w:t>
      </w:r>
      <w:proofErr w:type="spellEnd"/>
      <w:r w:rsidR="00337875" w:rsidRPr="00AC782C">
        <w:rPr>
          <w:i/>
        </w:rPr>
        <w:t xml:space="preserve"> Medical Limited (No</w:t>
      </w:r>
      <w:r w:rsidR="004D1E21" w:rsidRPr="00AC782C">
        <w:rPr>
          <w:i/>
        </w:rPr>
        <w:t xml:space="preserve"> </w:t>
      </w:r>
      <w:r w:rsidR="00337875" w:rsidRPr="00AC782C">
        <w:rPr>
          <w:i/>
        </w:rPr>
        <w:t>3)</w:t>
      </w:r>
      <w:r w:rsidR="00337875" w:rsidRPr="00AC782C">
        <w:t xml:space="preserve"> [2019] FCA 1374 at [18]-[19]</w:t>
      </w:r>
      <w:r w:rsidR="00AF053F" w:rsidRPr="00AC782C">
        <w:t>.</w:t>
      </w:r>
    </w:p>
    <w:p w14:paraId="4464AFDE" w14:textId="739363DA" w:rsidR="00236E58" w:rsidRDefault="001D7B98" w:rsidP="00236E58">
      <w:pPr>
        <w:pStyle w:val="Heading1"/>
        <w:rPr>
          <w:lang w:eastAsia="en-AU"/>
        </w:rPr>
      </w:pPr>
      <w:r>
        <w:rPr>
          <w:caps w:val="0"/>
          <w:lang w:eastAsia="en-AU"/>
        </w:rPr>
        <w:t>THE EVIDENCE</w:t>
      </w:r>
    </w:p>
    <w:p w14:paraId="504A86AA" w14:textId="48F5CE05" w:rsidR="00236E58" w:rsidRDefault="001D7B98" w:rsidP="001D7B98">
      <w:pPr>
        <w:pStyle w:val="ParaNumbering"/>
        <w:numPr>
          <w:ilvl w:val="0"/>
          <w:numId w:val="0"/>
        </w:numPr>
        <w:tabs>
          <w:tab w:val="left" w:pos="720"/>
        </w:tabs>
        <w:ind w:hanging="720"/>
        <w:rPr>
          <w:lang w:eastAsia="en-AU"/>
        </w:rPr>
      </w:pPr>
      <w:r>
        <w:rPr>
          <w:sz w:val="20"/>
          <w:lang w:eastAsia="en-AU"/>
        </w:rPr>
        <w:t>22</w:t>
      </w:r>
      <w:r>
        <w:rPr>
          <w:sz w:val="20"/>
          <w:lang w:eastAsia="en-AU"/>
        </w:rPr>
        <w:tab/>
      </w:r>
      <w:r w:rsidR="00236E58">
        <w:rPr>
          <w:lang w:eastAsia="en-AU"/>
        </w:rPr>
        <w:t xml:space="preserve">The applicants rely upon the following: </w:t>
      </w:r>
    </w:p>
    <w:p w14:paraId="02178EA6" w14:textId="3E471B79" w:rsidR="00236E58" w:rsidRDefault="001D7B98" w:rsidP="001D7B98">
      <w:pPr>
        <w:pStyle w:val="ListNo1alt"/>
        <w:numPr>
          <w:ilvl w:val="0"/>
          <w:numId w:val="0"/>
        </w:numPr>
        <w:tabs>
          <w:tab w:val="left" w:pos="720"/>
        </w:tabs>
        <w:ind w:left="720" w:hanging="720"/>
        <w:rPr>
          <w:lang w:eastAsia="en-AU"/>
        </w:rPr>
      </w:pPr>
      <w:r>
        <w:rPr>
          <w:lang w:eastAsia="en-AU"/>
        </w:rPr>
        <w:t>(a)</w:t>
      </w:r>
      <w:r>
        <w:rPr>
          <w:lang w:eastAsia="en-AU"/>
        </w:rPr>
        <w:tab/>
      </w:r>
      <w:r w:rsidR="00236E58">
        <w:rPr>
          <w:lang w:eastAsia="en-AU"/>
        </w:rPr>
        <w:t>affidavits of</w:t>
      </w:r>
      <w:r w:rsidR="00FE3634">
        <w:rPr>
          <w:lang w:eastAsia="en-AU"/>
        </w:rPr>
        <w:t xml:space="preserve"> Stewart Levitt, senior partner of Levitt Robinson</w:t>
      </w:r>
      <w:r w:rsidR="0010254B">
        <w:rPr>
          <w:lang w:eastAsia="en-AU"/>
        </w:rPr>
        <w:t xml:space="preserve"> and the solicitor on the record in the proceeding, sworn 26 April 2023, 28 September 2023</w:t>
      </w:r>
      <w:r w:rsidR="00EE49EC">
        <w:rPr>
          <w:lang w:eastAsia="en-AU"/>
        </w:rPr>
        <w:t xml:space="preserve"> and</w:t>
      </w:r>
      <w:r w:rsidR="0010254B">
        <w:rPr>
          <w:lang w:eastAsia="en-AU"/>
        </w:rPr>
        <w:t xml:space="preserve"> 29 September </w:t>
      </w:r>
      <w:proofErr w:type="gramStart"/>
      <w:r w:rsidR="0010254B">
        <w:rPr>
          <w:lang w:eastAsia="en-AU"/>
        </w:rPr>
        <w:t>2023</w:t>
      </w:r>
      <w:r w:rsidR="003C3DA8">
        <w:t>;</w:t>
      </w:r>
      <w:proofErr w:type="gramEnd"/>
    </w:p>
    <w:p w14:paraId="4288497D" w14:textId="17B2B7EF" w:rsidR="00C01050" w:rsidRPr="00236E58" w:rsidRDefault="001D7B98" w:rsidP="001D7B98">
      <w:pPr>
        <w:pStyle w:val="ListNo1alt"/>
        <w:numPr>
          <w:ilvl w:val="0"/>
          <w:numId w:val="0"/>
        </w:numPr>
        <w:tabs>
          <w:tab w:val="left" w:pos="720"/>
        </w:tabs>
        <w:ind w:left="720" w:hanging="720"/>
        <w:rPr>
          <w:lang w:eastAsia="en-AU"/>
        </w:rPr>
      </w:pPr>
      <w:r w:rsidRPr="00236E58">
        <w:rPr>
          <w:lang w:eastAsia="en-AU"/>
        </w:rPr>
        <w:t>(b)</w:t>
      </w:r>
      <w:r w:rsidRPr="00236E58">
        <w:rPr>
          <w:lang w:eastAsia="en-AU"/>
        </w:rPr>
        <w:tab/>
      </w:r>
      <w:r w:rsidR="00C01050">
        <w:rPr>
          <w:lang w:eastAsia="en-AU"/>
        </w:rPr>
        <w:t>confidential affidavit</w:t>
      </w:r>
      <w:r w:rsidR="00EE49EC">
        <w:rPr>
          <w:lang w:eastAsia="en-AU"/>
        </w:rPr>
        <w:t>s</w:t>
      </w:r>
      <w:r w:rsidR="00C01050">
        <w:rPr>
          <w:lang w:eastAsia="en-AU"/>
        </w:rPr>
        <w:t xml:space="preserve"> of Stewart Levitt</w:t>
      </w:r>
      <w:r w:rsidR="00EE49EC">
        <w:rPr>
          <w:lang w:eastAsia="en-AU"/>
        </w:rPr>
        <w:t xml:space="preserve"> sworn 28 September 2023 and 29 September </w:t>
      </w:r>
      <w:proofErr w:type="gramStart"/>
      <w:r w:rsidR="00EE49EC">
        <w:rPr>
          <w:lang w:eastAsia="en-AU"/>
        </w:rPr>
        <w:t>2023;</w:t>
      </w:r>
      <w:proofErr w:type="gramEnd"/>
    </w:p>
    <w:p w14:paraId="3D671472" w14:textId="7ACFF9E5" w:rsidR="00A13255" w:rsidRDefault="001D7B98" w:rsidP="001D7B98">
      <w:pPr>
        <w:pStyle w:val="ListNo1alt"/>
        <w:numPr>
          <w:ilvl w:val="0"/>
          <w:numId w:val="0"/>
        </w:numPr>
        <w:tabs>
          <w:tab w:val="left" w:pos="720"/>
        </w:tabs>
        <w:ind w:left="720" w:hanging="720"/>
      </w:pPr>
      <w:r>
        <w:t>(c)</w:t>
      </w:r>
      <w:r>
        <w:tab/>
      </w:r>
      <w:r w:rsidR="003C3DA8">
        <w:t>affidavits of Brett Imlay</w:t>
      </w:r>
      <w:r w:rsidR="0011094C">
        <w:t>,</w:t>
      </w:r>
      <w:r w:rsidR="003C3DA8">
        <w:t xml:space="preserve"> </w:t>
      </w:r>
      <w:r w:rsidR="0011094C">
        <w:t xml:space="preserve">special counsel with Levitt Robinson, </w:t>
      </w:r>
      <w:r w:rsidR="003C3DA8">
        <w:t xml:space="preserve">sworn 26 April 2023, 30 October 2023 and 2 November </w:t>
      </w:r>
      <w:proofErr w:type="gramStart"/>
      <w:r w:rsidR="003C3DA8">
        <w:t>2023</w:t>
      </w:r>
      <w:r w:rsidR="0075658E">
        <w:t>;</w:t>
      </w:r>
      <w:proofErr w:type="gramEnd"/>
    </w:p>
    <w:p w14:paraId="65278D66" w14:textId="4EB79F78" w:rsidR="0075658E" w:rsidRDefault="007D2E2C" w:rsidP="0075658E">
      <w:pPr>
        <w:pStyle w:val="NoNum"/>
      </w:pPr>
      <w:r>
        <w:lastRenderedPageBreak/>
        <w:t xml:space="preserve">and the exhibits </w:t>
      </w:r>
      <w:proofErr w:type="gramStart"/>
      <w:r>
        <w:t>thereto</w:t>
      </w:r>
      <w:r w:rsidR="00BE5234">
        <w:t>;</w:t>
      </w:r>
      <w:proofErr w:type="gramEnd"/>
    </w:p>
    <w:p w14:paraId="49422B10" w14:textId="18D692F2" w:rsidR="00A13255" w:rsidRDefault="001D7B98" w:rsidP="001D7B98">
      <w:pPr>
        <w:pStyle w:val="ListNo1alt"/>
        <w:numPr>
          <w:ilvl w:val="0"/>
          <w:numId w:val="0"/>
        </w:numPr>
        <w:tabs>
          <w:tab w:val="left" w:pos="720"/>
        </w:tabs>
        <w:ind w:left="720" w:hanging="720"/>
      </w:pPr>
      <w:r>
        <w:t>(d)</w:t>
      </w:r>
      <w:r>
        <w:tab/>
      </w:r>
      <w:r w:rsidR="00757C32">
        <w:t xml:space="preserve">the </w:t>
      </w:r>
      <w:r w:rsidR="00C668D4">
        <w:t>applicants’ submissions in reply to the Contradictor</w:t>
      </w:r>
      <w:r w:rsidR="00774DAE">
        <w:t>’</w:t>
      </w:r>
      <w:r w:rsidR="00C668D4">
        <w:t>s submissions</w:t>
      </w:r>
      <w:r w:rsidR="00C668D4" w:rsidRPr="00C668D4">
        <w:t xml:space="preserve"> </w:t>
      </w:r>
      <w:r w:rsidR="00C668D4">
        <w:t>dated 31 October 2023.</w:t>
      </w:r>
    </w:p>
    <w:p w14:paraId="0872C35E" w14:textId="612D1048" w:rsidR="002944A7" w:rsidRDefault="001D7B98" w:rsidP="001D7B98">
      <w:pPr>
        <w:pStyle w:val="ParaNumbering"/>
        <w:numPr>
          <w:ilvl w:val="0"/>
          <w:numId w:val="0"/>
        </w:numPr>
        <w:tabs>
          <w:tab w:val="left" w:pos="720"/>
        </w:tabs>
        <w:ind w:hanging="720"/>
      </w:pPr>
      <w:r>
        <w:rPr>
          <w:sz w:val="20"/>
        </w:rPr>
        <w:t>23</w:t>
      </w:r>
      <w:r>
        <w:rPr>
          <w:sz w:val="20"/>
        </w:rPr>
        <w:tab/>
      </w:r>
      <w:r w:rsidR="002944A7">
        <w:t>The Contradictor relies upon submissions dated 16 October 2023 and reply submissions dated 10 November 2023</w:t>
      </w:r>
      <w:r w:rsidR="008106B4">
        <w:t>,</w:t>
      </w:r>
      <w:r w:rsidR="00BE5234">
        <w:t xml:space="preserve"> and claims confidentiality in respect of parts of </w:t>
      </w:r>
      <w:proofErr w:type="gramStart"/>
      <w:r w:rsidR="00BE5234">
        <w:t>them</w:t>
      </w:r>
      <w:r w:rsidR="002944A7">
        <w:t>;</w:t>
      </w:r>
      <w:proofErr w:type="gramEnd"/>
    </w:p>
    <w:p w14:paraId="5AD3A105" w14:textId="1BA9EE70" w:rsidR="00A978B9" w:rsidRDefault="001D7B98" w:rsidP="001D7B98">
      <w:pPr>
        <w:pStyle w:val="ParaNumbering"/>
        <w:numPr>
          <w:ilvl w:val="0"/>
          <w:numId w:val="0"/>
        </w:numPr>
        <w:tabs>
          <w:tab w:val="left" w:pos="720"/>
        </w:tabs>
        <w:ind w:hanging="720"/>
      </w:pPr>
      <w:r>
        <w:rPr>
          <w:sz w:val="20"/>
        </w:rPr>
        <w:t>24</w:t>
      </w:r>
      <w:r>
        <w:rPr>
          <w:sz w:val="20"/>
        </w:rPr>
        <w:tab/>
      </w:r>
      <w:r w:rsidR="009405A0">
        <w:t xml:space="preserve">Mr Levitt, </w:t>
      </w:r>
      <w:r w:rsidR="00370B62">
        <w:t xml:space="preserve">trading as </w:t>
      </w:r>
      <w:r w:rsidR="00774DAE">
        <w:t>Levitt Robinson</w:t>
      </w:r>
      <w:r w:rsidR="009405A0">
        <w:t>,</w:t>
      </w:r>
      <w:r w:rsidR="00774DAE">
        <w:t xml:space="preserve"> was given leave </w:t>
      </w:r>
      <w:r w:rsidR="002944A7">
        <w:t xml:space="preserve">to </w:t>
      </w:r>
      <w:r w:rsidR="00F07E28">
        <w:t xml:space="preserve">file </w:t>
      </w:r>
      <w:r w:rsidR="00774DAE">
        <w:t xml:space="preserve">evidence and make submissions in relation to </w:t>
      </w:r>
      <w:r w:rsidR="00CA4419">
        <w:t>his own</w:t>
      </w:r>
      <w:r w:rsidR="00774DAE">
        <w:t xml:space="preserve"> interests</w:t>
      </w:r>
      <w:r w:rsidR="002944A7">
        <w:t>.</w:t>
      </w:r>
      <w:r w:rsidR="00370B62">
        <w:t xml:space="preserve"> He relies upon the following:</w:t>
      </w:r>
    </w:p>
    <w:p w14:paraId="2B8F7652" w14:textId="436BDA7E" w:rsidR="007D2E2C" w:rsidRDefault="001D7B98" w:rsidP="001D7B98">
      <w:pPr>
        <w:pStyle w:val="ListNo1alt"/>
        <w:numPr>
          <w:ilvl w:val="0"/>
          <w:numId w:val="0"/>
        </w:numPr>
        <w:tabs>
          <w:tab w:val="left" w:pos="720"/>
        </w:tabs>
        <w:ind w:left="720" w:hanging="720"/>
      </w:pPr>
      <w:r>
        <w:t>(a)</w:t>
      </w:r>
      <w:r>
        <w:tab/>
      </w:r>
      <w:r w:rsidR="009D2472">
        <w:t xml:space="preserve">the </w:t>
      </w:r>
      <w:r w:rsidR="00370B62">
        <w:t>affidavit of Mr Levitt sworn 21 October 2022</w:t>
      </w:r>
      <w:r w:rsidR="009D2472">
        <w:t>,</w:t>
      </w:r>
      <w:r w:rsidR="00F748B8">
        <w:t xml:space="preserve"> </w:t>
      </w:r>
      <w:r w:rsidR="006147BF">
        <w:t xml:space="preserve">made </w:t>
      </w:r>
      <w:r w:rsidR="003E41A5">
        <w:t>in support of</w:t>
      </w:r>
      <w:r w:rsidR="006147BF">
        <w:t xml:space="preserve"> the applicants’ application to vacate the trial </w:t>
      </w:r>
      <w:proofErr w:type="gramStart"/>
      <w:r w:rsidR="006147BF">
        <w:t>date</w:t>
      </w:r>
      <w:r w:rsidR="00BE5234">
        <w:t>;</w:t>
      </w:r>
      <w:proofErr w:type="gramEnd"/>
      <w:r w:rsidR="00BE5234">
        <w:t xml:space="preserve"> </w:t>
      </w:r>
    </w:p>
    <w:p w14:paraId="4D06D49D" w14:textId="59EBBAD8" w:rsidR="00D60391" w:rsidRDefault="001D7B98" w:rsidP="001D7B98">
      <w:pPr>
        <w:pStyle w:val="ListNo1alt"/>
        <w:numPr>
          <w:ilvl w:val="0"/>
          <w:numId w:val="0"/>
        </w:numPr>
        <w:tabs>
          <w:tab w:val="left" w:pos="720"/>
        </w:tabs>
        <w:ind w:left="720" w:hanging="720"/>
      </w:pPr>
      <w:r>
        <w:t>(b)</w:t>
      </w:r>
      <w:r>
        <w:tab/>
      </w:r>
      <w:r w:rsidR="007E6278" w:rsidRPr="00F70777">
        <w:t xml:space="preserve">a </w:t>
      </w:r>
      <w:r w:rsidR="00BE5234" w:rsidRPr="00F70777">
        <w:t>c</w:t>
      </w:r>
      <w:r w:rsidR="008246A1" w:rsidRPr="00F70777">
        <w:t xml:space="preserve">onfidential </w:t>
      </w:r>
      <w:r w:rsidR="00FF400C" w:rsidRPr="00F70777">
        <w:t xml:space="preserve">affidavit of Mr Levitt sworn 2 November </w:t>
      </w:r>
      <w:proofErr w:type="gramStart"/>
      <w:r w:rsidR="00FF400C" w:rsidRPr="00F70777">
        <w:t>2023</w:t>
      </w:r>
      <w:r w:rsidR="00BE5234" w:rsidRPr="00F70777">
        <w:t>;</w:t>
      </w:r>
      <w:proofErr w:type="gramEnd"/>
    </w:p>
    <w:p w14:paraId="5BA85B80" w14:textId="50E24F54" w:rsidR="00BE5234" w:rsidRDefault="00BE5234" w:rsidP="00BE5234">
      <w:pPr>
        <w:pStyle w:val="ListNo1alt"/>
        <w:numPr>
          <w:ilvl w:val="0"/>
          <w:numId w:val="0"/>
        </w:numPr>
      </w:pPr>
      <w:r>
        <w:t>and the exhibits thereto; and</w:t>
      </w:r>
    </w:p>
    <w:p w14:paraId="3FBCF05B" w14:textId="4CAB1259" w:rsidR="00BE5234" w:rsidRDefault="001D7B98" w:rsidP="001D7B98">
      <w:pPr>
        <w:pStyle w:val="ListNo1alt"/>
        <w:numPr>
          <w:ilvl w:val="0"/>
          <w:numId w:val="0"/>
        </w:numPr>
        <w:tabs>
          <w:tab w:val="left" w:pos="720"/>
        </w:tabs>
        <w:ind w:left="720" w:hanging="720"/>
      </w:pPr>
      <w:r>
        <w:t>(c)</w:t>
      </w:r>
      <w:r>
        <w:tab/>
      </w:r>
      <w:r w:rsidR="00C3344D">
        <w:t>confidential submissions dated 2 November 2023</w:t>
      </w:r>
      <w:r w:rsidR="005F52A4">
        <w:t>.</w:t>
      </w:r>
    </w:p>
    <w:p w14:paraId="6182FE70" w14:textId="18CB5C92" w:rsidR="00B12A7B" w:rsidRDefault="001D7B98" w:rsidP="001D7B98">
      <w:pPr>
        <w:pStyle w:val="ParaNumbering"/>
        <w:numPr>
          <w:ilvl w:val="0"/>
          <w:numId w:val="0"/>
        </w:numPr>
        <w:tabs>
          <w:tab w:val="left" w:pos="720"/>
        </w:tabs>
        <w:ind w:hanging="720"/>
      </w:pPr>
      <w:r>
        <w:rPr>
          <w:sz w:val="20"/>
        </w:rPr>
        <w:t>25</w:t>
      </w:r>
      <w:r>
        <w:rPr>
          <w:sz w:val="20"/>
        </w:rPr>
        <w:tab/>
      </w:r>
      <w:r w:rsidR="00B12A7B">
        <w:t>Galactic relies upon:</w:t>
      </w:r>
    </w:p>
    <w:p w14:paraId="4846F5D0" w14:textId="2B8141F0" w:rsidR="00B33FDC" w:rsidRDefault="001D7B98" w:rsidP="001D7B98">
      <w:pPr>
        <w:pStyle w:val="ListNo1alt"/>
        <w:numPr>
          <w:ilvl w:val="0"/>
          <w:numId w:val="0"/>
        </w:numPr>
        <w:tabs>
          <w:tab w:val="left" w:pos="720"/>
        </w:tabs>
        <w:ind w:left="720" w:hanging="720"/>
      </w:pPr>
      <w:r>
        <w:t>(a)</w:t>
      </w:r>
      <w:r>
        <w:tab/>
      </w:r>
      <w:r w:rsidR="00B12A7B">
        <w:t>the affidavit of Fredrick Schulman,</w:t>
      </w:r>
      <w:r w:rsidR="00B33FDC">
        <w:t xml:space="preserve"> Galactic’s sole director, </w:t>
      </w:r>
      <w:r w:rsidR="00B12A7B">
        <w:t>sworn 27 October 2023</w:t>
      </w:r>
      <w:r w:rsidR="00B33FDC">
        <w:t>; and</w:t>
      </w:r>
    </w:p>
    <w:p w14:paraId="6709A33C" w14:textId="4DED812C" w:rsidR="00FE1238" w:rsidRDefault="001D7B98" w:rsidP="001D7B98">
      <w:pPr>
        <w:pStyle w:val="ListNo1alt"/>
        <w:numPr>
          <w:ilvl w:val="0"/>
          <w:numId w:val="0"/>
        </w:numPr>
        <w:tabs>
          <w:tab w:val="left" w:pos="720"/>
        </w:tabs>
        <w:ind w:left="720" w:hanging="720"/>
      </w:pPr>
      <w:r>
        <w:t>(b)</w:t>
      </w:r>
      <w:r>
        <w:tab/>
      </w:r>
      <w:r w:rsidR="00B33FDC">
        <w:t>submissions</w:t>
      </w:r>
      <w:r w:rsidR="00360F1D">
        <w:t xml:space="preserve"> dated 3 November 2023.</w:t>
      </w:r>
    </w:p>
    <w:p w14:paraId="73F75E06" w14:textId="1AD73A8A" w:rsidR="00D45A89" w:rsidRDefault="001D7B98" w:rsidP="001D7B98">
      <w:pPr>
        <w:pStyle w:val="ParaNumbering"/>
        <w:numPr>
          <w:ilvl w:val="0"/>
          <w:numId w:val="0"/>
        </w:numPr>
        <w:tabs>
          <w:tab w:val="left" w:pos="720"/>
        </w:tabs>
        <w:ind w:hanging="720"/>
      </w:pPr>
      <w:r>
        <w:rPr>
          <w:sz w:val="20"/>
        </w:rPr>
        <w:t>26</w:t>
      </w:r>
      <w:r>
        <w:rPr>
          <w:sz w:val="20"/>
        </w:rPr>
        <w:tab/>
      </w:r>
      <w:r w:rsidR="00D45A89">
        <w:t>The Costs Referee’s report</w:t>
      </w:r>
      <w:r w:rsidR="00200B95">
        <w:t>s</w:t>
      </w:r>
      <w:r w:rsidR="00D45A89">
        <w:t xml:space="preserve"> dated</w:t>
      </w:r>
      <w:r w:rsidR="00200B95">
        <w:t xml:space="preserve"> 26 July 2023, 10 August 2023, 14 November </w:t>
      </w:r>
      <w:proofErr w:type="gramStart"/>
      <w:r w:rsidR="00200B95">
        <w:t>2023</w:t>
      </w:r>
      <w:proofErr w:type="gramEnd"/>
      <w:r w:rsidR="00200B95">
        <w:t xml:space="preserve"> and 21 November 2023 are also before the Court.</w:t>
      </w:r>
    </w:p>
    <w:p w14:paraId="649F6B83" w14:textId="0A1D2313" w:rsidR="00360F1D" w:rsidRDefault="001D7B98" w:rsidP="001D7B98">
      <w:pPr>
        <w:pStyle w:val="ParaNumbering"/>
        <w:numPr>
          <w:ilvl w:val="0"/>
          <w:numId w:val="0"/>
        </w:numPr>
        <w:tabs>
          <w:tab w:val="left" w:pos="720"/>
        </w:tabs>
        <w:ind w:hanging="720"/>
      </w:pPr>
      <w:r>
        <w:rPr>
          <w:sz w:val="20"/>
        </w:rPr>
        <w:t>27</w:t>
      </w:r>
      <w:r>
        <w:rPr>
          <w:sz w:val="20"/>
        </w:rPr>
        <w:tab/>
      </w:r>
      <w:r w:rsidR="00360F1D">
        <w:t>I have drawn directly and indirectly on the affidavits and written submissions in these reasons</w:t>
      </w:r>
      <w:r w:rsidR="00582DAB">
        <w:t>.</w:t>
      </w:r>
      <w:r w:rsidR="001E1909">
        <w:t xml:space="preserve"> </w:t>
      </w:r>
    </w:p>
    <w:p w14:paraId="522D6A6C" w14:textId="296A0854" w:rsidR="00360F1D" w:rsidRDefault="001D7B98" w:rsidP="008B5117">
      <w:pPr>
        <w:pStyle w:val="Heading1"/>
      </w:pPr>
      <w:r>
        <w:rPr>
          <w:caps w:val="0"/>
        </w:rPr>
        <w:t>THE RELEVANT PRINCIPLES</w:t>
      </w:r>
    </w:p>
    <w:p w14:paraId="266E1830" w14:textId="1B2F8C11" w:rsidR="008B5117" w:rsidRDefault="001D7B98" w:rsidP="001D7B98">
      <w:pPr>
        <w:pStyle w:val="ParaNumbering"/>
        <w:numPr>
          <w:ilvl w:val="0"/>
          <w:numId w:val="0"/>
        </w:numPr>
        <w:tabs>
          <w:tab w:val="left" w:pos="720"/>
        </w:tabs>
        <w:ind w:hanging="720"/>
      </w:pPr>
      <w:r>
        <w:rPr>
          <w:sz w:val="20"/>
        </w:rPr>
        <w:t>28</w:t>
      </w:r>
      <w:r>
        <w:rPr>
          <w:sz w:val="20"/>
        </w:rPr>
        <w:tab/>
      </w:r>
      <w:r w:rsidR="008B5117">
        <w:t xml:space="preserve">The applicable principles in relation to settlement approval under s 33V of the Act are well-established and I recently set them out in </w:t>
      </w:r>
      <w:r w:rsidR="008B5117" w:rsidRPr="0007513E">
        <w:rPr>
          <w:i/>
        </w:rPr>
        <w:t>Webb</w:t>
      </w:r>
      <w:r w:rsidR="008B5117" w:rsidRPr="00AC782C">
        <w:rPr>
          <w:i/>
        </w:rPr>
        <w:t xml:space="preserve"> v </w:t>
      </w:r>
      <w:proofErr w:type="spellStart"/>
      <w:r w:rsidR="008B5117" w:rsidRPr="00AC782C">
        <w:rPr>
          <w:i/>
        </w:rPr>
        <w:t>GetSwift</w:t>
      </w:r>
      <w:proofErr w:type="spellEnd"/>
      <w:r w:rsidR="008B5117" w:rsidRPr="00AC782C">
        <w:rPr>
          <w:i/>
        </w:rPr>
        <w:t xml:space="preserve"> Limited (No 7) </w:t>
      </w:r>
      <w:r w:rsidR="008B5117" w:rsidRPr="00AC782C">
        <w:t>[2023] FCA 90 at [15]-[17]</w:t>
      </w:r>
      <w:r w:rsidR="008B5117">
        <w:t>. The organising principle of s 33</w:t>
      </w:r>
      <w:proofErr w:type="gramStart"/>
      <w:r w:rsidR="008B5117">
        <w:t>V(</w:t>
      </w:r>
      <w:proofErr w:type="gramEnd"/>
      <w:r w:rsidR="008B5117">
        <w:t>1) is whether the proposed settlement is fair and reasonable and in the interests of the group members to be bound by the settlement, including as between the group members. Upon the Court deciding to approve</w:t>
      </w:r>
      <w:r w:rsidR="008B5117" w:rsidDel="00BB76B0">
        <w:t xml:space="preserve"> </w:t>
      </w:r>
      <w:r w:rsidR="00BB76B0">
        <w:t xml:space="preserve">a </w:t>
      </w:r>
      <w:r w:rsidR="008B5117">
        <w:t>proposed settlement, s 33</w:t>
      </w:r>
      <w:proofErr w:type="gramStart"/>
      <w:r w:rsidR="008B5117">
        <w:t>V(</w:t>
      </w:r>
      <w:proofErr w:type="gramEnd"/>
      <w:r w:rsidR="008B5117">
        <w:t xml:space="preserve">2) empowers the Court to “make such orders as are just with respect to the distribution of any money paid under a settlement”. </w:t>
      </w:r>
    </w:p>
    <w:p w14:paraId="3FC0F5D1" w14:textId="463C87B9" w:rsidR="00162091" w:rsidRDefault="001D7B98" w:rsidP="001D7B98">
      <w:pPr>
        <w:pStyle w:val="ParaNumbering"/>
        <w:numPr>
          <w:ilvl w:val="0"/>
          <w:numId w:val="0"/>
        </w:numPr>
        <w:tabs>
          <w:tab w:val="left" w:pos="720"/>
        </w:tabs>
        <w:ind w:hanging="720"/>
      </w:pPr>
      <w:r>
        <w:rPr>
          <w:sz w:val="20"/>
        </w:rPr>
        <w:t>29</w:t>
      </w:r>
      <w:r>
        <w:rPr>
          <w:sz w:val="20"/>
        </w:rPr>
        <w:tab/>
      </w:r>
      <w:r w:rsidR="00360646">
        <w:t>T</w:t>
      </w:r>
      <w:r w:rsidR="00F337BD" w:rsidRPr="00F337BD">
        <w:t>here are three essential questions to be addressed</w:t>
      </w:r>
      <w:r w:rsidR="00BB76B0">
        <w:t xml:space="preserve"> in the approval application</w:t>
      </w:r>
      <w:r w:rsidR="00F337BD" w:rsidRPr="00F337BD">
        <w:t xml:space="preserve">: </w:t>
      </w:r>
    </w:p>
    <w:p w14:paraId="416F33AA" w14:textId="75BF4810" w:rsidR="00F337BD" w:rsidRDefault="001D7B98" w:rsidP="001D7B98">
      <w:pPr>
        <w:pStyle w:val="ListNo1alt"/>
        <w:numPr>
          <w:ilvl w:val="0"/>
          <w:numId w:val="0"/>
        </w:numPr>
        <w:tabs>
          <w:tab w:val="left" w:pos="720"/>
        </w:tabs>
        <w:ind w:left="720" w:hanging="720"/>
      </w:pPr>
      <w:r>
        <w:lastRenderedPageBreak/>
        <w:t>(a)</w:t>
      </w:r>
      <w:r>
        <w:tab/>
      </w:r>
      <w:r w:rsidR="00F337BD" w:rsidRPr="00F337BD">
        <w:t>whether the proposed settlement is fair and reasonable having regard to the interests of the group members considered as a whole</w:t>
      </w:r>
      <w:r w:rsidR="00D83360">
        <w:t xml:space="preserve">, the </w:t>
      </w:r>
      <w:r w:rsidR="00D83360" w:rsidRPr="00162091">
        <w:rPr>
          <w:i/>
          <w:iCs/>
        </w:rPr>
        <w:t>inter partes</w:t>
      </w:r>
      <w:r w:rsidR="00D83360">
        <w:rPr>
          <w:i/>
          <w:iCs/>
        </w:rPr>
        <w:t xml:space="preserve"> </w:t>
      </w:r>
      <w:proofErr w:type="gramStart"/>
      <w:r w:rsidR="00D83360">
        <w:rPr>
          <w:iCs/>
        </w:rPr>
        <w:t>question</w:t>
      </w:r>
      <w:r w:rsidR="00F337BD" w:rsidRPr="00F337BD">
        <w:t>;</w:t>
      </w:r>
      <w:proofErr w:type="gramEnd"/>
      <w:r w:rsidR="00F337BD" w:rsidRPr="00F337BD">
        <w:t xml:space="preserve"> </w:t>
      </w:r>
    </w:p>
    <w:p w14:paraId="502CAF38" w14:textId="73FE16D8" w:rsidR="00360646" w:rsidRPr="00360646" w:rsidRDefault="001D7B98" w:rsidP="001D7B98">
      <w:pPr>
        <w:pStyle w:val="ListNo1alt"/>
        <w:numPr>
          <w:ilvl w:val="0"/>
          <w:numId w:val="0"/>
        </w:numPr>
        <w:tabs>
          <w:tab w:val="left" w:pos="720"/>
        </w:tabs>
        <w:ind w:left="720" w:hanging="720"/>
      </w:pPr>
      <w:r w:rsidRPr="00360646">
        <w:t>(b)</w:t>
      </w:r>
      <w:r w:rsidRPr="00360646">
        <w:tab/>
      </w:r>
      <w:r w:rsidR="00F337BD" w:rsidRPr="00F337BD">
        <w:t>whether the proposed arrangements for sharing any settlement fund between the</w:t>
      </w:r>
      <w:r w:rsidR="00162091">
        <w:t xml:space="preserve"> applicants and group members </w:t>
      </w:r>
      <w:r w:rsidR="00F337BD" w:rsidRPr="00F337BD">
        <w:t>are fair and reasonable, again having regard to the interests of the group members considered as a whole</w:t>
      </w:r>
      <w:r w:rsidR="00D83360">
        <w:t>, the</w:t>
      </w:r>
      <w:r w:rsidR="00D83360" w:rsidRPr="00D83360">
        <w:rPr>
          <w:i/>
          <w:iCs/>
        </w:rPr>
        <w:t xml:space="preserve"> </w:t>
      </w:r>
      <w:r w:rsidR="00D83360" w:rsidRPr="00461118">
        <w:rPr>
          <w:i/>
          <w:iCs/>
        </w:rPr>
        <w:t>inter se</w:t>
      </w:r>
      <w:r w:rsidR="00D83360">
        <w:rPr>
          <w:i/>
          <w:iCs/>
        </w:rPr>
        <w:t xml:space="preserve"> </w:t>
      </w:r>
      <w:r w:rsidR="00D83360">
        <w:rPr>
          <w:iCs/>
        </w:rPr>
        <w:t>question</w:t>
      </w:r>
      <w:r w:rsidR="00360646">
        <w:rPr>
          <w:iCs/>
        </w:rPr>
        <w:t>; and</w:t>
      </w:r>
    </w:p>
    <w:p w14:paraId="30B39619" w14:textId="5819E1F3" w:rsidR="00F337BD" w:rsidRPr="00F337BD" w:rsidRDefault="001D7B98" w:rsidP="001D7B98">
      <w:pPr>
        <w:pStyle w:val="ListNo1alt"/>
        <w:numPr>
          <w:ilvl w:val="0"/>
          <w:numId w:val="0"/>
        </w:numPr>
        <w:tabs>
          <w:tab w:val="left" w:pos="720"/>
        </w:tabs>
        <w:ind w:left="720" w:hanging="720"/>
      </w:pPr>
      <w:r w:rsidRPr="00F337BD">
        <w:t>(c)</w:t>
      </w:r>
      <w:r w:rsidRPr="00F337BD">
        <w:tab/>
      </w:r>
      <w:r w:rsidR="00360646">
        <w:t>as an aspect of (</w:t>
      </w:r>
      <w:r w:rsidR="00330E31">
        <w:t xml:space="preserve">b) above, </w:t>
      </w:r>
      <w:r w:rsidR="00F337BD" w:rsidRPr="00F337BD">
        <w:t xml:space="preserve">whether </w:t>
      </w:r>
      <w:r w:rsidR="00330E31">
        <w:t xml:space="preserve">the </w:t>
      </w:r>
      <w:r w:rsidR="00F337BD" w:rsidRPr="00F337BD">
        <w:t>proposed deductions from the settlement fund</w:t>
      </w:r>
      <w:r w:rsidR="00330E31">
        <w:t xml:space="preserve"> before distribution to the group members</w:t>
      </w:r>
      <w:r w:rsidR="00F337BD" w:rsidRPr="00F337BD">
        <w:t>,</w:t>
      </w:r>
      <w:r w:rsidR="00330E31">
        <w:t xml:space="preserve"> for example, </w:t>
      </w:r>
      <w:r w:rsidR="00F337BD" w:rsidRPr="00F337BD">
        <w:t>legal costs</w:t>
      </w:r>
      <w:r w:rsidR="003D7C6B">
        <w:t>, litigation funding charges, a reimbursement payment to the applicant</w:t>
      </w:r>
      <w:r w:rsidR="00F337BD" w:rsidRPr="00F337BD">
        <w:t xml:space="preserve"> and</w:t>
      </w:r>
      <w:r w:rsidR="003D7C6B">
        <w:t xml:space="preserve"> settlement administration costs </w:t>
      </w:r>
      <w:r w:rsidR="00F337BD" w:rsidRPr="00F337BD">
        <w:t>are reasonable</w:t>
      </w:r>
      <w:r w:rsidR="00330E31">
        <w:t xml:space="preserve"> such that it is appropriate to approve them</w:t>
      </w:r>
      <w:r w:rsidR="00F337BD" w:rsidRPr="00F337BD">
        <w:t xml:space="preserve">. </w:t>
      </w:r>
    </w:p>
    <w:p w14:paraId="7B37760D" w14:textId="7D45F68E" w:rsidR="00A10162" w:rsidRDefault="001D7B98" w:rsidP="00A10162">
      <w:pPr>
        <w:pStyle w:val="Heading1"/>
      </w:pPr>
      <w:r>
        <w:rPr>
          <w:caps w:val="0"/>
        </w:rPr>
        <w:t>THE ROLE OF THE CONTRADICTOR</w:t>
      </w:r>
    </w:p>
    <w:p w14:paraId="15F43B70" w14:textId="30737345" w:rsidR="002104FD" w:rsidRDefault="001D7B98" w:rsidP="001D7B98">
      <w:pPr>
        <w:pStyle w:val="ParaNumbering"/>
        <w:numPr>
          <w:ilvl w:val="0"/>
          <w:numId w:val="0"/>
        </w:numPr>
        <w:tabs>
          <w:tab w:val="left" w:pos="720"/>
        </w:tabs>
        <w:ind w:hanging="720"/>
      </w:pPr>
      <w:r>
        <w:rPr>
          <w:sz w:val="20"/>
        </w:rPr>
        <w:t>30</w:t>
      </w:r>
      <w:r>
        <w:rPr>
          <w:sz w:val="20"/>
        </w:rPr>
        <w:tab/>
      </w:r>
      <w:r w:rsidR="002104FD">
        <w:t>The precise role of a contradictor in any case will be defined by the terms of their appointment</w:t>
      </w:r>
      <w:r w:rsidR="002104FD" w:rsidRPr="002104FD">
        <w:t xml:space="preserve"> </w:t>
      </w:r>
      <w:r w:rsidR="002104FD">
        <w:t>by the Court. Here, my orders specified that the Contradictor’s role was to represent the interests of group members and to assist the Court to perform its judicial function in deciding whether the proposed settlement of this proceeding is fair and reasonable having regard to the interests of group members who will be bound by the settlement (if approved), and as between group members.</w:t>
      </w:r>
    </w:p>
    <w:p w14:paraId="0DF9F2BD" w14:textId="4B2DA082" w:rsidR="00F96D0D" w:rsidRDefault="001D7B98" w:rsidP="001D7B98">
      <w:pPr>
        <w:pStyle w:val="ParaNumbering"/>
        <w:numPr>
          <w:ilvl w:val="0"/>
          <w:numId w:val="0"/>
        </w:numPr>
        <w:tabs>
          <w:tab w:val="left" w:pos="720"/>
        </w:tabs>
        <w:ind w:hanging="720"/>
      </w:pPr>
      <w:r>
        <w:rPr>
          <w:sz w:val="20"/>
        </w:rPr>
        <w:t>31</w:t>
      </w:r>
      <w:r>
        <w:rPr>
          <w:sz w:val="20"/>
        </w:rPr>
        <w:tab/>
      </w:r>
      <w:r w:rsidR="00E900B9">
        <w:t xml:space="preserve">Contradictors are regularly appointed in </w:t>
      </w:r>
      <w:r w:rsidR="002104FD">
        <w:t>this context</w:t>
      </w:r>
      <w:r w:rsidR="00F82921">
        <w:t xml:space="preserve">. </w:t>
      </w:r>
      <w:r w:rsidR="002104FD">
        <w:t>I</w:t>
      </w:r>
      <w:r w:rsidR="00F96D0D">
        <w:t xml:space="preserve">n </w:t>
      </w:r>
      <w:r w:rsidR="00F96D0D" w:rsidRPr="00AC782C">
        <w:rPr>
          <w:i/>
        </w:rPr>
        <w:t>Bolitho v Banksia Securities Ltd (No 6)</w:t>
      </w:r>
      <w:r w:rsidR="00F96D0D" w:rsidRPr="00AC782C">
        <w:t xml:space="preserve"> [2019] VSC 653 at [123]</w:t>
      </w:r>
      <w:r w:rsidR="002104FD">
        <w:t xml:space="preserve"> Justice John Dixon observed as follows</w:t>
      </w:r>
      <w:r w:rsidR="00F96D0D">
        <w:t>:</w:t>
      </w:r>
    </w:p>
    <w:p w14:paraId="527A028B" w14:textId="77777777" w:rsidR="00A92A37" w:rsidRPr="002104FD" w:rsidRDefault="00A92A37" w:rsidP="00A92A37">
      <w:pPr>
        <w:pStyle w:val="Quote1"/>
      </w:pPr>
      <w:r w:rsidRPr="00A92A37">
        <w:t xml:space="preserve">The court appoints a contradictor on a s 33V application </w:t>
      </w:r>
      <w:proofErr w:type="gramStart"/>
      <w:r w:rsidRPr="00A92A37">
        <w:t>in order to</w:t>
      </w:r>
      <w:proofErr w:type="gramEnd"/>
      <w:r w:rsidRPr="00A92A37">
        <w:t xml:space="preserve"> more effectively discharge its judicial function. In doing so, a court does no more than refine its process to the task. In my view</w:t>
      </w:r>
      <w:r>
        <w:t>…</w:t>
      </w:r>
      <w:r w:rsidRPr="00A92A37">
        <w:t xml:space="preserve">a contradictor appointed by a court on a s 33V application </w:t>
      </w:r>
      <w:proofErr w:type="gramStart"/>
      <w:r w:rsidRPr="002104FD">
        <w:t>has,</w:t>
      </w:r>
      <w:proofErr w:type="gramEnd"/>
      <w:r w:rsidRPr="002104FD">
        <w:t xml:space="preserve"> on behalf of and for the benefit of group members, the rights and powers of a party to the dispute unless the scope and extent of such powers is expressly constrained by the appointing court or necessarily constrained by the context of the appointment.</w:t>
      </w:r>
    </w:p>
    <w:p w14:paraId="26BBE52F" w14:textId="71EDCF11" w:rsidR="00E900B9" w:rsidRDefault="001D7B98" w:rsidP="001D7B98">
      <w:pPr>
        <w:pStyle w:val="ParaNumbering"/>
        <w:numPr>
          <w:ilvl w:val="0"/>
          <w:numId w:val="0"/>
        </w:numPr>
        <w:tabs>
          <w:tab w:val="left" w:pos="720"/>
        </w:tabs>
        <w:ind w:hanging="720"/>
      </w:pPr>
      <w:r>
        <w:rPr>
          <w:sz w:val="20"/>
        </w:rPr>
        <w:t>32</w:t>
      </w:r>
      <w:r>
        <w:rPr>
          <w:sz w:val="20"/>
        </w:rPr>
        <w:tab/>
      </w:r>
      <w:r w:rsidR="00BB76B0">
        <w:t>T</w:t>
      </w:r>
      <w:r w:rsidR="002104FD">
        <w:t xml:space="preserve">he appointment of </w:t>
      </w:r>
      <w:r w:rsidR="00037A96">
        <w:t xml:space="preserve">a </w:t>
      </w:r>
      <w:r w:rsidR="006169D3">
        <w:t>c</w:t>
      </w:r>
      <w:r w:rsidR="00A92A37">
        <w:t>ontradictor</w:t>
      </w:r>
      <w:r w:rsidR="002104FD">
        <w:t xml:space="preserve"> to represent the interests of absent group members </w:t>
      </w:r>
      <w:r w:rsidR="00BB76B0">
        <w:t xml:space="preserve">in a settlement approval application </w:t>
      </w:r>
      <w:r w:rsidR="00D55E08">
        <w:t>can</w:t>
      </w:r>
      <w:r w:rsidR="00037A96">
        <w:t xml:space="preserve"> provide real assistance to the Court in the discharge of its judicial function.</w:t>
      </w:r>
      <w:r w:rsidR="00330E31">
        <w:t xml:space="preserve"> </w:t>
      </w:r>
      <w:r w:rsidR="000E3250">
        <w:t>Sometimes</w:t>
      </w:r>
      <w:r w:rsidR="000E3250" w:rsidDel="00BB76B0">
        <w:t xml:space="preserve"> </w:t>
      </w:r>
      <w:r w:rsidR="00BB76B0">
        <w:t xml:space="preserve">a contradictor’s submissions shine a </w:t>
      </w:r>
      <w:r w:rsidR="000E3250">
        <w:t>light</w:t>
      </w:r>
      <w:r w:rsidR="000E3250" w:rsidDel="00BB76B0">
        <w:t xml:space="preserve"> </w:t>
      </w:r>
      <w:r w:rsidR="000E3250">
        <w:t xml:space="preserve">into the dark corners of a proposed settlement, </w:t>
      </w:r>
      <w:r w:rsidR="00B10BDF">
        <w:t>in circumstances where the parties (both friends of the deal) fail to do so.  Appointment of a contradictor can</w:t>
      </w:r>
      <w:r w:rsidR="000E3250">
        <w:t xml:space="preserve"> </w:t>
      </w:r>
      <w:r w:rsidR="000E3250" w:rsidRPr="00F85B08">
        <w:t xml:space="preserve">be a useful tool in ensuring “both that justice is done and is seen to be done”: J Kirk SC (as his Honour then was), </w:t>
      </w:r>
      <w:r w:rsidR="00CE4B61">
        <w:t>“</w:t>
      </w:r>
      <w:r w:rsidR="000E3250" w:rsidRPr="00F02A52">
        <w:t>The Case for Contradictors in Approving Class Action Settlements</w:t>
      </w:r>
      <w:r w:rsidR="00CE4B61" w:rsidRPr="00F02A52">
        <w:t>”</w:t>
      </w:r>
      <w:r w:rsidR="000E3250" w:rsidRPr="00F85B08">
        <w:t xml:space="preserve"> (2018) 92 </w:t>
      </w:r>
      <w:r w:rsidR="000E3250" w:rsidRPr="00F02A52">
        <w:rPr>
          <w:i/>
        </w:rPr>
        <w:t>Australian Law Journal</w:t>
      </w:r>
      <w:r w:rsidR="000E3250" w:rsidRPr="00F85B08">
        <w:t xml:space="preserve"> 716</w:t>
      </w:r>
      <w:r w:rsidR="00B1543A">
        <w:t>,</w:t>
      </w:r>
      <w:r w:rsidR="000E3250" w:rsidRPr="00F85B08">
        <w:t xml:space="preserve"> 729</w:t>
      </w:r>
      <w:r w:rsidR="000E3250">
        <w:t xml:space="preserve">. </w:t>
      </w:r>
    </w:p>
    <w:p w14:paraId="32E04199" w14:textId="6435759C" w:rsidR="000E3250" w:rsidRDefault="001D7B98" w:rsidP="001D7B98">
      <w:pPr>
        <w:pStyle w:val="ParaNumbering"/>
        <w:numPr>
          <w:ilvl w:val="0"/>
          <w:numId w:val="0"/>
        </w:numPr>
        <w:tabs>
          <w:tab w:val="left" w:pos="720"/>
        </w:tabs>
        <w:ind w:hanging="720"/>
      </w:pPr>
      <w:r>
        <w:rPr>
          <w:sz w:val="20"/>
        </w:rPr>
        <w:lastRenderedPageBreak/>
        <w:t>33</w:t>
      </w:r>
      <w:r>
        <w:rPr>
          <w:sz w:val="20"/>
        </w:rPr>
        <w:tab/>
      </w:r>
      <w:r w:rsidR="005275F0">
        <w:t>Here, the</w:t>
      </w:r>
      <w:r w:rsidR="005275F0" w:rsidRPr="005275F0">
        <w:t xml:space="preserve"> </w:t>
      </w:r>
      <w:r w:rsidR="005275F0">
        <w:t xml:space="preserve">Contradictor </w:t>
      </w:r>
      <w:r w:rsidR="000E3250">
        <w:t xml:space="preserve">accepted that its role </w:t>
      </w:r>
      <w:r w:rsidR="005275F0">
        <w:t>was to act as counsel for the group members who are not otherwise directly represented before the Court</w:t>
      </w:r>
      <w:r w:rsidR="00B10BDF">
        <w:t xml:space="preserve">. </w:t>
      </w:r>
      <w:r w:rsidR="006F4337">
        <w:t xml:space="preserve">The Contradictor said, correctly in my view, that its role was </w:t>
      </w:r>
      <w:r w:rsidR="005275F0">
        <w:t>not to take every arguable point</w:t>
      </w:r>
      <w:r w:rsidR="00CA755E">
        <w:t xml:space="preserve"> that might be said to be in the group members’ interests</w:t>
      </w:r>
      <w:r w:rsidR="005275F0">
        <w:t xml:space="preserve">, but rather to exercise the normal and proper forensic judgements of counsel in determining what submissions ought be made in the interests of those they represent, and to assist the Court to exercise its protective role under s 33V: </w:t>
      </w:r>
      <w:r w:rsidR="005275F0" w:rsidRPr="00AC782C">
        <w:rPr>
          <w:i/>
        </w:rPr>
        <w:t xml:space="preserve">Gill v Ethicon </w:t>
      </w:r>
      <w:proofErr w:type="spellStart"/>
      <w:r w:rsidR="005275F0" w:rsidRPr="00AC782C">
        <w:rPr>
          <w:i/>
        </w:rPr>
        <w:t>S</w:t>
      </w:r>
      <w:r w:rsidR="002933EA" w:rsidRPr="00AC782C">
        <w:rPr>
          <w:i/>
          <w:color w:val="3D3D3D"/>
          <w:szCs w:val="24"/>
          <w:shd w:val="clear" w:color="auto" w:fill="FFFFFF"/>
        </w:rPr>
        <w:t>à</w:t>
      </w:r>
      <w:r w:rsidR="005275F0" w:rsidRPr="00AC782C">
        <w:rPr>
          <w:i/>
        </w:rPr>
        <w:t>rl</w:t>
      </w:r>
      <w:proofErr w:type="spellEnd"/>
      <w:r w:rsidR="005275F0" w:rsidRPr="00AC782C">
        <w:rPr>
          <w:i/>
        </w:rPr>
        <w:t xml:space="preserve"> (No 10)</w:t>
      </w:r>
      <w:r w:rsidR="005275F0" w:rsidRPr="00AC782C">
        <w:t xml:space="preserve"> [2023] FCA 228 at [42] (Lee J)</w:t>
      </w:r>
      <w:r w:rsidR="005275F0" w:rsidRPr="002647FD">
        <w:t>.</w:t>
      </w:r>
      <w:r w:rsidR="005275F0">
        <w:t xml:space="preserve"> That</w:t>
      </w:r>
      <w:r w:rsidR="000E3250">
        <w:t xml:space="preserve"> includes, where appropriate, </w:t>
      </w:r>
      <w:r w:rsidR="005275F0">
        <w:t>explaining to the Court why the contradictor</w:t>
      </w:r>
      <w:r w:rsidR="00CC1E7E">
        <w:t xml:space="preserve"> chooses </w:t>
      </w:r>
      <w:r w:rsidR="005275F0">
        <w:t xml:space="preserve">not to take a point, or </w:t>
      </w:r>
      <w:r w:rsidR="00CC1E7E">
        <w:t xml:space="preserve">to </w:t>
      </w:r>
      <w:r w:rsidR="005275F0">
        <w:t>make a submission, that might be regarded as open. That is so because it is important that the Court be satisfied that its appointed contradictor has not overlooked something that the Court would expect to have been considered.</w:t>
      </w:r>
      <w:r w:rsidR="000E3250">
        <w:t xml:space="preserve"> </w:t>
      </w:r>
    </w:p>
    <w:p w14:paraId="7469599D" w14:textId="2C195DEF" w:rsidR="000E3250" w:rsidRDefault="001D7B98" w:rsidP="001D7B98">
      <w:pPr>
        <w:pStyle w:val="ParaNumbering"/>
        <w:numPr>
          <w:ilvl w:val="0"/>
          <w:numId w:val="0"/>
        </w:numPr>
        <w:tabs>
          <w:tab w:val="left" w:pos="720"/>
        </w:tabs>
        <w:ind w:hanging="720"/>
      </w:pPr>
      <w:r>
        <w:rPr>
          <w:sz w:val="20"/>
        </w:rPr>
        <w:t>34</w:t>
      </w:r>
      <w:r>
        <w:rPr>
          <w:sz w:val="20"/>
        </w:rPr>
        <w:tab/>
      </w:r>
      <w:r w:rsidR="00CA755E">
        <w:t>T</w:t>
      </w:r>
      <w:r w:rsidR="009878BC">
        <w:t>he Contradictor’s submissions</w:t>
      </w:r>
      <w:r w:rsidR="00CA755E">
        <w:t xml:space="preserve"> in this case were helpful. T</w:t>
      </w:r>
      <w:r w:rsidR="009878BC">
        <w:t xml:space="preserve">hey </w:t>
      </w:r>
      <w:r w:rsidR="00CC1E7E">
        <w:t>brought to light a concern in relation to</w:t>
      </w:r>
      <w:r w:rsidR="009878BC">
        <w:t xml:space="preserve"> the </w:t>
      </w:r>
      <w:r w:rsidR="00CA755E">
        <w:t xml:space="preserve">quantum of the </w:t>
      </w:r>
      <w:r w:rsidR="009878BC">
        <w:t>legal costs proposed to be</w:t>
      </w:r>
      <w:r w:rsidR="009878BC" w:rsidDel="00CA755E">
        <w:t xml:space="preserve"> </w:t>
      </w:r>
      <w:r w:rsidR="00CA755E">
        <w:t xml:space="preserve">deducted from the settlement fund and paid to the applicants’ lawyers, </w:t>
      </w:r>
      <w:r w:rsidR="00CC1E7E">
        <w:t>which</w:t>
      </w:r>
      <w:r w:rsidR="009878BC" w:rsidDel="00CA755E">
        <w:t xml:space="preserve"> </w:t>
      </w:r>
      <w:r w:rsidR="00CA755E">
        <w:t>no other party brought to my attention</w:t>
      </w:r>
      <w:r w:rsidR="00CC1E7E">
        <w:t>.</w:t>
      </w:r>
    </w:p>
    <w:p w14:paraId="5233CBF2" w14:textId="1A953E0B" w:rsidR="0012077B" w:rsidRDefault="001D7B98" w:rsidP="0012077B">
      <w:pPr>
        <w:pStyle w:val="Heading1"/>
      </w:pPr>
      <w:r>
        <w:rPr>
          <w:caps w:val="0"/>
        </w:rPr>
        <w:t>OVERVIEW OF THE PROCEEDING</w:t>
      </w:r>
    </w:p>
    <w:p w14:paraId="066DB66C" w14:textId="0B3930FF" w:rsidR="00CE06DD" w:rsidRDefault="001D7B98" w:rsidP="001D7B98">
      <w:pPr>
        <w:pStyle w:val="ParaNumbering"/>
        <w:numPr>
          <w:ilvl w:val="0"/>
          <w:numId w:val="0"/>
        </w:numPr>
        <w:tabs>
          <w:tab w:val="left" w:pos="720"/>
        </w:tabs>
        <w:ind w:hanging="720"/>
      </w:pPr>
      <w:r>
        <w:rPr>
          <w:sz w:val="20"/>
        </w:rPr>
        <w:t>35</w:t>
      </w:r>
      <w:r>
        <w:rPr>
          <w:sz w:val="20"/>
        </w:rPr>
        <w:tab/>
      </w:r>
      <w:r w:rsidR="00CE06DD">
        <w:t>The essence of the applicants’ and group members’ claims is that Aveo, having sold to them rights to occupy their retirement village units upon a certain set of terms, then:</w:t>
      </w:r>
    </w:p>
    <w:p w14:paraId="39FBEFB4" w14:textId="5A29A8AF" w:rsidR="00CE06DD" w:rsidRDefault="001D7B98" w:rsidP="001D7B98">
      <w:pPr>
        <w:pStyle w:val="ListNo1alt"/>
        <w:numPr>
          <w:ilvl w:val="0"/>
          <w:numId w:val="0"/>
        </w:numPr>
        <w:tabs>
          <w:tab w:val="left" w:pos="720"/>
        </w:tabs>
        <w:ind w:left="720" w:hanging="720"/>
      </w:pPr>
      <w:r>
        <w:t>(a)</w:t>
      </w:r>
      <w:r>
        <w:tab/>
      </w:r>
      <w:r w:rsidR="00CE06DD">
        <w:t xml:space="preserve">altered the terms on which new residents might be offered units; and </w:t>
      </w:r>
    </w:p>
    <w:p w14:paraId="11279526" w14:textId="7DDB1E63" w:rsidR="00CE06DD" w:rsidRDefault="001D7B98" w:rsidP="001D7B98">
      <w:pPr>
        <w:pStyle w:val="ListNo1alt"/>
        <w:numPr>
          <w:ilvl w:val="0"/>
          <w:numId w:val="0"/>
        </w:numPr>
        <w:tabs>
          <w:tab w:val="left" w:pos="720"/>
        </w:tabs>
        <w:ind w:left="720" w:hanging="720"/>
      </w:pPr>
      <w:r>
        <w:t>(b)</w:t>
      </w:r>
      <w:r>
        <w:tab/>
      </w:r>
      <w:r w:rsidR="00CE06DD">
        <w:t>in practice tended to confine the existing residents to the terms of the Aveo Way.</w:t>
      </w:r>
    </w:p>
    <w:p w14:paraId="67970BA9" w14:textId="3C97CEF5" w:rsidR="00CE06DD" w:rsidRDefault="00CE06DD" w:rsidP="00CE06DD">
      <w:pPr>
        <w:pStyle w:val="NoNum"/>
      </w:pPr>
      <w:r>
        <w:t xml:space="preserve">Their central contention is to the effect that the changed terms meant that the claimants were not able to sell as attractive a set of rights as they had themselves originally purchased, that the value of their existing rights was therefore materially diminished, and that Aveo had unconscionably taken advantage of its bargaining power </w:t>
      </w:r>
      <w:proofErr w:type="gramStart"/>
      <w:r>
        <w:t>in order to</w:t>
      </w:r>
      <w:proofErr w:type="gramEnd"/>
      <w:r>
        <w:t xml:space="preserve"> shift residents over to the Aveo Way. The applicants relied heavily on the proposition not only that the applicants and group members suffered (or were likely to suffer) loss from the diminished value of the rights that they were able to sell, but also that Aveo arrogated to itself the benefit of all future capital appreciation on the units</w:t>
      </w:r>
      <w:r w:rsidR="000468BD">
        <w:t>.</w:t>
      </w:r>
      <w:r>
        <w:t xml:space="preserve"> </w:t>
      </w:r>
    </w:p>
    <w:p w14:paraId="3F50F023" w14:textId="59C536FB" w:rsidR="00CA1C21" w:rsidRDefault="001D7B98" w:rsidP="001D7B98">
      <w:pPr>
        <w:pStyle w:val="ParaNumbering"/>
        <w:numPr>
          <w:ilvl w:val="0"/>
          <w:numId w:val="0"/>
        </w:numPr>
        <w:tabs>
          <w:tab w:val="left" w:pos="720"/>
        </w:tabs>
        <w:ind w:hanging="720"/>
      </w:pPr>
      <w:r>
        <w:rPr>
          <w:sz w:val="20"/>
        </w:rPr>
        <w:t>36</w:t>
      </w:r>
      <w:r>
        <w:rPr>
          <w:sz w:val="20"/>
        </w:rPr>
        <w:tab/>
      </w:r>
      <w:r w:rsidR="00E15071">
        <w:t>The</w:t>
      </w:r>
      <w:r w:rsidR="00EF1F73">
        <w:t xml:space="preserve"> applicants </w:t>
      </w:r>
      <w:r w:rsidR="00CE06DD">
        <w:t xml:space="preserve">alleged </w:t>
      </w:r>
      <w:r w:rsidR="00CE06DD" w:rsidRPr="00EF1F73">
        <w:t xml:space="preserve">four species of conduct said to give rise to </w:t>
      </w:r>
      <w:r w:rsidR="00CE06DD">
        <w:t xml:space="preserve">Aveo’s </w:t>
      </w:r>
      <w:r w:rsidR="00CE06DD" w:rsidRPr="00EF1F73">
        <w:t>liability</w:t>
      </w:r>
      <w:r w:rsidR="00CE06DD">
        <w:t xml:space="preserve">, which can be </w:t>
      </w:r>
      <w:r w:rsidR="00EF1F73">
        <w:t>summarised</w:t>
      </w:r>
      <w:r w:rsidR="00CE06DD">
        <w:t xml:space="preserve"> as follows</w:t>
      </w:r>
      <w:r w:rsidR="008F0C8C">
        <w:t>.</w:t>
      </w:r>
      <w:r w:rsidR="00CE06DD">
        <w:t xml:space="preserve"> </w:t>
      </w:r>
    </w:p>
    <w:p w14:paraId="0EC33D16" w14:textId="5BD371E5" w:rsidR="00600307" w:rsidRDefault="001D7B98" w:rsidP="001D7B98">
      <w:pPr>
        <w:pStyle w:val="ParaNumbering"/>
        <w:numPr>
          <w:ilvl w:val="0"/>
          <w:numId w:val="0"/>
        </w:numPr>
        <w:tabs>
          <w:tab w:val="left" w:pos="720"/>
        </w:tabs>
        <w:ind w:hanging="720"/>
      </w:pPr>
      <w:r>
        <w:rPr>
          <w:sz w:val="20"/>
        </w:rPr>
        <w:t>37</w:t>
      </w:r>
      <w:r>
        <w:rPr>
          <w:sz w:val="20"/>
        </w:rPr>
        <w:tab/>
      </w:r>
      <w:r w:rsidR="00EF1F73" w:rsidRPr="008F0C8C">
        <w:rPr>
          <w:i/>
          <w:iCs/>
        </w:rPr>
        <w:t>First</w:t>
      </w:r>
      <w:r w:rsidR="00EF1F73" w:rsidRPr="00ED61E7">
        <w:t xml:space="preserve">, the </w:t>
      </w:r>
      <w:r w:rsidR="00214E38">
        <w:t>U</w:t>
      </w:r>
      <w:r w:rsidR="00214E38" w:rsidRPr="00EF1F73">
        <w:t>nconscionable</w:t>
      </w:r>
      <w:r w:rsidR="00214E38" w:rsidRPr="00ED61E7">
        <w:t xml:space="preserve"> </w:t>
      </w:r>
      <w:r w:rsidR="00214E38">
        <w:t>S</w:t>
      </w:r>
      <w:r w:rsidR="00EF1F73" w:rsidRPr="00ED61E7">
        <w:t>ystem claim. The gist</w:t>
      </w:r>
      <w:r w:rsidR="009D63E0">
        <w:t xml:space="preserve"> of</w:t>
      </w:r>
      <w:r w:rsidR="008F0C8C">
        <w:t xml:space="preserve"> this </w:t>
      </w:r>
      <w:r w:rsidR="009D63E0">
        <w:t xml:space="preserve">claim is that </w:t>
      </w:r>
      <w:r w:rsidR="00EF1F73" w:rsidRPr="00ED61E7">
        <w:t>Aveo had a multiplicity of “levers”</w:t>
      </w:r>
      <w:r w:rsidR="0077519E" w:rsidRPr="00ED61E7">
        <w:t>, that is</w:t>
      </w:r>
      <w:r w:rsidR="00EF1F73" w:rsidRPr="00ED61E7">
        <w:t>, existing and available aspects of its</w:t>
      </w:r>
      <w:r w:rsidR="0077519E" w:rsidRPr="00ED61E7">
        <w:t xml:space="preserve"> </w:t>
      </w:r>
      <w:r w:rsidR="00EF1F73" w:rsidRPr="00ED61E7">
        <w:t xml:space="preserve">business and relationship with residents </w:t>
      </w:r>
      <w:r w:rsidR="00EF1F73" w:rsidRPr="00ED61E7">
        <w:lastRenderedPageBreak/>
        <w:t>that it could use to move, by power or</w:t>
      </w:r>
      <w:r w:rsidR="0077519E" w:rsidRPr="00ED61E7">
        <w:t xml:space="preserve"> </w:t>
      </w:r>
      <w:r w:rsidR="00EF1F73" w:rsidRPr="00ED61E7">
        <w:t xml:space="preserve">influence, residents of its </w:t>
      </w:r>
      <w:r w:rsidR="00600307">
        <w:t xml:space="preserve">retirement </w:t>
      </w:r>
      <w:r w:rsidR="00EF1F73" w:rsidRPr="00ED61E7">
        <w:t xml:space="preserve">villages in their decision-making. Aveo knew that it had these “levers,” and </w:t>
      </w:r>
      <w:r w:rsidR="00385064">
        <w:t xml:space="preserve">in </w:t>
      </w:r>
      <w:r w:rsidR="00EF1F73" w:rsidRPr="00ED61E7">
        <w:t xml:space="preserve">so knowing </w:t>
      </w:r>
      <w:r w:rsidR="00600307">
        <w:t xml:space="preserve">it </w:t>
      </w:r>
      <w:r w:rsidR="00EF1F73" w:rsidRPr="00ED61E7">
        <w:t>designed the</w:t>
      </w:r>
      <w:r w:rsidR="000C50E4" w:rsidRPr="00ED61E7">
        <w:t xml:space="preserve"> </w:t>
      </w:r>
      <w:r w:rsidR="00EF1F73" w:rsidRPr="00ED61E7">
        <w:t>Aveo Way.</w:t>
      </w:r>
      <w:r w:rsidR="000C50E4" w:rsidRPr="00ED61E7">
        <w:t xml:space="preserve"> </w:t>
      </w:r>
    </w:p>
    <w:p w14:paraId="1D7B6E00" w14:textId="2A320415" w:rsidR="00600307" w:rsidRPr="00760AD6" w:rsidRDefault="001D7B98" w:rsidP="001D7B98">
      <w:pPr>
        <w:pStyle w:val="ParaNumbering"/>
        <w:numPr>
          <w:ilvl w:val="0"/>
          <w:numId w:val="0"/>
        </w:numPr>
        <w:tabs>
          <w:tab w:val="left" w:pos="720"/>
        </w:tabs>
        <w:ind w:hanging="720"/>
      </w:pPr>
      <w:r w:rsidRPr="00760AD6">
        <w:rPr>
          <w:sz w:val="20"/>
        </w:rPr>
        <w:t>38</w:t>
      </w:r>
      <w:r w:rsidRPr="00760AD6">
        <w:rPr>
          <w:sz w:val="20"/>
        </w:rPr>
        <w:tab/>
      </w:r>
      <w:r w:rsidR="00EF1F73" w:rsidRPr="00ED61E7">
        <w:t>The object of the Aveo Way</w:t>
      </w:r>
      <w:r w:rsidR="000A346F">
        <w:t xml:space="preserve"> </w:t>
      </w:r>
      <w:r w:rsidR="008F0C8C">
        <w:t xml:space="preserve">was </w:t>
      </w:r>
      <w:r w:rsidR="00EF1F73" w:rsidRPr="00ED61E7">
        <w:t>to replace</w:t>
      </w:r>
      <w:r w:rsidR="00A630AB">
        <w:t xml:space="preserve"> </w:t>
      </w:r>
      <w:r w:rsidR="000C50E4" w:rsidRPr="00ED61E7">
        <w:t>pre-Aveo Way interests in units in</w:t>
      </w:r>
      <w:r w:rsidR="00E25D7B">
        <w:t xml:space="preserve"> Aveo’s </w:t>
      </w:r>
      <w:r w:rsidR="000C50E4" w:rsidRPr="00ED61E7">
        <w:t>retirement villages</w:t>
      </w:r>
      <w:r w:rsidR="00ED61E7" w:rsidRPr="00ED61E7">
        <w:t xml:space="preserve"> (</w:t>
      </w:r>
      <w:r w:rsidR="00A630AB" w:rsidRPr="00A630AB">
        <w:rPr>
          <w:b/>
          <w:bCs/>
        </w:rPr>
        <w:t>P</w:t>
      </w:r>
      <w:r w:rsidR="00ED61E7" w:rsidRPr="009D63E0">
        <w:rPr>
          <w:b/>
          <w:bCs/>
        </w:rPr>
        <w:t>re-AWIs</w:t>
      </w:r>
      <w:r w:rsidR="00ED61E7" w:rsidRPr="00ED61E7">
        <w:t>) with</w:t>
      </w:r>
      <w:r w:rsidR="000C50E4" w:rsidRPr="00ED61E7">
        <w:t xml:space="preserve"> </w:t>
      </w:r>
      <w:r w:rsidR="00ED61E7" w:rsidRPr="00ED61E7">
        <w:t>Aveo Way interests (</w:t>
      </w:r>
      <w:r w:rsidR="00EF1F73" w:rsidRPr="009D63E0">
        <w:rPr>
          <w:b/>
          <w:bCs/>
        </w:rPr>
        <w:t>AWIs</w:t>
      </w:r>
      <w:r w:rsidR="00ED61E7" w:rsidRPr="00ED61E7">
        <w:t>)</w:t>
      </w:r>
      <w:r w:rsidR="00EF1F73" w:rsidRPr="00ED61E7">
        <w:t xml:space="preserve">. </w:t>
      </w:r>
      <w:r w:rsidR="00EF1F73" w:rsidRPr="00760AD6">
        <w:t xml:space="preserve">Aveo wished to do this because it expected that </w:t>
      </w:r>
      <w:r w:rsidR="00C0236A">
        <w:t xml:space="preserve">it could </w:t>
      </w:r>
      <w:r w:rsidR="00D14ABB">
        <w:t>obtain</w:t>
      </w:r>
      <w:r w:rsidR="00C0236A">
        <w:t xml:space="preserve"> a financial benefit from the </w:t>
      </w:r>
      <w:r w:rsidR="00B95C4E">
        <w:t>replacement</w:t>
      </w:r>
      <w:r w:rsidR="008D1578">
        <w:t xml:space="preserve"> of </w:t>
      </w:r>
      <w:proofErr w:type="gramStart"/>
      <w:r w:rsidR="00B95C4E" w:rsidRPr="00B17710">
        <w:t>Pre-AWIs</w:t>
      </w:r>
      <w:proofErr w:type="gramEnd"/>
      <w:r w:rsidR="00B95C4E" w:rsidRPr="00B17710">
        <w:t xml:space="preserve"> with</w:t>
      </w:r>
      <w:r w:rsidR="00B95C4E">
        <w:t xml:space="preserve"> </w:t>
      </w:r>
      <w:r w:rsidR="00B95C4E" w:rsidRPr="00B17710">
        <w:t>AWIs</w:t>
      </w:r>
      <w:r w:rsidR="00C0236A">
        <w:t>.</w:t>
      </w:r>
      <w:r w:rsidR="00B95C4E">
        <w:t xml:space="preserve">  R</w:t>
      </w:r>
      <w:r w:rsidR="00EF1F73" w:rsidRPr="00760AD6">
        <w:t>elevantly,</w:t>
      </w:r>
      <w:r w:rsidR="00B95C4E">
        <w:t xml:space="preserve"> the differences are</w:t>
      </w:r>
      <w:r w:rsidR="00EF1F73" w:rsidRPr="00760AD6">
        <w:t xml:space="preserve"> that: </w:t>
      </w:r>
    </w:p>
    <w:p w14:paraId="3A1BC032" w14:textId="64F1C57C" w:rsidR="00600307" w:rsidRDefault="001D7B98" w:rsidP="001D7B98">
      <w:pPr>
        <w:pStyle w:val="ListNo1alt"/>
        <w:numPr>
          <w:ilvl w:val="0"/>
          <w:numId w:val="0"/>
        </w:numPr>
        <w:tabs>
          <w:tab w:val="left" w:pos="720"/>
        </w:tabs>
        <w:ind w:left="720" w:hanging="720"/>
        <w:rPr>
          <w:lang w:eastAsia="en-AU"/>
        </w:rPr>
      </w:pPr>
      <w:r>
        <w:rPr>
          <w:lang w:eastAsia="en-AU"/>
        </w:rPr>
        <w:t>(a)</w:t>
      </w:r>
      <w:r>
        <w:rPr>
          <w:lang w:eastAsia="en-AU"/>
        </w:rPr>
        <w:tab/>
      </w:r>
      <w:r w:rsidR="00EF1F73" w:rsidRPr="00600307">
        <w:rPr>
          <w:lang w:eastAsia="en-AU"/>
        </w:rPr>
        <w:t xml:space="preserve">the holders of </w:t>
      </w:r>
      <w:proofErr w:type="gramStart"/>
      <w:r w:rsidR="00EF1F73" w:rsidRPr="00600307">
        <w:rPr>
          <w:lang w:eastAsia="en-AU"/>
        </w:rPr>
        <w:t>Pre-AWIs</w:t>
      </w:r>
      <w:proofErr w:type="gramEnd"/>
      <w:r w:rsidR="00EF1F73" w:rsidRPr="00600307">
        <w:rPr>
          <w:lang w:eastAsia="en-AU"/>
        </w:rPr>
        <w:t xml:space="preserve"> </w:t>
      </w:r>
      <w:r w:rsidR="00800FFA">
        <w:rPr>
          <w:lang w:eastAsia="en-AU"/>
        </w:rPr>
        <w:t>were generally</w:t>
      </w:r>
      <w:r w:rsidR="00EF1F73" w:rsidRPr="00600307">
        <w:rPr>
          <w:lang w:eastAsia="en-AU"/>
        </w:rPr>
        <w:t xml:space="preserve"> </w:t>
      </w:r>
      <w:r w:rsidR="00800FFA" w:rsidRPr="00600307">
        <w:rPr>
          <w:lang w:eastAsia="en-AU"/>
        </w:rPr>
        <w:t>entitle</w:t>
      </w:r>
      <w:r w:rsidR="00800FFA">
        <w:rPr>
          <w:lang w:eastAsia="en-AU"/>
        </w:rPr>
        <w:t>d</w:t>
      </w:r>
      <w:r w:rsidR="00800FFA" w:rsidRPr="00600307">
        <w:rPr>
          <w:lang w:eastAsia="en-AU"/>
        </w:rPr>
        <w:t xml:space="preserve"> </w:t>
      </w:r>
      <w:r w:rsidR="00EF1F73" w:rsidRPr="00600307">
        <w:rPr>
          <w:lang w:eastAsia="en-AU"/>
        </w:rPr>
        <w:t>to</w:t>
      </w:r>
      <w:r w:rsidR="00760AD6">
        <w:rPr>
          <w:lang w:eastAsia="en-AU"/>
        </w:rPr>
        <w:t xml:space="preserve"> </w:t>
      </w:r>
      <w:r w:rsidR="00EF1F73" w:rsidRPr="00600307">
        <w:rPr>
          <w:lang w:eastAsia="en-AU"/>
        </w:rPr>
        <w:t xml:space="preserve">capital appreciation, whereas the holders of AWIs </w:t>
      </w:r>
      <w:r w:rsidR="00800FFA">
        <w:rPr>
          <w:lang w:eastAsia="en-AU"/>
        </w:rPr>
        <w:t>were</w:t>
      </w:r>
      <w:r w:rsidR="00800FFA" w:rsidRPr="00600307">
        <w:rPr>
          <w:lang w:eastAsia="en-AU"/>
        </w:rPr>
        <w:t xml:space="preserve"> </w:t>
      </w:r>
      <w:r w:rsidR="00EF1F73" w:rsidRPr="00600307">
        <w:rPr>
          <w:lang w:eastAsia="en-AU"/>
        </w:rPr>
        <w:t>not (with Aveo obtaining that</w:t>
      </w:r>
      <w:r w:rsidR="00600307" w:rsidRPr="00600307">
        <w:rPr>
          <w:lang w:eastAsia="en-AU"/>
        </w:rPr>
        <w:t xml:space="preserve"> </w:t>
      </w:r>
      <w:r w:rsidR="00EF1F73" w:rsidRPr="00600307">
        <w:rPr>
          <w:lang w:eastAsia="en-AU"/>
        </w:rPr>
        <w:t xml:space="preserve">entitlement under AWIs); and </w:t>
      </w:r>
    </w:p>
    <w:p w14:paraId="60864328" w14:textId="1C903FF1" w:rsidR="0037251E" w:rsidRDefault="001D7B98" w:rsidP="001D7B98">
      <w:pPr>
        <w:pStyle w:val="ListNo1alt"/>
        <w:numPr>
          <w:ilvl w:val="0"/>
          <w:numId w:val="0"/>
        </w:numPr>
        <w:tabs>
          <w:tab w:val="left" w:pos="720"/>
        </w:tabs>
        <w:ind w:left="720" w:hanging="720"/>
        <w:rPr>
          <w:lang w:eastAsia="en-AU"/>
        </w:rPr>
      </w:pPr>
      <w:r>
        <w:rPr>
          <w:lang w:eastAsia="en-AU"/>
        </w:rPr>
        <w:t>(b)</w:t>
      </w:r>
      <w:r>
        <w:rPr>
          <w:lang w:eastAsia="en-AU"/>
        </w:rPr>
        <w:tab/>
      </w:r>
      <w:r w:rsidR="00EF1F73" w:rsidRPr="00760AD6">
        <w:rPr>
          <w:lang w:eastAsia="en-AU"/>
        </w:rPr>
        <w:t>the holders of AWIs were exposed to a</w:t>
      </w:r>
      <w:r w:rsidR="00760AD6" w:rsidRPr="00760AD6">
        <w:rPr>
          <w:lang w:eastAsia="en-AU"/>
        </w:rPr>
        <w:t xml:space="preserve"> deferred management fee (</w:t>
      </w:r>
      <w:r w:rsidR="00760AD6" w:rsidRPr="001871A0">
        <w:rPr>
          <w:b/>
          <w:bCs/>
          <w:lang w:eastAsia="en-AU"/>
        </w:rPr>
        <w:t>DMF</w:t>
      </w:r>
      <w:r w:rsidR="00760AD6" w:rsidRPr="00760AD6">
        <w:rPr>
          <w:lang w:eastAsia="en-AU"/>
        </w:rPr>
        <w:t xml:space="preserve">) </w:t>
      </w:r>
      <w:r w:rsidR="00EF1F73" w:rsidRPr="00760AD6">
        <w:rPr>
          <w:lang w:eastAsia="en-AU"/>
        </w:rPr>
        <w:t>either of</w:t>
      </w:r>
      <w:r w:rsidR="00760AD6" w:rsidRPr="00760AD6">
        <w:rPr>
          <w:lang w:eastAsia="en-AU"/>
        </w:rPr>
        <w:t xml:space="preserve"> a </w:t>
      </w:r>
      <w:r w:rsidR="00EF1F73" w:rsidRPr="00760AD6">
        <w:rPr>
          <w:lang w:eastAsia="en-AU"/>
        </w:rPr>
        <w:t>greater percentage, faster accrual, or both (with Aveo obtaining the benefit of those</w:t>
      </w:r>
      <w:r w:rsidR="00760AD6" w:rsidRPr="00760AD6">
        <w:rPr>
          <w:lang w:eastAsia="en-AU"/>
        </w:rPr>
        <w:t xml:space="preserve"> </w:t>
      </w:r>
      <w:r w:rsidR="00EF1F73" w:rsidRPr="00760AD6">
        <w:rPr>
          <w:lang w:eastAsia="en-AU"/>
        </w:rPr>
        <w:t xml:space="preserve">changes); and </w:t>
      </w:r>
    </w:p>
    <w:p w14:paraId="607AF178" w14:textId="32E52A30" w:rsidR="00EF1F73" w:rsidRPr="00760AD6" w:rsidRDefault="001D7B98" w:rsidP="001D7B98">
      <w:pPr>
        <w:pStyle w:val="ListNo1alt"/>
        <w:numPr>
          <w:ilvl w:val="0"/>
          <w:numId w:val="0"/>
        </w:numPr>
        <w:tabs>
          <w:tab w:val="left" w:pos="720"/>
        </w:tabs>
        <w:ind w:left="720" w:hanging="720"/>
        <w:rPr>
          <w:lang w:eastAsia="en-AU"/>
        </w:rPr>
      </w:pPr>
      <w:r w:rsidRPr="00760AD6">
        <w:rPr>
          <w:lang w:eastAsia="en-AU"/>
        </w:rPr>
        <w:t>(c)</w:t>
      </w:r>
      <w:r w:rsidRPr="00760AD6">
        <w:rPr>
          <w:lang w:eastAsia="en-AU"/>
        </w:rPr>
        <w:tab/>
      </w:r>
      <w:r w:rsidR="00EF1F73" w:rsidRPr="00760AD6">
        <w:rPr>
          <w:lang w:eastAsia="en-AU"/>
        </w:rPr>
        <w:t>some holders of AWIs paid additional membership fees to Aveo.</w:t>
      </w:r>
    </w:p>
    <w:p w14:paraId="41DB57EC" w14:textId="0E4CC9C4" w:rsidR="00EF1F73" w:rsidRPr="00B17710" w:rsidRDefault="001D7B98" w:rsidP="001D7B98">
      <w:pPr>
        <w:pStyle w:val="ParaNumbering"/>
        <w:numPr>
          <w:ilvl w:val="0"/>
          <w:numId w:val="0"/>
        </w:numPr>
        <w:tabs>
          <w:tab w:val="left" w:pos="720"/>
        </w:tabs>
        <w:ind w:hanging="720"/>
      </w:pPr>
      <w:r w:rsidRPr="00B17710">
        <w:rPr>
          <w:sz w:val="20"/>
        </w:rPr>
        <w:t>39</w:t>
      </w:r>
      <w:r w:rsidRPr="00B17710">
        <w:rPr>
          <w:sz w:val="20"/>
        </w:rPr>
        <w:tab/>
      </w:r>
      <w:r w:rsidR="00EF1F73" w:rsidRPr="00B17710">
        <w:t xml:space="preserve">The </w:t>
      </w:r>
      <w:r w:rsidR="001871A0">
        <w:t xml:space="preserve">mechanism </w:t>
      </w:r>
      <w:r w:rsidR="00EF1F73" w:rsidRPr="00B17710">
        <w:t>adopted by Aveo to implement</w:t>
      </w:r>
      <w:r w:rsidR="00B605C0">
        <w:t xml:space="preserve"> the </w:t>
      </w:r>
      <w:r w:rsidR="00EF1F73" w:rsidRPr="00B17710">
        <w:t xml:space="preserve">replacement of </w:t>
      </w:r>
      <w:proofErr w:type="gramStart"/>
      <w:r w:rsidR="00EF1F73" w:rsidRPr="00B17710">
        <w:t>Pre-AWIs</w:t>
      </w:r>
      <w:proofErr w:type="gramEnd"/>
      <w:r w:rsidR="00EF1F73" w:rsidRPr="00B17710">
        <w:t xml:space="preserve"> with</w:t>
      </w:r>
      <w:r w:rsidR="00B17710">
        <w:t xml:space="preserve"> </w:t>
      </w:r>
      <w:r w:rsidR="00EF1F73" w:rsidRPr="00B17710">
        <w:t>AWIs</w:t>
      </w:r>
      <w:r w:rsidR="00B605C0">
        <w:t xml:space="preserve"> was by ensuring that,</w:t>
      </w:r>
      <w:r w:rsidR="00F269C2">
        <w:t xml:space="preserve"> upon the introduction of the Aveo Way,</w:t>
      </w:r>
      <w:r w:rsidR="00B605C0">
        <w:t xml:space="preserve"> </w:t>
      </w:r>
      <w:r w:rsidR="00EF1F73" w:rsidRPr="00B17710">
        <w:t xml:space="preserve">the price paid by the incoming resident for an AWI </w:t>
      </w:r>
      <w:r w:rsidR="00F269C2">
        <w:t xml:space="preserve">in a retirement unit </w:t>
      </w:r>
      <w:r w:rsidR="00EF1F73" w:rsidRPr="00B17710">
        <w:t>would be the price</w:t>
      </w:r>
      <w:r w:rsidR="00B17710">
        <w:t xml:space="preserve"> </w:t>
      </w:r>
      <w:r w:rsidR="00EF1F73" w:rsidRPr="00B17710">
        <w:t>paid by Aveo to the outgoing resident for or in respect of the Pre-AWI. If</w:t>
      </w:r>
      <w:r w:rsidR="00B17710">
        <w:t xml:space="preserve">, as </w:t>
      </w:r>
      <w:r w:rsidR="00EF1F73" w:rsidRPr="00B17710">
        <w:t xml:space="preserve">the </w:t>
      </w:r>
      <w:r w:rsidR="00B17710">
        <w:t>a</w:t>
      </w:r>
      <w:r w:rsidR="00EF1F73" w:rsidRPr="00B17710">
        <w:t>pplicants</w:t>
      </w:r>
      <w:r w:rsidR="001871A0">
        <w:t xml:space="preserve"> alleged</w:t>
      </w:r>
      <w:r w:rsidR="00B17710">
        <w:t>,</w:t>
      </w:r>
      <w:r w:rsidR="00EF1F73" w:rsidRPr="00B17710">
        <w:t xml:space="preserve"> the </w:t>
      </w:r>
      <w:proofErr w:type="gramStart"/>
      <w:r w:rsidR="00EF1F73" w:rsidRPr="00B17710">
        <w:t>Pre-AWIs</w:t>
      </w:r>
      <w:proofErr w:type="gramEnd"/>
      <w:r w:rsidR="00EF1F73" w:rsidRPr="00B17710">
        <w:t xml:space="preserve"> were more</w:t>
      </w:r>
      <w:r w:rsidR="00B17710">
        <w:t xml:space="preserve"> </w:t>
      </w:r>
      <w:r w:rsidR="00EF1F73" w:rsidRPr="00B17710">
        <w:t>valuable than AWIs (or were likely to be), then</w:t>
      </w:r>
      <w:r w:rsidR="00D24C9D">
        <w:t xml:space="preserve"> that meant that </w:t>
      </w:r>
      <w:r w:rsidR="00EF1F73" w:rsidRPr="00B17710">
        <w:t>Aveo benefited, by avoiding having to pay that difference in value between what it</w:t>
      </w:r>
      <w:r w:rsidR="00B17710">
        <w:t xml:space="preserve"> </w:t>
      </w:r>
      <w:r w:rsidR="00EF1F73" w:rsidRPr="00B17710">
        <w:t>bought (a Pre-AWI) and what it sold (an AWI).</w:t>
      </w:r>
      <w:r w:rsidR="00D24C9D">
        <w:t xml:space="preserve"> Without </w:t>
      </w:r>
      <w:r w:rsidR="00EF1F73" w:rsidRPr="00B17710">
        <w:t>paying the</w:t>
      </w:r>
      <w:r w:rsidR="00B17710">
        <w:t xml:space="preserve"> </w:t>
      </w:r>
      <w:r w:rsidR="00EF1F73" w:rsidRPr="00B17710">
        <w:t>outgoing</w:t>
      </w:r>
      <w:r w:rsidR="008062FB">
        <w:t xml:space="preserve"> interest holder </w:t>
      </w:r>
      <w:r w:rsidR="00EF1F73" w:rsidRPr="00B17710">
        <w:t>anything more for</w:t>
      </w:r>
      <w:r w:rsidR="008062FB">
        <w:t xml:space="preserve"> the interest</w:t>
      </w:r>
      <w:r w:rsidR="00EF1F73" w:rsidRPr="00B17710">
        <w:t xml:space="preserve">, </w:t>
      </w:r>
      <w:r w:rsidR="00D24C9D">
        <w:t xml:space="preserve">Aveo acquired </w:t>
      </w:r>
      <w:r w:rsidR="00EF1F73" w:rsidRPr="00B17710">
        <w:t>the additional value attributable to the superiority</w:t>
      </w:r>
      <w:r w:rsidR="00B17710">
        <w:t xml:space="preserve"> </w:t>
      </w:r>
      <w:r w:rsidR="00EF1F73" w:rsidRPr="00B17710">
        <w:t>of the Pre-AWI over the AWI.</w:t>
      </w:r>
    </w:p>
    <w:p w14:paraId="5CE20D30" w14:textId="470E6530" w:rsidR="00EF1F73" w:rsidRPr="00B17710" w:rsidRDefault="001D7B98" w:rsidP="001D7B98">
      <w:pPr>
        <w:pStyle w:val="ParaNumbering"/>
        <w:numPr>
          <w:ilvl w:val="0"/>
          <w:numId w:val="0"/>
        </w:numPr>
        <w:tabs>
          <w:tab w:val="left" w:pos="720"/>
        </w:tabs>
        <w:ind w:hanging="720"/>
      </w:pPr>
      <w:r w:rsidRPr="00B17710">
        <w:rPr>
          <w:sz w:val="20"/>
        </w:rPr>
        <w:t>40</w:t>
      </w:r>
      <w:r w:rsidRPr="00B17710">
        <w:rPr>
          <w:sz w:val="20"/>
        </w:rPr>
        <w:tab/>
      </w:r>
      <w:r w:rsidR="00F269C2">
        <w:t>I</w:t>
      </w:r>
      <w:r w:rsidR="008062FB">
        <w:t xml:space="preserve">n this way </w:t>
      </w:r>
      <w:r w:rsidR="00EF1F73" w:rsidRPr="00B17710">
        <w:t xml:space="preserve">Aveo was </w:t>
      </w:r>
      <w:r w:rsidR="00F269C2">
        <w:t xml:space="preserve">alleged to have converted </w:t>
      </w:r>
      <w:r w:rsidR="00EF1F73" w:rsidRPr="00B17710">
        <w:t>a portfolio of interests in which residents were</w:t>
      </w:r>
      <w:r w:rsidR="00B17710">
        <w:t xml:space="preserve"> </w:t>
      </w:r>
      <w:r w:rsidR="00EF1F73" w:rsidRPr="00B17710">
        <w:t>generally entitled to capital gains (and to a lower DMF), into a portfolio of interests in</w:t>
      </w:r>
      <w:r w:rsidR="00B17710">
        <w:t xml:space="preserve"> </w:t>
      </w:r>
      <w:r w:rsidR="00EF1F73" w:rsidRPr="00B17710">
        <w:t xml:space="preserve">which </w:t>
      </w:r>
      <w:r w:rsidR="00556002">
        <w:t xml:space="preserve">Aveo </w:t>
      </w:r>
      <w:r w:rsidR="00EF1F73" w:rsidRPr="00B17710">
        <w:t xml:space="preserve">was entitled </w:t>
      </w:r>
      <w:r w:rsidR="0075495A">
        <w:t xml:space="preserve">to </w:t>
      </w:r>
      <w:r w:rsidR="00EF1F73" w:rsidRPr="00B17710">
        <w:t>capital gains (and a higher DMF), without having to pay the</w:t>
      </w:r>
      <w:r w:rsidR="00B17710">
        <w:t xml:space="preserve"> </w:t>
      </w:r>
      <w:r w:rsidR="00EF1F73" w:rsidRPr="00B17710">
        <w:t>outgoing resident anything for the greater value of the Pre-AWI</w:t>
      </w:r>
      <w:r w:rsidR="002937B4">
        <w:t xml:space="preserve"> </w:t>
      </w:r>
      <w:r w:rsidR="00DB5E0D">
        <w:t xml:space="preserve">that </w:t>
      </w:r>
      <w:r w:rsidR="002937B4">
        <w:t>the resident</w:t>
      </w:r>
      <w:r w:rsidR="003F748E">
        <w:t xml:space="preserve"> </w:t>
      </w:r>
      <w:r w:rsidR="003357C8">
        <w:t>held</w:t>
      </w:r>
      <w:r w:rsidR="00EF1F73" w:rsidRPr="00B17710">
        <w:t>. That system is one of</w:t>
      </w:r>
      <w:r w:rsidR="00B17710">
        <w:t xml:space="preserve"> </w:t>
      </w:r>
      <w:r w:rsidR="00EF1F73" w:rsidRPr="00B17710">
        <w:t>the crucial aspects of the conversion to Aveo Way on which</w:t>
      </w:r>
      <w:r w:rsidR="00B17710">
        <w:t xml:space="preserve"> the applicants</w:t>
      </w:r>
      <w:r w:rsidR="00D825EF">
        <w:t>’</w:t>
      </w:r>
      <w:r w:rsidR="00B17710">
        <w:t xml:space="preserve"> </w:t>
      </w:r>
      <w:r w:rsidR="00EF1F73" w:rsidRPr="00B17710">
        <w:t>case</w:t>
      </w:r>
      <w:r w:rsidR="00D825EF">
        <w:t xml:space="preserve"> was </w:t>
      </w:r>
      <w:r w:rsidR="00EF1F73" w:rsidRPr="00B17710">
        <w:t xml:space="preserve">focused. </w:t>
      </w:r>
      <w:r w:rsidR="007C507A">
        <w:t>It</w:t>
      </w:r>
      <w:r w:rsidR="00D825EF">
        <w:t xml:space="preserve"> worked against the outgoing</w:t>
      </w:r>
      <w:r w:rsidR="008062FB">
        <w:t xml:space="preserve"> interest holder </w:t>
      </w:r>
      <w:r w:rsidR="00D825EF">
        <w:t xml:space="preserve">in relation to capital gains and at a portfolio level resulted in a massive </w:t>
      </w:r>
      <w:r w:rsidR="008062FB">
        <w:t xml:space="preserve">capital </w:t>
      </w:r>
      <w:r w:rsidR="00D825EF">
        <w:t>gain for Aveo.</w:t>
      </w:r>
    </w:p>
    <w:p w14:paraId="7ADB517E" w14:textId="79582EF5" w:rsidR="00360F1D" w:rsidRDefault="001D7B98" w:rsidP="001D7B98">
      <w:pPr>
        <w:pStyle w:val="ParaNumbering"/>
        <w:numPr>
          <w:ilvl w:val="0"/>
          <w:numId w:val="0"/>
        </w:numPr>
        <w:tabs>
          <w:tab w:val="left" w:pos="720"/>
        </w:tabs>
        <w:ind w:hanging="720"/>
      </w:pPr>
      <w:r>
        <w:rPr>
          <w:sz w:val="20"/>
        </w:rPr>
        <w:t>41</w:t>
      </w:r>
      <w:r>
        <w:rPr>
          <w:sz w:val="20"/>
        </w:rPr>
        <w:tab/>
      </w:r>
      <w:r w:rsidR="00F269C2">
        <w:t>T</w:t>
      </w:r>
      <w:r w:rsidR="00A95260">
        <w:t>he applicants</w:t>
      </w:r>
      <w:r w:rsidR="00F269C2">
        <w:t xml:space="preserve"> contended </w:t>
      </w:r>
      <w:r w:rsidR="00A95260">
        <w:t>that they</w:t>
      </w:r>
      <w:r w:rsidR="00591797">
        <w:t xml:space="preserve"> are </w:t>
      </w:r>
      <w:r w:rsidR="00A95260">
        <w:t>not</w:t>
      </w:r>
      <w:r w:rsidR="00575676">
        <w:t xml:space="preserve"> just </w:t>
      </w:r>
      <w:r w:rsidR="00A95260">
        <w:t>complaining about Aveo legitimately pursuing its own advantage</w:t>
      </w:r>
      <w:r w:rsidR="000E13A5">
        <w:t>.</w:t>
      </w:r>
      <w:r w:rsidR="00F269C2">
        <w:t xml:space="preserve"> They allege </w:t>
      </w:r>
      <w:r w:rsidR="0026383B">
        <w:t xml:space="preserve">that, using the levers available to it, </w:t>
      </w:r>
      <w:r w:rsidR="0026383B" w:rsidRPr="00B21D70">
        <w:t xml:space="preserve">Aveo took </w:t>
      </w:r>
      <w:proofErr w:type="gramStart"/>
      <w:r w:rsidR="0026383B" w:rsidRPr="00B21D70">
        <w:t>a number of</w:t>
      </w:r>
      <w:proofErr w:type="gramEnd"/>
      <w:r w:rsidR="0026383B" w:rsidRPr="00B21D70">
        <w:t xml:space="preserve"> </w:t>
      </w:r>
      <w:r w:rsidR="0026383B" w:rsidRPr="00B21D70">
        <w:lastRenderedPageBreak/>
        <w:t>steps to achieve</w:t>
      </w:r>
      <w:r w:rsidR="0026383B">
        <w:t xml:space="preserve"> its </w:t>
      </w:r>
      <w:r w:rsidR="0026383B" w:rsidRPr="00B21D70">
        <w:t>desired</w:t>
      </w:r>
      <w:r w:rsidR="0026383B">
        <w:t xml:space="preserve"> </w:t>
      </w:r>
      <w:r w:rsidR="0026383B" w:rsidRPr="00B21D70">
        <w:t>result</w:t>
      </w:r>
      <w:r w:rsidR="0026383B">
        <w:t xml:space="preserve">, </w:t>
      </w:r>
      <w:r w:rsidR="00F269C2">
        <w:t xml:space="preserve">which were not necessary to protect its legitimate interests, </w:t>
      </w:r>
      <w:r w:rsidR="0026383B">
        <w:t>which it did for the primary purpose</w:t>
      </w:r>
      <w:r w:rsidR="0026383B" w:rsidRPr="00B21D70">
        <w:t xml:space="preserve"> of obtaining a benefit for itself, resulting in detriment</w:t>
      </w:r>
      <w:r w:rsidR="0026383B">
        <w:t xml:space="preserve"> </w:t>
      </w:r>
      <w:r w:rsidR="0026383B" w:rsidRPr="00B21D70">
        <w:t xml:space="preserve">(or the likelihood thereof) to </w:t>
      </w:r>
      <w:r w:rsidR="0026383B">
        <w:t>the applicants and</w:t>
      </w:r>
      <w:r w:rsidR="0026383B" w:rsidRPr="00B21D70">
        <w:t xml:space="preserve"> group members.</w:t>
      </w:r>
      <w:r w:rsidR="0026383B">
        <w:t xml:space="preserve"> </w:t>
      </w:r>
      <w:r w:rsidR="00F269C2">
        <w:t>T</w:t>
      </w:r>
      <w:r w:rsidR="000E13A5">
        <w:t xml:space="preserve">he features that are alleged to support </w:t>
      </w:r>
      <w:r w:rsidR="000E13A5" w:rsidRPr="00B21D70">
        <w:t>a finding that</w:t>
      </w:r>
      <w:r w:rsidR="000E13A5">
        <w:t xml:space="preserve"> </w:t>
      </w:r>
      <w:r w:rsidR="000948AE">
        <w:t xml:space="preserve">Aveo’s </w:t>
      </w:r>
      <w:r w:rsidR="000E13A5">
        <w:t xml:space="preserve">conduct was </w:t>
      </w:r>
      <w:r w:rsidR="000E13A5" w:rsidRPr="00B21D70">
        <w:t>unconscionable</w:t>
      </w:r>
      <w:r w:rsidR="000E13A5">
        <w:t xml:space="preserve"> include</w:t>
      </w:r>
      <w:r w:rsidR="000E13A5" w:rsidRPr="00CC404E">
        <w:t xml:space="preserve"> </w:t>
      </w:r>
      <w:r w:rsidR="007266D3">
        <w:t xml:space="preserve">its </w:t>
      </w:r>
      <w:r w:rsidR="000E13A5" w:rsidRPr="00CC404E">
        <w:t>superior knowledge and bargaining power, its purposes in</w:t>
      </w:r>
      <w:r w:rsidR="000E13A5">
        <w:t xml:space="preserve"> </w:t>
      </w:r>
      <w:r w:rsidR="000E13A5" w:rsidRPr="00CC404E">
        <w:t xml:space="preserve">introducing and effecting Aveo Way, the vulnerability of </w:t>
      </w:r>
      <w:r w:rsidR="007266D3">
        <w:t xml:space="preserve">the </w:t>
      </w:r>
      <w:r w:rsidR="000E13A5" w:rsidRPr="00CC404E">
        <w:t>applicants</w:t>
      </w:r>
      <w:r w:rsidR="000E13A5">
        <w:t xml:space="preserve"> </w:t>
      </w:r>
      <w:r w:rsidR="000E13A5" w:rsidRPr="00CC404E">
        <w:t>and group members</w:t>
      </w:r>
      <w:r w:rsidR="0026383B">
        <w:t>, and the fact</w:t>
      </w:r>
      <w:r w:rsidR="00A95260">
        <w:t xml:space="preserve"> that </w:t>
      </w:r>
      <w:r w:rsidR="00EE0B04">
        <w:t>ARE</w:t>
      </w:r>
      <w:r w:rsidR="000629E2">
        <w:t>,</w:t>
      </w:r>
      <w:r w:rsidR="00EE0B04">
        <w:t xml:space="preserve"> </w:t>
      </w:r>
      <w:r w:rsidR="00A95260">
        <w:t>Aveo’s</w:t>
      </w:r>
      <w:r w:rsidR="00B21D70">
        <w:t xml:space="preserve"> “in-house” real estate agency</w:t>
      </w:r>
      <w:r w:rsidR="000629E2">
        <w:t>,</w:t>
      </w:r>
      <w:r w:rsidR="00B21D70">
        <w:t xml:space="preserve"> was used by Aveo to effect the system </w:t>
      </w:r>
      <w:r w:rsidR="00214E38">
        <w:t xml:space="preserve">when </w:t>
      </w:r>
      <w:r w:rsidR="00EE251D">
        <w:t xml:space="preserve">ARE </w:t>
      </w:r>
      <w:r w:rsidR="00B21D70">
        <w:t>stood in a fiduciary relationship wit</w:t>
      </w:r>
      <w:r w:rsidR="00B21D70" w:rsidRPr="000D4B80">
        <w:t xml:space="preserve">h </w:t>
      </w:r>
      <w:r w:rsidR="00B008B3">
        <w:t xml:space="preserve">the </w:t>
      </w:r>
      <w:r w:rsidR="00CA1795">
        <w:t xml:space="preserve">selling </w:t>
      </w:r>
      <w:r w:rsidR="000D4B80">
        <w:t>applicants and group members</w:t>
      </w:r>
      <w:r w:rsidR="00CA1795">
        <w:t xml:space="preserve"> </w:t>
      </w:r>
      <w:r w:rsidR="00532AC9">
        <w:t>(</w:t>
      </w:r>
      <w:r w:rsidR="00CA1795">
        <w:t xml:space="preserve">who were its </w:t>
      </w:r>
      <w:r w:rsidR="00532AC9">
        <w:t>clients)</w:t>
      </w:r>
      <w:r w:rsidR="000D4B80">
        <w:t>.</w:t>
      </w:r>
    </w:p>
    <w:p w14:paraId="35FC0E4D" w14:textId="6A271B88" w:rsidR="00EE2217" w:rsidRPr="00CC404E" w:rsidRDefault="001D7B98" w:rsidP="001D7B98">
      <w:pPr>
        <w:pStyle w:val="ParaNumbering"/>
        <w:numPr>
          <w:ilvl w:val="0"/>
          <w:numId w:val="0"/>
        </w:numPr>
        <w:tabs>
          <w:tab w:val="left" w:pos="720"/>
        </w:tabs>
        <w:ind w:hanging="720"/>
      </w:pPr>
      <w:r w:rsidRPr="00CC404E">
        <w:rPr>
          <w:sz w:val="20"/>
        </w:rPr>
        <w:t>42</w:t>
      </w:r>
      <w:r w:rsidRPr="00CC404E">
        <w:rPr>
          <w:sz w:val="20"/>
        </w:rPr>
        <w:tab/>
      </w:r>
      <w:r w:rsidR="00F907BA" w:rsidRPr="00F269C2">
        <w:rPr>
          <w:i/>
          <w:iCs/>
        </w:rPr>
        <w:t>Second</w:t>
      </w:r>
      <w:r w:rsidR="00F907BA" w:rsidRPr="00CC404E">
        <w:t>, the introduction and promotion of Aveo Way</w:t>
      </w:r>
      <w:r w:rsidR="000A346F">
        <w:t xml:space="preserve"> </w:t>
      </w:r>
      <w:r w:rsidR="00E05D1B">
        <w:t>at a village-level</w:t>
      </w:r>
      <w:r w:rsidR="00EE2217">
        <w:t xml:space="preserve"> by some village operators</w:t>
      </w:r>
      <w:r w:rsidR="00E05D1B" w:rsidDel="00214E38">
        <w:t xml:space="preserve"> </w:t>
      </w:r>
      <w:r w:rsidR="00214E38">
        <w:t xml:space="preserve">was </w:t>
      </w:r>
      <w:r w:rsidR="00F907BA" w:rsidRPr="00CC404E">
        <w:t>unconscionable</w:t>
      </w:r>
      <w:r w:rsidR="00E05D1B">
        <w:t xml:space="preserve"> and</w:t>
      </w:r>
      <w:r w:rsidR="002B39DA">
        <w:t xml:space="preserve"> caused </w:t>
      </w:r>
      <w:r w:rsidR="00E05D1B">
        <w:t>damage</w:t>
      </w:r>
      <w:r w:rsidR="002B39DA">
        <w:t xml:space="preserve"> to some group members.</w:t>
      </w:r>
      <w:r w:rsidR="00EE2217">
        <w:t xml:space="preserve"> It is alleged that </w:t>
      </w:r>
      <w:r w:rsidR="00EE2217" w:rsidRPr="00CC404E">
        <w:t>AWIs were (or were likely to be) less</w:t>
      </w:r>
      <w:r w:rsidR="00EE2217">
        <w:t xml:space="preserve"> </w:t>
      </w:r>
      <w:r w:rsidR="00EE2217" w:rsidRPr="00CC404E">
        <w:t>valuable than Pre-</w:t>
      </w:r>
      <w:proofErr w:type="gramStart"/>
      <w:r w:rsidR="00EE2217" w:rsidRPr="00CC404E">
        <w:t>AWIs</w:t>
      </w:r>
      <w:r w:rsidR="00D6366C">
        <w:t>, and</w:t>
      </w:r>
      <w:proofErr w:type="gramEnd"/>
      <w:r w:rsidR="00D6366C">
        <w:t xml:space="preserve"> having</w:t>
      </w:r>
      <w:r w:rsidR="00EE2217" w:rsidRPr="00CC404E">
        <w:t xml:space="preserve"> regard to</w:t>
      </w:r>
      <w:r w:rsidR="00D6366C">
        <w:t xml:space="preserve"> that </w:t>
      </w:r>
      <w:r w:rsidR="00EE2217" w:rsidRPr="00CC404E">
        <w:t>and all of the circumstances of each sale</w:t>
      </w:r>
      <w:r w:rsidR="00D6366C">
        <w:t>,</w:t>
      </w:r>
      <w:r w:rsidR="00EE2217">
        <w:t xml:space="preserve"> </w:t>
      </w:r>
      <w:r w:rsidR="00EE2217" w:rsidRPr="00CC404E">
        <w:t>introducing and promoting Aveo Way</w:t>
      </w:r>
      <w:r w:rsidR="006B2679">
        <w:t xml:space="preserve"> </w:t>
      </w:r>
      <w:r w:rsidR="00D6366C" w:rsidRPr="00CC404E">
        <w:t xml:space="preserve">in relevant Aveo </w:t>
      </w:r>
      <w:r w:rsidR="009A5EA5">
        <w:t>v</w:t>
      </w:r>
      <w:r w:rsidR="009A5EA5" w:rsidRPr="00CC404E">
        <w:t xml:space="preserve">illages </w:t>
      </w:r>
      <w:r w:rsidR="00D6366C" w:rsidRPr="00CC404E">
        <w:t>involved statutory unconscionability</w:t>
      </w:r>
      <w:r w:rsidR="00F269C2">
        <w:t xml:space="preserve"> by </w:t>
      </w:r>
      <w:r w:rsidR="00D6366C" w:rsidRPr="00CC404E">
        <w:t>Aveo directly, and</w:t>
      </w:r>
      <w:r w:rsidR="00F269C2">
        <w:t xml:space="preserve"> as an accessory to </w:t>
      </w:r>
      <w:r w:rsidR="00D6366C" w:rsidRPr="00CC404E">
        <w:t>the village operators’ conduct</w:t>
      </w:r>
      <w:r w:rsidR="00D95A44">
        <w:t>.</w:t>
      </w:r>
    </w:p>
    <w:p w14:paraId="020B60D9" w14:textId="458A6A91" w:rsidR="00F907BA" w:rsidRDefault="001D7B98" w:rsidP="001D7B98">
      <w:pPr>
        <w:pStyle w:val="ParaNumbering"/>
        <w:numPr>
          <w:ilvl w:val="0"/>
          <w:numId w:val="0"/>
        </w:numPr>
        <w:tabs>
          <w:tab w:val="left" w:pos="720"/>
        </w:tabs>
        <w:ind w:hanging="720"/>
      </w:pPr>
      <w:r>
        <w:rPr>
          <w:sz w:val="20"/>
        </w:rPr>
        <w:t>43</w:t>
      </w:r>
      <w:r>
        <w:rPr>
          <w:sz w:val="20"/>
        </w:rPr>
        <w:tab/>
      </w:r>
      <w:r w:rsidR="00F907BA" w:rsidRPr="00F269C2">
        <w:rPr>
          <w:i/>
          <w:iCs/>
        </w:rPr>
        <w:t>Third</w:t>
      </w:r>
      <w:r w:rsidR="00F907BA" w:rsidRPr="00D95A44">
        <w:t>,</w:t>
      </w:r>
      <w:r w:rsidR="00D95A44">
        <w:t xml:space="preserve"> that </w:t>
      </w:r>
      <w:r w:rsidR="00BF71C0">
        <w:t xml:space="preserve">Aveo and the village operators represented </w:t>
      </w:r>
      <w:r w:rsidR="00214E38">
        <w:t xml:space="preserve">to the applicants and group members </w:t>
      </w:r>
      <w:r w:rsidR="00F907BA" w:rsidRPr="00D95A44">
        <w:t xml:space="preserve">that disposing of </w:t>
      </w:r>
      <w:proofErr w:type="gramStart"/>
      <w:r w:rsidR="00F907BA" w:rsidRPr="00D95A44">
        <w:t>Pre-AWIs</w:t>
      </w:r>
      <w:proofErr w:type="gramEnd"/>
      <w:r w:rsidR="00F907BA" w:rsidRPr="00D95A44">
        <w:t xml:space="preserve"> pursuant to </w:t>
      </w:r>
      <w:r w:rsidR="00CA1795">
        <w:t xml:space="preserve">the </w:t>
      </w:r>
      <w:r w:rsidR="00F907BA" w:rsidRPr="00D95A44">
        <w:t>Aveo</w:t>
      </w:r>
      <w:r w:rsidR="00BF71C0">
        <w:t xml:space="preserve"> </w:t>
      </w:r>
      <w:r w:rsidR="00F907BA" w:rsidRPr="00D95A44">
        <w:t>Way</w:t>
      </w:r>
      <w:r w:rsidR="006B2679">
        <w:t xml:space="preserve"> </w:t>
      </w:r>
      <w:r w:rsidR="00F907BA" w:rsidRPr="00D95A44">
        <w:t xml:space="preserve">would leave sellers </w:t>
      </w:r>
      <w:r w:rsidR="007266D3">
        <w:t xml:space="preserve">of </w:t>
      </w:r>
      <w:r w:rsidR="007266D3" w:rsidRPr="00D95A44">
        <w:t xml:space="preserve">Pre-AWIs </w:t>
      </w:r>
      <w:r w:rsidR="00F907BA" w:rsidRPr="00A6146C">
        <w:rPr>
          <w:i/>
        </w:rPr>
        <w:t>no worse off</w:t>
      </w:r>
      <w:r w:rsidR="00F907BA" w:rsidRPr="00D95A44">
        <w:t>.</w:t>
      </w:r>
      <w:r w:rsidR="00F269C2" w:rsidDel="00214E38">
        <w:t xml:space="preserve"> </w:t>
      </w:r>
      <w:r w:rsidR="00214E38">
        <w:t xml:space="preserve">That </w:t>
      </w:r>
      <w:r w:rsidR="00F269C2">
        <w:t xml:space="preserve">is alleged </w:t>
      </w:r>
      <w:r w:rsidR="00BF71C0">
        <w:t>to</w:t>
      </w:r>
      <w:r w:rsidR="00214E38">
        <w:t xml:space="preserve"> constitute </w:t>
      </w:r>
      <w:r w:rsidR="00F907BA" w:rsidRPr="00D95A44">
        <w:t>misleading or deceptive</w:t>
      </w:r>
      <w:r w:rsidR="00214E38">
        <w:t xml:space="preserve"> conduct</w:t>
      </w:r>
      <w:r w:rsidR="00F907BA" w:rsidRPr="00D95A44">
        <w:t>,</w:t>
      </w:r>
      <w:r w:rsidR="00BF71C0">
        <w:t xml:space="preserve"> </w:t>
      </w:r>
      <w:r w:rsidR="00F907BA" w:rsidRPr="00D95A44">
        <w:t xml:space="preserve">either because selling pursuant to </w:t>
      </w:r>
      <w:r w:rsidR="00CA1795">
        <w:t xml:space="preserve">the </w:t>
      </w:r>
      <w:r w:rsidR="007266D3">
        <w:t>Aveo Way</w:t>
      </w:r>
      <w:r w:rsidR="00720FD4">
        <w:t xml:space="preserve"> </w:t>
      </w:r>
      <w:r w:rsidR="00F907BA" w:rsidRPr="00D95A44">
        <w:t>would or was likely to, in fact, leave</w:t>
      </w:r>
      <w:r w:rsidR="00BF71C0">
        <w:t xml:space="preserve"> </w:t>
      </w:r>
      <w:r w:rsidR="00F907BA" w:rsidRPr="00D95A44">
        <w:t>sellers worse off, or (</w:t>
      </w:r>
      <w:r w:rsidR="00F269C2">
        <w:t xml:space="preserve">on the basis that </w:t>
      </w:r>
      <w:r w:rsidR="00F907BA" w:rsidRPr="00D95A44">
        <w:t>the representation related to a future matter), because</w:t>
      </w:r>
      <w:r w:rsidR="00BF71C0">
        <w:t xml:space="preserve"> </w:t>
      </w:r>
      <w:r w:rsidR="00F907BA" w:rsidRPr="00D95A44">
        <w:t>there were no reasonable grounds for the representation. This</w:t>
      </w:r>
      <w:r w:rsidR="00F269C2">
        <w:t xml:space="preserve"> is alleged against Aveo directly </w:t>
      </w:r>
      <w:proofErr w:type="gramStart"/>
      <w:r w:rsidR="00F269C2">
        <w:t>and also</w:t>
      </w:r>
      <w:proofErr w:type="gramEnd"/>
      <w:r w:rsidR="00F269C2">
        <w:t xml:space="preserve"> as an accessory to the village operators</w:t>
      </w:r>
      <w:r w:rsidR="008243E4">
        <w:t>’</w:t>
      </w:r>
      <w:r w:rsidR="00F269C2">
        <w:t xml:space="preserve"> conduct</w:t>
      </w:r>
      <w:r w:rsidR="00E0313C">
        <w:t>.</w:t>
      </w:r>
    </w:p>
    <w:p w14:paraId="19197492" w14:textId="3E6BB84E" w:rsidR="00AF4B33" w:rsidRDefault="001D7B98" w:rsidP="001D7B98">
      <w:pPr>
        <w:pStyle w:val="ParaNumbering"/>
        <w:numPr>
          <w:ilvl w:val="0"/>
          <w:numId w:val="0"/>
        </w:numPr>
        <w:tabs>
          <w:tab w:val="left" w:pos="720"/>
        </w:tabs>
        <w:ind w:hanging="720"/>
      </w:pPr>
      <w:r>
        <w:rPr>
          <w:sz w:val="20"/>
        </w:rPr>
        <w:t>44</w:t>
      </w:r>
      <w:r>
        <w:rPr>
          <w:sz w:val="20"/>
        </w:rPr>
        <w:tab/>
      </w:r>
      <w:r w:rsidR="00F907BA" w:rsidRPr="00F269C2">
        <w:rPr>
          <w:i/>
          <w:iCs/>
        </w:rPr>
        <w:t>Fourth</w:t>
      </w:r>
      <w:r w:rsidR="00F907BA" w:rsidRPr="00E0313C">
        <w:t xml:space="preserve">, the failure to disclose </w:t>
      </w:r>
      <w:r w:rsidR="00532AC9">
        <w:t xml:space="preserve">to the applicant and group members </w:t>
      </w:r>
      <w:r w:rsidR="00F907BA" w:rsidRPr="00E0313C">
        <w:t>(in the presence of a reasonable expectation of disclosure)</w:t>
      </w:r>
      <w:r w:rsidR="00E0313C">
        <w:t xml:space="preserve"> </w:t>
      </w:r>
      <w:r w:rsidR="00F907BA" w:rsidRPr="00E0313C">
        <w:t xml:space="preserve">that there was no need for the holders of </w:t>
      </w:r>
      <w:r w:rsidR="00F269C2">
        <w:t xml:space="preserve">freehold </w:t>
      </w:r>
      <w:proofErr w:type="gramStart"/>
      <w:r w:rsidR="00F907BA" w:rsidRPr="00E0313C">
        <w:t>Pre-AWIs</w:t>
      </w:r>
      <w:proofErr w:type="gramEnd"/>
      <w:r w:rsidR="00F907BA" w:rsidRPr="00E0313C">
        <w:t xml:space="preserve"> to appoint </w:t>
      </w:r>
      <w:r w:rsidR="00532AC9">
        <w:t>ARE</w:t>
      </w:r>
      <w:r w:rsidR="00F907BA" w:rsidRPr="00E0313C">
        <w:t xml:space="preserve"> to sell</w:t>
      </w:r>
      <w:r w:rsidR="00F1654B">
        <w:t xml:space="preserve"> </w:t>
      </w:r>
      <w:r w:rsidR="00F907BA" w:rsidRPr="00E0313C">
        <w:t xml:space="preserve">their </w:t>
      </w:r>
      <w:r w:rsidR="00532AC9">
        <w:t xml:space="preserve">freehold </w:t>
      </w:r>
      <w:r w:rsidR="00F907BA" w:rsidRPr="00E0313C">
        <w:t>interest</w:t>
      </w:r>
      <w:r w:rsidR="00F269C2">
        <w:t xml:space="preserve"> constituted unconscionable conduct</w:t>
      </w:r>
      <w:r w:rsidR="00F907BA" w:rsidRPr="00E0313C">
        <w:t>.</w:t>
      </w:r>
      <w:r w:rsidR="00F269C2">
        <w:t xml:space="preserve"> It is alleged </w:t>
      </w:r>
      <w:r w:rsidR="00BE5C9A">
        <w:t xml:space="preserve">that there </w:t>
      </w:r>
      <w:r w:rsidR="00F907BA" w:rsidRPr="00E0313C">
        <w:t xml:space="preserve">was no need </w:t>
      </w:r>
      <w:r w:rsidR="00F269C2">
        <w:t xml:space="preserve">for </w:t>
      </w:r>
      <w:r w:rsidR="00F269C2" w:rsidRPr="00E0313C">
        <w:t xml:space="preserve">the holders of </w:t>
      </w:r>
      <w:r w:rsidR="00F269C2">
        <w:t xml:space="preserve">freehold </w:t>
      </w:r>
      <w:proofErr w:type="gramStart"/>
      <w:r w:rsidR="00F269C2" w:rsidRPr="00E0313C">
        <w:t>Pre-AWIs</w:t>
      </w:r>
      <w:proofErr w:type="gramEnd"/>
      <w:r w:rsidR="00F269C2" w:rsidRPr="00E0313C">
        <w:t xml:space="preserve"> </w:t>
      </w:r>
      <w:r w:rsidR="00F907BA" w:rsidRPr="00E0313C">
        <w:t>to</w:t>
      </w:r>
      <w:r w:rsidR="00BE5C9A">
        <w:t xml:space="preserve"> appoint </w:t>
      </w:r>
      <w:r w:rsidR="00F269C2">
        <w:t>ARE</w:t>
      </w:r>
      <w:r w:rsidR="00BE5C9A">
        <w:t xml:space="preserve"> to sell their interest</w:t>
      </w:r>
      <w:r w:rsidR="00F269C2">
        <w:t>s</w:t>
      </w:r>
      <w:r w:rsidR="00BE5C9A">
        <w:t xml:space="preserve"> </w:t>
      </w:r>
      <w:r w:rsidR="00F907BA" w:rsidRPr="00E0313C">
        <w:t>because, inter alia, the relevant village</w:t>
      </w:r>
      <w:r w:rsidR="00F1654B">
        <w:t xml:space="preserve"> </w:t>
      </w:r>
      <w:r w:rsidR="00F907BA" w:rsidRPr="00E0313C">
        <w:t>operator would inevitably be the purchaser of the Pre-AWI (so that there was no need</w:t>
      </w:r>
      <w:r w:rsidR="00F1654B">
        <w:t xml:space="preserve"> </w:t>
      </w:r>
      <w:r w:rsidR="00F907BA" w:rsidRPr="00E0313C">
        <w:t xml:space="preserve">to identify a buyer). </w:t>
      </w:r>
      <w:r w:rsidR="00F269C2">
        <w:t xml:space="preserve">This is alleged against Aveo directly and as an accessory to the failure to disclose by relevant village operators, </w:t>
      </w:r>
      <w:proofErr w:type="gramStart"/>
      <w:r w:rsidR="00F269C2">
        <w:t>and also</w:t>
      </w:r>
      <w:proofErr w:type="gramEnd"/>
      <w:r w:rsidR="00F269C2">
        <w:t xml:space="preserve"> as an accessory to ARE’s failure to disclose</w:t>
      </w:r>
      <w:r w:rsidR="000A467B">
        <w:t xml:space="preserve"> which includes </w:t>
      </w:r>
      <w:r w:rsidR="00F907BA" w:rsidRPr="00DB15A0">
        <w:t xml:space="preserve">an allegation that Aveo is accessorially liable for ARE’s unconscionable </w:t>
      </w:r>
      <w:r w:rsidR="000A467B">
        <w:t xml:space="preserve">and misleading </w:t>
      </w:r>
      <w:r w:rsidR="00D57B09">
        <w:t xml:space="preserve">conduct </w:t>
      </w:r>
      <w:r w:rsidR="000A467B">
        <w:t xml:space="preserve">and deceptive </w:t>
      </w:r>
      <w:r w:rsidR="00F907BA" w:rsidRPr="00DB15A0">
        <w:t>charging</w:t>
      </w:r>
      <w:r w:rsidR="009B1DE1">
        <w:t xml:space="preserve"> </w:t>
      </w:r>
      <w:r w:rsidR="00F907BA" w:rsidRPr="00DB15A0">
        <w:t>of commission</w:t>
      </w:r>
      <w:r w:rsidR="000A467B">
        <w:t xml:space="preserve"> on the sales</w:t>
      </w:r>
      <w:r w:rsidR="009B1DE1">
        <w:t>.</w:t>
      </w:r>
    </w:p>
    <w:p w14:paraId="4D278C8D" w14:textId="68CBD247" w:rsidR="00DC196E" w:rsidRDefault="00DC196E" w:rsidP="00DC196E">
      <w:pPr>
        <w:pStyle w:val="Heading2"/>
      </w:pPr>
      <w:r>
        <w:lastRenderedPageBreak/>
        <w:t>The centrality of</w:t>
      </w:r>
      <w:r w:rsidR="009878BC">
        <w:t xml:space="preserve"> </w:t>
      </w:r>
      <w:r>
        <w:t>loss</w:t>
      </w:r>
      <w:r w:rsidR="00D20B20">
        <w:t xml:space="preserve"> in the case</w:t>
      </w:r>
    </w:p>
    <w:p w14:paraId="4BDFF2DD" w14:textId="704FBF53" w:rsidR="00B21D70" w:rsidRDefault="001D7B98" w:rsidP="001D7B98">
      <w:pPr>
        <w:pStyle w:val="ParaNumbering"/>
        <w:numPr>
          <w:ilvl w:val="0"/>
          <w:numId w:val="0"/>
        </w:numPr>
        <w:tabs>
          <w:tab w:val="left" w:pos="720"/>
        </w:tabs>
        <w:ind w:hanging="720"/>
      </w:pPr>
      <w:r>
        <w:rPr>
          <w:sz w:val="20"/>
        </w:rPr>
        <w:t>45</w:t>
      </w:r>
      <w:r>
        <w:rPr>
          <w:sz w:val="20"/>
        </w:rPr>
        <w:tab/>
      </w:r>
      <w:r w:rsidR="00532AC9">
        <w:t xml:space="preserve">The essence of the applicants’ claims was that the introduction of the Aveo Way programme caused a reduction in the desirability of units </w:t>
      </w:r>
      <w:r w:rsidR="0062052A">
        <w:t xml:space="preserve">in Aveo retirement villages, </w:t>
      </w:r>
      <w:r w:rsidR="00532AC9">
        <w:t>giving rise to: (a) a lower sale price for an outgoing resident’s unit than otherwise would have been achieved; and</w:t>
      </w:r>
      <w:r w:rsidR="0062052A">
        <w:t>/or</w:t>
      </w:r>
      <w:r w:rsidR="00532AC9">
        <w:t xml:space="preserve"> (b) a longer time on </w:t>
      </w:r>
      <w:r w:rsidR="0062052A">
        <w:t xml:space="preserve">the </w:t>
      </w:r>
      <w:r w:rsidR="00532AC9">
        <w:t xml:space="preserve">market for the unit than </w:t>
      </w:r>
      <w:r w:rsidR="0062052A">
        <w:t xml:space="preserve">would </w:t>
      </w:r>
      <w:r w:rsidR="00532AC9">
        <w:t>otherwise have been</w:t>
      </w:r>
      <w:r w:rsidR="0062052A">
        <w:t xml:space="preserve"> the case</w:t>
      </w:r>
      <w:r w:rsidR="00532AC9">
        <w:t>. T</w:t>
      </w:r>
      <w:r w:rsidR="00CF6938">
        <w:t xml:space="preserve">he applicants’ </w:t>
      </w:r>
      <w:r w:rsidR="00B34517">
        <w:t xml:space="preserve">case </w:t>
      </w:r>
      <w:r w:rsidR="00532AC9">
        <w:t xml:space="preserve">centrally </w:t>
      </w:r>
      <w:r w:rsidR="00B34517">
        <w:t xml:space="preserve">turned upon evidence as to the value of units in Aveo’s retirement villages </w:t>
      </w:r>
      <w:r w:rsidR="000D3D6D">
        <w:t>before the introduction of Aveo Way, compared to their value when resold or re-leased under the terms of</w:t>
      </w:r>
      <w:r w:rsidR="00CF6938">
        <w:t xml:space="preserve"> </w:t>
      </w:r>
      <w:r w:rsidR="00CA1795">
        <w:t xml:space="preserve">the </w:t>
      </w:r>
      <w:r w:rsidR="006E749A">
        <w:t>Aveo Way</w:t>
      </w:r>
      <w:r w:rsidR="000D3D6D">
        <w:t xml:space="preserve">. </w:t>
      </w:r>
      <w:r w:rsidR="00242225">
        <w:t>Essentially, i</w:t>
      </w:r>
      <w:r w:rsidR="000254E9">
        <w:t xml:space="preserve">f </w:t>
      </w:r>
      <w:r w:rsidR="000D3D6D">
        <w:t xml:space="preserve">the </w:t>
      </w:r>
      <w:r w:rsidR="00DC196E">
        <w:t xml:space="preserve">applicants and group members who held </w:t>
      </w:r>
      <w:proofErr w:type="gramStart"/>
      <w:r w:rsidR="00CF6938">
        <w:t>Pre-AWIs</w:t>
      </w:r>
      <w:proofErr w:type="gramEnd"/>
      <w:r w:rsidR="00CF6938">
        <w:t xml:space="preserve"> could not</w:t>
      </w:r>
      <w:r w:rsidR="00D7154F">
        <w:t xml:space="preserve"> show </w:t>
      </w:r>
      <w:r w:rsidR="00CF6938">
        <w:t>that they had suffered, or were likely to suffer, a loss as a result of</w:t>
      </w:r>
      <w:r w:rsidR="00D7154F">
        <w:t xml:space="preserve"> the </w:t>
      </w:r>
      <w:r w:rsidR="00CF6938">
        <w:t xml:space="preserve">introduction of </w:t>
      </w:r>
      <w:r w:rsidR="00CA1795">
        <w:t xml:space="preserve">the </w:t>
      </w:r>
      <w:r w:rsidR="00CF6938">
        <w:t xml:space="preserve">Aveo Way </w:t>
      </w:r>
      <w:r w:rsidR="00246C9F">
        <w:t xml:space="preserve">then it was not unconscionable </w:t>
      </w:r>
      <w:r w:rsidR="00D7154F">
        <w:t xml:space="preserve">for Aveo </w:t>
      </w:r>
      <w:r w:rsidR="00246C9F">
        <w:t xml:space="preserve">to introduce </w:t>
      </w:r>
      <w:r w:rsidR="00CA1795">
        <w:t xml:space="preserve">the </w:t>
      </w:r>
      <w:r w:rsidR="006E749A">
        <w:t xml:space="preserve">Aveo Way </w:t>
      </w:r>
      <w:r w:rsidR="00246C9F">
        <w:t>and</w:t>
      </w:r>
      <w:r w:rsidR="00DC196E">
        <w:t xml:space="preserve"> doing so </w:t>
      </w:r>
      <w:r w:rsidR="00246C9F">
        <w:t>did not involve misleading or deceptive conduct.</w:t>
      </w:r>
    </w:p>
    <w:p w14:paraId="6DF9E12A" w14:textId="4A6A6FCC" w:rsidR="00D20B20" w:rsidRDefault="001D7B98" w:rsidP="001D7B98">
      <w:pPr>
        <w:pStyle w:val="ParaNumbering"/>
        <w:numPr>
          <w:ilvl w:val="0"/>
          <w:numId w:val="0"/>
        </w:numPr>
        <w:tabs>
          <w:tab w:val="left" w:pos="720"/>
        </w:tabs>
        <w:ind w:hanging="720"/>
      </w:pPr>
      <w:r>
        <w:rPr>
          <w:sz w:val="20"/>
        </w:rPr>
        <w:t>46</w:t>
      </w:r>
      <w:r>
        <w:rPr>
          <w:sz w:val="20"/>
        </w:rPr>
        <w:tab/>
      </w:r>
      <w:r w:rsidR="00EA0F3A">
        <w:t>The centrality of loss</w:t>
      </w:r>
      <w:r w:rsidR="00D95CEB">
        <w:t xml:space="preserve"> in the case </w:t>
      </w:r>
      <w:r w:rsidR="00EA0F3A">
        <w:t>was obvious from</w:t>
      </w:r>
      <w:r w:rsidR="00D95CEB">
        <w:t xml:space="preserve"> early in the proceeding</w:t>
      </w:r>
      <w:r w:rsidR="00EA0F3A">
        <w:t>.</w:t>
      </w:r>
      <w:r w:rsidR="00D20B20">
        <w:t xml:space="preserve"> </w:t>
      </w:r>
      <w:r w:rsidR="00F23713">
        <w:t>Since almost everything in the proceeding turned on the Court’s acceptance that there has been a lower sale price for units or longer sale time since the Aveo Way programme was introduced, on</w:t>
      </w:r>
      <w:r w:rsidR="00D20B20">
        <w:t xml:space="preserve"> 30 July 2019 Aveo</w:t>
      </w:r>
      <w:r w:rsidR="00D20B20" w:rsidDel="00532AC9">
        <w:t xml:space="preserve"> submitted that </w:t>
      </w:r>
      <w:r w:rsidR="00D20B20">
        <w:t>a separate question as to loss</w:t>
      </w:r>
      <w:r w:rsidR="00D20B20" w:rsidDel="0062052A">
        <w:t xml:space="preserve"> </w:t>
      </w:r>
      <w:r w:rsidR="0062052A">
        <w:t xml:space="preserve">should </w:t>
      </w:r>
      <w:r w:rsidR="00D20B20">
        <w:t>be heard.</w:t>
      </w:r>
      <w:r w:rsidR="00D20B20" w:rsidDel="00F23713">
        <w:t xml:space="preserve"> </w:t>
      </w:r>
    </w:p>
    <w:p w14:paraId="264001CB" w14:textId="03074EE6" w:rsidR="00D20B20" w:rsidRDefault="001D7B98" w:rsidP="001D7B98">
      <w:pPr>
        <w:pStyle w:val="ParaNumbering"/>
        <w:numPr>
          <w:ilvl w:val="0"/>
          <w:numId w:val="0"/>
        </w:numPr>
        <w:tabs>
          <w:tab w:val="left" w:pos="720"/>
        </w:tabs>
        <w:ind w:hanging="720"/>
      </w:pPr>
      <w:r>
        <w:rPr>
          <w:sz w:val="20"/>
        </w:rPr>
        <w:t>47</w:t>
      </w:r>
      <w:r>
        <w:rPr>
          <w:sz w:val="20"/>
        </w:rPr>
        <w:tab/>
      </w:r>
      <w:r w:rsidR="00D20B20">
        <w:t xml:space="preserve">That suggestion was opposed by the applicants. I was, however, attracted to the idea and I made orders </w:t>
      </w:r>
      <w:r w:rsidR="00F23713">
        <w:t xml:space="preserve">on 30 July 2019 </w:t>
      </w:r>
      <w:r w:rsidR="00D20B20">
        <w:t xml:space="preserve">authorising National Judicial Registrar </w:t>
      </w:r>
      <w:proofErr w:type="spellStart"/>
      <w:r w:rsidR="00D20B20">
        <w:t>Gitsham</w:t>
      </w:r>
      <w:proofErr w:type="spellEnd"/>
      <w:r w:rsidR="00D20B20">
        <w:t xml:space="preserve"> </w:t>
      </w:r>
      <w:r w:rsidR="00D20B20" w:rsidRPr="00D669F2">
        <w:t>to</w:t>
      </w:r>
      <w:r w:rsidR="00756BA0">
        <w:t xml:space="preserve"> confer with the parties in the endeavour to have them agree, or to set, </w:t>
      </w:r>
      <w:r w:rsidR="00D20B20" w:rsidRPr="00D669F2">
        <w:t>a</w:t>
      </w:r>
      <w:r w:rsidR="00756BA0">
        <w:t xml:space="preserve"> separate </w:t>
      </w:r>
      <w:r w:rsidR="00D20B20" w:rsidRPr="00D669F2">
        <w:t>question in relation to loss, and to make such directions as she considers appropriate</w:t>
      </w:r>
      <w:r w:rsidR="00D20B20">
        <w:t>, including by setting a timetable to a hearing of a</w:t>
      </w:r>
      <w:r w:rsidR="00756BA0">
        <w:t xml:space="preserve"> separate </w:t>
      </w:r>
      <w:r w:rsidR="00D20B20">
        <w:t>question</w:t>
      </w:r>
      <w:r w:rsidR="00D20B20" w:rsidRPr="00D669F2">
        <w:t xml:space="preserve">. </w:t>
      </w:r>
    </w:p>
    <w:p w14:paraId="00919434" w14:textId="063A3B73" w:rsidR="00D20B20" w:rsidRDefault="001D7B98" w:rsidP="001D7B98">
      <w:pPr>
        <w:pStyle w:val="ParaNumbering"/>
        <w:numPr>
          <w:ilvl w:val="0"/>
          <w:numId w:val="0"/>
        </w:numPr>
        <w:tabs>
          <w:tab w:val="left" w:pos="720"/>
        </w:tabs>
        <w:ind w:hanging="720"/>
      </w:pPr>
      <w:r>
        <w:rPr>
          <w:sz w:val="20"/>
        </w:rPr>
        <w:t>48</w:t>
      </w:r>
      <w:r>
        <w:rPr>
          <w:sz w:val="20"/>
        </w:rPr>
        <w:tab/>
      </w:r>
      <w:r w:rsidR="00D20B20">
        <w:t>Unfortunately, that process became a lengthy one</w:t>
      </w:r>
      <w:r w:rsidR="00756BA0">
        <w:t>. The conferral process</w:t>
      </w:r>
      <w:r w:rsidR="00F23713">
        <w:t xml:space="preserve"> before Registrar </w:t>
      </w:r>
      <w:proofErr w:type="spellStart"/>
      <w:r w:rsidR="00F23713">
        <w:t>Gitsham</w:t>
      </w:r>
      <w:proofErr w:type="spellEnd"/>
      <w:r w:rsidR="00756BA0">
        <w:t xml:space="preserve"> involved </w:t>
      </w:r>
      <w:r w:rsidR="00D20B20">
        <w:t>a series of case management hearings in the second half of 2019</w:t>
      </w:r>
      <w:r w:rsidR="00756BA0">
        <w:t xml:space="preserve"> and the first half of 2020</w:t>
      </w:r>
      <w:r w:rsidR="00D20B20">
        <w:t xml:space="preserve">. Aveo provided the applicants with the raw sales data in relation to freehold </w:t>
      </w:r>
      <w:r w:rsidR="00756BA0">
        <w:t xml:space="preserve">unit </w:t>
      </w:r>
      <w:r w:rsidR="00D20B20">
        <w:t xml:space="preserve">sales in July 2019 and it provided the raw sales data in relation to leasehold </w:t>
      </w:r>
      <w:r w:rsidR="00756BA0">
        <w:t>unit “</w:t>
      </w:r>
      <w:r w:rsidR="00D20B20">
        <w:t>sales</w:t>
      </w:r>
      <w:r w:rsidR="00756BA0">
        <w:t>”</w:t>
      </w:r>
      <w:r w:rsidR="00D20B20">
        <w:t xml:space="preserve"> in September 2019. The applicants engaged two actuaries with expertise in the valuation of retirement village interests to review the sales and leasehold data with which it had been provided. Eventually the applicants proposed alternative separate questions</w:t>
      </w:r>
      <w:r w:rsidR="00D20B20" w:rsidDel="00F23713">
        <w:t xml:space="preserve"> </w:t>
      </w:r>
      <w:r w:rsidR="00F23713">
        <w:t xml:space="preserve">in relation to </w:t>
      </w:r>
      <w:proofErr w:type="gramStart"/>
      <w:r w:rsidR="00F23713">
        <w:t>loss</w:t>
      </w:r>
      <w:proofErr w:type="gramEnd"/>
      <w:r w:rsidR="00F23713">
        <w:t xml:space="preserve"> </w:t>
      </w:r>
      <w:r w:rsidR="00D20B20">
        <w:t>but the parties</w:t>
      </w:r>
      <w:r w:rsidR="00756BA0">
        <w:t xml:space="preserve"> could </w:t>
      </w:r>
      <w:r w:rsidR="00D20B20">
        <w:t>not agree</w:t>
      </w:r>
      <w:r w:rsidR="00F23713">
        <w:t xml:space="preserve"> on those</w:t>
      </w:r>
      <w:r w:rsidR="00D20B20">
        <w:t>.</w:t>
      </w:r>
    </w:p>
    <w:p w14:paraId="7465F121" w14:textId="1A31DEBA" w:rsidR="00A95737" w:rsidRDefault="001D7B98" w:rsidP="001D7B98">
      <w:pPr>
        <w:pStyle w:val="ParaNumbering"/>
        <w:numPr>
          <w:ilvl w:val="0"/>
          <w:numId w:val="0"/>
        </w:numPr>
        <w:tabs>
          <w:tab w:val="left" w:pos="720"/>
        </w:tabs>
        <w:ind w:hanging="720"/>
      </w:pPr>
      <w:r>
        <w:rPr>
          <w:sz w:val="20"/>
        </w:rPr>
        <w:t>49</w:t>
      </w:r>
      <w:r>
        <w:rPr>
          <w:sz w:val="20"/>
        </w:rPr>
        <w:tab/>
      </w:r>
      <w:r w:rsidR="00A95737">
        <w:t xml:space="preserve">Aveo </w:t>
      </w:r>
      <w:r w:rsidR="00756BA0">
        <w:t xml:space="preserve">eventually </w:t>
      </w:r>
      <w:r w:rsidR="00A95737">
        <w:t>filed an interlocutory application dated 12 February 2021</w:t>
      </w:r>
      <w:r w:rsidR="00756BA0">
        <w:t xml:space="preserve"> in which it sought </w:t>
      </w:r>
      <w:r w:rsidR="00A95737">
        <w:t xml:space="preserve">determination of separate questions pursuant to rule 30.01 of the </w:t>
      </w:r>
      <w:r w:rsidR="00A95737" w:rsidRPr="00605406">
        <w:rPr>
          <w:i/>
          <w:iCs/>
        </w:rPr>
        <w:t>Federal Court Rules 2011</w:t>
      </w:r>
      <w:r w:rsidR="00A95737">
        <w:t xml:space="preserve"> </w:t>
      </w:r>
      <w:r w:rsidR="00A95737">
        <w:lastRenderedPageBreak/>
        <w:t>(</w:t>
      </w:r>
      <w:proofErr w:type="spellStart"/>
      <w:r w:rsidR="00A95737">
        <w:t>Cth</w:t>
      </w:r>
      <w:proofErr w:type="spellEnd"/>
      <w:r w:rsidR="00A95737">
        <w:t xml:space="preserve">) (the </w:t>
      </w:r>
      <w:r w:rsidR="00A95737" w:rsidRPr="00434082">
        <w:rPr>
          <w:b/>
          <w:bCs/>
        </w:rPr>
        <w:t>Separate Question Application</w:t>
      </w:r>
      <w:r w:rsidR="00A95737">
        <w:t>). It proposed two separate questions, based on common questions drawn from the</w:t>
      </w:r>
      <w:r w:rsidR="00722875">
        <w:t xml:space="preserve"> Further Amended Application</w:t>
      </w:r>
      <w:r w:rsidR="00A95737">
        <w:t>, namely:</w:t>
      </w:r>
    </w:p>
    <w:p w14:paraId="05E0789A" w14:textId="68D874BD" w:rsidR="00A95737" w:rsidRDefault="00A95737" w:rsidP="00A95737">
      <w:pPr>
        <w:pStyle w:val="Quote1"/>
        <w:ind w:left="1440" w:hanging="703"/>
      </w:pPr>
      <w:r>
        <w:t>1.</w:t>
      </w:r>
      <w:r>
        <w:tab/>
        <w:t xml:space="preserve">Whether upon the implementation of the Aveo Way Programme with respect to an outgoing resident with a </w:t>
      </w:r>
      <w:proofErr w:type="gramStart"/>
      <w:r w:rsidRPr="00666FE8">
        <w:t>Pre-AWFI</w:t>
      </w:r>
      <w:proofErr w:type="gramEnd"/>
      <w:r w:rsidRPr="00666FE8">
        <w:t xml:space="preserve"> </w:t>
      </w:r>
      <w:r>
        <w:t xml:space="preserve">[a pre-Aveo Way </w:t>
      </w:r>
      <w:r w:rsidR="003A6F27">
        <w:t xml:space="preserve">freehold </w:t>
      </w:r>
      <w:r>
        <w:t>interest]:</w:t>
      </w:r>
    </w:p>
    <w:p w14:paraId="0F7F57EE" w14:textId="77777777" w:rsidR="00A95737" w:rsidRDefault="00A95737" w:rsidP="007C4D0E">
      <w:pPr>
        <w:pStyle w:val="Quote2"/>
        <w:ind w:left="2160" w:hanging="720"/>
      </w:pPr>
      <w:r>
        <w:t>(a)</w:t>
      </w:r>
      <w:r>
        <w:tab/>
        <w:t xml:space="preserve">the outgoing resident would, or would likely, receive less monies upon the sale of their interest than if the Aveo Way Programme had not been </w:t>
      </w:r>
      <w:proofErr w:type="gramStart"/>
      <w:r>
        <w:t>implemented;</w:t>
      </w:r>
      <w:proofErr w:type="gramEnd"/>
    </w:p>
    <w:p w14:paraId="235D10D7" w14:textId="77777777" w:rsidR="00A95737" w:rsidRDefault="00A95737" w:rsidP="007C4D0E">
      <w:pPr>
        <w:pStyle w:val="Quote2"/>
        <w:ind w:left="2160" w:hanging="720"/>
      </w:pPr>
      <w:r>
        <w:t>(b)</w:t>
      </w:r>
      <w:r>
        <w:tab/>
        <w:t xml:space="preserve">the </w:t>
      </w:r>
      <w:proofErr w:type="gramStart"/>
      <w:r>
        <w:t>period of time</w:t>
      </w:r>
      <w:proofErr w:type="gramEnd"/>
      <w:r>
        <w:t xml:space="preserve"> in which the unit was required to be marketed before sale to a new resident would likely be prolonged.</w:t>
      </w:r>
    </w:p>
    <w:p w14:paraId="445BD79B" w14:textId="5AFF0D43" w:rsidR="00A95737" w:rsidRDefault="00A95737" w:rsidP="00A95737">
      <w:pPr>
        <w:pStyle w:val="Quote1"/>
        <w:ind w:left="1440" w:hanging="703"/>
      </w:pPr>
      <w:r>
        <w:t>2.</w:t>
      </w:r>
      <w:r>
        <w:tab/>
        <w:t xml:space="preserve">Whether upon the implementation of the Aveo Way Programme with respect to an outgoing resident with a </w:t>
      </w:r>
      <w:proofErr w:type="gramStart"/>
      <w:r w:rsidRPr="00666FE8">
        <w:t>Pre-AW</w:t>
      </w:r>
      <w:r>
        <w:t>L</w:t>
      </w:r>
      <w:r w:rsidRPr="00666FE8">
        <w:t>I</w:t>
      </w:r>
      <w:proofErr w:type="gramEnd"/>
      <w:r w:rsidRPr="00666FE8">
        <w:t xml:space="preserve"> </w:t>
      </w:r>
      <w:r>
        <w:t xml:space="preserve">[a pre-Aveo Way </w:t>
      </w:r>
      <w:r w:rsidR="0007444B">
        <w:t xml:space="preserve">leasehold </w:t>
      </w:r>
      <w:r>
        <w:t>interest]:</w:t>
      </w:r>
    </w:p>
    <w:p w14:paraId="126B2470" w14:textId="77777777" w:rsidR="00A95737" w:rsidRDefault="00A95737" w:rsidP="007C4D0E">
      <w:pPr>
        <w:pStyle w:val="Quote2"/>
        <w:ind w:left="2160" w:hanging="720"/>
      </w:pPr>
      <w:r>
        <w:t>(a)</w:t>
      </w:r>
      <w:r>
        <w:tab/>
        <w:t xml:space="preserve">the outgoing resident would, or would likely, receive less monies upon the sale of their interest than if the Aveo Way Programme had not been </w:t>
      </w:r>
      <w:proofErr w:type="gramStart"/>
      <w:r>
        <w:t>implemented;</w:t>
      </w:r>
      <w:proofErr w:type="gramEnd"/>
    </w:p>
    <w:p w14:paraId="336188F9" w14:textId="77777777" w:rsidR="00A95737" w:rsidRDefault="00A95737" w:rsidP="007C4D0E">
      <w:pPr>
        <w:pStyle w:val="Quote2"/>
        <w:ind w:left="2160" w:hanging="720"/>
      </w:pPr>
      <w:r>
        <w:t>(b)</w:t>
      </w:r>
      <w:r>
        <w:tab/>
        <w:t xml:space="preserve">the </w:t>
      </w:r>
      <w:proofErr w:type="gramStart"/>
      <w:r>
        <w:t>period of time</w:t>
      </w:r>
      <w:proofErr w:type="gramEnd"/>
      <w:r>
        <w:t xml:space="preserve"> in which the unit was required to be marketed before sale to a new resident would likely be prolonged</w:t>
      </w:r>
    </w:p>
    <w:p w14:paraId="3FD07958" w14:textId="126079EB" w:rsidR="00A95737" w:rsidRDefault="001D7B98" w:rsidP="001D7B98">
      <w:pPr>
        <w:pStyle w:val="ParaNumbering"/>
        <w:numPr>
          <w:ilvl w:val="0"/>
          <w:numId w:val="0"/>
        </w:numPr>
        <w:tabs>
          <w:tab w:val="left" w:pos="720"/>
        </w:tabs>
        <w:ind w:hanging="720"/>
      </w:pPr>
      <w:r>
        <w:rPr>
          <w:sz w:val="20"/>
        </w:rPr>
        <w:t>50</w:t>
      </w:r>
      <w:r>
        <w:rPr>
          <w:sz w:val="20"/>
        </w:rPr>
        <w:tab/>
      </w:r>
      <w:r w:rsidR="00A95737">
        <w:t>I heard that application on 31 August 2021</w:t>
      </w:r>
      <w:r w:rsidR="0016544D">
        <w:t xml:space="preserve"> </w:t>
      </w:r>
      <w:r w:rsidR="00076AAC">
        <w:t>and made orders</w:t>
      </w:r>
      <w:r w:rsidR="00076AAC" w:rsidDel="00F23713">
        <w:t xml:space="preserve"> </w:t>
      </w:r>
      <w:r w:rsidR="00F23713">
        <w:t xml:space="preserve">to dismiss the application </w:t>
      </w:r>
      <w:r w:rsidR="0016544D">
        <w:t>on 2 September 2021</w:t>
      </w:r>
      <w:r w:rsidR="00A95737">
        <w:t xml:space="preserve">. </w:t>
      </w:r>
    </w:p>
    <w:p w14:paraId="7164CA1B" w14:textId="633D06D5" w:rsidR="001F53FE" w:rsidRDefault="001D7B98" w:rsidP="001F53FE">
      <w:pPr>
        <w:pStyle w:val="Heading1"/>
      </w:pPr>
      <w:r>
        <w:rPr>
          <w:caps w:val="0"/>
        </w:rPr>
        <w:t xml:space="preserve">KEY TERMS OF THE PROPOSED SETTLEMENT </w:t>
      </w:r>
    </w:p>
    <w:p w14:paraId="62D7B83E" w14:textId="275210EF" w:rsidR="006303A2" w:rsidRDefault="001D7B98" w:rsidP="001D7B98">
      <w:pPr>
        <w:pStyle w:val="ParaNumbering"/>
        <w:numPr>
          <w:ilvl w:val="0"/>
          <w:numId w:val="0"/>
        </w:numPr>
        <w:tabs>
          <w:tab w:val="left" w:pos="720"/>
        </w:tabs>
        <w:ind w:hanging="720"/>
      </w:pPr>
      <w:r>
        <w:rPr>
          <w:sz w:val="20"/>
        </w:rPr>
        <w:t>51</w:t>
      </w:r>
      <w:r>
        <w:rPr>
          <w:sz w:val="20"/>
        </w:rPr>
        <w:tab/>
      </w:r>
      <w:r w:rsidR="00BA77C3">
        <w:t>T</w:t>
      </w:r>
      <w:r w:rsidR="00496ED6">
        <w:t xml:space="preserve">he proposed settlement </w:t>
      </w:r>
      <w:r w:rsidR="00BA77C3">
        <w:t xml:space="preserve">is recorded in a Deed of Settlement </w:t>
      </w:r>
      <w:r w:rsidR="0064714E">
        <w:t>dated 27 March 2023 (</w:t>
      </w:r>
      <w:r w:rsidR="0064714E" w:rsidRPr="0064714E">
        <w:rPr>
          <w:b/>
          <w:bCs/>
        </w:rPr>
        <w:t>Settlement Deed</w:t>
      </w:r>
      <w:r w:rsidR="0064714E">
        <w:t>) to which the following are signatories</w:t>
      </w:r>
      <w:r w:rsidR="006303A2">
        <w:t>:</w:t>
      </w:r>
    </w:p>
    <w:p w14:paraId="149CCA8D" w14:textId="4C1D9E63" w:rsidR="0064482B" w:rsidRDefault="001D7B98" w:rsidP="001D7B98">
      <w:pPr>
        <w:pStyle w:val="ListNo1alt"/>
        <w:numPr>
          <w:ilvl w:val="0"/>
          <w:numId w:val="0"/>
        </w:numPr>
        <w:tabs>
          <w:tab w:val="left" w:pos="720"/>
        </w:tabs>
        <w:ind w:left="720" w:hanging="720"/>
      </w:pPr>
      <w:r>
        <w:t>(a)</w:t>
      </w:r>
      <w:r>
        <w:tab/>
      </w:r>
      <w:r w:rsidR="0064482B">
        <w:t xml:space="preserve">the </w:t>
      </w:r>
      <w:proofErr w:type="gramStart"/>
      <w:r w:rsidR="0064482B">
        <w:t>applicants;</w:t>
      </w:r>
      <w:proofErr w:type="gramEnd"/>
    </w:p>
    <w:p w14:paraId="538AEAE3" w14:textId="1CFA5F10" w:rsidR="0016265E" w:rsidRDefault="001D7B98" w:rsidP="001D7B98">
      <w:pPr>
        <w:pStyle w:val="ListNo1alt"/>
        <w:numPr>
          <w:ilvl w:val="0"/>
          <w:numId w:val="0"/>
        </w:numPr>
        <w:tabs>
          <w:tab w:val="left" w:pos="720"/>
        </w:tabs>
        <w:ind w:left="720" w:hanging="720"/>
      </w:pPr>
      <w:r>
        <w:t>(b)</w:t>
      </w:r>
      <w:r>
        <w:tab/>
      </w:r>
      <w:proofErr w:type="gramStart"/>
      <w:r w:rsidR="0064482B">
        <w:t>Aveo</w:t>
      </w:r>
      <w:r w:rsidR="0016265E">
        <w:t>;</w:t>
      </w:r>
      <w:proofErr w:type="gramEnd"/>
    </w:p>
    <w:p w14:paraId="5BB44994" w14:textId="73FBC67B" w:rsidR="00A55451" w:rsidRDefault="001D7B98" w:rsidP="001D7B98">
      <w:pPr>
        <w:pStyle w:val="ListNo1alt"/>
        <w:numPr>
          <w:ilvl w:val="0"/>
          <w:numId w:val="0"/>
        </w:numPr>
        <w:tabs>
          <w:tab w:val="left" w:pos="720"/>
        </w:tabs>
        <w:ind w:left="720" w:hanging="720"/>
      </w:pPr>
      <w:r>
        <w:t>(c)</w:t>
      </w:r>
      <w:r>
        <w:tab/>
      </w:r>
      <w:r w:rsidR="0036332E">
        <w:t xml:space="preserve">Mr </w:t>
      </w:r>
      <w:r w:rsidR="0016265E">
        <w:t>Levitt</w:t>
      </w:r>
      <w:r w:rsidR="00A55451">
        <w:t xml:space="preserve">, in his personal capacity and as the senior partner of Levitt </w:t>
      </w:r>
      <w:proofErr w:type="gramStart"/>
      <w:r w:rsidR="00A55451">
        <w:t>Robinson;</w:t>
      </w:r>
      <w:proofErr w:type="gramEnd"/>
    </w:p>
    <w:p w14:paraId="42AA5702" w14:textId="4F93CBBC" w:rsidR="001F53FE" w:rsidRDefault="001D7B98" w:rsidP="001D7B98">
      <w:pPr>
        <w:pStyle w:val="ListNo1alt"/>
        <w:numPr>
          <w:ilvl w:val="0"/>
          <w:numId w:val="0"/>
        </w:numPr>
        <w:tabs>
          <w:tab w:val="left" w:pos="720"/>
        </w:tabs>
        <w:ind w:left="720" w:hanging="720"/>
      </w:pPr>
      <w:r>
        <w:t>(d)</w:t>
      </w:r>
      <w:r>
        <w:tab/>
      </w:r>
      <w:r w:rsidR="00CA6F15">
        <w:t>Class Marketing and Management Pty Ltd</w:t>
      </w:r>
      <w:r w:rsidR="00EB5774">
        <w:t xml:space="preserve"> (which I understand to be</w:t>
      </w:r>
      <w:r w:rsidR="0088400D">
        <w:t xml:space="preserve"> a </w:t>
      </w:r>
      <w:r w:rsidR="00CD6581">
        <w:t xml:space="preserve">class action marketing </w:t>
      </w:r>
      <w:r w:rsidR="0088400D">
        <w:t>company associated with Levitt Robinson)</w:t>
      </w:r>
      <w:r w:rsidR="00AF171D">
        <w:t xml:space="preserve">; and </w:t>
      </w:r>
    </w:p>
    <w:p w14:paraId="67C4516F" w14:textId="6BE1C6C8" w:rsidR="00CD6581" w:rsidRDefault="001D7B98" w:rsidP="001D7B98">
      <w:pPr>
        <w:pStyle w:val="ListNo1alt"/>
        <w:numPr>
          <w:ilvl w:val="0"/>
          <w:numId w:val="0"/>
        </w:numPr>
        <w:tabs>
          <w:tab w:val="left" w:pos="720"/>
        </w:tabs>
        <w:ind w:left="720" w:hanging="720"/>
      </w:pPr>
      <w:r>
        <w:t>(e)</w:t>
      </w:r>
      <w:r>
        <w:tab/>
      </w:r>
      <w:r w:rsidR="00CD6581">
        <w:t>Galactic Aveo LLC</w:t>
      </w:r>
      <w:r w:rsidR="000D3E0F">
        <w:t xml:space="preserve"> (which is the Galactic entity funding the proceeding) and</w:t>
      </w:r>
    </w:p>
    <w:p w14:paraId="6B46FC2F" w14:textId="2292916D" w:rsidR="003F1F54" w:rsidRDefault="001D7B98" w:rsidP="001D7B98">
      <w:pPr>
        <w:pStyle w:val="ListNo1alt"/>
        <w:numPr>
          <w:ilvl w:val="0"/>
          <w:numId w:val="0"/>
        </w:numPr>
        <w:tabs>
          <w:tab w:val="left" w:pos="720"/>
        </w:tabs>
        <w:ind w:left="720" w:hanging="720"/>
      </w:pPr>
      <w:r>
        <w:t>(f)</w:t>
      </w:r>
      <w:r>
        <w:tab/>
      </w:r>
      <w:r w:rsidR="003F1F54">
        <w:t>Galactic Litigation Partners LLC (which is the Galactic parent company).</w:t>
      </w:r>
    </w:p>
    <w:p w14:paraId="41D0F097" w14:textId="65CDC885" w:rsidR="003F1F54" w:rsidRDefault="001D7B98" w:rsidP="001D7B98">
      <w:pPr>
        <w:pStyle w:val="ParaNumbering"/>
        <w:numPr>
          <w:ilvl w:val="0"/>
          <w:numId w:val="0"/>
        </w:numPr>
        <w:tabs>
          <w:tab w:val="left" w:pos="720"/>
        </w:tabs>
        <w:ind w:hanging="720"/>
      </w:pPr>
      <w:r>
        <w:rPr>
          <w:sz w:val="20"/>
        </w:rPr>
        <w:t>52</w:t>
      </w:r>
      <w:r>
        <w:rPr>
          <w:sz w:val="20"/>
        </w:rPr>
        <w:tab/>
      </w:r>
      <w:r w:rsidR="00E7315D">
        <w:t>The key terms of the proposed settlement are</w:t>
      </w:r>
      <w:r w:rsidR="001E1ECF" w:rsidRPr="001E1ECF">
        <w:t xml:space="preserve"> </w:t>
      </w:r>
      <w:r w:rsidR="001E1ECF">
        <w:t>that, upon final orders of the Court approving the proposed settlement (after expiry of all appeal periods)</w:t>
      </w:r>
      <w:r w:rsidR="001E1ECF" w:rsidRPr="001E1ECF">
        <w:t xml:space="preserve"> </w:t>
      </w:r>
      <w:r w:rsidR="001E1ECF">
        <w:t>on the terms contained in the Settlement Deed or substantially on the terms of the Settlement Deed,</w:t>
      </w:r>
    </w:p>
    <w:p w14:paraId="1BD8C278" w14:textId="3F3816C1" w:rsidR="001F53FE" w:rsidRPr="00EA480B" w:rsidRDefault="001D7B98" w:rsidP="001D7B98">
      <w:pPr>
        <w:pStyle w:val="ListNo1alt"/>
        <w:numPr>
          <w:ilvl w:val="0"/>
          <w:numId w:val="0"/>
        </w:numPr>
        <w:tabs>
          <w:tab w:val="left" w:pos="720"/>
        </w:tabs>
        <w:ind w:left="720" w:hanging="720"/>
      </w:pPr>
      <w:r w:rsidRPr="00EA480B">
        <w:lastRenderedPageBreak/>
        <w:t>(a)</w:t>
      </w:r>
      <w:r w:rsidRPr="00EA480B">
        <w:tab/>
      </w:r>
      <w:r w:rsidR="003B4C6D">
        <w:t xml:space="preserve">Aveo will pay $11 million in full and final settlement of the proceeding </w:t>
      </w:r>
      <w:r w:rsidR="006D73DD">
        <w:t xml:space="preserve">into the Settlement Account, </w:t>
      </w:r>
      <w:r w:rsidR="00324728">
        <w:t>inclusive of interest, costs and settlement administration</w:t>
      </w:r>
      <w:r w:rsidR="006D73DD">
        <w:t xml:space="preserve">, to be distributed by the Administrator as directed by the </w:t>
      </w:r>
      <w:proofErr w:type="gramStart"/>
      <w:r w:rsidR="006D73DD">
        <w:t>Court</w:t>
      </w:r>
      <w:r w:rsidR="001F53FE" w:rsidRPr="00EA480B">
        <w:t>;</w:t>
      </w:r>
      <w:proofErr w:type="gramEnd"/>
    </w:p>
    <w:p w14:paraId="21034729" w14:textId="327B4CA5" w:rsidR="00075F96" w:rsidRDefault="001D7B98" w:rsidP="001D7B98">
      <w:pPr>
        <w:pStyle w:val="ListNo1alt"/>
        <w:numPr>
          <w:ilvl w:val="0"/>
          <w:numId w:val="0"/>
        </w:numPr>
        <w:tabs>
          <w:tab w:val="left" w:pos="720"/>
        </w:tabs>
        <w:ind w:left="720" w:hanging="720"/>
      </w:pPr>
      <w:r>
        <w:t>(b)</w:t>
      </w:r>
      <w:r>
        <w:tab/>
      </w:r>
      <w:r w:rsidR="00EB79B6">
        <w:t>the applicants on behalf of themselves and on behalf of all group members will</w:t>
      </w:r>
      <w:r w:rsidR="00075F96">
        <w:t xml:space="preserve"> </w:t>
      </w:r>
      <w:r w:rsidR="00EB79B6">
        <w:t>release Aveo</w:t>
      </w:r>
      <w:r w:rsidR="00F60942">
        <w:t>,</w:t>
      </w:r>
      <w:r w:rsidR="00EB79B6">
        <w:t xml:space="preserve"> its related bodies corporate, its related entities and/or its related </w:t>
      </w:r>
      <w:r w:rsidR="00F60942">
        <w:t>p</w:t>
      </w:r>
      <w:r w:rsidR="00EB79B6">
        <w:t xml:space="preserve">ersons respectively from </w:t>
      </w:r>
      <w:proofErr w:type="gramStart"/>
      <w:r w:rsidR="00EB79B6">
        <w:t>all of</w:t>
      </w:r>
      <w:proofErr w:type="gramEnd"/>
      <w:r w:rsidR="00EB79B6">
        <w:t xml:space="preserve"> </w:t>
      </w:r>
      <w:r w:rsidR="00F60942">
        <w:t>their Claims;</w:t>
      </w:r>
      <w:r w:rsidR="007D63D1">
        <w:t xml:space="preserve"> and</w:t>
      </w:r>
    </w:p>
    <w:p w14:paraId="2DA0A231" w14:textId="0F00F31D" w:rsidR="008E6C85" w:rsidRDefault="001D7B98" w:rsidP="001D7B98">
      <w:pPr>
        <w:pStyle w:val="ListNo1alt"/>
        <w:numPr>
          <w:ilvl w:val="0"/>
          <w:numId w:val="0"/>
        </w:numPr>
        <w:tabs>
          <w:tab w:val="left" w:pos="720"/>
        </w:tabs>
        <w:ind w:left="720" w:hanging="720"/>
      </w:pPr>
      <w:r>
        <w:t>(c)</w:t>
      </w:r>
      <w:r>
        <w:tab/>
      </w:r>
      <w:r w:rsidR="005F4095">
        <w:t>the applicants on behalf of themselves and on behalf of all group members</w:t>
      </w:r>
      <w:r w:rsidR="001E1ECF">
        <w:t>,</w:t>
      </w:r>
      <w:r w:rsidR="005F4095">
        <w:t xml:space="preserve"> </w:t>
      </w:r>
      <w:r w:rsidR="006420BB">
        <w:t>Mr Levitt</w:t>
      </w:r>
      <w:r w:rsidR="005F4095">
        <w:t xml:space="preserve"> </w:t>
      </w:r>
      <w:r w:rsidR="006420BB">
        <w:t>by himself and his servants or and agents</w:t>
      </w:r>
      <w:r w:rsidR="001E1ECF">
        <w:t xml:space="preserve">, and </w:t>
      </w:r>
      <w:r w:rsidR="00795DC9">
        <w:t>Galactic and its related entities</w:t>
      </w:r>
      <w:r w:rsidR="001E1ECF">
        <w:t xml:space="preserve">, </w:t>
      </w:r>
      <w:r w:rsidR="00795DC9">
        <w:t xml:space="preserve">agree </w:t>
      </w:r>
      <w:r w:rsidR="007B1F2A">
        <w:t>that they will not bring or pursue, or otherwise aid, abet, counsel,</w:t>
      </w:r>
      <w:r w:rsidR="00795DC9">
        <w:t xml:space="preserve"> provide funding </w:t>
      </w:r>
      <w:r w:rsidR="007B1F2A">
        <w:t xml:space="preserve">or procure </w:t>
      </w:r>
      <w:r w:rsidR="008E6C85">
        <w:t xml:space="preserve">that </w:t>
      </w:r>
      <w:r w:rsidR="007B1F2A">
        <w:t>a third-party bring or pursue a Claim against</w:t>
      </w:r>
      <w:r w:rsidR="00F60942">
        <w:t xml:space="preserve"> </w:t>
      </w:r>
      <w:r w:rsidR="008E6C85">
        <w:t xml:space="preserve">Aveo, its related bodies corporate, its related entities and/or its related </w:t>
      </w:r>
      <w:proofErr w:type="gramStart"/>
      <w:r w:rsidR="008E6C85">
        <w:t>persons;</w:t>
      </w:r>
      <w:proofErr w:type="gramEnd"/>
    </w:p>
    <w:p w14:paraId="37F93595" w14:textId="13005671" w:rsidR="008E6C85" w:rsidRDefault="001D7B98" w:rsidP="001D7B98">
      <w:pPr>
        <w:pStyle w:val="ParaNumbering"/>
        <w:numPr>
          <w:ilvl w:val="0"/>
          <w:numId w:val="0"/>
        </w:numPr>
        <w:tabs>
          <w:tab w:val="left" w:pos="720"/>
        </w:tabs>
        <w:ind w:hanging="720"/>
      </w:pPr>
      <w:r>
        <w:rPr>
          <w:sz w:val="20"/>
        </w:rPr>
        <w:t>53</w:t>
      </w:r>
      <w:r>
        <w:rPr>
          <w:sz w:val="20"/>
        </w:rPr>
        <w:tab/>
      </w:r>
      <w:r w:rsidR="008E184F">
        <w:t xml:space="preserve">One unusual term </w:t>
      </w:r>
      <w:r w:rsidR="003A0681">
        <w:t>of the proposed settlement is the requirement for</w:t>
      </w:r>
      <w:r w:rsidR="008E184F">
        <w:t xml:space="preserve"> </w:t>
      </w:r>
      <w:r w:rsidR="00A14E96">
        <w:t>Mr Levitt</w:t>
      </w:r>
      <w:r w:rsidR="003A0681">
        <w:t xml:space="preserve"> to </w:t>
      </w:r>
      <w:r w:rsidR="00A14E96">
        <w:t xml:space="preserve">provide </w:t>
      </w:r>
      <w:r w:rsidR="00D97687">
        <w:t xml:space="preserve">to Aveo </w:t>
      </w:r>
      <w:r w:rsidR="00A14E96">
        <w:t>a signed copy</w:t>
      </w:r>
      <w:r w:rsidR="00585404">
        <w:t xml:space="preserve"> of </w:t>
      </w:r>
      <w:r w:rsidR="00D97687">
        <w:t>an</w:t>
      </w:r>
      <w:r w:rsidR="00585404">
        <w:t xml:space="preserve"> agreed public statement </w:t>
      </w:r>
      <w:r w:rsidR="00D97687">
        <w:t>on Levitt Robinson letterhead, the terms of which are</w:t>
      </w:r>
      <w:r w:rsidR="002C1A6D">
        <w:t xml:space="preserve"> as follows</w:t>
      </w:r>
      <w:r w:rsidR="00585404">
        <w:t>:</w:t>
      </w:r>
    </w:p>
    <w:p w14:paraId="0FC351C9" w14:textId="5D149256" w:rsidR="00585404" w:rsidRDefault="00DF6654" w:rsidP="00585404">
      <w:pPr>
        <w:pStyle w:val="Quote2"/>
      </w:pPr>
      <w:r>
        <w:t>Levitt Robinson has today withdrawn the class action proceedings against Aveo.</w:t>
      </w:r>
    </w:p>
    <w:p w14:paraId="64FE6B19" w14:textId="50FFA30C" w:rsidR="00DF6654" w:rsidRDefault="00DF6654" w:rsidP="00585404">
      <w:pPr>
        <w:pStyle w:val="Quote2"/>
      </w:pPr>
      <w:r>
        <w:t>Levitt Robinson acknowledges that the introduction and implementation by Aveo and its related entities of Aveo Way contracts were lawful, in accordance with industry standards and that</w:t>
      </w:r>
      <w:r w:rsidR="004A1743">
        <w:t xml:space="preserve"> we are now satisfied that the Federal Court is not likely to find that its introduction has caused current or former residents of Aveo to suffer any loss.</w:t>
      </w:r>
    </w:p>
    <w:p w14:paraId="48F4F7F1" w14:textId="3B64EC84" w:rsidR="004A1743" w:rsidRDefault="00703260" w:rsidP="00585404">
      <w:pPr>
        <w:pStyle w:val="Quote2"/>
      </w:pPr>
      <w:r>
        <w:t>We express</w:t>
      </w:r>
      <w:r w:rsidR="0082278E">
        <w:t xml:space="preserve"> </w:t>
      </w:r>
      <w:r>
        <w:t xml:space="preserve">regret for any distress or anxiety which Aveo residents and staff have experienced </w:t>
      </w:r>
      <w:proofErr w:type="gramStart"/>
      <w:r>
        <w:t>as a result of</w:t>
      </w:r>
      <w:proofErr w:type="gramEnd"/>
      <w:r>
        <w:t xml:space="preserve"> or incidental to the Aveo class action litigation.</w:t>
      </w:r>
    </w:p>
    <w:p w14:paraId="0E85E910" w14:textId="1C453A58" w:rsidR="003A0681" w:rsidRPr="000C6164" w:rsidRDefault="001D7B98" w:rsidP="003A0681">
      <w:pPr>
        <w:pStyle w:val="Heading1"/>
      </w:pPr>
      <w:r>
        <w:rPr>
          <w:caps w:val="0"/>
        </w:rPr>
        <w:t xml:space="preserve">IS THE PROPOSED SETTLEMENT FAIR AND REASONABLE </w:t>
      </w:r>
      <w:r w:rsidRPr="00D83360">
        <w:rPr>
          <w:i/>
          <w:iCs/>
          <w:caps w:val="0"/>
        </w:rPr>
        <w:t>INTER PARTES</w:t>
      </w:r>
      <w:r>
        <w:rPr>
          <w:caps w:val="0"/>
        </w:rPr>
        <w:t>?</w:t>
      </w:r>
    </w:p>
    <w:p w14:paraId="424ABFF0" w14:textId="5860075E" w:rsidR="003A0681" w:rsidRDefault="00EE1AE1" w:rsidP="003A0681">
      <w:pPr>
        <w:pStyle w:val="Heading2"/>
        <w:rPr>
          <w:lang w:eastAsia="en-AU"/>
        </w:rPr>
      </w:pPr>
      <w:r>
        <w:rPr>
          <w:lang w:eastAsia="en-AU"/>
        </w:rPr>
        <w:t>Coun</w:t>
      </w:r>
      <w:r w:rsidR="004D4A06">
        <w:rPr>
          <w:lang w:eastAsia="en-AU"/>
        </w:rPr>
        <w:t>sel’s</w:t>
      </w:r>
      <w:r>
        <w:rPr>
          <w:lang w:eastAsia="en-AU"/>
        </w:rPr>
        <w:t xml:space="preserve"> </w:t>
      </w:r>
      <w:r w:rsidR="003A0681">
        <w:rPr>
          <w:lang w:eastAsia="en-AU"/>
        </w:rPr>
        <w:t>Confidential Opinion</w:t>
      </w:r>
    </w:p>
    <w:p w14:paraId="6F6E68B9" w14:textId="258C50B1" w:rsidR="00BA6397" w:rsidRDefault="001D7B98" w:rsidP="001D7B98">
      <w:pPr>
        <w:pStyle w:val="ParaNumbering"/>
        <w:numPr>
          <w:ilvl w:val="0"/>
          <w:numId w:val="0"/>
        </w:numPr>
        <w:tabs>
          <w:tab w:val="left" w:pos="720"/>
        </w:tabs>
        <w:ind w:hanging="720"/>
        <w:rPr>
          <w:lang w:eastAsia="en-AU"/>
        </w:rPr>
      </w:pPr>
      <w:r>
        <w:rPr>
          <w:sz w:val="20"/>
          <w:lang w:eastAsia="en-AU"/>
        </w:rPr>
        <w:t>54</w:t>
      </w:r>
      <w:r>
        <w:rPr>
          <w:sz w:val="20"/>
          <w:lang w:eastAsia="en-AU"/>
        </w:rPr>
        <w:tab/>
      </w:r>
      <w:r w:rsidR="003A0681">
        <w:t xml:space="preserve">I have had the benefit of considering </w:t>
      </w:r>
      <w:r w:rsidR="000266B7">
        <w:t>the</w:t>
      </w:r>
      <w:r w:rsidR="00255815">
        <w:t xml:space="preserve"> </w:t>
      </w:r>
      <w:r w:rsidR="003A0681">
        <w:t xml:space="preserve">Confidential Opinion </w:t>
      </w:r>
      <w:r w:rsidR="000266B7">
        <w:t xml:space="preserve">of Nick Kidd SC and </w:t>
      </w:r>
      <w:r w:rsidR="008B48BD">
        <w:t>Daniel Meyerowitz</w:t>
      </w:r>
      <w:r w:rsidR="009A0F45">
        <w:t xml:space="preserve">-Katz of counsel </w:t>
      </w:r>
      <w:r w:rsidR="003A0681">
        <w:t>dated 28 September 2023</w:t>
      </w:r>
      <w:r w:rsidR="0028162B">
        <w:t xml:space="preserve">, </w:t>
      </w:r>
      <w:r w:rsidR="009A0F45">
        <w:t xml:space="preserve">who were briefed in the trial. </w:t>
      </w:r>
      <w:r w:rsidR="002C68CF">
        <w:t xml:space="preserve">Because </w:t>
      </w:r>
      <w:r w:rsidR="009E1C44">
        <w:t>the proposed settlement was</w:t>
      </w:r>
      <w:r w:rsidR="00000D27">
        <w:t xml:space="preserve"> reached after six days of trial</w:t>
      </w:r>
      <w:r w:rsidR="009E1C44">
        <w:t>,</w:t>
      </w:r>
      <w:r w:rsidR="00CD53E0">
        <w:t xml:space="preserve"> </w:t>
      </w:r>
      <w:r w:rsidR="009E1C44">
        <w:t>counsel had substantially more information regarding</w:t>
      </w:r>
      <w:r w:rsidR="009E1F8F">
        <w:t xml:space="preserve"> the parties’ respective cases and their prospects than is commonly the case in a settlement approval application.</w:t>
      </w:r>
      <w:r w:rsidR="00AE53B8">
        <w:t xml:space="preserve"> At the point settlement was reached the </w:t>
      </w:r>
      <w:r w:rsidR="00CD53E0">
        <w:t>parties had put on detailed opening written submissions</w:t>
      </w:r>
      <w:r w:rsidR="00AE53B8">
        <w:t xml:space="preserve"> and had made</w:t>
      </w:r>
      <w:r w:rsidR="00AE53B8" w:rsidDel="00482FF6">
        <w:t xml:space="preserve"> </w:t>
      </w:r>
      <w:r w:rsidR="00482FF6">
        <w:t xml:space="preserve">oral </w:t>
      </w:r>
      <w:r w:rsidR="00AE53B8">
        <w:t>openings</w:t>
      </w:r>
      <w:r w:rsidR="00833D48">
        <w:t>,</w:t>
      </w:r>
      <w:r w:rsidR="00AE53B8">
        <w:t xml:space="preserve"> both sides had called their lay witnesses</w:t>
      </w:r>
      <w:r w:rsidR="00CD53E0">
        <w:t>,</w:t>
      </w:r>
      <w:r w:rsidR="00AE53B8">
        <w:t xml:space="preserve"> both sides had filed and served their </w:t>
      </w:r>
      <w:r w:rsidR="00CD53E0">
        <w:t xml:space="preserve">expert evidence, </w:t>
      </w:r>
      <w:r w:rsidR="009C3D88">
        <w:t xml:space="preserve">and the </w:t>
      </w:r>
      <w:r w:rsidR="00482FF6">
        <w:t xml:space="preserve">trial judge had made some remarks about aspects of the applicants’ case </w:t>
      </w:r>
      <w:r w:rsidR="009C3D88">
        <w:t>during the</w:t>
      </w:r>
      <w:r w:rsidR="00482FF6">
        <w:t xml:space="preserve"> oral openings</w:t>
      </w:r>
      <w:r w:rsidR="00833D48">
        <w:t>.</w:t>
      </w:r>
    </w:p>
    <w:p w14:paraId="18D618EF" w14:textId="14DAB632" w:rsidR="00BA6397" w:rsidRDefault="001D7B98" w:rsidP="001D7B98">
      <w:pPr>
        <w:pStyle w:val="ParaNumbering"/>
        <w:numPr>
          <w:ilvl w:val="0"/>
          <w:numId w:val="0"/>
        </w:numPr>
        <w:tabs>
          <w:tab w:val="left" w:pos="720"/>
        </w:tabs>
        <w:ind w:hanging="720"/>
        <w:rPr>
          <w:lang w:eastAsia="en-AU"/>
        </w:rPr>
      </w:pPr>
      <w:r>
        <w:rPr>
          <w:sz w:val="20"/>
          <w:lang w:eastAsia="en-AU"/>
        </w:rPr>
        <w:lastRenderedPageBreak/>
        <w:t>55</w:t>
      </w:r>
      <w:r>
        <w:rPr>
          <w:sz w:val="20"/>
          <w:lang w:eastAsia="en-AU"/>
        </w:rPr>
        <w:tab/>
      </w:r>
      <w:r w:rsidR="00EE2B3B">
        <w:t>The</w:t>
      </w:r>
      <w:r w:rsidR="009C3D88">
        <w:t xml:space="preserve"> Confidential Opinion </w:t>
      </w:r>
      <w:r w:rsidR="00AE53B8">
        <w:t xml:space="preserve">is careful and </w:t>
      </w:r>
      <w:r w:rsidR="00823CB9">
        <w:t>comprehensive, and the level of candour is consistent with the expectations of the Court. Counsel did not</w:t>
      </w:r>
      <w:r w:rsidR="00823CB9">
        <w:rPr>
          <w:lang w:eastAsia="en-AU"/>
        </w:rPr>
        <w:t xml:space="preserve"> endeavour to put a gloss on </w:t>
      </w:r>
      <w:r w:rsidR="004F083E">
        <w:rPr>
          <w:lang w:eastAsia="en-AU"/>
        </w:rPr>
        <w:t>the proposed settlement</w:t>
      </w:r>
      <w:r w:rsidR="00823CB9">
        <w:rPr>
          <w:lang w:eastAsia="en-AU"/>
        </w:rPr>
        <w:t xml:space="preserve">. </w:t>
      </w:r>
      <w:r w:rsidR="00D16034">
        <w:t>Because of its confidentiality I cannot go to the detail of the</w:t>
      </w:r>
      <w:r w:rsidR="009C3D88">
        <w:t xml:space="preserve"> Confidential Opinion </w:t>
      </w:r>
      <w:r w:rsidR="00D16034">
        <w:t>but</w:t>
      </w:r>
      <w:r w:rsidR="00762137">
        <w:t xml:space="preserve"> it </w:t>
      </w:r>
      <w:r w:rsidR="00737B8D">
        <w:t>does not</w:t>
      </w:r>
      <w:r w:rsidR="00EE2B3B">
        <w:t xml:space="preserve"> damage</w:t>
      </w:r>
      <w:r w:rsidR="00762137">
        <w:t xml:space="preserve"> that confidentiality </w:t>
      </w:r>
      <w:r w:rsidR="00737B8D">
        <w:t>to note that</w:t>
      </w:r>
      <w:r w:rsidR="00823CB9">
        <w:rPr>
          <w:lang w:eastAsia="en-AU"/>
        </w:rPr>
        <w:t xml:space="preserve"> it </w:t>
      </w:r>
      <w:r w:rsidR="0028162B">
        <w:rPr>
          <w:lang w:eastAsia="en-AU"/>
        </w:rPr>
        <w:t>sets out</w:t>
      </w:r>
      <w:r w:rsidR="009C3D88">
        <w:rPr>
          <w:lang w:eastAsia="en-AU"/>
        </w:rPr>
        <w:t xml:space="preserve"> some events </w:t>
      </w:r>
      <w:r w:rsidR="00BF3921">
        <w:rPr>
          <w:lang w:eastAsia="en-AU"/>
        </w:rPr>
        <w:t>in the lead up to the</w:t>
      </w:r>
      <w:r w:rsidR="00762137">
        <w:rPr>
          <w:lang w:eastAsia="en-AU"/>
        </w:rPr>
        <w:t xml:space="preserve"> trial</w:t>
      </w:r>
      <w:r w:rsidR="00BF3921">
        <w:rPr>
          <w:lang w:eastAsia="en-AU"/>
        </w:rPr>
        <w:t>,</w:t>
      </w:r>
      <w:r w:rsidR="00BF3921" w:rsidRPr="00BF3921">
        <w:rPr>
          <w:lang w:eastAsia="en-AU"/>
        </w:rPr>
        <w:t xml:space="preserve"> </w:t>
      </w:r>
      <w:r w:rsidR="00BF3921">
        <w:rPr>
          <w:lang w:eastAsia="en-AU"/>
        </w:rPr>
        <w:t>including</w:t>
      </w:r>
      <w:r w:rsidR="00762137">
        <w:rPr>
          <w:lang w:eastAsia="en-AU"/>
        </w:rPr>
        <w:t xml:space="preserve"> </w:t>
      </w:r>
      <w:r w:rsidR="00BF3921">
        <w:rPr>
          <w:lang w:eastAsia="en-AU"/>
        </w:rPr>
        <w:t xml:space="preserve">changes in the </w:t>
      </w:r>
      <w:r w:rsidR="005E271F">
        <w:rPr>
          <w:lang w:eastAsia="en-AU"/>
        </w:rPr>
        <w:t xml:space="preserve">applicants’ </w:t>
      </w:r>
      <w:r w:rsidR="00BF3921">
        <w:rPr>
          <w:lang w:eastAsia="en-AU"/>
        </w:rPr>
        <w:t>counsel team</w:t>
      </w:r>
      <w:r w:rsidR="00762137">
        <w:rPr>
          <w:lang w:eastAsia="en-AU"/>
        </w:rPr>
        <w:t>,</w:t>
      </w:r>
      <w:r w:rsidR="00D16034">
        <w:rPr>
          <w:lang w:eastAsia="en-AU"/>
        </w:rPr>
        <w:t xml:space="preserve"> the applicants’ failure to comply with the pre-trial timetable</w:t>
      </w:r>
      <w:r w:rsidR="00482FF6">
        <w:rPr>
          <w:lang w:eastAsia="en-AU"/>
        </w:rPr>
        <w:t>s</w:t>
      </w:r>
      <w:r w:rsidR="00D16034">
        <w:rPr>
          <w:lang w:eastAsia="en-AU"/>
        </w:rPr>
        <w:t xml:space="preserve"> for filing </w:t>
      </w:r>
      <w:r w:rsidR="00762137">
        <w:rPr>
          <w:lang w:eastAsia="en-AU"/>
        </w:rPr>
        <w:t xml:space="preserve">expert </w:t>
      </w:r>
      <w:r w:rsidR="00D16034">
        <w:rPr>
          <w:lang w:eastAsia="en-AU"/>
        </w:rPr>
        <w:t>evidence</w:t>
      </w:r>
      <w:r w:rsidR="009C3D88">
        <w:rPr>
          <w:lang w:eastAsia="en-AU"/>
        </w:rPr>
        <w:t xml:space="preserve"> and the asserted reasons for that</w:t>
      </w:r>
      <w:r w:rsidR="00482FF6">
        <w:rPr>
          <w:lang w:eastAsia="en-AU"/>
        </w:rPr>
        <w:t xml:space="preserve"> failure</w:t>
      </w:r>
      <w:r w:rsidR="00BF3921">
        <w:rPr>
          <w:lang w:eastAsia="en-AU"/>
        </w:rPr>
        <w:t>, the applicants</w:t>
      </w:r>
      <w:r w:rsidR="005E271F">
        <w:rPr>
          <w:lang w:eastAsia="en-AU"/>
        </w:rPr>
        <w:t>’</w:t>
      </w:r>
      <w:r w:rsidR="00BF3921">
        <w:rPr>
          <w:lang w:eastAsia="en-AU"/>
        </w:rPr>
        <w:t xml:space="preserve"> unsuccessful</w:t>
      </w:r>
      <w:r w:rsidR="00BF3921" w:rsidDel="00482FF6">
        <w:rPr>
          <w:lang w:eastAsia="en-AU"/>
        </w:rPr>
        <w:t xml:space="preserve"> </w:t>
      </w:r>
      <w:r w:rsidR="00482FF6">
        <w:rPr>
          <w:lang w:eastAsia="en-AU"/>
        </w:rPr>
        <w:t xml:space="preserve">application </w:t>
      </w:r>
      <w:r w:rsidR="00BF3921">
        <w:rPr>
          <w:lang w:eastAsia="en-AU"/>
        </w:rPr>
        <w:t xml:space="preserve">to vacate the trial, the lateness </w:t>
      </w:r>
      <w:r w:rsidR="00D16034">
        <w:rPr>
          <w:lang w:eastAsia="en-AU"/>
        </w:rPr>
        <w:t>of Aveo’s</w:t>
      </w:r>
      <w:r w:rsidR="005E271F">
        <w:rPr>
          <w:lang w:eastAsia="en-AU"/>
        </w:rPr>
        <w:t xml:space="preserve"> expert evidence, the applicants’</w:t>
      </w:r>
      <w:r w:rsidR="005E271F" w:rsidDel="00482FF6">
        <w:rPr>
          <w:lang w:eastAsia="en-AU"/>
        </w:rPr>
        <w:t xml:space="preserve"> </w:t>
      </w:r>
      <w:r w:rsidR="00482FF6">
        <w:rPr>
          <w:lang w:eastAsia="en-AU"/>
        </w:rPr>
        <w:t xml:space="preserve">second </w:t>
      </w:r>
      <w:r w:rsidR="005E271F">
        <w:rPr>
          <w:lang w:eastAsia="en-AU"/>
        </w:rPr>
        <w:t>unsuccessful</w:t>
      </w:r>
      <w:r w:rsidR="00482FF6">
        <w:rPr>
          <w:lang w:eastAsia="en-AU"/>
        </w:rPr>
        <w:t xml:space="preserve"> application </w:t>
      </w:r>
      <w:r w:rsidR="005E271F">
        <w:rPr>
          <w:lang w:eastAsia="en-AU"/>
        </w:rPr>
        <w:t>to vacate the trial</w:t>
      </w:r>
      <w:r w:rsidR="00C06E54">
        <w:rPr>
          <w:lang w:eastAsia="en-AU"/>
        </w:rPr>
        <w:t>,</w:t>
      </w:r>
      <w:r w:rsidR="00762137">
        <w:rPr>
          <w:lang w:eastAsia="en-AU"/>
        </w:rPr>
        <w:t xml:space="preserve"> the </w:t>
      </w:r>
      <w:r w:rsidR="0028162B">
        <w:rPr>
          <w:lang w:eastAsia="en-AU"/>
        </w:rPr>
        <w:t>trial judge’s</w:t>
      </w:r>
      <w:r w:rsidR="009C3D88">
        <w:rPr>
          <w:lang w:eastAsia="en-AU"/>
        </w:rPr>
        <w:t xml:space="preserve"> remarks </w:t>
      </w:r>
      <w:r w:rsidR="00482FF6">
        <w:rPr>
          <w:lang w:eastAsia="en-AU"/>
        </w:rPr>
        <w:t xml:space="preserve">in the course of oral openings </w:t>
      </w:r>
      <w:r w:rsidR="00C25C21">
        <w:rPr>
          <w:lang w:eastAsia="en-AU"/>
        </w:rPr>
        <w:t>which the applicants saw as</w:t>
      </w:r>
      <w:r w:rsidR="00000D27">
        <w:rPr>
          <w:lang w:eastAsia="en-AU"/>
        </w:rPr>
        <w:t xml:space="preserve"> favourable to Aveo</w:t>
      </w:r>
      <w:r w:rsidR="00F26900">
        <w:rPr>
          <w:lang w:eastAsia="en-AU"/>
        </w:rPr>
        <w:t xml:space="preserve">, </w:t>
      </w:r>
      <w:r w:rsidR="0028162B">
        <w:rPr>
          <w:lang w:eastAsia="en-AU"/>
        </w:rPr>
        <w:t xml:space="preserve">and </w:t>
      </w:r>
      <w:r w:rsidR="00AD782E">
        <w:rPr>
          <w:lang w:eastAsia="en-AU"/>
        </w:rPr>
        <w:t>the trial judge</w:t>
      </w:r>
      <w:r w:rsidR="00762137">
        <w:rPr>
          <w:lang w:eastAsia="en-AU"/>
        </w:rPr>
        <w:t xml:space="preserve">’s ruling that </w:t>
      </w:r>
      <w:r w:rsidR="002D4BEE">
        <w:rPr>
          <w:lang w:eastAsia="en-AU"/>
        </w:rPr>
        <w:t>the</w:t>
      </w:r>
      <w:r w:rsidR="00B20DDB">
        <w:rPr>
          <w:lang w:eastAsia="en-AU"/>
        </w:rPr>
        <w:t xml:space="preserve"> applicants’ claim that ARE</w:t>
      </w:r>
      <w:r w:rsidR="001535CC">
        <w:rPr>
          <w:lang w:eastAsia="en-AU"/>
        </w:rPr>
        <w:t xml:space="preserve"> acted </w:t>
      </w:r>
      <w:r w:rsidR="002D1D27">
        <w:rPr>
          <w:lang w:eastAsia="en-AU"/>
        </w:rPr>
        <w:t xml:space="preserve">in breach of its fiduciary duties </w:t>
      </w:r>
      <w:r w:rsidR="001535CC">
        <w:rPr>
          <w:lang w:eastAsia="en-AU"/>
        </w:rPr>
        <w:t>to holders of pre-AW</w:t>
      </w:r>
      <w:r w:rsidR="00482FF6">
        <w:rPr>
          <w:lang w:eastAsia="en-AU"/>
        </w:rPr>
        <w:t>F</w:t>
      </w:r>
      <w:r w:rsidR="001535CC">
        <w:rPr>
          <w:lang w:eastAsia="en-AU"/>
        </w:rPr>
        <w:t xml:space="preserve">Is </w:t>
      </w:r>
      <w:r w:rsidR="002D1D27">
        <w:rPr>
          <w:lang w:eastAsia="en-AU"/>
        </w:rPr>
        <w:t>was outside the scope of the pleading</w:t>
      </w:r>
      <w:r w:rsidR="001535CC">
        <w:rPr>
          <w:lang w:eastAsia="en-AU"/>
        </w:rPr>
        <w:t>.</w:t>
      </w:r>
    </w:p>
    <w:p w14:paraId="48B22BB6" w14:textId="077E56F5" w:rsidR="003A0681" w:rsidRDefault="001D7B98" w:rsidP="001D7B98">
      <w:pPr>
        <w:pStyle w:val="ParaNumbering"/>
        <w:numPr>
          <w:ilvl w:val="0"/>
          <w:numId w:val="0"/>
        </w:numPr>
        <w:tabs>
          <w:tab w:val="left" w:pos="720"/>
        </w:tabs>
        <w:ind w:hanging="720"/>
        <w:rPr>
          <w:lang w:eastAsia="en-AU"/>
        </w:rPr>
      </w:pPr>
      <w:r>
        <w:rPr>
          <w:sz w:val="20"/>
          <w:lang w:eastAsia="en-AU"/>
        </w:rPr>
        <w:t>56</w:t>
      </w:r>
      <w:r>
        <w:rPr>
          <w:sz w:val="20"/>
          <w:lang w:eastAsia="en-AU"/>
        </w:rPr>
        <w:tab/>
      </w:r>
      <w:r w:rsidR="009C3D88">
        <w:rPr>
          <w:lang w:eastAsia="en-AU"/>
        </w:rPr>
        <w:t xml:space="preserve">Counsel concluded </w:t>
      </w:r>
      <w:r w:rsidR="003A0681">
        <w:t>that the proposed settlement is fair and reasonable in the interests of group members to be bound by it</w:t>
      </w:r>
      <w:r w:rsidR="00823CB9">
        <w:t>, and as between group members</w:t>
      </w:r>
      <w:r w:rsidR="003A0681">
        <w:t xml:space="preserve">. </w:t>
      </w:r>
      <w:r w:rsidR="009C3D88">
        <w:t>It is appropriate to give substantial weight to their opinion.</w:t>
      </w:r>
    </w:p>
    <w:p w14:paraId="3AFD825D" w14:textId="2478D68D" w:rsidR="009C3D88" w:rsidRDefault="009C3D88" w:rsidP="00AB2D5C">
      <w:pPr>
        <w:pStyle w:val="Heading2"/>
        <w:rPr>
          <w:lang w:eastAsia="en-AU"/>
        </w:rPr>
      </w:pPr>
      <w:r>
        <w:rPr>
          <w:lang w:eastAsia="en-AU"/>
        </w:rPr>
        <w:t>The Contradictor</w:t>
      </w:r>
      <w:r w:rsidR="00791D9B">
        <w:rPr>
          <w:lang w:eastAsia="en-AU"/>
        </w:rPr>
        <w:t>’</w:t>
      </w:r>
      <w:r>
        <w:rPr>
          <w:lang w:eastAsia="en-AU"/>
        </w:rPr>
        <w:t>s</w:t>
      </w:r>
      <w:r w:rsidR="00791D9B">
        <w:rPr>
          <w:lang w:eastAsia="en-AU"/>
        </w:rPr>
        <w:t xml:space="preserve"> submissions</w:t>
      </w:r>
    </w:p>
    <w:p w14:paraId="70BB7E01" w14:textId="3AF29657" w:rsidR="0090000E" w:rsidRDefault="001D7B98" w:rsidP="001D7B98">
      <w:pPr>
        <w:pStyle w:val="ParaNumbering"/>
        <w:numPr>
          <w:ilvl w:val="0"/>
          <w:numId w:val="0"/>
        </w:numPr>
        <w:tabs>
          <w:tab w:val="left" w:pos="720"/>
        </w:tabs>
        <w:ind w:hanging="720"/>
        <w:rPr>
          <w:lang w:eastAsia="en-AU"/>
        </w:rPr>
      </w:pPr>
      <w:r>
        <w:rPr>
          <w:sz w:val="20"/>
          <w:lang w:eastAsia="en-AU"/>
        </w:rPr>
        <w:t>57</w:t>
      </w:r>
      <w:r>
        <w:rPr>
          <w:sz w:val="20"/>
          <w:lang w:eastAsia="en-AU"/>
        </w:rPr>
        <w:tab/>
      </w:r>
      <w:r w:rsidR="00AD290D">
        <w:rPr>
          <w:lang w:eastAsia="en-AU"/>
        </w:rPr>
        <w:t xml:space="preserve">The Contradictor put on detailed </w:t>
      </w:r>
      <w:r w:rsidR="00AE53B8">
        <w:rPr>
          <w:lang w:eastAsia="en-AU"/>
        </w:rPr>
        <w:t xml:space="preserve">written and oral </w:t>
      </w:r>
      <w:r w:rsidR="00AD290D">
        <w:rPr>
          <w:lang w:eastAsia="en-AU"/>
        </w:rPr>
        <w:t>submissions</w:t>
      </w:r>
      <w:r w:rsidR="00926A2E">
        <w:rPr>
          <w:lang w:eastAsia="en-AU"/>
        </w:rPr>
        <w:t>.</w:t>
      </w:r>
      <w:r w:rsidR="00564B3D">
        <w:rPr>
          <w:lang w:eastAsia="en-AU"/>
        </w:rPr>
        <w:t xml:space="preserve"> Insofar as the submissions go to the applicants’ prospects of success in</w:t>
      </w:r>
      <w:r w:rsidR="00564B3D" w:rsidDel="00482FF6">
        <w:rPr>
          <w:lang w:eastAsia="en-AU"/>
        </w:rPr>
        <w:t xml:space="preserve"> </w:t>
      </w:r>
      <w:r w:rsidR="00482FF6">
        <w:rPr>
          <w:lang w:eastAsia="en-AU"/>
        </w:rPr>
        <w:t xml:space="preserve">the </w:t>
      </w:r>
      <w:proofErr w:type="gramStart"/>
      <w:r w:rsidR="00482FF6">
        <w:rPr>
          <w:lang w:eastAsia="en-AU"/>
        </w:rPr>
        <w:t>case</w:t>
      </w:r>
      <w:proofErr w:type="gramEnd"/>
      <w:r w:rsidR="00482FF6">
        <w:rPr>
          <w:lang w:eastAsia="en-AU"/>
        </w:rPr>
        <w:t xml:space="preserve"> </w:t>
      </w:r>
      <w:r w:rsidR="00564B3D">
        <w:rPr>
          <w:lang w:eastAsia="en-AU"/>
        </w:rPr>
        <w:t>they are confidential and I cannot go to the detail of</w:t>
      </w:r>
      <w:r w:rsidR="004D4A06">
        <w:rPr>
          <w:lang w:eastAsia="en-AU"/>
        </w:rPr>
        <w:t xml:space="preserve"> them</w:t>
      </w:r>
      <w:r w:rsidR="00EE1AE1">
        <w:rPr>
          <w:lang w:eastAsia="en-AU"/>
        </w:rPr>
        <w:t>.</w:t>
      </w:r>
      <w:r w:rsidR="00E61E36">
        <w:rPr>
          <w:lang w:eastAsia="en-AU"/>
        </w:rPr>
        <w:t xml:space="preserve"> It suffices to note that the </w:t>
      </w:r>
      <w:r w:rsidR="00F8408D">
        <w:rPr>
          <w:lang w:eastAsia="en-AU"/>
        </w:rPr>
        <w:t>Contradictor</w:t>
      </w:r>
      <w:r w:rsidR="00E61E36">
        <w:rPr>
          <w:lang w:eastAsia="en-AU"/>
        </w:rPr>
        <w:t xml:space="preserve">, </w:t>
      </w:r>
      <w:r w:rsidR="000F5EF9">
        <w:rPr>
          <w:lang w:eastAsia="en-AU"/>
        </w:rPr>
        <w:t>who was charged with the obligation to represent the interests of absent group members, concluded that</w:t>
      </w:r>
      <w:r w:rsidR="00AE53B8">
        <w:rPr>
          <w:lang w:eastAsia="en-AU"/>
        </w:rPr>
        <w:t xml:space="preserve"> notwithstanding that </w:t>
      </w:r>
      <w:r w:rsidR="00F8408D">
        <w:rPr>
          <w:lang w:eastAsia="en-AU"/>
        </w:rPr>
        <w:t xml:space="preserve">the proposed settlement </w:t>
      </w:r>
      <w:r w:rsidR="000F5EF9">
        <w:rPr>
          <w:lang w:eastAsia="en-AU"/>
        </w:rPr>
        <w:t>represents a very disappointing result for group members</w:t>
      </w:r>
      <w:r w:rsidR="00AE53B8">
        <w:rPr>
          <w:lang w:eastAsia="en-AU"/>
        </w:rPr>
        <w:t xml:space="preserve"> it could not </w:t>
      </w:r>
      <w:r w:rsidR="0010442B">
        <w:rPr>
          <w:lang w:eastAsia="en-AU"/>
        </w:rPr>
        <w:t>responsibly be put</w:t>
      </w:r>
      <w:r w:rsidR="00AE53B8">
        <w:rPr>
          <w:lang w:eastAsia="en-AU"/>
        </w:rPr>
        <w:t xml:space="preserve"> that </w:t>
      </w:r>
      <w:r w:rsidR="009965D1">
        <w:rPr>
          <w:lang w:eastAsia="en-AU"/>
        </w:rPr>
        <w:t xml:space="preserve">some feature of the proposed settlement </w:t>
      </w:r>
      <w:r w:rsidR="009965D1" w:rsidRPr="009965D1">
        <w:rPr>
          <w:i/>
          <w:iCs/>
          <w:lang w:eastAsia="en-AU"/>
        </w:rPr>
        <w:t>inter partes</w:t>
      </w:r>
      <w:r w:rsidR="009965D1">
        <w:rPr>
          <w:lang w:eastAsia="en-AU"/>
        </w:rPr>
        <w:t xml:space="preserve"> ought </w:t>
      </w:r>
      <w:proofErr w:type="gramStart"/>
      <w:r w:rsidR="009965D1">
        <w:rPr>
          <w:lang w:eastAsia="en-AU"/>
        </w:rPr>
        <w:t>be</w:t>
      </w:r>
      <w:proofErr w:type="gramEnd"/>
      <w:r w:rsidR="009965D1">
        <w:rPr>
          <w:lang w:eastAsia="en-AU"/>
        </w:rPr>
        <w:t xml:space="preserve"> rejected by the Court</w:t>
      </w:r>
      <w:r w:rsidR="009049E8">
        <w:rPr>
          <w:lang w:eastAsia="en-AU"/>
        </w:rPr>
        <w:t xml:space="preserve">. </w:t>
      </w:r>
    </w:p>
    <w:p w14:paraId="08FC9ED5" w14:textId="7EAFD7B1" w:rsidR="0090000E" w:rsidRPr="005471F9" w:rsidRDefault="001D7B98" w:rsidP="001D7B98">
      <w:pPr>
        <w:pStyle w:val="ParaNumbering"/>
        <w:numPr>
          <w:ilvl w:val="0"/>
          <w:numId w:val="0"/>
        </w:numPr>
        <w:tabs>
          <w:tab w:val="left" w:pos="720"/>
        </w:tabs>
        <w:ind w:hanging="720"/>
      </w:pPr>
      <w:r w:rsidRPr="005471F9">
        <w:rPr>
          <w:sz w:val="20"/>
        </w:rPr>
        <w:t>58</w:t>
      </w:r>
      <w:r w:rsidRPr="005471F9">
        <w:rPr>
          <w:sz w:val="20"/>
        </w:rPr>
        <w:tab/>
      </w:r>
      <w:r w:rsidR="0090000E">
        <w:rPr>
          <w:lang w:eastAsia="en-AU"/>
        </w:rPr>
        <w:t>The Contradictor also considered an argument as to whether,</w:t>
      </w:r>
      <w:r w:rsidR="0090000E" w:rsidRPr="0090000E">
        <w:rPr>
          <w:shd w:val="clear" w:color="auto" w:fill="FFFFFF"/>
        </w:rPr>
        <w:t xml:space="preserve"> </w:t>
      </w:r>
      <w:r w:rsidR="0090000E">
        <w:rPr>
          <w:shd w:val="clear" w:color="auto" w:fill="FFFFFF"/>
        </w:rPr>
        <w:t xml:space="preserve">irrespective of the prospects of the applicants’ claims, it was in the interests of group members to have those claims prosecuted to their conclusion. On this argument, compared to a settlement under which they are to receive nothing, group members had nothing to lose by continuing the case. That risk fell entirely on Galactic, and it is a risk that Galactic assumed in financing </w:t>
      </w:r>
      <w:r w:rsidR="004571C1">
        <w:rPr>
          <w:shd w:val="clear" w:color="auto" w:fill="FFFFFF"/>
        </w:rPr>
        <w:t xml:space="preserve">the </w:t>
      </w:r>
      <w:r w:rsidR="00B004CB">
        <w:rPr>
          <w:shd w:val="clear" w:color="auto" w:fill="FFFFFF"/>
        </w:rPr>
        <w:t>claim</w:t>
      </w:r>
      <w:r w:rsidR="0090000E">
        <w:rPr>
          <w:shd w:val="clear" w:color="auto" w:fill="FFFFFF"/>
        </w:rPr>
        <w:t>. On this argument the proposed settlement is</w:t>
      </w:r>
      <w:r w:rsidR="00417D35">
        <w:rPr>
          <w:shd w:val="clear" w:color="auto" w:fill="FFFFFF"/>
        </w:rPr>
        <w:t xml:space="preserve"> not </w:t>
      </w:r>
      <w:r w:rsidR="0090000E">
        <w:rPr>
          <w:shd w:val="clear" w:color="auto" w:fill="FFFFFF"/>
        </w:rPr>
        <w:t>in the interests of group members to be bound to it.</w:t>
      </w:r>
    </w:p>
    <w:p w14:paraId="5E66151D" w14:textId="41A554B7" w:rsidR="0090000E" w:rsidRDefault="001D7B98" w:rsidP="001D7B98">
      <w:pPr>
        <w:pStyle w:val="ParaNumbering"/>
        <w:numPr>
          <w:ilvl w:val="0"/>
          <w:numId w:val="0"/>
        </w:numPr>
        <w:tabs>
          <w:tab w:val="left" w:pos="720"/>
        </w:tabs>
        <w:ind w:hanging="720"/>
      </w:pPr>
      <w:r>
        <w:rPr>
          <w:sz w:val="20"/>
        </w:rPr>
        <w:t>59</w:t>
      </w:r>
      <w:r>
        <w:rPr>
          <w:sz w:val="20"/>
        </w:rPr>
        <w:tab/>
      </w:r>
      <w:r w:rsidR="0090000E">
        <w:t>But, the Contradictor noted,</w:t>
      </w:r>
      <w:r w:rsidR="0090000E" w:rsidDel="00482FF6">
        <w:t xml:space="preserve"> </w:t>
      </w:r>
      <w:r w:rsidR="00482FF6">
        <w:t xml:space="preserve">that </w:t>
      </w:r>
      <w:r w:rsidR="0090000E">
        <w:t>argument is not tenable because:</w:t>
      </w:r>
    </w:p>
    <w:p w14:paraId="0D44DB2C" w14:textId="18D51578" w:rsidR="0090000E" w:rsidRDefault="001D7B98" w:rsidP="001D7B98">
      <w:pPr>
        <w:pStyle w:val="ListNo1alt"/>
        <w:numPr>
          <w:ilvl w:val="0"/>
          <w:numId w:val="0"/>
        </w:numPr>
        <w:tabs>
          <w:tab w:val="left" w:pos="720"/>
        </w:tabs>
        <w:ind w:left="720" w:hanging="720"/>
      </w:pPr>
      <w:r>
        <w:lastRenderedPageBreak/>
        <w:t>(a)</w:t>
      </w:r>
      <w:r>
        <w:tab/>
      </w:r>
      <w:r w:rsidR="0090000E">
        <w:t xml:space="preserve">it ignores the terms of the </w:t>
      </w:r>
      <w:r w:rsidR="00187B15">
        <w:t>litigation funding agreement</w:t>
      </w:r>
      <w:r w:rsidR="00403D97">
        <w:t>s</w:t>
      </w:r>
      <w:r w:rsidR="0090000E">
        <w:t xml:space="preserve"> </w:t>
      </w:r>
      <w:r w:rsidR="00187B15">
        <w:t>(</w:t>
      </w:r>
      <w:r w:rsidR="0090000E" w:rsidRPr="00403D97">
        <w:rPr>
          <w:b/>
          <w:bCs/>
        </w:rPr>
        <w:t>LFA</w:t>
      </w:r>
      <w:r w:rsidR="00403D97">
        <w:rPr>
          <w:b/>
          <w:bCs/>
        </w:rPr>
        <w:t>s</w:t>
      </w:r>
      <w:r w:rsidR="00187B15">
        <w:t>)</w:t>
      </w:r>
      <w:r w:rsidR="0090000E">
        <w:t xml:space="preserve"> </w:t>
      </w:r>
      <w:r w:rsidR="00403D97">
        <w:t xml:space="preserve">with the applicants </w:t>
      </w:r>
      <w:r w:rsidR="0090000E">
        <w:t>and the Terms of Engagement Levitt Robinson</w:t>
      </w:r>
      <w:r w:rsidR="00403D97" w:rsidRPr="00403D97">
        <w:t xml:space="preserve"> </w:t>
      </w:r>
      <w:proofErr w:type="gramStart"/>
      <w:r w:rsidR="00403D97">
        <w:t>entered into</w:t>
      </w:r>
      <w:proofErr w:type="gramEnd"/>
      <w:r w:rsidR="00403D97">
        <w:t xml:space="preserve"> with Galactic</w:t>
      </w:r>
      <w:r w:rsidR="0090000E">
        <w:t>. Galactic did not agree to fund the case to judgment regardless of its own assessment of the prospects, and it</w:t>
      </w:r>
      <w:r w:rsidR="0090000E" w:rsidDel="00403D97">
        <w:t xml:space="preserve"> </w:t>
      </w:r>
      <w:r w:rsidR="00403D97">
        <w:t xml:space="preserve">had </w:t>
      </w:r>
      <w:r w:rsidR="0090000E">
        <w:t>the right to terminate the LFA</w:t>
      </w:r>
      <w:r w:rsidR="00417D35">
        <w:t xml:space="preserve"> and the Terms of Engagement</w:t>
      </w:r>
      <w:r w:rsidR="0090000E">
        <w:t>; and</w:t>
      </w:r>
    </w:p>
    <w:p w14:paraId="2598CE19" w14:textId="00BE1FC2" w:rsidR="0090000E" w:rsidRDefault="001D7B98" w:rsidP="001D7B98">
      <w:pPr>
        <w:pStyle w:val="ListNo1alt"/>
        <w:numPr>
          <w:ilvl w:val="0"/>
          <w:numId w:val="0"/>
        </w:numPr>
        <w:tabs>
          <w:tab w:val="left" w:pos="720"/>
        </w:tabs>
        <w:ind w:left="720" w:hanging="720"/>
      </w:pPr>
      <w:r>
        <w:t>(b)</w:t>
      </w:r>
      <w:r>
        <w:tab/>
      </w:r>
      <w:r w:rsidR="00B75BBD">
        <w:t>it</w:t>
      </w:r>
      <w:r w:rsidR="0090000E">
        <w:t xml:space="preserve"> proceeds on a false premise that Galactic would have continued to fund the litigation in the event the settlement offer was refused. </w:t>
      </w:r>
      <w:r w:rsidR="007A1FEA">
        <w:t xml:space="preserve">The applicants and their lawyers were obliged to keep Galactic fully informed in relation to the prospects of the case, and it is appropriate to infer that they did so. </w:t>
      </w:r>
      <w:r w:rsidR="00295526">
        <w:t>It seems likely that the same concerns tha</w:t>
      </w:r>
      <w:r w:rsidR="004A39B9">
        <w:t xml:space="preserve">t </w:t>
      </w:r>
      <w:r w:rsidR="00B75BBD">
        <w:t xml:space="preserve">lay </w:t>
      </w:r>
      <w:r w:rsidR="004A39B9">
        <w:t xml:space="preserve">behind </w:t>
      </w:r>
      <w:r w:rsidR="00C129CA">
        <w:t>the applicants’ decision to accept a costs</w:t>
      </w:r>
      <w:r w:rsidR="00007374">
        <w:t>-</w:t>
      </w:r>
      <w:r w:rsidR="00C129CA">
        <w:t xml:space="preserve">only settlement </w:t>
      </w:r>
      <w:r w:rsidR="00007374">
        <w:t xml:space="preserve">would have motivated </w:t>
      </w:r>
      <w:r w:rsidR="0090000E">
        <w:t>Galactic</w:t>
      </w:r>
      <w:r w:rsidR="00007374">
        <w:t xml:space="preserve"> to cease funding the proceeding if the applicants</w:t>
      </w:r>
      <w:r w:rsidR="00417D35">
        <w:t xml:space="preserve"> wanted </w:t>
      </w:r>
      <w:r w:rsidR="00007374">
        <w:t>to continue</w:t>
      </w:r>
      <w:r w:rsidR="00417D35">
        <w:t xml:space="preserve"> it</w:t>
      </w:r>
      <w:r w:rsidR="0090000E">
        <w:t>.</w:t>
      </w:r>
      <w:r w:rsidR="00417D35">
        <w:t xml:space="preserve"> If funding ceased then there is nothing to show </w:t>
      </w:r>
      <w:r w:rsidR="00B269B5">
        <w:t xml:space="preserve">that </w:t>
      </w:r>
      <w:r w:rsidR="00417D35">
        <w:t xml:space="preserve">Levitt Robinson </w:t>
      </w:r>
      <w:r w:rsidR="001C0050">
        <w:t>would be prepared to</w:t>
      </w:r>
      <w:r w:rsidR="00726E3D">
        <w:t xml:space="preserve"> continue to act in the case </w:t>
      </w:r>
      <w:r w:rsidR="001C0050">
        <w:t xml:space="preserve">without </w:t>
      </w:r>
      <w:r w:rsidR="00726E3D">
        <w:t xml:space="preserve">litigation </w:t>
      </w:r>
      <w:r w:rsidR="001C0050">
        <w:t>funding, and nothing to show that</w:t>
      </w:r>
      <w:r w:rsidR="00A423AC">
        <w:t xml:space="preserve"> the applicants would have been prepared to assume the </w:t>
      </w:r>
      <w:r w:rsidR="00726E3D">
        <w:t>risk of an adverse costs order in the case</w:t>
      </w:r>
      <w:r w:rsidR="0090000E">
        <w:t>.</w:t>
      </w:r>
    </w:p>
    <w:p w14:paraId="52A5DAF7" w14:textId="15E4AC99" w:rsidR="009965D1" w:rsidRDefault="001D7B98" w:rsidP="001D7B98">
      <w:pPr>
        <w:pStyle w:val="ParaNumbering"/>
        <w:numPr>
          <w:ilvl w:val="0"/>
          <w:numId w:val="0"/>
        </w:numPr>
        <w:tabs>
          <w:tab w:val="left" w:pos="720"/>
        </w:tabs>
        <w:ind w:hanging="720"/>
        <w:rPr>
          <w:lang w:eastAsia="en-AU"/>
        </w:rPr>
      </w:pPr>
      <w:r>
        <w:rPr>
          <w:sz w:val="20"/>
          <w:lang w:eastAsia="en-AU"/>
        </w:rPr>
        <w:t>60</w:t>
      </w:r>
      <w:r>
        <w:rPr>
          <w:sz w:val="20"/>
          <w:lang w:eastAsia="en-AU"/>
        </w:rPr>
        <w:tab/>
      </w:r>
      <w:r w:rsidR="00726E3D">
        <w:rPr>
          <w:lang w:eastAsia="en-AU"/>
        </w:rPr>
        <w:t xml:space="preserve">The Contradictor’s submissions point </w:t>
      </w:r>
      <w:r w:rsidR="009965D1">
        <w:rPr>
          <w:lang w:eastAsia="en-AU"/>
        </w:rPr>
        <w:t>strongly in favour of approving the proposed settlement</w:t>
      </w:r>
      <w:r w:rsidR="00726E3D">
        <w:rPr>
          <w:lang w:eastAsia="en-AU"/>
        </w:rPr>
        <w:t xml:space="preserve"> </w:t>
      </w:r>
      <w:r w:rsidR="00726E3D" w:rsidRPr="003E766E">
        <w:rPr>
          <w:i/>
          <w:lang w:eastAsia="en-AU"/>
        </w:rPr>
        <w:t>inter partes</w:t>
      </w:r>
      <w:r w:rsidR="009965D1">
        <w:rPr>
          <w:lang w:eastAsia="en-AU"/>
        </w:rPr>
        <w:t xml:space="preserve">. </w:t>
      </w:r>
    </w:p>
    <w:p w14:paraId="11D830F1" w14:textId="77777777" w:rsidR="002401E8" w:rsidRDefault="002401E8" w:rsidP="002401E8">
      <w:pPr>
        <w:pStyle w:val="Heading2"/>
      </w:pPr>
      <w:r>
        <w:t>The scope of the proposed releases</w:t>
      </w:r>
    </w:p>
    <w:p w14:paraId="72640195" w14:textId="1ADFC712" w:rsidR="00935C29" w:rsidRDefault="001D7B98" w:rsidP="001D7B98">
      <w:pPr>
        <w:pStyle w:val="ParaNumbering"/>
        <w:numPr>
          <w:ilvl w:val="0"/>
          <w:numId w:val="0"/>
        </w:numPr>
        <w:tabs>
          <w:tab w:val="left" w:pos="720"/>
        </w:tabs>
        <w:ind w:hanging="720"/>
      </w:pPr>
      <w:r>
        <w:rPr>
          <w:sz w:val="20"/>
        </w:rPr>
        <w:t>61</w:t>
      </w:r>
      <w:r>
        <w:rPr>
          <w:sz w:val="20"/>
        </w:rPr>
        <w:tab/>
      </w:r>
      <w:r w:rsidR="002401E8">
        <w:t>Clause 3</w:t>
      </w:r>
      <w:r w:rsidR="005F76A6">
        <w:t xml:space="preserve">.1.2 of the Settlement Deed </w:t>
      </w:r>
      <w:r w:rsidR="002401E8">
        <w:t>provides that</w:t>
      </w:r>
      <w:r w:rsidR="007D63D1">
        <w:t xml:space="preserve"> upon final settlement approval orders the applicants for an</w:t>
      </w:r>
      <w:r w:rsidR="00DE12EC">
        <w:t>d</w:t>
      </w:r>
      <w:r w:rsidR="007D63D1">
        <w:t xml:space="preserve"> on behalf of themselves and on behalf of group members release Aveo, its related bodies corporate, its related entities and/or its related persons respectively from </w:t>
      </w:r>
      <w:proofErr w:type="gramStart"/>
      <w:r w:rsidR="007D63D1">
        <w:t>all of</w:t>
      </w:r>
      <w:proofErr w:type="gramEnd"/>
      <w:r w:rsidR="007D63D1">
        <w:t xml:space="preserve"> their “Claims” (as defined).</w:t>
      </w:r>
      <w:r w:rsidR="002401E8">
        <w:t xml:space="preserve"> </w:t>
      </w:r>
    </w:p>
    <w:p w14:paraId="65C92A33" w14:textId="17D32930" w:rsidR="001F53FE" w:rsidRDefault="001D7B98" w:rsidP="001D7B98">
      <w:pPr>
        <w:pStyle w:val="ParaNumbering"/>
        <w:numPr>
          <w:ilvl w:val="0"/>
          <w:numId w:val="0"/>
        </w:numPr>
        <w:tabs>
          <w:tab w:val="left" w:pos="720"/>
        </w:tabs>
        <w:ind w:hanging="720"/>
      </w:pPr>
      <w:r>
        <w:rPr>
          <w:sz w:val="20"/>
        </w:rPr>
        <w:t>62</w:t>
      </w:r>
      <w:r>
        <w:rPr>
          <w:sz w:val="20"/>
        </w:rPr>
        <w:tab/>
      </w:r>
      <w:r w:rsidR="0056473D">
        <w:t>“</w:t>
      </w:r>
      <w:r w:rsidR="000C0818">
        <w:t xml:space="preserve">Applicants’ and Group Members’ </w:t>
      </w:r>
      <w:r w:rsidR="0056473D">
        <w:t>Claim</w:t>
      </w:r>
      <w:r w:rsidR="000C0818">
        <w:t>s</w:t>
      </w:r>
      <w:r w:rsidR="0056473D">
        <w:t>” is</w:t>
      </w:r>
      <w:r w:rsidR="000C0818">
        <w:t xml:space="preserve"> defined </w:t>
      </w:r>
      <w:r w:rsidR="001B175F">
        <w:t xml:space="preserve">in cl 1.1 </w:t>
      </w:r>
      <w:r w:rsidR="000C0818">
        <w:t>to mean “any</w:t>
      </w:r>
      <w:r w:rsidR="001B175F">
        <w:t xml:space="preserve"> claim or cause of action in the Proceedings or any claim or cause of action arising out of, or in relation to, the subject matter of the Proceeding including any other potential or related Claim”</w:t>
      </w:r>
      <w:r w:rsidR="00BE2B91">
        <w:t>.</w:t>
      </w:r>
    </w:p>
    <w:p w14:paraId="1806AAD0" w14:textId="2142B980" w:rsidR="00BE2B91" w:rsidRDefault="001D7B98" w:rsidP="001D7B98">
      <w:pPr>
        <w:pStyle w:val="ParaNumbering"/>
        <w:numPr>
          <w:ilvl w:val="0"/>
          <w:numId w:val="0"/>
        </w:numPr>
        <w:tabs>
          <w:tab w:val="left" w:pos="720"/>
        </w:tabs>
        <w:ind w:hanging="720"/>
      </w:pPr>
      <w:r>
        <w:rPr>
          <w:sz w:val="20"/>
        </w:rPr>
        <w:t>63</w:t>
      </w:r>
      <w:r>
        <w:rPr>
          <w:sz w:val="20"/>
        </w:rPr>
        <w:tab/>
      </w:r>
      <w:r w:rsidR="00BE2B91">
        <w:t>“Claim” is broadly defined in cl.1.1 to mean:</w:t>
      </w:r>
    </w:p>
    <w:p w14:paraId="1EA9DC5E" w14:textId="791C300B" w:rsidR="007E1BF5" w:rsidRDefault="00180E9C" w:rsidP="0047436E">
      <w:pPr>
        <w:pStyle w:val="Quote1"/>
      </w:pPr>
      <w:r>
        <w:t>any claim, demand, action, suit or proceeding for damages, debt, restitution, equitable compensation, account, injunctive relief, specific performance, declaratory relief or any other remedy, whether by original claim, cross-claim, claim for contribution or otherwise whether presently known or unknown and whether arising at common law, in equity, under statute or otherwise and whether involving a third party or party to this Deed and all liabilities, losses, damages, costs (including legal costs on a full indemnity basis), interest, fees, and penalties of whatever description (whether actual, contingent or prospective).</w:t>
      </w:r>
    </w:p>
    <w:p w14:paraId="3F555A48" w14:textId="57F65C60" w:rsidR="008A48FF" w:rsidRDefault="001D7B98" w:rsidP="001D7B98">
      <w:pPr>
        <w:pStyle w:val="ParaNumbering"/>
        <w:numPr>
          <w:ilvl w:val="0"/>
          <w:numId w:val="0"/>
        </w:numPr>
        <w:tabs>
          <w:tab w:val="left" w:pos="720"/>
        </w:tabs>
        <w:ind w:hanging="720"/>
      </w:pPr>
      <w:r>
        <w:rPr>
          <w:sz w:val="20"/>
        </w:rPr>
        <w:lastRenderedPageBreak/>
        <w:t>64</w:t>
      </w:r>
      <w:r>
        <w:rPr>
          <w:sz w:val="20"/>
        </w:rPr>
        <w:tab/>
      </w:r>
      <w:r w:rsidR="007E1BF5">
        <w:t xml:space="preserve">Thus, the </w:t>
      </w:r>
      <w:r w:rsidR="008A48FF">
        <w:t>applicants purport to release</w:t>
      </w:r>
      <w:r w:rsidR="000617CB">
        <w:t xml:space="preserve"> </w:t>
      </w:r>
      <w:r w:rsidR="00545342">
        <w:t xml:space="preserve">not only group members’ claims </w:t>
      </w:r>
      <w:r w:rsidR="00BA0C41">
        <w:t xml:space="preserve">in the proceeding, but also </w:t>
      </w:r>
      <w:r w:rsidR="000617CB">
        <w:t>“</w:t>
      </w:r>
      <w:r w:rsidR="000617CB" w:rsidRPr="00BA0C41">
        <w:t>any</w:t>
      </w:r>
      <w:r w:rsidR="000617CB">
        <w:t xml:space="preserve"> claim”</w:t>
      </w:r>
      <w:r w:rsidR="007E1BF5">
        <w:t xml:space="preserve"> by a group member “in relation to the subject</w:t>
      </w:r>
      <w:r w:rsidR="00BA0C41">
        <w:t xml:space="preserve"> matter </w:t>
      </w:r>
      <w:r w:rsidR="007E1BF5">
        <w:t>of the Proceeding”, including “</w:t>
      </w:r>
      <w:r w:rsidR="00BA0C41">
        <w:t xml:space="preserve">any other potential or </w:t>
      </w:r>
      <w:r w:rsidR="007E1BF5">
        <w:t>related Claim</w:t>
      </w:r>
      <w:r w:rsidR="00BA0C41">
        <w:t>”</w:t>
      </w:r>
      <w:r w:rsidR="007E1BF5">
        <w:t xml:space="preserve">, </w:t>
      </w:r>
      <w:r w:rsidR="000617CB">
        <w:t xml:space="preserve">whether </w:t>
      </w:r>
      <w:r w:rsidR="007E1BF5">
        <w:t xml:space="preserve">the Claim is </w:t>
      </w:r>
      <w:r w:rsidR="000617CB">
        <w:t>known or unknown</w:t>
      </w:r>
      <w:r w:rsidR="005E18CC">
        <w:t>, and whether</w:t>
      </w:r>
      <w:r w:rsidR="007E1BF5">
        <w:t xml:space="preserve"> it involves </w:t>
      </w:r>
      <w:r w:rsidR="005E18CC">
        <w:t>someone other than a party to the Settlement Deed</w:t>
      </w:r>
      <w:r w:rsidR="00DF1DE3">
        <w:t>.</w:t>
      </w:r>
    </w:p>
    <w:p w14:paraId="71B0D0C1" w14:textId="442198F9" w:rsidR="005E1901" w:rsidRDefault="001D7B98" w:rsidP="001D7B98">
      <w:pPr>
        <w:pStyle w:val="ParaNumbering"/>
        <w:numPr>
          <w:ilvl w:val="0"/>
          <w:numId w:val="0"/>
        </w:numPr>
        <w:tabs>
          <w:tab w:val="left" w:pos="720"/>
        </w:tabs>
        <w:ind w:hanging="720"/>
      </w:pPr>
      <w:r>
        <w:rPr>
          <w:sz w:val="20"/>
        </w:rPr>
        <w:t>65</w:t>
      </w:r>
      <w:r>
        <w:rPr>
          <w:sz w:val="20"/>
        </w:rPr>
        <w:tab/>
      </w:r>
      <w:r w:rsidR="00270C7B" w:rsidRPr="00DF2415">
        <w:t>The</w:t>
      </w:r>
      <w:r w:rsidR="00600FE2">
        <w:t xml:space="preserve"> phrases </w:t>
      </w:r>
      <w:r w:rsidR="00BA0C41">
        <w:t>“in relation to the subject matter of the Proceeding” and “any other potential or related Claim”</w:t>
      </w:r>
      <w:r w:rsidR="00600FE2">
        <w:t xml:space="preserve"> carry </w:t>
      </w:r>
      <w:r w:rsidR="00BA0C41">
        <w:t>broad meanings</w:t>
      </w:r>
      <w:r w:rsidR="00CA28EA">
        <w:t>, which include</w:t>
      </w:r>
      <w:r w:rsidR="00BA0C41">
        <w:t xml:space="preserve"> </w:t>
      </w:r>
      <w:r w:rsidR="00CA28EA">
        <w:t>a</w:t>
      </w:r>
      <w:r w:rsidR="00270C7B">
        <w:t xml:space="preserve"> group member’s </w:t>
      </w:r>
      <w:r w:rsidR="00270C7B" w:rsidRPr="00DF2415">
        <w:t xml:space="preserve">claims </w:t>
      </w:r>
      <w:r w:rsidR="00270C7B">
        <w:t>“</w:t>
      </w:r>
      <w:r w:rsidR="00270C7B" w:rsidRPr="00DF2415">
        <w:t>relating to</w:t>
      </w:r>
      <w:r w:rsidR="00270C7B">
        <w:t>”</w:t>
      </w:r>
      <w:r w:rsidR="00BA0C41">
        <w:t xml:space="preserve"> the subject matter of the proceeding and to related </w:t>
      </w:r>
      <w:r w:rsidR="00270C7B">
        <w:t>claims</w:t>
      </w:r>
      <w:r w:rsidR="00BA0C41">
        <w:t xml:space="preserve">. That may extend to include </w:t>
      </w:r>
      <w:r w:rsidR="00CA28EA">
        <w:t xml:space="preserve">a </w:t>
      </w:r>
      <w:r w:rsidR="00BA0C41">
        <w:t>group member</w:t>
      </w:r>
      <w:r w:rsidR="00CA28EA">
        <w:t>’</w:t>
      </w:r>
      <w:r w:rsidR="00BA0C41">
        <w:t>s claim which</w:t>
      </w:r>
      <w:r w:rsidR="00CA28EA">
        <w:t xml:space="preserve"> is </w:t>
      </w:r>
      <w:r w:rsidR="00270C7B" w:rsidRPr="00DF2415">
        <w:t xml:space="preserve">individual or idiosyncratic to the group member; </w:t>
      </w:r>
      <w:r w:rsidR="00270C7B">
        <w:t>that is</w:t>
      </w:r>
      <w:r w:rsidR="00270C7B" w:rsidRPr="00DF2415">
        <w:t>, claims</w:t>
      </w:r>
      <w:r w:rsidR="00270C7B">
        <w:t xml:space="preserve"> which</w:t>
      </w:r>
      <w:r w:rsidR="00270C7B" w:rsidRPr="00DF2415">
        <w:t xml:space="preserve"> are not common claims under s 33C</w:t>
      </w:r>
      <w:r w:rsidR="00DE12EC">
        <w:t xml:space="preserve"> of the Act</w:t>
      </w:r>
      <w:r w:rsidR="00270C7B">
        <w:t>.</w:t>
      </w:r>
      <w:r w:rsidR="00B10351">
        <w:t xml:space="preserve"> </w:t>
      </w:r>
      <w:r w:rsidR="00CA5886">
        <w:t>As I</w:t>
      </w:r>
      <w:r w:rsidR="00CA28EA">
        <w:t xml:space="preserve"> said </w:t>
      </w:r>
      <w:r w:rsidR="00CA5886">
        <w:t xml:space="preserve">in </w:t>
      </w:r>
      <w:r w:rsidR="00CA5886" w:rsidRPr="00AC782C">
        <w:rPr>
          <w:i/>
        </w:rPr>
        <w:t>Ghee v BT Funds Management Limited</w:t>
      </w:r>
      <w:r w:rsidR="00CA5886" w:rsidRPr="00AC782C">
        <w:t xml:space="preserve"> [2023] FCA 1553 at [27]-[29]</w:t>
      </w:r>
      <w:r w:rsidR="00CA5886">
        <w:t>,</w:t>
      </w:r>
      <w:r w:rsidR="005E1901">
        <w:t xml:space="preserve"> acting on own behalf the applicants can provide Aveo with whatever release they like, but there are limits to their capacity to release</w:t>
      </w:r>
      <w:r w:rsidR="00CA28EA">
        <w:t xml:space="preserve"> group members’ </w:t>
      </w:r>
      <w:r w:rsidR="005E1901">
        <w:t>claims.</w:t>
      </w:r>
      <w:r w:rsidR="00CA28EA">
        <w:t xml:space="preserve"> The Full Court in </w:t>
      </w:r>
      <w:proofErr w:type="spellStart"/>
      <w:r w:rsidR="005E1901" w:rsidRPr="0007513E">
        <w:rPr>
          <w:i/>
        </w:rPr>
        <w:t>Dyczynski</w:t>
      </w:r>
      <w:proofErr w:type="spellEnd"/>
      <w:r w:rsidR="005E1901" w:rsidRPr="0007513E">
        <w:rPr>
          <w:i/>
        </w:rPr>
        <w:t xml:space="preserve"> </w:t>
      </w:r>
      <w:r w:rsidR="005E1901" w:rsidRPr="00AC782C">
        <w:rPr>
          <w:i/>
        </w:rPr>
        <w:t>v Gibson</w:t>
      </w:r>
      <w:r w:rsidR="005E1901" w:rsidRPr="00AC782C">
        <w:t xml:space="preserve"> </w:t>
      </w:r>
      <w:r w:rsidR="005E1901" w:rsidRPr="00AC782C">
        <w:rPr>
          <w:color w:val="000000"/>
          <w:szCs w:val="24"/>
          <w:lang w:eastAsia="en-AU"/>
        </w:rPr>
        <w:t>[2020] FCAFC 120; 280 FCR 583 at [250]-[251] (Murphy and Colvin JJ) and [395]-[396] (Lee J)</w:t>
      </w:r>
      <w:r w:rsidR="00CA28EA">
        <w:t xml:space="preserve"> held </w:t>
      </w:r>
      <w:r w:rsidR="005E1901" w:rsidRPr="008825CD">
        <w:t>that the authority of</w:t>
      </w:r>
      <w:r w:rsidR="005E1901">
        <w:t xml:space="preserve"> the representative </w:t>
      </w:r>
      <w:r w:rsidR="005E1901" w:rsidRPr="008825CD">
        <w:t>applicant in a</w:t>
      </w:r>
      <w:r w:rsidR="005E1901">
        <w:t xml:space="preserve"> class action </w:t>
      </w:r>
      <w:r w:rsidR="005E1901" w:rsidRPr="008825CD">
        <w:t>does not extend to settling individual or idiosyncratic claims of</w:t>
      </w:r>
      <w:r w:rsidR="005E1901">
        <w:t xml:space="preserve"> group members</w:t>
      </w:r>
      <w:r w:rsidR="005E1901" w:rsidRPr="008825CD">
        <w:t xml:space="preserve"> (as opposed to </w:t>
      </w:r>
      <w:r w:rsidR="005E1901">
        <w:t>‘</w:t>
      </w:r>
      <w:r w:rsidR="005E1901" w:rsidRPr="008825CD">
        <w:t>common claims</w:t>
      </w:r>
      <w:r w:rsidR="005E1901">
        <w:t>’ recognised under s 33C of the Act</w:t>
      </w:r>
      <w:r w:rsidR="005E1901" w:rsidRPr="008825CD">
        <w:t>)</w:t>
      </w:r>
      <w:r w:rsidR="005E1901">
        <w:t xml:space="preserve">, subject to the qualifications expressed by Lee J (at [398]). </w:t>
      </w:r>
    </w:p>
    <w:p w14:paraId="4F074D6C" w14:textId="5BA7818B" w:rsidR="00B510AB" w:rsidRDefault="001D7B98" w:rsidP="001D7B98">
      <w:pPr>
        <w:pStyle w:val="ParaNumbering"/>
        <w:numPr>
          <w:ilvl w:val="0"/>
          <w:numId w:val="0"/>
        </w:numPr>
        <w:tabs>
          <w:tab w:val="left" w:pos="720"/>
        </w:tabs>
        <w:ind w:hanging="720"/>
      </w:pPr>
      <w:r>
        <w:rPr>
          <w:sz w:val="20"/>
        </w:rPr>
        <w:t>66</w:t>
      </w:r>
      <w:r>
        <w:rPr>
          <w:sz w:val="20"/>
        </w:rPr>
        <w:tab/>
      </w:r>
      <w:r w:rsidR="005254C4">
        <w:t>I</w:t>
      </w:r>
      <w:r w:rsidR="00BA0C41">
        <w:t xml:space="preserve"> raised </w:t>
      </w:r>
      <w:r w:rsidR="008A48FF">
        <w:t xml:space="preserve">this difficulty in the settlement approval </w:t>
      </w:r>
      <w:proofErr w:type="gramStart"/>
      <w:r w:rsidR="008A48FF">
        <w:t>hearing</w:t>
      </w:r>
      <w:proofErr w:type="gramEnd"/>
      <w:r w:rsidR="00BA0C41">
        <w:t xml:space="preserve"> and it was resolved by </w:t>
      </w:r>
      <w:r w:rsidR="00090960">
        <w:t xml:space="preserve">counsel for </w:t>
      </w:r>
      <w:r w:rsidR="0047436E">
        <w:t>Aveo</w:t>
      </w:r>
      <w:r w:rsidR="00090960">
        <w:t xml:space="preserve"> a</w:t>
      </w:r>
      <w:r w:rsidR="00553012">
        <w:t>ccepting</w:t>
      </w:r>
      <w:r w:rsidR="00090960">
        <w:t xml:space="preserve"> that the release</w:t>
      </w:r>
      <w:r w:rsidR="00805F01">
        <w:t>s</w:t>
      </w:r>
      <w:r w:rsidR="00090960">
        <w:t xml:space="preserve"> cannot and </w:t>
      </w:r>
      <w:r w:rsidR="00805F01">
        <w:t>are</w:t>
      </w:r>
      <w:r w:rsidR="00090960">
        <w:t xml:space="preserve"> not intended to go beyond the common claims of the group members which are or could have been plea</w:t>
      </w:r>
      <w:r w:rsidR="0047436E">
        <w:t>d</w:t>
      </w:r>
      <w:r w:rsidR="00090960">
        <w:t>ed in the proceeding</w:t>
      </w:r>
      <w:r w:rsidR="00E26810">
        <w:t>.</w:t>
      </w:r>
      <w:r w:rsidR="00EE0421">
        <w:t xml:space="preserve"> Having regard to </w:t>
      </w:r>
      <w:r w:rsidR="00DD35AC">
        <w:t>that</w:t>
      </w:r>
      <w:r w:rsidR="00DD35AC" w:rsidDel="00EE0421">
        <w:t xml:space="preserve"> </w:t>
      </w:r>
      <w:r w:rsidR="00EE0421">
        <w:t>concession in open Court</w:t>
      </w:r>
      <w:r w:rsidR="00DD35AC">
        <w:t>, I</w:t>
      </w:r>
      <w:r w:rsidR="00EE0421">
        <w:t xml:space="preserve"> concluded </w:t>
      </w:r>
      <w:r w:rsidR="00DD35AC">
        <w:t>that t</w:t>
      </w:r>
      <w:r w:rsidR="00E26810">
        <w:t>he scope of the releases</w:t>
      </w:r>
      <w:r w:rsidR="00E26810" w:rsidDel="00EE0421">
        <w:t xml:space="preserve"> </w:t>
      </w:r>
      <w:r w:rsidR="00EE0421">
        <w:t xml:space="preserve">did </w:t>
      </w:r>
      <w:r w:rsidR="00E26810">
        <w:t>not stand in the way of settlement approval.</w:t>
      </w:r>
    </w:p>
    <w:p w14:paraId="1AD22029" w14:textId="3F3D0663" w:rsidR="00CA28EA" w:rsidRDefault="009965D1" w:rsidP="009965D1">
      <w:pPr>
        <w:pStyle w:val="Heading2"/>
      </w:pPr>
      <w:r>
        <w:t>R</w:t>
      </w:r>
      <w:r w:rsidR="00F22B2E">
        <w:t>elevant factors under the</w:t>
      </w:r>
      <w:r w:rsidR="00E26810" w:rsidRPr="00E26810">
        <w:t xml:space="preserve"> </w:t>
      </w:r>
      <w:r w:rsidR="00E26810">
        <w:t>Class Actions Practice Note (GPN-CA</w:t>
      </w:r>
      <w:r w:rsidR="00AC07FF">
        <w:t>)</w:t>
      </w:r>
    </w:p>
    <w:p w14:paraId="4965EF46" w14:textId="52B69359" w:rsidR="00F46964" w:rsidRDefault="00233F07" w:rsidP="00F46964">
      <w:pPr>
        <w:pStyle w:val="Heading3"/>
      </w:pPr>
      <w:r w:rsidRPr="000371CB">
        <w:t xml:space="preserve">The stage of the proceeding at which settlement was </w:t>
      </w:r>
      <w:proofErr w:type="gramStart"/>
      <w:r w:rsidRPr="000371CB">
        <w:t>achieved</w:t>
      </w:r>
      <w:proofErr w:type="gramEnd"/>
      <w:r>
        <w:t xml:space="preserve"> </w:t>
      </w:r>
    </w:p>
    <w:p w14:paraId="56C58CC3" w14:textId="10A9C2EC" w:rsidR="00233F07" w:rsidRDefault="001D7B98" w:rsidP="001D7B98">
      <w:pPr>
        <w:pStyle w:val="ParaNumbering"/>
        <w:numPr>
          <w:ilvl w:val="0"/>
          <w:numId w:val="0"/>
        </w:numPr>
        <w:tabs>
          <w:tab w:val="left" w:pos="720"/>
        </w:tabs>
        <w:ind w:hanging="720"/>
      </w:pPr>
      <w:r>
        <w:rPr>
          <w:sz w:val="20"/>
        </w:rPr>
        <w:t>67</w:t>
      </w:r>
      <w:r>
        <w:rPr>
          <w:sz w:val="20"/>
        </w:rPr>
        <w:tab/>
      </w:r>
      <w:r w:rsidR="009965D1">
        <w:t xml:space="preserve">There had been six days of trial at the point </w:t>
      </w:r>
      <w:r w:rsidR="00233F07">
        <w:t>the parties</w:t>
      </w:r>
      <w:r w:rsidR="009965D1">
        <w:t xml:space="preserve"> reached </w:t>
      </w:r>
      <w:r w:rsidR="00233F07">
        <w:t>the proposed settlement</w:t>
      </w:r>
      <w:r w:rsidR="00A62F2D">
        <w:t xml:space="preserve">, </w:t>
      </w:r>
      <w:r w:rsidR="009965D1">
        <w:t xml:space="preserve">and </w:t>
      </w:r>
      <w:r w:rsidR="00A62F2D">
        <w:t xml:space="preserve">the applicants and their lawyers </w:t>
      </w:r>
      <w:r w:rsidR="00233F07">
        <w:t xml:space="preserve">were </w:t>
      </w:r>
      <w:r w:rsidR="009965D1">
        <w:t xml:space="preserve">therefore </w:t>
      </w:r>
      <w:r w:rsidR="00233F07">
        <w:t xml:space="preserve">in a good position to make an informed assessment </w:t>
      </w:r>
      <w:r w:rsidR="0060688A">
        <w:t>as to</w:t>
      </w:r>
      <w:r w:rsidR="00120A52">
        <w:t xml:space="preserve"> whether</w:t>
      </w:r>
      <w:r w:rsidR="009965D1">
        <w:t xml:space="preserve"> </w:t>
      </w:r>
      <w:r w:rsidR="0060688A">
        <w:t xml:space="preserve">prospects of success of the </w:t>
      </w:r>
      <w:r w:rsidR="009965D1">
        <w:t>applicants’ and sample group members’</w:t>
      </w:r>
      <w:r w:rsidR="009965D1" w:rsidDel="0060688A">
        <w:t xml:space="preserve"> </w:t>
      </w:r>
      <w:r w:rsidR="0060688A">
        <w:t xml:space="preserve">claims </w:t>
      </w:r>
      <w:r w:rsidR="009965D1">
        <w:t xml:space="preserve">were such </w:t>
      </w:r>
      <w:r w:rsidR="00120A52">
        <w:t xml:space="preserve">that it was appropriate </w:t>
      </w:r>
      <w:r w:rsidR="005932BA">
        <w:t>to effectively</w:t>
      </w:r>
      <w:r w:rsidR="00890154">
        <w:t xml:space="preserve"> abandon</w:t>
      </w:r>
      <w:r w:rsidR="009965D1">
        <w:t xml:space="preserve"> their claims</w:t>
      </w:r>
      <w:r w:rsidR="00890154">
        <w:t>, and instead settle for legal costs</w:t>
      </w:r>
      <w:r w:rsidR="00890154" w:rsidRPr="00890154">
        <w:t xml:space="preserve"> </w:t>
      </w:r>
      <w:r w:rsidR="00890154">
        <w:t>only</w:t>
      </w:r>
      <w:r w:rsidR="00233F07">
        <w:t xml:space="preserve">.  </w:t>
      </w:r>
    </w:p>
    <w:p w14:paraId="1C3F7305" w14:textId="413F9C0B" w:rsidR="00F46964" w:rsidRDefault="00C47764" w:rsidP="00F46964">
      <w:pPr>
        <w:pStyle w:val="Heading3"/>
      </w:pPr>
      <w:r w:rsidRPr="00A97644">
        <w:lastRenderedPageBreak/>
        <w:t>The complexity and likely duration of the litigation</w:t>
      </w:r>
      <w:r>
        <w:t xml:space="preserve"> </w:t>
      </w:r>
    </w:p>
    <w:p w14:paraId="1628781F" w14:textId="1BAE8179" w:rsidR="00C47764" w:rsidRDefault="001D7B98" w:rsidP="001D7B98">
      <w:pPr>
        <w:pStyle w:val="ParaNumbering"/>
        <w:numPr>
          <w:ilvl w:val="0"/>
          <w:numId w:val="0"/>
        </w:numPr>
        <w:tabs>
          <w:tab w:val="left" w:pos="720"/>
        </w:tabs>
        <w:ind w:hanging="720"/>
      </w:pPr>
      <w:r>
        <w:rPr>
          <w:sz w:val="20"/>
        </w:rPr>
        <w:t>68</w:t>
      </w:r>
      <w:r>
        <w:rPr>
          <w:sz w:val="20"/>
        </w:rPr>
        <w:tab/>
      </w:r>
      <w:r w:rsidR="00C47764">
        <w:t>The case is both factually and legally complex and</w:t>
      </w:r>
      <w:r w:rsidR="00120A52">
        <w:t xml:space="preserve"> had the proposed settlement not been reached </w:t>
      </w:r>
      <w:r w:rsidR="00C47764">
        <w:t xml:space="preserve">the </w:t>
      </w:r>
      <w:r w:rsidR="0060688A">
        <w:t xml:space="preserve">initial </w:t>
      </w:r>
      <w:r w:rsidR="00C47764">
        <w:t xml:space="preserve">trial would have run for </w:t>
      </w:r>
      <w:r w:rsidR="000673B4">
        <w:t xml:space="preserve">approximately </w:t>
      </w:r>
      <w:r w:rsidR="00BC105F">
        <w:t xml:space="preserve">4 </w:t>
      </w:r>
      <w:r w:rsidR="00423B84">
        <w:t>additional</w:t>
      </w:r>
      <w:r w:rsidR="00A734F5">
        <w:t xml:space="preserve"> </w:t>
      </w:r>
      <w:r w:rsidR="00C47764">
        <w:t xml:space="preserve">weeks. The </w:t>
      </w:r>
      <w:r w:rsidR="00F46964">
        <w:t xml:space="preserve">proposed </w:t>
      </w:r>
      <w:r w:rsidR="00C47764" w:rsidRPr="00763057">
        <w:t>settlement avoids the uncertainty and delay associated with prosecuting the claims to judgment</w:t>
      </w:r>
      <w:r w:rsidR="00C47764">
        <w:t>.</w:t>
      </w:r>
      <w:r w:rsidR="00C47764" w:rsidRPr="00A97644">
        <w:t xml:space="preserve"> </w:t>
      </w:r>
    </w:p>
    <w:p w14:paraId="7A8808DE" w14:textId="750E9EE5" w:rsidR="00F46964" w:rsidRDefault="00E14AF4" w:rsidP="00120A52">
      <w:pPr>
        <w:pStyle w:val="Heading3"/>
      </w:pPr>
      <w:r w:rsidRPr="00A97644">
        <w:t>The risks of establishing liability</w:t>
      </w:r>
      <w:r w:rsidR="002637C2">
        <w:t xml:space="preserve"> and loss or damage</w:t>
      </w:r>
    </w:p>
    <w:p w14:paraId="70E36198" w14:textId="60D30D35" w:rsidR="002637C2" w:rsidRDefault="001D7B98" w:rsidP="001D7B98">
      <w:pPr>
        <w:pStyle w:val="ParaNumbering"/>
        <w:numPr>
          <w:ilvl w:val="0"/>
          <w:numId w:val="0"/>
        </w:numPr>
        <w:tabs>
          <w:tab w:val="left" w:pos="720"/>
        </w:tabs>
        <w:ind w:hanging="720"/>
      </w:pPr>
      <w:r>
        <w:rPr>
          <w:sz w:val="20"/>
        </w:rPr>
        <w:t>69</w:t>
      </w:r>
      <w:r>
        <w:rPr>
          <w:sz w:val="20"/>
        </w:rPr>
        <w:tab/>
      </w:r>
      <w:r w:rsidR="00E14AF4">
        <w:t>The applicants</w:t>
      </w:r>
      <w:r w:rsidR="004410F5">
        <w:t>’</w:t>
      </w:r>
      <w:r w:rsidR="00E14AF4">
        <w:t xml:space="preserve"> prospect</w:t>
      </w:r>
      <w:r w:rsidR="004410F5">
        <w:t>s</w:t>
      </w:r>
      <w:r w:rsidR="00E14AF4">
        <w:t xml:space="preserve"> of establishing </w:t>
      </w:r>
      <w:r w:rsidR="004410F5">
        <w:t xml:space="preserve">that Aveo engaged in unconscionable </w:t>
      </w:r>
      <w:proofErr w:type="gramStart"/>
      <w:r w:rsidR="004410F5">
        <w:t>conduct</w:t>
      </w:r>
      <w:proofErr w:type="gramEnd"/>
      <w:r w:rsidR="004410F5">
        <w:t xml:space="preserve"> or misleading or deceptive conduct </w:t>
      </w:r>
      <w:r w:rsidR="00120A52">
        <w:t xml:space="preserve">essentially </w:t>
      </w:r>
      <w:r w:rsidR="004410F5">
        <w:t>turn</w:t>
      </w:r>
      <w:r w:rsidR="00C50042">
        <w:t>s</w:t>
      </w:r>
      <w:r w:rsidR="004410F5">
        <w:t xml:space="preserve"> on </w:t>
      </w:r>
      <w:r w:rsidR="00F46964">
        <w:t xml:space="preserve">their </w:t>
      </w:r>
      <w:r w:rsidR="00C50042">
        <w:t>ability</w:t>
      </w:r>
      <w:r w:rsidR="001D3975">
        <w:t xml:space="preserve"> to</w:t>
      </w:r>
      <w:r w:rsidR="00F46964">
        <w:t xml:space="preserve"> establish </w:t>
      </w:r>
      <w:r w:rsidR="001D3975">
        <w:t>that the introduction of the Aveo Way Programme caused loss to the holders of pre-</w:t>
      </w:r>
      <w:r w:rsidR="002637C2">
        <w:t xml:space="preserve">AWI interests. Having regard to the </w:t>
      </w:r>
      <w:r w:rsidR="004F679B">
        <w:t>evidence in the approval application I am satisfied that</w:t>
      </w:r>
      <w:r w:rsidR="006B6C6E">
        <w:t xml:space="preserve"> the applicants’ </w:t>
      </w:r>
      <w:r w:rsidR="00120A52">
        <w:t xml:space="preserve">and sample group members’ </w:t>
      </w:r>
      <w:r w:rsidR="006B6C6E">
        <w:t>prospects of establishing loss were very low.</w:t>
      </w:r>
      <w:r w:rsidR="000673B4">
        <w:t xml:space="preserve"> In my view it is </w:t>
      </w:r>
      <w:r w:rsidR="006B6C6E">
        <w:t>more likely than not that their claims would have failed.</w:t>
      </w:r>
      <w:r w:rsidR="00120A52">
        <w:t xml:space="preserve"> This </w:t>
      </w:r>
      <w:r w:rsidR="00F46964">
        <w:t xml:space="preserve">points strongly in favour of approving the </w:t>
      </w:r>
      <w:r w:rsidR="000673B4">
        <w:t xml:space="preserve">proposed </w:t>
      </w:r>
      <w:r w:rsidR="00F46964">
        <w:t>settlement.</w:t>
      </w:r>
    </w:p>
    <w:p w14:paraId="24D4D5AD" w14:textId="625785D8" w:rsidR="00A62F2D" w:rsidRDefault="00A62F2D" w:rsidP="00120A52">
      <w:pPr>
        <w:pStyle w:val="Heading3"/>
      </w:pPr>
      <w:r w:rsidRPr="00120A52">
        <w:t xml:space="preserve">The range of reasonableness of the settlement </w:t>
      </w:r>
      <w:proofErr w:type="gramStart"/>
      <w:r w:rsidRPr="00120A52">
        <w:t>in light of</w:t>
      </w:r>
      <w:proofErr w:type="gramEnd"/>
      <w:r w:rsidRPr="00120A52">
        <w:t xml:space="preserve"> the best recovery</w:t>
      </w:r>
    </w:p>
    <w:p w14:paraId="047727B7" w14:textId="2AC4F40B" w:rsidR="00120A52" w:rsidRPr="00120A52" w:rsidRDefault="001D7B98" w:rsidP="001D7B98">
      <w:pPr>
        <w:pStyle w:val="ParaNumbering"/>
        <w:numPr>
          <w:ilvl w:val="0"/>
          <w:numId w:val="0"/>
        </w:numPr>
        <w:tabs>
          <w:tab w:val="left" w:pos="720"/>
        </w:tabs>
        <w:ind w:hanging="720"/>
      </w:pPr>
      <w:r w:rsidRPr="00120A52">
        <w:rPr>
          <w:sz w:val="20"/>
        </w:rPr>
        <w:t>70</w:t>
      </w:r>
      <w:r w:rsidRPr="00120A52">
        <w:rPr>
          <w:sz w:val="20"/>
        </w:rPr>
        <w:tab/>
      </w:r>
      <w:r w:rsidR="007F4F23">
        <w:t>The proposed settlement represents a negligible percentage of the potential best-case outcome for the applicants and group members.</w:t>
      </w:r>
      <w:r w:rsidR="00D51ADF">
        <w:t xml:space="preserve"> Indeed, once the proposed deductions for legal costs are applied, they will receive nothing.</w:t>
      </w:r>
    </w:p>
    <w:p w14:paraId="23B5F37F" w14:textId="705425C7" w:rsidR="00F46964" w:rsidRDefault="00CC5359" w:rsidP="00F46964">
      <w:pPr>
        <w:pStyle w:val="Heading3"/>
      </w:pPr>
      <w:r w:rsidRPr="0007053E">
        <w:t xml:space="preserve">The reasonableness of the proposed settlement </w:t>
      </w:r>
      <w:proofErr w:type="gramStart"/>
      <w:r w:rsidRPr="0007053E">
        <w:t>in light of</w:t>
      </w:r>
      <w:proofErr w:type="gramEnd"/>
      <w:r w:rsidRPr="0007053E">
        <w:t xml:space="preserve"> the attendant litigation risks</w:t>
      </w:r>
    </w:p>
    <w:p w14:paraId="5CC970A0" w14:textId="5AE55399" w:rsidR="00D871CD" w:rsidRDefault="001D7B98" w:rsidP="001D7B98">
      <w:pPr>
        <w:pStyle w:val="ParaNumbering"/>
        <w:numPr>
          <w:ilvl w:val="0"/>
          <w:numId w:val="0"/>
        </w:numPr>
        <w:tabs>
          <w:tab w:val="left" w:pos="720"/>
        </w:tabs>
        <w:ind w:hanging="720"/>
      </w:pPr>
      <w:r>
        <w:rPr>
          <w:sz w:val="20"/>
        </w:rPr>
        <w:t>71</w:t>
      </w:r>
      <w:r>
        <w:rPr>
          <w:sz w:val="20"/>
        </w:rPr>
        <w:tab/>
      </w:r>
      <w:r w:rsidR="00CB58AA">
        <w:t>The proposed settlement is a very disappointing result for the applicants and group members</w:t>
      </w:r>
      <w:r w:rsidR="000673B4">
        <w:t>, and no doubt also for the applicants’ lawyers.</w:t>
      </w:r>
      <w:r w:rsidR="000673B4" w:rsidDel="00D871CD">
        <w:t xml:space="preserve"> </w:t>
      </w:r>
      <w:r w:rsidR="00D871CD">
        <w:t xml:space="preserve">But as I have said, the prospects of the applicants’ and sample group members’ succeeding in establishing loss were low. Based on the materials in the approval application it is more likely that than not that their claims would have failed had the initial trial continued to judgment. I therefore consider </w:t>
      </w:r>
      <w:r w:rsidR="00B82C5E">
        <w:t>that</w:t>
      </w:r>
      <w:r w:rsidR="00D871CD">
        <w:t xml:space="preserve"> the proposed settlement </w:t>
      </w:r>
      <w:r w:rsidR="00DB3160">
        <w:t xml:space="preserve">is reasonable </w:t>
      </w:r>
      <w:proofErr w:type="gramStart"/>
      <w:r w:rsidR="00DB3160">
        <w:t xml:space="preserve">in </w:t>
      </w:r>
      <w:r w:rsidR="005C5609">
        <w:t>light of</w:t>
      </w:r>
      <w:proofErr w:type="gramEnd"/>
      <w:r w:rsidR="005C5609">
        <w:t xml:space="preserve"> the attendant risks of litigation</w:t>
      </w:r>
      <w:r w:rsidR="00F75873">
        <w:t xml:space="preserve"> and </w:t>
      </w:r>
      <w:r w:rsidR="00AA5C1D">
        <w:t xml:space="preserve">that it </w:t>
      </w:r>
      <w:r w:rsidR="00D871CD">
        <w:t>falls within the range of reasonable outcomes in the case.</w:t>
      </w:r>
    </w:p>
    <w:p w14:paraId="70A2B8AB" w14:textId="2AF02C6E" w:rsidR="000673B4" w:rsidRDefault="001D7B98" w:rsidP="001D7B98">
      <w:pPr>
        <w:pStyle w:val="ParaNumbering"/>
        <w:numPr>
          <w:ilvl w:val="0"/>
          <w:numId w:val="0"/>
        </w:numPr>
        <w:tabs>
          <w:tab w:val="left" w:pos="720"/>
        </w:tabs>
        <w:ind w:hanging="720"/>
      </w:pPr>
      <w:r>
        <w:rPr>
          <w:sz w:val="20"/>
        </w:rPr>
        <w:t>72</w:t>
      </w:r>
      <w:r>
        <w:rPr>
          <w:sz w:val="20"/>
        </w:rPr>
        <w:tab/>
      </w:r>
      <w:r w:rsidR="005C5609">
        <w:t>I not</w:t>
      </w:r>
      <w:r w:rsidR="008A29C1">
        <w:t>e</w:t>
      </w:r>
      <w:r w:rsidR="005C5609">
        <w:t xml:space="preserve"> in this regard </w:t>
      </w:r>
      <w:r w:rsidR="00296A19">
        <w:t xml:space="preserve">that </w:t>
      </w:r>
      <w:r w:rsidR="000673B4" w:rsidDel="00296A19">
        <w:t xml:space="preserve">Levitt </w:t>
      </w:r>
      <w:r w:rsidR="00D22098">
        <w:t>Robinson’s evidence is</w:t>
      </w:r>
      <w:r w:rsidR="000673B4">
        <w:t xml:space="preserve"> redolent with complaint in relation to the trial judge’s refusal of the </w:t>
      </w:r>
      <w:r w:rsidR="003D69E8">
        <w:t xml:space="preserve">applicants’ </w:t>
      </w:r>
      <w:r w:rsidR="000673B4">
        <w:t xml:space="preserve">two applications to vacate the trial (which had the result that the applicants did not receive Aveo’s expert evidence until the eve of trial) and </w:t>
      </w:r>
      <w:r w:rsidR="00D22098">
        <w:t>his Honour’s</w:t>
      </w:r>
      <w:r w:rsidR="000673B4">
        <w:t xml:space="preserve"> finding that the </w:t>
      </w:r>
      <w:r w:rsidR="008A29C1">
        <w:t xml:space="preserve">applicants’ </w:t>
      </w:r>
      <w:r w:rsidR="000673B4">
        <w:t>claim of breach of fiduciary duty by ARE, and</w:t>
      </w:r>
      <w:r w:rsidR="003D69E8">
        <w:t xml:space="preserve"> of</w:t>
      </w:r>
      <w:r w:rsidR="000673B4">
        <w:t xml:space="preserve"> </w:t>
      </w:r>
      <w:r w:rsidR="003D69E8">
        <w:t xml:space="preserve">Aveo’s </w:t>
      </w:r>
      <w:r w:rsidR="000673B4">
        <w:t>involvement in that breach</w:t>
      </w:r>
      <w:r w:rsidR="000673B4" w:rsidDel="003D69E8">
        <w:t xml:space="preserve"> </w:t>
      </w:r>
      <w:r w:rsidR="003D69E8">
        <w:t xml:space="preserve">fell </w:t>
      </w:r>
      <w:r w:rsidR="000673B4">
        <w:t>outside the pleadings.</w:t>
      </w:r>
      <w:r w:rsidR="008A29C1">
        <w:t xml:space="preserve"> Those matters are said to have been im</w:t>
      </w:r>
      <w:r w:rsidR="00844F39">
        <w:t xml:space="preserve">portant to the decision </w:t>
      </w:r>
      <w:r w:rsidR="008C49EE">
        <w:t>to accept the proposed settlement.</w:t>
      </w:r>
    </w:p>
    <w:p w14:paraId="3B925F0A" w14:textId="7D07AFCC" w:rsidR="000673B4" w:rsidRPr="00557E8B" w:rsidRDefault="001D7B98" w:rsidP="001D7B98">
      <w:pPr>
        <w:pStyle w:val="ParaNumbering"/>
        <w:numPr>
          <w:ilvl w:val="0"/>
          <w:numId w:val="0"/>
        </w:numPr>
        <w:tabs>
          <w:tab w:val="left" w:pos="720"/>
        </w:tabs>
        <w:ind w:hanging="720"/>
      </w:pPr>
      <w:r w:rsidRPr="00557E8B">
        <w:rPr>
          <w:sz w:val="20"/>
        </w:rPr>
        <w:lastRenderedPageBreak/>
        <w:t>73</w:t>
      </w:r>
      <w:r w:rsidRPr="00557E8B">
        <w:rPr>
          <w:sz w:val="20"/>
        </w:rPr>
        <w:tab/>
      </w:r>
      <w:r w:rsidR="002D06DC">
        <w:t>Of course</w:t>
      </w:r>
      <w:r w:rsidR="00F95332">
        <w:t xml:space="preserve">, </w:t>
      </w:r>
      <w:r w:rsidR="0077590C">
        <w:t>i</w:t>
      </w:r>
      <w:r w:rsidR="00636BDD">
        <w:t>nstead of</w:t>
      </w:r>
      <w:r w:rsidR="00F40444">
        <w:t xml:space="preserve"> deciding to recommend acceptance of a </w:t>
      </w:r>
      <w:r w:rsidR="00636BDD">
        <w:t>cost</w:t>
      </w:r>
      <w:r w:rsidR="00362FD1">
        <w:t>s</w:t>
      </w:r>
      <w:r w:rsidR="00636BDD">
        <w:t xml:space="preserve">-only settlement the </w:t>
      </w:r>
      <w:r w:rsidR="000673B4">
        <w:t>applicants</w:t>
      </w:r>
      <w:r w:rsidR="006A142B">
        <w:t xml:space="preserve"> (or more accurately their</w:t>
      </w:r>
      <w:r w:rsidR="000673B4">
        <w:t xml:space="preserve"> lawyers</w:t>
      </w:r>
      <w:r w:rsidR="00FB2104">
        <w:t>)</w:t>
      </w:r>
      <w:r w:rsidR="000673B4">
        <w:t xml:space="preserve"> might have chosen to</w:t>
      </w:r>
      <w:r w:rsidR="00F40444">
        <w:t xml:space="preserve"> </w:t>
      </w:r>
      <w:r w:rsidR="00FB2104">
        <w:t>continue</w:t>
      </w:r>
      <w:r w:rsidR="00F40444">
        <w:t xml:space="preserve"> </w:t>
      </w:r>
      <w:r w:rsidR="000673B4">
        <w:t>to</w:t>
      </w:r>
      <w:r w:rsidR="00F40444">
        <w:t xml:space="preserve"> judgment </w:t>
      </w:r>
      <w:r w:rsidR="000673B4">
        <w:t xml:space="preserve">and, if unsuccessful, to then appeal the </w:t>
      </w:r>
      <w:r w:rsidR="00362FD1">
        <w:t xml:space="preserve">trial judge’s rulings and </w:t>
      </w:r>
      <w:r w:rsidR="000673B4">
        <w:t xml:space="preserve">judgment. </w:t>
      </w:r>
      <w:r w:rsidR="007022E2">
        <w:t xml:space="preserve">Different lawyers </w:t>
      </w:r>
      <w:r w:rsidR="001044AF">
        <w:t xml:space="preserve">or a </w:t>
      </w:r>
      <w:r w:rsidR="007022E2">
        <w:t xml:space="preserve">different funder, with different appetites for risk, might have made </w:t>
      </w:r>
      <w:r w:rsidR="001044AF">
        <w:t>such a</w:t>
      </w:r>
      <w:r w:rsidR="007022E2">
        <w:t xml:space="preserve"> decision. </w:t>
      </w:r>
      <w:r w:rsidR="006B4DD6">
        <w:t>But it is not my role</w:t>
      </w:r>
      <w:r w:rsidR="006B4DD6">
        <w:rPr>
          <w:shd w:val="clear" w:color="auto" w:fill="FFFFFF"/>
        </w:rPr>
        <w:t xml:space="preserve"> in a settlement approval application to second-guess </w:t>
      </w:r>
      <w:r w:rsidR="006B4DD6" w:rsidRPr="00883004">
        <w:rPr>
          <w:shd w:val="clear" w:color="auto" w:fill="FFFFFF"/>
        </w:rPr>
        <w:t>the applicants</w:t>
      </w:r>
      <w:r w:rsidR="00C37768">
        <w:rPr>
          <w:shd w:val="clear" w:color="auto" w:fill="FFFFFF"/>
        </w:rPr>
        <w:t>’</w:t>
      </w:r>
      <w:r w:rsidR="006B4DD6" w:rsidRPr="00883004">
        <w:rPr>
          <w:shd w:val="clear" w:color="auto" w:fill="FFFFFF"/>
        </w:rPr>
        <w:t xml:space="preserve"> lawyers</w:t>
      </w:r>
      <w:r w:rsidR="006B4DD6">
        <w:rPr>
          <w:shd w:val="clear" w:color="auto" w:fill="FFFFFF"/>
        </w:rPr>
        <w:t xml:space="preserve"> to such an extent. </w:t>
      </w:r>
      <w:proofErr w:type="gramStart"/>
      <w:r w:rsidR="00E85ACD">
        <w:rPr>
          <w:shd w:val="clear" w:color="auto" w:fill="FFFFFF"/>
        </w:rPr>
        <w:t>It is clear that t</w:t>
      </w:r>
      <w:r w:rsidR="006B4DD6">
        <w:rPr>
          <w:shd w:val="clear" w:color="auto" w:fill="FFFFFF"/>
        </w:rPr>
        <w:t>he</w:t>
      </w:r>
      <w:proofErr w:type="gramEnd"/>
      <w:r w:rsidR="006B4DD6">
        <w:rPr>
          <w:shd w:val="clear" w:color="auto" w:fill="FFFFFF"/>
        </w:rPr>
        <w:t xml:space="preserve"> decision </w:t>
      </w:r>
      <w:r w:rsidR="00E85ACD">
        <w:rPr>
          <w:shd w:val="clear" w:color="auto" w:fill="FFFFFF"/>
        </w:rPr>
        <w:t>to settle</w:t>
      </w:r>
      <w:r w:rsidR="006B4DD6">
        <w:rPr>
          <w:shd w:val="clear" w:color="auto" w:fill="FFFFFF"/>
        </w:rPr>
        <w:t xml:space="preserve"> was </w:t>
      </w:r>
      <w:r w:rsidR="00E85ACD">
        <w:rPr>
          <w:shd w:val="clear" w:color="auto" w:fill="FFFFFF"/>
        </w:rPr>
        <w:t>a</w:t>
      </w:r>
      <w:r w:rsidR="00C37768">
        <w:rPr>
          <w:shd w:val="clear" w:color="auto" w:fill="FFFFFF"/>
        </w:rPr>
        <w:t xml:space="preserve"> reasonable option in </w:t>
      </w:r>
      <w:r w:rsidR="00F00976">
        <w:rPr>
          <w:shd w:val="clear" w:color="auto" w:fill="FFFFFF"/>
        </w:rPr>
        <w:t>light of all the circumstances</w:t>
      </w:r>
      <w:r w:rsidR="005B1D67">
        <w:rPr>
          <w:shd w:val="clear" w:color="auto" w:fill="FFFFFF"/>
        </w:rPr>
        <w:t>. In any event</w:t>
      </w:r>
      <w:r w:rsidR="00414AC6">
        <w:rPr>
          <w:shd w:val="clear" w:color="auto" w:fill="FFFFFF"/>
        </w:rPr>
        <w:t xml:space="preserve"> </w:t>
      </w:r>
      <w:r w:rsidR="000673B4">
        <w:rPr>
          <w:shd w:val="clear" w:color="auto" w:fill="FFFFFF"/>
        </w:rPr>
        <w:t>Mr Shulman</w:t>
      </w:r>
      <w:r w:rsidR="005B1D67">
        <w:rPr>
          <w:shd w:val="clear" w:color="auto" w:fill="FFFFFF"/>
        </w:rPr>
        <w:t xml:space="preserve"> stated </w:t>
      </w:r>
      <w:r w:rsidR="00B860A8">
        <w:rPr>
          <w:shd w:val="clear" w:color="auto" w:fill="FFFFFF"/>
        </w:rPr>
        <w:t xml:space="preserve">that Galactic </w:t>
      </w:r>
      <w:r w:rsidR="000673B4">
        <w:rPr>
          <w:shd w:val="clear" w:color="auto" w:fill="FFFFFF"/>
        </w:rPr>
        <w:t>would not have funded an appeal</w:t>
      </w:r>
      <w:r w:rsidR="005B1D67">
        <w:rPr>
          <w:shd w:val="clear" w:color="auto" w:fill="FFFFFF"/>
        </w:rPr>
        <w:t xml:space="preserve">. </w:t>
      </w:r>
      <w:r w:rsidR="00F40444" w:rsidDel="00D871CD">
        <w:rPr>
          <w:shd w:val="clear" w:color="auto" w:fill="FFFFFF"/>
        </w:rPr>
        <w:t>There</w:t>
      </w:r>
      <w:r w:rsidR="00F40444">
        <w:rPr>
          <w:shd w:val="clear" w:color="auto" w:fill="FFFFFF"/>
        </w:rPr>
        <w:t xml:space="preserve"> is nothing to show that </w:t>
      </w:r>
      <w:r w:rsidR="00C406C9">
        <w:rPr>
          <w:shd w:val="clear" w:color="auto" w:fill="FFFFFF"/>
        </w:rPr>
        <w:t xml:space="preserve">Levitt Robinson would have been prepared to conduct an appeal without </w:t>
      </w:r>
      <w:r w:rsidR="00AB2D5C">
        <w:rPr>
          <w:shd w:val="clear" w:color="auto" w:fill="FFFFFF"/>
        </w:rPr>
        <w:t xml:space="preserve">litigation </w:t>
      </w:r>
      <w:r w:rsidR="00C406C9">
        <w:rPr>
          <w:shd w:val="clear" w:color="auto" w:fill="FFFFFF"/>
        </w:rPr>
        <w:t>funding</w:t>
      </w:r>
      <w:r w:rsidR="00CE5988">
        <w:rPr>
          <w:shd w:val="clear" w:color="auto" w:fill="FFFFFF"/>
        </w:rPr>
        <w:t>, or that the applicants would have been prepared</w:t>
      </w:r>
      <w:r w:rsidR="00AB2D5C">
        <w:rPr>
          <w:shd w:val="clear" w:color="auto" w:fill="FFFFFF"/>
        </w:rPr>
        <w:t xml:space="preserve"> to take on the risk of an adverse costs order in any appeal.</w:t>
      </w:r>
    </w:p>
    <w:p w14:paraId="21F984D5" w14:textId="12703DAF" w:rsidR="004537FF" w:rsidRDefault="004537FF" w:rsidP="00457DF0">
      <w:pPr>
        <w:pStyle w:val="Heading3"/>
      </w:pPr>
      <w:r w:rsidRPr="004537FF">
        <w:t>The reaction of the class</w:t>
      </w:r>
    </w:p>
    <w:p w14:paraId="1A26F3E7" w14:textId="246620DE" w:rsidR="00AE4151" w:rsidRDefault="001D7B98" w:rsidP="001D7B98">
      <w:pPr>
        <w:pStyle w:val="ParaNumbering"/>
        <w:numPr>
          <w:ilvl w:val="0"/>
          <w:numId w:val="0"/>
        </w:numPr>
        <w:tabs>
          <w:tab w:val="left" w:pos="720"/>
        </w:tabs>
        <w:ind w:hanging="720"/>
      </w:pPr>
      <w:r>
        <w:rPr>
          <w:sz w:val="20"/>
        </w:rPr>
        <w:t>74</w:t>
      </w:r>
      <w:r>
        <w:rPr>
          <w:sz w:val="20"/>
        </w:rPr>
        <w:tab/>
      </w:r>
      <w:r w:rsidR="0078743D">
        <w:t>Only one group member</w:t>
      </w:r>
      <w:r w:rsidR="002C20EB">
        <w:t xml:space="preserve"> filed a notice of objection </w:t>
      </w:r>
      <w:r w:rsidR="0078743D">
        <w:t>to the proposed settlement</w:t>
      </w:r>
      <w:r w:rsidR="00AE4151">
        <w:t xml:space="preserve">. </w:t>
      </w:r>
      <w:r w:rsidR="00880D35">
        <w:t xml:space="preserve">Ms </w:t>
      </w:r>
      <w:r w:rsidR="00AE4151">
        <w:t xml:space="preserve">Jill Orr, the executor for Valda Rutledge </w:t>
      </w:r>
      <w:r w:rsidR="00880D35">
        <w:t>(</w:t>
      </w:r>
      <w:r w:rsidR="00AE4151">
        <w:t>deceased</w:t>
      </w:r>
      <w:r w:rsidR="00880D35">
        <w:t>)</w:t>
      </w:r>
      <w:r w:rsidR="00AE4151">
        <w:t>, said:</w:t>
      </w:r>
    </w:p>
    <w:p w14:paraId="636796BE" w14:textId="77777777" w:rsidR="00AE4151" w:rsidRDefault="00AE4151" w:rsidP="00AE4151">
      <w:pPr>
        <w:pStyle w:val="Quote1"/>
      </w:pPr>
      <w:r>
        <w:t>The fees applied by Levitt Robinson appear to be unreasonable and what remains for the Group Members is an insult.</w:t>
      </w:r>
    </w:p>
    <w:p w14:paraId="03C35762" w14:textId="43A8237C" w:rsidR="00C77CF5" w:rsidRDefault="001D7B98" w:rsidP="001D7B98">
      <w:pPr>
        <w:pStyle w:val="ParaNumbering"/>
        <w:numPr>
          <w:ilvl w:val="0"/>
          <w:numId w:val="0"/>
        </w:numPr>
        <w:tabs>
          <w:tab w:val="left" w:pos="720"/>
        </w:tabs>
        <w:ind w:hanging="720"/>
      </w:pPr>
      <w:r>
        <w:rPr>
          <w:sz w:val="20"/>
        </w:rPr>
        <w:t>75</w:t>
      </w:r>
      <w:r>
        <w:rPr>
          <w:sz w:val="20"/>
        </w:rPr>
        <w:tab/>
      </w:r>
      <w:r w:rsidR="00AE4151">
        <w:t>That is not an objection to the proposed settlement</w:t>
      </w:r>
      <w:r w:rsidR="0078743D">
        <w:t>, but</w:t>
      </w:r>
      <w:r w:rsidR="00AE4151">
        <w:t xml:space="preserve"> rather to the legal costs Levitt Robinson proposes to deduct from </w:t>
      </w:r>
      <w:r w:rsidR="00DF7EEE">
        <w:t>the settlement</w:t>
      </w:r>
      <w:r w:rsidR="00DF7EEE" w:rsidDel="00F00976">
        <w:t xml:space="preserve"> </w:t>
      </w:r>
      <w:r w:rsidR="00F00976">
        <w:t>fund</w:t>
      </w:r>
      <w:r w:rsidR="00D3445E">
        <w:t xml:space="preserve">. </w:t>
      </w:r>
      <w:r w:rsidR="00F00976">
        <w:t xml:space="preserve"> </w:t>
      </w:r>
      <w:r w:rsidR="00C77CF5">
        <w:t>I accept the</w:t>
      </w:r>
      <w:r w:rsidR="00F00976">
        <w:t xml:space="preserve"> broad</w:t>
      </w:r>
      <w:r w:rsidR="00C77CF5">
        <w:t xml:space="preserve"> thrust </w:t>
      </w:r>
      <w:r w:rsidR="00E83615">
        <w:t>of this objection</w:t>
      </w:r>
      <w:r w:rsidR="00592943">
        <w:t>, but it does not stand in the way of approving the settlement</w:t>
      </w:r>
      <w:r w:rsidR="00E83615">
        <w:t>.</w:t>
      </w:r>
      <w:r w:rsidR="00592943">
        <w:t xml:space="preserve"> For the reasons I</w:t>
      </w:r>
      <w:r w:rsidR="00592943" w:rsidDel="00D3445E">
        <w:t xml:space="preserve"> </w:t>
      </w:r>
      <w:r w:rsidR="00D3445E">
        <w:t xml:space="preserve">later </w:t>
      </w:r>
      <w:r w:rsidR="00B16C51">
        <w:t xml:space="preserve">turn </w:t>
      </w:r>
      <w:r w:rsidR="00592943">
        <w:t xml:space="preserve">to explain, I consider </w:t>
      </w:r>
      <w:r w:rsidR="00B95CB0">
        <w:t xml:space="preserve">the legal costs </w:t>
      </w:r>
      <w:r w:rsidR="00403121">
        <w:t>that</w:t>
      </w:r>
      <w:r w:rsidR="00E82F80">
        <w:t xml:space="preserve"> </w:t>
      </w:r>
      <w:r w:rsidR="00D3445E">
        <w:t>Levitt Robinson propose</w:t>
      </w:r>
      <w:r w:rsidR="00E85ACD">
        <w:t>d</w:t>
      </w:r>
      <w:r w:rsidR="00D3445E">
        <w:t xml:space="preserve"> be deducted from the settlement fund </w:t>
      </w:r>
      <w:r w:rsidR="00E83615">
        <w:t>are not reasonable</w:t>
      </w:r>
      <w:r w:rsidR="00B95CB0">
        <w:t>, and</w:t>
      </w:r>
      <w:r w:rsidR="00B95CB0" w:rsidDel="00D3445E">
        <w:t xml:space="preserve"> </w:t>
      </w:r>
      <w:r w:rsidR="00566BE0">
        <w:t>that</w:t>
      </w:r>
      <w:r w:rsidR="00D3445E">
        <w:t xml:space="preserve"> the firm's costs </w:t>
      </w:r>
      <w:r w:rsidR="00B95CB0">
        <w:t xml:space="preserve">should </w:t>
      </w:r>
      <w:r w:rsidR="00187B8D">
        <w:t>be approved in a reduced amount</w:t>
      </w:r>
      <w:r w:rsidR="00E83615">
        <w:t>.</w:t>
      </w:r>
    </w:p>
    <w:p w14:paraId="1CADB752" w14:textId="6917731E" w:rsidR="004E4098" w:rsidRDefault="001D7B98" w:rsidP="001D7B98">
      <w:pPr>
        <w:pStyle w:val="ParaNumbering"/>
        <w:numPr>
          <w:ilvl w:val="0"/>
          <w:numId w:val="0"/>
        </w:numPr>
        <w:tabs>
          <w:tab w:val="left" w:pos="720"/>
        </w:tabs>
        <w:ind w:hanging="720"/>
      </w:pPr>
      <w:r>
        <w:rPr>
          <w:sz w:val="20"/>
        </w:rPr>
        <w:t>76</w:t>
      </w:r>
      <w:r>
        <w:rPr>
          <w:sz w:val="20"/>
        </w:rPr>
        <w:tab/>
      </w:r>
      <w:r w:rsidR="004E4098">
        <w:t>For</w:t>
      </w:r>
      <w:r w:rsidR="004A4D0B">
        <w:t xml:space="preserve"> the above </w:t>
      </w:r>
      <w:r w:rsidR="004E4098">
        <w:t>reasons</w:t>
      </w:r>
      <w:r w:rsidR="004A4D0B">
        <w:t xml:space="preserve">, notwithstanding that </w:t>
      </w:r>
      <w:r w:rsidR="00B356C2">
        <w:t>group members will receive very little from the proposed settlement,</w:t>
      </w:r>
      <w:r w:rsidR="004E4098">
        <w:t xml:space="preserve"> I am satisfied that</w:t>
      </w:r>
      <w:r w:rsidR="00B356C2">
        <w:t xml:space="preserve"> it </w:t>
      </w:r>
      <w:r w:rsidR="004E4098">
        <w:t xml:space="preserve">is fair and reasonable </w:t>
      </w:r>
      <w:r w:rsidR="009878BC">
        <w:t xml:space="preserve">in the interests of group members </w:t>
      </w:r>
      <w:r w:rsidR="004E4098" w:rsidRPr="009878BC">
        <w:rPr>
          <w:i/>
          <w:iCs/>
        </w:rPr>
        <w:t>inter partes</w:t>
      </w:r>
      <w:r w:rsidR="004E4098">
        <w:t>.</w:t>
      </w:r>
    </w:p>
    <w:p w14:paraId="6F538F79" w14:textId="666B8211" w:rsidR="004E4098" w:rsidRDefault="001D7B98" w:rsidP="003661E7">
      <w:pPr>
        <w:pStyle w:val="Heading1"/>
      </w:pPr>
      <w:r>
        <w:rPr>
          <w:caps w:val="0"/>
        </w:rPr>
        <w:t xml:space="preserve">IS THE PROPOSED SETTLEMENT FAIR AND REASONABLE </w:t>
      </w:r>
      <w:r w:rsidRPr="00B356C2">
        <w:rPr>
          <w:i/>
          <w:iCs/>
          <w:caps w:val="0"/>
        </w:rPr>
        <w:t>INTER SE</w:t>
      </w:r>
      <w:r>
        <w:rPr>
          <w:caps w:val="0"/>
        </w:rPr>
        <w:t>?</w:t>
      </w:r>
    </w:p>
    <w:p w14:paraId="74692A6B" w14:textId="69EAA060" w:rsidR="00B356C2" w:rsidRDefault="001D7B98" w:rsidP="001D7B98">
      <w:pPr>
        <w:pStyle w:val="ParaNumbering"/>
        <w:numPr>
          <w:ilvl w:val="0"/>
          <w:numId w:val="0"/>
        </w:numPr>
        <w:tabs>
          <w:tab w:val="left" w:pos="720"/>
        </w:tabs>
        <w:ind w:hanging="720"/>
      </w:pPr>
      <w:r>
        <w:rPr>
          <w:sz w:val="20"/>
        </w:rPr>
        <w:t>77</w:t>
      </w:r>
      <w:r>
        <w:rPr>
          <w:sz w:val="20"/>
        </w:rPr>
        <w:tab/>
      </w:r>
      <w:r w:rsidR="00E755B5">
        <w:t xml:space="preserve">The </w:t>
      </w:r>
      <w:r w:rsidR="00A75DAA">
        <w:t>revised</w:t>
      </w:r>
      <w:r w:rsidR="007A416A">
        <w:t xml:space="preserve"> </w:t>
      </w:r>
      <w:r w:rsidR="00E755B5">
        <w:t>Settlement Scheme (</w:t>
      </w:r>
      <w:r w:rsidR="00E755B5" w:rsidRPr="00C61F90">
        <w:rPr>
          <w:b/>
          <w:bCs/>
        </w:rPr>
        <w:t>Scheme</w:t>
      </w:r>
      <w:r w:rsidR="00E755B5">
        <w:t>)</w:t>
      </w:r>
      <w:r w:rsidR="00C61F90">
        <w:t xml:space="preserve"> is </w:t>
      </w:r>
      <w:r w:rsidR="009275C8">
        <w:t>a</w:t>
      </w:r>
      <w:r w:rsidR="00DF5CF1">
        <w:t>nnexed</w:t>
      </w:r>
      <w:r w:rsidR="009275C8">
        <w:t xml:space="preserve"> to the </w:t>
      </w:r>
      <w:r w:rsidR="00DF5CF1">
        <w:t>14 December 2023 orders.</w:t>
      </w:r>
      <w:r w:rsidR="007D71E6">
        <w:t xml:space="preserve"> Under </w:t>
      </w:r>
      <w:r w:rsidR="00CC5C4F">
        <w:t xml:space="preserve">cl. 39 </w:t>
      </w:r>
      <w:r w:rsidR="00FD236D">
        <w:t xml:space="preserve">of </w:t>
      </w:r>
      <w:r w:rsidR="007D71E6">
        <w:t>the Scheme</w:t>
      </w:r>
      <w:r w:rsidR="00D54090">
        <w:t xml:space="preserve"> the settlement</w:t>
      </w:r>
      <w:r w:rsidR="00D54090" w:rsidDel="00D3445E">
        <w:t xml:space="preserve"> </w:t>
      </w:r>
      <w:r w:rsidR="00D3445E">
        <w:t xml:space="preserve">fund </w:t>
      </w:r>
      <w:r w:rsidR="00D54090">
        <w:t>of $11 million is to be allocated as follows, and in this sequence:</w:t>
      </w:r>
    </w:p>
    <w:p w14:paraId="059138B3" w14:textId="5ED34428" w:rsidR="00187858" w:rsidRDefault="001D7B98" w:rsidP="001D7B98">
      <w:pPr>
        <w:pStyle w:val="ListNo1alt"/>
        <w:numPr>
          <w:ilvl w:val="0"/>
          <w:numId w:val="0"/>
        </w:numPr>
        <w:tabs>
          <w:tab w:val="left" w:pos="720"/>
        </w:tabs>
        <w:ind w:left="720" w:hanging="720"/>
      </w:pPr>
      <w:r>
        <w:t>(a)</w:t>
      </w:r>
      <w:r>
        <w:tab/>
      </w:r>
      <w:r w:rsidR="00187858">
        <w:t>first,</w:t>
      </w:r>
      <w:r w:rsidR="00146CB7">
        <w:t xml:space="preserve"> reimbursement of legal costs and disbursements paid by Galactic</w:t>
      </w:r>
      <w:r w:rsidR="00473A85">
        <w:t xml:space="preserve">, in the amount approved by the </w:t>
      </w:r>
      <w:proofErr w:type="gramStart"/>
      <w:r w:rsidR="00473A85">
        <w:t>Court</w:t>
      </w:r>
      <w:r w:rsidR="006A3842">
        <w:t>;</w:t>
      </w:r>
      <w:proofErr w:type="gramEnd"/>
    </w:p>
    <w:p w14:paraId="2C911015" w14:textId="00768B86" w:rsidR="00563460" w:rsidRDefault="001D7B98" w:rsidP="001D7B98">
      <w:pPr>
        <w:pStyle w:val="ListNo1alt"/>
        <w:numPr>
          <w:ilvl w:val="0"/>
          <w:numId w:val="0"/>
        </w:numPr>
        <w:tabs>
          <w:tab w:val="left" w:pos="720"/>
        </w:tabs>
        <w:ind w:left="720" w:hanging="720"/>
      </w:pPr>
      <w:r>
        <w:t>(b)</w:t>
      </w:r>
      <w:r>
        <w:tab/>
      </w:r>
      <w:proofErr w:type="gramStart"/>
      <w:r w:rsidR="000358E0">
        <w:t>second,</w:t>
      </w:r>
      <w:r w:rsidR="00473A85">
        <w:t xml:space="preserve">  any</w:t>
      </w:r>
      <w:proofErr w:type="gramEnd"/>
      <w:r w:rsidR="00473A85">
        <w:t xml:space="preserve"> </w:t>
      </w:r>
      <w:r w:rsidR="00EC3F40">
        <w:t>unpaid</w:t>
      </w:r>
      <w:r w:rsidR="009137C5">
        <w:t xml:space="preserve"> </w:t>
      </w:r>
      <w:r w:rsidR="00473A85">
        <w:t xml:space="preserve">or unbilled </w:t>
      </w:r>
      <w:r w:rsidR="009137C5">
        <w:t xml:space="preserve">costs and disbursements </w:t>
      </w:r>
      <w:r w:rsidR="00473A85">
        <w:t>of Levitt Robinson</w:t>
      </w:r>
      <w:r w:rsidR="00EA3883">
        <w:t>;</w:t>
      </w:r>
    </w:p>
    <w:p w14:paraId="5AB93107" w14:textId="5AC631EF" w:rsidR="00741075" w:rsidRDefault="001D7B98" w:rsidP="001D7B98">
      <w:pPr>
        <w:pStyle w:val="ListNo1alt"/>
        <w:numPr>
          <w:ilvl w:val="0"/>
          <w:numId w:val="0"/>
        </w:numPr>
        <w:tabs>
          <w:tab w:val="left" w:pos="720"/>
        </w:tabs>
        <w:ind w:left="720" w:hanging="720"/>
      </w:pPr>
      <w:r>
        <w:lastRenderedPageBreak/>
        <w:t>(c)</w:t>
      </w:r>
      <w:r>
        <w:tab/>
      </w:r>
      <w:r w:rsidR="00A75DAA">
        <w:t>third</w:t>
      </w:r>
      <w:r w:rsidR="00741075">
        <w:t>,</w:t>
      </w:r>
      <w:r w:rsidR="00E30D0A">
        <w:t xml:space="preserve"> the costs incurred</w:t>
      </w:r>
      <w:r w:rsidR="00741075">
        <w:t xml:space="preserve"> by Levitt Robinson in the settlement approval </w:t>
      </w:r>
      <w:proofErr w:type="gramStart"/>
      <w:r w:rsidR="00741075">
        <w:t>application;</w:t>
      </w:r>
      <w:proofErr w:type="gramEnd"/>
    </w:p>
    <w:p w14:paraId="5E899A9C" w14:textId="11CC041B" w:rsidR="00EA3883" w:rsidRDefault="001D7B98" w:rsidP="001D7B98">
      <w:pPr>
        <w:pStyle w:val="ListNo1alt"/>
        <w:numPr>
          <w:ilvl w:val="0"/>
          <w:numId w:val="0"/>
        </w:numPr>
        <w:tabs>
          <w:tab w:val="left" w:pos="720"/>
        </w:tabs>
        <w:ind w:left="720" w:hanging="720"/>
      </w:pPr>
      <w:r>
        <w:t>(d)</w:t>
      </w:r>
      <w:r>
        <w:tab/>
      </w:r>
      <w:r w:rsidR="00A75DAA">
        <w:t>fourth</w:t>
      </w:r>
      <w:r w:rsidR="000E5215">
        <w:t>,</w:t>
      </w:r>
      <w:r w:rsidR="002D0E53">
        <w:t xml:space="preserve"> the reasonable </w:t>
      </w:r>
      <w:r w:rsidR="00D27177">
        <w:t xml:space="preserve">settlement administration </w:t>
      </w:r>
      <w:r w:rsidR="002D0E53">
        <w:t>costs incurred by the Administrator of the Scheme</w:t>
      </w:r>
      <w:r w:rsidR="00D27177">
        <w:t>; and</w:t>
      </w:r>
    </w:p>
    <w:p w14:paraId="1DD18A30" w14:textId="0A3AEE13" w:rsidR="000F7CBF" w:rsidRDefault="001D7B98" w:rsidP="001D7B98">
      <w:pPr>
        <w:pStyle w:val="ListNo1alt"/>
        <w:numPr>
          <w:ilvl w:val="0"/>
          <w:numId w:val="0"/>
        </w:numPr>
        <w:tabs>
          <w:tab w:val="left" w:pos="720"/>
        </w:tabs>
        <w:ind w:left="720" w:hanging="720"/>
      </w:pPr>
      <w:r>
        <w:t>(e)</w:t>
      </w:r>
      <w:r>
        <w:tab/>
      </w:r>
      <w:r w:rsidR="00A75DAA">
        <w:t>fifth</w:t>
      </w:r>
      <w:r w:rsidR="009B27C7">
        <w:t>, the residue remaining</w:t>
      </w:r>
      <w:r w:rsidR="0010668F">
        <w:t xml:space="preserve"> after </w:t>
      </w:r>
      <w:r w:rsidR="00920AA4">
        <w:t xml:space="preserve">payment under </w:t>
      </w:r>
      <w:r w:rsidR="0010668F">
        <w:t>(a)</w:t>
      </w:r>
      <w:r w:rsidR="00920AA4">
        <w:t xml:space="preserve"> to (d) above</w:t>
      </w:r>
      <w:r w:rsidR="007D488A">
        <w:t xml:space="preserve"> </w:t>
      </w:r>
      <w:r w:rsidR="002A1637">
        <w:t xml:space="preserve">– the </w:t>
      </w:r>
      <w:r w:rsidR="00D3445E">
        <w:t>“</w:t>
      </w:r>
      <w:r w:rsidR="002A1637">
        <w:t xml:space="preserve">Net </w:t>
      </w:r>
      <w:r w:rsidR="007D488A">
        <w:t>Settlement Distribution Fund</w:t>
      </w:r>
      <w:r w:rsidR="00D3445E">
        <w:t>”</w:t>
      </w:r>
      <w:r w:rsidR="002A1637">
        <w:t xml:space="preserve"> -</w:t>
      </w:r>
      <w:r w:rsidR="007D488A">
        <w:t xml:space="preserve"> </w:t>
      </w:r>
      <w:r w:rsidR="00937798">
        <w:t xml:space="preserve">will be distributed amongst those </w:t>
      </w:r>
      <w:r w:rsidR="00D3445E">
        <w:t xml:space="preserve">eligible </w:t>
      </w:r>
      <w:r w:rsidR="00937798">
        <w:t>group members who registered to participate in the settlement (</w:t>
      </w:r>
      <w:r w:rsidR="00937798" w:rsidRPr="002A1637">
        <w:rPr>
          <w:b/>
          <w:bCs/>
        </w:rPr>
        <w:t>Registered Group Members</w:t>
      </w:r>
      <w:r w:rsidR="00D3445E">
        <w:rPr>
          <w:b/>
          <w:bCs/>
        </w:rPr>
        <w:t xml:space="preserve"> </w:t>
      </w:r>
      <w:r w:rsidR="00D3445E" w:rsidRPr="004A64F3">
        <w:t>or</w:t>
      </w:r>
      <w:r w:rsidR="00D3445E">
        <w:rPr>
          <w:b/>
          <w:bCs/>
        </w:rPr>
        <w:t xml:space="preserve"> R</w:t>
      </w:r>
      <w:r w:rsidR="00257D56">
        <w:rPr>
          <w:b/>
          <w:bCs/>
        </w:rPr>
        <w:t>GMs</w:t>
      </w:r>
      <w:r w:rsidR="00937798">
        <w:t>) in the same proportion as the</w:t>
      </w:r>
      <w:r w:rsidR="00837792">
        <w:t xml:space="preserve"> </w:t>
      </w:r>
      <w:r w:rsidR="00D3445E">
        <w:t>“</w:t>
      </w:r>
      <w:r w:rsidR="00837792">
        <w:t>sale</w:t>
      </w:r>
      <w:r w:rsidR="00D3445E">
        <w:t>”</w:t>
      </w:r>
      <w:r w:rsidR="00837792">
        <w:t xml:space="preserve"> price for each person’s freehold or leasehold interest bears to</w:t>
      </w:r>
      <w:r w:rsidR="002A1637">
        <w:t xml:space="preserve"> the </w:t>
      </w:r>
      <w:r w:rsidR="00837792">
        <w:t>total sale prices of the freehold</w:t>
      </w:r>
      <w:r w:rsidR="002A1637">
        <w:t xml:space="preserve"> and leasehold interest of Eligible Group Members</w:t>
      </w:r>
      <w:r w:rsidR="00410154">
        <w:t>.</w:t>
      </w:r>
    </w:p>
    <w:p w14:paraId="3FA83B8F" w14:textId="390B86B0" w:rsidR="007A416A" w:rsidRDefault="001D7B98" w:rsidP="001D7B98">
      <w:pPr>
        <w:pStyle w:val="ParaNumbering"/>
        <w:numPr>
          <w:ilvl w:val="0"/>
          <w:numId w:val="0"/>
        </w:numPr>
        <w:tabs>
          <w:tab w:val="left" w:pos="720"/>
        </w:tabs>
        <w:ind w:hanging="720"/>
      </w:pPr>
      <w:r>
        <w:rPr>
          <w:sz w:val="20"/>
        </w:rPr>
        <w:t>78</w:t>
      </w:r>
      <w:r>
        <w:rPr>
          <w:sz w:val="20"/>
        </w:rPr>
        <w:tab/>
      </w:r>
      <w:r w:rsidR="00410154">
        <w:t>The</w:t>
      </w:r>
      <w:r w:rsidR="001E6F21">
        <w:t xml:space="preserve"> basic process contemplated by the </w:t>
      </w:r>
      <w:r w:rsidR="008D37D9">
        <w:t xml:space="preserve">proposed </w:t>
      </w:r>
      <w:r w:rsidR="001E6F21">
        <w:t xml:space="preserve">Scheme </w:t>
      </w:r>
      <w:r w:rsidR="008D37D9">
        <w:t xml:space="preserve">provided </w:t>
      </w:r>
      <w:r w:rsidR="0086027E">
        <w:t>as follows:</w:t>
      </w:r>
    </w:p>
    <w:p w14:paraId="3BEE42C4" w14:textId="584A64D8" w:rsidR="003C7DE0" w:rsidRDefault="001D7B98" w:rsidP="001D7B98">
      <w:pPr>
        <w:pStyle w:val="ListNo1alt"/>
        <w:numPr>
          <w:ilvl w:val="0"/>
          <w:numId w:val="0"/>
        </w:numPr>
        <w:tabs>
          <w:tab w:val="left" w:pos="720"/>
        </w:tabs>
        <w:ind w:left="720" w:hanging="720"/>
      </w:pPr>
      <w:r>
        <w:t>(a)</w:t>
      </w:r>
      <w:r>
        <w:tab/>
      </w:r>
      <w:r w:rsidR="00071647">
        <w:t>only</w:t>
      </w:r>
      <w:r w:rsidR="008101D4">
        <w:t xml:space="preserve"> Eligible Group Members </w:t>
      </w:r>
      <w:r w:rsidR="003F0C1D">
        <w:t>(</w:t>
      </w:r>
      <w:r w:rsidR="003F0C1D" w:rsidRPr="003F0C1D">
        <w:rPr>
          <w:b/>
          <w:bCs/>
        </w:rPr>
        <w:t>EGM</w:t>
      </w:r>
      <w:r w:rsidR="00565D61">
        <w:rPr>
          <w:b/>
          <w:bCs/>
        </w:rPr>
        <w:t>s</w:t>
      </w:r>
      <w:r w:rsidR="003F0C1D">
        <w:t xml:space="preserve">) </w:t>
      </w:r>
      <w:r w:rsidR="008101D4">
        <w:t>(as defined)</w:t>
      </w:r>
      <w:r w:rsidR="003F0C1D">
        <w:t xml:space="preserve"> are eligible to claim against the settlement </w:t>
      </w:r>
      <w:proofErr w:type="gramStart"/>
      <w:r w:rsidR="003F0C1D">
        <w:t>fund;</w:t>
      </w:r>
      <w:proofErr w:type="gramEnd"/>
    </w:p>
    <w:p w14:paraId="0D0BDB22" w14:textId="6758E4B2" w:rsidR="003F0C1D" w:rsidRDefault="001D7B98" w:rsidP="001D7B98">
      <w:pPr>
        <w:pStyle w:val="ListNo1alt"/>
        <w:numPr>
          <w:ilvl w:val="0"/>
          <w:numId w:val="0"/>
        </w:numPr>
        <w:tabs>
          <w:tab w:val="left" w:pos="720"/>
        </w:tabs>
        <w:ind w:left="720" w:hanging="720"/>
      </w:pPr>
      <w:r>
        <w:t>(b)</w:t>
      </w:r>
      <w:r>
        <w:tab/>
      </w:r>
      <w:r w:rsidR="00D13F60">
        <w:t>the EGM</w:t>
      </w:r>
      <w:r w:rsidR="00565D61">
        <w:t>s</w:t>
      </w:r>
      <w:r w:rsidR="007E459D">
        <w:t xml:space="preserve"> must register by</w:t>
      </w:r>
      <w:r w:rsidR="00196824">
        <w:t xml:space="preserve"> a Court-approved deadline in order to be considered for </w:t>
      </w:r>
      <w:r w:rsidR="002202CB">
        <w:t xml:space="preserve">a </w:t>
      </w:r>
      <w:r w:rsidR="00196824">
        <w:t>distribution</w:t>
      </w:r>
      <w:r w:rsidR="002202CB">
        <w:t xml:space="preserve"> from the settlement </w:t>
      </w:r>
      <w:proofErr w:type="gramStart"/>
      <w:r w:rsidR="002202CB">
        <w:t>fund</w:t>
      </w:r>
      <w:r w:rsidR="007225E3">
        <w:t>;</w:t>
      </w:r>
      <w:proofErr w:type="gramEnd"/>
    </w:p>
    <w:p w14:paraId="3C4D7143" w14:textId="7FEDF83B" w:rsidR="007225E3" w:rsidRDefault="001D7B98" w:rsidP="001D7B98">
      <w:pPr>
        <w:pStyle w:val="ListNo1alt"/>
        <w:numPr>
          <w:ilvl w:val="0"/>
          <w:numId w:val="0"/>
        </w:numPr>
        <w:tabs>
          <w:tab w:val="left" w:pos="720"/>
        </w:tabs>
        <w:ind w:left="720" w:hanging="720"/>
      </w:pPr>
      <w:r>
        <w:t>(c)</w:t>
      </w:r>
      <w:r>
        <w:tab/>
      </w:r>
      <w:r w:rsidR="0030436D">
        <w:t>Korda Mentha</w:t>
      </w:r>
      <w:r w:rsidR="00B0485C">
        <w:t xml:space="preserve"> or such other suitable qualified person</w:t>
      </w:r>
      <w:r w:rsidR="00407EBA">
        <w:t xml:space="preserve"> nominated by Aveo</w:t>
      </w:r>
      <w:r w:rsidR="00437768">
        <w:t xml:space="preserve"> is appointed as the </w:t>
      </w:r>
      <w:r w:rsidR="006F3F4A">
        <w:t xml:space="preserve">Administrator </w:t>
      </w:r>
      <w:r w:rsidR="00E66673">
        <w:t xml:space="preserve">of the Scheme </w:t>
      </w:r>
      <w:r w:rsidR="006F3F4A">
        <w:t>and will</w:t>
      </w:r>
      <w:r w:rsidR="00480948">
        <w:t xml:space="preserve"> vet registrations by </w:t>
      </w:r>
      <w:r w:rsidR="00565D61">
        <w:t>EGMs</w:t>
      </w:r>
      <w:r w:rsidR="00F03B02">
        <w:t xml:space="preserve">, </w:t>
      </w:r>
      <w:r w:rsidR="0035797A">
        <w:t>and the data submitted by</w:t>
      </w:r>
      <w:r w:rsidR="0035797A" w:rsidRPr="0035797A">
        <w:t xml:space="preserve"> </w:t>
      </w:r>
      <w:r w:rsidR="00565D61">
        <w:t xml:space="preserve">EGMs regarding the freehold or leasehold sale prices that form the basic integer in the calculation of their pro rata entitlements from the settlement </w:t>
      </w:r>
      <w:proofErr w:type="gramStart"/>
      <w:r w:rsidR="00565D61">
        <w:t>fund</w:t>
      </w:r>
      <w:r w:rsidR="00040989">
        <w:t>;</w:t>
      </w:r>
      <w:proofErr w:type="gramEnd"/>
    </w:p>
    <w:p w14:paraId="683B8899" w14:textId="4364751F" w:rsidR="00040989" w:rsidRDefault="001D7B98" w:rsidP="001D7B98">
      <w:pPr>
        <w:pStyle w:val="ListNo1alt"/>
        <w:numPr>
          <w:ilvl w:val="0"/>
          <w:numId w:val="0"/>
        </w:numPr>
        <w:tabs>
          <w:tab w:val="left" w:pos="720"/>
        </w:tabs>
        <w:ind w:left="720" w:hanging="720"/>
      </w:pPr>
      <w:r>
        <w:t>(d)</w:t>
      </w:r>
      <w:r>
        <w:tab/>
      </w:r>
      <w:r w:rsidR="00040989">
        <w:t>the Administrator may obtain from</w:t>
      </w:r>
      <w:r w:rsidR="00F978EE">
        <w:t xml:space="preserve"> </w:t>
      </w:r>
      <w:r w:rsidR="001C7A1A">
        <w:t>Aveo</w:t>
      </w:r>
      <w:r w:rsidR="00F978EE">
        <w:t xml:space="preserve"> any necessary details to confirm the eligibility of any </w:t>
      </w:r>
      <w:proofErr w:type="gramStart"/>
      <w:r w:rsidR="00F978EE" w:rsidRPr="004A64F3">
        <w:t>RGM</w:t>
      </w:r>
      <w:r w:rsidR="00C11572">
        <w:t>;</w:t>
      </w:r>
      <w:proofErr w:type="gramEnd"/>
    </w:p>
    <w:p w14:paraId="72671D8D" w14:textId="1BD487A5" w:rsidR="00C11572" w:rsidRDefault="001D7B98" w:rsidP="001D7B98">
      <w:pPr>
        <w:pStyle w:val="ListNo1alt"/>
        <w:numPr>
          <w:ilvl w:val="0"/>
          <w:numId w:val="0"/>
        </w:numPr>
        <w:tabs>
          <w:tab w:val="left" w:pos="720"/>
        </w:tabs>
        <w:ind w:left="720" w:hanging="720"/>
      </w:pPr>
      <w:r>
        <w:t>(e)</w:t>
      </w:r>
      <w:r>
        <w:tab/>
      </w:r>
      <w:r w:rsidR="00842217">
        <w:t>the Administrator will provide to each RGM a</w:t>
      </w:r>
      <w:r w:rsidR="00E54AD5">
        <w:t xml:space="preserve"> “</w:t>
      </w:r>
      <w:r w:rsidR="00D1738A">
        <w:t xml:space="preserve">Certificate </w:t>
      </w:r>
      <w:r w:rsidR="00E54AD5">
        <w:t>of Claim Amount</w:t>
      </w:r>
      <w:r w:rsidR="00D1738A">
        <w:t>”</w:t>
      </w:r>
      <w:r w:rsidR="00F75620">
        <w:t>;</w:t>
      </w:r>
      <w:r w:rsidR="00A068B6">
        <w:t xml:space="preserve"> </w:t>
      </w:r>
      <w:r w:rsidR="007B67D8">
        <w:t>which the RGMs</w:t>
      </w:r>
      <w:r w:rsidR="00982478">
        <w:t xml:space="preserve"> will have an opportunity to </w:t>
      </w:r>
      <w:proofErr w:type="gramStart"/>
      <w:r w:rsidR="00982478">
        <w:t>dispute</w:t>
      </w:r>
      <w:r w:rsidR="00F75620">
        <w:t>;</w:t>
      </w:r>
      <w:proofErr w:type="gramEnd"/>
    </w:p>
    <w:p w14:paraId="66650EB0" w14:textId="7FA29900" w:rsidR="00F75620" w:rsidRDefault="001D7B98" w:rsidP="001D7B98">
      <w:pPr>
        <w:pStyle w:val="ListNo1alt"/>
        <w:numPr>
          <w:ilvl w:val="0"/>
          <w:numId w:val="0"/>
        </w:numPr>
        <w:tabs>
          <w:tab w:val="left" w:pos="720"/>
        </w:tabs>
        <w:ind w:left="720" w:hanging="720"/>
      </w:pPr>
      <w:r>
        <w:t>(f)</w:t>
      </w:r>
      <w:r>
        <w:tab/>
      </w:r>
      <w:r w:rsidR="00487632">
        <w:t xml:space="preserve">any dispute in relation to (e) </w:t>
      </w:r>
      <w:r w:rsidR="00180180">
        <w:t xml:space="preserve">above is to be arbitrated by the </w:t>
      </w:r>
      <w:proofErr w:type="gramStart"/>
      <w:r w:rsidR="00180180">
        <w:t>Administrator;</w:t>
      </w:r>
      <w:proofErr w:type="gramEnd"/>
    </w:p>
    <w:p w14:paraId="2CDBE8CC" w14:textId="477571FC" w:rsidR="00180180" w:rsidRDefault="001D7B98" w:rsidP="001D7B98">
      <w:pPr>
        <w:pStyle w:val="ListNo1alt"/>
        <w:numPr>
          <w:ilvl w:val="0"/>
          <w:numId w:val="0"/>
        </w:numPr>
        <w:tabs>
          <w:tab w:val="left" w:pos="720"/>
        </w:tabs>
        <w:ind w:left="720" w:hanging="720"/>
      </w:pPr>
      <w:r>
        <w:t>(g)</w:t>
      </w:r>
      <w:r>
        <w:tab/>
      </w:r>
      <w:r w:rsidR="00437D25">
        <w:t>the</w:t>
      </w:r>
      <w:r w:rsidR="00764436">
        <w:t xml:space="preserve"> Certificates of Claim Amount</w:t>
      </w:r>
      <w:r w:rsidR="00131D16">
        <w:t xml:space="preserve"> as agreed or arbitrated will form the basis</w:t>
      </w:r>
      <w:r w:rsidR="00C33434">
        <w:t xml:space="preserve"> for the calculation of RGMs</w:t>
      </w:r>
      <w:r w:rsidR="00084018">
        <w:t>’</w:t>
      </w:r>
      <w:r w:rsidR="00C33434">
        <w:t xml:space="preserve"> pro rata entitlements; and</w:t>
      </w:r>
    </w:p>
    <w:p w14:paraId="1567C918" w14:textId="7AA5D8A7" w:rsidR="007259A0" w:rsidRDefault="001D7B98" w:rsidP="001D7B98">
      <w:pPr>
        <w:pStyle w:val="ListNo1alt"/>
        <w:numPr>
          <w:ilvl w:val="0"/>
          <w:numId w:val="0"/>
        </w:numPr>
        <w:tabs>
          <w:tab w:val="left" w:pos="720"/>
        </w:tabs>
        <w:ind w:left="720" w:hanging="720"/>
      </w:pPr>
      <w:r>
        <w:t>(h)</w:t>
      </w:r>
      <w:r>
        <w:tab/>
      </w:r>
      <w:r w:rsidR="003D2447">
        <w:t>the</w:t>
      </w:r>
      <w:r w:rsidR="008E57FD">
        <w:t xml:space="preserve"> Net Settlement Distribution Fund will be distributed according to those pro rata entitlements.</w:t>
      </w:r>
    </w:p>
    <w:p w14:paraId="01F85453" w14:textId="7F9B0F45" w:rsidR="004A4BD9" w:rsidRDefault="001D7B98" w:rsidP="001D7B98">
      <w:pPr>
        <w:pStyle w:val="ParaNumbering"/>
        <w:numPr>
          <w:ilvl w:val="0"/>
          <w:numId w:val="0"/>
        </w:numPr>
        <w:tabs>
          <w:tab w:val="left" w:pos="720"/>
        </w:tabs>
        <w:ind w:hanging="720"/>
      </w:pPr>
      <w:r>
        <w:rPr>
          <w:sz w:val="20"/>
        </w:rPr>
        <w:t>79</w:t>
      </w:r>
      <w:r>
        <w:rPr>
          <w:sz w:val="20"/>
        </w:rPr>
        <w:tab/>
      </w:r>
      <w:r w:rsidR="007D53D7">
        <w:t xml:space="preserve">The </w:t>
      </w:r>
      <w:r w:rsidR="009852B7">
        <w:t>Contradictor identified</w:t>
      </w:r>
      <w:r w:rsidR="00BE1A5C">
        <w:t xml:space="preserve"> a small </w:t>
      </w:r>
      <w:r w:rsidR="00BB2607">
        <w:t>error in the proposed Scheme which Levitt Robinson then addressed</w:t>
      </w:r>
      <w:r w:rsidR="005D65F5">
        <w:t xml:space="preserve">, </w:t>
      </w:r>
      <w:proofErr w:type="gramStart"/>
      <w:r w:rsidR="005D65F5">
        <w:t xml:space="preserve">and </w:t>
      </w:r>
      <w:r w:rsidR="00D61213">
        <w:t>also</w:t>
      </w:r>
      <w:proofErr w:type="gramEnd"/>
      <w:r w:rsidR="005D65F5">
        <w:t xml:space="preserve"> </w:t>
      </w:r>
      <w:r w:rsidR="000D62BE">
        <w:t xml:space="preserve">asserted a more substantive error </w:t>
      </w:r>
      <w:r w:rsidR="005D65F5">
        <w:t xml:space="preserve">which </w:t>
      </w:r>
      <w:r w:rsidR="000D62BE" w:rsidRPr="004C3081">
        <w:t xml:space="preserve">it </w:t>
      </w:r>
      <w:r w:rsidR="00D07A67" w:rsidRPr="004C3081">
        <w:t>ultimately</w:t>
      </w:r>
      <w:r w:rsidR="000D62BE" w:rsidRPr="004C3081">
        <w:t xml:space="preserve"> withdrew.</w:t>
      </w:r>
    </w:p>
    <w:p w14:paraId="3C443848" w14:textId="4C193F37" w:rsidR="00C50FEA" w:rsidRDefault="001D7B98" w:rsidP="001D7B98">
      <w:pPr>
        <w:pStyle w:val="ParaNumbering"/>
        <w:numPr>
          <w:ilvl w:val="0"/>
          <w:numId w:val="0"/>
        </w:numPr>
        <w:tabs>
          <w:tab w:val="left" w:pos="720"/>
        </w:tabs>
        <w:ind w:hanging="720"/>
      </w:pPr>
      <w:r>
        <w:rPr>
          <w:sz w:val="20"/>
        </w:rPr>
        <w:lastRenderedPageBreak/>
        <w:t>80</w:t>
      </w:r>
      <w:r>
        <w:rPr>
          <w:sz w:val="20"/>
        </w:rPr>
        <w:tab/>
      </w:r>
      <w:r w:rsidR="00196A2E">
        <w:t xml:space="preserve">Mr Levitt’s </w:t>
      </w:r>
      <w:r w:rsidR="00544775">
        <w:t xml:space="preserve">evidence addressed the </w:t>
      </w:r>
      <w:r w:rsidR="005D65F5">
        <w:t xml:space="preserve">quantum </w:t>
      </w:r>
      <w:r w:rsidR="00544775">
        <w:t>of administration costs</w:t>
      </w:r>
      <w:r w:rsidR="00A75DAA">
        <w:t>. It</w:t>
      </w:r>
      <w:r w:rsidR="00544775">
        <w:t xml:space="preserve"> show</w:t>
      </w:r>
      <w:r w:rsidR="00F93C11">
        <w:t>s</w:t>
      </w:r>
      <w:r w:rsidR="00544775">
        <w:t xml:space="preserve"> that</w:t>
      </w:r>
      <w:r w:rsidR="007D4B67">
        <w:t xml:space="preserve"> Korda Mentha’s estimated </w:t>
      </w:r>
      <w:r w:rsidR="0011752F">
        <w:t xml:space="preserve">its settlement </w:t>
      </w:r>
      <w:r w:rsidR="007D4B67">
        <w:t>administration costs</w:t>
      </w:r>
      <w:r w:rsidR="00B745BF">
        <w:t xml:space="preserve"> </w:t>
      </w:r>
      <w:r w:rsidR="0011752F">
        <w:t xml:space="preserve">at </w:t>
      </w:r>
      <w:r w:rsidR="00B745BF">
        <w:t>$</w:t>
      </w:r>
      <w:r w:rsidR="0084300D">
        <w:t xml:space="preserve">427,300 </w:t>
      </w:r>
      <w:r w:rsidR="00B745BF">
        <w:t>(excl. GST</w:t>
      </w:r>
      <w:r w:rsidR="00BF32CA">
        <w:t xml:space="preserve">) </w:t>
      </w:r>
      <w:r w:rsidR="00743FC1">
        <w:t>for 2</w:t>
      </w:r>
      <w:r w:rsidR="00FC519F">
        <w:t>,</w:t>
      </w:r>
      <w:r w:rsidR="00743FC1">
        <w:t xml:space="preserve">700 claimants, reflecting full participation, </w:t>
      </w:r>
      <w:r w:rsidR="00BF32CA">
        <w:t>and $</w:t>
      </w:r>
      <w:r w:rsidR="001A015B">
        <w:t>402,500</w:t>
      </w:r>
      <w:r w:rsidR="00743FC1">
        <w:t xml:space="preserve"> (excl. GST</w:t>
      </w:r>
      <w:r w:rsidR="00BF32CA">
        <w:t xml:space="preserve">) </w:t>
      </w:r>
      <w:r w:rsidR="00743FC1">
        <w:t>reflecting half participation</w:t>
      </w:r>
      <w:r w:rsidR="0011752F">
        <w:t>,</w:t>
      </w:r>
      <w:r w:rsidR="00743FC1">
        <w:t xml:space="preserve"> </w:t>
      </w:r>
      <w:r w:rsidR="00BF32CA">
        <w:t>including a fixed component of $340,000</w:t>
      </w:r>
      <w:r w:rsidR="000E30DC">
        <w:t xml:space="preserve"> which appears to be payable irrespective of the rate of group member participation. </w:t>
      </w:r>
      <w:r w:rsidR="00885483">
        <w:t xml:space="preserve">However, </w:t>
      </w:r>
      <w:r w:rsidR="000E30DC">
        <w:t xml:space="preserve">Steven Nicols, </w:t>
      </w:r>
      <w:r w:rsidR="00885483">
        <w:t>the Court-appointed administrator in several other class action settlements schemes,</w:t>
      </w:r>
      <w:r w:rsidR="00987018">
        <w:t xml:space="preserve"> provided a fee estimate of $186,000 (excl. GST) for full participation </w:t>
      </w:r>
      <w:r w:rsidR="000D7C40">
        <w:t>and</w:t>
      </w:r>
      <w:r w:rsidR="00987018">
        <w:t xml:space="preserve"> $132,000 (excl. GST) for half participation.</w:t>
      </w:r>
      <w:r w:rsidR="00C86734">
        <w:t xml:space="preserve"> </w:t>
      </w:r>
      <w:r w:rsidR="00472709">
        <w:t xml:space="preserve">On 22 November 2023 </w:t>
      </w:r>
      <w:r w:rsidR="00C86734">
        <w:t xml:space="preserve">I </w:t>
      </w:r>
      <w:r w:rsidR="00472709">
        <w:t>made orders</w:t>
      </w:r>
      <w:r w:rsidR="001D66BA">
        <w:t xml:space="preserve"> to appoint Mr Nicols as the Administrator.</w:t>
      </w:r>
    </w:p>
    <w:p w14:paraId="2E5EFA6A" w14:textId="5656697A" w:rsidR="001D66BA" w:rsidRDefault="001D7B98" w:rsidP="001D7B98">
      <w:pPr>
        <w:pStyle w:val="ParaNumbering"/>
        <w:numPr>
          <w:ilvl w:val="0"/>
          <w:numId w:val="0"/>
        </w:numPr>
        <w:tabs>
          <w:tab w:val="left" w:pos="720"/>
        </w:tabs>
        <w:ind w:hanging="720"/>
      </w:pPr>
      <w:r>
        <w:rPr>
          <w:sz w:val="20"/>
        </w:rPr>
        <w:t>81</w:t>
      </w:r>
      <w:r>
        <w:rPr>
          <w:sz w:val="20"/>
        </w:rPr>
        <w:tab/>
      </w:r>
      <w:r w:rsidR="001D66BA">
        <w:t>I</w:t>
      </w:r>
      <w:r w:rsidR="002B2CD6">
        <w:t xml:space="preserve"> had a concern that the Administrator should not be the arbiter of disputes</w:t>
      </w:r>
      <w:r w:rsidR="00B2770A">
        <w:t xml:space="preserve"> in relation to any Certificate of Claim Amount, as it was the Administrator who </w:t>
      </w:r>
      <w:r w:rsidR="00472709">
        <w:t xml:space="preserve">had </w:t>
      </w:r>
      <w:r w:rsidR="00B2770A">
        <w:t>decided</w:t>
      </w:r>
      <w:r w:rsidR="00B2770A" w:rsidDel="00472709">
        <w:t xml:space="preserve"> the </w:t>
      </w:r>
      <w:r w:rsidR="00472709">
        <w:t xml:space="preserve">amount in that </w:t>
      </w:r>
      <w:r w:rsidR="00B2770A">
        <w:t>Certificate</w:t>
      </w:r>
      <w:r w:rsidR="00B2770A" w:rsidDel="00472709">
        <w:t xml:space="preserve"> </w:t>
      </w:r>
      <w:r w:rsidR="00472709">
        <w:t>in the first place</w:t>
      </w:r>
      <w:r w:rsidR="00B2770A">
        <w:t>. But</w:t>
      </w:r>
      <w:r w:rsidR="00472709">
        <w:t xml:space="preserve">, having regard </w:t>
      </w:r>
      <w:r w:rsidR="00D709A0">
        <w:t>to the fact that the Scheme does not require the Administrator to make “judgment calls”, and</w:t>
      </w:r>
      <w:r w:rsidR="00884AF9">
        <w:t xml:space="preserve"> having regard to </w:t>
      </w:r>
      <w:r w:rsidR="00B2770A">
        <w:t>the small</w:t>
      </w:r>
      <w:r w:rsidR="00884AF9">
        <w:t xml:space="preserve"> percentage </w:t>
      </w:r>
      <w:r w:rsidR="00B2770A">
        <w:t>of each</w:t>
      </w:r>
      <w:r w:rsidR="00884AF9">
        <w:t xml:space="preserve"> </w:t>
      </w:r>
      <w:r w:rsidR="00D709A0">
        <w:t xml:space="preserve">RGMs </w:t>
      </w:r>
      <w:r w:rsidR="00884AF9">
        <w:t>loss that is likely to be paid under the Scheme</w:t>
      </w:r>
      <w:r w:rsidR="00535BC8">
        <w:t>,</w:t>
      </w:r>
      <w:r w:rsidR="00A960BD">
        <w:t xml:space="preserve"> I concluded that the</w:t>
      </w:r>
      <w:r w:rsidR="001A24C5">
        <w:t xml:space="preserve"> cost of </w:t>
      </w:r>
      <w:r w:rsidR="00535BC8">
        <w:t xml:space="preserve">providing </w:t>
      </w:r>
      <w:r w:rsidR="001A24C5">
        <w:t>a</w:t>
      </w:r>
      <w:r w:rsidR="00325A72">
        <w:t>n</w:t>
      </w:r>
      <w:r w:rsidR="001A24C5">
        <w:t xml:space="preserve"> independent review was not justified by the benefit.</w:t>
      </w:r>
    </w:p>
    <w:p w14:paraId="4E185D31" w14:textId="3F2700CC" w:rsidR="001C62ED" w:rsidRPr="00B356C2" w:rsidRDefault="001D7B98" w:rsidP="001D7B98">
      <w:pPr>
        <w:pStyle w:val="ParaNumbering"/>
        <w:numPr>
          <w:ilvl w:val="0"/>
          <w:numId w:val="0"/>
        </w:numPr>
        <w:tabs>
          <w:tab w:val="left" w:pos="720"/>
        </w:tabs>
        <w:ind w:hanging="720"/>
      </w:pPr>
      <w:r w:rsidRPr="00B356C2">
        <w:rPr>
          <w:sz w:val="20"/>
        </w:rPr>
        <w:t>82</w:t>
      </w:r>
      <w:r w:rsidRPr="00B356C2">
        <w:rPr>
          <w:sz w:val="20"/>
        </w:rPr>
        <w:tab/>
      </w:r>
      <w:r w:rsidR="001C62ED">
        <w:t xml:space="preserve">In my view the proposed settlement is fair and reasonable </w:t>
      </w:r>
      <w:r w:rsidR="00535BC8" w:rsidRPr="004A64F3">
        <w:rPr>
          <w:i/>
          <w:iCs/>
        </w:rPr>
        <w:t>inter</w:t>
      </w:r>
      <w:r w:rsidR="00535BC8" w:rsidRPr="004A64F3">
        <w:rPr>
          <w:i/>
        </w:rPr>
        <w:t xml:space="preserve"> se</w:t>
      </w:r>
      <w:r w:rsidR="001C62ED">
        <w:t>.</w:t>
      </w:r>
    </w:p>
    <w:p w14:paraId="7607C32D" w14:textId="4801D227" w:rsidR="00B95CB0" w:rsidRDefault="001D7B98" w:rsidP="00B95CB0">
      <w:pPr>
        <w:pStyle w:val="Heading1"/>
      </w:pPr>
      <w:r>
        <w:rPr>
          <w:caps w:val="0"/>
        </w:rPr>
        <w:t>WHETHER</w:t>
      </w:r>
      <w:r w:rsidDel="00535BC8">
        <w:rPr>
          <w:caps w:val="0"/>
        </w:rPr>
        <w:t xml:space="preserve"> </w:t>
      </w:r>
      <w:r>
        <w:rPr>
          <w:caps w:val="0"/>
        </w:rPr>
        <w:t xml:space="preserve">LEVITT ROBINSON’S COSTS ARE REASONABLE </w:t>
      </w:r>
    </w:p>
    <w:p w14:paraId="5D7ABA63" w14:textId="552E3150" w:rsidR="00872A05" w:rsidRDefault="00872A05" w:rsidP="00872A05">
      <w:pPr>
        <w:pStyle w:val="Heading2"/>
      </w:pPr>
      <w:r>
        <w:t>The change in Levitt Robinson</w:t>
      </w:r>
      <w:r w:rsidR="00AA5F36">
        <w:t>’s</w:t>
      </w:r>
      <w:r>
        <w:t xml:space="preserve"> position</w:t>
      </w:r>
    </w:p>
    <w:p w14:paraId="4CD55522" w14:textId="3D71506B" w:rsidR="003F5999" w:rsidRDefault="001D7B98" w:rsidP="001D7B98">
      <w:pPr>
        <w:pStyle w:val="ParaNumbering"/>
        <w:numPr>
          <w:ilvl w:val="0"/>
          <w:numId w:val="0"/>
        </w:numPr>
        <w:tabs>
          <w:tab w:val="left" w:pos="720"/>
        </w:tabs>
        <w:ind w:hanging="720"/>
      </w:pPr>
      <w:r>
        <w:rPr>
          <w:sz w:val="20"/>
        </w:rPr>
        <w:t>83</w:t>
      </w:r>
      <w:r>
        <w:rPr>
          <w:sz w:val="20"/>
        </w:rPr>
        <w:tab/>
      </w:r>
      <w:r w:rsidR="00A10989">
        <w:t xml:space="preserve">The </w:t>
      </w:r>
      <w:r w:rsidR="00F00328">
        <w:t>quantum of the costs</w:t>
      </w:r>
      <w:r w:rsidR="001C62ED">
        <w:t xml:space="preserve"> which </w:t>
      </w:r>
      <w:r w:rsidR="00F00328">
        <w:t>Levitt Robinson</w:t>
      </w:r>
      <w:r w:rsidR="009273DD">
        <w:t xml:space="preserve"> sought </w:t>
      </w:r>
      <w:r w:rsidR="001C62ED">
        <w:t>to</w:t>
      </w:r>
      <w:r w:rsidR="001C62ED" w:rsidDel="00535BC8">
        <w:t xml:space="preserve"> </w:t>
      </w:r>
      <w:r w:rsidR="00535BC8">
        <w:t xml:space="preserve">have deducted from the settlement fund </w:t>
      </w:r>
      <w:r w:rsidR="009273DD">
        <w:t xml:space="preserve">reduced </w:t>
      </w:r>
      <w:r w:rsidR="00F00328">
        <w:t xml:space="preserve">over time. </w:t>
      </w:r>
      <w:r w:rsidR="00D14B72">
        <w:t xml:space="preserve">In </w:t>
      </w:r>
      <w:r w:rsidR="001D595F">
        <w:t>his</w:t>
      </w:r>
      <w:r w:rsidR="00D14B72">
        <w:t xml:space="preserve"> first </w:t>
      </w:r>
      <w:r w:rsidR="001D595F">
        <w:t>affidavit</w:t>
      </w:r>
      <w:r w:rsidR="00D14B72">
        <w:t xml:space="preserve"> </w:t>
      </w:r>
      <w:r w:rsidR="0053175A">
        <w:t>Mr Levitt</w:t>
      </w:r>
      <w:r w:rsidR="00992C76">
        <w:t xml:space="preserve"> </w:t>
      </w:r>
      <w:r w:rsidR="00535BC8">
        <w:t xml:space="preserve">stated </w:t>
      </w:r>
      <w:r w:rsidR="00020C46">
        <w:t xml:space="preserve">that the </w:t>
      </w:r>
      <w:r w:rsidR="00F00328">
        <w:t xml:space="preserve">firm had incurred </w:t>
      </w:r>
      <w:r w:rsidR="009C728A">
        <w:t xml:space="preserve">$10,999,558 in </w:t>
      </w:r>
      <w:r w:rsidR="00020C46">
        <w:t>legal costs (incl</w:t>
      </w:r>
      <w:r w:rsidR="00C41DEE">
        <w:t>.</w:t>
      </w:r>
      <w:r w:rsidR="00020C46">
        <w:t xml:space="preserve"> disbursements</w:t>
      </w:r>
      <w:r w:rsidR="00EF5352">
        <w:t xml:space="preserve"> and GST</w:t>
      </w:r>
      <w:r w:rsidR="00020C46">
        <w:t>) in conducting</w:t>
      </w:r>
      <w:r w:rsidR="00F47818">
        <w:t xml:space="preserve"> the proceeding</w:t>
      </w:r>
      <w:r w:rsidR="009C728A">
        <w:t xml:space="preserve"> on behalf of the applicant</w:t>
      </w:r>
      <w:r w:rsidR="00F47818">
        <w:t xml:space="preserve"> up to the date of settlement</w:t>
      </w:r>
      <w:r w:rsidR="00992C76">
        <w:t xml:space="preserve">, </w:t>
      </w:r>
      <w:r w:rsidR="002774DC">
        <w:t xml:space="preserve">made </w:t>
      </w:r>
      <w:r w:rsidR="003F5999">
        <w:t>up as follows:</w:t>
      </w:r>
    </w:p>
    <w:p w14:paraId="1D76844A" w14:textId="3F4EB793" w:rsidR="00E4618D" w:rsidRDefault="00BE7495" w:rsidP="007837E0">
      <w:pPr>
        <w:pStyle w:val="NoNum"/>
      </w:pPr>
      <w:r>
        <w:rPr>
          <w:noProof/>
        </w:rPr>
        <w:drawing>
          <wp:inline distT="0" distB="0" distL="0" distR="0" wp14:anchorId="2C6EB486" wp14:editId="63AEE996">
            <wp:extent cx="5732145" cy="2237740"/>
            <wp:effectExtent l="0" t="0" r="1905" b="0"/>
            <wp:docPr id="140900442" name="Picture 140900442"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00442" name="Picture 2" descr="A white sheet with black 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2145" cy="2237740"/>
                    </a:xfrm>
                    <a:prstGeom prst="rect">
                      <a:avLst/>
                    </a:prstGeom>
                  </pic:spPr>
                </pic:pic>
              </a:graphicData>
            </a:graphic>
          </wp:inline>
        </w:drawing>
      </w:r>
    </w:p>
    <w:p w14:paraId="7687AB8F" w14:textId="1A9D83B2" w:rsidR="00A402A1" w:rsidRDefault="00D14B72" w:rsidP="007837E0">
      <w:pPr>
        <w:pStyle w:val="NoNum"/>
      </w:pPr>
      <w:r>
        <w:lastRenderedPageBreak/>
        <w:t xml:space="preserve">He </w:t>
      </w:r>
      <w:r w:rsidR="00A402A1">
        <w:t>also</w:t>
      </w:r>
      <w:r w:rsidR="00592943">
        <w:t xml:space="preserve"> estimated </w:t>
      </w:r>
      <w:r w:rsidR="005C4C82">
        <w:t xml:space="preserve">that Levitt Robinson would incur </w:t>
      </w:r>
      <w:r w:rsidR="008005AC">
        <w:t>$251,450</w:t>
      </w:r>
      <w:r w:rsidR="005C4C82">
        <w:t xml:space="preserve"> in costs</w:t>
      </w:r>
      <w:r w:rsidR="00744923">
        <w:t xml:space="preserve"> in the settlement approval application, assuming that no contradictor</w:t>
      </w:r>
      <w:r w:rsidR="009C728A">
        <w:t xml:space="preserve"> was </w:t>
      </w:r>
      <w:proofErr w:type="gramStart"/>
      <w:r w:rsidR="00744923">
        <w:t>appointed</w:t>
      </w:r>
      <w:proofErr w:type="gramEnd"/>
      <w:r w:rsidR="00744923">
        <w:t xml:space="preserve"> and that the </w:t>
      </w:r>
      <w:r w:rsidR="003C203B">
        <w:t>approval</w:t>
      </w:r>
      <w:r w:rsidR="009C728A">
        <w:t xml:space="preserve"> hearing </w:t>
      </w:r>
      <w:r w:rsidR="003C203B">
        <w:t>conclude</w:t>
      </w:r>
      <w:r w:rsidR="009C728A">
        <w:t>d</w:t>
      </w:r>
      <w:r w:rsidR="003C203B">
        <w:t xml:space="preserve"> within one day</w:t>
      </w:r>
      <w:r w:rsidR="00DB3079">
        <w:t>.</w:t>
      </w:r>
    </w:p>
    <w:p w14:paraId="7C2B5EC5" w14:textId="243FC4E5" w:rsidR="00260544" w:rsidRDefault="001D7B98" w:rsidP="001D7B98">
      <w:pPr>
        <w:pStyle w:val="ParaNumbering"/>
        <w:numPr>
          <w:ilvl w:val="0"/>
          <w:numId w:val="0"/>
        </w:numPr>
        <w:tabs>
          <w:tab w:val="left" w:pos="720"/>
        </w:tabs>
        <w:ind w:hanging="720"/>
      </w:pPr>
      <w:r>
        <w:rPr>
          <w:sz w:val="20"/>
        </w:rPr>
        <w:t>84</w:t>
      </w:r>
      <w:r>
        <w:rPr>
          <w:sz w:val="20"/>
        </w:rPr>
        <w:tab/>
      </w:r>
      <w:r w:rsidR="00D14B72">
        <w:t xml:space="preserve">But </w:t>
      </w:r>
      <w:r w:rsidR="00F8370E">
        <w:t xml:space="preserve">by the time of the approval hearing </w:t>
      </w:r>
      <w:r w:rsidR="001C62ED">
        <w:t xml:space="preserve">on 22 November 2023 </w:t>
      </w:r>
      <w:r w:rsidR="00F8370E">
        <w:t>the Costs Referee had</w:t>
      </w:r>
      <w:r w:rsidR="00260544">
        <w:t xml:space="preserve"> provided her reports</w:t>
      </w:r>
      <w:r w:rsidR="001C62ED">
        <w:t xml:space="preserve">. She </w:t>
      </w:r>
      <w:r w:rsidR="00F8370E">
        <w:t xml:space="preserve">did not accept that Levitt Robinson’s costs </w:t>
      </w:r>
      <w:r w:rsidR="00F1429D">
        <w:t xml:space="preserve">of approximately $11 million </w:t>
      </w:r>
      <w:r w:rsidR="00F8370E">
        <w:t>were reasonable</w:t>
      </w:r>
      <w:r w:rsidR="00260544">
        <w:t xml:space="preserve">. </w:t>
      </w:r>
      <w:r w:rsidR="00260544" w:rsidRPr="002B7A35">
        <w:t>Instead,</w:t>
      </w:r>
      <w:r w:rsidR="001C62ED" w:rsidRPr="002B7A35">
        <w:t xml:space="preserve"> she </w:t>
      </w:r>
      <w:r w:rsidR="00F1429D" w:rsidRPr="002B7A35">
        <w:t xml:space="preserve">concluded </w:t>
      </w:r>
      <w:r w:rsidR="00F8370E" w:rsidRPr="002B7A35">
        <w:t xml:space="preserve">that the firm’s </w:t>
      </w:r>
      <w:r w:rsidR="00F1429D" w:rsidRPr="002B7A35">
        <w:t xml:space="preserve">reasonable </w:t>
      </w:r>
      <w:r w:rsidR="00F8370E" w:rsidRPr="002B7A35">
        <w:t>legal costs up to the date of settlement</w:t>
      </w:r>
      <w:r w:rsidR="00F1429D" w:rsidRPr="002B7A35">
        <w:t xml:space="preserve"> were </w:t>
      </w:r>
      <w:r w:rsidR="00F8370E" w:rsidRPr="002B7A35">
        <w:t>$</w:t>
      </w:r>
      <w:r w:rsidR="00917D85" w:rsidRPr="006D263D">
        <w:t xml:space="preserve"> $</w:t>
      </w:r>
      <w:r w:rsidR="003D5B2E" w:rsidRPr="006D263D">
        <w:t>9,664,594</w:t>
      </w:r>
      <w:r w:rsidR="00CB3C80" w:rsidRPr="002B7A35">
        <w:t>; being</w:t>
      </w:r>
      <w:r w:rsidR="00F1429D" w:rsidRPr="002B7A35">
        <w:t xml:space="preserve"> </w:t>
      </w:r>
      <w:r w:rsidR="00F8370E" w:rsidRPr="002B7A35">
        <w:t xml:space="preserve">a reduction of </w:t>
      </w:r>
      <w:r w:rsidR="006D263D" w:rsidRPr="006D263D">
        <w:t>$1,335,406</w:t>
      </w:r>
      <w:r w:rsidR="00F8370E" w:rsidRPr="006D263D">
        <w:t>.</w:t>
      </w:r>
      <w:r w:rsidR="004A64F3">
        <w:t xml:space="preserve"> </w:t>
      </w:r>
      <w:r w:rsidR="00D500C8">
        <w:t>Neither</w:t>
      </w:r>
      <w:r w:rsidR="009273DD" w:rsidRPr="002B7A35">
        <w:t xml:space="preserve"> Levitt Robinson</w:t>
      </w:r>
      <w:r w:rsidR="00D500C8">
        <w:t>, nor any other party,</w:t>
      </w:r>
      <w:r w:rsidR="009273DD" w:rsidRPr="002B7A35" w:rsidDel="00D500C8">
        <w:t xml:space="preserve"> </w:t>
      </w:r>
      <w:r w:rsidR="00D500C8">
        <w:t xml:space="preserve">opposed </w:t>
      </w:r>
      <w:r w:rsidR="009273DD" w:rsidRPr="002B7A35">
        <w:t xml:space="preserve">adoption of </w:t>
      </w:r>
      <w:r w:rsidR="00CB3C80" w:rsidRPr="002B7A35">
        <w:t>the Costs Referee’s Reports</w:t>
      </w:r>
      <w:r w:rsidR="00D500C8">
        <w:t xml:space="preserve">. </w:t>
      </w:r>
      <w:r w:rsidR="00D500C8" w:rsidRPr="002B7A35">
        <w:t>I concluded that it was appropriate to adopt the Costs Referee’s Reports.</w:t>
      </w:r>
      <w:r w:rsidR="00D500C8" w:rsidDel="00D500C8">
        <w:t xml:space="preserve"> </w:t>
      </w:r>
      <w:r w:rsidR="00D500C8">
        <w:t xml:space="preserve">Thus, at this point, Levitt Robinson </w:t>
      </w:r>
      <w:r w:rsidR="009273DD" w:rsidRPr="002B7A35">
        <w:t>sought approval</w:t>
      </w:r>
      <w:r w:rsidR="009273DD" w:rsidRPr="002B7A35" w:rsidDel="00D500C8">
        <w:t xml:space="preserve"> </w:t>
      </w:r>
      <w:r w:rsidR="00D500C8">
        <w:t xml:space="preserve">to deduct approximately </w:t>
      </w:r>
      <w:r w:rsidR="009273DD" w:rsidRPr="002B7A35">
        <w:t>$9.</w:t>
      </w:r>
      <w:r w:rsidR="00C96130" w:rsidRPr="00C96130">
        <w:t>665</w:t>
      </w:r>
      <w:r w:rsidR="009273DD" w:rsidRPr="002B7A35">
        <w:t xml:space="preserve"> million</w:t>
      </w:r>
      <w:r w:rsidR="00D500C8">
        <w:t xml:space="preserve"> from the settlement fund</w:t>
      </w:r>
      <w:r w:rsidR="009273DD" w:rsidRPr="002B7A35">
        <w:t xml:space="preserve">. </w:t>
      </w:r>
    </w:p>
    <w:p w14:paraId="6F526928" w14:textId="6F382C18" w:rsidR="00AA5F36" w:rsidRDefault="00AA5F36" w:rsidP="00AA5F36">
      <w:pPr>
        <w:pStyle w:val="Heading2"/>
      </w:pPr>
      <w:r>
        <w:t>Galactic</w:t>
      </w:r>
      <w:r w:rsidR="00553B4B">
        <w:t>’s position in relation to Levitt Robinson’s costs</w:t>
      </w:r>
    </w:p>
    <w:p w14:paraId="4E2C3401" w14:textId="13DD1A1F" w:rsidR="009405A0" w:rsidRDefault="001D7B98" w:rsidP="001D7B98">
      <w:pPr>
        <w:pStyle w:val="ParaNumbering"/>
        <w:numPr>
          <w:ilvl w:val="0"/>
          <w:numId w:val="0"/>
        </w:numPr>
        <w:tabs>
          <w:tab w:val="left" w:pos="720"/>
        </w:tabs>
        <w:ind w:hanging="720"/>
      </w:pPr>
      <w:r>
        <w:rPr>
          <w:sz w:val="20"/>
        </w:rPr>
        <w:t>85</w:t>
      </w:r>
      <w:r>
        <w:rPr>
          <w:sz w:val="20"/>
        </w:rPr>
        <w:tab/>
      </w:r>
      <w:r w:rsidR="00D500C8">
        <w:t xml:space="preserve">Galactic’s position as to the reasonableness of </w:t>
      </w:r>
      <w:r w:rsidR="009273DD">
        <w:t xml:space="preserve">Levitt Robinson’s </w:t>
      </w:r>
      <w:r w:rsidR="00AC5F7E">
        <w:t>costs</w:t>
      </w:r>
      <w:r w:rsidR="00AC5F7E" w:rsidDel="00D500C8">
        <w:t xml:space="preserve"> </w:t>
      </w:r>
      <w:r w:rsidR="00031B2B">
        <w:t>also changed over time</w:t>
      </w:r>
      <w:r w:rsidR="000B3DDF">
        <w:t xml:space="preserve">. </w:t>
      </w:r>
      <w:r w:rsidR="00E6227B">
        <w:t xml:space="preserve">At the time </w:t>
      </w:r>
      <w:r w:rsidR="00B97054">
        <w:t>that</w:t>
      </w:r>
      <w:r w:rsidR="00E6227B">
        <w:t xml:space="preserve"> settlement was reached </w:t>
      </w:r>
      <w:r w:rsidR="00DB41F9">
        <w:t>Galactic</w:t>
      </w:r>
      <w:r w:rsidR="001F5220">
        <w:t xml:space="preserve"> had </w:t>
      </w:r>
      <w:r w:rsidR="00DB41F9">
        <w:t xml:space="preserve">paid Levitt Robinson </w:t>
      </w:r>
      <w:r w:rsidR="001F5220">
        <w:t xml:space="preserve">only </w:t>
      </w:r>
      <w:r w:rsidR="00DB41F9">
        <w:t>$7.69 million</w:t>
      </w:r>
      <w:r w:rsidR="003021E8">
        <w:t xml:space="preserve"> of the </w:t>
      </w:r>
      <w:r w:rsidR="00D500C8">
        <w:t xml:space="preserve">approximately </w:t>
      </w:r>
      <w:r w:rsidR="0044409F">
        <w:t xml:space="preserve">$11 million in </w:t>
      </w:r>
      <w:r w:rsidR="003021E8">
        <w:t xml:space="preserve">legal costs </w:t>
      </w:r>
      <w:r w:rsidR="0044409F">
        <w:t xml:space="preserve">that </w:t>
      </w:r>
      <w:r w:rsidR="003021E8">
        <w:t>Levitt</w:t>
      </w:r>
      <w:r w:rsidR="0044409F">
        <w:t xml:space="preserve"> Robinson claimed to have </w:t>
      </w:r>
      <w:proofErr w:type="gramStart"/>
      <w:r w:rsidR="003021E8">
        <w:t>incurred</w:t>
      </w:r>
      <w:r w:rsidR="00212D0F">
        <w:t>;</w:t>
      </w:r>
      <w:proofErr w:type="gramEnd"/>
      <w:r w:rsidR="00AC5F7E">
        <w:t xml:space="preserve"> which meant </w:t>
      </w:r>
      <w:r w:rsidR="00BD5480">
        <w:t xml:space="preserve">that </w:t>
      </w:r>
      <w:r w:rsidR="00E6227B">
        <w:t xml:space="preserve">there was </w:t>
      </w:r>
      <w:r w:rsidR="001C3431">
        <w:t xml:space="preserve">approximately </w:t>
      </w:r>
      <w:r w:rsidR="00E6227B">
        <w:t>$3.</w:t>
      </w:r>
      <w:r w:rsidR="00CB32CC">
        <w:t xml:space="preserve">31 </w:t>
      </w:r>
      <w:r w:rsidR="00E6227B">
        <w:t>million outstanding</w:t>
      </w:r>
      <w:r w:rsidR="00DB41F9">
        <w:t>.</w:t>
      </w:r>
      <w:r w:rsidR="00D83265">
        <w:t xml:space="preserve"> </w:t>
      </w:r>
      <w:r w:rsidR="00FC5DE7">
        <w:t xml:space="preserve">At an early case management hearing in the approval application </w:t>
      </w:r>
      <w:r w:rsidR="00212D0F" w:rsidDel="001C3431">
        <w:t xml:space="preserve">Galactic </w:t>
      </w:r>
      <w:r w:rsidR="00212D0F">
        <w:t>submitted</w:t>
      </w:r>
      <w:r w:rsidR="00A76D30">
        <w:t xml:space="preserve"> through senior counsel</w:t>
      </w:r>
      <w:r w:rsidR="00212D0F">
        <w:t xml:space="preserve"> that Levitt Robinson’s costs </w:t>
      </w:r>
      <w:r w:rsidR="001C3431">
        <w:t xml:space="preserve">claim was </w:t>
      </w:r>
      <w:r w:rsidR="00212D0F">
        <w:t>not reasonable, and that</w:t>
      </w:r>
      <w:r w:rsidR="00212D0F" w:rsidDel="001C3431">
        <w:t xml:space="preserve"> </w:t>
      </w:r>
      <w:r w:rsidR="001C3431">
        <w:t xml:space="preserve">costs </w:t>
      </w:r>
      <w:r w:rsidR="00212D0F">
        <w:t>should not be approved in any greater amount than</w:t>
      </w:r>
      <w:r w:rsidR="00D83265">
        <w:t xml:space="preserve"> $7.69 million</w:t>
      </w:r>
      <w:r w:rsidR="00212D0F">
        <w:t>.</w:t>
      </w:r>
      <w:r w:rsidR="009321A6">
        <w:t xml:space="preserve"> </w:t>
      </w:r>
      <w:r w:rsidR="001C3431">
        <w:t xml:space="preserve">In his affidavit </w:t>
      </w:r>
      <w:r w:rsidR="0080426D">
        <w:t>Mr Schulman</w:t>
      </w:r>
      <w:r w:rsidR="00FC5DE7">
        <w:t xml:space="preserve"> stated </w:t>
      </w:r>
      <w:r w:rsidR="0080426D">
        <w:t xml:space="preserve">that Levitt Robinson </w:t>
      </w:r>
      <w:r w:rsidR="003021E8">
        <w:t xml:space="preserve">initially </w:t>
      </w:r>
      <w:r w:rsidR="0080426D">
        <w:t xml:space="preserve">provided </w:t>
      </w:r>
      <w:r w:rsidR="003021E8">
        <w:t xml:space="preserve">an estimate of $8.195 million </w:t>
      </w:r>
      <w:r w:rsidR="00FC5DE7">
        <w:t xml:space="preserve">to Galactic and the applicants, </w:t>
      </w:r>
      <w:r w:rsidR="0080426D">
        <w:t xml:space="preserve">to run the proceeding from </w:t>
      </w:r>
      <w:r w:rsidR="009321A6">
        <w:t xml:space="preserve">the </w:t>
      </w:r>
      <w:r w:rsidR="0080426D">
        <w:t>start to the conclusion of the initial trial</w:t>
      </w:r>
      <w:r w:rsidR="00FC5DE7">
        <w:t xml:space="preserve">. Then, he said </w:t>
      </w:r>
      <w:r w:rsidR="00D83265">
        <w:t xml:space="preserve">that </w:t>
      </w:r>
      <w:r w:rsidR="00F30AE1">
        <w:t>less than two months before the trial was due to commence</w:t>
      </w:r>
      <w:r w:rsidR="00FC5DE7">
        <w:t xml:space="preserve">, Levitt Robinson </w:t>
      </w:r>
      <w:r w:rsidR="009321A6">
        <w:t xml:space="preserve">sought to revise its estimate upwards to </w:t>
      </w:r>
      <w:r w:rsidR="00963B56">
        <w:t>$11.639 million;</w:t>
      </w:r>
      <w:r w:rsidR="009321A6">
        <w:t xml:space="preserve"> an increase of </w:t>
      </w:r>
      <w:r w:rsidR="00963B56">
        <w:t>$3.5 million.</w:t>
      </w:r>
    </w:p>
    <w:p w14:paraId="1B14E873" w14:textId="2C45FBE4" w:rsidR="005766B6" w:rsidRDefault="001D7B98" w:rsidP="001D7B98">
      <w:pPr>
        <w:pStyle w:val="ParaNumbering"/>
        <w:numPr>
          <w:ilvl w:val="0"/>
          <w:numId w:val="0"/>
        </w:numPr>
        <w:tabs>
          <w:tab w:val="left" w:pos="720"/>
        </w:tabs>
        <w:ind w:hanging="720"/>
      </w:pPr>
      <w:r>
        <w:rPr>
          <w:sz w:val="20"/>
        </w:rPr>
        <w:t>86</w:t>
      </w:r>
      <w:r>
        <w:rPr>
          <w:sz w:val="20"/>
        </w:rPr>
        <w:tab/>
      </w:r>
      <w:r w:rsidR="001C3431">
        <w:t xml:space="preserve">But </w:t>
      </w:r>
      <w:r w:rsidR="00FC5DE7">
        <w:t xml:space="preserve">by </w:t>
      </w:r>
      <w:r w:rsidR="00A00AA6">
        <w:t xml:space="preserve">the approval hearing on 22 November 2023 </w:t>
      </w:r>
      <w:r w:rsidR="00DF720B">
        <w:t>Galactic</w:t>
      </w:r>
      <w:r w:rsidR="00A21ABE">
        <w:t xml:space="preserve"> no longer contended </w:t>
      </w:r>
      <w:r w:rsidR="00A00AA6">
        <w:t>that Levitt Robinson’s costs</w:t>
      </w:r>
      <w:r w:rsidR="00FC5DE7">
        <w:t xml:space="preserve"> were </w:t>
      </w:r>
      <w:r w:rsidR="00A21ABE">
        <w:t>un</w:t>
      </w:r>
      <w:r w:rsidR="00A00AA6">
        <w:t>reasonable</w:t>
      </w:r>
      <w:r w:rsidR="00DF720B">
        <w:t>.</w:t>
      </w:r>
      <w:r w:rsidR="009405A0">
        <w:t xml:space="preserve"> </w:t>
      </w:r>
      <w:r w:rsidR="00A76D30">
        <w:t>Neither Galactic nor Levitt Robinson explained t</w:t>
      </w:r>
      <w:r w:rsidR="005766B6">
        <w:t>h</w:t>
      </w:r>
      <w:r w:rsidR="003B185C">
        <w:t>e</w:t>
      </w:r>
      <w:r w:rsidR="00454BEA">
        <w:t xml:space="preserve"> reason for that </w:t>
      </w:r>
      <w:r w:rsidR="005766B6">
        <w:t>change of position</w:t>
      </w:r>
      <w:r w:rsidR="00A76D30">
        <w:t xml:space="preserve">. </w:t>
      </w:r>
      <w:r w:rsidR="00F53119">
        <w:t xml:space="preserve">In my view it is appropriate to infer that </w:t>
      </w:r>
      <w:r w:rsidR="00264A09">
        <w:t>Levitt Robinson and Galactic</w:t>
      </w:r>
      <w:r w:rsidR="00E3169F">
        <w:t xml:space="preserve"> have come </w:t>
      </w:r>
      <w:r w:rsidR="00264A09">
        <w:t xml:space="preserve">to </w:t>
      </w:r>
      <w:r w:rsidR="00AE11B6">
        <w:t xml:space="preserve">a private </w:t>
      </w:r>
      <w:r w:rsidR="00264A09">
        <w:t>arrangement</w:t>
      </w:r>
      <w:r w:rsidR="00E3169F">
        <w:t xml:space="preserve"> </w:t>
      </w:r>
      <w:proofErr w:type="gramStart"/>
      <w:r w:rsidR="00E3169F">
        <w:t>in regard to</w:t>
      </w:r>
      <w:proofErr w:type="gramEnd"/>
      <w:r w:rsidR="00E3169F">
        <w:t xml:space="preserve"> </w:t>
      </w:r>
      <w:r w:rsidR="00553B4B">
        <w:t xml:space="preserve">Levitt Robinson’s </w:t>
      </w:r>
      <w:r w:rsidR="00E3169F">
        <w:t>costs</w:t>
      </w:r>
      <w:r w:rsidR="00F4373B">
        <w:t>.</w:t>
      </w:r>
    </w:p>
    <w:p w14:paraId="0D3075B2" w14:textId="77736284" w:rsidR="00262E50" w:rsidRDefault="00DF40EE" w:rsidP="00262E50">
      <w:pPr>
        <w:pStyle w:val="Heading2"/>
      </w:pPr>
      <w:r>
        <w:t>The</w:t>
      </w:r>
      <w:r w:rsidR="004552DE">
        <w:t xml:space="preserve"> </w:t>
      </w:r>
      <w:r w:rsidR="0086563A">
        <w:t xml:space="preserve">salient </w:t>
      </w:r>
      <w:r w:rsidR="004552DE">
        <w:t xml:space="preserve">procedural steps </w:t>
      </w:r>
    </w:p>
    <w:p w14:paraId="60B5BA2F" w14:textId="147D76DF" w:rsidR="004552DE" w:rsidRPr="00716056" w:rsidRDefault="001D7B98" w:rsidP="001D7B98">
      <w:pPr>
        <w:pStyle w:val="ParaNumbering"/>
        <w:numPr>
          <w:ilvl w:val="0"/>
          <w:numId w:val="0"/>
        </w:numPr>
        <w:tabs>
          <w:tab w:val="left" w:pos="720"/>
        </w:tabs>
        <w:ind w:hanging="720"/>
        <w:rPr>
          <w:bCs/>
        </w:rPr>
      </w:pPr>
      <w:r w:rsidRPr="00716056">
        <w:rPr>
          <w:bCs/>
          <w:sz w:val="20"/>
        </w:rPr>
        <w:t>87</w:t>
      </w:r>
      <w:r w:rsidRPr="00716056">
        <w:rPr>
          <w:bCs/>
          <w:sz w:val="20"/>
        </w:rPr>
        <w:tab/>
      </w:r>
      <w:r w:rsidR="004552DE">
        <w:rPr>
          <w:bCs/>
          <w:szCs w:val="24"/>
        </w:rPr>
        <w:t xml:space="preserve">To </w:t>
      </w:r>
      <w:r w:rsidR="00C4074E">
        <w:rPr>
          <w:bCs/>
          <w:szCs w:val="24"/>
        </w:rPr>
        <w:t>understand</w:t>
      </w:r>
      <w:r w:rsidR="004552DE">
        <w:rPr>
          <w:bCs/>
          <w:szCs w:val="24"/>
        </w:rPr>
        <w:t xml:space="preserve"> the Contradictor’s</w:t>
      </w:r>
      <w:r w:rsidR="00656144">
        <w:rPr>
          <w:bCs/>
          <w:szCs w:val="24"/>
        </w:rPr>
        <w:t xml:space="preserve"> contentions in relation to</w:t>
      </w:r>
      <w:r w:rsidR="00656144" w:rsidDel="0086563A">
        <w:rPr>
          <w:bCs/>
          <w:szCs w:val="24"/>
        </w:rPr>
        <w:t xml:space="preserve"> </w:t>
      </w:r>
      <w:r w:rsidR="004A2D11">
        <w:rPr>
          <w:bCs/>
          <w:szCs w:val="24"/>
        </w:rPr>
        <w:t xml:space="preserve">Levitt Robinson’s </w:t>
      </w:r>
      <w:r w:rsidR="00D61213">
        <w:rPr>
          <w:bCs/>
          <w:szCs w:val="24"/>
        </w:rPr>
        <w:t xml:space="preserve">alleged </w:t>
      </w:r>
      <w:r w:rsidR="0086563A">
        <w:rPr>
          <w:bCs/>
          <w:szCs w:val="24"/>
        </w:rPr>
        <w:t xml:space="preserve">lack of expedition and </w:t>
      </w:r>
      <w:r w:rsidR="00AA4403">
        <w:rPr>
          <w:bCs/>
          <w:szCs w:val="24"/>
        </w:rPr>
        <w:t xml:space="preserve">its </w:t>
      </w:r>
      <w:r w:rsidR="0086563A">
        <w:rPr>
          <w:bCs/>
          <w:szCs w:val="24"/>
        </w:rPr>
        <w:t>inefficiency</w:t>
      </w:r>
      <w:r w:rsidR="00656144">
        <w:rPr>
          <w:bCs/>
          <w:szCs w:val="24"/>
        </w:rPr>
        <w:t xml:space="preserve">, </w:t>
      </w:r>
      <w:proofErr w:type="gramStart"/>
      <w:r w:rsidR="004552DE">
        <w:rPr>
          <w:bCs/>
          <w:szCs w:val="24"/>
        </w:rPr>
        <w:t xml:space="preserve">and </w:t>
      </w:r>
      <w:r w:rsidR="00656144">
        <w:rPr>
          <w:bCs/>
          <w:szCs w:val="24"/>
        </w:rPr>
        <w:t>also</w:t>
      </w:r>
      <w:proofErr w:type="gramEnd"/>
      <w:r w:rsidR="00656144">
        <w:rPr>
          <w:bCs/>
          <w:szCs w:val="24"/>
        </w:rPr>
        <w:t xml:space="preserve"> </w:t>
      </w:r>
      <w:r w:rsidR="004552DE">
        <w:rPr>
          <w:bCs/>
          <w:szCs w:val="24"/>
        </w:rPr>
        <w:t>Levitt Robinson’s response</w:t>
      </w:r>
      <w:r w:rsidR="00656144">
        <w:rPr>
          <w:bCs/>
          <w:szCs w:val="24"/>
        </w:rPr>
        <w:t>,</w:t>
      </w:r>
      <w:r w:rsidR="004552DE">
        <w:rPr>
          <w:bCs/>
          <w:szCs w:val="24"/>
        </w:rPr>
        <w:t xml:space="preserve"> it is unfortunately necessary to descend</w:t>
      </w:r>
      <w:r w:rsidR="004A2D11">
        <w:rPr>
          <w:bCs/>
          <w:szCs w:val="24"/>
        </w:rPr>
        <w:t xml:space="preserve"> </w:t>
      </w:r>
      <w:r w:rsidR="001D595F">
        <w:rPr>
          <w:bCs/>
          <w:szCs w:val="24"/>
        </w:rPr>
        <w:t>to an extent</w:t>
      </w:r>
      <w:r w:rsidR="004552DE">
        <w:rPr>
          <w:bCs/>
          <w:szCs w:val="24"/>
        </w:rPr>
        <w:t xml:space="preserve"> into the minutiae of the firm’s conduct of the proceeding</w:t>
      </w:r>
      <w:r w:rsidR="00716056">
        <w:rPr>
          <w:bCs/>
          <w:szCs w:val="24"/>
        </w:rPr>
        <w:t xml:space="preserve">, at </w:t>
      </w:r>
      <w:r w:rsidR="00716056">
        <w:rPr>
          <w:bCs/>
          <w:szCs w:val="24"/>
        </w:rPr>
        <w:lastRenderedPageBreak/>
        <w:t xml:space="preserve">least in relation to the </w:t>
      </w:r>
      <w:r w:rsidR="004034C3">
        <w:rPr>
          <w:bCs/>
          <w:szCs w:val="24"/>
        </w:rPr>
        <w:t>seven-</w:t>
      </w:r>
      <w:r w:rsidR="00716056">
        <w:rPr>
          <w:bCs/>
          <w:szCs w:val="24"/>
        </w:rPr>
        <w:t xml:space="preserve">month period </w:t>
      </w:r>
      <w:r w:rsidR="009F360C">
        <w:rPr>
          <w:bCs/>
          <w:szCs w:val="24"/>
        </w:rPr>
        <w:t xml:space="preserve">from </w:t>
      </w:r>
      <w:r w:rsidR="00F34E70">
        <w:rPr>
          <w:bCs/>
          <w:szCs w:val="24"/>
        </w:rPr>
        <w:t xml:space="preserve">November 2021 </w:t>
      </w:r>
      <w:r w:rsidR="005F17E3">
        <w:rPr>
          <w:bCs/>
          <w:szCs w:val="24"/>
        </w:rPr>
        <w:t>to</w:t>
      </w:r>
      <w:r w:rsidR="00F34E70">
        <w:rPr>
          <w:bCs/>
          <w:szCs w:val="24"/>
        </w:rPr>
        <w:t xml:space="preserve"> 2 July 2022, </w:t>
      </w:r>
      <w:r w:rsidR="00716056">
        <w:rPr>
          <w:bCs/>
          <w:szCs w:val="24"/>
        </w:rPr>
        <w:t>which the Contradictor focussed</w:t>
      </w:r>
      <w:r w:rsidR="00F44CCC">
        <w:rPr>
          <w:bCs/>
          <w:szCs w:val="24"/>
        </w:rPr>
        <w:t xml:space="preserve"> on</w:t>
      </w:r>
      <w:r w:rsidR="00716056">
        <w:rPr>
          <w:bCs/>
          <w:szCs w:val="24"/>
        </w:rPr>
        <w:t>.</w:t>
      </w:r>
    </w:p>
    <w:p w14:paraId="2CAF175C" w14:textId="180860FD" w:rsidR="00666F9B" w:rsidRDefault="001D7B98" w:rsidP="001D7B98">
      <w:pPr>
        <w:pStyle w:val="ParaNumbering"/>
        <w:numPr>
          <w:ilvl w:val="0"/>
          <w:numId w:val="0"/>
        </w:numPr>
        <w:tabs>
          <w:tab w:val="left" w:pos="720"/>
        </w:tabs>
        <w:ind w:hanging="720"/>
      </w:pPr>
      <w:r>
        <w:rPr>
          <w:sz w:val="20"/>
        </w:rPr>
        <w:t>88</w:t>
      </w:r>
      <w:r>
        <w:rPr>
          <w:sz w:val="20"/>
        </w:rPr>
        <w:tab/>
      </w:r>
      <w:r w:rsidR="00176328">
        <w:t xml:space="preserve">By orders made </w:t>
      </w:r>
      <w:r w:rsidR="001D3C28">
        <w:t>2 September 2021</w:t>
      </w:r>
      <w:r w:rsidR="00176328">
        <w:t xml:space="preserve"> I dismissed </w:t>
      </w:r>
      <w:r w:rsidR="00BE1E6F">
        <w:t>the application</w:t>
      </w:r>
      <w:r w:rsidR="00176328">
        <w:t xml:space="preserve"> for a separate </w:t>
      </w:r>
      <w:proofErr w:type="gramStart"/>
      <w:r w:rsidR="00176328">
        <w:t xml:space="preserve">question, </w:t>
      </w:r>
      <w:r w:rsidR="00072BC4">
        <w:t>and</w:t>
      </w:r>
      <w:proofErr w:type="gramEnd"/>
      <w:r w:rsidR="00072BC4">
        <w:t xml:space="preserve"> listed the initial trial of the proceeding</w:t>
      </w:r>
      <w:r w:rsidR="00BD721E">
        <w:t xml:space="preserve"> </w:t>
      </w:r>
      <w:r w:rsidR="00262E50">
        <w:t>on 1 March 2023, on an estimate of five weeks.</w:t>
      </w:r>
      <w:r w:rsidR="000B6A4F">
        <w:t xml:space="preserve"> That allowed 18 months for the parties to complete the </w:t>
      </w:r>
      <w:r w:rsidR="00BD721E">
        <w:t xml:space="preserve">remaining </w:t>
      </w:r>
      <w:r w:rsidR="000B6A4F">
        <w:t>pre-trial steps</w:t>
      </w:r>
      <w:r w:rsidR="00262E50">
        <w:t>.</w:t>
      </w:r>
      <w:r w:rsidR="00B50EF0">
        <w:t xml:space="preserve"> </w:t>
      </w:r>
    </w:p>
    <w:p w14:paraId="4031CF8A" w14:textId="0C82FBF3" w:rsidR="00262E50" w:rsidRDefault="001D7B98" w:rsidP="001D7B98">
      <w:pPr>
        <w:pStyle w:val="ParaNumbering"/>
        <w:numPr>
          <w:ilvl w:val="0"/>
          <w:numId w:val="0"/>
        </w:numPr>
        <w:tabs>
          <w:tab w:val="left" w:pos="720"/>
        </w:tabs>
        <w:ind w:hanging="720"/>
      </w:pPr>
      <w:r>
        <w:rPr>
          <w:sz w:val="20"/>
        </w:rPr>
        <w:t>89</w:t>
      </w:r>
      <w:r>
        <w:rPr>
          <w:sz w:val="20"/>
        </w:rPr>
        <w:tab/>
      </w:r>
      <w:r w:rsidR="00F44CCC">
        <w:t xml:space="preserve">By the orders made to September 2021, </w:t>
      </w:r>
      <w:r w:rsidR="00B50EF0">
        <w:t xml:space="preserve">the applicants </w:t>
      </w:r>
      <w:r w:rsidR="00F44CCC">
        <w:t xml:space="preserve">were required to </w:t>
      </w:r>
      <w:r w:rsidR="00B50EF0">
        <w:t>provide Aveo with a proposed timetable for the further steps in the litigation</w:t>
      </w:r>
      <w:r w:rsidR="00F44CCC" w:rsidRPr="00F44CCC">
        <w:t xml:space="preserve"> </w:t>
      </w:r>
      <w:r w:rsidR="00F44CCC">
        <w:t>by 16 September 2021</w:t>
      </w:r>
      <w:r w:rsidR="00D37E8F">
        <w:t>,</w:t>
      </w:r>
      <w:r w:rsidR="005103A6">
        <w:t xml:space="preserve"> including for</w:t>
      </w:r>
      <w:r w:rsidR="001D3C28">
        <w:t>:</w:t>
      </w:r>
    </w:p>
    <w:p w14:paraId="071D7393" w14:textId="5B52A4A4" w:rsidR="001D3C28" w:rsidRDefault="001D7B98" w:rsidP="001D7B98">
      <w:pPr>
        <w:pStyle w:val="ListNo1alt"/>
        <w:numPr>
          <w:ilvl w:val="0"/>
          <w:numId w:val="0"/>
        </w:numPr>
        <w:tabs>
          <w:tab w:val="left" w:pos="720"/>
        </w:tabs>
        <w:ind w:left="720" w:hanging="720"/>
      </w:pPr>
      <w:r>
        <w:t>(a)</w:t>
      </w:r>
      <w:r>
        <w:tab/>
      </w:r>
      <w:r w:rsidR="001D3C28">
        <w:t xml:space="preserve">an express pleading of the </w:t>
      </w:r>
      <w:r w:rsidR="00F44CCC">
        <w:t xml:space="preserve">applicants’ </w:t>
      </w:r>
      <w:proofErr w:type="gramStart"/>
      <w:r w:rsidR="001D3C28">
        <w:t>claim</w:t>
      </w:r>
      <w:proofErr w:type="gramEnd"/>
      <w:r w:rsidR="001D3C28">
        <w:t xml:space="preserve"> for “special value” loss articulated in the hearing on 31 August 2021;</w:t>
      </w:r>
    </w:p>
    <w:p w14:paraId="4786334C" w14:textId="69F0F0CC" w:rsidR="001D3C28" w:rsidRPr="005F17E3" w:rsidRDefault="001D7B98" w:rsidP="001D7B98">
      <w:pPr>
        <w:pStyle w:val="ListNo1alt"/>
        <w:numPr>
          <w:ilvl w:val="0"/>
          <w:numId w:val="0"/>
        </w:numPr>
        <w:tabs>
          <w:tab w:val="left" w:pos="720"/>
        </w:tabs>
        <w:ind w:left="720" w:hanging="720"/>
      </w:pPr>
      <w:r w:rsidRPr="005F17E3">
        <w:t>(b)</w:t>
      </w:r>
      <w:r w:rsidRPr="005F17E3">
        <w:tab/>
      </w:r>
      <w:r w:rsidR="001D3C28">
        <w:t xml:space="preserve">identification of the sample group members whose claims </w:t>
      </w:r>
      <w:r w:rsidR="00072BC4">
        <w:t xml:space="preserve">are </w:t>
      </w:r>
      <w:r w:rsidR="001D3C28">
        <w:t xml:space="preserve">proposed to be part of the </w:t>
      </w:r>
      <w:r w:rsidR="001D3C28" w:rsidRPr="005F17E3">
        <w:t xml:space="preserve">initial trial of common issues and for filing points of claim and points of defence in regard to those persons, discovery including in relation to the sample group </w:t>
      </w:r>
      <w:proofErr w:type="gramStart"/>
      <w:r w:rsidR="001D3C28" w:rsidRPr="005F17E3">
        <w:t>members;</w:t>
      </w:r>
      <w:proofErr w:type="gramEnd"/>
    </w:p>
    <w:p w14:paraId="2334888B" w14:textId="6C4D3B83" w:rsidR="00FE580E" w:rsidRPr="005F17E3" w:rsidRDefault="001D7B98" w:rsidP="001D7B98">
      <w:pPr>
        <w:pStyle w:val="ListNo1alt"/>
        <w:numPr>
          <w:ilvl w:val="0"/>
          <w:numId w:val="0"/>
        </w:numPr>
        <w:tabs>
          <w:tab w:val="left" w:pos="720"/>
        </w:tabs>
        <w:ind w:left="720" w:hanging="720"/>
      </w:pPr>
      <w:r w:rsidRPr="005F17E3">
        <w:t>(c)</w:t>
      </w:r>
      <w:r w:rsidRPr="005F17E3">
        <w:tab/>
      </w:r>
      <w:r w:rsidR="00FE580E" w:rsidRPr="005F17E3">
        <w:t xml:space="preserve">opt </w:t>
      </w:r>
      <w:proofErr w:type="gramStart"/>
      <w:r w:rsidR="00FE580E" w:rsidRPr="005F17E3">
        <w:t>out;</w:t>
      </w:r>
      <w:proofErr w:type="gramEnd"/>
      <w:r w:rsidR="00FE580E" w:rsidRPr="005F17E3">
        <w:t xml:space="preserve"> </w:t>
      </w:r>
    </w:p>
    <w:p w14:paraId="31670182" w14:textId="18E38AB7" w:rsidR="00FE580E" w:rsidRPr="005F17E3" w:rsidRDefault="001D7B98" w:rsidP="001D7B98">
      <w:pPr>
        <w:pStyle w:val="ListNo1alt"/>
        <w:numPr>
          <w:ilvl w:val="0"/>
          <w:numId w:val="0"/>
        </w:numPr>
        <w:tabs>
          <w:tab w:val="left" w:pos="720"/>
        </w:tabs>
        <w:ind w:left="720" w:hanging="720"/>
      </w:pPr>
      <w:r w:rsidRPr="005F17E3">
        <w:t>(d)</w:t>
      </w:r>
      <w:r w:rsidRPr="005F17E3">
        <w:tab/>
      </w:r>
      <w:r w:rsidR="00FE580E" w:rsidRPr="005F17E3">
        <w:t xml:space="preserve">the filing of lay and expert evidence; and </w:t>
      </w:r>
    </w:p>
    <w:p w14:paraId="57B196DE" w14:textId="2EEB6DE4" w:rsidR="00FE580E" w:rsidRPr="005F17E3" w:rsidRDefault="001D7B98" w:rsidP="001D7B98">
      <w:pPr>
        <w:pStyle w:val="ListNo1alt"/>
        <w:numPr>
          <w:ilvl w:val="0"/>
          <w:numId w:val="0"/>
        </w:numPr>
        <w:tabs>
          <w:tab w:val="left" w:pos="720"/>
        </w:tabs>
        <w:ind w:left="720" w:hanging="720"/>
      </w:pPr>
      <w:r w:rsidRPr="005F17E3">
        <w:t>(e)</w:t>
      </w:r>
      <w:r w:rsidRPr="005F17E3">
        <w:tab/>
      </w:r>
      <w:r w:rsidR="00FE580E" w:rsidRPr="005F17E3">
        <w:t xml:space="preserve">finalising the common issues for trial. </w:t>
      </w:r>
    </w:p>
    <w:p w14:paraId="68B8964F" w14:textId="668BDF8C" w:rsidR="00072BC4" w:rsidRDefault="00F44CCC" w:rsidP="00D232A9">
      <w:pPr>
        <w:pStyle w:val="ListNo1alt"/>
        <w:numPr>
          <w:ilvl w:val="0"/>
          <w:numId w:val="0"/>
        </w:numPr>
      </w:pPr>
      <w:r>
        <w:t xml:space="preserve">The orders provided for </w:t>
      </w:r>
      <w:r w:rsidR="00D2106A">
        <w:t>Aveo</w:t>
      </w:r>
      <w:r w:rsidR="00D2106A" w:rsidDel="00F44CCC">
        <w:t xml:space="preserve"> </w:t>
      </w:r>
      <w:r w:rsidR="00D2106A">
        <w:t>to respond to the proposed timetable</w:t>
      </w:r>
      <w:r>
        <w:t xml:space="preserve"> by 30 September 2021</w:t>
      </w:r>
      <w:r w:rsidR="00D2106A">
        <w:t xml:space="preserve">, and </w:t>
      </w:r>
      <w:r>
        <w:t xml:space="preserve">for </w:t>
      </w:r>
      <w:r w:rsidR="00D2106A">
        <w:t xml:space="preserve">the parties to confer </w:t>
      </w:r>
      <w:proofErr w:type="gramStart"/>
      <w:r w:rsidR="00D2106A">
        <w:t xml:space="preserve">in </w:t>
      </w:r>
      <w:r w:rsidR="00AC23EE">
        <w:t xml:space="preserve">an </w:t>
      </w:r>
      <w:r w:rsidR="00D2106A">
        <w:t>attempt to</w:t>
      </w:r>
      <w:proofErr w:type="gramEnd"/>
      <w:r w:rsidR="00D2106A">
        <w:t xml:space="preserve"> agree the timetable</w:t>
      </w:r>
      <w:r w:rsidRPr="00F44CCC">
        <w:t xml:space="preserve"> </w:t>
      </w:r>
      <w:r>
        <w:t>by 7 October 2021</w:t>
      </w:r>
      <w:r w:rsidR="00D2106A">
        <w:t>.</w:t>
      </w:r>
    </w:p>
    <w:p w14:paraId="51F3B786" w14:textId="38A86304" w:rsidR="00262E50" w:rsidRDefault="001D7B98" w:rsidP="001D7B98">
      <w:pPr>
        <w:pStyle w:val="ParaNumbering"/>
        <w:numPr>
          <w:ilvl w:val="0"/>
          <w:numId w:val="0"/>
        </w:numPr>
        <w:tabs>
          <w:tab w:val="left" w:pos="720"/>
        </w:tabs>
        <w:ind w:hanging="720"/>
      </w:pPr>
      <w:r>
        <w:rPr>
          <w:sz w:val="20"/>
        </w:rPr>
        <w:t>90</w:t>
      </w:r>
      <w:r>
        <w:rPr>
          <w:sz w:val="20"/>
        </w:rPr>
        <w:tab/>
      </w:r>
      <w:r w:rsidR="00D232A9">
        <w:t>The parties reached an</w:t>
      </w:r>
      <w:r w:rsidR="0092427F">
        <w:t xml:space="preserve"> agreed timetable for the </w:t>
      </w:r>
      <w:r w:rsidR="00521F30">
        <w:t xml:space="preserve">necessary interlocutory steps up to trial. </w:t>
      </w:r>
      <w:r w:rsidR="00262E50">
        <w:t>On 11 October 2021 I made orders, by consent, setting out the timetable to trial</w:t>
      </w:r>
      <w:r w:rsidR="00381072">
        <w:t xml:space="preserve"> (</w:t>
      </w:r>
      <w:r w:rsidR="00450688">
        <w:t xml:space="preserve">the </w:t>
      </w:r>
      <w:r w:rsidR="00450688" w:rsidRPr="00450688">
        <w:rPr>
          <w:b/>
          <w:bCs/>
        </w:rPr>
        <w:t>first pre-trial timetable</w:t>
      </w:r>
      <w:r w:rsidR="00450688">
        <w:t>)</w:t>
      </w:r>
      <w:r w:rsidR="00C526EC">
        <w:t>. The orders</w:t>
      </w:r>
      <w:r w:rsidR="000B6A4F">
        <w:t xml:space="preserve"> provided that</w:t>
      </w:r>
      <w:r w:rsidR="00262E50">
        <w:t>:</w:t>
      </w:r>
    </w:p>
    <w:p w14:paraId="0DD47A15" w14:textId="538BE3A0" w:rsidR="00262E50" w:rsidRDefault="001D7B98" w:rsidP="001D7B98">
      <w:pPr>
        <w:pStyle w:val="ListNo1alt"/>
        <w:numPr>
          <w:ilvl w:val="0"/>
          <w:numId w:val="0"/>
        </w:numPr>
        <w:tabs>
          <w:tab w:val="left" w:pos="720"/>
        </w:tabs>
        <w:ind w:left="720" w:hanging="720"/>
      </w:pPr>
      <w:r>
        <w:t>(a)</w:t>
      </w:r>
      <w:r>
        <w:tab/>
      </w:r>
      <w:r w:rsidR="00262E50">
        <w:t>by 11 October 2021</w:t>
      </w:r>
      <w:r w:rsidR="000B6A4F">
        <w:t>,</w:t>
      </w:r>
      <w:r w:rsidR="00262E50">
        <w:t xml:space="preserve"> the applicants file a proposed Third Further Amended Statement of </w:t>
      </w:r>
      <w:proofErr w:type="gramStart"/>
      <w:r w:rsidR="00262E50">
        <w:t>Claim;</w:t>
      </w:r>
      <w:proofErr w:type="gramEnd"/>
    </w:p>
    <w:p w14:paraId="2B5C2869" w14:textId="122293C7" w:rsidR="00262E50" w:rsidRDefault="001D7B98" w:rsidP="001D7B98">
      <w:pPr>
        <w:pStyle w:val="ListNo1alt"/>
        <w:numPr>
          <w:ilvl w:val="0"/>
          <w:numId w:val="0"/>
        </w:numPr>
        <w:tabs>
          <w:tab w:val="left" w:pos="720"/>
        </w:tabs>
        <w:ind w:left="720" w:hanging="720"/>
      </w:pPr>
      <w:r>
        <w:t>(b)</w:t>
      </w:r>
      <w:r>
        <w:tab/>
      </w:r>
      <w:r w:rsidR="00262E50">
        <w:t>by 24 December 2021</w:t>
      </w:r>
      <w:r w:rsidR="000B6A4F">
        <w:t>,</w:t>
      </w:r>
      <w:r w:rsidR="00262E50">
        <w:t xml:space="preserve"> the applicants file points of claim in relation to sample group members’ claims, and by 25 March 2022 Aveo file points of </w:t>
      </w:r>
      <w:proofErr w:type="gramStart"/>
      <w:r w:rsidR="00262E50">
        <w:t>defence;</w:t>
      </w:r>
      <w:proofErr w:type="gramEnd"/>
    </w:p>
    <w:p w14:paraId="09870124" w14:textId="583C0898" w:rsidR="00262E50" w:rsidRDefault="001D7B98" w:rsidP="001D7B98">
      <w:pPr>
        <w:pStyle w:val="ListNo1alt"/>
        <w:numPr>
          <w:ilvl w:val="0"/>
          <w:numId w:val="0"/>
        </w:numPr>
        <w:tabs>
          <w:tab w:val="left" w:pos="720"/>
        </w:tabs>
        <w:ind w:left="720" w:hanging="720"/>
      </w:pPr>
      <w:r>
        <w:t>(c)</w:t>
      </w:r>
      <w:r>
        <w:tab/>
      </w:r>
      <w:r w:rsidR="00262E50">
        <w:t>by 22 November 2021</w:t>
      </w:r>
      <w:r w:rsidR="000B6A4F">
        <w:t>,</w:t>
      </w:r>
      <w:r w:rsidR="00262E50">
        <w:t xml:space="preserve"> the parties exchange proposed categories of documents to be discovered with respect to the claims of the third and fourth applicants</w:t>
      </w:r>
      <w:r w:rsidR="000B6A4F">
        <w:t xml:space="preserve"> </w:t>
      </w:r>
      <w:r w:rsidR="00262E50">
        <w:t xml:space="preserve">and the unconscionable system claim, and by 6 December 2021 seek to agree on those categories. At this point there had already been substantial discovery but there had not yet been discovery in relation to the leasehold claims, or the unconscionable system </w:t>
      </w:r>
      <w:proofErr w:type="gramStart"/>
      <w:r w:rsidR="00262E50">
        <w:t>claim;</w:t>
      </w:r>
      <w:proofErr w:type="gramEnd"/>
    </w:p>
    <w:p w14:paraId="1B437003" w14:textId="116E86F4" w:rsidR="00262E50" w:rsidRDefault="001D7B98" w:rsidP="001D7B98">
      <w:pPr>
        <w:pStyle w:val="ListNo1alt"/>
        <w:numPr>
          <w:ilvl w:val="0"/>
          <w:numId w:val="0"/>
        </w:numPr>
        <w:tabs>
          <w:tab w:val="left" w:pos="720"/>
        </w:tabs>
        <w:ind w:left="720" w:hanging="720"/>
      </w:pPr>
      <w:r>
        <w:lastRenderedPageBreak/>
        <w:t>(d)</w:t>
      </w:r>
      <w:r>
        <w:tab/>
      </w:r>
      <w:r w:rsidR="00262E50">
        <w:t>by 4 March 2022</w:t>
      </w:r>
      <w:r w:rsidR="000B6A4F">
        <w:t>,</w:t>
      </w:r>
      <w:r w:rsidR="00262E50">
        <w:t xml:space="preserve"> the parties exchange proposed categories of documents to be discovered in respect of the sample group members, and by 25 March 2022 seek to agree on those </w:t>
      </w:r>
      <w:proofErr w:type="gramStart"/>
      <w:r w:rsidR="00262E50">
        <w:t>categories;</w:t>
      </w:r>
      <w:proofErr w:type="gramEnd"/>
    </w:p>
    <w:p w14:paraId="052CE3D5" w14:textId="0589C59B" w:rsidR="00262E50" w:rsidRDefault="001D7B98" w:rsidP="001D7B98">
      <w:pPr>
        <w:pStyle w:val="ListNo1alt"/>
        <w:numPr>
          <w:ilvl w:val="0"/>
          <w:numId w:val="0"/>
        </w:numPr>
        <w:tabs>
          <w:tab w:val="left" w:pos="720"/>
        </w:tabs>
        <w:ind w:left="720" w:hanging="720"/>
      </w:pPr>
      <w:r>
        <w:t>(e)</w:t>
      </w:r>
      <w:r>
        <w:tab/>
      </w:r>
      <w:r w:rsidR="00262E50">
        <w:t>by 4 March 2022</w:t>
      </w:r>
      <w:r w:rsidR="000B6A4F">
        <w:t>,</w:t>
      </w:r>
      <w:r w:rsidR="00262E50">
        <w:t xml:space="preserve"> the applicants provide a proposed form of </w:t>
      </w:r>
      <w:r w:rsidR="004D4055">
        <w:t>the</w:t>
      </w:r>
      <w:r w:rsidR="00262E50">
        <w:t xml:space="preserve"> opt out notice to Aveo, and by 18 March 2022 the parties seek to agree </w:t>
      </w:r>
      <w:r w:rsidR="00B3033D">
        <w:t xml:space="preserve">on </w:t>
      </w:r>
      <w:r w:rsidR="00262E50">
        <w:t xml:space="preserve">the form and content of that notice and accompanying orders for publication, </w:t>
      </w:r>
      <w:proofErr w:type="gramStart"/>
      <w:r w:rsidR="00262E50">
        <w:t>responses</w:t>
      </w:r>
      <w:proofErr w:type="gramEnd"/>
      <w:r w:rsidR="00262E50">
        <w:t xml:space="preserve"> and inspection; and</w:t>
      </w:r>
    </w:p>
    <w:p w14:paraId="262D1375" w14:textId="222F2421" w:rsidR="00262E50" w:rsidRDefault="001D7B98" w:rsidP="001D7B98">
      <w:pPr>
        <w:pStyle w:val="ListNo1alt"/>
        <w:numPr>
          <w:ilvl w:val="0"/>
          <w:numId w:val="0"/>
        </w:numPr>
        <w:tabs>
          <w:tab w:val="left" w:pos="720"/>
        </w:tabs>
        <w:ind w:left="720" w:hanging="720"/>
      </w:pPr>
      <w:r>
        <w:t>(f)</w:t>
      </w:r>
      <w:r>
        <w:tab/>
      </w:r>
      <w:r w:rsidR="00262E50">
        <w:t>by 1 April 2022</w:t>
      </w:r>
      <w:r w:rsidR="000B6A4F">
        <w:t>,</w:t>
      </w:r>
      <w:r w:rsidR="00262E50">
        <w:t xml:space="preserve"> any party wishing to bring an interlocutory application in relation to discovery, the filing of proposed points of claim on behalf of sample group members, </w:t>
      </w:r>
      <w:r w:rsidR="005027D0">
        <w:t xml:space="preserve">or </w:t>
      </w:r>
      <w:r w:rsidR="00262E50">
        <w:t>the form and content of the opt out notice and accompanying orders file and serve such an application. Any such application</w:t>
      </w:r>
      <w:r w:rsidR="005E665A">
        <w:t xml:space="preserve"> </w:t>
      </w:r>
      <w:r w:rsidR="004034C3">
        <w:t xml:space="preserve">was to </w:t>
      </w:r>
      <w:r w:rsidR="005E665A">
        <w:t>be determined</w:t>
      </w:r>
      <w:r w:rsidR="00262E50">
        <w:t xml:space="preserve"> </w:t>
      </w:r>
      <w:r w:rsidR="004049D0">
        <w:t xml:space="preserve">at </w:t>
      </w:r>
      <w:r w:rsidR="004034C3">
        <w:t xml:space="preserve">a </w:t>
      </w:r>
      <w:r w:rsidR="00262E50">
        <w:t xml:space="preserve">hearing </w:t>
      </w:r>
      <w:r w:rsidR="00F50DD2">
        <w:t xml:space="preserve">listed </w:t>
      </w:r>
      <w:r w:rsidR="00262E50">
        <w:t>on 21 April 2022.</w:t>
      </w:r>
    </w:p>
    <w:p w14:paraId="2A50485F" w14:textId="1C8129D9" w:rsidR="00262E50" w:rsidRDefault="001D7B98" w:rsidP="001D7B98">
      <w:pPr>
        <w:pStyle w:val="ParaNumbering"/>
        <w:numPr>
          <w:ilvl w:val="0"/>
          <w:numId w:val="0"/>
        </w:numPr>
        <w:tabs>
          <w:tab w:val="left" w:pos="720"/>
        </w:tabs>
        <w:ind w:hanging="720"/>
      </w:pPr>
      <w:r>
        <w:rPr>
          <w:sz w:val="20"/>
        </w:rPr>
        <w:t>91</w:t>
      </w:r>
      <w:r>
        <w:rPr>
          <w:sz w:val="20"/>
        </w:rPr>
        <w:tab/>
      </w:r>
      <w:r w:rsidR="000B6A4F">
        <w:t>Most importantly for the present application</w:t>
      </w:r>
      <w:r w:rsidR="00262E50">
        <w:t xml:space="preserve">, the </w:t>
      </w:r>
      <w:r w:rsidR="005B39EF">
        <w:t xml:space="preserve">consent </w:t>
      </w:r>
      <w:r w:rsidR="00262E50">
        <w:t>orders</w:t>
      </w:r>
      <w:r w:rsidR="000B6A4F">
        <w:t xml:space="preserve"> provided </w:t>
      </w:r>
      <w:r w:rsidR="00262E50">
        <w:t>that:</w:t>
      </w:r>
    </w:p>
    <w:p w14:paraId="5D38D33D" w14:textId="6A06A8A8" w:rsidR="00943F80" w:rsidRDefault="001D7B98" w:rsidP="001D7B98">
      <w:pPr>
        <w:pStyle w:val="ListNo1alt"/>
        <w:numPr>
          <w:ilvl w:val="0"/>
          <w:numId w:val="0"/>
        </w:numPr>
        <w:tabs>
          <w:tab w:val="left" w:pos="720"/>
        </w:tabs>
        <w:ind w:left="720" w:hanging="720"/>
      </w:pPr>
      <w:r>
        <w:t>(a)</w:t>
      </w:r>
      <w:r>
        <w:tab/>
      </w:r>
      <w:r w:rsidR="00262E50">
        <w:t>by 13 May 2022 the applicants serve their lay evidence</w:t>
      </w:r>
      <w:r w:rsidR="00E83B02">
        <w:t>;</w:t>
      </w:r>
      <w:r w:rsidR="00F44CCC">
        <w:t xml:space="preserve"> </w:t>
      </w:r>
      <w:r w:rsidR="00262E50">
        <w:t xml:space="preserve">by 8 July 2022 Aveo serve its lay evidence; </w:t>
      </w:r>
      <w:r w:rsidR="00704541">
        <w:t xml:space="preserve">and </w:t>
      </w:r>
      <w:r w:rsidR="00262E50">
        <w:t>by 29 July 2022 the applicants serve any lay evidence in reply</w:t>
      </w:r>
      <w:r w:rsidR="00AC1015">
        <w:t xml:space="preserve">, </w:t>
      </w:r>
    </w:p>
    <w:p w14:paraId="2C18BA64" w14:textId="6AD0DEF7" w:rsidR="00262E50" w:rsidRDefault="001D7B98" w:rsidP="001D7B98">
      <w:pPr>
        <w:pStyle w:val="ListNo1alt"/>
        <w:numPr>
          <w:ilvl w:val="0"/>
          <w:numId w:val="0"/>
        </w:numPr>
        <w:tabs>
          <w:tab w:val="left" w:pos="720"/>
        </w:tabs>
        <w:ind w:left="720" w:hanging="720"/>
      </w:pPr>
      <w:r>
        <w:t>(b)</w:t>
      </w:r>
      <w:r>
        <w:tab/>
      </w:r>
      <w:r w:rsidR="00262E50">
        <w:t>by 29 July 2022 the applicants serve their expert evidence</w:t>
      </w:r>
      <w:r w:rsidR="00303141">
        <w:t xml:space="preserve">; </w:t>
      </w:r>
      <w:r w:rsidR="00262E50">
        <w:t xml:space="preserve">by 28 October 2022 Aveo serve its expert evidence; </w:t>
      </w:r>
      <w:r w:rsidR="004179FF">
        <w:t xml:space="preserve">and </w:t>
      </w:r>
      <w:r w:rsidR="00262E50">
        <w:t xml:space="preserve">by 25 November 2022 the applicants serve any expert evidence in reply; </w:t>
      </w:r>
      <w:r w:rsidR="00450688">
        <w:t>and</w:t>
      </w:r>
    </w:p>
    <w:p w14:paraId="2D140C86" w14:textId="6719FB76" w:rsidR="00450688" w:rsidRDefault="001D7B98" w:rsidP="001D7B98">
      <w:pPr>
        <w:pStyle w:val="ListNo1alt"/>
        <w:numPr>
          <w:ilvl w:val="0"/>
          <w:numId w:val="0"/>
        </w:numPr>
        <w:tabs>
          <w:tab w:val="left" w:pos="720"/>
        </w:tabs>
        <w:ind w:left="720" w:hanging="720"/>
      </w:pPr>
      <w:r>
        <w:t>(c)</w:t>
      </w:r>
      <w:r>
        <w:tab/>
      </w:r>
      <w:r w:rsidR="000B6A4F">
        <w:t xml:space="preserve">there be a mediation </w:t>
      </w:r>
      <w:r w:rsidR="00262E50">
        <w:t>by 16 December 2022.</w:t>
      </w:r>
      <w:r w:rsidR="000B6A4F">
        <w:t xml:space="preserve"> </w:t>
      </w:r>
    </w:p>
    <w:p w14:paraId="5927C250" w14:textId="2B0B2F15" w:rsidR="003B285E" w:rsidRDefault="001D7B98" w:rsidP="001D7B98">
      <w:pPr>
        <w:pStyle w:val="ParaNumbering"/>
        <w:numPr>
          <w:ilvl w:val="0"/>
          <w:numId w:val="0"/>
        </w:numPr>
        <w:tabs>
          <w:tab w:val="left" w:pos="720"/>
        </w:tabs>
        <w:ind w:hanging="720"/>
      </w:pPr>
      <w:r>
        <w:rPr>
          <w:sz w:val="20"/>
        </w:rPr>
        <w:t>92</w:t>
      </w:r>
      <w:r>
        <w:rPr>
          <w:sz w:val="20"/>
        </w:rPr>
        <w:tab/>
      </w:r>
      <w:r w:rsidR="003B285E">
        <w:t xml:space="preserve">On 5 October 2021 the applicants sought and were granted leave to serve seven subpoenas on retirement villages said to be </w:t>
      </w:r>
      <w:proofErr w:type="gramStart"/>
      <w:r w:rsidR="003B285E">
        <w:t>in close proximity to</w:t>
      </w:r>
      <w:proofErr w:type="gramEnd"/>
      <w:r w:rsidR="003B285E">
        <w:t xml:space="preserve"> the retirement village in which the property the subject of the </w:t>
      </w:r>
      <w:proofErr w:type="spellStart"/>
      <w:r w:rsidR="003B285E">
        <w:t>Colombari</w:t>
      </w:r>
      <w:proofErr w:type="spellEnd"/>
      <w:r w:rsidR="003B285E">
        <w:t xml:space="preserve"> applicants’ claim was located. The documents were said to be necessary for the preparation of the </w:t>
      </w:r>
      <w:proofErr w:type="spellStart"/>
      <w:r w:rsidR="003B285E">
        <w:t>Colombari</w:t>
      </w:r>
      <w:proofErr w:type="spellEnd"/>
      <w:r w:rsidR="003B285E">
        <w:t xml:space="preserve"> applicants’ evidence in relation to the value of their property. On 15 October 2021 the applicants sought and were granted leave to serve </w:t>
      </w:r>
      <w:r w:rsidR="00CE46A0">
        <w:t>six</w:t>
      </w:r>
      <w:r w:rsidR="003B285E">
        <w:t xml:space="preserve"> further subpoenas.</w:t>
      </w:r>
    </w:p>
    <w:p w14:paraId="7E4EBD7C" w14:textId="310BC181" w:rsidR="00674083" w:rsidRDefault="001D7B98" w:rsidP="001D7B98">
      <w:pPr>
        <w:pStyle w:val="ParaNumbering"/>
        <w:numPr>
          <w:ilvl w:val="0"/>
          <w:numId w:val="0"/>
        </w:numPr>
        <w:tabs>
          <w:tab w:val="left" w:pos="720"/>
        </w:tabs>
        <w:ind w:hanging="720"/>
      </w:pPr>
      <w:r>
        <w:rPr>
          <w:sz w:val="20"/>
        </w:rPr>
        <w:t>93</w:t>
      </w:r>
      <w:r>
        <w:rPr>
          <w:sz w:val="20"/>
        </w:rPr>
        <w:tab/>
      </w:r>
      <w:r w:rsidR="001B79A9">
        <w:t>The applicants did not comply with the order</w:t>
      </w:r>
      <w:r w:rsidR="004445B6">
        <w:t xml:space="preserve"> to file </w:t>
      </w:r>
      <w:r w:rsidR="005A7681">
        <w:t xml:space="preserve">points of claim on behalf of sample group members </w:t>
      </w:r>
      <w:r w:rsidR="00813502">
        <w:t>by 24 December 2021</w:t>
      </w:r>
      <w:r w:rsidR="00885208">
        <w:t>, and they were substantially late in that regard</w:t>
      </w:r>
      <w:r w:rsidR="00813502">
        <w:t xml:space="preserve">. </w:t>
      </w:r>
    </w:p>
    <w:p w14:paraId="5FB11FE6" w14:textId="55A188D9" w:rsidR="007E3BD6" w:rsidRDefault="001D7B98" w:rsidP="001D7B98">
      <w:pPr>
        <w:pStyle w:val="ParaNumbering"/>
        <w:numPr>
          <w:ilvl w:val="0"/>
          <w:numId w:val="0"/>
        </w:numPr>
        <w:tabs>
          <w:tab w:val="left" w:pos="720"/>
        </w:tabs>
        <w:ind w:hanging="720"/>
      </w:pPr>
      <w:r>
        <w:rPr>
          <w:sz w:val="20"/>
        </w:rPr>
        <w:t>94</w:t>
      </w:r>
      <w:r>
        <w:rPr>
          <w:sz w:val="20"/>
        </w:rPr>
        <w:tab/>
      </w:r>
      <w:r w:rsidR="00262E50">
        <w:t>On 14 April 2022 the applicants filed an interlocutory application seeking leave to file points of claim on behalf of sample group members</w:t>
      </w:r>
      <w:r w:rsidR="003B285E">
        <w:t>,</w:t>
      </w:r>
      <w:r w:rsidR="00262E50">
        <w:t xml:space="preserve"> outside the</w:t>
      </w:r>
      <w:r w:rsidR="00885208">
        <w:t xml:space="preserve"> </w:t>
      </w:r>
      <w:r w:rsidR="003B285E">
        <w:t xml:space="preserve">timeframe in the </w:t>
      </w:r>
      <w:r w:rsidR="00885208">
        <w:t>first pre-trial timetable</w:t>
      </w:r>
      <w:r w:rsidR="003B285E">
        <w:t xml:space="preserve">. </w:t>
      </w:r>
      <w:r w:rsidR="00CE46A0">
        <w:t>The applicants</w:t>
      </w:r>
      <w:r w:rsidR="00885208">
        <w:t xml:space="preserve"> also sought orders </w:t>
      </w:r>
      <w:r w:rsidR="00262E50">
        <w:t xml:space="preserve">for further discovery by Aveo and for approval of the form, </w:t>
      </w:r>
      <w:proofErr w:type="gramStart"/>
      <w:r w:rsidR="00262E50">
        <w:t>content</w:t>
      </w:r>
      <w:proofErr w:type="gramEnd"/>
      <w:r w:rsidR="00262E50">
        <w:t xml:space="preserve"> and mode of distribution of an opt out notice. In an affidavit</w:t>
      </w:r>
      <w:r w:rsidR="00CE46A0">
        <w:t xml:space="preserve"> in support of the </w:t>
      </w:r>
      <w:r w:rsidR="00CE46A0">
        <w:lastRenderedPageBreak/>
        <w:t>application</w:t>
      </w:r>
      <w:r w:rsidR="00262E50">
        <w:t xml:space="preserve"> sworn 14 April 2022 Mr </w:t>
      </w:r>
      <w:r w:rsidR="00262E50" w:rsidRPr="00C46500">
        <w:t>Levitt</w:t>
      </w:r>
      <w:r w:rsidR="00262E50" w:rsidRPr="00C46500" w:rsidDel="00CE46A0">
        <w:t xml:space="preserve"> </w:t>
      </w:r>
      <w:r w:rsidR="00C46500" w:rsidRPr="009E0FB2">
        <w:t xml:space="preserve">stated </w:t>
      </w:r>
      <w:r w:rsidR="00262E50" w:rsidRPr="00C46500">
        <w:t>that</w:t>
      </w:r>
      <w:r w:rsidR="00262E50">
        <w:t xml:space="preserve"> </w:t>
      </w:r>
      <w:r w:rsidR="00086020">
        <w:t xml:space="preserve">Levitt Robinson </w:t>
      </w:r>
      <w:r w:rsidR="00262E50">
        <w:t>had been unable to comply with the timetable</w:t>
      </w:r>
      <w:r w:rsidR="00086020">
        <w:t xml:space="preserve"> and it </w:t>
      </w:r>
      <w:r w:rsidR="00262E50">
        <w:t>expected to serve the last sample group member’s points of claim before the end of April 2022. He said that preparing the points of claim had taken much longer than anticipated including because of: (a) the commitments of Mr Imlay and counsel arising from the rescheduling of the settlement approval application in the 7-Eleven class action; (b) difficulties in finding appropriate sample group members and investigating their claims; (c) deficiencies in the information discovered by Aveo relevant to sample group members’ claims; (d) the appointment of senior counsel in the</w:t>
      </w:r>
      <w:r w:rsidR="00086020">
        <w:t xml:space="preserve"> proceeding </w:t>
      </w:r>
      <w:r w:rsidR="00262E50">
        <w:t xml:space="preserve">as </w:t>
      </w:r>
      <w:r w:rsidR="00086020">
        <w:t xml:space="preserve">the </w:t>
      </w:r>
      <w:r w:rsidR="00262E50">
        <w:t>counsel assisting the Star Casino Royal Commission</w:t>
      </w:r>
      <w:r w:rsidR="00086020">
        <w:t>, so that he was no longer available</w:t>
      </w:r>
      <w:r w:rsidR="00262E50">
        <w:t>; and (e) that the delay in investigating sample group members’ claims meant that the time set aside in December 2021 by two other members of the counsel team could not be utilised.</w:t>
      </w:r>
    </w:p>
    <w:p w14:paraId="0D5C91A1" w14:textId="60AFDC41" w:rsidR="00262E50" w:rsidRDefault="001D7B98" w:rsidP="001D7B98">
      <w:pPr>
        <w:pStyle w:val="ParaNumbering"/>
        <w:numPr>
          <w:ilvl w:val="0"/>
          <w:numId w:val="0"/>
        </w:numPr>
        <w:tabs>
          <w:tab w:val="left" w:pos="720"/>
        </w:tabs>
        <w:ind w:hanging="720"/>
      </w:pPr>
      <w:r>
        <w:rPr>
          <w:sz w:val="20"/>
        </w:rPr>
        <w:t>95</w:t>
      </w:r>
      <w:r>
        <w:rPr>
          <w:sz w:val="20"/>
        </w:rPr>
        <w:tab/>
      </w:r>
      <w:r w:rsidR="009B279D">
        <w:t>Mr Levitt</w:t>
      </w:r>
      <w:r w:rsidR="00C46500">
        <w:t xml:space="preserve"> further </w:t>
      </w:r>
      <w:r w:rsidR="007E3BD6">
        <w:t xml:space="preserve">stated </w:t>
      </w:r>
      <w:r w:rsidR="009B279D">
        <w:t xml:space="preserve">that </w:t>
      </w:r>
      <w:r w:rsidR="00086020">
        <w:t xml:space="preserve">the parties had agreed </w:t>
      </w:r>
      <w:r w:rsidR="00262E50">
        <w:t xml:space="preserve">on </w:t>
      </w:r>
      <w:r w:rsidR="00086020">
        <w:t xml:space="preserve">the </w:t>
      </w:r>
      <w:r w:rsidR="00262E50">
        <w:t>categories of discovery</w:t>
      </w:r>
      <w:r w:rsidR="00086020">
        <w:t xml:space="preserve"> in relation to </w:t>
      </w:r>
      <w:r w:rsidR="00262E50">
        <w:t xml:space="preserve">the </w:t>
      </w:r>
      <w:r w:rsidR="00C46500">
        <w:t xml:space="preserve">new </w:t>
      </w:r>
      <w:proofErr w:type="spellStart"/>
      <w:r w:rsidR="009B279D">
        <w:t>Colombari</w:t>
      </w:r>
      <w:proofErr w:type="spellEnd"/>
      <w:r w:rsidR="009B279D">
        <w:t xml:space="preserve"> </w:t>
      </w:r>
      <w:r w:rsidR="00262E50">
        <w:t xml:space="preserve">applicants </w:t>
      </w:r>
      <w:r w:rsidR="00C46500">
        <w:t xml:space="preserve">added in November 2021; that </w:t>
      </w:r>
      <w:r w:rsidR="004357DA">
        <w:t>s</w:t>
      </w:r>
      <w:r w:rsidR="009B279D">
        <w:t xml:space="preserve">uch </w:t>
      </w:r>
      <w:r w:rsidR="00262E50">
        <w:t xml:space="preserve">discovery had largely been provided, and </w:t>
      </w:r>
      <w:r w:rsidR="004357DA">
        <w:t xml:space="preserve">that </w:t>
      </w:r>
      <w:r w:rsidR="00262E50">
        <w:t xml:space="preserve">all but one of the categories of further discovery by Aveo had been agreed. Levitt Robinson had provided a proposed opt out notice and orders </w:t>
      </w:r>
      <w:r w:rsidR="00086020">
        <w:t xml:space="preserve">to </w:t>
      </w:r>
      <w:proofErr w:type="gramStart"/>
      <w:r w:rsidR="00086020">
        <w:t>Aveo</w:t>
      </w:r>
      <w:proofErr w:type="gramEnd"/>
      <w:r w:rsidR="00086020">
        <w:t xml:space="preserve"> </w:t>
      </w:r>
      <w:r w:rsidR="00262E50">
        <w:t xml:space="preserve">but the parties had been unable to agree on the </w:t>
      </w:r>
      <w:r w:rsidR="00E47D04">
        <w:t>f</w:t>
      </w:r>
      <w:r w:rsidR="000B3B03">
        <w:t>orm of</w:t>
      </w:r>
      <w:r w:rsidR="00AB7C32">
        <w:t xml:space="preserve"> </w:t>
      </w:r>
      <w:r w:rsidR="00262E50">
        <w:t>the notice.</w:t>
      </w:r>
    </w:p>
    <w:p w14:paraId="4D918C35" w14:textId="37E82A69" w:rsidR="00086020" w:rsidRDefault="001D7B98" w:rsidP="001D7B98">
      <w:pPr>
        <w:pStyle w:val="ParaNumbering"/>
        <w:numPr>
          <w:ilvl w:val="0"/>
          <w:numId w:val="0"/>
        </w:numPr>
        <w:tabs>
          <w:tab w:val="left" w:pos="720"/>
        </w:tabs>
        <w:ind w:hanging="720"/>
      </w:pPr>
      <w:r>
        <w:rPr>
          <w:sz w:val="20"/>
        </w:rPr>
        <w:t>96</w:t>
      </w:r>
      <w:r>
        <w:rPr>
          <w:sz w:val="20"/>
        </w:rPr>
        <w:tab/>
      </w:r>
      <w:r w:rsidR="00262E50">
        <w:t xml:space="preserve">I heard the </w:t>
      </w:r>
      <w:r w:rsidR="004357DA">
        <w:t xml:space="preserve">applicants’ </w:t>
      </w:r>
      <w:r w:rsidR="00262E50">
        <w:t xml:space="preserve">application </w:t>
      </w:r>
      <w:r w:rsidR="004F2E37">
        <w:t>for</w:t>
      </w:r>
      <w:r w:rsidR="004F2E37" w:rsidDel="004357DA">
        <w:t xml:space="preserve"> </w:t>
      </w:r>
      <w:r w:rsidR="004357DA">
        <w:t xml:space="preserve">variation of </w:t>
      </w:r>
      <w:r w:rsidR="004F2E37">
        <w:t xml:space="preserve">the </w:t>
      </w:r>
      <w:r w:rsidR="004357DA">
        <w:t xml:space="preserve">first </w:t>
      </w:r>
      <w:r w:rsidR="004F2E37">
        <w:t xml:space="preserve">pre-trial timetable </w:t>
      </w:r>
      <w:r w:rsidR="00262E50">
        <w:t>on 21 April 2022</w:t>
      </w:r>
      <w:r w:rsidR="00887EC5">
        <w:t xml:space="preserve">. By </w:t>
      </w:r>
      <w:r w:rsidR="00262E50">
        <w:t>orders that day</w:t>
      </w:r>
      <w:r w:rsidR="00887EC5">
        <w:t xml:space="preserve"> I revised some aspects of the first pre-trial timetable by extending the time for compliance (the </w:t>
      </w:r>
      <w:r w:rsidR="00887EC5" w:rsidRPr="00887EC5">
        <w:rPr>
          <w:b/>
          <w:bCs/>
        </w:rPr>
        <w:t>second pre-trial timetable</w:t>
      </w:r>
      <w:r w:rsidR="00887EC5">
        <w:t>) so that</w:t>
      </w:r>
      <w:r w:rsidR="00086020">
        <w:t>:</w:t>
      </w:r>
    </w:p>
    <w:p w14:paraId="09A87B1F" w14:textId="65F660B0" w:rsidR="00677D06" w:rsidRDefault="001D7B98" w:rsidP="001D7B98">
      <w:pPr>
        <w:pStyle w:val="ListNo1alt"/>
        <w:numPr>
          <w:ilvl w:val="0"/>
          <w:numId w:val="0"/>
        </w:numPr>
        <w:tabs>
          <w:tab w:val="left" w:pos="720"/>
        </w:tabs>
        <w:ind w:left="720" w:hanging="720"/>
      </w:pPr>
      <w:r>
        <w:t>(a)</w:t>
      </w:r>
      <w:r>
        <w:tab/>
      </w:r>
      <w:r w:rsidR="00D41B41">
        <w:t>by 29 April 2022,</w:t>
      </w:r>
      <w:r w:rsidR="00262E50">
        <w:t xml:space="preserve"> the</w:t>
      </w:r>
      <w:r w:rsidR="00086020">
        <w:t xml:space="preserve"> applicants</w:t>
      </w:r>
      <w:r w:rsidR="00D41B41">
        <w:t xml:space="preserve"> serve </w:t>
      </w:r>
      <w:r w:rsidR="00262E50">
        <w:t>the last of the sample group members’ points of claim</w:t>
      </w:r>
      <w:r w:rsidR="00D41B41">
        <w:t xml:space="preserve">. </w:t>
      </w:r>
      <w:r w:rsidR="00262E50">
        <w:t xml:space="preserve">Aveo </w:t>
      </w:r>
      <w:r w:rsidR="00D41B41">
        <w:t xml:space="preserve">was directed </w:t>
      </w:r>
      <w:r w:rsidR="00262E50">
        <w:t>to advise as to whether it consented to the points of claim provided to it</w:t>
      </w:r>
      <w:r w:rsidR="004357DA">
        <w:t xml:space="preserve"> by 6 May 2022</w:t>
      </w:r>
      <w:r w:rsidR="00677D06">
        <w:t xml:space="preserve">. If there was no dispute </w:t>
      </w:r>
      <w:r w:rsidR="00262E50">
        <w:t>Aveo was</w:t>
      </w:r>
      <w:r w:rsidR="00677D06">
        <w:t xml:space="preserve"> ordered </w:t>
      </w:r>
      <w:r w:rsidR="00262E50">
        <w:t xml:space="preserve">to serve points of defence in relation to sample group members’ points of claim by 24 June </w:t>
      </w:r>
      <w:proofErr w:type="gramStart"/>
      <w:r w:rsidR="00262E50">
        <w:t>2022</w:t>
      </w:r>
      <w:r w:rsidR="00677D06">
        <w:t>;</w:t>
      </w:r>
      <w:proofErr w:type="gramEnd"/>
    </w:p>
    <w:p w14:paraId="2D487C7F" w14:textId="7EB0F6BB" w:rsidR="0005340F" w:rsidRDefault="001D7B98" w:rsidP="001D7B98">
      <w:pPr>
        <w:pStyle w:val="ListNo1alt"/>
        <w:numPr>
          <w:ilvl w:val="0"/>
          <w:numId w:val="0"/>
        </w:numPr>
        <w:tabs>
          <w:tab w:val="left" w:pos="720"/>
        </w:tabs>
        <w:ind w:left="720" w:hanging="720"/>
      </w:pPr>
      <w:r>
        <w:t>(b)</w:t>
      </w:r>
      <w:r>
        <w:tab/>
      </w:r>
      <w:r w:rsidR="00262E50">
        <w:t>for</w:t>
      </w:r>
      <w:r w:rsidR="00677D06">
        <w:t xml:space="preserve"> Aveo to provide </w:t>
      </w:r>
      <w:r w:rsidR="00262E50">
        <w:t>discovery in respect to sample group members by 24 June 2022</w:t>
      </w:r>
      <w:r w:rsidR="0005340F">
        <w:t>;</w:t>
      </w:r>
      <w:r w:rsidR="00AE35AE">
        <w:t xml:space="preserve"> and</w:t>
      </w:r>
    </w:p>
    <w:p w14:paraId="0DAC5EEB" w14:textId="5498A2F8" w:rsidR="00D41A73" w:rsidRDefault="001D7B98" w:rsidP="001D7B98">
      <w:pPr>
        <w:pStyle w:val="ListNo1alt"/>
        <w:numPr>
          <w:ilvl w:val="0"/>
          <w:numId w:val="0"/>
        </w:numPr>
        <w:tabs>
          <w:tab w:val="left" w:pos="720"/>
        </w:tabs>
        <w:ind w:left="720" w:hanging="720"/>
      </w:pPr>
      <w:r>
        <w:t>(c)</w:t>
      </w:r>
      <w:r>
        <w:tab/>
      </w:r>
      <w:r w:rsidR="0005340F">
        <w:t xml:space="preserve">to extend the time for the parties to serve their lay and evidence, </w:t>
      </w:r>
      <w:r w:rsidR="00D41A73">
        <w:t>as follows:</w:t>
      </w:r>
    </w:p>
    <w:p w14:paraId="63D462D9" w14:textId="28801454" w:rsidR="00262E50" w:rsidRDefault="001D7B98" w:rsidP="001D7B98">
      <w:pPr>
        <w:pStyle w:val="ListNo2alt"/>
        <w:numPr>
          <w:ilvl w:val="0"/>
          <w:numId w:val="0"/>
        </w:numPr>
        <w:tabs>
          <w:tab w:val="left" w:pos="1440"/>
        </w:tabs>
        <w:ind w:left="1440" w:hanging="720"/>
      </w:pPr>
      <w:r>
        <w:t>(</w:t>
      </w:r>
      <w:proofErr w:type="spellStart"/>
      <w:r>
        <w:t>i</w:t>
      </w:r>
      <w:proofErr w:type="spellEnd"/>
      <w:r>
        <w:t>)</w:t>
      </w:r>
      <w:r>
        <w:tab/>
      </w:r>
      <w:r w:rsidR="00262E50">
        <w:t>by 22 July 2022 the applicants serve their lay evidence; by 16 September 2022</w:t>
      </w:r>
      <w:r w:rsidR="00C136FE">
        <w:t>,</w:t>
      </w:r>
      <w:r w:rsidR="00262E50">
        <w:t xml:space="preserve"> Aveo serve its lay evidence; </w:t>
      </w:r>
      <w:r w:rsidR="004357DA">
        <w:t xml:space="preserve">and </w:t>
      </w:r>
      <w:r w:rsidR="00262E50">
        <w:t>by 7 October 2022</w:t>
      </w:r>
      <w:r w:rsidR="00C136FE">
        <w:t>,</w:t>
      </w:r>
      <w:r w:rsidR="00262E50">
        <w:t xml:space="preserve"> the applicants serve any lay evidence in reply; </w:t>
      </w:r>
      <w:r w:rsidR="00E83B02">
        <w:t>and</w:t>
      </w:r>
    </w:p>
    <w:p w14:paraId="65E113F1" w14:textId="627B1FCE" w:rsidR="00262E50" w:rsidRDefault="001D7B98" w:rsidP="001D7B98">
      <w:pPr>
        <w:pStyle w:val="ListNo2alt"/>
        <w:numPr>
          <w:ilvl w:val="0"/>
          <w:numId w:val="0"/>
        </w:numPr>
        <w:tabs>
          <w:tab w:val="left" w:pos="1440"/>
        </w:tabs>
        <w:ind w:left="1440" w:hanging="720"/>
      </w:pPr>
      <w:r>
        <w:lastRenderedPageBreak/>
        <w:t>(ii)</w:t>
      </w:r>
      <w:r>
        <w:tab/>
      </w:r>
      <w:r w:rsidR="00262E50">
        <w:t>by 19 August 2022 the applicant</w:t>
      </w:r>
      <w:r w:rsidR="00F50409">
        <w:t>s</w:t>
      </w:r>
      <w:r w:rsidR="00262E50">
        <w:t xml:space="preserve"> serve their expert evidence; by 18 November 2022 Aveo serve its expert evidence; and by 9 December 2022 the applicants serve any expert evidence in </w:t>
      </w:r>
      <w:r w:rsidR="00F55FCD">
        <w:t>re</w:t>
      </w:r>
      <w:r w:rsidR="00262E50">
        <w:t>ply.</w:t>
      </w:r>
    </w:p>
    <w:p w14:paraId="06C70116" w14:textId="4BC86943" w:rsidR="00262E50" w:rsidRDefault="001D7B98" w:rsidP="001D7B98">
      <w:pPr>
        <w:pStyle w:val="ParaNumbering"/>
        <w:numPr>
          <w:ilvl w:val="0"/>
          <w:numId w:val="0"/>
        </w:numPr>
        <w:tabs>
          <w:tab w:val="left" w:pos="720"/>
        </w:tabs>
        <w:ind w:hanging="720"/>
      </w:pPr>
      <w:r>
        <w:rPr>
          <w:sz w:val="20"/>
        </w:rPr>
        <w:t>97</w:t>
      </w:r>
      <w:r>
        <w:rPr>
          <w:sz w:val="20"/>
        </w:rPr>
        <w:tab/>
      </w:r>
      <w:r w:rsidR="001504D5">
        <w:t>In an affidavit by Danielle Gleeson</w:t>
      </w:r>
      <w:r w:rsidR="002910B8">
        <w:t xml:space="preserve">, a solicitor </w:t>
      </w:r>
      <w:r w:rsidR="00B654D6">
        <w:t xml:space="preserve">at </w:t>
      </w:r>
      <w:r w:rsidR="002910B8">
        <w:t xml:space="preserve">Levitt Robinson, dated </w:t>
      </w:r>
      <w:r w:rsidR="00262E50">
        <w:t xml:space="preserve">20 May 2022 </w:t>
      </w:r>
      <w:r w:rsidR="002910B8">
        <w:t xml:space="preserve">she exhibited correspondence to show that </w:t>
      </w:r>
      <w:r w:rsidR="00262E50">
        <w:t>the parties:</w:t>
      </w:r>
    </w:p>
    <w:p w14:paraId="1B815820" w14:textId="71685D19" w:rsidR="00262E50" w:rsidRDefault="001D7B98" w:rsidP="001D7B98">
      <w:pPr>
        <w:pStyle w:val="ListNo1alt"/>
        <w:numPr>
          <w:ilvl w:val="0"/>
          <w:numId w:val="0"/>
        </w:numPr>
        <w:tabs>
          <w:tab w:val="left" w:pos="720"/>
        </w:tabs>
        <w:ind w:left="720" w:hanging="720"/>
      </w:pPr>
      <w:r>
        <w:t>(a)</w:t>
      </w:r>
      <w:r>
        <w:tab/>
      </w:r>
      <w:r w:rsidR="00262E50">
        <w:t>had resolved all disputes regarding the further categories of documents to be discovered by Aveo; and</w:t>
      </w:r>
    </w:p>
    <w:p w14:paraId="4C1E80C4" w14:textId="57D06966" w:rsidR="00262E50" w:rsidRDefault="001D7B98" w:rsidP="001D7B98">
      <w:pPr>
        <w:pStyle w:val="ListNo1alt"/>
        <w:numPr>
          <w:ilvl w:val="0"/>
          <w:numId w:val="0"/>
        </w:numPr>
        <w:tabs>
          <w:tab w:val="left" w:pos="720"/>
        </w:tabs>
        <w:ind w:left="720" w:hanging="720"/>
      </w:pPr>
      <w:r>
        <w:t>(b)</w:t>
      </w:r>
      <w:r>
        <w:tab/>
      </w:r>
      <w:r w:rsidR="00262E50">
        <w:t>had agreed the form of the proposed opt out orders but not the form of the proposed opt out notice or newspaper notice.</w:t>
      </w:r>
    </w:p>
    <w:p w14:paraId="493EC16F" w14:textId="1C5C27FE" w:rsidR="00262E50" w:rsidRDefault="00177B86" w:rsidP="00262E50">
      <w:pPr>
        <w:pStyle w:val="NoNum"/>
      </w:pPr>
      <w:r>
        <w:t xml:space="preserve">The correspondence showed that </w:t>
      </w:r>
      <w:r w:rsidR="00262E50">
        <w:t xml:space="preserve">Aveo was not persuaded as to the utility of hearing the sample group member claims </w:t>
      </w:r>
      <w:r w:rsidR="002910B8">
        <w:t xml:space="preserve">as part of the initial trial </w:t>
      </w:r>
      <w:r w:rsidR="00262E50">
        <w:t xml:space="preserve">and it neither consented to nor opposed the filing of points of claim in relation to them. </w:t>
      </w:r>
    </w:p>
    <w:p w14:paraId="58A5E7BE" w14:textId="5BFEC4CA" w:rsidR="00D41A73" w:rsidRDefault="001D7B98" w:rsidP="001D7B98">
      <w:pPr>
        <w:pStyle w:val="ParaNumbering"/>
        <w:numPr>
          <w:ilvl w:val="0"/>
          <w:numId w:val="0"/>
        </w:numPr>
        <w:tabs>
          <w:tab w:val="left" w:pos="720"/>
        </w:tabs>
        <w:ind w:hanging="720"/>
      </w:pPr>
      <w:r>
        <w:rPr>
          <w:sz w:val="20"/>
        </w:rPr>
        <w:t>98</w:t>
      </w:r>
      <w:r>
        <w:rPr>
          <w:sz w:val="20"/>
        </w:rPr>
        <w:tab/>
      </w:r>
      <w:r w:rsidR="00262E50">
        <w:t>The proceeding was then transferred to the docket of</w:t>
      </w:r>
      <w:r w:rsidR="00D41A73">
        <w:t xml:space="preserve"> </w:t>
      </w:r>
      <w:r w:rsidR="005F2E06">
        <w:t>Justice Anderson (</w:t>
      </w:r>
      <w:r w:rsidR="00B91689">
        <w:t xml:space="preserve">the </w:t>
      </w:r>
      <w:r w:rsidR="005F2E06" w:rsidRPr="005F2E06">
        <w:rPr>
          <w:b/>
          <w:bCs/>
        </w:rPr>
        <w:t>trial judge</w:t>
      </w:r>
      <w:r w:rsidR="005F2E06">
        <w:t>).</w:t>
      </w:r>
      <w:r w:rsidR="002910B8">
        <w:t xml:space="preserve"> His Honour listed the proceeding </w:t>
      </w:r>
      <w:r w:rsidR="00D41A73">
        <w:t>for a</w:t>
      </w:r>
      <w:r w:rsidR="002910B8">
        <w:t xml:space="preserve"> case management hearing </w:t>
      </w:r>
      <w:r w:rsidR="00262E50">
        <w:t>on 2 June 2022</w:t>
      </w:r>
      <w:r w:rsidR="002910B8">
        <w:t>,</w:t>
      </w:r>
      <w:r w:rsidR="005F2E06">
        <w:t xml:space="preserve"> and </w:t>
      </w:r>
      <w:r w:rsidR="00262E50">
        <w:t>made orders</w:t>
      </w:r>
      <w:r w:rsidR="002910B8">
        <w:t xml:space="preserve"> that day</w:t>
      </w:r>
      <w:r w:rsidR="00D41A73">
        <w:t>:</w:t>
      </w:r>
    </w:p>
    <w:p w14:paraId="5AB51B37" w14:textId="6946CBA1" w:rsidR="00D41A73" w:rsidRDefault="001D7B98" w:rsidP="001D7B98">
      <w:pPr>
        <w:pStyle w:val="ListNo1alt"/>
        <w:numPr>
          <w:ilvl w:val="0"/>
          <w:numId w:val="0"/>
        </w:numPr>
        <w:tabs>
          <w:tab w:val="left" w:pos="720"/>
        </w:tabs>
        <w:ind w:left="720" w:hanging="720"/>
      </w:pPr>
      <w:r>
        <w:t>(a)</w:t>
      </w:r>
      <w:r>
        <w:tab/>
      </w:r>
      <w:r w:rsidR="00262E50">
        <w:t>granting leave to the applicant to</w:t>
      </w:r>
      <w:r w:rsidR="00D41A73">
        <w:t xml:space="preserve"> file and serve </w:t>
      </w:r>
      <w:r w:rsidR="00262E50">
        <w:t>the proposed points of claim for five sample group members</w:t>
      </w:r>
      <w:r w:rsidR="00D41A73">
        <w:t xml:space="preserve"> (</w:t>
      </w:r>
      <w:r w:rsidR="009B18C4">
        <w:t>which had already been provided to Aveo</w:t>
      </w:r>
      <w:proofErr w:type="gramStart"/>
      <w:r w:rsidR="009B18C4">
        <w:t>);</w:t>
      </w:r>
      <w:proofErr w:type="gramEnd"/>
      <w:r w:rsidR="00262E50">
        <w:t xml:space="preserve"> </w:t>
      </w:r>
    </w:p>
    <w:p w14:paraId="795196C9" w14:textId="355A6E50" w:rsidR="009B18C4" w:rsidRDefault="001D7B98" w:rsidP="001D7B98">
      <w:pPr>
        <w:pStyle w:val="ListNo1alt"/>
        <w:numPr>
          <w:ilvl w:val="0"/>
          <w:numId w:val="0"/>
        </w:numPr>
        <w:tabs>
          <w:tab w:val="left" w:pos="720"/>
        </w:tabs>
        <w:ind w:left="720" w:hanging="720"/>
      </w:pPr>
      <w:r>
        <w:t>(b)</w:t>
      </w:r>
      <w:r>
        <w:tab/>
      </w:r>
      <w:r w:rsidR="00262E50">
        <w:t>for Aveo to file and serve points of defence by 24 June 2022</w:t>
      </w:r>
      <w:r w:rsidR="00AE35AE">
        <w:t xml:space="preserve">; </w:t>
      </w:r>
      <w:r w:rsidR="00262E50">
        <w:t>and</w:t>
      </w:r>
    </w:p>
    <w:p w14:paraId="078F9E30" w14:textId="01D722B0" w:rsidR="00262E50" w:rsidRDefault="001D7B98" w:rsidP="001D7B98">
      <w:pPr>
        <w:pStyle w:val="ListNo1alt"/>
        <w:numPr>
          <w:ilvl w:val="0"/>
          <w:numId w:val="0"/>
        </w:numPr>
        <w:tabs>
          <w:tab w:val="left" w:pos="720"/>
        </w:tabs>
        <w:ind w:left="720" w:hanging="720"/>
      </w:pPr>
      <w:r>
        <w:t>(c)</w:t>
      </w:r>
      <w:r>
        <w:tab/>
      </w:r>
      <w:r w:rsidR="00262E50">
        <w:t xml:space="preserve">to appoint an </w:t>
      </w:r>
      <w:proofErr w:type="gramStart"/>
      <w:r w:rsidR="00262E50" w:rsidRPr="00D41A73">
        <w:rPr>
          <w:i/>
          <w:iCs/>
        </w:rPr>
        <w:t>amicus curiae</w:t>
      </w:r>
      <w:proofErr w:type="gramEnd"/>
      <w:r w:rsidR="00262E50">
        <w:t xml:space="preserve"> to represent the interests of group members who had not sold the</w:t>
      </w:r>
      <w:r w:rsidR="009B18C4">
        <w:t>ir</w:t>
      </w:r>
      <w:r w:rsidR="00262E50">
        <w:t xml:space="preserve"> unit</w:t>
      </w:r>
      <w:r w:rsidR="009B18C4">
        <w:t xml:space="preserve">s and had </w:t>
      </w:r>
      <w:r w:rsidR="00262E50">
        <w:t>not</w:t>
      </w:r>
      <w:r w:rsidR="00262E50" w:rsidDel="00177B86">
        <w:t xml:space="preserve"> </w:t>
      </w:r>
      <w:r w:rsidR="00177B86">
        <w:t xml:space="preserve">entered into </w:t>
      </w:r>
      <w:r w:rsidR="00262E50">
        <w:t xml:space="preserve">a LFA. The </w:t>
      </w:r>
      <w:r w:rsidR="00262E50" w:rsidRPr="00D41A73">
        <w:rPr>
          <w:i/>
          <w:iCs/>
        </w:rPr>
        <w:t>amicus</w:t>
      </w:r>
      <w:r w:rsidR="00262E50">
        <w:t xml:space="preserve"> was appointed because Aveo expressed concerns regarding </w:t>
      </w:r>
      <w:r w:rsidR="009B18C4">
        <w:t>the</w:t>
      </w:r>
      <w:r w:rsidR="00262E50">
        <w:t xml:space="preserve"> form of funding equalisation order that the applicants’ proposed opt out notice had said Galactic might seek in relation to</w:t>
      </w:r>
      <w:r w:rsidR="00262E50" w:rsidDel="00177B86">
        <w:t xml:space="preserve"> </w:t>
      </w:r>
      <w:r w:rsidR="00177B86">
        <w:t xml:space="preserve">unfunded </w:t>
      </w:r>
      <w:r w:rsidR="00262E50">
        <w:t xml:space="preserve">group members. </w:t>
      </w:r>
    </w:p>
    <w:p w14:paraId="2BB44944" w14:textId="2D250FAD" w:rsidR="00262E50" w:rsidRDefault="001D7B98" w:rsidP="001D7B98">
      <w:pPr>
        <w:pStyle w:val="ParaNumbering"/>
        <w:numPr>
          <w:ilvl w:val="0"/>
          <w:numId w:val="0"/>
        </w:numPr>
        <w:tabs>
          <w:tab w:val="left" w:pos="720"/>
        </w:tabs>
        <w:ind w:hanging="720"/>
      </w:pPr>
      <w:r>
        <w:rPr>
          <w:sz w:val="20"/>
        </w:rPr>
        <w:t>99</w:t>
      </w:r>
      <w:r>
        <w:rPr>
          <w:sz w:val="20"/>
        </w:rPr>
        <w:tab/>
      </w:r>
      <w:r w:rsidR="00262E50">
        <w:t xml:space="preserve">On 4 July 2022, at the applicants’ request, the Court issued 29 subpoenas all of which were </w:t>
      </w:r>
      <w:r w:rsidR="00177B86">
        <w:t xml:space="preserve">said </w:t>
      </w:r>
      <w:r w:rsidR="00262E50">
        <w:t>to</w:t>
      </w:r>
      <w:r w:rsidR="00177B86">
        <w:t xml:space="preserve"> be to</w:t>
      </w:r>
      <w:r w:rsidR="00262E50">
        <w:t xml:space="preserve"> assist with the preparation of the</w:t>
      </w:r>
      <w:r w:rsidR="00262E50" w:rsidDel="00177B86">
        <w:t xml:space="preserve"> </w:t>
      </w:r>
      <w:r w:rsidR="00177B86">
        <w:t xml:space="preserve">applicants' </w:t>
      </w:r>
      <w:r w:rsidR="00262E50">
        <w:t xml:space="preserve">expert evidence. 25 of the subpoenas were issued to retirement village operators seeking sales information to assist in the preparation of reports by the applicants’ </w:t>
      </w:r>
      <w:r w:rsidR="007E3BD6">
        <w:t xml:space="preserve">expert </w:t>
      </w:r>
      <w:r w:rsidR="00262E50">
        <w:t xml:space="preserve">valuer in relation to the </w:t>
      </w:r>
      <w:r w:rsidR="00177B86">
        <w:t xml:space="preserve">claims of the </w:t>
      </w:r>
      <w:r w:rsidR="00262E50">
        <w:t>sample group members, and five were issued to accounting firms and real estate agents seeking information requested by the applicants’ forensic accountant.</w:t>
      </w:r>
    </w:p>
    <w:p w14:paraId="3E6B8786" w14:textId="384AEAF8" w:rsidR="00262E50" w:rsidRDefault="001D7B98" w:rsidP="001D7B98">
      <w:pPr>
        <w:pStyle w:val="ParaNumbering"/>
        <w:numPr>
          <w:ilvl w:val="0"/>
          <w:numId w:val="0"/>
        </w:numPr>
        <w:tabs>
          <w:tab w:val="left" w:pos="720"/>
        </w:tabs>
        <w:ind w:hanging="720"/>
      </w:pPr>
      <w:r>
        <w:rPr>
          <w:sz w:val="20"/>
        </w:rPr>
        <w:lastRenderedPageBreak/>
        <w:t>100</w:t>
      </w:r>
      <w:r>
        <w:rPr>
          <w:sz w:val="20"/>
        </w:rPr>
        <w:tab/>
      </w:r>
      <w:r w:rsidR="00262E50">
        <w:t>On 9 August 2022</w:t>
      </w:r>
      <w:r w:rsidR="00262E50" w:rsidDel="00EB0ACE">
        <w:t xml:space="preserve"> </w:t>
      </w:r>
      <w:r w:rsidR="00EB0ACE">
        <w:t xml:space="preserve">the trial judge heard </w:t>
      </w:r>
      <w:r w:rsidR="00AA7388">
        <w:t>an interlocutory</w:t>
      </w:r>
      <w:r w:rsidR="00AA7388" w:rsidDel="00EB0ACE">
        <w:t xml:space="preserve"> </w:t>
      </w:r>
      <w:r w:rsidR="00EB0ACE">
        <w:t xml:space="preserve">application </w:t>
      </w:r>
      <w:r w:rsidR="00262E50">
        <w:t xml:space="preserve">in relation to the appropriate form of </w:t>
      </w:r>
      <w:r w:rsidR="00EB0ACE">
        <w:t xml:space="preserve">the </w:t>
      </w:r>
      <w:r w:rsidR="00262E50">
        <w:t>opt out notice</w:t>
      </w:r>
      <w:r w:rsidR="009B18C4">
        <w:t>, in which</w:t>
      </w:r>
      <w:r w:rsidR="00262E50">
        <w:t xml:space="preserve"> </w:t>
      </w:r>
      <w:r w:rsidR="00AA7388">
        <w:t xml:space="preserve">the </w:t>
      </w:r>
      <w:r w:rsidR="00262E50" w:rsidRPr="00EC6AD2">
        <w:rPr>
          <w:i/>
          <w:iCs/>
        </w:rPr>
        <w:t>amicus</w:t>
      </w:r>
      <w:r w:rsidR="00262E50">
        <w:rPr>
          <w:i/>
        </w:rPr>
        <w:t xml:space="preserve"> </w:t>
      </w:r>
      <w:r w:rsidR="00151631" w:rsidRPr="00D41A73">
        <w:rPr>
          <w:i/>
          <w:iCs/>
        </w:rPr>
        <w:t>curiae</w:t>
      </w:r>
      <w:r w:rsidR="00262E50">
        <w:t xml:space="preserve"> opposed the form of opt out notice proposed by Levitt Robinson. On 12 September 2022 his Honour </w:t>
      </w:r>
      <w:r w:rsidR="005F2E06">
        <w:t>made</w:t>
      </w:r>
      <w:r w:rsidR="00262E50">
        <w:t xml:space="preserve"> orders approving the form and content of the opt out notice in a revised form.</w:t>
      </w:r>
    </w:p>
    <w:p w14:paraId="3E3B0702" w14:textId="2658D0B1" w:rsidR="00262E50" w:rsidRDefault="001D7B98" w:rsidP="001D7B98">
      <w:pPr>
        <w:pStyle w:val="ParaNumbering"/>
        <w:numPr>
          <w:ilvl w:val="0"/>
          <w:numId w:val="0"/>
        </w:numPr>
        <w:tabs>
          <w:tab w:val="left" w:pos="720"/>
        </w:tabs>
        <w:ind w:hanging="720"/>
      </w:pPr>
      <w:r>
        <w:rPr>
          <w:sz w:val="20"/>
        </w:rPr>
        <w:t>101</w:t>
      </w:r>
      <w:r>
        <w:rPr>
          <w:sz w:val="20"/>
        </w:rPr>
        <w:tab/>
      </w:r>
      <w:r w:rsidR="00262E50">
        <w:t>The applicants</w:t>
      </w:r>
      <w:r w:rsidR="00262E50" w:rsidDel="00E94E1C">
        <w:t xml:space="preserve"> </w:t>
      </w:r>
      <w:r w:rsidR="00E94E1C">
        <w:t xml:space="preserve">failed to </w:t>
      </w:r>
      <w:r w:rsidR="00262E50">
        <w:t>serve their lay evidence in compliance with the</w:t>
      </w:r>
      <w:r w:rsidR="00AA7388">
        <w:t xml:space="preserve"> second pre-trial </w:t>
      </w:r>
      <w:r w:rsidR="00262E50">
        <w:t>timetable.</w:t>
      </w:r>
      <w:r w:rsidR="00AA7388">
        <w:t xml:space="preserve"> Instead, they </w:t>
      </w:r>
      <w:r w:rsidR="00262E50">
        <w:t>served 12 lay affidavits between 29 July and 19 August 2022, between about one week and one month late</w:t>
      </w:r>
      <w:r w:rsidR="00442379">
        <w:t xml:space="preserve">r </w:t>
      </w:r>
      <w:r w:rsidR="00262E50">
        <w:t>than</w:t>
      </w:r>
      <w:r w:rsidR="00AA7388" w:rsidDel="00EB0ACE">
        <w:t xml:space="preserve"> </w:t>
      </w:r>
      <w:r w:rsidR="00EB0ACE">
        <w:t>that</w:t>
      </w:r>
      <w:r w:rsidR="007035DF">
        <w:t xml:space="preserve"> extended </w:t>
      </w:r>
      <w:r w:rsidR="00262E50">
        <w:t>timetable. Aveo was required to serve its lay evidence by 16 September 2022 but given</w:t>
      </w:r>
      <w:r w:rsidR="00262E50" w:rsidDel="00E94E1C">
        <w:t xml:space="preserve"> the </w:t>
      </w:r>
      <w:r w:rsidR="00262E50">
        <w:t>delay</w:t>
      </w:r>
      <w:r w:rsidR="00262E50" w:rsidDel="00E94E1C">
        <w:t xml:space="preserve"> </w:t>
      </w:r>
      <w:r w:rsidR="00E94E1C">
        <w:t xml:space="preserve">in provision of the applicants’ lay evidence it </w:t>
      </w:r>
      <w:r w:rsidR="00262E50">
        <w:t xml:space="preserve">could not be expected to file its lay evidence until </w:t>
      </w:r>
      <w:r w:rsidR="005F2E06">
        <w:t xml:space="preserve">approximately </w:t>
      </w:r>
      <w:r w:rsidR="00262E50">
        <w:t>mid-October 2022.</w:t>
      </w:r>
    </w:p>
    <w:p w14:paraId="79889DB5" w14:textId="05F515FA" w:rsidR="00262E50" w:rsidRDefault="001D7B98" w:rsidP="001D7B98">
      <w:pPr>
        <w:pStyle w:val="ParaNumbering"/>
        <w:numPr>
          <w:ilvl w:val="0"/>
          <w:numId w:val="0"/>
        </w:numPr>
        <w:tabs>
          <w:tab w:val="left" w:pos="720"/>
        </w:tabs>
        <w:ind w:hanging="720"/>
      </w:pPr>
      <w:r>
        <w:rPr>
          <w:sz w:val="20"/>
        </w:rPr>
        <w:t>102</w:t>
      </w:r>
      <w:r>
        <w:rPr>
          <w:sz w:val="20"/>
        </w:rPr>
        <w:tab/>
      </w:r>
      <w:r w:rsidR="00262E50">
        <w:t xml:space="preserve">There was </w:t>
      </w:r>
      <w:r w:rsidR="00AA7388">
        <w:t xml:space="preserve">then </w:t>
      </w:r>
      <w:r w:rsidR="00262E50">
        <w:t>some delay</w:t>
      </w:r>
      <w:r w:rsidR="00442379">
        <w:t xml:space="preserve"> by </w:t>
      </w:r>
      <w:r w:rsidR="00262E50">
        <w:t>Aveo</w:t>
      </w:r>
      <w:r w:rsidR="00442379">
        <w:t xml:space="preserve"> in</w:t>
      </w:r>
      <w:r w:rsidR="00262E50">
        <w:t xml:space="preserve"> providing the further discovery it was required to provide.</w:t>
      </w:r>
      <w:r w:rsidR="00442379">
        <w:t xml:space="preserve"> The applicants also experienced some delay </w:t>
      </w:r>
      <w:r w:rsidR="00262E50">
        <w:t>in obtaining some of the documents that</w:t>
      </w:r>
      <w:r w:rsidR="00442379">
        <w:t xml:space="preserve"> they </w:t>
      </w:r>
      <w:r w:rsidR="00262E50">
        <w:t>had subpoena</w:t>
      </w:r>
      <w:r w:rsidR="00AA7388">
        <w:t>ed</w:t>
      </w:r>
      <w:r w:rsidR="00262E50">
        <w:t>.</w:t>
      </w:r>
    </w:p>
    <w:p w14:paraId="09171B9F" w14:textId="08B43F82" w:rsidR="00262E50" w:rsidRDefault="001D7B98" w:rsidP="001D7B98">
      <w:pPr>
        <w:pStyle w:val="ParaNumbering"/>
        <w:numPr>
          <w:ilvl w:val="0"/>
          <w:numId w:val="0"/>
        </w:numPr>
        <w:tabs>
          <w:tab w:val="left" w:pos="720"/>
        </w:tabs>
        <w:ind w:hanging="720"/>
      </w:pPr>
      <w:r>
        <w:rPr>
          <w:sz w:val="20"/>
        </w:rPr>
        <w:t>103</w:t>
      </w:r>
      <w:r>
        <w:rPr>
          <w:sz w:val="20"/>
        </w:rPr>
        <w:tab/>
      </w:r>
      <w:r w:rsidR="00F50409">
        <w:t>The applicants</w:t>
      </w:r>
      <w:r w:rsidR="00F50409" w:rsidDel="00E94E1C">
        <w:t xml:space="preserve"> </w:t>
      </w:r>
      <w:r w:rsidR="00E94E1C">
        <w:t xml:space="preserve">also failed to </w:t>
      </w:r>
      <w:r w:rsidR="00F50409">
        <w:t>serve their expert evidence</w:t>
      </w:r>
      <w:r w:rsidR="00303141">
        <w:t xml:space="preserve"> by 19 August 2022</w:t>
      </w:r>
      <w:r w:rsidR="00F50409">
        <w:t xml:space="preserve"> in compliance with the second pre-trial timetable.</w:t>
      </w:r>
      <w:r w:rsidR="00F50409" w:rsidDel="00E94E1C">
        <w:t xml:space="preserve"> </w:t>
      </w:r>
      <w:r w:rsidR="00303141">
        <w:t xml:space="preserve">Instead, over two months later, </w:t>
      </w:r>
      <w:r w:rsidR="00262E50">
        <w:t>the applicants filed an interlocutory application</w:t>
      </w:r>
      <w:r w:rsidR="00262E50" w:rsidDel="00303141">
        <w:t xml:space="preserve"> </w:t>
      </w:r>
      <w:r w:rsidR="00303141">
        <w:t xml:space="preserve">dated 24 October 2022 </w:t>
      </w:r>
      <w:r w:rsidR="00F54A67">
        <w:t xml:space="preserve">in which </w:t>
      </w:r>
      <w:r w:rsidR="00303141">
        <w:t xml:space="preserve">they sought </w:t>
      </w:r>
      <w:r w:rsidR="00262E50">
        <w:t>to vacate the hearing</w:t>
      </w:r>
      <w:r w:rsidR="00303141">
        <w:t>. The application was</w:t>
      </w:r>
      <w:r w:rsidR="00262E50" w:rsidDel="00303141">
        <w:t xml:space="preserve"> </w:t>
      </w:r>
      <w:r w:rsidR="00262E50">
        <w:t>supported by an affidavit made by Mr Levitt</w:t>
      </w:r>
      <w:r w:rsidR="00CA23BC">
        <w:t xml:space="preserve"> sworn </w:t>
      </w:r>
      <w:r w:rsidR="00262E50">
        <w:t>21 October 2022. He deposed that the trial date was no longer maintainable because of:</w:t>
      </w:r>
    </w:p>
    <w:p w14:paraId="568B67C5" w14:textId="0E485A13" w:rsidR="00262E50" w:rsidRDefault="001D7B98" w:rsidP="001D7B98">
      <w:pPr>
        <w:pStyle w:val="ListNo1alt"/>
        <w:numPr>
          <w:ilvl w:val="0"/>
          <w:numId w:val="0"/>
        </w:numPr>
        <w:tabs>
          <w:tab w:val="left" w:pos="720"/>
        </w:tabs>
        <w:ind w:left="720" w:hanging="720"/>
      </w:pPr>
      <w:r>
        <w:t>(a)</w:t>
      </w:r>
      <w:r>
        <w:tab/>
      </w:r>
      <w:r w:rsidR="00262E50">
        <w:t xml:space="preserve">delay in the process of identifying sample group members and preparing their points of </w:t>
      </w:r>
      <w:proofErr w:type="gramStart"/>
      <w:r w:rsidR="00262E50">
        <w:t>claim;</w:t>
      </w:r>
      <w:proofErr w:type="gramEnd"/>
    </w:p>
    <w:p w14:paraId="3D18D592" w14:textId="02D05B39" w:rsidR="00262E50" w:rsidRDefault="001D7B98" w:rsidP="001D7B98">
      <w:pPr>
        <w:pStyle w:val="ListNo1alt"/>
        <w:numPr>
          <w:ilvl w:val="0"/>
          <w:numId w:val="0"/>
        </w:numPr>
        <w:tabs>
          <w:tab w:val="left" w:pos="720"/>
        </w:tabs>
        <w:ind w:left="720" w:hanging="720"/>
      </w:pPr>
      <w:r>
        <w:t>(b)</w:t>
      </w:r>
      <w:r>
        <w:tab/>
      </w:r>
      <w:r w:rsidR="00262E50">
        <w:t xml:space="preserve">delay in the provision of further discovery by Aveo which was required by the applicant’s experts for their </w:t>
      </w:r>
      <w:proofErr w:type="gramStart"/>
      <w:r w:rsidR="00262E50">
        <w:t>reports;</w:t>
      </w:r>
      <w:proofErr w:type="gramEnd"/>
    </w:p>
    <w:p w14:paraId="7CC6162E" w14:textId="57160526" w:rsidR="00262E50" w:rsidRDefault="001D7B98" w:rsidP="001D7B98">
      <w:pPr>
        <w:pStyle w:val="ListNo1alt"/>
        <w:numPr>
          <w:ilvl w:val="0"/>
          <w:numId w:val="0"/>
        </w:numPr>
        <w:tabs>
          <w:tab w:val="left" w:pos="720"/>
        </w:tabs>
        <w:ind w:left="720" w:hanging="720"/>
      </w:pPr>
      <w:r>
        <w:t>(c)</w:t>
      </w:r>
      <w:r>
        <w:tab/>
      </w:r>
      <w:r w:rsidR="00262E50">
        <w:t xml:space="preserve">delay in production of documents by various subpoena recipients, for various </w:t>
      </w:r>
      <w:proofErr w:type="gramStart"/>
      <w:r w:rsidR="00262E50">
        <w:t>reasons;</w:t>
      </w:r>
      <w:proofErr w:type="gramEnd"/>
    </w:p>
    <w:p w14:paraId="564DE23D" w14:textId="6957599F" w:rsidR="00262E50" w:rsidRDefault="001D7B98" w:rsidP="001D7B98">
      <w:pPr>
        <w:pStyle w:val="ListNo1alt"/>
        <w:numPr>
          <w:ilvl w:val="0"/>
          <w:numId w:val="0"/>
        </w:numPr>
        <w:tabs>
          <w:tab w:val="left" w:pos="720"/>
        </w:tabs>
        <w:ind w:left="720" w:hanging="720"/>
      </w:pPr>
      <w:r>
        <w:t>(d)</w:t>
      </w:r>
      <w:r>
        <w:tab/>
      </w:r>
      <w:r w:rsidR="00262E50">
        <w:t>turnover in the applicants’ counsel team through no fault of the applicant;</w:t>
      </w:r>
      <w:r w:rsidR="00262E50" w:rsidRPr="008859FC">
        <w:t xml:space="preserve"> </w:t>
      </w:r>
      <w:r w:rsidR="00262E50">
        <w:t>and</w:t>
      </w:r>
    </w:p>
    <w:p w14:paraId="04ED1DFF" w14:textId="08D187E7" w:rsidR="00262E50" w:rsidRDefault="001D7B98" w:rsidP="001D7B98">
      <w:pPr>
        <w:pStyle w:val="ListNo1alt"/>
        <w:numPr>
          <w:ilvl w:val="0"/>
          <w:numId w:val="0"/>
        </w:numPr>
        <w:tabs>
          <w:tab w:val="left" w:pos="720"/>
        </w:tabs>
        <w:ind w:left="720" w:hanging="720"/>
      </w:pPr>
      <w:r>
        <w:t>(e)</w:t>
      </w:r>
      <w:r>
        <w:tab/>
      </w:r>
      <w:r w:rsidR="00262E50">
        <w:t>limitations in the applicants’ resources.</w:t>
      </w:r>
    </w:p>
    <w:p w14:paraId="17A47F54" w14:textId="54CDBF3B" w:rsidR="00262E50" w:rsidRDefault="00303141" w:rsidP="00262E50">
      <w:pPr>
        <w:pStyle w:val="NoNum"/>
      </w:pPr>
      <w:r>
        <w:t xml:space="preserve">Two months after the due date </w:t>
      </w:r>
      <w:r w:rsidR="00DA177A">
        <w:t>the applicants had not filed any expert evidence</w:t>
      </w:r>
      <w:r w:rsidR="00DE362F">
        <w:t>.</w:t>
      </w:r>
    </w:p>
    <w:p w14:paraId="40090253" w14:textId="13784A92" w:rsidR="00B66D4D" w:rsidRDefault="001D7B98" w:rsidP="001D7B98">
      <w:pPr>
        <w:pStyle w:val="ParaNumbering"/>
        <w:numPr>
          <w:ilvl w:val="0"/>
          <w:numId w:val="0"/>
        </w:numPr>
        <w:tabs>
          <w:tab w:val="left" w:pos="720"/>
        </w:tabs>
        <w:ind w:hanging="720"/>
      </w:pPr>
      <w:r>
        <w:rPr>
          <w:sz w:val="20"/>
        </w:rPr>
        <w:t>104</w:t>
      </w:r>
      <w:r>
        <w:rPr>
          <w:sz w:val="20"/>
        </w:rPr>
        <w:tab/>
      </w:r>
      <w:r w:rsidR="00AD7303">
        <w:t>Mr Levitt proposed a revised</w:t>
      </w:r>
      <w:r w:rsidR="00CB7AF6" w:rsidDel="005909C5">
        <w:t xml:space="preserve"> </w:t>
      </w:r>
      <w:r w:rsidR="00CB7AF6">
        <w:t xml:space="preserve">timetable </w:t>
      </w:r>
      <w:r w:rsidR="005909C5">
        <w:t xml:space="preserve">to the primary judge, </w:t>
      </w:r>
      <w:r w:rsidR="00CB7AF6">
        <w:t>which accommodated the vacation of the trial date, and then two distinct processes:</w:t>
      </w:r>
    </w:p>
    <w:p w14:paraId="5E3AA303" w14:textId="71278077" w:rsidR="00CB7AF6" w:rsidRDefault="001D7B98" w:rsidP="001D7B98">
      <w:pPr>
        <w:pStyle w:val="ListNo1alt"/>
        <w:numPr>
          <w:ilvl w:val="0"/>
          <w:numId w:val="0"/>
        </w:numPr>
        <w:tabs>
          <w:tab w:val="left" w:pos="720"/>
        </w:tabs>
        <w:ind w:left="720" w:hanging="720"/>
      </w:pPr>
      <w:r>
        <w:t>(a)</w:t>
      </w:r>
      <w:r>
        <w:tab/>
      </w:r>
      <w:r w:rsidR="00A453D9">
        <w:t xml:space="preserve">an application for leave to file and serve </w:t>
      </w:r>
      <w:r w:rsidR="00CB7AF6">
        <w:t>a</w:t>
      </w:r>
      <w:r w:rsidR="00511A57">
        <w:t xml:space="preserve"> Fourth Further Amended Statement of Claim and Fourth Amended Application; and</w:t>
      </w:r>
    </w:p>
    <w:p w14:paraId="13AB8E71" w14:textId="1DF5937A" w:rsidR="00A453D9" w:rsidRDefault="001D7B98" w:rsidP="001D7B98">
      <w:pPr>
        <w:pStyle w:val="ListNo1alt"/>
        <w:numPr>
          <w:ilvl w:val="0"/>
          <w:numId w:val="0"/>
        </w:numPr>
        <w:tabs>
          <w:tab w:val="left" w:pos="720"/>
        </w:tabs>
        <w:ind w:left="720" w:hanging="720"/>
      </w:pPr>
      <w:r>
        <w:lastRenderedPageBreak/>
        <w:t>(b)</w:t>
      </w:r>
      <w:r>
        <w:tab/>
      </w:r>
      <w:r w:rsidR="00A453D9">
        <w:t>an application for leave file and serve points of claim for one or more further sample group members.</w:t>
      </w:r>
    </w:p>
    <w:p w14:paraId="1CB57C21" w14:textId="3C18C976" w:rsidR="00262E50" w:rsidRDefault="001D7B98" w:rsidP="001D7B98">
      <w:pPr>
        <w:pStyle w:val="ParaNumbering"/>
        <w:numPr>
          <w:ilvl w:val="0"/>
          <w:numId w:val="0"/>
        </w:numPr>
        <w:tabs>
          <w:tab w:val="left" w:pos="720"/>
        </w:tabs>
        <w:ind w:hanging="720"/>
      </w:pPr>
      <w:r>
        <w:rPr>
          <w:sz w:val="20"/>
        </w:rPr>
        <w:t>105</w:t>
      </w:r>
      <w:r>
        <w:rPr>
          <w:sz w:val="20"/>
        </w:rPr>
        <w:tab/>
      </w:r>
      <w:r w:rsidR="00262E50">
        <w:t xml:space="preserve">The </w:t>
      </w:r>
      <w:r w:rsidR="00DE362F">
        <w:t xml:space="preserve">trial judge heard the </w:t>
      </w:r>
      <w:r w:rsidR="00262E50">
        <w:t>application to vacate the hearing on 17 November 2022</w:t>
      </w:r>
      <w:r w:rsidR="005909C5">
        <w:t xml:space="preserve"> and </w:t>
      </w:r>
      <w:r w:rsidR="00262E50">
        <w:t xml:space="preserve">refused the application. In his Honour’s view the </w:t>
      </w:r>
      <w:r w:rsidR="00552265">
        <w:t>applicants</w:t>
      </w:r>
      <w:r w:rsidR="005909C5">
        <w:t xml:space="preserve"> failed to</w:t>
      </w:r>
      <w:r w:rsidR="00262E50">
        <w:t xml:space="preserve"> adequately explain</w:t>
      </w:r>
      <w:r w:rsidR="001A6863">
        <w:t xml:space="preserve"> the delay</w:t>
      </w:r>
      <w:r w:rsidR="00262E50">
        <w:t xml:space="preserve">, and there had been a lack of application, diligence and expedition by Levitt Robinson: see 17 November 2022 transcript </w:t>
      </w:r>
      <w:r w:rsidR="00384063">
        <w:t xml:space="preserve">of hearing </w:t>
      </w:r>
      <w:r w:rsidR="00262E50">
        <w:t xml:space="preserve">at </w:t>
      </w:r>
      <w:r w:rsidR="00F6378B">
        <w:t>T</w:t>
      </w:r>
      <w:r w:rsidR="00262E50" w:rsidRPr="00384063">
        <w:t xml:space="preserve">30.1-21; </w:t>
      </w:r>
      <w:r w:rsidR="002F5063" w:rsidRPr="00384063">
        <w:t>T</w:t>
      </w:r>
      <w:r w:rsidR="00262E50" w:rsidRPr="00384063">
        <w:t>34.25</w:t>
      </w:r>
      <w:proofErr w:type="gramStart"/>
      <w:r w:rsidR="00262E50" w:rsidRPr="00384063">
        <w:t>-</w:t>
      </w:r>
      <w:r w:rsidR="002F5063" w:rsidRPr="00384063">
        <w:t>,T</w:t>
      </w:r>
      <w:proofErr w:type="gramEnd"/>
      <w:r w:rsidR="00262E50" w:rsidRPr="00384063">
        <w:t xml:space="preserve">35.20; </w:t>
      </w:r>
      <w:r w:rsidR="002F5063" w:rsidRPr="00384063">
        <w:t xml:space="preserve">and T </w:t>
      </w:r>
      <w:r w:rsidR="00262E50" w:rsidRPr="00384063">
        <w:t>38.3-11.</w:t>
      </w:r>
    </w:p>
    <w:p w14:paraId="7967C3D1" w14:textId="2280A3CE" w:rsidR="00262E50" w:rsidRDefault="001D7B98" w:rsidP="001D7B98">
      <w:pPr>
        <w:pStyle w:val="ParaNumbering"/>
        <w:numPr>
          <w:ilvl w:val="0"/>
          <w:numId w:val="0"/>
        </w:numPr>
        <w:tabs>
          <w:tab w:val="left" w:pos="720"/>
        </w:tabs>
        <w:ind w:hanging="720"/>
      </w:pPr>
      <w:r>
        <w:rPr>
          <w:sz w:val="20"/>
        </w:rPr>
        <w:t>106</w:t>
      </w:r>
      <w:r>
        <w:rPr>
          <w:sz w:val="20"/>
        </w:rPr>
        <w:tab/>
      </w:r>
      <w:r w:rsidR="00442379">
        <w:t>Rather than vacate the trial date his Honour</w:t>
      </w:r>
      <w:r w:rsidR="00FD3F1F" w:rsidDel="001A6863">
        <w:t xml:space="preserve"> </w:t>
      </w:r>
      <w:r w:rsidR="001A6863">
        <w:t xml:space="preserve">made orders to again extend the </w:t>
      </w:r>
      <w:r w:rsidR="00FD3F1F">
        <w:t>pre-trial timetable</w:t>
      </w:r>
      <w:r w:rsidR="008D5565">
        <w:t xml:space="preserve"> </w:t>
      </w:r>
      <w:r w:rsidR="00CA23BC">
        <w:t xml:space="preserve">(the </w:t>
      </w:r>
      <w:r w:rsidR="00CA23BC" w:rsidRPr="00953AC1">
        <w:rPr>
          <w:b/>
          <w:bCs/>
        </w:rPr>
        <w:t>third pre-trial timetable</w:t>
      </w:r>
      <w:proofErr w:type="gramStart"/>
      <w:r w:rsidR="00CA23BC">
        <w:t>)</w:t>
      </w:r>
      <w:r w:rsidR="001A6863">
        <w:t>,</w:t>
      </w:r>
      <w:r w:rsidR="00CA23BC" w:rsidDel="001A6863">
        <w:t xml:space="preserve"> </w:t>
      </w:r>
      <w:r w:rsidR="001A6863">
        <w:t>and</w:t>
      </w:r>
      <w:proofErr w:type="gramEnd"/>
      <w:r w:rsidR="001A6863">
        <w:t xml:space="preserve"> required </w:t>
      </w:r>
      <w:r w:rsidR="00FD3F1F">
        <w:t xml:space="preserve">the applicants to serve </w:t>
      </w:r>
      <w:r w:rsidR="00442379">
        <w:t>their expert evidence</w:t>
      </w:r>
      <w:r w:rsidR="00FD3F1F" w:rsidDel="001A6863">
        <w:t xml:space="preserve"> </w:t>
      </w:r>
      <w:r w:rsidR="001A6863">
        <w:t xml:space="preserve">by </w:t>
      </w:r>
      <w:r w:rsidR="00442379">
        <w:t xml:space="preserve">16 January 2023. By orders made on </w:t>
      </w:r>
      <w:r w:rsidR="00262E50">
        <w:t>2 December 2022, in accordance with what had been discussed at the 17 November 2022 hearing</w:t>
      </w:r>
      <w:r w:rsidR="00442379">
        <w:t xml:space="preserve">, the </w:t>
      </w:r>
      <w:r w:rsidR="00FD3F1F">
        <w:t xml:space="preserve">third pre-trial </w:t>
      </w:r>
      <w:r w:rsidR="00442379">
        <w:t>timetable provided</w:t>
      </w:r>
      <w:r w:rsidR="001512DA">
        <w:t xml:space="preserve"> that</w:t>
      </w:r>
      <w:r w:rsidR="00262E50">
        <w:t>:</w:t>
      </w:r>
    </w:p>
    <w:p w14:paraId="38F94C79" w14:textId="198F1E0D" w:rsidR="00262E50" w:rsidRDefault="001D7B98" w:rsidP="001D7B98">
      <w:pPr>
        <w:pStyle w:val="ListNo1alt"/>
        <w:numPr>
          <w:ilvl w:val="0"/>
          <w:numId w:val="0"/>
        </w:numPr>
        <w:tabs>
          <w:tab w:val="left" w:pos="720"/>
        </w:tabs>
        <w:ind w:left="720" w:hanging="720"/>
      </w:pPr>
      <w:r>
        <w:t>(a)</w:t>
      </w:r>
      <w:r>
        <w:tab/>
      </w:r>
      <w:r w:rsidR="00262E50">
        <w:t>by 5 December 2022 Aveo serve its lay evidence;</w:t>
      </w:r>
      <w:r w:rsidR="00F9190C">
        <w:t xml:space="preserve"> </w:t>
      </w:r>
      <w:r w:rsidR="00262E50">
        <w:t>by 19 December 2022 the applicant</w:t>
      </w:r>
      <w:r w:rsidR="00442379">
        <w:t>s</w:t>
      </w:r>
      <w:r w:rsidR="00262E50">
        <w:t xml:space="preserve"> serve any further lay evidence</w:t>
      </w:r>
      <w:r w:rsidR="00442379">
        <w:t>;</w:t>
      </w:r>
      <w:r w:rsidR="00670575">
        <w:t xml:space="preserve"> </w:t>
      </w:r>
      <w:r w:rsidR="00442379">
        <w:t>by 27 January 2023</w:t>
      </w:r>
      <w:r w:rsidR="00262E50">
        <w:t xml:space="preserve"> Aveo serve </w:t>
      </w:r>
      <w:r w:rsidR="0039068B">
        <w:t xml:space="preserve">its </w:t>
      </w:r>
      <w:r w:rsidR="00262E50">
        <w:t>lay evidence in response;</w:t>
      </w:r>
      <w:r w:rsidR="00F77B07">
        <w:t xml:space="preserve"> </w:t>
      </w:r>
      <w:r w:rsidR="00262E50">
        <w:t>by 17 February 2023 the applicants serve any lay evidence in reply;</w:t>
      </w:r>
      <w:r w:rsidR="00AE35AE">
        <w:t xml:space="preserve"> and</w:t>
      </w:r>
    </w:p>
    <w:p w14:paraId="5FFCA42D" w14:textId="66991387" w:rsidR="0039068B" w:rsidRDefault="001D7B98" w:rsidP="001D7B98">
      <w:pPr>
        <w:pStyle w:val="ListNo1alt"/>
        <w:numPr>
          <w:ilvl w:val="0"/>
          <w:numId w:val="0"/>
        </w:numPr>
        <w:tabs>
          <w:tab w:val="left" w:pos="720"/>
        </w:tabs>
        <w:ind w:left="720" w:hanging="720"/>
      </w:pPr>
      <w:r>
        <w:t>(b)</w:t>
      </w:r>
      <w:r>
        <w:tab/>
      </w:r>
      <w:r w:rsidR="00262E50">
        <w:t>by 16 January 2023 the applicants serve their expert evidence, subject to a guillotine order; and</w:t>
      </w:r>
      <w:r w:rsidR="00F77B07">
        <w:t xml:space="preserve"> </w:t>
      </w:r>
      <w:r w:rsidR="00262E50">
        <w:t>by 24 February 2023 the respondents serve their expert evidence</w:t>
      </w:r>
      <w:r w:rsidR="0039068B">
        <w:t>.</w:t>
      </w:r>
    </w:p>
    <w:p w14:paraId="0BC0BC33" w14:textId="73ED0300" w:rsidR="00262E50" w:rsidRDefault="001D7B98" w:rsidP="001D7B98">
      <w:pPr>
        <w:pStyle w:val="ParaNumbering"/>
        <w:numPr>
          <w:ilvl w:val="0"/>
          <w:numId w:val="0"/>
        </w:numPr>
        <w:tabs>
          <w:tab w:val="left" w:pos="720"/>
        </w:tabs>
        <w:ind w:hanging="720"/>
      </w:pPr>
      <w:r>
        <w:rPr>
          <w:sz w:val="20"/>
        </w:rPr>
        <w:t>107</w:t>
      </w:r>
      <w:r>
        <w:rPr>
          <w:sz w:val="20"/>
        </w:rPr>
        <w:tab/>
      </w:r>
      <w:r w:rsidR="0039068B">
        <w:t>Under the</w:t>
      </w:r>
      <w:r w:rsidR="00FD3F1F">
        <w:t xml:space="preserve"> third pre-trial </w:t>
      </w:r>
      <w:r w:rsidR="0039068B">
        <w:t xml:space="preserve">timetable, the applicants would not receive Aveo’s expert evidence until </w:t>
      </w:r>
      <w:r w:rsidR="00262E50">
        <w:t>a week before the trial was scheduled to commence.</w:t>
      </w:r>
      <w:r w:rsidR="001512DA">
        <w:t xml:space="preserve"> T</w:t>
      </w:r>
      <w:r w:rsidR="0039068B">
        <w:t>hat was</w:t>
      </w:r>
      <w:r w:rsidR="00FD3F1F">
        <w:t xml:space="preserve"> obviously </w:t>
      </w:r>
      <w:r w:rsidR="0039068B">
        <w:t>tight, but</w:t>
      </w:r>
      <w:r w:rsidR="00FD3F1F" w:rsidDel="00021EC9">
        <w:t xml:space="preserve"> </w:t>
      </w:r>
      <w:r w:rsidR="00021EC9">
        <w:t xml:space="preserve">that </w:t>
      </w:r>
      <w:r w:rsidR="0039068B">
        <w:t xml:space="preserve">was </w:t>
      </w:r>
      <w:r w:rsidR="00021EC9">
        <w:t xml:space="preserve">no doubt </w:t>
      </w:r>
      <w:r w:rsidR="0039068B">
        <w:t xml:space="preserve">informed by </w:t>
      </w:r>
      <w:r w:rsidR="009E7D00">
        <w:t>his Honour</w:t>
      </w:r>
      <w:r w:rsidR="00FD3F1F">
        <w:t>’s view</w:t>
      </w:r>
      <w:r w:rsidR="00021EC9">
        <w:t xml:space="preserve"> (expressed in the hearing)</w:t>
      </w:r>
      <w:r w:rsidR="009E7D00">
        <w:t xml:space="preserve"> that if the case was </w:t>
      </w:r>
      <w:proofErr w:type="gramStart"/>
      <w:r w:rsidR="009E7D00">
        <w:t>adjourned</w:t>
      </w:r>
      <w:proofErr w:type="gramEnd"/>
      <w:r w:rsidR="002C1A4E">
        <w:t xml:space="preserve"> he could not hear it for the rest of the year</w:t>
      </w:r>
      <w:r w:rsidR="0039068B">
        <w:t>.</w:t>
      </w:r>
      <w:r w:rsidR="002C1A4E">
        <w:t xml:space="preserve"> </w:t>
      </w:r>
      <w:r w:rsidR="00021EC9">
        <w:t>I</w:t>
      </w:r>
      <w:r w:rsidR="002C1A4E">
        <w:t xml:space="preserve">t was also informed by the fact that the case had been on foot </w:t>
      </w:r>
      <w:r w:rsidR="000D08E1">
        <w:t>for more than five years</w:t>
      </w:r>
      <w:r w:rsidR="00375565">
        <w:t xml:space="preserve"> at that point</w:t>
      </w:r>
      <w:r w:rsidR="007C10F7">
        <w:t>.</w:t>
      </w:r>
    </w:p>
    <w:p w14:paraId="3A9B23A0" w14:textId="1BCF1F35" w:rsidR="00262E50" w:rsidRDefault="001D7B98" w:rsidP="001D7B98">
      <w:pPr>
        <w:pStyle w:val="ParaNumbering"/>
        <w:numPr>
          <w:ilvl w:val="0"/>
          <w:numId w:val="0"/>
        </w:numPr>
        <w:tabs>
          <w:tab w:val="left" w:pos="720"/>
        </w:tabs>
        <w:ind w:hanging="720"/>
      </w:pPr>
      <w:r>
        <w:rPr>
          <w:sz w:val="20"/>
        </w:rPr>
        <w:t>108</w:t>
      </w:r>
      <w:r>
        <w:rPr>
          <w:sz w:val="20"/>
        </w:rPr>
        <w:tab/>
      </w:r>
      <w:r w:rsidR="00262E50">
        <w:t xml:space="preserve">The applicants </w:t>
      </w:r>
      <w:r w:rsidR="00375565">
        <w:t>complied with the third pre-trial timetable.</w:t>
      </w:r>
      <w:r w:rsidR="00375565" w:rsidDel="00021EC9">
        <w:t xml:space="preserve"> </w:t>
      </w:r>
      <w:r w:rsidR="00021EC9">
        <w:t xml:space="preserve">They </w:t>
      </w:r>
      <w:r w:rsidR="00262E50">
        <w:t xml:space="preserve">served three further lay affidavits </w:t>
      </w:r>
      <w:r w:rsidR="009B335E">
        <w:t xml:space="preserve">on or </w:t>
      </w:r>
      <w:r w:rsidR="00262E50">
        <w:t>before 19 December 202</w:t>
      </w:r>
      <w:r w:rsidR="002A59DE">
        <w:t>2</w:t>
      </w:r>
      <w:r w:rsidR="001512DA" w:rsidRPr="001512DA">
        <w:t xml:space="preserve"> </w:t>
      </w:r>
      <w:r w:rsidR="001512DA">
        <w:t>and their expert reports on 16 January 2023</w:t>
      </w:r>
      <w:r w:rsidR="00262E50">
        <w:t>.</w:t>
      </w:r>
      <w:r w:rsidR="0039068B">
        <w:t xml:space="preserve"> Their </w:t>
      </w:r>
      <w:r w:rsidR="001512DA">
        <w:t xml:space="preserve">expert </w:t>
      </w:r>
      <w:r w:rsidR="0039068B">
        <w:t>evidence comprised</w:t>
      </w:r>
      <w:r w:rsidR="00262E50">
        <w:t>:</w:t>
      </w:r>
    </w:p>
    <w:p w14:paraId="6CB286FE" w14:textId="0608D48F" w:rsidR="00262E50" w:rsidRDefault="001D7B98" w:rsidP="001D7B98">
      <w:pPr>
        <w:pStyle w:val="ListNo1alt"/>
        <w:numPr>
          <w:ilvl w:val="0"/>
          <w:numId w:val="0"/>
        </w:numPr>
        <w:tabs>
          <w:tab w:val="left" w:pos="720"/>
        </w:tabs>
        <w:ind w:left="720" w:hanging="720"/>
      </w:pPr>
      <w:r>
        <w:t>(a)</w:t>
      </w:r>
      <w:r>
        <w:tab/>
      </w:r>
      <w:r w:rsidR="00262E50">
        <w:t>a report by Dennis Barton, an actuary;</w:t>
      </w:r>
      <w:r w:rsidR="001107CA">
        <w:t xml:space="preserve"> and</w:t>
      </w:r>
    </w:p>
    <w:p w14:paraId="17F19E42" w14:textId="2CB06469" w:rsidR="00262E50" w:rsidRDefault="001D7B98" w:rsidP="001D7B98">
      <w:pPr>
        <w:pStyle w:val="ListNo1alt"/>
        <w:numPr>
          <w:ilvl w:val="0"/>
          <w:numId w:val="0"/>
        </w:numPr>
        <w:tabs>
          <w:tab w:val="left" w:pos="720"/>
        </w:tabs>
        <w:ind w:left="720" w:hanging="720"/>
      </w:pPr>
      <w:r>
        <w:t>(b)</w:t>
      </w:r>
      <w:r>
        <w:tab/>
      </w:r>
      <w:r w:rsidR="00262E50">
        <w:t>s</w:t>
      </w:r>
      <w:r w:rsidR="00242F42">
        <w:t>even</w:t>
      </w:r>
      <w:r w:rsidR="00262E50">
        <w:t xml:space="preserve"> reports by Nicole Adamson, a property valuer, in relation to the applicants and each of the sample group members.</w:t>
      </w:r>
    </w:p>
    <w:p w14:paraId="2067172B" w14:textId="05A971E1" w:rsidR="00642850" w:rsidRDefault="00041EAB" w:rsidP="00642850">
      <w:pPr>
        <w:pStyle w:val="ListNo1alt"/>
        <w:numPr>
          <w:ilvl w:val="0"/>
          <w:numId w:val="0"/>
        </w:numPr>
      </w:pPr>
      <w:r>
        <w:t xml:space="preserve">As it eventuated, </w:t>
      </w:r>
      <w:r w:rsidR="00BC59FD">
        <w:t>the applicants</w:t>
      </w:r>
      <w:r>
        <w:t xml:space="preserve"> did </w:t>
      </w:r>
      <w:r w:rsidR="00BC59FD">
        <w:t>not to rely</w:t>
      </w:r>
      <w:r>
        <w:t xml:space="preserve"> on Mr Barton’s report</w:t>
      </w:r>
      <w:r w:rsidR="00BC59FD">
        <w:t>.</w:t>
      </w:r>
    </w:p>
    <w:p w14:paraId="2B5117AE" w14:textId="6076127E" w:rsidR="00262E50" w:rsidRDefault="001D7B98" w:rsidP="001D7B98">
      <w:pPr>
        <w:pStyle w:val="ParaNumbering"/>
        <w:numPr>
          <w:ilvl w:val="0"/>
          <w:numId w:val="0"/>
        </w:numPr>
        <w:tabs>
          <w:tab w:val="left" w:pos="720"/>
        </w:tabs>
        <w:ind w:hanging="720"/>
      </w:pPr>
      <w:r>
        <w:rPr>
          <w:sz w:val="20"/>
        </w:rPr>
        <w:t>109</w:t>
      </w:r>
      <w:r>
        <w:rPr>
          <w:sz w:val="20"/>
        </w:rPr>
        <w:tab/>
      </w:r>
      <w:r w:rsidR="000153B2">
        <w:t>Aveo</w:t>
      </w:r>
      <w:r w:rsidR="00041EAB">
        <w:t xml:space="preserve">, however, failed to </w:t>
      </w:r>
      <w:r w:rsidR="000153B2">
        <w:t xml:space="preserve">comply with the </w:t>
      </w:r>
      <w:r w:rsidR="00536F44">
        <w:t xml:space="preserve">third pre-trial timetable. It did not serve its lay evidence by 5 December 2022 and instead </w:t>
      </w:r>
      <w:r w:rsidR="000153B2">
        <w:t xml:space="preserve">served a series of lay affidavits between 6 and 22 </w:t>
      </w:r>
      <w:r w:rsidR="000153B2">
        <w:lastRenderedPageBreak/>
        <w:t>December 202</w:t>
      </w:r>
      <w:r w:rsidR="00536F44">
        <w:t>2</w:t>
      </w:r>
      <w:r w:rsidR="000153B2">
        <w:t xml:space="preserve">. </w:t>
      </w:r>
      <w:r w:rsidR="00041EAB">
        <w:t xml:space="preserve"> </w:t>
      </w:r>
      <w:r w:rsidR="001E576D">
        <w:t>Then, o</w:t>
      </w:r>
      <w:r w:rsidR="00262E50">
        <w:t xml:space="preserve">n 21 February 2023 Aveo informed the applicants that it would not be </w:t>
      </w:r>
      <w:proofErr w:type="gramStart"/>
      <w:r w:rsidR="00262E50">
        <w:t>in a position</w:t>
      </w:r>
      <w:proofErr w:type="gramEnd"/>
      <w:r w:rsidR="00262E50">
        <w:t xml:space="preserve"> to serve all of its expert evidence by 24 February 2023</w:t>
      </w:r>
      <w:r w:rsidR="001E576D">
        <w:t xml:space="preserve">. </w:t>
      </w:r>
      <w:r w:rsidR="00B23155">
        <w:t>It said that</w:t>
      </w:r>
      <w:r w:rsidR="00262E50">
        <w:t xml:space="preserve"> it anticipated doing so by 13 March 2023 (that is, two weeks into the hearing).</w:t>
      </w:r>
      <w:r w:rsidR="0039068B">
        <w:t xml:space="preserve"> It </w:t>
      </w:r>
      <w:r w:rsidR="00262E50">
        <w:t>served one expert report on 24 February 2023, being a report of Laila Burnet,</w:t>
      </w:r>
      <w:r w:rsidR="00262E50" w:rsidRPr="00214252">
        <w:t xml:space="preserve"> </w:t>
      </w:r>
      <w:r w:rsidR="00262E50">
        <w:t>a property valuer.</w:t>
      </w:r>
    </w:p>
    <w:p w14:paraId="45D686EF" w14:textId="2093C840" w:rsidR="00202109" w:rsidRDefault="001D7B98" w:rsidP="001D7B98">
      <w:pPr>
        <w:pStyle w:val="ParaNumbering"/>
        <w:numPr>
          <w:ilvl w:val="0"/>
          <w:numId w:val="0"/>
        </w:numPr>
        <w:tabs>
          <w:tab w:val="left" w:pos="720"/>
        </w:tabs>
        <w:ind w:hanging="720"/>
      </w:pPr>
      <w:r>
        <w:rPr>
          <w:sz w:val="20"/>
        </w:rPr>
        <w:t>110</w:t>
      </w:r>
      <w:r>
        <w:rPr>
          <w:sz w:val="20"/>
        </w:rPr>
        <w:tab/>
      </w:r>
      <w:r w:rsidR="00642354">
        <w:t>In response to that</w:t>
      </w:r>
      <w:r w:rsidR="0088778C">
        <w:t xml:space="preserve"> ne</w:t>
      </w:r>
      <w:r w:rsidR="001F7AF8">
        <w:t xml:space="preserve">ws the </w:t>
      </w:r>
      <w:r w:rsidR="00262E50">
        <w:t>applicants made</w:t>
      </w:r>
      <w:r w:rsidR="0039068B">
        <w:t xml:space="preserve"> another </w:t>
      </w:r>
      <w:r w:rsidR="00262E50">
        <w:t>application to vacate the trial</w:t>
      </w:r>
      <w:r w:rsidR="001F7AF8">
        <w:t xml:space="preserve">. The trial judge heard the application </w:t>
      </w:r>
      <w:r w:rsidR="00262E50">
        <w:t>on 27 February 2023</w:t>
      </w:r>
      <w:r w:rsidR="00B23155">
        <w:t>. His Honour</w:t>
      </w:r>
      <w:r w:rsidR="001F7AF8">
        <w:t xml:space="preserve"> declined to vacate the trial</w:t>
      </w:r>
      <w:r w:rsidR="005B1924">
        <w:t xml:space="preserve">, and instead </w:t>
      </w:r>
      <w:r w:rsidR="00773B96">
        <w:t xml:space="preserve">made orders again extending the timetable (the </w:t>
      </w:r>
      <w:r w:rsidR="00773B96" w:rsidRPr="00953AC1">
        <w:rPr>
          <w:b/>
          <w:bCs/>
        </w:rPr>
        <w:t>fourth pre-trial timetable</w:t>
      </w:r>
      <w:r w:rsidR="00773B96">
        <w:t>)</w:t>
      </w:r>
      <w:r w:rsidR="001F7AF8">
        <w:t>.</w:t>
      </w:r>
      <w:r w:rsidR="00953AC1">
        <w:t xml:space="preserve"> The orders required </w:t>
      </w:r>
      <w:r w:rsidR="00262E50">
        <w:t>Aveo to serve its expert evidence by 10 March 2023,</w:t>
      </w:r>
      <w:r w:rsidR="00953AC1">
        <w:t xml:space="preserve"> subject to </w:t>
      </w:r>
      <w:r w:rsidR="001F7AF8">
        <w:t xml:space="preserve">a guillotine order, </w:t>
      </w:r>
      <w:r w:rsidR="00262E50">
        <w:t>and</w:t>
      </w:r>
      <w:r w:rsidR="00953AC1">
        <w:t xml:space="preserve"> </w:t>
      </w:r>
      <w:r w:rsidR="00953AC1" w:rsidRPr="00964F40">
        <w:t xml:space="preserve">pushed back </w:t>
      </w:r>
      <w:r w:rsidR="00130149" w:rsidRPr="00964F40">
        <w:t>the</w:t>
      </w:r>
      <w:r w:rsidR="00041EAB">
        <w:t xml:space="preserve"> start of the</w:t>
      </w:r>
      <w:r w:rsidR="00130149" w:rsidRPr="00964F40">
        <w:t xml:space="preserve"> trial </w:t>
      </w:r>
      <w:r w:rsidR="00262E50" w:rsidRPr="00964F40">
        <w:t xml:space="preserve">to </w:t>
      </w:r>
      <w:r w:rsidR="00964F40" w:rsidRPr="00964F40">
        <w:t xml:space="preserve">14 </w:t>
      </w:r>
      <w:r w:rsidR="00262E50" w:rsidRPr="00964F40">
        <w:t>March 2023</w:t>
      </w:r>
      <w:r w:rsidR="006E6E23">
        <w:t xml:space="preserve">, which ultimately </w:t>
      </w:r>
      <w:r w:rsidR="00277654">
        <w:t>became 16 March 2023</w:t>
      </w:r>
      <w:r w:rsidR="00262E50" w:rsidRPr="00964F40">
        <w:t>.</w:t>
      </w:r>
      <w:r w:rsidR="0039068B" w:rsidRPr="00964F40">
        <w:t xml:space="preserve"> </w:t>
      </w:r>
    </w:p>
    <w:p w14:paraId="7C5B4EFB" w14:textId="3DAC9318" w:rsidR="007D487A" w:rsidRDefault="001D7B98" w:rsidP="001D7B98">
      <w:pPr>
        <w:pStyle w:val="ParaNumbering"/>
        <w:numPr>
          <w:ilvl w:val="0"/>
          <w:numId w:val="0"/>
        </w:numPr>
        <w:tabs>
          <w:tab w:val="left" w:pos="720"/>
        </w:tabs>
        <w:ind w:hanging="720"/>
      </w:pPr>
      <w:r>
        <w:rPr>
          <w:sz w:val="20"/>
        </w:rPr>
        <w:t>111</w:t>
      </w:r>
      <w:r>
        <w:rPr>
          <w:sz w:val="20"/>
        </w:rPr>
        <w:tab/>
      </w:r>
      <w:r w:rsidR="007D487A">
        <w:t>There was a mediation in February 2023, which was held after</w:t>
      </w:r>
      <w:r w:rsidR="004D0BC9">
        <w:t xml:space="preserve"> the applicants’ </w:t>
      </w:r>
      <w:r w:rsidR="00041EAB">
        <w:t xml:space="preserve">lay and expert </w:t>
      </w:r>
      <w:r w:rsidR="004D0BC9">
        <w:t>evidence had been served but before Aveo’s expert evidence</w:t>
      </w:r>
      <w:r w:rsidR="007D487A">
        <w:t>.</w:t>
      </w:r>
      <w:r w:rsidR="004D0BC9">
        <w:t xml:space="preserve"> The case did not settle.</w:t>
      </w:r>
    </w:p>
    <w:p w14:paraId="455AF6AF" w14:textId="28ED9652" w:rsidR="00262E50" w:rsidRDefault="001D7B98" w:rsidP="001D7B98">
      <w:pPr>
        <w:pStyle w:val="ParaNumbering"/>
        <w:numPr>
          <w:ilvl w:val="0"/>
          <w:numId w:val="0"/>
        </w:numPr>
        <w:tabs>
          <w:tab w:val="left" w:pos="720"/>
        </w:tabs>
        <w:ind w:hanging="720"/>
      </w:pPr>
      <w:r>
        <w:rPr>
          <w:sz w:val="20"/>
        </w:rPr>
        <w:t>112</w:t>
      </w:r>
      <w:r>
        <w:rPr>
          <w:sz w:val="20"/>
        </w:rPr>
        <w:tab/>
      </w:r>
      <w:r w:rsidR="00262E50">
        <w:t>On the evening of Friday, 10 March 2023 Aveo served:</w:t>
      </w:r>
    </w:p>
    <w:p w14:paraId="4DB675D5" w14:textId="26F8915E" w:rsidR="00262E50" w:rsidRDefault="001D7B98" w:rsidP="001D7B98">
      <w:pPr>
        <w:pStyle w:val="ListNo1alt"/>
        <w:numPr>
          <w:ilvl w:val="0"/>
          <w:numId w:val="0"/>
        </w:numPr>
        <w:tabs>
          <w:tab w:val="left" w:pos="720"/>
        </w:tabs>
        <w:ind w:left="720" w:hanging="720"/>
      </w:pPr>
      <w:r>
        <w:t>(a)</w:t>
      </w:r>
      <w:r>
        <w:tab/>
      </w:r>
      <w:r w:rsidR="00262E50">
        <w:t xml:space="preserve">a further report by Ms </w:t>
      </w:r>
      <w:proofErr w:type="gramStart"/>
      <w:r w:rsidR="00262E50">
        <w:t>Burnet;</w:t>
      </w:r>
      <w:proofErr w:type="gramEnd"/>
    </w:p>
    <w:p w14:paraId="6BD3598C" w14:textId="37F401DF" w:rsidR="00262E50" w:rsidRDefault="001D7B98" w:rsidP="001D7B98">
      <w:pPr>
        <w:pStyle w:val="ListNo1alt"/>
        <w:numPr>
          <w:ilvl w:val="0"/>
          <w:numId w:val="0"/>
        </w:numPr>
        <w:tabs>
          <w:tab w:val="left" w:pos="720"/>
        </w:tabs>
        <w:ind w:left="720" w:hanging="720"/>
      </w:pPr>
      <w:r>
        <w:t>(b)</w:t>
      </w:r>
      <w:r>
        <w:tab/>
      </w:r>
      <w:r w:rsidR="00262E50">
        <w:t xml:space="preserve">a further affidavit by Keith Tang, a lay witness who had earlier provided an affidavit dated 20 December </w:t>
      </w:r>
      <w:proofErr w:type="gramStart"/>
      <w:r w:rsidR="00262E50">
        <w:t>2022;</w:t>
      </w:r>
      <w:proofErr w:type="gramEnd"/>
    </w:p>
    <w:p w14:paraId="261F42A7" w14:textId="784CDE2B" w:rsidR="00262E50" w:rsidRDefault="001D7B98" w:rsidP="001D7B98">
      <w:pPr>
        <w:pStyle w:val="ListNo1alt"/>
        <w:numPr>
          <w:ilvl w:val="0"/>
          <w:numId w:val="0"/>
        </w:numPr>
        <w:tabs>
          <w:tab w:val="left" w:pos="720"/>
        </w:tabs>
        <w:ind w:left="720" w:hanging="720"/>
      </w:pPr>
      <w:r>
        <w:t>(c)</w:t>
      </w:r>
      <w:r>
        <w:tab/>
      </w:r>
      <w:r w:rsidR="00262E50">
        <w:t xml:space="preserve">affidavits by two new lay </w:t>
      </w:r>
      <w:proofErr w:type="gramStart"/>
      <w:r w:rsidR="00262E50">
        <w:t>witnesses;</w:t>
      </w:r>
      <w:proofErr w:type="gramEnd"/>
    </w:p>
    <w:p w14:paraId="184CBEA3" w14:textId="19915A96" w:rsidR="00262E50" w:rsidRDefault="001D7B98" w:rsidP="001D7B98">
      <w:pPr>
        <w:pStyle w:val="ListNo1alt"/>
        <w:numPr>
          <w:ilvl w:val="0"/>
          <w:numId w:val="0"/>
        </w:numPr>
        <w:tabs>
          <w:tab w:val="left" w:pos="720"/>
        </w:tabs>
        <w:ind w:left="720" w:hanging="720"/>
      </w:pPr>
      <w:r>
        <w:t>(d)</w:t>
      </w:r>
      <w:r>
        <w:tab/>
      </w:r>
      <w:r w:rsidR="00262E50">
        <w:t>a report by Dawna Wright,</w:t>
      </w:r>
      <w:r w:rsidR="00262E50" w:rsidRPr="00214252">
        <w:t xml:space="preserve"> </w:t>
      </w:r>
      <w:r w:rsidR="00262E50">
        <w:t>a forensic accountant; and</w:t>
      </w:r>
    </w:p>
    <w:p w14:paraId="533A2F02" w14:textId="65DE3B2F" w:rsidR="00262E50" w:rsidRDefault="001D7B98" w:rsidP="001D7B98">
      <w:pPr>
        <w:pStyle w:val="ListNo1alt"/>
        <w:numPr>
          <w:ilvl w:val="0"/>
          <w:numId w:val="0"/>
        </w:numPr>
        <w:tabs>
          <w:tab w:val="left" w:pos="720"/>
        </w:tabs>
        <w:ind w:left="720" w:hanging="720"/>
      </w:pPr>
      <w:r>
        <w:t>(e)</w:t>
      </w:r>
      <w:r>
        <w:tab/>
      </w:r>
      <w:r w:rsidR="00262E50">
        <w:t>a report by Greg Houston, an economist.</w:t>
      </w:r>
    </w:p>
    <w:p w14:paraId="08088097" w14:textId="24337A0E" w:rsidR="0051348B" w:rsidRDefault="001D7B98" w:rsidP="001D7B98">
      <w:pPr>
        <w:pStyle w:val="ParaNumbering"/>
        <w:numPr>
          <w:ilvl w:val="0"/>
          <w:numId w:val="0"/>
        </w:numPr>
        <w:tabs>
          <w:tab w:val="left" w:pos="720"/>
        </w:tabs>
        <w:ind w:hanging="720"/>
      </w:pPr>
      <w:r>
        <w:rPr>
          <w:sz w:val="20"/>
        </w:rPr>
        <w:t>113</w:t>
      </w:r>
      <w:r>
        <w:rPr>
          <w:sz w:val="20"/>
        </w:rPr>
        <w:tab/>
      </w:r>
      <w:r w:rsidR="004440BA">
        <w:t>The</w:t>
      </w:r>
      <w:r w:rsidR="007C75BA">
        <w:t xml:space="preserve"> applicant did not receive any lay evidence from Aveo before</w:t>
      </w:r>
      <w:r w:rsidR="003F47A6">
        <w:t xml:space="preserve"> 6 December </w:t>
      </w:r>
      <w:r w:rsidR="007C75BA">
        <w:t>2022,</w:t>
      </w:r>
      <w:r w:rsidR="00D82B49">
        <w:t xml:space="preserve"> received new lay evidence as late as 10 March 2023, and receive</w:t>
      </w:r>
      <w:r w:rsidR="00361947">
        <w:t>d</w:t>
      </w:r>
      <w:r w:rsidR="00D82B49">
        <w:t xml:space="preserve"> the majority of </w:t>
      </w:r>
      <w:r w:rsidR="00DF0A8C">
        <w:t xml:space="preserve">Aveo’s </w:t>
      </w:r>
      <w:r w:rsidR="00D82B49">
        <w:t>expert evidence, including evidence on loss and damage,</w:t>
      </w:r>
      <w:r w:rsidR="003E0948">
        <w:t xml:space="preserve"> three business days before </w:t>
      </w:r>
      <w:r w:rsidR="008A5FE1">
        <w:t>trial.</w:t>
      </w:r>
    </w:p>
    <w:p w14:paraId="7A2A379D" w14:textId="5D2D0C08" w:rsidR="00262E50" w:rsidRPr="00B17409" w:rsidRDefault="001D7B98" w:rsidP="001D7B98">
      <w:pPr>
        <w:pStyle w:val="ParaNumbering"/>
        <w:numPr>
          <w:ilvl w:val="0"/>
          <w:numId w:val="0"/>
        </w:numPr>
        <w:tabs>
          <w:tab w:val="left" w:pos="720"/>
        </w:tabs>
        <w:ind w:hanging="720"/>
      </w:pPr>
      <w:r w:rsidRPr="00B17409">
        <w:rPr>
          <w:sz w:val="20"/>
        </w:rPr>
        <w:t>114</w:t>
      </w:r>
      <w:r w:rsidRPr="00B17409">
        <w:rPr>
          <w:sz w:val="20"/>
        </w:rPr>
        <w:tab/>
      </w:r>
      <w:r w:rsidR="00262E50">
        <w:t xml:space="preserve">The trial </w:t>
      </w:r>
      <w:r w:rsidR="00262E50" w:rsidRPr="00C24642">
        <w:t>commenced on 16 March 2023</w:t>
      </w:r>
      <w:r w:rsidR="00656144" w:rsidRPr="00C24642">
        <w:t>, and settled after six days</w:t>
      </w:r>
      <w:r w:rsidR="00B17409" w:rsidRPr="00C24642">
        <w:t>,</w:t>
      </w:r>
      <w:r w:rsidR="00656144" w:rsidRPr="00C24642">
        <w:t xml:space="preserve"> on</w:t>
      </w:r>
      <w:r w:rsidR="00C24642">
        <w:t xml:space="preserve"> very unfavourable</w:t>
      </w:r>
      <w:r w:rsidR="00041EAB">
        <w:t xml:space="preserve"> terms</w:t>
      </w:r>
      <w:r w:rsidR="00C24642">
        <w:t xml:space="preserve"> for the applicants and group members</w:t>
      </w:r>
      <w:r w:rsidR="00262E50" w:rsidRPr="00C24642">
        <w:t xml:space="preserve">. </w:t>
      </w:r>
    </w:p>
    <w:p w14:paraId="4A288B91" w14:textId="63405017" w:rsidR="00C4074E" w:rsidRDefault="00C4074E" w:rsidP="00C4074E">
      <w:pPr>
        <w:pStyle w:val="Heading2"/>
      </w:pPr>
      <w:r>
        <w:t>The Contradictor’s submissions</w:t>
      </w:r>
    </w:p>
    <w:p w14:paraId="72F1B2E2" w14:textId="47E9534A" w:rsidR="005A2512" w:rsidRPr="00167711" w:rsidRDefault="001D7B98" w:rsidP="001D7B98">
      <w:pPr>
        <w:pStyle w:val="ParaNumbering"/>
        <w:numPr>
          <w:ilvl w:val="0"/>
          <w:numId w:val="0"/>
        </w:numPr>
        <w:tabs>
          <w:tab w:val="left" w:pos="720"/>
        </w:tabs>
        <w:ind w:hanging="720"/>
        <w:rPr>
          <w:bCs/>
        </w:rPr>
      </w:pPr>
      <w:r w:rsidRPr="00167711">
        <w:rPr>
          <w:bCs/>
          <w:sz w:val="20"/>
        </w:rPr>
        <w:t>115</w:t>
      </w:r>
      <w:r w:rsidRPr="00167711">
        <w:rPr>
          <w:bCs/>
          <w:sz w:val="20"/>
        </w:rPr>
        <w:tab/>
      </w:r>
      <w:r w:rsidR="00041EAB">
        <w:rPr>
          <w:bCs/>
        </w:rPr>
        <w:t>I</w:t>
      </w:r>
      <w:r w:rsidR="00167711" w:rsidRPr="00167711">
        <w:rPr>
          <w:bCs/>
        </w:rPr>
        <w:t>t is common ground</w:t>
      </w:r>
      <w:r w:rsidR="00041EAB">
        <w:rPr>
          <w:bCs/>
        </w:rPr>
        <w:t xml:space="preserve"> between the relevant parties</w:t>
      </w:r>
      <w:r w:rsidR="00167711" w:rsidRPr="00167711">
        <w:rPr>
          <w:bCs/>
        </w:rPr>
        <w:t xml:space="preserve"> that</w:t>
      </w:r>
      <w:r w:rsidR="00167711" w:rsidRPr="00F725DF">
        <w:t xml:space="preserve"> the Costs Referee’s Reports should be adopted.</w:t>
      </w:r>
      <w:r w:rsidR="00167711" w:rsidRPr="00F725DF" w:rsidDel="00041EAB">
        <w:t xml:space="preserve"> </w:t>
      </w:r>
      <w:r w:rsidR="00167711" w:rsidRPr="00F725DF">
        <w:t>Levitt Robinson</w:t>
      </w:r>
      <w:r w:rsidR="00041EAB">
        <w:t xml:space="preserve"> </w:t>
      </w:r>
      <w:r w:rsidR="004E5032">
        <w:t xml:space="preserve">accepts that it is appropriate to reduce its claimed costs by the Disallowed Costs of $1.335 million, and the firm </w:t>
      </w:r>
      <w:r w:rsidR="00041EAB">
        <w:t>seeks approval</w:t>
      </w:r>
      <w:r w:rsidR="001333FD">
        <w:t xml:space="preserve"> for the deduction of costs up to the </w:t>
      </w:r>
      <w:r w:rsidR="00477379">
        <w:t xml:space="preserve">date of settlement in the amount of </w:t>
      </w:r>
      <w:r w:rsidR="00167711" w:rsidRPr="00F725DF">
        <w:t>$9.6</w:t>
      </w:r>
      <w:r w:rsidR="00F725DF">
        <w:t>6</w:t>
      </w:r>
      <w:r w:rsidR="00167711" w:rsidRPr="00F725DF">
        <w:t>5 million</w:t>
      </w:r>
      <w:r w:rsidR="00515BA1">
        <w:t>.</w:t>
      </w:r>
      <w:r w:rsidR="00167711" w:rsidRPr="00F725DF">
        <w:t xml:space="preserve"> </w:t>
      </w:r>
    </w:p>
    <w:p w14:paraId="7EF5D142" w14:textId="5638462F" w:rsidR="00656144" w:rsidRPr="006708E2" w:rsidRDefault="001D7B98" w:rsidP="001D7B98">
      <w:pPr>
        <w:pStyle w:val="ParaNumbering"/>
        <w:numPr>
          <w:ilvl w:val="0"/>
          <w:numId w:val="0"/>
        </w:numPr>
        <w:tabs>
          <w:tab w:val="left" w:pos="720"/>
        </w:tabs>
        <w:ind w:hanging="720"/>
        <w:rPr>
          <w:bCs/>
        </w:rPr>
      </w:pPr>
      <w:r w:rsidRPr="006708E2">
        <w:rPr>
          <w:bCs/>
          <w:sz w:val="20"/>
        </w:rPr>
        <w:lastRenderedPageBreak/>
        <w:t>116</w:t>
      </w:r>
      <w:r w:rsidRPr="006708E2">
        <w:rPr>
          <w:bCs/>
          <w:sz w:val="20"/>
        </w:rPr>
        <w:tab/>
      </w:r>
      <w:r w:rsidR="004E5032">
        <w:rPr>
          <w:bCs/>
          <w:szCs w:val="24"/>
        </w:rPr>
        <w:t xml:space="preserve">In </w:t>
      </w:r>
      <w:r w:rsidR="00522B2C">
        <w:rPr>
          <w:bCs/>
          <w:szCs w:val="24"/>
        </w:rPr>
        <w:t>addition to the Disallowed Costs t</w:t>
      </w:r>
      <w:r w:rsidR="00656144" w:rsidRPr="006708E2">
        <w:rPr>
          <w:bCs/>
          <w:szCs w:val="24"/>
        </w:rPr>
        <w:t xml:space="preserve">he Contradictor submitted </w:t>
      </w:r>
      <w:r w:rsidR="00522B2C">
        <w:rPr>
          <w:bCs/>
          <w:szCs w:val="24"/>
        </w:rPr>
        <w:t xml:space="preserve">Levitt Robinson’s costs should be reduced by the Avoidable Costs of </w:t>
      </w:r>
      <w:r w:rsidR="00522B2C">
        <w:t xml:space="preserve">$1.141 million. </w:t>
      </w:r>
      <w:r w:rsidR="00522B2C">
        <w:rPr>
          <w:szCs w:val="24"/>
        </w:rPr>
        <w:t>T</w:t>
      </w:r>
      <w:r w:rsidR="00522B2C" w:rsidRPr="006708E2">
        <w:rPr>
          <w:szCs w:val="24"/>
        </w:rPr>
        <w:t xml:space="preserve">he Contradictor </w:t>
      </w:r>
      <w:r w:rsidR="00522B2C">
        <w:t>contended that</w:t>
      </w:r>
      <w:r w:rsidR="00522B2C" w:rsidRPr="006708E2">
        <w:rPr>
          <w:szCs w:val="24"/>
        </w:rPr>
        <w:t xml:space="preserve"> </w:t>
      </w:r>
      <w:r w:rsidR="00A90966">
        <w:rPr>
          <w:szCs w:val="24"/>
        </w:rPr>
        <w:t xml:space="preserve">a lack of due expedition and </w:t>
      </w:r>
      <w:r w:rsidR="00656144">
        <w:t>serious inefficiency by Levitt Robinson</w:t>
      </w:r>
      <w:r w:rsidR="00656144" w:rsidDel="002575E9">
        <w:t xml:space="preserve"> </w:t>
      </w:r>
      <w:r w:rsidR="002575E9">
        <w:t>led to the delay in</w:t>
      </w:r>
      <w:r w:rsidR="003E26AF">
        <w:t xml:space="preserve"> service of </w:t>
      </w:r>
      <w:r w:rsidR="00656144">
        <w:t>the applicants’ expert evidence</w:t>
      </w:r>
      <w:r w:rsidR="003E26AF">
        <w:t>. As I have said, on the Contradictor’s argument, had Levitt Robinson complied with the pre-trial timetable in relation to the service of its expert evidence the applicants would have had Aveo’s expert reports by late November/early December 2022; because of Levitt Robinson’s late service of its expert reports it did not receive Aveo’s expert reports until the eve of trial; that the parties’ expert evidence was pivotal to achieving a settlement and that the case would most likely have settled at a mediation in December 2022 had the expert evidence been on; and because the parties did not have their expert evidence, the case did not settle at the mediation and Levitt Robinson ran up $1.141 million in costs in the period immediately prior to trial which would have been avoided had the firm complied with its professional obligations.</w:t>
      </w:r>
      <w:r w:rsidR="00656144" w:rsidDel="003E26AF">
        <w:t xml:space="preserve"> </w:t>
      </w:r>
    </w:p>
    <w:p w14:paraId="679EAF76" w14:textId="071BF2A5" w:rsidR="00827453" w:rsidRDefault="001D7B98" w:rsidP="001D7B98">
      <w:pPr>
        <w:pStyle w:val="ParaNumbering"/>
        <w:numPr>
          <w:ilvl w:val="0"/>
          <w:numId w:val="0"/>
        </w:numPr>
        <w:tabs>
          <w:tab w:val="left" w:pos="720"/>
        </w:tabs>
        <w:ind w:hanging="720"/>
      </w:pPr>
      <w:r>
        <w:rPr>
          <w:sz w:val="20"/>
        </w:rPr>
        <w:t>117</w:t>
      </w:r>
      <w:r>
        <w:rPr>
          <w:sz w:val="20"/>
        </w:rPr>
        <w:tab/>
      </w:r>
      <w:r w:rsidR="00F725DF">
        <w:t>The Contradictor relied upon Mr Levitt’s affidavit sworn 21 October 2022</w:t>
      </w:r>
      <w:r w:rsidR="007726B0">
        <w:t>, made</w:t>
      </w:r>
      <w:r w:rsidR="00F725DF">
        <w:t xml:space="preserve"> in support of the first application to vacate the trial date, much of which he then incorporated into his affidavit sworn 2 November 2022 in</w:t>
      </w:r>
      <w:r w:rsidR="00F725DF" w:rsidDel="007726B0">
        <w:t xml:space="preserve"> </w:t>
      </w:r>
      <w:r w:rsidR="007726B0">
        <w:t>the approval application</w:t>
      </w:r>
      <w:r w:rsidR="0071576B">
        <w:t xml:space="preserve">. </w:t>
      </w:r>
      <w:r w:rsidR="00F725DF">
        <w:t xml:space="preserve"> </w:t>
      </w:r>
      <w:r w:rsidR="005A5C79">
        <w:t>I</w:t>
      </w:r>
      <w:r w:rsidR="00F827DE">
        <w:t xml:space="preserve">n his 21 October 2022 affidavit </w:t>
      </w:r>
      <w:r w:rsidR="005A5C79">
        <w:t>Mr Levitt</w:t>
      </w:r>
      <w:r w:rsidR="005A5C79" w:rsidDel="007726B0">
        <w:t xml:space="preserve"> </w:t>
      </w:r>
      <w:r w:rsidR="007726B0">
        <w:t xml:space="preserve">stated </w:t>
      </w:r>
      <w:r w:rsidR="00F827DE">
        <w:t>(at [72]</w:t>
      </w:r>
      <w:r w:rsidR="005A5C79">
        <w:t>) that</w:t>
      </w:r>
      <w:r w:rsidR="00B97D27">
        <w:t>:</w:t>
      </w:r>
    </w:p>
    <w:p w14:paraId="6A0B0B9E" w14:textId="413EB627" w:rsidR="005A5C79" w:rsidRDefault="00C307AB" w:rsidP="0071576B">
      <w:pPr>
        <w:pStyle w:val="Quote1"/>
        <w:ind w:left="1437" w:hanging="700"/>
      </w:pPr>
      <w:r>
        <w:t>[72]</w:t>
      </w:r>
      <w:r>
        <w:tab/>
      </w:r>
      <w:r w:rsidR="005A5C79">
        <w:t>The following factors have contributed to the Applicants</w:t>
      </w:r>
      <w:r w:rsidR="00BE2D13">
        <w:t>’</w:t>
      </w:r>
      <w:r w:rsidR="005A5C79">
        <w:t xml:space="preserve"> not having filed their expert evidence by the time required by the April 2022 Orders or at all:</w:t>
      </w:r>
    </w:p>
    <w:p w14:paraId="42C58ACD" w14:textId="60DAB909" w:rsidR="005A5C79" w:rsidRDefault="005A5C79" w:rsidP="00923743">
      <w:pPr>
        <w:pStyle w:val="Quote2"/>
        <w:ind w:left="2160" w:hanging="720"/>
      </w:pPr>
      <w:r>
        <w:t>72.</w:t>
      </w:r>
      <w:r w:rsidR="00C307AB">
        <w:t>1</w:t>
      </w:r>
      <w:r w:rsidR="00C307AB">
        <w:tab/>
      </w:r>
      <w:r>
        <w:t>by way of context, the pleading amendments in February 2021 to include the</w:t>
      </w:r>
      <w:r w:rsidR="00C307AB">
        <w:t xml:space="preserve"> </w:t>
      </w:r>
      <w:r>
        <w:t>Unconscionable System Claims and in November 2021 to include the special value</w:t>
      </w:r>
      <w:r w:rsidR="00C307AB">
        <w:t xml:space="preserve"> </w:t>
      </w:r>
      <w:r>
        <w:t>claim and the introduction of sample group member claims, resulted in:</w:t>
      </w:r>
    </w:p>
    <w:p w14:paraId="2F6AA27B" w14:textId="7B4E3F32" w:rsidR="005A5C79" w:rsidRDefault="00B065EC" w:rsidP="007C4D0E">
      <w:pPr>
        <w:pStyle w:val="Quote3"/>
        <w:ind w:left="2880" w:hanging="720"/>
      </w:pPr>
      <w:r>
        <w:t>(</w:t>
      </w:r>
      <w:proofErr w:type="spellStart"/>
      <w:r>
        <w:t>i</w:t>
      </w:r>
      <w:proofErr w:type="spellEnd"/>
      <w:r>
        <w:t>)</w:t>
      </w:r>
      <w:r>
        <w:tab/>
      </w:r>
      <w:r w:rsidR="005A5C79">
        <w:t xml:space="preserve">the Applicants seeking further discovery by the </w:t>
      </w:r>
      <w:proofErr w:type="gramStart"/>
      <w:r w:rsidR="005A5C79">
        <w:t>Respondent;</w:t>
      </w:r>
      <w:proofErr w:type="gramEnd"/>
    </w:p>
    <w:p w14:paraId="69F4BDB5" w14:textId="58983607" w:rsidR="005A5C79" w:rsidRDefault="00B065EC" w:rsidP="007C4D0E">
      <w:pPr>
        <w:pStyle w:val="Quote3"/>
        <w:ind w:left="2880" w:hanging="720"/>
      </w:pPr>
      <w:r>
        <w:t>(ii)</w:t>
      </w:r>
      <w:r>
        <w:tab/>
      </w:r>
      <w:r w:rsidR="005A5C79">
        <w:t xml:space="preserve">the Applicants subpoenaing </w:t>
      </w:r>
      <w:proofErr w:type="gramStart"/>
      <w:r w:rsidR="005A5C79">
        <w:t>a number of</w:t>
      </w:r>
      <w:proofErr w:type="gramEnd"/>
      <w:r w:rsidR="005A5C79">
        <w:t xml:space="preserve"> entities for the purpose of obtaining</w:t>
      </w:r>
      <w:r>
        <w:t xml:space="preserve"> </w:t>
      </w:r>
      <w:r w:rsidR="005A5C79">
        <w:t>documents to instruct its expert witnesses with; and</w:t>
      </w:r>
    </w:p>
    <w:p w14:paraId="6D1EB0E7" w14:textId="66707AD1" w:rsidR="005A5C79" w:rsidRDefault="00B065EC" w:rsidP="007C4D0E">
      <w:pPr>
        <w:pStyle w:val="Quote3"/>
        <w:ind w:left="2880" w:hanging="720"/>
      </w:pPr>
      <w:r>
        <w:t>(iii)</w:t>
      </w:r>
      <w:r>
        <w:tab/>
      </w:r>
      <w:r w:rsidR="005A5C79">
        <w:t>the need for Applicants to call expert evidence in respect of the new allegations.</w:t>
      </w:r>
    </w:p>
    <w:p w14:paraId="2EDD6F69" w14:textId="133DCE6F" w:rsidR="005A5C79" w:rsidRDefault="005A5C79" w:rsidP="00923743">
      <w:pPr>
        <w:pStyle w:val="Quote2"/>
        <w:ind w:left="2160" w:hanging="720"/>
      </w:pPr>
      <w:r>
        <w:t>72.2</w:t>
      </w:r>
      <w:r w:rsidR="00B065EC">
        <w:tab/>
      </w:r>
      <w:r>
        <w:t>delays in the Respondent producing the documents responsive to the various categories</w:t>
      </w:r>
      <w:r w:rsidR="00B065EC">
        <w:t xml:space="preserve"> </w:t>
      </w:r>
      <w:r>
        <w:t>of discovery</w:t>
      </w:r>
      <w:proofErr w:type="gramStart"/>
      <w:r w:rsidR="00706E3D">
        <w:t>…;</w:t>
      </w:r>
      <w:proofErr w:type="gramEnd"/>
    </w:p>
    <w:p w14:paraId="6967C9AE" w14:textId="427672CF" w:rsidR="005A5C79" w:rsidRDefault="005A5C79" w:rsidP="00923743">
      <w:pPr>
        <w:pStyle w:val="Quote2"/>
        <w:ind w:left="2160" w:hanging="720"/>
      </w:pPr>
      <w:r>
        <w:t>72.3</w:t>
      </w:r>
      <w:r w:rsidR="00706E3D">
        <w:tab/>
      </w:r>
      <w:r>
        <w:t>the need to issue subpoenas to numerous entities, and delays incurred by the process of</w:t>
      </w:r>
      <w:r w:rsidR="00706E3D">
        <w:t xml:space="preserve"> </w:t>
      </w:r>
      <w:r>
        <w:t>obtaining production of documents sought under subpoena (including, the following</w:t>
      </w:r>
      <w:r w:rsidR="00706E3D">
        <w:t xml:space="preserve"> </w:t>
      </w:r>
      <w:r>
        <w:t>three matters):</w:t>
      </w:r>
    </w:p>
    <w:p w14:paraId="4DE6D5BA" w14:textId="434DB111" w:rsidR="005A5C79" w:rsidRDefault="00B50B43" w:rsidP="00923743">
      <w:pPr>
        <w:pStyle w:val="Quote3"/>
        <w:ind w:left="2880" w:hanging="720"/>
      </w:pPr>
      <w:r>
        <w:t>(</w:t>
      </w:r>
      <w:proofErr w:type="spellStart"/>
      <w:r>
        <w:t>i</w:t>
      </w:r>
      <w:proofErr w:type="spellEnd"/>
      <w:r>
        <w:t>)</w:t>
      </w:r>
      <w:r>
        <w:tab/>
      </w:r>
      <w:r w:rsidR="005A5C79">
        <w:t>the access regime whereby the Respondent required first access to documents</w:t>
      </w:r>
      <w:r>
        <w:t xml:space="preserve"> </w:t>
      </w:r>
      <w:r w:rsidR="005A5C79">
        <w:t xml:space="preserve">produced by certain addressees to enable </w:t>
      </w:r>
      <w:r w:rsidR="005A5C79">
        <w:lastRenderedPageBreak/>
        <w:t xml:space="preserve">it to make claims of </w:t>
      </w:r>
      <w:proofErr w:type="gramStart"/>
      <w:r w:rsidR="005A5C79">
        <w:t>privilege;</w:t>
      </w:r>
      <w:proofErr w:type="gramEnd"/>
    </w:p>
    <w:p w14:paraId="05043E02" w14:textId="66CA668C" w:rsidR="005A5C79" w:rsidRDefault="00B50B43" w:rsidP="00923743">
      <w:pPr>
        <w:pStyle w:val="Quote3"/>
        <w:ind w:left="2880" w:hanging="720"/>
      </w:pPr>
      <w:r>
        <w:t>(ii)</w:t>
      </w:r>
      <w:r>
        <w:tab/>
      </w:r>
      <w:r w:rsidR="005A5C79">
        <w:t>the application of redactions and negotiating confidentiality undertakings in</w:t>
      </w:r>
      <w:r>
        <w:t xml:space="preserve"> </w:t>
      </w:r>
      <w:r w:rsidR="005A5C79">
        <w:t xml:space="preserve">relation to certain documents produced pursuant to the </w:t>
      </w:r>
      <w:proofErr w:type="gramStart"/>
      <w:r w:rsidR="005A5C79">
        <w:t>subpoenas;</w:t>
      </w:r>
      <w:proofErr w:type="gramEnd"/>
    </w:p>
    <w:p w14:paraId="33B12A7E" w14:textId="3EA95421" w:rsidR="005A5C79" w:rsidRDefault="007216D0" w:rsidP="00923743">
      <w:pPr>
        <w:pStyle w:val="Quote3"/>
        <w:ind w:left="2880" w:hanging="720"/>
      </w:pPr>
      <w:r>
        <w:t>[</w:t>
      </w:r>
      <w:r w:rsidR="00CA1D63">
        <w:t>iii</w:t>
      </w:r>
      <w:r>
        <w:t>]</w:t>
      </w:r>
      <w:r w:rsidR="00CA1D63">
        <w:tab/>
      </w:r>
      <w:r w:rsidR="005A5C79">
        <w:t>amendments made to the addressee details of certain subpoenas due to difficulties in identifying</w:t>
      </w:r>
      <w:r w:rsidR="00D1039F">
        <w:t xml:space="preserve"> </w:t>
      </w:r>
      <w:r w:rsidR="005A5C79">
        <w:t xml:space="preserve">the correct </w:t>
      </w:r>
      <w:proofErr w:type="gramStart"/>
      <w:r w:rsidR="005A5C79">
        <w:t>entity;</w:t>
      </w:r>
      <w:proofErr w:type="gramEnd"/>
    </w:p>
    <w:p w14:paraId="43CC6EA9" w14:textId="62EBEE6E" w:rsidR="005A5C79" w:rsidRDefault="005A5C79" w:rsidP="00923743">
      <w:pPr>
        <w:pStyle w:val="Quote2"/>
        <w:ind w:left="2160" w:hanging="720"/>
      </w:pPr>
      <w:r>
        <w:t>72.4</w:t>
      </w:r>
      <w:r w:rsidR="00D1039F">
        <w:tab/>
      </w:r>
      <w:r>
        <w:t>the large volume of material produced under subpoena and during discovery, which has</w:t>
      </w:r>
      <w:r w:rsidR="00D1039F">
        <w:t xml:space="preserve"> </w:t>
      </w:r>
      <w:r>
        <w:t>resulted in a significant document review process, simultaneously with other work</w:t>
      </w:r>
      <w:r w:rsidR="00D1039F">
        <w:t xml:space="preserve"> </w:t>
      </w:r>
      <w:r>
        <w:t>required in the proceeding; and</w:t>
      </w:r>
    </w:p>
    <w:p w14:paraId="12310DA0" w14:textId="20BF98C8" w:rsidR="005A5C79" w:rsidRDefault="005A5C79" w:rsidP="00923743">
      <w:pPr>
        <w:pStyle w:val="Quote2"/>
        <w:ind w:left="2160" w:hanging="720"/>
      </w:pPr>
      <w:r>
        <w:t>72.5</w:t>
      </w:r>
      <w:r w:rsidR="00D1039F">
        <w:tab/>
      </w:r>
      <w:r>
        <w:t>additional or further requests by the Applicants for information to address deficiencies</w:t>
      </w:r>
      <w:r w:rsidR="00D1039F">
        <w:t xml:space="preserve"> </w:t>
      </w:r>
      <w:r>
        <w:t>in the discovery or non-compliance with discovery or subpoena obligations, or other</w:t>
      </w:r>
      <w:r w:rsidR="00D1039F">
        <w:t xml:space="preserve"> </w:t>
      </w:r>
      <w:r>
        <w:t xml:space="preserve">material they have required </w:t>
      </w:r>
      <w:proofErr w:type="gramStart"/>
      <w:r>
        <w:t>in order to</w:t>
      </w:r>
      <w:proofErr w:type="gramEnd"/>
      <w:r>
        <w:t xml:space="preserve"> instruct their expert witnesses.</w:t>
      </w:r>
    </w:p>
    <w:p w14:paraId="21335129" w14:textId="740BE34D" w:rsidR="0023039B" w:rsidRDefault="001D7B98" w:rsidP="001D7B98">
      <w:pPr>
        <w:pStyle w:val="ParaNumbering"/>
        <w:numPr>
          <w:ilvl w:val="0"/>
          <w:numId w:val="0"/>
        </w:numPr>
        <w:tabs>
          <w:tab w:val="left" w:pos="720"/>
        </w:tabs>
        <w:ind w:hanging="720"/>
      </w:pPr>
      <w:r>
        <w:rPr>
          <w:sz w:val="20"/>
        </w:rPr>
        <w:t>118</w:t>
      </w:r>
      <w:r>
        <w:rPr>
          <w:sz w:val="20"/>
        </w:rPr>
        <w:tab/>
      </w:r>
      <w:r w:rsidR="0023039B">
        <w:t xml:space="preserve">Mr Levitt </w:t>
      </w:r>
      <w:r w:rsidR="007726B0">
        <w:t>then said</w:t>
      </w:r>
      <w:r w:rsidR="00AE4D11" w:rsidDel="007726B0">
        <w:t xml:space="preserve"> </w:t>
      </w:r>
      <w:r w:rsidR="00AE4D11">
        <w:t>(at [74]</w:t>
      </w:r>
      <w:r w:rsidR="00284968">
        <w:t xml:space="preserve"> and [75</w:t>
      </w:r>
      <w:r w:rsidR="00AE4D11">
        <w:t>])</w:t>
      </w:r>
      <w:r w:rsidR="00201374">
        <w:t xml:space="preserve"> that the applicants sought and obtained leave to issue subpoenas to </w:t>
      </w:r>
      <w:r w:rsidR="00E8756C">
        <w:t>five</w:t>
      </w:r>
      <w:r w:rsidR="00201374">
        <w:t xml:space="preserve"> of Aveo’s external advisors who </w:t>
      </w:r>
      <w:r w:rsidR="0071576B">
        <w:t>were</w:t>
      </w:r>
      <w:r w:rsidR="00201374">
        <w:t xml:space="preserve"> engaged to undertake advisory work, such as</w:t>
      </w:r>
      <w:r w:rsidR="00E8756C">
        <w:t xml:space="preserve"> audit and </w:t>
      </w:r>
      <w:r w:rsidR="00201374">
        <w:t>valuation services</w:t>
      </w:r>
      <w:r w:rsidR="00486FC7">
        <w:t xml:space="preserve">, </w:t>
      </w:r>
      <w:proofErr w:type="gramStart"/>
      <w:r w:rsidR="00486FC7">
        <w:t>in order to</w:t>
      </w:r>
      <w:proofErr w:type="gramEnd"/>
      <w:r w:rsidR="00486FC7">
        <w:t xml:space="preserve"> instruct its expert witnesses</w:t>
      </w:r>
      <w:r w:rsidR="0071576B">
        <w:t xml:space="preserve">. He </w:t>
      </w:r>
      <w:r w:rsidR="00263536">
        <w:t xml:space="preserve">said </w:t>
      </w:r>
      <w:r w:rsidR="00284968">
        <w:t>tha</w:t>
      </w:r>
      <w:r w:rsidR="00284968" w:rsidDel="007726B0">
        <w:t>t</w:t>
      </w:r>
      <w:r w:rsidR="00263536">
        <w:t xml:space="preserve"> documents produced </w:t>
      </w:r>
      <w:r w:rsidR="0069103E">
        <w:t>under the subpoenas</w:t>
      </w:r>
      <w:r w:rsidR="0069103E" w:rsidDel="007726B0">
        <w:t xml:space="preserve"> </w:t>
      </w:r>
      <w:r w:rsidR="007726B0">
        <w:t xml:space="preserve">had </w:t>
      </w:r>
      <w:r w:rsidR="00303CB1">
        <w:t xml:space="preserve">been </w:t>
      </w:r>
      <w:r w:rsidR="00263536">
        <w:t xml:space="preserve">relevant to the work undertaken by the </w:t>
      </w:r>
      <w:r w:rsidR="0069103E">
        <w:t xml:space="preserve">applicants’ expert property valuer and </w:t>
      </w:r>
      <w:r w:rsidR="00263536">
        <w:t xml:space="preserve">forensic accountant, but </w:t>
      </w:r>
      <w:r w:rsidR="0069103E">
        <w:t xml:space="preserve">that </w:t>
      </w:r>
      <w:r w:rsidR="00FD23FA">
        <w:t xml:space="preserve">the applicants had still not received </w:t>
      </w:r>
      <w:proofErr w:type="gramStart"/>
      <w:r w:rsidR="00FD23FA">
        <w:t>all of</w:t>
      </w:r>
      <w:proofErr w:type="gramEnd"/>
      <w:r w:rsidR="00FD23FA">
        <w:t xml:space="preserve"> the subpoenaed documents.</w:t>
      </w:r>
    </w:p>
    <w:p w14:paraId="7D1A6B8F" w14:textId="6DBFD99A" w:rsidR="00985913" w:rsidRDefault="001D7B98" w:rsidP="001D7B98">
      <w:pPr>
        <w:pStyle w:val="ParaNumbering"/>
        <w:numPr>
          <w:ilvl w:val="0"/>
          <w:numId w:val="0"/>
        </w:numPr>
        <w:tabs>
          <w:tab w:val="left" w:pos="720"/>
        </w:tabs>
        <w:ind w:hanging="720"/>
      </w:pPr>
      <w:r>
        <w:rPr>
          <w:sz w:val="20"/>
        </w:rPr>
        <w:t>119</w:t>
      </w:r>
      <w:r>
        <w:rPr>
          <w:sz w:val="20"/>
        </w:rPr>
        <w:tab/>
      </w:r>
      <w:r w:rsidR="00CF24CA" w:rsidRPr="00A7791E">
        <w:t>T</w:t>
      </w:r>
      <w:r w:rsidR="00FD23FA" w:rsidRPr="00A7791E">
        <w:t xml:space="preserve">he </w:t>
      </w:r>
      <w:r w:rsidR="004F0C4F" w:rsidRPr="00A7791E">
        <w:t>evidence</w:t>
      </w:r>
      <w:r w:rsidR="00CF24CA" w:rsidRPr="00A7791E">
        <w:t>, however,</w:t>
      </w:r>
      <w:r w:rsidR="004F0C4F" w:rsidRPr="00A7791E">
        <w:t xml:space="preserve"> </w:t>
      </w:r>
      <w:r w:rsidR="0071576B" w:rsidRPr="00A7791E">
        <w:t xml:space="preserve">shows that the </w:t>
      </w:r>
      <w:r w:rsidR="00FD23FA" w:rsidRPr="00A7791E">
        <w:t xml:space="preserve">applicants did not seek leave to issue those subpoenas until </w:t>
      </w:r>
      <w:r w:rsidR="00001BCF" w:rsidRPr="00A7791E">
        <w:t xml:space="preserve">4 </w:t>
      </w:r>
      <w:r w:rsidR="0006115E" w:rsidRPr="00A7791E">
        <w:t>July 2022.</w:t>
      </w:r>
      <w:r w:rsidR="00FD23FA" w:rsidRPr="00A7791E" w:rsidDel="00CF24CA">
        <w:t xml:space="preserve"> </w:t>
      </w:r>
      <w:r w:rsidR="00CF24CA" w:rsidRPr="00A7791E">
        <w:t xml:space="preserve">The Contradictor contended that </w:t>
      </w:r>
      <w:r w:rsidR="0060231B" w:rsidRPr="00A7791E">
        <w:t>there was nothing in</w:t>
      </w:r>
      <w:r w:rsidR="00B37EE3" w:rsidRPr="00A7791E">
        <w:t xml:space="preserve"> Mr Levitt’s affidavit</w:t>
      </w:r>
      <w:r w:rsidR="00CF24CA" w:rsidRPr="00A7791E">
        <w:t>s</w:t>
      </w:r>
      <w:r w:rsidR="00B37EE3" w:rsidRPr="00A7791E">
        <w:t xml:space="preserve"> </w:t>
      </w:r>
      <w:r w:rsidR="0060231B" w:rsidRPr="00A7791E">
        <w:t>to</w:t>
      </w:r>
      <w:r w:rsidR="0060231B" w:rsidRPr="00A7791E" w:rsidDel="00CF24CA">
        <w:t xml:space="preserve"> </w:t>
      </w:r>
      <w:r w:rsidR="00CF24CA" w:rsidRPr="00A7791E">
        <w:t xml:space="preserve">explain </w:t>
      </w:r>
      <w:r w:rsidR="0060231B" w:rsidRPr="00A7791E">
        <w:t xml:space="preserve">the delay between the </w:t>
      </w:r>
      <w:r w:rsidR="006C2ABD" w:rsidRPr="00A7791E">
        <w:t>filing of the</w:t>
      </w:r>
      <w:r w:rsidR="0055532A" w:rsidRPr="00A7791E">
        <w:t xml:space="preserve"> Third Further Amended </w:t>
      </w:r>
      <w:r w:rsidR="0060231B" w:rsidRPr="00A7791E">
        <w:t xml:space="preserve">Statement of Claim </w:t>
      </w:r>
      <w:r w:rsidR="0055532A" w:rsidRPr="00A7791E">
        <w:t xml:space="preserve">in November 2021 which added </w:t>
      </w:r>
      <w:r w:rsidR="0060231B" w:rsidRPr="00A7791E">
        <w:t xml:space="preserve">the Unconscionable System </w:t>
      </w:r>
      <w:r w:rsidR="0069103E" w:rsidRPr="00A7791E">
        <w:t>C</w:t>
      </w:r>
      <w:r w:rsidR="0060231B" w:rsidRPr="00A7791E">
        <w:t xml:space="preserve">laim </w:t>
      </w:r>
      <w:r w:rsidR="00FD23FA" w:rsidRPr="00A7791E">
        <w:t xml:space="preserve">and the application </w:t>
      </w:r>
      <w:r w:rsidR="004D2F11" w:rsidRPr="00A7791E">
        <w:t xml:space="preserve">for leave </w:t>
      </w:r>
      <w:r w:rsidR="00FD23FA" w:rsidRPr="00A7791E">
        <w:t>to issue the subpoenas</w:t>
      </w:r>
      <w:r w:rsidR="0055532A" w:rsidRPr="00A7791E">
        <w:t xml:space="preserve"> on 4 July 2022.</w:t>
      </w:r>
      <w:r w:rsidR="00410FB7" w:rsidRPr="00A7791E">
        <w:t xml:space="preserve"> </w:t>
      </w:r>
      <w:r w:rsidR="00365682">
        <w:t xml:space="preserve">The Contradictor accepted that there was a flurry of activity </w:t>
      </w:r>
      <w:r w:rsidR="007A0F7D">
        <w:t xml:space="preserve">by the applicants </w:t>
      </w:r>
      <w:r w:rsidR="00365682">
        <w:t>from July 2022 onwards</w:t>
      </w:r>
      <w:r w:rsidR="00985913">
        <w:t xml:space="preserve"> but argued that the evidence does not explain Levitt Robinson’s delay between November 2021 and July 2022. The Contradictor contended that had Levitt Robinson complied with the first pre-trial timetable, or even the second pre-trial timetable, both of which provided plenty of time for </w:t>
      </w:r>
      <w:r w:rsidR="001D595F">
        <w:t>Levitt Robinson</w:t>
      </w:r>
      <w:r w:rsidR="00985913">
        <w:t xml:space="preserve"> to obtain </w:t>
      </w:r>
      <w:r w:rsidR="001D595F">
        <w:t xml:space="preserve">and serve the applicants’ </w:t>
      </w:r>
      <w:r w:rsidR="00985913">
        <w:t xml:space="preserve">expert evidence, </w:t>
      </w:r>
      <w:r w:rsidR="001D595F">
        <w:t>the firm was</w:t>
      </w:r>
      <w:r w:rsidR="00985913">
        <w:t xml:space="preserve"> likely to have received Aveo’s expert reports by late November or early December 2022. </w:t>
      </w:r>
    </w:p>
    <w:p w14:paraId="1BD0AFB7" w14:textId="45732784" w:rsidR="00AA1C6A" w:rsidRDefault="001D7B98" w:rsidP="001D7B98">
      <w:pPr>
        <w:pStyle w:val="ParaNumbering"/>
        <w:numPr>
          <w:ilvl w:val="0"/>
          <w:numId w:val="0"/>
        </w:numPr>
        <w:tabs>
          <w:tab w:val="left" w:pos="720"/>
        </w:tabs>
        <w:ind w:hanging="720"/>
      </w:pPr>
      <w:r>
        <w:rPr>
          <w:sz w:val="20"/>
        </w:rPr>
        <w:t>120</w:t>
      </w:r>
      <w:r>
        <w:rPr>
          <w:sz w:val="20"/>
        </w:rPr>
        <w:tab/>
      </w:r>
      <w:r w:rsidR="00F233BF">
        <w:t xml:space="preserve">The Contradictor noted </w:t>
      </w:r>
      <w:r w:rsidR="00AA1C6A">
        <w:t>that,</w:t>
      </w:r>
      <w:r w:rsidR="00DD3651" w:rsidDel="00AA1C6A">
        <w:t xml:space="preserve"> </w:t>
      </w:r>
      <w:r w:rsidR="00CA500C">
        <w:t>in refusing the first application to vacate the trial</w:t>
      </w:r>
      <w:r w:rsidR="00AA1C6A">
        <w:t>,</w:t>
      </w:r>
      <w:r w:rsidR="006C783D">
        <w:t xml:space="preserve"> the trial judge</w:t>
      </w:r>
      <w:r w:rsidR="000922B7">
        <w:t xml:space="preserve"> found that</w:t>
      </w:r>
      <w:r w:rsidR="000922B7" w:rsidRPr="000922B7">
        <w:t xml:space="preserve"> </w:t>
      </w:r>
      <w:r w:rsidR="000922B7">
        <w:t>there had been a lack of application, diligence and expedition by Levitt Robinson</w:t>
      </w:r>
      <w:r w:rsidR="00CA500C">
        <w:t>, and that the firm had failed to adequately explain the delay</w:t>
      </w:r>
      <w:r w:rsidR="000922B7">
        <w:t>:</w:t>
      </w:r>
      <w:r w:rsidR="000922B7" w:rsidRPr="006A6CCD">
        <w:t xml:space="preserve"> </w:t>
      </w:r>
      <w:r w:rsidR="000922B7">
        <w:t xml:space="preserve">see 17 November 2022 transcript </w:t>
      </w:r>
      <w:r w:rsidR="006C783D">
        <w:t xml:space="preserve">of hearing </w:t>
      </w:r>
      <w:r w:rsidR="000922B7">
        <w:t xml:space="preserve">at </w:t>
      </w:r>
      <w:r w:rsidR="006C783D">
        <w:t>T</w:t>
      </w:r>
      <w:r w:rsidR="000922B7">
        <w:t xml:space="preserve">30.1-21; </w:t>
      </w:r>
      <w:r w:rsidR="006C783D">
        <w:t>T</w:t>
      </w:r>
      <w:r w:rsidR="000922B7">
        <w:t xml:space="preserve">34.25-35.20; </w:t>
      </w:r>
      <w:r w:rsidR="005310ED">
        <w:t>and</w:t>
      </w:r>
      <w:r w:rsidR="000922B7">
        <w:t xml:space="preserve"> </w:t>
      </w:r>
      <w:r w:rsidR="006C783D">
        <w:t>T</w:t>
      </w:r>
      <w:r w:rsidR="000922B7">
        <w:t xml:space="preserve">38.3-11. </w:t>
      </w:r>
    </w:p>
    <w:p w14:paraId="651AC8D8" w14:textId="36E334F3" w:rsidR="00AA1C6A" w:rsidRDefault="001D7B98" w:rsidP="001D7B98">
      <w:pPr>
        <w:pStyle w:val="ParaNumbering"/>
        <w:numPr>
          <w:ilvl w:val="0"/>
          <w:numId w:val="0"/>
        </w:numPr>
        <w:tabs>
          <w:tab w:val="left" w:pos="720"/>
        </w:tabs>
        <w:ind w:hanging="720"/>
      </w:pPr>
      <w:r>
        <w:rPr>
          <w:sz w:val="20"/>
        </w:rPr>
        <w:lastRenderedPageBreak/>
        <w:t>121</w:t>
      </w:r>
      <w:r>
        <w:rPr>
          <w:sz w:val="20"/>
        </w:rPr>
        <w:tab/>
      </w:r>
      <w:r w:rsidR="00ED261F">
        <w:t xml:space="preserve">The Contradictor noted that when Aveo’s expert evidence was received, the </w:t>
      </w:r>
      <w:r w:rsidR="005E0B27">
        <w:t>reports of its expert valuer had the advantage of being based in Aveo’s sales data</w:t>
      </w:r>
      <w:r w:rsidR="00752B7F">
        <w:t>.</w:t>
      </w:r>
      <w:r w:rsidR="005E0B27">
        <w:t xml:space="preserve"> </w:t>
      </w:r>
      <w:r w:rsidR="00752B7F">
        <w:t xml:space="preserve">That is, Aveo’s expert valuation evidence was not based in an extrapolation from the growth in value of “normal” residential real estate over the years. Aveo’s expert valuation evidence was </w:t>
      </w:r>
      <w:r w:rsidR="005E0B27">
        <w:t xml:space="preserve">corroborated by Aveo’s sales managers who gave direct evidence of their experience selling units under the Aveo Way. They said that the Aveo Way contract was more attractive to prospective </w:t>
      </w:r>
      <w:proofErr w:type="gramStart"/>
      <w:r w:rsidR="005E0B27">
        <w:t>purchasers</w:t>
      </w:r>
      <w:r w:rsidR="007356C2">
        <w:t xml:space="preserve">; </w:t>
      </w:r>
      <w:r w:rsidR="005E0B27" w:rsidDel="007356C2">
        <w:t xml:space="preserve"> </w:t>
      </w:r>
      <w:r w:rsidR="007356C2">
        <w:t>that</w:t>
      </w:r>
      <w:proofErr w:type="gramEnd"/>
      <w:r w:rsidR="007356C2">
        <w:t xml:space="preserve"> </w:t>
      </w:r>
      <w:r w:rsidR="005E0B27">
        <w:t>units under the Aveo Way were easier to sell than units under pre-Aveo Way terms</w:t>
      </w:r>
      <w:r w:rsidR="007356C2">
        <w:t xml:space="preserve">; and that </w:t>
      </w:r>
      <w:r w:rsidR="005E0B27">
        <w:t>there had been no negative impact on prices following the introduction of the Aveo Way.</w:t>
      </w:r>
    </w:p>
    <w:p w14:paraId="0990FDFA" w14:textId="71A08A36" w:rsidR="00AA1C6A" w:rsidRDefault="001D7B98" w:rsidP="001D7B98">
      <w:pPr>
        <w:pStyle w:val="ParaNumbering"/>
        <w:numPr>
          <w:ilvl w:val="0"/>
          <w:numId w:val="0"/>
        </w:numPr>
        <w:tabs>
          <w:tab w:val="left" w:pos="720"/>
        </w:tabs>
        <w:ind w:hanging="720"/>
      </w:pPr>
      <w:r>
        <w:rPr>
          <w:sz w:val="20"/>
        </w:rPr>
        <w:t>122</w:t>
      </w:r>
      <w:r>
        <w:rPr>
          <w:sz w:val="20"/>
        </w:rPr>
        <w:tab/>
      </w:r>
      <w:r w:rsidR="00AA1C6A">
        <w:t xml:space="preserve">The Contradictor argued that, </w:t>
      </w:r>
      <w:proofErr w:type="gramStart"/>
      <w:r w:rsidR="00AA1C6A">
        <w:t>in light of</w:t>
      </w:r>
      <w:proofErr w:type="gramEnd"/>
      <w:r w:rsidR="00AA1C6A">
        <w:t xml:space="preserve"> all the circumstances, it is likely that the case would have settled at the December 2022 mediation had the parties exchanged their expert reports prior to then. In that event Levitt Robinson would not have </w:t>
      </w:r>
      <w:r w:rsidR="007A7523">
        <w:t>run up</w:t>
      </w:r>
      <w:r w:rsidR="00AA1C6A">
        <w:t xml:space="preserve"> $1.141 million in Avoidable Costs.</w:t>
      </w:r>
    </w:p>
    <w:p w14:paraId="3158F53A" w14:textId="2E984D89" w:rsidR="0080664F" w:rsidRDefault="0013157C" w:rsidP="0080664F">
      <w:pPr>
        <w:pStyle w:val="Heading2"/>
      </w:pPr>
      <w:r>
        <w:t>Levitt</w:t>
      </w:r>
      <w:r w:rsidR="007C362E">
        <w:t xml:space="preserve"> Robinson</w:t>
      </w:r>
      <w:r w:rsidR="00846AF4">
        <w:t>’s</w:t>
      </w:r>
      <w:r w:rsidR="007C362E">
        <w:t xml:space="preserve"> submissions</w:t>
      </w:r>
    </w:p>
    <w:p w14:paraId="6C6373BF" w14:textId="0A3014F4" w:rsidR="00BF6C2E" w:rsidRPr="00BF6C2E" w:rsidRDefault="001D7B98" w:rsidP="001D7B98">
      <w:pPr>
        <w:pStyle w:val="ParaNumbering"/>
        <w:numPr>
          <w:ilvl w:val="0"/>
          <w:numId w:val="0"/>
        </w:numPr>
        <w:tabs>
          <w:tab w:val="left" w:pos="720"/>
        </w:tabs>
        <w:autoSpaceDE w:val="0"/>
        <w:autoSpaceDN w:val="0"/>
        <w:adjustRightInd w:val="0"/>
        <w:spacing w:line="240" w:lineRule="auto"/>
        <w:ind w:hanging="720"/>
        <w:jc w:val="left"/>
        <w:rPr>
          <w:rFonts w:ascii="TimesNewRomanPSMT" w:hAnsi="TimesNewRomanPSMT" w:cs="TimesNewRomanPSMT"/>
          <w:sz w:val="15"/>
          <w:szCs w:val="15"/>
          <w:lang w:eastAsia="en-AU"/>
        </w:rPr>
      </w:pPr>
      <w:r w:rsidRPr="00BF6C2E">
        <w:rPr>
          <w:rFonts w:ascii="TimesNewRomanPSMT" w:hAnsi="TimesNewRomanPSMT" w:cs="TimesNewRomanPSMT"/>
          <w:sz w:val="20"/>
          <w:szCs w:val="15"/>
          <w:lang w:eastAsia="en-AU"/>
        </w:rPr>
        <w:t>123</w:t>
      </w:r>
      <w:r w:rsidRPr="00BF6C2E">
        <w:rPr>
          <w:rFonts w:ascii="TimesNewRomanPSMT" w:hAnsi="TimesNewRomanPSMT" w:cs="TimesNewRomanPSMT"/>
          <w:sz w:val="20"/>
          <w:szCs w:val="15"/>
          <w:lang w:eastAsia="en-AU"/>
        </w:rPr>
        <w:tab/>
      </w:r>
      <w:r w:rsidR="007A3741">
        <w:t>Levitt Robinson relied on the observations of Beach J in</w:t>
      </w:r>
      <w:r w:rsidR="00BF6C2E" w:rsidRPr="00BF6C2E">
        <w:rPr>
          <w:rFonts w:ascii="TimesNewRomanPS-ItalicMT" w:hAnsi="TimesNewRomanPS-ItalicMT" w:cs="TimesNewRomanPS-ItalicMT"/>
          <w:i/>
          <w:iCs/>
          <w:sz w:val="23"/>
          <w:szCs w:val="23"/>
          <w:lang w:eastAsia="en-AU"/>
        </w:rPr>
        <w:t xml:space="preserve"> </w:t>
      </w:r>
      <w:r w:rsidR="00BF6C2E" w:rsidRPr="00AC782C">
        <w:rPr>
          <w:rFonts w:ascii="TimesNewRomanPS-ItalicMT" w:hAnsi="TimesNewRomanPS-ItalicMT" w:cs="TimesNewRomanPS-ItalicMT"/>
          <w:i/>
          <w:sz w:val="23"/>
          <w:szCs w:val="23"/>
          <w:lang w:eastAsia="en-AU"/>
        </w:rPr>
        <w:t xml:space="preserve">Elliott-Carde v McDonald's Australia Ltd </w:t>
      </w:r>
      <w:r w:rsidR="00BF6C2E" w:rsidRPr="00AC782C">
        <w:rPr>
          <w:rFonts w:ascii="TimesNewRomanPSMT" w:hAnsi="TimesNewRomanPSMT" w:cs="TimesNewRomanPSMT"/>
          <w:sz w:val="23"/>
          <w:szCs w:val="23"/>
          <w:lang w:eastAsia="en-AU"/>
        </w:rPr>
        <w:t>[2023] FCAFC 162 at [106]</w:t>
      </w:r>
      <w:r w:rsidR="00BF6C2E" w:rsidRPr="00BF6C2E">
        <w:rPr>
          <w:rFonts w:ascii="TimesNewRomanPSMT" w:hAnsi="TimesNewRomanPSMT" w:cs="TimesNewRomanPSMT"/>
          <w:sz w:val="23"/>
          <w:szCs w:val="23"/>
          <w:lang w:eastAsia="en-AU"/>
        </w:rPr>
        <w:t xml:space="preserve"> where his Honour said:</w:t>
      </w:r>
    </w:p>
    <w:p w14:paraId="55FD7D4D" w14:textId="5CE4026D" w:rsidR="00BF6C2E" w:rsidRDefault="00BF6C2E" w:rsidP="00DD3AD5">
      <w:pPr>
        <w:pStyle w:val="Quote1"/>
        <w:rPr>
          <w:lang w:eastAsia="en-AU"/>
        </w:rPr>
      </w:pPr>
      <w:r>
        <w:rPr>
          <w:lang w:eastAsia="en-AU"/>
        </w:rPr>
        <w:t xml:space="preserve">… one can conjure up an analogy from the alchemy of equity. As Lee J observed in </w:t>
      </w:r>
      <w:proofErr w:type="spellStart"/>
      <w:r>
        <w:rPr>
          <w:rFonts w:ascii="TimesNewRomanPS-ItalicMT" w:hAnsi="TimesNewRomanPS-ItalicMT" w:cs="TimesNewRomanPS-ItalicMT"/>
          <w:i/>
          <w:iCs/>
          <w:lang w:eastAsia="en-AU"/>
        </w:rPr>
        <w:t>Asirifi</w:t>
      </w:r>
      <w:proofErr w:type="spellEnd"/>
      <w:r>
        <w:rPr>
          <w:rFonts w:ascii="TimesNewRomanPS-ItalicMT" w:hAnsi="TimesNewRomanPS-ItalicMT" w:cs="TimesNewRomanPS-ItalicMT"/>
          <w:i/>
          <w:iCs/>
          <w:lang w:eastAsia="en-AU"/>
        </w:rPr>
        <w:t xml:space="preserve">-Otchere v Swann Insurance (Aust) Pty Ltd (No 3) </w:t>
      </w:r>
      <w:r>
        <w:rPr>
          <w:lang w:eastAsia="en-AU"/>
        </w:rPr>
        <w:t xml:space="preserve">(2020) 385 ALR 625 at [39], no group member has an ascertained interest in the settlement fund created by a class action, and each requires the aid of the Court to claim their share. Each claim is at the least closely analogous to that of a beneficiary. And because he who seeks equity must do equity, it is inequitable for the person who has created or realised </w:t>
      </w:r>
      <w:proofErr w:type="gramStart"/>
      <w:r>
        <w:rPr>
          <w:lang w:eastAsia="en-AU"/>
        </w:rPr>
        <w:t>a valuable asset</w:t>
      </w:r>
      <w:proofErr w:type="gramEnd"/>
      <w:r>
        <w:rPr>
          <w:lang w:eastAsia="en-AU"/>
        </w:rPr>
        <w:t xml:space="preserve"> not to have their costs, expenses and fees incurred in producing the asset paid out of the very fund or property that that person’s efforts have created…</w:t>
      </w:r>
    </w:p>
    <w:p w14:paraId="193AEBB0" w14:textId="3B0661ED" w:rsidR="00186A23" w:rsidRDefault="0074591A" w:rsidP="00DD1438">
      <w:pPr>
        <w:pStyle w:val="NoNum"/>
        <w:rPr>
          <w:lang w:eastAsia="en-AU"/>
        </w:rPr>
      </w:pPr>
      <w:r>
        <w:rPr>
          <w:lang w:eastAsia="en-AU"/>
        </w:rPr>
        <w:t xml:space="preserve">The firm argued that the </w:t>
      </w:r>
      <w:r w:rsidR="00BF6C2E">
        <w:rPr>
          <w:lang w:eastAsia="en-AU"/>
        </w:rPr>
        <w:t>Court</w:t>
      </w:r>
      <w:r>
        <w:rPr>
          <w:lang w:eastAsia="en-AU"/>
        </w:rPr>
        <w:t xml:space="preserve"> should </w:t>
      </w:r>
      <w:r w:rsidR="00BF6C2E">
        <w:rPr>
          <w:lang w:eastAsia="en-AU"/>
        </w:rPr>
        <w:t xml:space="preserve">be slow to take the </w:t>
      </w:r>
      <w:r w:rsidR="00DD1438">
        <w:rPr>
          <w:lang w:eastAsia="en-AU"/>
        </w:rPr>
        <w:t>“</w:t>
      </w:r>
      <w:r w:rsidR="00BF6C2E">
        <w:rPr>
          <w:lang w:eastAsia="en-AU"/>
        </w:rPr>
        <w:t>penal step” of disallowing costs properly</w:t>
      </w:r>
      <w:r w:rsidR="00B71ABB">
        <w:rPr>
          <w:lang w:eastAsia="en-AU"/>
        </w:rPr>
        <w:t xml:space="preserve"> </w:t>
      </w:r>
      <w:proofErr w:type="gramStart"/>
      <w:r w:rsidR="00BF6C2E">
        <w:rPr>
          <w:lang w:eastAsia="en-AU"/>
        </w:rPr>
        <w:t>incurred, and</w:t>
      </w:r>
      <w:proofErr w:type="gramEnd"/>
      <w:r w:rsidR="00BF6C2E">
        <w:rPr>
          <w:lang w:eastAsia="en-AU"/>
        </w:rPr>
        <w:t xml:space="preserve"> </w:t>
      </w:r>
      <w:r w:rsidR="00183801">
        <w:rPr>
          <w:lang w:eastAsia="en-AU"/>
        </w:rPr>
        <w:t xml:space="preserve">should only do so </w:t>
      </w:r>
      <w:r w:rsidR="00BF6C2E">
        <w:rPr>
          <w:lang w:eastAsia="en-AU"/>
        </w:rPr>
        <w:t>only if there are indications that something in the conduct of the proceedings</w:t>
      </w:r>
      <w:r w:rsidR="00183801">
        <w:rPr>
          <w:lang w:eastAsia="en-AU"/>
        </w:rPr>
        <w:t xml:space="preserve"> </w:t>
      </w:r>
      <w:r w:rsidR="00BF6C2E">
        <w:rPr>
          <w:lang w:eastAsia="en-AU"/>
        </w:rPr>
        <w:t>had miscarried</w:t>
      </w:r>
      <w:r w:rsidR="00183801">
        <w:rPr>
          <w:lang w:eastAsia="en-AU"/>
        </w:rPr>
        <w:t>.</w:t>
      </w:r>
    </w:p>
    <w:p w14:paraId="7CB736C7" w14:textId="7CA2BCC0" w:rsidR="00DD1438" w:rsidRDefault="001D7B98" w:rsidP="001D7B98">
      <w:pPr>
        <w:pStyle w:val="ParaNumbering"/>
        <w:numPr>
          <w:ilvl w:val="0"/>
          <w:numId w:val="0"/>
        </w:numPr>
        <w:tabs>
          <w:tab w:val="left" w:pos="720"/>
        </w:tabs>
        <w:ind w:hanging="720"/>
      </w:pPr>
      <w:r>
        <w:rPr>
          <w:sz w:val="20"/>
        </w:rPr>
        <w:t>124</w:t>
      </w:r>
      <w:r>
        <w:rPr>
          <w:sz w:val="20"/>
        </w:rPr>
        <w:tab/>
      </w:r>
      <w:r w:rsidR="00147E58">
        <w:t xml:space="preserve">Levitt Robinson noted </w:t>
      </w:r>
      <w:r w:rsidR="00027B24">
        <w:t>three matters at the outset</w:t>
      </w:r>
      <w:r w:rsidR="00147E58">
        <w:t>:</w:t>
      </w:r>
    </w:p>
    <w:p w14:paraId="78D1BA89" w14:textId="6B3F761A" w:rsidR="00147E58" w:rsidRDefault="001D7B98" w:rsidP="001D7B98">
      <w:pPr>
        <w:pStyle w:val="ListNo1alt"/>
        <w:numPr>
          <w:ilvl w:val="0"/>
          <w:numId w:val="0"/>
        </w:numPr>
        <w:tabs>
          <w:tab w:val="left" w:pos="720"/>
        </w:tabs>
        <w:ind w:left="720" w:hanging="720"/>
      </w:pPr>
      <w:r>
        <w:t>(a)</w:t>
      </w:r>
      <w:r>
        <w:tab/>
      </w:r>
      <w:r w:rsidR="00147E58">
        <w:t xml:space="preserve">that the proceeding concerned claims on behalf of some 2,700 group members which could reasonably be quantified as having a claim value </w:t>
      </w:r>
      <w:r w:rsidR="009362A9">
        <w:t xml:space="preserve">in the hundreds of millions. </w:t>
      </w:r>
      <w:r w:rsidR="004832C6">
        <w:t xml:space="preserve">And there was no suggestion by the Contradictor that the claims were made without a reasonable basis. Accordingly, and consistently with my remarks in </w:t>
      </w:r>
      <w:r w:rsidR="004832C6" w:rsidRPr="004832C6">
        <w:rPr>
          <w:i/>
          <w:iCs/>
        </w:rPr>
        <w:t>Petersen</w:t>
      </w:r>
      <w:r w:rsidR="004832C6">
        <w:t xml:space="preserve"> at [128]-[135]</w:t>
      </w:r>
      <w:r w:rsidR="0062702E">
        <w:t xml:space="preserve">, the assessment of whether Levitt Robinson’s costs are proportionate should be adjudicated against that </w:t>
      </w:r>
      <w:proofErr w:type="gramStart"/>
      <w:r w:rsidR="0062702E">
        <w:t>expectation;</w:t>
      </w:r>
      <w:proofErr w:type="gramEnd"/>
    </w:p>
    <w:p w14:paraId="1BD392CB" w14:textId="2AE340F3" w:rsidR="0062702E" w:rsidRDefault="001D7B98" w:rsidP="001D7B98">
      <w:pPr>
        <w:pStyle w:val="ListNo1alt"/>
        <w:numPr>
          <w:ilvl w:val="0"/>
          <w:numId w:val="0"/>
        </w:numPr>
        <w:tabs>
          <w:tab w:val="left" w:pos="720"/>
        </w:tabs>
        <w:ind w:left="720" w:hanging="720"/>
      </w:pPr>
      <w:r>
        <w:t>(b)</w:t>
      </w:r>
      <w:r>
        <w:tab/>
      </w:r>
      <w:r w:rsidR="00864A71">
        <w:t>the proceeding was a complex one</w:t>
      </w:r>
      <w:r w:rsidR="001A63C9">
        <w:t xml:space="preserve"> with settlement being reached very late; and</w:t>
      </w:r>
    </w:p>
    <w:p w14:paraId="48EB4B50" w14:textId="3C0870FC" w:rsidR="00AA36EF" w:rsidRDefault="001D7B98" w:rsidP="001D7B98">
      <w:pPr>
        <w:pStyle w:val="ListNo1alt"/>
        <w:numPr>
          <w:ilvl w:val="0"/>
          <w:numId w:val="0"/>
        </w:numPr>
        <w:tabs>
          <w:tab w:val="left" w:pos="720"/>
        </w:tabs>
        <w:ind w:left="720" w:hanging="720"/>
      </w:pPr>
      <w:r>
        <w:lastRenderedPageBreak/>
        <w:t>(c)</w:t>
      </w:r>
      <w:r>
        <w:tab/>
      </w:r>
      <w:r w:rsidR="00AA36EF">
        <w:t xml:space="preserve">there is force in the remarks of Beach J in approving the proposed settlement in </w:t>
      </w:r>
      <w:proofErr w:type="spellStart"/>
      <w:r w:rsidR="00AA36EF" w:rsidRPr="00AC782C">
        <w:rPr>
          <w:i/>
        </w:rPr>
        <w:t>Kuterba</w:t>
      </w:r>
      <w:proofErr w:type="spellEnd"/>
      <w:r w:rsidR="00AA36EF" w:rsidRPr="00AA36EF">
        <w:rPr>
          <w:i/>
          <w:iCs/>
        </w:rPr>
        <w:t xml:space="preserve"> </w:t>
      </w:r>
      <w:r w:rsidR="00AA36EF">
        <w:t xml:space="preserve">at [18]-[19]. That application involved a proposed settlement reached midway through a trial in which, after all </w:t>
      </w:r>
      <w:r w:rsidR="007356C2">
        <w:t>Court-</w:t>
      </w:r>
      <w:r w:rsidR="00AA36EF">
        <w:t>approved deductions, the group members were to receive only 50% of the gross settlement. His Honour said:</w:t>
      </w:r>
    </w:p>
    <w:p w14:paraId="05B50978" w14:textId="77777777" w:rsidR="00AA36EF" w:rsidRDefault="00AA36EF" w:rsidP="00EC71EC">
      <w:pPr>
        <w:pStyle w:val="Quote1"/>
      </w:pPr>
      <w:r>
        <w:t xml:space="preserve">…such a 50% level compares favourably with other contexts. But </w:t>
      </w:r>
      <w:r w:rsidRPr="00EC71EC">
        <w:rPr>
          <w:b/>
          <w:bCs/>
        </w:rPr>
        <w:t xml:space="preserve">one </w:t>
      </w:r>
      <w:proofErr w:type="gramStart"/>
      <w:r w:rsidRPr="00EC71EC">
        <w:rPr>
          <w:b/>
          <w:bCs/>
        </w:rPr>
        <w:t>has to</w:t>
      </w:r>
      <w:proofErr w:type="gramEnd"/>
      <w:r w:rsidRPr="00EC71EC">
        <w:rPr>
          <w:b/>
          <w:bCs/>
        </w:rPr>
        <w:t xml:space="preserve"> be careful with such a metric, let alone some general assertion that “in every class action, group members should get at least 50% of the gross settlement sum</w:t>
      </w:r>
      <w:r w:rsidRPr="00AA36EF">
        <w:t xml:space="preserve">”. </w:t>
      </w:r>
      <w:r>
        <w:t xml:space="preserve">Take the following situation. Assume that a litigation funder and external lawyers take on a very complex and </w:t>
      </w:r>
      <w:proofErr w:type="gramStart"/>
      <w:r>
        <w:t>high risk</w:t>
      </w:r>
      <w:proofErr w:type="gramEnd"/>
      <w:r>
        <w:t xml:space="preserve"> case (with a commensurably higher commission rate than normal) on behalf of say a large group of persons who have contracted cancer. Say that proving causation by the alleged carcinogen is extremely difficult. Assume that the action has been launched on the basis only of problematic epidemiology showing a heightened risk and some biology that shows only a possible biological pathway. Then assume that after extensive discovery and expensive expert reports it becomes clear that there is no viable biological pathway demonstrated, such that it is apparent that the group members have no cause of action for damages. Let it also be assumed that nevertheless the respondent is prepared to pay a modest amount to settle the matter, and let it also be assumed that nevertheless the respondent is prepared to pay a modest amount to settle the matter, and let it also be assumed that legal expenses and the funding commission would soak up 90% of that modest settlement sum. Is it seriously suggested that the group members should receive at least 50% of the settlement sum for what, after forensic investigation that group members did not have to pay for and where the risk for this on their behalf was taken on and funded by others, are shown to be likely valueless claims? One can multiply such examples.</w:t>
      </w:r>
    </w:p>
    <w:p w14:paraId="0D38E610" w14:textId="77777777" w:rsidR="00AA36EF" w:rsidRPr="00EC71EC" w:rsidRDefault="00AA36EF" w:rsidP="00EC71EC">
      <w:pPr>
        <w:pStyle w:val="Quote1"/>
        <w:rPr>
          <w:b/>
          <w:bCs/>
        </w:rPr>
      </w:pPr>
      <w:r w:rsidRPr="00EC71EC">
        <w:rPr>
          <w:b/>
          <w:bCs/>
        </w:rPr>
        <w:t xml:space="preserve">No power contained in or philosophy underpinning Part IVA provides a proper basis for giving group members something for what turned out to be nothing or to give them something beyond what the true value of their claims are worth, reflecting the product of the face value times the probability of success times the probability of recovery. Moreover, to so artificially allocate is economically distortive and unnecessarily disincentivises the reasonable investment of time and expense in investigating, </w:t>
      </w:r>
      <w:proofErr w:type="gramStart"/>
      <w:r w:rsidRPr="00EC71EC">
        <w:rPr>
          <w:b/>
          <w:bCs/>
        </w:rPr>
        <w:t>funding</w:t>
      </w:r>
      <w:proofErr w:type="gramEnd"/>
      <w:r w:rsidRPr="00EC71EC">
        <w:rPr>
          <w:b/>
          <w:bCs/>
        </w:rPr>
        <w:t xml:space="preserve"> and prosecuting class actions. </w:t>
      </w:r>
    </w:p>
    <w:p w14:paraId="5ADEA065" w14:textId="77777777" w:rsidR="00AA36EF" w:rsidRDefault="00AA36EF" w:rsidP="00AA36EF">
      <w:pPr>
        <w:pStyle w:val="Quote1"/>
        <w:ind w:firstLine="703"/>
      </w:pPr>
      <w:r>
        <w:t>(Emphasis added.)</w:t>
      </w:r>
    </w:p>
    <w:p w14:paraId="3489DC7E" w14:textId="4470F233" w:rsidR="0058067A" w:rsidRDefault="001D7B98" w:rsidP="001D7B98">
      <w:pPr>
        <w:pStyle w:val="ParaNumbering"/>
        <w:numPr>
          <w:ilvl w:val="0"/>
          <w:numId w:val="0"/>
        </w:numPr>
        <w:tabs>
          <w:tab w:val="left" w:pos="720"/>
        </w:tabs>
        <w:ind w:hanging="720"/>
      </w:pPr>
      <w:r>
        <w:rPr>
          <w:sz w:val="20"/>
        </w:rPr>
        <w:t>125</w:t>
      </w:r>
      <w:r>
        <w:rPr>
          <w:sz w:val="20"/>
        </w:rPr>
        <w:tab/>
      </w:r>
      <w:r w:rsidR="003B1F0C">
        <w:t>Levitt Robinson</w:t>
      </w:r>
      <w:r w:rsidR="00C450BB">
        <w:t xml:space="preserve"> submitted </w:t>
      </w:r>
      <w:r w:rsidR="003B1F0C">
        <w:t xml:space="preserve">that </w:t>
      </w:r>
      <w:r w:rsidR="00E05D3D">
        <w:t>the Contradictor’s contention</w:t>
      </w:r>
      <w:r w:rsidR="00BA7B07">
        <w:t>:</w:t>
      </w:r>
      <w:r w:rsidR="00E05D3D">
        <w:t xml:space="preserve"> </w:t>
      </w:r>
    </w:p>
    <w:p w14:paraId="0A151246" w14:textId="3D99E508" w:rsidR="001A63C9" w:rsidRPr="005A318E" w:rsidRDefault="00BA7B07" w:rsidP="00BA7B07">
      <w:pPr>
        <w:pStyle w:val="Quote1"/>
        <w:rPr>
          <w:szCs w:val="22"/>
        </w:rPr>
      </w:pPr>
      <w:r w:rsidRPr="005A318E">
        <w:rPr>
          <w:szCs w:val="22"/>
        </w:rPr>
        <w:t>…</w:t>
      </w:r>
      <w:r w:rsidR="00842C3C" w:rsidRPr="005A318E">
        <w:rPr>
          <w:szCs w:val="22"/>
        </w:rPr>
        <w:t xml:space="preserve">turns on </w:t>
      </w:r>
      <w:proofErr w:type="gramStart"/>
      <w:r w:rsidR="00C450BB" w:rsidRPr="005A318E">
        <w:rPr>
          <w:szCs w:val="22"/>
        </w:rPr>
        <w:t>an</w:t>
      </w:r>
      <w:proofErr w:type="gramEnd"/>
      <w:r w:rsidR="00C450BB" w:rsidRPr="005A318E">
        <w:rPr>
          <w:szCs w:val="22"/>
        </w:rPr>
        <w:t xml:space="preserve"> hypothesised concatenation of counterfactuals from a most protracted procedural history in </w:t>
      </w:r>
      <w:r w:rsidR="001F1B0F">
        <w:rPr>
          <w:szCs w:val="22"/>
        </w:rPr>
        <w:t>a</w:t>
      </w:r>
      <w:r w:rsidR="00C450BB" w:rsidRPr="005A318E">
        <w:rPr>
          <w:szCs w:val="22"/>
        </w:rPr>
        <w:t xml:space="preserve"> highly complex litigation. For one thing, the hypothesis is interposed by the Applicants </w:t>
      </w:r>
      <w:r w:rsidR="00C450BB" w:rsidRPr="006B2E1C">
        <w:rPr>
          <w:i/>
          <w:szCs w:val="22"/>
        </w:rPr>
        <w:t>two</w:t>
      </w:r>
      <w:r w:rsidR="00C450BB" w:rsidRPr="005A318E">
        <w:rPr>
          <w:szCs w:val="22"/>
        </w:rPr>
        <w:t xml:space="preserve"> applications to vacate the trial,</w:t>
      </w:r>
      <w:r w:rsidRPr="005A318E">
        <w:rPr>
          <w:szCs w:val="22"/>
        </w:rPr>
        <w:t xml:space="preserve"> </w:t>
      </w:r>
      <w:r w:rsidR="00C450BB" w:rsidRPr="005A318E">
        <w:rPr>
          <w:szCs w:val="22"/>
        </w:rPr>
        <w:t>each of which was refused.</w:t>
      </w:r>
    </w:p>
    <w:p w14:paraId="3C2789A0" w14:textId="533DB8E4" w:rsidR="00BA7B07" w:rsidRDefault="00E6378F" w:rsidP="00E6378F">
      <w:pPr>
        <w:pStyle w:val="Quote1"/>
        <w:rPr>
          <w:rFonts w:ascii="TimesNewRomanPSMT" w:hAnsi="TimesNewRomanPSMT" w:cs="TimesNewRomanPSMT"/>
          <w:sz w:val="23"/>
          <w:szCs w:val="23"/>
          <w:lang w:eastAsia="en-AU"/>
        </w:rPr>
      </w:pPr>
      <w:r w:rsidRPr="005A318E">
        <w:rPr>
          <w:szCs w:val="22"/>
          <w:lang w:eastAsia="en-AU"/>
        </w:rPr>
        <w:t>Fundamentally, it requires the finding</w:t>
      </w:r>
      <w:r w:rsidR="007D5287" w:rsidRPr="005A318E">
        <w:rPr>
          <w:szCs w:val="22"/>
          <w:lang w:eastAsia="en-AU"/>
        </w:rPr>
        <w:t xml:space="preserve"> -</w:t>
      </w:r>
      <w:r w:rsidRPr="005A318E">
        <w:rPr>
          <w:szCs w:val="22"/>
          <w:lang w:eastAsia="en-AU"/>
        </w:rPr>
        <w:t xml:space="preserve"> which rises little higher than speculation and is </w:t>
      </w:r>
      <w:r w:rsidRPr="006B2E1C">
        <w:rPr>
          <w:szCs w:val="22"/>
          <w:lang w:eastAsia="en-AU"/>
        </w:rPr>
        <w:t>controverted by both a corpus of evidence and judicial experience</w:t>
      </w:r>
      <w:r w:rsidR="007D5287" w:rsidRPr="006B2E1C">
        <w:rPr>
          <w:szCs w:val="22"/>
          <w:lang w:eastAsia="en-AU"/>
        </w:rPr>
        <w:t xml:space="preserve"> -</w:t>
      </w:r>
      <w:r w:rsidRPr="006B2E1C">
        <w:rPr>
          <w:szCs w:val="22"/>
          <w:lang w:eastAsia="en-AU"/>
        </w:rPr>
        <w:t xml:space="preserve"> that the earlier exchange of expert evidence would have resulted in an earlier settlement, and specifically </w:t>
      </w:r>
      <w:r w:rsidRPr="006B2E1C">
        <w:rPr>
          <w:i/>
          <w:szCs w:val="22"/>
          <w:lang w:eastAsia="en-AU"/>
        </w:rPr>
        <w:t xml:space="preserve">arguendo </w:t>
      </w:r>
      <w:r w:rsidRPr="006B2E1C">
        <w:rPr>
          <w:szCs w:val="22"/>
          <w:lang w:eastAsia="en-AU"/>
        </w:rPr>
        <w:t>a settlement some months out from the start of the trial.</w:t>
      </w:r>
    </w:p>
    <w:p w14:paraId="68CE0727" w14:textId="5CD24F67" w:rsidR="00E50DF5" w:rsidRDefault="00E50DF5" w:rsidP="00E50DF5">
      <w:pPr>
        <w:pStyle w:val="NoNum"/>
      </w:pPr>
      <w:r>
        <w:t>It contended that there is no rational basis for the Court to conclude that the case would have settled sooner</w:t>
      </w:r>
      <w:r w:rsidR="00081714">
        <w:t xml:space="preserve">, and thus that the costs </w:t>
      </w:r>
      <w:r w:rsidR="007356C2">
        <w:t xml:space="preserve">incurred in the immediate lead up to trial </w:t>
      </w:r>
      <w:r w:rsidR="00081714">
        <w:t>would have been avoided.</w:t>
      </w:r>
      <w:r w:rsidR="002C3EC9" w:rsidDel="007356C2">
        <w:t xml:space="preserve"> </w:t>
      </w:r>
      <w:r w:rsidR="007356C2">
        <w:t xml:space="preserve">But in the event the Court found that the costs were avoidable </w:t>
      </w:r>
      <w:r w:rsidR="002C3EC9">
        <w:t xml:space="preserve">Levitt Robinson </w:t>
      </w:r>
      <w:r w:rsidR="00F72F00">
        <w:lastRenderedPageBreak/>
        <w:t xml:space="preserve">accepted </w:t>
      </w:r>
      <w:r w:rsidR="002C3EC9">
        <w:t>that the Court should rely upon the Cost Referee’s assessment</w:t>
      </w:r>
      <w:r w:rsidR="002C3EC9" w:rsidDel="007356C2">
        <w:t xml:space="preserve"> </w:t>
      </w:r>
      <w:r w:rsidR="007356C2">
        <w:t xml:space="preserve">that </w:t>
      </w:r>
      <w:r w:rsidR="002C3EC9">
        <w:t>Avoidable Costs</w:t>
      </w:r>
      <w:r w:rsidR="002C3EC9" w:rsidDel="007356C2">
        <w:t xml:space="preserve"> </w:t>
      </w:r>
      <w:r w:rsidR="007356C2">
        <w:t xml:space="preserve">were </w:t>
      </w:r>
      <w:r w:rsidR="002C3EC9">
        <w:t>$1.</w:t>
      </w:r>
      <w:r w:rsidR="00D81504">
        <w:t>1</w:t>
      </w:r>
      <w:r w:rsidR="002C3EC9">
        <w:t>41 million</w:t>
      </w:r>
      <w:r w:rsidR="00263D0D">
        <w:t>.</w:t>
      </w:r>
    </w:p>
    <w:p w14:paraId="70B35222" w14:textId="07618D28" w:rsidR="00C45EB9" w:rsidRDefault="001D7B98" w:rsidP="001D7B98">
      <w:pPr>
        <w:pStyle w:val="ParaNumbering"/>
        <w:numPr>
          <w:ilvl w:val="0"/>
          <w:numId w:val="0"/>
        </w:numPr>
        <w:tabs>
          <w:tab w:val="left" w:pos="720"/>
        </w:tabs>
        <w:ind w:hanging="720"/>
      </w:pPr>
      <w:r>
        <w:rPr>
          <w:sz w:val="20"/>
        </w:rPr>
        <w:t>126</w:t>
      </w:r>
      <w:r>
        <w:rPr>
          <w:sz w:val="20"/>
        </w:rPr>
        <w:tab/>
      </w:r>
      <w:r w:rsidR="007356C2">
        <w:t xml:space="preserve">Levitt Robinson relied upon three </w:t>
      </w:r>
      <w:proofErr w:type="gramStart"/>
      <w:r w:rsidR="007356C2">
        <w:t>particular aspects</w:t>
      </w:r>
      <w:proofErr w:type="gramEnd"/>
      <w:r w:rsidR="007356C2">
        <w:t xml:space="preserve"> of “</w:t>
      </w:r>
      <w:r w:rsidR="00E15710">
        <w:t xml:space="preserve">the </w:t>
      </w:r>
      <w:r w:rsidR="00727E7C">
        <w:t xml:space="preserve">shifting </w:t>
      </w:r>
      <w:r w:rsidR="00F50270">
        <w:t>forensic environment</w:t>
      </w:r>
      <w:r w:rsidR="007356C2">
        <w:t>”</w:t>
      </w:r>
      <w:r w:rsidR="00E15710">
        <w:t xml:space="preserve"> confronting the applicants’ lawyers in the relevant period:</w:t>
      </w:r>
    </w:p>
    <w:p w14:paraId="5DE074F1" w14:textId="7DC19AEE" w:rsidR="002D6A64" w:rsidRDefault="001D7B98" w:rsidP="001D7B98">
      <w:pPr>
        <w:pStyle w:val="ListNo1alt"/>
        <w:numPr>
          <w:ilvl w:val="0"/>
          <w:numId w:val="0"/>
        </w:numPr>
        <w:tabs>
          <w:tab w:val="left" w:pos="720"/>
        </w:tabs>
        <w:ind w:left="720" w:hanging="720"/>
      </w:pPr>
      <w:r>
        <w:t>(a)</w:t>
      </w:r>
      <w:r>
        <w:tab/>
      </w:r>
      <w:r w:rsidR="002D6A64">
        <w:t xml:space="preserve">first, that the applicant’s lawyers made two applications to vacate the trial date, </w:t>
      </w:r>
      <w:r w:rsidR="00964A21">
        <w:t xml:space="preserve">the refusal of </w:t>
      </w:r>
      <w:r w:rsidR="00BA13AD">
        <w:t>which gave rise to some obvious difficulties</w:t>
      </w:r>
      <w:r w:rsidR="00964A21">
        <w:t xml:space="preserve"> for the </w:t>
      </w:r>
      <w:proofErr w:type="gramStart"/>
      <w:r w:rsidR="00964A21">
        <w:t>applicants</w:t>
      </w:r>
      <w:r w:rsidR="00BA13AD">
        <w:t>;</w:t>
      </w:r>
      <w:proofErr w:type="gramEnd"/>
    </w:p>
    <w:p w14:paraId="33D771AB" w14:textId="09B8487D" w:rsidR="00BA13AD" w:rsidRDefault="001D7B98" w:rsidP="001D7B98">
      <w:pPr>
        <w:pStyle w:val="ListNo1alt"/>
        <w:numPr>
          <w:ilvl w:val="0"/>
          <w:numId w:val="0"/>
        </w:numPr>
        <w:tabs>
          <w:tab w:val="left" w:pos="720"/>
        </w:tabs>
        <w:ind w:left="720" w:hanging="720"/>
      </w:pPr>
      <w:r>
        <w:t>(b)</w:t>
      </w:r>
      <w:r>
        <w:tab/>
      </w:r>
      <w:r w:rsidR="00BA13AD">
        <w:t>second</w:t>
      </w:r>
      <w:r w:rsidR="00BA0B0B">
        <w:t>, Aveo’s late service of its lay evidence in December 2022 and</w:t>
      </w:r>
      <w:r w:rsidR="00C65E92">
        <w:t xml:space="preserve"> still further lay evidence as late as 10 March 2023, and then most of its expert evidence only three business days before the commencement of the trial</w:t>
      </w:r>
      <w:r w:rsidR="00E33753">
        <w:t>, much of which was not responsive to the applicants’ expert evidence</w:t>
      </w:r>
      <w:r w:rsidR="00387A3F">
        <w:t>; and</w:t>
      </w:r>
    </w:p>
    <w:p w14:paraId="58310957" w14:textId="0A4EBD13" w:rsidR="00193409" w:rsidRDefault="001D7B98" w:rsidP="001D7B98">
      <w:pPr>
        <w:pStyle w:val="ListNo1alt"/>
        <w:numPr>
          <w:ilvl w:val="0"/>
          <w:numId w:val="0"/>
        </w:numPr>
        <w:tabs>
          <w:tab w:val="left" w:pos="720"/>
        </w:tabs>
        <w:ind w:left="720" w:hanging="720"/>
      </w:pPr>
      <w:r>
        <w:t>(c)</w:t>
      </w:r>
      <w:r>
        <w:tab/>
      </w:r>
      <w:r w:rsidR="009D666B">
        <w:t>third</w:t>
      </w:r>
      <w:r w:rsidR="00244F8B">
        <w:t>, the trial judge’s comments during opening submissions, and then</w:t>
      </w:r>
      <w:r w:rsidR="00244F8B" w:rsidDel="00964A21">
        <w:t xml:space="preserve"> </w:t>
      </w:r>
      <w:r w:rsidR="00964A21">
        <w:t xml:space="preserve">his Honour’s </w:t>
      </w:r>
      <w:r w:rsidR="00244F8B">
        <w:t>evidentiary and pleading ruling</w:t>
      </w:r>
      <w:r w:rsidR="00964A21">
        <w:t>s</w:t>
      </w:r>
      <w:r w:rsidR="00244F8B">
        <w:t xml:space="preserve"> which essentially foreclosed the</w:t>
      </w:r>
      <w:r w:rsidR="00964A21">
        <w:t xml:space="preserve"> breach of</w:t>
      </w:r>
      <w:r w:rsidR="00244F8B">
        <w:t xml:space="preserve"> fiduciary duty claim</w:t>
      </w:r>
      <w:r w:rsidR="00964A21">
        <w:t>s</w:t>
      </w:r>
      <w:r w:rsidR="00193409">
        <w:t>.</w:t>
      </w:r>
    </w:p>
    <w:p w14:paraId="4306ADB7" w14:textId="32B5FA43" w:rsidR="007635E0" w:rsidRDefault="001D7B98" w:rsidP="001D7B98">
      <w:pPr>
        <w:pStyle w:val="ParaNumbering"/>
        <w:numPr>
          <w:ilvl w:val="0"/>
          <w:numId w:val="0"/>
        </w:numPr>
        <w:tabs>
          <w:tab w:val="left" w:pos="720"/>
        </w:tabs>
        <w:ind w:hanging="720"/>
      </w:pPr>
      <w:r>
        <w:rPr>
          <w:sz w:val="20"/>
        </w:rPr>
        <w:t>127</w:t>
      </w:r>
      <w:r>
        <w:rPr>
          <w:sz w:val="20"/>
        </w:rPr>
        <w:tab/>
      </w:r>
      <w:r w:rsidR="00964A21">
        <w:t xml:space="preserve">Levitt Robinson </w:t>
      </w:r>
      <w:r w:rsidR="005D03C6">
        <w:t>noted</w:t>
      </w:r>
      <w:r w:rsidR="002A3381">
        <w:t xml:space="preserve"> that </w:t>
      </w:r>
      <w:r w:rsidR="0058701E">
        <w:t xml:space="preserve">Mr Levitt said </w:t>
      </w:r>
      <w:r w:rsidR="002A3381">
        <w:t xml:space="preserve">in his 21 October 2022 </w:t>
      </w:r>
      <w:r w:rsidR="000D5185">
        <w:t>affidavit</w:t>
      </w:r>
      <w:r w:rsidR="002A3381">
        <w:t xml:space="preserve"> </w:t>
      </w:r>
      <w:r w:rsidR="00A57D0B">
        <w:t xml:space="preserve">(at </w:t>
      </w:r>
      <w:r w:rsidR="00CA2CB3">
        <w:t>[21</w:t>
      </w:r>
      <w:r w:rsidR="00001B54">
        <w:t>])</w:t>
      </w:r>
      <w:r w:rsidR="007A28D0">
        <w:t xml:space="preserve"> that </w:t>
      </w:r>
      <w:r w:rsidR="006D7219">
        <w:t>the reasons</w:t>
      </w:r>
      <w:r w:rsidR="009E26F2">
        <w:t xml:space="preserve"> the applicants did not comply with the timetable for filing points of claim</w:t>
      </w:r>
      <w:r w:rsidR="00F077E9">
        <w:t xml:space="preserve"> for sample group members</w:t>
      </w:r>
      <w:r w:rsidR="007F0E7C">
        <w:t xml:space="preserve"> included that</w:t>
      </w:r>
      <w:r w:rsidR="00F077E9">
        <w:t>:</w:t>
      </w:r>
    </w:p>
    <w:p w14:paraId="732BBC75" w14:textId="77777777" w:rsidR="000D5185" w:rsidRDefault="000D5185" w:rsidP="00923743">
      <w:pPr>
        <w:pStyle w:val="Quote1"/>
        <w:ind w:left="1440" w:hanging="703"/>
      </w:pPr>
      <w:r>
        <w:t>21.1</w:t>
      </w:r>
      <w:r>
        <w:tab/>
        <w:t>the steps taken in the selection of sample group members (which involved considerations such as the availability of relevant documents, the State in which the village was located, and the different time periods in which units were sold</w:t>
      </w:r>
      <w:proofErr w:type="gramStart"/>
      <w:r>
        <w:t>);</w:t>
      </w:r>
      <w:proofErr w:type="gramEnd"/>
      <w:r>
        <w:t xml:space="preserve"> </w:t>
      </w:r>
    </w:p>
    <w:p w14:paraId="1DB9B572" w14:textId="28DA27B5" w:rsidR="000D5185" w:rsidRDefault="000D5185" w:rsidP="00923743">
      <w:pPr>
        <w:pStyle w:val="Quote1"/>
        <w:ind w:left="1440" w:hanging="703"/>
      </w:pPr>
      <w:r>
        <w:t>21.2.</w:t>
      </w:r>
      <w:r>
        <w:tab/>
        <w:t xml:space="preserve">the reasons for the selection of the sample group members for whom the Applicants have since served Points of </w:t>
      </w:r>
      <w:proofErr w:type="gramStart"/>
      <w:r>
        <w:t>Claim;</w:t>
      </w:r>
      <w:proofErr w:type="gramEnd"/>
    </w:p>
    <w:p w14:paraId="5FB02403" w14:textId="63E23A9D" w:rsidR="000D5185" w:rsidRDefault="000D5185" w:rsidP="00923743">
      <w:pPr>
        <w:pStyle w:val="Quote1"/>
        <w:ind w:left="1440" w:hanging="703"/>
      </w:pPr>
      <w:r>
        <w:t>21.3.</w:t>
      </w:r>
      <w:r>
        <w:tab/>
        <w:t xml:space="preserve">information sought from the Respondent during the sample group member selection and points of claim processes, and delays in the Respondent supplying that </w:t>
      </w:r>
      <w:proofErr w:type="gramStart"/>
      <w:r>
        <w:t>information;</w:t>
      </w:r>
      <w:proofErr w:type="gramEnd"/>
    </w:p>
    <w:p w14:paraId="5D9E41C0" w14:textId="2475D184" w:rsidR="000D5185" w:rsidRDefault="000D5185" w:rsidP="00923743">
      <w:pPr>
        <w:pStyle w:val="Quote1"/>
        <w:ind w:left="1440" w:hanging="703"/>
      </w:pPr>
      <w:r>
        <w:t>21.4.</w:t>
      </w:r>
      <w:r w:rsidR="002A3AB5">
        <w:tab/>
      </w:r>
      <w:r>
        <w:t>the steps taken by the Applicants when they realised that they would not be in a position</w:t>
      </w:r>
      <w:r w:rsidR="002A3AB5">
        <w:t xml:space="preserve"> </w:t>
      </w:r>
      <w:r>
        <w:t>to comply with the 11 October 2021 orders (including proposing orders amending the</w:t>
      </w:r>
      <w:r w:rsidR="002A3AB5">
        <w:t xml:space="preserve"> </w:t>
      </w:r>
      <w:r>
        <w:t>timetable to trial on 21 December 2021</w:t>
      </w:r>
      <w:proofErr w:type="gramStart"/>
      <w:r>
        <w:t>);</w:t>
      </w:r>
      <w:proofErr w:type="gramEnd"/>
    </w:p>
    <w:p w14:paraId="1B4D443C" w14:textId="2AC0E974" w:rsidR="000D5185" w:rsidRDefault="000D5185" w:rsidP="00923743">
      <w:pPr>
        <w:pStyle w:val="Quote1"/>
        <w:ind w:left="1440" w:hanging="703"/>
      </w:pPr>
      <w:r>
        <w:t>21.5.</w:t>
      </w:r>
      <w:r w:rsidR="002A3AB5">
        <w:t xml:space="preserve"> </w:t>
      </w:r>
      <w:r w:rsidR="002A3AB5">
        <w:tab/>
      </w:r>
      <w:r>
        <w:t>communications with the Respondent about the timetable delays; and</w:t>
      </w:r>
    </w:p>
    <w:p w14:paraId="62EBCB47" w14:textId="5D0D6889" w:rsidR="000D5185" w:rsidRDefault="000D5185" w:rsidP="00923743">
      <w:pPr>
        <w:pStyle w:val="Quote1"/>
        <w:ind w:left="1440" w:hanging="703"/>
      </w:pPr>
      <w:r>
        <w:t>21.6.</w:t>
      </w:r>
      <w:r w:rsidR="002A3AB5">
        <w:tab/>
      </w:r>
      <w:r>
        <w:t>the causes of the delays leading to the Applicants' non-compliance with the October</w:t>
      </w:r>
      <w:r w:rsidR="002A3AB5">
        <w:t xml:space="preserve"> </w:t>
      </w:r>
      <w:r>
        <w:t>2021 Orders.</w:t>
      </w:r>
    </w:p>
    <w:p w14:paraId="6286FE07" w14:textId="44B36EFF" w:rsidR="000D5185" w:rsidRDefault="001D7B98" w:rsidP="001D7B98">
      <w:pPr>
        <w:pStyle w:val="ParaNumbering"/>
        <w:numPr>
          <w:ilvl w:val="0"/>
          <w:numId w:val="0"/>
        </w:numPr>
        <w:tabs>
          <w:tab w:val="left" w:pos="720"/>
        </w:tabs>
        <w:ind w:hanging="720"/>
      </w:pPr>
      <w:r>
        <w:rPr>
          <w:sz w:val="20"/>
        </w:rPr>
        <w:t>128</w:t>
      </w:r>
      <w:r>
        <w:rPr>
          <w:sz w:val="20"/>
        </w:rPr>
        <w:tab/>
      </w:r>
      <w:r w:rsidR="00675D19">
        <w:t xml:space="preserve">Levitt Robinson </w:t>
      </w:r>
      <w:r w:rsidR="002A3381">
        <w:t xml:space="preserve">then </w:t>
      </w:r>
      <w:r w:rsidR="00112C91">
        <w:t xml:space="preserve">noted that the points of claim </w:t>
      </w:r>
      <w:r w:rsidR="002371DC">
        <w:t xml:space="preserve">for sample group members </w:t>
      </w:r>
      <w:r w:rsidR="00B10286">
        <w:t>were</w:t>
      </w:r>
      <w:r w:rsidR="001A1E3B">
        <w:t xml:space="preserve"> served on Aveo in </w:t>
      </w:r>
      <w:r w:rsidR="002021F2">
        <w:t>June 2022</w:t>
      </w:r>
      <w:r w:rsidR="00C87037">
        <w:t>, and</w:t>
      </w:r>
      <w:r w:rsidR="00C87037" w:rsidDel="002A3381">
        <w:t xml:space="preserve"> </w:t>
      </w:r>
      <w:r w:rsidR="002A3381">
        <w:t xml:space="preserve">that </w:t>
      </w:r>
      <w:r w:rsidR="00C87037">
        <w:t xml:space="preserve">there was </w:t>
      </w:r>
      <w:r w:rsidR="002A3381">
        <w:t xml:space="preserve">then </w:t>
      </w:r>
      <w:r w:rsidR="00C87037">
        <w:t>delay by</w:t>
      </w:r>
      <w:r w:rsidR="00847BE5">
        <w:t xml:space="preserve"> Aveo in</w:t>
      </w:r>
      <w:r w:rsidR="004549F5">
        <w:t xml:space="preserve"> serving its points of defence</w:t>
      </w:r>
      <w:r w:rsidR="002A3381">
        <w:t>,</w:t>
      </w:r>
      <w:r w:rsidR="00557619" w:rsidDel="002A3381">
        <w:t xml:space="preserve"> </w:t>
      </w:r>
      <w:r w:rsidR="002A3381">
        <w:t xml:space="preserve">which </w:t>
      </w:r>
      <w:r w:rsidR="00557619">
        <w:t>were ultimately served</w:t>
      </w:r>
      <w:r w:rsidR="00A0491C">
        <w:t xml:space="preserve"> 13 days later than they were due under the June 2022 orders. On</w:t>
      </w:r>
      <w:r w:rsidR="00675D19">
        <w:t xml:space="preserve"> </w:t>
      </w:r>
      <w:r w:rsidR="00675D19">
        <w:lastRenderedPageBreak/>
        <w:t xml:space="preserve">this </w:t>
      </w:r>
      <w:r w:rsidR="00EC72D2">
        <w:t xml:space="preserve">argument there was no </w:t>
      </w:r>
      <w:r w:rsidR="002A3381">
        <w:t xml:space="preserve">lacuna </w:t>
      </w:r>
      <w:r w:rsidR="00EC72D2">
        <w:t>in the evidence</w:t>
      </w:r>
      <w:r w:rsidR="0076394D">
        <w:t xml:space="preserve"> </w:t>
      </w:r>
      <w:r w:rsidR="00ED52F8">
        <w:t xml:space="preserve">between November 2021 and July 2022 </w:t>
      </w:r>
      <w:r w:rsidR="0076394D">
        <w:t xml:space="preserve">and Mr Levitt had </w:t>
      </w:r>
      <w:r w:rsidR="001E6AA8">
        <w:t xml:space="preserve">properly </w:t>
      </w:r>
      <w:r w:rsidR="0076394D">
        <w:t>explained</w:t>
      </w:r>
      <w:r w:rsidR="0076394D" w:rsidDel="00ED52F8">
        <w:t xml:space="preserve"> </w:t>
      </w:r>
      <w:r w:rsidR="00ED52F8">
        <w:t xml:space="preserve">any delay that </w:t>
      </w:r>
      <w:r w:rsidR="001E6AA8">
        <w:t xml:space="preserve">had and </w:t>
      </w:r>
      <w:r w:rsidR="0076394D">
        <w:t>was occurring.</w:t>
      </w:r>
    </w:p>
    <w:p w14:paraId="0D8F24DB" w14:textId="507F74DF" w:rsidR="00A633AF" w:rsidRDefault="001D7B98" w:rsidP="001D7B98">
      <w:pPr>
        <w:pStyle w:val="ParaNumbering"/>
        <w:numPr>
          <w:ilvl w:val="0"/>
          <w:numId w:val="0"/>
        </w:numPr>
        <w:tabs>
          <w:tab w:val="left" w:pos="720"/>
        </w:tabs>
        <w:ind w:hanging="720"/>
      </w:pPr>
      <w:r>
        <w:rPr>
          <w:sz w:val="20"/>
        </w:rPr>
        <w:t>129</w:t>
      </w:r>
      <w:r>
        <w:rPr>
          <w:sz w:val="20"/>
        </w:rPr>
        <w:tab/>
      </w:r>
      <w:r w:rsidR="00ED52F8">
        <w:t xml:space="preserve">Levitt Robinson </w:t>
      </w:r>
      <w:r w:rsidR="005472A7">
        <w:t>relied on Mr Levitt</w:t>
      </w:r>
      <w:r w:rsidR="00B82838">
        <w:t>’s</w:t>
      </w:r>
      <w:r w:rsidR="005472A7">
        <w:t xml:space="preserve"> explanation </w:t>
      </w:r>
      <w:r w:rsidR="001E6AA8">
        <w:t>(</w:t>
      </w:r>
      <w:r w:rsidR="00ED52F8">
        <w:t xml:space="preserve">in </w:t>
      </w:r>
      <w:r w:rsidR="00EA1555">
        <w:t xml:space="preserve">his 21 October 2022 </w:t>
      </w:r>
      <w:r w:rsidR="00ED52F8">
        <w:t xml:space="preserve">affidavit </w:t>
      </w:r>
      <w:r w:rsidR="005472A7" w:rsidRPr="00932831">
        <w:t>at [</w:t>
      </w:r>
      <w:r w:rsidR="00151BC8">
        <w:t>70]-[71]</w:t>
      </w:r>
      <w:r w:rsidR="00705A2C">
        <w:t xml:space="preserve">) for the </w:t>
      </w:r>
      <w:r w:rsidR="00ED52F8">
        <w:t xml:space="preserve">firm’s </w:t>
      </w:r>
      <w:r w:rsidR="00705A2C">
        <w:t xml:space="preserve">failure to serve the applicants’ expert evidence in compliance with the first pre-trial timetable </w:t>
      </w:r>
      <w:r w:rsidR="00D22F3A">
        <w:t>which required that to be done by 29 July 2022</w:t>
      </w:r>
      <w:r w:rsidR="00ED52F8">
        <w:t>,</w:t>
      </w:r>
      <w:r w:rsidR="00D22F3A">
        <w:t xml:space="preserve"> </w:t>
      </w:r>
      <w:r w:rsidR="00705A2C">
        <w:t>and the second pre-trial timetable</w:t>
      </w:r>
      <w:r w:rsidR="00D22F3A">
        <w:t xml:space="preserve"> which required it to be done by</w:t>
      </w:r>
      <w:r w:rsidR="00B82838">
        <w:t xml:space="preserve"> </w:t>
      </w:r>
      <w:r w:rsidR="00D22F3A">
        <w:t xml:space="preserve">19 August 2022. </w:t>
      </w:r>
      <w:r w:rsidR="00ED52F8">
        <w:t xml:space="preserve">In the affidavit </w:t>
      </w:r>
      <w:r w:rsidR="00213CAE">
        <w:t>Mr Levitt said that</w:t>
      </w:r>
      <w:r w:rsidR="00AB2CD5">
        <w:t xml:space="preserve"> he expected that the </w:t>
      </w:r>
      <w:r w:rsidR="00ED52F8">
        <w:t xml:space="preserve">applicants’ </w:t>
      </w:r>
      <w:r w:rsidR="00AB2CD5">
        <w:t>expert property valuer would be able to finalise her report</w:t>
      </w:r>
      <w:r w:rsidR="00237181">
        <w:t xml:space="preserve"> before the end of 2022</w:t>
      </w:r>
      <w:r w:rsidR="00ED52F8">
        <w:t>, but that</w:t>
      </w:r>
      <w:r w:rsidR="005C6A29">
        <w:t xml:space="preserve"> </w:t>
      </w:r>
      <w:r w:rsidR="00237181">
        <w:t xml:space="preserve">the </w:t>
      </w:r>
      <w:r w:rsidR="00ED52F8">
        <w:t xml:space="preserve">applicants’ </w:t>
      </w:r>
      <w:r w:rsidR="00237181">
        <w:t xml:space="preserve">forensic accountant would require at least two months to prepare </w:t>
      </w:r>
      <w:r w:rsidR="00ED52F8">
        <w:t xml:space="preserve">a </w:t>
      </w:r>
      <w:r w:rsidR="00237181">
        <w:t>report following receipt of all the requested information</w:t>
      </w:r>
      <w:r w:rsidR="005C6A29">
        <w:t>, which</w:t>
      </w:r>
      <w:r w:rsidR="005C6A29" w:rsidDel="00ED52F8">
        <w:t xml:space="preserve"> </w:t>
      </w:r>
      <w:r w:rsidR="00ED52F8">
        <w:t xml:space="preserve">Mr Levitt </w:t>
      </w:r>
      <w:r w:rsidR="005C6A29">
        <w:t>anticipated receiving by the end of October 2022 or early</w:t>
      </w:r>
      <w:r w:rsidR="00917FCF">
        <w:t xml:space="preserve"> to </w:t>
      </w:r>
      <w:r w:rsidR="005C6A29">
        <w:t>mid</w:t>
      </w:r>
      <w:r w:rsidR="00FA7182">
        <w:t>-</w:t>
      </w:r>
      <w:r w:rsidR="005C6A29">
        <w:t>November 2022.</w:t>
      </w:r>
    </w:p>
    <w:p w14:paraId="55F6A189" w14:textId="2CD708F5" w:rsidR="00D4256D" w:rsidRDefault="001D7B98" w:rsidP="001D7B98">
      <w:pPr>
        <w:pStyle w:val="ParaNumbering"/>
        <w:numPr>
          <w:ilvl w:val="0"/>
          <w:numId w:val="0"/>
        </w:numPr>
        <w:tabs>
          <w:tab w:val="left" w:pos="720"/>
        </w:tabs>
        <w:ind w:hanging="720"/>
      </w:pPr>
      <w:r>
        <w:rPr>
          <w:sz w:val="20"/>
        </w:rPr>
        <w:t>130</w:t>
      </w:r>
      <w:r>
        <w:rPr>
          <w:sz w:val="20"/>
        </w:rPr>
        <w:tab/>
      </w:r>
      <w:r w:rsidR="00675D19">
        <w:t>Levitt Robinson</w:t>
      </w:r>
      <w:r w:rsidR="00675D19" w:rsidDel="00ED52F8">
        <w:t xml:space="preserve"> </w:t>
      </w:r>
      <w:r w:rsidR="00ED52F8">
        <w:t>contended</w:t>
      </w:r>
      <w:r w:rsidR="00532AF2" w:rsidDel="00ED52F8">
        <w:t xml:space="preserve"> </w:t>
      </w:r>
      <w:r w:rsidR="006B40BF">
        <w:t>that it was unlikely that the case could be</w:t>
      </w:r>
      <w:r w:rsidR="00532AF2">
        <w:t xml:space="preserve"> settled </w:t>
      </w:r>
      <w:r w:rsidR="006B40BF">
        <w:t>until both parties had</w:t>
      </w:r>
      <w:r w:rsidR="00675D19">
        <w:t xml:space="preserve"> served </w:t>
      </w:r>
      <w:r w:rsidR="006B40BF">
        <w:t>their expert evidence</w:t>
      </w:r>
      <w:r w:rsidR="00ED52F8">
        <w:t xml:space="preserve">, and </w:t>
      </w:r>
      <w:r w:rsidR="0085459E">
        <w:t xml:space="preserve">once the trial judge refused to vacate the hearing date </w:t>
      </w:r>
      <w:r w:rsidR="00402ACA">
        <w:t xml:space="preserve">and set the third </w:t>
      </w:r>
      <w:r w:rsidR="009E1863">
        <w:t xml:space="preserve">pre-trial timetable, </w:t>
      </w:r>
      <w:r w:rsidR="0085459E">
        <w:t>that</w:t>
      </w:r>
      <w:r w:rsidR="00402ACA">
        <w:t xml:space="preserve"> could not happen until </w:t>
      </w:r>
      <w:r w:rsidR="00532AF2">
        <w:t xml:space="preserve">after </w:t>
      </w:r>
      <w:r w:rsidR="005D041E">
        <w:t>24 February 2023</w:t>
      </w:r>
      <w:r w:rsidR="00532AF2">
        <w:t>,</w:t>
      </w:r>
      <w:r w:rsidR="005D041E">
        <w:t xml:space="preserve"> when Aveo was</w:t>
      </w:r>
      <w:r w:rsidR="005C6A29">
        <w:t xml:space="preserve"> required </w:t>
      </w:r>
      <w:r w:rsidR="005D041E">
        <w:t>to serve its expert evidence.</w:t>
      </w:r>
      <w:r w:rsidR="00AA48ED">
        <w:t xml:space="preserve"> On this</w:t>
      </w:r>
      <w:r w:rsidR="005C6A29">
        <w:t xml:space="preserve"> argument</w:t>
      </w:r>
      <w:r w:rsidR="00AA48ED">
        <w:t>, the costs incurred in the</w:t>
      </w:r>
      <w:r w:rsidR="00ED52F8">
        <w:t xml:space="preserve"> first two months of 2023 </w:t>
      </w:r>
      <w:r w:rsidR="00AA48ED">
        <w:t>were therefore not avoidable.</w:t>
      </w:r>
    </w:p>
    <w:p w14:paraId="476C6974" w14:textId="65B6B1FC" w:rsidR="00AA48ED" w:rsidRDefault="001D7B98" w:rsidP="001D7B98">
      <w:pPr>
        <w:pStyle w:val="ParaNumbering"/>
        <w:numPr>
          <w:ilvl w:val="0"/>
          <w:numId w:val="0"/>
        </w:numPr>
        <w:tabs>
          <w:tab w:val="left" w:pos="720"/>
        </w:tabs>
        <w:ind w:hanging="720"/>
      </w:pPr>
      <w:r>
        <w:rPr>
          <w:sz w:val="20"/>
        </w:rPr>
        <w:t>131</w:t>
      </w:r>
      <w:r>
        <w:rPr>
          <w:sz w:val="20"/>
        </w:rPr>
        <w:tab/>
      </w:r>
      <w:r w:rsidR="00ED52F8">
        <w:t xml:space="preserve">Levitt Robinson also </w:t>
      </w:r>
      <w:r w:rsidR="00474437">
        <w:t xml:space="preserve">posed a counterfactual that, </w:t>
      </w:r>
      <w:r w:rsidR="00904D0E">
        <w:t xml:space="preserve">if the adjournment application had been successful and the trial date vacated, the expert evidence would have been exchanged later and independently of the trial, </w:t>
      </w:r>
      <w:r w:rsidR="000D098E">
        <w:t xml:space="preserve">and the costs </w:t>
      </w:r>
      <w:r w:rsidR="00ED52F8">
        <w:t xml:space="preserve">incurred in the immediate lead up to trial on 1 March 2023 </w:t>
      </w:r>
      <w:r w:rsidR="000D098E">
        <w:t>would have been avoided.</w:t>
      </w:r>
      <w:r w:rsidR="004A5C17">
        <w:t xml:space="preserve"> That seemed to be an argument that </w:t>
      </w:r>
      <w:r w:rsidR="00D85730">
        <w:t xml:space="preserve">Avoidable Costs were incurred because </w:t>
      </w:r>
      <w:r w:rsidR="004A5C17">
        <w:t>of the trial judge’s</w:t>
      </w:r>
      <w:r w:rsidR="004A5C17" w:rsidDel="00D85730">
        <w:t xml:space="preserve"> </w:t>
      </w:r>
      <w:r w:rsidR="00D85730">
        <w:t xml:space="preserve">refusal to vacate the trial date </w:t>
      </w:r>
      <w:r w:rsidR="004A5C17">
        <w:t xml:space="preserve">rather than </w:t>
      </w:r>
      <w:r w:rsidR="00D85730">
        <w:t xml:space="preserve">because of delay by </w:t>
      </w:r>
      <w:r w:rsidR="004A5C17">
        <w:t>Levitt Robinson.</w:t>
      </w:r>
    </w:p>
    <w:p w14:paraId="38DD89B2" w14:textId="6C326E19" w:rsidR="00C203A5" w:rsidRDefault="001D7B98" w:rsidP="001D7B98">
      <w:pPr>
        <w:pStyle w:val="ParaNumbering"/>
        <w:numPr>
          <w:ilvl w:val="0"/>
          <w:numId w:val="0"/>
        </w:numPr>
        <w:tabs>
          <w:tab w:val="left" w:pos="720"/>
        </w:tabs>
        <w:ind w:hanging="720"/>
      </w:pPr>
      <w:r>
        <w:rPr>
          <w:sz w:val="20"/>
        </w:rPr>
        <w:t>132</w:t>
      </w:r>
      <w:r>
        <w:rPr>
          <w:sz w:val="20"/>
        </w:rPr>
        <w:tab/>
      </w:r>
      <w:r w:rsidR="00D85730">
        <w:t xml:space="preserve">Levitt Robinson also relied on </w:t>
      </w:r>
      <w:r w:rsidR="00AA515B">
        <w:t>Mr Levitt’s evidence</w:t>
      </w:r>
      <w:r w:rsidR="00D35ECA">
        <w:t xml:space="preserve"> </w:t>
      </w:r>
      <w:r w:rsidR="001E6AA8">
        <w:t>(</w:t>
      </w:r>
      <w:r w:rsidR="00D35ECA">
        <w:t>in his 21 October 2022 affidavit</w:t>
      </w:r>
      <w:r w:rsidR="00AA515B">
        <w:t xml:space="preserve"> at </w:t>
      </w:r>
      <w:r w:rsidR="00103321">
        <w:t>[65]</w:t>
      </w:r>
      <w:r w:rsidR="00156753">
        <w:t>-[67]</w:t>
      </w:r>
      <w:r w:rsidR="00103321">
        <w:t xml:space="preserve">) that Levitt Robinson had engaged </w:t>
      </w:r>
      <w:r w:rsidR="005C6A29">
        <w:t>an</w:t>
      </w:r>
      <w:r w:rsidR="00103321">
        <w:t xml:space="preserve"> expert property valuer during 2021</w:t>
      </w:r>
      <w:r w:rsidR="005C6A29">
        <w:t>;</w:t>
      </w:r>
      <w:r w:rsidR="00B94394">
        <w:t xml:space="preserve"> before</w:t>
      </w:r>
      <w:r w:rsidR="005C6A29">
        <w:t xml:space="preserve"> the 2 September 2021 orders</w:t>
      </w:r>
      <w:r w:rsidR="005C6A29" w:rsidDel="00D85730">
        <w:t xml:space="preserve"> </w:t>
      </w:r>
      <w:r w:rsidR="00D85730">
        <w:t xml:space="preserve">which fixed </w:t>
      </w:r>
      <w:r w:rsidR="00B94394">
        <w:t>the case for hearing</w:t>
      </w:r>
      <w:r w:rsidR="00D85730">
        <w:t xml:space="preserve"> on 1 March 2023</w:t>
      </w:r>
      <w:r w:rsidR="00B94394">
        <w:t>. He</w:t>
      </w:r>
      <w:r w:rsidR="00D85730">
        <w:t xml:space="preserve"> stated </w:t>
      </w:r>
      <w:r w:rsidR="00B94394">
        <w:t>that</w:t>
      </w:r>
      <w:r w:rsidR="00A6049B">
        <w:t xml:space="preserve"> Levitt Robinson had been attempting to find an appropriate expert property valuer for some time but</w:t>
      </w:r>
      <w:r w:rsidR="00BF0641">
        <w:t>,</w:t>
      </w:r>
      <w:r w:rsidR="00A6049B">
        <w:t xml:space="preserve"> because of</w:t>
      </w:r>
      <w:r w:rsidR="009D6FE6">
        <w:t xml:space="preserve"> Aveo’s</w:t>
      </w:r>
      <w:r w:rsidR="00A6049B">
        <w:t xml:space="preserve"> far-reaching business operations</w:t>
      </w:r>
      <w:r w:rsidR="00BF0641">
        <w:t>, the firm had substantial difficulty in finding an appropriate expert who did not have a potential conflict of interest</w:t>
      </w:r>
      <w:r w:rsidR="00F650A2">
        <w:t xml:space="preserve">. Then, after </w:t>
      </w:r>
      <w:r w:rsidR="00D85730">
        <w:t xml:space="preserve">Levitt Robinson had engaged </w:t>
      </w:r>
      <w:r w:rsidR="00F650A2">
        <w:t>the</w:t>
      </w:r>
      <w:r w:rsidR="009A0F59">
        <w:t xml:space="preserve"> </w:t>
      </w:r>
      <w:r w:rsidR="00D85730">
        <w:t xml:space="preserve">expert </w:t>
      </w:r>
      <w:r w:rsidR="009A0F59">
        <w:t>property valuer, she</w:t>
      </w:r>
      <w:r w:rsidR="00D85730">
        <w:t xml:space="preserve"> had been </w:t>
      </w:r>
      <w:r w:rsidR="00F650A2">
        <w:t>unable to travel freely</w:t>
      </w:r>
      <w:r w:rsidR="00213CAE">
        <w:t xml:space="preserve"> and to visit many retirement villages in the second half of 2021, due to the COVID-19 pandemic</w:t>
      </w:r>
      <w:r w:rsidR="009A0F59">
        <w:t>.</w:t>
      </w:r>
      <w:r w:rsidR="000A10BB">
        <w:t xml:space="preserve"> </w:t>
      </w:r>
    </w:p>
    <w:p w14:paraId="2B670F12" w14:textId="0F7DE7CD" w:rsidR="00B1775A" w:rsidRDefault="001D7B98" w:rsidP="001D7B98">
      <w:pPr>
        <w:pStyle w:val="ParaNumbering"/>
        <w:numPr>
          <w:ilvl w:val="0"/>
          <w:numId w:val="0"/>
        </w:numPr>
        <w:tabs>
          <w:tab w:val="left" w:pos="720"/>
        </w:tabs>
        <w:ind w:hanging="720"/>
      </w:pPr>
      <w:r>
        <w:rPr>
          <w:sz w:val="20"/>
        </w:rPr>
        <w:t>133</w:t>
      </w:r>
      <w:r>
        <w:rPr>
          <w:sz w:val="20"/>
        </w:rPr>
        <w:tab/>
      </w:r>
      <w:r w:rsidR="00B1775A">
        <w:t>Finally,</w:t>
      </w:r>
      <w:r w:rsidR="00EF63BC">
        <w:t xml:space="preserve"> Levitt Robinson</w:t>
      </w:r>
      <w:r w:rsidR="00EF63BC" w:rsidDel="00FB490B">
        <w:t xml:space="preserve"> </w:t>
      </w:r>
      <w:r w:rsidR="00AC0F7D">
        <w:t xml:space="preserve">rejected the </w:t>
      </w:r>
      <w:r w:rsidR="00FB490B" w:rsidRPr="00AC0F7D">
        <w:t>Contradictor</w:t>
      </w:r>
      <w:r w:rsidR="00AC0F7D">
        <w:t>’s contention</w:t>
      </w:r>
      <w:r w:rsidR="00FB490B" w:rsidRPr="00AC0F7D">
        <w:t xml:space="preserve"> that</w:t>
      </w:r>
      <w:r w:rsidR="00FB490B">
        <w:t xml:space="preserve"> </w:t>
      </w:r>
      <w:r w:rsidR="00B82E37">
        <w:t>it was likely that the case would have settled in</w:t>
      </w:r>
      <w:r w:rsidR="00020EE8">
        <w:t xml:space="preserve"> December 202</w:t>
      </w:r>
      <w:r w:rsidR="00FB490B">
        <w:t>2</w:t>
      </w:r>
      <w:r w:rsidR="00020EE8">
        <w:t xml:space="preserve"> if the parties had exchanged their expert evidence by </w:t>
      </w:r>
      <w:r w:rsidR="00020EE8">
        <w:lastRenderedPageBreak/>
        <w:t>that time</w:t>
      </w:r>
      <w:r w:rsidR="0053632E">
        <w:t>.</w:t>
      </w:r>
      <w:r w:rsidR="0053632E" w:rsidDel="00FB490B">
        <w:t xml:space="preserve"> </w:t>
      </w:r>
      <w:r w:rsidR="00FB490B">
        <w:t xml:space="preserve">Levitt Robinson relied on </w:t>
      </w:r>
      <w:r w:rsidR="0053632E">
        <w:t xml:space="preserve">to </w:t>
      </w:r>
      <w:r w:rsidR="007A65D6">
        <w:t xml:space="preserve">the trial judge’s remarks </w:t>
      </w:r>
      <w:r w:rsidR="00FB490B">
        <w:t xml:space="preserve">which it said were </w:t>
      </w:r>
      <w:proofErr w:type="gramStart"/>
      <w:r w:rsidR="007A65D6">
        <w:t>adverse</w:t>
      </w:r>
      <w:proofErr w:type="gramEnd"/>
      <w:r w:rsidR="007A65D6">
        <w:t xml:space="preserve"> to the applicants’ case during opening</w:t>
      </w:r>
      <w:r w:rsidR="002A59CF">
        <w:t xml:space="preserve"> addresses</w:t>
      </w:r>
      <w:r w:rsidR="007A65D6">
        <w:t>, and</w:t>
      </w:r>
      <w:r w:rsidR="00F86E4D">
        <w:t xml:space="preserve"> the</w:t>
      </w:r>
      <w:r w:rsidR="00F86E4D" w:rsidDel="00FB490B">
        <w:t xml:space="preserve"> </w:t>
      </w:r>
      <w:r w:rsidR="00FB490B">
        <w:t xml:space="preserve">his Honour’s </w:t>
      </w:r>
      <w:r w:rsidR="00F86E4D">
        <w:t>evidentiary and pleading ruling which effectively knocked out the applicants’ claim of breach of fiduciary duty.</w:t>
      </w:r>
      <w:r w:rsidR="00F86E4D" w:rsidDel="00FB490B">
        <w:t xml:space="preserve"> </w:t>
      </w:r>
      <w:r w:rsidR="00FB490B">
        <w:t xml:space="preserve">The firm said that </w:t>
      </w:r>
      <w:r w:rsidR="00EF63BC">
        <w:t>it was not the exchange of expert evidence which sank the applicants’ expectations as to the value of their claims</w:t>
      </w:r>
      <w:r w:rsidR="00FB490B">
        <w:t xml:space="preserve"> and instead, </w:t>
      </w:r>
      <w:r w:rsidR="00EF63BC">
        <w:t xml:space="preserve">the </w:t>
      </w:r>
      <w:r w:rsidR="00E54B4F">
        <w:t>case settled when it did and for the amount that it did because of</w:t>
      </w:r>
      <w:r w:rsidR="00EF63BC">
        <w:t xml:space="preserve"> the view</w:t>
      </w:r>
      <w:r w:rsidR="00E54B4F">
        <w:t xml:space="preserve">, </w:t>
      </w:r>
      <w:r w:rsidR="00EF63BC">
        <w:t xml:space="preserve">based on the trial judge’s remarks and rulings, that the applicants were unlikely to succeed in establishing loss. </w:t>
      </w:r>
      <w:r w:rsidR="00FB490B">
        <w:t xml:space="preserve">That is, </w:t>
      </w:r>
      <w:r w:rsidR="00EF63BC">
        <w:t xml:space="preserve">Levitt Robinson submitted that it </w:t>
      </w:r>
      <w:r w:rsidR="00E54B4F">
        <w:t>could not be shown that the case would have settled sooner had the parties exchanged their expert evidence earlier</w:t>
      </w:r>
      <w:r w:rsidR="00FB490B">
        <w:t xml:space="preserve">, and the </w:t>
      </w:r>
      <w:proofErr w:type="gramStart"/>
      <w:r w:rsidR="00FB490B">
        <w:t>so called</w:t>
      </w:r>
      <w:proofErr w:type="gramEnd"/>
      <w:r w:rsidR="00FB490B">
        <w:t xml:space="preserve"> </w:t>
      </w:r>
      <w:r w:rsidR="00543532">
        <w:t>Avoidable Costs had not been shown to</w:t>
      </w:r>
      <w:r w:rsidR="00543532" w:rsidRPr="00543532">
        <w:t xml:space="preserve"> </w:t>
      </w:r>
      <w:r w:rsidR="00543532">
        <w:t>be, in fact, avoidable</w:t>
      </w:r>
      <w:r w:rsidR="00E54B4F">
        <w:t>.</w:t>
      </w:r>
    </w:p>
    <w:p w14:paraId="34D5C113" w14:textId="04C10AA5" w:rsidR="00201C88" w:rsidRDefault="004A10D1" w:rsidP="009C6404">
      <w:pPr>
        <w:pStyle w:val="Heading2"/>
      </w:pPr>
      <w:r>
        <w:t>Consideration</w:t>
      </w:r>
    </w:p>
    <w:p w14:paraId="04318DC6" w14:textId="270F42AE" w:rsidR="00422C85" w:rsidRDefault="001D7B98" w:rsidP="001D7B98">
      <w:pPr>
        <w:pStyle w:val="ParaNumbering"/>
        <w:numPr>
          <w:ilvl w:val="0"/>
          <w:numId w:val="0"/>
        </w:numPr>
        <w:tabs>
          <w:tab w:val="left" w:pos="720"/>
        </w:tabs>
        <w:ind w:hanging="720"/>
      </w:pPr>
      <w:r>
        <w:rPr>
          <w:sz w:val="20"/>
        </w:rPr>
        <w:t>134</w:t>
      </w:r>
      <w:r>
        <w:rPr>
          <w:sz w:val="20"/>
        </w:rPr>
        <w:tab/>
      </w:r>
      <w:r w:rsidR="00543532">
        <w:t xml:space="preserve">It is </w:t>
      </w:r>
      <w:r w:rsidR="00367103">
        <w:t>common ground that</w:t>
      </w:r>
      <w:r w:rsidR="00062C0A">
        <w:t xml:space="preserve"> </w:t>
      </w:r>
      <w:r w:rsidR="00C267F9">
        <w:t xml:space="preserve">it is appropriate to approve </w:t>
      </w:r>
      <w:r w:rsidR="00062C0A">
        <w:t xml:space="preserve">a </w:t>
      </w:r>
      <w:r w:rsidR="00543532">
        <w:t xml:space="preserve">$1.335 million </w:t>
      </w:r>
      <w:r w:rsidR="00062C0A">
        <w:t xml:space="preserve">reduction </w:t>
      </w:r>
      <w:r w:rsidR="00543532">
        <w:t>in Levitt Robinson’s</w:t>
      </w:r>
      <w:r w:rsidR="00C267F9">
        <w:t xml:space="preserve"> </w:t>
      </w:r>
      <w:r w:rsidR="00543532">
        <w:t>costs</w:t>
      </w:r>
      <w:r w:rsidR="00796370">
        <w:t xml:space="preserve"> for</w:t>
      </w:r>
      <w:r w:rsidR="00C267F9">
        <w:t xml:space="preserve"> the </w:t>
      </w:r>
      <w:r w:rsidR="00062C0A">
        <w:t>Disallowed Costs</w:t>
      </w:r>
      <w:r w:rsidR="00543532">
        <w:t xml:space="preserve">. After that reduction </w:t>
      </w:r>
      <w:r w:rsidR="00367103">
        <w:t xml:space="preserve">Levitt Robinson’s </w:t>
      </w:r>
      <w:r w:rsidR="007A37C8">
        <w:t xml:space="preserve">reasonable </w:t>
      </w:r>
      <w:r w:rsidR="00367103">
        <w:t>costs up to the date settlement</w:t>
      </w:r>
      <w:r w:rsidR="00062C0A" w:rsidDel="007A37C8">
        <w:t xml:space="preserve"> </w:t>
      </w:r>
      <w:r w:rsidR="007A37C8">
        <w:t xml:space="preserve">was reached are </w:t>
      </w:r>
      <w:r w:rsidR="007A37C8" w:rsidRPr="00916887">
        <w:rPr>
          <w:i/>
        </w:rPr>
        <w:t>no more than</w:t>
      </w:r>
      <w:r w:rsidR="007A37C8">
        <w:t xml:space="preserve"> approximately $9.665 million</w:t>
      </w:r>
      <w:r w:rsidR="00367103">
        <w:t xml:space="preserve">. </w:t>
      </w:r>
      <w:r w:rsidR="00C267F9">
        <w:t xml:space="preserve">The question is whether it is appropriate to approve a further $1.141 million reduction in </w:t>
      </w:r>
      <w:r w:rsidR="000E5EEA">
        <w:t>Levitt Robinson’s costs</w:t>
      </w:r>
      <w:r w:rsidR="00C267F9">
        <w:t>,</w:t>
      </w:r>
      <w:r w:rsidR="00103F3E">
        <w:t xml:space="preserve"> </w:t>
      </w:r>
      <w:r w:rsidR="00796370">
        <w:t>for</w:t>
      </w:r>
      <w:r w:rsidR="00A15B44">
        <w:t xml:space="preserve"> </w:t>
      </w:r>
      <w:r w:rsidR="00D81504">
        <w:t>the Avoidable Costs</w:t>
      </w:r>
      <w:r w:rsidR="00E96AD1">
        <w:t>.</w:t>
      </w:r>
      <w:r w:rsidR="003D05A7">
        <w:t xml:space="preserve"> </w:t>
      </w:r>
    </w:p>
    <w:p w14:paraId="5BE502BA" w14:textId="4545EFD9" w:rsidR="00141F8F" w:rsidRDefault="001D7B98" w:rsidP="001D7B98">
      <w:pPr>
        <w:pStyle w:val="ParaNumbering"/>
        <w:numPr>
          <w:ilvl w:val="0"/>
          <w:numId w:val="0"/>
        </w:numPr>
        <w:tabs>
          <w:tab w:val="left" w:pos="720"/>
        </w:tabs>
        <w:ind w:hanging="720"/>
      </w:pPr>
      <w:r>
        <w:rPr>
          <w:sz w:val="20"/>
        </w:rPr>
        <w:t>135</w:t>
      </w:r>
      <w:r>
        <w:rPr>
          <w:sz w:val="20"/>
        </w:rPr>
        <w:tab/>
      </w:r>
      <w:r w:rsidR="00A15B44">
        <w:t xml:space="preserve">I commence by noting that some </w:t>
      </w:r>
      <w:r w:rsidR="00CD498D">
        <w:t>matters point away from accepting the Contradictor’s</w:t>
      </w:r>
      <w:r w:rsidR="00CD498D" w:rsidDel="00C267F9">
        <w:t xml:space="preserve"> </w:t>
      </w:r>
      <w:r w:rsidR="00C267F9">
        <w:t>argument</w:t>
      </w:r>
      <w:r w:rsidR="00335A48">
        <w:t>.</w:t>
      </w:r>
      <w:r w:rsidR="00335A48" w:rsidDel="00C267F9">
        <w:t xml:space="preserve"> </w:t>
      </w:r>
      <w:r w:rsidR="008153DF">
        <w:t xml:space="preserve">First, it </w:t>
      </w:r>
      <w:r w:rsidR="00C267F9">
        <w:t xml:space="preserve">is important to </w:t>
      </w:r>
      <w:r w:rsidR="00197CD8">
        <w:t xml:space="preserve">keep in mind </w:t>
      </w:r>
      <w:r w:rsidR="000E22AF">
        <w:t xml:space="preserve">the realities of litigation and </w:t>
      </w:r>
      <w:r w:rsidR="00C267F9">
        <w:t xml:space="preserve">to </w:t>
      </w:r>
      <w:r w:rsidR="000E22AF">
        <w:t>avoid hindsight bias</w:t>
      </w:r>
      <w:r w:rsidR="00507F55">
        <w:t>.</w:t>
      </w:r>
      <w:r w:rsidR="00197CD8" w:rsidDel="00C267F9">
        <w:t xml:space="preserve"> </w:t>
      </w:r>
      <w:r w:rsidR="00C267F9">
        <w:t xml:space="preserve">The Court </w:t>
      </w:r>
      <w:r w:rsidR="00507F55">
        <w:t>should be cautious before</w:t>
      </w:r>
      <w:r w:rsidR="00E96AD1">
        <w:t xml:space="preserve"> deciding</w:t>
      </w:r>
      <w:r w:rsidR="00507F55">
        <w:t>,</w:t>
      </w:r>
      <w:r w:rsidR="00E96AD1">
        <w:t xml:space="preserve"> years </w:t>
      </w:r>
      <w:r w:rsidR="00507F55">
        <w:t>later, well-removed from the heat of battle, and with the benefit of 20/20 hindsight, what could or should have been done by the applicant’s lawyers</w:t>
      </w:r>
      <w:r w:rsidR="00E96AD1">
        <w:t xml:space="preserve"> between November and 2021 and July 2022</w:t>
      </w:r>
      <w:r w:rsidR="00507F55">
        <w:t>.</w:t>
      </w:r>
      <w:r w:rsidR="00183801" w:rsidDel="00E9451A">
        <w:t xml:space="preserve"> </w:t>
      </w:r>
      <w:r w:rsidR="00E9451A">
        <w:t xml:space="preserve">As </w:t>
      </w:r>
      <w:r w:rsidR="00183801">
        <w:t>Levitt Robinson</w:t>
      </w:r>
      <w:r w:rsidR="00E9451A">
        <w:t xml:space="preserve"> submitted,</w:t>
      </w:r>
      <w:r w:rsidR="00183801">
        <w:t xml:space="preserve"> the Court should only </w:t>
      </w:r>
      <w:r w:rsidR="00197CD8">
        <w:t xml:space="preserve">take the course </w:t>
      </w:r>
      <w:r w:rsidR="00C56436">
        <w:t>for which the Contradictor contended</w:t>
      </w:r>
      <w:r w:rsidR="00183801">
        <w:t xml:space="preserve"> if</w:t>
      </w:r>
      <w:r w:rsidR="00C56436">
        <w:t xml:space="preserve"> it can be shown </w:t>
      </w:r>
      <w:r w:rsidR="00183801">
        <w:t>that something in the firm’s conduct of the proceeding miscarried.</w:t>
      </w:r>
    </w:p>
    <w:p w14:paraId="19B278AF" w14:textId="55700393" w:rsidR="00DA2CDC" w:rsidRDefault="001D7B98" w:rsidP="001D7B98">
      <w:pPr>
        <w:pStyle w:val="ParaNumbering"/>
        <w:numPr>
          <w:ilvl w:val="0"/>
          <w:numId w:val="0"/>
        </w:numPr>
        <w:tabs>
          <w:tab w:val="left" w:pos="720"/>
        </w:tabs>
        <w:ind w:hanging="720"/>
      </w:pPr>
      <w:r>
        <w:rPr>
          <w:sz w:val="20"/>
        </w:rPr>
        <w:t>136</w:t>
      </w:r>
      <w:r>
        <w:rPr>
          <w:sz w:val="20"/>
        </w:rPr>
        <w:tab/>
      </w:r>
      <w:r w:rsidR="008153DF">
        <w:t xml:space="preserve">Second, I </w:t>
      </w:r>
      <w:r w:rsidR="00E96AD1">
        <w:t xml:space="preserve">accept </w:t>
      </w:r>
      <w:r w:rsidR="00882C2E">
        <w:t>that</w:t>
      </w:r>
      <w:r w:rsidR="00E96AD1">
        <w:t xml:space="preserve"> </w:t>
      </w:r>
      <w:r w:rsidR="00335A48">
        <w:t xml:space="preserve">the trial judge’s remarks during the </w:t>
      </w:r>
      <w:r w:rsidR="008153DF">
        <w:t>oral</w:t>
      </w:r>
      <w:r w:rsidR="00335A48">
        <w:t xml:space="preserve"> openings, and his Honour’s decision that the applicants’ claim of breach of fiduciary duty was outside the pleadings were an important factor in the </w:t>
      </w:r>
      <w:r w:rsidR="00763E68">
        <w:t xml:space="preserve">applicants’ </w:t>
      </w:r>
      <w:r w:rsidR="00335A48">
        <w:t>decision to accept</w:t>
      </w:r>
      <w:r w:rsidR="00335A48" w:rsidDel="00763E68">
        <w:t xml:space="preserve"> </w:t>
      </w:r>
      <w:r w:rsidR="00763E68">
        <w:t xml:space="preserve">the </w:t>
      </w:r>
      <w:r w:rsidR="00B82E85">
        <w:t>costs-only settlement</w:t>
      </w:r>
      <w:r w:rsidR="00D6058A">
        <w:t xml:space="preserve">. That information did not emerge </w:t>
      </w:r>
      <w:r w:rsidR="00E23924">
        <w:t>until</w:t>
      </w:r>
      <w:r w:rsidR="00E23924" w:rsidDel="00763E68">
        <w:t xml:space="preserve"> </w:t>
      </w:r>
      <w:r w:rsidR="00763E68">
        <w:t xml:space="preserve">the trial </w:t>
      </w:r>
      <w:r w:rsidR="00E23924">
        <w:t>and</w:t>
      </w:r>
      <w:r w:rsidR="005C2785">
        <w:t xml:space="preserve"> </w:t>
      </w:r>
      <w:r w:rsidR="00763E68">
        <w:t xml:space="preserve">there can be no legitimate criticism of </w:t>
      </w:r>
      <w:r w:rsidR="005C2785">
        <w:t xml:space="preserve">Levitt Robinson </w:t>
      </w:r>
      <w:r w:rsidR="00E23924">
        <w:t>for</w:t>
      </w:r>
      <w:r w:rsidR="005C2785">
        <w:t xml:space="preserve"> taking those matters into account </w:t>
      </w:r>
      <w:r w:rsidR="00E23924">
        <w:t>in deciding</w:t>
      </w:r>
      <w:r w:rsidR="005C2785">
        <w:t xml:space="preserve"> to recommend acceptance of </w:t>
      </w:r>
      <w:r w:rsidR="00763E68">
        <w:t xml:space="preserve">the </w:t>
      </w:r>
      <w:r w:rsidR="005D0A81">
        <w:t>proposed settlement</w:t>
      </w:r>
      <w:r w:rsidR="00335A48">
        <w:t>.</w:t>
      </w:r>
    </w:p>
    <w:p w14:paraId="05A61721" w14:textId="6E588840" w:rsidR="00B34218" w:rsidRDefault="001D7B98" w:rsidP="001D7B98">
      <w:pPr>
        <w:pStyle w:val="ParaNumbering"/>
        <w:numPr>
          <w:ilvl w:val="0"/>
          <w:numId w:val="0"/>
        </w:numPr>
        <w:tabs>
          <w:tab w:val="left" w:pos="720"/>
        </w:tabs>
        <w:ind w:hanging="720"/>
      </w:pPr>
      <w:r>
        <w:rPr>
          <w:sz w:val="20"/>
        </w:rPr>
        <w:t>137</w:t>
      </w:r>
      <w:r>
        <w:rPr>
          <w:sz w:val="20"/>
        </w:rPr>
        <w:tab/>
      </w:r>
      <w:r w:rsidR="005D0A81">
        <w:t>Third, as both</w:t>
      </w:r>
      <w:r w:rsidR="000C1423">
        <w:t xml:space="preserve"> The Contradictor and Levitt Robinson said,</w:t>
      </w:r>
      <w:r w:rsidR="006F6949">
        <w:t xml:space="preserve"> </w:t>
      </w:r>
      <w:r w:rsidR="000C1423">
        <w:t xml:space="preserve">it is appropriate to conclude </w:t>
      </w:r>
      <w:r w:rsidR="006F6949">
        <w:t xml:space="preserve">that the case was unlikely to settle until </w:t>
      </w:r>
      <w:r w:rsidR="001C4432">
        <w:t xml:space="preserve">the </w:t>
      </w:r>
      <w:r w:rsidR="006F6949">
        <w:t xml:space="preserve">parties had </w:t>
      </w:r>
      <w:r w:rsidR="00C9010F">
        <w:t xml:space="preserve">the benefit of seeing the competing </w:t>
      </w:r>
      <w:r w:rsidR="006F6949">
        <w:t xml:space="preserve">expert </w:t>
      </w:r>
      <w:r w:rsidR="00C9010F">
        <w:lastRenderedPageBreak/>
        <w:t xml:space="preserve">valuation </w:t>
      </w:r>
      <w:r w:rsidR="006F6949">
        <w:t>evidence</w:t>
      </w:r>
      <w:r w:rsidR="008528F8">
        <w:t>. It was reasonable for the applicants to wait until the expert material was in before they could</w:t>
      </w:r>
      <w:r w:rsidR="008528F8" w:rsidDel="000C1423">
        <w:t xml:space="preserve"> </w:t>
      </w:r>
      <w:r w:rsidR="000C1423">
        <w:t xml:space="preserve">be </w:t>
      </w:r>
      <w:r w:rsidR="008528F8">
        <w:t xml:space="preserve">expected to </w:t>
      </w:r>
      <w:proofErr w:type="gramStart"/>
      <w:r w:rsidR="008528F8">
        <w:t>make a decision</w:t>
      </w:r>
      <w:proofErr w:type="gramEnd"/>
      <w:r w:rsidR="008528F8">
        <w:t xml:space="preserve"> as to whether to settle or not.</w:t>
      </w:r>
    </w:p>
    <w:p w14:paraId="45FDFAC4" w14:textId="3D07C68B" w:rsidR="00A83F6F" w:rsidRDefault="001D7B98" w:rsidP="001D7B98">
      <w:pPr>
        <w:pStyle w:val="ParaNumbering"/>
        <w:numPr>
          <w:ilvl w:val="0"/>
          <w:numId w:val="0"/>
        </w:numPr>
        <w:tabs>
          <w:tab w:val="left" w:pos="720"/>
        </w:tabs>
        <w:ind w:hanging="720"/>
      </w:pPr>
      <w:r>
        <w:rPr>
          <w:sz w:val="20"/>
        </w:rPr>
        <w:t>138</w:t>
      </w:r>
      <w:r>
        <w:rPr>
          <w:sz w:val="20"/>
        </w:rPr>
        <w:tab/>
      </w:r>
      <w:r w:rsidR="000C1423">
        <w:t xml:space="preserve">Fourth, in </w:t>
      </w:r>
      <w:r w:rsidR="00A83F6F">
        <w:t xml:space="preserve">the circumstances of the case, there is some </w:t>
      </w:r>
      <w:r w:rsidR="00882C2E">
        <w:t xml:space="preserve">force in the remarks of Beach J in </w:t>
      </w:r>
      <w:proofErr w:type="spellStart"/>
      <w:r w:rsidR="00882C2E">
        <w:rPr>
          <w:i/>
          <w:iCs/>
        </w:rPr>
        <w:t>Kuterba</w:t>
      </w:r>
      <w:proofErr w:type="spellEnd"/>
      <w:r w:rsidR="00882C2E">
        <w:rPr>
          <w:i/>
          <w:iCs/>
        </w:rPr>
        <w:t xml:space="preserve"> </w:t>
      </w:r>
      <w:r w:rsidR="00882C2E">
        <w:t>at [18]-[19].</w:t>
      </w:r>
      <w:r w:rsidR="00664784">
        <w:t xml:space="preserve"> The facts of this case are not like those </w:t>
      </w:r>
      <w:r w:rsidR="00A83F6F">
        <w:t xml:space="preserve">in </w:t>
      </w:r>
      <w:r w:rsidR="00A83F6F" w:rsidRPr="00A53767">
        <w:rPr>
          <w:i/>
          <w:iCs/>
        </w:rPr>
        <w:t>Petersen</w:t>
      </w:r>
      <w:r w:rsidR="00A83F6F">
        <w:t xml:space="preserve">. </w:t>
      </w:r>
    </w:p>
    <w:p w14:paraId="554AAA19" w14:textId="32A347D7" w:rsidR="00797622" w:rsidRDefault="001D7B98" w:rsidP="001D7B98">
      <w:pPr>
        <w:pStyle w:val="ParaNumbering"/>
        <w:numPr>
          <w:ilvl w:val="0"/>
          <w:numId w:val="0"/>
        </w:numPr>
        <w:tabs>
          <w:tab w:val="left" w:pos="720"/>
        </w:tabs>
        <w:ind w:hanging="720"/>
      </w:pPr>
      <w:r>
        <w:rPr>
          <w:sz w:val="20"/>
        </w:rPr>
        <w:t>139</w:t>
      </w:r>
      <w:r>
        <w:rPr>
          <w:sz w:val="20"/>
        </w:rPr>
        <w:tab/>
      </w:r>
      <w:r w:rsidR="00C9010F">
        <w:t xml:space="preserve">Even so, I am satisfied that </w:t>
      </w:r>
      <w:r w:rsidR="000C1423">
        <w:t xml:space="preserve">a </w:t>
      </w:r>
      <w:r w:rsidR="0042135A">
        <w:t xml:space="preserve">serious </w:t>
      </w:r>
      <w:r w:rsidR="000C1423">
        <w:t xml:space="preserve">lack of expedition </w:t>
      </w:r>
      <w:r w:rsidR="0042135A">
        <w:t xml:space="preserve">and inefficiency by Levitt Robinson in the preparation of </w:t>
      </w:r>
      <w:r w:rsidR="00664784">
        <w:t xml:space="preserve">the applicants’ </w:t>
      </w:r>
      <w:r w:rsidR="0042135A">
        <w:t>expert evidence led to it running up $1.</w:t>
      </w:r>
      <w:r w:rsidR="00B1371A">
        <w:t>1</w:t>
      </w:r>
      <w:r w:rsidR="0042135A">
        <w:t>41 million</w:t>
      </w:r>
      <w:r w:rsidR="0042135A" w:rsidDel="000C1423">
        <w:t xml:space="preserve"> </w:t>
      </w:r>
      <w:r w:rsidR="000C1423">
        <w:t xml:space="preserve">in Avoidable Costs </w:t>
      </w:r>
      <w:r w:rsidR="0042135A">
        <w:t xml:space="preserve">in the </w:t>
      </w:r>
      <w:r w:rsidR="000C7D90">
        <w:t xml:space="preserve">immediate </w:t>
      </w:r>
      <w:r w:rsidR="0042135A">
        <w:t>lead up to the trial</w:t>
      </w:r>
      <w:r w:rsidR="000C1423">
        <w:t>. In my view it is more likely than not that those</w:t>
      </w:r>
      <w:r w:rsidR="00195348">
        <w:t xml:space="preserve"> costs</w:t>
      </w:r>
      <w:r w:rsidR="000C1423">
        <w:t xml:space="preserve"> would </w:t>
      </w:r>
      <w:r w:rsidR="00BE2FAA">
        <w:t xml:space="preserve">not </w:t>
      </w:r>
      <w:r w:rsidR="000C1423">
        <w:t xml:space="preserve">have </w:t>
      </w:r>
      <w:r w:rsidR="00BE2FAA">
        <w:t xml:space="preserve">been incurred </w:t>
      </w:r>
      <w:r w:rsidR="00195348">
        <w:t>had</w:t>
      </w:r>
      <w:r w:rsidR="00BE2FAA">
        <w:t xml:space="preserve"> the firm </w:t>
      </w:r>
      <w:r w:rsidR="00861EDE">
        <w:t xml:space="preserve">shown appropriate expedition, efficiency and competence </w:t>
      </w:r>
      <w:r w:rsidR="00305B76">
        <w:t>in filing and serving the applicants’ expert evidence</w:t>
      </w:r>
      <w:r w:rsidR="00797622">
        <w:t xml:space="preserve">. </w:t>
      </w:r>
    </w:p>
    <w:p w14:paraId="79661ACB" w14:textId="04CC74A3" w:rsidR="007514D5" w:rsidRDefault="001D7B98" w:rsidP="001D7B98">
      <w:pPr>
        <w:pStyle w:val="ParaNumbering"/>
        <w:numPr>
          <w:ilvl w:val="0"/>
          <w:numId w:val="0"/>
        </w:numPr>
        <w:tabs>
          <w:tab w:val="left" w:pos="720"/>
        </w:tabs>
        <w:ind w:hanging="720"/>
      </w:pPr>
      <w:r>
        <w:rPr>
          <w:sz w:val="20"/>
        </w:rPr>
        <w:t>140</w:t>
      </w:r>
      <w:r>
        <w:rPr>
          <w:sz w:val="20"/>
        </w:rPr>
        <w:tab/>
      </w:r>
      <w:r w:rsidR="00305B76">
        <w:t xml:space="preserve">It is important to keep in mind that the issue </w:t>
      </w:r>
      <w:r w:rsidR="00797622">
        <w:t>as to whether</w:t>
      </w:r>
      <w:r w:rsidR="003D0B38">
        <w:t xml:space="preserve"> </w:t>
      </w:r>
      <w:r w:rsidR="00797622">
        <w:t xml:space="preserve">the applicants and group members had suffered any loss in the value of </w:t>
      </w:r>
      <w:r w:rsidR="00A95ED4">
        <w:t>the</w:t>
      </w:r>
      <w:r w:rsidR="00305B76">
        <w:t>ir</w:t>
      </w:r>
      <w:r w:rsidR="00A95ED4">
        <w:t xml:space="preserve"> </w:t>
      </w:r>
      <w:r w:rsidR="00797622">
        <w:t xml:space="preserve">freehold or leasehold interests in </w:t>
      </w:r>
      <w:r w:rsidR="00305B76">
        <w:t xml:space="preserve">a </w:t>
      </w:r>
      <w:r w:rsidR="00797622">
        <w:t xml:space="preserve">unit in </w:t>
      </w:r>
      <w:r w:rsidR="00305B76">
        <w:t xml:space="preserve">a </w:t>
      </w:r>
      <w:r w:rsidR="00DE0B79">
        <w:t>Aveo</w:t>
      </w:r>
      <w:r w:rsidR="003D0B38">
        <w:t>-</w:t>
      </w:r>
      <w:r w:rsidR="00DE0B79">
        <w:t xml:space="preserve">operated </w:t>
      </w:r>
      <w:r w:rsidR="00797622">
        <w:t xml:space="preserve">retirement </w:t>
      </w:r>
      <w:r w:rsidR="003D0B38">
        <w:t>village</w:t>
      </w:r>
      <w:r w:rsidR="00305B76">
        <w:t xml:space="preserve">, </w:t>
      </w:r>
      <w:proofErr w:type="gramStart"/>
      <w:r w:rsidR="00305B76">
        <w:t>as a result of</w:t>
      </w:r>
      <w:proofErr w:type="gramEnd"/>
      <w:r w:rsidR="00305B76">
        <w:t xml:space="preserve"> the introduction of Aveo Way,</w:t>
      </w:r>
      <w:r w:rsidR="003D0B38">
        <w:t xml:space="preserve"> </w:t>
      </w:r>
      <w:r w:rsidR="00797622">
        <w:t>was always central</w:t>
      </w:r>
      <w:r w:rsidR="00DE0B79">
        <w:t xml:space="preserve"> in the case</w:t>
      </w:r>
      <w:r w:rsidR="00797622">
        <w:t>.</w:t>
      </w:r>
      <w:r w:rsidR="003D0B38">
        <w:t xml:space="preserve"> The </w:t>
      </w:r>
      <w:r w:rsidR="00305B76">
        <w:t xml:space="preserve">applicants’ and sample group members’ </w:t>
      </w:r>
      <w:r w:rsidR="003D0B38">
        <w:t xml:space="preserve">claims of unconscionable and misleading and deceptive conduct were dependent on a finding of loss by the Court </w:t>
      </w:r>
      <w:proofErr w:type="gramStart"/>
      <w:r w:rsidR="003D0B38">
        <w:t>in order to</w:t>
      </w:r>
      <w:proofErr w:type="gramEnd"/>
      <w:r w:rsidR="003D0B38">
        <w:t xml:space="preserve"> be made out. </w:t>
      </w:r>
      <w:r w:rsidR="00305B76">
        <w:t xml:space="preserve">That is, </w:t>
      </w:r>
      <w:r w:rsidR="003D0B38">
        <w:t>Aveo’s conduct in</w:t>
      </w:r>
      <w:r w:rsidR="00D53482">
        <w:t xml:space="preserve"> introducing </w:t>
      </w:r>
      <w:r w:rsidR="003D0B38">
        <w:t>the Aveo Way programme could not be unconscionable or misleading or deceptive if there was no devaluation of the unit or lengthening of the time it took to sell.</w:t>
      </w:r>
    </w:p>
    <w:p w14:paraId="69D6C551" w14:textId="3828803D" w:rsidR="00D53482" w:rsidRDefault="001D7B98" w:rsidP="001D7B98">
      <w:pPr>
        <w:pStyle w:val="ParaNumbering"/>
        <w:numPr>
          <w:ilvl w:val="0"/>
          <w:numId w:val="0"/>
        </w:numPr>
        <w:tabs>
          <w:tab w:val="left" w:pos="720"/>
        </w:tabs>
        <w:ind w:hanging="720"/>
      </w:pPr>
      <w:r>
        <w:rPr>
          <w:sz w:val="20"/>
        </w:rPr>
        <w:t>141</w:t>
      </w:r>
      <w:r>
        <w:rPr>
          <w:sz w:val="20"/>
        </w:rPr>
        <w:tab/>
      </w:r>
      <w:r w:rsidR="00D53482">
        <w:t>In those circumstances</w:t>
      </w:r>
      <w:r w:rsidR="00D53482" w:rsidDel="00305B76">
        <w:t xml:space="preserve"> it </w:t>
      </w:r>
      <w:r w:rsidR="00305B76">
        <w:t xml:space="preserve">was in my view seriously derelict for </w:t>
      </w:r>
      <w:r w:rsidR="00D53482">
        <w:t>Levitt Robinson</w:t>
      </w:r>
      <w:r w:rsidR="00305B76">
        <w:t xml:space="preserve"> to conduct </w:t>
      </w:r>
      <w:r w:rsidR="00D53482">
        <w:t xml:space="preserve">this large, </w:t>
      </w:r>
      <w:proofErr w:type="gramStart"/>
      <w:r w:rsidR="00D53482">
        <w:t>complex</w:t>
      </w:r>
      <w:proofErr w:type="gramEnd"/>
      <w:r w:rsidR="00D53482">
        <w:t xml:space="preserve"> and expensive</w:t>
      </w:r>
      <w:r w:rsidR="00BE2FAA">
        <w:t xml:space="preserve"> proceeding </w:t>
      </w:r>
      <w:r w:rsidR="00D53482">
        <w:t>for more than five years before it obtained a report from an expert property valuer.</w:t>
      </w:r>
      <w:r w:rsidR="00E079A8">
        <w:t xml:space="preserve"> </w:t>
      </w:r>
      <w:r w:rsidR="00305B76">
        <w:t>Levitt Robinson received an expert property valuer’s report for the first time in late December 2022, five and a quarter years after the firm commenced the case, and just two months before trial. Sometimes</w:t>
      </w:r>
      <w:r w:rsidR="00E079A8" w:rsidDel="00305B76">
        <w:t xml:space="preserve"> </w:t>
      </w:r>
      <w:r w:rsidR="00A61069">
        <w:t>a party</w:t>
      </w:r>
      <w:r w:rsidR="00E079A8" w:rsidDel="00305B76">
        <w:t xml:space="preserve"> </w:t>
      </w:r>
      <w:r w:rsidR="00305B76">
        <w:t xml:space="preserve">might obtain </w:t>
      </w:r>
      <w:r w:rsidR="005D1D34">
        <w:t xml:space="preserve">a </w:t>
      </w:r>
      <w:r w:rsidR="00305B76">
        <w:t>“</w:t>
      </w:r>
      <w:r w:rsidR="005D1D34">
        <w:t>quick and</w:t>
      </w:r>
      <w:r w:rsidR="005D1D34" w:rsidDel="00305B76">
        <w:t xml:space="preserve"> </w:t>
      </w:r>
      <w:r w:rsidR="00305B76">
        <w:t xml:space="preserve">dirty" </w:t>
      </w:r>
      <w:r w:rsidR="005D1D34">
        <w:t>expert’s</w:t>
      </w:r>
      <w:r w:rsidR="00E079A8">
        <w:t xml:space="preserve"> </w:t>
      </w:r>
      <w:r w:rsidR="00A61069">
        <w:t>report</w:t>
      </w:r>
      <w:r w:rsidR="003722A1">
        <w:t>, not</w:t>
      </w:r>
      <w:r w:rsidR="00305B76">
        <w:t xml:space="preserve"> for exchange </w:t>
      </w:r>
      <w:r w:rsidR="003722A1">
        <w:t>with the other side,</w:t>
      </w:r>
      <w:r w:rsidR="00E079A8">
        <w:t xml:space="preserve"> </w:t>
      </w:r>
      <w:proofErr w:type="gramStart"/>
      <w:r w:rsidR="00E079A8">
        <w:t>so as to</w:t>
      </w:r>
      <w:proofErr w:type="gramEnd"/>
      <w:r w:rsidR="00E079A8">
        <w:t xml:space="preserve"> get a more informed understanding of loss</w:t>
      </w:r>
      <w:r w:rsidR="00305B76">
        <w:t xml:space="preserve">, </w:t>
      </w:r>
      <w:r w:rsidR="00DF7C34">
        <w:t xml:space="preserve">but </w:t>
      </w:r>
      <w:r w:rsidR="00305B76">
        <w:t xml:space="preserve">there </w:t>
      </w:r>
      <w:r w:rsidR="00E079A8">
        <w:t>is no evidence of that here.</w:t>
      </w:r>
      <w:r w:rsidR="00E079A8" w:rsidDel="004554FF">
        <w:t xml:space="preserve"> </w:t>
      </w:r>
      <w:r w:rsidR="004554FF">
        <w:t xml:space="preserve">To my mind it </w:t>
      </w:r>
      <w:proofErr w:type="gramStart"/>
      <w:r w:rsidR="00675A18">
        <w:t>beggars</w:t>
      </w:r>
      <w:proofErr w:type="gramEnd"/>
      <w:r w:rsidR="00675A18">
        <w:t xml:space="preserve"> belief that</w:t>
      </w:r>
      <w:r w:rsidR="00675A18" w:rsidDel="004554FF">
        <w:t xml:space="preserve"> </w:t>
      </w:r>
      <w:r w:rsidR="004554FF">
        <w:t xml:space="preserve">Levitt Robinson </w:t>
      </w:r>
      <w:r w:rsidR="00675A18">
        <w:t xml:space="preserve">would have run up such huge costs, including by fighting off an attempt to have loss decided as a separate question, when it </w:t>
      </w:r>
      <w:r w:rsidR="004554FF">
        <w:t xml:space="preserve">did not have a proper basis for understanding </w:t>
      </w:r>
      <w:r w:rsidR="00675A18">
        <w:t>whether it could establish loss,</w:t>
      </w:r>
      <w:r w:rsidR="00675A18" w:rsidDel="004554FF">
        <w:t xml:space="preserve"> </w:t>
      </w:r>
      <w:r w:rsidR="004554FF">
        <w:t xml:space="preserve">or </w:t>
      </w:r>
      <w:r w:rsidR="00675A18">
        <w:t xml:space="preserve">the approximate quantum of any loss that </w:t>
      </w:r>
      <w:r w:rsidR="004554FF">
        <w:t xml:space="preserve">it </w:t>
      </w:r>
      <w:r w:rsidR="00675A18">
        <w:t>could establish.</w:t>
      </w:r>
    </w:p>
    <w:p w14:paraId="098DB680" w14:textId="59233EAE" w:rsidR="006E275C" w:rsidRDefault="001D7B98" w:rsidP="001D7B98">
      <w:pPr>
        <w:pStyle w:val="ParaNumbering"/>
        <w:numPr>
          <w:ilvl w:val="0"/>
          <w:numId w:val="0"/>
        </w:numPr>
        <w:tabs>
          <w:tab w:val="left" w:pos="720"/>
        </w:tabs>
        <w:ind w:hanging="720"/>
      </w:pPr>
      <w:r>
        <w:rPr>
          <w:sz w:val="20"/>
        </w:rPr>
        <w:t>142</w:t>
      </w:r>
      <w:r>
        <w:rPr>
          <w:sz w:val="20"/>
        </w:rPr>
        <w:tab/>
      </w:r>
      <w:r w:rsidR="001F3BF4">
        <w:t xml:space="preserve">That is not to suggest that there is any </w:t>
      </w:r>
      <w:r w:rsidR="006E275C">
        <w:t>rule</w:t>
      </w:r>
      <w:r w:rsidR="001F3BF4">
        <w:t xml:space="preserve"> in large complex </w:t>
      </w:r>
      <w:r w:rsidR="006E275C">
        <w:t xml:space="preserve">litigation that a </w:t>
      </w:r>
      <w:r w:rsidR="004554FF">
        <w:t xml:space="preserve">competent and </w:t>
      </w:r>
      <w:r w:rsidR="006E275C">
        <w:t xml:space="preserve">prudent lawyer </w:t>
      </w:r>
      <w:r w:rsidR="0057317C">
        <w:t xml:space="preserve">for a plaintiff </w:t>
      </w:r>
      <w:r w:rsidR="006E275C">
        <w:t>must obtain an expert</w:t>
      </w:r>
      <w:r w:rsidR="0057317C">
        <w:t xml:space="preserve"> loss</w:t>
      </w:r>
      <w:r w:rsidR="006E275C">
        <w:t xml:space="preserve"> report before issue. Particularly in class action litigation it will often be impossible for the applicants’ lawyers to reach even an approximate estimate of loss before they have an understanding of the size and make-up of the </w:t>
      </w:r>
      <w:proofErr w:type="gramStart"/>
      <w:r w:rsidR="006E275C">
        <w:lastRenderedPageBreak/>
        <w:t>class, and</w:t>
      </w:r>
      <w:proofErr w:type="gramEnd"/>
      <w:r w:rsidR="006E275C">
        <w:t xml:space="preserve"> </w:t>
      </w:r>
      <w:r w:rsidR="0050171E">
        <w:t>have the benefit of</w:t>
      </w:r>
      <w:r w:rsidR="001F3BF4">
        <w:t xml:space="preserve"> discovered and subpoenaed documents</w:t>
      </w:r>
      <w:r w:rsidR="006E275C">
        <w:t>. But, in a case</w:t>
      </w:r>
      <w:r w:rsidR="009260C8">
        <w:t xml:space="preserve"> where establishing loss was so central, </w:t>
      </w:r>
      <w:r w:rsidR="006E275C">
        <w:t>to fail to obtain an expert</w:t>
      </w:r>
      <w:r w:rsidR="00EE663A">
        <w:t xml:space="preserve"> property</w:t>
      </w:r>
      <w:r w:rsidR="00EE663A" w:rsidDel="0057317C">
        <w:t xml:space="preserve"> </w:t>
      </w:r>
      <w:r w:rsidR="0057317C">
        <w:t xml:space="preserve">valuer’s </w:t>
      </w:r>
      <w:r w:rsidR="006E275C">
        <w:t xml:space="preserve">report until </w:t>
      </w:r>
      <w:r w:rsidR="0057317C">
        <w:t>two</w:t>
      </w:r>
      <w:r w:rsidR="006E275C">
        <w:t xml:space="preserve"> months before trial</w:t>
      </w:r>
      <w:r w:rsidR="0002329F" w:rsidDel="00201CAF">
        <w:t xml:space="preserve"> </w:t>
      </w:r>
      <w:r w:rsidR="00201CAF">
        <w:t>was neither competent nor efficient</w:t>
      </w:r>
      <w:r w:rsidR="0002329F">
        <w:t>.</w:t>
      </w:r>
      <w:r w:rsidR="007B6692">
        <w:t xml:space="preserve"> This large and complex case consumed substantial resources of the parties, and substantial judicial and administrative resources, when</w:t>
      </w:r>
      <w:r w:rsidR="007B6692" w:rsidDel="00201CAF">
        <w:t xml:space="preserve"> </w:t>
      </w:r>
      <w:r w:rsidR="00201CAF">
        <w:t xml:space="preserve">the applicant’s lawyers </w:t>
      </w:r>
      <w:r w:rsidR="00FF3222">
        <w:t>could not</w:t>
      </w:r>
      <w:r w:rsidR="00FF3222" w:rsidDel="00201CAF">
        <w:t xml:space="preserve"> </w:t>
      </w:r>
      <w:r w:rsidR="00201CAF">
        <w:t xml:space="preserve">have </w:t>
      </w:r>
      <w:r w:rsidR="00FF3222">
        <w:t>known whether the</w:t>
      </w:r>
      <w:r w:rsidR="00FF3222" w:rsidDel="00201CAF">
        <w:t xml:space="preserve"> </w:t>
      </w:r>
      <w:r w:rsidR="00201CAF">
        <w:t xml:space="preserve">applicants’ and group members’ claims were </w:t>
      </w:r>
      <w:r w:rsidR="00FF3222">
        <w:t xml:space="preserve">worth the </w:t>
      </w:r>
      <w:r w:rsidR="00FF3222" w:rsidDel="001448CF">
        <w:t>candle</w:t>
      </w:r>
      <w:r w:rsidR="00FF3222">
        <w:t>.</w:t>
      </w:r>
    </w:p>
    <w:p w14:paraId="350FE7D4" w14:textId="3C2456D0" w:rsidR="0042135A" w:rsidRDefault="001D7B98" w:rsidP="001D7B98">
      <w:pPr>
        <w:pStyle w:val="ParaNumbering"/>
        <w:numPr>
          <w:ilvl w:val="0"/>
          <w:numId w:val="0"/>
        </w:numPr>
        <w:tabs>
          <w:tab w:val="left" w:pos="720"/>
        </w:tabs>
        <w:ind w:hanging="720"/>
      </w:pPr>
      <w:r>
        <w:rPr>
          <w:sz w:val="20"/>
        </w:rPr>
        <w:t>143</w:t>
      </w:r>
      <w:r>
        <w:rPr>
          <w:sz w:val="20"/>
        </w:rPr>
        <w:tab/>
      </w:r>
      <w:r w:rsidR="001F3BF4">
        <w:t xml:space="preserve">One </w:t>
      </w:r>
      <w:r w:rsidR="00FF3222">
        <w:t xml:space="preserve">can </w:t>
      </w:r>
      <w:proofErr w:type="gramStart"/>
      <w:r w:rsidR="00FF3222">
        <w:t>see why,</w:t>
      </w:r>
      <w:proofErr w:type="gramEnd"/>
      <w:r w:rsidR="00FF3222">
        <w:t xml:space="preserve"> at a superficial level, </w:t>
      </w:r>
      <w:r w:rsidR="00863CA1">
        <w:t>Levitt Robinson</w:t>
      </w:r>
      <w:r w:rsidR="00FF3222" w:rsidDel="00201CAF">
        <w:t xml:space="preserve"> </w:t>
      </w:r>
      <w:r w:rsidR="0083531A">
        <w:t xml:space="preserve">might have </w:t>
      </w:r>
      <w:r w:rsidR="00201CAF">
        <w:t xml:space="preserve">believed </w:t>
      </w:r>
      <w:r w:rsidR="00FF3222">
        <w:t>that</w:t>
      </w:r>
      <w:r w:rsidR="00823738">
        <w:t xml:space="preserve"> the applicants and group members</w:t>
      </w:r>
      <w:r w:rsidR="00823738" w:rsidDel="00201CAF">
        <w:t xml:space="preserve"> </w:t>
      </w:r>
      <w:r w:rsidR="0083531A">
        <w:t>were likely to have</w:t>
      </w:r>
      <w:r w:rsidR="00201CAF">
        <w:t xml:space="preserve"> </w:t>
      </w:r>
      <w:r w:rsidR="00823738">
        <w:t xml:space="preserve">suffered </w:t>
      </w:r>
      <w:r w:rsidR="00FF3222">
        <w:t>loss</w:t>
      </w:r>
      <w:r w:rsidR="00863CA1">
        <w:t xml:space="preserve">. </w:t>
      </w:r>
      <w:r w:rsidR="00EC43D8">
        <w:t>As the Contradictor said, putting to one side the leasehold interests, at face value</w:t>
      </w:r>
      <w:r w:rsidR="00EC43D8" w:rsidDel="00201CAF">
        <w:t xml:space="preserve"> </w:t>
      </w:r>
      <w:r w:rsidR="00201CAF">
        <w:t xml:space="preserve">it makes sense </w:t>
      </w:r>
      <w:r w:rsidR="00EC43D8">
        <w:t xml:space="preserve">that a freehold interest with lower deferred management fees and the prospect of </w:t>
      </w:r>
      <w:r w:rsidR="00201CAF">
        <w:t xml:space="preserve">a </w:t>
      </w:r>
      <w:r w:rsidR="00EC43D8">
        <w:t>capital gain was,</w:t>
      </w:r>
      <w:r w:rsidR="003F73C3">
        <w:t xml:space="preserve"> all else being equal, likely to be more valuable than a leasehold interest with higher deferred management fees and no prospect of capital gain.</w:t>
      </w:r>
      <w:r w:rsidR="00201CAF">
        <w:t xml:space="preserve"> And it </w:t>
      </w:r>
      <w:r w:rsidR="003F73C3">
        <w:t>makes sense that someone who purchased the former, but then</w:t>
      </w:r>
      <w:r w:rsidR="003F73C3" w:rsidDel="00201CAF">
        <w:t xml:space="preserve"> </w:t>
      </w:r>
      <w:r w:rsidR="00201CAF">
        <w:t xml:space="preserve">was </w:t>
      </w:r>
      <w:r w:rsidR="00DA259A">
        <w:t>only able to sell the latter,</w:t>
      </w:r>
      <w:r w:rsidR="00823738">
        <w:t xml:space="preserve"> is </w:t>
      </w:r>
      <w:r w:rsidR="00DA259A">
        <w:t>likely to receive a sale price lower than if they</w:t>
      </w:r>
      <w:r w:rsidR="00823738">
        <w:t xml:space="preserve"> were </w:t>
      </w:r>
      <w:r w:rsidR="00DA259A">
        <w:t>able to sell the same bundle of rights as they had purchased.</w:t>
      </w:r>
      <w:r w:rsidR="008B57B7">
        <w:t xml:space="preserve"> </w:t>
      </w:r>
      <w:r w:rsidR="00823738">
        <w:t xml:space="preserve">But </w:t>
      </w:r>
      <w:r w:rsidR="009B3C06">
        <w:t>as Aveo submitted in opening,</w:t>
      </w:r>
      <w:r w:rsidR="001F3BF4">
        <w:t xml:space="preserve"> such an </w:t>
      </w:r>
      <w:r w:rsidR="00823738">
        <w:t>analysis</w:t>
      </w:r>
      <w:r w:rsidR="008069DF">
        <w:t xml:space="preserve"> does </w:t>
      </w:r>
      <w:r w:rsidR="009B3C06">
        <w:t xml:space="preserve">not take account of the fact, that the market </w:t>
      </w:r>
      <w:r w:rsidR="008069DF">
        <w:t>for a unit in a retirement village is fundamentally different from that for “normal” residential real estate.</w:t>
      </w:r>
      <w:r w:rsidR="001F3BF4">
        <w:t xml:space="preserve"> Nor does it take account of what</w:t>
      </w:r>
      <w:r w:rsidR="001F3BF4" w:rsidDel="00201CAF">
        <w:t xml:space="preserve"> </w:t>
      </w:r>
      <w:r w:rsidR="001F3BF4">
        <w:t xml:space="preserve">Aveo’s sales data before and after introduction of the </w:t>
      </w:r>
      <w:r w:rsidR="009E4D43">
        <w:t>Aveo</w:t>
      </w:r>
      <w:r w:rsidR="001968F9">
        <w:t xml:space="preserve"> Way</w:t>
      </w:r>
      <w:r w:rsidR="00201CAF">
        <w:t xml:space="preserve"> showed</w:t>
      </w:r>
      <w:r w:rsidR="001968F9">
        <w:t>.</w:t>
      </w:r>
      <w:r w:rsidR="001968F9" w:rsidDel="00201CAF">
        <w:t xml:space="preserve"> </w:t>
      </w:r>
      <w:r w:rsidR="00201CAF">
        <w:t xml:space="preserve">Such an analysis did not </w:t>
      </w:r>
      <w:proofErr w:type="gramStart"/>
      <w:r w:rsidR="00201CAF">
        <w:t>take into account</w:t>
      </w:r>
      <w:proofErr w:type="gramEnd"/>
      <w:r w:rsidR="00201CAF">
        <w:t xml:space="preserve"> that </w:t>
      </w:r>
      <w:r w:rsidR="009E4D43">
        <w:t xml:space="preserve">the </w:t>
      </w:r>
      <w:r w:rsidR="00C74E9E">
        <w:t xml:space="preserve">priorities </w:t>
      </w:r>
      <w:r w:rsidR="003C12F8">
        <w:t>and concerns of retirees when entering a retirement village are</w:t>
      </w:r>
      <w:r w:rsidR="00C74E9E">
        <w:t xml:space="preserve"> </w:t>
      </w:r>
      <w:r w:rsidR="00201CAF">
        <w:t xml:space="preserve">likely to be </w:t>
      </w:r>
      <w:r w:rsidR="00C74E9E">
        <w:t>different to those of the person acquiring real estate for different purposes;</w:t>
      </w:r>
      <w:r w:rsidR="003C12F8">
        <w:t xml:space="preserve"> the purchase of a unit in a retirement village </w:t>
      </w:r>
      <w:r w:rsidR="00AB5947">
        <w:t xml:space="preserve">is </w:t>
      </w:r>
      <w:r w:rsidR="00201CAF">
        <w:t xml:space="preserve">likely to be </w:t>
      </w:r>
      <w:r w:rsidR="00AB5947">
        <w:t>made primarily for lifestyle rather than financial reasons</w:t>
      </w:r>
      <w:r w:rsidR="003953FE">
        <w:t>. In</w:t>
      </w:r>
      <w:r w:rsidR="00C74E9E">
        <w:t xml:space="preserve"> such </w:t>
      </w:r>
      <w:r w:rsidR="003953FE">
        <w:t>circumstances</w:t>
      </w:r>
      <w:r w:rsidR="00201CAF">
        <w:t xml:space="preserve">, and in a case of this size, </w:t>
      </w:r>
      <w:proofErr w:type="gramStart"/>
      <w:r w:rsidR="00201CAF">
        <w:t>complexity</w:t>
      </w:r>
      <w:proofErr w:type="gramEnd"/>
      <w:r w:rsidR="00201CAF">
        <w:t xml:space="preserve"> and cost,</w:t>
      </w:r>
      <w:r w:rsidR="00AB5947">
        <w:t xml:space="preserve"> </w:t>
      </w:r>
      <w:r w:rsidR="003953FE">
        <w:t>it was critical</w:t>
      </w:r>
      <w:r w:rsidR="003953FE" w:rsidDel="00201CAF">
        <w:t xml:space="preserve"> </w:t>
      </w:r>
      <w:r w:rsidR="00201CAF">
        <w:t xml:space="preserve">that </w:t>
      </w:r>
      <w:r w:rsidR="00C74E9E">
        <w:t>Levitt Robinson</w:t>
      </w:r>
      <w:r w:rsidR="00C74E9E" w:rsidDel="00201CAF">
        <w:t xml:space="preserve"> </w:t>
      </w:r>
      <w:r w:rsidR="00201CAF">
        <w:t xml:space="preserve">obtained </w:t>
      </w:r>
      <w:r w:rsidR="0042523E">
        <w:t>the</w:t>
      </w:r>
      <w:r w:rsidR="0042523E" w:rsidDel="00201CAF">
        <w:t xml:space="preserve"> </w:t>
      </w:r>
      <w:r w:rsidR="00201CAF">
        <w:t xml:space="preserve">opinion </w:t>
      </w:r>
      <w:r w:rsidR="0042523E">
        <w:t>of an expert property valuer experienced in</w:t>
      </w:r>
      <w:r w:rsidR="00C74E9E">
        <w:t xml:space="preserve"> the retirement village </w:t>
      </w:r>
      <w:r w:rsidR="0042523E">
        <w:t>sector</w:t>
      </w:r>
      <w:r w:rsidR="00201CAF">
        <w:t xml:space="preserve"> well prior to trial. In my view </w:t>
      </w:r>
      <w:r w:rsidR="00DA259A">
        <w:t>it was</w:t>
      </w:r>
      <w:r w:rsidR="00DA259A" w:rsidDel="00201CAF">
        <w:t xml:space="preserve"> </w:t>
      </w:r>
      <w:r w:rsidR="00201CAF">
        <w:t xml:space="preserve">highly </w:t>
      </w:r>
      <w:r w:rsidR="008B57B7">
        <w:t>remiss</w:t>
      </w:r>
      <w:r w:rsidR="008B57B7" w:rsidDel="00201CAF">
        <w:t xml:space="preserve"> </w:t>
      </w:r>
      <w:r w:rsidR="00201CAF">
        <w:t xml:space="preserve">of </w:t>
      </w:r>
      <w:r w:rsidR="008B57B7">
        <w:t>L</w:t>
      </w:r>
      <w:r w:rsidR="00DA259A">
        <w:t xml:space="preserve">evitt Robinson </w:t>
      </w:r>
      <w:r w:rsidR="00A26C9A">
        <w:t>to take the case as far as it did without</w:t>
      </w:r>
      <w:r w:rsidR="00C7728B">
        <w:t xml:space="preserve"> having an expert valuer’s report</w:t>
      </w:r>
      <w:r w:rsidR="00A26C9A">
        <w:t xml:space="preserve">. </w:t>
      </w:r>
    </w:p>
    <w:p w14:paraId="78459CB1" w14:textId="55BFDA3E" w:rsidR="00201CAF" w:rsidRDefault="001D7B98" w:rsidP="001D7B98">
      <w:pPr>
        <w:pStyle w:val="ParaNumbering"/>
        <w:numPr>
          <w:ilvl w:val="0"/>
          <w:numId w:val="0"/>
        </w:numPr>
        <w:tabs>
          <w:tab w:val="left" w:pos="720"/>
        </w:tabs>
        <w:ind w:hanging="720"/>
      </w:pPr>
      <w:r>
        <w:rPr>
          <w:sz w:val="20"/>
        </w:rPr>
        <w:t>144</w:t>
      </w:r>
      <w:r>
        <w:rPr>
          <w:sz w:val="20"/>
        </w:rPr>
        <w:tab/>
      </w:r>
      <w:r w:rsidR="0092704F">
        <w:t>The Contradictor’s</w:t>
      </w:r>
      <w:r w:rsidR="0042523E">
        <w:t xml:space="preserve"> argument </w:t>
      </w:r>
      <w:r w:rsidR="0092704F">
        <w:t xml:space="preserve">does not, </w:t>
      </w:r>
      <w:r w:rsidR="00CF1D02">
        <w:t>however</w:t>
      </w:r>
      <w:r w:rsidR="00201CAF">
        <w:t>,</w:t>
      </w:r>
      <w:r w:rsidR="0042523E" w:rsidDel="00201CAF">
        <w:t xml:space="preserve"> </w:t>
      </w:r>
      <w:r w:rsidR="00201CAF">
        <w:t>go as far as that</w:t>
      </w:r>
      <w:r w:rsidR="00CF1D02">
        <w:t>. The</w:t>
      </w:r>
      <w:r w:rsidR="00201CAF">
        <w:t xml:space="preserve"> Contradictor submitted only </w:t>
      </w:r>
      <w:r w:rsidR="00CF1D02">
        <w:t>that Levitt Robinson</w:t>
      </w:r>
      <w:r w:rsidR="00201CAF">
        <w:t xml:space="preserve"> did not act with due expedition and showed serious </w:t>
      </w:r>
      <w:r w:rsidR="003E6DF5">
        <w:t>in</w:t>
      </w:r>
      <w:r w:rsidR="00201CAF">
        <w:t xml:space="preserve">efficiency </w:t>
      </w:r>
      <w:r w:rsidR="000664CF">
        <w:t xml:space="preserve">in the period between </w:t>
      </w:r>
      <w:r w:rsidR="002F3323">
        <w:t>November 2021 and July 2022</w:t>
      </w:r>
      <w:r w:rsidR="002F3323" w:rsidDel="00201CAF">
        <w:t xml:space="preserve"> by </w:t>
      </w:r>
      <w:r w:rsidR="00201CAF">
        <w:t xml:space="preserve">failing to obtain and serve </w:t>
      </w:r>
      <w:r w:rsidR="002C0DEE">
        <w:t xml:space="preserve">an expert valuer’s report in accordance with the first </w:t>
      </w:r>
      <w:r w:rsidR="0083531A">
        <w:t xml:space="preserve">and </w:t>
      </w:r>
      <w:r w:rsidR="002C0DEE">
        <w:t>second pre-trial timetables</w:t>
      </w:r>
      <w:r w:rsidR="00C4035C">
        <w:t xml:space="preserve">. If Levitt Robinson had met </w:t>
      </w:r>
      <w:r w:rsidR="0088393B">
        <w:t xml:space="preserve">the first pre-trial timetable it would have served the applicants’ expert evidence by 29 July </w:t>
      </w:r>
      <w:proofErr w:type="gramStart"/>
      <w:r w:rsidR="0088393B">
        <w:t>2022</w:t>
      </w:r>
      <w:proofErr w:type="gramEnd"/>
      <w:r w:rsidR="0088393B">
        <w:t xml:space="preserve"> and it should have received Aveo’s expert evidence by 28 October 2022. If the firm had met the second pre-trial timetable it would have served the applicants’ expert evidence </w:t>
      </w:r>
      <w:r w:rsidR="00A67A52">
        <w:t xml:space="preserve">by </w:t>
      </w:r>
      <w:r w:rsidR="00A67A52">
        <w:lastRenderedPageBreak/>
        <w:t xml:space="preserve">19 August </w:t>
      </w:r>
      <w:proofErr w:type="gramStart"/>
      <w:r w:rsidR="00A67A52">
        <w:t>2022</w:t>
      </w:r>
      <w:proofErr w:type="gramEnd"/>
      <w:r w:rsidR="00A67A52">
        <w:t xml:space="preserve"> and it should have received Aveo’s expert evidence by 18 November 2022 2022</w:t>
      </w:r>
      <w:r w:rsidR="002C0DEE">
        <w:t xml:space="preserve">. </w:t>
      </w:r>
    </w:p>
    <w:p w14:paraId="3007A8F9" w14:textId="400688EE" w:rsidR="00E128BF" w:rsidRDefault="001D7B98" w:rsidP="001D7B98">
      <w:pPr>
        <w:pStyle w:val="ParaNumbering"/>
        <w:numPr>
          <w:ilvl w:val="0"/>
          <w:numId w:val="0"/>
        </w:numPr>
        <w:tabs>
          <w:tab w:val="left" w:pos="720"/>
        </w:tabs>
        <w:ind w:hanging="720"/>
      </w:pPr>
      <w:r>
        <w:rPr>
          <w:sz w:val="20"/>
        </w:rPr>
        <w:t>145</w:t>
      </w:r>
      <w:r>
        <w:rPr>
          <w:sz w:val="20"/>
        </w:rPr>
        <w:tab/>
      </w:r>
      <w:r w:rsidR="00A67A52">
        <w:t xml:space="preserve">In my view the Contradictor’s argument </w:t>
      </w:r>
      <w:r w:rsidR="00B62F37">
        <w:t>is plainly correct.</w:t>
      </w:r>
      <w:r w:rsidR="00D05FC4">
        <w:t xml:space="preserve"> </w:t>
      </w:r>
    </w:p>
    <w:p w14:paraId="2D81D0DD" w14:textId="25B230CA" w:rsidR="00E128BF" w:rsidRDefault="001D7B98" w:rsidP="001D7B98">
      <w:pPr>
        <w:pStyle w:val="ParaNumbering"/>
        <w:numPr>
          <w:ilvl w:val="0"/>
          <w:numId w:val="0"/>
        </w:numPr>
        <w:tabs>
          <w:tab w:val="left" w:pos="720"/>
        </w:tabs>
        <w:ind w:hanging="720"/>
      </w:pPr>
      <w:r>
        <w:rPr>
          <w:sz w:val="20"/>
        </w:rPr>
        <w:t>146</w:t>
      </w:r>
      <w:r>
        <w:rPr>
          <w:sz w:val="20"/>
        </w:rPr>
        <w:tab/>
      </w:r>
      <w:r w:rsidR="00E128BF">
        <w:t>In the first application to vacate the trial</w:t>
      </w:r>
      <w:r w:rsidR="005E661A">
        <w:t>,</w:t>
      </w:r>
      <w:r w:rsidR="00E128BF">
        <w:t xml:space="preserve"> counsel for the applicants accepted that the critical factor in the application was the applicants’ inability to put on their expert evidence. In deciding that the applicants had not properly explained the delay</w:t>
      </w:r>
      <w:r w:rsidR="00DF1B55">
        <w:t xml:space="preserve"> in that regard</w:t>
      </w:r>
      <w:r w:rsidR="00E128BF">
        <w:t xml:space="preserve">, the trial judge did not limit his concerns just to the seven-month period </w:t>
      </w:r>
      <w:r w:rsidR="003B4A19">
        <w:rPr>
          <w:bCs/>
        </w:rPr>
        <w:t xml:space="preserve">from November 2021 to July 2022 </w:t>
      </w:r>
      <w:r w:rsidR="00E03C13">
        <w:rPr>
          <w:bCs/>
        </w:rPr>
        <w:t xml:space="preserve">upon which the Contradictor </w:t>
      </w:r>
      <w:r w:rsidR="00E128BF">
        <w:t>relied. His Honour said:</w:t>
      </w:r>
    </w:p>
    <w:p w14:paraId="683671F2" w14:textId="77777777" w:rsidR="00E128BF" w:rsidRDefault="00E128BF" w:rsidP="00E128BF">
      <w:pPr>
        <w:pStyle w:val="Quote1"/>
      </w:pPr>
      <w:r>
        <w:t xml:space="preserve">HIS HONOUR: And what I see, when I read the affidavit material – when I look at the file, having been a judge that has come </w:t>
      </w:r>
      <w:proofErr w:type="gramStart"/>
      <w:r>
        <w:t>in to</w:t>
      </w:r>
      <w:proofErr w:type="gramEnd"/>
      <w:r>
        <w:t xml:space="preserve"> this recently, I see a lot of applications. I see a lot of delay. I see a lack of focus on getting on with the job. That – if you – there’s a responsibility of solicitors acting on behalf of group members and that’s a wider responsibility than when they’re acting in relation to individual clients because they’re acting for the class. And </w:t>
      </w:r>
      <w:proofErr w:type="gramStart"/>
      <w:r>
        <w:t>it’s</w:t>
      </w:r>
      <w:proofErr w:type="gramEnd"/>
      <w:r>
        <w:t xml:space="preserve"> incumbent upon the solicitors to act with due diligence and expedition. And the one thing I see when I read the file, and I’ve read it, is a lack of application, </w:t>
      </w:r>
      <w:proofErr w:type="gramStart"/>
      <w:r>
        <w:t>diligence</w:t>
      </w:r>
      <w:proofErr w:type="gramEnd"/>
      <w:r>
        <w:t xml:space="preserve"> and expedition.</w:t>
      </w:r>
    </w:p>
    <w:p w14:paraId="0BBE4295" w14:textId="77777777" w:rsidR="00E128BF" w:rsidRDefault="00E128BF" w:rsidP="00E128BF">
      <w:pPr>
        <w:pStyle w:val="Quote1"/>
      </w:pPr>
      <w:r>
        <w:t>I see numerous applications being made for what it seems to me to be matters which go to the periphery rather than the heart of getting the case on for trial. I see a massive amount of costs being run-up for what I can see to be not much benefit to date. We’re five years down the track and you’re saying, “I’m not ready to go to trial” and you were told a year ago when the trial date was. Now, what am I missing?</w:t>
      </w:r>
    </w:p>
    <w:p w14:paraId="1D0D16A9" w14:textId="6C7A5B48" w:rsidR="00E128BF" w:rsidRDefault="00E128BF" w:rsidP="00E128BF">
      <w:pPr>
        <w:pStyle w:val="Quote1"/>
      </w:pPr>
      <w:r>
        <w:t xml:space="preserve">(Transcript 17 November 2022, </w:t>
      </w:r>
      <w:r w:rsidR="005E661A">
        <w:t>T</w:t>
      </w:r>
      <w:r>
        <w:t>30</w:t>
      </w:r>
      <w:r w:rsidR="005E661A">
        <w:t>.</w:t>
      </w:r>
      <w:r>
        <w:t>7-20)</w:t>
      </w:r>
      <w:r w:rsidR="00020315">
        <w:t>.</w:t>
      </w:r>
    </w:p>
    <w:p w14:paraId="5EBD4F45" w14:textId="6CCD93F6" w:rsidR="003B4A19" w:rsidRDefault="001D7B98" w:rsidP="001D7B98">
      <w:pPr>
        <w:pStyle w:val="ParaNumbering"/>
        <w:numPr>
          <w:ilvl w:val="0"/>
          <w:numId w:val="0"/>
        </w:numPr>
        <w:tabs>
          <w:tab w:val="left" w:pos="720"/>
        </w:tabs>
        <w:ind w:hanging="720"/>
        <w:rPr>
          <w:bCs/>
        </w:rPr>
      </w:pPr>
      <w:r>
        <w:rPr>
          <w:bCs/>
          <w:sz w:val="20"/>
        </w:rPr>
        <w:t>147</w:t>
      </w:r>
      <w:r>
        <w:rPr>
          <w:bCs/>
          <w:sz w:val="20"/>
        </w:rPr>
        <w:tab/>
      </w:r>
      <w:r w:rsidR="00A67A52">
        <w:t>I agree.</w:t>
      </w:r>
      <w:r w:rsidR="003B4A19">
        <w:rPr>
          <w:bCs/>
        </w:rPr>
        <w:t xml:space="preserve"> While it appropriate to focus on the seven-month period upon which the Contradictor relied, it should be kept in mind that Levitt Robinson commenced the proceeding on 13 September 2017, and </w:t>
      </w:r>
      <w:r w:rsidR="00E44B3B">
        <w:rPr>
          <w:bCs/>
        </w:rPr>
        <w:t>at</w:t>
      </w:r>
      <w:r w:rsidR="00C01407">
        <w:rPr>
          <w:bCs/>
        </w:rPr>
        <w:t xml:space="preserve"> the</w:t>
      </w:r>
      <w:r w:rsidR="003B4A19">
        <w:rPr>
          <w:bCs/>
        </w:rPr>
        <w:t xml:space="preserve"> </w:t>
      </w:r>
      <w:r w:rsidR="00E44B3B">
        <w:rPr>
          <w:bCs/>
        </w:rPr>
        <w:t>point</w:t>
      </w:r>
      <w:r w:rsidR="00DF1B55">
        <w:rPr>
          <w:bCs/>
        </w:rPr>
        <w:t xml:space="preserve"> the expert evidence was due</w:t>
      </w:r>
      <w:r w:rsidR="003B4A19">
        <w:rPr>
          <w:bCs/>
        </w:rPr>
        <w:t xml:space="preserve"> the firm had </w:t>
      </w:r>
      <w:r w:rsidR="00777901">
        <w:rPr>
          <w:bCs/>
        </w:rPr>
        <w:t>been allowed</w:t>
      </w:r>
      <w:r w:rsidR="003B4A19">
        <w:rPr>
          <w:bCs/>
        </w:rPr>
        <w:t xml:space="preserve"> </w:t>
      </w:r>
      <w:r w:rsidR="00AB69A8">
        <w:rPr>
          <w:bCs/>
        </w:rPr>
        <w:t xml:space="preserve">just under </w:t>
      </w:r>
      <w:r w:rsidR="00A96EF3">
        <w:rPr>
          <w:bCs/>
        </w:rPr>
        <w:t xml:space="preserve">five </w:t>
      </w:r>
      <w:r w:rsidR="00AB69A8">
        <w:rPr>
          <w:bCs/>
        </w:rPr>
        <w:t>years</w:t>
      </w:r>
      <w:r w:rsidR="003B4A19">
        <w:rPr>
          <w:bCs/>
        </w:rPr>
        <w:t xml:space="preserve"> to prepare the applicants’ case. That is </w:t>
      </w:r>
      <w:r w:rsidR="00386943">
        <w:rPr>
          <w:bCs/>
        </w:rPr>
        <w:t>a very generous amount of</w:t>
      </w:r>
      <w:r w:rsidR="00777901">
        <w:rPr>
          <w:bCs/>
        </w:rPr>
        <w:t xml:space="preserve"> </w:t>
      </w:r>
      <w:r w:rsidR="003B4A19">
        <w:rPr>
          <w:bCs/>
        </w:rPr>
        <w:t>time.</w:t>
      </w:r>
      <w:r w:rsidR="00777901">
        <w:rPr>
          <w:bCs/>
        </w:rPr>
        <w:t xml:space="preserve"> The</w:t>
      </w:r>
      <w:r w:rsidR="003B4A19">
        <w:rPr>
          <w:bCs/>
        </w:rPr>
        <w:t xml:space="preserve"> Court</w:t>
      </w:r>
      <w:r w:rsidR="006A73AE">
        <w:rPr>
          <w:bCs/>
        </w:rPr>
        <w:t>’s</w:t>
      </w:r>
      <w:r w:rsidR="00777901">
        <w:rPr>
          <w:bCs/>
        </w:rPr>
        <w:t xml:space="preserve"> </w:t>
      </w:r>
      <w:r w:rsidR="00EA1E36">
        <w:rPr>
          <w:bCs/>
        </w:rPr>
        <w:t>file</w:t>
      </w:r>
      <w:r w:rsidR="00777901">
        <w:rPr>
          <w:bCs/>
        </w:rPr>
        <w:t xml:space="preserve"> </w:t>
      </w:r>
      <w:r w:rsidR="003B4A19">
        <w:rPr>
          <w:bCs/>
        </w:rPr>
        <w:t>shows repeated failures by</w:t>
      </w:r>
      <w:r w:rsidR="00777901">
        <w:rPr>
          <w:bCs/>
        </w:rPr>
        <w:t xml:space="preserve"> Levitt Robinson </w:t>
      </w:r>
      <w:r w:rsidR="003B4A19">
        <w:rPr>
          <w:bCs/>
        </w:rPr>
        <w:t>to comply with Court-ordered timetables, many of which orders were made by consent.</w:t>
      </w:r>
      <w:r w:rsidR="00777901">
        <w:rPr>
          <w:bCs/>
        </w:rPr>
        <w:t xml:space="preserve"> That is not to say that Levitt Robinson were </w:t>
      </w:r>
      <w:r w:rsidR="003B4A19">
        <w:rPr>
          <w:bCs/>
        </w:rPr>
        <w:t>alone in</w:t>
      </w:r>
      <w:r w:rsidR="00777901">
        <w:rPr>
          <w:bCs/>
        </w:rPr>
        <w:t xml:space="preserve"> those failures</w:t>
      </w:r>
      <w:r w:rsidR="003B4A19">
        <w:rPr>
          <w:bCs/>
        </w:rPr>
        <w:t>, but</w:t>
      </w:r>
      <w:r w:rsidR="00777901">
        <w:rPr>
          <w:bCs/>
        </w:rPr>
        <w:t xml:space="preserve"> my central concern is not with any failures by Aveo’s </w:t>
      </w:r>
      <w:r w:rsidR="003B4A19">
        <w:rPr>
          <w:bCs/>
        </w:rPr>
        <w:t>lawyers.</w:t>
      </w:r>
    </w:p>
    <w:p w14:paraId="156C4AF8" w14:textId="49DADFEE" w:rsidR="00B62F37" w:rsidRDefault="001D7B98" w:rsidP="001D7B98">
      <w:pPr>
        <w:pStyle w:val="ParaNumbering"/>
        <w:numPr>
          <w:ilvl w:val="0"/>
          <w:numId w:val="0"/>
        </w:numPr>
        <w:tabs>
          <w:tab w:val="left" w:pos="720"/>
        </w:tabs>
        <w:ind w:hanging="720"/>
      </w:pPr>
      <w:r>
        <w:rPr>
          <w:sz w:val="20"/>
        </w:rPr>
        <w:t>148</w:t>
      </w:r>
      <w:r>
        <w:rPr>
          <w:sz w:val="20"/>
        </w:rPr>
        <w:tab/>
      </w:r>
      <w:r w:rsidR="00777901">
        <w:t xml:space="preserve">I accept the Contradictor's submission that </w:t>
      </w:r>
      <w:r w:rsidR="00C93AB4">
        <w:t xml:space="preserve">there is a </w:t>
      </w:r>
      <w:r w:rsidR="00777901">
        <w:t xml:space="preserve">lacuna </w:t>
      </w:r>
      <w:r w:rsidR="00C93AB4">
        <w:t>in the evidence</w:t>
      </w:r>
      <w:r w:rsidR="00C93AB4" w:rsidDel="00777901">
        <w:t xml:space="preserve"> </w:t>
      </w:r>
      <w:r w:rsidR="00777901">
        <w:t xml:space="preserve">upon </w:t>
      </w:r>
      <w:r w:rsidR="00C93AB4">
        <w:t>which</w:t>
      </w:r>
      <w:r w:rsidR="00C93AB4" w:rsidDel="00777901">
        <w:t xml:space="preserve"> </w:t>
      </w:r>
      <w:r w:rsidR="00777901">
        <w:t xml:space="preserve">Levitt Robinson sought to rely </w:t>
      </w:r>
      <w:r w:rsidR="00C93AB4">
        <w:t xml:space="preserve">to explain </w:t>
      </w:r>
      <w:r w:rsidR="00777901">
        <w:t xml:space="preserve">away its </w:t>
      </w:r>
      <w:r w:rsidR="00C93AB4">
        <w:t>failure to</w:t>
      </w:r>
      <w:r w:rsidR="00C93AB4" w:rsidDel="00777901">
        <w:t xml:space="preserve"> </w:t>
      </w:r>
      <w:r w:rsidR="00777901">
        <w:t xml:space="preserve">serve the applicants’ </w:t>
      </w:r>
      <w:r w:rsidR="00C93AB4">
        <w:t>expert</w:t>
      </w:r>
      <w:r w:rsidR="00C93AB4" w:rsidDel="00777901">
        <w:t xml:space="preserve"> </w:t>
      </w:r>
      <w:r w:rsidR="00777901">
        <w:t>evidence in accordance with the first or second pre-trial timetables</w:t>
      </w:r>
      <w:r w:rsidR="00C93AB4">
        <w:t>.  The</w:t>
      </w:r>
      <w:r w:rsidR="00D05FC4" w:rsidDel="00006A4B">
        <w:t xml:space="preserve"> </w:t>
      </w:r>
      <w:r w:rsidR="00D05FC4">
        <w:t xml:space="preserve">evidence shows </w:t>
      </w:r>
      <w:r w:rsidR="00B62F37">
        <w:t>that:</w:t>
      </w:r>
    </w:p>
    <w:p w14:paraId="6A28AE3E" w14:textId="25305288" w:rsidR="00703002" w:rsidRDefault="001D7B98" w:rsidP="001D7B98">
      <w:pPr>
        <w:pStyle w:val="ListNo1alt"/>
        <w:numPr>
          <w:ilvl w:val="0"/>
          <w:numId w:val="0"/>
        </w:numPr>
        <w:tabs>
          <w:tab w:val="left" w:pos="720"/>
        </w:tabs>
        <w:ind w:left="720" w:hanging="720"/>
      </w:pPr>
      <w:r>
        <w:t>(a)</w:t>
      </w:r>
      <w:r>
        <w:tab/>
      </w:r>
      <w:r w:rsidR="00FE7E31">
        <w:t xml:space="preserve">Levitt Robinson commenced the proceeding on 13 September 2017. </w:t>
      </w:r>
      <w:r w:rsidR="000E08F7">
        <w:t xml:space="preserve"> </w:t>
      </w:r>
    </w:p>
    <w:p w14:paraId="78EE8BA4" w14:textId="5AF93342" w:rsidR="00703002" w:rsidRDefault="001D7B98" w:rsidP="001D7B98">
      <w:pPr>
        <w:pStyle w:val="ListNo1alt"/>
        <w:numPr>
          <w:ilvl w:val="0"/>
          <w:numId w:val="0"/>
        </w:numPr>
        <w:tabs>
          <w:tab w:val="left" w:pos="720"/>
        </w:tabs>
        <w:ind w:left="720" w:hanging="720"/>
      </w:pPr>
      <w:r>
        <w:lastRenderedPageBreak/>
        <w:t>(b)</w:t>
      </w:r>
      <w:r>
        <w:tab/>
      </w:r>
      <w:r w:rsidR="00703002">
        <w:t xml:space="preserve">by orders made on 2 September 2021 the proceeding was fixed for hearing on 1 March 2023. The case had been on foot for four years at that point and the applicants were given 18 months to be ready for </w:t>
      </w:r>
      <w:proofErr w:type="gramStart"/>
      <w:r w:rsidR="00703002">
        <w:t>trial;</w:t>
      </w:r>
      <w:proofErr w:type="gramEnd"/>
    </w:p>
    <w:p w14:paraId="5DE6F383" w14:textId="1A44C2FD" w:rsidR="00B62F37" w:rsidRDefault="001D7B98" w:rsidP="001D7B98">
      <w:pPr>
        <w:pStyle w:val="ListNo1alt"/>
        <w:numPr>
          <w:ilvl w:val="0"/>
          <w:numId w:val="0"/>
        </w:numPr>
        <w:tabs>
          <w:tab w:val="left" w:pos="720"/>
        </w:tabs>
        <w:ind w:left="720" w:hanging="720"/>
      </w:pPr>
      <w:r>
        <w:t>(c)</w:t>
      </w:r>
      <w:r>
        <w:tab/>
      </w:r>
      <w:r w:rsidR="00B62F37">
        <w:t xml:space="preserve">by consent orders made on 11 October 2021, the applicants were required to serve their expert evidence by 29 July 2022. </w:t>
      </w:r>
      <w:r w:rsidR="00E44B3B">
        <w:t xml:space="preserve">Under the timetable, at the point the applicants’ expert evidence was due the firm would have been allowed just under five years to prepare the applicants’ case. </w:t>
      </w:r>
      <w:r w:rsidR="00B62F37">
        <w:t>The applicants</w:t>
      </w:r>
      <w:r w:rsidR="00B62F37" w:rsidDel="00777901">
        <w:t xml:space="preserve"> </w:t>
      </w:r>
      <w:r w:rsidR="00E44B3B">
        <w:t>agreed</w:t>
      </w:r>
      <w:r w:rsidR="00777901">
        <w:t xml:space="preserve"> to a time limit of </w:t>
      </w:r>
      <w:r w:rsidR="00B62F37">
        <w:t>10 months</w:t>
      </w:r>
      <w:r w:rsidR="00B62F37" w:rsidDel="00777901">
        <w:t xml:space="preserve"> to </w:t>
      </w:r>
      <w:r w:rsidR="00777901">
        <w:t>put on its expert evidence</w:t>
      </w:r>
      <w:r w:rsidR="00B62F37">
        <w:t>,</w:t>
      </w:r>
      <w:r w:rsidR="00B62F37" w:rsidDel="00777901">
        <w:t xml:space="preserve"> </w:t>
      </w:r>
      <w:r w:rsidR="00777901">
        <w:t xml:space="preserve">and that </w:t>
      </w:r>
      <w:r w:rsidR="00B62F37">
        <w:t>should have been readily achievable</w:t>
      </w:r>
      <w:r w:rsidR="00B62F37" w:rsidDel="00777901">
        <w:t xml:space="preserve"> </w:t>
      </w:r>
      <w:r w:rsidR="00777901">
        <w:t xml:space="preserve">in circumstances where </w:t>
      </w:r>
      <w:r w:rsidR="00B62F37">
        <w:t>the case had been on foot for four years</w:t>
      </w:r>
      <w:r w:rsidR="007A2A29">
        <w:t>, there had been an extensive debate between the parties as to whether the applicants could establish loss,</w:t>
      </w:r>
      <w:r w:rsidR="00B62F37">
        <w:t xml:space="preserve"> and Levitt Robinson had engaged</w:t>
      </w:r>
      <w:r w:rsidR="0042523E">
        <w:t xml:space="preserve"> an expert property valuer </w:t>
      </w:r>
      <w:r w:rsidR="00B62F37">
        <w:t xml:space="preserve">earlier in </w:t>
      </w:r>
      <w:proofErr w:type="gramStart"/>
      <w:r w:rsidR="00B62F37">
        <w:t>2021;</w:t>
      </w:r>
      <w:proofErr w:type="gramEnd"/>
      <w:r w:rsidR="00B62F37">
        <w:t xml:space="preserve"> </w:t>
      </w:r>
    </w:p>
    <w:p w14:paraId="0018C8BA" w14:textId="7F19C26D" w:rsidR="00B62F37" w:rsidRDefault="001D7B98" w:rsidP="001D7B98">
      <w:pPr>
        <w:pStyle w:val="ListNo1alt"/>
        <w:numPr>
          <w:ilvl w:val="0"/>
          <w:numId w:val="0"/>
        </w:numPr>
        <w:tabs>
          <w:tab w:val="left" w:pos="720"/>
        </w:tabs>
        <w:ind w:left="720" w:hanging="720"/>
      </w:pPr>
      <w:r>
        <w:t>(d)</w:t>
      </w:r>
      <w:r>
        <w:tab/>
      </w:r>
      <w:r w:rsidR="00B62F37">
        <w:t>by orders made on 21 April 2022, the time for the applicants to serve their expert evidence was extended to 19 August 2022</w:t>
      </w:r>
      <w:r w:rsidR="00E32CB7">
        <w:t>;</w:t>
      </w:r>
      <w:r w:rsidR="00B62F37">
        <w:t xml:space="preserve"> </w:t>
      </w:r>
      <w:r w:rsidR="007A2A29">
        <w:t>and</w:t>
      </w:r>
    </w:p>
    <w:p w14:paraId="51D93CC5" w14:textId="42B399A2" w:rsidR="00B62F37" w:rsidRDefault="001D7B98" w:rsidP="001D7B98">
      <w:pPr>
        <w:pStyle w:val="ListNo1alt"/>
        <w:numPr>
          <w:ilvl w:val="0"/>
          <w:numId w:val="0"/>
        </w:numPr>
        <w:tabs>
          <w:tab w:val="left" w:pos="720"/>
        </w:tabs>
        <w:ind w:left="720" w:hanging="720"/>
      </w:pPr>
      <w:r>
        <w:t>(e)</w:t>
      </w:r>
      <w:r>
        <w:tab/>
      </w:r>
      <w:r w:rsidR="00B62F37">
        <w:t xml:space="preserve">the applicants </w:t>
      </w:r>
      <w:r w:rsidR="00E32CB7">
        <w:t xml:space="preserve">had still not obtained their expert evidence by </w:t>
      </w:r>
      <w:r w:rsidR="00B62F37">
        <w:t>24 October 2022</w:t>
      </w:r>
      <w:r w:rsidR="00E32CB7">
        <w:t xml:space="preserve">, </w:t>
      </w:r>
      <w:r w:rsidR="007A2A29">
        <w:t>almost two months after the due date</w:t>
      </w:r>
      <w:r w:rsidR="00CB0AAE">
        <w:t xml:space="preserve"> under the second pre-trial timetable</w:t>
      </w:r>
      <w:r w:rsidR="007A2A29">
        <w:t xml:space="preserve">. It appears that </w:t>
      </w:r>
      <w:r w:rsidR="00D05FC4">
        <w:t>Levitt Robinson said that</w:t>
      </w:r>
      <w:r w:rsidR="00121A3F">
        <w:t xml:space="preserve"> the firm </w:t>
      </w:r>
      <w:r w:rsidR="00D05FC4">
        <w:t>could not</w:t>
      </w:r>
      <w:r w:rsidR="00D05FC4" w:rsidDel="007A2A29">
        <w:t xml:space="preserve"> </w:t>
      </w:r>
      <w:r w:rsidR="007A2A29">
        <w:t xml:space="preserve">put on its expert evidence </w:t>
      </w:r>
      <w:r w:rsidR="00D05FC4">
        <w:t>until mid</w:t>
      </w:r>
      <w:r w:rsidR="006C461B">
        <w:t>-</w:t>
      </w:r>
      <w:r w:rsidR="00D05FC4">
        <w:t>January 2023</w:t>
      </w:r>
      <w:r w:rsidR="00B62F37">
        <w:t>.</w:t>
      </w:r>
      <w:r w:rsidR="006C461B">
        <w:t xml:space="preserve"> </w:t>
      </w:r>
      <w:r w:rsidR="007A2A29">
        <w:t xml:space="preserve">Notwithstanding the generosity of the </w:t>
      </w:r>
      <w:proofErr w:type="gramStart"/>
      <w:r w:rsidR="007A2A29">
        <w:t>time</w:t>
      </w:r>
      <w:proofErr w:type="gramEnd"/>
      <w:r w:rsidR="007A2A29">
        <w:t xml:space="preserve"> it had been provided</w:t>
      </w:r>
      <w:r w:rsidR="00EB5AC2">
        <w:t>,</w:t>
      </w:r>
      <w:r w:rsidR="007A2A29">
        <w:t xml:space="preserve"> Levitt Robinson </w:t>
      </w:r>
      <w:r w:rsidR="001A282D">
        <w:t>did not come close to meeting the first or second pre-trial timetables</w:t>
      </w:r>
      <w:r w:rsidR="007A2A29">
        <w:t>.</w:t>
      </w:r>
    </w:p>
    <w:p w14:paraId="42474ABD" w14:textId="781E6FCA" w:rsidR="00C93AB4" w:rsidRDefault="001D7B98" w:rsidP="001D7B98">
      <w:pPr>
        <w:pStyle w:val="ParaNumbering"/>
        <w:numPr>
          <w:ilvl w:val="0"/>
          <w:numId w:val="0"/>
        </w:numPr>
        <w:tabs>
          <w:tab w:val="left" w:pos="720"/>
        </w:tabs>
        <w:ind w:hanging="720"/>
      </w:pPr>
      <w:r>
        <w:rPr>
          <w:sz w:val="20"/>
        </w:rPr>
        <w:t>149</w:t>
      </w:r>
      <w:r>
        <w:rPr>
          <w:sz w:val="20"/>
        </w:rPr>
        <w:tab/>
      </w:r>
      <w:r w:rsidR="007A2A29">
        <w:t xml:space="preserve">I am well satisfied </w:t>
      </w:r>
      <w:r w:rsidR="00AF6425">
        <w:t xml:space="preserve">that in the period from November 2021 to July 2022 Levitt Robinson showed a lack of application, </w:t>
      </w:r>
      <w:proofErr w:type="gramStart"/>
      <w:r w:rsidR="00AF6425">
        <w:t>diligence</w:t>
      </w:r>
      <w:proofErr w:type="gramEnd"/>
      <w:r w:rsidR="00AF6425">
        <w:t xml:space="preserve"> and expedition in relation to the critical task of</w:t>
      </w:r>
      <w:r w:rsidR="00AF6425" w:rsidDel="007A2A29">
        <w:t xml:space="preserve"> </w:t>
      </w:r>
      <w:r w:rsidR="007A2A29">
        <w:t xml:space="preserve">filing and serving </w:t>
      </w:r>
      <w:r w:rsidR="00AF6425">
        <w:t>the applicants’ expert evidence.</w:t>
      </w:r>
    </w:p>
    <w:p w14:paraId="26639C6F" w14:textId="0CE2E957" w:rsidR="003B5FB3" w:rsidRDefault="001D7B98" w:rsidP="001D7B98">
      <w:pPr>
        <w:pStyle w:val="ParaNumbering"/>
        <w:numPr>
          <w:ilvl w:val="0"/>
          <w:numId w:val="0"/>
        </w:numPr>
        <w:tabs>
          <w:tab w:val="left" w:pos="720"/>
        </w:tabs>
        <w:ind w:hanging="720"/>
      </w:pPr>
      <w:r>
        <w:rPr>
          <w:sz w:val="20"/>
        </w:rPr>
        <w:t>150</w:t>
      </w:r>
      <w:r>
        <w:rPr>
          <w:sz w:val="20"/>
        </w:rPr>
        <w:tab/>
      </w:r>
      <w:r w:rsidR="007A2A29">
        <w:t xml:space="preserve">One </w:t>
      </w:r>
      <w:r w:rsidR="00AF6425">
        <w:t xml:space="preserve">cannot </w:t>
      </w:r>
      <w:r w:rsidR="00AB4DA1">
        <w:t>know with certainty that the case would have settled in December 2023</w:t>
      </w:r>
      <w:r w:rsidR="00A10F81">
        <w:t xml:space="preserve"> had Levitt Robinson served</w:t>
      </w:r>
      <w:r w:rsidR="00A10F81" w:rsidDel="007A2A29">
        <w:t xml:space="preserve"> </w:t>
      </w:r>
      <w:r w:rsidR="007A2A29">
        <w:t xml:space="preserve">the applicants' </w:t>
      </w:r>
      <w:r w:rsidR="00A10F81">
        <w:t>expert</w:t>
      </w:r>
      <w:r w:rsidR="00A10F81" w:rsidDel="007A2A29">
        <w:t xml:space="preserve"> </w:t>
      </w:r>
      <w:r w:rsidR="007A2A29">
        <w:t xml:space="preserve">evidence </w:t>
      </w:r>
      <w:r w:rsidR="00A10F81">
        <w:t>in accordance with the first or second pre-trial timetables. But I am not here concerned with certainty.</w:t>
      </w:r>
      <w:r w:rsidR="00B1662A" w:rsidDel="007A2A29">
        <w:t xml:space="preserve"> </w:t>
      </w:r>
      <w:r w:rsidR="007A2A29">
        <w:t xml:space="preserve">As Levitt Robinson accepted, </w:t>
      </w:r>
      <w:r w:rsidR="00A47C09">
        <w:t xml:space="preserve">the case was unlikely to be settled until the parties had the expert evidence. </w:t>
      </w:r>
      <w:r w:rsidR="00D90680">
        <w:t>In my view the expert evidence was</w:t>
      </w:r>
      <w:r w:rsidR="00DF160D" w:rsidDel="00A47C09">
        <w:t xml:space="preserve"> </w:t>
      </w:r>
      <w:r w:rsidR="00A47C09">
        <w:t xml:space="preserve">pivotal </w:t>
      </w:r>
      <w:r w:rsidR="00D90680">
        <w:t>to</w:t>
      </w:r>
      <w:r w:rsidR="005A355B">
        <w:t xml:space="preserve"> achieving a </w:t>
      </w:r>
      <w:r w:rsidR="00D90680">
        <w:t>settlement.</w:t>
      </w:r>
      <w:r w:rsidR="00410D51" w:rsidDel="00410D51">
        <w:t xml:space="preserve"> </w:t>
      </w:r>
      <w:r w:rsidR="00410D51">
        <w:t xml:space="preserve">Indeed, the first pre-trial timetable was structured so as to ensure that the parties’ </w:t>
      </w:r>
      <w:proofErr w:type="gramStart"/>
      <w:r w:rsidR="00410D51">
        <w:t>lay</w:t>
      </w:r>
      <w:proofErr w:type="gramEnd"/>
      <w:r w:rsidR="00410D51">
        <w:t xml:space="preserve"> and expert evidence would be served well before trial, and the case could be mediated at a point when the parties were properly informed as to the strengths and weaknesses of their respective cases, and before running up substantial costs in the lead up to trial. </w:t>
      </w:r>
      <w:r w:rsidR="00B1662A">
        <w:t xml:space="preserve">I have </w:t>
      </w:r>
      <w:r w:rsidR="00977D60">
        <w:t>also</w:t>
      </w:r>
      <w:r w:rsidR="00B1662A">
        <w:t xml:space="preserve"> had the benefit of</w:t>
      </w:r>
      <w:r w:rsidR="005A355B">
        <w:t xml:space="preserve"> reading </w:t>
      </w:r>
      <w:r w:rsidR="00B1662A">
        <w:t>the lay and expert evidence, and</w:t>
      </w:r>
      <w:r w:rsidR="00EC43BE">
        <w:t xml:space="preserve"> </w:t>
      </w:r>
      <w:r w:rsidR="005A355B">
        <w:t xml:space="preserve">in my </w:t>
      </w:r>
      <w:proofErr w:type="gramStart"/>
      <w:r w:rsidR="005A355B">
        <w:t>view</w:t>
      </w:r>
      <w:proofErr w:type="gramEnd"/>
      <w:r w:rsidR="005A355B">
        <w:t xml:space="preserve"> </w:t>
      </w:r>
      <w:r w:rsidR="00B1662A">
        <w:t xml:space="preserve">it is likely that </w:t>
      </w:r>
      <w:r w:rsidR="00410D51">
        <w:t>(</w:t>
      </w:r>
      <w:r w:rsidR="008E13F5">
        <w:t>upon receipt of Aveo’s expert evidence</w:t>
      </w:r>
      <w:r w:rsidR="00410D51">
        <w:t>)</w:t>
      </w:r>
      <w:r w:rsidR="008E13F5">
        <w:t xml:space="preserve"> </w:t>
      </w:r>
      <w:r w:rsidR="00B1662A">
        <w:t xml:space="preserve">the applicant’s lawyers would have recognised </w:t>
      </w:r>
      <w:r w:rsidR="00EC43BE">
        <w:t>the strength of Aveo’s position on loss, and moved to settle the case on the</w:t>
      </w:r>
      <w:r w:rsidR="00EC43BE" w:rsidDel="00410D51">
        <w:t xml:space="preserve"> </w:t>
      </w:r>
      <w:r w:rsidR="00410D51">
        <w:lastRenderedPageBreak/>
        <w:t xml:space="preserve">most favourable </w:t>
      </w:r>
      <w:r w:rsidR="00EC43BE">
        <w:t>terms they could</w:t>
      </w:r>
      <w:r w:rsidR="00EC43BE" w:rsidDel="00410D51">
        <w:t xml:space="preserve"> </w:t>
      </w:r>
      <w:r w:rsidR="00410D51">
        <w:t>achieve</w:t>
      </w:r>
      <w:r w:rsidR="00B1662A">
        <w:t>.</w:t>
      </w:r>
      <w:r w:rsidR="00C74E9E" w:rsidDel="00410D51">
        <w:t xml:space="preserve"> </w:t>
      </w:r>
      <w:r w:rsidR="00410D51">
        <w:t xml:space="preserve">In my view it likely </w:t>
      </w:r>
      <w:r w:rsidR="00BE5EC7">
        <w:t>that the case would have settled</w:t>
      </w:r>
      <w:r w:rsidR="008E13F5">
        <w:t xml:space="preserve"> </w:t>
      </w:r>
      <w:r w:rsidR="00DF160D">
        <w:t xml:space="preserve">at the mediation </w:t>
      </w:r>
      <w:r w:rsidR="008E13F5">
        <w:t>in December 202</w:t>
      </w:r>
      <w:r w:rsidR="00410D51">
        <w:t>2</w:t>
      </w:r>
      <w:r w:rsidR="008E13F5">
        <w:t xml:space="preserve"> had </w:t>
      </w:r>
      <w:r w:rsidR="00D90680">
        <w:t xml:space="preserve">Levitt Robinson complied with the first or second pre-trial timetables. </w:t>
      </w:r>
    </w:p>
    <w:p w14:paraId="60A672C3" w14:textId="24B34821" w:rsidR="002976BF" w:rsidRDefault="001D7B98" w:rsidP="001D7B98">
      <w:pPr>
        <w:pStyle w:val="ParaNumbering"/>
        <w:numPr>
          <w:ilvl w:val="0"/>
          <w:numId w:val="0"/>
        </w:numPr>
        <w:tabs>
          <w:tab w:val="left" w:pos="720"/>
        </w:tabs>
        <w:ind w:hanging="720"/>
      </w:pPr>
      <w:r>
        <w:rPr>
          <w:sz w:val="20"/>
        </w:rPr>
        <w:t>151</w:t>
      </w:r>
      <w:r>
        <w:rPr>
          <w:sz w:val="20"/>
        </w:rPr>
        <w:tab/>
      </w:r>
      <w:r w:rsidR="00410D51">
        <w:t xml:space="preserve">Nor am I prepared to </w:t>
      </w:r>
      <w:r w:rsidR="00275222">
        <w:t>give Levitt Robinson the benefit of any doubt</w:t>
      </w:r>
      <w:r w:rsidR="00217E0B">
        <w:t xml:space="preserve"> as to whether settlement </w:t>
      </w:r>
      <w:r w:rsidR="007835E3">
        <w:t xml:space="preserve">was likely to </w:t>
      </w:r>
      <w:r w:rsidR="00217E0B">
        <w:t>have been achieved in December 2022.</w:t>
      </w:r>
      <w:r w:rsidR="00217E0B" w:rsidDel="00410D51">
        <w:t xml:space="preserve"> </w:t>
      </w:r>
      <w:r w:rsidR="00410D51">
        <w:t xml:space="preserve">It was seriously derelict </w:t>
      </w:r>
      <w:r w:rsidR="005A34EE">
        <w:t>for Levitt Robinson to take the case as far as it did</w:t>
      </w:r>
      <w:r w:rsidR="002976BF">
        <w:t xml:space="preserve"> </w:t>
      </w:r>
      <w:r w:rsidR="005A34EE">
        <w:t xml:space="preserve">without having an expert valuation report, </w:t>
      </w:r>
      <w:r w:rsidR="00FC1676">
        <w:t>and its delay in</w:t>
      </w:r>
      <w:r w:rsidR="00FC1676" w:rsidDel="00410D51">
        <w:t xml:space="preserve"> </w:t>
      </w:r>
      <w:r w:rsidR="00410D51">
        <w:t xml:space="preserve">serving the applicants’ expert evidence was </w:t>
      </w:r>
      <w:r w:rsidR="00733E72">
        <w:t xml:space="preserve">gross. </w:t>
      </w:r>
      <w:r w:rsidR="00410D51">
        <w:t xml:space="preserve">It sits poorly for the firm to then come before the Court and argue that </w:t>
      </w:r>
      <w:r w:rsidR="007D43AF">
        <w:t>it cannot be proven that, had it met its professional obligations</w:t>
      </w:r>
      <w:r w:rsidR="007835E3">
        <w:t xml:space="preserve">, </w:t>
      </w:r>
      <w:r w:rsidR="007D43AF">
        <w:t xml:space="preserve">the case would have settled earlier. </w:t>
      </w:r>
    </w:p>
    <w:p w14:paraId="21279CA4" w14:textId="714950F2" w:rsidR="001D595F" w:rsidRDefault="001D7B98" w:rsidP="001D7B98">
      <w:pPr>
        <w:pStyle w:val="ParaNumbering"/>
        <w:numPr>
          <w:ilvl w:val="0"/>
          <w:numId w:val="0"/>
        </w:numPr>
        <w:tabs>
          <w:tab w:val="left" w:pos="720"/>
        </w:tabs>
        <w:ind w:hanging="720"/>
      </w:pPr>
      <w:r>
        <w:rPr>
          <w:sz w:val="20"/>
        </w:rPr>
        <w:t>152</w:t>
      </w:r>
      <w:r>
        <w:rPr>
          <w:sz w:val="20"/>
        </w:rPr>
        <w:tab/>
      </w:r>
      <w:r w:rsidR="001D595F">
        <w:t xml:space="preserve">Levitt Robinson’s argument that - if the adjournment application had been successful and the trial date vacated, the expert evidence would have been exchanged later and independently of the trial, and the costs incurred in the immediate lead up to trial on 1 March 2023 would have been avoided - </w:t>
      </w:r>
      <w:r w:rsidR="00BE3AAD">
        <w:t>has no force</w:t>
      </w:r>
      <w:r w:rsidR="001D595F">
        <w:t xml:space="preserve">. The trial judge refused </w:t>
      </w:r>
      <w:r w:rsidR="00BE3AAD">
        <w:t xml:space="preserve">the application to vacate the trial date because of a lack of application, </w:t>
      </w:r>
      <w:proofErr w:type="gramStart"/>
      <w:r w:rsidR="00BE3AAD">
        <w:t>diligence</w:t>
      </w:r>
      <w:proofErr w:type="gramEnd"/>
      <w:r w:rsidR="00BE3AAD">
        <w:t xml:space="preserve"> and expedition on the part of Levitt Robinson.</w:t>
      </w:r>
      <w:r w:rsidR="00714431">
        <w:t xml:space="preserve"> That tends to support rather than detract from the Contradictor’s argument</w:t>
      </w:r>
      <w:r w:rsidR="001D595F">
        <w:t>.</w:t>
      </w:r>
    </w:p>
    <w:p w14:paraId="154D1162" w14:textId="7CF22A2F" w:rsidR="000E5EEA" w:rsidRDefault="001D7B98" w:rsidP="001D7B98">
      <w:pPr>
        <w:pStyle w:val="ParaNumbering"/>
        <w:numPr>
          <w:ilvl w:val="0"/>
          <w:numId w:val="0"/>
        </w:numPr>
        <w:tabs>
          <w:tab w:val="left" w:pos="720"/>
        </w:tabs>
        <w:ind w:hanging="720"/>
      </w:pPr>
      <w:r>
        <w:rPr>
          <w:sz w:val="20"/>
        </w:rPr>
        <w:t>153</w:t>
      </w:r>
      <w:r>
        <w:rPr>
          <w:sz w:val="20"/>
        </w:rPr>
        <w:tab/>
      </w:r>
      <w:r w:rsidR="007E0563">
        <w:t xml:space="preserve">In my view it is ‘just’ </w:t>
      </w:r>
      <w:r w:rsidR="00977E02">
        <w:t>pursuant to s 33</w:t>
      </w:r>
      <w:proofErr w:type="gramStart"/>
      <w:r w:rsidR="00977E02">
        <w:t>V(</w:t>
      </w:r>
      <w:proofErr w:type="gramEnd"/>
      <w:r w:rsidR="00977E02">
        <w:t xml:space="preserve">2) of the Act to approve Levitt Robinson’s costs up to the date settlement was reached in the sum of </w:t>
      </w:r>
      <w:r w:rsidR="00A1015C">
        <w:t xml:space="preserve">approximately </w:t>
      </w:r>
      <w:r w:rsidR="00977E02">
        <w:t>$9</w:t>
      </w:r>
      <w:r w:rsidR="00A1015C">
        <w:t>.</w:t>
      </w:r>
      <w:r w:rsidR="00977E02">
        <w:t>66</w:t>
      </w:r>
      <w:r w:rsidR="00A1015C">
        <w:t>5 million</w:t>
      </w:r>
      <w:r w:rsidR="00977E02">
        <w:t xml:space="preserve">, which takes into account </w:t>
      </w:r>
      <w:r w:rsidR="00A1015C">
        <w:t xml:space="preserve">a </w:t>
      </w:r>
      <w:r w:rsidR="00977E02">
        <w:t xml:space="preserve">reduction of </w:t>
      </w:r>
      <w:r w:rsidR="00A1015C">
        <w:t xml:space="preserve">approximately $1.335 million for Disallowed Costs and </w:t>
      </w:r>
      <w:r w:rsidR="00BE5EC7">
        <w:t>$1.141 million</w:t>
      </w:r>
      <w:r w:rsidR="00C36AC2" w:rsidDel="00A1015C">
        <w:t xml:space="preserve"> </w:t>
      </w:r>
      <w:r w:rsidR="00A1015C">
        <w:t xml:space="preserve">for </w:t>
      </w:r>
      <w:r w:rsidR="00C36AC2">
        <w:t>Avoidable Costs.</w:t>
      </w:r>
    </w:p>
    <w:p w14:paraId="76828AAD" w14:textId="4A529B34" w:rsidR="00F55F8C" w:rsidRDefault="00903211" w:rsidP="008444D0">
      <w:pPr>
        <w:pStyle w:val="Heading2"/>
      </w:pPr>
      <w:r>
        <w:t xml:space="preserve"> </w:t>
      </w:r>
      <w:r w:rsidR="002E65E5">
        <w:t xml:space="preserve"> </w:t>
      </w:r>
      <w:r w:rsidR="00365A0A">
        <w:t>Whether the litigation funding charges are reasonable and proportionate</w:t>
      </w:r>
    </w:p>
    <w:p w14:paraId="6801CE86" w14:textId="53EE6DAB" w:rsidR="004010A5" w:rsidRDefault="001D7B98" w:rsidP="001D7B98">
      <w:pPr>
        <w:pStyle w:val="ParaNumbering"/>
        <w:numPr>
          <w:ilvl w:val="0"/>
          <w:numId w:val="0"/>
        </w:numPr>
        <w:tabs>
          <w:tab w:val="left" w:pos="720"/>
        </w:tabs>
        <w:ind w:hanging="720"/>
      </w:pPr>
      <w:r>
        <w:rPr>
          <w:sz w:val="20"/>
        </w:rPr>
        <w:t>154</w:t>
      </w:r>
      <w:r>
        <w:rPr>
          <w:sz w:val="20"/>
        </w:rPr>
        <w:tab/>
      </w:r>
      <w:r w:rsidR="00DB41F9">
        <w:t xml:space="preserve">Under the LFAs Galactic </w:t>
      </w:r>
      <w:proofErr w:type="gramStart"/>
      <w:r w:rsidR="00DB41F9">
        <w:t>entered into</w:t>
      </w:r>
      <w:proofErr w:type="gramEnd"/>
      <w:r w:rsidR="00DB41F9">
        <w:t xml:space="preserve"> with the applicants and </w:t>
      </w:r>
      <w:r w:rsidR="00354603">
        <w:t xml:space="preserve">approximately 232 </w:t>
      </w:r>
      <w:r w:rsidR="00DB41F9">
        <w:t xml:space="preserve">group members Galactic is entitled to be reimbursed </w:t>
      </w:r>
      <w:r w:rsidR="00A1015C">
        <w:t xml:space="preserve">from the settlement fund for </w:t>
      </w:r>
      <w:r w:rsidR="00354603">
        <w:t xml:space="preserve">the </w:t>
      </w:r>
      <w:r w:rsidR="00A1015C">
        <w:t xml:space="preserve">$7.69 million in </w:t>
      </w:r>
      <w:r w:rsidR="00DB41F9">
        <w:t xml:space="preserve">costs </w:t>
      </w:r>
      <w:r w:rsidR="00354603">
        <w:t>it paid to Levitt Robinson</w:t>
      </w:r>
      <w:r w:rsidR="00DB41F9">
        <w:t xml:space="preserve">, and also entitled to a funding commission of 35% of the </w:t>
      </w:r>
      <w:r w:rsidR="004010A5">
        <w:t xml:space="preserve">gross </w:t>
      </w:r>
      <w:r w:rsidR="00DB41F9">
        <w:t>settlement.</w:t>
      </w:r>
    </w:p>
    <w:p w14:paraId="41FCCB70" w14:textId="6379D508" w:rsidR="00877327" w:rsidRDefault="001D7B98" w:rsidP="001D7B98">
      <w:pPr>
        <w:pStyle w:val="ParaNumbering"/>
        <w:numPr>
          <w:ilvl w:val="0"/>
          <w:numId w:val="0"/>
        </w:numPr>
        <w:tabs>
          <w:tab w:val="left" w:pos="720"/>
        </w:tabs>
        <w:ind w:hanging="720"/>
      </w:pPr>
      <w:r>
        <w:rPr>
          <w:sz w:val="20"/>
        </w:rPr>
        <w:t>155</w:t>
      </w:r>
      <w:r>
        <w:rPr>
          <w:sz w:val="20"/>
        </w:rPr>
        <w:tab/>
      </w:r>
      <w:r w:rsidR="00DB41F9">
        <w:t xml:space="preserve">Galactic </w:t>
      </w:r>
      <w:r w:rsidR="004010A5">
        <w:t>does not,</w:t>
      </w:r>
      <w:r w:rsidR="00A1015C">
        <w:t xml:space="preserve"> however</w:t>
      </w:r>
      <w:r w:rsidR="004010A5">
        <w:t xml:space="preserve">, seek to enforce the LFAs. It has waived </w:t>
      </w:r>
      <w:r w:rsidR="00DB41F9">
        <w:t>its entitlement to a funding commission, and it undertook to the Court that it would</w:t>
      </w:r>
      <w:r w:rsidR="00354603">
        <w:t xml:space="preserve"> not seek to recover </w:t>
      </w:r>
      <w:r w:rsidR="00BA1B7B">
        <w:t xml:space="preserve">from the applicants and </w:t>
      </w:r>
      <w:r w:rsidR="004B1BCC">
        <w:t xml:space="preserve">funded </w:t>
      </w:r>
      <w:r w:rsidR="00BA1B7B">
        <w:t>group members</w:t>
      </w:r>
      <w:r w:rsidR="004010A5">
        <w:t xml:space="preserve"> any shortfall it suffers</w:t>
      </w:r>
      <w:r w:rsidR="00BA1B7B">
        <w:t xml:space="preserve"> between </w:t>
      </w:r>
      <w:r w:rsidR="004B1BCC">
        <w:t xml:space="preserve">the costs it </w:t>
      </w:r>
      <w:r w:rsidR="00A1015C">
        <w:t xml:space="preserve">has </w:t>
      </w:r>
      <w:r w:rsidR="00414CDF">
        <w:t>paid</w:t>
      </w:r>
      <w:r w:rsidR="004010A5">
        <w:t xml:space="preserve"> Levitt Robinson and the costs approved by the Court</w:t>
      </w:r>
      <w:r w:rsidR="00414CDF">
        <w:t xml:space="preserve">. </w:t>
      </w:r>
    </w:p>
    <w:p w14:paraId="16F33E47" w14:textId="63E857B6" w:rsidR="00A1015C" w:rsidRDefault="001D7B98" w:rsidP="001D7B98">
      <w:pPr>
        <w:pStyle w:val="ParaNumbering"/>
        <w:numPr>
          <w:ilvl w:val="0"/>
          <w:numId w:val="0"/>
        </w:numPr>
        <w:tabs>
          <w:tab w:val="left" w:pos="720"/>
        </w:tabs>
        <w:ind w:hanging="720"/>
      </w:pPr>
      <w:r>
        <w:rPr>
          <w:sz w:val="20"/>
        </w:rPr>
        <w:t>156</w:t>
      </w:r>
      <w:r>
        <w:rPr>
          <w:sz w:val="20"/>
        </w:rPr>
        <w:tab/>
      </w:r>
      <w:r w:rsidR="00DB41F9">
        <w:t xml:space="preserve">Galactic seeks reimbursement </w:t>
      </w:r>
      <w:r w:rsidR="00A1015C">
        <w:t xml:space="preserve">only </w:t>
      </w:r>
      <w:r w:rsidR="00DB41F9">
        <w:t xml:space="preserve">of the $7.69 million in costs it paid to Levitt Robinson. </w:t>
      </w:r>
    </w:p>
    <w:p w14:paraId="052C9DD3" w14:textId="69971408" w:rsidR="003C06EE" w:rsidRDefault="001D7B98" w:rsidP="001D7B98">
      <w:pPr>
        <w:pStyle w:val="ParaNumbering"/>
        <w:numPr>
          <w:ilvl w:val="0"/>
          <w:numId w:val="0"/>
        </w:numPr>
        <w:tabs>
          <w:tab w:val="left" w:pos="720"/>
        </w:tabs>
        <w:ind w:hanging="720"/>
      </w:pPr>
      <w:r>
        <w:rPr>
          <w:sz w:val="20"/>
        </w:rPr>
        <w:lastRenderedPageBreak/>
        <w:t>157</w:t>
      </w:r>
      <w:r>
        <w:rPr>
          <w:sz w:val="20"/>
        </w:rPr>
        <w:tab/>
      </w:r>
      <w:r w:rsidR="00652DE4">
        <w:t>In my view it is appropriate that the burden of the reduction in</w:t>
      </w:r>
      <w:r w:rsidR="00161C1D">
        <w:t xml:space="preserve"> approved </w:t>
      </w:r>
      <w:r w:rsidR="00652DE4">
        <w:t xml:space="preserve">costs falls on </w:t>
      </w:r>
      <w:r w:rsidR="00E66DA4">
        <w:t xml:space="preserve">Levitt Robinson rather than upon Galactic. </w:t>
      </w:r>
      <w:r w:rsidR="0069595A">
        <w:t xml:space="preserve">Levitt Robinson </w:t>
      </w:r>
      <w:proofErr w:type="gramStart"/>
      <w:r w:rsidR="0069595A">
        <w:t>was in charge of</w:t>
      </w:r>
      <w:proofErr w:type="gramEnd"/>
      <w:r w:rsidR="0069595A">
        <w:t xml:space="preserve"> the conduct of the litigation on behalf of the applicants</w:t>
      </w:r>
      <w:r w:rsidR="004A2D11">
        <w:t xml:space="preserve">, not, </w:t>
      </w:r>
      <w:r w:rsidR="00F76558">
        <w:t>Ga</w:t>
      </w:r>
      <w:r w:rsidR="004A2D11">
        <w:t>lactic</w:t>
      </w:r>
      <w:r w:rsidR="0069595A">
        <w:t>; the increased legal costs it ran</w:t>
      </w:r>
      <w:r w:rsidR="00D71502">
        <w:t xml:space="preserve"> up were </w:t>
      </w:r>
      <w:r w:rsidR="0069595A">
        <w:t xml:space="preserve">to its benefit rather than </w:t>
      </w:r>
      <w:r w:rsidR="004A2D11">
        <w:t xml:space="preserve">to </w:t>
      </w:r>
      <w:r w:rsidR="0069595A">
        <w:t>Galactic</w:t>
      </w:r>
      <w:r w:rsidR="00FB3288">
        <w:t xml:space="preserve">’s benefit, and </w:t>
      </w:r>
      <w:r w:rsidR="003C06EE">
        <w:t>it cannot sensibly be said that Galactic is a winner from</w:t>
      </w:r>
      <w:r w:rsidR="004A2D11">
        <w:t xml:space="preserve"> the case</w:t>
      </w:r>
      <w:r w:rsidR="003C06EE">
        <w:t>.</w:t>
      </w:r>
      <w:r w:rsidR="0047492F">
        <w:t xml:space="preserve"> Mr S</w:t>
      </w:r>
      <w:r w:rsidR="00145AB7">
        <w:t xml:space="preserve">chulman’s </w:t>
      </w:r>
      <w:r w:rsidR="004010A5">
        <w:t>affidavit shows that</w:t>
      </w:r>
      <w:r w:rsidR="00D74C1F">
        <w:t>,</w:t>
      </w:r>
      <w:r w:rsidR="003D3B00">
        <w:t xml:space="preserve"> upon reimbursement of </w:t>
      </w:r>
      <w:r w:rsidR="00D74C1F">
        <w:t>the costs it paid to Levitt</w:t>
      </w:r>
      <w:r w:rsidR="006C1E08">
        <w:t xml:space="preserve"> </w:t>
      </w:r>
      <w:r w:rsidR="00D74C1F">
        <w:t>Robinson,</w:t>
      </w:r>
      <w:r w:rsidR="006C1E08">
        <w:t xml:space="preserve"> </w:t>
      </w:r>
      <w:r w:rsidR="00782CD9">
        <w:t xml:space="preserve">Galactic </w:t>
      </w:r>
      <w:r w:rsidR="0036379B">
        <w:t>will be</w:t>
      </w:r>
      <w:r w:rsidR="00782CD9">
        <w:t xml:space="preserve"> substantially out-of-pocket</w:t>
      </w:r>
      <w:r w:rsidR="0036379B">
        <w:t xml:space="preserve"> </w:t>
      </w:r>
      <w:proofErr w:type="gramStart"/>
      <w:r w:rsidR="0036379B">
        <w:t>as a result of</w:t>
      </w:r>
      <w:proofErr w:type="gramEnd"/>
      <w:r w:rsidR="0036379B">
        <w:t xml:space="preserve"> funding</w:t>
      </w:r>
      <w:r w:rsidR="003D3B00">
        <w:t xml:space="preserve"> the </w:t>
      </w:r>
      <w:r w:rsidR="0036379B">
        <w:t>case.</w:t>
      </w:r>
      <w:r w:rsidR="002637FA">
        <w:t xml:space="preserve"> </w:t>
      </w:r>
      <w:r w:rsidR="007B10AC">
        <w:t>Galactic is</w:t>
      </w:r>
      <w:r w:rsidR="008C18C5">
        <w:t xml:space="preserve"> a </w:t>
      </w:r>
      <w:r w:rsidR="007B10AC">
        <w:t>subsidiary of</w:t>
      </w:r>
      <w:r w:rsidR="008C18C5">
        <w:t xml:space="preserve"> Galactic Litigation Partners</w:t>
      </w:r>
      <w:r w:rsidR="00DF52D2">
        <w:t xml:space="preserve"> LLC (</w:t>
      </w:r>
      <w:r w:rsidR="00DF52D2" w:rsidRPr="00DF52D2">
        <w:rPr>
          <w:b/>
          <w:bCs/>
        </w:rPr>
        <w:t>GLP</w:t>
      </w:r>
      <w:r w:rsidR="00DF52D2">
        <w:t>)</w:t>
      </w:r>
      <w:r w:rsidR="005E2BFC">
        <w:t>, a New York based litigation funding company.</w:t>
      </w:r>
      <w:r w:rsidR="00787800">
        <w:t xml:space="preserve"> To fund the litigation</w:t>
      </w:r>
      <w:r w:rsidR="006167D3">
        <w:t>, GLP borrows funds from institutional investors which</w:t>
      </w:r>
      <w:r w:rsidR="003D3B00">
        <w:t xml:space="preserve"> are </w:t>
      </w:r>
      <w:r w:rsidR="006167D3">
        <w:t>secured by the expected proceeds of various legal proceedings</w:t>
      </w:r>
      <w:r w:rsidR="00ED1AAA">
        <w:t xml:space="preserve"> which are funded by litigation special purpose vehicles, </w:t>
      </w:r>
      <w:r w:rsidR="00B26375">
        <w:t>including Galactic Aveo LLC</w:t>
      </w:r>
      <w:r w:rsidR="006A1646">
        <w:t xml:space="preserve"> which funded this case</w:t>
      </w:r>
      <w:r w:rsidR="00CC53B7">
        <w:t>. Galactic Aveo LLC</w:t>
      </w:r>
      <w:r w:rsidR="00D127AA">
        <w:t xml:space="preserve"> then borrows the funds from GLP</w:t>
      </w:r>
      <w:r w:rsidR="000A579A">
        <w:t xml:space="preserve"> at rates exceeding 18% per annum</w:t>
      </w:r>
      <w:r w:rsidR="000C4446">
        <w:t>.</w:t>
      </w:r>
      <w:r w:rsidR="000A579A">
        <w:t xml:space="preserve"> </w:t>
      </w:r>
      <w:r w:rsidR="00EF36A2">
        <w:t>As the proceeding has been on foot for over five years</w:t>
      </w:r>
      <w:r w:rsidR="0032469C">
        <w:t>, the interest that has accrued on amounts spent so far by Galactic exceeds $5.2 million, which money is lost.</w:t>
      </w:r>
    </w:p>
    <w:p w14:paraId="79A9326F" w14:textId="48E67170" w:rsidR="00BC7EB1" w:rsidRDefault="001D7B98" w:rsidP="00D81276">
      <w:pPr>
        <w:pStyle w:val="Heading1"/>
      </w:pPr>
      <w:r>
        <w:rPr>
          <w:caps w:val="0"/>
        </w:rPr>
        <w:t>THE APPLICATION FOR CONFIDENTIALITY</w:t>
      </w:r>
    </w:p>
    <w:p w14:paraId="7538DFF3" w14:textId="45AF1A77" w:rsidR="00DC76BF" w:rsidRDefault="001D7B98" w:rsidP="001D7B98">
      <w:pPr>
        <w:pStyle w:val="ParaNumbering"/>
        <w:numPr>
          <w:ilvl w:val="0"/>
          <w:numId w:val="0"/>
        </w:numPr>
        <w:tabs>
          <w:tab w:val="left" w:pos="720"/>
        </w:tabs>
        <w:ind w:hanging="720"/>
      </w:pPr>
      <w:r>
        <w:rPr>
          <w:sz w:val="20"/>
        </w:rPr>
        <w:t>158</w:t>
      </w:r>
      <w:r>
        <w:rPr>
          <w:sz w:val="20"/>
        </w:rPr>
        <w:tab/>
      </w:r>
      <w:r w:rsidR="004D67E7">
        <w:t xml:space="preserve">As I have said, </w:t>
      </w:r>
      <w:r w:rsidR="00FB0B11">
        <w:t xml:space="preserve">the starting point for consideration of </w:t>
      </w:r>
      <w:r w:rsidR="00DC76BF">
        <w:t>suppression</w:t>
      </w:r>
      <w:r w:rsidR="00FB0B11">
        <w:t xml:space="preserve"> or non-publication orders is that it is mandatory</w:t>
      </w:r>
      <w:r w:rsidR="00FB0B11" w:rsidRPr="00143162">
        <w:rPr>
          <w:sz w:val="22"/>
        </w:rPr>
        <w:t xml:space="preserve"> under </w:t>
      </w:r>
      <w:r w:rsidR="00FB0B11" w:rsidRPr="00AE4756">
        <w:t xml:space="preserve">s 37AE for the Court to </w:t>
      </w:r>
      <w:proofErr w:type="gramStart"/>
      <w:r w:rsidR="00FB0B11" w:rsidRPr="00AE4756">
        <w:t>take into account</w:t>
      </w:r>
      <w:proofErr w:type="gramEnd"/>
      <w:r w:rsidR="00FB0B11" w:rsidRPr="00AE4756">
        <w:t xml:space="preserve"> that a primary objective of the administration of justice is to safeguard the public interest in open justice. The Court must be satisfied that the order is necessary “to prevent prejudice to the proper administration of justice” (s 37AG(1)(a)), and “necessary” is a “strong word”: </w:t>
      </w:r>
      <w:r w:rsidR="00FB0B11" w:rsidRPr="00AC782C">
        <w:rPr>
          <w:i/>
        </w:rPr>
        <w:t xml:space="preserve">Hogan </w:t>
      </w:r>
      <w:r w:rsidR="00FB0B11" w:rsidRPr="00AC782C">
        <w:t>at [30]</w:t>
      </w:r>
      <w:r w:rsidR="00FB0B11" w:rsidRPr="00AE4756">
        <w:t>.</w:t>
      </w:r>
      <w:r w:rsidR="00FB0B11">
        <w:t xml:space="preserve"> </w:t>
      </w:r>
    </w:p>
    <w:p w14:paraId="23EF5737" w14:textId="1E0BCC73" w:rsidR="00B95DF9" w:rsidRDefault="001D7B98" w:rsidP="001D7B98">
      <w:pPr>
        <w:pStyle w:val="ParaNumbering"/>
        <w:numPr>
          <w:ilvl w:val="0"/>
          <w:numId w:val="0"/>
        </w:numPr>
        <w:tabs>
          <w:tab w:val="left" w:pos="720"/>
        </w:tabs>
        <w:ind w:hanging="720"/>
      </w:pPr>
      <w:r>
        <w:rPr>
          <w:sz w:val="20"/>
        </w:rPr>
        <w:t>159</w:t>
      </w:r>
      <w:r>
        <w:rPr>
          <w:sz w:val="20"/>
        </w:rPr>
        <w:tab/>
      </w:r>
      <w:r w:rsidR="00DC76BF">
        <w:t xml:space="preserve">The need </w:t>
      </w:r>
      <w:r w:rsidR="00B95DF9">
        <w:t>to keep a tight rein on confidentiality orders is heightened in the context of class action litigation.</w:t>
      </w:r>
      <w:r w:rsidR="00B95DF9" w:rsidRPr="00B95DF9">
        <w:t xml:space="preserve"> </w:t>
      </w:r>
      <w:r w:rsidR="00B95DF9">
        <w:t xml:space="preserve">As I said in </w:t>
      </w:r>
      <w:proofErr w:type="spellStart"/>
      <w:r w:rsidR="00B95DF9" w:rsidRPr="00AC782C">
        <w:rPr>
          <w:i/>
        </w:rPr>
        <w:t>Coatman</w:t>
      </w:r>
      <w:proofErr w:type="spellEnd"/>
      <w:r w:rsidR="00B95DF9" w:rsidRPr="00AC782C">
        <w:rPr>
          <w:i/>
        </w:rPr>
        <w:t xml:space="preserve"> v Colonial First State Investments Ltd</w:t>
      </w:r>
      <w:r w:rsidR="00B95DF9" w:rsidRPr="00AC782C">
        <w:t xml:space="preserve"> [2022] FCA 1611 at [8]-[9]</w:t>
      </w:r>
      <w:r w:rsidR="00B95DF9">
        <w:t xml:space="preserve">: </w:t>
      </w:r>
    </w:p>
    <w:p w14:paraId="2FF1A51C" w14:textId="407D3361" w:rsidR="00B95DF9" w:rsidRDefault="00B95DF9" w:rsidP="00B95DF9">
      <w:pPr>
        <w:pStyle w:val="Quote1"/>
      </w:pPr>
      <w:r>
        <w:t xml:space="preserve">Class actions are not just disputes between private parties about private rights, they have a public dimension: </w:t>
      </w:r>
      <w:r w:rsidRPr="00112AAF">
        <w:rPr>
          <w:i/>
          <w:iCs/>
        </w:rPr>
        <w:t>Madgwick v Kelly</w:t>
      </w:r>
      <w:r>
        <w:t xml:space="preserve"> [2013] FCAFC 61; 212 FCR 1 at [91].  The settlement of class action proceedings is not just a private bargain between the parties in which the parties may legitimately seek to keep aspects of the settlement confidential: </w:t>
      </w:r>
      <w:r w:rsidRPr="00112AAF">
        <w:rPr>
          <w:i/>
          <w:iCs/>
        </w:rPr>
        <w:t>McGraw-Hill</w:t>
      </w:r>
      <w:r>
        <w:t xml:space="preserve"> at [107].  </w:t>
      </w:r>
      <w:r w:rsidR="005D4AE6">
        <w:t>F</w:t>
      </w:r>
      <w:r w:rsidR="005D4AE6" w:rsidRPr="00C41F4C">
        <w:t>requently</w:t>
      </w:r>
      <w:r w:rsidR="005D4AE6">
        <w:t xml:space="preserve">, class actions </w:t>
      </w:r>
      <w:r w:rsidR="005D4AE6" w:rsidRPr="00C41F4C">
        <w:t xml:space="preserve">perform a public function by being employed to vindicate statutory policies such as disclosure to the securities market, </w:t>
      </w:r>
      <w:r w:rsidR="005D4AE6">
        <w:t>prohibition of</w:t>
      </w:r>
      <w:r w:rsidR="005D4AE6" w:rsidRPr="00C41F4C">
        <w:t xml:space="preserve"> cartel</w:t>
      </w:r>
      <w:r w:rsidR="005D4AE6">
        <w:t xml:space="preserve"> conduct and the provision of </w:t>
      </w:r>
      <w:r w:rsidR="005D4AE6" w:rsidRPr="00C41F4C">
        <w:t xml:space="preserve">safe medical and pharmaceutical products: see Legg M, </w:t>
      </w:r>
      <w:r w:rsidR="005D4AE6" w:rsidRPr="00C41F4C">
        <w:rPr>
          <w:i/>
        </w:rPr>
        <w:t>Class Actions, Litigation Funding and Access to Justice</w:t>
      </w:r>
      <w:r w:rsidR="005D4AE6" w:rsidRPr="00C41F4C">
        <w:t xml:space="preserve"> (Law Research Paper No 17-57, UNSW, 7 September 2017)</w:t>
      </w:r>
      <w:r>
        <w:t xml:space="preserve">.  It is important to safeguard the public interest in open justice, which is entrenched in the settlement approval regime under Part IVA of the FCA Act:  </w:t>
      </w:r>
      <w:proofErr w:type="spellStart"/>
      <w:r w:rsidRPr="00112AAF">
        <w:rPr>
          <w:i/>
          <w:iCs/>
        </w:rPr>
        <w:t>Jenkings</w:t>
      </w:r>
      <w:proofErr w:type="spellEnd"/>
      <w:r w:rsidRPr="00112AAF">
        <w:rPr>
          <w:i/>
          <w:iCs/>
        </w:rPr>
        <w:t xml:space="preserve"> v Northern Territory of Australia (No 4) </w:t>
      </w:r>
      <w:r>
        <w:t xml:space="preserve">[2021] FCA 839 at [64]-[65] (Mortimer J).  </w:t>
      </w:r>
    </w:p>
    <w:p w14:paraId="6457EBA0" w14:textId="77777777" w:rsidR="00B95DF9" w:rsidRDefault="00B95DF9" w:rsidP="00B95DF9">
      <w:pPr>
        <w:pStyle w:val="Quote1"/>
      </w:pPr>
      <w:r>
        <w:t xml:space="preserve">There is also a significant public interest in information relating to legal costs and litigation funding charges in class action litigation. In recent years those matters have </w:t>
      </w:r>
      <w:r>
        <w:lastRenderedPageBreak/>
        <w:t xml:space="preserve">been considered by the Australian Law Reform Commission and the Parliamentary Joint Committee on Corporations and Financial Services and have been the subject of much media commentary: see ALRC Report No 134,  Integrity, Fairness and Efficiency - An Inquiry into Class Action Proceedings and Third-Party Litigation Funders, (December 2018);  Parliamentary Joint Committee on Corporations and Financial Services, Litigation Funding and the Regulation of the Class Action Industry (21 December 2020); see also </w:t>
      </w:r>
      <w:r w:rsidRPr="00112AAF">
        <w:rPr>
          <w:i/>
          <w:iCs/>
        </w:rPr>
        <w:t xml:space="preserve">Petersen Superannuation Fund Pty Ltd v Bank of Queensland Limited (No 3) </w:t>
      </w:r>
      <w:r>
        <w:t xml:space="preserve">[2018] FCA 1842; 132 ACSR 258 at [20]; </w:t>
      </w:r>
      <w:r w:rsidRPr="00112AAF">
        <w:rPr>
          <w:i/>
          <w:iCs/>
        </w:rPr>
        <w:t>Endeavour River Pty Ltd v MG Responsible Entity Ltd (No 2)</w:t>
      </w:r>
      <w:r>
        <w:t xml:space="preserve"> [2020] FCA 968 at [35].  </w:t>
      </w:r>
    </w:p>
    <w:p w14:paraId="0028FB78" w14:textId="4BC6A098" w:rsidR="00FB0B11" w:rsidRDefault="001D7B98" w:rsidP="001D7B98">
      <w:pPr>
        <w:pStyle w:val="ParaNumbering"/>
        <w:numPr>
          <w:ilvl w:val="0"/>
          <w:numId w:val="0"/>
        </w:numPr>
        <w:tabs>
          <w:tab w:val="left" w:pos="720"/>
        </w:tabs>
        <w:ind w:hanging="720"/>
      </w:pPr>
      <w:r>
        <w:rPr>
          <w:sz w:val="20"/>
        </w:rPr>
        <w:t>160</w:t>
      </w:r>
      <w:r>
        <w:rPr>
          <w:sz w:val="20"/>
        </w:rPr>
        <w:tab/>
      </w:r>
      <w:r w:rsidR="001D6624">
        <w:t xml:space="preserve">In the course of the approval hearing I informed the parties of my view that the claims for confidentiality in respect to the materials in the approval application went too far, and I made rulings in relation to </w:t>
      </w:r>
      <w:proofErr w:type="gramStart"/>
      <w:r w:rsidR="001D6624">
        <w:t>a number of</w:t>
      </w:r>
      <w:proofErr w:type="gramEnd"/>
      <w:r w:rsidR="001D6624">
        <w:t xml:space="preserve"> the claims. </w:t>
      </w:r>
      <w:r w:rsidR="001D1970" w:rsidDel="004A2D11">
        <w:t xml:space="preserve">I </w:t>
      </w:r>
      <w:r w:rsidR="001D1970">
        <w:t>direct</w:t>
      </w:r>
      <w:r w:rsidR="001D6624">
        <w:t>ed</w:t>
      </w:r>
      <w:r w:rsidR="001D1970" w:rsidDel="004A2D11">
        <w:t xml:space="preserve"> the applicants</w:t>
      </w:r>
      <w:r w:rsidR="00E4205D" w:rsidDel="004A2D11">
        <w:t xml:space="preserve"> to put on a </w:t>
      </w:r>
      <w:r w:rsidR="006D71A4" w:rsidDel="004A2D11">
        <w:t>revised and mor</w:t>
      </w:r>
      <w:r w:rsidR="00766DCF" w:rsidDel="004A2D11">
        <w:t>e</w:t>
      </w:r>
      <w:r w:rsidR="006D71A4" w:rsidDel="004A2D11">
        <w:t xml:space="preserve"> appropriately calibr</w:t>
      </w:r>
      <w:r w:rsidR="00766DCF" w:rsidDel="004A2D11">
        <w:t xml:space="preserve">ated </w:t>
      </w:r>
      <w:r w:rsidR="00E13CD8" w:rsidDel="004A2D11">
        <w:t>application</w:t>
      </w:r>
      <w:r w:rsidR="00294B9D" w:rsidDel="004A2D11">
        <w:t xml:space="preserve"> for confidentiality orders</w:t>
      </w:r>
      <w:r w:rsidR="00C45685" w:rsidDel="004A2D11">
        <w:t>.</w:t>
      </w:r>
      <w:r w:rsidR="00FB0B11" w:rsidRPr="00AE4756" w:rsidDel="004A2D11">
        <w:t xml:space="preserve"> </w:t>
      </w:r>
      <w:r w:rsidR="00B95DF9" w:rsidDel="004A2D11">
        <w:t xml:space="preserve">I </w:t>
      </w:r>
      <w:r w:rsidR="00E46B19">
        <w:t xml:space="preserve">have made confidentiality orders in the </w:t>
      </w:r>
      <w:r w:rsidR="00391D81">
        <w:t xml:space="preserve">proposed </w:t>
      </w:r>
      <w:r w:rsidR="00E46B19">
        <w:t>revised form, with a few minor variations</w:t>
      </w:r>
      <w:r w:rsidR="00294B9D">
        <w:t>.</w:t>
      </w:r>
    </w:p>
    <w:p w14:paraId="1013373F" w14:textId="77777777" w:rsidR="00EC71EC" w:rsidRDefault="00EC71EC" w:rsidP="009C36CF">
      <w:pPr>
        <w:pStyle w:val="BodyText"/>
      </w:pPr>
      <w:bookmarkStart w:id="15" w:name="Certification"/>
    </w:p>
    <w:tbl>
      <w:tblPr>
        <w:tblW w:w="0" w:type="auto"/>
        <w:tblLook w:val="04A0" w:firstRow="1" w:lastRow="0" w:firstColumn="1" w:lastColumn="0" w:noHBand="0" w:noVBand="1"/>
      </w:tblPr>
      <w:tblGrid>
        <w:gridCol w:w="3794"/>
      </w:tblGrid>
      <w:tr w:rsidR="00EC71EC" w:rsidRPr="00EC71EC" w14:paraId="154B6C26" w14:textId="77777777">
        <w:tc>
          <w:tcPr>
            <w:tcW w:w="3794" w:type="dxa"/>
            <w:shd w:val="clear" w:color="auto" w:fill="auto"/>
          </w:tcPr>
          <w:p w14:paraId="4C3B2D73" w14:textId="3387B431" w:rsidR="00EC71EC" w:rsidRPr="00EC71EC" w:rsidRDefault="00EC71EC" w:rsidP="00EC71EC">
            <w:pPr>
              <w:pStyle w:val="Normal1linespace"/>
            </w:pPr>
            <w:r w:rsidRPr="00EC71EC">
              <w:t xml:space="preserve">I certify that the preceding </w:t>
            </w:r>
            <w:bookmarkStart w:id="16" w:name="NumberWord"/>
            <w:r>
              <w:t>one hundred and sixty</w:t>
            </w:r>
            <w:bookmarkEnd w:id="16"/>
            <w:r w:rsidRPr="00EC71EC">
              <w:t xml:space="preserve"> (</w:t>
            </w:r>
            <w:bookmarkStart w:id="17" w:name="NumberNumeral"/>
            <w:r>
              <w:t>160</w:t>
            </w:r>
            <w:bookmarkEnd w:id="17"/>
            <w:r w:rsidRPr="00EC71EC">
              <w:t xml:space="preserve">) numbered </w:t>
            </w:r>
            <w:bookmarkStart w:id="18" w:name="CertPara"/>
            <w:r>
              <w:t>paragraphs are</w:t>
            </w:r>
            <w:bookmarkEnd w:id="18"/>
            <w:r w:rsidRPr="00EC71EC">
              <w:t xml:space="preserve"> a true copy of the Reasons for Judgment of </w:t>
            </w:r>
            <w:bookmarkStart w:id="19" w:name="bkHonourable"/>
            <w:r w:rsidRPr="00EC71EC">
              <w:t xml:space="preserve">the Honourable </w:t>
            </w:r>
            <w:bookmarkStart w:id="20" w:name="Justice"/>
            <w:bookmarkEnd w:id="19"/>
            <w:r>
              <w:t>Justice Murphy</w:t>
            </w:r>
            <w:bookmarkEnd w:id="20"/>
            <w:r w:rsidRPr="00EC71EC">
              <w:t>.</w:t>
            </w:r>
          </w:p>
        </w:tc>
      </w:tr>
    </w:tbl>
    <w:p w14:paraId="09809957" w14:textId="77777777" w:rsidR="00EC71EC" w:rsidRDefault="00EC71EC" w:rsidP="009C36CF">
      <w:pPr>
        <w:pStyle w:val="BodyText"/>
      </w:pPr>
    </w:p>
    <w:p w14:paraId="2587668A" w14:textId="77777777" w:rsidR="00EC71EC" w:rsidRDefault="00EC71EC" w:rsidP="009C36CF">
      <w:pPr>
        <w:pStyle w:val="BodyText"/>
      </w:pPr>
    </w:p>
    <w:p w14:paraId="746F6C83" w14:textId="7DFB7682" w:rsidR="00EC71EC" w:rsidRDefault="00EC71EC" w:rsidP="009C36CF">
      <w:pPr>
        <w:pStyle w:val="BodyText"/>
      </w:pPr>
      <w:r>
        <w:t>Associate:</w:t>
      </w:r>
      <w:r w:rsidR="00AA3E62" w:rsidRPr="00AA3E62">
        <w:t xml:space="preserve"> </w:t>
      </w:r>
    </w:p>
    <w:p w14:paraId="71A2C55D" w14:textId="77777777" w:rsidR="00EC71EC" w:rsidRDefault="00EC71EC" w:rsidP="009C36CF">
      <w:pPr>
        <w:pStyle w:val="BodyText"/>
      </w:pPr>
    </w:p>
    <w:p w14:paraId="0C7A70A8" w14:textId="669E1022" w:rsidR="00EC71EC" w:rsidRDefault="00EC71EC" w:rsidP="009C36CF">
      <w:pPr>
        <w:pStyle w:val="BodyText"/>
        <w:tabs>
          <w:tab w:val="left" w:pos="1134"/>
        </w:tabs>
      </w:pPr>
      <w:r>
        <w:t>Dated:</w:t>
      </w:r>
      <w:r>
        <w:tab/>
      </w:r>
      <w:bookmarkStart w:id="21" w:name="CertifyDated"/>
      <w:r>
        <w:t>22 December 2023</w:t>
      </w:r>
      <w:bookmarkEnd w:id="21"/>
    </w:p>
    <w:p w14:paraId="504097D9" w14:textId="77777777" w:rsidR="00EC71EC" w:rsidRDefault="00EC71EC" w:rsidP="009C36CF">
      <w:pPr>
        <w:pStyle w:val="BodyText"/>
      </w:pPr>
    </w:p>
    <w:bookmarkEnd w:id="15"/>
    <w:p w14:paraId="71FCB499" w14:textId="06A94A98" w:rsidR="00EC7785" w:rsidRDefault="00EC7785" w:rsidP="00124796">
      <w:pPr>
        <w:pStyle w:val="BodyText"/>
      </w:pPr>
      <w:r>
        <w:br w:type="page"/>
      </w:r>
    </w:p>
    <w:p w14:paraId="29B9530F" w14:textId="77777777" w:rsidR="00EC7785" w:rsidRPr="00CD498A" w:rsidRDefault="00EC7785" w:rsidP="00E91A0F">
      <w:pPr>
        <w:pStyle w:val="NormalHeadings"/>
        <w:spacing w:before="180" w:line="480" w:lineRule="auto"/>
        <w:jc w:val="center"/>
        <w:rPr>
          <w:sz w:val="28"/>
          <w:szCs w:val="28"/>
        </w:rPr>
      </w:pPr>
      <w:bookmarkStart w:id="22" w:name="SOP_Section"/>
      <w:r w:rsidRPr="00CD498A">
        <w:rPr>
          <w:sz w:val="28"/>
          <w:szCs w:val="28"/>
        </w:rPr>
        <w:lastRenderedPageBreak/>
        <w:t>SCHEDULE OF PARTIES</w:t>
      </w:r>
    </w:p>
    <w:p w14:paraId="45B432F3" w14:textId="77777777" w:rsidR="00EC7785" w:rsidRPr="00663089" w:rsidRDefault="00EC7785">
      <w:pPr>
        <w:pStyle w:val="BodyText"/>
      </w:pPr>
    </w:p>
    <w:tbl>
      <w:tblPr>
        <w:tblW w:w="9242" w:type="dxa"/>
        <w:tblLayout w:type="fixed"/>
        <w:tblLook w:val="0000" w:firstRow="0" w:lastRow="0" w:firstColumn="0" w:lastColumn="0" w:noHBand="0" w:noVBand="0"/>
        <w:tblCaption w:val="SOP Table"/>
        <w:tblDescription w:val="SOP Table"/>
      </w:tblPr>
      <w:tblGrid>
        <w:gridCol w:w="3368"/>
        <w:gridCol w:w="5874"/>
      </w:tblGrid>
      <w:tr w:rsidR="00EC7785" w14:paraId="2EDA88F4" w14:textId="77777777" w:rsidTr="00EC7785">
        <w:tc>
          <w:tcPr>
            <w:tcW w:w="3368" w:type="dxa"/>
          </w:tcPr>
          <w:p w14:paraId="2D137F93" w14:textId="77777777" w:rsidR="00EC7785" w:rsidRDefault="00EC7785">
            <w:pPr>
              <w:pStyle w:val="NormalHeadings"/>
              <w:jc w:val="left"/>
              <w:rPr>
                <w:caps/>
                <w:szCs w:val="24"/>
              </w:rPr>
            </w:pPr>
          </w:p>
        </w:tc>
        <w:tc>
          <w:tcPr>
            <w:tcW w:w="5874" w:type="dxa"/>
          </w:tcPr>
          <w:p w14:paraId="60120870" w14:textId="4FB61CBF" w:rsidR="00EC7785" w:rsidRDefault="007C4D0E">
            <w:pPr>
              <w:pStyle w:val="NormalHeadings"/>
              <w:jc w:val="right"/>
            </w:pPr>
            <w:r>
              <w:fldChar w:fldCharType="begin" w:fldLock="1"/>
            </w:r>
            <w:r>
              <w:instrText xml:space="preserve"> REF  FileNo </w:instrText>
            </w:r>
            <w:r>
              <w:fldChar w:fldCharType="separate"/>
            </w:r>
            <w:r w:rsidR="00EC7785">
              <w:t>VID 996 of 2017</w:t>
            </w:r>
            <w:r>
              <w:fldChar w:fldCharType="end"/>
            </w:r>
          </w:p>
        </w:tc>
      </w:tr>
      <w:tr w:rsidR="00EC7785" w14:paraId="38ADD3FB" w14:textId="77777777" w:rsidTr="00EC7785">
        <w:trPr>
          <w:trHeight w:val="386"/>
        </w:trPr>
        <w:tc>
          <w:tcPr>
            <w:tcW w:w="3368" w:type="dxa"/>
          </w:tcPr>
          <w:p w14:paraId="10C4D16F" w14:textId="364E545F" w:rsidR="00EC7785" w:rsidRDefault="00EC7785">
            <w:pPr>
              <w:pStyle w:val="BodyTextBold"/>
              <w:spacing w:before="180"/>
              <w:jc w:val="left"/>
            </w:pPr>
            <w:bookmarkStart w:id="23" w:name="SOP_ApplicantsRows" w:colFirst="0" w:colLast="1"/>
            <w:r>
              <w:t>Applicants</w:t>
            </w:r>
          </w:p>
        </w:tc>
        <w:tc>
          <w:tcPr>
            <w:tcW w:w="5874" w:type="dxa"/>
            <w:tcMar>
              <w:left w:w="28" w:type="dxa"/>
            </w:tcMar>
          </w:tcPr>
          <w:p w14:paraId="69A34C2A" w14:textId="77777777" w:rsidR="00EC7785" w:rsidRDefault="00EC7785">
            <w:pPr>
              <w:pStyle w:val="BodyText"/>
              <w:jc w:val="left"/>
            </w:pPr>
          </w:p>
        </w:tc>
      </w:tr>
      <w:tr w:rsidR="00EC7785" w14:paraId="43277C43" w14:textId="77777777" w:rsidTr="00EC7785">
        <w:trPr>
          <w:trHeight w:val="386"/>
        </w:trPr>
        <w:tc>
          <w:tcPr>
            <w:tcW w:w="3368" w:type="dxa"/>
          </w:tcPr>
          <w:p w14:paraId="7FAA0D29" w14:textId="41229775" w:rsidR="00EC7785" w:rsidRDefault="00EC7785">
            <w:pPr>
              <w:pStyle w:val="BodyText"/>
              <w:spacing w:after="240" w:line="240" w:lineRule="auto"/>
              <w:jc w:val="left"/>
            </w:pPr>
            <w:bookmarkStart w:id="24" w:name="SOP_FirstApplicant"/>
            <w:bookmarkEnd w:id="24"/>
            <w:r>
              <w:t>Fourth Applicant:</w:t>
            </w:r>
          </w:p>
        </w:tc>
        <w:tc>
          <w:tcPr>
            <w:tcW w:w="5874" w:type="dxa"/>
            <w:tcMar>
              <w:left w:w="28" w:type="dxa"/>
            </w:tcMar>
          </w:tcPr>
          <w:p w14:paraId="39C7DAF3" w14:textId="67193181" w:rsidR="00EC7785" w:rsidRDefault="00EC7785">
            <w:pPr>
              <w:pStyle w:val="BodyText"/>
              <w:spacing w:after="240" w:line="240" w:lineRule="auto"/>
              <w:jc w:val="left"/>
            </w:pPr>
            <w:r>
              <w:t>NEIL BERNARD COLOMBARI (IN HIS CAPACITY AS THE CO-EXECUTOR OF THE ESTATE OF JOAN MARY COLOMBARI, DECEASED)</w:t>
            </w:r>
          </w:p>
        </w:tc>
      </w:tr>
      <w:bookmarkEnd w:id="22"/>
      <w:bookmarkEnd w:id="23"/>
    </w:tbl>
    <w:p w14:paraId="0C5124CC" w14:textId="77777777" w:rsidR="00EC7785" w:rsidRDefault="00EC7785" w:rsidP="00EC7785">
      <w:pPr>
        <w:pStyle w:val="BodyText"/>
      </w:pPr>
    </w:p>
    <w:sectPr w:rsidR="00EC7785" w:rsidSect="00A84FD0">
      <w:headerReference w:type="even" r:id="rId16"/>
      <w:headerReference w:type="default" r:id="rId17"/>
      <w:footerReference w:type="default" r:id="rId18"/>
      <w:headerReference w:type="first" r:id="rId19"/>
      <w:footerReference w:type="first" r:id="rId20"/>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2BFE4" w14:textId="77777777" w:rsidR="0069316A" w:rsidRDefault="0069316A">
      <w:pPr>
        <w:spacing w:line="20" w:lineRule="exact"/>
      </w:pPr>
    </w:p>
    <w:p w14:paraId="69D8451F" w14:textId="77777777" w:rsidR="0069316A" w:rsidRDefault="0069316A"/>
    <w:p w14:paraId="28E0B86A" w14:textId="77777777" w:rsidR="0069316A" w:rsidRDefault="0069316A"/>
  </w:endnote>
  <w:endnote w:type="continuationSeparator" w:id="0">
    <w:p w14:paraId="7DE96C76" w14:textId="77777777" w:rsidR="0069316A" w:rsidRDefault="0069316A">
      <w:r>
        <w:t xml:space="preserve"> </w:t>
      </w:r>
    </w:p>
    <w:p w14:paraId="7EF2E931" w14:textId="77777777" w:rsidR="0069316A" w:rsidRDefault="0069316A"/>
    <w:p w14:paraId="47E90698" w14:textId="77777777" w:rsidR="0069316A" w:rsidRDefault="0069316A"/>
  </w:endnote>
  <w:endnote w:type="continuationNotice" w:id="1">
    <w:p w14:paraId="3A83C189" w14:textId="77777777" w:rsidR="0069316A" w:rsidRDefault="0069316A">
      <w:r>
        <w:t xml:space="preserve"> </w:t>
      </w:r>
    </w:p>
    <w:p w14:paraId="6BA47876" w14:textId="77777777" w:rsidR="0069316A" w:rsidRDefault="0069316A"/>
    <w:p w14:paraId="1FAE42F3" w14:textId="77777777" w:rsidR="0069316A" w:rsidRDefault="006931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Palatino">
    <w:altName w:val="Segoe UI Historic"/>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D59CF" w14:textId="5AD01A1B"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1" behindDoc="0" locked="0" layoutInCell="1" allowOverlap="1" wp14:anchorId="50C8196D" wp14:editId="1D3D7C09">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line w14:anchorId="4BCE4297" id="Straight Connector 5"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4C2F52">
          <w:rPr>
            <w:bCs/>
            <w:sz w:val="18"/>
            <w:szCs w:val="18"/>
          </w:rPr>
          <w:t>Luke v Aveo Group Limited (No 3) [2023] FCA 1665</w:t>
        </w:r>
      </w:sdtContent>
    </w:sdt>
  </w:p>
  <w:p w14:paraId="0DCB3ED5" w14:textId="1AC00D99" w:rsidR="006C6E39" w:rsidRPr="00A436E8" w:rsidRDefault="006C6E39" w:rsidP="00A436E8">
    <w:pPr>
      <w:pStyle w:val="Footer"/>
      <w:jc w:val="center"/>
      <w:rPr>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03ADA" w14:textId="09EB6EF1" w:rsidR="00395B24" w:rsidRPr="00A436E8" w:rsidRDefault="00395B24" w:rsidP="00A436E8">
    <w:pPr>
      <w:pStyle w:val="Footer"/>
      <w:jc w:val="center"/>
      <w:rPr>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A1D6" w14:textId="66EC05CD"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2" behindDoc="0" locked="0" layoutInCell="1" allowOverlap="1" wp14:anchorId="1B4D4B51" wp14:editId="5ACC3897">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line w14:anchorId="2CEAA820" id="Straight Connector 6"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61FB7CBB70E74F149DA506799ECE2527"/>
        </w:placeholder>
        <w:dataBinding w:prefixMappings="xmlns:ns0='http://schemas.globalmacros.com/FCA'" w:xpath="/ns0:root[1]/ns0:Name[1]" w:storeItemID="{687E7CCB-4AA5-44E7-B148-17BA2B6F57C0}"/>
        <w:text w:multiLine="1"/>
      </w:sdtPr>
      <w:sdtEndPr/>
      <w:sdtContent>
        <w:r w:rsidR="004C2F52">
          <w:rPr>
            <w:bCs/>
            <w:sz w:val="18"/>
            <w:szCs w:val="18"/>
          </w:rPr>
          <w:t>Luke v Aveo Group Limited (No 3) [2023] FCA 1665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p w14:paraId="05485986" w14:textId="21C8662F" w:rsidR="00A84FD0" w:rsidRPr="00A84FD0" w:rsidRDefault="00A84FD0" w:rsidP="00A84FD0">
    <w:pPr>
      <w:pStyle w:val="Footer"/>
      <w:jc w:val="center"/>
      <w:rPr>
        <w:sz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8A2D" w14:textId="3FB6C1A0"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0" behindDoc="0" locked="0" layoutInCell="1" allowOverlap="1" wp14:anchorId="1752F8BD" wp14:editId="5E1D1863">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line w14:anchorId="780806C5" id="Straight Connector 2"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31444B3BF49942CBA571FB5D071DE62D"/>
        </w:placeholder>
        <w:dataBinding w:prefixMappings="xmlns:ns0='http://schemas.globalmacros.com/FCA'" w:xpath="/ns0:root[1]/ns0:Name[1]" w:storeItemID="{687E7CCB-4AA5-44E7-B148-17BA2B6F57C0}"/>
        <w:text w:multiLine="1"/>
      </w:sdtPr>
      <w:sdtEndPr/>
      <w:sdtContent>
        <w:r w:rsidR="004C2F52">
          <w:rPr>
            <w:bCs/>
            <w:sz w:val="18"/>
            <w:szCs w:val="18"/>
          </w:rPr>
          <w:t>Luke v Aveo Group Limited (No 3) [2023] FCA 1665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r w:rsidRPr="00EA7F6D">
      <w:rPr>
        <w:bCs/>
        <w:noProof/>
        <w:sz w:val="20"/>
      </w:rPr>
      <w:fldChar w:fldCharType="end"/>
    </w:r>
  </w:p>
  <w:p w14:paraId="002DAAC1" w14:textId="3A4C0DEB" w:rsidR="00A436E8" w:rsidRPr="00A436E8" w:rsidRDefault="00A436E8" w:rsidP="00A436E8">
    <w:pPr>
      <w:pStyle w:val="Footer"/>
      <w:jc w:val="center"/>
      <w:rPr>
        <w:sz w:val="2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0E40" w14:textId="432DB360"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4" behindDoc="0" locked="0" layoutInCell="1" allowOverlap="1" wp14:anchorId="2D754436" wp14:editId="12BFC960">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line w14:anchorId="16278E6A" id="Straight Connector 7"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EC589CF316924D81AAA3DB3D5729D401"/>
        </w:placeholder>
        <w:dataBinding w:prefixMappings="xmlns:ns0='http://schemas.globalmacros.com/FCA'" w:xpath="/ns0:root[1]/ns0:Name[1]" w:storeItemID="{687E7CCB-4AA5-44E7-B148-17BA2B6F57C0}"/>
        <w:text w:multiLine="1"/>
      </w:sdtPr>
      <w:sdtEndPr/>
      <w:sdtContent>
        <w:r w:rsidR="004C2F52">
          <w:rPr>
            <w:bCs/>
            <w:sz w:val="18"/>
            <w:szCs w:val="18"/>
          </w:rPr>
          <w:t>Luke v Aveo Group Limited (No 3) [2023] FCA 1665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p w14:paraId="5ACA7B66" w14:textId="6ED48FC1" w:rsidR="00395B24" w:rsidRPr="00A84FD0" w:rsidRDefault="00395B24" w:rsidP="00A84FD0">
    <w:pPr>
      <w:pStyle w:val="Footer"/>
      <w:jc w:val="center"/>
      <w:rPr>
        <w:sz w:val="2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9BE9" w14:textId="2262ED53"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3" behindDoc="0" locked="0" layoutInCell="1" allowOverlap="1" wp14:anchorId="09CCB8F6" wp14:editId="67A3D218">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line w14:anchorId="54D40594" id="Straight Connector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02F0781728A64D7BAC39437C0AAE1F12"/>
        </w:placeholder>
        <w:dataBinding w:prefixMappings="xmlns:ns0='http://schemas.globalmacros.com/FCA'" w:xpath="/ns0:root[1]/ns0:Name[1]" w:storeItemID="{687E7CCB-4AA5-44E7-B148-17BA2B6F57C0}"/>
        <w:text w:multiLine="1"/>
      </w:sdtPr>
      <w:sdtEndPr/>
      <w:sdtContent>
        <w:r w:rsidR="004C2F52">
          <w:rPr>
            <w:bCs/>
            <w:sz w:val="18"/>
            <w:szCs w:val="18"/>
          </w:rPr>
          <w:t>Luke v Aveo Group Limited (No 3) [2023] FCA 1665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p w14:paraId="306123E5" w14:textId="52C9F448" w:rsidR="002F1E49" w:rsidRPr="00A84FD0" w:rsidRDefault="002F1E49" w:rsidP="00A84FD0">
    <w:pPr>
      <w:pStyle w:val="Footer"/>
      <w:jc w:val="cen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5D649" w14:textId="77777777" w:rsidR="0069316A" w:rsidRDefault="0069316A"/>
  </w:footnote>
  <w:footnote w:type="continuationSeparator" w:id="0">
    <w:p w14:paraId="5C6D0EA9" w14:textId="77777777" w:rsidR="0069316A" w:rsidRDefault="0069316A">
      <w:r>
        <w:continuationSeparator/>
      </w:r>
    </w:p>
    <w:p w14:paraId="5ED85896" w14:textId="77777777" w:rsidR="0069316A" w:rsidRDefault="0069316A"/>
    <w:p w14:paraId="2CCB619D" w14:textId="77777777" w:rsidR="0069316A" w:rsidRDefault="0069316A"/>
  </w:footnote>
  <w:footnote w:type="continuationNotice" w:id="1">
    <w:p w14:paraId="0B56B590" w14:textId="77777777" w:rsidR="0069316A" w:rsidRDefault="0069316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F4633" w14:textId="77777777" w:rsidR="00395B24" w:rsidRDefault="00395B24">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86D7" w14:textId="77777777" w:rsidR="00395B24" w:rsidRDefault="00395B24">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7F716" w14:textId="77777777" w:rsidR="00395B24" w:rsidRDefault="00395B2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018EA"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11FE"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60858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47B1E7A"/>
    <w:multiLevelType w:val="multilevel"/>
    <w:tmpl w:val="D36A47AA"/>
    <w:lvl w:ilvl="0">
      <w:start w:val="1"/>
      <w:numFmt w:val="decimal"/>
      <w:pStyle w:val="BilingualScheduleNumbering1"/>
      <w:lvlText w:val="%1"/>
      <w:lvlJc w:val="left"/>
      <w:pPr>
        <w:ind w:left="709" w:hanging="709"/>
      </w:pPr>
      <w:rPr>
        <w:rFonts w:ascii="Arial Bold" w:hAnsi="Arial Bold" w:hint="default"/>
        <w:b/>
        <w:i w:val="0"/>
        <w:sz w:val="20"/>
      </w:rPr>
    </w:lvl>
    <w:lvl w:ilvl="1">
      <w:start w:val="1"/>
      <w:numFmt w:val="decimal"/>
      <w:pStyle w:val="BilingualScheduleNumbering2"/>
      <w:lvlText w:val="%1.%2"/>
      <w:lvlJc w:val="left"/>
      <w:pPr>
        <w:ind w:left="709" w:hanging="709"/>
      </w:pPr>
      <w:rPr>
        <w:rFonts w:ascii="Arial" w:hAnsi="Arial" w:hint="default"/>
        <w:b w:val="0"/>
        <w:i w:val="0"/>
        <w:sz w:val="20"/>
      </w:rPr>
    </w:lvl>
    <w:lvl w:ilvl="2">
      <w:start w:val="1"/>
      <w:numFmt w:val="decimal"/>
      <w:pStyle w:val="BilingualScheduleNumbering3"/>
      <w:lvlText w:val="(%3)"/>
      <w:lvlJc w:val="right"/>
      <w:pPr>
        <w:ind w:left="1418" w:hanging="709"/>
      </w:pPr>
      <w:rPr>
        <w:rFonts w:hint="default"/>
      </w:rPr>
    </w:lvl>
    <w:lvl w:ilvl="3">
      <w:start w:val="1"/>
      <w:numFmt w:val="lowerLetter"/>
      <w:pStyle w:val="BilingualScheduleNumbering4"/>
      <w:lvlText w:val="(%4)"/>
      <w:lvlJc w:val="left"/>
      <w:pPr>
        <w:ind w:left="2126" w:hanging="708"/>
      </w:pPr>
      <w:rPr>
        <w:rFonts w:hint="default"/>
      </w:rPr>
    </w:lvl>
    <w:lvl w:ilvl="4">
      <w:start w:val="1"/>
      <w:numFmt w:val="lowerRoman"/>
      <w:pStyle w:val="BilingualScheduleNumbering5"/>
      <w:lvlText w:val="(%5)"/>
      <w:lvlJc w:val="left"/>
      <w:pPr>
        <w:ind w:left="2835" w:hanging="709"/>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2" w15:restartNumberingAfterBreak="0">
    <w:nsid w:val="05026036"/>
    <w:multiLevelType w:val="multilevel"/>
    <w:tmpl w:val="434AC19E"/>
    <w:lvl w:ilvl="0">
      <w:start w:val="1"/>
      <w:numFmt w:val="decimal"/>
      <w:pStyle w:val="BilingualSchedule"/>
      <w:suff w:val="nothing"/>
      <w:lvlText w:val="Schedule %1"/>
      <w:lvlJc w:val="left"/>
      <w:pPr>
        <w:ind w:left="709" w:hanging="709"/>
      </w:pPr>
      <w:rPr>
        <w:rFonts w:hint="default"/>
        <w:b/>
        <w:i w:val="0"/>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righ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righ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right"/>
      <w:pPr>
        <w:ind w:left="0" w:firstLine="0"/>
      </w:pPr>
      <w:rPr>
        <w:rFonts w:hint="default"/>
      </w:rPr>
    </w:lvl>
  </w:abstractNum>
  <w:abstractNum w:abstractNumId="13"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06B91A9D"/>
    <w:multiLevelType w:val="multilevel"/>
    <w:tmpl w:val="B8CA9534"/>
    <w:lvl w:ilvl="0">
      <w:start w:val="1"/>
      <w:numFmt w:val="decimal"/>
      <w:pStyle w:val="Barlevel1"/>
      <w:lvlText w:val="%1"/>
      <w:lvlJc w:val="left"/>
      <w:pPr>
        <w:tabs>
          <w:tab w:val="num" w:pos="709"/>
        </w:tabs>
        <w:ind w:left="709" w:hanging="709"/>
      </w:pPr>
      <w:rPr>
        <w:rFonts w:ascii="Arial" w:hAnsi="Arial" w:cs="Arial" w:hint="default"/>
        <w:b w:val="0"/>
        <w:bCs w:val="0"/>
        <w:i w:val="0"/>
        <w:color w:val="000000" w:themeColor="text1"/>
        <w:sz w:val="22"/>
        <w:szCs w:val="22"/>
      </w:rPr>
    </w:lvl>
    <w:lvl w:ilvl="1">
      <w:start w:val="1"/>
      <w:numFmt w:val="decimal"/>
      <w:lvlText w:val="%1.%2"/>
      <w:lvlJc w:val="left"/>
      <w:pPr>
        <w:tabs>
          <w:tab w:val="num" w:pos="709"/>
        </w:tabs>
        <w:ind w:left="709" w:hanging="709"/>
      </w:pPr>
      <w:rPr>
        <w:rFonts w:hint="default"/>
        <w:b w:val="0"/>
        <w:bCs w:val="0"/>
      </w:rPr>
    </w:lvl>
    <w:lvl w:ilvl="2">
      <w:start w:val="1"/>
      <w:numFmt w:val="lowerLetter"/>
      <w:pStyle w:val="Barlevel2"/>
      <w:lvlText w:val="(%3)"/>
      <w:lvlJc w:val="left"/>
      <w:pPr>
        <w:tabs>
          <w:tab w:val="num" w:pos="1418"/>
        </w:tabs>
        <w:ind w:left="1418" w:hanging="709"/>
      </w:pPr>
      <w:rPr>
        <w:rFonts w:hint="default"/>
        <w:b w:val="0"/>
        <w:bCs w:val="0"/>
        <w:color w:val="000000" w:themeColor="text1"/>
      </w:rPr>
    </w:lvl>
    <w:lvl w:ilvl="3">
      <w:start w:val="1"/>
      <w:numFmt w:val="lowerRoman"/>
      <w:pStyle w:val="Barlevel3"/>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0A225F39"/>
    <w:multiLevelType w:val="multilevel"/>
    <w:tmpl w:val="8E7818E6"/>
    <w:lvl w:ilvl="0">
      <w:start w:val="1"/>
      <w:numFmt w:val="upperLetter"/>
      <w:pStyle w:val="BilingualAnnexure"/>
      <w:suff w:val="nothing"/>
      <w:lvlText w:val="Annexure %1"/>
      <w:lvlJc w:val="left"/>
      <w:pPr>
        <w:ind w:left="431" w:hanging="431"/>
      </w:pPr>
      <w:rPr>
        <w:rFonts w:ascii="Arial Bold" w:hAnsi="Arial Bold" w:hint="default"/>
        <w:b/>
        <w:i w:val="0"/>
        <w:sz w:val="24"/>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righ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righ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right"/>
      <w:pPr>
        <w:ind w:left="0" w:firstLine="0"/>
      </w:pPr>
      <w:rPr>
        <w:rFonts w:hint="default"/>
      </w:rPr>
    </w:lvl>
  </w:abstractNum>
  <w:abstractNum w:abstractNumId="16" w15:restartNumberingAfterBreak="0">
    <w:nsid w:val="0A337977"/>
    <w:multiLevelType w:val="multilevel"/>
    <w:tmpl w:val="AAF02CAC"/>
    <w:lvl w:ilvl="0">
      <w:start w:val="1"/>
      <w:numFmt w:val="decimal"/>
      <w:pStyle w:val="ListLv1"/>
      <w:lvlText w:val="%1"/>
      <w:lvlJc w:val="left"/>
      <w:pPr>
        <w:tabs>
          <w:tab w:val="num" w:pos="2410"/>
        </w:tabs>
        <w:ind w:left="720" w:hanging="720"/>
      </w:pPr>
      <w:rPr>
        <w:rFonts w:hint="default"/>
      </w:rPr>
    </w:lvl>
    <w:lvl w:ilvl="1">
      <w:start w:val="1"/>
      <w:numFmt w:val="lowerLetter"/>
      <w:pStyle w:val="Listlv2"/>
      <w:lvlText w:val="(%2)"/>
      <w:lvlJc w:val="left"/>
      <w:pPr>
        <w:ind w:left="1440" w:hanging="720"/>
      </w:pPr>
      <w:rPr>
        <w:rFonts w:hint="default"/>
      </w:rPr>
    </w:lvl>
    <w:lvl w:ilvl="2">
      <w:start w:val="1"/>
      <w:numFmt w:val="lowerRoman"/>
      <w:pStyle w:val="Listlv3"/>
      <w:lvlText w:val="(%3)"/>
      <w:lvlJc w:val="center"/>
      <w:pPr>
        <w:ind w:left="2160" w:hanging="720"/>
      </w:pPr>
      <w:rPr>
        <w:rFonts w:hint="default"/>
      </w:rPr>
    </w:lvl>
    <w:lvl w:ilvl="3">
      <w:start w:val="1"/>
      <w:numFmt w:val="upperLetter"/>
      <w:pStyle w:val="Listlv4"/>
      <w:lvlText w:val="(%4)"/>
      <w:lvlJc w:val="left"/>
      <w:pPr>
        <w:ind w:left="2880" w:hanging="720"/>
      </w:pPr>
      <w:rPr>
        <w:rFonts w:ascii="Book Antiqua" w:hAnsi="Book Antiqua" w:hint="default"/>
      </w:rPr>
    </w:lvl>
    <w:lvl w:ilvl="4">
      <w:start w:val="1"/>
      <w:numFmt w:val="lowerLetter"/>
      <w:lvlText w:val="%5."/>
      <w:lvlJc w:val="left"/>
      <w:pPr>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7" w15:restartNumberingAfterBreak="0">
    <w:nsid w:val="0B9749E7"/>
    <w:multiLevelType w:val="hybridMultilevel"/>
    <w:tmpl w:val="E8ACB0AA"/>
    <w:lvl w:ilvl="0" w:tplc="F920E4DE">
      <w:start w:val="1"/>
      <w:numFmt w:val="decimal"/>
      <w:lvlText w:val="%1."/>
      <w:lvlJc w:val="left"/>
      <w:pPr>
        <w:ind w:left="360" w:hanging="360"/>
      </w:pPr>
      <w:rPr>
        <w:rFonts w:ascii="Times New Roman" w:eastAsia="Times New Roman" w:hAnsi="Times New Roman" w:cs="Times New Roman"/>
      </w:rPr>
    </w:lvl>
    <w:lvl w:ilvl="1" w:tplc="A67A0206">
      <w:start w:val="1"/>
      <w:numFmt w:val="lowerLetter"/>
      <w:lvlText w:val="(%2)"/>
      <w:lvlJc w:val="left"/>
      <w:pPr>
        <w:ind w:left="1080" w:hanging="360"/>
      </w:pPr>
      <w:rPr>
        <w:rFonts w:ascii="Times New Roman" w:eastAsia="Times New Roman" w:hAnsi="Times New Roman" w:cs="Times New Roman"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9"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0" w15:restartNumberingAfterBreak="0">
    <w:nsid w:val="1BEF6324"/>
    <w:multiLevelType w:val="multilevel"/>
    <w:tmpl w:val="E99EE40C"/>
    <w:lvl w:ilvl="0">
      <w:start w:val="1"/>
      <w:numFmt w:val="decimal"/>
      <w:pStyle w:val="ScheduleNumbering1"/>
      <w:lvlText w:val="%1"/>
      <w:lvlJc w:val="left"/>
      <w:pPr>
        <w:ind w:left="709" w:hanging="709"/>
      </w:pPr>
      <w:rPr>
        <w:rFonts w:ascii="Arial Bold" w:hAnsi="Arial Bold" w:hint="default"/>
        <w:b/>
        <w:i w:val="0"/>
        <w:sz w:val="20"/>
      </w:rPr>
    </w:lvl>
    <w:lvl w:ilvl="1">
      <w:start w:val="1"/>
      <w:numFmt w:val="decimal"/>
      <w:pStyle w:val="ScheduleNumbering2"/>
      <w:lvlText w:val="%1.%2"/>
      <w:lvlJc w:val="left"/>
      <w:pPr>
        <w:ind w:left="709" w:hanging="709"/>
      </w:pPr>
      <w:rPr>
        <w:rFonts w:hint="default"/>
      </w:rPr>
    </w:lvl>
    <w:lvl w:ilvl="2">
      <w:start w:val="1"/>
      <w:numFmt w:val="decimal"/>
      <w:pStyle w:val="ScheduleNumbering3"/>
      <w:lvlText w:val="(%3)"/>
      <w:lvlJc w:val="left"/>
      <w:pPr>
        <w:ind w:left="1418" w:hanging="709"/>
      </w:pPr>
      <w:rPr>
        <w:rFonts w:hint="default"/>
      </w:rPr>
    </w:lvl>
    <w:lvl w:ilvl="3">
      <w:start w:val="1"/>
      <w:numFmt w:val="lowerLetter"/>
      <w:pStyle w:val="ScheduleNumbering4"/>
      <w:lvlText w:val="(%4)"/>
      <w:lvlJc w:val="left"/>
      <w:pPr>
        <w:ind w:left="2126" w:hanging="708"/>
      </w:pPr>
      <w:rPr>
        <w:rFonts w:hint="default"/>
      </w:rPr>
    </w:lvl>
    <w:lvl w:ilvl="4">
      <w:start w:val="1"/>
      <w:numFmt w:val="lowerRoman"/>
      <w:pStyle w:val="ScheduleNumbering5"/>
      <w:lvlText w:val="(%5)"/>
      <w:lvlJc w:val="left"/>
      <w:pPr>
        <w:ind w:left="2835" w:hanging="709"/>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1"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22" w15:restartNumberingAfterBreak="0">
    <w:nsid w:val="1C356454"/>
    <w:multiLevelType w:val="multilevel"/>
    <w:tmpl w:val="3FCCDA5A"/>
    <w:lvl w:ilvl="0">
      <w:start w:val="1"/>
      <w:numFmt w:val="upperLetter"/>
      <w:pStyle w:val="Recital"/>
      <w:lvlText w:val="%1"/>
      <w:lvlJc w:val="left"/>
      <w:pPr>
        <w:tabs>
          <w:tab w:val="num" w:pos="709"/>
        </w:tabs>
        <w:ind w:left="709" w:hanging="709"/>
      </w:pPr>
      <w:rPr>
        <w:rFonts w:hint="default"/>
        <w:b/>
        <w:i w:val="0"/>
        <w:sz w:val="20"/>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27325D0E"/>
    <w:multiLevelType w:val="multilevel"/>
    <w:tmpl w:val="73AAAAE0"/>
    <w:lvl w:ilvl="0">
      <w:start w:val="1"/>
      <w:numFmt w:val="upperLetter"/>
      <w:pStyle w:val="BilingualRecital"/>
      <w:lvlText w:val="%1"/>
      <w:lvlJc w:val="left"/>
      <w:pPr>
        <w:tabs>
          <w:tab w:val="num" w:pos="709"/>
        </w:tabs>
        <w:ind w:left="709" w:hanging="709"/>
      </w:pPr>
      <w:rPr>
        <w:rFonts w:hint="default"/>
        <w:b/>
        <w:i w:val="0"/>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righ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righ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right"/>
      <w:pPr>
        <w:ind w:left="0" w:firstLine="0"/>
      </w:pPr>
      <w:rPr>
        <w:rFonts w:hint="default"/>
      </w:rPr>
    </w:lvl>
  </w:abstractNum>
  <w:abstractNum w:abstractNumId="2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2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7" w15:restartNumberingAfterBreak="0">
    <w:nsid w:val="2B3B2A8A"/>
    <w:multiLevelType w:val="multilevel"/>
    <w:tmpl w:val="4D400834"/>
    <w:lvl w:ilvl="0">
      <w:start w:val="1"/>
      <w:numFmt w:val="decimal"/>
      <w:pStyle w:val="Item"/>
      <w:lvlText w:val="Item %1"/>
      <w:lvlJc w:val="left"/>
      <w:pPr>
        <w:tabs>
          <w:tab w:val="num" w:pos="1418"/>
        </w:tabs>
        <w:ind w:left="1418" w:hanging="1418"/>
      </w:pPr>
      <w:rPr>
        <w:rFonts w:ascii="Arial" w:hAnsi="Arial" w:hint="default"/>
        <w:b w:val="0"/>
        <w:i w:val="0"/>
        <w:sz w:val="20"/>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8" w15:restartNumberingAfterBreak="0">
    <w:nsid w:val="2C0B4D79"/>
    <w:multiLevelType w:val="hybridMultilevel"/>
    <w:tmpl w:val="406A959E"/>
    <w:lvl w:ilvl="0" w:tplc="01FA4B9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CF31F1F"/>
    <w:multiLevelType w:val="hybridMultilevel"/>
    <w:tmpl w:val="6B52AD92"/>
    <w:lvl w:ilvl="0" w:tplc="FFFFFFFF">
      <w:start w:val="1"/>
      <w:numFmt w:val="decimal"/>
      <w:lvlText w:val="%1."/>
      <w:lvlJc w:val="left"/>
      <w:pPr>
        <w:ind w:left="720" w:hanging="360"/>
      </w:pPr>
      <w:rPr>
        <w:rFonts w:hint="default"/>
        <w:b w:val="0"/>
      </w:rPr>
    </w:lvl>
    <w:lvl w:ilvl="1" w:tplc="61D479EE">
      <w:start w:val="1"/>
      <w:numFmt w:val="lowerLetter"/>
      <w:lvlText w:val="(%2)"/>
      <w:lvlJc w:val="left"/>
      <w:pPr>
        <w:ind w:left="1440" w:hanging="360"/>
      </w:pPr>
      <w:rPr>
        <w:rFonts w:hint="default"/>
        <w:b w:val="0"/>
        <w:bCs w:val="0"/>
      </w:rPr>
    </w:lvl>
    <w:lvl w:ilvl="2" w:tplc="64F2101A">
      <w:start w:val="1"/>
      <w:numFmt w:val="upperLetter"/>
      <w:lvlText w:val="%3."/>
      <w:lvlJc w:val="left"/>
      <w:pPr>
        <w:ind w:left="2340" w:hanging="360"/>
      </w:pPr>
      <w:rPr>
        <w:color w:val="auto"/>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2465C0D"/>
    <w:multiLevelType w:val="multilevel"/>
    <w:tmpl w:val="07A6B95A"/>
    <w:lvl w:ilvl="0">
      <w:start w:val="1"/>
      <w:numFmt w:val="decimal"/>
      <w:pStyle w:val="Schedule"/>
      <w:suff w:val="nothing"/>
      <w:lvlText w:val="Schedule %1"/>
      <w:lvlJc w:val="left"/>
      <w:pPr>
        <w:ind w:left="432" w:hanging="432"/>
      </w:pPr>
      <w:rPr>
        <w:rFonts w:ascii="Arial" w:hAnsi="Arial" w:hint="default"/>
        <w:b/>
        <w:i w:val="0"/>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33" w15:restartNumberingAfterBreak="0">
    <w:nsid w:val="3391028F"/>
    <w:multiLevelType w:val="multilevel"/>
    <w:tmpl w:val="B210C0A8"/>
    <w:lvl w:ilvl="0">
      <w:start w:val="1"/>
      <w:numFmt w:val="decimal"/>
      <w:pStyle w:val="BilingualHeading1"/>
      <w:lvlText w:val="%1"/>
      <w:lvlJc w:val="left"/>
      <w:pPr>
        <w:tabs>
          <w:tab w:val="num" w:pos="709"/>
        </w:tabs>
        <w:ind w:left="709" w:hanging="709"/>
      </w:pPr>
      <w:rPr>
        <w:rFonts w:ascii="Arial" w:hAnsi="Arial" w:hint="default"/>
        <w:b/>
        <w:i w:val="0"/>
        <w:sz w:val="24"/>
        <w:szCs w:val="24"/>
      </w:rPr>
    </w:lvl>
    <w:lvl w:ilvl="1">
      <w:start w:val="1"/>
      <w:numFmt w:val="decimal"/>
      <w:pStyle w:val="BilingualHeading2"/>
      <w:lvlText w:val="%1.%2"/>
      <w:lvlJc w:val="left"/>
      <w:pPr>
        <w:tabs>
          <w:tab w:val="num" w:pos="709"/>
        </w:tabs>
        <w:ind w:left="709" w:hanging="709"/>
      </w:pPr>
      <w:rPr>
        <w:rFonts w:ascii="Arial" w:hAnsi="Arial" w:hint="default"/>
        <w:b w:val="0"/>
        <w:i w:val="0"/>
        <w:sz w:val="20"/>
      </w:rPr>
    </w:lvl>
    <w:lvl w:ilvl="2">
      <w:start w:val="1"/>
      <w:numFmt w:val="decimal"/>
      <w:pStyle w:val="BilingualHeading3"/>
      <w:lvlText w:val="(%3)"/>
      <w:lvlJc w:val="left"/>
      <w:pPr>
        <w:tabs>
          <w:tab w:val="num" w:pos="1418"/>
        </w:tabs>
        <w:ind w:left="1418" w:hanging="709"/>
      </w:pPr>
      <w:rPr>
        <w:rFonts w:ascii="Arial" w:hAnsi="Arial" w:hint="default"/>
        <w:b w:val="0"/>
        <w:i w:val="0"/>
        <w:sz w:val="20"/>
      </w:rPr>
    </w:lvl>
    <w:lvl w:ilvl="3">
      <w:start w:val="1"/>
      <w:numFmt w:val="lowerLetter"/>
      <w:pStyle w:val="BilingualHeading4"/>
      <w:lvlText w:val="(%4)"/>
      <w:lvlJc w:val="left"/>
      <w:pPr>
        <w:tabs>
          <w:tab w:val="num" w:pos="2126"/>
        </w:tabs>
        <w:ind w:left="2126" w:hanging="708"/>
      </w:pPr>
      <w:rPr>
        <w:rFonts w:ascii="Arial" w:hAnsi="Arial" w:hint="default"/>
        <w:b w:val="0"/>
        <w:i w:val="0"/>
        <w:sz w:val="20"/>
      </w:rPr>
    </w:lvl>
    <w:lvl w:ilvl="4">
      <w:start w:val="1"/>
      <w:numFmt w:val="lowerRoman"/>
      <w:pStyle w:val="BilingualHeading5"/>
      <w:lvlText w:val="(%5)"/>
      <w:lvlJc w:val="left"/>
      <w:pPr>
        <w:tabs>
          <w:tab w:val="num" w:pos="2835"/>
        </w:tabs>
        <w:ind w:left="2835" w:hanging="709"/>
      </w:pPr>
      <w:rPr>
        <w:rFonts w:ascii="Arial" w:hAnsi="Arial" w:hint="default"/>
        <w:b w:val="0"/>
        <w:i w:val="0"/>
        <w:sz w:val="20"/>
      </w:rPr>
    </w:lvl>
    <w:lvl w:ilvl="5">
      <w:start w:val="1"/>
      <w:numFmt w:val="upperLetter"/>
      <w:pStyle w:val="BilingualHeading6"/>
      <w:lvlText w:val="(%6)"/>
      <w:lvlJc w:val="left"/>
      <w:pPr>
        <w:tabs>
          <w:tab w:val="num" w:pos="3544"/>
        </w:tabs>
        <w:ind w:left="3544" w:hanging="709"/>
      </w:pPr>
      <w:rPr>
        <w:rFonts w:ascii="Arial" w:hAnsi="Arial" w:hint="default"/>
        <w:b w:val="0"/>
        <w:i w:val="0"/>
        <w:sz w:val="20"/>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4" w15:restartNumberingAfterBreak="0">
    <w:nsid w:val="3B394507"/>
    <w:multiLevelType w:val="hybridMultilevel"/>
    <w:tmpl w:val="72DCD87E"/>
    <w:lvl w:ilvl="0" w:tplc="0CB49656">
      <w:start w:val="1"/>
      <w:numFmt w:val="upperRoman"/>
      <w:lvlText w:val="%1."/>
      <w:lvlJc w:val="right"/>
      <w:pPr>
        <w:ind w:left="720" w:hanging="360"/>
      </w:pPr>
      <w:rPr>
        <w:color w:val="244061" w:themeColor="accent1" w:themeShade="8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94817A7"/>
    <w:multiLevelType w:val="multilevel"/>
    <w:tmpl w:val="0F0EC90E"/>
    <w:numStyleLink w:val="FCListNo"/>
  </w:abstractNum>
  <w:abstractNum w:abstractNumId="36"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15:restartNumberingAfterBreak="0">
    <w:nsid w:val="51881F56"/>
    <w:multiLevelType w:val="hybridMultilevel"/>
    <w:tmpl w:val="D5FE29B8"/>
    <w:lvl w:ilvl="0" w:tplc="0C09000F">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47B34A4"/>
    <w:multiLevelType w:val="hybridMultilevel"/>
    <w:tmpl w:val="637CE9EC"/>
    <w:lvl w:ilvl="0" w:tplc="32CC223C">
      <w:start w:val="1"/>
      <w:numFmt w:val="decimal"/>
      <w:pStyle w:val="Heading61"/>
      <w:lvlText w:val="%1."/>
      <w:lvlJc w:val="left"/>
      <w:pPr>
        <w:ind w:left="737" w:hanging="737"/>
      </w:pPr>
      <w:rPr>
        <w:rFonts w:hint="default"/>
      </w:rPr>
    </w:lvl>
    <w:lvl w:ilvl="1" w:tplc="CD7E031C">
      <w:start w:val="1"/>
      <w:numFmt w:val="lowerLetter"/>
      <w:lvlText w:val="(%2)"/>
      <w:lvlJc w:val="left"/>
      <w:pPr>
        <w:ind w:left="1304" w:hanging="567"/>
      </w:pPr>
      <w:rPr>
        <w:rFonts w:hint="default"/>
      </w:rPr>
    </w:lvl>
    <w:lvl w:ilvl="2" w:tplc="845ADFF2">
      <w:start w:val="1"/>
      <w:numFmt w:val="lowerRoman"/>
      <w:lvlText w:val="(%3)"/>
      <w:lvlJc w:val="left"/>
      <w:pPr>
        <w:ind w:left="1871" w:hanging="567"/>
      </w:pPr>
      <w:rPr>
        <w:rFonts w:hint="default"/>
      </w:rPr>
    </w:lvl>
    <w:lvl w:ilvl="3" w:tplc="078259F8">
      <w:start w:val="1"/>
      <w:numFmt w:val="upperLetter"/>
      <w:lvlText w:val="(%4)"/>
      <w:lvlJc w:val="left"/>
      <w:pPr>
        <w:ind w:left="2438" w:hanging="567"/>
      </w:pPr>
      <w:rPr>
        <w:rFonts w:hint="default"/>
      </w:rPr>
    </w:lvl>
    <w:lvl w:ilvl="4" w:tplc="135AC568">
      <w:start w:val="1"/>
      <w:numFmt w:val="lowerLetter"/>
      <w:lvlText w:val="%5."/>
      <w:lvlJc w:val="left"/>
      <w:pPr>
        <w:ind w:left="3240" w:hanging="360"/>
      </w:pPr>
    </w:lvl>
    <w:lvl w:ilvl="5" w:tplc="AE4AF806">
      <w:start w:val="1"/>
      <w:numFmt w:val="lowerRoman"/>
      <w:lvlText w:val="%6."/>
      <w:lvlJc w:val="right"/>
      <w:pPr>
        <w:ind w:left="3960" w:hanging="180"/>
      </w:pPr>
    </w:lvl>
    <w:lvl w:ilvl="6" w:tplc="7FC05AA2">
      <w:start w:val="1"/>
      <w:numFmt w:val="decimal"/>
      <w:lvlText w:val="%7."/>
      <w:lvlJc w:val="left"/>
      <w:pPr>
        <w:ind w:left="4680" w:hanging="360"/>
      </w:pPr>
    </w:lvl>
    <w:lvl w:ilvl="7" w:tplc="6AB4D434">
      <w:start w:val="1"/>
      <w:numFmt w:val="lowerLetter"/>
      <w:lvlText w:val="%8."/>
      <w:lvlJc w:val="left"/>
      <w:pPr>
        <w:ind w:left="5400" w:hanging="360"/>
      </w:pPr>
    </w:lvl>
    <w:lvl w:ilvl="8" w:tplc="7B80419C" w:tentative="1">
      <w:start w:val="1"/>
      <w:numFmt w:val="lowerRoman"/>
      <w:lvlText w:val="%9."/>
      <w:lvlJc w:val="right"/>
      <w:pPr>
        <w:ind w:left="6120" w:hanging="180"/>
      </w:pPr>
    </w:lvl>
  </w:abstractNum>
  <w:abstractNum w:abstractNumId="40" w15:restartNumberingAfterBreak="0">
    <w:nsid w:val="5FDF3DC8"/>
    <w:multiLevelType w:val="multilevel"/>
    <w:tmpl w:val="9F004F4C"/>
    <w:lvl w:ilvl="0">
      <w:start w:val="1"/>
      <w:numFmt w:val="upperLetter"/>
      <w:pStyle w:val="Annexure"/>
      <w:suff w:val="nothing"/>
      <w:lvlText w:val="Annexure %1"/>
      <w:lvlJc w:val="left"/>
      <w:pPr>
        <w:ind w:left="431" w:hanging="431"/>
      </w:pPr>
      <w:rPr>
        <w:rFonts w:ascii="Arial" w:hAnsi="Arial" w:hint="default"/>
        <w:b/>
        <w:i w:val="0"/>
        <w:sz w:val="24"/>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1" w15:restartNumberingAfterBreak="0">
    <w:nsid w:val="62483434"/>
    <w:multiLevelType w:val="multilevel"/>
    <w:tmpl w:val="C72679B4"/>
    <w:lvl w:ilvl="0">
      <w:start w:val="1"/>
      <w:numFmt w:val="bullet"/>
      <w:pStyle w:val="NRFABullet1"/>
      <w:lvlText w:val=""/>
      <w:lvlJc w:val="left"/>
      <w:pPr>
        <w:ind w:left="709" w:hanging="709"/>
      </w:pPr>
      <w:rPr>
        <w:rFonts w:ascii="Symbol" w:hAnsi="Symbol" w:hint="default"/>
      </w:rPr>
    </w:lvl>
    <w:lvl w:ilvl="1">
      <w:start w:val="1"/>
      <w:numFmt w:val="bullet"/>
      <w:pStyle w:val="NRFABullet2"/>
      <w:lvlText w:val="-"/>
      <w:lvlJc w:val="left"/>
      <w:pPr>
        <w:ind w:left="1418" w:hanging="709"/>
      </w:pPr>
      <w:rPr>
        <w:rFonts w:ascii="Courier New" w:hAnsi="Courier New" w:hint="default"/>
      </w:rPr>
    </w:lvl>
    <w:lvl w:ilvl="2">
      <w:start w:val="1"/>
      <w:numFmt w:val="none"/>
      <w:lvlText w:val=""/>
      <w:lvlJc w:val="left"/>
      <w:pPr>
        <w:ind w:left="2126" w:hanging="708"/>
      </w:pPr>
      <w:rPr>
        <w:rFonts w:hint="default"/>
      </w:rPr>
    </w:lvl>
    <w:lvl w:ilvl="3">
      <w:start w:val="1"/>
      <w:numFmt w:val="none"/>
      <w:lvlText w:val=""/>
      <w:lvlJc w:val="left"/>
      <w:pPr>
        <w:ind w:left="2835" w:hanging="709"/>
      </w:pPr>
      <w:rPr>
        <w:rFonts w:hint="default"/>
      </w:rPr>
    </w:lvl>
    <w:lvl w:ilvl="4">
      <w:start w:val="1"/>
      <w:numFmt w:val="none"/>
      <w:lvlText w:val=""/>
      <w:lvlJc w:val="left"/>
      <w:pPr>
        <w:ind w:left="3544" w:hanging="709"/>
      </w:pPr>
      <w:rPr>
        <w:rFonts w:hint="default"/>
      </w:rPr>
    </w:lvl>
    <w:lvl w:ilvl="5">
      <w:start w:val="1"/>
      <w:numFmt w:val="none"/>
      <w:lvlText w:val=""/>
      <w:lvlJc w:val="left"/>
      <w:pPr>
        <w:ind w:left="4253" w:hanging="709"/>
      </w:pPr>
      <w:rPr>
        <w:rFonts w:hint="default"/>
      </w:rPr>
    </w:lvl>
    <w:lvl w:ilvl="6">
      <w:start w:val="1"/>
      <w:numFmt w:val="none"/>
      <w:lvlText w:val="%7"/>
      <w:lvlJc w:val="left"/>
      <w:pPr>
        <w:ind w:left="4820" w:hanging="709"/>
      </w:pPr>
      <w:rPr>
        <w:rFonts w:hint="default"/>
      </w:rPr>
    </w:lvl>
    <w:lvl w:ilvl="7">
      <w:start w:val="1"/>
      <w:numFmt w:val="none"/>
      <w:lvlText w:val=""/>
      <w:lvlJc w:val="left"/>
      <w:pPr>
        <w:ind w:left="5528" w:hanging="708"/>
      </w:pPr>
      <w:rPr>
        <w:rFonts w:hint="default"/>
      </w:rPr>
    </w:lvl>
    <w:lvl w:ilvl="8">
      <w:start w:val="1"/>
      <w:numFmt w:val="none"/>
      <w:lvlText w:val=""/>
      <w:lvlJc w:val="left"/>
      <w:pPr>
        <w:ind w:left="6237" w:hanging="709"/>
      </w:pPr>
      <w:rPr>
        <w:rFonts w:hint="default"/>
      </w:rPr>
    </w:lvl>
  </w:abstractNum>
  <w:abstractNum w:abstractNumId="42" w15:restartNumberingAfterBreak="0">
    <w:nsid w:val="6471022D"/>
    <w:multiLevelType w:val="hybridMultilevel"/>
    <w:tmpl w:val="6E82D220"/>
    <w:lvl w:ilvl="0" w:tplc="875A047A">
      <w:start w:val="1"/>
      <w:numFmt w:val="decimal"/>
      <w:pStyle w:val="BilingualItem"/>
      <w:lvlText w:val="Item %1"/>
      <w:lvlJc w:val="left"/>
      <w:pPr>
        <w:ind w:left="720" w:hanging="360"/>
      </w:pPr>
      <w:rPr>
        <w:rFonts w:hint="default"/>
        <w:b w:val="0"/>
        <w:i w:val="0"/>
        <w:sz w:val="20"/>
      </w:rPr>
    </w:lvl>
    <w:lvl w:ilvl="1" w:tplc="20B0523A" w:tentative="1">
      <w:start w:val="1"/>
      <w:numFmt w:val="lowerLetter"/>
      <w:lvlText w:val="%2."/>
      <w:lvlJc w:val="left"/>
      <w:pPr>
        <w:ind w:left="1440" w:hanging="360"/>
      </w:pPr>
    </w:lvl>
    <w:lvl w:ilvl="2" w:tplc="E1D69224" w:tentative="1">
      <w:start w:val="1"/>
      <w:numFmt w:val="lowerRoman"/>
      <w:lvlText w:val="%3."/>
      <w:lvlJc w:val="right"/>
      <w:pPr>
        <w:ind w:left="2160" w:hanging="180"/>
      </w:pPr>
    </w:lvl>
    <w:lvl w:ilvl="3" w:tplc="D2025356" w:tentative="1">
      <w:start w:val="1"/>
      <w:numFmt w:val="decimal"/>
      <w:lvlText w:val="%4."/>
      <w:lvlJc w:val="left"/>
      <w:pPr>
        <w:ind w:left="2880" w:hanging="360"/>
      </w:pPr>
    </w:lvl>
    <w:lvl w:ilvl="4" w:tplc="7FB26D6E" w:tentative="1">
      <w:start w:val="1"/>
      <w:numFmt w:val="lowerLetter"/>
      <w:lvlText w:val="%5."/>
      <w:lvlJc w:val="left"/>
      <w:pPr>
        <w:ind w:left="3600" w:hanging="360"/>
      </w:pPr>
    </w:lvl>
    <w:lvl w:ilvl="5" w:tplc="92C643B2" w:tentative="1">
      <w:start w:val="1"/>
      <w:numFmt w:val="lowerRoman"/>
      <w:lvlText w:val="%6."/>
      <w:lvlJc w:val="right"/>
      <w:pPr>
        <w:ind w:left="4320" w:hanging="180"/>
      </w:pPr>
    </w:lvl>
    <w:lvl w:ilvl="6" w:tplc="981AB14E" w:tentative="1">
      <w:start w:val="1"/>
      <w:numFmt w:val="decimal"/>
      <w:lvlText w:val="%7."/>
      <w:lvlJc w:val="left"/>
      <w:pPr>
        <w:ind w:left="5040" w:hanging="360"/>
      </w:pPr>
    </w:lvl>
    <w:lvl w:ilvl="7" w:tplc="9BC8EE94" w:tentative="1">
      <w:start w:val="1"/>
      <w:numFmt w:val="lowerLetter"/>
      <w:lvlText w:val="%8."/>
      <w:lvlJc w:val="left"/>
      <w:pPr>
        <w:ind w:left="5760" w:hanging="360"/>
      </w:pPr>
    </w:lvl>
    <w:lvl w:ilvl="8" w:tplc="5ADAF242" w:tentative="1">
      <w:start w:val="1"/>
      <w:numFmt w:val="lowerRoman"/>
      <w:lvlText w:val="%9."/>
      <w:lvlJc w:val="right"/>
      <w:pPr>
        <w:ind w:left="6480" w:hanging="180"/>
      </w:pPr>
    </w:lvl>
  </w:abstractNum>
  <w:abstractNum w:abstractNumId="43"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4" w15:restartNumberingAfterBreak="0">
    <w:nsid w:val="67DE0292"/>
    <w:multiLevelType w:val="hybridMultilevel"/>
    <w:tmpl w:val="7690091C"/>
    <w:lvl w:ilvl="0" w:tplc="B8F2AE8C">
      <w:start w:val="1"/>
      <w:numFmt w:val="upperRoman"/>
      <w:lvlText w:val="%1."/>
      <w:lvlJc w:val="right"/>
      <w:pPr>
        <w:ind w:left="720" w:hanging="360"/>
      </w:pPr>
      <w:rPr>
        <w:color w:val="244061" w:themeColor="accent1" w:themeShade="8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46" w15:restartNumberingAfterBreak="0">
    <w:nsid w:val="799923E0"/>
    <w:multiLevelType w:val="multilevel"/>
    <w:tmpl w:val="72F0CF30"/>
    <w:styleLink w:val="CurrentList3"/>
    <w:lvl w:ilvl="0">
      <w:start w:val="1"/>
      <w:numFmt w:val="decimal"/>
      <w:lvlText w:val="%1"/>
      <w:lvlJc w:val="left"/>
      <w:pPr>
        <w:ind w:left="567" w:hanging="567"/>
      </w:pPr>
      <w:rPr>
        <w:rFonts w:ascii="Arial Bold" w:hAnsi="Arial Bold" w:hint="default"/>
        <w:b/>
        <w:i w:val="0"/>
        <w:color w:val="000000" w:themeColor="text1"/>
        <w:sz w:val="24"/>
      </w:rPr>
    </w:lvl>
    <w:lvl w:ilvl="1">
      <w:start w:val="1"/>
      <w:numFmt w:val="decimal"/>
      <w:lvlText w:val="%1.%2"/>
      <w:lvlJc w:val="left"/>
      <w:pPr>
        <w:ind w:left="567" w:hanging="567"/>
      </w:pPr>
      <w:rPr>
        <w:rFonts w:ascii="Arial" w:hAnsi="Arial" w:hint="default"/>
        <w:b w:val="0"/>
        <w:i w:val="0"/>
        <w:sz w:val="24"/>
      </w:rPr>
    </w:lvl>
    <w:lvl w:ilvl="2">
      <w:start w:val="1"/>
      <w:numFmt w:val="decimal"/>
      <w:lvlText w:val="%1.%2.%3"/>
      <w:lvlJc w:val="left"/>
      <w:pPr>
        <w:ind w:left="1418" w:hanging="851"/>
      </w:pPr>
      <w:rPr>
        <w:rFonts w:ascii="Arial" w:hAnsi="Arial" w:hint="default"/>
        <w:b w:val="0"/>
        <w:i w:val="0"/>
        <w:sz w:val="24"/>
      </w:rPr>
    </w:lvl>
    <w:lvl w:ilvl="3">
      <w:start w:val="1"/>
      <w:numFmt w:val="decimal"/>
      <w:lvlText w:val="%1.%2.%3.%4"/>
      <w:lvlJc w:val="left"/>
      <w:pPr>
        <w:ind w:left="2268" w:hanging="850"/>
      </w:pPr>
      <w:rPr>
        <w:rFonts w:ascii="Arial" w:hAnsi="Arial" w:hint="default"/>
        <w:b w:val="0"/>
        <w:i w:val="0"/>
        <w:sz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15:restartNumberingAfterBreak="0">
    <w:nsid w:val="7AA96EAD"/>
    <w:multiLevelType w:val="multilevel"/>
    <w:tmpl w:val="86002658"/>
    <w:styleLink w:val="CurrentList4"/>
    <w:lvl w:ilvl="0">
      <w:start w:val="1"/>
      <w:numFmt w:val="decimal"/>
      <w:lvlText w:val="%1"/>
      <w:lvlJc w:val="left"/>
      <w:pPr>
        <w:ind w:left="567" w:hanging="567"/>
      </w:pPr>
      <w:rPr>
        <w:rFonts w:ascii="Arial Bold" w:hAnsi="Arial Bold" w:hint="default"/>
        <w:b/>
        <w:i w:val="0"/>
        <w:color w:val="000000" w:themeColor="text1"/>
        <w:sz w:val="24"/>
      </w:rPr>
    </w:lvl>
    <w:lvl w:ilvl="1">
      <w:start w:val="1"/>
      <w:numFmt w:val="decimal"/>
      <w:lvlText w:val="%1.%2"/>
      <w:lvlJc w:val="left"/>
      <w:pPr>
        <w:ind w:left="567" w:hanging="567"/>
      </w:pPr>
      <w:rPr>
        <w:rFonts w:ascii="Arial" w:hAnsi="Arial" w:hint="default"/>
        <w:b w:val="0"/>
        <w:i w:val="0"/>
        <w:sz w:val="24"/>
      </w:rPr>
    </w:lvl>
    <w:lvl w:ilvl="2">
      <w:start w:val="1"/>
      <w:numFmt w:val="decimal"/>
      <w:lvlText w:val="%1.%2.%3"/>
      <w:lvlJc w:val="left"/>
      <w:pPr>
        <w:ind w:left="1418" w:hanging="851"/>
      </w:pPr>
      <w:rPr>
        <w:rFonts w:ascii="Arial" w:hAnsi="Arial" w:hint="default"/>
        <w:b w:val="0"/>
        <w:i w:val="0"/>
        <w:sz w:val="24"/>
      </w:rPr>
    </w:lvl>
    <w:lvl w:ilvl="3">
      <w:start w:val="1"/>
      <w:numFmt w:val="decimal"/>
      <w:lvlText w:val="%1.%2.%3.%4"/>
      <w:lvlJc w:val="left"/>
      <w:pPr>
        <w:ind w:left="2552" w:hanging="1134"/>
      </w:pPr>
      <w:rPr>
        <w:rFonts w:ascii="Arial" w:hAnsi="Arial" w:hint="default"/>
        <w:b w:val="0"/>
        <w:i w:val="0"/>
        <w:sz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49" w15:restartNumberingAfterBreak="0">
    <w:nsid w:val="7E206274"/>
    <w:multiLevelType w:val="multilevel"/>
    <w:tmpl w:val="62E6A49C"/>
    <w:lvl w:ilvl="0">
      <w:start w:val="1"/>
      <w:numFmt w:val="upperLetter"/>
      <w:lvlText w:val="%1."/>
      <w:lvlJc w:val="left"/>
      <w:pPr>
        <w:tabs>
          <w:tab w:val="num" w:pos="720"/>
        </w:tabs>
        <w:ind w:left="720" w:hanging="720"/>
      </w:pPr>
    </w:lvl>
    <w:lvl w:ilvl="1">
      <w:start w:val="1"/>
      <w:numFmt w:val="upperRoman"/>
      <w:lvlText w:val="%2."/>
      <w:lvlJc w:val="righ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99468330">
    <w:abstractNumId w:val="24"/>
  </w:num>
  <w:num w:numId="2" w16cid:durableId="573125054">
    <w:abstractNumId w:val="10"/>
  </w:num>
  <w:num w:numId="3" w16cid:durableId="1768233919">
    <w:abstractNumId w:val="8"/>
  </w:num>
  <w:num w:numId="4" w16cid:durableId="421730525">
    <w:abstractNumId w:val="7"/>
  </w:num>
  <w:num w:numId="5" w16cid:durableId="1174567852">
    <w:abstractNumId w:val="6"/>
  </w:num>
  <w:num w:numId="6" w16cid:durableId="608438054">
    <w:abstractNumId w:val="5"/>
  </w:num>
  <w:num w:numId="7" w16cid:durableId="376131183">
    <w:abstractNumId w:val="9"/>
  </w:num>
  <w:num w:numId="8" w16cid:durableId="258101107">
    <w:abstractNumId w:val="4"/>
  </w:num>
  <w:num w:numId="9" w16cid:durableId="1857769893">
    <w:abstractNumId w:val="3"/>
  </w:num>
  <w:num w:numId="10" w16cid:durableId="1665891341">
    <w:abstractNumId w:val="2"/>
  </w:num>
  <w:num w:numId="11" w16cid:durableId="1092968018">
    <w:abstractNumId w:val="1"/>
  </w:num>
  <w:num w:numId="12" w16cid:durableId="474874248">
    <w:abstractNumId w:val="43"/>
  </w:num>
  <w:num w:numId="13" w16cid:durableId="1182744983">
    <w:abstractNumId w:val="36"/>
  </w:num>
  <w:num w:numId="14" w16cid:durableId="1946451657">
    <w:abstractNumId w:val="37"/>
  </w:num>
  <w:num w:numId="15" w16cid:durableId="800807758">
    <w:abstractNumId w:val="48"/>
  </w:num>
  <w:num w:numId="16" w16cid:durableId="1901012511">
    <w:abstractNumId w:val="21"/>
  </w:num>
  <w:num w:numId="17" w16cid:durableId="1484006702">
    <w:abstractNumId w:val="45"/>
  </w:num>
  <w:num w:numId="18" w16cid:durableId="1373651513">
    <w:abstractNumId w:val="18"/>
  </w:num>
  <w:num w:numId="19" w16cid:durableId="1228610434">
    <w:abstractNumId w:val="32"/>
  </w:num>
  <w:num w:numId="20" w16cid:durableId="991257352">
    <w:abstractNumId w:val="25"/>
  </w:num>
  <w:num w:numId="21" w16cid:durableId="508298749">
    <w:abstractNumId w:val="26"/>
  </w:num>
  <w:num w:numId="22" w16cid:durableId="350760995">
    <w:abstractNumId w:val="35"/>
  </w:num>
  <w:num w:numId="23" w16cid:durableId="1072389684">
    <w:abstractNumId w:val="13"/>
  </w:num>
  <w:num w:numId="24" w16cid:durableId="1136685639">
    <w:abstractNumId w:val="19"/>
  </w:num>
  <w:num w:numId="25" w16cid:durableId="1613248366">
    <w:abstractNumId w:val="31"/>
  </w:num>
  <w:num w:numId="26" w16cid:durableId="1497961515">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6951511">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25664587">
    <w:abstractNumId w:val="38"/>
  </w:num>
  <w:num w:numId="29" w16cid:durableId="335881761">
    <w:abstractNumId w:val="29"/>
  </w:num>
  <w:num w:numId="30" w16cid:durableId="1738935664">
    <w:abstractNumId w:val="16"/>
  </w:num>
  <w:num w:numId="31" w16cid:durableId="945768687">
    <w:abstractNumId w:val="39"/>
  </w:num>
  <w:num w:numId="32" w16cid:durableId="835725507">
    <w:abstractNumId w:val="47"/>
  </w:num>
  <w:num w:numId="33" w16cid:durableId="1923055410">
    <w:abstractNumId w:val="46"/>
  </w:num>
  <w:num w:numId="34" w16cid:durableId="115220696">
    <w:abstractNumId w:val="40"/>
  </w:num>
  <w:num w:numId="35" w16cid:durableId="1235968134">
    <w:abstractNumId w:val="15"/>
  </w:num>
  <w:num w:numId="36" w16cid:durableId="1334724461">
    <w:abstractNumId w:val="33"/>
  </w:num>
  <w:num w:numId="37" w16cid:durableId="1779594619">
    <w:abstractNumId w:val="42"/>
  </w:num>
  <w:num w:numId="38" w16cid:durableId="1341468419">
    <w:abstractNumId w:val="23"/>
  </w:num>
  <w:num w:numId="39" w16cid:durableId="1030375946">
    <w:abstractNumId w:val="12"/>
  </w:num>
  <w:num w:numId="40" w16cid:durableId="837160876">
    <w:abstractNumId w:val="11"/>
  </w:num>
  <w:num w:numId="41" w16cid:durableId="2120369338">
    <w:abstractNumId w:val="27"/>
  </w:num>
  <w:num w:numId="42" w16cid:durableId="1623338665">
    <w:abstractNumId w:val="41"/>
  </w:num>
  <w:num w:numId="43" w16cid:durableId="1397975863">
    <w:abstractNumId w:val="22"/>
  </w:num>
  <w:num w:numId="44" w16cid:durableId="1826816069">
    <w:abstractNumId w:val="30"/>
  </w:num>
  <w:num w:numId="45" w16cid:durableId="2086297028">
    <w:abstractNumId w:val="20"/>
  </w:num>
  <w:num w:numId="46" w16cid:durableId="39257321">
    <w:abstractNumId w:val="14"/>
  </w:num>
  <w:num w:numId="47" w16cid:durableId="2114086680">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88897894">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59013675">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13335725">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48881974">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88648969">
    <w:abstractNumId w:val="44"/>
  </w:num>
  <w:num w:numId="53" w16cid:durableId="1997805698">
    <w:abstractNumId w:val="34"/>
  </w:num>
  <w:num w:numId="54" w16cid:durableId="990446680">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11499034">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17111156">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2725453">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10770410">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37801712">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9676146">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83182578">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68669567">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79279466">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7971379">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49783439">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35078701">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36242369">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69644650">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06644247">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49445097">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60457878">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14893673">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774521104">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53888607">
    <w:abstractNumId w:val="17"/>
  </w:num>
  <w:num w:numId="75" w16cid:durableId="102461200">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39496303">
    <w:abstractNumId w:val="28"/>
  </w:num>
  <w:num w:numId="77" w16cid:durableId="1680083622">
    <w:abstractNumId w:val="49"/>
  </w:num>
  <w:num w:numId="78" w16cid:durableId="1004632074">
    <w:abstractNumId w:val="24"/>
    <w:lvlOverride w:ilvl="0">
      <w:startOverride w:val="1"/>
    </w:lvlOverride>
  </w:num>
  <w:num w:numId="79" w16cid:durableId="414253458">
    <w:abstractNumId w:val="0"/>
  </w:num>
  <w:num w:numId="80" w16cid:durableId="1229077111">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873275371">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969899888">
    <w:abstractNumId w:val="24"/>
  </w:num>
  <w:num w:numId="83" w16cid:durableId="1511022440">
    <w:abstractNumId w:val="24"/>
  </w:num>
  <w:num w:numId="84" w16cid:durableId="1604723175">
    <w:abstractNumId w:val="24"/>
  </w:num>
  <w:num w:numId="85" w16cid:durableId="315765103">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76070920">
    <w:abstractNumId w:val="13"/>
  </w:num>
  <w:num w:numId="87" w16cid:durableId="1577671239">
    <w:abstractNumId w:val="13"/>
  </w:num>
  <w:num w:numId="88" w16cid:durableId="353919291">
    <w:abstractNumId w:val="13"/>
  </w:num>
  <w:num w:numId="89" w16cid:durableId="307590485">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79110252">
    <w:abstractNumId w:val="13"/>
  </w:num>
  <w:num w:numId="91" w16cid:durableId="748310069">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705013987">
    <w:abstractNumId w:val="24"/>
  </w:num>
  <w:num w:numId="93" w16cid:durableId="669481281">
    <w:abstractNumId w:val="24"/>
  </w:num>
  <w:num w:numId="94" w16cid:durableId="1178231426">
    <w:abstractNumId w:val="24"/>
  </w:num>
  <w:num w:numId="95" w16cid:durableId="85197338">
    <w:abstractNumId w:val="24"/>
  </w:num>
  <w:num w:numId="96" w16cid:durableId="629820512">
    <w:abstractNumId w:val="25"/>
  </w:num>
  <w:num w:numId="97" w16cid:durableId="1580166952">
    <w:abstractNumId w:val="25"/>
  </w:num>
  <w:num w:numId="98" w16cid:durableId="461071820">
    <w:abstractNumId w:val="25"/>
  </w:num>
  <w:num w:numId="99" w16cid:durableId="1263951655">
    <w:abstractNumId w:val="25"/>
  </w:num>
  <w:num w:numId="100" w16cid:durableId="1201162032">
    <w:abstractNumId w:val="25"/>
  </w:num>
  <w:num w:numId="101" w16cid:durableId="468400111">
    <w:abstractNumId w:val="2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02" w16cid:durableId="1737433967">
    <w:abstractNumId w:val="25"/>
  </w:num>
  <w:num w:numId="103" w16cid:durableId="78214976">
    <w:abstractNumId w:val="13"/>
  </w:num>
  <w:num w:numId="104" w16cid:durableId="403839850">
    <w:abstractNumId w:val="24"/>
  </w:num>
  <w:num w:numId="105" w16cid:durableId="1432626980">
    <w:abstractNumId w:val="2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785"/>
    <w:rsid w:val="00000747"/>
    <w:rsid w:val="00000D27"/>
    <w:rsid w:val="00000FA8"/>
    <w:rsid w:val="00000FB8"/>
    <w:rsid w:val="0000106E"/>
    <w:rsid w:val="00001687"/>
    <w:rsid w:val="00001A05"/>
    <w:rsid w:val="00001B54"/>
    <w:rsid w:val="00001BCF"/>
    <w:rsid w:val="00001DE3"/>
    <w:rsid w:val="0000264D"/>
    <w:rsid w:val="00002853"/>
    <w:rsid w:val="00003212"/>
    <w:rsid w:val="00003363"/>
    <w:rsid w:val="000033C0"/>
    <w:rsid w:val="0000457F"/>
    <w:rsid w:val="000047B7"/>
    <w:rsid w:val="00004E29"/>
    <w:rsid w:val="00005E7A"/>
    <w:rsid w:val="00006626"/>
    <w:rsid w:val="00006A4B"/>
    <w:rsid w:val="00006A74"/>
    <w:rsid w:val="00006A80"/>
    <w:rsid w:val="00006D28"/>
    <w:rsid w:val="00007156"/>
    <w:rsid w:val="00007374"/>
    <w:rsid w:val="000079DD"/>
    <w:rsid w:val="00007E01"/>
    <w:rsid w:val="00010598"/>
    <w:rsid w:val="00010827"/>
    <w:rsid w:val="00010BA6"/>
    <w:rsid w:val="000115C5"/>
    <w:rsid w:val="00012221"/>
    <w:rsid w:val="00012C97"/>
    <w:rsid w:val="0001319F"/>
    <w:rsid w:val="0001328C"/>
    <w:rsid w:val="0001444A"/>
    <w:rsid w:val="0001466B"/>
    <w:rsid w:val="0001469E"/>
    <w:rsid w:val="00014DF1"/>
    <w:rsid w:val="00015018"/>
    <w:rsid w:val="0001531B"/>
    <w:rsid w:val="000153B2"/>
    <w:rsid w:val="00015993"/>
    <w:rsid w:val="00017142"/>
    <w:rsid w:val="0001722C"/>
    <w:rsid w:val="0001755D"/>
    <w:rsid w:val="00017CD1"/>
    <w:rsid w:val="00020231"/>
    <w:rsid w:val="00020315"/>
    <w:rsid w:val="0002078C"/>
    <w:rsid w:val="00020AC9"/>
    <w:rsid w:val="00020C46"/>
    <w:rsid w:val="00020C76"/>
    <w:rsid w:val="00020E62"/>
    <w:rsid w:val="00020EE8"/>
    <w:rsid w:val="000216C6"/>
    <w:rsid w:val="00021ACF"/>
    <w:rsid w:val="00021CC0"/>
    <w:rsid w:val="00021CCB"/>
    <w:rsid w:val="00021EC9"/>
    <w:rsid w:val="00022223"/>
    <w:rsid w:val="00022289"/>
    <w:rsid w:val="0002329F"/>
    <w:rsid w:val="00023582"/>
    <w:rsid w:val="000237E9"/>
    <w:rsid w:val="000245C6"/>
    <w:rsid w:val="00024FE7"/>
    <w:rsid w:val="00025006"/>
    <w:rsid w:val="000253EA"/>
    <w:rsid w:val="000254E9"/>
    <w:rsid w:val="0002571D"/>
    <w:rsid w:val="0002579E"/>
    <w:rsid w:val="00025A25"/>
    <w:rsid w:val="00025A6B"/>
    <w:rsid w:val="00025BDA"/>
    <w:rsid w:val="000260EE"/>
    <w:rsid w:val="00026192"/>
    <w:rsid w:val="000266B7"/>
    <w:rsid w:val="00026D9A"/>
    <w:rsid w:val="00027310"/>
    <w:rsid w:val="00027398"/>
    <w:rsid w:val="00027621"/>
    <w:rsid w:val="0002796F"/>
    <w:rsid w:val="00027A5E"/>
    <w:rsid w:val="00027B24"/>
    <w:rsid w:val="00027C10"/>
    <w:rsid w:val="000307DE"/>
    <w:rsid w:val="00030964"/>
    <w:rsid w:val="00031B2B"/>
    <w:rsid w:val="00031D89"/>
    <w:rsid w:val="0003201A"/>
    <w:rsid w:val="0003207A"/>
    <w:rsid w:val="000325C9"/>
    <w:rsid w:val="00032D2A"/>
    <w:rsid w:val="00032F9F"/>
    <w:rsid w:val="0003346B"/>
    <w:rsid w:val="00033B38"/>
    <w:rsid w:val="00033DBE"/>
    <w:rsid w:val="00034247"/>
    <w:rsid w:val="00034A1E"/>
    <w:rsid w:val="00034BD1"/>
    <w:rsid w:val="000358E0"/>
    <w:rsid w:val="000359D1"/>
    <w:rsid w:val="00035CA7"/>
    <w:rsid w:val="00035D9C"/>
    <w:rsid w:val="00035E3F"/>
    <w:rsid w:val="00035F91"/>
    <w:rsid w:val="000363AF"/>
    <w:rsid w:val="000364AC"/>
    <w:rsid w:val="00036E80"/>
    <w:rsid w:val="00037327"/>
    <w:rsid w:val="000373DD"/>
    <w:rsid w:val="00037A96"/>
    <w:rsid w:val="0004061A"/>
    <w:rsid w:val="00040989"/>
    <w:rsid w:val="00040A30"/>
    <w:rsid w:val="00040F2E"/>
    <w:rsid w:val="0004102E"/>
    <w:rsid w:val="000410E3"/>
    <w:rsid w:val="00041579"/>
    <w:rsid w:val="00041AE2"/>
    <w:rsid w:val="00041AFD"/>
    <w:rsid w:val="00041C07"/>
    <w:rsid w:val="00041EAB"/>
    <w:rsid w:val="00042212"/>
    <w:rsid w:val="00043652"/>
    <w:rsid w:val="00043A3C"/>
    <w:rsid w:val="00043B99"/>
    <w:rsid w:val="00044A31"/>
    <w:rsid w:val="00044C74"/>
    <w:rsid w:val="00044EEB"/>
    <w:rsid w:val="00045BB7"/>
    <w:rsid w:val="000466FC"/>
    <w:rsid w:val="000468BD"/>
    <w:rsid w:val="00046F53"/>
    <w:rsid w:val="00047ECF"/>
    <w:rsid w:val="00047EE4"/>
    <w:rsid w:val="0005017B"/>
    <w:rsid w:val="00050421"/>
    <w:rsid w:val="00050604"/>
    <w:rsid w:val="0005089B"/>
    <w:rsid w:val="00050A0F"/>
    <w:rsid w:val="00050E0D"/>
    <w:rsid w:val="0005193E"/>
    <w:rsid w:val="00051965"/>
    <w:rsid w:val="0005340F"/>
    <w:rsid w:val="0005342A"/>
    <w:rsid w:val="00053708"/>
    <w:rsid w:val="0005398D"/>
    <w:rsid w:val="00054640"/>
    <w:rsid w:val="00054ACB"/>
    <w:rsid w:val="00054DC7"/>
    <w:rsid w:val="00054DDB"/>
    <w:rsid w:val="00054F58"/>
    <w:rsid w:val="00055518"/>
    <w:rsid w:val="000556B7"/>
    <w:rsid w:val="00055719"/>
    <w:rsid w:val="000559C7"/>
    <w:rsid w:val="00055B25"/>
    <w:rsid w:val="00055D39"/>
    <w:rsid w:val="0005641B"/>
    <w:rsid w:val="000564F8"/>
    <w:rsid w:val="000569FB"/>
    <w:rsid w:val="00056C1D"/>
    <w:rsid w:val="00056D19"/>
    <w:rsid w:val="00057132"/>
    <w:rsid w:val="000576CA"/>
    <w:rsid w:val="00060032"/>
    <w:rsid w:val="000603D6"/>
    <w:rsid w:val="0006041B"/>
    <w:rsid w:val="00060CB5"/>
    <w:rsid w:val="0006115E"/>
    <w:rsid w:val="000616F0"/>
    <w:rsid w:val="000617CB"/>
    <w:rsid w:val="0006196A"/>
    <w:rsid w:val="000622F1"/>
    <w:rsid w:val="0006278C"/>
    <w:rsid w:val="000628A5"/>
    <w:rsid w:val="000629E2"/>
    <w:rsid w:val="00062C0A"/>
    <w:rsid w:val="00063117"/>
    <w:rsid w:val="000631E7"/>
    <w:rsid w:val="00063462"/>
    <w:rsid w:val="00063F11"/>
    <w:rsid w:val="00063F8E"/>
    <w:rsid w:val="0006466C"/>
    <w:rsid w:val="0006480E"/>
    <w:rsid w:val="00064A3F"/>
    <w:rsid w:val="00064FC6"/>
    <w:rsid w:val="000650F0"/>
    <w:rsid w:val="0006546A"/>
    <w:rsid w:val="0006580A"/>
    <w:rsid w:val="00065C6E"/>
    <w:rsid w:val="00065E0A"/>
    <w:rsid w:val="00066041"/>
    <w:rsid w:val="000664CF"/>
    <w:rsid w:val="0006664F"/>
    <w:rsid w:val="00066944"/>
    <w:rsid w:val="00066970"/>
    <w:rsid w:val="00066B01"/>
    <w:rsid w:val="000673B4"/>
    <w:rsid w:val="00067B9F"/>
    <w:rsid w:val="00067C57"/>
    <w:rsid w:val="00067DA6"/>
    <w:rsid w:val="00067DDF"/>
    <w:rsid w:val="00070133"/>
    <w:rsid w:val="00070517"/>
    <w:rsid w:val="000706EF"/>
    <w:rsid w:val="000712A0"/>
    <w:rsid w:val="00071647"/>
    <w:rsid w:val="000718C6"/>
    <w:rsid w:val="00071E5A"/>
    <w:rsid w:val="00071FB3"/>
    <w:rsid w:val="0007246D"/>
    <w:rsid w:val="00072BC4"/>
    <w:rsid w:val="00072E1B"/>
    <w:rsid w:val="00073958"/>
    <w:rsid w:val="00073E56"/>
    <w:rsid w:val="000741B4"/>
    <w:rsid w:val="0007444B"/>
    <w:rsid w:val="00074846"/>
    <w:rsid w:val="0007513E"/>
    <w:rsid w:val="000752F2"/>
    <w:rsid w:val="00075777"/>
    <w:rsid w:val="00075B99"/>
    <w:rsid w:val="00075F96"/>
    <w:rsid w:val="000766A4"/>
    <w:rsid w:val="00076AAC"/>
    <w:rsid w:val="00077302"/>
    <w:rsid w:val="00077768"/>
    <w:rsid w:val="000802DB"/>
    <w:rsid w:val="0008075B"/>
    <w:rsid w:val="00080C41"/>
    <w:rsid w:val="00081381"/>
    <w:rsid w:val="00081497"/>
    <w:rsid w:val="00081714"/>
    <w:rsid w:val="00081C45"/>
    <w:rsid w:val="00081CCA"/>
    <w:rsid w:val="000824E2"/>
    <w:rsid w:val="000831EC"/>
    <w:rsid w:val="000834F6"/>
    <w:rsid w:val="00084017"/>
    <w:rsid w:val="00084018"/>
    <w:rsid w:val="00084126"/>
    <w:rsid w:val="000845FB"/>
    <w:rsid w:val="000845FD"/>
    <w:rsid w:val="00084728"/>
    <w:rsid w:val="00085255"/>
    <w:rsid w:val="0008589F"/>
    <w:rsid w:val="00086020"/>
    <w:rsid w:val="000862E0"/>
    <w:rsid w:val="00086470"/>
    <w:rsid w:val="000864CA"/>
    <w:rsid w:val="00086C0A"/>
    <w:rsid w:val="00086C15"/>
    <w:rsid w:val="00086EF9"/>
    <w:rsid w:val="00087438"/>
    <w:rsid w:val="000876A6"/>
    <w:rsid w:val="000878FE"/>
    <w:rsid w:val="00087D40"/>
    <w:rsid w:val="000903C7"/>
    <w:rsid w:val="0009043F"/>
    <w:rsid w:val="000907D5"/>
    <w:rsid w:val="00090960"/>
    <w:rsid w:val="00090C1F"/>
    <w:rsid w:val="0009158C"/>
    <w:rsid w:val="000916B4"/>
    <w:rsid w:val="00091743"/>
    <w:rsid w:val="00091862"/>
    <w:rsid w:val="00091D19"/>
    <w:rsid w:val="000922B7"/>
    <w:rsid w:val="00092572"/>
    <w:rsid w:val="00092E3B"/>
    <w:rsid w:val="00092FFA"/>
    <w:rsid w:val="00094397"/>
    <w:rsid w:val="00094722"/>
    <w:rsid w:val="000948AE"/>
    <w:rsid w:val="00094D3C"/>
    <w:rsid w:val="00094E56"/>
    <w:rsid w:val="000955BF"/>
    <w:rsid w:val="00095902"/>
    <w:rsid w:val="00096A14"/>
    <w:rsid w:val="00096BE2"/>
    <w:rsid w:val="00096F9D"/>
    <w:rsid w:val="0009765B"/>
    <w:rsid w:val="000979D5"/>
    <w:rsid w:val="00097EF2"/>
    <w:rsid w:val="000A04DC"/>
    <w:rsid w:val="000A066F"/>
    <w:rsid w:val="000A10B0"/>
    <w:rsid w:val="000A10BB"/>
    <w:rsid w:val="000A14FC"/>
    <w:rsid w:val="000A18E2"/>
    <w:rsid w:val="000A192C"/>
    <w:rsid w:val="000A1E74"/>
    <w:rsid w:val="000A2405"/>
    <w:rsid w:val="000A285A"/>
    <w:rsid w:val="000A2DE7"/>
    <w:rsid w:val="000A2E76"/>
    <w:rsid w:val="000A327C"/>
    <w:rsid w:val="000A346F"/>
    <w:rsid w:val="000A38F0"/>
    <w:rsid w:val="000A3A5C"/>
    <w:rsid w:val="000A3D55"/>
    <w:rsid w:val="000A44C9"/>
    <w:rsid w:val="000A454A"/>
    <w:rsid w:val="000A467B"/>
    <w:rsid w:val="000A4807"/>
    <w:rsid w:val="000A4AF4"/>
    <w:rsid w:val="000A4BE4"/>
    <w:rsid w:val="000A4D60"/>
    <w:rsid w:val="000A4E00"/>
    <w:rsid w:val="000A5081"/>
    <w:rsid w:val="000A51DE"/>
    <w:rsid w:val="000A52E7"/>
    <w:rsid w:val="000A55EF"/>
    <w:rsid w:val="000A579A"/>
    <w:rsid w:val="000A5897"/>
    <w:rsid w:val="000A5977"/>
    <w:rsid w:val="000A5C10"/>
    <w:rsid w:val="000A77FC"/>
    <w:rsid w:val="000A7AEA"/>
    <w:rsid w:val="000B0A75"/>
    <w:rsid w:val="000B0FD9"/>
    <w:rsid w:val="000B1100"/>
    <w:rsid w:val="000B1445"/>
    <w:rsid w:val="000B1FFE"/>
    <w:rsid w:val="000B2AD0"/>
    <w:rsid w:val="000B3155"/>
    <w:rsid w:val="000B3B03"/>
    <w:rsid w:val="000B3B9A"/>
    <w:rsid w:val="000B3DDF"/>
    <w:rsid w:val="000B3E55"/>
    <w:rsid w:val="000B429D"/>
    <w:rsid w:val="000B4BE7"/>
    <w:rsid w:val="000B5101"/>
    <w:rsid w:val="000B54ED"/>
    <w:rsid w:val="000B56DA"/>
    <w:rsid w:val="000B57EC"/>
    <w:rsid w:val="000B5FB2"/>
    <w:rsid w:val="000B6A2E"/>
    <w:rsid w:val="000B6A4F"/>
    <w:rsid w:val="000B74BC"/>
    <w:rsid w:val="000B7503"/>
    <w:rsid w:val="000B793F"/>
    <w:rsid w:val="000B7E4B"/>
    <w:rsid w:val="000B7E7E"/>
    <w:rsid w:val="000C023E"/>
    <w:rsid w:val="000C07DA"/>
    <w:rsid w:val="000C0818"/>
    <w:rsid w:val="000C0CE5"/>
    <w:rsid w:val="000C0E21"/>
    <w:rsid w:val="000C1369"/>
    <w:rsid w:val="000C1423"/>
    <w:rsid w:val="000C1E9B"/>
    <w:rsid w:val="000C1EE8"/>
    <w:rsid w:val="000C1FC2"/>
    <w:rsid w:val="000C24B2"/>
    <w:rsid w:val="000C2D44"/>
    <w:rsid w:val="000C3258"/>
    <w:rsid w:val="000C39CB"/>
    <w:rsid w:val="000C3AD8"/>
    <w:rsid w:val="000C405D"/>
    <w:rsid w:val="000C421A"/>
    <w:rsid w:val="000C4259"/>
    <w:rsid w:val="000C4272"/>
    <w:rsid w:val="000C4393"/>
    <w:rsid w:val="000C4446"/>
    <w:rsid w:val="000C50CD"/>
    <w:rsid w:val="000C50E4"/>
    <w:rsid w:val="000C5195"/>
    <w:rsid w:val="000C5BB2"/>
    <w:rsid w:val="000C6164"/>
    <w:rsid w:val="000C62EF"/>
    <w:rsid w:val="000C673B"/>
    <w:rsid w:val="000C6B65"/>
    <w:rsid w:val="000C7D90"/>
    <w:rsid w:val="000D014C"/>
    <w:rsid w:val="000D0429"/>
    <w:rsid w:val="000D068A"/>
    <w:rsid w:val="000D08E1"/>
    <w:rsid w:val="000D096B"/>
    <w:rsid w:val="000D098E"/>
    <w:rsid w:val="000D1B9D"/>
    <w:rsid w:val="000D1F40"/>
    <w:rsid w:val="000D2137"/>
    <w:rsid w:val="000D26EA"/>
    <w:rsid w:val="000D31BF"/>
    <w:rsid w:val="000D31CB"/>
    <w:rsid w:val="000D342F"/>
    <w:rsid w:val="000D3C14"/>
    <w:rsid w:val="000D3D6D"/>
    <w:rsid w:val="000D3E0F"/>
    <w:rsid w:val="000D3FD2"/>
    <w:rsid w:val="000D423B"/>
    <w:rsid w:val="000D4AC0"/>
    <w:rsid w:val="000D4B2E"/>
    <w:rsid w:val="000D4B5B"/>
    <w:rsid w:val="000D4B80"/>
    <w:rsid w:val="000D4D31"/>
    <w:rsid w:val="000D4D4E"/>
    <w:rsid w:val="000D5185"/>
    <w:rsid w:val="000D56EE"/>
    <w:rsid w:val="000D62BE"/>
    <w:rsid w:val="000D647D"/>
    <w:rsid w:val="000D7660"/>
    <w:rsid w:val="000D7C40"/>
    <w:rsid w:val="000E0629"/>
    <w:rsid w:val="000E068F"/>
    <w:rsid w:val="000E084C"/>
    <w:rsid w:val="000E08D4"/>
    <w:rsid w:val="000E08F7"/>
    <w:rsid w:val="000E0B22"/>
    <w:rsid w:val="000E0BE5"/>
    <w:rsid w:val="000E1002"/>
    <w:rsid w:val="000E1069"/>
    <w:rsid w:val="000E134F"/>
    <w:rsid w:val="000E13A5"/>
    <w:rsid w:val="000E1722"/>
    <w:rsid w:val="000E1D9F"/>
    <w:rsid w:val="000E200E"/>
    <w:rsid w:val="000E227B"/>
    <w:rsid w:val="000E22AF"/>
    <w:rsid w:val="000E230F"/>
    <w:rsid w:val="000E27D0"/>
    <w:rsid w:val="000E2D97"/>
    <w:rsid w:val="000E30DC"/>
    <w:rsid w:val="000E3250"/>
    <w:rsid w:val="000E362C"/>
    <w:rsid w:val="000E3741"/>
    <w:rsid w:val="000E3E5A"/>
    <w:rsid w:val="000E3FC8"/>
    <w:rsid w:val="000E4198"/>
    <w:rsid w:val="000E4598"/>
    <w:rsid w:val="000E48E1"/>
    <w:rsid w:val="000E4E32"/>
    <w:rsid w:val="000E5215"/>
    <w:rsid w:val="000E523A"/>
    <w:rsid w:val="000E590E"/>
    <w:rsid w:val="000E5EEA"/>
    <w:rsid w:val="000E6559"/>
    <w:rsid w:val="000E7335"/>
    <w:rsid w:val="000E762D"/>
    <w:rsid w:val="000E7BAE"/>
    <w:rsid w:val="000F07D9"/>
    <w:rsid w:val="000F0F98"/>
    <w:rsid w:val="000F133D"/>
    <w:rsid w:val="000F19C3"/>
    <w:rsid w:val="000F2183"/>
    <w:rsid w:val="000F47BA"/>
    <w:rsid w:val="000F57E2"/>
    <w:rsid w:val="000F5A92"/>
    <w:rsid w:val="000F5B14"/>
    <w:rsid w:val="000F5B8A"/>
    <w:rsid w:val="000F5EF9"/>
    <w:rsid w:val="000F5FA1"/>
    <w:rsid w:val="000F6E35"/>
    <w:rsid w:val="000F7CBF"/>
    <w:rsid w:val="000F7E9F"/>
    <w:rsid w:val="0010032A"/>
    <w:rsid w:val="00100546"/>
    <w:rsid w:val="00100775"/>
    <w:rsid w:val="001008C6"/>
    <w:rsid w:val="00100938"/>
    <w:rsid w:val="0010096C"/>
    <w:rsid w:val="00100BC9"/>
    <w:rsid w:val="00100F9D"/>
    <w:rsid w:val="0010114A"/>
    <w:rsid w:val="00102337"/>
    <w:rsid w:val="0010254B"/>
    <w:rsid w:val="001027DB"/>
    <w:rsid w:val="00102999"/>
    <w:rsid w:val="00103321"/>
    <w:rsid w:val="0010356E"/>
    <w:rsid w:val="00103F3E"/>
    <w:rsid w:val="00103FAB"/>
    <w:rsid w:val="00104075"/>
    <w:rsid w:val="0010442B"/>
    <w:rsid w:val="001044AF"/>
    <w:rsid w:val="0010470F"/>
    <w:rsid w:val="00104992"/>
    <w:rsid w:val="0010536B"/>
    <w:rsid w:val="001054D5"/>
    <w:rsid w:val="00105707"/>
    <w:rsid w:val="00105D60"/>
    <w:rsid w:val="0010668F"/>
    <w:rsid w:val="00106A0D"/>
    <w:rsid w:val="00106B70"/>
    <w:rsid w:val="00106C7E"/>
    <w:rsid w:val="00106FA7"/>
    <w:rsid w:val="00106FBC"/>
    <w:rsid w:val="001075C2"/>
    <w:rsid w:val="0010766E"/>
    <w:rsid w:val="00107C8F"/>
    <w:rsid w:val="0011045D"/>
    <w:rsid w:val="00110487"/>
    <w:rsid w:val="00110524"/>
    <w:rsid w:val="001107CA"/>
    <w:rsid w:val="0011094C"/>
    <w:rsid w:val="00110B3F"/>
    <w:rsid w:val="0011145C"/>
    <w:rsid w:val="001114BA"/>
    <w:rsid w:val="001116F0"/>
    <w:rsid w:val="001117A0"/>
    <w:rsid w:val="0011195F"/>
    <w:rsid w:val="001126E4"/>
    <w:rsid w:val="001128BD"/>
    <w:rsid w:val="001129EC"/>
    <w:rsid w:val="00112AAF"/>
    <w:rsid w:val="00112C91"/>
    <w:rsid w:val="0011419D"/>
    <w:rsid w:val="001143AE"/>
    <w:rsid w:val="001144BC"/>
    <w:rsid w:val="00114599"/>
    <w:rsid w:val="0011472F"/>
    <w:rsid w:val="00114A50"/>
    <w:rsid w:val="00114B02"/>
    <w:rsid w:val="00115337"/>
    <w:rsid w:val="00115811"/>
    <w:rsid w:val="001164D0"/>
    <w:rsid w:val="001167F7"/>
    <w:rsid w:val="0011702A"/>
    <w:rsid w:val="0011752F"/>
    <w:rsid w:val="001175FA"/>
    <w:rsid w:val="001178E0"/>
    <w:rsid w:val="00117912"/>
    <w:rsid w:val="0012064B"/>
    <w:rsid w:val="0012077B"/>
    <w:rsid w:val="00120A52"/>
    <w:rsid w:val="00120ADD"/>
    <w:rsid w:val="0012132D"/>
    <w:rsid w:val="001218A5"/>
    <w:rsid w:val="001218D8"/>
    <w:rsid w:val="00121A3F"/>
    <w:rsid w:val="00122040"/>
    <w:rsid w:val="001220A7"/>
    <w:rsid w:val="001226C0"/>
    <w:rsid w:val="00123550"/>
    <w:rsid w:val="001235FC"/>
    <w:rsid w:val="00123787"/>
    <w:rsid w:val="00123A6E"/>
    <w:rsid w:val="00124796"/>
    <w:rsid w:val="00124B4F"/>
    <w:rsid w:val="00124FEA"/>
    <w:rsid w:val="001250AA"/>
    <w:rsid w:val="00125A05"/>
    <w:rsid w:val="00126671"/>
    <w:rsid w:val="00126EC8"/>
    <w:rsid w:val="0012731C"/>
    <w:rsid w:val="001276A6"/>
    <w:rsid w:val="00127FB5"/>
    <w:rsid w:val="00130149"/>
    <w:rsid w:val="00130257"/>
    <w:rsid w:val="001309F8"/>
    <w:rsid w:val="00130E00"/>
    <w:rsid w:val="00131022"/>
    <w:rsid w:val="00131517"/>
    <w:rsid w:val="0013157C"/>
    <w:rsid w:val="001315AD"/>
    <w:rsid w:val="00131B40"/>
    <w:rsid w:val="00131D16"/>
    <w:rsid w:val="00131E59"/>
    <w:rsid w:val="00132054"/>
    <w:rsid w:val="00132129"/>
    <w:rsid w:val="00132270"/>
    <w:rsid w:val="0013242D"/>
    <w:rsid w:val="00132858"/>
    <w:rsid w:val="00132BA2"/>
    <w:rsid w:val="00132CE8"/>
    <w:rsid w:val="00132D4C"/>
    <w:rsid w:val="00133108"/>
    <w:rsid w:val="001333FD"/>
    <w:rsid w:val="00133426"/>
    <w:rsid w:val="00133AC0"/>
    <w:rsid w:val="00133C53"/>
    <w:rsid w:val="00134964"/>
    <w:rsid w:val="00134AD2"/>
    <w:rsid w:val="0013510D"/>
    <w:rsid w:val="00135181"/>
    <w:rsid w:val="001351B9"/>
    <w:rsid w:val="00135FD9"/>
    <w:rsid w:val="00136630"/>
    <w:rsid w:val="00136E9A"/>
    <w:rsid w:val="00136E9D"/>
    <w:rsid w:val="001372B0"/>
    <w:rsid w:val="001374F1"/>
    <w:rsid w:val="00137E94"/>
    <w:rsid w:val="00140950"/>
    <w:rsid w:val="00141F8F"/>
    <w:rsid w:val="001424A8"/>
    <w:rsid w:val="00142616"/>
    <w:rsid w:val="00142855"/>
    <w:rsid w:val="00143162"/>
    <w:rsid w:val="001438BE"/>
    <w:rsid w:val="00143A90"/>
    <w:rsid w:val="00143B4A"/>
    <w:rsid w:val="00143BC9"/>
    <w:rsid w:val="00143E1B"/>
    <w:rsid w:val="00143F51"/>
    <w:rsid w:val="00144594"/>
    <w:rsid w:val="001448CF"/>
    <w:rsid w:val="00144D4C"/>
    <w:rsid w:val="0014520F"/>
    <w:rsid w:val="001453AF"/>
    <w:rsid w:val="00145AB7"/>
    <w:rsid w:val="00146061"/>
    <w:rsid w:val="00146CB7"/>
    <w:rsid w:val="00146EB6"/>
    <w:rsid w:val="00146FB5"/>
    <w:rsid w:val="00147AE5"/>
    <w:rsid w:val="00147E58"/>
    <w:rsid w:val="001504D5"/>
    <w:rsid w:val="001505D9"/>
    <w:rsid w:val="001507AE"/>
    <w:rsid w:val="00150A33"/>
    <w:rsid w:val="00151060"/>
    <w:rsid w:val="001512DA"/>
    <w:rsid w:val="00151631"/>
    <w:rsid w:val="00151BC8"/>
    <w:rsid w:val="0015227E"/>
    <w:rsid w:val="001523D6"/>
    <w:rsid w:val="00152BF3"/>
    <w:rsid w:val="001535CC"/>
    <w:rsid w:val="0015361B"/>
    <w:rsid w:val="00153F5C"/>
    <w:rsid w:val="00154051"/>
    <w:rsid w:val="001547BD"/>
    <w:rsid w:val="00154834"/>
    <w:rsid w:val="00154C2F"/>
    <w:rsid w:val="00155029"/>
    <w:rsid w:val="00155032"/>
    <w:rsid w:val="00155789"/>
    <w:rsid w:val="00155A6B"/>
    <w:rsid w:val="00155CD2"/>
    <w:rsid w:val="001560BA"/>
    <w:rsid w:val="00156753"/>
    <w:rsid w:val="00156B92"/>
    <w:rsid w:val="00156D91"/>
    <w:rsid w:val="0015720C"/>
    <w:rsid w:val="00157D90"/>
    <w:rsid w:val="00157E10"/>
    <w:rsid w:val="00160176"/>
    <w:rsid w:val="00160926"/>
    <w:rsid w:val="001612A4"/>
    <w:rsid w:val="001617E6"/>
    <w:rsid w:val="00161C1D"/>
    <w:rsid w:val="00162091"/>
    <w:rsid w:val="0016265E"/>
    <w:rsid w:val="0016276A"/>
    <w:rsid w:val="00162C72"/>
    <w:rsid w:val="00162D87"/>
    <w:rsid w:val="00162DBF"/>
    <w:rsid w:val="00163039"/>
    <w:rsid w:val="001630E8"/>
    <w:rsid w:val="001634DD"/>
    <w:rsid w:val="00163730"/>
    <w:rsid w:val="00163A00"/>
    <w:rsid w:val="00163C6B"/>
    <w:rsid w:val="001641A4"/>
    <w:rsid w:val="001641AA"/>
    <w:rsid w:val="00164518"/>
    <w:rsid w:val="00165165"/>
    <w:rsid w:val="0016544D"/>
    <w:rsid w:val="001654AD"/>
    <w:rsid w:val="00165874"/>
    <w:rsid w:val="00165ABA"/>
    <w:rsid w:val="0016635F"/>
    <w:rsid w:val="0016701F"/>
    <w:rsid w:val="00167328"/>
    <w:rsid w:val="00167711"/>
    <w:rsid w:val="001678CA"/>
    <w:rsid w:val="00167976"/>
    <w:rsid w:val="00167AE1"/>
    <w:rsid w:val="00167C4A"/>
    <w:rsid w:val="00167EFF"/>
    <w:rsid w:val="00167F59"/>
    <w:rsid w:val="0017137F"/>
    <w:rsid w:val="0017159D"/>
    <w:rsid w:val="0017164B"/>
    <w:rsid w:val="001727A4"/>
    <w:rsid w:val="0017376C"/>
    <w:rsid w:val="001738AB"/>
    <w:rsid w:val="00174042"/>
    <w:rsid w:val="00174326"/>
    <w:rsid w:val="001747FF"/>
    <w:rsid w:val="0017557D"/>
    <w:rsid w:val="0017585D"/>
    <w:rsid w:val="00175C41"/>
    <w:rsid w:val="00175C67"/>
    <w:rsid w:val="00175EDC"/>
    <w:rsid w:val="001761D3"/>
    <w:rsid w:val="00176328"/>
    <w:rsid w:val="001765E0"/>
    <w:rsid w:val="001769C1"/>
    <w:rsid w:val="00176EA0"/>
    <w:rsid w:val="00177087"/>
    <w:rsid w:val="0017746D"/>
    <w:rsid w:val="00177759"/>
    <w:rsid w:val="001778F4"/>
    <w:rsid w:val="00177990"/>
    <w:rsid w:val="00177A6E"/>
    <w:rsid w:val="00177B86"/>
    <w:rsid w:val="00180180"/>
    <w:rsid w:val="001805C7"/>
    <w:rsid w:val="00180920"/>
    <w:rsid w:val="00180B40"/>
    <w:rsid w:val="00180BB3"/>
    <w:rsid w:val="00180D28"/>
    <w:rsid w:val="00180E9C"/>
    <w:rsid w:val="0018145A"/>
    <w:rsid w:val="001815F8"/>
    <w:rsid w:val="00181882"/>
    <w:rsid w:val="001819F1"/>
    <w:rsid w:val="00181DAD"/>
    <w:rsid w:val="00181F65"/>
    <w:rsid w:val="0018204C"/>
    <w:rsid w:val="001833DB"/>
    <w:rsid w:val="00183785"/>
    <w:rsid w:val="00183801"/>
    <w:rsid w:val="00183848"/>
    <w:rsid w:val="001838D0"/>
    <w:rsid w:val="00183FDB"/>
    <w:rsid w:val="001841B9"/>
    <w:rsid w:val="001852E8"/>
    <w:rsid w:val="001856D9"/>
    <w:rsid w:val="00185DD6"/>
    <w:rsid w:val="00185E6B"/>
    <w:rsid w:val="00186012"/>
    <w:rsid w:val="00186A23"/>
    <w:rsid w:val="001871A0"/>
    <w:rsid w:val="0018768E"/>
    <w:rsid w:val="00187858"/>
    <w:rsid w:val="00187B15"/>
    <w:rsid w:val="00187B8D"/>
    <w:rsid w:val="00187BBC"/>
    <w:rsid w:val="0019056D"/>
    <w:rsid w:val="00190B7D"/>
    <w:rsid w:val="00190F53"/>
    <w:rsid w:val="00191181"/>
    <w:rsid w:val="00191906"/>
    <w:rsid w:val="00191A17"/>
    <w:rsid w:val="00191B85"/>
    <w:rsid w:val="00191C95"/>
    <w:rsid w:val="00191CF5"/>
    <w:rsid w:val="0019227B"/>
    <w:rsid w:val="001923F4"/>
    <w:rsid w:val="0019260A"/>
    <w:rsid w:val="0019266F"/>
    <w:rsid w:val="00192907"/>
    <w:rsid w:val="00192A2C"/>
    <w:rsid w:val="00192BB0"/>
    <w:rsid w:val="00192D17"/>
    <w:rsid w:val="00192FF0"/>
    <w:rsid w:val="0019308E"/>
    <w:rsid w:val="001931C6"/>
    <w:rsid w:val="001932F3"/>
    <w:rsid w:val="00193409"/>
    <w:rsid w:val="00193B4F"/>
    <w:rsid w:val="00194024"/>
    <w:rsid w:val="0019408A"/>
    <w:rsid w:val="00194318"/>
    <w:rsid w:val="00194E7C"/>
    <w:rsid w:val="001952CA"/>
    <w:rsid w:val="00195348"/>
    <w:rsid w:val="001955DD"/>
    <w:rsid w:val="00195E38"/>
    <w:rsid w:val="00196166"/>
    <w:rsid w:val="001966DB"/>
    <w:rsid w:val="00196824"/>
    <w:rsid w:val="001968F9"/>
    <w:rsid w:val="00196938"/>
    <w:rsid w:val="00196974"/>
    <w:rsid w:val="00196A2E"/>
    <w:rsid w:val="00196C2E"/>
    <w:rsid w:val="0019717C"/>
    <w:rsid w:val="001971AB"/>
    <w:rsid w:val="00197416"/>
    <w:rsid w:val="00197CD8"/>
    <w:rsid w:val="001A015B"/>
    <w:rsid w:val="001A02AB"/>
    <w:rsid w:val="001A04B7"/>
    <w:rsid w:val="001A06AF"/>
    <w:rsid w:val="001A08B1"/>
    <w:rsid w:val="001A0C85"/>
    <w:rsid w:val="001A112A"/>
    <w:rsid w:val="001A113D"/>
    <w:rsid w:val="001A1328"/>
    <w:rsid w:val="001A1901"/>
    <w:rsid w:val="001A1E3B"/>
    <w:rsid w:val="001A1E48"/>
    <w:rsid w:val="001A24C5"/>
    <w:rsid w:val="001A282D"/>
    <w:rsid w:val="001A28DE"/>
    <w:rsid w:val="001A2B40"/>
    <w:rsid w:val="001A304B"/>
    <w:rsid w:val="001A328F"/>
    <w:rsid w:val="001A3980"/>
    <w:rsid w:val="001A3A2C"/>
    <w:rsid w:val="001A3F02"/>
    <w:rsid w:val="001A4062"/>
    <w:rsid w:val="001A4309"/>
    <w:rsid w:val="001A458C"/>
    <w:rsid w:val="001A46AE"/>
    <w:rsid w:val="001A4ADE"/>
    <w:rsid w:val="001A57F7"/>
    <w:rsid w:val="001A5FC5"/>
    <w:rsid w:val="001A63C9"/>
    <w:rsid w:val="001A6863"/>
    <w:rsid w:val="001A6C16"/>
    <w:rsid w:val="001A6C52"/>
    <w:rsid w:val="001A6D85"/>
    <w:rsid w:val="001A7358"/>
    <w:rsid w:val="001A7EDB"/>
    <w:rsid w:val="001B0BD6"/>
    <w:rsid w:val="001B0E21"/>
    <w:rsid w:val="001B0F18"/>
    <w:rsid w:val="001B0FBB"/>
    <w:rsid w:val="001B1053"/>
    <w:rsid w:val="001B14AC"/>
    <w:rsid w:val="001B15C4"/>
    <w:rsid w:val="001B175F"/>
    <w:rsid w:val="001B1BAE"/>
    <w:rsid w:val="001B22CB"/>
    <w:rsid w:val="001B25EE"/>
    <w:rsid w:val="001B2959"/>
    <w:rsid w:val="001B2BF2"/>
    <w:rsid w:val="001B344D"/>
    <w:rsid w:val="001B34F5"/>
    <w:rsid w:val="001B358B"/>
    <w:rsid w:val="001B369A"/>
    <w:rsid w:val="001B3D72"/>
    <w:rsid w:val="001B4187"/>
    <w:rsid w:val="001B45A2"/>
    <w:rsid w:val="001B482D"/>
    <w:rsid w:val="001B48F8"/>
    <w:rsid w:val="001B4D78"/>
    <w:rsid w:val="001B4DA7"/>
    <w:rsid w:val="001B5EAF"/>
    <w:rsid w:val="001B623A"/>
    <w:rsid w:val="001B720A"/>
    <w:rsid w:val="001B75E4"/>
    <w:rsid w:val="001B7940"/>
    <w:rsid w:val="001B79A9"/>
    <w:rsid w:val="001C0050"/>
    <w:rsid w:val="001C05C3"/>
    <w:rsid w:val="001C0667"/>
    <w:rsid w:val="001C0A04"/>
    <w:rsid w:val="001C0FEA"/>
    <w:rsid w:val="001C11C8"/>
    <w:rsid w:val="001C171A"/>
    <w:rsid w:val="001C1B89"/>
    <w:rsid w:val="001C1D9A"/>
    <w:rsid w:val="001C204E"/>
    <w:rsid w:val="001C27DE"/>
    <w:rsid w:val="001C298C"/>
    <w:rsid w:val="001C2D31"/>
    <w:rsid w:val="001C2DB0"/>
    <w:rsid w:val="001C2FE0"/>
    <w:rsid w:val="001C30F7"/>
    <w:rsid w:val="001C319B"/>
    <w:rsid w:val="001C31A7"/>
    <w:rsid w:val="001C3431"/>
    <w:rsid w:val="001C37CA"/>
    <w:rsid w:val="001C3D7B"/>
    <w:rsid w:val="001C402B"/>
    <w:rsid w:val="001C4085"/>
    <w:rsid w:val="001C4267"/>
    <w:rsid w:val="001C42D6"/>
    <w:rsid w:val="001C4432"/>
    <w:rsid w:val="001C4594"/>
    <w:rsid w:val="001C4893"/>
    <w:rsid w:val="001C4D8A"/>
    <w:rsid w:val="001C5321"/>
    <w:rsid w:val="001C55AC"/>
    <w:rsid w:val="001C56FE"/>
    <w:rsid w:val="001C591C"/>
    <w:rsid w:val="001C5F8D"/>
    <w:rsid w:val="001C6136"/>
    <w:rsid w:val="001C62ED"/>
    <w:rsid w:val="001C657E"/>
    <w:rsid w:val="001C65B0"/>
    <w:rsid w:val="001C667B"/>
    <w:rsid w:val="001C676E"/>
    <w:rsid w:val="001C7A1A"/>
    <w:rsid w:val="001C7AE2"/>
    <w:rsid w:val="001D01C0"/>
    <w:rsid w:val="001D1970"/>
    <w:rsid w:val="001D1B2A"/>
    <w:rsid w:val="001D1BCF"/>
    <w:rsid w:val="001D2116"/>
    <w:rsid w:val="001D261B"/>
    <w:rsid w:val="001D295A"/>
    <w:rsid w:val="001D2D68"/>
    <w:rsid w:val="001D34F1"/>
    <w:rsid w:val="001D355E"/>
    <w:rsid w:val="001D3975"/>
    <w:rsid w:val="001D3987"/>
    <w:rsid w:val="001D3C28"/>
    <w:rsid w:val="001D3D53"/>
    <w:rsid w:val="001D4012"/>
    <w:rsid w:val="001D40F2"/>
    <w:rsid w:val="001D4303"/>
    <w:rsid w:val="001D4773"/>
    <w:rsid w:val="001D4977"/>
    <w:rsid w:val="001D595F"/>
    <w:rsid w:val="001D5A89"/>
    <w:rsid w:val="001D6624"/>
    <w:rsid w:val="001D66BA"/>
    <w:rsid w:val="001D6746"/>
    <w:rsid w:val="001D6BCC"/>
    <w:rsid w:val="001D6FE5"/>
    <w:rsid w:val="001D7B98"/>
    <w:rsid w:val="001D7F2D"/>
    <w:rsid w:val="001E0576"/>
    <w:rsid w:val="001E0C61"/>
    <w:rsid w:val="001E0D79"/>
    <w:rsid w:val="001E1499"/>
    <w:rsid w:val="001E1909"/>
    <w:rsid w:val="001E1E7E"/>
    <w:rsid w:val="001E1ECF"/>
    <w:rsid w:val="001E1EF6"/>
    <w:rsid w:val="001E27AE"/>
    <w:rsid w:val="001E2990"/>
    <w:rsid w:val="001E334B"/>
    <w:rsid w:val="001E3368"/>
    <w:rsid w:val="001E3452"/>
    <w:rsid w:val="001E3B49"/>
    <w:rsid w:val="001E3C41"/>
    <w:rsid w:val="001E3ECF"/>
    <w:rsid w:val="001E43C0"/>
    <w:rsid w:val="001E4A05"/>
    <w:rsid w:val="001E537B"/>
    <w:rsid w:val="001E576D"/>
    <w:rsid w:val="001E57AD"/>
    <w:rsid w:val="001E5806"/>
    <w:rsid w:val="001E5B6B"/>
    <w:rsid w:val="001E5E1E"/>
    <w:rsid w:val="001E6A19"/>
    <w:rsid w:val="001E6AA8"/>
    <w:rsid w:val="001E6B80"/>
    <w:rsid w:val="001E6F21"/>
    <w:rsid w:val="001E7363"/>
    <w:rsid w:val="001E7388"/>
    <w:rsid w:val="001E7DAD"/>
    <w:rsid w:val="001F0016"/>
    <w:rsid w:val="001F06B6"/>
    <w:rsid w:val="001F0CE8"/>
    <w:rsid w:val="001F0DFB"/>
    <w:rsid w:val="001F0EF7"/>
    <w:rsid w:val="001F1114"/>
    <w:rsid w:val="001F13DD"/>
    <w:rsid w:val="001F155E"/>
    <w:rsid w:val="001F18BF"/>
    <w:rsid w:val="001F1B0F"/>
    <w:rsid w:val="001F1D50"/>
    <w:rsid w:val="001F1E0B"/>
    <w:rsid w:val="001F1E6B"/>
    <w:rsid w:val="001F20D8"/>
    <w:rsid w:val="001F2298"/>
    <w:rsid w:val="001F22EC"/>
    <w:rsid w:val="001F2473"/>
    <w:rsid w:val="001F27C0"/>
    <w:rsid w:val="001F2DBC"/>
    <w:rsid w:val="001F3BF4"/>
    <w:rsid w:val="001F406C"/>
    <w:rsid w:val="001F4204"/>
    <w:rsid w:val="001F4406"/>
    <w:rsid w:val="001F5220"/>
    <w:rsid w:val="001F5239"/>
    <w:rsid w:val="001F53FE"/>
    <w:rsid w:val="001F5B10"/>
    <w:rsid w:val="001F6386"/>
    <w:rsid w:val="001F6C03"/>
    <w:rsid w:val="001F6F92"/>
    <w:rsid w:val="001F710D"/>
    <w:rsid w:val="001F7120"/>
    <w:rsid w:val="001F731A"/>
    <w:rsid w:val="001F73E8"/>
    <w:rsid w:val="001F7AF8"/>
    <w:rsid w:val="002000A1"/>
    <w:rsid w:val="002006A1"/>
    <w:rsid w:val="00200B95"/>
    <w:rsid w:val="00201374"/>
    <w:rsid w:val="00201B1B"/>
    <w:rsid w:val="00201C88"/>
    <w:rsid w:val="00201CAF"/>
    <w:rsid w:val="00201EA1"/>
    <w:rsid w:val="00202109"/>
    <w:rsid w:val="002021F2"/>
    <w:rsid w:val="00202549"/>
    <w:rsid w:val="0020262C"/>
    <w:rsid w:val="00202723"/>
    <w:rsid w:val="0020288B"/>
    <w:rsid w:val="002028A3"/>
    <w:rsid w:val="002029C4"/>
    <w:rsid w:val="00202D94"/>
    <w:rsid w:val="002034FE"/>
    <w:rsid w:val="002038A3"/>
    <w:rsid w:val="002039CA"/>
    <w:rsid w:val="00203AB7"/>
    <w:rsid w:val="00203B22"/>
    <w:rsid w:val="00203B3C"/>
    <w:rsid w:val="00203CC4"/>
    <w:rsid w:val="00203D6E"/>
    <w:rsid w:val="0020581E"/>
    <w:rsid w:val="00205A33"/>
    <w:rsid w:val="00206489"/>
    <w:rsid w:val="002065E7"/>
    <w:rsid w:val="00206F1E"/>
    <w:rsid w:val="00207068"/>
    <w:rsid w:val="002071B1"/>
    <w:rsid w:val="00207D3A"/>
    <w:rsid w:val="0021000E"/>
    <w:rsid w:val="002104FD"/>
    <w:rsid w:val="00210858"/>
    <w:rsid w:val="00211071"/>
    <w:rsid w:val="00211365"/>
    <w:rsid w:val="00211A3E"/>
    <w:rsid w:val="00211C6F"/>
    <w:rsid w:val="002122E4"/>
    <w:rsid w:val="00212C8F"/>
    <w:rsid w:val="00212D0F"/>
    <w:rsid w:val="002138F3"/>
    <w:rsid w:val="00213CAE"/>
    <w:rsid w:val="00213F20"/>
    <w:rsid w:val="00214055"/>
    <w:rsid w:val="00214252"/>
    <w:rsid w:val="002149F2"/>
    <w:rsid w:val="00214D9E"/>
    <w:rsid w:val="00214E38"/>
    <w:rsid w:val="00215977"/>
    <w:rsid w:val="00215BCA"/>
    <w:rsid w:val="00215E0A"/>
    <w:rsid w:val="002160F5"/>
    <w:rsid w:val="0021650C"/>
    <w:rsid w:val="00216D78"/>
    <w:rsid w:val="00216FD4"/>
    <w:rsid w:val="00217AC4"/>
    <w:rsid w:val="00217D06"/>
    <w:rsid w:val="00217E0B"/>
    <w:rsid w:val="002201E5"/>
    <w:rsid w:val="002202CB"/>
    <w:rsid w:val="0022047F"/>
    <w:rsid w:val="00220894"/>
    <w:rsid w:val="00220C72"/>
    <w:rsid w:val="0022112A"/>
    <w:rsid w:val="00221461"/>
    <w:rsid w:val="00221C55"/>
    <w:rsid w:val="00221FCF"/>
    <w:rsid w:val="00222062"/>
    <w:rsid w:val="002229B7"/>
    <w:rsid w:val="00222F74"/>
    <w:rsid w:val="00223E53"/>
    <w:rsid w:val="002241D3"/>
    <w:rsid w:val="002242E8"/>
    <w:rsid w:val="00224300"/>
    <w:rsid w:val="00224537"/>
    <w:rsid w:val="00224805"/>
    <w:rsid w:val="00224898"/>
    <w:rsid w:val="00224D5F"/>
    <w:rsid w:val="0022555C"/>
    <w:rsid w:val="002257AB"/>
    <w:rsid w:val="002259CD"/>
    <w:rsid w:val="00225D33"/>
    <w:rsid w:val="00226199"/>
    <w:rsid w:val="00227263"/>
    <w:rsid w:val="00227366"/>
    <w:rsid w:val="0023039B"/>
    <w:rsid w:val="00230E89"/>
    <w:rsid w:val="002313BA"/>
    <w:rsid w:val="00231490"/>
    <w:rsid w:val="00231D53"/>
    <w:rsid w:val="002321DC"/>
    <w:rsid w:val="002323D9"/>
    <w:rsid w:val="00232485"/>
    <w:rsid w:val="00232720"/>
    <w:rsid w:val="00232BBA"/>
    <w:rsid w:val="002331AE"/>
    <w:rsid w:val="002335F6"/>
    <w:rsid w:val="002337ED"/>
    <w:rsid w:val="00233B49"/>
    <w:rsid w:val="00233F07"/>
    <w:rsid w:val="00234557"/>
    <w:rsid w:val="00234B29"/>
    <w:rsid w:val="00234B68"/>
    <w:rsid w:val="00234E2C"/>
    <w:rsid w:val="00235281"/>
    <w:rsid w:val="00235591"/>
    <w:rsid w:val="00235956"/>
    <w:rsid w:val="002360B8"/>
    <w:rsid w:val="0023633A"/>
    <w:rsid w:val="002369A7"/>
    <w:rsid w:val="00236E58"/>
    <w:rsid w:val="00237181"/>
    <w:rsid w:val="002371DC"/>
    <w:rsid w:val="00237673"/>
    <w:rsid w:val="00237D4A"/>
    <w:rsid w:val="002401E8"/>
    <w:rsid w:val="002402EF"/>
    <w:rsid w:val="002407F8"/>
    <w:rsid w:val="002408EC"/>
    <w:rsid w:val="00241507"/>
    <w:rsid w:val="002415BA"/>
    <w:rsid w:val="00241872"/>
    <w:rsid w:val="00241C16"/>
    <w:rsid w:val="00241E54"/>
    <w:rsid w:val="00242225"/>
    <w:rsid w:val="00242487"/>
    <w:rsid w:val="002425AB"/>
    <w:rsid w:val="00242658"/>
    <w:rsid w:val="00242F42"/>
    <w:rsid w:val="00243034"/>
    <w:rsid w:val="00243701"/>
    <w:rsid w:val="00243D13"/>
    <w:rsid w:val="00243E5E"/>
    <w:rsid w:val="002440D1"/>
    <w:rsid w:val="0024414C"/>
    <w:rsid w:val="002442C3"/>
    <w:rsid w:val="0024454B"/>
    <w:rsid w:val="00244B05"/>
    <w:rsid w:val="00244F8B"/>
    <w:rsid w:val="00244FD7"/>
    <w:rsid w:val="002456EC"/>
    <w:rsid w:val="002458FD"/>
    <w:rsid w:val="002460F6"/>
    <w:rsid w:val="0024615B"/>
    <w:rsid w:val="002467A6"/>
    <w:rsid w:val="00246C69"/>
    <w:rsid w:val="00246C9F"/>
    <w:rsid w:val="00246EF7"/>
    <w:rsid w:val="002476C3"/>
    <w:rsid w:val="00247950"/>
    <w:rsid w:val="00247C9A"/>
    <w:rsid w:val="00247E7A"/>
    <w:rsid w:val="00250CD2"/>
    <w:rsid w:val="00250DD9"/>
    <w:rsid w:val="00251050"/>
    <w:rsid w:val="00251248"/>
    <w:rsid w:val="00251268"/>
    <w:rsid w:val="0025160C"/>
    <w:rsid w:val="00251959"/>
    <w:rsid w:val="00251F98"/>
    <w:rsid w:val="0025261B"/>
    <w:rsid w:val="002527F3"/>
    <w:rsid w:val="00252B91"/>
    <w:rsid w:val="00253254"/>
    <w:rsid w:val="00253383"/>
    <w:rsid w:val="002535D0"/>
    <w:rsid w:val="00253877"/>
    <w:rsid w:val="00253953"/>
    <w:rsid w:val="00253980"/>
    <w:rsid w:val="002539B3"/>
    <w:rsid w:val="00254411"/>
    <w:rsid w:val="00254637"/>
    <w:rsid w:val="00254BFF"/>
    <w:rsid w:val="00254D12"/>
    <w:rsid w:val="002556D0"/>
    <w:rsid w:val="00255815"/>
    <w:rsid w:val="00255A27"/>
    <w:rsid w:val="00256336"/>
    <w:rsid w:val="00256830"/>
    <w:rsid w:val="002571FA"/>
    <w:rsid w:val="002575E9"/>
    <w:rsid w:val="00257870"/>
    <w:rsid w:val="00257C3E"/>
    <w:rsid w:val="00257D56"/>
    <w:rsid w:val="00260093"/>
    <w:rsid w:val="002602A4"/>
    <w:rsid w:val="002602C2"/>
    <w:rsid w:val="00260544"/>
    <w:rsid w:val="00260988"/>
    <w:rsid w:val="00260A7F"/>
    <w:rsid w:val="002618FD"/>
    <w:rsid w:val="00261DE6"/>
    <w:rsid w:val="002623D3"/>
    <w:rsid w:val="00262942"/>
    <w:rsid w:val="00262E50"/>
    <w:rsid w:val="00263165"/>
    <w:rsid w:val="00263536"/>
    <w:rsid w:val="002637C2"/>
    <w:rsid w:val="002637FA"/>
    <w:rsid w:val="0026383B"/>
    <w:rsid w:val="002639EA"/>
    <w:rsid w:val="00263D0D"/>
    <w:rsid w:val="00263D5B"/>
    <w:rsid w:val="002640AD"/>
    <w:rsid w:val="002641C2"/>
    <w:rsid w:val="002647FD"/>
    <w:rsid w:val="00264815"/>
    <w:rsid w:val="002649C0"/>
    <w:rsid w:val="00264A09"/>
    <w:rsid w:val="002654CE"/>
    <w:rsid w:val="0026565A"/>
    <w:rsid w:val="00265ACD"/>
    <w:rsid w:val="00265E66"/>
    <w:rsid w:val="002665D1"/>
    <w:rsid w:val="002666C9"/>
    <w:rsid w:val="00266982"/>
    <w:rsid w:val="002675FA"/>
    <w:rsid w:val="002678DA"/>
    <w:rsid w:val="00267A63"/>
    <w:rsid w:val="00270136"/>
    <w:rsid w:val="00270C7B"/>
    <w:rsid w:val="00270CC6"/>
    <w:rsid w:val="00270E17"/>
    <w:rsid w:val="00270FD7"/>
    <w:rsid w:val="00271214"/>
    <w:rsid w:val="00271223"/>
    <w:rsid w:val="00271468"/>
    <w:rsid w:val="00271673"/>
    <w:rsid w:val="00271C43"/>
    <w:rsid w:val="00271FFE"/>
    <w:rsid w:val="0027216F"/>
    <w:rsid w:val="00272484"/>
    <w:rsid w:val="0027291C"/>
    <w:rsid w:val="00272A4C"/>
    <w:rsid w:val="00272BBE"/>
    <w:rsid w:val="002735CB"/>
    <w:rsid w:val="0027369C"/>
    <w:rsid w:val="00273C04"/>
    <w:rsid w:val="00273FEE"/>
    <w:rsid w:val="00274231"/>
    <w:rsid w:val="00274435"/>
    <w:rsid w:val="0027448C"/>
    <w:rsid w:val="00274AE8"/>
    <w:rsid w:val="00274DDE"/>
    <w:rsid w:val="00274F5B"/>
    <w:rsid w:val="00275222"/>
    <w:rsid w:val="002752DA"/>
    <w:rsid w:val="00275FB1"/>
    <w:rsid w:val="00276531"/>
    <w:rsid w:val="002769A2"/>
    <w:rsid w:val="002769A6"/>
    <w:rsid w:val="00276DEF"/>
    <w:rsid w:val="002774DC"/>
    <w:rsid w:val="00277654"/>
    <w:rsid w:val="002778C7"/>
    <w:rsid w:val="002778CC"/>
    <w:rsid w:val="002802BC"/>
    <w:rsid w:val="002803D4"/>
    <w:rsid w:val="00280642"/>
    <w:rsid w:val="00280836"/>
    <w:rsid w:val="00280D01"/>
    <w:rsid w:val="00280EAA"/>
    <w:rsid w:val="002811D0"/>
    <w:rsid w:val="0028162B"/>
    <w:rsid w:val="002819E5"/>
    <w:rsid w:val="00281EB7"/>
    <w:rsid w:val="002820E8"/>
    <w:rsid w:val="002829D2"/>
    <w:rsid w:val="00282E1A"/>
    <w:rsid w:val="00282F64"/>
    <w:rsid w:val="002831BC"/>
    <w:rsid w:val="00283989"/>
    <w:rsid w:val="00284054"/>
    <w:rsid w:val="002840F1"/>
    <w:rsid w:val="00284968"/>
    <w:rsid w:val="00284BE0"/>
    <w:rsid w:val="00285039"/>
    <w:rsid w:val="002856A0"/>
    <w:rsid w:val="002856E6"/>
    <w:rsid w:val="002856F3"/>
    <w:rsid w:val="00285922"/>
    <w:rsid w:val="002863E2"/>
    <w:rsid w:val="0028652D"/>
    <w:rsid w:val="00286B56"/>
    <w:rsid w:val="00286BD3"/>
    <w:rsid w:val="00286E5A"/>
    <w:rsid w:val="00287059"/>
    <w:rsid w:val="002876FD"/>
    <w:rsid w:val="00287C51"/>
    <w:rsid w:val="00287EBB"/>
    <w:rsid w:val="00287F84"/>
    <w:rsid w:val="00290942"/>
    <w:rsid w:val="002910B8"/>
    <w:rsid w:val="0029113B"/>
    <w:rsid w:val="002911CC"/>
    <w:rsid w:val="002912FD"/>
    <w:rsid w:val="0029216A"/>
    <w:rsid w:val="002929DA"/>
    <w:rsid w:val="002933EA"/>
    <w:rsid w:val="002934C0"/>
    <w:rsid w:val="002937B4"/>
    <w:rsid w:val="00293E1F"/>
    <w:rsid w:val="002944A7"/>
    <w:rsid w:val="00294B60"/>
    <w:rsid w:val="00294B9D"/>
    <w:rsid w:val="00295526"/>
    <w:rsid w:val="00295744"/>
    <w:rsid w:val="00295AAD"/>
    <w:rsid w:val="00296428"/>
    <w:rsid w:val="002968D2"/>
    <w:rsid w:val="00296A19"/>
    <w:rsid w:val="00297205"/>
    <w:rsid w:val="0029764C"/>
    <w:rsid w:val="002976BF"/>
    <w:rsid w:val="00297721"/>
    <w:rsid w:val="00297899"/>
    <w:rsid w:val="00297FD9"/>
    <w:rsid w:val="002A04FF"/>
    <w:rsid w:val="002A0DA2"/>
    <w:rsid w:val="002A0EC4"/>
    <w:rsid w:val="002A1637"/>
    <w:rsid w:val="002A1B50"/>
    <w:rsid w:val="002A200A"/>
    <w:rsid w:val="002A210A"/>
    <w:rsid w:val="002A21A6"/>
    <w:rsid w:val="002A21AE"/>
    <w:rsid w:val="002A21CC"/>
    <w:rsid w:val="002A2966"/>
    <w:rsid w:val="002A2B1E"/>
    <w:rsid w:val="002A2BFB"/>
    <w:rsid w:val="002A2F62"/>
    <w:rsid w:val="002A2FD0"/>
    <w:rsid w:val="002A2FEE"/>
    <w:rsid w:val="002A3031"/>
    <w:rsid w:val="002A3217"/>
    <w:rsid w:val="002A324C"/>
    <w:rsid w:val="002A3381"/>
    <w:rsid w:val="002A33DE"/>
    <w:rsid w:val="002A373F"/>
    <w:rsid w:val="002A3AB5"/>
    <w:rsid w:val="002A417B"/>
    <w:rsid w:val="002A441B"/>
    <w:rsid w:val="002A445B"/>
    <w:rsid w:val="002A4676"/>
    <w:rsid w:val="002A4F8F"/>
    <w:rsid w:val="002A56CB"/>
    <w:rsid w:val="002A5894"/>
    <w:rsid w:val="002A59CF"/>
    <w:rsid w:val="002A59DE"/>
    <w:rsid w:val="002A5C93"/>
    <w:rsid w:val="002A61DB"/>
    <w:rsid w:val="002A620B"/>
    <w:rsid w:val="002A6848"/>
    <w:rsid w:val="002A6C89"/>
    <w:rsid w:val="002A6D01"/>
    <w:rsid w:val="002A6D8A"/>
    <w:rsid w:val="002A729D"/>
    <w:rsid w:val="002A7B59"/>
    <w:rsid w:val="002A7DB0"/>
    <w:rsid w:val="002A7F47"/>
    <w:rsid w:val="002A7FB5"/>
    <w:rsid w:val="002B02E6"/>
    <w:rsid w:val="002B0CD1"/>
    <w:rsid w:val="002B0E91"/>
    <w:rsid w:val="002B0FCC"/>
    <w:rsid w:val="002B132C"/>
    <w:rsid w:val="002B1960"/>
    <w:rsid w:val="002B2A4B"/>
    <w:rsid w:val="002B2CD6"/>
    <w:rsid w:val="002B3477"/>
    <w:rsid w:val="002B358B"/>
    <w:rsid w:val="002B39DA"/>
    <w:rsid w:val="002B3DFF"/>
    <w:rsid w:val="002B3F23"/>
    <w:rsid w:val="002B403E"/>
    <w:rsid w:val="002B4EB5"/>
    <w:rsid w:val="002B5172"/>
    <w:rsid w:val="002B5331"/>
    <w:rsid w:val="002B5797"/>
    <w:rsid w:val="002B5AF5"/>
    <w:rsid w:val="002B5BD1"/>
    <w:rsid w:val="002B5EB0"/>
    <w:rsid w:val="002B63F1"/>
    <w:rsid w:val="002B6763"/>
    <w:rsid w:val="002B6779"/>
    <w:rsid w:val="002B69C1"/>
    <w:rsid w:val="002B6EBB"/>
    <w:rsid w:val="002B6F43"/>
    <w:rsid w:val="002B71C0"/>
    <w:rsid w:val="002B7A34"/>
    <w:rsid w:val="002B7A35"/>
    <w:rsid w:val="002C0817"/>
    <w:rsid w:val="002C0DEE"/>
    <w:rsid w:val="002C171A"/>
    <w:rsid w:val="002C1A47"/>
    <w:rsid w:val="002C1A4E"/>
    <w:rsid w:val="002C1A6D"/>
    <w:rsid w:val="002C1F6D"/>
    <w:rsid w:val="002C20EB"/>
    <w:rsid w:val="002C2936"/>
    <w:rsid w:val="002C2CF8"/>
    <w:rsid w:val="002C31AD"/>
    <w:rsid w:val="002C35E4"/>
    <w:rsid w:val="002C3EC9"/>
    <w:rsid w:val="002C44EA"/>
    <w:rsid w:val="002C4739"/>
    <w:rsid w:val="002C54A2"/>
    <w:rsid w:val="002C599D"/>
    <w:rsid w:val="002C6403"/>
    <w:rsid w:val="002C68CF"/>
    <w:rsid w:val="002C6986"/>
    <w:rsid w:val="002C6B88"/>
    <w:rsid w:val="002C7385"/>
    <w:rsid w:val="002C7817"/>
    <w:rsid w:val="002C7B5C"/>
    <w:rsid w:val="002C7D9F"/>
    <w:rsid w:val="002C7FC2"/>
    <w:rsid w:val="002D06DC"/>
    <w:rsid w:val="002D07A2"/>
    <w:rsid w:val="002D0BDF"/>
    <w:rsid w:val="002D0C72"/>
    <w:rsid w:val="002D0E53"/>
    <w:rsid w:val="002D1AB9"/>
    <w:rsid w:val="002D1D27"/>
    <w:rsid w:val="002D20B0"/>
    <w:rsid w:val="002D24F3"/>
    <w:rsid w:val="002D253D"/>
    <w:rsid w:val="002D2C9A"/>
    <w:rsid w:val="002D2DBB"/>
    <w:rsid w:val="002D2E1A"/>
    <w:rsid w:val="002D37D8"/>
    <w:rsid w:val="002D389C"/>
    <w:rsid w:val="002D3AC8"/>
    <w:rsid w:val="002D412D"/>
    <w:rsid w:val="002D438D"/>
    <w:rsid w:val="002D4BD7"/>
    <w:rsid w:val="002D4BEE"/>
    <w:rsid w:val="002D4CC8"/>
    <w:rsid w:val="002D4F9E"/>
    <w:rsid w:val="002D54A6"/>
    <w:rsid w:val="002D5610"/>
    <w:rsid w:val="002D565E"/>
    <w:rsid w:val="002D5742"/>
    <w:rsid w:val="002D657B"/>
    <w:rsid w:val="002D6A64"/>
    <w:rsid w:val="002D6CDB"/>
    <w:rsid w:val="002D7073"/>
    <w:rsid w:val="002D728D"/>
    <w:rsid w:val="002D737A"/>
    <w:rsid w:val="002D74D8"/>
    <w:rsid w:val="002D777A"/>
    <w:rsid w:val="002E01BC"/>
    <w:rsid w:val="002E0943"/>
    <w:rsid w:val="002E09E2"/>
    <w:rsid w:val="002E0CD8"/>
    <w:rsid w:val="002E0D8C"/>
    <w:rsid w:val="002E2023"/>
    <w:rsid w:val="002E239E"/>
    <w:rsid w:val="002E29C9"/>
    <w:rsid w:val="002E3466"/>
    <w:rsid w:val="002E3779"/>
    <w:rsid w:val="002E37A5"/>
    <w:rsid w:val="002E3BC7"/>
    <w:rsid w:val="002E3DAA"/>
    <w:rsid w:val="002E3EE4"/>
    <w:rsid w:val="002E42B1"/>
    <w:rsid w:val="002E4E53"/>
    <w:rsid w:val="002E4FF5"/>
    <w:rsid w:val="002E51EE"/>
    <w:rsid w:val="002E5510"/>
    <w:rsid w:val="002E581F"/>
    <w:rsid w:val="002E5865"/>
    <w:rsid w:val="002E5BF9"/>
    <w:rsid w:val="002E5C77"/>
    <w:rsid w:val="002E65E5"/>
    <w:rsid w:val="002E68A6"/>
    <w:rsid w:val="002E6A7A"/>
    <w:rsid w:val="002E7532"/>
    <w:rsid w:val="002E7B95"/>
    <w:rsid w:val="002F011A"/>
    <w:rsid w:val="002F079F"/>
    <w:rsid w:val="002F09EB"/>
    <w:rsid w:val="002F0B51"/>
    <w:rsid w:val="002F1057"/>
    <w:rsid w:val="002F121C"/>
    <w:rsid w:val="002F141C"/>
    <w:rsid w:val="002F175F"/>
    <w:rsid w:val="002F1B22"/>
    <w:rsid w:val="002F1E49"/>
    <w:rsid w:val="002F21FA"/>
    <w:rsid w:val="002F26B1"/>
    <w:rsid w:val="002F2880"/>
    <w:rsid w:val="002F30BE"/>
    <w:rsid w:val="002F3323"/>
    <w:rsid w:val="002F34C8"/>
    <w:rsid w:val="002F3A26"/>
    <w:rsid w:val="002F3B48"/>
    <w:rsid w:val="002F4E9C"/>
    <w:rsid w:val="002F5063"/>
    <w:rsid w:val="002F54CF"/>
    <w:rsid w:val="002F5602"/>
    <w:rsid w:val="002F577E"/>
    <w:rsid w:val="002F5B29"/>
    <w:rsid w:val="002F6105"/>
    <w:rsid w:val="002F6419"/>
    <w:rsid w:val="002F6436"/>
    <w:rsid w:val="002F68C1"/>
    <w:rsid w:val="002F6B56"/>
    <w:rsid w:val="002F6BDD"/>
    <w:rsid w:val="002F6DF7"/>
    <w:rsid w:val="002F6E15"/>
    <w:rsid w:val="002F6F2D"/>
    <w:rsid w:val="002F71E5"/>
    <w:rsid w:val="002F7665"/>
    <w:rsid w:val="002F7727"/>
    <w:rsid w:val="002F7767"/>
    <w:rsid w:val="003006E0"/>
    <w:rsid w:val="003007FF"/>
    <w:rsid w:val="00300D66"/>
    <w:rsid w:val="003014A3"/>
    <w:rsid w:val="003019ED"/>
    <w:rsid w:val="003020D1"/>
    <w:rsid w:val="00302191"/>
    <w:rsid w:val="003021E8"/>
    <w:rsid w:val="003025F0"/>
    <w:rsid w:val="00302976"/>
    <w:rsid w:val="00302F4E"/>
    <w:rsid w:val="003030D7"/>
    <w:rsid w:val="00303141"/>
    <w:rsid w:val="00303702"/>
    <w:rsid w:val="00303CB1"/>
    <w:rsid w:val="00304104"/>
    <w:rsid w:val="003042FA"/>
    <w:rsid w:val="0030436D"/>
    <w:rsid w:val="00304400"/>
    <w:rsid w:val="003044B7"/>
    <w:rsid w:val="00304EBD"/>
    <w:rsid w:val="00305162"/>
    <w:rsid w:val="00305B76"/>
    <w:rsid w:val="00305BDF"/>
    <w:rsid w:val="00305E2C"/>
    <w:rsid w:val="00306DA6"/>
    <w:rsid w:val="00307232"/>
    <w:rsid w:val="003072D8"/>
    <w:rsid w:val="0030747C"/>
    <w:rsid w:val="0030776D"/>
    <w:rsid w:val="00307C70"/>
    <w:rsid w:val="003101C1"/>
    <w:rsid w:val="003101D3"/>
    <w:rsid w:val="00310586"/>
    <w:rsid w:val="00310EE1"/>
    <w:rsid w:val="00310FA8"/>
    <w:rsid w:val="003113E0"/>
    <w:rsid w:val="00311649"/>
    <w:rsid w:val="00311843"/>
    <w:rsid w:val="00311EC2"/>
    <w:rsid w:val="003123E1"/>
    <w:rsid w:val="0031256C"/>
    <w:rsid w:val="0031257D"/>
    <w:rsid w:val="003126D2"/>
    <w:rsid w:val="00312CB2"/>
    <w:rsid w:val="0031333E"/>
    <w:rsid w:val="00313511"/>
    <w:rsid w:val="00313C73"/>
    <w:rsid w:val="0031474F"/>
    <w:rsid w:val="003149C1"/>
    <w:rsid w:val="00314CDF"/>
    <w:rsid w:val="00314D6C"/>
    <w:rsid w:val="00314ECA"/>
    <w:rsid w:val="003153AE"/>
    <w:rsid w:val="0031546A"/>
    <w:rsid w:val="003155B5"/>
    <w:rsid w:val="00315824"/>
    <w:rsid w:val="00315850"/>
    <w:rsid w:val="0031599A"/>
    <w:rsid w:val="00315F84"/>
    <w:rsid w:val="00316753"/>
    <w:rsid w:val="00316D0D"/>
    <w:rsid w:val="00316D2A"/>
    <w:rsid w:val="00316FD6"/>
    <w:rsid w:val="0031761A"/>
    <w:rsid w:val="00317694"/>
    <w:rsid w:val="00317B96"/>
    <w:rsid w:val="00317C09"/>
    <w:rsid w:val="00317E32"/>
    <w:rsid w:val="0032048E"/>
    <w:rsid w:val="00320504"/>
    <w:rsid w:val="003207C1"/>
    <w:rsid w:val="003209F5"/>
    <w:rsid w:val="00320B9C"/>
    <w:rsid w:val="00322855"/>
    <w:rsid w:val="00322A7C"/>
    <w:rsid w:val="00322CDA"/>
    <w:rsid w:val="00322EEC"/>
    <w:rsid w:val="00323061"/>
    <w:rsid w:val="00323733"/>
    <w:rsid w:val="0032374C"/>
    <w:rsid w:val="00323920"/>
    <w:rsid w:val="00323AF6"/>
    <w:rsid w:val="00323C1F"/>
    <w:rsid w:val="00323C3A"/>
    <w:rsid w:val="0032465C"/>
    <w:rsid w:val="0032469C"/>
    <w:rsid w:val="00324728"/>
    <w:rsid w:val="003250F0"/>
    <w:rsid w:val="003251C2"/>
    <w:rsid w:val="003251D9"/>
    <w:rsid w:val="00325604"/>
    <w:rsid w:val="00325A72"/>
    <w:rsid w:val="00325B46"/>
    <w:rsid w:val="00325C1A"/>
    <w:rsid w:val="00325DC7"/>
    <w:rsid w:val="00325DD8"/>
    <w:rsid w:val="00325F24"/>
    <w:rsid w:val="00326B79"/>
    <w:rsid w:val="00326C48"/>
    <w:rsid w:val="00326FDF"/>
    <w:rsid w:val="003271C8"/>
    <w:rsid w:val="00327536"/>
    <w:rsid w:val="0033092F"/>
    <w:rsid w:val="00330E31"/>
    <w:rsid w:val="003319FE"/>
    <w:rsid w:val="00333398"/>
    <w:rsid w:val="00333798"/>
    <w:rsid w:val="00333D00"/>
    <w:rsid w:val="0033431E"/>
    <w:rsid w:val="0033438D"/>
    <w:rsid w:val="00334394"/>
    <w:rsid w:val="00334C92"/>
    <w:rsid w:val="00335412"/>
    <w:rsid w:val="00335796"/>
    <w:rsid w:val="003357C8"/>
    <w:rsid w:val="00335A48"/>
    <w:rsid w:val="00335EC9"/>
    <w:rsid w:val="00336B1F"/>
    <w:rsid w:val="00337664"/>
    <w:rsid w:val="00337875"/>
    <w:rsid w:val="00337F3D"/>
    <w:rsid w:val="003402D3"/>
    <w:rsid w:val="0034068E"/>
    <w:rsid w:val="00340772"/>
    <w:rsid w:val="003408EB"/>
    <w:rsid w:val="00340D50"/>
    <w:rsid w:val="003413A9"/>
    <w:rsid w:val="00341869"/>
    <w:rsid w:val="0034222E"/>
    <w:rsid w:val="0034250D"/>
    <w:rsid w:val="00342FD4"/>
    <w:rsid w:val="00343257"/>
    <w:rsid w:val="00343559"/>
    <w:rsid w:val="003439A1"/>
    <w:rsid w:val="00343ABC"/>
    <w:rsid w:val="00344168"/>
    <w:rsid w:val="0034416B"/>
    <w:rsid w:val="00344354"/>
    <w:rsid w:val="00344FD5"/>
    <w:rsid w:val="0034524A"/>
    <w:rsid w:val="003459D4"/>
    <w:rsid w:val="00345B94"/>
    <w:rsid w:val="00345E76"/>
    <w:rsid w:val="00346201"/>
    <w:rsid w:val="003463FE"/>
    <w:rsid w:val="00346C3E"/>
    <w:rsid w:val="003472F3"/>
    <w:rsid w:val="003472FC"/>
    <w:rsid w:val="00347331"/>
    <w:rsid w:val="0034757B"/>
    <w:rsid w:val="00347764"/>
    <w:rsid w:val="00347D41"/>
    <w:rsid w:val="00347D8A"/>
    <w:rsid w:val="0035011B"/>
    <w:rsid w:val="00350CC5"/>
    <w:rsid w:val="00351090"/>
    <w:rsid w:val="003511F2"/>
    <w:rsid w:val="00352117"/>
    <w:rsid w:val="00352591"/>
    <w:rsid w:val="0035285E"/>
    <w:rsid w:val="00352B38"/>
    <w:rsid w:val="00353101"/>
    <w:rsid w:val="00353414"/>
    <w:rsid w:val="0035350E"/>
    <w:rsid w:val="00353C44"/>
    <w:rsid w:val="00354603"/>
    <w:rsid w:val="00355233"/>
    <w:rsid w:val="003554B3"/>
    <w:rsid w:val="00355756"/>
    <w:rsid w:val="00355C4D"/>
    <w:rsid w:val="00355C90"/>
    <w:rsid w:val="00355FDB"/>
    <w:rsid w:val="00356632"/>
    <w:rsid w:val="0035797A"/>
    <w:rsid w:val="00357BFF"/>
    <w:rsid w:val="00357C7E"/>
    <w:rsid w:val="00360002"/>
    <w:rsid w:val="003601B0"/>
    <w:rsid w:val="003603F9"/>
    <w:rsid w:val="00360646"/>
    <w:rsid w:val="0036066D"/>
    <w:rsid w:val="00360C2F"/>
    <w:rsid w:val="00360F1D"/>
    <w:rsid w:val="003612E0"/>
    <w:rsid w:val="00361300"/>
    <w:rsid w:val="00361947"/>
    <w:rsid w:val="00362784"/>
    <w:rsid w:val="00362D57"/>
    <w:rsid w:val="00362FD1"/>
    <w:rsid w:val="0036332E"/>
    <w:rsid w:val="0036379B"/>
    <w:rsid w:val="00364339"/>
    <w:rsid w:val="00364528"/>
    <w:rsid w:val="0036470F"/>
    <w:rsid w:val="003649A7"/>
    <w:rsid w:val="00364F5A"/>
    <w:rsid w:val="003653B6"/>
    <w:rsid w:val="00365682"/>
    <w:rsid w:val="00365890"/>
    <w:rsid w:val="00365A0A"/>
    <w:rsid w:val="00365A2B"/>
    <w:rsid w:val="00365D37"/>
    <w:rsid w:val="00365E77"/>
    <w:rsid w:val="00365F36"/>
    <w:rsid w:val="003661E7"/>
    <w:rsid w:val="00366249"/>
    <w:rsid w:val="003662E4"/>
    <w:rsid w:val="003664F6"/>
    <w:rsid w:val="00366939"/>
    <w:rsid w:val="00367103"/>
    <w:rsid w:val="003676E0"/>
    <w:rsid w:val="00367976"/>
    <w:rsid w:val="00370297"/>
    <w:rsid w:val="00370327"/>
    <w:rsid w:val="00370B62"/>
    <w:rsid w:val="00370E05"/>
    <w:rsid w:val="00370EEB"/>
    <w:rsid w:val="00370FF2"/>
    <w:rsid w:val="00371860"/>
    <w:rsid w:val="003722A1"/>
    <w:rsid w:val="003723EB"/>
    <w:rsid w:val="0037251E"/>
    <w:rsid w:val="0037296D"/>
    <w:rsid w:val="00372DEE"/>
    <w:rsid w:val="00374398"/>
    <w:rsid w:val="003744E6"/>
    <w:rsid w:val="00374623"/>
    <w:rsid w:val="003746DB"/>
    <w:rsid w:val="00374B5A"/>
    <w:rsid w:val="00374B69"/>
    <w:rsid w:val="00374CC4"/>
    <w:rsid w:val="00375565"/>
    <w:rsid w:val="00375D4E"/>
    <w:rsid w:val="00376D3B"/>
    <w:rsid w:val="003770E0"/>
    <w:rsid w:val="003774B2"/>
    <w:rsid w:val="00377D15"/>
    <w:rsid w:val="00380125"/>
    <w:rsid w:val="00380741"/>
    <w:rsid w:val="003807D1"/>
    <w:rsid w:val="00380BBF"/>
    <w:rsid w:val="00380D1A"/>
    <w:rsid w:val="00380F2D"/>
    <w:rsid w:val="00380FC7"/>
    <w:rsid w:val="00381004"/>
    <w:rsid w:val="00381072"/>
    <w:rsid w:val="00381B4E"/>
    <w:rsid w:val="00381C79"/>
    <w:rsid w:val="00381E46"/>
    <w:rsid w:val="003827BC"/>
    <w:rsid w:val="00382877"/>
    <w:rsid w:val="00382CA9"/>
    <w:rsid w:val="003836AA"/>
    <w:rsid w:val="00383A58"/>
    <w:rsid w:val="00384063"/>
    <w:rsid w:val="003844C2"/>
    <w:rsid w:val="003845A9"/>
    <w:rsid w:val="00384CB3"/>
    <w:rsid w:val="00384F4B"/>
    <w:rsid w:val="00385064"/>
    <w:rsid w:val="003850C9"/>
    <w:rsid w:val="003853DB"/>
    <w:rsid w:val="00385457"/>
    <w:rsid w:val="00385474"/>
    <w:rsid w:val="003855AF"/>
    <w:rsid w:val="00385684"/>
    <w:rsid w:val="00385B35"/>
    <w:rsid w:val="00385F13"/>
    <w:rsid w:val="0038634D"/>
    <w:rsid w:val="00386943"/>
    <w:rsid w:val="00386C30"/>
    <w:rsid w:val="003873C6"/>
    <w:rsid w:val="0038756E"/>
    <w:rsid w:val="003877EF"/>
    <w:rsid w:val="00387A3F"/>
    <w:rsid w:val="00387AC6"/>
    <w:rsid w:val="00387F8F"/>
    <w:rsid w:val="00390248"/>
    <w:rsid w:val="0039068B"/>
    <w:rsid w:val="00390883"/>
    <w:rsid w:val="003909A5"/>
    <w:rsid w:val="0039100A"/>
    <w:rsid w:val="00391D81"/>
    <w:rsid w:val="00391E3D"/>
    <w:rsid w:val="00392232"/>
    <w:rsid w:val="003922F8"/>
    <w:rsid w:val="0039240D"/>
    <w:rsid w:val="00394161"/>
    <w:rsid w:val="0039428B"/>
    <w:rsid w:val="0039457F"/>
    <w:rsid w:val="003953FE"/>
    <w:rsid w:val="00395B24"/>
    <w:rsid w:val="00396027"/>
    <w:rsid w:val="00396251"/>
    <w:rsid w:val="003970BE"/>
    <w:rsid w:val="0039746D"/>
    <w:rsid w:val="0039748A"/>
    <w:rsid w:val="00397D23"/>
    <w:rsid w:val="003A0681"/>
    <w:rsid w:val="003A08A9"/>
    <w:rsid w:val="003A100F"/>
    <w:rsid w:val="003A1067"/>
    <w:rsid w:val="003A13C7"/>
    <w:rsid w:val="003A1492"/>
    <w:rsid w:val="003A19AC"/>
    <w:rsid w:val="003A2104"/>
    <w:rsid w:val="003A2D38"/>
    <w:rsid w:val="003A2E31"/>
    <w:rsid w:val="003A31A6"/>
    <w:rsid w:val="003A3D62"/>
    <w:rsid w:val="003A3E43"/>
    <w:rsid w:val="003A5A28"/>
    <w:rsid w:val="003A5C60"/>
    <w:rsid w:val="003A5CB7"/>
    <w:rsid w:val="003A5D4A"/>
    <w:rsid w:val="003A5E4A"/>
    <w:rsid w:val="003A6B47"/>
    <w:rsid w:val="003A6B6B"/>
    <w:rsid w:val="003A6EB0"/>
    <w:rsid w:val="003A6F27"/>
    <w:rsid w:val="003A75AA"/>
    <w:rsid w:val="003A7ECC"/>
    <w:rsid w:val="003A7F30"/>
    <w:rsid w:val="003B05CA"/>
    <w:rsid w:val="003B074B"/>
    <w:rsid w:val="003B0A9D"/>
    <w:rsid w:val="003B0B26"/>
    <w:rsid w:val="003B0C0C"/>
    <w:rsid w:val="003B0C6E"/>
    <w:rsid w:val="003B11DB"/>
    <w:rsid w:val="003B16CC"/>
    <w:rsid w:val="003B185C"/>
    <w:rsid w:val="003B1A65"/>
    <w:rsid w:val="003B1F0C"/>
    <w:rsid w:val="003B2057"/>
    <w:rsid w:val="003B2547"/>
    <w:rsid w:val="003B25D9"/>
    <w:rsid w:val="003B2726"/>
    <w:rsid w:val="003B285E"/>
    <w:rsid w:val="003B2C72"/>
    <w:rsid w:val="003B32A2"/>
    <w:rsid w:val="003B396F"/>
    <w:rsid w:val="003B3D70"/>
    <w:rsid w:val="003B3DD0"/>
    <w:rsid w:val="003B3EAB"/>
    <w:rsid w:val="003B431B"/>
    <w:rsid w:val="003B4A19"/>
    <w:rsid w:val="003B4C6D"/>
    <w:rsid w:val="003B4F0A"/>
    <w:rsid w:val="003B58B4"/>
    <w:rsid w:val="003B5FB3"/>
    <w:rsid w:val="003B601C"/>
    <w:rsid w:val="003B631C"/>
    <w:rsid w:val="003B65DC"/>
    <w:rsid w:val="003B6E6C"/>
    <w:rsid w:val="003B7AAE"/>
    <w:rsid w:val="003C0037"/>
    <w:rsid w:val="003C026E"/>
    <w:rsid w:val="003C02B0"/>
    <w:rsid w:val="003C06EE"/>
    <w:rsid w:val="003C0912"/>
    <w:rsid w:val="003C0C24"/>
    <w:rsid w:val="003C12F8"/>
    <w:rsid w:val="003C1333"/>
    <w:rsid w:val="003C16E0"/>
    <w:rsid w:val="003C1BB0"/>
    <w:rsid w:val="003C203B"/>
    <w:rsid w:val="003C20FF"/>
    <w:rsid w:val="003C2492"/>
    <w:rsid w:val="003C25E5"/>
    <w:rsid w:val="003C397F"/>
    <w:rsid w:val="003C3A48"/>
    <w:rsid w:val="003C3B66"/>
    <w:rsid w:val="003C3DA8"/>
    <w:rsid w:val="003C418A"/>
    <w:rsid w:val="003C42A6"/>
    <w:rsid w:val="003C4385"/>
    <w:rsid w:val="003C455E"/>
    <w:rsid w:val="003C476B"/>
    <w:rsid w:val="003C4EA1"/>
    <w:rsid w:val="003C4F25"/>
    <w:rsid w:val="003C51EF"/>
    <w:rsid w:val="003C534A"/>
    <w:rsid w:val="003C550A"/>
    <w:rsid w:val="003C56DB"/>
    <w:rsid w:val="003C57F2"/>
    <w:rsid w:val="003C5D75"/>
    <w:rsid w:val="003C6055"/>
    <w:rsid w:val="003C6060"/>
    <w:rsid w:val="003C60D6"/>
    <w:rsid w:val="003C6742"/>
    <w:rsid w:val="003C6ADF"/>
    <w:rsid w:val="003C6DD9"/>
    <w:rsid w:val="003C7017"/>
    <w:rsid w:val="003C743E"/>
    <w:rsid w:val="003C77BC"/>
    <w:rsid w:val="003C7B3B"/>
    <w:rsid w:val="003C7DE0"/>
    <w:rsid w:val="003D05A7"/>
    <w:rsid w:val="003D0B38"/>
    <w:rsid w:val="003D1F71"/>
    <w:rsid w:val="003D2425"/>
    <w:rsid w:val="003D2447"/>
    <w:rsid w:val="003D2650"/>
    <w:rsid w:val="003D29F1"/>
    <w:rsid w:val="003D3457"/>
    <w:rsid w:val="003D3860"/>
    <w:rsid w:val="003D3A06"/>
    <w:rsid w:val="003D3B00"/>
    <w:rsid w:val="003D48B6"/>
    <w:rsid w:val="003D4DDB"/>
    <w:rsid w:val="003D4F78"/>
    <w:rsid w:val="003D560C"/>
    <w:rsid w:val="003D5610"/>
    <w:rsid w:val="003D59C0"/>
    <w:rsid w:val="003D5B2E"/>
    <w:rsid w:val="003D5BF0"/>
    <w:rsid w:val="003D5C00"/>
    <w:rsid w:val="003D5F1A"/>
    <w:rsid w:val="003D63C5"/>
    <w:rsid w:val="003D640B"/>
    <w:rsid w:val="003D65B9"/>
    <w:rsid w:val="003D69E8"/>
    <w:rsid w:val="003D6F16"/>
    <w:rsid w:val="003D7287"/>
    <w:rsid w:val="003D75A2"/>
    <w:rsid w:val="003D76B4"/>
    <w:rsid w:val="003D77A2"/>
    <w:rsid w:val="003D78D4"/>
    <w:rsid w:val="003D7C6B"/>
    <w:rsid w:val="003D7E13"/>
    <w:rsid w:val="003E0948"/>
    <w:rsid w:val="003E1036"/>
    <w:rsid w:val="003E11A5"/>
    <w:rsid w:val="003E13FE"/>
    <w:rsid w:val="003E26AF"/>
    <w:rsid w:val="003E307F"/>
    <w:rsid w:val="003E3154"/>
    <w:rsid w:val="003E3998"/>
    <w:rsid w:val="003E3A9A"/>
    <w:rsid w:val="003E3F51"/>
    <w:rsid w:val="003E41A5"/>
    <w:rsid w:val="003E4D9A"/>
    <w:rsid w:val="003E55B2"/>
    <w:rsid w:val="003E5874"/>
    <w:rsid w:val="003E5C2A"/>
    <w:rsid w:val="003E5C35"/>
    <w:rsid w:val="003E632C"/>
    <w:rsid w:val="003E68E2"/>
    <w:rsid w:val="003E6D56"/>
    <w:rsid w:val="003E6DF5"/>
    <w:rsid w:val="003E702F"/>
    <w:rsid w:val="003E722A"/>
    <w:rsid w:val="003E72D3"/>
    <w:rsid w:val="003E766E"/>
    <w:rsid w:val="003E7EFE"/>
    <w:rsid w:val="003F0C1D"/>
    <w:rsid w:val="003F1555"/>
    <w:rsid w:val="003F18AA"/>
    <w:rsid w:val="003F193E"/>
    <w:rsid w:val="003F1F54"/>
    <w:rsid w:val="003F23F1"/>
    <w:rsid w:val="003F242C"/>
    <w:rsid w:val="003F2C05"/>
    <w:rsid w:val="003F31F0"/>
    <w:rsid w:val="003F32D1"/>
    <w:rsid w:val="003F34F1"/>
    <w:rsid w:val="003F3801"/>
    <w:rsid w:val="003F3DA4"/>
    <w:rsid w:val="003F3F16"/>
    <w:rsid w:val="003F43DB"/>
    <w:rsid w:val="003F44F3"/>
    <w:rsid w:val="003F47A6"/>
    <w:rsid w:val="003F4F5C"/>
    <w:rsid w:val="003F506D"/>
    <w:rsid w:val="003F5447"/>
    <w:rsid w:val="003F586B"/>
    <w:rsid w:val="003F5999"/>
    <w:rsid w:val="003F6148"/>
    <w:rsid w:val="003F63AA"/>
    <w:rsid w:val="003F6FB4"/>
    <w:rsid w:val="003F73C3"/>
    <w:rsid w:val="003F7423"/>
    <w:rsid w:val="003F748E"/>
    <w:rsid w:val="003F7F01"/>
    <w:rsid w:val="004006C2"/>
    <w:rsid w:val="004010A5"/>
    <w:rsid w:val="00401449"/>
    <w:rsid w:val="004026EA"/>
    <w:rsid w:val="00402ACA"/>
    <w:rsid w:val="00403121"/>
    <w:rsid w:val="004031D8"/>
    <w:rsid w:val="0040346D"/>
    <w:rsid w:val="004034C3"/>
    <w:rsid w:val="004036FD"/>
    <w:rsid w:val="004038BA"/>
    <w:rsid w:val="0040395C"/>
    <w:rsid w:val="00403D97"/>
    <w:rsid w:val="004046BC"/>
    <w:rsid w:val="004049D0"/>
    <w:rsid w:val="00404A48"/>
    <w:rsid w:val="00404E4B"/>
    <w:rsid w:val="004064DD"/>
    <w:rsid w:val="00406D11"/>
    <w:rsid w:val="00406DA9"/>
    <w:rsid w:val="00407002"/>
    <w:rsid w:val="004073A6"/>
    <w:rsid w:val="0040742D"/>
    <w:rsid w:val="004078DA"/>
    <w:rsid w:val="00407EBA"/>
    <w:rsid w:val="00410154"/>
    <w:rsid w:val="0041047C"/>
    <w:rsid w:val="004104B6"/>
    <w:rsid w:val="004105C4"/>
    <w:rsid w:val="004105FC"/>
    <w:rsid w:val="00410D0A"/>
    <w:rsid w:val="00410D51"/>
    <w:rsid w:val="00410FB7"/>
    <w:rsid w:val="004118F5"/>
    <w:rsid w:val="00411AE8"/>
    <w:rsid w:val="00411AF1"/>
    <w:rsid w:val="00411B35"/>
    <w:rsid w:val="0041220B"/>
    <w:rsid w:val="00412419"/>
    <w:rsid w:val="00413204"/>
    <w:rsid w:val="00413B74"/>
    <w:rsid w:val="004142FA"/>
    <w:rsid w:val="0041479D"/>
    <w:rsid w:val="00414872"/>
    <w:rsid w:val="00414AC6"/>
    <w:rsid w:val="00414CC2"/>
    <w:rsid w:val="00414CDF"/>
    <w:rsid w:val="0041500C"/>
    <w:rsid w:val="00415A9A"/>
    <w:rsid w:val="004165D9"/>
    <w:rsid w:val="0041707A"/>
    <w:rsid w:val="004174B0"/>
    <w:rsid w:val="0041788D"/>
    <w:rsid w:val="004179FF"/>
    <w:rsid w:val="00417ABE"/>
    <w:rsid w:val="00417D35"/>
    <w:rsid w:val="004202B6"/>
    <w:rsid w:val="00420501"/>
    <w:rsid w:val="00420635"/>
    <w:rsid w:val="00420D20"/>
    <w:rsid w:val="00420E2B"/>
    <w:rsid w:val="00421059"/>
    <w:rsid w:val="0042135A"/>
    <w:rsid w:val="00421879"/>
    <w:rsid w:val="004218D6"/>
    <w:rsid w:val="00421CD6"/>
    <w:rsid w:val="00422739"/>
    <w:rsid w:val="00422833"/>
    <w:rsid w:val="00422C85"/>
    <w:rsid w:val="00422F98"/>
    <w:rsid w:val="0042301E"/>
    <w:rsid w:val="00423090"/>
    <w:rsid w:val="00423B84"/>
    <w:rsid w:val="00423CEA"/>
    <w:rsid w:val="0042462D"/>
    <w:rsid w:val="00424889"/>
    <w:rsid w:val="0042496E"/>
    <w:rsid w:val="00424BBF"/>
    <w:rsid w:val="0042523E"/>
    <w:rsid w:val="004255E8"/>
    <w:rsid w:val="00425880"/>
    <w:rsid w:val="00425DBE"/>
    <w:rsid w:val="00425E50"/>
    <w:rsid w:val="00426076"/>
    <w:rsid w:val="00426251"/>
    <w:rsid w:val="004266A6"/>
    <w:rsid w:val="00426985"/>
    <w:rsid w:val="00426BEC"/>
    <w:rsid w:val="00426D0A"/>
    <w:rsid w:val="00426D2E"/>
    <w:rsid w:val="00426E49"/>
    <w:rsid w:val="0042746E"/>
    <w:rsid w:val="004274E2"/>
    <w:rsid w:val="00427578"/>
    <w:rsid w:val="004279B2"/>
    <w:rsid w:val="00427F31"/>
    <w:rsid w:val="00430133"/>
    <w:rsid w:val="00430474"/>
    <w:rsid w:val="0043047A"/>
    <w:rsid w:val="00430967"/>
    <w:rsid w:val="00430DA4"/>
    <w:rsid w:val="00430E3B"/>
    <w:rsid w:val="0043146D"/>
    <w:rsid w:val="004319F7"/>
    <w:rsid w:val="00431E00"/>
    <w:rsid w:val="004321D8"/>
    <w:rsid w:val="0043237D"/>
    <w:rsid w:val="0043244C"/>
    <w:rsid w:val="004328EF"/>
    <w:rsid w:val="00433291"/>
    <w:rsid w:val="00433566"/>
    <w:rsid w:val="00434082"/>
    <w:rsid w:val="004342F3"/>
    <w:rsid w:val="00434432"/>
    <w:rsid w:val="0043493C"/>
    <w:rsid w:val="00434AA6"/>
    <w:rsid w:val="00434CCB"/>
    <w:rsid w:val="00434D26"/>
    <w:rsid w:val="00434E87"/>
    <w:rsid w:val="00435063"/>
    <w:rsid w:val="004350FF"/>
    <w:rsid w:val="00435672"/>
    <w:rsid w:val="004357DA"/>
    <w:rsid w:val="004358C3"/>
    <w:rsid w:val="00435C4D"/>
    <w:rsid w:val="00435C5F"/>
    <w:rsid w:val="00436155"/>
    <w:rsid w:val="00436460"/>
    <w:rsid w:val="0043649A"/>
    <w:rsid w:val="00436C3D"/>
    <w:rsid w:val="00437450"/>
    <w:rsid w:val="00437768"/>
    <w:rsid w:val="00437A30"/>
    <w:rsid w:val="00437D25"/>
    <w:rsid w:val="00437D8F"/>
    <w:rsid w:val="00437FAC"/>
    <w:rsid w:val="0044047C"/>
    <w:rsid w:val="00440DAE"/>
    <w:rsid w:val="00440DB2"/>
    <w:rsid w:val="004410F5"/>
    <w:rsid w:val="0044153F"/>
    <w:rsid w:val="00441CB9"/>
    <w:rsid w:val="00441DB8"/>
    <w:rsid w:val="00441E98"/>
    <w:rsid w:val="00441FB9"/>
    <w:rsid w:val="00442379"/>
    <w:rsid w:val="004425B3"/>
    <w:rsid w:val="004426CA"/>
    <w:rsid w:val="00442858"/>
    <w:rsid w:val="004428CE"/>
    <w:rsid w:val="00442C71"/>
    <w:rsid w:val="004435B1"/>
    <w:rsid w:val="00443F75"/>
    <w:rsid w:val="0044409F"/>
    <w:rsid w:val="004440BA"/>
    <w:rsid w:val="00444122"/>
    <w:rsid w:val="004445B6"/>
    <w:rsid w:val="00444B4F"/>
    <w:rsid w:val="00444D6E"/>
    <w:rsid w:val="00444DD8"/>
    <w:rsid w:val="0044534C"/>
    <w:rsid w:val="0044653A"/>
    <w:rsid w:val="00446890"/>
    <w:rsid w:val="00447F95"/>
    <w:rsid w:val="00450079"/>
    <w:rsid w:val="00450688"/>
    <w:rsid w:val="00450B32"/>
    <w:rsid w:val="00450C70"/>
    <w:rsid w:val="00450C9B"/>
    <w:rsid w:val="00450D8F"/>
    <w:rsid w:val="00450F3A"/>
    <w:rsid w:val="00450FCC"/>
    <w:rsid w:val="004516E6"/>
    <w:rsid w:val="00451762"/>
    <w:rsid w:val="00451AAF"/>
    <w:rsid w:val="00451E1D"/>
    <w:rsid w:val="00452A59"/>
    <w:rsid w:val="00452AE9"/>
    <w:rsid w:val="004532F7"/>
    <w:rsid w:val="004537FF"/>
    <w:rsid w:val="00453D45"/>
    <w:rsid w:val="00453F44"/>
    <w:rsid w:val="004547EE"/>
    <w:rsid w:val="004549F5"/>
    <w:rsid w:val="00454BEA"/>
    <w:rsid w:val="00454F56"/>
    <w:rsid w:val="0045505E"/>
    <w:rsid w:val="00455178"/>
    <w:rsid w:val="00455188"/>
    <w:rsid w:val="004552DE"/>
    <w:rsid w:val="004554FF"/>
    <w:rsid w:val="004555B0"/>
    <w:rsid w:val="004556EC"/>
    <w:rsid w:val="0045580E"/>
    <w:rsid w:val="00455CBB"/>
    <w:rsid w:val="00455D22"/>
    <w:rsid w:val="00456A36"/>
    <w:rsid w:val="00456E7F"/>
    <w:rsid w:val="004571C1"/>
    <w:rsid w:val="0045727C"/>
    <w:rsid w:val="00457A34"/>
    <w:rsid w:val="00457C9E"/>
    <w:rsid w:val="00457DF0"/>
    <w:rsid w:val="0046027B"/>
    <w:rsid w:val="00461118"/>
    <w:rsid w:val="00461A4D"/>
    <w:rsid w:val="00461E96"/>
    <w:rsid w:val="00461EA3"/>
    <w:rsid w:val="0046270D"/>
    <w:rsid w:val="0046287B"/>
    <w:rsid w:val="004629FD"/>
    <w:rsid w:val="00462E94"/>
    <w:rsid w:val="004635D1"/>
    <w:rsid w:val="00463BFD"/>
    <w:rsid w:val="00463BFE"/>
    <w:rsid w:val="0046431F"/>
    <w:rsid w:val="00464440"/>
    <w:rsid w:val="00464A03"/>
    <w:rsid w:val="00464C8E"/>
    <w:rsid w:val="00464D51"/>
    <w:rsid w:val="00464ED3"/>
    <w:rsid w:val="00466121"/>
    <w:rsid w:val="00466461"/>
    <w:rsid w:val="0046676C"/>
    <w:rsid w:val="0047022F"/>
    <w:rsid w:val="00470760"/>
    <w:rsid w:val="00470914"/>
    <w:rsid w:val="0047112A"/>
    <w:rsid w:val="004716C4"/>
    <w:rsid w:val="004717D1"/>
    <w:rsid w:val="00471B35"/>
    <w:rsid w:val="00471C25"/>
    <w:rsid w:val="00471CC4"/>
    <w:rsid w:val="00472027"/>
    <w:rsid w:val="004722B9"/>
    <w:rsid w:val="004724A5"/>
    <w:rsid w:val="00472709"/>
    <w:rsid w:val="004729EB"/>
    <w:rsid w:val="00473A85"/>
    <w:rsid w:val="00473B17"/>
    <w:rsid w:val="00473D01"/>
    <w:rsid w:val="004740F8"/>
    <w:rsid w:val="0047436E"/>
    <w:rsid w:val="00474437"/>
    <w:rsid w:val="00474633"/>
    <w:rsid w:val="0047492F"/>
    <w:rsid w:val="004749C9"/>
    <w:rsid w:val="00474DDB"/>
    <w:rsid w:val="00475557"/>
    <w:rsid w:val="004759D7"/>
    <w:rsid w:val="00475B2F"/>
    <w:rsid w:val="004762AB"/>
    <w:rsid w:val="0047709F"/>
    <w:rsid w:val="00477379"/>
    <w:rsid w:val="00477997"/>
    <w:rsid w:val="00477CD2"/>
    <w:rsid w:val="0048004F"/>
    <w:rsid w:val="004804CF"/>
    <w:rsid w:val="00480948"/>
    <w:rsid w:val="00481119"/>
    <w:rsid w:val="004811B6"/>
    <w:rsid w:val="004812BE"/>
    <w:rsid w:val="00481445"/>
    <w:rsid w:val="004816EB"/>
    <w:rsid w:val="00481D00"/>
    <w:rsid w:val="004822AD"/>
    <w:rsid w:val="00482FF6"/>
    <w:rsid w:val="004830AB"/>
    <w:rsid w:val="004832C6"/>
    <w:rsid w:val="00483314"/>
    <w:rsid w:val="00483D34"/>
    <w:rsid w:val="0048458B"/>
    <w:rsid w:val="00484962"/>
    <w:rsid w:val="00484ABF"/>
    <w:rsid w:val="00484F6D"/>
    <w:rsid w:val="00484FB7"/>
    <w:rsid w:val="004853EC"/>
    <w:rsid w:val="0048554D"/>
    <w:rsid w:val="0048579D"/>
    <w:rsid w:val="004859FB"/>
    <w:rsid w:val="00486456"/>
    <w:rsid w:val="004864D1"/>
    <w:rsid w:val="00486888"/>
    <w:rsid w:val="00486F48"/>
    <w:rsid w:val="00486FC7"/>
    <w:rsid w:val="0048707E"/>
    <w:rsid w:val="00487133"/>
    <w:rsid w:val="00487586"/>
    <w:rsid w:val="00487632"/>
    <w:rsid w:val="00487A9F"/>
    <w:rsid w:val="00490356"/>
    <w:rsid w:val="004908FC"/>
    <w:rsid w:val="00490F2F"/>
    <w:rsid w:val="004915FF"/>
    <w:rsid w:val="00492180"/>
    <w:rsid w:val="00492803"/>
    <w:rsid w:val="00492DB8"/>
    <w:rsid w:val="004930C4"/>
    <w:rsid w:val="00493231"/>
    <w:rsid w:val="0049338A"/>
    <w:rsid w:val="004933CE"/>
    <w:rsid w:val="0049417F"/>
    <w:rsid w:val="00494AC9"/>
    <w:rsid w:val="00494D78"/>
    <w:rsid w:val="00495005"/>
    <w:rsid w:val="004953FB"/>
    <w:rsid w:val="004955A8"/>
    <w:rsid w:val="004956D0"/>
    <w:rsid w:val="004957B3"/>
    <w:rsid w:val="00495F86"/>
    <w:rsid w:val="004960A1"/>
    <w:rsid w:val="00496646"/>
    <w:rsid w:val="0049668C"/>
    <w:rsid w:val="00496D41"/>
    <w:rsid w:val="00496ED6"/>
    <w:rsid w:val="00497844"/>
    <w:rsid w:val="00497EB5"/>
    <w:rsid w:val="004A08DF"/>
    <w:rsid w:val="004A10D1"/>
    <w:rsid w:val="004A1508"/>
    <w:rsid w:val="004A154E"/>
    <w:rsid w:val="004A1743"/>
    <w:rsid w:val="004A25AE"/>
    <w:rsid w:val="004A2674"/>
    <w:rsid w:val="004A2778"/>
    <w:rsid w:val="004A29F0"/>
    <w:rsid w:val="004A2A58"/>
    <w:rsid w:val="004A2D11"/>
    <w:rsid w:val="004A2E4D"/>
    <w:rsid w:val="004A3514"/>
    <w:rsid w:val="004A387E"/>
    <w:rsid w:val="004A39B9"/>
    <w:rsid w:val="004A3A20"/>
    <w:rsid w:val="004A431B"/>
    <w:rsid w:val="004A4537"/>
    <w:rsid w:val="004A46B7"/>
    <w:rsid w:val="004A4BD9"/>
    <w:rsid w:val="004A4D0B"/>
    <w:rsid w:val="004A566A"/>
    <w:rsid w:val="004A5C17"/>
    <w:rsid w:val="004A5E7C"/>
    <w:rsid w:val="004A6410"/>
    <w:rsid w:val="004A64F3"/>
    <w:rsid w:val="004A658E"/>
    <w:rsid w:val="004A6602"/>
    <w:rsid w:val="004A70A4"/>
    <w:rsid w:val="004A74ED"/>
    <w:rsid w:val="004A7B49"/>
    <w:rsid w:val="004A7FC2"/>
    <w:rsid w:val="004B0A1D"/>
    <w:rsid w:val="004B0EE8"/>
    <w:rsid w:val="004B13ED"/>
    <w:rsid w:val="004B15E7"/>
    <w:rsid w:val="004B16AC"/>
    <w:rsid w:val="004B1741"/>
    <w:rsid w:val="004B1BCC"/>
    <w:rsid w:val="004B1EB6"/>
    <w:rsid w:val="004B2163"/>
    <w:rsid w:val="004B23F0"/>
    <w:rsid w:val="004B2DD3"/>
    <w:rsid w:val="004B343C"/>
    <w:rsid w:val="004B34E8"/>
    <w:rsid w:val="004B3536"/>
    <w:rsid w:val="004B378C"/>
    <w:rsid w:val="004B3EFA"/>
    <w:rsid w:val="004B4AD3"/>
    <w:rsid w:val="004B4E01"/>
    <w:rsid w:val="004B5015"/>
    <w:rsid w:val="004B52B8"/>
    <w:rsid w:val="004B5665"/>
    <w:rsid w:val="004B58AE"/>
    <w:rsid w:val="004B58D0"/>
    <w:rsid w:val="004B5932"/>
    <w:rsid w:val="004B5B29"/>
    <w:rsid w:val="004B5B63"/>
    <w:rsid w:val="004B5D95"/>
    <w:rsid w:val="004B6028"/>
    <w:rsid w:val="004B60DC"/>
    <w:rsid w:val="004B678F"/>
    <w:rsid w:val="004B6925"/>
    <w:rsid w:val="004B705D"/>
    <w:rsid w:val="004B7355"/>
    <w:rsid w:val="004B7B50"/>
    <w:rsid w:val="004B7C3A"/>
    <w:rsid w:val="004C00AF"/>
    <w:rsid w:val="004C0224"/>
    <w:rsid w:val="004C0275"/>
    <w:rsid w:val="004C08AE"/>
    <w:rsid w:val="004C090B"/>
    <w:rsid w:val="004C0951"/>
    <w:rsid w:val="004C0CC6"/>
    <w:rsid w:val="004C10B1"/>
    <w:rsid w:val="004C1327"/>
    <w:rsid w:val="004C15ED"/>
    <w:rsid w:val="004C1600"/>
    <w:rsid w:val="004C2389"/>
    <w:rsid w:val="004C2822"/>
    <w:rsid w:val="004C2A87"/>
    <w:rsid w:val="004C2F52"/>
    <w:rsid w:val="004C3081"/>
    <w:rsid w:val="004C3CF5"/>
    <w:rsid w:val="004C4535"/>
    <w:rsid w:val="004C4881"/>
    <w:rsid w:val="004C4D7B"/>
    <w:rsid w:val="004C4ED3"/>
    <w:rsid w:val="004C50CC"/>
    <w:rsid w:val="004C51FD"/>
    <w:rsid w:val="004C5E29"/>
    <w:rsid w:val="004C5E7F"/>
    <w:rsid w:val="004C5FCF"/>
    <w:rsid w:val="004C667B"/>
    <w:rsid w:val="004C6985"/>
    <w:rsid w:val="004C71A6"/>
    <w:rsid w:val="004C7ECD"/>
    <w:rsid w:val="004C7FBA"/>
    <w:rsid w:val="004D05BD"/>
    <w:rsid w:val="004D0BC9"/>
    <w:rsid w:val="004D1004"/>
    <w:rsid w:val="004D1708"/>
    <w:rsid w:val="004D1820"/>
    <w:rsid w:val="004D1E21"/>
    <w:rsid w:val="004D231A"/>
    <w:rsid w:val="004D244E"/>
    <w:rsid w:val="004D24C0"/>
    <w:rsid w:val="004D2527"/>
    <w:rsid w:val="004D2B1D"/>
    <w:rsid w:val="004D2C0D"/>
    <w:rsid w:val="004D2C2B"/>
    <w:rsid w:val="004D2DB5"/>
    <w:rsid w:val="004D2DF0"/>
    <w:rsid w:val="004D2EA5"/>
    <w:rsid w:val="004D2F11"/>
    <w:rsid w:val="004D32A6"/>
    <w:rsid w:val="004D35DF"/>
    <w:rsid w:val="004D39A9"/>
    <w:rsid w:val="004D4055"/>
    <w:rsid w:val="004D4A06"/>
    <w:rsid w:val="004D53E5"/>
    <w:rsid w:val="004D5645"/>
    <w:rsid w:val="004D5AD1"/>
    <w:rsid w:val="004D5BC7"/>
    <w:rsid w:val="004D5BF0"/>
    <w:rsid w:val="004D5C86"/>
    <w:rsid w:val="004D63B4"/>
    <w:rsid w:val="004D67E7"/>
    <w:rsid w:val="004D7814"/>
    <w:rsid w:val="004D7950"/>
    <w:rsid w:val="004D7BDB"/>
    <w:rsid w:val="004D7D85"/>
    <w:rsid w:val="004E0516"/>
    <w:rsid w:val="004E05BF"/>
    <w:rsid w:val="004E0877"/>
    <w:rsid w:val="004E0998"/>
    <w:rsid w:val="004E10CE"/>
    <w:rsid w:val="004E118E"/>
    <w:rsid w:val="004E1A6F"/>
    <w:rsid w:val="004E1AF2"/>
    <w:rsid w:val="004E1DF2"/>
    <w:rsid w:val="004E2F5B"/>
    <w:rsid w:val="004E3852"/>
    <w:rsid w:val="004E3D38"/>
    <w:rsid w:val="004E4098"/>
    <w:rsid w:val="004E4342"/>
    <w:rsid w:val="004E49CC"/>
    <w:rsid w:val="004E4EDC"/>
    <w:rsid w:val="004E5032"/>
    <w:rsid w:val="004E513C"/>
    <w:rsid w:val="004E5396"/>
    <w:rsid w:val="004E608B"/>
    <w:rsid w:val="004E6C61"/>
    <w:rsid w:val="004E6DC4"/>
    <w:rsid w:val="004E7896"/>
    <w:rsid w:val="004E7948"/>
    <w:rsid w:val="004E7A86"/>
    <w:rsid w:val="004E7E2C"/>
    <w:rsid w:val="004F0038"/>
    <w:rsid w:val="004F083E"/>
    <w:rsid w:val="004F090B"/>
    <w:rsid w:val="004F096C"/>
    <w:rsid w:val="004F0C4F"/>
    <w:rsid w:val="004F0C8B"/>
    <w:rsid w:val="004F0EE0"/>
    <w:rsid w:val="004F162F"/>
    <w:rsid w:val="004F21C1"/>
    <w:rsid w:val="004F28A8"/>
    <w:rsid w:val="004F2AA1"/>
    <w:rsid w:val="004F2E37"/>
    <w:rsid w:val="004F393C"/>
    <w:rsid w:val="004F39ED"/>
    <w:rsid w:val="004F3E22"/>
    <w:rsid w:val="004F3E46"/>
    <w:rsid w:val="004F4B44"/>
    <w:rsid w:val="004F5215"/>
    <w:rsid w:val="004F52F0"/>
    <w:rsid w:val="004F579C"/>
    <w:rsid w:val="004F5E4B"/>
    <w:rsid w:val="004F6023"/>
    <w:rsid w:val="004F63AF"/>
    <w:rsid w:val="004F63CF"/>
    <w:rsid w:val="004F679B"/>
    <w:rsid w:val="004F70F5"/>
    <w:rsid w:val="004F7127"/>
    <w:rsid w:val="004F7312"/>
    <w:rsid w:val="004F755C"/>
    <w:rsid w:val="004F7B25"/>
    <w:rsid w:val="00500456"/>
    <w:rsid w:val="00500710"/>
    <w:rsid w:val="0050171E"/>
    <w:rsid w:val="00501A12"/>
    <w:rsid w:val="00501B89"/>
    <w:rsid w:val="00502725"/>
    <w:rsid w:val="005027D0"/>
    <w:rsid w:val="005029A2"/>
    <w:rsid w:val="0050309C"/>
    <w:rsid w:val="005031C0"/>
    <w:rsid w:val="00504D09"/>
    <w:rsid w:val="00504EAD"/>
    <w:rsid w:val="00505533"/>
    <w:rsid w:val="00505571"/>
    <w:rsid w:val="00505B84"/>
    <w:rsid w:val="00505B9B"/>
    <w:rsid w:val="00505C27"/>
    <w:rsid w:val="00505DF4"/>
    <w:rsid w:val="005060D6"/>
    <w:rsid w:val="00506144"/>
    <w:rsid w:val="00506351"/>
    <w:rsid w:val="00506A3C"/>
    <w:rsid w:val="00506ABA"/>
    <w:rsid w:val="00506F60"/>
    <w:rsid w:val="00507F55"/>
    <w:rsid w:val="00510060"/>
    <w:rsid w:val="00510184"/>
    <w:rsid w:val="0051028A"/>
    <w:rsid w:val="005103A6"/>
    <w:rsid w:val="005103D1"/>
    <w:rsid w:val="00510C94"/>
    <w:rsid w:val="005110F9"/>
    <w:rsid w:val="0051173C"/>
    <w:rsid w:val="00511A57"/>
    <w:rsid w:val="00511CD7"/>
    <w:rsid w:val="005126ED"/>
    <w:rsid w:val="00512B7B"/>
    <w:rsid w:val="0051327C"/>
    <w:rsid w:val="005133A4"/>
    <w:rsid w:val="0051340E"/>
    <w:rsid w:val="0051346D"/>
    <w:rsid w:val="0051348B"/>
    <w:rsid w:val="00513EAE"/>
    <w:rsid w:val="00513EC5"/>
    <w:rsid w:val="005142C6"/>
    <w:rsid w:val="0051434F"/>
    <w:rsid w:val="00514827"/>
    <w:rsid w:val="00514A89"/>
    <w:rsid w:val="00514ECF"/>
    <w:rsid w:val="00515BA1"/>
    <w:rsid w:val="00515F89"/>
    <w:rsid w:val="00516806"/>
    <w:rsid w:val="0051764C"/>
    <w:rsid w:val="0051792C"/>
    <w:rsid w:val="00517ADA"/>
    <w:rsid w:val="00517AFE"/>
    <w:rsid w:val="00517D06"/>
    <w:rsid w:val="00520482"/>
    <w:rsid w:val="00520953"/>
    <w:rsid w:val="0052098C"/>
    <w:rsid w:val="00520B75"/>
    <w:rsid w:val="005215F7"/>
    <w:rsid w:val="00521677"/>
    <w:rsid w:val="00521734"/>
    <w:rsid w:val="00521A83"/>
    <w:rsid w:val="00521F30"/>
    <w:rsid w:val="00521FE3"/>
    <w:rsid w:val="00522B2C"/>
    <w:rsid w:val="00523308"/>
    <w:rsid w:val="0052395F"/>
    <w:rsid w:val="00523A53"/>
    <w:rsid w:val="00524015"/>
    <w:rsid w:val="005252B3"/>
    <w:rsid w:val="005252FC"/>
    <w:rsid w:val="005254C4"/>
    <w:rsid w:val="005256AF"/>
    <w:rsid w:val="00525A49"/>
    <w:rsid w:val="00525DC8"/>
    <w:rsid w:val="00525EFA"/>
    <w:rsid w:val="00526071"/>
    <w:rsid w:val="005262D1"/>
    <w:rsid w:val="00526444"/>
    <w:rsid w:val="0052647F"/>
    <w:rsid w:val="00526F66"/>
    <w:rsid w:val="00527061"/>
    <w:rsid w:val="005275F0"/>
    <w:rsid w:val="00527666"/>
    <w:rsid w:val="0052781F"/>
    <w:rsid w:val="00527838"/>
    <w:rsid w:val="00527C31"/>
    <w:rsid w:val="00527C84"/>
    <w:rsid w:val="00527E01"/>
    <w:rsid w:val="00527E68"/>
    <w:rsid w:val="00530876"/>
    <w:rsid w:val="00530E64"/>
    <w:rsid w:val="005310ED"/>
    <w:rsid w:val="005312FC"/>
    <w:rsid w:val="0053175A"/>
    <w:rsid w:val="00531A0B"/>
    <w:rsid w:val="00531AAC"/>
    <w:rsid w:val="00531AC1"/>
    <w:rsid w:val="00531DAF"/>
    <w:rsid w:val="00532227"/>
    <w:rsid w:val="00532AC9"/>
    <w:rsid w:val="00532AF2"/>
    <w:rsid w:val="00532B34"/>
    <w:rsid w:val="00533169"/>
    <w:rsid w:val="00533580"/>
    <w:rsid w:val="0053430E"/>
    <w:rsid w:val="00535278"/>
    <w:rsid w:val="00535482"/>
    <w:rsid w:val="00535613"/>
    <w:rsid w:val="0053563A"/>
    <w:rsid w:val="005357DA"/>
    <w:rsid w:val="005359EB"/>
    <w:rsid w:val="00535BC8"/>
    <w:rsid w:val="00535BE1"/>
    <w:rsid w:val="005360E3"/>
    <w:rsid w:val="0053632E"/>
    <w:rsid w:val="00536683"/>
    <w:rsid w:val="00536F44"/>
    <w:rsid w:val="0053741D"/>
    <w:rsid w:val="005376D0"/>
    <w:rsid w:val="0053790A"/>
    <w:rsid w:val="00537B0D"/>
    <w:rsid w:val="00537B86"/>
    <w:rsid w:val="00537F23"/>
    <w:rsid w:val="0054063E"/>
    <w:rsid w:val="005415BE"/>
    <w:rsid w:val="00541D64"/>
    <w:rsid w:val="00541EB4"/>
    <w:rsid w:val="0054254A"/>
    <w:rsid w:val="00542744"/>
    <w:rsid w:val="005427DF"/>
    <w:rsid w:val="00543532"/>
    <w:rsid w:val="00543A29"/>
    <w:rsid w:val="00543E6C"/>
    <w:rsid w:val="00544007"/>
    <w:rsid w:val="00544197"/>
    <w:rsid w:val="005443E6"/>
    <w:rsid w:val="00544716"/>
    <w:rsid w:val="00544775"/>
    <w:rsid w:val="0054488C"/>
    <w:rsid w:val="00544E86"/>
    <w:rsid w:val="0054500B"/>
    <w:rsid w:val="00545342"/>
    <w:rsid w:val="0054559D"/>
    <w:rsid w:val="005456D0"/>
    <w:rsid w:val="00545904"/>
    <w:rsid w:val="00545D0C"/>
    <w:rsid w:val="005466B5"/>
    <w:rsid w:val="00546FC2"/>
    <w:rsid w:val="005471F9"/>
    <w:rsid w:val="005472A7"/>
    <w:rsid w:val="0054751D"/>
    <w:rsid w:val="0054784C"/>
    <w:rsid w:val="00547924"/>
    <w:rsid w:val="00547983"/>
    <w:rsid w:val="00547D29"/>
    <w:rsid w:val="00547DCC"/>
    <w:rsid w:val="00547F62"/>
    <w:rsid w:val="00547F9F"/>
    <w:rsid w:val="005500B2"/>
    <w:rsid w:val="0055034D"/>
    <w:rsid w:val="005506E5"/>
    <w:rsid w:val="00550971"/>
    <w:rsid w:val="0055201C"/>
    <w:rsid w:val="00552265"/>
    <w:rsid w:val="00552CF2"/>
    <w:rsid w:val="00552DA3"/>
    <w:rsid w:val="00552F27"/>
    <w:rsid w:val="00553012"/>
    <w:rsid w:val="00553161"/>
    <w:rsid w:val="005536A5"/>
    <w:rsid w:val="00553861"/>
    <w:rsid w:val="00553B4B"/>
    <w:rsid w:val="00553C41"/>
    <w:rsid w:val="00553E23"/>
    <w:rsid w:val="00554118"/>
    <w:rsid w:val="00554314"/>
    <w:rsid w:val="00554372"/>
    <w:rsid w:val="005545BE"/>
    <w:rsid w:val="0055461D"/>
    <w:rsid w:val="00554A90"/>
    <w:rsid w:val="00554D8C"/>
    <w:rsid w:val="0055504C"/>
    <w:rsid w:val="005551B5"/>
    <w:rsid w:val="0055532A"/>
    <w:rsid w:val="00555704"/>
    <w:rsid w:val="00556002"/>
    <w:rsid w:val="005561DB"/>
    <w:rsid w:val="005569B3"/>
    <w:rsid w:val="0055756E"/>
    <w:rsid w:val="00557619"/>
    <w:rsid w:val="00557A71"/>
    <w:rsid w:val="00557E3B"/>
    <w:rsid w:val="00557E8B"/>
    <w:rsid w:val="0056061C"/>
    <w:rsid w:val="005607FB"/>
    <w:rsid w:val="00560B2E"/>
    <w:rsid w:val="0056136F"/>
    <w:rsid w:val="00561D79"/>
    <w:rsid w:val="00561E8A"/>
    <w:rsid w:val="00562260"/>
    <w:rsid w:val="005623DB"/>
    <w:rsid w:val="00562829"/>
    <w:rsid w:val="005629B3"/>
    <w:rsid w:val="005632E7"/>
    <w:rsid w:val="00563460"/>
    <w:rsid w:val="00563A98"/>
    <w:rsid w:val="00563D91"/>
    <w:rsid w:val="00564428"/>
    <w:rsid w:val="0056473D"/>
    <w:rsid w:val="00564902"/>
    <w:rsid w:val="00564B3D"/>
    <w:rsid w:val="00564DCF"/>
    <w:rsid w:val="0056580A"/>
    <w:rsid w:val="00565D61"/>
    <w:rsid w:val="0056614F"/>
    <w:rsid w:val="005663C7"/>
    <w:rsid w:val="00566653"/>
    <w:rsid w:val="00566A51"/>
    <w:rsid w:val="00566BE0"/>
    <w:rsid w:val="0056765A"/>
    <w:rsid w:val="0056787C"/>
    <w:rsid w:val="0057044E"/>
    <w:rsid w:val="00570F8E"/>
    <w:rsid w:val="00571080"/>
    <w:rsid w:val="0057128A"/>
    <w:rsid w:val="00571345"/>
    <w:rsid w:val="00571CC3"/>
    <w:rsid w:val="00571F29"/>
    <w:rsid w:val="0057208C"/>
    <w:rsid w:val="005724F6"/>
    <w:rsid w:val="005728F1"/>
    <w:rsid w:val="005729F5"/>
    <w:rsid w:val="00572C79"/>
    <w:rsid w:val="0057317C"/>
    <w:rsid w:val="00573357"/>
    <w:rsid w:val="005734BD"/>
    <w:rsid w:val="00573542"/>
    <w:rsid w:val="005735D9"/>
    <w:rsid w:val="00573AC4"/>
    <w:rsid w:val="00573E31"/>
    <w:rsid w:val="00574150"/>
    <w:rsid w:val="00574615"/>
    <w:rsid w:val="00574A75"/>
    <w:rsid w:val="00574CF9"/>
    <w:rsid w:val="00575676"/>
    <w:rsid w:val="0057621E"/>
    <w:rsid w:val="005766B6"/>
    <w:rsid w:val="0058013C"/>
    <w:rsid w:val="005801F8"/>
    <w:rsid w:val="005801FC"/>
    <w:rsid w:val="0058067A"/>
    <w:rsid w:val="00581BAD"/>
    <w:rsid w:val="00581C49"/>
    <w:rsid w:val="005825DE"/>
    <w:rsid w:val="005827F2"/>
    <w:rsid w:val="00582D75"/>
    <w:rsid w:val="00582DAB"/>
    <w:rsid w:val="005838F1"/>
    <w:rsid w:val="00583927"/>
    <w:rsid w:val="00583968"/>
    <w:rsid w:val="0058459F"/>
    <w:rsid w:val="005846DC"/>
    <w:rsid w:val="00585033"/>
    <w:rsid w:val="005850AA"/>
    <w:rsid w:val="00585404"/>
    <w:rsid w:val="00585BA9"/>
    <w:rsid w:val="005861C9"/>
    <w:rsid w:val="005863AE"/>
    <w:rsid w:val="0058655A"/>
    <w:rsid w:val="005865A6"/>
    <w:rsid w:val="00586C64"/>
    <w:rsid w:val="0058701E"/>
    <w:rsid w:val="005871EA"/>
    <w:rsid w:val="00587359"/>
    <w:rsid w:val="00587BB3"/>
    <w:rsid w:val="0059001D"/>
    <w:rsid w:val="005900A0"/>
    <w:rsid w:val="005909C5"/>
    <w:rsid w:val="00590B24"/>
    <w:rsid w:val="00590CD0"/>
    <w:rsid w:val="0059101B"/>
    <w:rsid w:val="00591797"/>
    <w:rsid w:val="00591F67"/>
    <w:rsid w:val="005921C5"/>
    <w:rsid w:val="00592943"/>
    <w:rsid w:val="00592C1F"/>
    <w:rsid w:val="00593012"/>
    <w:rsid w:val="005932BA"/>
    <w:rsid w:val="00593E72"/>
    <w:rsid w:val="005946D5"/>
    <w:rsid w:val="00595016"/>
    <w:rsid w:val="005955E5"/>
    <w:rsid w:val="00596197"/>
    <w:rsid w:val="00596891"/>
    <w:rsid w:val="005968E2"/>
    <w:rsid w:val="00596C45"/>
    <w:rsid w:val="00596C74"/>
    <w:rsid w:val="00597208"/>
    <w:rsid w:val="005979F1"/>
    <w:rsid w:val="00597AAE"/>
    <w:rsid w:val="005A094A"/>
    <w:rsid w:val="005A0DE3"/>
    <w:rsid w:val="005A11EA"/>
    <w:rsid w:val="005A15FB"/>
    <w:rsid w:val="005A1678"/>
    <w:rsid w:val="005A1991"/>
    <w:rsid w:val="005A1BC4"/>
    <w:rsid w:val="005A222C"/>
    <w:rsid w:val="005A24DA"/>
    <w:rsid w:val="005A2512"/>
    <w:rsid w:val="005A2AF6"/>
    <w:rsid w:val="005A2C57"/>
    <w:rsid w:val="005A318E"/>
    <w:rsid w:val="005A34EE"/>
    <w:rsid w:val="005A3533"/>
    <w:rsid w:val="005A355B"/>
    <w:rsid w:val="005A3AF9"/>
    <w:rsid w:val="005A4B45"/>
    <w:rsid w:val="005A4B76"/>
    <w:rsid w:val="005A4C5D"/>
    <w:rsid w:val="005A4DF8"/>
    <w:rsid w:val="005A4E48"/>
    <w:rsid w:val="005A537D"/>
    <w:rsid w:val="005A565C"/>
    <w:rsid w:val="005A582C"/>
    <w:rsid w:val="005A5C79"/>
    <w:rsid w:val="005A66E5"/>
    <w:rsid w:val="005A6CBC"/>
    <w:rsid w:val="005A709C"/>
    <w:rsid w:val="005A7289"/>
    <w:rsid w:val="005A72F1"/>
    <w:rsid w:val="005A763C"/>
    <w:rsid w:val="005A7681"/>
    <w:rsid w:val="005A7852"/>
    <w:rsid w:val="005A78C8"/>
    <w:rsid w:val="005A7B04"/>
    <w:rsid w:val="005B02E1"/>
    <w:rsid w:val="005B03A7"/>
    <w:rsid w:val="005B0E04"/>
    <w:rsid w:val="005B0E76"/>
    <w:rsid w:val="005B0F89"/>
    <w:rsid w:val="005B1426"/>
    <w:rsid w:val="005B1862"/>
    <w:rsid w:val="005B18DA"/>
    <w:rsid w:val="005B1924"/>
    <w:rsid w:val="005B1D67"/>
    <w:rsid w:val="005B1DC5"/>
    <w:rsid w:val="005B2502"/>
    <w:rsid w:val="005B2546"/>
    <w:rsid w:val="005B2580"/>
    <w:rsid w:val="005B2A00"/>
    <w:rsid w:val="005B2D1E"/>
    <w:rsid w:val="005B30E2"/>
    <w:rsid w:val="005B328B"/>
    <w:rsid w:val="005B376D"/>
    <w:rsid w:val="005B39EF"/>
    <w:rsid w:val="005B3E40"/>
    <w:rsid w:val="005B4AA5"/>
    <w:rsid w:val="005B535B"/>
    <w:rsid w:val="005B591E"/>
    <w:rsid w:val="005B5A7C"/>
    <w:rsid w:val="005B604A"/>
    <w:rsid w:val="005B61A2"/>
    <w:rsid w:val="005B6599"/>
    <w:rsid w:val="005B6E25"/>
    <w:rsid w:val="005B6E6C"/>
    <w:rsid w:val="005B765C"/>
    <w:rsid w:val="005B7805"/>
    <w:rsid w:val="005B7D3A"/>
    <w:rsid w:val="005C0A8E"/>
    <w:rsid w:val="005C0A96"/>
    <w:rsid w:val="005C108C"/>
    <w:rsid w:val="005C1767"/>
    <w:rsid w:val="005C185C"/>
    <w:rsid w:val="005C263E"/>
    <w:rsid w:val="005C2785"/>
    <w:rsid w:val="005C2BEA"/>
    <w:rsid w:val="005C2E5C"/>
    <w:rsid w:val="005C3029"/>
    <w:rsid w:val="005C3095"/>
    <w:rsid w:val="005C3483"/>
    <w:rsid w:val="005C3713"/>
    <w:rsid w:val="005C42EF"/>
    <w:rsid w:val="005C44EA"/>
    <w:rsid w:val="005C4BDF"/>
    <w:rsid w:val="005C4C82"/>
    <w:rsid w:val="005C4F05"/>
    <w:rsid w:val="005C528E"/>
    <w:rsid w:val="005C5609"/>
    <w:rsid w:val="005C5683"/>
    <w:rsid w:val="005C5CFB"/>
    <w:rsid w:val="005C6A29"/>
    <w:rsid w:val="005C6AF4"/>
    <w:rsid w:val="005C6C58"/>
    <w:rsid w:val="005C6EC0"/>
    <w:rsid w:val="005C7222"/>
    <w:rsid w:val="005C7E14"/>
    <w:rsid w:val="005C7F1D"/>
    <w:rsid w:val="005C7FB0"/>
    <w:rsid w:val="005D03C6"/>
    <w:rsid w:val="005D041E"/>
    <w:rsid w:val="005D0A72"/>
    <w:rsid w:val="005D0A81"/>
    <w:rsid w:val="005D0C34"/>
    <w:rsid w:val="005D129E"/>
    <w:rsid w:val="005D1D34"/>
    <w:rsid w:val="005D1E1D"/>
    <w:rsid w:val="005D2738"/>
    <w:rsid w:val="005D2D29"/>
    <w:rsid w:val="005D302F"/>
    <w:rsid w:val="005D343D"/>
    <w:rsid w:val="005D3454"/>
    <w:rsid w:val="005D3A1C"/>
    <w:rsid w:val="005D3E35"/>
    <w:rsid w:val="005D3F64"/>
    <w:rsid w:val="005D3F77"/>
    <w:rsid w:val="005D3FDB"/>
    <w:rsid w:val="005D41BB"/>
    <w:rsid w:val="005D4345"/>
    <w:rsid w:val="005D4496"/>
    <w:rsid w:val="005D451B"/>
    <w:rsid w:val="005D4AE6"/>
    <w:rsid w:val="005D5599"/>
    <w:rsid w:val="005D5AA6"/>
    <w:rsid w:val="005D5D67"/>
    <w:rsid w:val="005D5F7E"/>
    <w:rsid w:val="005D64F1"/>
    <w:rsid w:val="005D65F5"/>
    <w:rsid w:val="005D6E0A"/>
    <w:rsid w:val="005D6EE7"/>
    <w:rsid w:val="005D70F9"/>
    <w:rsid w:val="005D797B"/>
    <w:rsid w:val="005D7AC0"/>
    <w:rsid w:val="005D7DAB"/>
    <w:rsid w:val="005E0261"/>
    <w:rsid w:val="005E0273"/>
    <w:rsid w:val="005E02F5"/>
    <w:rsid w:val="005E03A8"/>
    <w:rsid w:val="005E0510"/>
    <w:rsid w:val="005E05CF"/>
    <w:rsid w:val="005E077E"/>
    <w:rsid w:val="005E0B27"/>
    <w:rsid w:val="005E176E"/>
    <w:rsid w:val="005E18CC"/>
    <w:rsid w:val="005E1901"/>
    <w:rsid w:val="005E218E"/>
    <w:rsid w:val="005E22B9"/>
    <w:rsid w:val="005E26A3"/>
    <w:rsid w:val="005E271F"/>
    <w:rsid w:val="005E274C"/>
    <w:rsid w:val="005E27F7"/>
    <w:rsid w:val="005E2BFC"/>
    <w:rsid w:val="005E2D50"/>
    <w:rsid w:val="005E35A0"/>
    <w:rsid w:val="005E3666"/>
    <w:rsid w:val="005E371E"/>
    <w:rsid w:val="005E393F"/>
    <w:rsid w:val="005E430D"/>
    <w:rsid w:val="005E50BA"/>
    <w:rsid w:val="005E661A"/>
    <w:rsid w:val="005E665A"/>
    <w:rsid w:val="005E682D"/>
    <w:rsid w:val="005E6A43"/>
    <w:rsid w:val="005E6C1F"/>
    <w:rsid w:val="005E6DAB"/>
    <w:rsid w:val="005E6ED5"/>
    <w:rsid w:val="005E761A"/>
    <w:rsid w:val="005E7F84"/>
    <w:rsid w:val="005E7FBE"/>
    <w:rsid w:val="005F00B4"/>
    <w:rsid w:val="005F056D"/>
    <w:rsid w:val="005F05AA"/>
    <w:rsid w:val="005F0D1B"/>
    <w:rsid w:val="005F1473"/>
    <w:rsid w:val="005F17E3"/>
    <w:rsid w:val="005F1865"/>
    <w:rsid w:val="005F1ACE"/>
    <w:rsid w:val="005F209A"/>
    <w:rsid w:val="005F253A"/>
    <w:rsid w:val="005F2E06"/>
    <w:rsid w:val="005F2E1E"/>
    <w:rsid w:val="005F2F30"/>
    <w:rsid w:val="005F38A9"/>
    <w:rsid w:val="005F4095"/>
    <w:rsid w:val="005F4305"/>
    <w:rsid w:val="005F4338"/>
    <w:rsid w:val="005F4BD1"/>
    <w:rsid w:val="005F5018"/>
    <w:rsid w:val="005F5040"/>
    <w:rsid w:val="005F52A4"/>
    <w:rsid w:val="005F5382"/>
    <w:rsid w:val="005F53A9"/>
    <w:rsid w:val="005F5E97"/>
    <w:rsid w:val="005F633F"/>
    <w:rsid w:val="005F69B4"/>
    <w:rsid w:val="005F6BEB"/>
    <w:rsid w:val="005F6BF9"/>
    <w:rsid w:val="005F6EFA"/>
    <w:rsid w:val="005F7245"/>
    <w:rsid w:val="005F7312"/>
    <w:rsid w:val="005F76A6"/>
    <w:rsid w:val="005F7885"/>
    <w:rsid w:val="005F7A08"/>
    <w:rsid w:val="005F7DC7"/>
    <w:rsid w:val="005F7FF3"/>
    <w:rsid w:val="00600307"/>
    <w:rsid w:val="0060078A"/>
    <w:rsid w:val="006007BD"/>
    <w:rsid w:val="00600FE2"/>
    <w:rsid w:val="00601247"/>
    <w:rsid w:val="006013C8"/>
    <w:rsid w:val="006015F9"/>
    <w:rsid w:val="006015FC"/>
    <w:rsid w:val="0060188A"/>
    <w:rsid w:val="00601CD3"/>
    <w:rsid w:val="00601F04"/>
    <w:rsid w:val="00601F44"/>
    <w:rsid w:val="0060231B"/>
    <w:rsid w:val="006023E9"/>
    <w:rsid w:val="0060270D"/>
    <w:rsid w:val="006027C2"/>
    <w:rsid w:val="00602A6C"/>
    <w:rsid w:val="00603272"/>
    <w:rsid w:val="00603A67"/>
    <w:rsid w:val="00604098"/>
    <w:rsid w:val="00604342"/>
    <w:rsid w:val="00604611"/>
    <w:rsid w:val="00604852"/>
    <w:rsid w:val="00604B5A"/>
    <w:rsid w:val="00604D3D"/>
    <w:rsid w:val="00604DCD"/>
    <w:rsid w:val="00604F8D"/>
    <w:rsid w:val="00605248"/>
    <w:rsid w:val="00605406"/>
    <w:rsid w:val="006055B8"/>
    <w:rsid w:val="00605CAD"/>
    <w:rsid w:val="00606647"/>
    <w:rsid w:val="0060688A"/>
    <w:rsid w:val="00607409"/>
    <w:rsid w:val="00607694"/>
    <w:rsid w:val="00607A65"/>
    <w:rsid w:val="00610B58"/>
    <w:rsid w:val="00610DA9"/>
    <w:rsid w:val="00610F4D"/>
    <w:rsid w:val="00611586"/>
    <w:rsid w:val="00611CBC"/>
    <w:rsid w:val="00612988"/>
    <w:rsid w:val="00612D26"/>
    <w:rsid w:val="00612E36"/>
    <w:rsid w:val="0061379C"/>
    <w:rsid w:val="00613EF7"/>
    <w:rsid w:val="006140D4"/>
    <w:rsid w:val="00614739"/>
    <w:rsid w:val="006147BF"/>
    <w:rsid w:val="00615398"/>
    <w:rsid w:val="00615855"/>
    <w:rsid w:val="00615BF2"/>
    <w:rsid w:val="00615FC9"/>
    <w:rsid w:val="006162EE"/>
    <w:rsid w:val="006167D3"/>
    <w:rsid w:val="006169D3"/>
    <w:rsid w:val="00616CDB"/>
    <w:rsid w:val="00616D19"/>
    <w:rsid w:val="006171CB"/>
    <w:rsid w:val="00617B57"/>
    <w:rsid w:val="00617C0F"/>
    <w:rsid w:val="00617C31"/>
    <w:rsid w:val="0062052A"/>
    <w:rsid w:val="006209ED"/>
    <w:rsid w:val="00620C08"/>
    <w:rsid w:val="00620DA8"/>
    <w:rsid w:val="006210CB"/>
    <w:rsid w:val="0062112C"/>
    <w:rsid w:val="00621887"/>
    <w:rsid w:val="006219F9"/>
    <w:rsid w:val="00622236"/>
    <w:rsid w:val="0062275A"/>
    <w:rsid w:val="00622D08"/>
    <w:rsid w:val="00623109"/>
    <w:rsid w:val="006234D7"/>
    <w:rsid w:val="00624479"/>
    <w:rsid w:val="00624520"/>
    <w:rsid w:val="00624AC3"/>
    <w:rsid w:val="00624D8C"/>
    <w:rsid w:val="00625411"/>
    <w:rsid w:val="00625782"/>
    <w:rsid w:val="00625906"/>
    <w:rsid w:val="00626419"/>
    <w:rsid w:val="006267AA"/>
    <w:rsid w:val="0062688D"/>
    <w:rsid w:val="0062695E"/>
    <w:rsid w:val="00626F3F"/>
    <w:rsid w:val="0062702E"/>
    <w:rsid w:val="0062707F"/>
    <w:rsid w:val="006271F5"/>
    <w:rsid w:val="0062768D"/>
    <w:rsid w:val="00627828"/>
    <w:rsid w:val="00627A96"/>
    <w:rsid w:val="00627DE8"/>
    <w:rsid w:val="0063020A"/>
    <w:rsid w:val="006303A2"/>
    <w:rsid w:val="00630D03"/>
    <w:rsid w:val="006310F5"/>
    <w:rsid w:val="0063184C"/>
    <w:rsid w:val="006318D4"/>
    <w:rsid w:val="00631A6E"/>
    <w:rsid w:val="00631ACE"/>
    <w:rsid w:val="00631FBB"/>
    <w:rsid w:val="00632300"/>
    <w:rsid w:val="0063293B"/>
    <w:rsid w:val="00632AA3"/>
    <w:rsid w:val="00632BB7"/>
    <w:rsid w:val="00632DB3"/>
    <w:rsid w:val="0063342C"/>
    <w:rsid w:val="006335FA"/>
    <w:rsid w:val="006335FE"/>
    <w:rsid w:val="00633D87"/>
    <w:rsid w:val="00633E5B"/>
    <w:rsid w:val="0063402C"/>
    <w:rsid w:val="00634395"/>
    <w:rsid w:val="00634C4C"/>
    <w:rsid w:val="00635087"/>
    <w:rsid w:val="0063512B"/>
    <w:rsid w:val="006359E4"/>
    <w:rsid w:val="00635B36"/>
    <w:rsid w:val="00635C97"/>
    <w:rsid w:val="00635D88"/>
    <w:rsid w:val="00636871"/>
    <w:rsid w:val="00636BDD"/>
    <w:rsid w:val="0063772C"/>
    <w:rsid w:val="006378F1"/>
    <w:rsid w:val="006407E6"/>
    <w:rsid w:val="00640BD7"/>
    <w:rsid w:val="00640BDB"/>
    <w:rsid w:val="00640E23"/>
    <w:rsid w:val="00640EE1"/>
    <w:rsid w:val="00640F4E"/>
    <w:rsid w:val="00641405"/>
    <w:rsid w:val="0064188D"/>
    <w:rsid w:val="00641901"/>
    <w:rsid w:val="00641908"/>
    <w:rsid w:val="00641926"/>
    <w:rsid w:val="00641AA6"/>
    <w:rsid w:val="00641C7E"/>
    <w:rsid w:val="00641C8E"/>
    <w:rsid w:val="00641E96"/>
    <w:rsid w:val="00641F76"/>
    <w:rsid w:val="006420BB"/>
    <w:rsid w:val="00642354"/>
    <w:rsid w:val="00642850"/>
    <w:rsid w:val="00643AB3"/>
    <w:rsid w:val="00643DE0"/>
    <w:rsid w:val="0064437D"/>
    <w:rsid w:val="0064482B"/>
    <w:rsid w:val="00644E85"/>
    <w:rsid w:val="00644EC2"/>
    <w:rsid w:val="0064576C"/>
    <w:rsid w:val="00645C85"/>
    <w:rsid w:val="00646235"/>
    <w:rsid w:val="00646423"/>
    <w:rsid w:val="006469CB"/>
    <w:rsid w:val="00646B33"/>
    <w:rsid w:val="0064714E"/>
    <w:rsid w:val="00647293"/>
    <w:rsid w:val="0064747C"/>
    <w:rsid w:val="00650452"/>
    <w:rsid w:val="00650DD5"/>
    <w:rsid w:val="006510D6"/>
    <w:rsid w:val="006516D8"/>
    <w:rsid w:val="00651D73"/>
    <w:rsid w:val="00652323"/>
    <w:rsid w:val="0065244A"/>
    <w:rsid w:val="006528B4"/>
    <w:rsid w:val="006529F9"/>
    <w:rsid w:val="00652AFE"/>
    <w:rsid w:val="00652C52"/>
    <w:rsid w:val="00652DE4"/>
    <w:rsid w:val="0065318F"/>
    <w:rsid w:val="00653DFF"/>
    <w:rsid w:val="006540FE"/>
    <w:rsid w:val="0065433A"/>
    <w:rsid w:val="00654885"/>
    <w:rsid w:val="00655592"/>
    <w:rsid w:val="00655C3A"/>
    <w:rsid w:val="00656144"/>
    <w:rsid w:val="006563CB"/>
    <w:rsid w:val="006567B8"/>
    <w:rsid w:val="00656B62"/>
    <w:rsid w:val="00656D44"/>
    <w:rsid w:val="00656EFC"/>
    <w:rsid w:val="00656F58"/>
    <w:rsid w:val="00657779"/>
    <w:rsid w:val="00657859"/>
    <w:rsid w:val="00657866"/>
    <w:rsid w:val="0066063F"/>
    <w:rsid w:val="00660DC2"/>
    <w:rsid w:val="00661536"/>
    <w:rsid w:val="006619A4"/>
    <w:rsid w:val="0066265F"/>
    <w:rsid w:val="00662BB0"/>
    <w:rsid w:val="00662D0C"/>
    <w:rsid w:val="00662D4F"/>
    <w:rsid w:val="00662FF2"/>
    <w:rsid w:val="006632C2"/>
    <w:rsid w:val="0066363F"/>
    <w:rsid w:val="00663878"/>
    <w:rsid w:val="00664784"/>
    <w:rsid w:val="0066600B"/>
    <w:rsid w:val="00666D97"/>
    <w:rsid w:val="00666E81"/>
    <w:rsid w:val="00666F9B"/>
    <w:rsid w:val="00666FE8"/>
    <w:rsid w:val="00667773"/>
    <w:rsid w:val="00670575"/>
    <w:rsid w:val="00670743"/>
    <w:rsid w:val="006708E2"/>
    <w:rsid w:val="00670A99"/>
    <w:rsid w:val="00670AFB"/>
    <w:rsid w:val="00670CCF"/>
    <w:rsid w:val="0067138F"/>
    <w:rsid w:val="00671A57"/>
    <w:rsid w:val="00671B94"/>
    <w:rsid w:val="00671DEF"/>
    <w:rsid w:val="00671E41"/>
    <w:rsid w:val="00671EB2"/>
    <w:rsid w:val="006720A1"/>
    <w:rsid w:val="0067255E"/>
    <w:rsid w:val="00672A85"/>
    <w:rsid w:val="006730B8"/>
    <w:rsid w:val="0067378C"/>
    <w:rsid w:val="00673847"/>
    <w:rsid w:val="00673953"/>
    <w:rsid w:val="00673A1A"/>
    <w:rsid w:val="00674083"/>
    <w:rsid w:val="00674F24"/>
    <w:rsid w:val="00674F7C"/>
    <w:rsid w:val="006756C4"/>
    <w:rsid w:val="00675A18"/>
    <w:rsid w:val="00675D19"/>
    <w:rsid w:val="0067637A"/>
    <w:rsid w:val="006768EA"/>
    <w:rsid w:val="00677751"/>
    <w:rsid w:val="006777AF"/>
    <w:rsid w:val="00677D06"/>
    <w:rsid w:val="0068084B"/>
    <w:rsid w:val="006808BD"/>
    <w:rsid w:val="00680A85"/>
    <w:rsid w:val="006812A4"/>
    <w:rsid w:val="006813FF"/>
    <w:rsid w:val="0068144D"/>
    <w:rsid w:val="0068181C"/>
    <w:rsid w:val="00681A01"/>
    <w:rsid w:val="00681ADF"/>
    <w:rsid w:val="00682354"/>
    <w:rsid w:val="00682D80"/>
    <w:rsid w:val="00682E54"/>
    <w:rsid w:val="00682EB0"/>
    <w:rsid w:val="0068409A"/>
    <w:rsid w:val="006845FB"/>
    <w:rsid w:val="006850AD"/>
    <w:rsid w:val="00685576"/>
    <w:rsid w:val="00685691"/>
    <w:rsid w:val="00685990"/>
    <w:rsid w:val="00685E49"/>
    <w:rsid w:val="006864F6"/>
    <w:rsid w:val="00687135"/>
    <w:rsid w:val="006871E6"/>
    <w:rsid w:val="00687E41"/>
    <w:rsid w:val="0069037D"/>
    <w:rsid w:val="00690889"/>
    <w:rsid w:val="00690A68"/>
    <w:rsid w:val="00690EE2"/>
    <w:rsid w:val="0069103E"/>
    <w:rsid w:val="00691530"/>
    <w:rsid w:val="00691E38"/>
    <w:rsid w:val="00691EF2"/>
    <w:rsid w:val="006925CC"/>
    <w:rsid w:val="0069296F"/>
    <w:rsid w:val="0069316A"/>
    <w:rsid w:val="00693854"/>
    <w:rsid w:val="006938D9"/>
    <w:rsid w:val="00693B8C"/>
    <w:rsid w:val="0069407B"/>
    <w:rsid w:val="0069452F"/>
    <w:rsid w:val="006945CB"/>
    <w:rsid w:val="00694AE0"/>
    <w:rsid w:val="00694BEB"/>
    <w:rsid w:val="00694EA2"/>
    <w:rsid w:val="00694F67"/>
    <w:rsid w:val="00695036"/>
    <w:rsid w:val="006953FB"/>
    <w:rsid w:val="00695400"/>
    <w:rsid w:val="00695935"/>
    <w:rsid w:val="0069595A"/>
    <w:rsid w:val="00695B80"/>
    <w:rsid w:val="00696844"/>
    <w:rsid w:val="00696911"/>
    <w:rsid w:val="006969E8"/>
    <w:rsid w:val="00696ED6"/>
    <w:rsid w:val="00697245"/>
    <w:rsid w:val="006A01E8"/>
    <w:rsid w:val="006A02FD"/>
    <w:rsid w:val="006A0528"/>
    <w:rsid w:val="006A0C3F"/>
    <w:rsid w:val="006A0E20"/>
    <w:rsid w:val="006A1043"/>
    <w:rsid w:val="006A113E"/>
    <w:rsid w:val="006A142B"/>
    <w:rsid w:val="006A1646"/>
    <w:rsid w:val="006A1A6A"/>
    <w:rsid w:val="006A1D56"/>
    <w:rsid w:val="006A1F18"/>
    <w:rsid w:val="006A24E3"/>
    <w:rsid w:val="006A2A21"/>
    <w:rsid w:val="006A2B7E"/>
    <w:rsid w:val="006A3756"/>
    <w:rsid w:val="006A3842"/>
    <w:rsid w:val="006A3FB7"/>
    <w:rsid w:val="006A4105"/>
    <w:rsid w:val="006A4571"/>
    <w:rsid w:val="006A52C0"/>
    <w:rsid w:val="006A552F"/>
    <w:rsid w:val="006A5695"/>
    <w:rsid w:val="006A573A"/>
    <w:rsid w:val="006A6103"/>
    <w:rsid w:val="006A626D"/>
    <w:rsid w:val="006A6CCD"/>
    <w:rsid w:val="006A711B"/>
    <w:rsid w:val="006A73AE"/>
    <w:rsid w:val="006A7EF7"/>
    <w:rsid w:val="006A7FB1"/>
    <w:rsid w:val="006B0439"/>
    <w:rsid w:val="006B0D45"/>
    <w:rsid w:val="006B10C8"/>
    <w:rsid w:val="006B189F"/>
    <w:rsid w:val="006B2679"/>
    <w:rsid w:val="006B28EA"/>
    <w:rsid w:val="006B2DCE"/>
    <w:rsid w:val="006B2E1C"/>
    <w:rsid w:val="006B2E85"/>
    <w:rsid w:val="006B364B"/>
    <w:rsid w:val="006B3904"/>
    <w:rsid w:val="006B392B"/>
    <w:rsid w:val="006B3AE3"/>
    <w:rsid w:val="006B3D05"/>
    <w:rsid w:val="006B3F0D"/>
    <w:rsid w:val="006B40BF"/>
    <w:rsid w:val="006B411F"/>
    <w:rsid w:val="006B46DF"/>
    <w:rsid w:val="006B4D0B"/>
    <w:rsid w:val="006B4DD6"/>
    <w:rsid w:val="006B5225"/>
    <w:rsid w:val="006B5812"/>
    <w:rsid w:val="006B5B7D"/>
    <w:rsid w:val="006B5BAE"/>
    <w:rsid w:val="006B61A5"/>
    <w:rsid w:val="006B69D1"/>
    <w:rsid w:val="006B6C6E"/>
    <w:rsid w:val="006B6D44"/>
    <w:rsid w:val="006B6DE0"/>
    <w:rsid w:val="006B6FE0"/>
    <w:rsid w:val="006B706C"/>
    <w:rsid w:val="006B735C"/>
    <w:rsid w:val="006B7826"/>
    <w:rsid w:val="006B7D23"/>
    <w:rsid w:val="006C0018"/>
    <w:rsid w:val="006C08EE"/>
    <w:rsid w:val="006C0B98"/>
    <w:rsid w:val="006C0D12"/>
    <w:rsid w:val="006C0DCD"/>
    <w:rsid w:val="006C10DD"/>
    <w:rsid w:val="006C13A6"/>
    <w:rsid w:val="006C1E08"/>
    <w:rsid w:val="006C1E1B"/>
    <w:rsid w:val="006C1FDB"/>
    <w:rsid w:val="006C2163"/>
    <w:rsid w:val="006C2508"/>
    <w:rsid w:val="006C2ABD"/>
    <w:rsid w:val="006C308C"/>
    <w:rsid w:val="006C33F3"/>
    <w:rsid w:val="006C3721"/>
    <w:rsid w:val="006C461B"/>
    <w:rsid w:val="006C4958"/>
    <w:rsid w:val="006C4B2A"/>
    <w:rsid w:val="006C5B46"/>
    <w:rsid w:val="006C6028"/>
    <w:rsid w:val="006C6ABD"/>
    <w:rsid w:val="006C6E39"/>
    <w:rsid w:val="006C7549"/>
    <w:rsid w:val="006C783D"/>
    <w:rsid w:val="006C7CD9"/>
    <w:rsid w:val="006C7E9E"/>
    <w:rsid w:val="006C7FB0"/>
    <w:rsid w:val="006D0094"/>
    <w:rsid w:val="006D056A"/>
    <w:rsid w:val="006D05EF"/>
    <w:rsid w:val="006D0838"/>
    <w:rsid w:val="006D08B2"/>
    <w:rsid w:val="006D0D8A"/>
    <w:rsid w:val="006D0ECF"/>
    <w:rsid w:val="006D1226"/>
    <w:rsid w:val="006D1628"/>
    <w:rsid w:val="006D1A70"/>
    <w:rsid w:val="006D263D"/>
    <w:rsid w:val="006D273D"/>
    <w:rsid w:val="006D35B0"/>
    <w:rsid w:val="006D3D5B"/>
    <w:rsid w:val="006D3DC6"/>
    <w:rsid w:val="006D4160"/>
    <w:rsid w:val="006D4C92"/>
    <w:rsid w:val="006D4EB6"/>
    <w:rsid w:val="006D50CD"/>
    <w:rsid w:val="006D57FD"/>
    <w:rsid w:val="006D5B2B"/>
    <w:rsid w:val="006D5D3B"/>
    <w:rsid w:val="006D6260"/>
    <w:rsid w:val="006D63D0"/>
    <w:rsid w:val="006D675C"/>
    <w:rsid w:val="006D6C6F"/>
    <w:rsid w:val="006D6D9F"/>
    <w:rsid w:val="006D71A4"/>
    <w:rsid w:val="006D7219"/>
    <w:rsid w:val="006D734C"/>
    <w:rsid w:val="006D73DD"/>
    <w:rsid w:val="006D75AC"/>
    <w:rsid w:val="006D7FBC"/>
    <w:rsid w:val="006E00A5"/>
    <w:rsid w:val="006E024C"/>
    <w:rsid w:val="006E030D"/>
    <w:rsid w:val="006E050B"/>
    <w:rsid w:val="006E0BB1"/>
    <w:rsid w:val="006E0F18"/>
    <w:rsid w:val="006E143A"/>
    <w:rsid w:val="006E1B1A"/>
    <w:rsid w:val="006E1B2B"/>
    <w:rsid w:val="006E1C37"/>
    <w:rsid w:val="006E23E5"/>
    <w:rsid w:val="006E275C"/>
    <w:rsid w:val="006E2937"/>
    <w:rsid w:val="006E2ECA"/>
    <w:rsid w:val="006E32BE"/>
    <w:rsid w:val="006E35BF"/>
    <w:rsid w:val="006E406B"/>
    <w:rsid w:val="006E4422"/>
    <w:rsid w:val="006E495E"/>
    <w:rsid w:val="006E5437"/>
    <w:rsid w:val="006E5D4E"/>
    <w:rsid w:val="006E60C6"/>
    <w:rsid w:val="006E6E23"/>
    <w:rsid w:val="006E6F60"/>
    <w:rsid w:val="006E72AF"/>
    <w:rsid w:val="006E749A"/>
    <w:rsid w:val="006E7850"/>
    <w:rsid w:val="006F07CB"/>
    <w:rsid w:val="006F13E6"/>
    <w:rsid w:val="006F19D8"/>
    <w:rsid w:val="006F1A79"/>
    <w:rsid w:val="006F24CE"/>
    <w:rsid w:val="006F2781"/>
    <w:rsid w:val="006F3B6A"/>
    <w:rsid w:val="006F3F4A"/>
    <w:rsid w:val="006F405B"/>
    <w:rsid w:val="006F40C6"/>
    <w:rsid w:val="006F4337"/>
    <w:rsid w:val="006F4674"/>
    <w:rsid w:val="006F46D6"/>
    <w:rsid w:val="006F4BBB"/>
    <w:rsid w:val="006F4F95"/>
    <w:rsid w:val="006F5790"/>
    <w:rsid w:val="006F6949"/>
    <w:rsid w:val="006F6D48"/>
    <w:rsid w:val="00700065"/>
    <w:rsid w:val="007001A8"/>
    <w:rsid w:val="007004D4"/>
    <w:rsid w:val="0070057C"/>
    <w:rsid w:val="00700EBF"/>
    <w:rsid w:val="007012F5"/>
    <w:rsid w:val="00701925"/>
    <w:rsid w:val="00701D22"/>
    <w:rsid w:val="007022E2"/>
    <w:rsid w:val="007028D9"/>
    <w:rsid w:val="00703002"/>
    <w:rsid w:val="00703202"/>
    <w:rsid w:val="00703260"/>
    <w:rsid w:val="007033DB"/>
    <w:rsid w:val="007035DF"/>
    <w:rsid w:val="00703739"/>
    <w:rsid w:val="00703EE5"/>
    <w:rsid w:val="00704541"/>
    <w:rsid w:val="007045B4"/>
    <w:rsid w:val="007047CD"/>
    <w:rsid w:val="00704BA2"/>
    <w:rsid w:val="007054CB"/>
    <w:rsid w:val="00705A2C"/>
    <w:rsid w:val="00705EC3"/>
    <w:rsid w:val="00705F1E"/>
    <w:rsid w:val="0070610B"/>
    <w:rsid w:val="0070634C"/>
    <w:rsid w:val="007063EF"/>
    <w:rsid w:val="00706E3D"/>
    <w:rsid w:val="00707218"/>
    <w:rsid w:val="00707288"/>
    <w:rsid w:val="00707E03"/>
    <w:rsid w:val="007105C8"/>
    <w:rsid w:val="007107C8"/>
    <w:rsid w:val="007109B2"/>
    <w:rsid w:val="00710D04"/>
    <w:rsid w:val="00711187"/>
    <w:rsid w:val="0071207B"/>
    <w:rsid w:val="0071210D"/>
    <w:rsid w:val="0071296F"/>
    <w:rsid w:val="00712B1D"/>
    <w:rsid w:val="00712DD4"/>
    <w:rsid w:val="00712FE4"/>
    <w:rsid w:val="00712FFF"/>
    <w:rsid w:val="00713416"/>
    <w:rsid w:val="0071345D"/>
    <w:rsid w:val="007135E9"/>
    <w:rsid w:val="00713CCF"/>
    <w:rsid w:val="00714431"/>
    <w:rsid w:val="007144FA"/>
    <w:rsid w:val="0071472D"/>
    <w:rsid w:val="00714846"/>
    <w:rsid w:val="00714CAD"/>
    <w:rsid w:val="007154FF"/>
    <w:rsid w:val="00715751"/>
    <w:rsid w:val="0071576B"/>
    <w:rsid w:val="00715B78"/>
    <w:rsid w:val="00716056"/>
    <w:rsid w:val="00716A2E"/>
    <w:rsid w:val="00717190"/>
    <w:rsid w:val="007171BA"/>
    <w:rsid w:val="00717386"/>
    <w:rsid w:val="00717616"/>
    <w:rsid w:val="00717850"/>
    <w:rsid w:val="00717B63"/>
    <w:rsid w:val="00720000"/>
    <w:rsid w:val="007200B0"/>
    <w:rsid w:val="00720FD4"/>
    <w:rsid w:val="0072115B"/>
    <w:rsid w:val="007212E7"/>
    <w:rsid w:val="007216D0"/>
    <w:rsid w:val="00721704"/>
    <w:rsid w:val="0072183A"/>
    <w:rsid w:val="00721A2B"/>
    <w:rsid w:val="00721AE3"/>
    <w:rsid w:val="00721B25"/>
    <w:rsid w:val="00721C08"/>
    <w:rsid w:val="00721C84"/>
    <w:rsid w:val="007225E3"/>
    <w:rsid w:val="00722875"/>
    <w:rsid w:val="0072299B"/>
    <w:rsid w:val="00722E3D"/>
    <w:rsid w:val="007236CC"/>
    <w:rsid w:val="007237DB"/>
    <w:rsid w:val="00723823"/>
    <w:rsid w:val="00723C45"/>
    <w:rsid w:val="007248CB"/>
    <w:rsid w:val="00724C6E"/>
    <w:rsid w:val="00724DE0"/>
    <w:rsid w:val="0072504D"/>
    <w:rsid w:val="00725683"/>
    <w:rsid w:val="00725937"/>
    <w:rsid w:val="007259A0"/>
    <w:rsid w:val="00725D19"/>
    <w:rsid w:val="00725E01"/>
    <w:rsid w:val="007266D3"/>
    <w:rsid w:val="00726E3D"/>
    <w:rsid w:val="00726F6C"/>
    <w:rsid w:val="00727A4F"/>
    <w:rsid w:val="00727BEF"/>
    <w:rsid w:val="00727D3F"/>
    <w:rsid w:val="00727E7C"/>
    <w:rsid w:val="00730CF8"/>
    <w:rsid w:val="00730E27"/>
    <w:rsid w:val="00731023"/>
    <w:rsid w:val="007317CB"/>
    <w:rsid w:val="00731A84"/>
    <w:rsid w:val="00731AD1"/>
    <w:rsid w:val="007325D9"/>
    <w:rsid w:val="00732A96"/>
    <w:rsid w:val="00732CB5"/>
    <w:rsid w:val="00733969"/>
    <w:rsid w:val="00733E72"/>
    <w:rsid w:val="00733FEF"/>
    <w:rsid w:val="0073413F"/>
    <w:rsid w:val="00734C9A"/>
    <w:rsid w:val="0073502D"/>
    <w:rsid w:val="00735446"/>
    <w:rsid w:val="007356C2"/>
    <w:rsid w:val="0073578B"/>
    <w:rsid w:val="0073583B"/>
    <w:rsid w:val="00736046"/>
    <w:rsid w:val="007360CA"/>
    <w:rsid w:val="0073640B"/>
    <w:rsid w:val="00736E03"/>
    <w:rsid w:val="00737943"/>
    <w:rsid w:val="00737B8D"/>
    <w:rsid w:val="00737BDA"/>
    <w:rsid w:val="007403CB"/>
    <w:rsid w:val="00740E03"/>
    <w:rsid w:val="00740ECD"/>
    <w:rsid w:val="00741075"/>
    <w:rsid w:val="00741245"/>
    <w:rsid w:val="007417F7"/>
    <w:rsid w:val="0074182B"/>
    <w:rsid w:val="00741A79"/>
    <w:rsid w:val="00741C35"/>
    <w:rsid w:val="00741FAC"/>
    <w:rsid w:val="0074219E"/>
    <w:rsid w:val="007421AF"/>
    <w:rsid w:val="0074287C"/>
    <w:rsid w:val="00742A22"/>
    <w:rsid w:val="00742A54"/>
    <w:rsid w:val="00742B5F"/>
    <w:rsid w:val="00742FA0"/>
    <w:rsid w:val="00743AA0"/>
    <w:rsid w:val="00743FC1"/>
    <w:rsid w:val="00744669"/>
    <w:rsid w:val="00744923"/>
    <w:rsid w:val="00744AA5"/>
    <w:rsid w:val="00744C10"/>
    <w:rsid w:val="00744DB5"/>
    <w:rsid w:val="00745259"/>
    <w:rsid w:val="007454D6"/>
    <w:rsid w:val="00745819"/>
    <w:rsid w:val="0074591A"/>
    <w:rsid w:val="007459AA"/>
    <w:rsid w:val="00746156"/>
    <w:rsid w:val="0074667B"/>
    <w:rsid w:val="00746A5D"/>
    <w:rsid w:val="00746F0C"/>
    <w:rsid w:val="00747010"/>
    <w:rsid w:val="007470BD"/>
    <w:rsid w:val="0074750E"/>
    <w:rsid w:val="007477D3"/>
    <w:rsid w:val="00747807"/>
    <w:rsid w:val="00747900"/>
    <w:rsid w:val="00747B7C"/>
    <w:rsid w:val="0075022F"/>
    <w:rsid w:val="007502FB"/>
    <w:rsid w:val="00750AC9"/>
    <w:rsid w:val="00750CA4"/>
    <w:rsid w:val="00751241"/>
    <w:rsid w:val="007514D5"/>
    <w:rsid w:val="007523F2"/>
    <w:rsid w:val="00752B7F"/>
    <w:rsid w:val="00752DE4"/>
    <w:rsid w:val="00753353"/>
    <w:rsid w:val="007536D3"/>
    <w:rsid w:val="00753A1A"/>
    <w:rsid w:val="007548CC"/>
    <w:rsid w:val="0075495A"/>
    <w:rsid w:val="00754E55"/>
    <w:rsid w:val="007558C0"/>
    <w:rsid w:val="00755B92"/>
    <w:rsid w:val="00755CBA"/>
    <w:rsid w:val="00756156"/>
    <w:rsid w:val="0075658E"/>
    <w:rsid w:val="00756BA0"/>
    <w:rsid w:val="00756C6E"/>
    <w:rsid w:val="00756CCE"/>
    <w:rsid w:val="00756F59"/>
    <w:rsid w:val="00757C32"/>
    <w:rsid w:val="007601E2"/>
    <w:rsid w:val="0076035C"/>
    <w:rsid w:val="00760402"/>
    <w:rsid w:val="00760A56"/>
    <w:rsid w:val="00760AD6"/>
    <w:rsid w:val="00760CEE"/>
    <w:rsid w:val="00760EC0"/>
    <w:rsid w:val="00761385"/>
    <w:rsid w:val="007614F5"/>
    <w:rsid w:val="00761A8A"/>
    <w:rsid w:val="00762137"/>
    <w:rsid w:val="007631F5"/>
    <w:rsid w:val="007633FC"/>
    <w:rsid w:val="007635E0"/>
    <w:rsid w:val="00763789"/>
    <w:rsid w:val="0076394D"/>
    <w:rsid w:val="00763963"/>
    <w:rsid w:val="007639B1"/>
    <w:rsid w:val="007639EA"/>
    <w:rsid w:val="00763E68"/>
    <w:rsid w:val="007640FC"/>
    <w:rsid w:val="00764436"/>
    <w:rsid w:val="00764972"/>
    <w:rsid w:val="00764A82"/>
    <w:rsid w:val="00764F14"/>
    <w:rsid w:val="007657FE"/>
    <w:rsid w:val="00765E19"/>
    <w:rsid w:val="007661BB"/>
    <w:rsid w:val="00766DCF"/>
    <w:rsid w:val="00767112"/>
    <w:rsid w:val="00767800"/>
    <w:rsid w:val="00767EA4"/>
    <w:rsid w:val="00770C57"/>
    <w:rsid w:val="00770DBC"/>
    <w:rsid w:val="00770FA8"/>
    <w:rsid w:val="007711BD"/>
    <w:rsid w:val="0077123C"/>
    <w:rsid w:val="00771298"/>
    <w:rsid w:val="0077194E"/>
    <w:rsid w:val="00771C83"/>
    <w:rsid w:val="00771D8F"/>
    <w:rsid w:val="00771E84"/>
    <w:rsid w:val="007721E7"/>
    <w:rsid w:val="007724D5"/>
    <w:rsid w:val="00772531"/>
    <w:rsid w:val="007726B0"/>
    <w:rsid w:val="0077315F"/>
    <w:rsid w:val="00773605"/>
    <w:rsid w:val="00773B96"/>
    <w:rsid w:val="00773D82"/>
    <w:rsid w:val="00774353"/>
    <w:rsid w:val="0077454F"/>
    <w:rsid w:val="00774657"/>
    <w:rsid w:val="00774AF0"/>
    <w:rsid w:val="00774AFB"/>
    <w:rsid w:val="00774DAE"/>
    <w:rsid w:val="0077519E"/>
    <w:rsid w:val="00775334"/>
    <w:rsid w:val="0077555C"/>
    <w:rsid w:val="007755EA"/>
    <w:rsid w:val="0077590C"/>
    <w:rsid w:val="00775AD9"/>
    <w:rsid w:val="00776274"/>
    <w:rsid w:val="007763CC"/>
    <w:rsid w:val="00776494"/>
    <w:rsid w:val="00776A27"/>
    <w:rsid w:val="00776AB8"/>
    <w:rsid w:val="0077722C"/>
    <w:rsid w:val="00777862"/>
    <w:rsid w:val="00777901"/>
    <w:rsid w:val="00777A68"/>
    <w:rsid w:val="0078003A"/>
    <w:rsid w:val="0078031B"/>
    <w:rsid w:val="00780525"/>
    <w:rsid w:val="00780771"/>
    <w:rsid w:val="00781867"/>
    <w:rsid w:val="007818FA"/>
    <w:rsid w:val="007821E2"/>
    <w:rsid w:val="0078250A"/>
    <w:rsid w:val="00782516"/>
    <w:rsid w:val="00782611"/>
    <w:rsid w:val="00782B8C"/>
    <w:rsid w:val="00782CD9"/>
    <w:rsid w:val="0078353C"/>
    <w:rsid w:val="007835E3"/>
    <w:rsid w:val="007837E0"/>
    <w:rsid w:val="00783859"/>
    <w:rsid w:val="00783C40"/>
    <w:rsid w:val="00783EAD"/>
    <w:rsid w:val="007841DA"/>
    <w:rsid w:val="00784289"/>
    <w:rsid w:val="00784743"/>
    <w:rsid w:val="007849C0"/>
    <w:rsid w:val="00785272"/>
    <w:rsid w:val="00785683"/>
    <w:rsid w:val="00785E3C"/>
    <w:rsid w:val="00785EE9"/>
    <w:rsid w:val="00785F7D"/>
    <w:rsid w:val="0078621B"/>
    <w:rsid w:val="0078624D"/>
    <w:rsid w:val="007862D8"/>
    <w:rsid w:val="00786519"/>
    <w:rsid w:val="007872C2"/>
    <w:rsid w:val="0078743D"/>
    <w:rsid w:val="00787800"/>
    <w:rsid w:val="007878C4"/>
    <w:rsid w:val="00787FC4"/>
    <w:rsid w:val="007900E1"/>
    <w:rsid w:val="0079010C"/>
    <w:rsid w:val="007901DF"/>
    <w:rsid w:val="007902DB"/>
    <w:rsid w:val="0079054B"/>
    <w:rsid w:val="007911F1"/>
    <w:rsid w:val="00791290"/>
    <w:rsid w:val="00791452"/>
    <w:rsid w:val="0079160C"/>
    <w:rsid w:val="00791661"/>
    <w:rsid w:val="00791B36"/>
    <w:rsid w:val="00791B5C"/>
    <w:rsid w:val="00791BEA"/>
    <w:rsid w:val="00791D9B"/>
    <w:rsid w:val="00791E37"/>
    <w:rsid w:val="00792174"/>
    <w:rsid w:val="00792313"/>
    <w:rsid w:val="0079278F"/>
    <w:rsid w:val="007929CF"/>
    <w:rsid w:val="00792AD3"/>
    <w:rsid w:val="00792B51"/>
    <w:rsid w:val="00793264"/>
    <w:rsid w:val="0079385A"/>
    <w:rsid w:val="00793ACE"/>
    <w:rsid w:val="00793BF6"/>
    <w:rsid w:val="00795123"/>
    <w:rsid w:val="00795645"/>
    <w:rsid w:val="00795DC9"/>
    <w:rsid w:val="00796370"/>
    <w:rsid w:val="007971E2"/>
    <w:rsid w:val="00797622"/>
    <w:rsid w:val="00797A67"/>
    <w:rsid w:val="00797BA8"/>
    <w:rsid w:val="00797F7E"/>
    <w:rsid w:val="007A03B3"/>
    <w:rsid w:val="007A04F1"/>
    <w:rsid w:val="007A0543"/>
    <w:rsid w:val="007A081D"/>
    <w:rsid w:val="007A0854"/>
    <w:rsid w:val="007A0A1E"/>
    <w:rsid w:val="007A0AE1"/>
    <w:rsid w:val="007A0F7D"/>
    <w:rsid w:val="007A193C"/>
    <w:rsid w:val="007A1FEA"/>
    <w:rsid w:val="007A2493"/>
    <w:rsid w:val="007A26AA"/>
    <w:rsid w:val="007A28D0"/>
    <w:rsid w:val="007A2A29"/>
    <w:rsid w:val="007A2F04"/>
    <w:rsid w:val="007A30D6"/>
    <w:rsid w:val="007A35B0"/>
    <w:rsid w:val="007A3741"/>
    <w:rsid w:val="007A37C8"/>
    <w:rsid w:val="007A37FD"/>
    <w:rsid w:val="007A3DFF"/>
    <w:rsid w:val="007A416A"/>
    <w:rsid w:val="007A41B0"/>
    <w:rsid w:val="007A49E7"/>
    <w:rsid w:val="007A4C97"/>
    <w:rsid w:val="007A4FF0"/>
    <w:rsid w:val="007A5619"/>
    <w:rsid w:val="007A65D6"/>
    <w:rsid w:val="007A6F28"/>
    <w:rsid w:val="007A7523"/>
    <w:rsid w:val="007A792C"/>
    <w:rsid w:val="007A7E15"/>
    <w:rsid w:val="007A7F35"/>
    <w:rsid w:val="007B03C6"/>
    <w:rsid w:val="007B06B9"/>
    <w:rsid w:val="007B0DB1"/>
    <w:rsid w:val="007B0E8E"/>
    <w:rsid w:val="007B1087"/>
    <w:rsid w:val="007B10AC"/>
    <w:rsid w:val="007B165F"/>
    <w:rsid w:val="007B1C59"/>
    <w:rsid w:val="007B1F2A"/>
    <w:rsid w:val="007B21EB"/>
    <w:rsid w:val="007B284C"/>
    <w:rsid w:val="007B29AB"/>
    <w:rsid w:val="007B2B16"/>
    <w:rsid w:val="007B3EC5"/>
    <w:rsid w:val="007B42E6"/>
    <w:rsid w:val="007B48AE"/>
    <w:rsid w:val="007B5673"/>
    <w:rsid w:val="007B5E8E"/>
    <w:rsid w:val="007B62B7"/>
    <w:rsid w:val="007B6469"/>
    <w:rsid w:val="007B6692"/>
    <w:rsid w:val="007B67D8"/>
    <w:rsid w:val="007B7238"/>
    <w:rsid w:val="007B76FF"/>
    <w:rsid w:val="007B7E4F"/>
    <w:rsid w:val="007C01A6"/>
    <w:rsid w:val="007C026A"/>
    <w:rsid w:val="007C029C"/>
    <w:rsid w:val="007C0664"/>
    <w:rsid w:val="007C10F7"/>
    <w:rsid w:val="007C1BE1"/>
    <w:rsid w:val="007C323D"/>
    <w:rsid w:val="007C3399"/>
    <w:rsid w:val="007C362E"/>
    <w:rsid w:val="007C37BA"/>
    <w:rsid w:val="007C3B01"/>
    <w:rsid w:val="007C3BF6"/>
    <w:rsid w:val="007C3D97"/>
    <w:rsid w:val="007C45D3"/>
    <w:rsid w:val="007C49EB"/>
    <w:rsid w:val="007C4D0E"/>
    <w:rsid w:val="007C507A"/>
    <w:rsid w:val="007C5DB1"/>
    <w:rsid w:val="007C67B3"/>
    <w:rsid w:val="007C6853"/>
    <w:rsid w:val="007C739F"/>
    <w:rsid w:val="007C7504"/>
    <w:rsid w:val="007C75BA"/>
    <w:rsid w:val="007C799B"/>
    <w:rsid w:val="007C7F81"/>
    <w:rsid w:val="007D0656"/>
    <w:rsid w:val="007D086E"/>
    <w:rsid w:val="007D0DA7"/>
    <w:rsid w:val="007D0FD2"/>
    <w:rsid w:val="007D1689"/>
    <w:rsid w:val="007D1914"/>
    <w:rsid w:val="007D2BC8"/>
    <w:rsid w:val="007D2E2C"/>
    <w:rsid w:val="007D2EF8"/>
    <w:rsid w:val="007D3F6A"/>
    <w:rsid w:val="007D402C"/>
    <w:rsid w:val="007D43AF"/>
    <w:rsid w:val="007D452F"/>
    <w:rsid w:val="007D487A"/>
    <w:rsid w:val="007D488A"/>
    <w:rsid w:val="007D4B67"/>
    <w:rsid w:val="007D5227"/>
    <w:rsid w:val="007D5287"/>
    <w:rsid w:val="007D53D7"/>
    <w:rsid w:val="007D561F"/>
    <w:rsid w:val="007D578F"/>
    <w:rsid w:val="007D5AAA"/>
    <w:rsid w:val="007D5C67"/>
    <w:rsid w:val="007D63D1"/>
    <w:rsid w:val="007D6516"/>
    <w:rsid w:val="007D656D"/>
    <w:rsid w:val="007D6951"/>
    <w:rsid w:val="007D6F29"/>
    <w:rsid w:val="007D71E6"/>
    <w:rsid w:val="007D7378"/>
    <w:rsid w:val="007D7852"/>
    <w:rsid w:val="007D7896"/>
    <w:rsid w:val="007D7EDB"/>
    <w:rsid w:val="007D7FD2"/>
    <w:rsid w:val="007E003C"/>
    <w:rsid w:val="007E0563"/>
    <w:rsid w:val="007E104B"/>
    <w:rsid w:val="007E13D9"/>
    <w:rsid w:val="007E15F0"/>
    <w:rsid w:val="007E1BF5"/>
    <w:rsid w:val="007E1F01"/>
    <w:rsid w:val="007E2016"/>
    <w:rsid w:val="007E207C"/>
    <w:rsid w:val="007E2532"/>
    <w:rsid w:val="007E2A5D"/>
    <w:rsid w:val="007E2AEC"/>
    <w:rsid w:val="007E3218"/>
    <w:rsid w:val="007E333E"/>
    <w:rsid w:val="007E38E1"/>
    <w:rsid w:val="007E3BD6"/>
    <w:rsid w:val="007E41BE"/>
    <w:rsid w:val="007E4375"/>
    <w:rsid w:val="007E44E6"/>
    <w:rsid w:val="007E459D"/>
    <w:rsid w:val="007E491F"/>
    <w:rsid w:val="007E4DB6"/>
    <w:rsid w:val="007E5034"/>
    <w:rsid w:val="007E53DB"/>
    <w:rsid w:val="007E5498"/>
    <w:rsid w:val="007E5628"/>
    <w:rsid w:val="007E58E9"/>
    <w:rsid w:val="007E624B"/>
    <w:rsid w:val="007E6278"/>
    <w:rsid w:val="007E6400"/>
    <w:rsid w:val="007E640F"/>
    <w:rsid w:val="007E65C6"/>
    <w:rsid w:val="007E6733"/>
    <w:rsid w:val="007E6976"/>
    <w:rsid w:val="007E6AA0"/>
    <w:rsid w:val="007E6C21"/>
    <w:rsid w:val="007E7195"/>
    <w:rsid w:val="007E7A34"/>
    <w:rsid w:val="007E7A42"/>
    <w:rsid w:val="007E7B76"/>
    <w:rsid w:val="007E7CD4"/>
    <w:rsid w:val="007E7E18"/>
    <w:rsid w:val="007F0436"/>
    <w:rsid w:val="007F0603"/>
    <w:rsid w:val="007F09A9"/>
    <w:rsid w:val="007F0A33"/>
    <w:rsid w:val="007F0A5D"/>
    <w:rsid w:val="007F0AEB"/>
    <w:rsid w:val="007F0E7C"/>
    <w:rsid w:val="007F12AC"/>
    <w:rsid w:val="007F1D08"/>
    <w:rsid w:val="007F274F"/>
    <w:rsid w:val="007F2DB0"/>
    <w:rsid w:val="007F2DCD"/>
    <w:rsid w:val="007F33E2"/>
    <w:rsid w:val="007F374A"/>
    <w:rsid w:val="007F3D67"/>
    <w:rsid w:val="007F3DF3"/>
    <w:rsid w:val="007F4501"/>
    <w:rsid w:val="007F4609"/>
    <w:rsid w:val="007F4B75"/>
    <w:rsid w:val="007F4C95"/>
    <w:rsid w:val="007F4F23"/>
    <w:rsid w:val="007F5130"/>
    <w:rsid w:val="007F5177"/>
    <w:rsid w:val="007F53B4"/>
    <w:rsid w:val="007F57C1"/>
    <w:rsid w:val="007F60DF"/>
    <w:rsid w:val="007F63A4"/>
    <w:rsid w:val="007F76C0"/>
    <w:rsid w:val="007F771C"/>
    <w:rsid w:val="008002F0"/>
    <w:rsid w:val="008005AC"/>
    <w:rsid w:val="008005D2"/>
    <w:rsid w:val="008009D6"/>
    <w:rsid w:val="00800B12"/>
    <w:rsid w:val="00800CAA"/>
    <w:rsid w:val="00800FFA"/>
    <w:rsid w:val="00801062"/>
    <w:rsid w:val="008014AD"/>
    <w:rsid w:val="00801800"/>
    <w:rsid w:val="00801861"/>
    <w:rsid w:val="00801B5B"/>
    <w:rsid w:val="00802BB2"/>
    <w:rsid w:val="00802C04"/>
    <w:rsid w:val="00802F7D"/>
    <w:rsid w:val="00803270"/>
    <w:rsid w:val="00803400"/>
    <w:rsid w:val="00803588"/>
    <w:rsid w:val="008038D7"/>
    <w:rsid w:val="0080414B"/>
    <w:rsid w:val="0080426D"/>
    <w:rsid w:val="00804636"/>
    <w:rsid w:val="0080527A"/>
    <w:rsid w:val="00805A30"/>
    <w:rsid w:val="00805E66"/>
    <w:rsid w:val="00805F01"/>
    <w:rsid w:val="00805FEC"/>
    <w:rsid w:val="008062FB"/>
    <w:rsid w:val="0080664F"/>
    <w:rsid w:val="00806866"/>
    <w:rsid w:val="008069DF"/>
    <w:rsid w:val="00806D43"/>
    <w:rsid w:val="00807DD1"/>
    <w:rsid w:val="008101D4"/>
    <w:rsid w:val="008106B4"/>
    <w:rsid w:val="00810FB2"/>
    <w:rsid w:val="008112D8"/>
    <w:rsid w:val="00811C40"/>
    <w:rsid w:val="008124FF"/>
    <w:rsid w:val="00813502"/>
    <w:rsid w:val="00814FE1"/>
    <w:rsid w:val="00815017"/>
    <w:rsid w:val="008153DF"/>
    <w:rsid w:val="00815581"/>
    <w:rsid w:val="008156EB"/>
    <w:rsid w:val="00817E4F"/>
    <w:rsid w:val="00820541"/>
    <w:rsid w:val="00820D4D"/>
    <w:rsid w:val="00821193"/>
    <w:rsid w:val="008212B5"/>
    <w:rsid w:val="008216E7"/>
    <w:rsid w:val="00821828"/>
    <w:rsid w:val="00821ADF"/>
    <w:rsid w:val="008223BF"/>
    <w:rsid w:val="0082278E"/>
    <w:rsid w:val="00822BBD"/>
    <w:rsid w:val="00822EDB"/>
    <w:rsid w:val="00823738"/>
    <w:rsid w:val="00823CB9"/>
    <w:rsid w:val="00823F2A"/>
    <w:rsid w:val="00823FA0"/>
    <w:rsid w:val="008243E4"/>
    <w:rsid w:val="00824483"/>
    <w:rsid w:val="00824584"/>
    <w:rsid w:val="008246A1"/>
    <w:rsid w:val="00824937"/>
    <w:rsid w:val="00824958"/>
    <w:rsid w:val="00824A92"/>
    <w:rsid w:val="00824B9E"/>
    <w:rsid w:val="0082502D"/>
    <w:rsid w:val="0082555C"/>
    <w:rsid w:val="008259BB"/>
    <w:rsid w:val="00825BE6"/>
    <w:rsid w:val="00825C7F"/>
    <w:rsid w:val="00825F3B"/>
    <w:rsid w:val="0082644A"/>
    <w:rsid w:val="008267AE"/>
    <w:rsid w:val="008267FC"/>
    <w:rsid w:val="00826C92"/>
    <w:rsid w:val="00827453"/>
    <w:rsid w:val="008276B4"/>
    <w:rsid w:val="00827B38"/>
    <w:rsid w:val="00830A33"/>
    <w:rsid w:val="00830E86"/>
    <w:rsid w:val="00831047"/>
    <w:rsid w:val="00831114"/>
    <w:rsid w:val="00831803"/>
    <w:rsid w:val="00831927"/>
    <w:rsid w:val="008325A0"/>
    <w:rsid w:val="00832649"/>
    <w:rsid w:val="00832EC4"/>
    <w:rsid w:val="00833177"/>
    <w:rsid w:val="00833990"/>
    <w:rsid w:val="00833D0C"/>
    <w:rsid w:val="00833D48"/>
    <w:rsid w:val="00833ECD"/>
    <w:rsid w:val="00834150"/>
    <w:rsid w:val="0083442D"/>
    <w:rsid w:val="008346D2"/>
    <w:rsid w:val="00834A6D"/>
    <w:rsid w:val="00834AAC"/>
    <w:rsid w:val="00834ABF"/>
    <w:rsid w:val="00834B0F"/>
    <w:rsid w:val="00834CD3"/>
    <w:rsid w:val="0083531A"/>
    <w:rsid w:val="008355BA"/>
    <w:rsid w:val="00835786"/>
    <w:rsid w:val="00835EB9"/>
    <w:rsid w:val="00836E92"/>
    <w:rsid w:val="008370E9"/>
    <w:rsid w:val="00837288"/>
    <w:rsid w:val="008372E1"/>
    <w:rsid w:val="00837792"/>
    <w:rsid w:val="00837D3F"/>
    <w:rsid w:val="00837E81"/>
    <w:rsid w:val="008404E6"/>
    <w:rsid w:val="008407D7"/>
    <w:rsid w:val="00840CF5"/>
    <w:rsid w:val="00840FBE"/>
    <w:rsid w:val="008415DA"/>
    <w:rsid w:val="00841697"/>
    <w:rsid w:val="008418CE"/>
    <w:rsid w:val="008419B0"/>
    <w:rsid w:val="00841A8B"/>
    <w:rsid w:val="00841BD3"/>
    <w:rsid w:val="00842127"/>
    <w:rsid w:val="00842217"/>
    <w:rsid w:val="0084233B"/>
    <w:rsid w:val="0084273D"/>
    <w:rsid w:val="00842B59"/>
    <w:rsid w:val="00842C3C"/>
    <w:rsid w:val="00842D0A"/>
    <w:rsid w:val="00842FA3"/>
    <w:rsid w:val="0084300D"/>
    <w:rsid w:val="00843C7F"/>
    <w:rsid w:val="00843DDC"/>
    <w:rsid w:val="00843E2C"/>
    <w:rsid w:val="00843ED6"/>
    <w:rsid w:val="0084421B"/>
    <w:rsid w:val="008444D0"/>
    <w:rsid w:val="00844981"/>
    <w:rsid w:val="00844CC8"/>
    <w:rsid w:val="00844E3F"/>
    <w:rsid w:val="00844F39"/>
    <w:rsid w:val="00844FFC"/>
    <w:rsid w:val="00845120"/>
    <w:rsid w:val="008452A9"/>
    <w:rsid w:val="00845A83"/>
    <w:rsid w:val="00845C08"/>
    <w:rsid w:val="008461FB"/>
    <w:rsid w:val="008463D7"/>
    <w:rsid w:val="00846647"/>
    <w:rsid w:val="0084674C"/>
    <w:rsid w:val="00846A02"/>
    <w:rsid w:val="00846AF4"/>
    <w:rsid w:val="00846B39"/>
    <w:rsid w:val="00846BB9"/>
    <w:rsid w:val="008470BF"/>
    <w:rsid w:val="008471B4"/>
    <w:rsid w:val="0084768C"/>
    <w:rsid w:val="008479BB"/>
    <w:rsid w:val="00847BC4"/>
    <w:rsid w:val="00847BE5"/>
    <w:rsid w:val="00847DCA"/>
    <w:rsid w:val="00847F3F"/>
    <w:rsid w:val="008502E8"/>
    <w:rsid w:val="008506ED"/>
    <w:rsid w:val="00850FED"/>
    <w:rsid w:val="0085175D"/>
    <w:rsid w:val="00851C18"/>
    <w:rsid w:val="00852876"/>
    <w:rsid w:val="00852896"/>
    <w:rsid w:val="008528F8"/>
    <w:rsid w:val="00852AA1"/>
    <w:rsid w:val="00852C2D"/>
    <w:rsid w:val="00852F32"/>
    <w:rsid w:val="008535DE"/>
    <w:rsid w:val="00853681"/>
    <w:rsid w:val="00853D81"/>
    <w:rsid w:val="00853DB2"/>
    <w:rsid w:val="00854003"/>
    <w:rsid w:val="008541FD"/>
    <w:rsid w:val="0085459E"/>
    <w:rsid w:val="008556A0"/>
    <w:rsid w:val="0085612F"/>
    <w:rsid w:val="008561A5"/>
    <w:rsid w:val="00856867"/>
    <w:rsid w:val="00856E0E"/>
    <w:rsid w:val="00857818"/>
    <w:rsid w:val="00857A03"/>
    <w:rsid w:val="0086027E"/>
    <w:rsid w:val="00860426"/>
    <w:rsid w:val="00861432"/>
    <w:rsid w:val="00861535"/>
    <w:rsid w:val="008618D8"/>
    <w:rsid w:val="00861EDE"/>
    <w:rsid w:val="00861FAD"/>
    <w:rsid w:val="0086205A"/>
    <w:rsid w:val="0086227D"/>
    <w:rsid w:val="0086255E"/>
    <w:rsid w:val="0086260B"/>
    <w:rsid w:val="00862FB8"/>
    <w:rsid w:val="008632A1"/>
    <w:rsid w:val="00863AF9"/>
    <w:rsid w:val="00863CA1"/>
    <w:rsid w:val="00864209"/>
    <w:rsid w:val="008649D5"/>
    <w:rsid w:val="00864A71"/>
    <w:rsid w:val="00864FE2"/>
    <w:rsid w:val="008650A6"/>
    <w:rsid w:val="008654C8"/>
    <w:rsid w:val="0086563A"/>
    <w:rsid w:val="008656E4"/>
    <w:rsid w:val="008657D0"/>
    <w:rsid w:val="008658B7"/>
    <w:rsid w:val="00866768"/>
    <w:rsid w:val="00866F42"/>
    <w:rsid w:val="0086773E"/>
    <w:rsid w:val="008677E0"/>
    <w:rsid w:val="008679DA"/>
    <w:rsid w:val="00867A37"/>
    <w:rsid w:val="00867B4E"/>
    <w:rsid w:val="00870727"/>
    <w:rsid w:val="00870DBF"/>
    <w:rsid w:val="00871041"/>
    <w:rsid w:val="008712BB"/>
    <w:rsid w:val="00871409"/>
    <w:rsid w:val="0087146E"/>
    <w:rsid w:val="008726F5"/>
    <w:rsid w:val="00872A05"/>
    <w:rsid w:val="00872BC8"/>
    <w:rsid w:val="00873B44"/>
    <w:rsid w:val="00873DCE"/>
    <w:rsid w:val="00873E23"/>
    <w:rsid w:val="00874E16"/>
    <w:rsid w:val="00875D44"/>
    <w:rsid w:val="00875D4D"/>
    <w:rsid w:val="00876184"/>
    <w:rsid w:val="008762E0"/>
    <w:rsid w:val="00876D85"/>
    <w:rsid w:val="00876F93"/>
    <w:rsid w:val="00877327"/>
    <w:rsid w:val="008774C0"/>
    <w:rsid w:val="008775D8"/>
    <w:rsid w:val="0088056B"/>
    <w:rsid w:val="0088069E"/>
    <w:rsid w:val="00880A47"/>
    <w:rsid w:val="00880D35"/>
    <w:rsid w:val="0088151A"/>
    <w:rsid w:val="008815A8"/>
    <w:rsid w:val="00882281"/>
    <w:rsid w:val="0088255A"/>
    <w:rsid w:val="00882657"/>
    <w:rsid w:val="00882C2E"/>
    <w:rsid w:val="008830E7"/>
    <w:rsid w:val="0088393B"/>
    <w:rsid w:val="00883BC4"/>
    <w:rsid w:val="00883FDE"/>
    <w:rsid w:val="0088400D"/>
    <w:rsid w:val="00884100"/>
    <w:rsid w:val="0088421A"/>
    <w:rsid w:val="008842B4"/>
    <w:rsid w:val="00884463"/>
    <w:rsid w:val="00884741"/>
    <w:rsid w:val="00884AF9"/>
    <w:rsid w:val="00884CD3"/>
    <w:rsid w:val="00884D56"/>
    <w:rsid w:val="00885208"/>
    <w:rsid w:val="008852EC"/>
    <w:rsid w:val="00885483"/>
    <w:rsid w:val="008854D7"/>
    <w:rsid w:val="0088562B"/>
    <w:rsid w:val="008859FC"/>
    <w:rsid w:val="00885C18"/>
    <w:rsid w:val="00886027"/>
    <w:rsid w:val="0088633C"/>
    <w:rsid w:val="0088778C"/>
    <w:rsid w:val="008879D3"/>
    <w:rsid w:val="00887EC5"/>
    <w:rsid w:val="00890154"/>
    <w:rsid w:val="00890438"/>
    <w:rsid w:val="00890CB3"/>
    <w:rsid w:val="00890D25"/>
    <w:rsid w:val="00890EDE"/>
    <w:rsid w:val="00890F49"/>
    <w:rsid w:val="008913A8"/>
    <w:rsid w:val="00891509"/>
    <w:rsid w:val="00891A9F"/>
    <w:rsid w:val="00891BAE"/>
    <w:rsid w:val="00891BC2"/>
    <w:rsid w:val="0089214C"/>
    <w:rsid w:val="00892B38"/>
    <w:rsid w:val="00893025"/>
    <w:rsid w:val="00895041"/>
    <w:rsid w:val="0089557A"/>
    <w:rsid w:val="00895934"/>
    <w:rsid w:val="008963D2"/>
    <w:rsid w:val="008977DC"/>
    <w:rsid w:val="00897AA6"/>
    <w:rsid w:val="00897B62"/>
    <w:rsid w:val="008A042C"/>
    <w:rsid w:val="008A062C"/>
    <w:rsid w:val="008A0718"/>
    <w:rsid w:val="008A08BE"/>
    <w:rsid w:val="008A0979"/>
    <w:rsid w:val="008A1741"/>
    <w:rsid w:val="008A2484"/>
    <w:rsid w:val="008A2594"/>
    <w:rsid w:val="008A271D"/>
    <w:rsid w:val="008A29C1"/>
    <w:rsid w:val="008A4022"/>
    <w:rsid w:val="008A4631"/>
    <w:rsid w:val="008A48FF"/>
    <w:rsid w:val="008A5254"/>
    <w:rsid w:val="008A52F3"/>
    <w:rsid w:val="008A5FE1"/>
    <w:rsid w:val="008A6327"/>
    <w:rsid w:val="008A64EE"/>
    <w:rsid w:val="008A6534"/>
    <w:rsid w:val="008A6608"/>
    <w:rsid w:val="008A71CA"/>
    <w:rsid w:val="008A7669"/>
    <w:rsid w:val="008A77D5"/>
    <w:rsid w:val="008B00FB"/>
    <w:rsid w:val="008B0113"/>
    <w:rsid w:val="008B0205"/>
    <w:rsid w:val="008B0645"/>
    <w:rsid w:val="008B068E"/>
    <w:rsid w:val="008B09BA"/>
    <w:rsid w:val="008B0CBF"/>
    <w:rsid w:val="008B0D01"/>
    <w:rsid w:val="008B0FD5"/>
    <w:rsid w:val="008B18D1"/>
    <w:rsid w:val="008B317D"/>
    <w:rsid w:val="008B3668"/>
    <w:rsid w:val="008B3A88"/>
    <w:rsid w:val="008B45FE"/>
    <w:rsid w:val="008B48BD"/>
    <w:rsid w:val="008B4A57"/>
    <w:rsid w:val="008B5117"/>
    <w:rsid w:val="008B5234"/>
    <w:rsid w:val="008B57B7"/>
    <w:rsid w:val="008B638C"/>
    <w:rsid w:val="008B68F8"/>
    <w:rsid w:val="008B6F00"/>
    <w:rsid w:val="008B6FD8"/>
    <w:rsid w:val="008B713C"/>
    <w:rsid w:val="008B7492"/>
    <w:rsid w:val="008C01BD"/>
    <w:rsid w:val="008C0402"/>
    <w:rsid w:val="008C05F3"/>
    <w:rsid w:val="008C11CB"/>
    <w:rsid w:val="008C18C5"/>
    <w:rsid w:val="008C1CC9"/>
    <w:rsid w:val="008C22BD"/>
    <w:rsid w:val="008C26D9"/>
    <w:rsid w:val="008C2FEE"/>
    <w:rsid w:val="008C3203"/>
    <w:rsid w:val="008C3411"/>
    <w:rsid w:val="008C358B"/>
    <w:rsid w:val="008C35B2"/>
    <w:rsid w:val="008C3662"/>
    <w:rsid w:val="008C3941"/>
    <w:rsid w:val="008C3A16"/>
    <w:rsid w:val="008C3D32"/>
    <w:rsid w:val="008C3F1B"/>
    <w:rsid w:val="008C46A7"/>
    <w:rsid w:val="008C48FD"/>
    <w:rsid w:val="008C498D"/>
    <w:rsid w:val="008C49EE"/>
    <w:rsid w:val="008C4BF1"/>
    <w:rsid w:val="008C52CB"/>
    <w:rsid w:val="008C5820"/>
    <w:rsid w:val="008C592E"/>
    <w:rsid w:val="008C5C63"/>
    <w:rsid w:val="008C6913"/>
    <w:rsid w:val="008C6D50"/>
    <w:rsid w:val="008C6FE9"/>
    <w:rsid w:val="008C7167"/>
    <w:rsid w:val="008C7503"/>
    <w:rsid w:val="008C7996"/>
    <w:rsid w:val="008C7DB1"/>
    <w:rsid w:val="008D0124"/>
    <w:rsid w:val="008D022F"/>
    <w:rsid w:val="008D0403"/>
    <w:rsid w:val="008D0F2D"/>
    <w:rsid w:val="008D1578"/>
    <w:rsid w:val="008D1617"/>
    <w:rsid w:val="008D18CB"/>
    <w:rsid w:val="008D19B2"/>
    <w:rsid w:val="008D23E9"/>
    <w:rsid w:val="008D330F"/>
    <w:rsid w:val="008D3794"/>
    <w:rsid w:val="008D37D9"/>
    <w:rsid w:val="008D45BE"/>
    <w:rsid w:val="008D48C1"/>
    <w:rsid w:val="008D4DCC"/>
    <w:rsid w:val="008D54FE"/>
    <w:rsid w:val="008D5565"/>
    <w:rsid w:val="008D5BAB"/>
    <w:rsid w:val="008D5D35"/>
    <w:rsid w:val="008D5DC0"/>
    <w:rsid w:val="008D6391"/>
    <w:rsid w:val="008D658D"/>
    <w:rsid w:val="008D6AAB"/>
    <w:rsid w:val="008D6AC6"/>
    <w:rsid w:val="008D6FD4"/>
    <w:rsid w:val="008E01AD"/>
    <w:rsid w:val="008E0B27"/>
    <w:rsid w:val="008E13F5"/>
    <w:rsid w:val="008E1604"/>
    <w:rsid w:val="008E184F"/>
    <w:rsid w:val="008E1986"/>
    <w:rsid w:val="008E1A68"/>
    <w:rsid w:val="008E282D"/>
    <w:rsid w:val="008E3627"/>
    <w:rsid w:val="008E3BE3"/>
    <w:rsid w:val="008E46A1"/>
    <w:rsid w:val="008E505E"/>
    <w:rsid w:val="008E5231"/>
    <w:rsid w:val="008E57FD"/>
    <w:rsid w:val="008E5A5D"/>
    <w:rsid w:val="008E5D88"/>
    <w:rsid w:val="008E61AF"/>
    <w:rsid w:val="008E6212"/>
    <w:rsid w:val="008E6315"/>
    <w:rsid w:val="008E68DE"/>
    <w:rsid w:val="008E6B89"/>
    <w:rsid w:val="008E6C85"/>
    <w:rsid w:val="008E6CE2"/>
    <w:rsid w:val="008E6EFF"/>
    <w:rsid w:val="008E70F8"/>
    <w:rsid w:val="008E747A"/>
    <w:rsid w:val="008F014A"/>
    <w:rsid w:val="008F0410"/>
    <w:rsid w:val="008F0480"/>
    <w:rsid w:val="008F063C"/>
    <w:rsid w:val="008F07FC"/>
    <w:rsid w:val="008F08EA"/>
    <w:rsid w:val="008F0ABB"/>
    <w:rsid w:val="008F0C8C"/>
    <w:rsid w:val="008F1199"/>
    <w:rsid w:val="008F11E0"/>
    <w:rsid w:val="008F12B5"/>
    <w:rsid w:val="008F162E"/>
    <w:rsid w:val="008F2310"/>
    <w:rsid w:val="008F2811"/>
    <w:rsid w:val="008F379F"/>
    <w:rsid w:val="008F3E22"/>
    <w:rsid w:val="008F3EA7"/>
    <w:rsid w:val="008F42C2"/>
    <w:rsid w:val="008F4603"/>
    <w:rsid w:val="008F462A"/>
    <w:rsid w:val="008F56B6"/>
    <w:rsid w:val="008F5F48"/>
    <w:rsid w:val="008F62CB"/>
    <w:rsid w:val="008F6DC0"/>
    <w:rsid w:val="008F7174"/>
    <w:rsid w:val="008F78BC"/>
    <w:rsid w:val="008F7A59"/>
    <w:rsid w:val="008F7A92"/>
    <w:rsid w:val="008F7B2C"/>
    <w:rsid w:val="008F7B63"/>
    <w:rsid w:val="008F7D6A"/>
    <w:rsid w:val="0090000E"/>
    <w:rsid w:val="009003A8"/>
    <w:rsid w:val="009003D1"/>
    <w:rsid w:val="0090044A"/>
    <w:rsid w:val="009009EF"/>
    <w:rsid w:val="009009F8"/>
    <w:rsid w:val="0090109E"/>
    <w:rsid w:val="00901508"/>
    <w:rsid w:val="00901710"/>
    <w:rsid w:val="00901C78"/>
    <w:rsid w:val="00901C86"/>
    <w:rsid w:val="00902186"/>
    <w:rsid w:val="00903211"/>
    <w:rsid w:val="00903381"/>
    <w:rsid w:val="00903603"/>
    <w:rsid w:val="009038BD"/>
    <w:rsid w:val="00903B8E"/>
    <w:rsid w:val="00904840"/>
    <w:rsid w:val="009049E8"/>
    <w:rsid w:val="00904C4C"/>
    <w:rsid w:val="00904D0E"/>
    <w:rsid w:val="00905198"/>
    <w:rsid w:val="00905331"/>
    <w:rsid w:val="0090543B"/>
    <w:rsid w:val="009054CB"/>
    <w:rsid w:val="00906178"/>
    <w:rsid w:val="009069BA"/>
    <w:rsid w:val="0090718D"/>
    <w:rsid w:val="00907638"/>
    <w:rsid w:val="00907714"/>
    <w:rsid w:val="00907C9C"/>
    <w:rsid w:val="00907D66"/>
    <w:rsid w:val="00910104"/>
    <w:rsid w:val="00910381"/>
    <w:rsid w:val="0091047D"/>
    <w:rsid w:val="00910CCD"/>
    <w:rsid w:val="00910F59"/>
    <w:rsid w:val="00910F80"/>
    <w:rsid w:val="009116AB"/>
    <w:rsid w:val="009117D6"/>
    <w:rsid w:val="00911B5E"/>
    <w:rsid w:val="00911F8D"/>
    <w:rsid w:val="00912588"/>
    <w:rsid w:val="00912F94"/>
    <w:rsid w:val="009137C5"/>
    <w:rsid w:val="0091387E"/>
    <w:rsid w:val="00913AA3"/>
    <w:rsid w:val="00913FE6"/>
    <w:rsid w:val="00914211"/>
    <w:rsid w:val="0091424A"/>
    <w:rsid w:val="00914543"/>
    <w:rsid w:val="009146A9"/>
    <w:rsid w:val="00914847"/>
    <w:rsid w:val="00914C74"/>
    <w:rsid w:val="009157BD"/>
    <w:rsid w:val="0091642E"/>
    <w:rsid w:val="00916809"/>
    <w:rsid w:val="00916887"/>
    <w:rsid w:val="00916917"/>
    <w:rsid w:val="00916B7F"/>
    <w:rsid w:val="00916BB2"/>
    <w:rsid w:val="009171BC"/>
    <w:rsid w:val="00917948"/>
    <w:rsid w:val="00917C85"/>
    <w:rsid w:val="00917CA0"/>
    <w:rsid w:val="00917D85"/>
    <w:rsid w:val="00917FCF"/>
    <w:rsid w:val="0092075F"/>
    <w:rsid w:val="009209AA"/>
    <w:rsid w:val="00920AA4"/>
    <w:rsid w:val="00920BF7"/>
    <w:rsid w:val="009213BA"/>
    <w:rsid w:val="009216C9"/>
    <w:rsid w:val="0092201B"/>
    <w:rsid w:val="00922BB2"/>
    <w:rsid w:val="00922CD9"/>
    <w:rsid w:val="00923743"/>
    <w:rsid w:val="00923847"/>
    <w:rsid w:val="00923AA8"/>
    <w:rsid w:val="00923FC1"/>
    <w:rsid w:val="009241D8"/>
    <w:rsid w:val="0092427F"/>
    <w:rsid w:val="0092497E"/>
    <w:rsid w:val="00924FC1"/>
    <w:rsid w:val="0092590B"/>
    <w:rsid w:val="00925BF3"/>
    <w:rsid w:val="00925E60"/>
    <w:rsid w:val="00925F49"/>
    <w:rsid w:val="00926089"/>
    <w:rsid w:val="009260C8"/>
    <w:rsid w:val="009263D2"/>
    <w:rsid w:val="009264B3"/>
    <w:rsid w:val="009265DB"/>
    <w:rsid w:val="009265DD"/>
    <w:rsid w:val="009267D4"/>
    <w:rsid w:val="00926A2E"/>
    <w:rsid w:val="0092704F"/>
    <w:rsid w:val="009273DD"/>
    <w:rsid w:val="009275C8"/>
    <w:rsid w:val="0093062F"/>
    <w:rsid w:val="0093102E"/>
    <w:rsid w:val="009312CD"/>
    <w:rsid w:val="00931691"/>
    <w:rsid w:val="0093194C"/>
    <w:rsid w:val="009319B4"/>
    <w:rsid w:val="00931DE1"/>
    <w:rsid w:val="00931E4C"/>
    <w:rsid w:val="009321A6"/>
    <w:rsid w:val="00932669"/>
    <w:rsid w:val="00932742"/>
    <w:rsid w:val="00932831"/>
    <w:rsid w:val="009330B7"/>
    <w:rsid w:val="0093310F"/>
    <w:rsid w:val="009334CA"/>
    <w:rsid w:val="0093353E"/>
    <w:rsid w:val="00933922"/>
    <w:rsid w:val="00933CC6"/>
    <w:rsid w:val="009340B0"/>
    <w:rsid w:val="0093433B"/>
    <w:rsid w:val="00935231"/>
    <w:rsid w:val="00935557"/>
    <w:rsid w:val="00935772"/>
    <w:rsid w:val="00935AFC"/>
    <w:rsid w:val="00935C29"/>
    <w:rsid w:val="009362A9"/>
    <w:rsid w:val="009365E0"/>
    <w:rsid w:val="00937346"/>
    <w:rsid w:val="009373EF"/>
    <w:rsid w:val="009376DD"/>
    <w:rsid w:val="00937798"/>
    <w:rsid w:val="00940534"/>
    <w:rsid w:val="009405A0"/>
    <w:rsid w:val="0094092F"/>
    <w:rsid w:val="00940DF6"/>
    <w:rsid w:val="0094110C"/>
    <w:rsid w:val="009414AD"/>
    <w:rsid w:val="009414DA"/>
    <w:rsid w:val="0094179F"/>
    <w:rsid w:val="00941AB5"/>
    <w:rsid w:val="00942BA2"/>
    <w:rsid w:val="009431AC"/>
    <w:rsid w:val="009432B7"/>
    <w:rsid w:val="00943F80"/>
    <w:rsid w:val="0094480E"/>
    <w:rsid w:val="00944C86"/>
    <w:rsid w:val="0094540D"/>
    <w:rsid w:val="00945799"/>
    <w:rsid w:val="00945F8E"/>
    <w:rsid w:val="009462F3"/>
    <w:rsid w:val="00946784"/>
    <w:rsid w:val="00946840"/>
    <w:rsid w:val="00946F3D"/>
    <w:rsid w:val="0094700D"/>
    <w:rsid w:val="00947406"/>
    <w:rsid w:val="00947C02"/>
    <w:rsid w:val="00950272"/>
    <w:rsid w:val="009506C9"/>
    <w:rsid w:val="00950BE6"/>
    <w:rsid w:val="00951515"/>
    <w:rsid w:val="009517F7"/>
    <w:rsid w:val="009518AB"/>
    <w:rsid w:val="0095280A"/>
    <w:rsid w:val="00952913"/>
    <w:rsid w:val="009533DC"/>
    <w:rsid w:val="009535CE"/>
    <w:rsid w:val="009537D3"/>
    <w:rsid w:val="0095390B"/>
    <w:rsid w:val="00953AC1"/>
    <w:rsid w:val="00953B49"/>
    <w:rsid w:val="00953D23"/>
    <w:rsid w:val="00954BB9"/>
    <w:rsid w:val="00954E79"/>
    <w:rsid w:val="00955223"/>
    <w:rsid w:val="00955510"/>
    <w:rsid w:val="009556E3"/>
    <w:rsid w:val="00955DB7"/>
    <w:rsid w:val="00955EE9"/>
    <w:rsid w:val="00956119"/>
    <w:rsid w:val="00956654"/>
    <w:rsid w:val="0095701E"/>
    <w:rsid w:val="009570A3"/>
    <w:rsid w:val="009572A2"/>
    <w:rsid w:val="009573E9"/>
    <w:rsid w:val="00957890"/>
    <w:rsid w:val="00957DE8"/>
    <w:rsid w:val="00957E90"/>
    <w:rsid w:val="00960973"/>
    <w:rsid w:val="00960ECB"/>
    <w:rsid w:val="009615D6"/>
    <w:rsid w:val="009616E6"/>
    <w:rsid w:val="009622EB"/>
    <w:rsid w:val="009624BD"/>
    <w:rsid w:val="009627A4"/>
    <w:rsid w:val="00962C93"/>
    <w:rsid w:val="00962D3B"/>
    <w:rsid w:val="009631ED"/>
    <w:rsid w:val="00963258"/>
    <w:rsid w:val="009633F7"/>
    <w:rsid w:val="00963B56"/>
    <w:rsid w:val="00964A21"/>
    <w:rsid w:val="00964F40"/>
    <w:rsid w:val="00965152"/>
    <w:rsid w:val="0096547E"/>
    <w:rsid w:val="009656DB"/>
    <w:rsid w:val="00965E27"/>
    <w:rsid w:val="0096625D"/>
    <w:rsid w:val="009666DD"/>
    <w:rsid w:val="00966C39"/>
    <w:rsid w:val="00966D6A"/>
    <w:rsid w:val="0096710B"/>
    <w:rsid w:val="00967286"/>
    <w:rsid w:val="00967855"/>
    <w:rsid w:val="009678C9"/>
    <w:rsid w:val="00970259"/>
    <w:rsid w:val="009708B3"/>
    <w:rsid w:val="00970DE8"/>
    <w:rsid w:val="0097143C"/>
    <w:rsid w:val="00971550"/>
    <w:rsid w:val="00971597"/>
    <w:rsid w:val="009717DE"/>
    <w:rsid w:val="009718DB"/>
    <w:rsid w:val="00971CD1"/>
    <w:rsid w:val="00972066"/>
    <w:rsid w:val="0097211F"/>
    <w:rsid w:val="00972298"/>
    <w:rsid w:val="0097265F"/>
    <w:rsid w:val="009726B1"/>
    <w:rsid w:val="009729D4"/>
    <w:rsid w:val="00972D66"/>
    <w:rsid w:val="00972D7B"/>
    <w:rsid w:val="0097320E"/>
    <w:rsid w:val="0097353D"/>
    <w:rsid w:val="00973FD6"/>
    <w:rsid w:val="009741DB"/>
    <w:rsid w:val="0097439B"/>
    <w:rsid w:val="00974709"/>
    <w:rsid w:val="00974810"/>
    <w:rsid w:val="00974B80"/>
    <w:rsid w:val="00974D4F"/>
    <w:rsid w:val="00975829"/>
    <w:rsid w:val="00975A75"/>
    <w:rsid w:val="00975BC1"/>
    <w:rsid w:val="00976035"/>
    <w:rsid w:val="00976710"/>
    <w:rsid w:val="0097702A"/>
    <w:rsid w:val="00977564"/>
    <w:rsid w:val="009775E4"/>
    <w:rsid w:val="00977B87"/>
    <w:rsid w:val="00977BDF"/>
    <w:rsid w:val="00977C75"/>
    <w:rsid w:val="00977D60"/>
    <w:rsid w:val="00977E02"/>
    <w:rsid w:val="009801AE"/>
    <w:rsid w:val="0098070F"/>
    <w:rsid w:val="00980736"/>
    <w:rsid w:val="00980B85"/>
    <w:rsid w:val="00980D31"/>
    <w:rsid w:val="009811B4"/>
    <w:rsid w:val="00981A39"/>
    <w:rsid w:val="00981C93"/>
    <w:rsid w:val="00981CB6"/>
    <w:rsid w:val="00981CEA"/>
    <w:rsid w:val="00981F8D"/>
    <w:rsid w:val="009823D2"/>
    <w:rsid w:val="00982478"/>
    <w:rsid w:val="009825EA"/>
    <w:rsid w:val="00982622"/>
    <w:rsid w:val="00982D56"/>
    <w:rsid w:val="00982D58"/>
    <w:rsid w:val="009837D8"/>
    <w:rsid w:val="00983DBF"/>
    <w:rsid w:val="009841C2"/>
    <w:rsid w:val="009852B7"/>
    <w:rsid w:val="00985345"/>
    <w:rsid w:val="00985448"/>
    <w:rsid w:val="009855E2"/>
    <w:rsid w:val="00985913"/>
    <w:rsid w:val="00985958"/>
    <w:rsid w:val="00985AA3"/>
    <w:rsid w:val="00985E17"/>
    <w:rsid w:val="00986008"/>
    <w:rsid w:val="00987018"/>
    <w:rsid w:val="00987097"/>
    <w:rsid w:val="0098726A"/>
    <w:rsid w:val="00987592"/>
    <w:rsid w:val="009878BC"/>
    <w:rsid w:val="009879B7"/>
    <w:rsid w:val="00987C2B"/>
    <w:rsid w:val="009902D9"/>
    <w:rsid w:val="0099082B"/>
    <w:rsid w:val="009909C9"/>
    <w:rsid w:val="00990CD2"/>
    <w:rsid w:val="00991123"/>
    <w:rsid w:val="00991279"/>
    <w:rsid w:val="0099130E"/>
    <w:rsid w:val="00991319"/>
    <w:rsid w:val="00991629"/>
    <w:rsid w:val="00991BC2"/>
    <w:rsid w:val="00991CAB"/>
    <w:rsid w:val="00991D92"/>
    <w:rsid w:val="00992584"/>
    <w:rsid w:val="009929D1"/>
    <w:rsid w:val="00992C76"/>
    <w:rsid w:val="0099349D"/>
    <w:rsid w:val="0099368C"/>
    <w:rsid w:val="009941A8"/>
    <w:rsid w:val="009941F1"/>
    <w:rsid w:val="00994243"/>
    <w:rsid w:val="00994717"/>
    <w:rsid w:val="0099521E"/>
    <w:rsid w:val="00995C25"/>
    <w:rsid w:val="00995C2C"/>
    <w:rsid w:val="00996253"/>
    <w:rsid w:val="009965D1"/>
    <w:rsid w:val="0099692E"/>
    <w:rsid w:val="00996EA7"/>
    <w:rsid w:val="0099723E"/>
    <w:rsid w:val="0099778E"/>
    <w:rsid w:val="00997798"/>
    <w:rsid w:val="00997A40"/>
    <w:rsid w:val="00997ADB"/>
    <w:rsid w:val="00997B37"/>
    <w:rsid w:val="009A08A9"/>
    <w:rsid w:val="009A0ACB"/>
    <w:rsid w:val="009A0F45"/>
    <w:rsid w:val="009A0F59"/>
    <w:rsid w:val="009A11C0"/>
    <w:rsid w:val="009A128D"/>
    <w:rsid w:val="009A141C"/>
    <w:rsid w:val="009A244E"/>
    <w:rsid w:val="009A2533"/>
    <w:rsid w:val="009A2935"/>
    <w:rsid w:val="009A3132"/>
    <w:rsid w:val="009A320D"/>
    <w:rsid w:val="009A3A9C"/>
    <w:rsid w:val="009A3CFF"/>
    <w:rsid w:val="009A4EFB"/>
    <w:rsid w:val="009A53CA"/>
    <w:rsid w:val="009A5C0F"/>
    <w:rsid w:val="009A5EA5"/>
    <w:rsid w:val="009A6090"/>
    <w:rsid w:val="009A7417"/>
    <w:rsid w:val="009A7611"/>
    <w:rsid w:val="009A779A"/>
    <w:rsid w:val="009A7EB4"/>
    <w:rsid w:val="009A7ECD"/>
    <w:rsid w:val="009B027D"/>
    <w:rsid w:val="009B03BD"/>
    <w:rsid w:val="009B046C"/>
    <w:rsid w:val="009B04F5"/>
    <w:rsid w:val="009B05C1"/>
    <w:rsid w:val="009B0805"/>
    <w:rsid w:val="009B122C"/>
    <w:rsid w:val="009B1340"/>
    <w:rsid w:val="009B13FA"/>
    <w:rsid w:val="009B172F"/>
    <w:rsid w:val="009B18C4"/>
    <w:rsid w:val="009B18CF"/>
    <w:rsid w:val="009B1DE1"/>
    <w:rsid w:val="009B1E2D"/>
    <w:rsid w:val="009B1F6B"/>
    <w:rsid w:val="009B220F"/>
    <w:rsid w:val="009B268A"/>
    <w:rsid w:val="009B279D"/>
    <w:rsid w:val="009B27C7"/>
    <w:rsid w:val="009B2B8A"/>
    <w:rsid w:val="009B319C"/>
    <w:rsid w:val="009B32DC"/>
    <w:rsid w:val="009B335E"/>
    <w:rsid w:val="009B3C06"/>
    <w:rsid w:val="009B4657"/>
    <w:rsid w:val="009B4EE5"/>
    <w:rsid w:val="009B5347"/>
    <w:rsid w:val="009B561B"/>
    <w:rsid w:val="009B5992"/>
    <w:rsid w:val="009B5F69"/>
    <w:rsid w:val="009B5FFA"/>
    <w:rsid w:val="009B6167"/>
    <w:rsid w:val="009B621D"/>
    <w:rsid w:val="009B64D4"/>
    <w:rsid w:val="009B68D8"/>
    <w:rsid w:val="009B6C0C"/>
    <w:rsid w:val="009B6D7D"/>
    <w:rsid w:val="009B70CD"/>
    <w:rsid w:val="009B7396"/>
    <w:rsid w:val="009B740C"/>
    <w:rsid w:val="009B79E9"/>
    <w:rsid w:val="009B7BC5"/>
    <w:rsid w:val="009C0D88"/>
    <w:rsid w:val="009C0DE4"/>
    <w:rsid w:val="009C12EE"/>
    <w:rsid w:val="009C147D"/>
    <w:rsid w:val="009C16F9"/>
    <w:rsid w:val="009C1925"/>
    <w:rsid w:val="009C2261"/>
    <w:rsid w:val="009C2999"/>
    <w:rsid w:val="009C3078"/>
    <w:rsid w:val="009C36CF"/>
    <w:rsid w:val="009C377D"/>
    <w:rsid w:val="009C39D1"/>
    <w:rsid w:val="009C3A79"/>
    <w:rsid w:val="009C3D88"/>
    <w:rsid w:val="009C402E"/>
    <w:rsid w:val="009C465C"/>
    <w:rsid w:val="009C511A"/>
    <w:rsid w:val="009C52B1"/>
    <w:rsid w:val="009C5627"/>
    <w:rsid w:val="009C59FB"/>
    <w:rsid w:val="009C5CEE"/>
    <w:rsid w:val="009C5E5D"/>
    <w:rsid w:val="009C63FF"/>
    <w:rsid w:val="009C6404"/>
    <w:rsid w:val="009C68E7"/>
    <w:rsid w:val="009C6F3B"/>
    <w:rsid w:val="009C728A"/>
    <w:rsid w:val="009C749E"/>
    <w:rsid w:val="009D00E3"/>
    <w:rsid w:val="009D0286"/>
    <w:rsid w:val="009D0AC5"/>
    <w:rsid w:val="009D0B5B"/>
    <w:rsid w:val="009D13D9"/>
    <w:rsid w:val="009D1467"/>
    <w:rsid w:val="009D172D"/>
    <w:rsid w:val="009D19E4"/>
    <w:rsid w:val="009D1C99"/>
    <w:rsid w:val="009D1FBA"/>
    <w:rsid w:val="009D2115"/>
    <w:rsid w:val="009D21FB"/>
    <w:rsid w:val="009D22F3"/>
    <w:rsid w:val="009D2472"/>
    <w:rsid w:val="009D2A37"/>
    <w:rsid w:val="009D2AD6"/>
    <w:rsid w:val="009D2BBA"/>
    <w:rsid w:val="009D2E2A"/>
    <w:rsid w:val="009D328D"/>
    <w:rsid w:val="009D3BBD"/>
    <w:rsid w:val="009D4297"/>
    <w:rsid w:val="009D4513"/>
    <w:rsid w:val="009D4613"/>
    <w:rsid w:val="009D4F55"/>
    <w:rsid w:val="009D5004"/>
    <w:rsid w:val="009D50FF"/>
    <w:rsid w:val="009D5806"/>
    <w:rsid w:val="009D5A7A"/>
    <w:rsid w:val="009D60F0"/>
    <w:rsid w:val="009D63E0"/>
    <w:rsid w:val="009D666B"/>
    <w:rsid w:val="009D69A8"/>
    <w:rsid w:val="009D6FE6"/>
    <w:rsid w:val="009D7A17"/>
    <w:rsid w:val="009D7A72"/>
    <w:rsid w:val="009E09C2"/>
    <w:rsid w:val="009E0FB2"/>
    <w:rsid w:val="009E1102"/>
    <w:rsid w:val="009E12F0"/>
    <w:rsid w:val="009E1863"/>
    <w:rsid w:val="009E1A86"/>
    <w:rsid w:val="009E1C44"/>
    <w:rsid w:val="009E1E23"/>
    <w:rsid w:val="009E1F8F"/>
    <w:rsid w:val="009E23C7"/>
    <w:rsid w:val="009E266B"/>
    <w:rsid w:val="009E26F2"/>
    <w:rsid w:val="009E2802"/>
    <w:rsid w:val="009E2811"/>
    <w:rsid w:val="009E297F"/>
    <w:rsid w:val="009E35CB"/>
    <w:rsid w:val="009E3697"/>
    <w:rsid w:val="009E36E7"/>
    <w:rsid w:val="009E3C3A"/>
    <w:rsid w:val="009E3F68"/>
    <w:rsid w:val="009E42BE"/>
    <w:rsid w:val="009E44D1"/>
    <w:rsid w:val="009E4764"/>
    <w:rsid w:val="009E4D43"/>
    <w:rsid w:val="009E4F92"/>
    <w:rsid w:val="009E4FA6"/>
    <w:rsid w:val="009E54A5"/>
    <w:rsid w:val="009E56DF"/>
    <w:rsid w:val="009E603F"/>
    <w:rsid w:val="009E6175"/>
    <w:rsid w:val="009E61A9"/>
    <w:rsid w:val="009E6249"/>
    <w:rsid w:val="009E6790"/>
    <w:rsid w:val="009E67E9"/>
    <w:rsid w:val="009E6DF2"/>
    <w:rsid w:val="009E7729"/>
    <w:rsid w:val="009E7D00"/>
    <w:rsid w:val="009E7D93"/>
    <w:rsid w:val="009E7E05"/>
    <w:rsid w:val="009E7F46"/>
    <w:rsid w:val="009F1716"/>
    <w:rsid w:val="009F17FC"/>
    <w:rsid w:val="009F19B4"/>
    <w:rsid w:val="009F1BA4"/>
    <w:rsid w:val="009F2703"/>
    <w:rsid w:val="009F2BED"/>
    <w:rsid w:val="009F2D4F"/>
    <w:rsid w:val="009F360C"/>
    <w:rsid w:val="009F3982"/>
    <w:rsid w:val="009F3B00"/>
    <w:rsid w:val="009F3C34"/>
    <w:rsid w:val="009F4100"/>
    <w:rsid w:val="009F462C"/>
    <w:rsid w:val="009F4869"/>
    <w:rsid w:val="009F489D"/>
    <w:rsid w:val="009F4FBA"/>
    <w:rsid w:val="009F5C33"/>
    <w:rsid w:val="009F62C4"/>
    <w:rsid w:val="009F67D1"/>
    <w:rsid w:val="009F685C"/>
    <w:rsid w:val="009F6A19"/>
    <w:rsid w:val="009F6A99"/>
    <w:rsid w:val="009F6B27"/>
    <w:rsid w:val="009F6CF7"/>
    <w:rsid w:val="009F6DF9"/>
    <w:rsid w:val="009F6FCD"/>
    <w:rsid w:val="009F7AB6"/>
    <w:rsid w:val="009F7B88"/>
    <w:rsid w:val="009F7CD4"/>
    <w:rsid w:val="009F7E3D"/>
    <w:rsid w:val="009F7E91"/>
    <w:rsid w:val="009F7EC6"/>
    <w:rsid w:val="00A0098E"/>
    <w:rsid w:val="00A00AA6"/>
    <w:rsid w:val="00A0130B"/>
    <w:rsid w:val="00A0132C"/>
    <w:rsid w:val="00A015AD"/>
    <w:rsid w:val="00A01660"/>
    <w:rsid w:val="00A018FA"/>
    <w:rsid w:val="00A01945"/>
    <w:rsid w:val="00A01D03"/>
    <w:rsid w:val="00A0219A"/>
    <w:rsid w:val="00A02292"/>
    <w:rsid w:val="00A02401"/>
    <w:rsid w:val="00A026F0"/>
    <w:rsid w:val="00A03060"/>
    <w:rsid w:val="00A03164"/>
    <w:rsid w:val="00A0349D"/>
    <w:rsid w:val="00A034DB"/>
    <w:rsid w:val="00A03AD7"/>
    <w:rsid w:val="00A03EAC"/>
    <w:rsid w:val="00A04592"/>
    <w:rsid w:val="00A046A7"/>
    <w:rsid w:val="00A0491C"/>
    <w:rsid w:val="00A04A50"/>
    <w:rsid w:val="00A04DAF"/>
    <w:rsid w:val="00A04DBB"/>
    <w:rsid w:val="00A04E1C"/>
    <w:rsid w:val="00A054F8"/>
    <w:rsid w:val="00A055BD"/>
    <w:rsid w:val="00A055D2"/>
    <w:rsid w:val="00A05DB9"/>
    <w:rsid w:val="00A0611A"/>
    <w:rsid w:val="00A068B6"/>
    <w:rsid w:val="00A0692B"/>
    <w:rsid w:val="00A06C61"/>
    <w:rsid w:val="00A06D21"/>
    <w:rsid w:val="00A06E91"/>
    <w:rsid w:val="00A06EFA"/>
    <w:rsid w:val="00A07549"/>
    <w:rsid w:val="00A076F8"/>
    <w:rsid w:val="00A07A69"/>
    <w:rsid w:val="00A07CA4"/>
    <w:rsid w:val="00A07DC2"/>
    <w:rsid w:val="00A07EA0"/>
    <w:rsid w:val="00A07FF6"/>
    <w:rsid w:val="00A1015C"/>
    <w:rsid w:val="00A10162"/>
    <w:rsid w:val="00A10563"/>
    <w:rsid w:val="00A10989"/>
    <w:rsid w:val="00A10EFB"/>
    <w:rsid w:val="00A10F81"/>
    <w:rsid w:val="00A11863"/>
    <w:rsid w:val="00A1190A"/>
    <w:rsid w:val="00A11AE6"/>
    <w:rsid w:val="00A11CA6"/>
    <w:rsid w:val="00A11DE9"/>
    <w:rsid w:val="00A11FA7"/>
    <w:rsid w:val="00A12062"/>
    <w:rsid w:val="00A124B9"/>
    <w:rsid w:val="00A129CE"/>
    <w:rsid w:val="00A129E2"/>
    <w:rsid w:val="00A12F05"/>
    <w:rsid w:val="00A13255"/>
    <w:rsid w:val="00A13D16"/>
    <w:rsid w:val="00A1442F"/>
    <w:rsid w:val="00A14447"/>
    <w:rsid w:val="00A1485D"/>
    <w:rsid w:val="00A14885"/>
    <w:rsid w:val="00A14E96"/>
    <w:rsid w:val="00A14F4D"/>
    <w:rsid w:val="00A153D2"/>
    <w:rsid w:val="00A1584C"/>
    <w:rsid w:val="00A15B44"/>
    <w:rsid w:val="00A15C89"/>
    <w:rsid w:val="00A16384"/>
    <w:rsid w:val="00A16843"/>
    <w:rsid w:val="00A175DF"/>
    <w:rsid w:val="00A20481"/>
    <w:rsid w:val="00A20C49"/>
    <w:rsid w:val="00A212FE"/>
    <w:rsid w:val="00A21A79"/>
    <w:rsid w:val="00A21ABE"/>
    <w:rsid w:val="00A21CFB"/>
    <w:rsid w:val="00A21E36"/>
    <w:rsid w:val="00A225BD"/>
    <w:rsid w:val="00A22853"/>
    <w:rsid w:val="00A22932"/>
    <w:rsid w:val="00A22D4E"/>
    <w:rsid w:val="00A2332B"/>
    <w:rsid w:val="00A2349B"/>
    <w:rsid w:val="00A23D40"/>
    <w:rsid w:val="00A24025"/>
    <w:rsid w:val="00A2411B"/>
    <w:rsid w:val="00A24334"/>
    <w:rsid w:val="00A243E9"/>
    <w:rsid w:val="00A24744"/>
    <w:rsid w:val="00A2541F"/>
    <w:rsid w:val="00A256CF"/>
    <w:rsid w:val="00A26808"/>
    <w:rsid w:val="00A269CA"/>
    <w:rsid w:val="00A26C41"/>
    <w:rsid w:val="00A26C9A"/>
    <w:rsid w:val="00A2703E"/>
    <w:rsid w:val="00A2771E"/>
    <w:rsid w:val="00A27C30"/>
    <w:rsid w:val="00A27DCE"/>
    <w:rsid w:val="00A30116"/>
    <w:rsid w:val="00A312EC"/>
    <w:rsid w:val="00A31624"/>
    <w:rsid w:val="00A316B5"/>
    <w:rsid w:val="00A31821"/>
    <w:rsid w:val="00A31B30"/>
    <w:rsid w:val="00A31FEE"/>
    <w:rsid w:val="00A32F13"/>
    <w:rsid w:val="00A32F40"/>
    <w:rsid w:val="00A336EE"/>
    <w:rsid w:val="00A33CBC"/>
    <w:rsid w:val="00A33F38"/>
    <w:rsid w:val="00A33F46"/>
    <w:rsid w:val="00A34245"/>
    <w:rsid w:val="00A3427E"/>
    <w:rsid w:val="00A349A3"/>
    <w:rsid w:val="00A34AC3"/>
    <w:rsid w:val="00A34CBE"/>
    <w:rsid w:val="00A35310"/>
    <w:rsid w:val="00A35340"/>
    <w:rsid w:val="00A35636"/>
    <w:rsid w:val="00A3593D"/>
    <w:rsid w:val="00A359AC"/>
    <w:rsid w:val="00A35F7E"/>
    <w:rsid w:val="00A36653"/>
    <w:rsid w:val="00A3680F"/>
    <w:rsid w:val="00A37074"/>
    <w:rsid w:val="00A37347"/>
    <w:rsid w:val="00A37421"/>
    <w:rsid w:val="00A375B5"/>
    <w:rsid w:val="00A37A8B"/>
    <w:rsid w:val="00A37CF9"/>
    <w:rsid w:val="00A402A1"/>
    <w:rsid w:val="00A40554"/>
    <w:rsid w:val="00A407CF"/>
    <w:rsid w:val="00A40C5E"/>
    <w:rsid w:val="00A40F83"/>
    <w:rsid w:val="00A410FB"/>
    <w:rsid w:val="00A41228"/>
    <w:rsid w:val="00A41413"/>
    <w:rsid w:val="00A41D21"/>
    <w:rsid w:val="00A41E5A"/>
    <w:rsid w:val="00A4225E"/>
    <w:rsid w:val="00A423AC"/>
    <w:rsid w:val="00A423CE"/>
    <w:rsid w:val="00A42C55"/>
    <w:rsid w:val="00A431E6"/>
    <w:rsid w:val="00A436E8"/>
    <w:rsid w:val="00A43724"/>
    <w:rsid w:val="00A43A6D"/>
    <w:rsid w:val="00A43ACC"/>
    <w:rsid w:val="00A43C33"/>
    <w:rsid w:val="00A442C4"/>
    <w:rsid w:val="00A4444E"/>
    <w:rsid w:val="00A45046"/>
    <w:rsid w:val="00A451D2"/>
    <w:rsid w:val="00A453D9"/>
    <w:rsid w:val="00A45CC5"/>
    <w:rsid w:val="00A45D0C"/>
    <w:rsid w:val="00A45D12"/>
    <w:rsid w:val="00A45FB1"/>
    <w:rsid w:val="00A46271"/>
    <w:rsid w:val="00A46A0F"/>
    <w:rsid w:val="00A46CCC"/>
    <w:rsid w:val="00A46D42"/>
    <w:rsid w:val="00A475E2"/>
    <w:rsid w:val="00A47996"/>
    <w:rsid w:val="00A47AEA"/>
    <w:rsid w:val="00A47C09"/>
    <w:rsid w:val="00A503E2"/>
    <w:rsid w:val="00A50658"/>
    <w:rsid w:val="00A50ACD"/>
    <w:rsid w:val="00A50B78"/>
    <w:rsid w:val="00A50D94"/>
    <w:rsid w:val="00A50E79"/>
    <w:rsid w:val="00A51224"/>
    <w:rsid w:val="00A51CFE"/>
    <w:rsid w:val="00A51FEA"/>
    <w:rsid w:val="00A5204D"/>
    <w:rsid w:val="00A52175"/>
    <w:rsid w:val="00A52233"/>
    <w:rsid w:val="00A52354"/>
    <w:rsid w:val="00A52B82"/>
    <w:rsid w:val="00A53767"/>
    <w:rsid w:val="00A538BD"/>
    <w:rsid w:val="00A53A03"/>
    <w:rsid w:val="00A53AC6"/>
    <w:rsid w:val="00A54210"/>
    <w:rsid w:val="00A54690"/>
    <w:rsid w:val="00A5471B"/>
    <w:rsid w:val="00A54B36"/>
    <w:rsid w:val="00A54C8B"/>
    <w:rsid w:val="00A54C97"/>
    <w:rsid w:val="00A54ED9"/>
    <w:rsid w:val="00A55002"/>
    <w:rsid w:val="00A551D9"/>
    <w:rsid w:val="00A55451"/>
    <w:rsid w:val="00A559CC"/>
    <w:rsid w:val="00A55B1A"/>
    <w:rsid w:val="00A5604A"/>
    <w:rsid w:val="00A568C0"/>
    <w:rsid w:val="00A56E77"/>
    <w:rsid w:val="00A57150"/>
    <w:rsid w:val="00A57D0B"/>
    <w:rsid w:val="00A57F39"/>
    <w:rsid w:val="00A6005C"/>
    <w:rsid w:val="00A6039D"/>
    <w:rsid w:val="00A6049B"/>
    <w:rsid w:val="00A60613"/>
    <w:rsid w:val="00A607F3"/>
    <w:rsid w:val="00A608D4"/>
    <w:rsid w:val="00A61069"/>
    <w:rsid w:val="00A6131E"/>
    <w:rsid w:val="00A6146C"/>
    <w:rsid w:val="00A615BC"/>
    <w:rsid w:val="00A61605"/>
    <w:rsid w:val="00A61A4A"/>
    <w:rsid w:val="00A629B1"/>
    <w:rsid w:val="00A62BF5"/>
    <w:rsid w:val="00A62F2D"/>
    <w:rsid w:val="00A630AB"/>
    <w:rsid w:val="00A630AF"/>
    <w:rsid w:val="00A631A0"/>
    <w:rsid w:val="00A633AF"/>
    <w:rsid w:val="00A638D6"/>
    <w:rsid w:val="00A639ED"/>
    <w:rsid w:val="00A63CD1"/>
    <w:rsid w:val="00A63F75"/>
    <w:rsid w:val="00A641F5"/>
    <w:rsid w:val="00A6496E"/>
    <w:rsid w:val="00A64D5A"/>
    <w:rsid w:val="00A650E8"/>
    <w:rsid w:val="00A65189"/>
    <w:rsid w:val="00A652C2"/>
    <w:rsid w:val="00A65D48"/>
    <w:rsid w:val="00A65E18"/>
    <w:rsid w:val="00A65E56"/>
    <w:rsid w:val="00A65F97"/>
    <w:rsid w:val="00A6601F"/>
    <w:rsid w:val="00A66400"/>
    <w:rsid w:val="00A6665A"/>
    <w:rsid w:val="00A6686F"/>
    <w:rsid w:val="00A66C69"/>
    <w:rsid w:val="00A66CA7"/>
    <w:rsid w:val="00A66FA0"/>
    <w:rsid w:val="00A673E9"/>
    <w:rsid w:val="00A6760D"/>
    <w:rsid w:val="00A67A52"/>
    <w:rsid w:val="00A67C35"/>
    <w:rsid w:val="00A703F9"/>
    <w:rsid w:val="00A7055F"/>
    <w:rsid w:val="00A70F54"/>
    <w:rsid w:val="00A711D2"/>
    <w:rsid w:val="00A71241"/>
    <w:rsid w:val="00A7167B"/>
    <w:rsid w:val="00A721D1"/>
    <w:rsid w:val="00A723F2"/>
    <w:rsid w:val="00A72903"/>
    <w:rsid w:val="00A731F6"/>
    <w:rsid w:val="00A734F5"/>
    <w:rsid w:val="00A738A5"/>
    <w:rsid w:val="00A7399D"/>
    <w:rsid w:val="00A73B04"/>
    <w:rsid w:val="00A73E53"/>
    <w:rsid w:val="00A74D6D"/>
    <w:rsid w:val="00A74FDD"/>
    <w:rsid w:val="00A752E1"/>
    <w:rsid w:val="00A75761"/>
    <w:rsid w:val="00A759C6"/>
    <w:rsid w:val="00A75AB4"/>
    <w:rsid w:val="00A75CD2"/>
    <w:rsid w:val="00A75DAA"/>
    <w:rsid w:val="00A76AED"/>
    <w:rsid w:val="00A76C13"/>
    <w:rsid w:val="00A76C8E"/>
    <w:rsid w:val="00A76D13"/>
    <w:rsid w:val="00A76D30"/>
    <w:rsid w:val="00A77884"/>
    <w:rsid w:val="00A7791E"/>
    <w:rsid w:val="00A77F48"/>
    <w:rsid w:val="00A77FB1"/>
    <w:rsid w:val="00A80A40"/>
    <w:rsid w:val="00A80FD5"/>
    <w:rsid w:val="00A817FD"/>
    <w:rsid w:val="00A819D1"/>
    <w:rsid w:val="00A81A93"/>
    <w:rsid w:val="00A81D2C"/>
    <w:rsid w:val="00A820F7"/>
    <w:rsid w:val="00A824EB"/>
    <w:rsid w:val="00A82617"/>
    <w:rsid w:val="00A82CF4"/>
    <w:rsid w:val="00A82EE3"/>
    <w:rsid w:val="00A83170"/>
    <w:rsid w:val="00A833E2"/>
    <w:rsid w:val="00A83B87"/>
    <w:rsid w:val="00A83D92"/>
    <w:rsid w:val="00A83F6F"/>
    <w:rsid w:val="00A84366"/>
    <w:rsid w:val="00A8489F"/>
    <w:rsid w:val="00A84C7F"/>
    <w:rsid w:val="00A84FD0"/>
    <w:rsid w:val="00A85239"/>
    <w:rsid w:val="00A8540B"/>
    <w:rsid w:val="00A8587F"/>
    <w:rsid w:val="00A8599A"/>
    <w:rsid w:val="00A86082"/>
    <w:rsid w:val="00A867E9"/>
    <w:rsid w:val="00A867FC"/>
    <w:rsid w:val="00A8687E"/>
    <w:rsid w:val="00A869B3"/>
    <w:rsid w:val="00A86F1A"/>
    <w:rsid w:val="00A86FD1"/>
    <w:rsid w:val="00A8737D"/>
    <w:rsid w:val="00A87BA9"/>
    <w:rsid w:val="00A904D4"/>
    <w:rsid w:val="00A907BD"/>
    <w:rsid w:val="00A90966"/>
    <w:rsid w:val="00A90A36"/>
    <w:rsid w:val="00A90AF3"/>
    <w:rsid w:val="00A90B13"/>
    <w:rsid w:val="00A90B87"/>
    <w:rsid w:val="00A91446"/>
    <w:rsid w:val="00A91607"/>
    <w:rsid w:val="00A9197B"/>
    <w:rsid w:val="00A91D80"/>
    <w:rsid w:val="00A91F1B"/>
    <w:rsid w:val="00A9204F"/>
    <w:rsid w:val="00A9251D"/>
    <w:rsid w:val="00A926A2"/>
    <w:rsid w:val="00A92A37"/>
    <w:rsid w:val="00A92BAD"/>
    <w:rsid w:val="00A92DC3"/>
    <w:rsid w:val="00A92DF2"/>
    <w:rsid w:val="00A92E56"/>
    <w:rsid w:val="00A92E79"/>
    <w:rsid w:val="00A93453"/>
    <w:rsid w:val="00A93750"/>
    <w:rsid w:val="00A939FB"/>
    <w:rsid w:val="00A945E3"/>
    <w:rsid w:val="00A94A35"/>
    <w:rsid w:val="00A950B6"/>
    <w:rsid w:val="00A95260"/>
    <w:rsid w:val="00A953FE"/>
    <w:rsid w:val="00A95737"/>
    <w:rsid w:val="00A95D45"/>
    <w:rsid w:val="00A95E8D"/>
    <w:rsid w:val="00A95ED4"/>
    <w:rsid w:val="00A9607A"/>
    <w:rsid w:val="00A960BD"/>
    <w:rsid w:val="00A962F5"/>
    <w:rsid w:val="00A967A8"/>
    <w:rsid w:val="00A96ED3"/>
    <w:rsid w:val="00A96EF3"/>
    <w:rsid w:val="00A9701F"/>
    <w:rsid w:val="00A9746C"/>
    <w:rsid w:val="00A978B9"/>
    <w:rsid w:val="00A9795A"/>
    <w:rsid w:val="00A97C70"/>
    <w:rsid w:val="00A97CAA"/>
    <w:rsid w:val="00A97F7E"/>
    <w:rsid w:val="00AA0337"/>
    <w:rsid w:val="00AA081E"/>
    <w:rsid w:val="00AA0AC7"/>
    <w:rsid w:val="00AA125F"/>
    <w:rsid w:val="00AA1C6A"/>
    <w:rsid w:val="00AA1D18"/>
    <w:rsid w:val="00AA203E"/>
    <w:rsid w:val="00AA314E"/>
    <w:rsid w:val="00AA3224"/>
    <w:rsid w:val="00AA36EF"/>
    <w:rsid w:val="00AA3863"/>
    <w:rsid w:val="00AA3AC0"/>
    <w:rsid w:val="00AA3C99"/>
    <w:rsid w:val="00AA3DC7"/>
    <w:rsid w:val="00AA3E62"/>
    <w:rsid w:val="00AA3EA8"/>
    <w:rsid w:val="00AA3FCE"/>
    <w:rsid w:val="00AA4403"/>
    <w:rsid w:val="00AA48ED"/>
    <w:rsid w:val="00AA4969"/>
    <w:rsid w:val="00AA515B"/>
    <w:rsid w:val="00AA5410"/>
    <w:rsid w:val="00AA55EE"/>
    <w:rsid w:val="00AA5C1D"/>
    <w:rsid w:val="00AA5D5F"/>
    <w:rsid w:val="00AA5F36"/>
    <w:rsid w:val="00AA69C8"/>
    <w:rsid w:val="00AA6AE7"/>
    <w:rsid w:val="00AA6AEC"/>
    <w:rsid w:val="00AA6CF0"/>
    <w:rsid w:val="00AA7388"/>
    <w:rsid w:val="00AA7485"/>
    <w:rsid w:val="00AA7835"/>
    <w:rsid w:val="00AA796E"/>
    <w:rsid w:val="00AA7DE1"/>
    <w:rsid w:val="00AA7F96"/>
    <w:rsid w:val="00AB02D2"/>
    <w:rsid w:val="00AB074C"/>
    <w:rsid w:val="00AB07A7"/>
    <w:rsid w:val="00AB1097"/>
    <w:rsid w:val="00AB10B9"/>
    <w:rsid w:val="00AB13E4"/>
    <w:rsid w:val="00AB16B5"/>
    <w:rsid w:val="00AB208F"/>
    <w:rsid w:val="00AB24FD"/>
    <w:rsid w:val="00AB2CD5"/>
    <w:rsid w:val="00AB2D5C"/>
    <w:rsid w:val="00AB30A3"/>
    <w:rsid w:val="00AB343C"/>
    <w:rsid w:val="00AB353A"/>
    <w:rsid w:val="00AB3A02"/>
    <w:rsid w:val="00AB3B17"/>
    <w:rsid w:val="00AB3CBD"/>
    <w:rsid w:val="00AB409F"/>
    <w:rsid w:val="00AB41C1"/>
    <w:rsid w:val="00AB462F"/>
    <w:rsid w:val="00AB471B"/>
    <w:rsid w:val="00AB4B4D"/>
    <w:rsid w:val="00AB4CB6"/>
    <w:rsid w:val="00AB4CF2"/>
    <w:rsid w:val="00AB4DA1"/>
    <w:rsid w:val="00AB5376"/>
    <w:rsid w:val="00AB5947"/>
    <w:rsid w:val="00AB6816"/>
    <w:rsid w:val="00AB69A8"/>
    <w:rsid w:val="00AB6CCA"/>
    <w:rsid w:val="00AB73E0"/>
    <w:rsid w:val="00AB752F"/>
    <w:rsid w:val="00AB7740"/>
    <w:rsid w:val="00AB7C32"/>
    <w:rsid w:val="00AC008E"/>
    <w:rsid w:val="00AC0149"/>
    <w:rsid w:val="00AC0466"/>
    <w:rsid w:val="00AC04F1"/>
    <w:rsid w:val="00AC07FF"/>
    <w:rsid w:val="00AC08C5"/>
    <w:rsid w:val="00AC0F7D"/>
    <w:rsid w:val="00AC1015"/>
    <w:rsid w:val="00AC14A2"/>
    <w:rsid w:val="00AC223F"/>
    <w:rsid w:val="00AC23EE"/>
    <w:rsid w:val="00AC2A66"/>
    <w:rsid w:val="00AC2E2D"/>
    <w:rsid w:val="00AC3104"/>
    <w:rsid w:val="00AC33B1"/>
    <w:rsid w:val="00AC3C54"/>
    <w:rsid w:val="00AC3F59"/>
    <w:rsid w:val="00AC45F1"/>
    <w:rsid w:val="00AC473C"/>
    <w:rsid w:val="00AC4889"/>
    <w:rsid w:val="00AC48CF"/>
    <w:rsid w:val="00AC58D3"/>
    <w:rsid w:val="00AC592D"/>
    <w:rsid w:val="00AC5E8D"/>
    <w:rsid w:val="00AC5F7E"/>
    <w:rsid w:val="00AC6021"/>
    <w:rsid w:val="00AC61EE"/>
    <w:rsid w:val="00AC66C0"/>
    <w:rsid w:val="00AC686A"/>
    <w:rsid w:val="00AC68F7"/>
    <w:rsid w:val="00AC77B8"/>
    <w:rsid w:val="00AC782C"/>
    <w:rsid w:val="00AC7916"/>
    <w:rsid w:val="00AD014E"/>
    <w:rsid w:val="00AD0DEB"/>
    <w:rsid w:val="00AD0F67"/>
    <w:rsid w:val="00AD12A8"/>
    <w:rsid w:val="00AD16D5"/>
    <w:rsid w:val="00AD174E"/>
    <w:rsid w:val="00AD1B16"/>
    <w:rsid w:val="00AD1D9A"/>
    <w:rsid w:val="00AD1D9F"/>
    <w:rsid w:val="00AD20EE"/>
    <w:rsid w:val="00AD22AD"/>
    <w:rsid w:val="00AD24E3"/>
    <w:rsid w:val="00AD290D"/>
    <w:rsid w:val="00AD2F7C"/>
    <w:rsid w:val="00AD315E"/>
    <w:rsid w:val="00AD37E0"/>
    <w:rsid w:val="00AD3903"/>
    <w:rsid w:val="00AD427E"/>
    <w:rsid w:val="00AD630F"/>
    <w:rsid w:val="00AD6F36"/>
    <w:rsid w:val="00AD705C"/>
    <w:rsid w:val="00AD7303"/>
    <w:rsid w:val="00AD73F6"/>
    <w:rsid w:val="00AD782E"/>
    <w:rsid w:val="00AD79CB"/>
    <w:rsid w:val="00AD7A7D"/>
    <w:rsid w:val="00AE023F"/>
    <w:rsid w:val="00AE05A0"/>
    <w:rsid w:val="00AE08AC"/>
    <w:rsid w:val="00AE09CA"/>
    <w:rsid w:val="00AE1125"/>
    <w:rsid w:val="00AE11B6"/>
    <w:rsid w:val="00AE1207"/>
    <w:rsid w:val="00AE1317"/>
    <w:rsid w:val="00AE24FB"/>
    <w:rsid w:val="00AE25A3"/>
    <w:rsid w:val="00AE2AE3"/>
    <w:rsid w:val="00AE2FB2"/>
    <w:rsid w:val="00AE3286"/>
    <w:rsid w:val="00AE35AE"/>
    <w:rsid w:val="00AE4151"/>
    <w:rsid w:val="00AE49FC"/>
    <w:rsid w:val="00AE4AF8"/>
    <w:rsid w:val="00AE4D11"/>
    <w:rsid w:val="00AE53B8"/>
    <w:rsid w:val="00AE56D1"/>
    <w:rsid w:val="00AE5D32"/>
    <w:rsid w:val="00AE65A0"/>
    <w:rsid w:val="00AE6B8E"/>
    <w:rsid w:val="00AE70D7"/>
    <w:rsid w:val="00AE7D88"/>
    <w:rsid w:val="00AE7F6D"/>
    <w:rsid w:val="00AF0318"/>
    <w:rsid w:val="00AF0482"/>
    <w:rsid w:val="00AF053F"/>
    <w:rsid w:val="00AF0A67"/>
    <w:rsid w:val="00AF0CFC"/>
    <w:rsid w:val="00AF171D"/>
    <w:rsid w:val="00AF18D0"/>
    <w:rsid w:val="00AF1B29"/>
    <w:rsid w:val="00AF2700"/>
    <w:rsid w:val="00AF2829"/>
    <w:rsid w:val="00AF292A"/>
    <w:rsid w:val="00AF2AA6"/>
    <w:rsid w:val="00AF2BFE"/>
    <w:rsid w:val="00AF2C2C"/>
    <w:rsid w:val="00AF3097"/>
    <w:rsid w:val="00AF3577"/>
    <w:rsid w:val="00AF35F9"/>
    <w:rsid w:val="00AF4AA8"/>
    <w:rsid w:val="00AF4B33"/>
    <w:rsid w:val="00AF4BE1"/>
    <w:rsid w:val="00AF5D0B"/>
    <w:rsid w:val="00AF61E5"/>
    <w:rsid w:val="00AF6425"/>
    <w:rsid w:val="00AF657A"/>
    <w:rsid w:val="00AF6600"/>
    <w:rsid w:val="00AF69BC"/>
    <w:rsid w:val="00AF6C45"/>
    <w:rsid w:val="00AF7307"/>
    <w:rsid w:val="00AF7673"/>
    <w:rsid w:val="00AF7CC2"/>
    <w:rsid w:val="00B004CB"/>
    <w:rsid w:val="00B007FC"/>
    <w:rsid w:val="00B008B3"/>
    <w:rsid w:val="00B00DEB"/>
    <w:rsid w:val="00B0184A"/>
    <w:rsid w:val="00B01BD7"/>
    <w:rsid w:val="00B01C44"/>
    <w:rsid w:val="00B0262C"/>
    <w:rsid w:val="00B02CB9"/>
    <w:rsid w:val="00B03654"/>
    <w:rsid w:val="00B0424C"/>
    <w:rsid w:val="00B04551"/>
    <w:rsid w:val="00B0485C"/>
    <w:rsid w:val="00B056F2"/>
    <w:rsid w:val="00B05710"/>
    <w:rsid w:val="00B05BD6"/>
    <w:rsid w:val="00B05C7D"/>
    <w:rsid w:val="00B05F84"/>
    <w:rsid w:val="00B065EC"/>
    <w:rsid w:val="00B07623"/>
    <w:rsid w:val="00B07C8F"/>
    <w:rsid w:val="00B100D6"/>
    <w:rsid w:val="00B10286"/>
    <w:rsid w:val="00B10351"/>
    <w:rsid w:val="00B10BDF"/>
    <w:rsid w:val="00B10F18"/>
    <w:rsid w:val="00B12314"/>
    <w:rsid w:val="00B12470"/>
    <w:rsid w:val="00B12A7B"/>
    <w:rsid w:val="00B12D0C"/>
    <w:rsid w:val="00B1313D"/>
    <w:rsid w:val="00B1328A"/>
    <w:rsid w:val="00B133D6"/>
    <w:rsid w:val="00B1371A"/>
    <w:rsid w:val="00B1408E"/>
    <w:rsid w:val="00B14D03"/>
    <w:rsid w:val="00B15072"/>
    <w:rsid w:val="00B1543A"/>
    <w:rsid w:val="00B15BB4"/>
    <w:rsid w:val="00B15D57"/>
    <w:rsid w:val="00B16347"/>
    <w:rsid w:val="00B1662A"/>
    <w:rsid w:val="00B167F4"/>
    <w:rsid w:val="00B16A3E"/>
    <w:rsid w:val="00B16C51"/>
    <w:rsid w:val="00B16FE2"/>
    <w:rsid w:val="00B17409"/>
    <w:rsid w:val="00B17460"/>
    <w:rsid w:val="00B175E6"/>
    <w:rsid w:val="00B17710"/>
    <w:rsid w:val="00B1775A"/>
    <w:rsid w:val="00B17CF3"/>
    <w:rsid w:val="00B17D6E"/>
    <w:rsid w:val="00B201CA"/>
    <w:rsid w:val="00B20DDB"/>
    <w:rsid w:val="00B211D2"/>
    <w:rsid w:val="00B215AC"/>
    <w:rsid w:val="00B215CF"/>
    <w:rsid w:val="00B21AD6"/>
    <w:rsid w:val="00B21D70"/>
    <w:rsid w:val="00B21EBD"/>
    <w:rsid w:val="00B21FE8"/>
    <w:rsid w:val="00B23082"/>
    <w:rsid w:val="00B23155"/>
    <w:rsid w:val="00B23445"/>
    <w:rsid w:val="00B23ADF"/>
    <w:rsid w:val="00B23C2F"/>
    <w:rsid w:val="00B23D08"/>
    <w:rsid w:val="00B240C6"/>
    <w:rsid w:val="00B2435E"/>
    <w:rsid w:val="00B24981"/>
    <w:rsid w:val="00B251A4"/>
    <w:rsid w:val="00B254BC"/>
    <w:rsid w:val="00B25D54"/>
    <w:rsid w:val="00B25E3A"/>
    <w:rsid w:val="00B26375"/>
    <w:rsid w:val="00B269B5"/>
    <w:rsid w:val="00B27189"/>
    <w:rsid w:val="00B273CC"/>
    <w:rsid w:val="00B276EC"/>
    <w:rsid w:val="00B2770A"/>
    <w:rsid w:val="00B2783E"/>
    <w:rsid w:val="00B27BB9"/>
    <w:rsid w:val="00B27FC0"/>
    <w:rsid w:val="00B3012C"/>
    <w:rsid w:val="00B3033D"/>
    <w:rsid w:val="00B303F0"/>
    <w:rsid w:val="00B306B3"/>
    <w:rsid w:val="00B306C3"/>
    <w:rsid w:val="00B31069"/>
    <w:rsid w:val="00B31710"/>
    <w:rsid w:val="00B31814"/>
    <w:rsid w:val="00B32163"/>
    <w:rsid w:val="00B32218"/>
    <w:rsid w:val="00B324A5"/>
    <w:rsid w:val="00B32894"/>
    <w:rsid w:val="00B3356E"/>
    <w:rsid w:val="00B336BB"/>
    <w:rsid w:val="00B33F19"/>
    <w:rsid w:val="00B33FDC"/>
    <w:rsid w:val="00B34218"/>
    <w:rsid w:val="00B343D0"/>
    <w:rsid w:val="00B34517"/>
    <w:rsid w:val="00B345B5"/>
    <w:rsid w:val="00B346C3"/>
    <w:rsid w:val="00B34913"/>
    <w:rsid w:val="00B34920"/>
    <w:rsid w:val="00B34994"/>
    <w:rsid w:val="00B34D09"/>
    <w:rsid w:val="00B3558B"/>
    <w:rsid w:val="00B356C2"/>
    <w:rsid w:val="00B35744"/>
    <w:rsid w:val="00B3598C"/>
    <w:rsid w:val="00B35C1C"/>
    <w:rsid w:val="00B35C99"/>
    <w:rsid w:val="00B3615F"/>
    <w:rsid w:val="00B366E7"/>
    <w:rsid w:val="00B366ED"/>
    <w:rsid w:val="00B36A70"/>
    <w:rsid w:val="00B36C63"/>
    <w:rsid w:val="00B36D04"/>
    <w:rsid w:val="00B37EE3"/>
    <w:rsid w:val="00B4005C"/>
    <w:rsid w:val="00B40129"/>
    <w:rsid w:val="00B401A0"/>
    <w:rsid w:val="00B41495"/>
    <w:rsid w:val="00B415F9"/>
    <w:rsid w:val="00B41648"/>
    <w:rsid w:val="00B4182F"/>
    <w:rsid w:val="00B41B97"/>
    <w:rsid w:val="00B41CE2"/>
    <w:rsid w:val="00B41E1C"/>
    <w:rsid w:val="00B4227E"/>
    <w:rsid w:val="00B428D4"/>
    <w:rsid w:val="00B4450C"/>
    <w:rsid w:val="00B4471C"/>
    <w:rsid w:val="00B4499A"/>
    <w:rsid w:val="00B44D65"/>
    <w:rsid w:val="00B44F02"/>
    <w:rsid w:val="00B451A6"/>
    <w:rsid w:val="00B4540C"/>
    <w:rsid w:val="00B455C5"/>
    <w:rsid w:val="00B456E4"/>
    <w:rsid w:val="00B45F84"/>
    <w:rsid w:val="00B465F7"/>
    <w:rsid w:val="00B46651"/>
    <w:rsid w:val="00B46A64"/>
    <w:rsid w:val="00B46B10"/>
    <w:rsid w:val="00B46EAB"/>
    <w:rsid w:val="00B501AB"/>
    <w:rsid w:val="00B50755"/>
    <w:rsid w:val="00B507E8"/>
    <w:rsid w:val="00B50B43"/>
    <w:rsid w:val="00B50D42"/>
    <w:rsid w:val="00B50EF0"/>
    <w:rsid w:val="00B510AB"/>
    <w:rsid w:val="00B5274E"/>
    <w:rsid w:val="00B528DA"/>
    <w:rsid w:val="00B5292E"/>
    <w:rsid w:val="00B5344B"/>
    <w:rsid w:val="00B535D1"/>
    <w:rsid w:val="00B539B5"/>
    <w:rsid w:val="00B55227"/>
    <w:rsid w:val="00B553AD"/>
    <w:rsid w:val="00B554EB"/>
    <w:rsid w:val="00B55528"/>
    <w:rsid w:val="00B563E8"/>
    <w:rsid w:val="00B566BB"/>
    <w:rsid w:val="00B56D6E"/>
    <w:rsid w:val="00B5712F"/>
    <w:rsid w:val="00B5742B"/>
    <w:rsid w:val="00B57432"/>
    <w:rsid w:val="00B575B2"/>
    <w:rsid w:val="00B57DEC"/>
    <w:rsid w:val="00B60154"/>
    <w:rsid w:val="00B605C0"/>
    <w:rsid w:val="00B60EC6"/>
    <w:rsid w:val="00B61289"/>
    <w:rsid w:val="00B61D57"/>
    <w:rsid w:val="00B62032"/>
    <w:rsid w:val="00B622CF"/>
    <w:rsid w:val="00B6281E"/>
    <w:rsid w:val="00B6291B"/>
    <w:rsid w:val="00B62F37"/>
    <w:rsid w:val="00B62FBC"/>
    <w:rsid w:val="00B630C4"/>
    <w:rsid w:val="00B6341E"/>
    <w:rsid w:val="00B6391C"/>
    <w:rsid w:val="00B63A61"/>
    <w:rsid w:val="00B63F9E"/>
    <w:rsid w:val="00B64347"/>
    <w:rsid w:val="00B64986"/>
    <w:rsid w:val="00B64F7E"/>
    <w:rsid w:val="00B651E0"/>
    <w:rsid w:val="00B654D6"/>
    <w:rsid w:val="00B65B0E"/>
    <w:rsid w:val="00B65DC6"/>
    <w:rsid w:val="00B66212"/>
    <w:rsid w:val="00B663C6"/>
    <w:rsid w:val="00B66698"/>
    <w:rsid w:val="00B66D4D"/>
    <w:rsid w:val="00B66E45"/>
    <w:rsid w:val="00B66E60"/>
    <w:rsid w:val="00B677CF"/>
    <w:rsid w:val="00B67AC2"/>
    <w:rsid w:val="00B67C46"/>
    <w:rsid w:val="00B67F0C"/>
    <w:rsid w:val="00B67F80"/>
    <w:rsid w:val="00B70367"/>
    <w:rsid w:val="00B70660"/>
    <w:rsid w:val="00B70DBA"/>
    <w:rsid w:val="00B71639"/>
    <w:rsid w:val="00B71ABB"/>
    <w:rsid w:val="00B71CA9"/>
    <w:rsid w:val="00B722DE"/>
    <w:rsid w:val="00B73226"/>
    <w:rsid w:val="00B73EBD"/>
    <w:rsid w:val="00B745BF"/>
    <w:rsid w:val="00B74974"/>
    <w:rsid w:val="00B74D2B"/>
    <w:rsid w:val="00B751E3"/>
    <w:rsid w:val="00B755B2"/>
    <w:rsid w:val="00B75BA6"/>
    <w:rsid w:val="00B75BBD"/>
    <w:rsid w:val="00B75EC1"/>
    <w:rsid w:val="00B76729"/>
    <w:rsid w:val="00B769AF"/>
    <w:rsid w:val="00B76C44"/>
    <w:rsid w:val="00B76DDE"/>
    <w:rsid w:val="00B77172"/>
    <w:rsid w:val="00B7729C"/>
    <w:rsid w:val="00B77500"/>
    <w:rsid w:val="00B776A2"/>
    <w:rsid w:val="00B77E5A"/>
    <w:rsid w:val="00B80366"/>
    <w:rsid w:val="00B80404"/>
    <w:rsid w:val="00B80495"/>
    <w:rsid w:val="00B80623"/>
    <w:rsid w:val="00B80A37"/>
    <w:rsid w:val="00B810C7"/>
    <w:rsid w:val="00B8132E"/>
    <w:rsid w:val="00B8160F"/>
    <w:rsid w:val="00B8184A"/>
    <w:rsid w:val="00B818B3"/>
    <w:rsid w:val="00B82080"/>
    <w:rsid w:val="00B82283"/>
    <w:rsid w:val="00B8272D"/>
    <w:rsid w:val="00B82838"/>
    <w:rsid w:val="00B828D8"/>
    <w:rsid w:val="00B82A96"/>
    <w:rsid w:val="00B82C5E"/>
    <w:rsid w:val="00B82E37"/>
    <w:rsid w:val="00B82E85"/>
    <w:rsid w:val="00B82FB8"/>
    <w:rsid w:val="00B8363C"/>
    <w:rsid w:val="00B837C0"/>
    <w:rsid w:val="00B83F87"/>
    <w:rsid w:val="00B844A5"/>
    <w:rsid w:val="00B84634"/>
    <w:rsid w:val="00B85033"/>
    <w:rsid w:val="00B85200"/>
    <w:rsid w:val="00B857F8"/>
    <w:rsid w:val="00B860A8"/>
    <w:rsid w:val="00B86919"/>
    <w:rsid w:val="00B87106"/>
    <w:rsid w:val="00B879DC"/>
    <w:rsid w:val="00B87CDC"/>
    <w:rsid w:val="00B90661"/>
    <w:rsid w:val="00B90668"/>
    <w:rsid w:val="00B910C1"/>
    <w:rsid w:val="00B911FC"/>
    <w:rsid w:val="00B912A9"/>
    <w:rsid w:val="00B91689"/>
    <w:rsid w:val="00B93982"/>
    <w:rsid w:val="00B940B2"/>
    <w:rsid w:val="00B9411B"/>
    <w:rsid w:val="00B94394"/>
    <w:rsid w:val="00B94B5A"/>
    <w:rsid w:val="00B94D2D"/>
    <w:rsid w:val="00B94E35"/>
    <w:rsid w:val="00B955CE"/>
    <w:rsid w:val="00B95C10"/>
    <w:rsid w:val="00B95C4E"/>
    <w:rsid w:val="00B95CB0"/>
    <w:rsid w:val="00B95DF9"/>
    <w:rsid w:val="00B962D7"/>
    <w:rsid w:val="00B963B3"/>
    <w:rsid w:val="00B965EF"/>
    <w:rsid w:val="00B966BA"/>
    <w:rsid w:val="00B96AF1"/>
    <w:rsid w:val="00B96B8B"/>
    <w:rsid w:val="00B96BF4"/>
    <w:rsid w:val="00B96C12"/>
    <w:rsid w:val="00B96ECA"/>
    <w:rsid w:val="00B97054"/>
    <w:rsid w:val="00B97341"/>
    <w:rsid w:val="00B97D27"/>
    <w:rsid w:val="00B97E33"/>
    <w:rsid w:val="00BA0383"/>
    <w:rsid w:val="00BA0B0B"/>
    <w:rsid w:val="00BA0BFF"/>
    <w:rsid w:val="00BA0C24"/>
    <w:rsid w:val="00BA0C41"/>
    <w:rsid w:val="00BA13AD"/>
    <w:rsid w:val="00BA1623"/>
    <w:rsid w:val="00BA187E"/>
    <w:rsid w:val="00BA1A74"/>
    <w:rsid w:val="00BA1B7B"/>
    <w:rsid w:val="00BA1EBF"/>
    <w:rsid w:val="00BA2B8A"/>
    <w:rsid w:val="00BA2CA4"/>
    <w:rsid w:val="00BA2EFA"/>
    <w:rsid w:val="00BA2F7B"/>
    <w:rsid w:val="00BA33C9"/>
    <w:rsid w:val="00BA3969"/>
    <w:rsid w:val="00BA3B0B"/>
    <w:rsid w:val="00BA3DBC"/>
    <w:rsid w:val="00BA3F35"/>
    <w:rsid w:val="00BA4050"/>
    <w:rsid w:val="00BA4232"/>
    <w:rsid w:val="00BA4406"/>
    <w:rsid w:val="00BA45E9"/>
    <w:rsid w:val="00BA5593"/>
    <w:rsid w:val="00BA5882"/>
    <w:rsid w:val="00BA6397"/>
    <w:rsid w:val="00BA6779"/>
    <w:rsid w:val="00BA707A"/>
    <w:rsid w:val="00BA77C3"/>
    <w:rsid w:val="00BA7B07"/>
    <w:rsid w:val="00BB0584"/>
    <w:rsid w:val="00BB0889"/>
    <w:rsid w:val="00BB1356"/>
    <w:rsid w:val="00BB139D"/>
    <w:rsid w:val="00BB140F"/>
    <w:rsid w:val="00BB1AD5"/>
    <w:rsid w:val="00BB1AFB"/>
    <w:rsid w:val="00BB1D9F"/>
    <w:rsid w:val="00BB1DA0"/>
    <w:rsid w:val="00BB25DF"/>
    <w:rsid w:val="00BB2607"/>
    <w:rsid w:val="00BB27AE"/>
    <w:rsid w:val="00BB2A23"/>
    <w:rsid w:val="00BB2BD4"/>
    <w:rsid w:val="00BB2DA2"/>
    <w:rsid w:val="00BB3C6D"/>
    <w:rsid w:val="00BB3D6B"/>
    <w:rsid w:val="00BB3D88"/>
    <w:rsid w:val="00BB3E12"/>
    <w:rsid w:val="00BB4819"/>
    <w:rsid w:val="00BB4B4D"/>
    <w:rsid w:val="00BB4C27"/>
    <w:rsid w:val="00BB56DC"/>
    <w:rsid w:val="00BB612D"/>
    <w:rsid w:val="00BB6621"/>
    <w:rsid w:val="00BB6CEF"/>
    <w:rsid w:val="00BB6EEA"/>
    <w:rsid w:val="00BB7125"/>
    <w:rsid w:val="00BB76B0"/>
    <w:rsid w:val="00BB76F4"/>
    <w:rsid w:val="00BB7C0E"/>
    <w:rsid w:val="00BB7E89"/>
    <w:rsid w:val="00BC08A7"/>
    <w:rsid w:val="00BC0AC8"/>
    <w:rsid w:val="00BC0B9A"/>
    <w:rsid w:val="00BC0CA6"/>
    <w:rsid w:val="00BC0F51"/>
    <w:rsid w:val="00BC105F"/>
    <w:rsid w:val="00BC118A"/>
    <w:rsid w:val="00BC1227"/>
    <w:rsid w:val="00BC12A7"/>
    <w:rsid w:val="00BC135A"/>
    <w:rsid w:val="00BC1583"/>
    <w:rsid w:val="00BC1689"/>
    <w:rsid w:val="00BC2BB1"/>
    <w:rsid w:val="00BC2F36"/>
    <w:rsid w:val="00BC3520"/>
    <w:rsid w:val="00BC3812"/>
    <w:rsid w:val="00BC3916"/>
    <w:rsid w:val="00BC4C8E"/>
    <w:rsid w:val="00BC59FD"/>
    <w:rsid w:val="00BC5A7D"/>
    <w:rsid w:val="00BC605D"/>
    <w:rsid w:val="00BC6335"/>
    <w:rsid w:val="00BC6D1D"/>
    <w:rsid w:val="00BC6D89"/>
    <w:rsid w:val="00BC7C3E"/>
    <w:rsid w:val="00BC7CA2"/>
    <w:rsid w:val="00BC7EB1"/>
    <w:rsid w:val="00BC7ECC"/>
    <w:rsid w:val="00BD1387"/>
    <w:rsid w:val="00BD15B8"/>
    <w:rsid w:val="00BD1701"/>
    <w:rsid w:val="00BD21CB"/>
    <w:rsid w:val="00BD24CA"/>
    <w:rsid w:val="00BD2505"/>
    <w:rsid w:val="00BD25AD"/>
    <w:rsid w:val="00BD2745"/>
    <w:rsid w:val="00BD29B1"/>
    <w:rsid w:val="00BD2BFD"/>
    <w:rsid w:val="00BD2DCC"/>
    <w:rsid w:val="00BD3189"/>
    <w:rsid w:val="00BD3374"/>
    <w:rsid w:val="00BD346D"/>
    <w:rsid w:val="00BD34D0"/>
    <w:rsid w:val="00BD3A2C"/>
    <w:rsid w:val="00BD4AEB"/>
    <w:rsid w:val="00BD5480"/>
    <w:rsid w:val="00BD57A9"/>
    <w:rsid w:val="00BD58CA"/>
    <w:rsid w:val="00BD5917"/>
    <w:rsid w:val="00BD5C76"/>
    <w:rsid w:val="00BD6168"/>
    <w:rsid w:val="00BD6374"/>
    <w:rsid w:val="00BD63DB"/>
    <w:rsid w:val="00BD6426"/>
    <w:rsid w:val="00BD68D7"/>
    <w:rsid w:val="00BD6BF4"/>
    <w:rsid w:val="00BD6CFB"/>
    <w:rsid w:val="00BD6EAA"/>
    <w:rsid w:val="00BD721E"/>
    <w:rsid w:val="00BD7328"/>
    <w:rsid w:val="00BD73D6"/>
    <w:rsid w:val="00BE078B"/>
    <w:rsid w:val="00BE0842"/>
    <w:rsid w:val="00BE0A05"/>
    <w:rsid w:val="00BE0A74"/>
    <w:rsid w:val="00BE0E0B"/>
    <w:rsid w:val="00BE0F54"/>
    <w:rsid w:val="00BE1170"/>
    <w:rsid w:val="00BE11B7"/>
    <w:rsid w:val="00BE13F4"/>
    <w:rsid w:val="00BE1710"/>
    <w:rsid w:val="00BE183D"/>
    <w:rsid w:val="00BE1A5C"/>
    <w:rsid w:val="00BE1C02"/>
    <w:rsid w:val="00BE1D17"/>
    <w:rsid w:val="00BE1E6F"/>
    <w:rsid w:val="00BE211E"/>
    <w:rsid w:val="00BE247F"/>
    <w:rsid w:val="00BE257B"/>
    <w:rsid w:val="00BE28DF"/>
    <w:rsid w:val="00BE2B91"/>
    <w:rsid w:val="00BE2D13"/>
    <w:rsid w:val="00BE2FAA"/>
    <w:rsid w:val="00BE319E"/>
    <w:rsid w:val="00BE335E"/>
    <w:rsid w:val="00BE341A"/>
    <w:rsid w:val="00BE34AE"/>
    <w:rsid w:val="00BE3824"/>
    <w:rsid w:val="00BE3AAD"/>
    <w:rsid w:val="00BE3DC5"/>
    <w:rsid w:val="00BE42C4"/>
    <w:rsid w:val="00BE5234"/>
    <w:rsid w:val="00BE53F3"/>
    <w:rsid w:val="00BE5AF0"/>
    <w:rsid w:val="00BE5C9A"/>
    <w:rsid w:val="00BE5CB5"/>
    <w:rsid w:val="00BE5EC7"/>
    <w:rsid w:val="00BE618B"/>
    <w:rsid w:val="00BE65CE"/>
    <w:rsid w:val="00BE6A62"/>
    <w:rsid w:val="00BE6C3D"/>
    <w:rsid w:val="00BE6E6E"/>
    <w:rsid w:val="00BE725A"/>
    <w:rsid w:val="00BE7495"/>
    <w:rsid w:val="00BE7ED1"/>
    <w:rsid w:val="00BF02C5"/>
    <w:rsid w:val="00BF0641"/>
    <w:rsid w:val="00BF11CF"/>
    <w:rsid w:val="00BF1345"/>
    <w:rsid w:val="00BF1369"/>
    <w:rsid w:val="00BF1661"/>
    <w:rsid w:val="00BF1C70"/>
    <w:rsid w:val="00BF1D08"/>
    <w:rsid w:val="00BF24C2"/>
    <w:rsid w:val="00BF2922"/>
    <w:rsid w:val="00BF2A11"/>
    <w:rsid w:val="00BF2DA2"/>
    <w:rsid w:val="00BF2F83"/>
    <w:rsid w:val="00BF3156"/>
    <w:rsid w:val="00BF32CA"/>
    <w:rsid w:val="00BF3311"/>
    <w:rsid w:val="00BF3381"/>
    <w:rsid w:val="00BF34D0"/>
    <w:rsid w:val="00BF35E2"/>
    <w:rsid w:val="00BF38F2"/>
    <w:rsid w:val="00BF3921"/>
    <w:rsid w:val="00BF4A59"/>
    <w:rsid w:val="00BF4C5A"/>
    <w:rsid w:val="00BF57BB"/>
    <w:rsid w:val="00BF5D7A"/>
    <w:rsid w:val="00BF64E4"/>
    <w:rsid w:val="00BF660D"/>
    <w:rsid w:val="00BF6A3E"/>
    <w:rsid w:val="00BF6C2E"/>
    <w:rsid w:val="00BF6D23"/>
    <w:rsid w:val="00BF718F"/>
    <w:rsid w:val="00BF71C0"/>
    <w:rsid w:val="00C00B3A"/>
    <w:rsid w:val="00C00C40"/>
    <w:rsid w:val="00C00EA4"/>
    <w:rsid w:val="00C01050"/>
    <w:rsid w:val="00C01407"/>
    <w:rsid w:val="00C0182E"/>
    <w:rsid w:val="00C019E9"/>
    <w:rsid w:val="00C01C2E"/>
    <w:rsid w:val="00C020B3"/>
    <w:rsid w:val="00C0228F"/>
    <w:rsid w:val="00C0236A"/>
    <w:rsid w:val="00C026AF"/>
    <w:rsid w:val="00C02C44"/>
    <w:rsid w:val="00C02D33"/>
    <w:rsid w:val="00C0352A"/>
    <w:rsid w:val="00C039B9"/>
    <w:rsid w:val="00C03ACE"/>
    <w:rsid w:val="00C03B71"/>
    <w:rsid w:val="00C03E57"/>
    <w:rsid w:val="00C03ED6"/>
    <w:rsid w:val="00C03F49"/>
    <w:rsid w:val="00C0409E"/>
    <w:rsid w:val="00C04424"/>
    <w:rsid w:val="00C04B53"/>
    <w:rsid w:val="00C052CF"/>
    <w:rsid w:val="00C05515"/>
    <w:rsid w:val="00C05CC5"/>
    <w:rsid w:val="00C06036"/>
    <w:rsid w:val="00C06B01"/>
    <w:rsid w:val="00C06E54"/>
    <w:rsid w:val="00C07300"/>
    <w:rsid w:val="00C078D5"/>
    <w:rsid w:val="00C07C4C"/>
    <w:rsid w:val="00C103DC"/>
    <w:rsid w:val="00C1074E"/>
    <w:rsid w:val="00C10AC6"/>
    <w:rsid w:val="00C11572"/>
    <w:rsid w:val="00C1232C"/>
    <w:rsid w:val="00C129CA"/>
    <w:rsid w:val="00C12ECD"/>
    <w:rsid w:val="00C13128"/>
    <w:rsid w:val="00C1320F"/>
    <w:rsid w:val="00C133E7"/>
    <w:rsid w:val="00C136FE"/>
    <w:rsid w:val="00C13CEE"/>
    <w:rsid w:val="00C1494F"/>
    <w:rsid w:val="00C151D5"/>
    <w:rsid w:val="00C152A5"/>
    <w:rsid w:val="00C158F1"/>
    <w:rsid w:val="00C16325"/>
    <w:rsid w:val="00C16B94"/>
    <w:rsid w:val="00C16F70"/>
    <w:rsid w:val="00C1745D"/>
    <w:rsid w:val="00C175A7"/>
    <w:rsid w:val="00C1788D"/>
    <w:rsid w:val="00C202B0"/>
    <w:rsid w:val="00C203A5"/>
    <w:rsid w:val="00C203B7"/>
    <w:rsid w:val="00C207A0"/>
    <w:rsid w:val="00C20ED7"/>
    <w:rsid w:val="00C211A1"/>
    <w:rsid w:val="00C21338"/>
    <w:rsid w:val="00C21F39"/>
    <w:rsid w:val="00C22294"/>
    <w:rsid w:val="00C2243C"/>
    <w:rsid w:val="00C22C73"/>
    <w:rsid w:val="00C22F22"/>
    <w:rsid w:val="00C235FE"/>
    <w:rsid w:val="00C23738"/>
    <w:rsid w:val="00C23C73"/>
    <w:rsid w:val="00C2419A"/>
    <w:rsid w:val="00C244D7"/>
    <w:rsid w:val="00C24642"/>
    <w:rsid w:val="00C249AC"/>
    <w:rsid w:val="00C249DC"/>
    <w:rsid w:val="00C24FF1"/>
    <w:rsid w:val="00C25782"/>
    <w:rsid w:val="00C25A93"/>
    <w:rsid w:val="00C25AC7"/>
    <w:rsid w:val="00C25C21"/>
    <w:rsid w:val="00C25F59"/>
    <w:rsid w:val="00C267F9"/>
    <w:rsid w:val="00C26F86"/>
    <w:rsid w:val="00C2765F"/>
    <w:rsid w:val="00C277FF"/>
    <w:rsid w:val="00C278E2"/>
    <w:rsid w:val="00C27C6B"/>
    <w:rsid w:val="00C27F68"/>
    <w:rsid w:val="00C307AB"/>
    <w:rsid w:val="00C31410"/>
    <w:rsid w:val="00C31525"/>
    <w:rsid w:val="00C31D1A"/>
    <w:rsid w:val="00C31FA8"/>
    <w:rsid w:val="00C32007"/>
    <w:rsid w:val="00C32280"/>
    <w:rsid w:val="00C32B7D"/>
    <w:rsid w:val="00C32C3C"/>
    <w:rsid w:val="00C32CF4"/>
    <w:rsid w:val="00C32DCB"/>
    <w:rsid w:val="00C33297"/>
    <w:rsid w:val="00C33434"/>
    <w:rsid w:val="00C3344D"/>
    <w:rsid w:val="00C338E2"/>
    <w:rsid w:val="00C34605"/>
    <w:rsid w:val="00C34676"/>
    <w:rsid w:val="00C350F1"/>
    <w:rsid w:val="00C3594D"/>
    <w:rsid w:val="00C35F41"/>
    <w:rsid w:val="00C36442"/>
    <w:rsid w:val="00C3666F"/>
    <w:rsid w:val="00C36AC2"/>
    <w:rsid w:val="00C36F5E"/>
    <w:rsid w:val="00C37542"/>
    <w:rsid w:val="00C375C3"/>
    <w:rsid w:val="00C37768"/>
    <w:rsid w:val="00C37C06"/>
    <w:rsid w:val="00C37D74"/>
    <w:rsid w:val="00C37ED1"/>
    <w:rsid w:val="00C400CE"/>
    <w:rsid w:val="00C4035C"/>
    <w:rsid w:val="00C406C9"/>
    <w:rsid w:val="00C4071B"/>
    <w:rsid w:val="00C4074E"/>
    <w:rsid w:val="00C40790"/>
    <w:rsid w:val="00C407EA"/>
    <w:rsid w:val="00C410FD"/>
    <w:rsid w:val="00C41D3E"/>
    <w:rsid w:val="00C41DEE"/>
    <w:rsid w:val="00C42AB5"/>
    <w:rsid w:val="00C430B4"/>
    <w:rsid w:val="00C43B9F"/>
    <w:rsid w:val="00C43E63"/>
    <w:rsid w:val="00C44479"/>
    <w:rsid w:val="00C450BB"/>
    <w:rsid w:val="00C45685"/>
    <w:rsid w:val="00C456C5"/>
    <w:rsid w:val="00C457DE"/>
    <w:rsid w:val="00C45DC8"/>
    <w:rsid w:val="00C45EB9"/>
    <w:rsid w:val="00C46500"/>
    <w:rsid w:val="00C47764"/>
    <w:rsid w:val="00C47B2E"/>
    <w:rsid w:val="00C47DD3"/>
    <w:rsid w:val="00C47F3D"/>
    <w:rsid w:val="00C50042"/>
    <w:rsid w:val="00C50782"/>
    <w:rsid w:val="00C5088F"/>
    <w:rsid w:val="00C50FEA"/>
    <w:rsid w:val="00C511D1"/>
    <w:rsid w:val="00C526EC"/>
    <w:rsid w:val="00C52A29"/>
    <w:rsid w:val="00C52B11"/>
    <w:rsid w:val="00C52C43"/>
    <w:rsid w:val="00C5316F"/>
    <w:rsid w:val="00C53298"/>
    <w:rsid w:val="00C53562"/>
    <w:rsid w:val="00C539FB"/>
    <w:rsid w:val="00C548A3"/>
    <w:rsid w:val="00C54E0E"/>
    <w:rsid w:val="00C55324"/>
    <w:rsid w:val="00C553C4"/>
    <w:rsid w:val="00C55822"/>
    <w:rsid w:val="00C56436"/>
    <w:rsid w:val="00C56D20"/>
    <w:rsid w:val="00C57ABB"/>
    <w:rsid w:val="00C608A3"/>
    <w:rsid w:val="00C609CE"/>
    <w:rsid w:val="00C60C06"/>
    <w:rsid w:val="00C6177B"/>
    <w:rsid w:val="00C61A2A"/>
    <w:rsid w:val="00C61F90"/>
    <w:rsid w:val="00C62684"/>
    <w:rsid w:val="00C62E57"/>
    <w:rsid w:val="00C62E92"/>
    <w:rsid w:val="00C62F12"/>
    <w:rsid w:val="00C630D7"/>
    <w:rsid w:val="00C636DD"/>
    <w:rsid w:val="00C6450B"/>
    <w:rsid w:val="00C6533C"/>
    <w:rsid w:val="00C6538A"/>
    <w:rsid w:val="00C6546D"/>
    <w:rsid w:val="00C6563F"/>
    <w:rsid w:val="00C65E33"/>
    <w:rsid w:val="00C65E92"/>
    <w:rsid w:val="00C66074"/>
    <w:rsid w:val="00C662F8"/>
    <w:rsid w:val="00C668D4"/>
    <w:rsid w:val="00C66AA3"/>
    <w:rsid w:val="00C66B1C"/>
    <w:rsid w:val="00C66CFE"/>
    <w:rsid w:val="00C66DCE"/>
    <w:rsid w:val="00C66E57"/>
    <w:rsid w:val="00C67C56"/>
    <w:rsid w:val="00C67FB3"/>
    <w:rsid w:val="00C705D8"/>
    <w:rsid w:val="00C708A1"/>
    <w:rsid w:val="00C708ED"/>
    <w:rsid w:val="00C71088"/>
    <w:rsid w:val="00C715C0"/>
    <w:rsid w:val="00C71694"/>
    <w:rsid w:val="00C71C45"/>
    <w:rsid w:val="00C72418"/>
    <w:rsid w:val="00C724D7"/>
    <w:rsid w:val="00C72758"/>
    <w:rsid w:val="00C7394B"/>
    <w:rsid w:val="00C74150"/>
    <w:rsid w:val="00C74759"/>
    <w:rsid w:val="00C74789"/>
    <w:rsid w:val="00C74E9E"/>
    <w:rsid w:val="00C74F34"/>
    <w:rsid w:val="00C75594"/>
    <w:rsid w:val="00C75918"/>
    <w:rsid w:val="00C75D08"/>
    <w:rsid w:val="00C75EB0"/>
    <w:rsid w:val="00C764C3"/>
    <w:rsid w:val="00C7728B"/>
    <w:rsid w:val="00C77CF5"/>
    <w:rsid w:val="00C802A8"/>
    <w:rsid w:val="00C80682"/>
    <w:rsid w:val="00C80826"/>
    <w:rsid w:val="00C808FE"/>
    <w:rsid w:val="00C80A14"/>
    <w:rsid w:val="00C81A2F"/>
    <w:rsid w:val="00C81ECA"/>
    <w:rsid w:val="00C821C6"/>
    <w:rsid w:val="00C826D2"/>
    <w:rsid w:val="00C82895"/>
    <w:rsid w:val="00C828F3"/>
    <w:rsid w:val="00C830FE"/>
    <w:rsid w:val="00C832F8"/>
    <w:rsid w:val="00C833FD"/>
    <w:rsid w:val="00C83882"/>
    <w:rsid w:val="00C8497B"/>
    <w:rsid w:val="00C85070"/>
    <w:rsid w:val="00C8516B"/>
    <w:rsid w:val="00C85504"/>
    <w:rsid w:val="00C856E0"/>
    <w:rsid w:val="00C85982"/>
    <w:rsid w:val="00C85A7F"/>
    <w:rsid w:val="00C86734"/>
    <w:rsid w:val="00C86777"/>
    <w:rsid w:val="00C86C30"/>
    <w:rsid w:val="00C87037"/>
    <w:rsid w:val="00C870EB"/>
    <w:rsid w:val="00C87743"/>
    <w:rsid w:val="00C87BC0"/>
    <w:rsid w:val="00C87F46"/>
    <w:rsid w:val="00C9010F"/>
    <w:rsid w:val="00C90BD0"/>
    <w:rsid w:val="00C90D3E"/>
    <w:rsid w:val="00C91300"/>
    <w:rsid w:val="00C91ADE"/>
    <w:rsid w:val="00C91F39"/>
    <w:rsid w:val="00C92139"/>
    <w:rsid w:val="00C9239E"/>
    <w:rsid w:val="00C92FE1"/>
    <w:rsid w:val="00C93665"/>
    <w:rsid w:val="00C9368B"/>
    <w:rsid w:val="00C937A5"/>
    <w:rsid w:val="00C93AB4"/>
    <w:rsid w:val="00C94005"/>
    <w:rsid w:val="00C945D0"/>
    <w:rsid w:val="00C94797"/>
    <w:rsid w:val="00C957E5"/>
    <w:rsid w:val="00C9584B"/>
    <w:rsid w:val="00C96130"/>
    <w:rsid w:val="00C964B8"/>
    <w:rsid w:val="00C96A8D"/>
    <w:rsid w:val="00C96F9C"/>
    <w:rsid w:val="00C96FC4"/>
    <w:rsid w:val="00C9796D"/>
    <w:rsid w:val="00CA0466"/>
    <w:rsid w:val="00CA0E38"/>
    <w:rsid w:val="00CA1795"/>
    <w:rsid w:val="00CA1C21"/>
    <w:rsid w:val="00CA1D63"/>
    <w:rsid w:val="00CA1D94"/>
    <w:rsid w:val="00CA2112"/>
    <w:rsid w:val="00CA22AE"/>
    <w:rsid w:val="00CA23BC"/>
    <w:rsid w:val="00CA246D"/>
    <w:rsid w:val="00CA28EA"/>
    <w:rsid w:val="00CA2CB3"/>
    <w:rsid w:val="00CA2DB9"/>
    <w:rsid w:val="00CA3889"/>
    <w:rsid w:val="00CA395E"/>
    <w:rsid w:val="00CA3F21"/>
    <w:rsid w:val="00CA4045"/>
    <w:rsid w:val="00CA4419"/>
    <w:rsid w:val="00CA500C"/>
    <w:rsid w:val="00CA50D9"/>
    <w:rsid w:val="00CA5886"/>
    <w:rsid w:val="00CA6461"/>
    <w:rsid w:val="00CA68EC"/>
    <w:rsid w:val="00CA6928"/>
    <w:rsid w:val="00CA6F15"/>
    <w:rsid w:val="00CA730C"/>
    <w:rsid w:val="00CA739B"/>
    <w:rsid w:val="00CA755E"/>
    <w:rsid w:val="00CA75F0"/>
    <w:rsid w:val="00CA7774"/>
    <w:rsid w:val="00CA78A0"/>
    <w:rsid w:val="00CA7EFF"/>
    <w:rsid w:val="00CB0AAE"/>
    <w:rsid w:val="00CB0E1E"/>
    <w:rsid w:val="00CB14E0"/>
    <w:rsid w:val="00CB190F"/>
    <w:rsid w:val="00CB1BBC"/>
    <w:rsid w:val="00CB1CFF"/>
    <w:rsid w:val="00CB2DF4"/>
    <w:rsid w:val="00CB2E6F"/>
    <w:rsid w:val="00CB3054"/>
    <w:rsid w:val="00CB32CC"/>
    <w:rsid w:val="00CB3C80"/>
    <w:rsid w:val="00CB4D48"/>
    <w:rsid w:val="00CB4D75"/>
    <w:rsid w:val="00CB4EE4"/>
    <w:rsid w:val="00CB4F79"/>
    <w:rsid w:val="00CB553C"/>
    <w:rsid w:val="00CB5540"/>
    <w:rsid w:val="00CB5636"/>
    <w:rsid w:val="00CB58AA"/>
    <w:rsid w:val="00CB5F30"/>
    <w:rsid w:val="00CB6945"/>
    <w:rsid w:val="00CB6E3D"/>
    <w:rsid w:val="00CB7119"/>
    <w:rsid w:val="00CB7299"/>
    <w:rsid w:val="00CB7625"/>
    <w:rsid w:val="00CB779C"/>
    <w:rsid w:val="00CB7823"/>
    <w:rsid w:val="00CB7AB0"/>
    <w:rsid w:val="00CB7AF6"/>
    <w:rsid w:val="00CB7EC4"/>
    <w:rsid w:val="00CC1A86"/>
    <w:rsid w:val="00CC1E7E"/>
    <w:rsid w:val="00CC228C"/>
    <w:rsid w:val="00CC3570"/>
    <w:rsid w:val="00CC36A3"/>
    <w:rsid w:val="00CC3EE5"/>
    <w:rsid w:val="00CC404E"/>
    <w:rsid w:val="00CC40D3"/>
    <w:rsid w:val="00CC4527"/>
    <w:rsid w:val="00CC48AB"/>
    <w:rsid w:val="00CC4D48"/>
    <w:rsid w:val="00CC4D62"/>
    <w:rsid w:val="00CC5359"/>
    <w:rsid w:val="00CC53B7"/>
    <w:rsid w:val="00CC5657"/>
    <w:rsid w:val="00CC5A1D"/>
    <w:rsid w:val="00CC5C4F"/>
    <w:rsid w:val="00CC5F33"/>
    <w:rsid w:val="00CC6D1A"/>
    <w:rsid w:val="00CC6E47"/>
    <w:rsid w:val="00CD0029"/>
    <w:rsid w:val="00CD03E4"/>
    <w:rsid w:val="00CD0453"/>
    <w:rsid w:val="00CD0D20"/>
    <w:rsid w:val="00CD1346"/>
    <w:rsid w:val="00CD1CFF"/>
    <w:rsid w:val="00CD2772"/>
    <w:rsid w:val="00CD2E30"/>
    <w:rsid w:val="00CD35A3"/>
    <w:rsid w:val="00CD3B8F"/>
    <w:rsid w:val="00CD3FC7"/>
    <w:rsid w:val="00CD40EF"/>
    <w:rsid w:val="00CD4333"/>
    <w:rsid w:val="00CD47E0"/>
    <w:rsid w:val="00CD498D"/>
    <w:rsid w:val="00CD53E0"/>
    <w:rsid w:val="00CD543D"/>
    <w:rsid w:val="00CD5774"/>
    <w:rsid w:val="00CD5D3E"/>
    <w:rsid w:val="00CD6162"/>
    <w:rsid w:val="00CD6581"/>
    <w:rsid w:val="00CD66AC"/>
    <w:rsid w:val="00CD6A3C"/>
    <w:rsid w:val="00CD6B6D"/>
    <w:rsid w:val="00CD7142"/>
    <w:rsid w:val="00CD7C39"/>
    <w:rsid w:val="00CE06DD"/>
    <w:rsid w:val="00CE0EFB"/>
    <w:rsid w:val="00CE0FA7"/>
    <w:rsid w:val="00CE1154"/>
    <w:rsid w:val="00CE1A07"/>
    <w:rsid w:val="00CE1BAE"/>
    <w:rsid w:val="00CE1E02"/>
    <w:rsid w:val="00CE21ED"/>
    <w:rsid w:val="00CE2C16"/>
    <w:rsid w:val="00CE2C2F"/>
    <w:rsid w:val="00CE3307"/>
    <w:rsid w:val="00CE425C"/>
    <w:rsid w:val="00CE42F0"/>
    <w:rsid w:val="00CE46A0"/>
    <w:rsid w:val="00CE4781"/>
    <w:rsid w:val="00CE4B61"/>
    <w:rsid w:val="00CE4F18"/>
    <w:rsid w:val="00CE53B1"/>
    <w:rsid w:val="00CE58AC"/>
    <w:rsid w:val="00CE5988"/>
    <w:rsid w:val="00CE6196"/>
    <w:rsid w:val="00CE6249"/>
    <w:rsid w:val="00CE62A6"/>
    <w:rsid w:val="00CE6509"/>
    <w:rsid w:val="00CE66BD"/>
    <w:rsid w:val="00CE6B38"/>
    <w:rsid w:val="00CE6B9F"/>
    <w:rsid w:val="00CE6C55"/>
    <w:rsid w:val="00CF0472"/>
    <w:rsid w:val="00CF0B50"/>
    <w:rsid w:val="00CF0E13"/>
    <w:rsid w:val="00CF1385"/>
    <w:rsid w:val="00CF13F5"/>
    <w:rsid w:val="00CF16EF"/>
    <w:rsid w:val="00CF1D02"/>
    <w:rsid w:val="00CF1F8D"/>
    <w:rsid w:val="00CF24CA"/>
    <w:rsid w:val="00CF2775"/>
    <w:rsid w:val="00CF29A3"/>
    <w:rsid w:val="00CF392F"/>
    <w:rsid w:val="00CF3F6D"/>
    <w:rsid w:val="00CF413A"/>
    <w:rsid w:val="00CF4EE3"/>
    <w:rsid w:val="00CF510F"/>
    <w:rsid w:val="00CF5242"/>
    <w:rsid w:val="00CF5517"/>
    <w:rsid w:val="00CF5982"/>
    <w:rsid w:val="00CF5A80"/>
    <w:rsid w:val="00CF5AA0"/>
    <w:rsid w:val="00CF5BB6"/>
    <w:rsid w:val="00CF5E4D"/>
    <w:rsid w:val="00CF6014"/>
    <w:rsid w:val="00CF6936"/>
    <w:rsid w:val="00CF6938"/>
    <w:rsid w:val="00CF6A39"/>
    <w:rsid w:val="00CF6CC7"/>
    <w:rsid w:val="00CF76ED"/>
    <w:rsid w:val="00CF7922"/>
    <w:rsid w:val="00CF7E31"/>
    <w:rsid w:val="00D00CDC"/>
    <w:rsid w:val="00D00DE0"/>
    <w:rsid w:val="00D01145"/>
    <w:rsid w:val="00D0150B"/>
    <w:rsid w:val="00D01763"/>
    <w:rsid w:val="00D01AFB"/>
    <w:rsid w:val="00D01BB1"/>
    <w:rsid w:val="00D021EE"/>
    <w:rsid w:val="00D0225F"/>
    <w:rsid w:val="00D02DC2"/>
    <w:rsid w:val="00D03238"/>
    <w:rsid w:val="00D03AD3"/>
    <w:rsid w:val="00D03B8B"/>
    <w:rsid w:val="00D044F5"/>
    <w:rsid w:val="00D045EE"/>
    <w:rsid w:val="00D04A17"/>
    <w:rsid w:val="00D04A31"/>
    <w:rsid w:val="00D05091"/>
    <w:rsid w:val="00D058AB"/>
    <w:rsid w:val="00D05F2C"/>
    <w:rsid w:val="00D05FC4"/>
    <w:rsid w:val="00D062EA"/>
    <w:rsid w:val="00D06B85"/>
    <w:rsid w:val="00D06EA5"/>
    <w:rsid w:val="00D0708C"/>
    <w:rsid w:val="00D0709D"/>
    <w:rsid w:val="00D075BD"/>
    <w:rsid w:val="00D07A67"/>
    <w:rsid w:val="00D07A72"/>
    <w:rsid w:val="00D07DAC"/>
    <w:rsid w:val="00D1039F"/>
    <w:rsid w:val="00D10B4C"/>
    <w:rsid w:val="00D10CA6"/>
    <w:rsid w:val="00D10F21"/>
    <w:rsid w:val="00D112BC"/>
    <w:rsid w:val="00D11618"/>
    <w:rsid w:val="00D119BA"/>
    <w:rsid w:val="00D11D56"/>
    <w:rsid w:val="00D122EF"/>
    <w:rsid w:val="00D127AA"/>
    <w:rsid w:val="00D12AD9"/>
    <w:rsid w:val="00D12D16"/>
    <w:rsid w:val="00D1317F"/>
    <w:rsid w:val="00D134CF"/>
    <w:rsid w:val="00D13F60"/>
    <w:rsid w:val="00D14159"/>
    <w:rsid w:val="00D14ABB"/>
    <w:rsid w:val="00D14B72"/>
    <w:rsid w:val="00D14EE5"/>
    <w:rsid w:val="00D15169"/>
    <w:rsid w:val="00D1573B"/>
    <w:rsid w:val="00D16034"/>
    <w:rsid w:val="00D16696"/>
    <w:rsid w:val="00D16FEF"/>
    <w:rsid w:val="00D1738A"/>
    <w:rsid w:val="00D17C65"/>
    <w:rsid w:val="00D20097"/>
    <w:rsid w:val="00D2083E"/>
    <w:rsid w:val="00D20903"/>
    <w:rsid w:val="00D20B20"/>
    <w:rsid w:val="00D20B72"/>
    <w:rsid w:val="00D20D21"/>
    <w:rsid w:val="00D2106A"/>
    <w:rsid w:val="00D21EB0"/>
    <w:rsid w:val="00D22098"/>
    <w:rsid w:val="00D220C3"/>
    <w:rsid w:val="00D22358"/>
    <w:rsid w:val="00D22491"/>
    <w:rsid w:val="00D22A56"/>
    <w:rsid w:val="00D22ADD"/>
    <w:rsid w:val="00D22D52"/>
    <w:rsid w:val="00D22D85"/>
    <w:rsid w:val="00D22F3A"/>
    <w:rsid w:val="00D23061"/>
    <w:rsid w:val="00D23077"/>
    <w:rsid w:val="00D23138"/>
    <w:rsid w:val="00D232A9"/>
    <w:rsid w:val="00D235A1"/>
    <w:rsid w:val="00D23A77"/>
    <w:rsid w:val="00D23E5C"/>
    <w:rsid w:val="00D24806"/>
    <w:rsid w:val="00D24C9D"/>
    <w:rsid w:val="00D24D9D"/>
    <w:rsid w:val="00D260A1"/>
    <w:rsid w:val="00D27177"/>
    <w:rsid w:val="00D30792"/>
    <w:rsid w:val="00D31578"/>
    <w:rsid w:val="00D31751"/>
    <w:rsid w:val="00D31BA4"/>
    <w:rsid w:val="00D31C82"/>
    <w:rsid w:val="00D32140"/>
    <w:rsid w:val="00D32B6F"/>
    <w:rsid w:val="00D32F34"/>
    <w:rsid w:val="00D32FB7"/>
    <w:rsid w:val="00D34040"/>
    <w:rsid w:val="00D3445E"/>
    <w:rsid w:val="00D34E69"/>
    <w:rsid w:val="00D35B0B"/>
    <w:rsid w:val="00D35ECA"/>
    <w:rsid w:val="00D366C9"/>
    <w:rsid w:val="00D366EF"/>
    <w:rsid w:val="00D36C78"/>
    <w:rsid w:val="00D37016"/>
    <w:rsid w:val="00D37268"/>
    <w:rsid w:val="00D375EE"/>
    <w:rsid w:val="00D37942"/>
    <w:rsid w:val="00D37D81"/>
    <w:rsid w:val="00D37E8F"/>
    <w:rsid w:val="00D400FE"/>
    <w:rsid w:val="00D404F6"/>
    <w:rsid w:val="00D405E5"/>
    <w:rsid w:val="00D40942"/>
    <w:rsid w:val="00D40F5C"/>
    <w:rsid w:val="00D412D5"/>
    <w:rsid w:val="00D41371"/>
    <w:rsid w:val="00D41888"/>
    <w:rsid w:val="00D41A73"/>
    <w:rsid w:val="00D41B41"/>
    <w:rsid w:val="00D41B4D"/>
    <w:rsid w:val="00D41FC0"/>
    <w:rsid w:val="00D423B8"/>
    <w:rsid w:val="00D4256D"/>
    <w:rsid w:val="00D426CF"/>
    <w:rsid w:val="00D42771"/>
    <w:rsid w:val="00D42858"/>
    <w:rsid w:val="00D43435"/>
    <w:rsid w:val="00D438E7"/>
    <w:rsid w:val="00D43C47"/>
    <w:rsid w:val="00D43D50"/>
    <w:rsid w:val="00D44070"/>
    <w:rsid w:val="00D4410B"/>
    <w:rsid w:val="00D4519E"/>
    <w:rsid w:val="00D45358"/>
    <w:rsid w:val="00D453B5"/>
    <w:rsid w:val="00D453BD"/>
    <w:rsid w:val="00D454D1"/>
    <w:rsid w:val="00D45A89"/>
    <w:rsid w:val="00D45CD2"/>
    <w:rsid w:val="00D4626B"/>
    <w:rsid w:val="00D46511"/>
    <w:rsid w:val="00D466BE"/>
    <w:rsid w:val="00D46774"/>
    <w:rsid w:val="00D467A2"/>
    <w:rsid w:val="00D4689B"/>
    <w:rsid w:val="00D46B8C"/>
    <w:rsid w:val="00D479BE"/>
    <w:rsid w:val="00D500C8"/>
    <w:rsid w:val="00D50A1E"/>
    <w:rsid w:val="00D50B46"/>
    <w:rsid w:val="00D50D20"/>
    <w:rsid w:val="00D51060"/>
    <w:rsid w:val="00D5164F"/>
    <w:rsid w:val="00D51ADF"/>
    <w:rsid w:val="00D528DE"/>
    <w:rsid w:val="00D52966"/>
    <w:rsid w:val="00D53482"/>
    <w:rsid w:val="00D5352E"/>
    <w:rsid w:val="00D53C96"/>
    <w:rsid w:val="00D53D5E"/>
    <w:rsid w:val="00D54090"/>
    <w:rsid w:val="00D547A5"/>
    <w:rsid w:val="00D548BA"/>
    <w:rsid w:val="00D54AD3"/>
    <w:rsid w:val="00D54C61"/>
    <w:rsid w:val="00D54CCC"/>
    <w:rsid w:val="00D54E11"/>
    <w:rsid w:val="00D54E36"/>
    <w:rsid w:val="00D5516D"/>
    <w:rsid w:val="00D55A65"/>
    <w:rsid w:val="00D55AE8"/>
    <w:rsid w:val="00D55E08"/>
    <w:rsid w:val="00D55E89"/>
    <w:rsid w:val="00D56056"/>
    <w:rsid w:val="00D56259"/>
    <w:rsid w:val="00D5663F"/>
    <w:rsid w:val="00D5670E"/>
    <w:rsid w:val="00D57054"/>
    <w:rsid w:val="00D5741E"/>
    <w:rsid w:val="00D57532"/>
    <w:rsid w:val="00D5755D"/>
    <w:rsid w:val="00D57B09"/>
    <w:rsid w:val="00D57CAB"/>
    <w:rsid w:val="00D6030B"/>
    <w:rsid w:val="00D60391"/>
    <w:rsid w:val="00D6058A"/>
    <w:rsid w:val="00D6071A"/>
    <w:rsid w:val="00D6085F"/>
    <w:rsid w:val="00D6101F"/>
    <w:rsid w:val="00D61213"/>
    <w:rsid w:val="00D6153B"/>
    <w:rsid w:val="00D6190F"/>
    <w:rsid w:val="00D61C70"/>
    <w:rsid w:val="00D61F30"/>
    <w:rsid w:val="00D622D7"/>
    <w:rsid w:val="00D62699"/>
    <w:rsid w:val="00D62863"/>
    <w:rsid w:val="00D62ABE"/>
    <w:rsid w:val="00D62EF7"/>
    <w:rsid w:val="00D63252"/>
    <w:rsid w:val="00D63520"/>
    <w:rsid w:val="00D63527"/>
    <w:rsid w:val="00D635CE"/>
    <w:rsid w:val="00D6366C"/>
    <w:rsid w:val="00D6367D"/>
    <w:rsid w:val="00D63891"/>
    <w:rsid w:val="00D642F0"/>
    <w:rsid w:val="00D64624"/>
    <w:rsid w:val="00D64B8D"/>
    <w:rsid w:val="00D65158"/>
    <w:rsid w:val="00D65445"/>
    <w:rsid w:val="00D6554E"/>
    <w:rsid w:val="00D6557F"/>
    <w:rsid w:val="00D6563B"/>
    <w:rsid w:val="00D65C39"/>
    <w:rsid w:val="00D65D62"/>
    <w:rsid w:val="00D669F2"/>
    <w:rsid w:val="00D66C7A"/>
    <w:rsid w:val="00D66D52"/>
    <w:rsid w:val="00D66F49"/>
    <w:rsid w:val="00D67162"/>
    <w:rsid w:val="00D67C6C"/>
    <w:rsid w:val="00D67DF2"/>
    <w:rsid w:val="00D67FD3"/>
    <w:rsid w:val="00D7032F"/>
    <w:rsid w:val="00D707C0"/>
    <w:rsid w:val="00D709A0"/>
    <w:rsid w:val="00D70A55"/>
    <w:rsid w:val="00D712DF"/>
    <w:rsid w:val="00D71502"/>
    <w:rsid w:val="00D7154F"/>
    <w:rsid w:val="00D7155E"/>
    <w:rsid w:val="00D71795"/>
    <w:rsid w:val="00D71D78"/>
    <w:rsid w:val="00D71DE6"/>
    <w:rsid w:val="00D71EE0"/>
    <w:rsid w:val="00D72E5A"/>
    <w:rsid w:val="00D7349C"/>
    <w:rsid w:val="00D73C75"/>
    <w:rsid w:val="00D7465E"/>
    <w:rsid w:val="00D746D4"/>
    <w:rsid w:val="00D74B97"/>
    <w:rsid w:val="00D74C1F"/>
    <w:rsid w:val="00D74C64"/>
    <w:rsid w:val="00D754C4"/>
    <w:rsid w:val="00D75907"/>
    <w:rsid w:val="00D75A1D"/>
    <w:rsid w:val="00D772B7"/>
    <w:rsid w:val="00D77589"/>
    <w:rsid w:val="00D778A4"/>
    <w:rsid w:val="00D778E9"/>
    <w:rsid w:val="00D77940"/>
    <w:rsid w:val="00D77B53"/>
    <w:rsid w:val="00D8081D"/>
    <w:rsid w:val="00D809A7"/>
    <w:rsid w:val="00D81276"/>
    <w:rsid w:val="00D812BF"/>
    <w:rsid w:val="00D81504"/>
    <w:rsid w:val="00D81598"/>
    <w:rsid w:val="00D81861"/>
    <w:rsid w:val="00D81F09"/>
    <w:rsid w:val="00D822BB"/>
    <w:rsid w:val="00D82339"/>
    <w:rsid w:val="00D825EF"/>
    <w:rsid w:val="00D82620"/>
    <w:rsid w:val="00D826D0"/>
    <w:rsid w:val="00D826FD"/>
    <w:rsid w:val="00D829A0"/>
    <w:rsid w:val="00D82A1B"/>
    <w:rsid w:val="00D82B49"/>
    <w:rsid w:val="00D83265"/>
    <w:rsid w:val="00D83360"/>
    <w:rsid w:val="00D83A88"/>
    <w:rsid w:val="00D83E5B"/>
    <w:rsid w:val="00D844CA"/>
    <w:rsid w:val="00D84693"/>
    <w:rsid w:val="00D84C17"/>
    <w:rsid w:val="00D84E42"/>
    <w:rsid w:val="00D8502E"/>
    <w:rsid w:val="00D85707"/>
    <w:rsid w:val="00D85730"/>
    <w:rsid w:val="00D85849"/>
    <w:rsid w:val="00D8653D"/>
    <w:rsid w:val="00D8659B"/>
    <w:rsid w:val="00D87148"/>
    <w:rsid w:val="00D871CD"/>
    <w:rsid w:val="00D87355"/>
    <w:rsid w:val="00D87EF1"/>
    <w:rsid w:val="00D90680"/>
    <w:rsid w:val="00D90698"/>
    <w:rsid w:val="00D90B82"/>
    <w:rsid w:val="00D91C61"/>
    <w:rsid w:val="00D925F2"/>
    <w:rsid w:val="00D92A1D"/>
    <w:rsid w:val="00D9347C"/>
    <w:rsid w:val="00D9358A"/>
    <w:rsid w:val="00D93ACB"/>
    <w:rsid w:val="00D93D01"/>
    <w:rsid w:val="00D93D07"/>
    <w:rsid w:val="00D93ED0"/>
    <w:rsid w:val="00D943AE"/>
    <w:rsid w:val="00D94466"/>
    <w:rsid w:val="00D94733"/>
    <w:rsid w:val="00D94846"/>
    <w:rsid w:val="00D95A44"/>
    <w:rsid w:val="00D95CC4"/>
    <w:rsid w:val="00D95CEB"/>
    <w:rsid w:val="00D96247"/>
    <w:rsid w:val="00D965A7"/>
    <w:rsid w:val="00D96991"/>
    <w:rsid w:val="00D96F1A"/>
    <w:rsid w:val="00D9725F"/>
    <w:rsid w:val="00D972B4"/>
    <w:rsid w:val="00D97687"/>
    <w:rsid w:val="00D97851"/>
    <w:rsid w:val="00D97FF8"/>
    <w:rsid w:val="00DA01B1"/>
    <w:rsid w:val="00DA01EB"/>
    <w:rsid w:val="00DA037B"/>
    <w:rsid w:val="00DA043F"/>
    <w:rsid w:val="00DA1003"/>
    <w:rsid w:val="00DA101B"/>
    <w:rsid w:val="00DA11A2"/>
    <w:rsid w:val="00DA1296"/>
    <w:rsid w:val="00DA14E7"/>
    <w:rsid w:val="00DA14ED"/>
    <w:rsid w:val="00DA177A"/>
    <w:rsid w:val="00DA1999"/>
    <w:rsid w:val="00DA1C90"/>
    <w:rsid w:val="00DA20A7"/>
    <w:rsid w:val="00DA219B"/>
    <w:rsid w:val="00DA259A"/>
    <w:rsid w:val="00DA26D6"/>
    <w:rsid w:val="00DA2CDC"/>
    <w:rsid w:val="00DA3C32"/>
    <w:rsid w:val="00DA412A"/>
    <w:rsid w:val="00DA4DB0"/>
    <w:rsid w:val="00DA5D3D"/>
    <w:rsid w:val="00DA642B"/>
    <w:rsid w:val="00DA65D2"/>
    <w:rsid w:val="00DA68DA"/>
    <w:rsid w:val="00DA6C01"/>
    <w:rsid w:val="00DA79B2"/>
    <w:rsid w:val="00DA7B80"/>
    <w:rsid w:val="00DA7C35"/>
    <w:rsid w:val="00DA7CCE"/>
    <w:rsid w:val="00DB0A41"/>
    <w:rsid w:val="00DB0AD5"/>
    <w:rsid w:val="00DB15A0"/>
    <w:rsid w:val="00DB2807"/>
    <w:rsid w:val="00DB292C"/>
    <w:rsid w:val="00DB2A91"/>
    <w:rsid w:val="00DB2DBD"/>
    <w:rsid w:val="00DB2EF1"/>
    <w:rsid w:val="00DB3079"/>
    <w:rsid w:val="00DB3160"/>
    <w:rsid w:val="00DB31D1"/>
    <w:rsid w:val="00DB34C1"/>
    <w:rsid w:val="00DB36FA"/>
    <w:rsid w:val="00DB39AC"/>
    <w:rsid w:val="00DB3A85"/>
    <w:rsid w:val="00DB3DE1"/>
    <w:rsid w:val="00DB40B7"/>
    <w:rsid w:val="00DB41F9"/>
    <w:rsid w:val="00DB4237"/>
    <w:rsid w:val="00DB456C"/>
    <w:rsid w:val="00DB5B2E"/>
    <w:rsid w:val="00DB5DA0"/>
    <w:rsid w:val="00DB5E0D"/>
    <w:rsid w:val="00DB5E9A"/>
    <w:rsid w:val="00DB5FF8"/>
    <w:rsid w:val="00DB6609"/>
    <w:rsid w:val="00DB660F"/>
    <w:rsid w:val="00DB6BBB"/>
    <w:rsid w:val="00DB716C"/>
    <w:rsid w:val="00DB7AA5"/>
    <w:rsid w:val="00DB7E40"/>
    <w:rsid w:val="00DB7E59"/>
    <w:rsid w:val="00DC0558"/>
    <w:rsid w:val="00DC07D8"/>
    <w:rsid w:val="00DC087D"/>
    <w:rsid w:val="00DC0C96"/>
    <w:rsid w:val="00DC0ED2"/>
    <w:rsid w:val="00DC108F"/>
    <w:rsid w:val="00DC196E"/>
    <w:rsid w:val="00DC1DCA"/>
    <w:rsid w:val="00DC2817"/>
    <w:rsid w:val="00DC2D62"/>
    <w:rsid w:val="00DC352B"/>
    <w:rsid w:val="00DC36D3"/>
    <w:rsid w:val="00DC371A"/>
    <w:rsid w:val="00DC39BF"/>
    <w:rsid w:val="00DC3D82"/>
    <w:rsid w:val="00DC3DB2"/>
    <w:rsid w:val="00DC4097"/>
    <w:rsid w:val="00DC4DC7"/>
    <w:rsid w:val="00DC4EF2"/>
    <w:rsid w:val="00DC5B5C"/>
    <w:rsid w:val="00DC5C85"/>
    <w:rsid w:val="00DC6ADD"/>
    <w:rsid w:val="00DC71EF"/>
    <w:rsid w:val="00DC762C"/>
    <w:rsid w:val="00DC76BF"/>
    <w:rsid w:val="00DC7894"/>
    <w:rsid w:val="00DC78A9"/>
    <w:rsid w:val="00DC79B8"/>
    <w:rsid w:val="00DC7C5D"/>
    <w:rsid w:val="00DD09DB"/>
    <w:rsid w:val="00DD10D2"/>
    <w:rsid w:val="00DD119A"/>
    <w:rsid w:val="00DD1438"/>
    <w:rsid w:val="00DD1555"/>
    <w:rsid w:val="00DD18C9"/>
    <w:rsid w:val="00DD19ED"/>
    <w:rsid w:val="00DD1B58"/>
    <w:rsid w:val="00DD1BC0"/>
    <w:rsid w:val="00DD1C06"/>
    <w:rsid w:val="00DD1C1B"/>
    <w:rsid w:val="00DD1F68"/>
    <w:rsid w:val="00DD2098"/>
    <w:rsid w:val="00DD247E"/>
    <w:rsid w:val="00DD2696"/>
    <w:rsid w:val="00DD26EE"/>
    <w:rsid w:val="00DD285E"/>
    <w:rsid w:val="00DD290A"/>
    <w:rsid w:val="00DD2C54"/>
    <w:rsid w:val="00DD2D86"/>
    <w:rsid w:val="00DD35AC"/>
    <w:rsid w:val="00DD3651"/>
    <w:rsid w:val="00DD3AD5"/>
    <w:rsid w:val="00DD3DB8"/>
    <w:rsid w:val="00DD3EF3"/>
    <w:rsid w:val="00DD4236"/>
    <w:rsid w:val="00DD44F1"/>
    <w:rsid w:val="00DD476B"/>
    <w:rsid w:val="00DD49E1"/>
    <w:rsid w:val="00DD570A"/>
    <w:rsid w:val="00DD5CC4"/>
    <w:rsid w:val="00DD653A"/>
    <w:rsid w:val="00DD6957"/>
    <w:rsid w:val="00DD6E7A"/>
    <w:rsid w:val="00DD6F19"/>
    <w:rsid w:val="00DD701F"/>
    <w:rsid w:val="00DD7DDB"/>
    <w:rsid w:val="00DD7F58"/>
    <w:rsid w:val="00DE005D"/>
    <w:rsid w:val="00DE0290"/>
    <w:rsid w:val="00DE0304"/>
    <w:rsid w:val="00DE081E"/>
    <w:rsid w:val="00DE0B79"/>
    <w:rsid w:val="00DE0DC0"/>
    <w:rsid w:val="00DE0E8D"/>
    <w:rsid w:val="00DE12C0"/>
    <w:rsid w:val="00DE12EC"/>
    <w:rsid w:val="00DE14CB"/>
    <w:rsid w:val="00DE1812"/>
    <w:rsid w:val="00DE1A6B"/>
    <w:rsid w:val="00DE1B8E"/>
    <w:rsid w:val="00DE2684"/>
    <w:rsid w:val="00DE2843"/>
    <w:rsid w:val="00DE2B84"/>
    <w:rsid w:val="00DE2C8F"/>
    <w:rsid w:val="00DE2F01"/>
    <w:rsid w:val="00DE2FA2"/>
    <w:rsid w:val="00DE3067"/>
    <w:rsid w:val="00DE3568"/>
    <w:rsid w:val="00DE362F"/>
    <w:rsid w:val="00DE38C1"/>
    <w:rsid w:val="00DE3A29"/>
    <w:rsid w:val="00DE3F33"/>
    <w:rsid w:val="00DE5195"/>
    <w:rsid w:val="00DE6431"/>
    <w:rsid w:val="00DE654C"/>
    <w:rsid w:val="00DE6622"/>
    <w:rsid w:val="00DE6C86"/>
    <w:rsid w:val="00DE6FF4"/>
    <w:rsid w:val="00DE743F"/>
    <w:rsid w:val="00DE76EC"/>
    <w:rsid w:val="00DE7817"/>
    <w:rsid w:val="00DE7EBB"/>
    <w:rsid w:val="00DF0A8C"/>
    <w:rsid w:val="00DF13B8"/>
    <w:rsid w:val="00DF13C6"/>
    <w:rsid w:val="00DF160D"/>
    <w:rsid w:val="00DF1B55"/>
    <w:rsid w:val="00DF1DE3"/>
    <w:rsid w:val="00DF1E04"/>
    <w:rsid w:val="00DF2DBC"/>
    <w:rsid w:val="00DF3661"/>
    <w:rsid w:val="00DF370E"/>
    <w:rsid w:val="00DF3EEE"/>
    <w:rsid w:val="00DF40EE"/>
    <w:rsid w:val="00DF4570"/>
    <w:rsid w:val="00DF4B52"/>
    <w:rsid w:val="00DF51B4"/>
    <w:rsid w:val="00DF52D2"/>
    <w:rsid w:val="00DF582F"/>
    <w:rsid w:val="00DF5B38"/>
    <w:rsid w:val="00DF5CF1"/>
    <w:rsid w:val="00DF603B"/>
    <w:rsid w:val="00DF663E"/>
    <w:rsid w:val="00DF6654"/>
    <w:rsid w:val="00DF6B48"/>
    <w:rsid w:val="00DF6DF0"/>
    <w:rsid w:val="00DF720B"/>
    <w:rsid w:val="00DF75E1"/>
    <w:rsid w:val="00DF7C34"/>
    <w:rsid w:val="00DF7EEE"/>
    <w:rsid w:val="00E007C0"/>
    <w:rsid w:val="00E0150A"/>
    <w:rsid w:val="00E01A66"/>
    <w:rsid w:val="00E01F56"/>
    <w:rsid w:val="00E024A1"/>
    <w:rsid w:val="00E027BC"/>
    <w:rsid w:val="00E02B9F"/>
    <w:rsid w:val="00E0313C"/>
    <w:rsid w:val="00E032CD"/>
    <w:rsid w:val="00E03516"/>
    <w:rsid w:val="00E0385C"/>
    <w:rsid w:val="00E03C13"/>
    <w:rsid w:val="00E03C55"/>
    <w:rsid w:val="00E04354"/>
    <w:rsid w:val="00E04593"/>
    <w:rsid w:val="00E045BE"/>
    <w:rsid w:val="00E05A32"/>
    <w:rsid w:val="00E05D1B"/>
    <w:rsid w:val="00E05D3D"/>
    <w:rsid w:val="00E06066"/>
    <w:rsid w:val="00E06A00"/>
    <w:rsid w:val="00E06B8B"/>
    <w:rsid w:val="00E06D29"/>
    <w:rsid w:val="00E06F2D"/>
    <w:rsid w:val="00E079A8"/>
    <w:rsid w:val="00E07BAA"/>
    <w:rsid w:val="00E07CAB"/>
    <w:rsid w:val="00E10121"/>
    <w:rsid w:val="00E10A37"/>
    <w:rsid w:val="00E10F0D"/>
    <w:rsid w:val="00E1154D"/>
    <w:rsid w:val="00E118EE"/>
    <w:rsid w:val="00E128BF"/>
    <w:rsid w:val="00E130DC"/>
    <w:rsid w:val="00E133E6"/>
    <w:rsid w:val="00E13BA4"/>
    <w:rsid w:val="00E13CD8"/>
    <w:rsid w:val="00E14101"/>
    <w:rsid w:val="00E147C2"/>
    <w:rsid w:val="00E14999"/>
    <w:rsid w:val="00E14AF4"/>
    <w:rsid w:val="00E14B2F"/>
    <w:rsid w:val="00E14EA5"/>
    <w:rsid w:val="00E15071"/>
    <w:rsid w:val="00E155F0"/>
    <w:rsid w:val="00E15710"/>
    <w:rsid w:val="00E168E7"/>
    <w:rsid w:val="00E16A3D"/>
    <w:rsid w:val="00E20106"/>
    <w:rsid w:val="00E2070E"/>
    <w:rsid w:val="00E208F6"/>
    <w:rsid w:val="00E20AE4"/>
    <w:rsid w:val="00E21133"/>
    <w:rsid w:val="00E21138"/>
    <w:rsid w:val="00E22BB3"/>
    <w:rsid w:val="00E22E3F"/>
    <w:rsid w:val="00E2327E"/>
    <w:rsid w:val="00E232C4"/>
    <w:rsid w:val="00E23386"/>
    <w:rsid w:val="00E23577"/>
    <w:rsid w:val="00E238AF"/>
    <w:rsid w:val="00E238C9"/>
    <w:rsid w:val="00E23924"/>
    <w:rsid w:val="00E23B7A"/>
    <w:rsid w:val="00E23B9E"/>
    <w:rsid w:val="00E23DE6"/>
    <w:rsid w:val="00E2425B"/>
    <w:rsid w:val="00E24DB5"/>
    <w:rsid w:val="00E24DD6"/>
    <w:rsid w:val="00E250D7"/>
    <w:rsid w:val="00E25442"/>
    <w:rsid w:val="00E25629"/>
    <w:rsid w:val="00E259D1"/>
    <w:rsid w:val="00E25D7B"/>
    <w:rsid w:val="00E25F25"/>
    <w:rsid w:val="00E25F65"/>
    <w:rsid w:val="00E266EF"/>
    <w:rsid w:val="00E26810"/>
    <w:rsid w:val="00E2692E"/>
    <w:rsid w:val="00E26935"/>
    <w:rsid w:val="00E270ED"/>
    <w:rsid w:val="00E2730C"/>
    <w:rsid w:val="00E27EE1"/>
    <w:rsid w:val="00E27FDC"/>
    <w:rsid w:val="00E30B68"/>
    <w:rsid w:val="00E30D0A"/>
    <w:rsid w:val="00E30FEE"/>
    <w:rsid w:val="00E31021"/>
    <w:rsid w:val="00E31049"/>
    <w:rsid w:val="00E3158B"/>
    <w:rsid w:val="00E3169F"/>
    <w:rsid w:val="00E31E51"/>
    <w:rsid w:val="00E31FBD"/>
    <w:rsid w:val="00E3231C"/>
    <w:rsid w:val="00E326A8"/>
    <w:rsid w:val="00E327BD"/>
    <w:rsid w:val="00E32C14"/>
    <w:rsid w:val="00E32CB7"/>
    <w:rsid w:val="00E33239"/>
    <w:rsid w:val="00E33732"/>
    <w:rsid w:val="00E33753"/>
    <w:rsid w:val="00E33926"/>
    <w:rsid w:val="00E343D8"/>
    <w:rsid w:val="00E3455D"/>
    <w:rsid w:val="00E345D1"/>
    <w:rsid w:val="00E3500B"/>
    <w:rsid w:val="00E35404"/>
    <w:rsid w:val="00E35D31"/>
    <w:rsid w:val="00E35D8E"/>
    <w:rsid w:val="00E35E32"/>
    <w:rsid w:val="00E3634C"/>
    <w:rsid w:val="00E366D3"/>
    <w:rsid w:val="00E366F3"/>
    <w:rsid w:val="00E368BD"/>
    <w:rsid w:val="00E36A57"/>
    <w:rsid w:val="00E37D27"/>
    <w:rsid w:val="00E4029A"/>
    <w:rsid w:val="00E4057D"/>
    <w:rsid w:val="00E405CB"/>
    <w:rsid w:val="00E4072D"/>
    <w:rsid w:val="00E40A2D"/>
    <w:rsid w:val="00E40B3E"/>
    <w:rsid w:val="00E40C01"/>
    <w:rsid w:val="00E40F5E"/>
    <w:rsid w:val="00E4119F"/>
    <w:rsid w:val="00E4157C"/>
    <w:rsid w:val="00E4205D"/>
    <w:rsid w:val="00E4237C"/>
    <w:rsid w:val="00E4335D"/>
    <w:rsid w:val="00E43B72"/>
    <w:rsid w:val="00E43C55"/>
    <w:rsid w:val="00E44018"/>
    <w:rsid w:val="00E44288"/>
    <w:rsid w:val="00E442D3"/>
    <w:rsid w:val="00E44B3B"/>
    <w:rsid w:val="00E452B7"/>
    <w:rsid w:val="00E45351"/>
    <w:rsid w:val="00E457F8"/>
    <w:rsid w:val="00E45823"/>
    <w:rsid w:val="00E4586D"/>
    <w:rsid w:val="00E45BA9"/>
    <w:rsid w:val="00E4618D"/>
    <w:rsid w:val="00E466D6"/>
    <w:rsid w:val="00E46B19"/>
    <w:rsid w:val="00E46C9E"/>
    <w:rsid w:val="00E46FDD"/>
    <w:rsid w:val="00E47428"/>
    <w:rsid w:val="00E47AD7"/>
    <w:rsid w:val="00E47D04"/>
    <w:rsid w:val="00E47F7C"/>
    <w:rsid w:val="00E500A3"/>
    <w:rsid w:val="00E50746"/>
    <w:rsid w:val="00E50893"/>
    <w:rsid w:val="00E50927"/>
    <w:rsid w:val="00E5092E"/>
    <w:rsid w:val="00E50DF5"/>
    <w:rsid w:val="00E5106C"/>
    <w:rsid w:val="00E511F5"/>
    <w:rsid w:val="00E51979"/>
    <w:rsid w:val="00E51F27"/>
    <w:rsid w:val="00E5207B"/>
    <w:rsid w:val="00E525F4"/>
    <w:rsid w:val="00E528B8"/>
    <w:rsid w:val="00E52B02"/>
    <w:rsid w:val="00E52EFA"/>
    <w:rsid w:val="00E535CC"/>
    <w:rsid w:val="00E53CA1"/>
    <w:rsid w:val="00E540AD"/>
    <w:rsid w:val="00E54311"/>
    <w:rsid w:val="00E54421"/>
    <w:rsid w:val="00E545AB"/>
    <w:rsid w:val="00E5464B"/>
    <w:rsid w:val="00E54AD5"/>
    <w:rsid w:val="00E54B4F"/>
    <w:rsid w:val="00E56C8E"/>
    <w:rsid w:val="00E56CCC"/>
    <w:rsid w:val="00E57107"/>
    <w:rsid w:val="00E5716B"/>
    <w:rsid w:val="00E5721F"/>
    <w:rsid w:val="00E57DE2"/>
    <w:rsid w:val="00E57F1F"/>
    <w:rsid w:val="00E601D8"/>
    <w:rsid w:val="00E60636"/>
    <w:rsid w:val="00E60FBC"/>
    <w:rsid w:val="00E61557"/>
    <w:rsid w:val="00E618F1"/>
    <w:rsid w:val="00E61B41"/>
    <w:rsid w:val="00E61E36"/>
    <w:rsid w:val="00E6227B"/>
    <w:rsid w:val="00E62BD6"/>
    <w:rsid w:val="00E6336E"/>
    <w:rsid w:val="00E6378F"/>
    <w:rsid w:val="00E63838"/>
    <w:rsid w:val="00E639E1"/>
    <w:rsid w:val="00E64176"/>
    <w:rsid w:val="00E641C9"/>
    <w:rsid w:val="00E642EB"/>
    <w:rsid w:val="00E657F4"/>
    <w:rsid w:val="00E6594C"/>
    <w:rsid w:val="00E66148"/>
    <w:rsid w:val="00E66243"/>
    <w:rsid w:val="00E6639E"/>
    <w:rsid w:val="00E6665B"/>
    <w:rsid w:val="00E66673"/>
    <w:rsid w:val="00E66B9F"/>
    <w:rsid w:val="00E66BFB"/>
    <w:rsid w:val="00E66DA4"/>
    <w:rsid w:val="00E672B8"/>
    <w:rsid w:val="00E67656"/>
    <w:rsid w:val="00E67BE5"/>
    <w:rsid w:val="00E67BF0"/>
    <w:rsid w:val="00E67D27"/>
    <w:rsid w:val="00E67D30"/>
    <w:rsid w:val="00E67DE8"/>
    <w:rsid w:val="00E705C9"/>
    <w:rsid w:val="00E70A6A"/>
    <w:rsid w:val="00E70E04"/>
    <w:rsid w:val="00E710D6"/>
    <w:rsid w:val="00E711C9"/>
    <w:rsid w:val="00E71805"/>
    <w:rsid w:val="00E71AC8"/>
    <w:rsid w:val="00E72090"/>
    <w:rsid w:val="00E72156"/>
    <w:rsid w:val="00E723F5"/>
    <w:rsid w:val="00E72AC3"/>
    <w:rsid w:val="00E73146"/>
    <w:rsid w:val="00E7315D"/>
    <w:rsid w:val="00E73848"/>
    <w:rsid w:val="00E73927"/>
    <w:rsid w:val="00E73DA4"/>
    <w:rsid w:val="00E746AB"/>
    <w:rsid w:val="00E74F22"/>
    <w:rsid w:val="00E74FE2"/>
    <w:rsid w:val="00E755B5"/>
    <w:rsid w:val="00E75EF7"/>
    <w:rsid w:val="00E7644B"/>
    <w:rsid w:val="00E76A03"/>
    <w:rsid w:val="00E76C92"/>
    <w:rsid w:val="00E76E45"/>
    <w:rsid w:val="00E7754B"/>
    <w:rsid w:val="00E77653"/>
    <w:rsid w:val="00E777C9"/>
    <w:rsid w:val="00E77840"/>
    <w:rsid w:val="00E77994"/>
    <w:rsid w:val="00E77C50"/>
    <w:rsid w:val="00E77C71"/>
    <w:rsid w:val="00E80256"/>
    <w:rsid w:val="00E80705"/>
    <w:rsid w:val="00E80BFD"/>
    <w:rsid w:val="00E80F89"/>
    <w:rsid w:val="00E816E3"/>
    <w:rsid w:val="00E81871"/>
    <w:rsid w:val="00E81DA6"/>
    <w:rsid w:val="00E81E61"/>
    <w:rsid w:val="00E82744"/>
    <w:rsid w:val="00E8274C"/>
    <w:rsid w:val="00E82CF6"/>
    <w:rsid w:val="00E82EBD"/>
    <w:rsid w:val="00E82F77"/>
    <w:rsid w:val="00E82F80"/>
    <w:rsid w:val="00E83615"/>
    <w:rsid w:val="00E839BC"/>
    <w:rsid w:val="00E83B01"/>
    <w:rsid w:val="00E83B02"/>
    <w:rsid w:val="00E84212"/>
    <w:rsid w:val="00E84349"/>
    <w:rsid w:val="00E844FF"/>
    <w:rsid w:val="00E85691"/>
    <w:rsid w:val="00E85985"/>
    <w:rsid w:val="00E85ACD"/>
    <w:rsid w:val="00E86757"/>
    <w:rsid w:val="00E869BB"/>
    <w:rsid w:val="00E86E93"/>
    <w:rsid w:val="00E8756C"/>
    <w:rsid w:val="00E879D2"/>
    <w:rsid w:val="00E87CB9"/>
    <w:rsid w:val="00E87D70"/>
    <w:rsid w:val="00E900B9"/>
    <w:rsid w:val="00E9024F"/>
    <w:rsid w:val="00E9086C"/>
    <w:rsid w:val="00E90AAA"/>
    <w:rsid w:val="00E91421"/>
    <w:rsid w:val="00E9142C"/>
    <w:rsid w:val="00E91792"/>
    <w:rsid w:val="00E91A0F"/>
    <w:rsid w:val="00E91FB6"/>
    <w:rsid w:val="00E92872"/>
    <w:rsid w:val="00E929D2"/>
    <w:rsid w:val="00E92C30"/>
    <w:rsid w:val="00E938E9"/>
    <w:rsid w:val="00E939E7"/>
    <w:rsid w:val="00E939FD"/>
    <w:rsid w:val="00E93AC2"/>
    <w:rsid w:val="00E942E4"/>
    <w:rsid w:val="00E9451A"/>
    <w:rsid w:val="00E947CD"/>
    <w:rsid w:val="00E949B3"/>
    <w:rsid w:val="00E94A71"/>
    <w:rsid w:val="00E94B19"/>
    <w:rsid w:val="00E94CBF"/>
    <w:rsid w:val="00E94CD2"/>
    <w:rsid w:val="00E94E1C"/>
    <w:rsid w:val="00E95258"/>
    <w:rsid w:val="00E953BD"/>
    <w:rsid w:val="00E958C4"/>
    <w:rsid w:val="00E959FB"/>
    <w:rsid w:val="00E95A8F"/>
    <w:rsid w:val="00E95A9B"/>
    <w:rsid w:val="00E95BC7"/>
    <w:rsid w:val="00E95C00"/>
    <w:rsid w:val="00E9604B"/>
    <w:rsid w:val="00E9642F"/>
    <w:rsid w:val="00E9673A"/>
    <w:rsid w:val="00E96920"/>
    <w:rsid w:val="00E96AD1"/>
    <w:rsid w:val="00E96AEF"/>
    <w:rsid w:val="00E972A3"/>
    <w:rsid w:val="00E97944"/>
    <w:rsid w:val="00E97B29"/>
    <w:rsid w:val="00E97B41"/>
    <w:rsid w:val="00EA03CE"/>
    <w:rsid w:val="00EA0D16"/>
    <w:rsid w:val="00EA0F3A"/>
    <w:rsid w:val="00EA1555"/>
    <w:rsid w:val="00EA1E36"/>
    <w:rsid w:val="00EA1E9B"/>
    <w:rsid w:val="00EA23E5"/>
    <w:rsid w:val="00EA23F5"/>
    <w:rsid w:val="00EA2676"/>
    <w:rsid w:val="00EA2712"/>
    <w:rsid w:val="00EA2DE9"/>
    <w:rsid w:val="00EA31CA"/>
    <w:rsid w:val="00EA3883"/>
    <w:rsid w:val="00EA398B"/>
    <w:rsid w:val="00EA3EBF"/>
    <w:rsid w:val="00EA474C"/>
    <w:rsid w:val="00EA4AFF"/>
    <w:rsid w:val="00EA4E2E"/>
    <w:rsid w:val="00EA5202"/>
    <w:rsid w:val="00EA5528"/>
    <w:rsid w:val="00EA589D"/>
    <w:rsid w:val="00EA5D23"/>
    <w:rsid w:val="00EA617E"/>
    <w:rsid w:val="00EA6765"/>
    <w:rsid w:val="00EA6863"/>
    <w:rsid w:val="00EB0004"/>
    <w:rsid w:val="00EB040A"/>
    <w:rsid w:val="00EB0773"/>
    <w:rsid w:val="00EB083A"/>
    <w:rsid w:val="00EB0ACE"/>
    <w:rsid w:val="00EB1DA6"/>
    <w:rsid w:val="00EB1E83"/>
    <w:rsid w:val="00EB2417"/>
    <w:rsid w:val="00EB2659"/>
    <w:rsid w:val="00EB266E"/>
    <w:rsid w:val="00EB296B"/>
    <w:rsid w:val="00EB2CCB"/>
    <w:rsid w:val="00EB2E64"/>
    <w:rsid w:val="00EB30D7"/>
    <w:rsid w:val="00EB37AB"/>
    <w:rsid w:val="00EB3CF5"/>
    <w:rsid w:val="00EB4835"/>
    <w:rsid w:val="00EB49F6"/>
    <w:rsid w:val="00EB4CFD"/>
    <w:rsid w:val="00EB55C7"/>
    <w:rsid w:val="00EB5774"/>
    <w:rsid w:val="00EB5AC2"/>
    <w:rsid w:val="00EB630D"/>
    <w:rsid w:val="00EB6372"/>
    <w:rsid w:val="00EB65AA"/>
    <w:rsid w:val="00EB6A0A"/>
    <w:rsid w:val="00EB7097"/>
    <w:rsid w:val="00EB7922"/>
    <w:rsid w:val="00EB79B6"/>
    <w:rsid w:val="00EB79C9"/>
    <w:rsid w:val="00EB7A25"/>
    <w:rsid w:val="00EC0ABB"/>
    <w:rsid w:val="00EC0F3E"/>
    <w:rsid w:val="00EC1939"/>
    <w:rsid w:val="00EC1CF5"/>
    <w:rsid w:val="00EC1F8F"/>
    <w:rsid w:val="00EC2359"/>
    <w:rsid w:val="00EC2E1D"/>
    <w:rsid w:val="00EC2FB4"/>
    <w:rsid w:val="00EC32A5"/>
    <w:rsid w:val="00EC380A"/>
    <w:rsid w:val="00EC39F4"/>
    <w:rsid w:val="00EC3CF1"/>
    <w:rsid w:val="00EC3F40"/>
    <w:rsid w:val="00EC43BE"/>
    <w:rsid w:val="00EC43D8"/>
    <w:rsid w:val="00EC54CB"/>
    <w:rsid w:val="00EC55EA"/>
    <w:rsid w:val="00EC57A7"/>
    <w:rsid w:val="00EC5EC2"/>
    <w:rsid w:val="00EC6051"/>
    <w:rsid w:val="00EC63A3"/>
    <w:rsid w:val="00EC6488"/>
    <w:rsid w:val="00EC64A8"/>
    <w:rsid w:val="00EC660F"/>
    <w:rsid w:val="00EC6859"/>
    <w:rsid w:val="00EC6ABB"/>
    <w:rsid w:val="00EC6AD2"/>
    <w:rsid w:val="00EC6B1C"/>
    <w:rsid w:val="00EC71EC"/>
    <w:rsid w:val="00EC72D2"/>
    <w:rsid w:val="00EC7430"/>
    <w:rsid w:val="00EC7785"/>
    <w:rsid w:val="00EC794C"/>
    <w:rsid w:val="00EC7E78"/>
    <w:rsid w:val="00ED0556"/>
    <w:rsid w:val="00ED0817"/>
    <w:rsid w:val="00ED1136"/>
    <w:rsid w:val="00ED131C"/>
    <w:rsid w:val="00ED19CF"/>
    <w:rsid w:val="00ED1AAA"/>
    <w:rsid w:val="00ED1D9D"/>
    <w:rsid w:val="00ED2199"/>
    <w:rsid w:val="00ED2374"/>
    <w:rsid w:val="00ED261F"/>
    <w:rsid w:val="00ED27BE"/>
    <w:rsid w:val="00ED2803"/>
    <w:rsid w:val="00ED2948"/>
    <w:rsid w:val="00ED2D6B"/>
    <w:rsid w:val="00ED2E7D"/>
    <w:rsid w:val="00ED3C1B"/>
    <w:rsid w:val="00ED3C67"/>
    <w:rsid w:val="00ED4438"/>
    <w:rsid w:val="00ED4A78"/>
    <w:rsid w:val="00ED4BBE"/>
    <w:rsid w:val="00ED52F8"/>
    <w:rsid w:val="00ED61E7"/>
    <w:rsid w:val="00ED6280"/>
    <w:rsid w:val="00ED65C6"/>
    <w:rsid w:val="00ED6AEE"/>
    <w:rsid w:val="00ED6DFB"/>
    <w:rsid w:val="00ED71FA"/>
    <w:rsid w:val="00ED79E3"/>
    <w:rsid w:val="00ED7DD9"/>
    <w:rsid w:val="00EE00B0"/>
    <w:rsid w:val="00EE0421"/>
    <w:rsid w:val="00EE0958"/>
    <w:rsid w:val="00EE0968"/>
    <w:rsid w:val="00EE0B04"/>
    <w:rsid w:val="00EE0C1D"/>
    <w:rsid w:val="00EE0C87"/>
    <w:rsid w:val="00EE0C92"/>
    <w:rsid w:val="00EE10CB"/>
    <w:rsid w:val="00EE1AE1"/>
    <w:rsid w:val="00EE1CE7"/>
    <w:rsid w:val="00EE1FB7"/>
    <w:rsid w:val="00EE2217"/>
    <w:rsid w:val="00EE251D"/>
    <w:rsid w:val="00EE2B3B"/>
    <w:rsid w:val="00EE2F01"/>
    <w:rsid w:val="00EE30CD"/>
    <w:rsid w:val="00EE3A9E"/>
    <w:rsid w:val="00EE3E36"/>
    <w:rsid w:val="00EE41D1"/>
    <w:rsid w:val="00EE445B"/>
    <w:rsid w:val="00EE45A9"/>
    <w:rsid w:val="00EE47B1"/>
    <w:rsid w:val="00EE49EC"/>
    <w:rsid w:val="00EE4AD4"/>
    <w:rsid w:val="00EE4AFC"/>
    <w:rsid w:val="00EE4D12"/>
    <w:rsid w:val="00EE4DD8"/>
    <w:rsid w:val="00EE5188"/>
    <w:rsid w:val="00EE5522"/>
    <w:rsid w:val="00EE5812"/>
    <w:rsid w:val="00EE59BC"/>
    <w:rsid w:val="00EE59CD"/>
    <w:rsid w:val="00EE5E78"/>
    <w:rsid w:val="00EE62DD"/>
    <w:rsid w:val="00EE655F"/>
    <w:rsid w:val="00EE663A"/>
    <w:rsid w:val="00EE701A"/>
    <w:rsid w:val="00EE73AF"/>
    <w:rsid w:val="00EF0197"/>
    <w:rsid w:val="00EF093A"/>
    <w:rsid w:val="00EF1061"/>
    <w:rsid w:val="00EF13D8"/>
    <w:rsid w:val="00EF1DAA"/>
    <w:rsid w:val="00EF1E66"/>
    <w:rsid w:val="00EF1F73"/>
    <w:rsid w:val="00EF246A"/>
    <w:rsid w:val="00EF261A"/>
    <w:rsid w:val="00EF2CA9"/>
    <w:rsid w:val="00EF3113"/>
    <w:rsid w:val="00EF33C9"/>
    <w:rsid w:val="00EF358F"/>
    <w:rsid w:val="00EF36A2"/>
    <w:rsid w:val="00EF38FF"/>
    <w:rsid w:val="00EF3D4E"/>
    <w:rsid w:val="00EF3DDE"/>
    <w:rsid w:val="00EF3F84"/>
    <w:rsid w:val="00EF41B9"/>
    <w:rsid w:val="00EF4733"/>
    <w:rsid w:val="00EF4C9D"/>
    <w:rsid w:val="00EF4CB5"/>
    <w:rsid w:val="00EF4E41"/>
    <w:rsid w:val="00EF5352"/>
    <w:rsid w:val="00EF5BEC"/>
    <w:rsid w:val="00EF5F41"/>
    <w:rsid w:val="00EF616C"/>
    <w:rsid w:val="00EF63BC"/>
    <w:rsid w:val="00EF65B8"/>
    <w:rsid w:val="00EF6703"/>
    <w:rsid w:val="00EF68B7"/>
    <w:rsid w:val="00EF69B3"/>
    <w:rsid w:val="00EF6B96"/>
    <w:rsid w:val="00EF6BFC"/>
    <w:rsid w:val="00EF6CAC"/>
    <w:rsid w:val="00EF7393"/>
    <w:rsid w:val="00EF754A"/>
    <w:rsid w:val="00EF7718"/>
    <w:rsid w:val="00EF7A94"/>
    <w:rsid w:val="00EF7C36"/>
    <w:rsid w:val="00EF7C92"/>
    <w:rsid w:val="00EF7E41"/>
    <w:rsid w:val="00F00328"/>
    <w:rsid w:val="00F00374"/>
    <w:rsid w:val="00F00840"/>
    <w:rsid w:val="00F00976"/>
    <w:rsid w:val="00F00A02"/>
    <w:rsid w:val="00F00F7A"/>
    <w:rsid w:val="00F013DF"/>
    <w:rsid w:val="00F01FF3"/>
    <w:rsid w:val="00F02862"/>
    <w:rsid w:val="00F02A52"/>
    <w:rsid w:val="00F02CA4"/>
    <w:rsid w:val="00F02CAF"/>
    <w:rsid w:val="00F02E94"/>
    <w:rsid w:val="00F03383"/>
    <w:rsid w:val="00F03B02"/>
    <w:rsid w:val="00F03B49"/>
    <w:rsid w:val="00F03BEE"/>
    <w:rsid w:val="00F03FF1"/>
    <w:rsid w:val="00F05417"/>
    <w:rsid w:val="00F054BE"/>
    <w:rsid w:val="00F055CB"/>
    <w:rsid w:val="00F0583D"/>
    <w:rsid w:val="00F05BD4"/>
    <w:rsid w:val="00F05E4C"/>
    <w:rsid w:val="00F06A38"/>
    <w:rsid w:val="00F07257"/>
    <w:rsid w:val="00F07285"/>
    <w:rsid w:val="00F077E9"/>
    <w:rsid w:val="00F07E28"/>
    <w:rsid w:val="00F10447"/>
    <w:rsid w:val="00F11447"/>
    <w:rsid w:val="00F117B6"/>
    <w:rsid w:val="00F11A82"/>
    <w:rsid w:val="00F11EC8"/>
    <w:rsid w:val="00F11FDF"/>
    <w:rsid w:val="00F12255"/>
    <w:rsid w:val="00F12414"/>
    <w:rsid w:val="00F126F8"/>
    <w:rsid w:val="00F1429D"/>
    <w:rsid w:val="00F1449B"/>
    <w:rsid w:val="00F14A9A"/>
    <w:rsid w:val="00F14DE0"/>
    <w:rsid w:val="00F14EBD"/>
    <w:rsid w:val="00F15E0F"/>
    <w:rsid w:val="00F1654B"/>
    <w:rsid w:val="00F16BC6"/>
    <w:rsid w:val="00F16E81"/>
    <w:rsid w:val="00F16ED2"/>
    <w:rsid w:val="00F1714A"/>
    <w:rsid w:val="00F1714D"/>
    <w:rsid w:val="00F175B7"/>
    <w:rsid w:val="00F176AC"/>
    <w:rsid w:val="00F2048E"/>
    <w:rsid w:val="00F20626"/>
    <w:rsid w:val="00F20686"/>
    <w:rsid w:val="00F21054"/>
    <w:rsid w:val="00F216AB"/>
    <w:rsid w:val="00F21D88"/>
    <w:rsid w:val="00F21FBE"/>
    <w:rsid w:val="00F2240F"/>
    <w:rsid w:val="00F22B2E"/>
    <w:rsid w:val="00F22B43"/>
    <w:rsid w:val="00F22C27"/>
    <w:rsid w:val="00F232D8"/>
    <w:rsid w:val="00F233BF"/>
    <w:rsid w:val="00F23423"/>
    <w:rsid w:val="00F2342F"/>
    <w:rsid w:val="00F23713"/>
    <w:rsid w:val="00F23C2C"/>
    <w:rsid w:val="00F23D5D"/>
    <w:rsid w:val="00F245F4"/>
    <w:rsid w:val="00F2473B"/>
    <w:rsid w:val="00F24915"/>
    <w:rsid w:val="00F24CF9"/>
    <w:rsid w:val="00F24EBB"/>
    <w:rsid w:val="00F25227"/>
    <w:rsid w:val="00F252B4"/>
    <w:rsid w:val="00F25630"/>
    <w:rsid w:val="00F25C9E"/>
    <w:rsid w:val="00F25E9D"/>
    <w:rsid w:val="00F262F0"/>
    <w:rsid w:val="00F26518"/>
    <w:rsid w:val="00F2663A"/>
    <w:rsid w:val="00F26900"/>
    <w:rsid w:val="00F269C2"/>
    <w:rsid w:val="00F26C72"/>
    <w:rsid w:val="00F26D14"/>
    <w:rsid w:val="00F26E49"/>
    <w:rsid w:val="00F26F28"/>
    <w:rsid w:val="00F27191"/>
    <w:rsid w:val="00F27714"/>
    <w:rsid w:val="00F27B11"/>
    <w:rsid w:val="00F30AE1"/>
    <w:rsid w:val="00F311CD"/>
    <w:rsid w:val="00F31CA8"/>
    <w:rsid w:val="00F32645"/>
    <w:rsid w:val="00F3276E"/>
    <w:rsid w:val="00F328DA"/>
    <w:rsid w:val="00F32E1E"/>
    <w:rsid w:val="00F32F3F"/>
    <w:rsid w:val="00F33580"/>
    <w:rsid w:val="00F337BD"/>
    <w:rsid w:val="00F33D3C"/>
    <w:rsid w:val="00F34027"/>
    <w:rsid w:val="00F34062"/>
    <w:rsid w:val="00F34461"/>
    <w:rsid w:val="00F34E70"/>
    <w:rsid w:val="00F353BD"/>
    <w:rsid w:val="00F35CF9"/>
    <w:rsid w:val="00F35DF2"/>
    <w:rsid w:val="00F35F6C"/>
    <w:rsid w:val="00F3613E"/>
    <w:rsid w:val="00F36B41"/>
    <w:rsid w:val="00F37990"/>
    <w:rsid w:val="00F37A91"/>
    <w:rsid w:val="00F40444"/>
    <w:rsid w:val="00F4046B"/>
    <w:rsid w:val="00F408A0"/>
    <w:rsid w:val="00F40DC4"/>
    <w:rsid w:val="00F40DE6"/>
    <w:rsid w:val="00F415BA"/>
    <w:rsid w:val="00F415F3"/>
    <w:rsid w:val="00F41852"/>
    <w:rsid w:val="00F425FC"/>
    <w:rsid w:val="00F42A98"/>
    <w:rsid w:val="00F43200"/>
    <w:rsid w:val="00F433D8"/>
    <w:rsid w:val="00F4373B"/>
    <w:rsid w:val="00F43897"/>
    <w:rsid w:val="00F43A31"/>
    <w:rsid w:val="00F43EB2"/>
    <w:rsid w:val="00F441E9"/>
    <w:rsid w:val="00F442A4"/>
    <w:rsid w:val="00F44B53"/>
    <w:rsid w:val="00F44CCC"/>
    <w:rsid w:val="00F44FFB"/>
    <w:rsid w:val="00F45730"/>
    <w:rsid w:val="00F45CF5"/>
    <w:rsid w:val="00F45D87"/>
    <w:rsid w:val="00F4647D"/>
    <w:rsid w:val="00F4650B"/>
    <w:rsid w:val="00F46771"/>
    <w:rsid w:val="00F467D1"/>
    <w:rsid w:val="00F46964"/>
    <w:rsid w:val="00F46A7E"/>
    <w:rsid w:val="00F46DE5"/>
    <w:rsid w:val="00F46F6D"/>
    <w:rsid w:val="00F477EB"/>
    <w:rsid w:val="00F47818"/>
    <w:rsid w:val="00F47836"/>
    <w:rsid w:val="00F47DB0"/>
    <w:rsid w:val="00F47E10"/>
    <w:rsid w:val="00F50270"/>
    <w:rsid w:val="00F50409"/>
    <w:rsid w:val="00F50C3F"/>
    <w:rsid w:val="00F50DD2"/>
    <w:rsid w:val="00F50E34"/>
    <w:rsid w:val="00F510ED"/>
    <w:rsid w:val="00F514EE"/>
    <w:rsid w:val="00F515B1"/>
    <w:rsid w:val="00F518C4"/>
    <w:rsid w:val="00F51AB8"/>
    <w:rsid w:val="00F51AFB"/>
    <w:rsid w:val="00F51DD4"/>
    <w:rsid w:val="00F525DA"/>
    <w:rsid w:val="00F52F01"/>
    <w:rsid w:val="00F53119"/>
    <w:rsid w:val="00F53891"/>
    <w:rsid w:val="00F53EF7"/>
    <w:rsid w:val="00F54858"/>
    <w:rsid w:val="00F54A67"/>
    <w:rsid w:val="00F54AD9"/>
    <w:rsid w:val="00F54B80"/>
    <w:rsid w:val="00F54BF2"/>
    <w:rsid w:val="00F54F5B"/>
    <w:rsid w:val="00F5576B"/>
    <w:rsid w:val="00F558C6"/>
    <w:rsid w:val="00F55F8C"/>
    <w:rsid w:val="00F55FCD"/>
    <w:rsid w:val="00F563C8"/>
    <w:rsid w:val="00F56BC9"/>
    <w:rsid w:val="00F56C0E"/>
    <w:rsid w:val="00F56F19"/>
    <w:rsid w:val="00F574B9"/>
    <w:rsid w:val="00F5767D"/>
    <w:rsid w:val="00F5768B"/>
    <w:rsid w:val="00F578AB"/>
    <w:rsid w:val="00F57C0D"/>
    <w:rsid w:val="00F57FEC"/>
    <w:rsid w:val="00F60942"/>
    <w:rsid w:val="00F609CC"/>
    <w:rsid w:val="00F609F3"/>
    <w:rsid w:val="00F60EF3"/>
    <w:rsid w:val="00F616F6"/>
    <w:rsid w:val="00F61FEB"/>
    <w:rsid w:val="00F62039"/>
    <w:rsid w:val="00F62371"/>
    <w:rsid w:val="00F62935"/>
    <w:rsid w:val="00F62954"/>
    <w:rsid w:val="00F62EC8"/>
    <w:rsid w:val="00F63149"/>
    <w:rsid w:val="00F6378B"/>
    <w:rsid w:val="00F637E4"/>
    <w:rsid w:val="00F63B65"/>
    <w:rsid w:val="00F64230"/>
    <w:rsid w:val="00F6470F"/>
    <w:rsid w:val="00F650A2"/>
    <w:rsid w:val="00F651B2"/>
    <w:rsid w:val="00F652B4"/>
    <w:rsid w:val="00F66F32"/>
    <w:rsid w:val="00F677B7"/>
    <w:rsid w:val="00F706D6"/>
    <w:rsid w:val="00F70777"/>
    <w:rsid w:val="00F70805"/>
    <w:rsid w:val="00F70D70"/>
    <w:rsid w:val="00F712E2"/>
    <w:rsid w:val="00F717C5"/>
    <w:rsid w:val="00F71A9D"/>
    <w:rsid w:val="00F725DF"/>
    <w:rsid w:val="00F72AD3"/>
    <w:rsid w:val="00F72CC7"/>
    <w:rsid w:val="00F72F00"/>
    <w:rsid w:val="00F73854"/>
    <w:rsid w:val="00F744AE"/>
    <w:rsid w:val="00F745FE"/>
    <w:rsid w:val="00F748B8"/>
    <w:rsid w:val="00F74990"/>
    <w:rsid w:val="00F7551B"/>
    <w:rsid w:val="00F75547"/>
    <w:rsid w:val="00F75620"/>
    <w:rsid w:val="00F75873"/>
    <w:rsid w:val="00F75C77"/>
    <w:rsid w:val="00F75D42"/>
    <w:rsid w:val="00F76558"/>
    <w:rsid w:val="00F767A6"/>
    <w:rsid w:val="00F76EBB"/>
    <w:rsid w:val="00F77162"/>
    <w:rsid w:val="00F775AC"/>
    <w:rsid w:val="00F77B07"/>
    <w:rsid w:val="00F8097F"/>
    <w:rsid w:val="00F809A8"/>
    <w:rsid w:val="00F8134F"/>
    <w:rsid w:val="00F8177C"/>
    <w:rsid w:val="00F81927"/>
    <w:rsid w:val="00F82408"/>
    <w:rsid w:val="00F8264B"/>
    <w:rsid w:val="00F82737"/>
    <w:rsid w:val="00F827DE"/>
    <w:rsid w:val="00F82921"/>
    <w:rsid w:val="00F82D10"/>
    <w:rsid w:val="00F8370E"/>
    <w:rsid w:val="00F837E1"/>
    <w:rsid w:val="00F83E81"/>
    <w:rsid w:val="00F8408D"/>
    <w:rsid w:val="00F842CD"/>
    <w:rsid w:val="00F845ED"/>
    <w:rsid w:val="00F85B08"/>
    <w:rsid w:val="00F85EEA"/>
    <w:rsid w:val="00F867F1"/>
    <w:rsid w:val="00F869D1"/>
    <w:rsid w:val="00F86E4D"/>
    <w:rsid w:val="00F87296"/>
    <w:rsid w:val="00F8750D"/>
    <w:rsid w:val="00F8783B"/>
    <w:rsid w:val="00F8792F"/>
    <w:rsid w:val="00F90124"/>
    <w:rsid w:val="00F901A8"/>
    <w:rsid w:val="00F904D7"/>
    <w:rsid w:val="00F907BA"/>
    <w:rsid w:val="00F90FA0"/>
    <w:rsid w:val="00F912F2"/>
    <w:rsid w:val="00F9141A"/>
    <w:rsid w:val="00F9190C"/>
    <w:rsid w:val="00F91F6A"/>
    <w:rsid w:val="00F91F75"/>
    <w:rsid w:val="00F9214D"/>
    <w:rsid w:val="00F922F0"/>
    <w:rsid w:val="00F92355"/>
    <w:rsid w:val="00F929D6"/>
    <w:rsid w:val="00F92F63"/>
    <w:rsid w:val="00F93963"/>
    <w:rsid w:val="00F93C11"/>
    <w:rsid w:val="00F94291"/>
    <w:rsid w:val="00F944B2"/>
    <w:rsid w:val="00F94D16"/>
    <w:rsid w:val="00F95227"/>
    <w:rsid w:val="00F95332"/>
    <w:rsid w:val="00F95973"/>
    <w:rsid w:val="00F95CAD"/>
    <w:rsid w:val="00F967EA"/>
    <w:rsid w:val="00F969A9"/>
    <w:rsid w:val="00F96A6F"/>
    <w:rsid w:val="00F96D0D"/>
    <w:rsid w:val="00F973BF"/>
    <w:rsid w:val="00F974A1"/>
    <w:rsid w:val="00F976B9"/>
    <w:rsid w:val="00F977A8"/>
    <w:rsid w:val="00F978EE"/>
    <w:rsid w:val="00F97A3C"/>
    <w:rsid w:val="00F97D5C"/>
    <w:rsid w:val="00FA0097"/>
    <w:rsid w:val="00FA0227"/>
    <w:rsid w:val="00FA10E7"/>
    <w:rsid w:val="00FA172D"/>
    <w:rsid w:val="00FA1B0D"/>
    <w:rsid w:val="00FA22A7"/>
    <w:rsid w:val="00FA2336"/>
    <w:rsid w:val="00FA238C"/>
    <w:rsid w:val="00FA292E"/>
    <w:rsid w:val="00FA298A"/>
    <w:rsid w:val="00FA29C3"/>
    <w:rsid w:val="00FA2BA4"/>
    <w:rsid w:val="00FA2F0C"/>
    <w:rsid w:val="00FA32D1"/>
    <w:rsid w:val="00FA3477"/>
    <w:rsid w:val="00FA378D"/>
    <w:rsid w:val="00FA37F6"/>
    <w:rsid w:val="00FA3B28"/>
    <w:rsid w:val="00FA45D5"/>
    <w:rsid w:val="00FA481F"/>
    <w:rsid w:val="00FA48AB"/>
    <w:rsid w:val="00FA49A4"/>
    <w:rsid w:val="00FA4DE7"/>
    <w:rsid w:val="00FA50F2"/>
    <w:rsid w:val="00FA5185"/>
    <w:rsid w:val="00FA52E5"/>
    <w:rsid w:val="00FA54B3"/>
    <w:rsid w:val="00FA559F"/>
    <w:rsid w:val="00FA5B66"/>
    <w:rsid w:val="00FA6326"/>
    <w:rsid w:val="00FA69BB"/>
    <w:rsid w:val="00FA6F0E"/>
    <w:rsid w:val="00FA7182"/>
    <w:rsid w:val="00FA71A3"/>
    <w:rsid w:val="00FA7C24"/>
    <w:rsid w:val="00FB05D4"/>
    <w:rsid w:val="00FB08E8"/>
    <w:rsid w:val="00FB093C"/>
    <w:rsid w:val="00FB0B11"/>
    <w:rsid w:val="00FB0B9C"/>
    <w:rsid w:val="00FB0DBC"/>
    <w:rsid w:val="00FB2104"/>
    <w:rsid w:val="00FB2253"/>
    <w:rsid w:val="00FB270B"/>
    <w:rsid w:val="00FB2C51"/>
    <w:rsid w:val="00FB2DBE"/>
    <w:rsid w:val="00FB3058"/>
    <w:rsid w:val="00FB30EB"/>
    <w:rsid w:val="00FB3288"/>
    <w:rsid w:val="00FB3BD3"/>
    <w:rsid w:val="00FB429D"/>
    <w:rsid w:val="00FB44AC"/>
    <w:rsid w:val="00FB4608"/>
    <w:rsid w:val="00FB460B"/>
    <w:rsid w:val="00FB4879"/>
    <w:rsid w:val="00FB490B"/>
    <w:rsid w:val="00FB496D"/>
    <w:rsid w:val="00FB4B52"/>
    <w:rsid w:val="00FB5247"/>
    <w:rsid w:val="00FB546F"/>
    <w:rsid w:val="00FB553F"/>
    <w:rsid w:val="00FB567F"/>
    <w:rsid w:val="00FB5702"/>
    <w:rsid w:val="00FB5BFD"/>
    <w:rsid w:val="00FB5C15"/>
    <w:rsid w:val="00FB5CAD"/>
    <w:rsid w:val="00FB5CFE"/>
    <w:rsid w:val="00FB5E4C"/>
    <w:rsid w:val="00FB69BD"/>
    <w:rsid w:val="00FB6ADB"/>
    <w:rsid w:val="00FB76E2"/>
    <w:rsid w:val="00FB7982"/>
    <w:rsid w:val="00FB79F3"/>
    <w:rsid w:val="00FB7D0A"/>
    <w:rsid w:val="00FC03CA"/>
    <w:rsid w:val="00FC0618"/>
    <w:rsid w:val="00FC0734"/>
    <w:rsid w:val="00FC093F"/>
    <w:rsid w:val="00FC0E1F"/>
    <w:rsid w:val="00FC0FC5"/>
    <w:rsid w:val="00FC154F"/>
    <w:rsid w:val="00FC1676"/>
    <w:rsid w:val="00FC1D6B"/>
    <w:rsid w:val="00FC398A"/>
    <w:rsid w:val="00FC492C"/>
    <w:rsid w:val="00FC4A39"/>
    <w:rsid w:val="00FC519F"/>
    <w:rsid w:val="00FC588F"/>
    <w:rsid w:val="00FC5D57"/>
    <w:rsid w:val="00FC5DE7"/>
    <w:rsid w:val="00FC5EF6"/>
    <w:rsid w:val="00FC6474"/>
    <w:rsid w:val="00FC6850"/>
    <w:rsid w:val="00FC6879"/>
    <w:rsid w:val="00FC6C41"/>
    <w:rsid w:val="00FC6C9F"/>
    <w:rsid w:val="00FC6E01"/>
    <w:rsid w:val="00FC6E45"/>
    <w:rsid w:val="00FC6FD6"/>
    <w:rsid w:val="00FC757D"/>
    <w:rsid w:val="00FC77E0"/>
    <w:rsid w:val="00FD12EA"/>
    <w:rsid w:val="00FD1492"/>
    <w:rsid w:val="00FD211A"/>
    <w:rsid w:val="00FD236D"/>
    <w:rsid w:val="00FD23FA"/>
    <w:rsid w:val="00FD2B1A"/>
    <w:rsid w:val="00FD3078"/>
    <w:rsid w:val="00FD39B2"/>
    <w:rsid w:val="00FD3A5C"/>
    <w:rsid w:val="00FD3C8D"/>
    <w:rsid w:val="00FD3F1F"/>
    <w:rsid w:val="00FD4044"/>
    <w:rsid w:val="00FD415F"/>
    <w:rsid w:val="00FD4201"/>
    <w:rsid w:val="00FD43C2"/>
    <w:rsid w:val="00FD48EA"/>
    <w:rsid w:val="00FD52ED"/>
    <w:rsid w:val="00FD559B"/>
    <w:rsid w:val="00FD5676"/>
    <w:rsid w:val="00FD57CC"/>
    <w:rsid w:val="00FD57E0"/>
    <w:rsid w:val="00FD5BAF"/>
    <w:rsid w:val="00FD6029"/>
    <w:rsid w:val="00FD7007"/>
    <w:rsid w:val="00FD72EF"/>
    <w:rsid w:val="00FD7817"/>
    <w:rsid w:val="00FE1238"/>
    <w:rsid w:val="00FE1377"/>
    <w:rsid w:val="00FE1507"/>
    <w:rsid w:val="00FE191C"/>
    <w:rsid w:val="00FE1943"/>
    <w:rsid w:val="00FE1B30"/>
    <w:rsid w:val="00FE2286"/>
    <w:rsid w:val="00FE3634"/>
    <w:rsid w:val="00FE37F2"/>
    <w:rsid w:val="00FE3884"/>
    <w:rsid w:val="00FE39CF"/>
    <w:rsid w:val="00FE3CF4"/>
    <w:rsid w:val="00FE3E2A"/>
    <w:rsid w:val="00FE47C6"/>
    <w:rsid w:val="00FE54E1"/>
    <w:rsid w:val="00FE5534"/>
    <w:rsid w:val="00FE580E"/>
    <w:rsid w:val="00FE5E40"/>
    <w:rsid w:val="00FE6500"/>
    <w:rsid w:val="00FE67AC"/>
    <w:rsid w:val="00FE6F0B"/>
    <w:rsid w:val="00FE70FC"/>
    <w:rsid w:val="00FE730F"/>
    <w:rsid w:val="00FE7731"/>
    <w:rsid w:val="00FE7B44"/>
    <w:rsid w:val="00FE7BDE"/>
    <w:rsid w:val="00FE7E31"/>
    <w:rsid w:val="00FE7E73"/>
    <w:rsid w:val="00FF01F7"/>
    <w:rsid w:val="00FF1207"/>
    <w:rsid w:val="00FF1264"/>
    <w:rsid w:val="00FF1718"/>
    <w:rsid w:val="00FF1C29"/>
    <w:rsid w:val="00FF2045"/>
    <w:rsid w:val="00FF238D"/>
    <w:rsid w:val="00FF25B7"/>
    <w:rsid w:val="00FF2E05"/>
    <w:rsid w:val="00FF2FC6"/>
    <w:rsid w:val="00FF3222"/>
    <w:rsid w:val="00FF3519"/>
    <w:rsid w:val="00FF3550"/>
    <w:rsid w:val="00FF3992"/>
    <w:rsid w:val="00FF3CF2"/>
    <w:rsid w:val="00FF3D55"/>
    <w:rsid w:val="00FF3EAE"/>
    <w:rsid w:val="00FF3F96"/>
    <w:rsid w:val="00FF400C"/>
    <w:rsid w:val="00FF40B3"/>
    <w:rsid w:val="00FF4204"/>
    <w:rsid w:val="00FF4244"/>
    <w:rsid w:val="00FF4764"/>
    <w:rsid w:val="00FF488C"/>
    <w:rsid w:val="00FF4C3F"/>
    <w:rsid w:val="00FF53C1"/>
    <w:rsid w:val="00FF5B8E"/>
    <w:rsid w:val="00FF5D63"/>
    <w:rsid w:val="00FF5F20"/>
    <w:rsid w:val="00FF6456"/>
    <w:rsid w:val="00FF6878"/>
    <w:rsid w:val="00FF6B4F"/>
    <w:rsid w:val="00FF6C28"/>
    <w:rsid w:val="00FF7147"/>
    <w:rsid w:val="00FF71A3"/>
    <w:rsid w:val="00FF7353"/>
    <w:rsid w:val="00FF73E2"/>
    <w:rsid w:val="00FF76B2"/>
    <w:rsid w:val="00FF7ED8"/>
    <w:rsid w:val="2FAB3865"/>
    <w:rsid w:val="4CE2AB17"/>
    <w:rsid w:val="7BA34257"/>
    <w:rsid w:val="7FE7CE6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C9A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F6B27"/>
    <w:pPr>
      <w:spacing w:line="360" w:lineRule="auto"/>
      <w:jc w:val="both"/>
    </w:pPr>
    <w:rPr>
      <w:sz w:val="24"/>
      <w:lang w:eastAsia="en-US"/>
    </w:rPr>
  </w:style>
  <w:style w:type="paragraph" w:styleId="Heading1">
    <w:name w:val="heading 1"/>
    <w:aliases w:val="Heading,tchead,h1,h1 chapter heading,A MAJOR/BOLD,ASAPHeading 1,1,list 1,- Section,1.,1. Level 1 Heading,69%,Appendix1,Appendix2,Attribute Heading 1,Chapter,Chapter Heading,H1,Heading 1 St.George,L1,Lev,MAIN HEADING,Main Heading,No numbers,Par"/>
    <w:basedOn w:val="Normal"/>
    <w:next w:val="ParaNumbering"/>
    <w:link w:val="Heading1Char"/>
    <w:uiPriority w:val="9"/>
    <w:qFormat/>
    <w:pPr>
      <w:keepNext/>
      <w:spacing w:before="240" w:after="60" w:line="240" w:lineRule="auto"/>
      <w:outlineLvl w:val="0"/>
    </w:pPr>
    <w:rPr>
      <w:b/>
      <w:caps/>
      <w:kern w:val="28"/>
    </w:rPr>
  </w:style>
  <w:style w:type="paragraph" w:styleId="Heading2">
    <w:name w:val="heading 2"/>
    <w:aliases w:val="heading 2new,Heading 2 Hidden,h2,H2,2m,Level 2 Head,h2 main heading,B Sub/Bold,ASAPHeading 2,S&amp;P Heading 2,2,W6_Hdg2,- Main"/>
    <w:basedOn w:val="Normal"/>
    <w:next w:val="ParaNumbering"/>
    <w:link w:val="Heading2Char"/>
    <w:qFormat/>
    <w:pPr>
      <w:keepNext/>
      <w:spacing w:before="240" w:after="60" w:line="240" w:lineRule="auto"/>
      <w:outlineLvl w:val="1"/>
    </w:pPr>
    <w:rPr>
      <w:b/>
      <w:szCs w:val="24"/>
    </w:rPr>
  </w:style>
  <w:style w:type="paragraph" w:styleId="Heading3">
    <w:name w:val="heading 3"/>
    <w:aliases w:val="Heading 3 - old,h3,Head 3,H3,3m,h3 sub heading,C Sub-Sub/Italic,ASAPHeading 3,S&amp;P Heading 3,3,heading 3,- Side,(Alt+3),(Alt+3)1,(Alt+3)11,(Alt+3)12,(Alt+3)2,(Alt+3)21,(Alt+3)22,(Alt+3)3,(Alt+3)31,(Alt+3)32,(Alt+3)4,(Alt+3)41,(Alt+3)42,(Alt+3)5"/>
    <w:basedOn w:val="Normal"/>
    <w:next w:val="ParaNumbering"/>
    <w:link w:val="Heading3Char"/>
    <w:qFormat/>
    <w:pPr>
      <w:keepNext/>
      <w:spacing w:before="240" w:after="60" w:line="240" w:lineRule="auto"/>
      <w:outlineLvl w:val="2"/>
    </w:pPr>
    <w:rPr>
      <w:b/>
      <w:i/>
    </w:rPr>
  </w:style>
  <w:style w:type="paragraph" w:styleId="Heading4">
    <w:name w:val="heading 4"/>
    <w:basedOn w:val="Normal"/>
    <w:next w:val="ParaNumbering"/>
    <w:link w:val="Heading4Char"/>
    <w:qFormat/>
    <w:rsid w:val="009F5C33"/>
    <w:pPr>
      <w:keepNext/>
      <w:spacing w:before="240" w:after="60" w:line="240" w:lineRule="auto"/>
      <w:jc w:val="left"/>
      <w:outlineLvl w:val="3"/>
    </w:pPr>
    <w:rPr>
      <w:i/>
      <w:szCs w:val="24"/>
    </w:rPr>
  </w:style>
  <w:style w:type="paragraph" w:styleId="Heading5">
    <w:name w:val="heading 5"/>
    <w:basedOn w:val="fcHeading1"/>
    <w:next w:val="ParaNumbering"/>
    <w:link w:val="Heading5Char"/>
    <w:qFormat/>
    <w:rsid w:val="000E7BAE"/>
    <w:pPr>
      <w:outlineLvl w:val="4"/>
    </w:pPr>
    <w:rPr>
      <w:caps w:val="0"/>
    </w:rPr>
  </w:style>
  <w:style w:type="paragraph" w:styleId="Heading6">
    <w:name w:val="heading 6"/>
    <w:basedOn w:val="fcHeading2"/>
    <w:next w:val="ParaNumbering"/>
    <w:link w:val="Heading6Char"/>
    <w:qFormat/>
    <w:pPr>
      <w:outlineLvl w:val="5"/>
    </w:pPr>
  </w:style>
  <w:style w:type="paragraph" w:styleId="Heading7">
    <w:name w:val="heading 7"/>
    <w:basedOn w:val="fcHeading3"/>
    <w:next w:val="ParaNumbering"/>
    <w:link w:val="Heading7Char"/>
    <w:qFormat/>
    <w:rsid w:val="00635B36"/>
    <w:pPr>
      <w:outlineLvl w:val="6"/>
    </w:pPr>
    <w:rPr>
      <w:i w:val="0"/>
    </w:rPr>
  </w:style>
  <w:style w:type="paragraph" w:styleId="Heading8">
    <w:name w:val="heading 8"/>
    <w:basedOn w:val="fcHeading4"/>
    <w:next w:val="ParaNumbering"/>
    <w:link w:val="Heading8Char"/>
    <w:qFormat/>
    <w:rsid w:val="00635B36"/>
    <w:pPr>
      <w:outlineLvl w:val="7"/>
    </w:pPr>
    <w:rPr>
      <w:smallCaps w:val="0"/>
    </w:rPr>
  </w:style>
  <w:style w:type="paragraph" w:styleId="Heading9">
    <w:name w:val="heading 9"/>
    <w:basedOn w:val="fcHeading5"/>
    <w:next w:val="ParaNumbering"/>
    <w:link w:val="Heading9Char"/>
    <w:qFormat/>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uiPriority w:val="99"/>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link w:val="CommentSubjectChar"/>
    <w:uiPriority w:val="99"/>
    <w:semiHidden/>
    <w:rPr>
      <w:b/>
      <w:bCs/>
    </w:rPr>
  </w:style>
  <w:style w:type="paragraph" w:customStyle="1" w:styleId="FCBullets">
    <w:name w:val="FCBullets"/>
    <w:basedOn w:val="Normal"/>
    <w:rsid w:val="001C2FE0"/>
    <w:pPr>
      <w:numPr>
        <w:numId w:val="24"/>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qFormat/>
    <w:pPr>
      <w:ind w:left="283" w:hanging="283"/>
    </w:pPr>
  </w:style>
  <w:style w:type="paragraph" w:styleId="List2">
    <w:name w:val="List 2"/>
    <w:basedOn w:val="Normal"/>
    <w:qFormat/>
    <w:pPr>
      <w:ind w:left="566" w:hanging="283"/>
    </w:pPr>
  </w:style>
  <w:style w:type="paragraph" w:styleId="List3">
    <w:name w:val="List 3"/>
    <w:basedOn w:val="Normal"/>
    <w:qFormat/>
    <w:pPr>
      <w:ind w:left="849" w:hanging="283"/>
    </w:pPr>
  </w:style>
  <w:style w:type="paragraph" w:styleId="List4">
    <w:name w:val="List 4"/>
    <w:basedOn w:val="Normal"/>
    <w:qFormat/>
    <w:pPr>
      <w:ind w:left="1132" w:hanging="283"/>
    </w:pPr>
  </w:style>
  <w:style w:type="paragraph" w:styleId="List5">
    <w:name w:val="List 5"/>
    <w:basedOn w:val="Normal"/>
    <w:qFormat/>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uiPriority w:val="22"/>
    <w:qFormat/>
    <w:rPr>
      <w:b/>
      <w:bCs/>
    </w:rPr>
  </w:style>
  <w:style w:type="paragraph" w:styleId="Subtitle">
    <w:name w:val="Subtitle"/>
    <w:basedOn w:val="Normal"/>
    <w:link w:val="SubtitleChar"/>
    <w:qFormat/>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3"/>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rsid w:val="00077768"/>
    <w:rPr>
      <w:lang w:eastAsia="en-US"/>
    </w:rPr>
  </w:style>
  <w:style w:type="character" w:styleId="FootnoteReference">
    <w:name w:val="footnote reference"/>
    <w:basedOn w:val="DefaultParagraphFont"/>
    <w:uiPriority w:val="99"/>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5"/>
      </w:numPr>
    </w:pPr>
  </w:style>
  <w:style w:type="paragraph" w:customStyle="1" w:styleId="Notes">
    <w:name w:val="Notes"/>
    <w:basedOn w:val="Normal"/>
    <w:rsid w:val="00805A30"/>
    <w:pPr>
      <w:numPr>
        <w:numId w:val="25"/>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Revision">
    <w:name w:val="Revision"/>
    <w:hidden/>
    <w:uiPriority w:val="99"/>
    <w:semiHidden/>
    <w:rsid w:val="004D2DF0"/>
    <w:rPr>
      <w:sz w:val="24"/>
      <w:lang w:eastAsia="en-US"/>
    </w:rPr>
  </w:style>
  <w:style w:type="character" w:customStyle="1" w:styleId="CommentTextChar">
    <w:name w:val="Comment Text Char"/>
    <w:basedOn w:val="DefaultParagraphFont"/>
    <w:link w:val="CommentText"/>
    <w:rsid w:val="00407002"/>
    <w:rPr>
      <w:lang w:eastAsia="en-US"/>
    </w:rPr>
  </w:style>
  <w:style w:type="character" w:customStyle="1" w:styleId="Heading1Char">
    <w:name w:val="Heading 1 Char"/>
    <w:aliases w:val="Heading Char,tchead Char,h1 Char,h1 chapter heading Char,A MAJOR/BOLD Char,ASAPHeading 1 Char,1 Char,list 1 Char,- Section Char,1. Char,1. Level 1 Heading Char,69% Char,Appendix1 Char,Appendix2 Char,Attribute Heading 1 Char,Chapter Char"/>
    <w:basedOn w:val="DefaultParagraphFont"/>
    <w:link w:val="Heading1"/>
    <w:uiPriority w:val="9"/>
    <w:rsid w:val="00312CB2"/>
    <w:rPr>
      <w:b/>
      <w:caps/>
      <w:kern w:val="28"/>
      <w:sz w:val="24"/>
      <w:lang w:eastAsia="en-US"/>
    </w:rPr>
  </w:style>
  <w:style w:type="character" w:customStyle="1" w:styleId="Heading2Char">
    <w:name w:val="Heading 2 Char"/>
    <w:aliases w:val="heading 2new Char,Heading 2 Hidden Char,h2 Char,H2 Char,2m Char,Level 2 Head Char,h2 main heading Char,B Sub/Bold Char,ASAPHeading 2 Char,S&amp;P Heading 2 Char,2 Char,W6_Hdg2 Char,- Main Char"/>
    <w:basedOn w:val="DefaultParagraphFont"/>
    <w:link w:val="Heading2"/>
    <w:rsid w:val="00312CB2"/>
    <w:rPr>
      <w:b/>
      <w:sz w:val="24"/>
      <w:szCs w:val="24"/>
      <w:lang w:eastAsia="en-US"/>
    </w:rPr>
  </w:style>
  <w:style w:type="character" w:customStyle="1" w:styleId="Heading3Char">
    <w:name w:val="Heading 3 Char"/>
    <w:aliases w:val="Heading 3 - old Char,h3 Char,Head 3 Char,H3 Char,3m Char,h3 sub heading Char,C Sub-Sub/Italic Char,ASAPHeading 3 Char,S&amp;P Heading 3 Char,3 Char,heading 3 Char,- Side Char,(Alt+3) Char,(Alt+3)1 Char,(Alt+3)11 Char,(Alt+3)12 Char"/>
    <w:basedOn w:val="DefaultParagraphFont"/>
    <w:link w:val="Heading3"/>
    <w:rsid w:val="00312CB2"/>
    <w:rPr>
      <w:b/>
      <w:i/>
      <w:sz w:val="24"/>
      <w:lang w:eastAsia="en-US"/>
    </w:rPr>
  </w:style>
  <w:style w:type="character" w:customStyle="1" w:styleId="Heading4Char">
    <w:name w:val="Heading 4 Char"/>
    <w:basedOn w:val="DefaultParagraphFont"/>
    <w:link w:val="Heading4"/>
    <w:rsid w:val="00312CB2"/>
    <w:rPr>
      <w:i/>
      <w:sz w:val="24"/>
      <w:szCs w:val="24"/>
      <w:lang w:eastAsia="en-US"/>
    </w:rPr>
  </w:style>
  <w:style w:type="character" w:customStyle="1" w:styleId="Heading5Char">
    <w:name w:val="Heading 5 Char"/>
    <w:basedOn w:val="DefaultParagraphFont"/>
    <w:link w:val="Heading5"/>
    <w:rsid w:val="00312CB2"/>
    <w:rPr>
      <w:b/>
      <w:kern w:val="28"/>
      <w:sz w:val="24"/>
      <w:lang w:eastAsia="en-US"/>
    </w:rPr>
  </w:style>
  <w:style w:type="character" w:customStyle="1" w:styleId="Heading6Char">
    <w:name w:val="Heading 6 Char"/>
    <w:basedOn w:val="DefaultParagraphFont"/>
    <w:link w:val="Heading6"/>
    <w:rsid w:val="00312CB2"/>
    <w:rPr>
      <w:b/>
      <w:sz w:val="24"/>
      <w:lang w:eastAsia="en-US"/>
    </w:rPr>
  </w:style>
  <w:style w:type="character" w:customStyle="1" w:styleId="Heading7Char">
    <w:name w:val="Heading 7 Char"/>
    <w:basedOn w:val="DefaultParagraphFont"/>
    <w:link w:val="Heading7"/>
    <w:rsid w:val="00312CB2"/>
    <w:rPr>
      <w:b/>
      <w:sz w:val="24"/>
      <w:lang w:eastAsia="en-US"/>
    </w:rPr>
  </w:style>
  <w:style w:type="character" w:customStyle="1" w:styleId="Heading8Char">
    <w:name w:val="Heading 8 Char"/>
    <w:basedOn w:val="DefaultParagraphFont"/>
    <w:link w:val="Heading8"/>
    <w:rsid w:val="00312CB2"/>
    <w:rPr>
      <w:b/>
      <w:sz w:val="24"/>
      <w:lang w:eastAsia="en-US"/>
    </w:rPr>
  </w:style>
  <w:style w:type="character" w:customStyle="1" w:styleId="Heading9Char">
    <w:name w:val="Heading 9 Char"/>
    <w:basedOn w:val="DefaultParagraphFont"/>
    <w:link w:val="Heading9"/>
    <w:rsid w:val="00312CB2"/>
    <w:rPr>
      <w:b/>
      <w:sz w:val="24"/>
      <w:lang w:eastAsia="en-US"/>
    </w:rPr>
  </w:style>
  <w:style w:type="character" w:customStyle="1" w:styleId="FooterChar">
    <w:name w:val="Footer Char"/>
    <w:basedOn w:val="DefaultParagraphFont"/>
    <w:link w:val="Footer"/>
    <w:uiPriority w:val="99"/>
    <w:rsid w:val="00312CB2"/>
    <w:rPr>
      <w:sz w:val="24"/>
      <w:lang w:eastAsia="en-US"/>
    </w:rPr>
  </w:style>
  <w:style w:type="character" w:customStyle="1" w:styleId="HeaderChar">
    <w:name w:val="Header Char"/>
    <w:basedOn w:val="DefaultParagraphFont"/>
    <w:link w:val="Header"/>
    <w:rsid w:val="00312CB2"/>
    <w:rPr>
      <w:sz w:val="24"/>
      <w:lang w:eastAsia="en-US"/>
    </w:rPr>
  </w:style>
  <w:style w:type="character" w:customStyle="1" w:styleId="BalloonTextChar">
    <w:name w:val="Balloon Text Char"/>
    <w:basedOn w:val="DefaultParagraphFont"/>
    <w:link w:val="BalloonText"/>
    <w:uiPriority w:val="99"/>
    <w:semiHidden/>
    <w:rsid w:val="00312CB2"/>
    <w:rPr>
      <w:rFonts w:ascii="Tahoma" w:hAnsi="Tahoma" w:cs="Tahoma"/>
      <w:sz w:val="16"/>
      <w:szCs w:val="16"/>
      <w:lang w:eastAsia="en-US"/>
    </w:rPr>
  </w:style>
  <w:style w:type="paragraph" w:styleId="ListParagraph">
    <w:name w:val="List Paragraph"/>
    <w:basedOn w:val="Normal"/>
    <w:uiPriority w:val="34"/>
    <w:qFormat/>
    <w:rsid w:val="00312CB2"/>
    <w:pPr>
      <w:spacing w:line="240" w:lineRule="auto"/>
      <w:ind w:left="720"/>
      <w:contextualSpacing/>
      <w:jc w:val="left"/>
    </w:pPr>
    <w:rPr>
      <w:rFonts w:eastAsia="Times New Roman"/>
      <w:szCs w:val="24"/>
    </w:rPr>
  </w:style>
  <w:style w:type="paragraph" w:customStyle="1" w:styleId="Default">
    <w:name w:val="Default"/>
    <w:rsid w:val="00312CB2"/>
    <w:pPr>
      <w:autoSpaceDE w:val="0"/>
      <w:autoSpaceDN w:val="0"/>
      <w:adjustRightInd w:val="0"/>
    </w:pPr>
    <w:rPr>
      <w:rFonts w:eastAsia="Times New Roman"/>
      <w:color w:val="000000"/>
      <w:sz w:val="24"/>
      <w:szCs w:val="24"/>
    </w:rPr>
  </w:style>
  <w:style w:type="paragraph" w:customStyle="1" w:styleId="i1">
    <w:name w:val="i1"/>
    <w:basedOn w:val="Normal"/>
    <w:next w:val="Normal"/>
    <w:unhideWhenUsed/>
    <w:qFormat/>
    <w:rsid w:val="00312CB2"/>
    <w:pPr>
      <w:keepNext/>
      <w:tabs>
        <w:tab w:val="num" w:pos="2160"/>
      </w:tabs>
      <w:spacing w:before="240" w:after="60" w:line="240" w:lineRule="auto"/>
      <w:ind w:left="1728" w:hanging="648"/>
      <w:jc w:val="left"/>
      <w:outlineLvl w:val="3"/>
    </w:pPr>
    <w:rPr>
      <w:rFonts w:ascii="Arial" w:eastAsia="Times New Roman" w:hAnsi="Arial" w:cs="Arial"/>
      <w:b/>
      <w:bCs/>
      <w:sz w:val="28"/>
      <w:szCs w:val="28"/>
      <w:lang w:val="en-US"/>
    </w:rPr>
  </w:style>
  <w:style w:type="paragraph" w:customStyle="1" w:styleId="h521">
    <w:name w:val="h521"/>
    <w:basedOn w:val="Normal"/>
    <w:next w:val="Normal"/>
    <w:unhideWhenUsed/>
    <w:qFormat/>
    <w:rsid w:val="00312CB2"/>
    <w:pPr>
      <w:tabs>
        <w:tab w:val="num" w:pos="2232"/>
      </w:tabs>
      <w:spacing w:before="240" w:after="60" w:line="240" w:lineRule="auto"/>
      <w:ind w:left="2232" w:hanging="792"/>
      <w:jc w:val="left"/>
      <w:outlineLvl w:val="4"/>
    </w:pPr>
    <w:rPr>
      <w:rFonts w:ascii="Arial" w:eastAsia="Times New Roman" w:hAnsi="Arial" w:cs="Arial"/>
      <w:b/>
      <w:bCs/>
      <w:i/>
      <w:iCs/>
      <w:sz w:val="26"/>
      <w:szCs w:val="26"/>
      <w:lang w:val="en-US"/>
    </w:rPr>
  </w:style>
  <w:style w:type="paragraph" w:customStyle="1" w:styleId="Heading61">
    <w:name w:val="Heading 61"/>
    <w:basedOn w:val="ListParagraph"/>
    <w:next w:val="Normal"/>
    <w:qFormat/>
    <w:rsid w:val="00312CB2"/>
    <w:pPr>
      <w:numPr>
        <w:numId w:val="31"/>
      </w:numPr>
      <w:spacing w:after="160" w:line="259" w:lineRule="auto"/>
      <w:ind w:left="720" w:hanging="360"/>
      <w:contextualSpacing w:val="0"/>
      <w:outlineLvl w:val="5"/>
    </w:pPr>
    <w:rPr>
      <w:rFonts w:ascii="Arial" w:eastAsia="Calibri" w:hAnsi="Arial" w:cs="Arial"/>
      <w:sz w:val="22"/>
      <w:szCs w:val="22"/>
      <w:lang w:val="en-US"/>
    </w:rPr>
  </w:style>
  <w:style w:type="paragraph" w:customStyle="1" w:styleId="Heading71">
    <w:name w:val="Heading 71"/>
    <w:basedOn w:val="Normal"/>
    <w:next w:val="Normal"/>
    <w:unhideWhenUsed/>
    <w:qFormat/>
    <w:rsid w:val="00312CB2"/>
    <w:pPr>
      <w:tabs>
        <w:tab w:val="num" w:pos="3240"/>
      </w:tabs>
      <w:spacing w:before="240" w:after="60" w:line="240" w:lineRule="auto"/>
      <w:ind w:left="3240" w:hanging="1080"/>
      <w:jc w:val="left"/>
      <w:outlineLvl w:val="6"/>
    </w:pPr>
    <w:rPr>
      <w:rFonts w:ascii="Arial" w:eastAsia="Times New Roman" w:hAnsi="Arial" w:cs="Arial"/>
      <w:szCs w:val="24"/>
      <w:lang w:val="en-US"/>
    </w:rPr>
  </w:style>
  <w:style w:type="paragraph" w:customStyle="1" w:styleId="Heading81">
    <w:name w:val="Heading 81"/>
    <w:basedOn w:val="Normal"/>
    <w:next w:val="Normal"/>
    <w:unhideWhenUsed/>
    <w:qFormat/>
    <w:rsid w:val="00312CB2"/>
    <w:pPr>
      <w:tabs>
        <w:tab w:val="num" w:pos="3744"/>
      </w:tabs>
      <w:spacing w:before="240" w:after="60" w:line="240" w:lineRule="auto"/>
      <w:ind w:left="3744" w:hanging="1224"/>
      <w:jc w:val="left"/>
      <w:outlineLvl w:val="7"/>
    </w:pPr>
    <w:rPr>
      <w:rFonts w:eastAsia="Times New Roman"/>
      <w:i/>
      <w:iCs/>
      <w:szCs w:val="24"/>
      <w:lang w:val="en-US"/>
    </w:rPr>
  </w:style>
  <w:style w:type="paragraph" w:customStyle="1" w:styleId="Heading91">
    <w:name w:val="Heading 91"/>
    <w:basedOn w:val="Normal"/>
    <w:next w:val="Normal"/>
    <w:unhideWhenUsed/>
    <w:qFormat/>
    <w:rsid w:val="00312CB2"/>
    <w:pPr>
      <w:tabs>
        <w:tab w:val="num" w:pos="4320"/>
      </w:tabs>
      <w:spacing w:before="240" w:after="60" w:line="240" w:lineRule="auto"/>
      <w:ind w:left="4320" w:hanging="1440"/>
      <w:jc w:val="left"/>
      <w:outlineLvl w:val="8"/>
    </w:pPr>
    <w:rPr>
      <w:rFonts w:ascii="Calibri Light" w:eastAsia="Times New Roman" w:hAnsi="Calibri Light"/>
      <w:szCs w:val="24"/>
      <w:lang w:val="en-US"/>
    </w:rPr>
  </w:style>
  <w:style w:type="paragraph" w:customStyle="1" w:styleId="Listlv2">
    <w:name w:val="List lv 2"/>
    <w:basedOn w:val="Normal"/>
    <w:link w:val="Listlv2Char"/>
    <w:rsid w:val="00312CB2"/>
    <w:pPr>
      <w:numPr>
        <w:ilvl w:val="1"/>
        <w:numId w:val="30"/>
      </w:numPr>
      <w:autoSpaceDE w:val="0"/>
      <w:autoSpaceDN w:val="0"/>
      <w:adjustRightInd w:val="0"/>
      <w:spacing w:before="240" w:after="240" w:line="288" w:lineRule="auto"/>
    </w:pPr>
    <w:rPr>
      <w:rFonts w:ascii="Book Antiqua" w:eastAsia="Times New Roman" w:hAnsi="Book Antiqua" w:cs="Arial"/>
      <w:sz w:val="22"/>
      <w:szCs w:val="21"/>
      <w:lang w:eastAsia="en-AU"/>
    </w:rPr>
  </w:style>
  <w:style w:type="paragraph" w:customStyle="1" w:styleId="Listlv3">
    <w:name w:val="List lv 3"/>
    <w:basedOn w:val="Listlv2"/>
    <w:link w:val="Listlv3Char"/>
    <w:rsid w:val="00312CB2"/>
    <w:pPr>
      <w:numPr>
        <w:ilvl w:val="2"/>
      </w:numPr>
    </w:pPr>
  </w:style>
  <w:style w:type="character" w:customStyle="1" w:styleId="Listlv2Char">
    <w:name w:val="List lv 2 Char"/>
    <w:basedOn w:val="DefaultParagraphFont"/>
    <w:link w:val="Listlv2"/>
    <w:rsid w:val="00312CB2"/>
    <w:rPr>
      <w:rFonts w:ascii="Book Antiqua" w:eastAsia="Times New Roman" w:hAnsi="Book Antiqua" w:cs="Arial"/>
      <w:sz w:val="22"/>
      <w:szCs w:val="21"/>
    </w:rPr>
  </w:style>
  <w:style w:type="paragraph" w:customStyle="1" w:styleId="Listlv4">
    <w:name w:val="List lv 4"/>
    <w:basedOn w:val="Listlv3"/>
    <w:rsid w:val="00312CB2"/>
    <w:pPr>
      <w:numPr>
        <w:ilvl w:val="3"/>
      </w:numPr>
      <w:tabs>
        <w:tab w:val="num" w:pos="360"/>
        <w:tab w:val="num" w:pos="1209"/>
      </w:tabs>
      <w:ind w:left="1209" w:hanging="360"/>
    </w:pPr>
  </w:style>
  <w:style w:type="character" w:customStyle="1" w:styleId="Listlv3Char">
    <w:name w:val="List lv 3 Char"/>
    <w:basedOn w:val="Listlv2Char"/>
    <w:link w:val="Listlv3"/>
    <w:rsid w:val="00312CB2"/>
    <w:rPr>
      <w:rFonts w:ascii="Book Antiqua" w:eastAsia="Times New Roman" w:hAnsi="Book Antiqua" w:cs="Arial"/>
      <w:sz w:val="22"/>
      <w:szCs w:val="21"/>
    </w:rPr>
  </w:style>
  <w:style w:type="paragraph" w:customStyle="1" w:styleId="ListLv1">
    <w:name w:val="List Lv 1"/>
    <w:basedOn w:val="Normal"/>
    <w:rsid w:val="00312CB2"/>
    <w:pPr>
      <w:numPr>
        <w:numId w:val="30"/>
      </w:numPr>
      <w:autoSpaceDE w:val="0"/>
      <w:autoSpaceDN w:val="0"/>
      <w:adjustRightInd w:val="0"/>
      <w:spacing w:before="240" w:after="240" w:line="288" w:lineRule="auto"/>
    </w:pPr>
    <w:rPr>
      <w:rFonts w:ascii="Book Antiqua" w:eastAsia="Times New Roman" w:hAnsi="Book Antiqua" w:cs="Arial"/>
      <w:sz w:val="22"/>
      <w:szCs w:val="21"/>
      <w:lang w:eastAsia="en-AU"/>
    </w:rPr>
  </w:style>
  <w:style w:type="paragraph" w:customStyle="1" w:styleId="Index11">
    <w:name w:val="Index 11"/>
    <w:basedOn w:val="Normal"/>
    <w:next w:val="Normal"/>
    <w:autoRedefine/>
    <w:uiPriority w:val="99"/>
    <w:unhideWhenUsed/>
    <w:rsid w:val="00312CB2"/>
    <w:pPr>
      <w:spacing w:line="259" w:lineRule="auto"/>
      <w:ind w:left="220" w:hanging="220"/>
      <w:jc w:val="left"/>
    </w:pPr>
    <w:rPr>
      <w:rFonts w:ascii="Calibri" w:eastAsia="Calibri" w:hAnsi="Calibri" w:cs="Calibri"/>
      <w:sz w:val="18"/>
      <w:szCs w:val="18"/>
    </w:rPr>
  </w:style>
  <w:style w:type="character" w:customStyle="1" w:styleId="Hyperlink1">
    <w:name w:val="Hyperlink1"/>
    <w:basedOn w:val="DefaultParagraphFont"/>
    <w:uiPriority w:val="99"/>
    <w:unhideWhenUsed/>
    <w:rsid w:val="00312CB2"/>
    <w:rPr>
      <w:color w:val="0563C1"/>
      <w:u w:val="single"/>
    </w:rPr>
  </w:style>
  <w:style w:type="character" w:customStyle="1" w:styleId="UnresolvedMention1">
    <w:name w:val="Unresolved Mention1"/>
    <w:basedOn w:val="DefaultParagraphFont"/>
    <w:uiPriority w:val="99"/>
    <w:semiHidden/>
    <w:unhideWhenUsed/>
    <w:rsid w:val="00312CB2"/>
    <w:rPr>
      <w:color w:val="605E5C"/>
      <w:shd w:val="clear" w:color="auto" w:fill="E1DFDD"/>
    </w:rPr>
  </w:style>
  <w:style w:type="paragraph" w:customStyle="1" w:styleId="TOCHeading1">
    <w:name w:val="TOC Heading1"/>
    <w:basedOn w:val="Heading1"/>
    <w:next w:val="Normal"/>
    <w:uiPriority w:val="39"/>
    <w:unhideWhenUsed/>
    <w:qFormat/>
    <w:rsid w:val="00312CB2"/>
    <w:pPr>
      <w:keepLines/>
      <w:tabs>
        <w:tab w:val="left" w:pos="697"/>
      </w:tabs>
      <w:spacing w:after="0" w:line="259" w:lineRule="auto"/>
      <w:jc w:val="left"/>
      <w:outlineLvl w:val="9"/>
    </w:pPr>
    <w:rPr>
      <w:rFonts w:ascii="Calibri Light" w:eastAsia="Times New Roman" w:hAnsi="Calibri Light"/>
      <w:b w:val="0"/>
      <w:caps w:val="0"/>
      <w:color w:val="1F3864"/>
      <w:kern w:val="0"/>
      <w:sz w:val="32"/>
      <w:szCs w:val="32"/>
      <w:lang w:val="en-US"/>
    </w:rPr>
  </w:style>
  <w:style w:type="paragraph" w:customStyle="1" w:styleId="TOC21">
    <w:name w:val="TOC 21"/>
    <w:basedOn w:val="Normal"/>
    <w:next w:val="Normal"/>
    <w:autoRedefine/>
    <w:uiPriority w:val="39"/>
    <w:unhideWhenUsed/>
    <w:rsid w:val="00312CB2"/>
    <w:pPr>
      <w:spacing w:before="240" w:line="259" w:lineRule="auto"/>
      <w:jc w:val="left"/>
    </w:pPr>
    <w:rPr>
      <w:rFonts w:ascii="Arial" w:eastAsia="Calibri" w:hAnsi="Arial" w:cs="Calibri"/>
      <w:b/>
      <w:bCs/>
      <w:sz w:val="20"/>
    </w:rPr>
  </w:style>
  <w:style w:type="paragraph" w:customStyle="1" w:styleId="TOC11">
    <w:name w:val="TOC 11"/>
    <w:basedOn w:val="Normal"/>
    <w:next w:val="Normal"/>
    <w:autoRedefine/>
    <w:uiPriority w:val="39"/>
    <w:unhideWhenUsed/>
    <w:rsid w:val="00312CB2"/>
    <w:pPr>
      <w:tabs>
        <w:tab w:val="left" w:pos="567"/>
        <w:tab w:val="right" w:pos="8630"/>
      </w:tabs>
      <w:spacing w:before="360" w:line="259" w:lineRule="auto"/>
      <w:jc w:val="left"/>
    </w:pPr>
    <w:rPr>
      <w:rFonts w:ascii="Calibri Light" w:eastAsia="Calibri" w:hAnsi="Calibri Light" w:cs="Calibri Light"/>
      <w:b/>
      <w:bCs/>
      <w:caps/>
      <w:szCs w:val="24"/>
    </w:rPr>
  </w:style>
  <w:style w:type="paragraph" w:customStyle="1" w:styleId="TOC31">
    <w:name w:val="TOC 31"/>
    <w:basedOn w:val="Normal"/>
    <w:next w:val="Normal"/>
    <w:autoRedefine/>
    <w:unhideWhenUsed/>
    <w:rsid w:val="00312CB2"/>
    <w:pPr>
      <w:spacing w:line="259" w:lineRule="auto"/>
      <w:ind w:left="220"/>
      <w:jc w:val="left"/>
    </w:pPr>
    <w:rPr>
      <w:rFonts w:ascii="Arial" w:eastAsia="Calibri" w:hAnsi="Arial" w:cs="Calibri"/>
      <w:sz w:val="20"/>
    </w:rPr>
  </w:style>
  <w:style w:type="paragraph" w:customStyle="1" w:styleId="TOC41">
    <w:name w:val="TOC 41"/>
    <w:basedOn w:val="Normal"/>
    <w:next w:val="Normal"/>
    <w:autoRedefine/>
    <w:unhideWhenUsed/>
    <w:rsid w:val="00312CB2"/>
    <w:pPr>
      <w:spacing w:line="259" w:lineRule="auto"/>
      <w:ind w:left="440"/>
      <w:jc w:val="left"/>
    </w:pPr>
    <w:rPr>
      <w:rFonts w:ascii="Arial" w:eastAsia="Calibri" w:hAnsi="Arial" w:cs="Calibri"/>
      <w:sz w:val="20"/>
    </w:rPr>
  </w:style>
  <w:style w:type="paragraph" w:customStyle="1" w:styleId="TOC51">
    <w:name w:val="TOC 51"/>
    <w:basedOn w:val="Normal"/>
    <w:next w:val="Normal"/>
    <w:autoRedefine/>
    <w:unhideWhenUsed/>
    <w:rsid w:val="00312CB2"/>
    <w:pPr>
      <w:spacing w:line="259" w:lineRule="auto"/>
      <w:ind w:left="660"/>
      <w:jc w:val="left"/>
    </w:pPr>
    <w:rPr>
      <w:rFonts w:ascii="Arial" w:eastAsia="Calibri" w:hAnsi="Arial" w:cs="Calibri"/>
      <w:sz w:val="20"/>
    </w:rPr>
  </w:style>
  <w:style w:type="paragraph" w:customStyle="1" w:styleId="TOC61">
    <w:name w:val="TOC 61"/>
    <w:basedOn w:val="Normal"/>
    <w:next w:val="Normal"/>
    <w:autoRedefine/>
    <w:unhideWhenUsed/>
    <w:rsid w:val="00312CB2"/>
    <w:pPr>
      <w:spacing w:line="259" w:lineRule="auto"/>
      <w:ind w:left="880"/>
      <w:jc w:val="left"/>
    </w:pPr>
    <w:rPr>
      <w:rFonts w:ascii="Arial" w:eastAsia="Calibri" w:hAnsi="Arial" w:cs="Calibri"/>
      <w:sz w:val="20"/>
    </w:rPr>
  </w:style>
  <w:style w:type="paragraph" w:customStyle="1" w:styleId="TOC71">
    <w:name w:val="TOC 71"/>
    <w:basedOn w:val="Normal"/>
    <w:next w:val="Normal"/>
    <w:autoRedefine/>
    <w:unhideWhenUsed/>
    <w:rsid w:val="00312CB2"/>
    <w:pPr>
      <w:spacing w:line="259" w:lineRule="auto"/>
      <w:ind w:left="1100"/>
      <w:jc w:val="left"/>
    </w:pPr>
    <w:rPr>
      <w:rFonts w:ascii="Arial" w:eastAsia="Calibri" w:hAnsi="Arial" w:cs="Calibri"/>
      <w:sz w:val="20"/>
    </w:rPr>
  </w:style>
  <w:style w:type="paragraph" w:customStyle="1" w:styleId="TOC81">
    <w:name w:val="TOC 81"/>
    <w:basedOn w:val="Normal"/>
    <w:next w:val="Normal"/>
    <w:autoRedefine/>
    <w:unhideWhenUsed/>
    <w:rsid w:val="00312CB2"/>
    <w:pPr>
      <w:spacing w:line="259" w:lineRule="auto"/>
      <w:ind w:left="1320"/>
      <w:jc w:val="left"/>
    </w:pPr>
    <w:rPr>
      <w:rFonts w:ascii="Arial" w:eastAsia="Calibri" w:hAnsi="Arial" w:cs="Calibri"/>
      <w:sz w:val="20"/>
    </w:rPr>
  </w:style>
  <w:style w:type="paragraph" w:customStyle="1" w:styleId="TOC91">
    <w:name w:val="TOC 91"/>
    <w:basedOn w:val="Normal"/>
    <w:next w:val="Normal"/>
    <w:autoRedefine/>
    <w:unhideWhenUsed/>
    <w:rsid w:val="00312CB2"/>
    <w:pPr>
      <w:spacing w:line="259" w:lineRule="auto"/>
      <w:ind w:left="1540"/>
      <w:jc w:val="left"/>
    </w:pPr>
    <w:rPr>
      <w:rFonts w:ascii="Arial" w:eastAsia="Calibri" w:hAnsi="Arial" w:cs="Calibri"/>
      <w:sz w:val="20"/>
    </w:rPr>
  </w:style>
  <w:style w:type="paragraph" w:customStyle="1" w:styleId="CommentText1">
    <w:name w:val="Comment Text1"/>
    <w:basedOn w:val="Normal"/>
    <w:next w:val="CommentText"/>
    <w:uiPriority w:val="99"/>
    <w:unhideWhenUsed/>
    <w:rsid w:val="00312CB2"/>
    <w:pPr>
      <w:spacing w:after="160" w:line="240" w:lineRule="auto"/>
      <w:jc w:val="left"/>
    </w:pPr>
    <w:rPr>
      <w:rFonts w:ascii="Arial" w:eastAsia="Times New Roman" w:hAnsi="Arial"/>
      <w:sz w:val="20"/>
      <w:lang w:val="en-US"/>
    </w:rPr>
  </w:style>
  <w:style w:type="paragraph" w:customStyle="1" w:styleId="CommentSubject1">
    <w:name w:val="Comment Subject1"/>
    <w:basedOn w:val="CommentText"/>
    <w:next w:val="CommentText"/>
    <w:uiPriority w:val="99"/>
    <w:semiHidden/>
    <w:unhideWhenUsed/>
    <w:rsid w:val="00312CB2"/>
    <w:pPr>
      <w:spacing w:after="160" w:line="240" w:lineRule="auto"/>
      <w:jc w:val="left"/>
    </w:pPr>
    <w:rPr>
      <w:rFonts w:ascii="Arial" w:eastAsia="Calibri" w:hAnsi="Arial" w:cs="Arial"/>
      <w:b/>
      <w:bCs/>
    </w:rPr>
  </w:style>
  <w:style w:type="character" w:customStyle="1" w:styleId="CommentSubjectChar">
    <w:name w:val="Comment Subject Char"/>
    <w:basedOn w:val="CommentTextChar"/>
    <w:link w:val="CommentSubject"/>
    <w:uiPriority w:val="99"/>
    <w:semiHidden/>
    <w:rsid w:val="00312CB2"/>
    <w:rPr>
      <w:b/>
      <w:bCs/>
      <w:lang w:eastAsia="en-US"/>
    </w:rPr>
  </w:style>
  <w:style w:type="paragraph" w:customStyle="1" w:styleId="Revision1">
    <w:name w:val="Revision1"/>
    <w:next w:val="Revision"/>
    <w:hidden/>
    <w:uiPriority w:val="99"/>
    <w:semiHidden/>
    <w:rsid w:val="00312CB2"/>
    <w:rPr>
      <w:rFonts w:ascii="Calibri" w:eastAsia="Calibri" w:hAnsi="Calibri" w:cs="Arial"/>
      <w:sz w:val="22"/>
      <w:szCs w:val="22"/>
      <w:lang w:eastAsia="en-US"/>
    </w:rPr>
  </w:style>
  <w:style w:type="numbering" w:customStyle="1" w:styleId="CurrentList4">
    <w:name w:val="Current List4"/>
    <w:uiPriority w:val="99"/>
    <w:rsid w:val="00312CB2"/>
    <w:pPr>
      <w:numPr>
        <w:numId w:val="32"/>
      </w:numPr>
    </w:pPr>
  </w:style>
  <w:style w:type="numbering" w:customStyle="1" w:styleId="CurrentList3">
    <w:name w:val="Current List3"/>
    <w:uiPriority w:val="99"/>
    <w:rsid w:val="00312CB2"/>
    <w:pPr>
      <w:numPr>
        <w:numId w:val="33"/>
      </w:numPr>
    </w:pPr>
  </w:style>
  <w:style w:type="paragraph" w:customStyle="1" w:styleId="Sub-heading2">
    <w:name w:val="Sub-heading 2"/>
    <w:basedOn w:val="Heading1"/>
    <w:link w:val="Sub-heading2Char"/>
    <w:qFormat/>
    <w:rsid w:val="00312CB2"/>
    <w:pPr>
      <w:tabs>
        <w:tab w:val="left" w:pos="697"/>
      </w:tabs>
      <w:spacing w:after="160" w:line="259" w:lineRule="auto"/>
      <w:ind w:left="567" w:hanging="567"/>
      <w:jc w:val="left"/>
    </w:pPr>
    <w:rPr>
      <w:rFonts w:ascii="Arial" w:eastAsia="Calibri" w:hAnsi="Arial" w:cs="Arial"/>
      <w:caps w:val="0"/>
      <w:color w:val="222A35"/>
      <w:sz w:val="22"/>
      <w:szCs w:val="22"/>
      <w:lang w:val="en-US"/>
    </w:rPr>
  </w:style>
  <w:style w:type="character" w:customStyle="1" w:styleId="Sub-heading2Char">
    <w:name w:val="Sub-heading 2 Char"/>
    <w:basedOn w:val="Heading1Char"/>
    <w:link w:val="Sub-heading2"/>
    <w:rsid w:val="00312CB2"/>
    <w:rPr>
      <w:rFonts w:ascii="Arial" w:eastAsia="Calibri" w:hAnsi="Arial" w:cs="Arial"/>
      <w:b/>
      <w:caps w:val="0"/>
      <w:color w:val="222A35"/>
      <w:kern w:val="28"/>
      <w:sz w:val="22"/>
      <w:szCs w:val="22"/>
      <w:lang w:val="en-US" w:eastAsia="en-US"/>
    </w:rPr>
  </w:style>
  <w:style w:type="paragraph" w:customStyle="1" w:styleId="Index21">
    <w:name w:val="Index 21"/>
    <w:basedOn w:val="Normal"/>
    <w:next w:val="Normal"/>
    <w:autoRedefine/>
    <w:uiPriority w:val="99"/>
    <w:unhideWhenUsed/>
    <w:rsid w:val="00312CB2"/>
    <w:pPr>
      <w:spacing w:line="259" w:lineRule="auto"/>
      <w:ind w:left="440" w:hanging="220"/>
      <w:jc w:val="left"/>
    </w:pPr>
    <w:rPr>
      <w:rFonts w:ascii="Calibri" w:eastAsia="Calibri" w:hAnsi="Calibri" w:cs="Calibri"/>
      <w:sz w:val="18"/>
      <w:szCs w:val="18"/>
    </w:rPr>
  </w:style>
  <w:style w:type="paragraph" w:customStyle="1" w:styleId="Index31">
    <w:name w:val="Index 31"/>
    <w:basedOn w:val="Normal"/>
    <w:next w:val="Normal"/>
    <w:autoRedefine/>
    <w:uiPriority w:val="99"/>
    <w:unhideWhenUsed/>
    <w:rsid w:val="00312CB2"/>
    <w:pPr>
      <w:spacing w:line="259" w:lineRule="auto"/>
      <w:ind w:left="660" w:hanging="220"/>
      <w:jc w:val="left"/>
    </w:pPr>
    <w:rPr>
      <w:rFonts w:ascii="Calibri" w:eastAsia="Calibri" w:hAnsi="Calibri" w:cs="Calibri"/>
      <w:sz w:val="18"/>
      <w:szCs w:val="18"/>
    </w:rPr>
  </w:style>
  <w:style w:type="paragraph" w:customStyle="1" w:styleId="Index41">
    <w:name w:val="Index 41"/>
    <w:basedOn w:val="Normal"/>
    <w:next w:val="Normal"/>
    <w:autoRedefine/>
    <w:uiPriority w:val="99"/>
    <w:unhideWhenUsed/>
    <w:rsid w:val="00312CB2"/>
    <w:pPr>
      <w:spacing w:line="259" w:lineRule="auto"/>
      <w:ind w:left="880" w:hanging="220"/>
      <w:jc w:val="left"/>
    </w:pPr>
    <w:rPr>
      <w:rFonts w:ascii="Calibri" w:eastAsia="Calibri" w:hAnsi="Calibri" w:cs="Calibri"/>
      <w:sz w:val="18"/>
      <w:szCs w:val="18"/>
    </w:rPr>
  </w:style>
  <w:style w:type="paragraph" w:customStyle="1" w:styleId="Index51">
    <w:name w:val="Index 51"/>
    <w:basedOn w:val="Normal"/>
    <w:next w:val="Normal"/>
    <w:autoRedefine/>
    <w:uiPriority w:val="99"/>
    <w:unhideWhenUsed/>
    <w:rsid w:val="00312CB2"/>
    <w:pPr>
      <w:spacing w:line="259" w:lineRule="auto"/>
      <w:ind w:left="1100" w:hanging="220"/>
      <w:jc w:val="left"/>
    </w:pPr>
    <w:rPr>
      <w:rFonts w:ascii="Calibri" w:eastAsia="Calibri" w:hAnsi="Calibri" w:cs="Calibri"/>
      <w:sz w:val="18"/>
      <w:szCs w:val="18"/>
    </w:rPr>
  </w:style>
  <w:style w:type="paragraph" w:customStyle="1" w:styleId="Index61">
    <w:name w:val="Index 61"/>
    <w:basedOn w:val="Normal"/>
    <w:next w:val="Normal"/>
    <w:autoRedefine/>
    <w:uiPriority w:val="99"/>
    <w:unhideWhenUsed/>
    <w:rsid w:val="00312CB2"/>
    <w:pPr>
      <w:spacing w:line="259" w:lineRule="auto"/>
      <w:ind w:left="1320" w:hanging="220"/>
      <w:jc w:val="left"/>
    </w:pPr>
    <w:rPr>
      <w:rFonts w:ascii="Calibri" w:eastAsia="Calibri" w:hAnsi="Calibri" w:cs="Calibri"/>
      <w:sz w:val="18"/>
      <w:szCs w:val="18"/>
    </w:rPr>
  </w:style>
  <w:style w:type="paragraph" w:customStyle="1" w:styleId="Index71">
    <w:name w:val="Index 71"/>
    <w:basedOn w:val="Normal"/>
    <w:next w:val="Normal"/>
    <w:autoRedefine/>
    <w:uiPriority w:val="99"/>
    <w:unhideWhenUsed/>
    <w:rsid w:val="00312CB2"/>
    <w:pPr>
      <w:spacing w:line="259" w:lineRule="auto"/>
      <w:ind w:left="1540" w:hanging="220"/>
      <w:jc w:val="left"/>
    </w:pPr>
    <w:rPr>
      <w:rFonts w:ascii="Calibri" w:eastAsia="Calibri" w:hAnsi="Calibri" w:cs="Calibri"/>
      <w:sz w:val="18"/>
      <w:szCs w:val="18"/>
    </w:rPr>
  </w:style>
  <w:style w:type="paragraph" w:customStyle="1" w:styleId="Index81">
    <w:name w:val="Index 81"/>
    <w:basedOn w:val="Normal"/>
    <w:next w:val="Normal"/>
    <w:autoRedefine/>
    <w:uiPriority w:val="99"/>
    <w:unhideWhenUsed/>
    <w:rsid w:val="00312CB2"/>
    <w:pPr>
      <w:spacing w:line="259" w:lineRule="auto"/>
      <w:ind w:left="1760" w:hanging="220"/>
      <w:jc w:val="left"/>
    </w:pPr>
    <w:rPr>
      <w:rFonts w:ascii="Calibri" w:eastAsia="Calibri" w:hAnsi="Calibri" w:cs="Calibri"/>
      <w:sz w:val="18"/>
      <w:szCs w:val="18"/>
    </w:rPr>
  </w:style>
  <w:style w:type="paragraph" w:customStyle="1" w:styleId="Index91">
    <w:name w:val="Index 91"/>
    <w:basedOn w:val="Normal"/>
    <w:next w:val="Normal"/>
    <w:autoRedefine/>
    <w:uiPriority w:val="99"/>
    <w:unhideWhenUsed/>
    <w:rsid w:val="00312CB2"/>
    <w:pPr>
      <w:spacing w:line="259" w:lineRule="auto"/>
      <w:ind w:left="1980" w:hanging="220"/>
      <w:jc w:val="left"/>
    </w:pPr>
    <w:rPr>
      <w:rFonts w:ascii="Calibri" w:eastAsia="Calibri" w:hAnsi="Calibri" w:cs="Calibri"/>
      <w:sz w:val="18"/>
      <w:szCs w:val="18"/>
    </w:rPr>
  </w:style>
  <w:style w:type="paragraph" w:customStyle="1" w:styleId="IndexHeading1">
    <w:name w:val="Index Heading1"/>
    <w:basedOn w:val="Normal"/>
    <w:next w:val="Index1"/>
    <w:uiPriority w:val="99"/>
    <w:unhideWhenUsed/>
    <w:rsid w:val="00312CB2"/>
    <w:pPr>
      <w:spacing w:before="240" w:after="120" w:line="259" w:lineRule="auto"/>
      <w:jc w:val="center"/>
    </w:pPr>
    <w:rPr>
      <w:rFonts w:ascii="Calibri" w:eastAsia="Calibri" w:hAnsi="Calibri" w:cs="Calibri"/>
      <w:b/>
      <w:bCs/>
      <w:sz w:val="26"/>
      <w:szCs w:val="26"/>
    </w:rPr>
  </w:style>
  <w:style w:type="paragraph" w:customStyle="1" w:styleId="FootnoteText1">
    <w:name w:val="Footnote Text1"/>
    <w:basedOn w:val="Normal"/>
    <w:next w:val="FootnoteText"/>
    <w:unhideWhenUsed/>
    <w:rsid w:val="00312CB2"/>
    <w:pPr>
      <w:spacing w:line="240" w:lineRule="auto"/>
      <w:jc w:val="left"/>
    </w:pPr>
    <w:rPr>
      <w:rFonts w:ascii="Arial" w:eastAsia="Times New Roman" w:hAnsi="Arial"/>
      <w:sz w:val="20"/>
      <w:lang w:val="en-US"/>
    </w:rPr>
  </w:style>
  <w:style w:type="character" w:customStyle="1" w:styleId="apple-converted-space">
    <w:name w:val="apple-converted-space"/>
    <w:basedOn w:val="DefaultParagraphFont"/>
    <w:rsid w:val="00312CB2"/>
  </w:style>
  <w:style w:type="character" w:customStyle="1" w:styleId="UnresolvedMention2">
    <w:name w:val="Unresolved Mention2"/>
    <w:basedOn w:val="DefaultParagraphFont"/>
    <w:uiPriority w:val="99"/>
    <w:semiHidden/>
    <w:unhideWhenUsed/>
    <w:rsid w:val="00312CB2"/>
    <w:rPr>
      <w:color w:val="605E5C"/>
      <w:shd w:val="clear" w:color="auto" w:fill="E1DFDD"/>
    </w:rPr>
  </w:style>
  <w:style w:type="paragraph" w:customStyle="1" w:styleId="Annexure">
    <w:name w:val="Annexure"/>
    <w:basedOn w:val="Normal"/>
    <w:next w:val="BodyText1"/>
    <w:rsid w:val="00312CB2"/>
    <w:pPr>
      <w:numPr>
        <w:numId w:val="34"/>
      </w:numPr>
      <w:spacing w:before="240" w:line="240" w:lineRule="auto"/>
      <w:jc w:val="left"/>
      <w:outlineLvl w:val="0"/>
    </w:pPr>
    <w:rPr>
      <w:rFonts w:ascii="Arial" w:eastAsia="Times New Roman" w:hAnsi="Arial"/>
      <w:b/>
    </w:rPr>
  </w:style>
  <w:style w:type="paragraph" w:customStyle="1" w:styleId="AText">
    <w:name w:val="AText"/>
    <w:basedOn w:val="Normal"/>
    <w:rsid w:val="00312CB2"/>
    <w:pPr>
      <w:keepLines/>
      <w:spacing w:line="240" w:lineRule="auto"/>
      <w:jc w:val="left"/>
    </w:pPr>
    <w:rPr>
      <w:rFonts w:ascii="Arial" w:eastAsia="Times New Roman" w:hAnsi="Arial"/>
      <w:sz w:val="20"/>
    </w:rPr>
  </w:style>
  <w:style w:type="paragraph" w:customStyle="1" w:styleId="AuthorPageDate1">
    <w:name w:val="Author  Page #  Date1"/>
    <w:rsid w:val="00312CB2"/>
    <w:rPr>
      <w:rFonts w:eastAsia="Times New Roman"/>
      <w:sz w:val="24"/>
      <w:szCs w:val="24"/>
      <w:lang w:eastAsia="en-US"/>
    </w:rPr>
  </w:style>
  <w:style w:type="paragraph" w:customStyle="1" w:styleId="BodyText1">
    <w:name w:val="Body Text 1"/>
    <w:basedOn w:val="Normal"/>
    <w:rsid w:val="00312CB2"/>
    <w:pPr>
      <w:spacing w:before="240" w:line="240" w:lineRule="auto"/>
      <w:jc w:val="left"/>
    </w:pPr>
    <w:rPr>
      <w:rFonts w:ascii="Arial" w:eastAsia="Times New Roman" w:hAnsi="Arial"/>
      <w:sz w:val="20"/>
    </w:rPr>
  </w:style>
  <w:style w:type="character" w:customStyle="1" w:styleId="BodyText2Char">
    <w:name w:val="Body Text 2 Char"/>
    <w:basedOn w:val="DefaultParagraphFont"/>
    <w:link w:val="BodyText2"/>
    <w:rsid w:val="00312CB2"/>
    <w:rPr>
      <w:sz w:val="24"/>
      <w:lang w:eastAsia="en-US"/>
    </w:rPr>
  </w:style>
  <w:style w:type="character" w:customStyle="1" w:styleId="BodyText3Char">
    <w:name w:val="Body Text 3 Char"/>
    <w:basedOn w:val="DefaultParagraphFont"/>
    <w:link w:val="BodyText3"/>
    <w:rsid w:val="00312CB2"/>
    <w:rPr>
      <w:sz w:val="16"/>
      <w:szCs w:val="16"/>
      <w:lang w:eastAsia="en-US"/>
    </w:rPr>
  </w:style>
  <w:style w:type="paragraph" w:customStyle="1" w:styleId="BodyText4">
    <w:name w:val="Body Text 4"/>
    <w:basedOn w:val="Normal"/>
    <w:rsid w:val="00312CB2"/>
    <w:pPr>
      <w:spacing w:before="240" w:line="240" w:lineRule="auto"/>
      <w:ind w:left="2126"/>
      <w:jc w:val="left"/>
    </w:pPr>
    <w:rPr>
      <w:rFonts w:ascii="Arial" w:eastAsia="Times New Roman" w:hAnsi="Arial"/>
      <w:sz w:val="20"/>
    </w:rPr>
  </w:style>
  <w:style w:type="paragraph" w:customStyle="1" w:styleId="BodyText5">
    <w:name w:val="Body Text 5"/>
    <w:basedOn w:val="Normal"/>
    <w:rsid w:val="00312CB2"/>
    <w:pPr>
      <w:spacing w:before="240" w:line="240" w:lineRule="auto"/>
      <w:ind w:left="2835"/>
      <w:jc w:val="left"/>
    </w:pPr>
    <w:rPr>
      <w:rFonts w:ascii="Arial" w:eastAsia="Times New Roman" w:hAnsi="Arial"/>
      <w:sz w:val="20"/>
    </w:rPr>
  </w:style>
  <w:style w:type="paragraph" w:customStyle="1" w:styleId="BodyText6">
    <w:name w:val="Body Text 6"/>
    <w:basedOn w:val="Normal"/>
    <w:rsid w:val="00312CB2"/>
    <w:pPr>
      <w:spacing w:before="240" w:line="240" w:lineRule="auto"/>
      <w:ind w:left="3544"/>
      <w:jc w:val="left"/>
    </w:pPr>
    <w:rPr>
      <w:rFonts w:ascii="Arial" w:eastAsia="Times New Roman" w:hAnsi="Arial"/>
      <w:sz w:val="20"/>
    </w:rPr>
  </w:style>
  <w:style w:type="paragraph" w:styleId="Caption">
    <w:name w:val="caption"/>
    <w:basedOn w:val="Normal"/>
    <w:next w:val="Normal"/>
    <w:rsid w:val="00312CB2"/>
    <w:pPr>
      <w:spacing w:before="120" w:after="120" w:line="240" w:lineRule="auto"/>
      <w:jc w:val="left"/>
    </w:pPr>
    <w:rPr>
      <w:rFonts w:ascii="Arial" w:eastAsia="Times New Roman" w:hAnsi="Arial"/>
      <w:b/>
      <w:sz w:val="20"/>
    </w:rPr>
  </w:style>
  <w:style w:type="paragraph" w:customStyle="1" w:styleId="CommentBox">
    <w:name w:val="Comment Box"/>
    <w:basedOn w:val="Normal"/>
    <w:rsid w:val="00312CB2"/>
    <w:pPr>
      <w:pBdr>
        <w:top w:val="single" w:sz="4" w:space="1" w:color="auto"/>
        <w:left w:val="single" w:sz="4" w:space="4" w:color="auto"/>
        <w:bottom w:val="single" w:sz="4" w:space="1" w:color="auto"/>
        <w:right w:val="single" w:sz="4" w:space="4" w:color="auto"/>
      </w:pBdr>
      <w:shd w:val="pct12" w:color="auto" w:fill="FFFFFF"/>
      <w:spacing w:line="240" w:lineRule="auto"/>
      <w:jc w:val="left"/>
    </w:pPr>
    <w:rPr>
      <w:rFonts w:ascii="Arial" w:eastAsia="Times New Roman" w:hAnsi="Arial"/>
      <w:sz w:val="20"/>
    </w:rPr>
  </w:style>
  <w:style w:type="paragraph" w:customStyle="1" w:styleId="DefaultParagraphFont1">
    <w:name w:val="Default Paragraph Font1"/>
    <w:basedOn w:val="Normal"/>
    <w:rsid w:val="00312CB2"/>
    <w:pPr>
      <w:spacing w:before="240" w:line="240" w:lineRule="auto"/>
      <w:jc w:val="left"/>
    </w:pPr>
    <w:rPr>
      <w:rFonts w:ascii="Arial" w:eastAsia="Times New Roman" w:hAnsi="Arial"/>
      <w:sz w:val="20"/>
    </w:rPr>
  </w:style>
  <w:style w:type="paragraph" w:customStyle="1" w:styleId="Disclaimer">
    <w:name w:val="Disclaimer"/>
    <w:basedOn w:val="Footer"/>
    <w:rsid w:val="00312CB2"/>
    <w:pPr>
      <w:tabs>
        <w:tab w:val="clear" w:pos="4320"/>
        <w:tab w:val="clear" w:pos="8640"/>
      </w:tabs>
      <w:spacing w:line="240" w:lineRule="auto"/>
      <w:jc w:val="center"/>
    </w:pPr>
    <w:rPr>
      <w:rFonts w:eastAsia="Times New Roman"/>
      <w:b/>
      <w:i/>
      <w:sz w:val="18"/>
    </w:rPr>
  </w:style>
  <w:style w:type="paragraph" w:customStyle="1" w:styleId="Fax">
    <w:name w:val="Fax"/>
    <w:basedOn w:val="Normal"/>
    <w:rsid w:val="00312CB2"/>
    <w:pPr>
      <w:tabs>
        <w:tab w:val="left" w:pos="2694"/>
      </w:tabs>
      <w:ind w:left="2693" w:hanging="2693"/>
      <w:jc w:val="left"/>
    </w:pPr>
    <w:rPr>
      <w:rFonts w:ascii="Arial" w:eastAsia="Times New Roman" w:hAnsi="Arial"/>
      <w:b/>
      <w:sz w:val="20"/>
    </w:rPr>
  </w:style>
  <w:style w:type="paragraph" w:customStyle="1" w:styleId="FaxHeader">
    <w:name w:val="FaxHeader"/>
    <w:basedOn w:val="Normal"/>
    <w:rsid w:val="00312CB2"/>
    <w:pPr>
      <w:tabs>
        <w:tab w:val="left" w:pos="2693"/>
      </w:tabs>
      <w:spacing w:line="240" w:lineRule="auto"/>
      <w:ind w:left="2693" w:hanging="2693"/>
      <w:jc w:val="left"/>
    </w:pPr>
    <w:rPr>
      <w:rFonts w:ascii="Arial" w:eastAsia="Times New Roman" w:hAnsi="Arial"/>
      <w:sz w:val="20"/>
    </w:rPr>
  </w:style>
  <w:style w:type="paragraph" w:customStyle="1" w:styleId="Item">
    <w:name w:val="Item"/>
    <w:next w:val="BodyText3"/>
    <w:rsid w:val="00312CB2"/>
    <w:pPr>
      <w:keepNext/>
      <w:numPr>
        <w:numId w:val="41"/>
      </w:numPr>
      <w:spacing w:before="240"/>
    </w:pPr>
    <w:rPr>
      <w:rFonts w:ascii="Arial" w:eastAsia="Times New Roman" w:hAnsi="Arial"/>
      <w:b/>
      <w:lang w:eastAsia="en-US"/>
    </w:rPr>
  </w:style>
  <w:style w:type="paragraph" w:customStyle="1" w:styleId="Recital">
    <w:name w:val="Recital"/>
    <w:basedOn w:val="Normal"/>
    <w:rsid w:val="00312CB2"/>
    <w:pPr>
      <w:numPr>
        <w:numId w:val="43"/>
      </w:numPr>
      <w:spacing w:before="240" w:line="240" w:lineRule="auto"/>
      <w:jc w:val="left"/>
    </w:pPr>
    <w:rPr>
      <w:rFonts w:ascii="Arial" w:eastAsia="Times New Roman" w:hAnsi="Arial"/>
      <w:sz w:val="20"/>
    </w:rPr>
  </w:style>
  <w:style w:type="paragraph" w:customStyle="1" w:styleId="Schedule">
    <w:name w:val="Schedule"/>
    <w:basedOn w:val="Normal"/>
    <w:next w:val="BodyText1"/>
    <w:rsid w:val="00312CB2"/>
    <w:pPr>
      <w:keepNext/>
      <w:numPr>
        <w:numId w:val="44"/>
      </w:numPr>
      <w:spacing w:before="480" w:line="240" w:lineRule="auto"/>
      <w:jc w:val="left"/>
      <w:outlineLvl w:val="0"/>
    </w:pPr>
    <w:rPr>
      <w:rFonts w:ascii="Arial" w:eastAsia="Times New Roman" w:hAnsi="Arial"/>
      <w:b/>
    </w:rPr>
  </w:style>
  <w:style w:type="character" w:customStyle="1" w:styleId="SubtitleChar">
    <w:name w:val="Subtitle Char"/>
    <w:basedOn w:val="DefaultParagraphFont"/>
    <w:link w:val="Subtitle"/>
    <w:rsid w:val="00312CB2"/>
    <w:rPr>
      <w:rFonts w:ascii="Arial" w:hAnsi="Arial" w:cs="Arial"/>
      <w:sz w:val="24"/>
      <w:szCs w:val="24"/>
      <w:lang w:eastAsia="en-US"/>
    </w:rPr>
  </w:style>
  <w:style w:type="paragraph" w:customStyle="1" w:styleId="TableText">
    <w:name w:val="Table Text"/>
    <w:basedOn w:val="Normal"/>
    <w:rsid w:val="00312CB2"/>
    <w:pPr>
      <w:spacing w:before="60" w:after="60" w:line="240" w:lineRule="auto"/>
      <w:jc w:val="left"/>
    </w:pPr>
    <w:rPr>
      <w:rFonts w:ascii="Arial" w:eastAsia="Times New Roman" w:hAnsi="Arial"/>
      <w:sz w:val="20"/>
    </w:rPr>
  </w:style>
  <w:style w:type="paragraph" w:styleId="Title">
    <w:name w:val="Title"/>
    <w:basedOn w:val="Normal"/>
    <w:next w:val="Normal"/>
    <w:link w:val="TitleChar"/>
    <w:uiPriority w:val="99"/>
    <w:qFormat/>
    <w:rsid w:val="00312CB2"/>
    <w:pPr>
      <w:spacing w:after="360" w:line="240" w:lineRule="auto"/>
      <w:jc w:val="left"/>
    </w:pPr>
    <w:rPr>
      <w:rFonts w:ascii="Arial" w:eastAsia="Times New Roman" w:hAnsi="Arial"/>
      <w:b/>
      <w:sz w:val="40"/>
    </w:rPr>
  </w:style>
  <w:style w:type="character" w:customStyle="1" w:styleId="TitleChar">
    <w:name w:val="Title Char"/>
    <w:basedOn w:val="DefaultParagraphFont"/>
    <w:link w:val="Title"/>
    <w:uiPriority w:val="99"/>
    <w:rsid w:val="00312CB2"/>
    <w:rPr>
      <w:rFonts w:ascii="Arial" w:eastAsia="Times New Roman" w:hAnsi="Arial"/>
      <w:b/>
      <w:sz w:val="40"/>
      <w:lang w:eastAsia="en-US"/>
    </w:rPr>
  </w:style>
  <w:style w:type="paragraph" w:customStyle="1" w:styleId="NRFABullet1">
    <w:name w:val="NRFA Bullet 1"/>
    <w:basedOn w:val="BodyText2"/>
    <w:qFormat/>
    <w:rsid w:val="00312CB2"/>
    <w:pPr>
      <w:numPr>
        <w:numId w:val="42"/>
      </w:numPr>
      <w:tabs>
        <w:tab w:val="left" w:pos="709"/>
      </w:tabs>
      <w:spacing w:before="240" w:after="0" w:line="240" w:lineRule="auto"/>
      <w:jc w:val="left"/>
      <w:outlineLvl w:val="0"/>
    </w:pPr>
    <w:rPr>
      <w:rFonts w:ascii="Arial" w:eastAsia="Times New Roman" w:hAnsi="Arial"/>
      <w:sz w:val="20"/>
    </w:rPr>
  </w:style>
  <w:style w:type="paragraph" w:customStyle="1" w:styleId="NRFABullet2">
    <w:name w:val="NRFA Bullet 2"/>
    <w:basedOn w:val="NRFABullet1"/>
    <w:qFormat/>
    <w:rsid w:val="00312CB2"/>
    <w:pPr>
      <w:numPr>
        <w:ilvl w:val="1"/>
      </w:numPr>
      <w:outlineLvl w:val="1"/>
    </w:pPr>
  </w:style>
  <w:style w:type="table" w:customStyle="1" w:styleId="NRFATable">
    <w:name w:val="NRFA Table"/>
    <w:basedOn w:val="TableNormal"/>
    <w:rsid w:val="00312CB2"/>
    <w:pPr>
      <w:spacing w:before="120"/>
    </w:pPr>
    <w:rPr>
      <w:rFonts w:ascii="Arial" w:eastAsia="Times New Roman"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center"/>
      </w:pPr>
      <w:rPr>
        <w:b/>
      </w:rPr>
      <w:tblPr/>
      <w:trPr>
        <w:tblHeader/>
      </w:trPr>
      <w:tcPr>
        <w:shd w:val="clear" w:color="auto" w:fill="E6E6E6"/>
      </w:tcPr>
    </w:tblStylePr>
  </w:style>
  <w:style w:type="paragraph" w:customStyle="1" w:styleId="ScheduleNumbering1">
    <w:name w:val="Schedule Numbering 1"/>
    <w:basedOn w:val="Normal"/>
    <w:next w:val="ScheduleNumbering2"/>
    <w:rsid w:val="00312CB2"/>
    <w:pPr>
      <w:keepNext/>
      <w:widowControl w:val="0"/>
      <w:numPr>
        <w:numId w:val="45"/>
      </w:numPr>
      <w:spacing w:before="240" w:line="240" w:lineRule="auto"/>
      <w:jc w:val="left"/>
      <w:outlineLvl w:val="0"/>
    </w:pPr>
    <w:rPr>
      <w:rFonts w:ascii="Arial" w:eastAsia="Times New Roman" w:hAnsi="Arial"/>
      <w:b/>
      <w:sz w:val="20"/>
    </w:rPr>
  </w:style>
  <w:style w:type="paragraph" w:customStyle="1" w:styleId="ScheduleNumbering2">
    <w:name w:val="Schedule Numbering 2"/>
    <w:basedOn w:val="Normal"/>
    <w:rsid w:val="00312CB2"/>
    <w:pPr>
      <w:numPr>
        <w:ilvl w:val="1"/>
        <w:numId w:val="45"/>
      </w:numPr>
      <w:spacing w:before="240" w:line="240" w:lineRule="auto"/>
      <w:jc w:val="left"/>
      <w:outlineLvl w:val="1"/>
    </w:pPr>
    <w:rPr>
      <w:rFonts w:ascii="Arial" w:eastAsia="Times New Roman" w:hAnsi="Arial"/>
      <w:sz w:val="20"/>
    </w:rPr>
  </w:style>
  <w:style w:type="paragraph" w:customStyle="1" w:styleId="ScheduleNumbering3">
    <w:name w:val="Schedule Numbering 3"/>
    <w:basedOn w:val="Normal"/>
    <w:rsid w:val="00312CB2"/>
    <w:pPr>
      <w:numPr>
        <w:ilvl w:val="2"/>
        <w:numId w:val="45"/>
      </w:numPr>
      <w:spacing w:before="240" w:line="240" w:lineRule="auto"/>
      <w:jc w:val="left"/>
      <w:outlineLvl w:val="2"/>
    </w:pPr>
    <w:rPr>
      <w:rFonts w:ascii="Arial" w:eastAsia="Times New Roman" w:hAnsi="Arial"/>
      <w:sz w:val="20"/>
    </w:rPr>
  </w:style>
  <w:style w:type="paragraph" w:customStyle="1" w:styleId="ScheduleNumbering4">
    <w:name w:val="Schedule Numbering 4"/>
    <w:basedOn w:val="Normal"/>
    <w:rsid w:val="00312CB2"/>
    <w:pPr>
      <w:numPr>
        <w:ilvl w:val="3"/>
        <w:numId w:val="45"/>
      </w:numPr>
      <w:spacing w:before="240" w:line="240" w:lineRule="auto"/>
      <w:jc w:val="left"/>
      <w:outlineLvl w:val="3"/>
    </w:pPr>
    <w:rPr>
      <w:rFonts w:ascii="Arial" w:eastAsia="Times New Roman" w:hAnsi="Arial"/>
      <w:sz w:val="20"/>
    </w:rPr>
  </w:style>
  <w:style w:type="paragraph" w:customStyle="1" w:styleId="ScheduleNumbering5">
    <w:name w:val="Schedule Numbering 5"/>
    <w:basedOn w:val="Normal"/>
    <w:rsid w:val="00312CB2"/>
    <w:pPr>
      <w:numPr>
        <w:ilvl w:val="4"/>
        <w:numId w:val="45"/>
      </w:numPr>
      <w:spacing w:before="240" w:line="240" w:lineRule="auto"/>
      <w:jc w:val="left"/>
      <w:outlineLvl w:val="4"/>
    </w:pPr>
    <w:rPr>
      <w:rFonts w:ascii="Arial" w:eastAsia="Times New Roman" w:hAnsi="Arial"/>
      <w:sz w:val="20"/>
    </w:rPr>
  </w:style>
  <w:style w:type="paragraph" w:customStyle="1" w:styleId="BilingualHeading1">
    <w:name w:val="Bilingual Heading 1"/>
    <w:basedOn w:val="Normal"/>
    <w:next w:val="BilingualHeading2"/>
    <w:unhideWhenUsed/>
    <w:rsid w:val="00312CB2"/>
    <w:pPr>
      <w:keepNext/>
      <w:numPr>
        <w:numId w:val="36"/>
      </w:numPr>
      <w:spacing w:before="360" w:line="240" w:lineRule="auto"/>
      <w:jc w:val="left"/>
    </w:pPr>
    <w:rPr>
      <w:rFonts w:ascii="Arial" w:eastAsia="Times New Roman" w:hAnsi="Arial"/>
      <w:b/>
    </w:rPr>
  </w:style>
  <w:style w:type="paragraph" w:customStyle="1" w:styleId="BilingualHeading2">
    <w:name w:val="Bilingual Heading 2"/>
    <w:basedOn w:val="Normal"/>
    <w:next w:val="BodyText2"/>
    <w:unhideWhenUsed/>
    <w:rsid w:val="00312CB2"/>
    <w:pPr>
      <w:numPr>
        <w:ilvl w:val="1"/>
        <w:numId w:val="36"/>
      </w:numPr>
      <w:spacing w:before="240" w:line="240" w:lineRule="auto"/>
      <w:jc w:val="left"/>
    </w:pPr>
    <w:rPr>
      <w:rFonts w:ascii="Arial" w:eastAsia="Times New Roman" w:hAnsi="Arial"/>
      <w:sz w:val="20"/>
    </w:rPr>
  </w:style>
  <w:style w:type="paragraph" w:customStyle="1" w:styleId="BilingualHeading3">
    <w:name w:val="Bilingual Heading 3"/>
    <w:basedOn w:val="Normal"/>
    <w:unhideWhenUsed/>
    <w:rsid w:val="00312CB2"/>
    <w:pPr>
      <w:numPr>
        <w:ilvl w:val="2"/>
        <w:numId w:val="36"/>
      </w:numPr>
      <w:spacing w:before="240" w:line="240" w:lineRule="auto"/>
      <w:jc w:val="left"/>
    </w:pPr>
    <w:rPr>
      <w:rFonts w:ascii="Arial" w:eastAsia="Times New Roman" w:hAnsi="Arial"/>
      <w:sz w:val="20"/>
    </w:rPr>
  </w:style>
  <w:style w:type="paragraph" w:customStyle="1" w:styleId="BilingualHeading4">
    <w:name w:val="Bilingual Heading 4"/>
    <w:basedOn w:val="Normal"/>
    <w:unhideWhenUsed/>
    <w:rsid w:val="00312CB2"/>
    <w:pPr>
      <w:numPr>
        <w:ilvl w:val="3"/>
        <w:numId w:val="36"/>
      </w:numPr>
      <w:spacing w:before="240" w:line="240" w:lineRule="auto"/>
      <w:jc w:val="left"/>
    </w:pPr>
    <w:rPr>
      <w:rFonts w:ascii="Arial" w:eastAsia="Times New Roman" w:hAnsi="Arial"/>
      <w:sz w:val="20"/>
    </w:rPr>
  </w:style>
  <w:style w:type="paragraph" w:customStyle="1" w:styleId="BilingualHeading5">
    <w:name w:val="Bilingual Heading 5"/>
    <w:basedOn w:val="Normal"/>
    <w:unhideWhenUsed/>
    <w:rsid w:val="00312CB2"/>
    <w:pPr>
      <w:numPr>
        <w:ilvl w:val="4"/>
        <w:numId w:val="36"/>
      </w:numPr>
      <w:spacing w:before="240" w:line="240" w:lineRule="auto"/>
      <w:jc w:val="left"/>
    </w:pPr>
    <w:rPr>
      <w:rFonts w:ascii="Arial" w:eastAsia="Times New Roman" w:hAnsi="Arial"/>
      <w:sz w:val="20"/>
    </w:rPr>
  </w:style>
  <w:style w:type="paragraph" w:customStyle="1" w:styleId="BilingualHeading6">
    <w:name w:val="Bilingual Heading 6"/>
    <w:basedOn w:val="Normal"/>
    <w:unhideWhenUsed/>
    <w:rsid w:val="00312CB2"/>
    <w:pPr>
      <w:numPr>
        <w:ilvl w:val="5"/>
        <w:numId w:val="36"/>
      </w:numPr>
      <w:spacing w:before="240" w:line="240" w:lineRule="auto"/>
      <w:jc w:val="left"/>
    </w:pPr>
    <w:rPr>
      <w:rFonts w:ascii="Arial" w:eastAsia="Times New Roman" w:hAnsi="Arial"/>
      <w:sz w:val="20"/>
    </w:rPr>
  </w:style>
  <w:style w:type="table" w:customStyle="1" w:styleId="BilingualTable">
    <w:name w:val="Bilingual Table"/>
    <w:basedOn w:val="TableNormal"/>
    <w:uiPriority w:val="99"/>
    <w:rsid w:val="00312CB2"/>
    <w:rPr>
      <w:rFonts w:ascii="Arial" w:eastAsia="Times New Roman" w:hAnsi="Arial"/>
      <w:lang w:val="en-US" w:eastAsia="en-US"/>
    </w:rPr>
    <w:tblPr/>
  </w:style>
  <w:style w:type="paragraph" w:customStyle="1" w:styleId="BilingualAnnexure">
    <w:name w:val="Bilingual Annexure"/>
    <w:basedOn w:val="Normal"/>
    <w:next w:val="BodyText1"/>
    <w:rsid w:val="00312CB2"/>
    <w:pPr>
      <w:numPr>
        <w:numId w:val="35"/>
      </w:numPr>
      <w:spacing w:before="240" w:line="240" w:lineRule="auto"/>
      <w:jc w:val="left"/>
      <w:outlineLvl w:val="0"/>
    </w:pPr>
    <w:rPr>
      <w:rFonts w:ascii="Arial" w:eastAsia="Times New Roman" w:hAnsi="Arial"/>
      <w:b/>
    </w:rPr>
  </w:style>
  <w:style w:type="table" w:customStyle="1" w:styleId="TableGrid10">
    <w:name w:val="Table Grid1"/>
    <w:basedOn w:val="TableNormal"/>
    <w:next w:val="TableGrid"/>
    <w:rsid w:val="00312CB2"/>
    <w:rPr>
      <w:rFonts w:ascii="Arial" w:eastAsia="Times New Roman"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ingualItem">
    <w:name w:val="Bilingual Item"/>
    <w:next w:val="BodyText3"/>
    <w:rsid w:val="00312CB2"/>
    <w:pPr>
      <w:keepNext/>
      <w:numPr>
        <w:numId w:val="37"/>
      </w:numPr>
      <w:spacing w:before="240"/>
    </w:pPr>
    <w:rPr>
      <w:rFonts w:ascii="Arial" w:eastAsia="Times New Roman" w:hAnsi="Arial"/>
      <w:b/>
      <w:lang w:eastAsia="en-US"/>
    </w:rPr>
  </w:style>
  <w:style w:type="paragraph" w:customStyle="1" w:styleId="BilingualRecital">
    <w:name w:val="Bilingual Recital"/>
    <w:basedOn w:val="Normal"/>
    <w:rsid w:val="00312CB2"/>
    <w:pPr>
      <w:numPr>
        <w:numId w:val="38"/>
      </w:numPr>
      <w:spacing w:before="240" w:line="240" w:lineRule="auto"/>
      <w:jc w:val="left"/>
    </w:pPr>
    <w:rPr>
      <w:rFonts w:ascii="Arial" w:eastAsia="Times New Roman" w:hAnsi="Arial"/>
      <w:sz w:val="20"/>
    </w:rPr>
  </w:style>
  <w:style w:type="paragraph" w:customStyle="1" w:styleId="BilingualSchedule">
    <w:name w:val="Bilingual Schedule"/>
    <w:basedOn w:val="Normal"/>
    <w:next w:val="BodyText1"/>
    <w:rsid w:val="00312CB2"/>
    <w:pPr>
      <w:keepNext/>
      <w:numPr>
        <w:numId w:val="39"/>
      </w:numPr>
      <w:spacing w:before="480" w:line="240" w:lineRule="auto"/>
      <w:jc w:val="left"/>
      <w:outlineLvl w:val="0"/>
    </w:pPr>
    <w:rPr>
      <w:rFonts w:ascii="Arial" w:eastAsia="Times New Roman" w:hAnsi="Arial"/>
      <w:b/>
    </w:rPr>
  </w:style>
  <w:style w:type="paragraph" w:customStyle="1" w:styleId="BilingualScheduleNumbering1">
    <w:name w:val="Bilingual Schedule Numbering 1"/>
    <w:basedOn w:val="Normal"/>
    <w:next w:val="Normal"/>
    <w:rsid w:val="00312CB2"/>
    <w:pPr>
      <w:keepNext/>
      <w:widowControl w:val="0"/>
      <w:numPr>
        <w:numId w:val="40"/>
      </w:numPr>
      <w:spacing w:before="240" w:line="240" w:lineRule="auto"/>
      <w:jc w:val="left"/>
      <w:outlineLvl w:val="0"/>
    </w:pPr>
    <w:rPr>
      <w:rFonts w:ascii="Arial" w:eastAsia="Times New Roman" w:hAnsi="Arial"/>
      <w:b/>
      <w:sz w:val="20"/>
    </w:rPr>
  </w:style>
  <w:style w:type="paragraph" w:customStyle="1" w:styleId="BilingualScheduleNumbering2">
    <w:name w:val="Bilingual Schedule Numbering 2"/>
    <w:basedOn w:val="Normal"/>
    <w:rsid w:val="00312CB2"/>
    <w:pPr>
      <w:numPr>
        <w:ilvl w:val="1"/>
        <w:numId w:val="40"/>
      </w:numPr>
      <w:spacing w:before="240" w:line="240" w:lineRule="auto"/>
      <w:jc w:val="left"/>
      <w:outlineLvl w:val="1"/>
    </w:pPr>
    <w:rPr>
      <w:rFonts w:ascii="Arial" w:eastAsia="Times New Roman" w:hAnsi="Arial"/>
      <w:sz w:val="20"/>
    </w:rPr>
  </w:style>
  <w:style w:type="paragraph" w:customStyle="1" w:styleId="BilingualScheduleNumbering3">
    <w:name w:val="Bilingual Schedule Numbering 3"/>
    <w:basedOn w:val="Normal"/>
    <w:rsid w:val="00312CB2"/>
    <w:pPr>
      <w:numPr>
        <w:ilvl w:val="2"/>
        <w:numId w:val="40"/>
      </w:numPr>
      <w:spacing w:before="240" w:line="240" w:lineRule="auto"/>
      <w:jc w:val="left"/>
      <w:outlineLvl w:val="2"/>
    </w:pPr>
    <w:rPr>
      <w:rFonts w:ascii="Arial" w:eastAsia="Times New Roman" w:hAnsi="Arial"/>
      <w:sz w:val="20"/>
    </w:rPr>
  </w:style>
  <w:style w:type="paragraph" w:customStyle="1" w:styleId="BilingualScheduleNumbering4">
    <w:name w:val="Bilingual Schedule Numbering 4"/>
    <w:basedOn w:val="Normal"/>
    <w:rsid w:val="00312CB2"/>
    <w:pPr>
      <w:numPr>
        <w:ilvl w:val="3"/>
        <w:numId w:val="40"/>
      </w:numPr>
      <w:spacing w:before="240" w:line="240" w:lineRule="auto"/>
      <w:jc w:val="left"/>
      <w:outlineLvl w:val="3"/>
    </w:pPr>
    <w:rPr>
      <w:rFonts w:ascii="Arial" w:eastAsia="Times New Roman" w:hAnsi="Arial"/>
      <w:sz w:val="20"/>
    </w:rPr>
  </w:style>
  <w:style w:type="paragraph" w:customStyle="1" w:styleId="BilingualScheduleNumbering5">
    <w:name w:val="Bilingual Schedule Numbering 5"/>
    <w:basedOn w:val="Normal"/>
    <w:rsid w:val="00312CB2"/>
    <w:pPr>
      <w:numPr>
        <w:ilvl w:val="4"/>
        <w:numId w:val="40"/>
      </w:numPr>
      <w:spacing w:before="240" w:line="240" w:lineRule="auto"/>
      <w:jc w:val="left"/>
      <w:outlineLvl w:val="4"/>
    </w:pPr>
    <w:rPr>
      <w:rFonts w:ascii="Arial" w:eastAsia="Times New Roman" w:hAnsi="Arial"/>
      <w:sz w:val="20"/>
    </w:rPr>
  </w:style>
  <w:style w:type="table" w:customStyle="1" w:styleId="TableGrid11">
    <w:name w:val="Table Grid11"/>
    <w:basedOn w:val="TableNormal"/>
    <w:next w:val="TableGrid"/>
    <w:uiPriority w:val="59"/>
    <w:rsid w:val="00312CB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312CB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rlevel1">
    <w:name w:val="Bar level 1"/>
    <w:basedOn w:val="Normal"/>
    <w:qFormat/>
    <w:rsid w:val="00312CB2"/>
    <w:pPr>
      <w:numPr>
        <w:numId w:val="46"/>
      </w:numPr>
      <w:spacing w:before="220" w:after="120" w:line="288" w:lineRule="auto"/>
    </w:pPr>
    <w:rPr>
      <w:rFonts w:ascii="Arial" w:eastAsia="Times New Roman" w:hAnsi="Arial" w:cs="Arial"/>
      <w:sz w:val="22"/>
      <w:szCs w:val="22"/>
      <w:lang w:eastAsia="en-AU"/>
    </w:rPr>
  </w:style>
  <w:style w:type="paragraph" w:customStyle="1" w:styleId="Barlevel2">
    <w:name w:val="Bar level 2"/>
    <w:basedOn w:val="Normal"/>
    <w:qFormat/>
    <w:rsid w:val="00312CB2"/>
    <w:pPr>
      <w:numPr>
        <w:ilvl w:val="2"/>
        <w:numId w:val="46"/>
      </w:numPr>
      <w:spacing w:before="120" w:after="120" w:line="240" w:lineRule="auto"/>
    </w:pPr>
    <w:rPr>
      <w:rFonts w:ascii="Arial" w:eastAsia="Times New Roman" w:hAnsi="Arial" w:cs="Arial"/>
      <w:bCs/>
      <w:sz w:val="22"/>
      <w:szCs w:val="22"/>
      <w:lang w:eastAsia="en-AU"/>
    </w:rPr>
  </w:style>
  <w:style w:type="paragraph" w:customStyle="1" w:styleId="Barlevel3">
    <w:name w:val="Bar level 3"/>
    <w:basedOn w:val="Normal"/>
    <w:qFormat/>
    <w:rsid w:val="00312CB2"/>
    <w:pPr>
      <w:numPr>
        <w:ilvl w:val="3"/>
        <w:numId w:val="46"/>
      </w:numPr>
      <w:spacing w:before="220" w:after="120" w:line="288" w:lineRule="auto"/>
    </w:pPr>
    <w:rPr>
      <w:rFonts w:ascii="Arial" w:eastAsia="Times New Roman" w:hAnsi="Arial"/>
      <w:sz w:val="22"/>
      <w:szCs w:val="22"/>
      <w:lang w:eastAsia="en-AU"/>
    </w:rPr>
  </w:style>
  <w:style w:type="character" w:customStyle="1" w:styleId="FollowedHyperlink1">
    <w:name w:val="FollowedHyperlink1"/>
    <w:basedOn w:val="DefaultParagraphFont"/>
    <w:uiPriority w:val="99"/>
    <w:semiHidden/>
    <w:unhideWhenUsed/>
    <w:rsid w:val="00312CB2"/>
    <w:rPr>
      <w:color w:val="954F72"/>
      <w:u w:val="single"/>
    </w:rPr>
  </w:style>
  <w:style w:type="paragraph" w:customStyle="1" w:styleId="Style1">
    <w:name w:val="Style1"/>
    <w:basedOn w:val="ListParagraph"/>
    <w:qFormat/>
    <w:rsid w:val="00312CB2"/>
    <w:pPr>
      <w:widowControl w:val="0"/>
      <w:tabs>
        <w:tab w:val="left" w:pos="1579"/>
      </w:tabs>
      <w:autoSpaceDE w:val="0"/>
      <w:autoSpaceDN w:val="0"/>
      <w:spacing w:before="137" w:line="360" w:lineRule="auto"/>
      <w:ind w:left="1578" w:right="916" w:hanging="711"/>
      <w:contextualSpacing w:val="0"/>
      <w:jc w:val="both"/>
    </w:pPr>
    <w:rPr>
      <w:rFonts w:ascii="Calibri" w:hAnsi="Calibri"/>
      <w:lang w:val="en-US"/>
    </w:rPr>
  </w:style>
  <w:style w:type="character" w:customStyle="1" w:styleId="Heading4Char1">
    <w:name w:val="Heading 4 Char1"/>
    <w:basedOn w:val="DefaultParagraphFont"/>
    <w:semiHidden/>
    <w:rsid w:val="00312CB2"/>
    <w:rPr>
      <w:rFonts w:asciiTheme="majorHAnsi" w:eastAsiaTheme="majorEastAsia" w:hAnsiTheme="majorHAnsi" w:cstheme="majorBidi"/>
      <w:i/>
      <w:iCs/>
      <w:color w:val="365F91" w:themeColor="accent1" w:themeShade="BF"/>
      <w:sz w:val="24"/>
      <w:szCs w:val="24"/>
      <w:lang w:val="en-AU"/>
    </w:rPr>
  </w:style>
  <w:style w:type="character" w:customStyle="1" w:styleId="Heading5Char1">
    <w:name w:val="Heading 5 Char1"/>
    <w:basedOn w:val="DefaultParagraphFont"/>
    <w:semiHidden/>
    <w:rsid w:val="00312CB2"/>
    <w:rPr>
      <w:rFonts w:asciiTheme="majorHAnsi" w:eastAsiaTheme="majorEastAsia" w:hAnsiTheme="majorHAnsi" w:cstheme="majorBidi"/>
      <w:color w:val="365F91" w:themeColor="accent1" w:themeShade="BF"/>
      <w:sz w:val="24"/>
      <w:szCs w:val="24"/>
      <w:lang w:val="en-AU"/>
    </w:rPr>
  </w:style>
  <w:style w:type="character" w:customStyle="1" w:styleId="Heading6Char1">
    <w:name w:val="Heading 6 Char1"/>
    <w:basedOn w:val="DefaultParagraphFont"/>
    <w:semiHidden/>
    <w:rsid w:val="00312CB2"/>
    <w:rPr>
      <w:rFonts w:asciiTheme="majorHAnsi" w:eastAsiaTheme="majorEastAsia" w:hAnsiTheme="majorHAnsi" w:cstheme="majorBidi"/>
      <w:color w:val="243F60" w:themeColor="accent1" w:themeShade="7F"/>
      <w:sz w:val="24"/>
      <w:szCs w:val="24"/>
      <w:lang w:val="en-AU"/>
    </w:rPr>
  </w:style>
  <w:style w:type="character" w:customStyle="1" w:styleId="Heading7Char1">
    <w:name w:val="Heading 7 Char1"/>
    <w:basedOn w:val="DefaultParagraphFont"/>
    <w:semiHidden/>
    <w:rsid w:val="00312CB2"/>
    <w:rPr>
      <w:rFonts w:asciiTheme="majorHAnsi" w:eastAsiaTheme="majorEastAsia" w:hAnsiTheme="majorHAnsi" w:cstheme="majorBidi"/>
      <w:i/>
      <w:iCs/>
      <w:color w:val="243F60" w:themeColor="accent1" w:themeShade="7F"/>
      <w:sz w:val="24"/>
      <w:szCs w:val="24"/>
      <w:lang w:val="en-AU"/>
    </w:rPr>
  </w:style>
  <w:style w:type="character" w:customStyle="1" w:styleId="Heading8Char1">
    <w:name w:val="Heading 8 Char1"/>
    <w:basedOn w:val="DefaultParagraphFont"/>
    <w:semiHidden/>
    <w:rsid w:val="00312CB2"/>
    <w:rPr>
      <w:rFonts w:asciiTheme="majorHAnsi" w:eastAsiaTheme="majorEastAsia" w:hAnsiTheme="majorHAnsi" w:cstheme="majorBidi"/>
      <w:color w:val="272727" w:themeColor="text1" w:themeTint="D8"/>
      <w:sz w:val="21"/>
      <w:szCs w:val="21"/>
      <w:lang w:val="en-AU"/>
    </w:rPr>
  </w:style>
  <w:style w:type="character" w:customStyle="1" w:styleId="Heading9Char1">
    <w:name w:val="Heading 9 Char1"/>
    <w:basedOn w:val="DefaultParagraphFont"/>
    <w:semiHidden/>
    <w:rsid w:val="00312CB2"/>
    <w:rPr>
      <w:rFonts w:asciiTheme="majorHAnsi" w:eastAsiaTheme="majorEastAsia" w:hAnsiTheme="majorHAnsi" w:cstheme="majorBidi"/>
      <w:i/>
      <w:iCs/>
      <w:color w:val="272727" w:themeColor="text1" w:themeTint="D8"/>
      <w:sz w:val="21"/>
      <w:szCs w:val="21"/>
      <w:lang w:val="en-AU"/>
    </w:rPr>
  </w:style>
  <w:style w:type="character" w:customStyle="1" w:styleId="CommentTextChar1">
    <w:name w:val="Comment Text Char1"/>
    <w:basedOn w:val="DefaultParagraphFont"/>
    <w:semiHidden/>
    <w:rsid w:val="00312CB2"/>
    <w:rPr>
      <w:lang w:val="en-AU"/>
    </w:rPr>
  </w:style>
  <w:style w:type="character" w:customStyle="1" w:styleId="CommentSubjectChar1">
    <w:name w:val="Comment Subject Char1"/>
    <w:basedOn w:val="CommentTextChar1"/>
    <w:semiHidden/>
    <w:rsid w:val="00312CB2"/>
    <w:rPr>
      <w:b/>
      <w:bCs/>
      <w:lang w:val="en-AU"/>
    </w:rPr>
  </w:style>
  <w:style w:type="paragraph" w:styleId="Index1">
    <w:name w:val="index 1"/>
    <w:basedOn w:val="Normal"/>
    <w:next w:val="Normal"/>
    <w:autoRedefine/>
    <w:semiHidden/>
    <w:unhideWhenUsed/>
    <w:rsid w:val="00312CB2"/>
    <w:pPr>
      <w:spacing w:line="240" w:lineRule="auto"/>
      <w:ind w:left="240" w:hanging="240"/>
      <w:jc w:val="left"/>
    </w:pPr>
    <w:rPr>
      <w:rFonts w:eastAsia="Times New Roman"/>
      <w:szCs w:val="24"/>
    </w:rPr>
  </w:style>
  <w:style w:type="character" w:customStyle="1" w:styleId="FootnoteTextChar1">
    <w:name w:val="Footnote Text Char1"/>
    <w:basedOn w:val="DefaultParagraphFont"/>
    <w:semiHidden/>
    <w:rsid w:val="00312CB2"/>
    <w:rPr>
      <w:lang w:val="en-AU"/>
    </w:rPr>
  </w:style>
  <w:style w:type="character" w:styleId="UnresolvedMention">
    <w:name w:val="Unresolved Mention"/>
    <w:basedOn w:val="DefaultParagraphFont"/>
    <w:uiPriority w:val="99"/>
    <w:semiHidden/>
    <w:unhideWhenUsed/>
    <w:rsid w:val="00842D0A"/>
    <w:rPr>
      <w:color w:val="605E5C"/>
      <w:shd w:val="clear" w:color="auto" w:fill="E1DFDD"/>
    </w:rPr>
  </w:style>
  <w:style w:type="paragraph" w:customStyle="1" w:styleId="00462dc7">
    <w:name w:val="00462dc7"/>
    <w:basedOn w:val="Normal"/>
    <w:rsid w:val="00B16C51"/>
    <w:pPr>
      <w:spacing w:before="100" w:beforeAutospacing="1" w:after="100" w:afterAutospacing="1" w:line="240" w:lineRule="auto"/>
      <w:jc w:val="left"/>
    </w:pPr>
    <w:rPr>
      <w:rFonts w:eastAsia="Times New Roman"/>
      <w:szCs w:val="24"/>
      <w:lang w:eastAsia="en-AU"/>
    </w:rPr>
  </w:style>
  <w:style w:type="paragraph" w:customStyle="1" w:styleId="00b65f5b">
    <w:name w:val="00b65f5b"/>
    <w:basedOn w:val="Normal"/>
    <w:rsid w:val="00B16C51"/>
    <w:pPr>
      <w:spacing w:before="100" w:beforeAutospacing="1" w:after="100" w:afterAutospacing="1" w:line="240" w:lineRule="auto"/>
      <w:jc w:val="left"/>
    </w:pPr>
    <w:rPr>
      <w:rFonts w:eastAsia="Times New Roman"/>
      <w:szCs w:val="24"/>
      <w:lang w:eastAsia="en-AU"/>
    </w:rPr>
  </w:style>
  <w:style w:type="character" w:customStyle="1" w:styleId="cf01">
    <w:name w:val="cf01"/>
    <w:basedOn w:val="DefaultParagraphFont"/>
    <w:rsid w:val="00BD58CA"/>
    <w:rPr>
      <w:rFonts w:ascii="Segoe UI" w:hAnsi="Segoe UI" w:cs="Segoe UI" w:hint="default"/>
      <w:i/>
      <w:iCs/>
      <w:sz w:val="18"/>
      <w:szCs w:val="18"/>
      <w:shd w:val="clear" w:color="auto" w:fill="FFFFFF"/>
    </w:rPr>
  </w:style>
  <w:style w:type="character" w:customStyle="1" w:styleId="cf11">
    <w:name w:val="cf11"/>
    <w:basedOn w:val="DefaultParagraphFont"/>
    <w:rsid w:val="00BD58CA"/>
    <w:rPr>
      <w:rFonts w:ascii="Segoe UI" w:hAnsi="Segoe UI" w:cs="Segoe UI" w:hint="default"/>
      <w:sz w:val="18"/>
      <w:szCs w:val="18"/>
      <w:shd w:val="clear" w:color="auto" w:fill="FFFFFF"/>
    </w:rPr>
  </w:style>
  <w:style w:type="character" w:customStyle="1" w:styleId="eop">
    <w:name w:val="eop"/>
    <w:basedOn w:val="DefaultParagraphFont"/>
    <w:rsid w:val="00064A3F"/>
  </w:style>
  <w:style w:type="paragraph" w:customStyle="1" w:styleId="FED1">
    <w:name w:val="FED1"/>
    <w:basedOn w:val="Normal"/>
    <w:uiPriority w:val="99"/>
    <w:qFormat/>
    <w:rsid w:val="00C9584B"/>
    <w:pPr>
      <w:spacing w:before="120" w:line="276" w:lineRule="auto"/>
      <w:jc w:val="center"/>
    </w:pPr>
    <w:rPr>
      <w:rFonts w:ascii="Tahoma" w:eastAsia="Times New Roman" w:hAnsi="Tahoma"/>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9345">
      <w:bodyDiv w:val="1"/>
      <w:marLeft w:val="0"/>
      <w:marRight w:val="0"/>
      <w:marTop w:val="0"/>
      <w:marBottom w:val="0"/>
      <w:divBdr>
        <w:top w:val="none" w:sz="0" w:space="0" w:color="auto"/>
        <w:left w:val="none" w:sz="0" w:space="0" w:color="auto"/>
        <w:bottom w:val="none" w:sz="0" w:space="0" w:color="auto"/>
        <w:right w:val="none" w:sz="0" w:space="0" w:color="auto"/>
      </w:divBdr>
      <w:divsChild>
        <w:div w:id="1924992208">
          <w:marLeft w:val="0"/>
          <w:marRight w:val="0"/>
          <w:marTop w:val="0"/>
          <w:marBottom w:val="0"/>
          <w:divBdr>
            <w:top w:val="none" w:sz="0" w:space="0" w:color="auto"/>
            <w:left w:val="none" w:sz="0" w:space="0" w:color="auto"/>
            <w:bottom w:val="none" w:sz="0" w:space="0" w:color="auto"/>
            <w:right w:val="none" w:sz="0" w:space="0" w:color="auto"/>
          </w:divBdr>
          <w:divsChild>
            <w:div w:id="6386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5590">
      <w:bodyDiv w:val="1"/>
      <w:marLeft w:val="0"/>
      <w:marRight w:val="0"/>
      <w:marTop w:val="0"/>
      <w:marBottom w:val="0"/>
      <w:divBdr>
        <w:top w:val="none" w:sz="0" w:space="0" w:color="auto"/>
        <w:left w:val="none" w:sz="0" w:space="0" w:color="auto"/>
        <w:bottom w:val="none" w:sz="0" w:space="0" w:color="auto"/>
        <w:right w:val="none" w:sz="0" w:space="0" w:color="auto"/>
      </w:divBdr>
    </w:div>
    <w:div w:id="46074910">
      <w:bodyDiv w:val="1"/>
      <w:marLeft w:val="0"/>
      <w:marRight w:val="0"/>
      <w:marTop w:val="0"/>
      <w:marBottom w:val="0"/>
      <w:divBdr>
        <w:top w:val="none" w:sz="0" w:space="0" w:color="auto"/>
        <w:left w:val="none" w:sz="0" w:space="0" w:color="auto"/>
        <w:bottom w:val="none" w:sz="0" w:space="0" w:color="auto"/>
        <w:right w:val="none" w:sz="0" w:space="0" w:color="auto"/>
      </w:divBdr>
    </w:div>
    <w:div w:id="134614415">
      <w:bodyDiv w:val="1"/>
      <w:marLeft w:val="0"/>
      <w:marRight w:val="0"/>
      <w:marTop w:val="0"/>
      <w:marBottom w:val="0"/>
      <w:divBdr>
        <w:top w:val="none" w:sz="0" w:space="0" w:color="auto"/>
        <w:left w:val="none" w:sz="0" w:space="0" w:color="auto"/>
        <w:bottom w:val="none" w:sz="0" w:space="0" w:color="auto"/>
        <w:right w:val="none" w:sz="0" w:space="0" w:color="auto"/>
      </w:divBdr>
    </w:div>
    <w:div w:id="160507844">
      <w:bodyDiv w:val="1"/>
      <w:marLeft w:val="0"/>
      <w:marRight w:val="0"/>
      <w:marTop w:val="0"/>
      <w:marBottom w:val="0"/>
      <w:divBdr>
        <w:top w:val="none" w:sz="0" w:space="0" w:color="auto"/>
        <w:left w:val="none" w:sz="0" w:space="0" w:color="auto"/>
        <w:bottom w:val="none" w:sz="0" w:space="0" w:color="auto"/>
        <w:right w:val="none" w:sz="0" w:space="0" w:color="auto"/>
      </w:divBdr>
    </w:div>
    <w:div w:id="184247390">
      <w:bodyDiv w:val="1"/>
      <w:marLeft w:val="0"/>
      <w:marRight w:val="0"/>
      <w:marTop w:val="0"/>
      <w:marBottom w:val="0"/>
      <w:divBdr>
        <w:top w:val="none" w:sz="0" w:space="0" w:color="auto"/>
        <w:left w:val="none" w:sz="0" w:space="0" w:color="auto"/>
        <w:bottom w:val="none" w:sz="0" w:space="0" w:color="auto"/>
        <w:right w:val="none" w:sz="0" w:space="0" w:color="auto"/>
      </w:divBdr>
    </w:div>
    <w:div w:id="187646111">
      <w:bodyDiv w:val="1"/>
      <w:marLeft w:val="0"/>
      <w:marRight w:val="0"/>
      <w:marTop w:val="0"/>
      <w:marBottom w:val="0"/>
      <w:divBdr>
        <w:top w:val="none" w:sz="0" w:space="0" w:color="auto"/>
        <w:left w:val="none" w:sz="0" w:space="0" w:color="auto"/>
        <w:bottom w:val="none" w:sz="0" w:space="0" w:color="auto"/>
        <w:right w:val="none" w:sz="0" w:space="0" w:color="auto"/>
      </w:divBdr>
    </w:div>
    <w:div w:id="245530432">
      <w:bodyDiv w:val="1"/>
      <w:marLeft w:val="0"/>
      <w:marRight w:val="0"/>
      <w:marTop w:val="0"/>
      <w:marBottom w:val="0"/>
      <w:divBdr>
        <w:top w:val="none" w:sz="0" w:space="0" w:color="auto"/>
        <w:left w:val="none" w:sz="0" w:space="0" w:color="auto"/>
        <w:bottom w:val="none" w:sz="0" w:space="0" w:color="auto"/>
        <w:right w:val="none" w:sz="0" w:space="0" w:color="auto"/>
      </w:divBdr>
    </w:div>
    <w:div w:id="360937102">
      <w:bodyDiv w:val="1"/>
      <w:marLeft w:val="0"/>
      <w:marRight w:val="0"/>
      <w:marTop w:val="0"/>
      <w:marBottom w:val="0"/>
      <w:divBdr>
        <w:top w:val="none" w:sz="0" w:space="0" w:color="auto"/>
        <w:left w:val="none" w:sz="0" w:space="0" w:color="auto"/>
        <w:bottom w:val="none" w:sz="0" w:space="0" w:color="auto"/>
        <w:right w:val="none" w:sz="0" w:space="0" w:color="auto"/>
      </w:divBdr>
    </w:div>
    <w:div w:id="735009392">
      <w:bodyDiv w:val="1"/>
      <w:marLeft w:val="0"/>
      <w:marRight w:val="0"/>
      <w:marTop w:val="0"/>
      <w:marBottom w:val="0"/>
      <w:divBdr>
        <w:top w:val="none" w:sz="0" w:space="0" w:color="auto"/>
        <w:left w:val="none" w:sz="0" w:space="0" w:color="auto"/>
        <w:bottom w:val="none" w:sz="0" w:space="0" w:color="auto"/>
        <w:right w:val="none" w:sz="0" w:space="0" w:color="auto"/>
      </w:divBdr>
    </w:div>
    <w:div w:id="762385105">
      <w:bodyDiv w:val="1"/>
      <w:marLeft w:val="0"/>
      <w:marRight w:val="0"/>
      <w:marTop w:val="0"/>
      <w:marBottom w:val="0"/>
      <w:divBdr>
        <w:top w:val="none" w:sz="0" w:space="0" w:color="auto"/>
        <w:left w:val="none" w:sz="0" w:space="0" w:color="auto"/>
        <w:bottom w:val="none" w:sz="0" w:space="0" w:color="auto"/>
        <w:right w:val="none" w:sz="0" w:space="0" w:color="auto"/>
      </w:divBdr>
    </w:div>
    <w:div w:id="1169712416">
      <w:bodyDiv w:val="1"/>
      <w:marLeft w:val="0"/>
      <w:marRight w:val="0"/>
      <w:marTop w:val="0"/>
      <w:marBottom w:val="0"/>
      <w:divBdr>
        <w:top w:val="none" w:sz="0" w:space="0" w:color="auto"/>
        <w:left w:val="none" w:sz="0" w:space="0" w:color="auto"/>
        <w:bottom w:val="none" w:sz="0" w:space="0" w:color="auto"/>
        <w:right w:val="none" w:sz="0" w:space="0" w:color="auto"/>
      </w:divBdr>
    </w:div>
    <w:div w:id="1776896817">
      <w:bodyDiv w:val="1"/>
      <w:marLeft w:val="0"/>
      <w:marRight w:val="0"/>
      <w:marTop w:val="0"/>
      <w:marBottom w:val="0"/>
      <w:divBdr>
        <w:top w:val="none" w:sz="0" w:space="0" w:color="auto"/>
        <w:left w:val="none" w:sz="0" w:space="0" w:color="auto"/>
        <w:bottom w:val="none" w:sz="0" w:space="0" w:color="auto"/>
        <w:right w:val="none" w:sz="0" w:space="0" w:color="auto"/>
      </w:divBdr>
    </w:div>
    <w:div w:id="194761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1.JP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00BD5FC94B4966BA51567BE761559D"/>
        <w:category>
          <w:name w:val="General"/>
          <w:gallery w:val="placeholder"/>
        </w:category>
        <w:types>
          <w:type w:val="bbPlcHdr"/>
        </w:types>
        <w:behaviors>
          <w:behavior w:val="content"/>
        </w:behaviors>
        <w:guid w:val="{2160F602-669A-40EF-8220-163F07E999CA}"/>
      </w:docPartPr>
      <w:docPartBody>
        <w:p w:rsidR="00F00E17" w:rsidRDefault="00866F42">
          <w:pPr>
            <w:pStyle w:val="D800BD5FC94B4966BA51567BE761559D"/>
          </w:pPr>
          <w:r>
            <w:rPr>
              <w:rStyle w:val="PlaceholderText"/>
            </w:rPr>
            <w:t>MNC Text</w:t>
          </w:r>
        </w:p>
      </w:docPartBody>
    </w:docPart>
    <w:docPart>
      <w:docPartPr>
        <w:name w:val="61FB7CBB70E74F149DA506799ECE2527"/>
        <w:category>
          <w:name w:val="General"/>
          <w:gallery w:val="placeholder"/>
        </w:category>
        <w:types>
          <w:type w:val="bbPlcHdr"/>
        </w:types>
        <w:behaviors>
          <w:behavior w:val="content"/>
        </w:behaviors>
        <w:guid w:val="{BD729A38-C9B3-4348-A33D-6AB5475777C8}"/>
      </w:docPartPr>
      <w:docPartBody>
        <w:p w:rsidR="00F00E17" w:rsidRDefault="00866F42">
          <w:pPr>
            <w:pStyle w:val="61FB7CBB70E74F149DA506799ECE2527"/>
          </w:pPr>
          <w:r w:rsidRPr="005C44BE">
            <w:rPr>
              <w:rStyle w:val="PlaceholderText"/>
            </w:rPr>
            <w:t>Click or tap here to enter text.</w:t>
          </w:r>
        </w:p>
      </w:docPartBody>
    </w:docPart>
    <w:docPart>
      <w:docPartPr>
        <w:name w:val="31444B3BF49942CBA571FB5D071DE62D"/>
        <w:category>
          <w:name w:val="General"/>
          <w:gallery w:val="placeholder"/>
        </w:category>
        <w:types>
          <w:type w:val="bbPlcHdr"/>
        </w:types>
        <w:behaviors>
          <w:behavior w:val="content"/>
        </w:behaviors>
        <w:guid w:val="{F7BA6BE4-2710-4E93-B215-A2CBF2DD8E8D}"/>
      </w:docPartPr>
      <w:docPartBody>
        <w:p w:rsidR="00F00E17" w:rsidRDefault="00866F42">
          <w:pPr>
            <w:pStyle w:val="31444B3BF49942CBA571FB5D071DE62D"/>
          </w:pPr>
          <w:r w:rsidRPr="005C44BE">
            <w:rPr>
              <w:rStyle w:val="PlaceholderText"/>
            </w:rPr>
            <w:t>Click or tap here to enter text.</w:t>
          </w:r>
        </w:p>
      </w:docPartBody>
    </w:docPart>
    <w:docPart>
      <w:docPartPr>
        <w:name w:val="EC589CF316924D81AAA3DB3D5729D401"/>
        <w:category>
          <w:name w:val="General"/>
          <w:gallery w:val="placeholder"/>
        </w:category>
        <w:types>
          <w:type w:val="bbPlcHdr"/>
        </w:types>
        <w:behaviors>
          <w:behavior w:val="content"/>
        </w:behaviors>
        <w:guid w:val="{42508E66-B4F0-4665-85DA-9256EDDCFDA0}"/>
      </w:docPartPr>
      <w:docPartBody>
        <w:p w:rsidR="00F00E17" w:rsidRDefault="00866F42">
          <w:pPr>
            <w:pStyle w:val="EC589CF316924D81AAA3DB3D5729D401"/>
          </w:pPr>
          <w:r w:rsidRPr="005C44BE">
            <w:rPr>
              <w:rStyle w:val="PlaceholderText"/>
            </w:rPr>
            <w:t>Click or tap here to enter text.</w:t>
          </w:r>
        </w:p>
      </w:docPartBody>
    </w:docPart>
    <w:docPart>
      <w:docPartPr>
        <w:name w:val="02F0781728A64D7BAC39437C0AAE1F12"/>
        <w:category>
          <w:name w:val="General"/>
          <w:gallery w:val="placeholder"/>
        </w:category>
        <w:types>
          <w:type w:val="bbPlcHdr"/>
        </w:types>
        <w:behaviors>
          <w:behavior w:val="content"/>
        </w:behaviors>
        <w:guid w:val="{A5AB0F28-A96A-427D-80F9-6961545094F3}"/>
      </w:docPartPr>
      <w:docPartBody>
        <w:p w:rsidR="00F00E17" w:rsidRDefault="00866F42">
          <w:pPr>
            <w:pStyle w:val="02F0781728A64D7BAC39437C0AAE1F12"/>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Palatino">
    <w:altName w:val="Segoe UI Historic"/>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E17"/>
    <w:rsid w:val="00134E29"/>
    <w:rsid w:val="001D3DB6"/>
    <w:rsid w:val="00240B90"/>
    <w:rsid w:val="002F4E72"/>
    <w:rsid w:val="00582336"/>
    <w:rsid w:val="00631FAB"/>
    <w:rsid w:val="00693CD7"/>
    <w:rsid w:val="007D2534"/>
    <w:rsid w:val="00825C29"/>
    <w:rsid w:val="00866F42"/>
    <w:rsid w:val="00891F37"/>
    <w:rsid w:val="008B3E5C"/>
    <w:rsid w:val="00966925"/>
    <w:rsid w:val="009D0393"/>
    <w:rsid w:val="00AF4841"/>
    <w:rsid w:val="00C15747"/>
    <w:rsid w:val="00C47E5B"/>
    <w:rsid w:val="00D50998"/>
    <w:rsid w:val="00E12992"/>
    <w:rsid w:val="00E76C92"/>
    <w:rsid w:val="00EC4F2B"/>
    <w:rsid w:val="00EC5D35"/>
    <w:rsid w:val="00ED1B68"/>
    <w:rsid w:val="00F00E17"/>
    <w:rsid w:val="00FE532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800BD5FC94B4966BA51567BE761559D">
    <w:name w:val="D800BD5FC94B4966BA51567BE761559D"/>
  </w:style>
  <w:style w:type="paragraph" w:customStyle="1" w:styleId="61FB7CBB70E74F149DA506799ECE2527">
    <w:name w:val="61FB7CBB70E74F149DA506799ECE2527"/>
  </w:style>
  <w:style w:type="paragraph" w:customStyle="1" w:styleId="31444B3BF49942CBA571FB5D071DE62D">
    <w:name w:val="31444B3BF49942CBA571FB5D071DE62D"/>
  </w:style>
  <w:style w:type="paragraph" w:customStyle="1" w:styleId="EC589CF316924D81AAA3DB3D5729D401">
    <w:name w:val="EC589CF316924D81AAA3DB3D5729D401"/>
  </w:style>
  <w:style w:type="paragraph" w:customStyle="1" w:styleId="02F0781728A64D7BAC39437C0AAE1F12">
    <w:name w:val="02F0781728A64D7BAC39437C0AAE1F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Luke v Aveo Group Limited (No 3) [2023] FCA 1665</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56</Pages>
  <Words>19330</Words>
  <Characters>98172</Characters>
  <Application>Microsoft Office Word</Application>
  <DocSecurity>0</DocSecurity>
  <PresentationFormat/>
  <Lines>2003</Lines>
  <Paragraphs>767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Luke v Aveo Group Limited (No 3) [2023] FCA 1665</vt:lpstr>
    </vt:vector>
  </TitlesOfParts>
  <Manager/>
  <Company/>
  <LinksUpToDate>false</LinksUpToDate>
  <CharactersWithSpaces>116735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v Aveo Group Limited (No 3) [2023] FCA 1665</dc:title>
  <dc:subject/>
  <dc:creator/>
  <cp:keywords/>
  <dc:description/>
  <cp:lastModifiedBy/>
  <cp:revision>1</cp:revision>
  <cp:lastPrinted>2023-12-22T02:57:00Z</cp:lastPrinted>
  <dcterms:created xsi:type="dcterms:W3CDTF">2024-03-12T04:57:00Z</dcterms:created>
  <dcterms:modified xsi:type="dcterms:W3CDTF">2024-03-12T05:02:00Z</dcterms:modified>
  <cp:category/>
  <cp:contentStatus/>
  <dc:language/>
  <cp:version/>
</cp:coreProperties>
</file>