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AABC2" w14:textId="663CA0A9" w:rsidR="00395B24" w:rsidRDefault="00AF02C8" w:rsidP="00A22932">
      <w:pPr>
        <w:pStyle w:val="CourtTitle"/>
      </w:pPr>
      <w:r>
        <w:fldChar w:fldCharType="begin"/>
      </w:r>
      <w:r>
        <w:instrText xml:space="preserve"> DOCPROPERTY  Court  \* MERGEFORMAT </w:instrText>
      </w:r>
      <w:r>
        <w:fldChar w:fldCharType="separate"/>
      </w:r>
      <w:r w:rsidR="000948C9">
        <w:t>Federal Court of Australia</w:t>
      </w:r>
      <w:r>
        <w:fldChar w:fldCharType="end"/>
      </w:r>
    </w:p>
    <w:p w14:paraId="63F68422" w14:textId="77777777" w:rsidR="004D7950" w:rsidRDefault="004D7950">
      <w:pPr>
        <w:pStyle w:val="NormalHeadings"/>
        <w:jc w:val="center"/>
        <w:rPr>
          <w:sz w:val="32"/>
        </w:rPr>
      </w:pPr>
    </w:p>
    <w:bookmarkStart w:id="0" w:name="MNC"/>
    <w:p w14:paraId="0337F209" w14:textId="7CC0180C" w:rsidR="00374CC4" w:rsidRDefault="00D525E3" w:rsidP="001A2B40">
      <w:pPr>
        <w:pStyle w:val="MNC"/>
      </w:pPr>
      <w:sdt>
        <w:sdtPr>
          <w:alias w:val="MNC"/>
          <w:tag w:val="MNC"/>
          <w:id w:val="343289786"/>
          <w:lock w:val="sdtLocked"/>
          <w:placeholder>
            <w:docPart w:val="197CD05F6AE64A57BA02D19F4812C986"/>
          </w:placeholder>
          <w:dataBinding w:prefixMappings="xmlns:ns0='http://schemas.globalmacros.com/FCA'" w:xpath="/ns0:root[1]/ns0:Name[1]" w:storeItemID="{687E7CCB-4AA5-44E7-B148-17BA2B6F57C0}"/>
          <w:text w:multiLine="1"/>
        </w:sdtPr>
        <w:sdtEndPr/>
        <w:sdtContent>
          <w:proofErr w:type="spellStart"/>
          <w:r w:rsidR="00971D99">
            <w:t>Binqld</w:t>
          </w:r>
          <w:proofErr w:type="spellEnd"/>
          <w:r w:rsidR="00971D99">
            <w:t xml:space="preserve"> Finances Pty Ltd (in </w:t>
          </w:r>
          <w:proofErr w:type="spellStart"/>
          <w:r w:rsidR="00971D99">
            <w:t>liq</w:t>
          </w:r>
          <w:proofErr w:type="spellEnd"/>
          <w:r w:rsidR="00971D99">
            <w:t xml:space="preserve">) v Binetter [2024] FCA </w:t>
          </w:r>
          <w:r w:rsidR="008409C4">
            <w:t>361</w:t>
          </w:r>
          <w:r w:rsidR="00971D99">
            <w:t xml:space="preserve"> </w:t>
          </w:r>
        </w:sdtContent>
      </w:sdt>
      <w:bookmarkEnd w:id="0"/>
      <w:r w:rsidR="005C185C">
        <w:t xml:space="preserve"> </w:t>
      </w:r>
    </w:p>
    <w:tbl>
      <w:tblPr>
        <w:tblW w:w="9073" w:type="dxa"/>
        <w:tblLayout w:type="fixed"/>
        <w:tblLook w:val="01E0" w:firstRow="1" w:lastRow="1" w:firstColumn="1" w:lastColumn="1" w:noHBand="0" w:noVBand="0"/>
        <w:tblCaption w:val="Cover Table"/>
        <w:tblDescription w:val="Cover Table"/>
      </w:tblPr>
      <w:tblGrid>
        <w:gridCol w:w="3084"/>
        <w:gridCol w:w="5989"/>
      </w:tblGrid>
      <w:tr w:rsidR="00395B24" w14:paraId="7446E781" w14:textId="77777777" w:rsidTr="00C822B5">
        <w:tc>
          <w:tcPr>
            <w:tcW w:w="3084" w:type="dxa"/>
            <w:shd w:val="clear" w:color="auto" w:fill="auto"/>
          </w:tcPr>
          <w:p w14:paraId="7538EA2B" w14:textId="401B51D8" w:rsidR="00395B24" w:rsidRDefault="002C7385" w:rsidP="00663878">
            <w:pPr>
              <w:pStyle w:val="Normal1linespace"/>
              <w:widowControl w:val="0"/>
              <w:jc w:val="left"/>
            </w:pPr>
            <w:r>
              <w:t>File number:</w:t>
            </w:r>
          </w:p>
        </w:tc>
        <w:tc>
          <w:tcPr>
            <w:tcW w:w="5989" w:type="dxa"/>
            <w:shd w:val="clear" w:color="auto" w:fill="auto"/>
          </w:tcPr>
          <w:p w14:paraId="237C57F4" w14:textId="465FAA88" w:rsidR="00395B24" w:rsidRPr="000948C9" w:rsidRDefault="00971D99" w:rsidP="000948C9">
            <w:pPr>
              <w:pStyle w:val="Normal1linespace"/>
              <w:jc w:val="left"/>
            </w:pPr>
            <w:r>
              <w:t>NSD 377 of 2023</w:t>
            </w:r>
          </w:p>
        </w:tc>
      </w:tr>
      <w:tr w:rsidR="00395B24" w14:paraId="3901DDA3" w14:textId="77777777" w:rsidTr="00C822B5">
        <w:tc>
          <w:tcPr>
            <w:tcW w:w="3084" w:type="dxa"/>
            <w:shd w:val="clear" w:color="auto" w:fill="auto"/>
          </w:tcPr>
          <w:p w14:paraId="5F2C4516" w14:textId="77777777" w:rsidR="00395B24" w:rsidRDefault="00395B24" w:rsidP="00663878">
            <w:pPr>
              <w:pStyle w:val="Normal1linespace"/>
              <w:widowControl w:val="0"/>
              <w:jc w:val="left"/>
            </w:pPr>
          </w:p>
        </w:tc>
        <w:tc>
          <w:tcPr>
            <w:tcW w:w="5989" w:type="dxa"/>
            <w:shd w:val="clear" w:color="auto" w:fill="auto"/>
          </w:tcPr>
          <w:p w14:paraId="40633555" w14:textId="77777777" w:rsidR="00395B24" w:rsidRDefault="00395B24" w:rsidP="00663878">
            <w:pPr>
              <w:pStyle w:val="Normal1linespace"/>
              <w:widowControl w:val="0"/>
              <w:jc w:val="left"/>
            </w:pPr>
          </w:p>
        </w:tc>
      </w:tr>
      <w:tr w:rsidR="00395B24" w14:paraId="54F2F236" w14:textId="77777777" w:rsidTr="00C822B5">
        <w:tc>
          <w:tcPr>
            <w:tcW w:w="3084" w:type="dxa"/>
            <w:shd w:val="clear" w:color="auto" w:fill="auto"/>
          </w:tcPr>
          <w:p w14:paraId="17A0954D" w14:textId="77777777" w:rsidR="00395B24" w:rsidRDefault="002C7385" w:rsidP="00663878">
            <w:pPr>
              <w:pStyle w:val="Normal1linespace"/>
              <w:widowControl w:val="0"/>
              <w:jc w:val="left"/>
            </w:pPr>
            <w:r>
              <w:t>Judg</w:t>
            </w:r>
            <w:r w:rsidR="005724F6">
              <w:t>ment of</w:t>
            </w:r>
            <w:r>
              <w:t>:</w:t>
            </w:r>
          </w:p>
        </w:tc>
        <w:tc>
          <w:tcPr>
            <w:tcW w:w="5989" w:type="dxa"/>
            <w:shd w:val="clear" w:color="auto" w:fill="auto"/>
          </w:tcPr>
          <w:p w14:paraId="068C71B5" w14:textId="7E8190F9" w:rsidR="00395B24" w:rsidRDefault="002C7385" w:rsidP="00663878">
            <w:pPr>
              <w:pStyle w:val="Normal1linespace"/>
              <w:widowControl w:val="0"/>
              <w:jc w:val="left"/>
              <w:rPr>
                <w:b/>
              </w:rPr>
            </w:pPr>
            <w:r w:rsidRPr="000948C9">
              <w:rPr>
                <w:b/>
              </w:rPr>
              <w:fldChar w:fldCharType="begin" w:fldLock="1"/>
            </w:r>
            <w:r w:rsidRPr="000948C9">
              <w:rPr>
                <w:b/>
              </w:rPr>
              <w:instrText xml:space="preserve"> REF  Judge  \* MERGEFORMAT </w:instrText>
            </w:r>
            <w:r w:rsidRPr="000948C9">
              <w:rPr>
                <w:b/>
              </w:rPr>
              <w:fldChar w:fldCharType="separate"/>
            </w:r>
            <w:r w:rsidR="00971D99">
              <w:rPr>
                <w:b/>
                <w:caps/>
                <w:szCs w:val="24"/>
              </w:rPr>
              <w:t>KENNETT J</w:t>
            </w:r>
            <w:r w:rsidRPr="000948C9">
              <w:rPr>
                <w:b/>
              </w:rPr>
              <w:fldChar w:fldCharType="end"/>
            </w:r>
          </w:p>
        </w:tc>
      </w:tr>
      <w:tr w:rsidR="00395B24" w14:paraId="6A45E56A" w14:textId="77777777" w:rsidTr="00C822B5">
        <w:tc>
          <w:tcPr>
            <w:tcW w:w="3084" w:type="dxa"/>
            <w:shd w:val="clear" w:color="auto" w:fill="auto"/>
          </w:tcPr>
          <w:p w14:paraId="0742EA12" w14:textId="77777777" w:rsidR="00395B24" w:rsidRDefault="00395B24" w:rsidP="00663878">
            <w:pPr>
              <w:pStyle w:val="Normal1linespace"/>
              <w:widowControl w:val="0"/>
              <w:jc w:val="left"/>
            </w:pPr>
          </w:p>
        </w:tc>
        <w:tc>
          <w:tcPr>
            <w:tcW w:w="5989" w:type="dxa"/>
            <w:shd w:val="clear" w:color="auto" w:fill="auto"/>
          </w:tcPr>
          <w:p w14:paraId="2D1A6FF5" w14:textId="77777777" w:rsidR="00395B24" w:rsidRDefault="00395B24" w:rsidP="00663878">
            <w:pPr>
              <w:pStyle w:val="Normal1linespace"/>
              <w:widowControl w:val="0"/>
              <w:jc w:val="left"/>
            </w:pPr>
          </w:p>
        </w:tc>
      </w:tr>
      <w:tr w:rsidR="00395B24" w14:paraId="33D60314" w14:textId="77777777" w:rsidTr="00C822B5">
        <w:tc>
          <w:tcPr>
            <w:tcW w:w="3084" w:type="dxa"/>
            <w:shd w:val="clear" w:color="auto" w:fill="auto"/>
          </w:tcPr>
          <w:p w14:paraId="167F046D" w14:textId="77777777" w:rsidR="00395B24" w:rsidRDefault="002C7385" w:rsidP="00663878">
            <w:pPr>
              <w:pStyle w:val="Normal1linespace"/>
              <w:widowControl w:val="0"/>
              <w:jc w:val="left"/>
            </w:pPr>
            <w:r>
              <w:t>Date of judgment:</w:t>
            </w:r>
          </w:p>
        </w:tc>
        <w:tc>
          <w:tcPr>
            <w:tcW w:w="5989" w:type="dxa"/>
            <w:shd w:val="clear" w:color="auto" w:fill="auto"/>
          </w:tcPr>
          <w:p w14:paraId="21D9992C" w14:textId="3EAE8612" w:rsidR="00395B24" w:rsidRDefault="00914985" w:rsidP="00663878">
            <w:pPr>
              <w:pStyle w:val="Normal1linespace"/>
              <w:widowControl w:val="0"/>
              <w:jc w:val="left"/>
            </w:pPr>
            <w:bookmarkStart w:id="1" w:name="JudgmentDate"/>
            <w:bookmarkEnd w:id="1"/>
            <w:r>
              <w:t>12</w:t>
            </w:r>
            <w:r w:rsidR="009E255D">
              <w:t xml:space="preserve"> April 2024</w:t>
            </w:r>
          </w:p>
        </w:tc>
      </w:tr>
      <w:tr w:rsidR="00395B24" w14:paraId="6DB18B95" w14:textId="77777777" w:rsidTr="00C822B5">
        <w:tc>
          <w:tcPr>
            <w:tcW w:w="3084" w:type="dxa"/>
            <w:shd w:val="clear" w:color="auto" w:fill="auto"/>
          </w:tcPr>
          <w:p w14:paraId="3440E4CB" w14:textId="77777777" w:rsidR="00395B24" w:rsidRDefault="00395B24" w:rsidP="00663878">
            <w:pPr>
              <w:pStyle w:val="Normal1linespace"/>
              <w:widowControl w:val="0"/>
              <w:jc w:val="left"/>
            </w:pPr>
          </w:p>
        </w:tc>
        <w:tc>
          <w:tcPr>
            <w:tcW w:w="5989" w:type="dxa"/>
            <w:shd w:val="clear" w:color="auto" w:fill="auto"/>
          </w:tcPr>
          <w:p w14:paraId="38960102" w14:textId="77777777" w:rsidR="00395B24" w:rsidRDefault="00395B24" w:rsidP="00663878">
            <w:pPr>
              <w:pStyle w:val="Normal1linespace"/>
              <w:widowControl w:val="0"/>
              <w:jc w:val="left"/>
            </w:pPr>
          </w:p>
        </w:tc>
      </w:tr>
      <w:tr w:rsidR="00395B24" w14:paraId="46D97B00" w14:textId="77777777" w:rsidTr="00C822B5">
        <w:tc>
          <w:tcPr>
            <w:tcW w:w="3084" w:type="dxa"/>
            <w:shd w:val="clear" w:color="auto" w:fill="auto"/>
          </w:tcPr>
          <w:p w14:paraId="4F44B582" w14:textId="77777777" w:rsidR="00395B24" w:rsidRDefault="002C7385" w:rsidP="00663878">
            <w:pPr>
              <w:pStyle w:val="Normal1linespace"/>
              <w:widowControl w:val="0"/>
              <w:jc w:val="left"/>
            </w:pPr>
            <w:r>
              <w:t>Catchwords:</w:t>
            </w:r>
          </w:p>
        </w:tc>
        <w:tc>
          <w:tcPr>
            <w:tcW w:w="5989" w:type="dxa"/>
            <w:shd w:val="clear" w:color="auto" w:fill="auto"/>
          </w:tcPr>
          <w:p w14:paraId="0F62D5C7" w14:textId="7E5908C4" w:rsidR="00DA504E" w:rsidRDefault="00E12F0D" w:rsidP="00663878">
            <w:pPr>
              <w:pStyle w:val="Normal1linespace"/>
              <w:widowControl w:val="0"/>
              <w:jc w:val="left"/>
            </w:pPr>
            <w:bookmarkStart w:id="2" w:name="Catchwords"/>
            <w:r>
              <w:rPr>
                <w:b/>
                <w:bCs/>
              </w:rPr>
              <w:t>PRACTICE AND PROCEDURE</w:t>
            </w:r>
            <w:r>
              <w:t xml:space="preserve"> – </w:t>
            </w:r>
            <w:r w:rsidRPr="00414BE2">
              <w:t xml:space="preserve">application for summary dismissal and strike-out of cause of action – where application turns solely on a question of law – where question of law has previously been answered in a single-judge interlocutory decision of a superior court – where applicants contend that decision is plainly wrong – whether question of law should be decided </w:t>
            </w:r>
            <w:r w:rsidR="00730973">
              <w:t xml:space="preserve">at the </w:t>
            </w:r>
            <w:r w:rsidRPr="00414BE2">
              <w:t xml:space="preserve">final </w:t>
            </w:r>
            <w:proofErr w:type="gramStart"/>
            <w:r w:rsidRPr="00414BE2">
              <w:t>hearing</w:t>
            </w:r>
            <w:proofErr w:type="gramEnd"/>
          </w:p>
          <w:p w14:paraId="41431915" w14:textId="77777777" w:rsidR="00DA504E" w:rsidRDefault="00DA504E" w:rsidP="00663878">
            <w:pPr>
              <w:pStyle w:val="Normal1linespace"/>
              <w:widowControl w:val="0"/>
              <w:jc w:val="left"/>
            </w:pPr>
          </w:p>
          <w:p w14:paraId="6F49DA16" w14:textId="77777777" w:rsidR="00B212C4" w:rsidRDefault="00DA504E" w:rsidP="00663878">
            <w:pPr>
              <w:pStyle w:val="Normal1linespace"/>
              <w:widowControl w:val="0"/>
              <w:jc w:val="left"/>
            </w:pPr>
            <w:r>
              <w:rPr>
                <w:b/>
                <w:bCs/>
              </w:rPr>
              <w:t xml:space="preserve">STATUTORY INTERPRETATION </w:t>
            </w:r>
            <w:r w:rsidR="00D52C93">
              <w:rPr>
                <w:b/>
                <w:bCs/>
              </w:rPr>
              <w:t>–</w:t>
            </w:r>
            <w:r>
              <w:rPr>
                <w:b/>
                <w:bCs/>
              </w:rPr>
              <w:t xml:space="preserve"> </w:t>
            </w:r>
            <w:r w:rsidR="00D52C93">
              <w:t>whether</w:t>
            </w:r>
            <w:r w:rsidR="003433BB">
              <w:t xml:space="preserve"> limitation period in s 1317K of </w:t>
            </w:r>
            <w:r w:rsidR="003433BB">
              <w:rPr>
                <w:i/>
                <w:iCs/>
              </w:rPr>
              <w:t xml:space="preserve">Corporations Act 2001 </w:t>
            </w:r>
            <w:r w:rsidR="003433BB">
              <w:t>(</w:t>
            </w:r>
            <w:proofErr w:type="spellStart"/>
            <w:r w:rsidR="003433BB">
              <w:t>Cth</w:t>
            </w:r>
            <w:proofErr w:type="spellEnd"/>
            <w:r w:rsidR="003433BB">
              <w:t>) (</w:t>
            </w:r>
            <w:r w:rsidR="003433BB">
              <w:rPr>
                <w:b/>
                <w:bCs/>
              </w:rPr>
              <w:t>Act</w:t>
            </w:r>
            <w:r w:rsidR="003433BB">
              <w:t xml:space="preserve">) </w:t>
            </w:r>
            <w:r w:rsidR="00FE4D6C">
              <w:t xml:space="preserve">may be extended </w:t>
            </w:r>
            <w:r w:rsidR="006E587C">
              <w:t>by</w:t>
            </w:r>
            <w:r w:rsidR="00FE4D6C">
              <w:t xml:space="preserve"> </w:t>
            </w:r>
            <w:r w:rsidR="003433BB">
              <w:t>s 1322(4)(d) –</w:t>
            </w:r>
            <w:r w:rsidR="00444B8B">
              <w:t xml:space="preserve"> </w:t>
            </w:r>
            <w:r w:rsidR="00FE4D6C">
              <w:t xml:space="preserve">whether limitation period </w:t>
            </w:r>
            <w:r w:rsidR="00E64DE3">
              <w:t>has jurisdictional character with respect to the cause of action conferred by s </w:t>
            </w:r>
            <w:proofErr w:type="gramStart"/>
            <w:r w:rsidR="00E64DE3">
              <w:t>1317H</w:t>
            </w:r>
            <w:proofErr w:type="gramEnd"/>
          </w:p>
          <w:p w14:paraId="65815527" w14:textId="77777777" w:rsidR="00B212C4" w:rsidRDefault="00B212C4" w:rsidP="00663878">
            <w:pPr>
              <w:pStyle w:val="Normal1linespace"/>
              <w:widowControl w:val="0"/>
              <w:jc w:val="left"/>
            </w:pPr>
          </w:p>
          <w:p w14:paraId="19F4291A" w14:textId="6CB58628" w:rsidR="00395B24" w:rsidRDefault="00B33D1A" w:rsidP="00663878">
            <w:pPr>
              <w:pStyle w:val="Normal1linespace"/>
              <w:widowControl w:val="0"/>
              <w:jc w:val="left"/>
            </w:pPr>
            <w:r>
              <w:rPr>
                <w:b/>
                <w:bCs/>
              </w:rPr>
              <w:t>STATUTORY INTERPRETATION</w:t>
            </w:r>
            <w:r>
              <w:t xml:space="preserve"> – relevance of extrinsic materials to discerning legislative intention of amending legislation</w:t>
            </w:r>
            <w:r w:rsidR="00AF1C47">
              <w:t xml:space="preserve"> </w:t>
            </w:r>
            <w:r w:rsidR="003433BB">
              <w:t xml:space="preserve"> </w:t>
            </w:r>
            <w:bookmarkEnd w:id="2"/>
          </w:p>
        </w:tc>
      </w:tr>
      <w:tr w:rsidR="00395B24" w14:paraId="7BB0D94C" w14:textId="77777777" w:rsidTr="00C822B5">
        <w:tc>
          <w:tcPr>
            <w:tcW w:w="3084" w:type="dxa"/>
            <w:shd w:val="clear" w:color="auto" w:fill="auto"/>
          </w:tcPr>
          <w:p w14:paraId="20507D74" w14:textId="77777777" w:rsidR="00395B24" w:rsidRDefault="00395B24" w:rsidP="00663878">
            <w:pPr>
              <w:pStyle w:val="Normal1linespace"/>
              <w:widowControl w:val="0"/>
              <w:jc w:val="left"/>
            </w:pPr>
          </w:p>
        </w:tc>
        <w:tc>
          <w:tcPr>
            <w:tcW w:w="5989" w:type="dxa"/>
            <w:shd w:val="clear" w:color="auto" w:fill="auto"/>
          </w:tcPr>
          <w:p w14:paraId="4AE9856F" w14:textId="77777777" w:rsidR="00395B24" w:rsidRDefault="00395B24" w:rsidP="00663878">
            <w:pPr>
              <w:pStyle w:val="Normal1linespace"/>
              <w:widowControl w:val="0"/>
              <w:jc w:val="left"/>
            </w:pPr>
          </w:p>
        </w:tc>
      </w:tr>
      <w:tr w:rsidR="00395B24" w14:paraId="08D2CE46" w14:textId="77777777" w:rsidTr="00C822B5">
        <w:tc>
          <w:tcPr>
            <w:tcW w:w="3084" w:type="dxa"/>
            <w:shd w:val="clear" w:color="auto" w:fill="auto"/>
          </w:tcPr>
          <w:p w14:paraId="4A8D40FB" w14:textId="77777777" w:rsidR="00395B24" w:rsidRDefault="002C7385" w:rsidP="00663878">
            <w:pPr>
              <w:pStyle w:val="Normal1linespace"/>
              <w:widowControl w:val="0"/>
              <w:jc w:val="left"/>
            </w:pPr>
            <w:r>
              <w:t>Legislation:</w:t>
            </w:r>
          </w:p>
        </w:tc>
        <w:tc>
          <w:tcPr>
            <w:tcW w:w="5989" w:type="dxa"/>
            <w:shd w:val="clear" w:color="auto" w:fill="auto"/>
          </w:tcPr>
          <w:p w14:paraId="7498DEE8" w14:textId="6F8F8C94" w:rsidR="008662F8" w:rsidRDefault="008662F8" w:rsidP="00D82620">
            <w:pPr>
              <w:pStyle w:val="CasesLegislationAppealFrom"/>
              <w:spacing w:after="60"/>
              <w:rPr>
                <w:i/>
                <w:iCs/>
                <w:lang w:eastAsia="en-AU"/>
              </w:rPr>
            </w:pPr>
            <w:bookmarkStart w:id="3" w:name="Legislation"/>
            <w:r w:rsidRPr="008662F8">
              <w:rPr>
                <w:i/>
                <w:iCs/>
                <w:lang w:eastAsia="en-AU"/>
              </w:rPr>
              <w:t>Corporate Law Economic Reform Program Act 1999</w:t>
            </w:r>
            <w:r w:rsidRPr="008662F8">
              <w:rPr>
                <w:lang w:eastAsia="en-AU"/>
              </w:rPr>
              <w:t xml:space="preserve"> (</w:t>
            </w:r>
            <w:proofErr w:type="spellStart"/>
            <w:r w:rsidRPr="008662F8">
              <w:rPr>
                <w:lang w:eastAsia="en-AU"/>
              </w:rPr>
              <w:t>Cth</w:t>
            </w:r>
            <w:proofErr w:type="spellEnd"/>
            <w:r w:rsidRPr="008662F8">
              <w:rPr>
                <w:lang w:eastAsia="en-AU"/>
              </w:rPr>
              <w:t>)</w:t>
            </w:r>
          </w:p>
          <w:p w14:paraId="0F0D5FD9" w14:textId="7ACBB506" w:rsidR="00B377A7" w:rsidRPr="00937689" w:rsidRDefault="008662F8" w:rsidP="00D82620">
            <w:pPr>
              <w:pStyle w:val="CasesLegislationAppealFrom"/>
              <w:spacing w:after="60"/>
              <w:rPr>
                <w:lang w:eastAsia="en-AU"/>
              </w:rPr>
            </w:pPr>
            <w:r w:rsidRPr="00B03749">
              <w:rPr>
                <w:i/>
                <w:iCs/>
                <w:lang w:eastAsia="en-AU"/>
              </w:rPr>
              <w:t>Corporate Law Reform Act 1992</w:t>
            </w:r>
            <w:r w:rsidRPr="00B03749">
              <w:rPr>
                <w:lang w:eastAsia="en-AU"/>
              </w:rPr>
              <w:t xml:space="preserve"> (</w:t>
            </w:r>
            <w:proofErr w:type="spellStart"/>
            <w:r w:rsidRPr="00B03749">
              <w:rPr>
                <w:lang w:eastAsia="en-AU"/>
              </w:rPr>
              <w:t>Cth</w:t>
            </w:r>
            <w:proofErr w:type="spellEnd"/>
            <w:r w:rsidRPr="00B03749">
              <w:rPr>
                <w:lang w:eastAsia="en-AU"/>
              </w:rPr>
              <w:t>)</w:t>
            </w:r>
          </w:p>
          <w:p w14:paraId="36B9E086" w14:textId="035D44FB" w:rsidR="00D31E4D" w:rsidRDefault="00D31E4D" w:rsidP="00D82620">
            <w:pPr>
              <w:pStyle w:val="CasesLegislationAppealFrom"/>
              <w:spacing w:after="60"/>
            </w:pPr>
            <w:r w:rsidRPr="00D31E4D">
              <w:rPr>
                <w:i/>
                <w:iCs/>
              </w:rPr>
              <w:t>Corporations Act 2001</w:t>
            </w:r>
            <w:r w:rsidRPr="00D31E4D">
              <w:t xml:space="preserve"> (</w:t>
            </w:r>
            <w:proofErr w:type="spellStart"/>
            <w:r w:rsidRPr="00D31E4D">
              <w:t>Cth</w:t>
            </w:r>
            <w:proofErr w:type="spellEnd"/>
            <w:r w:rsidRPr="00D31E4D">
              <w:t>)</w:t>
            </w:r>
            <w:r w:rsidR="00852E4B">
              <w:t xml:space="preserve"> ss </w:t>
            </w:r>
            <w:r w:rsidR="006A0939">
              <w:t>180, 181, 182</w:t>
            </w:r>
            <w:r w:rsidR="001607B7">
              <w:t xml:space="preserve">, </w:t>
            </w:r>
            <w:r w:rsidR="006E6C23">
              <w:t xml:space="preserve">588FF, </w:t>
            </w:r>
            <w:r w:rsidR="003A3724">
              <w:t xml:space="preserve">962P, </w:t>
            </w:r>
            <w:r w:rsidR="006E6C23">
              <w:t xml:space="preserve">1317E, 1317F, 1317G, </w:t>
            </w:r>
            <w:r w:rsidR="00852E4B">
              <w:t xml:space="preserve">1317H, </w:t>
            </w:r>
            <w:r w:rsidR="006E6C23">
              <w:t xml:space="preserve">1317HA, 1317HB, </w:t>
            </w:r>
            <w:r w:rsidR="000373FB">
              <w:t xml:space="preserve">1317J, </w:t>
            </w:r>
            <w:r w:rsidR="00852E4B">
              <w:t>1317K</w:t>
            </w:r>
            <w:r w:rsidR="00DE34A1">
              <w:t>, 1655, 1657</w:t>
            </w:r>
          </w:p>
          <w:p w14:paraId="2E4129B9" w14:textId="0F2FB8CE" w:rsidR="00937689" w:rsidRPr="00937689" w:rsidRDefault="00937689" w:rsidP="00D82620">
            <w:pPr>
              <w:pStyle w:val="CasesLegislationAppealFrom"/>
              <w:spacing w:after="60"/>
            </w:pPr>
            <w:r>
              <w:rPr>
                <w:i/>
                <w:iCs/>
              </w:rPr>
              <w:t xml:space="preserve">Corporations </w:t>
            </w:r>
            <w:r w:rsidR="00A0377A">
              <w:rPr>
                <w:i/>
                <w:iCs/>
              </w:rPr>
              <w:t>Act</w:t>
            </w:r>
            <w:r>
              <w:rPr>
                <w:i/>
                <w:iCs/>
              </w:rPr>
              <w:t xml:space="preserve"> 1989 </w:t>
            </w:r>
            <w:r>
              <w:t>(</w:t>
            </w:r>
            <w:proofErr w:type="spellStart"/>
            <w:r>
              <w:t>Cth</w:t>
            </w:r>
            <w:proofErr w:type="spellEnd"/>
            <w:r>
              <w:t xml:space="preserve">) (repealed) </w:t>
            </w:r>
            <w:r w:rsidR="00F1623B">
              <w:t xml:space="preserve">ss </w:t>
            </w:r>
            <w:r w:rsidR="00A0377A">
              <w:t xml:space="preserve">232, </w:t>
            </w:r>
            <w:r w:rsidR="00F1623B">
              <w:t xml:space="preserve">459G, </w:t>
            </w:r>
            <w:r w:rsidR="00CE3726">
              <w:t xml:space="preserve">1317DA, </w:t>
            </w:r>
            <w:r w:rsidR="00F1623B">
              <w:t>1317EA, 1317EB, 1317EC, 1317GF, 1317HA, 1317H</w:t>
            </w:r>
            <w:r w:rsidR="0073742F">
              <w:t xml:space="preserve">D, 1317HE, </w:t>
            </w:r>
            <w:proofErr w:type="gramStart"/>
            <w:r w:rsidR="0073742F">
              <w:t>1322</w:t>
            </w:r>
            <w:proofErr w:type="gramEnd"/>
          </w:p>
          <w:p w14:paraId="46FDFDA1" w14:textId="25EADF8C" w:rsidR="00793511" w:rsidRDefault="00D31E4D" w:rsidP="00D82620">
            <w:pPr>
              <w:pStyle w:val="CasesLegislationAppealFrom"/>
              <w:spacing w:after="60"/>
            </w:pPr>
            <w:r w:rsidRPr="00D31E4D">
              <w:rPr>
                <w:i/>
                <w:iCs/>
              </w:rPr>
              <w:t>Federal Court of Australia Act 1976</w:t>
            </w:r>
            <w:r w:rsidRPr="00D31E4D">
              <w:t xml:space="preserve"> (</w:t>
            </w:r>
            <w:proofErr w:type="spellStart"/>
            <w:r w:rsidRPr="00D31E4D">
              <w:t>Cth</w:t>
            </w:r>
            <w:proofErr w:type="spellEnd"/>
            <w:r w:rsidRPr="00D31E4D">
              <w:t>)</w:t>
            </w:r>
            <w:r w:rsidR="0073742F">
              <w:t xml:space="preserve"> s 31A</w:t>
            </w:r>
          </w:p>
          <w:p w14:paraId="65616559" w14:textId="0EAE576C" w:rsidR="008662F8" w:rsidRDefault="008662F8" w:rsidP="00D82620">
            <w:pPr>
              <w:pStyle w:val="CasesLegislationAppealFrom"/>
              <w:spacing w:after="60"/>
            </w:pPr>
            <w:r w:rsidRPr="008662F8">
              <w:rPr>
                <w:i/>
                <w:iCs/>
                <w:lang w:eastAsia="en-AU"/>
              </w:rPr>
              <w:t>Trade Practices Act 1974</w:t>
            </w:r>
            <w:r w:rsidRPr="008662F8">
              <w:rPr>
                <w:lang w:eastAsia="en-AU"/>
              </w:rPr>
              <w:t xml:space="preserve"> (</w:t>
            </w:r>
            <w:proofErr w:type="spellStart"/>
            <w:r w:rsidRPr="008662F8">
              <w:rPr>
                <w:lang w:eastAsia="en-AU"/>
              </w:rPr>
              <w:t>Cth</w:t>
            </w:r>
            <w:proofErr w:type="spellEnd"/>
            <w:r w:rsidRPr="008662F8">
              <w:rPr>
                <w:lang w:eastAsia="en-AU"/>
              </w:rPr>
              <w:t>)</w:t>
            </w:r>
            <w:r>
              <w:rPr>
                <w:lang w:eastAsia="en-AU"/>
              </w:rPr>
              <w:t xml:space="preserve"> (repealed)</w:t>
            </w:r>
            <w:r w:rsidR="00574877">
              <w:rPr>
                <w:lang w:eastAsia="en-AU"/>
              </w:rPr>
              <w:t xml:space="preserve"> s </w:t>
            </w:r>
            <w:proofErr w:type="gramStart"/>
            <w:r w:rsidR="00574877">
              <w:rPr>
                <w:lang w:eastAsia="en-AU"/>
              </w:rPr>
              <w:t>82</w:t>
            </w:r>
            <w:proofErr w:type="gramEnd"/>
          </w:p>
          <w:p w14:paraId="2D419878" w14:textId="07A20FC8" w:rsidR="00B03749" w:rsidRDefault="00143F4C" w:rsidP="00D82620">
            <w:pPr>
              <w:pStyle w:val="CasesLegislationAppealFrom"/>
              <w:spacing w:after="60"/>
            </w:pPr>
            <w:r w:rsidRPr="00143F4C">
              <w:rPr>
                <w:i/>
                <w:iCs/>
              </w:rPr>
              <w:t>Treasury Laws Amendment (Strengthening Corporate and Financial Sector Penalties) Act 2019</w:t>
            </w:r>
            <w:r w:rsidRPr="00143F4C">
              <w:t xml:space="preserve"> (</w:t>
            </w:r>
            <w:proofErr w:type="spellStart"/>
            <w:r w:rsidRPr="00143F4C">
              <w:t>Cth</w:t>
            </w:r>
            <w:proofErr w:type="spellEnd"/>
            <w:r w:rsidRPr="00143F4C">
              <w:t>)</w:t>
            </w:r>
            <w:r w:rsidR="000373FB">
              <w:t xml:space="preserve"> sch </w:t>
            </w:r>
            <w:proofErr w:type="gramStart"/>
            <w:r w:rsidR="000373FB">
              <w:t>1</w:t>
            </w:r>
            <w:proofErr w:type="gramEnd"/>
          </w:p>
          <w:p w14:paraId="74C12B4E" w14:textId="2A17E670" w:rsidR="00367955" w:rsidRDefault="00D31E4D" w:rsidP="00D82620">
            <w:pPr>
              <w:pStyle w:val="CasesLegislationAppealFrom"/>
              <w:spacing w:after="60"/>
            </w:pPr>
            <w:r w:rsidRPr="00D31E4D">
              <w:rPr>
                <w:i/>
                <w:iCs/>
              </w:rPr>
              <w:t>Federal Court Rules 2011</w:t>
            </w:r>
            <w:r w:rsidRPr="00D31E4D">
              <w:t xml:space="preserve"> (</w:t>
            </w:r>
            <w:proofErr w:type="spellStart"/>
            <w:r w:rsidRPr="00D31E4D">
              <w:t>Cth</w:t>
            </w:r>
            <w:proofErr w:type="spellEnd"/>
            <w:r w:rsidRPr="00D31E4D">
              <w:t>)</w:t>
            </w:r>
            <w:r w:rsidR="00367955">
              <w:t xml:space="preserve"> </w:t>
            </w:r>
            <w:proofErr w:type="spellStart"/>
            <w:r w:rsidR="00367955">
              <w:t>rr</w:t>
            </w:r>
            <w:proofErr w:type="spellEnd"/>
            <w:r w:rsidR="00367955">
              <w:t xml:space="preserve"> 26.01, 30.01 </w:t>
            </w:r>
          </w:p>
          <w:p w14:paraId="1F3638CD" w14:textId="77777777" w:rsidR="00D476AC" w:rsidRDefault="005E18D7" w:rsidP="00D82620">
            <w:pPr>
              <w:pStyle w:val="CasesLegislationAppealFrom"/>
              <w:spacing w:after="60"/>
            </w:pPr>
            <w:r>
              <w:t xml:space="preserve">Corporate Law Economic Reform Program Bill </w:t>
            </w:r>
            <w:r w:rsidR="009C095E">
              <w:t>Explanatory Memorandum 1998 (</w:t>
            </w:r>
            <w:proofErr w:type="spellStart"/>
            <w:r w:rsidR="009C095E">
              <w:t>Cth</w:t>
            </w:r>
            <w:proofErr w:type="spellEnd"/>
            <w:r w:rsidR="009C095E">
              <w:t>)</w:t>
            </w:r>
          </w:p>
          <w:p w14:paraId="745A9BEE" w14:textId="77777777" w:rsidR="00BA2D2D" w:rsidRDefault="00D476AC" w:rsidP="00D82620">
            <w:pPr>
              <w:pStyle w:val="CasesLegislationAppealFrom"/>
              <w:spacing w:after="60"/>
            </w:pPr>
            <w:r>
              <w:t xml:space="preserve">Corporate Law Reform Bill </w:t>
            </w:r>
            <w:r w:rsidR="00D649FB">
              <w:t xml:space="preserve">(No 2) </w:t>
            </w:r>
            <w:r>
              <w:t>Explanatory Memorandum 1992 (</w:t>
            </w:r>
            <w:proofErr w:type="spellStart"/>
            <w:r>
              <w:t>Cth</w:t>
            </w:r>
            <w:proofErr w:type="spellEnd"/>
            <w:r>
              <w:t>)</w:t>
            </w:r>
          </w:p>
          <w:p w14:paraId="2802A724" w14:textId="1E571448" w:rsidR="00395B24" w:rsidRDefault="00BA2D2D" w:rsidP="00D82620">
            <w:pPr>
              <w:pStyle w:val="CasesLegislationAppealFrom"/>
              <w:spacing w:after="60"/>
            </w:pPr>
            <w:r w:rsidRPr="00B03749">
              <w:rPr>
                <w:rFonts w:ascii="TimesNewRoman" w:hAnsi="TimesNewRoman" w:cs="TimesNewRoman"/>
                <w:i/>
                <w:iCs/>
                <w:lang w:eastAsia="en-AU"/>
              </w:rPr>
              <w:t>Corporations Law</w:t>
            </w:r>
            <w:r w:rsidRPr="00B03749">
              <w:rPr>
                <w:rFonts w:ascii="TimesNewRoman" w:hAnsi="TimesNewRoman" w:cs="TimesNewRoman"/>
                <w:lang w:eastAsia="en-AU"/>
              </w:rPr>
              <w:t xml:space="preserve"> (Vic)</w:t>
            </w:r>
            <w:r>
              <w:rPr>
                <w:rFonts w:ascii="TimesNewRoman" w:hAnsi="TimesNewRoman" w:cs="TimesNewRoman"/>
                <w:lang w:eastAsia="en-AU"/>
              </w:rPr>
              <w:t xml:space="preserve"> ss 459C, 459F, 459G, 1322</w:t>
            </w:r>
            <w:r w:rsidR="00715751">
              <w:t xml:space="preserve"> </w:t>
            </w:r>
            <w:r w:rsidR="002C7385">
              <w:t xml:space="preserve"> </w:t>
            </w:r>
            <w:bookmarkEnd w:id="3"/>
          </w:p>
        </w:tc>
      </w:tr>
      <w:tr w:rsidR="00395B24" w14:paraId="58BCCA5E" w14:textId="77777777" w:rsidTr="00C822B5">
        <w:tc>
          <w:tcPr>
            <w:tcW w:w="3084" w:type="dxa"/>
            <w:shd w:val="clear" w:color="auto" w:fill="auto"/>
          </w:tcPr>
          <w:p w14:paraId="1A3FFDC4" w14:textId="77777777" w:rsidR="00395B24" w:rsidRDefault="00395B24" w:rsidP="00663878">
            <w:pPr>
              <w:pStyle w:val="Normal1linespace"/>
              <w:widowControl w:val="0"/>
              <w:jc w:val="left"/>
            </w:pPr>
          </w:p>
        </w:tc>
        <w:tc>
          <w:tcPr>
            <w:tcW w:w="5989" w:type="dxa"/>
            <w:shd w:val="clear" w:color="auto" w:fill="auto"/>
          </w:tcPr>
          <w:p w14:paraId="23F713BC" w14:textId="77777777" w:rsidR="00395B24" w:rsidRDefault="00395B24" w:rsidP="00663878">
            <w:pPr>
              <w:pStyle w:val="Normal1linespace"/>
              <w:widowControl w:val="0"/>
              <w:jc w:val="left"/>
            </w:pPr>
          </w:p>
        </w:tc>
      </w:tr>
      <w:tr w:rsidR="00395B24" w14:paraId="48A8D733" w14:textId="77777777" w:rsidTr="00C822B5">
        <w:tc>
          <w:tcPr>
            <w:tcW w:w="3084" w:type="dxa"/>
            <w:shd w:val="clear" w:color="auto" w:fill="auto"/>
          </w:tcPr>
          <w:p w14:paraId="5DAC6564" w14:textId="77777777" w:rsidR="00395B24" w:rsidRDefault="002C7385" w:rsidP="00663878">
            <w:pPr>
              <w:pStyle w:val="Normal1linespace"/>
              <w:widowControl w:val="0"/>
              <w:jc w:val="left"/>
            </w:pPr>
            <w:r>
              <w:t>Cases cited:</w:t>
            </w:r>
          </w:p>
        </w:tc>
        <w:tc>
          <w:tcPr>
            <w:tcW w:w="5989" w:type="dxa"/>
            <w:shd w:val="clear" w:color="auto" w:fill="auto"/>
          </w:tcPr>
          <w:p w14:paraId="3CBA0F3B" w14:textId="5D6F7B0D" w:rsidR="0048253E" w:rsidRDefault="0048253E" w:rsidP="00D82620">
            <w:pPr>
              <w:pStyle w:val="CasesLegislationAppealFrom"/>
              <w:spacing w:after="60"/>
              <w:rPr>
                <w:i/>
                <w:iCs/>
                <w:lang w:eastAsia="en-AU"/>
              </w:rPr>
            </w:pPr>
            <w:bookmarkStart w:id="4" w:name="Cases_Cited"/>
            <w:r w:rsidRPr="00AB529C">
              <w:rPr>
                <w:i/>
                <w:iCs/>
                <w:lang w:eastAsia="en-AU"/>
              </w:rPr>
              <w:t>Alcan (NT) Alumina Pty Ltd v Commissioner of Territory Revenue</w:t>
            </w:r>
            <w:r>
              <w:rPr>
                <w:lang w:eastAsia="en-AU"/>
              </w:rPr>
              <w:t xml:space="preserve"> [2009] HCA 41; 239 CLR 27</w:t>
            </w:r>
          </w:p>
          <w:p w14:paraId="01BEE0F2" w14:textId="40B6B7E8" w:rsidR="00793511" w:rsidRDefault="00793511" w:rsidP="00D82620">
            <w:pPr>
              <w:pStyle w:val="CasesLegislationAppealFrom"/>
              <w:spacing w:after="60"/>
              <w:rPr>
                <w:lang w:eastAsia="en-AU"/>
              </w:rPr>
            </w:pPr>
            <w:r>
              <w:rPr>
                <w:i/>
                <w:iCs/>
                <w:lang w:eastAsia="en-AU"/>
              </w:rPr>
              <w:t>Anthony Hordern &amp; Sons Ltd v Amalgamated Clothing and Allied Trades Union of Australia</w:t>
            </w:r>
            <w:r>
              <w:rPr>
                <w:lang w:eastAsia="en-AU"/>
              </w:rPr>
              <w:t xml:space="preserve"> (1932) 47 CLR 1</w:t>
            </w:r>
          </w:p>
          <w:p w14:paraId="57CE6A33" w14:textId="19C79F07" w:rsidR="001B59A9" w:rsidRDefault="001B59A9" w:rsidP="00D82620">
            <w:pPr>
              <w:pStyle w:val="CasesLegislationAppealFrom"/>
              <w:spacing w:after="60"/>
              <w:rPr>
                <w:i/>
                <w:iCs/>
                <w:szCs w:val="24"/>
                <w:lang w:eastAsia="en-AU"/>
              </w:rPr>
            </w:pPr>
            <w:r w:rsidRPr="001B59A9">
              <w:rPr>
                <w:i/>
                <w:iCs/>
                <w:lang w:eastAsia="en-AU"/>
              </w:rPr>
              <w:t>Australian Securities and Investments Commission v BHF Solutions Pty Ltd</w:t>
            </w:r>
            <w:r w:rsidRPr="001B59A9">
              <w:rPr>
                <w:lang w:eastAsia="en-AU"/>
              </w:rPr>
              <w:t xml:space="preserve"> [2021] FCA 684</w:t>
            </w:r>
          </w:p>
          <w:p w14:paraId="3BD282C3" w14:textId="7E64F2AD" w:rsidR="00BF225A" w:rsidRDefault="00BF225A" w:rsidP="00D82620">
            <w:pPr>
              <w:pStyle w:val="CasesLegislationAppealFrom"/>
              <w:spacing w:after="60"/>
              <w:rPr>
                <w:szCs w:val="24"/>
                <w:lang w:eastAsia="en-AU"/>
              </w:rPr>
            </w:pPr>
            <w:proofErr w:type="spellStart"/>
            <w:r w:rsidRPr="00B61F5B">
              <w:rPr>
                <w:i/>
                <w:iCs/>
                <w:szCs w:val="24"/>
                <w:lang w:eastAsia="en-AU"/>
              </w:rPr>
              <w:t>Austructures</w:t>
            </w:r>
            <w:proofErr w:type="spellEnd"/>
            <w:r w:rsidRPr="00B61F5B">
              <w:rPr>
                <w:i/>
                <w:iCs/>
                <w:szCs w:val="24"/>
                <w:lang w:eastAsia="en-AU"/>
              </w:rPr>
              <w:t xml:space="preserve"> Pty Ltd v Makin </w:t>
            </w:r>
            <w:r w:rsidRPr="00B61F5B">
              <w:rPr>
                <w:szCs w:val="24"/>
                <w:lang w:eastAsia="en-AU"/>
              </w:rPr>
              <w:t>[2014] VSC 544; 290 FLR 153</w:t>
            </w:r>
          </w:p>
          <w:p w14:paraId="143CEF44" w14:textId="4927F6AB" w:rsidR="007462A8" w:rsidRDefault="007462A8" w:rsidP="00D82620">
            <w:pPr>
              <w:pStyle w:val="CasesLegislationAppealFrom"/>
              <w:spacing w:after="60"/>
              <w:rPr>
                <w:szCs w:val="24"/>
                <w:lang w:eastAsia="en-AU"/>
              </w:rPr>
            </w:pPr>
            <w:r>
              <w:rPr>
                <w:i/>
                <w:iCs/>
                <w:lang w:eastAsia="en-AU"/>
              </w:rPr>
              <w:t>Barnes v Addy</w:t>
            </w:r>
            <w:r>
              <w:rPr>
                <w:i/>
                <w:iCs/>
              </w:rPr>
              <w:t xml:space="preserve"> </w:t>
            </w:r>
            <w:r>
              <w:t>(1874) LR 9 Ch App 244</w:t>
            </w:r>
          </w:p>
          <w:p w14:paraId="5E3C17FA" w14:textId="6F37F9C3" w:rsidR="00793511" w:rsidRDefault="00793511" w:rsidP="00D82620">
            <w:pPr>
              <w:pStyle w:val="CasesLegislationAppealFrom"/>
              <w:spacing w:after="60"/>
              <w:rPr>
                <w:rFonts w:ascii="TimesNewRoman" w:hAnsi="TimesNewRoman" w:cs="TimesNewRoman"/>
                <w:lang w:eastAsia="en-AU"/>
              </w:rPr>
            </w:pPr>
            <w:r w:rsidRPr="00ED514E">
              <w:rPr>
                <w:i/>
                <w:iCs/>
                <w:lang w:eastAsia="en-AU"/>
              </w:rPr>
              <w:t>BP Australia Ltd v Brown</w:t>
            </w:r>
            <w:r>
              <w:rPr>
                <w:lang w:eastAsia="en-AU"/>
              </w:rPr>
              <w:t xml:space="preserve"> </w:t>
            </w:r>
            <w:r w:rsidRPr="00ED514E">
              <w:rPr>
                <w:rFonts w:ascii="TimesNewRoman" w:hAnsi="TimesNewRoman" w:cs="TimesNewRoman"/>
                <w:lang w:eastAsia="en-AU"/>
              </w:rPr>
              <w:t>[2003] NSWCA 216</w:t>
            </w:r>
            <w:r>
              <w:rPr>
                <w:rFonts w:ascii="TimesNewRoman" w:hAnsi="TimesNewRoman" w:cs="TimesNewRoman"/>
                <w:lang w:eastAsia="en-AU"/>
              </w:rPr>
              <w:t>; 58 NSWLR 322</w:t>
            </w:r>
          </w:p>
          <w:p w14:paraId="15994BA3" w14:textId="7DF4DC6F" w:rsidR="0048253E" w:rsidRDefault="0048253E" w:rsidP="00D82620">
            <w:pPr>
              <w:pStyle w:val="CasesLegislationAppealFrom"/>
              <w:spacing w:after="60"/>
              <w:rPr>
                <w:szCs w:val="24"/>
                <w:lang w:eastAsia="en-AU"/>
              </w:rPr>
            </w:pPr>
            <w:r w:rsidRPr="00582FE0">
              <w:rPr>
                <w:i/>
                <w:iCs/>
                <w:szCs w:val="24"/>
                <w:lang w:eastAsia="en-AU"/>
              </w:rPr>
              <w:t xml:space="preserve">Brisbane South Regional Health Authority v Taylor </w:t>
            </w:r>
            <w:r w:rsidRPr="00582FE0">
              <w:rPr>
                <w:szCs w:val="24"/>
                <w:lang w:eastAsia="en-AU"/>
              </w:rPr>
              <w:t>(1996) 186 CLR 541</w:t>
            </w:r>
          </w:p>
          <w:p w14:paraId="2635FECC" w14:textId="395E3E3F" w:rsidR="004117F7" w:rsidRDefault="004117F7" w:rsidP="00D82620">
            <w:pPr>
              <w:pStyle w:val="CasesLegislationAppealFrom"/>
              <w:spacing w:after="60"/>
            </w:pPr>
            <w:r w:rsidRPr="00B61F5B">
              <w:rPr>
                <w:i/>
                <w:iCs/>
              </w:rPr>
              <w:t xml:space="preserve">British American Tobacco v Western Australia </w:t>
            </w:r>
            <w:r w:rsidRPr="00B61F5B">
              <w:t>[2003] HCA 47; 217 CLR 30</w:t>
            </w:r>
          </w:p>
          <w:p w14:paraId="2D5DE596" w14:textId="250E121A" w:rsidR="0048253E" w:rsidRDefault="0048253E" w:rsidP="00D82620">
            <w:pPr>
              <w:pStyle w:val="CasesLegislationAppealFrom"/>
              <w:spacing w:after="60"/>
            </w:pPr>
            <w:r w:rsidRPr="009473A4">
              <w:rPr>
                <w:i/>
                <w:iCs/>
              </w:rPr>
              <w:t>Certain Lloyd’s Underwriters v Cross</w:t>
            </w:r>
            <w:r w:rsidRPr="009473A4">
              <w:t xml:space="preserve"> [2012] HCA 56; 248 CLR 378</w:t>
            </w:r>
          </w:p>
          <w:p w14:paraId="55B74BE3" w14:textId="4EC5A20F" w:rsidR="007462A8" w:rsidRDefault="007462A8" w:rsidP="00D82620">
            <w:pPr>
              <w:pStyle w:val="CasesLegislationAppealFrom"/>
              <w:spacing w:after="60"/>
            </w:pPr>
            <w:r w:rsidRPr="00F90BEB">
              <w:rPr>
                <w:i/>
                <w:iCs/>
                <w:lang w:eastAsia="en-AU"/>
              </w:rPr>
              <w:t xml:space="preserve">Chung-Yi Pty Ltd v </w:t>
            </w:r>
            <w:r>
              <w:rPr>
                <w:i/>
                <w:iCs/>
                <w:lang w:eastAsia="en-AU"/>
              </w:rPr>
              <w:t xml:space="preserve">Chih-Yang </w:t>
            </w:r>
            <w:r w:rsidRPr="00F90BEB">
              <w:rPr>
                <w:i/>
                <w:iCs/>
                <w:lang w:eastAsia="en-AU"/>
              </w:rPr>
              <w:t>Chang (No 2)</w:t>
            </w:r>
            <w:r>
              <w:rPr>
                <w:lang w:eastAsia="en-AU"/>
              </w:rPr>
              <w:t xml:space="preserve"> [2018] NSWSC 1112; 128 ACSR 585</w:t>
            </w:r>
          </w:p>
          <w:p w14:paraId="40B2042D" w14:textId="4DEDB979" w:rsidR="009B5E41" w:rsidRDefault="009B5E41" w:rsidP="00D82620">
            <w:pPr>
              <w:pStyle w:val="CasesLegislationAppealFrom"/>
              <w:spacing w:after="60"/>
            </w:pPr>
            <w:r w:rsidRPr="009B5E41">
              <w:rPr>
                <w:i/>
                <w:iCs/>
              </w:rPr>
              <w:t xml:space="preserve">CSR Ltd v Eddy </w:t>
            </w:r>
            <w:r w:rsidRPr="009B5E41">
              <w:t>[2005] HCA 64; 226 CLR 1</w:t>
            </w:r>
          </w:p>
          <w:p w14:paraId="4DCCF296" w14:textId="257CBA58" w:rsidR="00793511" w:rsidRDefault="00793511" w:rsidP="00D82620">
            <w:pPr>
              <w:pStyle w:val="CasesLegislationAppealFrom"/>
              <w:spacing w:after="60"/>
              <w:rPr>
                <w:rFonts w:ascii="TimesNewRoman" w:hAnsi="TimesNewRoman" w:cs="TimesNewRoman"/>
                <w:lang w:eastAsia="en-AU"/>
              </w:rPr>
            </w:pPr>
            <w:r w:rsidRPr="000948C9">
              <w:rPr>
                <w:i/>
                <w:iCs/>
                <w:lang w:eastAsia="en-AU"/>
              </w:rPr>
              <w:t>David Grant &amp; Co Pty Ltd v Westpac Banking Corporation</w:t>
            </w:r>
            <w:r>
              <w:rPr>
                <w:lang w:eastAsia="en-AU"/>
              </w:rPr>
              <w:t xml:space="preserve"> </w:t>
            </w:r>
            <w:r>
              <w:rPr>
                <w:rFonts w:ascii="TimesNewRoman" w:hAnsi="TimesNewRoman" w:cs="TimesNewRoman"/>
                <w:lang w:eastAsia="en-AU"/>
              </w:rPr>
              <w:t>(1995) 184 CLR 265</w:t>
            </w:r>
          </w:p>
          <w:p w14:paraId="2BF6ECAA" w14:textId="5849D65C" w:rsidR="00EF2BB3" w:rsidRDefault="00EF2BB3" w:rsidP="00D82620">
            <w:pPr>
              <w:pStyle w:val="CasesLegislationAppealFrom"/>
              <w:spacing w:after="60"/>
            </w:pPr>
            <w:r w:rsidRPr="005E074D">
              <w:rPr>
                <w:i/>
                <w:iCs/>
                <w:szCs w:val="24"/>
                <w:lang w:eastAsia="en-AU"/>
              </w:rPr>
              <w:t>Emanuele v Australian Securities Commission</w:t>
            </w:r>
            <w:r w:rsidRPr="005E074D">
              <w:rPr>
                <w:szCs w:val="24"/>
                <w:lang w:eastAsia="en-AU"/>
              </w:rPr>
              <w:t xml:space="preserve"> (1997) 188 CLR 114</w:t>
            </w:r>
          </w:p>
          <w:p w14:paraId="7D98D8E6" w14:textId="1AE6571B" w:rsidR="004117F7" w:rsidRDefault="004117F7" w:rsidP="00D82620">
            <w:pPr>
              <w:pStyle w:val="CasesLegislationAppealFrom"/>
              <w:spacing w:after="60"/>
            </w:pPr>
            <w:r w:rsidRPr="00B61F5B">
              <w:rPr>
                <w:i/>
                <w:iCs/>
              </w:rPr>
              <w:t>General Steel Industries</w:t>
            </w:r>
            <w:r w:rsidRPr="00B61F5B">
              <w:t xml:space="preserve"> </w:t>
            </w:r>
            <w:r w:rsidRPr="00B61F5B">
              <w:rPr>
                <w:i/>
                <w:iCs/>
              </w:rPr>
              <w:t xml:space="preserve">Inc v Commissioner for Railways (NSW) </w:t>
            </w:r>
            <w:r w:rsidRPr="00B61F5B">
              <w:t>(1964) 112 CLR 125</w:t>
            </w:r>
          </w:p>
          <w:p w14:paraId="0932C973" w14:textId="2ADADF37" w:rsidR="009B5E41" w:rsidRDefault="009B5E41" w:rsidP="00D82620">
            <w:pPr>
              <w:pStyle w:val="CasesLegislationAppealFrom"/>
              <w:spacing w:after="60"/>
            </w:pPr>
            <w:r>
              <w:rPr>
                <w:i/>
                <w:iCs/>
                <w:lang w:eastAsia="en-AU"/>
              </w:rPr>
              <w:t xml:space="preserve">Gerace v </w:t>
            </w:r>
            <w:proofErr w:type="spellStart"/>
            <w:r>
              <w:rPr>
                <w:i/>
                <w:iCs/>
                <w:lang w:eastAsia="en-AU"/>
              </w:rPr>
              <w:t>Auzhair</w:t>
            </w:r>
            <w:proofErr w:type="spellEnd"/>
            <w:r>
              <w:rPr>
                <w:i/>
                <w:iCs/>
                <w:lang w:eastAsia="en-AU"/>
              </w:rPr>
              <w:t xml:space="preserve"> Supplies Pty Ltd (in </w:t>
            </w:r>
            <w:proofErr w:type="spellStart"/>
            <w:r>
              <w:rPr>
                <w:i/>
                <w:iCs/>
                <w:lang w:eastAsia="en-AU"/>
              </w:rPr>
              <w:t>liq</w:t>
            </w:r>
            <w:proofErr w:type="spellEnd"/>
            <w:r>
              <w:rPr>
                <w:i/>
                <w:iCs/>
                <w:lang w:eastAsia="en-AU"/>
              </w:rPr>
              <w:t xml:space="preserve">) </w:t>
            </w:r>
            <w:r>
              <w:t>[2014] NSWCA 181; 87 NSWLR 435</w:t>
            </w:r>
          </w:p>
          <w:p w14:paraId="1ECF0862" w14:textId="35CB79D2" w:rsidR="00CB1A68" w:rsidRDefault="00CB1A68" w:rsidP="00D82620">
            <w:pPr>
              <w:pStyle w:val="CasesLegislationAppealFrom"/>
              <w:spacing w:after="60"/>
            </w:pPr>
            <w:r>
              <w:rPr>
                <w:i/>
                <w:iCs/>
                <w:lang w:eastAsia="en-AU"/>
              </w:rPr>
              <w:t>Greylag Goose Leasing 1410 Designated Activity Company v PT Garuda Indonesia Ltd</w:t>
            </w:r>
            <w:r>
              <w:rPr>
                <w:lang w:eastAsia="en-AU"/>
              </w:rPr>
              <w:t xml:space="preserve"> [2023] NSWCA 134; 111 NSWLR 550</w:t>
            </w:r>
          </w:p>
          <w:p w14:paraId="0542183C" w14:textId="2922E4C5" w:rsidR="004117F7" w:rsidRDefault="004117F7" w:rsidP="00D82620">
            <w:pPr>
              <w:pStyle w:val="CasesLegislationAppealFrom"/>
              <w:spacing w:after="60"/>
              <w:rPr>
                <w:szCs w:val="24"/>
                <w:lang w:eastAsia="en-AU"/>
              </w:rPr>
            </w:pPr>
            <w:r w:rsidRPr="00B61F5B">
              <w:rPr>
                <w:i/>
                <w:iCs/>
              </w:rPr>
              <w:t>Jefferson Ford Pty Ltd v Ford Motor Company of Australia Ltd</w:t>
            </w:r>
            <w:r w:rsidRPr="00B61F5B">
              <w:t xml:space="preserve"> [2008] FCAFC 60; 167 FCR 372</w:t>
            </w:r>
          </w:p>
          <w:p w14:paraId="35359CAD" w14:textId="4A86038E" w:rsidR="00BF225A" w:rsidRDefault="00BF225A" w:rsidP="00D82620">
            <w:pPr>
              <w:pStyle w:val="CasesLegislationAppealFrom"/>
              <w:spacing w:after="60"/>
              <w:rPr>
                <w:szCs w:val="24"/>
              </w:rPr>
            </w:pPr>
            <w:r w:rsidRPr="00B627A1">
              <w:rPr>
                <w:i/>
                <w:iCs/>
                <w:szCs w:val="24"/>
              </w:rPr>
              <w:t xml:space="preserve">Jobbins v Capel Court Corp Ltd </w:t>
            </w:r>
            <w:r w:rsidRPr="00B627A1">
              <w:rPr>
                <w:szCs w:val="24"/>
              </w:rPr>
              <w:t>(1989) 25 FCR 226</w:t>
            </w:r>
          </w:p>
          <w:p w14:paraId="3B45C956" w14:textId="1F334039" w:rsidR="004117F7" w:rsidRDefault="004117F7" w:rsidP="00D82620">
            <w:pPr>
              <w:pStyle w:val="CasesLegislationAppealFrom"/>
              <w:spacing w:after="60"/>
              <w:rPr>
                <w:szCs w:val="24"/>
              </w:rPr>
            </w:pPr>
            <w:r w:rsidRPr="00090B91">
              <w:rPr>
                <w:i/>
                <w:iCs/>
                <w:szCs w:val="24"/>
              </w:rPr>
              <w:t xml:space="preserve">Karam v </w:t>
            </w:r>
            <w:proofErr w:type="spellStart"/>
            <w:r w:rsidRPr="00090B91">
              <w:rPr>
                <w:i/>
                <w:iCs/>
                <w:szCs w:val="24"/>
              </w:rPr>
              <w:t>Palmone</w:t>
            </w:r>
            <w:proofErr w:type="spellEnd"/>
            <w:r w:rsidRPr="00090B91">
              <w:rPr>
                <w:i/>
                <w:iCs/>
                <w:szCs w:val="24"/>
              </w:rPr>
              <w:t xml:space="preserve"> Shoes Pty Ltd</w:t>
            </w:r>
            <w:r w:rsidRPr="00090B91">
              <w:rPr>
                <w:szCs w:val="24"/>
              </w:rPr>
              <w:t xml:space="preserve"> [2012] VSCA 97</w:t>
            </w:r>
          </w:p>
          <w:p w14:paraId="0094FEB1" w14:textId="524AE574" w:rsidR="007462A8" w:rsidRDefault="007462A8" w:rsidP="00D82620">
            <w:pPr>
              <w:pStyle w:val="CasesLegislationAppealFrom"/>
              <w:spacing w:after="60"/>
              <w:rPr>
                <w:szCs w:val="24"/>
              </w:rPr>
            </w:pPr>
            <w:r>
              <w:rPr>
                <w:i/>
                <w:iCs/>
                <w:lang w:eastAsia="en-AU"/>
              </w:rPr>
              <w:t xml:space="preserve">Lewis Securities Ltd (in </w:t>
            </w:r>
            <w:proofErr w:type="spellStart"/>
            <w:r>
              <w:rPr>
                <w:i/>
                <w:iCs/>
                <w:lang w:eastAsia="en-AU"/>
              </w:rPr>
              <w:t>liq</w:t>
            </w:r>
            <w:proofErr w:type="spellEnd"/>
            <w:r>
              <w:rPr>
                <w:i/>
                <w:iCs/>
                <w:lang w:eastAsia="en-AU"/>
              </w:rPr>
              <w:t>) v Carter</w:t>
            </w:r>
            <w:r>
              <w:rPr>
                <w:lang w:eastAsia="en-AU"/>
              </w:rPr>
              <w:t xml:space="preserve"> [2018] NSWCA 118; 355 ALR 703</w:t>
            </w:r>
          </w:p>
          <w:p w14:paraId="2A0649BE" w14:textId="587EFF5E" w:rsidR="0048253E" w:rsidRDefault="0048253E" w:rsidP="00D82620">
            <w:pPr>
              <w:pStyle w:val="CasesLegislationAppealFrom"/>
              <w:spacing w:after="60"/>
              <w:rPr>
                <w:lang w:eastAsia="en-AU"/>
              </w:rPr>
            </w:pPr>
            <w:r w:rsidRPr="00541659">
              <w:rPr>
                <w:i/>
                <w:iCs/>
                <w:lang w:eastAsia="en-AU"/>
              </w:rPr>
              <w:t>Maxwell v Murphy</w:t>
            </w:r>
            <w:r>
              <w:rPr>
                <w:lang w:eastAsia="en-AU"/>
              </w:rPr>
              <w:t xml:space="preserve"> (1957) 96 CLR 261</w:t>
            </w:r>
          </w:p>
          <w:p w14:paraId="4D424B1D" w14:textId="7482F95F" w:rsidR="00B1754A" w:rsidRDefault="00B1754A" w:rsidP="00D82620">
            <w:pPr>
              <w:pStyle w:val="CasesLegislationAppealFrom"/>
              <w:spacing w:after="60"/>
              <w:rPr>
                <w:lang w:eastAsia="en-AU"/>
              </w:rPr>
            </w:pPr>
            <w:r>
              <w:rPr>
                <w:i/>
                <w:iCs/>
                <w:lang w:eastAsia="en-AU"/>
              </w:rPr>
              <w:t>McKain v RW Millar &amp; Company (South Australia) Pty Ltd</w:t>
            </w:r>
            <w:r>
              <w:rPr>
                <w:lang w:eastAsia="en-AU"/>
              </w:rPr>
              <w:t xml:space="preserve"> (1991) 174 CLR 1</w:t>
            </w:r>
          </w:p>
          <w:p w14:paraId="5FBC658B" w14:textId="0F88079E" w:rsidR="00151913" w:rsidRDefault="00151913" w:rsidP="00D82620">
            <w:pPr>
              <w:pStyle w:val="CasesLegislationAppealFrom"/>
              <w:spacing w:after="60"/>
              <w:rPr>
                <w:lang w:eastAsia="en-AU"/>
              </w:rPr>
            </w:pPr>
            <w:r>
              <w:rPr>
                <w:i/>
                <w:iCs/>
                <w:color w:val="212121"/>
                <w:szCs w:val="24"/>
                <w:shd w:val="clear" w:color="auto" w:fill="FFFFFF"/>
              </w:rPr>
              <w:t>Minister for Immigration and Border Protection v BHA17</w:t>
            </w:r>
            <w:r>
              <w:rPr>
                <w:color w:val="212121"/>
                <w:szCs w:val="24"/>
                <w:shd w:val="clear" w:color="auto" w:fill="FFFFFF"/>
              </w:rPr>
              <w:t xml:space="preserve"> [2018] FCAFC 68; 260 FCR 523</w:t>
            </w:r>
          </w:p>
          <w:p w14:paraId="396F19EE" w14:textId="649A7914" w:rsidR="009B5E41" w:rsidRDefault="009B5E41" w:rsidP="00D82620">
            <w:pPr>
              <w:pStyle w:val="CasesLegislationAppealFrom"/>
              <w:spacing w:after="60"/>
              <w:rPr>
                <w:lang w:eastAsia="en-AU"/>
              </w:rPr>
            </w:pPr>
            <w:r w:rsidRPr="009B5E41">
              <w:rPr>
                <w:i/>
                <w:iCs/>
                <w:szCs w:val="24"/>
                <w:bdr w:val="none" w:sz="0" w:space="0" w:color="auto" w:frame="1"/>
                <w:shd w:val="clear" w:color="auto" w:fill="FFFFFF"/>
              </w:rPr>
              <w:t>Minister for Immigration v FAK19</w:t>
            </w:r>
            <w:r w:rsidRPr="009B5E41">
              <w:rPr>
                <w:szCs w:val="24"/>
                <w:bdr w:val="none" w:sz="0" w:space="0" w:color="auto" w:frame="1"/>
                <w:shd w:val="clear" w:color="auto" w:fill="FFFFFF"/>
              </w:rPr>
              <w:t xml:space="preserve"> [2021] FCAFC 153; 287 FCR 181</w:t>
            </w:r>
          </w:p>
          <w:p w14:paraId="00692C81" w14:textId="15AA3C86" w:rsidR="009B5E41" w:rsidRDefault="009B5E41" w:rsidP="00D82620">
            <w:pPr>
              <w:pStyle w:val="CasesLegislationAppealFrom"/>
              <w:spacing w:after="60"/>
              <w:rPr>
                <w:szCs w:val="24"/>
              </w:rPr>
            </w:pPr>
            <w:proofErr w:type="spellStart"/>
            <w:r>
              <w:rPr>
                <w:i/>
                <w:iCs/>
                <w:lang w:eastAsia="en-AU"/>
              </w:rPr>
              <w:lastRenderedPageBreak/>
              <w:t>Newtronics</w:t>
            </w:r>
            <w:proofErr w:type="spellEnd"/>
            <w:r>
              <w:rPr>
                <w:i/>
                <w:iCs/>
                <w:lang w:eastAsia="en-AU"/>
              </w:rPr>
              <w:t xml:space="preserve"> Pty Ltd v </w:t>
            </w:r>
            <w:proofErr w:type="spellStart"/>
            <w:r>
              <w:rPr>
                <w:i/>
                <w:iCs/>
                <w:lang w:eastAsia="en-AU"/>
              </w:rPr>
              <w:t>Gjergja</w:t>
            </w:r>
            <w:proofErr w:type="spellEnd"/>
            <w:r>
              <w:rPr>
                <w:lang w:eastAsia="en-AU"/>
              </w:rPr>
              <w:t xml:space="preserve"> [2007] VSC 195; 212 FLR 190</w:t>
            </w:r>
          </w:p>
          <w:p w14:paraId="7E850C0A" w14:textId="3F57A3F6" w:rsidR="000D5E67" w:rsidRDefault="000D5E67" w:rsidP="00D82620">
            <w:pPr>
              <w:pStyle w:val="CasesLegislationAppealFrom"/>
              <w:spacing w:after="60"/>
              <w:rPr>
                <w:szCs w:val="24"/>
                <w:lang w:eastAsia="en-AU"/>
              </w:rPr>
            </w:pPr>
            <w:proofErr w:type="spellStart"/>
            <w:r>
              <w:rPr>
                <w:i/>
                <w:iCs/>
                <w:lang w:eastAsia="en-AU"/>
              </w:rPr>
              <w:t>Newtronics</w:t>
            </w:r>
            <w:proofErr w:type="spellEnd"/>
            <w:r>
              <w:rPr>
                <w:i/>
                <w:iCs/>
                <w:lang w:eastAsia="en-AU"/>
              </w:rPr>
              <w:t xml:space="preserve"> Pty Ltd v </w:t>
            </w:r>
            <w:proofErr w:type="spellStart"/>
            <w:r>
              <w:rPr>
                <w:i/>
                <w:iCs/>
                <w:lang w:eastAsia="en-AU"/>
              </w:rPr>
              <w:t>Gjergja</w:t>
            </w:r>
            <w:proofErr w:type="spellEnd"/>
            <w:r>
              <w:rPr>
                <w:lang w:eastAsia="en-AU"/>
              </w:rPr>
              <w:t xml:space="preserve"> [2008] VSCA 117</w:t>
            </w:r>
          </w:p>
          <w:p w14:paraId="4DD37CF7" w14:textId="38FAC51E" w:rsidR="00BF225A" w:rsidRDefault="004117F7" w:rsidP="00D82620">
            <w:pPr>
              <w:pStyle w:val="CasesLegislationAppealFrom"/>
              <w:spacing w:after="60"/>
              <w:rPr>
                <w:rFonts w:ascii="TimesNewRoman" w:hAnsi="TimesNewRoman" w:cs="TimesNewRoman"/>
                <w:lang w:eastAsia="en-AU"/>
              </w:rPr>
            </w:pPr>
            <w:r w:rsidRPr="00B61F5B">
              <w:rPr>
                <w:rFonts w:ascii="TimesNewRoman,Italic" w:hAnsi="TimesNewRoman,Italic" w:cs="TimesNewRoman,Italic"/>
                <w:i/>
                <w:iCs/>
                <w:lang w:eastAsia="en-AU"/>
              </w:rPr>
              <w:t xml:space="preserve">Nichol v Discovery Africa Ltd </w:t>
            </w:r>
            <w:r w:rsidRPr="00B61F5B">
              <w:rPr>
                <w:rFonts w:ascii="TimesNewRoman" w:hAnsi="TimesNewRoman" w:cs="TimesNewRoman"/>
                <w:lang w:eastAsia="en-AU"/>
              </w:rPr>
              <w:t>[2016] FCAFC 182; 343 ALR 594</w:t>
            </w:r>
          </w:p>
          <w:p w14:paraId="6BE4BFFF" w14:textId="13F43099" w:rsidR="007462A8" w:rsidRDefault="007462A8" w:rsidP="00D82620">
            <w:pPr>
              <w:pStyle w:val="CasesLegislationAppealFrom"/>
              <w:spacing w:after="60"/>
              <w:rPr>
                <w:rFonts w:ascii="TimesNewRoman" w:hAnsi="TimesNewRoman" w:cs="TimesNewRoman"/>
                <w:lang w:eastAsia="en-AU"/>
              </w:rPr>
            </w:pPr>
            <w:r>
              <w:rPr>
                <w:i/>
                <w:iCs/>
              </w:rPr>
              <w:t xml:space="preserve">Port Ballidu Pty Ltd v </w:t>
            </w:r>
            <w:proofErr w:type="spellStart"/>
            <w:r>
              <w:rPr>
                <w:i/>
                <w:iCs/>
              </w:rPr>
              <w:t>Frews</w:t>
            </w:r>
            <w:proofErr w:type="spellEnd"/>
            <w:r>
              <w:rPr>
                <w:i/>
                <w:iCs/>
              </w:rPr>
              <w:t xml:space="preserve"> Lawyers </w:t>
            </w:r>
            <w:r>
              <w:t>[2017] QSC 19</w:t>
            </w:r>
          </w:p>
          <w:p w14:paraId="2EFB66F1" w14:textId="0B96763F" w:rsidR="007462A8" w:rsidRDefault="007462A8" w:rsidP="00D82620">
            <w:pPr>
              <w:pStyle w:val="CasesLegislationAppealFrom"/>
              <w:spacing w:after="60"/>
              <w:rPr>
                <w:lang w:eastAsia="en-AU"/>
              </w:rPr>
            </w:pPr>
            <w:r>
              <w:rPr>
                <w:i/>
                <w:iCs/>
                <w:lang w:eastAsia="en-AU"/>
              </w:rPr>
              <w:t xml:space="preserve">Port Ballidu Pty Ltd v </w:t>
            </w:r>
            <w:proofErr w:type="spellStart"/>
            <w:r>
              <w:rPr>
                <w:i/>
                <w:iCs/>
                <w:lang w:eastAsia="en-AU"/>
              </w:rPr>
              <w:t>Frews</w:t>
            </w:r>
            <w:proofErr w:type="spellEnd"/>
            <w:r>
              <w:rPr>
                <w:i/>
                <w:iCs/>
                <w:lang w:eastAsia="en-AU"/>
              </w:rPr>
              <w:t xml:space="preserve"> Lawyers</w:t>
            </w:r>
            <w:r>
              <w:rPr>
                <w:lang w:eastAsia="en-AU"/>
              </w:rPr>
              <w:t xml:space="preserve"> [2018] QCA 110; 1 </w:t>
            </w:r>
            <w:proofErr w:type="spellStart"/>
            <w:r>
              <w:rPr>
                <w:lang w:eastAsia="en-AU"/>
              </w:rPr>
              <w:t>Qd</w:t>
            </w:r>
            <w:proofErr w:type="spellEnd"/>
            <w:r>
              <w:rPr>
                <w:lang w:eastAsia="en-AU"/>
              </w:rPr>
              <w:t xml:space="preserve"> R 276</w:t>
            </w:r>
          </w:p>
          <w:p w14:paraId="2E19472E" w14:textId="317D41DF" w:rsidR="009307CA" w:rsidRDefault="009307CA" w:rsidP="00D82620">
            <w:pPr>
              <w:pStyle w:val="CasesLegislationAppealFrom"/>
              <w:spacing w:after="60"/>
              <w:rPr>
                <w:rFonts w:ascii="TimesNewRoman" w:hAnsi="TimesNewRoman" w:cs="TimesNewRoman"/>
                <w:lang w:eastAsia="en-AU"/>
              </w:rPr>
            </w:pPr>
            <w:r>
              <w:rPr>
                <w:i/>
                <w:iCs/>
                <w:lang w:eastAsia="en-AU"/>
              </w:rPr>
              <w:t>R v JS</w:t>
            </w:r>
            <w:r>
              <w:rPr>
                <w:lang w:eastAsia="en-AU"/>
              </w:rPr>
              <w:t xml:space="preserve"> </w:t>
            </w:r>
            <w:r w:rsidRPr="00E81FF6">
              <w:rPr>
                <w:color w:val="263238"/>
              </w:rPr>
              <w:t>[2007] NSWCCA 272</w:t>
            </w:r>
            <w:r>
              <w:rPr>
                <w:lang w:eastAsia="en-AU"/>
              </w:rPr>
              <w:t>; 230 FLR 276</w:t>
            </w:r>
          </w:p>
          <w:p w14:paraId="012128FE" w14:textId="36DC0AFD" w:rsidR="000D5E67" w:rsidRDefault="000D5E67" w:rsidP="00D82620">
            <w:pPr>
              <w:pStyle w:val="CasesLegislationAppealFrom"/>
              <w:spacing w:after="60"/>
              <w:rPr>
                <w:szCs w:val="24"/>
                <w:lang w:eastAsia="en-AU"/>
              </w:rPr>
            </w:pPr>
            <w:r w:rsidRPr="00A37EDC">
              <w:rPr>
                <w:i/>
                <w:iCs/>
                <w:szCs w:val="24"/>
                <w:lang w:eastAsia="en-AU"/>
              </w:rPr>
              <w:t xml:space="preserve">R v Wallis; Ex </w:t>
            </w:r>
            <w:proofErr w:type="spellStart"/>
            <w:r w:rsidRPr="00A37EDC">
              <w:rPr>
                <w:i/>
                <w:iCs/>
                <w:szCs w:val="24"/>
                <w:lang w:eastAsia="en-AU"/>
              </w:rPr>
              <w:t>parte</w:t>
            </w:r>
            <w:proofErr w:type="spellEnd"/>
            <w:r w:rsidRPr="00A37EDC">
              <w:rPr>
                <w:i/>
                <w:iCs/>
                <w:szCs w:val="24"/>
                <w:lang w:eastAsia="en-AU"/>
              </w:rPr>
              <w:t xml:space="preserve"> Employers’ Association of Wool-Selling Brokers &amp; H V McKay Massey Harris Pty Ltd </w:t>
            </w:r>
            <w:r w:rsidRPr="00A37EDC">
              <w:rPr>
                <w:szCs w:val="24"/>
                <w:lang w:eastAsia="en-AU"/>
              </w:rPr>
              <w:t>(1949) 78 CLR 529</w:t>
            </w:r>
          </w:p>
          <w:p w14:paraId="562FC7A3" w14:textId="7149B135" w:rsidR="00F21689" w:rsidRDefault="00F21689" w:rsidP="00D82620">
            <w:pPr>
              <w:pStyle w:val="CasesLegislationAppealFrom"/>
              <w:spacing w:after="60"/>
              <w:rPr>
                <w:lang w:eastAsia="en-AU"/>
              </w:rPr>
            </w:pPr>
            <w:r>
              <w:rPr>
                <w:i/>
                <w:iCs/>
                <w:lang w:eastAsia="en-AU"/>
              </w:rPr>
              <w:t xml:space="preserve">Re Alcan Australia Ltd; Ex </w:t>
            </w:r>
            <w:proofErr w:type="spellStart"/>
            <w:r>
              <w:rPr>
                <w:i/>
                <w:iCs/>
                <w:lang w:eastAsia="en-AU"/>
              </w:rPr>
              <w:t>parte</w:t>
            </w:r>
            <w:proofErr w:type="spellEnd"/>
            <w:r>
              <w:rPr>
                <w:i/>
                <w:iCs/>
                <w:lang w:eastAsia="en-AU"/>
              </w:rPr>
              <w:t xml:space="preserve"> Federation of Industrial Manufacturing and Engineering Employees</w:t>
            </w:r>
            <w:r>
              <w:rPr>
                <w:lang w:eastAsia="en-AU"/>
              </w:rPr>
              <w:t xml:space="preserve"> (1994) 181 CLR 96</w:t>
            </w:r>
          </w:p>
          <w:p w14:paraId="7FD5ED6A" w14:textId="45B10144" w:rsidR="009B5E41" w:rsidRDefault="009B5E41" w:rsidP="00D82620">
            <w:pPr>
              <w:pStyle w:val="CasesLegislationAppealFrom"/>
              <w:spacing w:after="60"/>
              <w:rPr>
                <w:lang w:eastAsia="en-AU"/>
              </w:rPr>
            </w:pPr>
            <w:r>
              <w:rPr>
                <w:i/>
                <w:iCs/>
              </w:rPr>
              <w:t xml:space="preserve">Re </w:t>
            </w:r>
            <w:proofErr w:type="spellStart"/>
            <w:r>
              <w:rPr>
                <w:i/>
                <w:iCs/>
              </w:rPr>
              <w:t>Auzhair</w:t>
            </w:r>
            <w:proofErr w:type="spellEnd"/>
            <w:r>
              <w:rPr>
                <w:i/>
                <w:iCs/>
              </w:rPr>
              <w:t xml:space="preserve"> Supplies Pty Ltd (in </w:t>
            </w:r>
            <w:proofErr w:type="spellStart"/>
            <w:r>
              <w:rPr>
                <w:i/>
                <w:iCs/>
              </w:rPr>
              <w:t>liq</w:t>
            </w:r>
            <w:proofErr w:type="spellEnd"/>
            <w:r>
              <w:rPr>
                <w:i/>
                <w:iCs/>
              </w:rPr>
              <w:t>)</w:t>
            </w:r>
            <w:r>
              <w:t xml:space="preserve"> [2013] NSWSC 1; 272 FLR 304</w:t>
            </w:r>
          </w:p>
          <w:p w14:paraId="4763FAEC" w14:textId="43F5484D" w:rsidR="009B5E41" w:rsidRDefault="009B5E41" w:rsidP="00D82620">
            <w:pPr>
              <w:pStyle w:val="CasesLegislationAppealFrom"/>
              <w:spacing w:after="60"/>
              <w:rPr>
                <w:lang w:eastAsia="en-AU"/>
              </w:rPr>
            </w:pPr>
            <w:r>
              <w:rPr>
                <w:i/>
                <w:iCs/>
                <w:lang w:eastAsia="en-AU"/>
              </w:rPr>
              <w:t xml:space="preserve">Re Bolton; Ex </w:t>
            </w:r>
            <w:proofErr w:type="spellStart"/>
            <w:r>
              <w:rPr>
                <w:i/>
                <w:iCs/>
                <w:lang w:eastAsia="en-AU"/>
              </w:rPr>
              <w:t>parte</w:t>
            </w:r>
            <w:proofErr w:type="spellEnd"/>
            <w:r>
              <w:rPr>
                <w:i/>
                <w:iCs/>
                <w:lang w:eastAsia="en-AU"/>
              </w:rPr>
              <w:t xml:space="preserve"> Beane</w:t>
            </w:r>
            <w:r>
              <w:rPr>
                <w:lang w:eastAsia="en-AU"/>
              </w:rPr>
              <w:t xml:space="preserve"> (1987) 162 CLR 514</w:t>
            </w:r>
          </w:p>
          <w:p w14:paraId="2FFB3D6C" w14:textId="21D2C167" w:rsidR="009B5E41" w:rsidRDefault="009B5E41" w:rsidP="00D82620">
            <w:pPr>
              <w:pStyle w:val="CasesLegislationAppealFrom"/>
              <w:spacing w:after="60"/>
              <w:rPr>
                <w:rFonts w:ascii="TimesNewRoman" w:hAnsi="TimesNewRoman" w:cs="TimesNewRoman"/>
                <w:lang w:eastAsia="en-AU"/>
              </w:rPr>
            </w:pPr>
            <w:r>
              <w:rPr>
                <w:i/>
                <w:iCs/>
                <w:lang w:eastAsia="en-AU"/>
              </w:rPr>
              <w:t>Saeed v Minister for Immigration and Citizenship</w:t>
            </w:r>
            <w:r>
              <w:rPr>
                <w:lang w:eastAsia="en-AU"/>
              </w:rPr>
              <w:t xml:space="preserve"> [2010] HCA 23; 241 CLR 252</w:t>
            </w:r>
          </w:p>
          <w:p w14:paraId="2B8977A6" w14:textId="54DACACF" w:rsidR="004117F7" w:rsidRDefault="004117F7" w:rsidP="00D82620">
            <w:pPr>
              <w:pStyle w:val="CasesLegislationAppealFrom"/>
              <w:spacing w:after="60"/>
              <w:rPr>
                <w:szCs w:val="24"/>
              </w:rPr>
            </w:pPr>
            <w:r w:rsidRPr="00090B91">
              <w:rPr>
                <w:i/>
                <w:iCs/>
                <w:szCs w:val="24"/>
              </w:rPr>
              <w:t>Spencer v Commonwealth</w:t>
            </w:r>
            <w:r w:rsidRPr="00090B91">
              <w:rPr>
                <w:szCs w:val="24"/>
              </w:rPr>
              <w:t xml:space="preserve"> [2010] HCA 28; 241 CLR 118</w:t>
            </w:r>
          </w:p>
          <w:p w14:paraId="39BAA716" w14:textId="7A9AB354" w:rsidR="00395B24" w:rsidRPr="001B59A9" w:rsidRDefault="00793511" w:rsidP="00D82620">
            <w:pPr>
              <w:pStyle w:val="CasesLegislationAppealFrom"/>
              <w:spacing w:after="60"/>
              <w:rPr>
                <w:szCs w:val="24"/>
                <w:lang w:eastAsia="en-AU"/>
              </w:rPr>
            </w:pPr>
            <w:r>
              <w:rPr>
                <w:i/>
                <w:iCs/>
                <w:lang w:eastAsia="en-AU"/>
              </w:rPr>
              <w:t>The Crown v McNeil</w:t>
            </w:r>
            <w:r>
              <w:rPr>
                <w:lang w:eastAsia="en-AU"/>
              </w:rPr>
              <w:t xml:space="preserve"> (1922) 31 CLR 76</w:t>
            </w:r>
            <w:r w:rsidR="002C7385">
              <w:t xml:space="preserve"> </w:t>
            </w:r>
            <w:bookmarkEnd w:id="4"/>
          </w:p>
        </w:tc>
      </w:tr>
      <w:tr w:rsidR="004D592F" w14:paraId="4C4AAC18" w14:textId="77777777" w:rsidTr="00C822B5">
        <w:tc>
          <w:tcPr>
            <w:tcW w:w="3084" w:type="dxa"/>
            <w:shd w:val="clear" w:color="auto" w:fill="auto"/>
          </w:tcPr>
          <w:p w14:paraId="72A1601E" w14:textId="77777777" w:rsidR="004D592F" w:rsidRDefault="004D592F" w:rsidP="002F7154">
            <w:pPr>
              <w:pStyle w:val="Normal1linespace"/>
              <w:widowControl w:val="0"/>
            </w:pPr>
          </w:p>
        </w:tc>
        <w:tc>
          <w:tcPr>
            <w:tcW w:w="5989" w:type="dxa"/>
            <w:shd w:val="clear" w:color="auto" w:fill="auto"/>
          </w:tcPr>
          <w:p w14:paraId="33F154B0" w14:textId="77777777" w:rsidR="004D592F" w:rsidRDefault="004D592F" w:rsidP="002F7154">
            <w:pPr>
              <w:pStyle w:val="Normal1linespace"/>
              <w:widowControl w:val="0"/>
              <w:jc w:val="left"/>
            </w:pPr>
          </w:p>
        </w:tc>
      </w:tr>
      <w:tr w:rsidR="004D592F" w14:paraId="6C9178A2" w14:textId="77777777" w:rsidTr="00C822B5">
        <w:tc>
          <w:tcPr>
            <w:tcW w:w="3084" w:type="dxa"/>
            <w:shd w:val="clear" w:color="auto" w:fill="auto"/>
          </w:tcPr>
          <w:p w14:paraId="67B8EB7C" w14:textId="77777777" w:rsidR="004D592F" w:rsidRDefault="004D592F" w:rsidP="00501A12">
            <w:pPr>
              <w:pStyle w:val="Normal1linespace"/>
              <w:widowControl w:val="0"/>
            </w:pPr>
            <w:r>
              <w:t>Division:</w:t>
            </w:r>
          </w:p>
        </w:tc>
        <w:tc>
          <w:tcPr>
            <w:tcW w:w="5989" w:type="dxa"/>
            <w:shd w:val="clear" w:color="auto" w:fill="auto"/>
          </w:tcPr>
          <w:p w14:paraId="3C2EDAED" w14:textId="382F16C8" w:rsidR="004D592F" w:rsidRPr="00F17599" w:rsidRDefault="00AF02C8" w:rsidP="00501A12">
            <w:pPr>
              <w:pStyle w:val="Normal1linespace"/>
              <w:widowControl w:val="0"/>
              <w:jc w:val="left"/>
            </w:pPr>
            <w:fldSimple w:instr=" DOCPROPERTY  Division ">
              <w:r w:rsidR="004D592F">
                <w:t>General Division</w:t>
              </w:r>
            </w:fldSimple>
          </w:p>
        </w:tc>
      </w:tr>
      <w:tr w:rsidR="004D592F" w14:paraId="0E95FC1A" w14:textId="77777777" w:rsidTr="00C822B5">
        <w:tc>
          <w:tcPr>
            <w:tcW w:w="3084" w:type="dxa"/>
            <w:shd w:val="clear" w:color="auto" w:fill="auto"/>
          </w:tcPr>
          <w:p w14:paraId="23CDC415" w14:textId="77777777" w:rsidR="004D592F" w:rsidRDefault="004D592F" w:rsidP="00501A12">
            <w:pPr>
              <w:pStyle w:val="Normal1linespace"/>
              <w:widowControl w:val="0"/>
            </w:pPr>
            <w:bookmarkStart w:id="5" w:name="Registry_rows" w:colFirst="0" w:colLast="1"/>
          </w:p>
        </w:tc>
        <w:tc>
          <w:tcPr>
            <w:tcW w:w="5989" w:type="dxa"/>
            <w:shd w:val="clear" w:color="auto" w:fill="auto"/>
          </w:tcPr>
          <w:p w14:paraId="27E81C64" w14:textId="77777777" w:rsidR="004D592F" w:rsidRDefault="004D592F" w:rsidP="00501A12">
            <w:pPr>
              <w:pStyle w:val="Normal1linespace"/>
              <w:widowControl w:val="0"/>
              <w:jc w:val="left"/>
            </w:pPr>
          </w:p>
        </w:tc>
      </w:tr>
      <w:tr w:rsidR="004D592F" w14:paraId="13187E05" w14:textId="77777777" w:rsidTr="00C822B5">
        <w:tc>
          <w:tcPr>
            <w:tcW w:w="3084" w:type="dxa"/>
            <w:shd w:val="clear" w:color="auto" w:fill="auto"/>
          </w:tcPr>
          <w:p w14:paraId="2AF527C5" w14:textId="77777777" w:rsidR="004D592F" w:rsidRDefault="004D592F" w:rsidP="00501A12">
            <w:pPr>
              <w:pStyle w:val="Normal1linespace"/>
              <w:widowControl w:val="0"/>
            </w:pPr>
            <w:r>
              <w:t>Registry:</w:t>
            </w:r>
          </w:p>
        </w:tc>
        <w:tc>
          <w:tcPr>
            <w:tcW w:w="5989" w:type="dxa"/>
            <w:shd w:val="clear" w:color="auto" w:fill="auto"/>
          </w:tcPr>
          <w:p w14:paraId="1A037E7F" w14:textId="1CC60432" w:rsidR="004D592F" w:rsidRPr="00F17599" w:rsidRDefault="00AF02C8" w:rsidP="00501A12">
            <w:pPr>
              <w:pStyle w:val="Normal1linespace"/>
              <w:widowControl w:val="0"/>
              <w:jc w:val="left"/>
            </w:pPr>
            <w:fldSimple w:instr=" DOCPROPERTY  Registry ">
              <w:r w:rsidR="004D592F">
                <w:t>New South Wales</w:t>
              </w:r>
            </w:fldSimple>
          </w:p>
        </w:tc>
      </w:tr>
      <w:tr w:rsidR="004D592F" w14:paraId="2E86C136" w14:textId="77777777" w:rsidTr="00C822B5">
        <w:tc>
          <w:tcPr>
            <w:tcW w:w="3084" w:type="dxa"/>
            <w:shd w:val="clear" w:color="auto" w:fill="auto"/>
          </w:tcPr>
          <w:p w14:paraId="45A83C4B" w14:textId="77777777" w:rsidR="004D592F" w:rsidRDefault="004D592F" w:rsidP="00501A12">
            <w:pPr>
              <w:pStyle w:val="Normal1linespace"/>
              <w:widowControl w:val="0"/>
            </w:pPr>
            <w:bookmarkStart w:id="6" w:name="NPARow" w:colFirst="0" w:colLast="1"/>
            <w:bookmarkEnd w:id="5"/>
          </w:p>
        </w:tc>
        <w:tc>
          <w:tcPr>
            <w:tcW w:w="5989" w:type="dxa"/>
            <w:shd w:val="clear" w:color="auto" w:fill="auto"/>
          </w:tcPr>
          <w:p w14:paraId="621DDBD1" w14:textId="77777777" w:rsidR="004D592F" w:rsidRPr="00F17599" w:rsidRDefault="004D592F" w:rsidP="00501A12">
            <w:pPr>
              <w:pStyle w:val="Normal1linespace"/>
              <w:widowControl w:val="0"/>
              <w:jc w:val="left"/>
              <w:rPr>
                <w:b/>
              </w:rPr>
            </w:pPr>
          </w:p>
        </w:tc>
      </w:tr>
      <w:tr w:rsidR="004D592F" w14:paraId="3BE6F2DE" w14:textId="77777777" w:rsidTr="00C822B5">
        <w:tc>
          <w:tcPr>
            <w:tcW w:w="3084" w:type="dxa"/>
            <w:shd w:val="clear" w:color="auto" w:fill="auto"/>
          </w:tcPr>
          <w:p w14:paraId="02AEF7C2" w14:textId="77777777" w:rsidR="004D592F" w:rsidRDefault="004D592F" w:rsidP="00501A12">
            <w:pPr>
              <w:pStyle w:val="Normal1linespace"/>
              <w:widowControl w:val="0"/>
            </w:pPr>
            <w:r>
              <w:t>National Practice Area:</w:t>
            </w:r>
          </w:p>
        </w:tc>
        <w:tc>
          <w:tcPr>
            <w:tcW w:w="5989" w:type="dxa"/>
            <w:shd w:val="clear" w:color="auto" w:fill="auto"/>
          </w:tcPr>
          <w:p w14:paraId="0D63775D" w14:textId="6AC22A86" w:rsidR="004D592F" w:rsidRPr="00F17599" w:rsidRDefault="00AF02C8" w:rsidP="00171DBB">
            <w:pPr>
              <w:pStyle w:val="Normal1linespace"/>
              <w:widowControl w:val="0"/>
              <w:jc w:val="left"/>
              <w:rPr>
                <w:b/>
              </w:rPr>
            </w:pPr>
            <w:fldSimple w:instr=" DOCPROPERTY  &quot;Practice Area&quot;  \* MERGEFORMAT ">
              <w:r w:rsidR="004D592F">
                <w:t>Commercial and Corporations</w:t>
              </w:r>
            </w:fldSimple>
          </w:p>
        </w:tc>
      </w:tr>
      <w:tr w:rsidR="004D592F" w14:paraId="7DF80F1A" w14:textId="77777777" w:rsidTr="00C822B5">
        <w:tc>
          <w:tcPr>
            <w:tcW w:w="3084" w:type="dxa"/>
            <w:shd w:val="clear" w:color="auto" w:fill="auto"/>
          </w:tcPr>
          <w:p w14:paraId="26001574" w14:textId="77777777" w:rsidR="004D592F" w:rsidRDefault="004D592F" w:rsidP="00501A12">
            <w:pPr>
              <w:pStyle w:val="Normal1linespace"/>
              <w:widowControl w:val="0"/>
            </w:pPr>
            <w:bookmarkStart w:id="7" w:name="SubAreaRow" w:colFirst="0" w:colLast="1"/>
            <w:bookmarkEnd w:id="6"/>
          </w:p>
        </w:tc>
        <w:tc>
          <w:tcPr>
            <w:tcW w:w="5989" w:type="dxa"/>
            <w:shd w:val="clear" w:color="auto" w:fill="auto"/>
          </w:tcPr>
          <w:p w14:paraId="6C43BEB5" w14:textId="77777777" w:rsidR="004D592F" w:rsidRDefault="004D592F" w:rsidP="00171DBB">
            <w:pPr>
              <w:pStyle w:val="Normal1linespace"/>
              <w:widowControl w:val="0"/>
              <w:jc w:val="left"/>
            </w:pPr>
          </w:p>
        </w:tc>
      </w:tr>
      <w:tr w:rsidR="004D592F" w14:paraId="5D408731" w14:textId="77777777" w:rsidTr="00C822B5">
        <w:tc>
          <w:tcPr>
            <w:tcW w:w="3084" w:type="dxa"/>
            <w:shd w:val="clear" w:color="auto" w:fill="auto"/>
          </w:tcPr>
          <w:p w14:paraId="30684145" w14:textId="77777777" w:rsidR="004D592F" w:rsidRDefault="004D592F" w:rsidP="00501A12">
            <w:pPr>
              <w:pStyle w:val="Normal1linespace"/>
              <w:widowControl w:val="0"/>
            </w:pPr>
            <w:r>
              <w:t>Sub-area:</w:t>
            </w:r>
          </w:p>
        </w:tc>
        <w:tc>
          <w:tcPr>
            <w:tcW w:w="5989" w:type="dxa"/>
            <w:shd w:val="clear" w:color="auto" w:fill="auto"/>
          </w:tcPr>
          <w:p w14:paraId="2A9CD267" w14:textId="5B6749E9" w:rsidR="004D592F" w:rsidRPr="00837288" w:rsidRDefault="00AF02C8" w:rsidP="00435936">
            <w:pPr>
              <w:pStyle w:val="Normal1linespace"/>
              <w:widowControl w:val="0"/>
              <w:jc w:val="left"/>
            </w:pPr>
            <w:fldSimple w:instr=" DOCPROPERTY  &quot;Sub Area&quot;  \* MERGEFORMAT ">
              <w:r w:rsidR="004D592F" w:rsidRPr="004D592F">
                <w:rPr>
                  <w:lang w:val="en-US"/>
                </w:rPr>
                <w:t>Corporations and Corporate</w:t>
              </w:r>
              <w:r w:rsidR="004D592F">
                <w:t xml:space="preserve"> Insolvency</w:t>
              </w:r>
            </w:fldSimple>
          </w:p>
        </w:tc>
      </w:tr>
      <w:bookmarkEnd w:id="7"/>
      <w:tr w:rsidR="000948C9" w14:paraId="13B6D3A3" w14:textId="77777777" w:rsidTr="00C822B5">
        <w:tc>
          <w:tcPr>
            <w:tcW w:w="3084" w:type="dxa"/>
            <w:shd w:val="clear" w:color="auto" w:fill="auto"/>
          </w:tcPr>
          <w:p w14:paraId="4836444E" w14:textId="77777777" w:rsidR="000948C9" w:rsidRDefault="000948C9" w:rsidP="002F7154">
            <w:pPr>
              <w:pStyle w:val="Normal1linespace"/>
              <w:widowControl w:val="0"/>
            </w:pPr>
          </w:p>
        </w:tc>
        <w:tc>
          <w:tcPr>
            <w:tcW w:w="5989" w:type="dxa"/>
            <w:shd w:val="clear" w:color="auto" w:fill="auto"/>
          </w:tcPr>
          <w:p w14:paraId="64E72D04" w14:textId="77777777" w:rsidR="000948C9" w:rsidRDefault="000948C9" w:rsidP="002F7154">
            <w:pPr>
              <w:pStyle w:val="Normal1linespace"/>
              <w:widowControl w:val="0"/>
              <w:jc w:val="left"/>
            </w:pPr>
          </w:p>
        </w:tc>
      </w:tr>
      <w:tr w:rsidR="000948C9" w14:paraId="75311DF5" w14:textId="77777777" w:rsidTr="00C822B5">
        <w:tc>
          <w:tcPr>
            <w:tcW w:w="3084" w:type="dxa"/>
            <w:shd w:val="clear" w:color="auto" w:fill="auto"/>
          </w:tcPr>
          <w:p w14:paraId="734ACCCF" w14:textId="77777777" w:rsidR="000948C9" w:rsidRDefault="000948C9" w:rsidP="00501A12">
            <w:pPr>
              <w:pStyle w:val="Normal1linespace"/>
              <w:widowControl w:val="0"/>
            </w:pPr>
            <w:r>
              <w:t>Number of paragraphs:</w:t>
            </w:r>
          </w:p>
        </w:tc>
        <w:tc>
          <w:tcPr>
            <w:tcW w:w="5989" w:type="dxa"/>
            <w:shd w:val="clear" w:color="auto" w:fill="auto"/>
          </w:tcPr>
          <w:p w14:paraId="17A0217B" w14:textId="19AC3497" w:rsidR="000948C9" w:rsidRDefault="00C822B5" w:rsidP="00501A12">
            <w:pPr>
              <w:pStyle w:val="Normal1linespace"/>
              <w:widowControl w:val="0"/>
              <w:jc w:val="left"/>
            </w:pPr>
            <w:bookmarkStart w:id="8" w:name="PlaceCategoryParagraphs"/>
            <w:r>
              <w:t>84</w:t>
            </w:r>
            <w:bookmarkEnd w:id="8"/>
          </w:p>
        </w:tc>
      </w:tr>
      <w:tr w:rsidR="000948C9" w14:paraId="1E0FFF2E" w14:textId="77777777" w:rsidTr="00C822B5">
        <w:tc>
          <w:tcPr>
            <w:tcW w:w="3084" w:type="dxa"/>
            <w:shd w:val="clear" w:color="auto" w:fill="auto"/>
          </w:tcPr>
          <w:p w14:paraId="0E74143B" w14:textId="77777777" w:rsidR="000948C9" w:rsidRDefault="000948C9" w:rsidP="000948C9">
            <w:pPr>
              <w:pStyle w:val="Normal1linespace"/>
              <w:widowControl w:val="0"/>
              <w:jc w:val="left"/>
            </w:pPr>
          </w:p>
        </w:tc>
        <w:tc>
          <w:tcPr>
            <w:tcW w:w="5989" w:type="dxa"/>
            <w:shd w:val="clear" w:color="auto" w:fill="auto"/>
          </w:tcPr>
          <w:p w14:paraId="1638DA00" w14:textId="77777777" w:rsidR="000948C9" w:rsidRDefault="000948C9" w:rsidP="000948C9">
            <w:pPr>
              <w:pStyle w:val="Normal1linespace"/>
              <w:widowControl w:val="0"/>
              <w:jc w:val="left"/>
            </w:pPr>
          </w:p>
        </w:tc>
      </w:tr>
      <w:tr w:rsidR="000948C9" w14:paraId="795EC84F" w14:textId="77777777" w:rsidTr="00C822B5">
        <w:tc>
          <w:tcPr>
            <w:tcW w:w="3084" w:type="dxa"/>
            <w:shd w:val="clear" w:color="auto" w:fill="auto"/>
          </w:tcPr>
          <w:p w14:paraId="120F570B" w14:textId="77777777" w:rsidR="000948C9" w:rsidRDefault="000948C9" w:rsidP="000948C9">
            <w:pPr>
              <w:pStyle w:val="Normal1linespace"/>
              <w:widowControl w:val="0"/>
              <w:jc w:val="left"/>
            </w:pPr>
            <w:bookmarkStart w:id="9" w:name="CounselDate" w:colFirst="0" w:colLast="2"/>
            <w:r w:rsidRPr="006A24E3">
              <w:t>Date of hearing:</w:t>
            </w:r>
          </w:p>
        </w:tc>
        <w:tc>
          <w:tcPr>
            <w:tcW w:w="5989" w:type="dxa"/>
            <w:shd w:val="clear" w:color="auto" w:fill="auto"/>
          </w:tcPr>
          <w:p w14:paraId="718AEACE" w14:textId="238D8030" w:rsidR="000948C9" w:rsidRDefault="00E12F0D" w:rsidP="000948C9">
            <w:pPr>
              <w:pStyle w:val="Normal1linespace"/>
              <w:widowControl w:val="0"/>
              <w:jc w:val="left"/>
            </w:pPr>
            <w:r>
              <w:t>26 March 2024</w:t>
            </w:r>
          </w:p>
        </w:tc>
      </w:tr>
      <w:tr w:rsidR="000948C9" w14:paraId="75FF57A4" w14:textId="77777777" w:rsidTr="00C822B5">
        <w:tc>
          <w:tcPr>
            <w:tcW w:w="3084" w:type="dxa"/>
            <w:shd w:val="clear" w:color="auto" w:fill="auto"/>
          </w:tcPr>
          <w:p w14:paraId="4437790F" w14:textId="77777777" w:rsidR="000948C9" w:rsidRDefault="000948C9" w:rsidP="000948C9">
            <w:pPr>
              <w:pStyle w:val="Normal1linespace"/>
              <w:widowControl w:val="0"/>
              <w:jc w:val="left"/>
            </w:pPr>
          </w:p>
        </w:tc>
        <w:tc>
          <w:tcPr>
            <w:tcW w:w="5989" w:type="dxa"/>
            <w:shd w:val="clear" w:color="auto" w:fill="auto"/>
          </w:tcPr>
          <w:p w14:paraId="1F2BFFC1" w14:textId="77777777" w:rsidR="000948C9" w:rsidRDefault="000948C9" w:rsidP="000948C9">
            <w:pPr>
              <w:pStyle w:val="Normal1linespace"/>
              <w:widowControl w:val="0"/>
              <w:jc w:val="left"/>
            </w:pPr>
          </w:p>
        </w:tc>
      </w:tr>
      <w:tr w:rsidR="0005410D" w14:paraId="518A2817" w14:textId="77777777" w:rsidTr="00C822B5">
        <w:tc>
          <w:tcPr>
            <w:tcW w:w="3084" w:type="dxa"/>
            <w:shd w:val="clear" w:color="auto" w:fill="auto"/>
          </w:tcPr>
          <w:p w14:paraId="52F3C96B" w14:textId="77777777" w:rsidR="0005410D" w:rsidRDefault="0005410D" w:rsidP="00841C67">
            <w:pPr>
              <w:pStyle w:val="Normal1linespace"/>
              <w:widowControl w:val="0"/>
              <w:jc w:val="left"/>
            </w:pPr>
            <w:bookmarkStart w:id="10" w:name="CompletionTable"/>
            <w:bookmarkEnd w:id="9"/>
            <w:r>
              <w:t>Counsel for the applicants:</w:t>
            </w:r>
          </w:p>
        </w:tc>
        <w:tc>
          <w:tcPr>
            <w:tcW w:w="5989" w:type="dxa"/>
            <w:shd w:val="clear" w:color="auto" w:fill="auto"/>
          </w:tcPr>
          <w:p w14:paraId="6D82E4A3" w14:textId="77777777" w:rsidR="0005410D" w:rsidRDefault="0005410D" w:rsidP="00841C67">
            <w:pPr>
              <w:pStyle w:val="Normal1linespace"/>
              <w:widowControl w:val="0"/>
              <w:jc w:val="left"/>
            </w:pPr>
            <w:r>
              <w:t>J Arnott SC with B Mostafa</w:t>
            </w:r>
          </w:p>
        </w:tc>
      </w:tr>
      <w:tr w:rsidR="0005410D" w14:paraId="73B1A00B" w14:textId="77777777" w:rsidTr="00C822B5">
        <w:tc>
          <w:tcPr>
            <w:tcW w:w="3084" w:type="dxa"/>
            <w:shd w:val="clear" w:color="auto" w:fill="auto"/>
          </w:tcPr>
          <w:p w14:paraId="3C30E355" w14:textId="77777777" w:rsidR="0005410D" w:rsidRDefault="0005410D" w:rsidP="00841C67">
            <w:pPr>
              <w:pStyle w:val="Normal1linespace"/>
              <w:widowControl w:val="0"/>
              <w:jc w:val="left"/>
            </w:pPr>
          </w:p>
        </w:tc>
        <w:tc>
          <w:tcPr>
            <w:tcW w:w="5989" w:type="dxa"/>
            <w:shd w:val="clear" w:color="auto" w:fill="auto"/>
          </w:tcPr>
          <w:p w14:paraId="3A8DF9B6" w14:textId="77777777" w:rsidR="0005410D" w:rsidRDefault="0005410D" w:rsidP="00841C67">
            <w:pPr>
              <w:pStyle w:val="Normal1linespace"/>
              <w:widowControl w:val="0"/>
              <w:jc w:val="left"/>
            </w:pPr>
          </w:p>
        </w:tc>
      </w:tr>
      <w:tr w:rsidR="0005410D" w14:paraId="7F17AA22" w14:textId="77777777" w:rsidTr="00C822B5">
        <w:tc>
          <w:tcPr>
            <w:tcW w:w="3084" w:type="dxa"/>
            <w:shd w:val="clear" w:color="auto" w:fill="auto"/>
          </w:tcPr>
          <w:p w14:paraId="0055B98A" w14:textId="77777777" w:rsidR="0005410D" w:rsidRDefault="0005410D" w:rsidP="00841C67">
            <w:pPr>
              <w:pStyle w:val="Normal1linespace"/>
              <w:widowControl w:val="0"/>
              <w:jc w:val="left"/>
            </w:pPr>
            <w:r>
              <w:t>Solicitor for the applicants:</w:t>
            </w:r>
          </w:p>
        </w:tc>
        <w:tc>
          <w:tcPr>
            <w:tcW w:w="5989" w:type="dxa"/>
            <w:shd w:val="clear" w:color="auto" w:fill="auto"/>
          </w:tcPr>
          <w:p w14:paraId="73BB9A34" w14:textId="77777777" w:rsidR="0005410D" w:rsidRDefault="0005410D" w:rsidP="00841C67">
            <w:pPr>
              <w:pStyle w:val="Normal1linespace"/>
              <w:widowControl w:val="0"/>
              <w:jc w:val="left"/>
            </w:pPr>
            <w:r>
              <w:t>Clayton Utz</w:t>
            </w:r>
          </w:p>
        </w:tc>
      </w:tr>
      <w:tr w:rsidR="0005410D" w14:paraId="4A8DB4A6" w14:textId="77777777" w:rsidTr="00C822B5">
        <w:tc>
          <w:tcPr>
            <w:tcW w:w="3084" w:type="dxa"/>
            <w:shd w:val="clear" w:color="auto" w:fill="auto"/>
          </w:tcPr>
          <w:p w14:paraId="49E6E27F" w14:textId="77777777" w:rsidR="0005410D" w:rsidRDefault="0005410D" w:rsidP="00841C67">
            <w:pPr>
              <w:pStyle w:val="Normal1linespace"/>
              <w:widowControl w:val="0"/>
              <w:jc w:val="left"/>
            </w:pPr>
          </w:p>
        </w:tc>
        <w:tc>
          <w:tcPr>
            <w:tcW w:w="5989" w:type="dxa"/>
            <w:shd w:val="clear" w:color="auto" w:fill="auto"/>
          </w:tcPr>
          <w:p w14:paraId="398BFDA0" w14:textId="77777777" w:rsidR="0005410D" w:rsidRDefault="0005410D" w:rsidP="00841C67">
            <w:pPr>
              <w:pStyle w:val="Normal1linespace"/>
              <w:widowControl w:val="0"/>
              <w:jc w:val="left"/>
            </w:pPr>
          </w:p>
        </w:tc>
      </w:tr>
      <w:tr w:rsidR="0005410D" w14:paraId="6C111DEA" w14:textId="77777777" w:rsidTr="00C822B5">
        <w:tc>
          <w:tcPr>
            <w:tcW w:w="3084" w:type="dxa"/>
            <w:shd w:val="clear" w:color="auto" w:fill="auto"/>
          </w:tcPr>
          <w:p w14:paraId="39580FC2" w14:textId="65112C5F" w:rsidR="0005410D" w:rsidRDefault="0005410D" w:rsidP="00841C67">
            <w:pPr>
              <w:pStyle w:val="Normal1linespace"/>
              <w:widowControl w:val="0"/>
              <w:jc w:val="left"/>
            </w:pPr>
            <w:r>
              <w:t>Counsel for the respondent:</w:t>
            </w:r>
          </w:p>
        </w:tc>
        <w:tc>
          <w:tcPr>
            <w:tcW w:w="5989" w:type="dxa"/>
            <w:shd w:val="clear" w:color="auto" w:fill="auto"/>
          </w:tcPr>
          <w:p w14:paraId="02615BF3" w14:textId="77777777" w:rsidR="0005410D" w:rsidRDefault="0005410D" w:rsidP="00841C67">
            <w:pPr>
              <w:pStyle w:val="Normal1linespace"/>
              <w:widowControl w:val="0"/>
              <w:jc w:val="left"/>
            </w:pPr>
            <w:r>
              <w:t>F Roughley SC with R Jameson</w:t>
            </w:r>
          </w:p>
        </w:tc>
      </w:tr>
      <w:tr w:rsidR="0005410D" w14:paraId="42FC3364" w14:textId="77777777" w:rsidTr="00C822B5">
        <w:tc>
          <w:tcPr>
            <w:tcW w:w="3084" w:type="dxa"/>
            <w:shd w:val="clear" w:color="auto" w:fill="auto"/>
          </w:tcPr>
          <w:p w14:paraId="67B59364" w14:textId="77777777" w:rsidR="0005410D" w:rsidRDefault="0005410D" w:rsidP="00841C67">
            <w:pPr>
              <w:pStyle w:val="Normal1linespace"/>
              <w:widowControl w:val="0"/>
              <w:jc w:val="left"/>
            </w:pPr>
          </w:p>
        </w:tc>
        <w:tc>
          <w:tcPr>
            <w:tcW w:w="5989" w:type="dxa"/>
            <w:shd w:val="clear" w:color="auto" w:fill="auto"/>
          </w:tcPr>
          <w:p w14:paraId="3BE45E23" w14:textId="77777777" w:rsidR="0005410D" w:rsidRDefault="0005410D" w:rsidP="00841C67">
            <w:pPr>
              <w:pStyle w:val="Normal1linespace"/>
              <w:widowControl w:val="0"/>
              <w:jc w:val="left"/>
            </w:pPr>
          </w:p>
        </w:tc>
      </w:tr>
      <w:tr w:rsidR="0005410D" w14:paraId="0198B62A" w14:textId="77777777" w:rsidTr="00C822B5">
        <w:tc>
          <w:tcPr>
            <w:tcW w:w="3084" w:type="dxa"/>
            <w:shd w:val="clear" w:color="auto" w:fill="auto"/>
          </w:tcPr>
          <w:p w14:paraId="604C5287" w14:textId="5EE033B1" w:rsidR="0005410D" w:rsidRDefault="0005410D" w:rsidP="00841C67">
            <w:pPr>
              <w:pStyle w:val="Normal1linespace"/>
              <w:widowControl w:val="0"/>
              <w:jc w:val="left"/>
            </w:pPr>
            <w:r>
              <w:t>Solicitor for the respondent:</w:t>
            </w:r>
          </w:p>
        </w:tc>
        <w:tc>
          <w:tcPr>
            <w:tcW w:w="5989" w:type="dxa"/>
            <w:shd w:val="clear" w:color="auto" w:fill="auto"/>
          </w:tcPr>
          <w:p w14:paraId="6B06DEA8" w14:textId="77777777" w:rsidR="0005410D" w:rsidRDefault="0005410D" w:rsidP="00841C67">
            <w:pPr>
              <w:pStyle w:val="Normal1linespace"/>
              <w:widowControl w:val="0"/>
              <w:jc w:val="left"/>
            </w:pPr>
            <w:r>
              <w:t>White &amp; Case</w:t>
            </w:r>
          </w:p>
        </w:tc>
      </w:tr>
    </w:tbl>
    <w:p w14:paraId="2ABBED3F" w14:textId="77777777" w:rsidR="00B17D6E" w:rsidRDefault="00B17D6E">
      <w:pPr>
        <w:pStyle w:val="Normal1linespace"/>
      </w:pPr>
    </w:p>
    <w:bookmarkEnd w:id="10"/>
    <w:p w14:paraId="06894A2E" w14:textId="77777777" w:rsidR="007470BD" w:rsidRDefault="007470BD">
      <w:pPr>
        <w:pStyle w:val="Normal1linespace"/>
      </w:pPr>
    </w:p>
    <w:p w14:paraId="5BEF7457" w14:textId="77777777" w:rsidR="00E94CBF" w:rsidRDefault="00E94CBF">
      <w:pPr>
        <w:pStyle w:val="Normal1linespace"/>
      </w:pPr>
    </w:p>
    <w:p w14:paraId="0C4F1F33" w14:textId="77777777" w:rsidR="00395B24" w:rsidRDefault="00395B24">
      <w:pPr>
        <w:pStyle w:val="Normal1linespace"/>
        <w:sectPr w:rsidR="00395B24" w:rsidSect="000E1924">
          <w:headerReference w:type="even" r:id="rId9"/>
          <w:headerReference w:type="default" r:id="rId10"/>
          <w:footerReference w:type="even" r:id="rId11"/>
          <w:footerReference w:type="default" r:id="rId12"/>
          <w:headerReference w:type="first" r:id="rId13"/>
          <w:footerReference w:type="first" r:id="rId14"/>
          <w:endnotePr>
            <w:numFmt w:val="decimal"/>
          </w:endnotePr>
          <w:type w:val="continuous"/>
          <w:pgSz w:w="11907" w:h="16840" w:code="9"/>
          <w:pgMar w:top="1440" w:right="1440" w:bottom="1440" w:left="1440" w:header="851" w:footer="768" w:gutter="0"/>
          <w:pgNumType w:start="1"/>
          <w:cols w:space="720"/>
          <w:noEndnote/>
          <w:titlePg/>
        </w:sectPr>
      </w:pPr>
    </w:p>
    <w:p w14:paraId="526CA917" w14:textId="77777777" w:rsidR="008C7167" w:rsidRPr="00045BB7" w:rsidRDefault="0011419D" w:rsidP="00045BB7">
      <w:pPr>
        <w:pStyle w:val="NormalHeadings"/>
        <w:spacing w:line="480" w:lineRule="auto"/>
        <w:jc w:val="center"/>
        <w:rPr>
          <w:sz w:val="28"/>
          <w:szCs w:val="28"/>
        </w:rPr>
      </w:pPr>
      <w:r w:rsidRPr="00045BB7">
        <w:rPr>
          <w:sz w:val="28"/>
          <w:szCs w:val="28"/>
        </w:rPr>
        <w:lastRenderedPageBreak/>
        <w:t>ORDERS</w:t>
      </w:r>
    </w:p>
    <w:tbl>
      <w:tblPr>
        <w:tblW w:w="0" w:type="auto"/>
        <w:tblLayout w:type="fixed"/>
        <w:tblLook w:val="0000" w:firstRow="0" w:lastRow="0" w:firstColumn="0" w:lastColumn="0" w:noHBand="0" w:noVBand="0"/>
        <w:tblCaption w:val="Parties"/>
        <w:tblDescription w:val="Parties"/>
      </w:tblPr>
      <w:tblGrid>
        <w:gridCol w:w="2376"/>
        <w:gridCol w:w="4536"/>
        <w:gridCol w:w="2330"/>
      </w:tblGrid>
      <w:tr w:rsidR="00A46CCC" w14:paraId="741A6AE2" w14:textId="77777777" w:rsidTr="00E81DA6">
        <w:tc>
          <w:tcPr>
            <w:tcW w:w="6912" w:type="dxa"/>
            <w:gridSpan w:val="2"/>
          </w:tcPr>
          <w:p w14:paraId="2D9FAEB9" w14:textId="77777777" w:rsidR="00A46CCC" w:rsidRPr="001765E0" w:rsidRDefault="00A46CCC" w:rsidP="00525A49">
            <w:pPr>
              <w:pStyle w:val="NormalHeadings"/>
            </w:pPr>
          </w:p>
        </w:tc>
        <w:tc>
          <w:tcPr>
            <w:tcW w:w="2330" w:type="dxa"/>
          </w:tcPr>
          <w:p w14:paraId="0542F0BE" w14:textId="2C6A40A0" w:rsidR="00A46CCC" w:rsidRDefault="0005410D" w:rsidP="00F92355">
            <w:pPr>
              <w:pStyle w:val="NormalHeadings"/>
              <w:jc w:val="right"/>
            </w:pPr>
            <w:r>
              <w:t>NSD 377 of 2023</w:t>
            </w:r>
          </w:p>
        </w:tc>
      </w:tr>
      <w:tr w:rsidR="00A76C13" w14:paraId="2D211888" w14:textId="77777777" w:rsidTr="00F461A4">
        <w:tc>
          <w:tcPr>
            <w:tcW w:w="9242" w:type="dxa"/>
            <w:gridSpan w:val="3"/>
          </w:tcPr>
          <w:p w14:paraId="34835358" w14:textId="3D7FA4C1" w:rsidR="00A76C13" w:rsidRPr="00A76C13" w:rsidRDefault="004D592F" w:rsidP="004D592F">
            <w:pPr>
              <w:pStyle w:val="NormalHeadings"/>
              <w:jc w:val="left"/>
            </w:pPr>
            <w:bookmarkStart w:id="11" w:name="InTheMatterOf"/>
            <w:r>
              <w:t xml:space="preserve"> </w:t>
            </w:r>
            <w:bookmarkEnd w:id="11"/>
          </w:p>
        </w:tc>
      </w:tr>
      <w:tr w:rsidR="00A46CCC" w14:paraId="67FC65F2" w14:textId="77777777" w:rsidTr="005041F0">
        <w:trPr>
          <w:trHeight w:val="386"/>
        </w:trPr>
        <w:tc>
          <w:tcPr>
            <w:tcW w:w="2376" w:type="dxa"/>
          </w:tcPr>
          <w:p w14:paraId="69B6F0C5" w14:textId="77777777" w:rsidR="00A46CCC" w:rsidRDefault="00A46CCC" w:rsidP="005041F0">
            <w:pPr>
              <w:pStyle w:val="NormalHeadings"/>
              <w:jc w:val="left"/>
              <w:rPr>
                <w:caps/>
                <w:szCs w:val="24"/>
              </w:rPr>
            </w:pPr>
            <w:bookmarkStart w:id="12" w:name="Parties"/>
            <w:r>
              <w:rPr>
                <w:caps/>
                <w:szCs w:val="24"/>
              </w:rPr>
              <w:t>BETWEEN:</w:t>
            </w:r>
          </w:p>
        </w:tc>
        <w:tc>
          <w:tcPr>
            <w:tcW w:w="6866" w:type="dxa"/>
            <w:gridSpan w:val="2"/>
          </w:tcPr>
          <w:p w14:paraId="0F7A3742" w14:textId="77777777" w:rsidR="004D592F" w:rsidRDefault="004D592F" w:rsidP="000948C9">
            <w:pPr>
              <w:pStyle w:val="NormalHeadings"/>
              <w:jc w:val="left"/>
            </w:pPr>
            <w:bookmarkStart w:id="13" w:name="Applicant"/>
            <w:r>
              <w:t>BINQLD FINANCES PTY LTD (IN LIQ) (ACN 119 243 220)</w:t>
            </w:r>
          </w:p>
          <w:p w14:paraId="37FF75CC" w14:textId="77777777" w:rsidR="004D592F" w:rsidRPr="004D5BEF" w:rsidRDefault="004D592F" w:rsidP="00D525E3">
            <w:pPr>
              <w:pStyle w:val="PartyType"/>
              <w:rPr>
                <w:b/>
              </w:rPr>
            </w:pPr>
            <w:r w:rsidRPr="004D5BEF">
              <w:t>First Applicant</w:t>
            </w:r>
          </w:p>
          <w:p w14:paraId="43F02470" w14:textId="77777777" w:rsidR="004D592F" w:rsidRDefault="004D592F" w:rsidP="000948C9">
            <w:pPr>
              <w:pStyle w:val="NormalHeadings"/>
              <w:jc w:val="left"/>
            </w:pPr>
          </w:p>
          <w:p w14:paraId="58BAEE98" w14:textId="77777777" w:rsidR="004D592F" w:rsidRDefault="004D592F" w:rsidP="000948C9">
            <w:pPr>
              <w:pStyle w:val="NormalHeadings"/>
              <w:jc w:val="left"/>
            </w:pPr>
            <w:r>
              <w:t>LIGON 268 PTY LTD (IN LIQ) (ACN 051 824 081)</w:t>
            </w:r>
          </w:p>
          <w:p w14:paraId="0097DE28" w14:textId="77777777" w:rsidR="004D592F" w:rsidRPr="00D525E3" w:rsidRDefault="004D592F" w:rsidP="00D525E3">
            <w:pPr>
              <w:pStyle w:val="PartyType"/>
            </w:pPr>
            <w:r w:rsidRPr="00D525E3">
              <w:t>Second Applicant</w:t>
            </w:r>
          </w:p>
          <w:p w14:paraId="71A03CCA" w14:textId="77777777" w:rsidR="004D592F" w:rsidRDefault="004D592F" w:rsidP="000948C9">
            <w:pPr>
              <w:pStyle w:val="NormalHeadings"/>
              <w:jc w:val="left"/>
            </w:pPr>
          </w:p>
          <w:p w14:paraId="2D4E5800" w14:textId="77777777" w:rsidR="004D592F" w:rsidRDefault="004D592F" w:rsidP="000948C9">
            <w:pPr>
              <w:pStyle w:val="NormalHeadings"/>
              <w:jc w:val="left"/>
            </w:pPr>
            <w:r>
              <w:t xml:space="preserve">ERBIN FINANCES PTY LTD (IN LIQ) (ACN 138 259 800) </w:t>
            </w:r>
            <w:r w:rsidRPr="004D5BEF">
              <w:rPr>
                <w:b w:val="0"/>
                <w:bCs/>
              </w:rPr>
              <w:t>(and others named in the Schedule)</w:t>
            </w:r>
          </w:p>
          <w:p w14:paraId="68A8955A" w14:textId="77777777" w:rsidR="004D592F" w:rsidRPr="00D525E3" w:rsidRDefault="004D592F" w:rsidP="00D525E3">
            <w:pPr>
              <w:pStyle w:val="PartyType"/>
            </w:pPr>
            <w:r w:rsidRPr="00D525E3">
              <w:t>Third Applicant</w:t>
            </w:r>
          </w:p>
          <w:bookmarkEnd w:id="13"/>
          <w:p w14:paraId="2A3FADD4" w14:textId="3192D2AA" w:rsidR="00A46CCC" w:rsidRPr="006555B4" w:rsidRDefault="00A46CCC" w:rsidP="000948C9">
            <w:pPr>
              <w:pStyle w:val="NormalHeadings"/>
              <w:jc w:val="left"/>
            </w:pPr>
          </w:p>
        </w:tc>
      </w:tr>
      <w:tr w:rsidR="00A46CCC" w14:paraId="1500CA6B" w14:textId="77777777" w:rsidTr="005041F0">
        <w:trPr>
          <w:trHeight w:val="386"/>
        </w:trPr>
        <w:tc>
          <w:tcPr>
            <w:tcW w:w="2376" w:type="dxa"/>
          </w:tcPr>
          <w:p w14:paraId="58DFDD23" w14:textId="77777777" w:rsidR="00A46CCC" w:rsidRDefault="00A46CCC" w:rsidP="005041F0">
            <w:pPr>
              <w:pStyle w:val="NormalHeadings"/>
              <w:jc w:val="left"/>
              <w:rPr>
                <w:caps/>
                <w:szCs w:val="24"/>
              </w:rPr>
            </w:pPr>
            <w:r>
              <w:rPr>
                <w:caps/>
                <w:szCs w:val="24"/>
              </w:rPr>
              <w:t>AND:</w:t>
            </w:r>
          </w:p>
        </w:tc>
        <w:tc>
          <w:tcPr>
            <w:tcW w:w="6866" w:type="dxa"/>
            <w:gridSpan w:val="2"/>
          </w:tcPr>
          <w:p w14:paraId="4DE92B32" w14:textId="77777777" w:rsidR="004D592F" w:rsidRDefault="004D592F" w:rsidP="000948C9">
            <w:pPr>
              <w:pStyle w:val="NormalHeadings"/>
              <w:jc w:val="left"/>
            </w:pPr>
            <w:bookmarkStart w:id="14" w:name="Respondent"/>
            <w:r>
              <w:t>STEVEN BINETTER</w:t>
            </w:r>
          </w:p>
          <w:p w14:paraId="5E581BC1" w14:textId="77777777" w:rsidR="004D592F" w:rsidRPr="00D525E3" w:rsidRDefault="004D592F" w:rsidP="00D525E3">
            <w:pPr>
              <w:pStyle w:val="PartyType"/>
            </w:pPr>
            <w:r w:rsidRPr="00D525E3">
              <w:t>Respondent</w:t>
            </w:r>
          </w:p>
          <w:bookmarkEnd w:id="14"/>
          <w:p w14:paraId="1F337AF5" w14:textId="052B047E" w:rsidR="00A46CCC" w:rsidRPr="006555B4" w:rsidRDefault="00A46CCC" w:rsidP="000948C9">
            <w:pPr>
              <w:pStyle w:val="NormalHeadings"/>
              <w:jc w:val="left"/>
            </w:pPr>
          </w:p>
        </w:tc>
      </w:tr>
    </w:tbl>
    <w:p w14:paraId="5A62344D" w14:textId="77777777" w:rsidR="00395B24" w:rsidRDefault="00395B24">
      <w:pPr>
        <w:pStyle w:val="NormalHeadings"/>
      </w:pPr>
      <w:bookmarkStart w:id="15" w:name="CrossClaimPosition"/>
      <w:bookmarkEnd w:id="12"/>
      <w:bookmarkEnd w:id="15"/>
    </w:p>
    <w:tbl>
      <w:tblPr>
        <w:tblW w:w="0" w:type="auto"/>
        <w:tblLayout w:type="fixed"/>
        <w:tblLook w:val="0000" w:firstRow="0" w:lastRow="0" w:firstColumn="0" w:lastColumn="0" w:noHBand="0" w:noVBand="0"/>
        <w:tblCaption w:val="Judge"/>
        <w:tblDescription w:val="Judge"/>
      </w:tblPr>
      <w:tblGrid>
        <w:gridCol w:w="2376"/>
        <w:gridCol w:w="6866"/>
      </w:tblGrid>
      <w:tr w:rsidR="00395B24" w14:paraId="378026C0" w14:textId="77777777">
        <w:tc>
          <w:tcPr>
            <w:tcW w:w="2376" w:type="dxa"/>
          </w:tcPr>
          <w:p w14:paraId="047D481E" w14:textId="77777777" w:rsidR="00395B24" w:rsidRDefault="00974709">
            <w:pPr>
              <w:pStyle w:val="NormalHeadings"/>
              <w:spacing w:after="120"/>
              <w:jc w:val="left"/>
              <w:rPr>
                <w:caps/>
                <w:szCs w:val="24"/>
              </w:rPr>
            </w:pPr>
            <w:bookmarkStart w:id="16" w:name="JudgeText"/>
            <w:r>
              <w:rPr>
                <w:caps/>
                <w:szCs w:val="24"/>
              </w:rPr>
              <w:t>order made by</w:t>
            </w:r>
            <w:bookmarkEnd w:id="16"/>
            <w:r w:rsidR="002C7385">
              <w:rPr>
                <w:caps/>
                <w:szCs w:val="24"/>
              </w:rPr>
              <w:t>:</w:t>
            </w:r>
          </w:p>
        </w:tc>
        <w:tc>
          <w:tcPr>
            <w:tcW w:w="6866" w:type="dxa"/>
          </w:tcPr>
          <w:p w14:paraId="554447B7" w14:textId="5CF49A6C" w:rsidR="00395B24" w:rsidRDefault="004D592F">
            <w:pPr>
              <w:pStyle w:val="NormalHeadings"/>
              <w:jc w:val="left"/>
              <w:rPr>
                <w:caps/>
                <w:szCs w:val="24"/>
              </w:rPr>
            </w:pPr>
            <w:bookmarkStart w:id="17" w:name="Judge"/>
            <w:r>
              <w:rPr>
                <w:caps/>
                <w:szCs w:val="24"/>
              </w:rPr>
              <w:t>KENNETT J</w:t>
            </w:r>
            <w:bookmarkEnd w:id="17"/>
          </w:p>
        </w:tc>
      </w:tr>
      <w:tr w:rsidR="00395B24" w14:paraId="470D3C31" w14:textId="77777777">
        <w:tc>
          <w:tcPr>
            <w:tcW w:w="2376" w:type="dxa"/>
          </w:tcPr>
          <w:p w14:paraId="4A5B6379" w14:textId="77777777" w:rsidR="00395B24" w:rsidRDefault="002C7385">
            <w:pPr>
              <w:pStyle w:val="NormalHeadings"/>
              <w:spacing w:after="120"/>
              <w:jc w:val="left"/>
              <w:rPr>
                <w:caps/>
                <w:szCs w:val="24"/>
              </w:rPr>
            </w:pPr>
            <w:r>
              <w:rPr>
                <w:caps/>
                <w:szCs w:val="24"/>
              </w:rPr>
              <w:t>DATE OF ORDER:</w:t>
            </w:r>
          </w:p>
        </w:tc>
        <w:tc>
          <w:tcPr>
            <w:tcW w:w="6866" w:type="dxa"/>
          </w:tcPr>
          <w:p w14:paraId="2F03FCFD" w14:textId="2155DBD7" w:rsidR="00395B24" w:rsidRDefault="00914985">
            <w:pPr>
              <w:pStyle w:val="NormalHeadings"/>
              <w:jc w:val="left"/>
              <w:rPr>
                <w:caps/>
                <w:szCs w:val="24"/>
              </w:rPr>
            </w:pPr>
            <w:bookmarkStart w:id="18" w:name="Judgment_Dated"/>
            <w:bookmarkEnd w:id="18"/>
            <w:r>
              <w:rPr>
                <w:caps/>
                <w:szCs w:val="24"/>
              </w:rPr>
              <w:t>12</w:t>
            </w:r>
            <w:r w:rsidR="00030254">
              <w:rPr>
                <w:caps/>
                <w:szCs w:val="24"/>
              </w:rPr>
              <w:t xml:space="preserve"> APRIL 2024</w:t>
            </w:r>
          </w:p>
        </w:tc>
      </w:tr>
    </w:tbl>
    <w:p w14:paraId="61CB0C2D" w14:textId="77777777" w:rsidR="00395B24" w:rsidRDefault="00395B24">
      <w:pPr>
        <w:pStyle w:val="NormalHeadings"/>
        <w:rPr>
          <w:b w:val="0"/>
        </w:rPr>
      </w:pPr>
    </w:p>
    <w:p w14:paraId="459EF529" w14:textId="77777777" w:rsidR="008D1617" w:rsidRDefault="008D1617">
      <w:pPr>
        <w:pStyle w:val="NormalHeadings"/>
        <w:rPr>
          <w:b w:val="0"/>
        </w:rPr>
      </w:pPr>
    </w:p>
    <w:p w14:paraId="7E30056D" w14:textId="77777777" w:rsidR="00395B24" w:rsidRDefault="002C7385">
      <w:pPr>
        <w:pStyle w:val="NormalHeadings"/>
      </w:pPr>
      <w:r>
        <w:t>THE COURT ORDERS THAT:</w:t>
      </w:r>
    </w:p>
    <w:p w14:paraId="134D1725" w14:textId="77777777" w:rsidR="007F60DF" w:rsidRDefault="007F60DF" w:rsidP="00243E5E">
      <w:pPr>
        <w:pStyle w:val="NormalHeadings"/>
      </w:pPr>
    </w:p>
    <w:p w14:paraId="0F7D9354" w14:textId="3B91FB94" w:rsidR="001A6C52" w:rsidRDefault="001E78FE" w:rsidP="001A6C52">
      <w:pPr>
        <w:pStyle w:val="Order1"/>
      </w:pPr>
      <w:r>
        <w:rPr>
          <w:lang w:eastAsia="en-AU"/>
        </w:rPr>
        <w:t xml:space="preserve">Pursuant to </w:t>
      </w:r>
      <w:r>
        <w:t xml:space="preserve">r 26.01 of the </w:t>
      </w:r>
      <w:r w:rsidRPr="00D31E4D">
        <w:rPr>
          <w:i/>
          <w:iCs/>
        </w:rPr>
        <w:t>Federal Court Rules 2011</w:t>
      </w:r>
      <w:r w:rsidR="0033153A">
        <w:t xml:space="preserve"> (</w:t>
      </w:r>
      <w:proofErr w:type="spellStart"/>
      <w:r w:rsidR="0033153A">
        <w:t>Cth</w:t>
      </w:r>
      <w:proofErr w:type="spellEnd"/>
      <w:r w:rsidR="0033153A">
        <w:t>),</w:t>
      </w:r>
      <w:r w:rsidRPr="00D31E4D">
        <w:t xml:space="preserve"> </w:t>
      </w:r>
      <w:r w:rsidR="0033153A">
        <w:t>t</w:t>
      </w:r>
      <w:r w:rsidR="00A6609D">
        <w:rPr>
          <w:lang w:eastAsia="en-AU"/>
        </w:rPr>
        <w:t xml:space="preserve">he originating application </w:t>
      </w:r>
      <w:r>
        <w:rPr>
          <w:lang w:eastAsia="en-AU"/>
        </w:rPr>
        <w:t>is</w:t>
      </w:r>
      <w:r w:rsidR="00A6609D">
        <w:rPr>
          <w:lang w:eastAsia="en-AU"/>
        </w:rPr>
        <w:t xml:space="preserve"> dismissed in so far as it seeks compensation under s 1317H of the </w:t>
      </w:r>
      <w:r w:rsidR="00A6609D" w:rsidRPr="002E72AC">
        <w:rPr>
          <w:i/>
          <w:iCs/>
          <w:lang w:eastAsia="en-AU"/>
        </w:rPr>
        <w:t>Corporations Act</w:t>
      </w:r>
      <w:r w:rsidR="002E72AC" w:rsidRPr="002E72AC">
        <w:rPr>
          <w:i/>
          <w:iCs/>
          <w:lang w:eastAsia="en-AU"/>
        </w:rPr>
        <w:t xml:space="preserve"> 2001</w:t>
      </w:r>
      <w:r w:rsidR="002E72AC">
        <w:rPr>
          <w:lang w:eastAsia="en-AU"/>
        </w:rPr>
        <w:t xml:space="preserve"> (</w:t>
      </w:r>
      <w:proofErr w:type="spellStart"/>
      <w:r w:rsidR="002E72AC">
        <w:rPr>
          <w:lang w:eastAsia="en-AU"/>
        </w:rPr>
        <w:t>Cth</w:t>
      </w:r>
      <w:proofErr w:type="spellEnd"/>
      <w:r w:rsidR="002E72AC">
        <w:rPr>
          <w:lang w:eastAsia="en-AU"/>
        </w:rPr>
        <w:t>).</w:t>
      </w:r>
    </w:p>
    <w:p w14:paraId="5DDB859B" w14:textId="43E00DCB" w:rsidR="002E72AC" w:rsidRDefault="00D603C3" w:rsidP="001A6C52">
      <w:pPr>
        <w:pStyle w:val="Order1"/>
      </w:pPr>
      <w:r>
        <w:t xml:space="preserve">The applicants’ </w:t>
      </w:r>
      <w:r w:rsidR="0033153A">
        <w:t xml:space="preserve">interlocutory </w:t>
      </w:r>
      <w:r w:rsidR="00484369">
        <w:t xml:space="preserve">application </w:t>
      </w:r>
      <w:r w:rsidR="00600931">
        <w:t>filed</w:t>
      </w:r>
      <w:r w:rsidR="0033153A">
        <w:t xml:space="preserve"> on</w:t>
      </w:r>
      <w:r w:rsidR="00600931">
        <w:t xml:space="preserve"> 24 November 2023 </w:t>
      </w:r>
      <w:r w:rsidR="00484369">
        <w:t xml:space="preserve">for leave to amend their </w:t>
      </w:r>
      <w:r w:rsidR="00600931">
        <w:t xml:space="preserve">Statement of Claim and Reply </w:t>
      </w:r>
      <w:r w:rsidR="0033153A">
        <w:t>is</w:t>
      </w:r>
      <w:r w:rsidR="00600931">
        <w:t xml:space="preserve"> dismissed. </w:t>
      </w:r>
    </w:p>
    <w:p w14:paraId="55AB6A61" w14:textId="34341D05" w:rsidR="0033153A" w:rsidRDefault="0033153A" w:rsidP="001A6C52">
      <w:pPr>
        <w:pStyle w:val="Order1"/>
      </w:pPr>
      <w:r>
        <w:t>The costs of the respondent’s interlocutory application filed on 7 November 2023 and the applicants’ interlocutory application filed on 24 November 2023 are reserved.</w:t>
      </w:r>
    </w:p>
    <w:p w14:paraId="5F89A96C" w14:textId="77777777" w:rsidR="001A6C52" w:rsidRDefault="001A6C52" w:rsidP="001A6C52">
      <w:pPr>
        <w:pStyle w:val="BodyText"/>
      </w:pPr>
    </w:p>
    <w:p w14:paraId="3F357F02" w14:textId="77777777" w:rsidR="00A431E6" w:rsidRDefault="00A431E6" w:rsidP="001A6C52">
      <w:pPr>
        <w:pStyle w:val="BodyText"/>
      </w:pPr>
    </w:p>
    <w:p w14:paraId="0256435A" w14:textId="6C3EF785" w:rsidR="0050309C" w:rsidRDefault="000948C9" w:rsidP="004D53E5">
      <w:pPr>
        <w:pStyle w:val="SingleSpace"/>
      </w:pPr>
      <w:bookmarkStart w:id="19" w:name="OrdersStatement"/>
      <w:r>
        <w:t>Note:</w:t>
      </w:r>
      <w:r>
        <w:tab/>
        <w:t xml:space="preserve">Entry of orders is dealt with in Rule 39.32 of the </w:t>
      </w:r>
      <w:r>
        <w:rPr>
          <w:i/>
        </w:rPr>
        <w:t>Federal Court Rules 2011</w:t>
      </w:r>
      <w:r>
        <w:t>.</w:t>
      </w:r>
      <w:bookmarkEnd w:id="19"/>
    </w:p>
    <w:p w14:paraId="42627C15" w14:textId="77777777" w:rsidR="00E23577" w:rsidRDefault="00E23577" w:rsidP="002B0E91">
      <w:pPr>
        <w:pStyle w:val="BodyText"/>
      </w:pPr>
    </w:p>
    <w:p w14:paraId="573F07CC" w14:textId="77777777" w:rsidR="00395B24" w:rsidRDefault="00395B24">
      <w:pPr>
        <w:pStyle w:val="NormalHeadings"/>
        <w:spacing w:before="240" w:after="120"/>
        <w:rPr>
          <w:b w:val="0"/>
        </w:rPr>
        <w:sectPr w:rsidR="00395B24" w:rsidSect="000E1924">
          <w:headerReference w:type="default" r:id="rId15"/>
          <w:footerReference w:type="default" r:id="rId16"/>
          <w:headerReference w:type="first" r:id="rId17"/>
          <w:footerReference w:type="first" r:id="rId18"/>
          <w:endnotePr>
            <w:numFmt w:val="decimal"/>
          </w:endnotePr>
          <w:pgSz w:w="11907" w:h="16840" w:code="9"/>
          <w:pgMar w:top="1440" w:right="1440" w:bottom="1440" w:left="1440" w:header="851" w:footer="851" w:gutter="0"/>
          <w:pgNumType w:fmt="lowerRoman" w:start="1"/>
          <w:cols w:space="720"/>
          <w:noEndnote/>
          <w:titlePg/>
        </w:sectPr>
      </w:pPr>
    </w:p>
    <w:p w14:paraId="281B099B" w14:textId="77777777" w:rsidR="00484F6D" w:rsidRPr="00045BB7" w:rsidRDefault="00484F6D" w:rsidP="00045BB7">
      <w:pPr>
        <w:pStyle w:val="NormalHeadings"/>
        <w:spacing w:line="480" w:lineRule="auto"/>
        <w:jc w:val="center"/>
        <w:rPr>
          <w:sz w:val="28"/>
          <w:szCs w:val="28"/>
        </w:rPr>
      </w:pPr>
      <w:bookmarkStart w:id="20" w:name="ReasonsPage"/>
      <w:bookmarkEnd w:id="20"/>
      <w:r w:rsidRPr="00045BB7">
        <w:rPr>
          <w:sz w:val="28"/>
          <w:szCs w:val="28"/>
        </w:rPr>
        <w:lastRenderedPageBreak/>
        <w:t>REASONS FOR JUDGMENT</w:t>
      </w:r>
    </w:p>
    <w:p w14:paraId="304C59C0" w14:textId="4B450890" w:rsidR="00694BEB" w:rsidRDefault="00431387" w:rsidP="005E0510">
      <w:pPr>
        <w:pStyle w:val="NormalHeadings"/>
        <w:spacing w:line="360" w:lineRule="auto"/>
        <w:jc w:val="left"/>
        <w:rPr>
          <w:sz w:val="26"/>
          <w:szCs w:val="26"/>
        </w:rPr>
      </w:pPr>
      <w:r>
        <w:rPr>
          <w:sz w:val="26"/>
          <w:szCs w:val="26"/>
        </w:rPr>
        <w:t>KENNETT J:</w:t>
      </w:r>
    </w:p>
    <w:p w14:paraId="4CDB13B9" w14:textId="77777777" w:rsidR="006E5CCD" w:rsidRDefault="006E5CCD" w:rsidP="006E5CCD">
      <w:pPr>
        <w:pStyle w:val="Heading1"/>
      </w:pPr>
      <w:r>
        <w:t>Introduction</w:t>
      </w:r>
    </w:p>
    <w:p w14:paraId="0B908B6F" w14:textId="2E18FF1C" w:rsidR="006E5CCD" w:rsidRDefault="006E5CCD" w:rsidP="006E5CCD">
      <w:pPr>
        <w:pStyle w:val="ParaNumbering"/>
      </w:pPr>
      <w:r>
        <w:t xml:space="preserve">Each of the six applicants in this proceeding seeks the same relief against the respondent, namely equitable compensation and, further or alternatively, an order for compensation under s 1317H of the </w:t>
      </w:r>
      <w:r w:rsidRPr="00D31E4D">
        <w:rPr>
          <w:i/>
          <w:iCs/>
        </w:rPr>
        <w:t>Corporations Act 2001</w:t>
      </w:r>
      <w:r w:rsidRPr="00D31E4D">
        <w:t xml:space="preserve"> (</w:t>
      </w:r>
      <w:proofErr w:type="spellStart"/>
      <w:r w:rsidRPr="00D31E4D">
        <w:t>Cth</w:t>
      </w:r>
      <w:proofErr w:type="spellEnd"/>
      <w:r w:rsidRPr="00D31E4D">
        <w:t>)</w:t>
      </w:r>
      <w:r>
        <w:t xml:space="preserve"> (</w:t>
      </w:r>
      <w:r>
        <w:rPr>
          <w:b/>
          <w:bCs/>
        </w:rPr>
        <w:t>the Corporations Act</w:t>
      </w:r>
      <w:r>
        <w:t>). The claims arise out of the respondent having been a director of each of the applicants and having, it is alleged, been involved in causing them to become involved in schemes</w:t>
      </w:r>
      <w:r w:rsidR="006911B0">
        <w:t xml:space="preserve"> for the evasion of tax by members of his family</w:t>
      </w:r>
      <w:r>
        <w:t xml:space="preserve">. </w:t>
      </w:r>
      <w:proofErr w:type="gramStart"/>
      <w:r>
        <w:t>All of</w:t>
      </w:r>
      <w:proofErr w:type="gramEnd"/>
      <w:r>
        <w:t xml:space="preserve"> the conduct alleged against the respondent took place more than six years before the proceeding was commenced on 3 May 2023.</w:t>
      </w:r>
    </w:p>
    <w:p w14:paraId="4341D207" w14:textId="278B328F" w:rsidR="006E5CCD" w:rsidRDefault="006E5CCD" w:rsidP="006E5CCD">
      <w:pPr>
        <w:pStyle w:val="ParaNumbering"/>
      </w:pPr>
      <w:r>
        <w:t>By his defence, filed on 28 July 2023, the respondent pleads that the claim under s 1317H is time barred by operation of s 1317K of the Corporations Act. By their reply, filed on 14 August 2023, the applicants say that time should be extended in relation to that claim pursuant to s</w:t>
      </w:r>
      <w:r w:rsidR="009E4003">
        <w:t> </w:t>
      </w:r>
      <w:r>
        <w:t>1322(4)(d) of the Corporations Act.</w:t>
      </w:r>
    </w:p>
    <w:p w14:paraId="4F2332EE" w14:textId="77777777" w:rsidR="006E5CCD" w:rsidRDefault="006E5CCD" w:rsidP="006E5CCD">
      <w:pPr>
        <w:pStyle w:val="ParaNumbering"/>
      </w:pPr>
      <w:r>
        <w:t xml:space="preserve">The respondent filed an interlocutory application on 7 November 2023 seeking an order that the claim for statutory compensation under s 1317H be summarily dismissed or, alternatively, that the paragraphs of the Statement of Claim advancing that claim be struck out. These paragraphs of the Statement of Claim are not said to be deficient except to the extent that they advance a claim that cannot succeed. Attention can therefore focus on the prayer seeking summary dismissal of the claim for statutory compensation. This prayer invoked r 26.01 of the </w:t>
      </w:r>
      <w:r w:rsidRPr="00D31E4D">
        <w:rPr>
          <w:i/>
          <w:iCs/>
        </w:rPr>
        <w:t>Federal Court Rules 2011</w:t>
      </w:r>
      <w:r w:rsidRPr="00D31E4D">
        <w:t xml:space="preserve"> (</w:t>
      </w:r>
      <w:proofErr w:type="spellStart"/>
      <w:r w:rsidRPr="00D31E4D">
        <w:t>Cth</w:t>
      </w:r>
      <w:proofErr w:type="spellEnd"/>
      <w:r w:rsidRPr="00D31E4D">
        <w:t>)</w:t>
      </w:r>
      <w:r>
        <w:t xml:space="preserve"> (</w:t>
      </w:r>
      <w:r>
        <w:rPr>
          <w:b/>
          <w:bCs/>
        </w:rPr>
        <w:t>the Rules</w:t>
      </w:r>
      <w:r>
        <w:t xml:space="preserve">); however, reliance was also placed orally (with no objection by the applicants) on s 31A of the </w:t>
      </w:r>
      <w:r w:rsidRPr="00D31E4D">
        <w:rPr>
          <w:i/>
          <w:iCs/>
        </w:rPr>
        <w:t>Federal Court of Australia Act 1976</w:t>
      </w:r>
      <w:r w:rsidRPr="00D31E4D">
        <w:t xml:space="preserve"> (</w:t>
      </w:r>
      <w:proofErr w:type="spellStart"/>
      <w:r w:rsidRPr="00D31E4D">
        <w:t>Cth</w:t>
      </w:r>
      <w:proofErr w:type="spellEnd"/>
      <w:r w:rsidRPr="00D31E4D">
        <w:t>)</w:t>
      </w:r>
      <w:r>
        <w:t>.</w:t>
      </w:r>
    </w:p>
    <w:p w14:paraId="1465ACE1" w14:textId="4FDC21F9" w:rsidR="006E5CCD" w:rsidRDefault="006E5CCD" w:rsidP="006E5CCD">
      <w:pPr>
        <w:pStyle w:val="ParaNumbering"/>
      </w:pPr>
      <w:r>
        <w:t>The substance of the respondent’s argument is that the limitation period in s 1317K is not capable of being extended under s 1322(4</w:t>
      </w:r>
      <w:r w:rsidR="0009648E">
        <w:t>)(d</w:t>
      </w:r>
      <w:r>
        <w:t xml:space="preserve">) and the claim for statutory compensation must therefore fail. </w:t>
      </w:r>
    </w:p>
    <w:p w14:paraId="1BA5F41B" w14:textId="77777777" w:rsidR="006E5CCD" w:rsidRDefault="006E5CCD" w:rsidP="006E5CCD">
      <w:pPr>
        <w:pStyle w:val="ParaNumbering"/>
      </w:pPr>
      <w:r>
        <w:t xml:space="preserve">The respondent’s interlocutory application also seeks an order under r 30.01 of the Rules that the Court hear and determine, as a separate question, whether power exists under s 1322(4)(d) to extend the limitation period in s 1317K. However, this order is sought only “to the extent necessary to determine Orders 1 and 2”; that is, in aid of the application for summary dismissal and/or strike-out. It is apparently not sought to separate the question thus identified from the </w:t>
      </w:r>
      <w:r>
        <w:lastRenderedPageBreak/>
        <w:t>other issues in the trial and obtain a final judgment on that question. Framed in this way, the application appears to misunderstand the role and effect of the procedure provided by r 30.01. It is, in any event, unnecessary. No procedural prelude is required to a decision on the prayers for relief seeking summary judgment or strike-out. These reasons therefore focus, as indicated in the previous paragraph, on the application for summary judgment.</w:t>
      </w:r>
    </w:p>
    <w:p w14:paraId="48926468" w14:textId="509378B5" w:rsidR="006E5CCD" w:rsidRDefault="006E5CCD" w:rsidP="006E5CCD">
      <w:pPr>
        <w:pStyle w:val="ParaNumbering"/>
      </w:pPr>
      <w:r>
        <w:t xml:space="preserve">Also in play is an interlocutory application, filed by the applicants on 24 November 2023, for leave to amend their Statement of Claim and Reply. The proposed amendments relate to issues other than those raised by the respondent’s interlocutory application. The respondent says that leave should not be granted to file an amended pleading containing the claim for statutory compensation because that claim is bad in law, for the reason advanced in his application for summary dismissal. </w:t>
      </w:r>
      <w:r w:rsidR="006911B0">
        <w:t>H</w:t>
      </w:r>
      <w:r>
        <w:t>e makes no further objection to the application to amend.</w:t>
      </w:r>
    </w:p>
    <w:p w14:paraId="106766C8" w14:textId="2BA54915" w:rsidR="00941E8F" w:rsidRDefault="00941E8F" w:rsidP="000948C9">
      <w:pPr>
        <w:pStyle w:val="Heading1"/>
      </w:pPr>
      <w:r>
        <w:t xml:space="preserve">the positions of </w:t>
      </w:r>
      <w:r w:rsidR="00AA0898">
        <w:t>t</w:t>
      </w:r>
      <w:r>
        <w:t>he parties</w:t>
      </w:r>
    </w:p>
    <w:p w14:paraId="6A15F8AE" w14:textId="133B5191" w:rsidR="007773CA" w:rsidRDefault="007773CA" w:rsidP="007773CA">
      <w:pPr>
        <w:pStyle w:val="ParaNumbering"/>
        <w:rPr>
          <w:szCs w:val="24"/>
          <w:lang w:eastAsia="en-AU"/>
        </w:rPr>
      </w:pPr>
      <w:r w:rsidRPr="006B2AD2">
        <w:rPr>
          <w:szCs w:val="24"/>
          <w:lang w:eastAsia="en-AU"/>
        </w:rPr>
        <w:t>The question whether the limitation period in s 1317K is subject to the power of extension in s</w:t>
      </w:r>
      <w:r>
        <w:rPr>
          <w:szCs w:val="24"/>
          <w:lang w:eastAsia="en-AU"/>
        </w:rPr>
        <w:t> </w:t>
      </w:r>
      <w:r w:rsidRPr="006B2AD2">
        <w:rPr>
          <w:szCs w:val="24"/>
          <w:lang w:eastAsia="en-AU"/>
        </w:rPr>
        <w:t xml:space="preserve">1322(4)(d) has been considered in one case: </w:t>
      </w:r>
      <w:proofErr w:type="spellStart"/>
      <w:r w:rsidRPr="00B61F5B">
        <w:rPr>
          <w:i/>
          <w:iCs/>
          <w:szCs w:val="24"/>
          <w:lang w:eastAsia="en-AU"/>
        </w:rPr>
        <w:t>Austructures</w:t>
      </w:r>
      <w:proofErr w:type="spellEnd"/>
      <w:r w:rsidRPr="00B61F5B">
        <w:rPr>
          <w:i/>
          <w:iCs/>
          <w:szCs w:val="24"/>
          <w:lang w:eastAsia="en-AU"/>
        </w:rPr>
        <w:t xml:space="preserve"> Pty Ltd v Makin </w:t>
      </w:r>
      <w:r w:rsidRPr="00B61F5B">
        <w:rPr>
          <w:szCs w:val="24"/>
          <w:lang w:eastAsia="en-AU"/>
        </w:rPr>
        <w:t>[2014] VSC 544; 290 FLR 153</w:t>
      </w:r>
      <w:r>
        <w:rPr>
          <w:szCs w:val="24"/>
          <w:lang w:eastAsia="en-AU"/>
        </w:rPr>
        <w:t xml:space="preserve"> (</w:t>
      </w:r>
      <w:proofErr w:type="spellStart"/>
      <w:r>
        <w:rPr>
          <w:b/>
          <w:bCs/>
          <w:i/>
          <w:iCs/>
          <w:szCs w:val="24"/>
          <w:lang w:eastAsia="en-AU"/>
        </w:rPr>
        <w:t>Austructures</w:t>
      </w:r>
      <w:proofErr w:type="spellEnd"/>
      <w:r>
        <w:rPr>
          <w:szCs w:val="24"/>
          <w:lang w:eastAsia="en-AU"/>
        </w:rPr>
        <w:t>)</w:t>
      </w:r>
      <w:r w:rsidRPr="006B2AD2">
        <w:rPr>
          <w:szCs w:val="24"/>
          <w:lang w:eastAsia="en-AU"/>
        </w:rPr>
        <w:t>.</w:t>
      </w:r>
      <w:r>
        <w:rPr>
          <w:szCs w:val="24"/>
          <w:lang w:eastAsia="en-AU"/>
        </w:rPr>
        <w:t xml:space="preserve"> There, Almond J held that the power in s 1322(4)(d) was not available.</w:t>
      </w:r>
    </w:p>
    <w:p w14:paraId="496CF010" w14:textId="1800CDB7" w:rsidR="009F0517" w:rsidRDefault="00AA0898" w:rsidP="009F0517">
      <w:pPr>
        <w:pStyle w:val="ParaNumbering"/>
        <w:rPr>
          <w:szCs w:val="24"/>
          <w:lang w:eastAsia="en-AU"/>
        </w:rPr>
      </w:pPr>
      <w:r>
        <w:rPr>
          <w:szCs w:val="24"/>
          <w:lang w:eastAsia="en-AU"/>
        </w:rPr>
        <w:t xml:space="preserve">The respondent relies on </w:t>
      </w:r>
      <w:proofErr w:type="spellStart"/>
      <w:r>
        <w:rPr>
          <w:i/>
          <w:iCs/>
          <w:szCs w:val="24"/>
          <w:lang w:eastAsia="en-AU"/>
        </w:rPr>
        <w:t>Austructures</w:t>
      </w:r>
      <w:proofErr w:type="spellEnd"/>
      <w:r>
        <w:rPr>
          <w:szCs w:val="24"/>
          <w:lang w:eastAsia="en-AU"/>
        </w:rPr>
        <w:t xml:space="preserve">, as the only authority directly on point, to argue that there is no viable answer to his reliance on s 1317K and the claim for statutory compensation therefore cannot succeed. The applicants submit that it is at least arguable that </w:t>
      </w:r>
      <w:proofErr w:type="spellStart"/>
      <w:r>
        <w:rPr>
          <w:i/>
          <w:iCs/>
          <w:szCs w:val="24"/>
          <w:lang w:eastAsia="en-AU"/>
        </w:rPr>
        <w:t>Austructures</w:t>
      </w:r>
      <w:proofErr w:type="spellEnd"/>
      <w:r>
        <w:rPr>
          <w:szCs w:val="24"/>
          <w:lang w:eastAsia="en-AU"/>
        </w:rPr>
        <w:t xml:space="preserve"> is wrongly decided.</w:t>
      </w:r>
      <w:r w:rsidR="0032013E">
        <w:rPr>
          <w:szCs w:val="24"/>
          <w:lang w:eastAsia="en-AU"/>
        </w:rPr>
        <w:t xml:space="preserve"> </w:t>
      </w:r>
      <w:r w:rsidR="009F0517">
        <w:rPr>
          <w:szCs w:val="24"/>
          <w:lang w:eastAsia="en-AU"/>
        </w:rPr>
        <w:t>The applicants do not contend that any of the conduct which they claim breached s</w:t>
      </w:r>
      <w:r w:rsidR="00C94469">
        <w:rPr>
          <w:szCs w:val="24"/>
          <w:lang w:eastAsia="en-AU"/>
        </w:rPr>
        <w:t>s</w:t>
      </w:r>
      <w:r w:rsidR="009F0517">
        <w:rPr>
          <w:szCs w:val="24"/>
          <w:lang w:eastAsia="en-AU"/>
        </w:rPr>
        <w:t xml:space="preserve"> 181 or 182 occurred within the period of six years before the proceeding was commenced. The parties therefore agree that the question whether s 1317K applies or not will not be affected by evidence which might be led at the final hearing. Of course, the question whether time should be extended under s 1322(4)(d), if it arises, is likely to be highly fact dependent and might well be affected by findings made about the respondent’s conduct. However, the question whether s 1322(4)(d) is applicable or not is one of pure statutory construction. It thus stands outside the usual rule that issues in relation to the application of limitation periods should be left to trial. The applicants did not suggest that any evidence led at the final hearing </w:t>
      </w:r>
      <w:proofErr w:type="gramStart"/>
      <w:r w:rsidR="009F0517">
        <w:rPr>
          <w:szCs w:val="24"/>
          <w:lang w:eastAsia="en-AU"/>
        </w:rPr>
        <w:t>was capable of affecting</w:t>
      </w:r>
      <w:proofErr w:type="gramEnd"/>
      <w:r w:rsidR="009F0517">
        <w:rPr>
          <w:szCs w:val="24"/>
          <w:lang w:eastAsia="en-AU"/>
        </w:rPr>
        <w:t xml:space="preserve"> the resolution of the issue.</w:t>
      </w:r>
    </w:p>
    <w:p w14:paraId="39FECDD0" w14:textId="4363A649" w:rsidR="00941E8F" w:rsidRDefault="009F0517" w:rsidP="001A48BD">
      <w:pPr>
        <w:pStyle w:val="ParaNumbering"/>
        <w:rPr>
          <w:szCs w:val="24"/>
          <w:lang w:eastAsia="en-AU"/>
        </w:rPr>
      </w:pPr>
      <w:r>
        <w:rPr>
          <w:szCs w:val="24"/>
          <w:lang w:eastAsia="en-AU"/>
        </w:rPr>
        <w:t xml:space="preserve">Another point that is not in dispute is that there is almost complete, if not complete, overlap between the evidence relevant to the statutory compensation claim and that relevant to the claim for equitable compensation. The latter, of course, is not the subject of the respondent’s </w:t>
      </w:r>
      <w:r>
        <w:rPr>
          <w:szCs w:val="24"/>
          <w:lang w:eastAsia="en-AU"/>
        </w:rPr>
        <w:lastRenderedPageBreak/>
        <w:t>interlocutory application and is not directly affected by it. There is an indirect effect, in that the respondent also pleads that the limitation period in s 1317K applies by analogy to defeat the claim in equity. However, the question whether the circumstances of the case make it unconscionable for the respondent to rely on the limitation period for this purpose is clearly likely to depend on evidence led at the final hearing. The respondent therefore does not seek to abbreviate the hearing on the equitable compensation claim by taking any preliminary point, and correspondingly does not suggest that summary dismissal of the statutory compensation claim would result in any significant contraction of the factual issues at trial. It would obviate the need to determine a set of confined questions of statutory construction.</w:t>
      </w:r>
    </w:p>
    <w:p w14:paraId="3D6B8346" w14:textId="66531BD4" w:rsidR="00A51DEC" w:rsidRPr="00B627A1" w:rsidRDefault="00A51DEC" w:rsidP="001A48BD">
      <w:pPr>
        <w:pStyle w:val="ParaNumbering"/>
        <w:rPr>
          <w:szCs w:val="24"/>
          <w:lang w:eastAsia="en-AU"/>
        </w:rPr>
      </w:pPr>
      <w:r w:rsidRPr="00B627A1">
        <w:rPr>
          <w:szCs w:val="24"/>
          <w:lang w:eastAsia="en-AU"/>
        </w:rPr>
        <w:t xml:space="preserve">The respondent referred to </w:t>
      </w:r>
      <w:r w:rsidRPr="00B627A1">
        <w:rPr>
          <w:i/>
          <w:iCs/>
          <w:szCs w:val="24"/>
        </w:rPr>
        <w:t xml:space="preserve">Jobbins v Capel Court Corp Ltd </w:t>
      </w:r>
      <w:r w:rsidRPr="00B627A1">
        <w:rPr>
          <w:szCs w:val="24"/>
        </w:rPr>
        <w:t xml:space="preserve">(1989) 25 FCR 226 at 231 where Davies, Burchett and Hill JJ observed that, where “it is clear that an applicant cannot succeed upon the case pleaded” because a statutory limitations provision is “a complete answer to the claim”, the court “should not merely defer the inevitable”. </w:t>
      </w:r>
      <w:r w:rsidR="00F9080F" w:rsidRPr="00B627A1">
        <w:rPr>
          <w:szCs w:val="24"/>
        </w:rPr>
        <w:t>T</w:t>
      </w:r>
      <w:r w:rsidRPr="00B627A1">
        <w:rPr>
          <w:szCs w:val="24"/>
        </w:rPr>
        <w:t>his observation was made in a case where the application of the limitation provision was regarded as clearly established and as defeating the entirety of the applicant’s claim.</w:t>
      </w:r>
      <w:r w:rsidR="002C0209" w:rsidRPr="00B627A1">
        <w:rPr>
          <w:szCs w:val="24"/>
        </w:rPr>
        <w:t xml:space="preserve"> The second of those features is not present here</w:t>
      </w:r>
      <w:r w:rsidR="000061A8" w:rsidRPr="00B627A1">
        <w:rPr>
          <w:szCs w:val="24"/>
        </w:rPr>
        <w:t xml:space="preserve">. </w:t>
      </w:r>
      <w:r w:rsidR="00167B21" w:rsidRPr="00B627A1">
        <w:rPr>
          <w:szCs w:val="24"/>
        </w:rPr>
        <w:t>However,</w:t>
      </w:r>
      <w:r w:rsidR="00047955" w:rsidRPr="00B627A1">
        <w:rPr>
          <w:szCs w:val="24"/>
        </w:rPr>
        <w:t xml:space="preserve"> because</w:t>
      </w:r>
      <w:r w:rsidR="00167B21" w:rsidRPr="00B627A1">
        <w:rPr>
          <w:szCs w:val="24"/>
        </w:rPr>
        <w:t xml:space="preserve"> </w:t>
      </w:r>
      <w:r w:rsidR="006911B0">
        <w:rPr>
          <w:szCs w:val="24"/>
        </w:rPr>
        <w:t>summary dismissal</w:t>
      </w:r>
      <w:r w:rsidR="00047955" w:rsidRPr="00B627A1">
        <w:rPr>
          <w:szCs w:val="24"/>
        </w:rPr>
        <w:t xml:space="preserve"> is discretionary, distinguishing earlier cases on the exercise of the power does not necessarily take matters far.</w:t>
      </w:r>
    </w:p>
    <w:p w14:paraId="2FD307BB" w14:textId="76D3558F" w:rsidR="00D17B08" w:rsidRPr="00093A1C" w:rsidRDefault="00D17B08" w:rsidP="001A48BD">
      <w:pPr>
        <w:pStyle w:val="ParaNumbering"/>
        <w:rPr>
          <w:szCs w:val="24"/>
          <w:lang w:eastAsia="en-AU"/>
        </w:rPr>
      </w:pPr>
      <w:r>
        <w:rPr>
          <w:lang w:eastAsia="en-AU"/>
        </w:rPr>
        <w:t>There are statements in the cases</w:t>
      </w:r>
      <w:r w:rsidR="00CF7656">
        <w:rPr>
          <w:lang w:eastAsia="en-AU"/>
        </w:rPr>
        <w:t>, upon which the applicant</w:t>
      </w:r>
      <w:r w:rsidR="006F7B9D">
        <w:rPr>
          <w:lang w:eastAsia="en-AU"/>
        </w:rPr>
        <w:t>s</w:t>
      </w:r>
      <w:r w:rsidR="00CF7656">
        <w:rPr>
          <w:lang w:eastAsia="en-AU"/>
        </w:rPr>
        <w:t xml:space="preserve"> relied</w:t>
      </w:r>
      <w:r w:rsidR="00C01029">
        <w:rPr>
          <w:lang w:eastAsia="en-AU"/>
        </w:rPr>
        <w:t>,</w:t>
      </w:r>
      <w:r>
        <w:rPr>
          <w:lang w:eastAsia="en-AU"/>
        </w:rPr>
        <w:t xml:space="preserve"> suggesting that a party resisting a summary dismissal application need only demonstrate an arguable position on a question of law (</w:t>
      </w:r>
      <w:proofErr w:type="spellStart"/>
      <w:r>
        <w:rPr>
          <w:lang w:eastAsia="en-AU"/>
        </w:rPr>
        <w:t>eg</w:t>
      </w:r>
      <w:proofErr w:type="spellEnd"/>
      <w:r>
        <w:rPr>
          <w:lang w:eastAsia="en-AU"/>
        </w:rPr>
        <w:t xml:space="preserve"> </w:t>
      </w:r>
      <w:r w:rsidRPr="00B61F5B">
        <w:rPr>
          <w:rFonts w:ascii="TimesNewRoman,Italic" w:hAnsi="TimesNewRoman,Italic" w:cs="TimesNewRoman,Italic"/>
          <w:i/>
          <w:iCs/>
          <w:lang w:eastAsia="en-AU"/>
        </w:rPr>
        <w:t xml:space="preserve">Nichol v Discovery Africa Ltd </w:t>
      </w:r>
      <w:r w:rsidRPr="00B61F5B">
        <w:rPr>
          <w:rFonts w:ascii="TimesNewRoman" w:hAnsi="TimesNewRoman" w:cs="TimesNewRoman"/>
          <w:lang w:eastAsia="en-AU"/>
        </w:rPr>
        <w:t>[2016] FCAFC 182; 343 ALR 594</w:t>
      </w:r>
      <w:r>
        <w:rPr>
          <w:rFonts w:ascii="TimesNewRoman" w:hAnsi="TimesNewRoman" w:cs="TimesNewRoman"/>
          <w:lang w:eastAsia="en-AU"/>
        </w:rPr>
        <w:t xml:space="preserve"> at [134]). However, </w:t>
      </w:r>
      <w:r w:rsidR="0050349E">
        <w:rPr>
          <w:rFonts w:ascii="TimesNewRoman" w:hAnsi="TimesNewRoman" w:cs="TimesNewRoman"/>
          <w:lang w:eastAsia="en-AU"/>
        </w:rPr>
        <w:t>wh</w:t>
      </w:r>
      <w:r w:rsidR="0050349E" w:rsidRPr="00090B91">
        <w:rPr>
          <w:rFonts w:ascii="TimesNewRoman" w:hAnsi="TimesNewRoman" w:cs="TimesNewRoman"/>
          <w:szCs w:val="24"/>
          <w:lang w:eastAsia="en-AU"/>
        </w:rPr>
        <w:t xml:space="preserve">ile there are many cases where </w:t>
      </w:r>
      <w:r w:rsidR="00251B26" w:rsidRPr="00090B91">
        <w:rPr>
          <w:rFonts w:ascii="TimesNewRoman" w:hAnsi="TimesNewRoman" w:cs="TimesNewRoman"/>
          <w:szCs w:val="24"/>
          <w:lang w:eastAsia="en-AU"/>
        </w:rPr>
        <w:t xml:space="preserve">the preferable decision in the exercise of the Court’s discretion </w:t>
      </w:r>
      <w:r w:rsidR="00625244" w:rsidRPr="00090B91">
        <w:rPr>
          <w:szCs w:val="24"/>
        </w:rPr>
        <w:t>(which must be exercised “sparingly” (</w:t>
      </w:r>
      <w:r w:rsidR="00625244" w:rsidRPr="00090B91">
        <w:rPr>
          <w:i/>
          <w:iCs/>
          <w:szCs w:val="24"/>
        </w:rPr>
        <w:t xml:space="preserve">Karam v </w:t>
      </w:r>
      <w:proofErr w:type="spellStart"/>
      <w:r w:rsidR="00625244" w:rsidRPr="00090B91">
        <w:rPr>
          <w:i/>
          <w:iCs/>
          <w:szCs w:val="24"/>
        </w:rPr>
        <w:t>Palmone</w:t>
      </w:r>
      <w:proofErr w:type="spellEnd"/>
      <w:r w:rsidR="00625244" w:rsidRPr="00090B91">
        <w:rPr>
          <w:i/>
          <w:iCs/>
          <w:szCs w:val="24"/>
        </w:rPr>
        <w:t xml:space="preserve"> Shoes Pty Ltd</w:t>
      </w:r>
      <w:r w:rsidR="00625244" w:rsidRPr="00090B91">
        <w:rPr>
          <w:szCs w:val="24"/>
        </w:rPr>
        <w:t xml:space="preserve"> [2012] VSCA 97 at [28]) and “with caution” (</w:t>
      </w:r>
      <w:r w:rsidR="00625244" w:rsidRPr="00090B91">
        <w:rPr>
          <w:i/>
          <w:iCs/>
          <w:szCs w:val="24"/>
        </w:rPr>
        <w:t>Spencer v Commonwealth</w:t>
      </w:r>
      <w:r w:rsidR="00625244" w:rsidRPr="00090B91">
        <w:rPr>
          <w:szCs w:val="24"/>
        </w:rPr>
        <w:t xml:space="preserve"> [2010] HCA 28; 241 CLR 118 at [24] (French CJ and Gummow J) (</w:t>
      </w:r>
      <w:r w:rsidR="00625244" w:rsidRPr="00090B91">
        <w:rPr>
          <w:b/>
          <w:bCs/>
          <w:i/>
          <w:iCs/>
          <w:szCs w:val="24"/>
        </w:rPr>
        <w:t>Spencer</w:t>
      </w:r>
      <w:r w:rsidR="00625244" w:rsidRPr="00090B91">
        <w:rPr>
          <w:szCs w:val="24"/>
        </w:rPr>
        <w:t>))</w:t>
      </w:r>
      <w:r w:rsidR="00380A4D" w:rsidRPr="00090B91">
        <w:rPr>
          <w:szCs w:val="24"/>
        </w:rPr>
        <w:t>)</w:t>
      </w:r>
      <w:r w:rsidR="00021BEA" w:rsidRPr="00090B91">
        <w:rPr>
          <w:szCs w:val="24"/>
        </w:rPr>
        <w:t xml:space="preserve"> is to defer the resolution of the issue to final </w:t>
      </w:r>
      <w:r w:rsidR="00B53097" w:rsidRPr="00090B91">
        <w:rPr>
          <w:szCs w:val="24"/>
        </w:rPr>
        <w:t>hearing</w:t>
      </w:r>
      <w:r w:rsidR="00380A4D" w:rsidRPr="00090B91">
        <w:rPr>
          <w:szCs w:val="24"/>
        </w:rPr>
        <w:t xml:space="preserve">, </w:t>
      </w:r>
      <w:r w:rsidRPr="00090B91">
        <w:rPr>
          <w:rFonts w:ascii="TimesNewRoman" w:hAnsi="TimesNewRoman" w:cs="TimesNewRoman"/>
          <w:szCs w:val="24"/>
          <w:lang w:eastAsia="en-AU"/>
        </w:rPr>
        <w:t>a pure question of law can</w:t>
      </w:r>
      <w:r w:rsidR="00C92632" w:rsidRPr="00090B91">
        <w:rPr>
          <w:rFonts w:ascii="TimesNewRoman" w:hAnsi="TimesNewRoman" w:cs="TimesNewRoman"/>
          <w:szCs w:val="24"/>
          <w:lang w:eastAsia="en-AU"/>
        </w:rPr>
        <w:t xml:space="preserve"> often</w:t>
      </w:r>
      <w:r w:rsidRPr="00090B91">
        <w:rPr>
          <w:rFonts w:ascii="TimesNewRoman" w:hAnsi="TimesNewRoman" w:cs="TimesNewRoman"/>
          <w:szCs w:val="24"/>
          <w:lang w:eastAsia="en-AU"/>
        </w:rPr>
        <w:t xml:space="preserve"> be decided just as </w:t>
      </w:r>
      <w:r w:rsidR="00C92632" w:rsidRPr="00090B91">
        <w:rPr>
          <w:rFonts w:ascii="TimesNewRoman" w:hAnsi="TimesNewRoman" w:cs="TimesNewRoman"/>
          <w:szCs w:val="24"/>
          <w:lang w:eastAsia="en-AU"/>
        </w:rPr>
        <w:t>conveniently and authoritatively</w:t>
      </w:r>
      <w:r w:rsidRPr="00090B91">
        <w:rPr>
          <w:rFonts w:ascii="TimesNewRoman" w:hAnsi="TimesNewRoman" w:cs="TimesNewRoman"/>
          <w:szCs w:val="24"/>
          <w:lang w:eastAsia="en-AU"/>
        </w:rPr>
        <w:t xml:space="preserve"> on a</w:t>
      </w:r>
      <w:r>
        <w:rPr>
          <w:rFonts w:ascii="TimesNewRoman" w:hAnsi="TimesNewRoman" w:cs="TimesNewRoman"/>
          <w:lang w:eastAsia="en-AU"/>
        </w:rPr>
        <w:t xml:space="preserve"> summary dismissal application as on any other occasion; and an assessment of whether it is “</w:t>
      </w:r>
      <w:r w:rsidRPr="001F13B7">
        <w:t>clear that the applicant cannot succeed</w:t>
      </w:r>
      <w:r>
        <w:t xml:space="preserve">” is therefore, often if not usually, best undertaken after any such question of law has been resolved. </w:t>
      </w:r>
      <w:r w:rsidR="0064320B">
        <w:t xml:space="preserve">The fact that </w:t>
      </w:r>
      <w:r w:rsidR="00526AF3">
        <w:t xml:space="preserve">the arguments on the point are complex and require detailed review of the case law </w:t>
      </w:r>
      <w:r w:rsidR="00F417F2">
        <w:t xml:space="preserve">does not prevent a </w:t>
      </w:r>
      <w:r w:rsidR="00F13CB4">
        <w:t>firm</w:t>
      </w:r>
      <w:r w:rsidR="00F417F2">
        <w:t xml:space="preserve"> </w:t>
      </w:r>
      <w:r w:rsidR="00F13CB4">
        <w:t xml:space="preserve">view as to the correct answer being reached and given effect. </w:t>
      </w:r>
      <w:r>
        <w:t xml:space="preserve">This </w:t>
      </w:r>
      <w:r w:rsidR="00F13CB4">
        <w:t>approach</w:t>
      </w:r>
      <w:r>
        <w:t xml:space="preserve"> is supported by statements of Kirby J in </w:t>
      </w:r>
      <w:r w:rsidRPr="00B61F5B">
        <w:rPr>
          <w:i/>
          <w:iCs/>
        </w:rPr>
        <w:t xml:space="preserve">British American Tobacco v Western Australia </w:t>
      </w:r>
      <w:r w:rsidRPr="00B61F5B">
        <w:t xml:space="preserve">[2003] HCA 47; 217 CLR 30 </w:t>
      </w:r>
      <w:r>
        <w:t xml:space="preserve">at [103] and Gordon J in </w:t>
      </w:r>
      <w:r w:rsidRPr="00B61F5B">
        <w:rPr>
          <w:i/>
          <w:iCs/>
        </w:rPr>
        <w:t>Jefferson Ford Pty Ltd v Ford Motor Company of Australia Ltd</w:t>
      </w:r>
      <w:r w:rsidRPr="00B61F5B">
        <w:t xml:space="preserve"> [2008] FCAFC 60; 167 FCR 372 </w:t>
      </w:r>
      <w:r>
        <w:t xml:space="preserve">at [131] (citing </w:t>
      </w:r>
      <w:r w:rsidRPr="00B61F5B">
        <w:rPr>
          <w:i/>
          <w:iCs/>
        </w:rPr>
        <w:t>General Steel Industries</w:t>
      </w:r>
      <w:r w:rsidRPr="00B61F5B">
        <w:t xml:space="preserve"> </w:t>
      </w:r>
      <w:r w:rsidRPr="00B61F5B">
        <w:rPr>
          <w:i/>
          <w:iCs/>
        </w:rPr>
        <w:t xml:space="preserve">Inc v </w:t>
      </w:r>
      <w:r w:rsidRPr="00B61F5B">
        <w:rPr>
          <w:i/>
          <w:iCs/>
        </w:rPr>
        <w:lastRenderedPageBreak/>
        <w:t xml:space="preserve">Commissioner for Railways (NSW) </w:t>
      </w:r>
      <w:r w:rsidRPr="00B61F5B">
        <w:t>(1964) 112 CLR 125</w:t>
      </w:r>
      <w:r>
        <w:t xml:space="preserve"> at 130). At least in a case of the present kind, it is not apparent that a decision on a contested issue of statutory construction at an interlocutory stage is apt to “stultify the development of the law” (</w:t>
      </w:r>
      <w:proofErr w:type="spellStart"/>
      <w:r>
        <w:t>cf</w:t>
      </w:r>
      <w:proofErr w:type="spellEnd"/>
      <w:r>
        <w:t xml:space="preserve"> </w:t>
      </w:r>
      <w:r>
        <w:rPr>
          <w:i/>
          <w:iCs/>
        </w:rPr>
        <w:t>Spencer</w:t>
      </w:r>
      <w:r>
        <w:t xml:space="preserve"> at [25] (French CJ and Gummow J)).</w:t>
      </w:r>
    </w:p>
    <w:p w14:paraId="15FA1078" w14:textId="5A07E43D" w:rsidR="00000942" w:rsidRPr="002507B7" w:rsidRDefault="00000942" w:rsidP="001A48BD">
      <w:pPr>
        <w:pStyle w:val="ParaNumbering"/>
        <w:rPr>
          <w:szCs w:val="24"/>
          <w:lang w:eastAsia="en-AU"/>
        </w:rPr>
      </w:pPr>
      <w:r>
        <w:t xml:space="preserve">It was submitted for the applicants that a decision on the issue of statutory construction at this stage would be likely to lead to an application for leave to appeal, with potential for fracturing of the proceeding and consequent delay. This is a significant discretionary consideration. However, it is one that properly arises </w:t>
      </w:r>
      <w:proofErr w:type="gramStart"/>
      <w:r>
        <w:t>if and when</w:t>
      </w:r>
      <w:proofErr w:type="gramEnd"/>
      <w:r>
        <w:t xml:space="preserve"> an application for leave to appeal is filed.</w:t>
      </w:r>
    </w:p>
    <w:p w14:paraId="22ECC934" w14:textId="28685469" w:rsidR="002507B7" w:rsidRPr="001A48BD" w:rsidRDefault="008133AF" w:rsidP="001A48BD">
      <w:pPr>
        <w:pStyle w:val="ParaNumbering"/>
        <w:rPr>
          <w:szCs w:val="24"/>
          <w:lang w:eastAsia="en-AU"/>
        </w:rPr>
      </w:pPr>
      <w:r>
        <w:t xml:space="preserve">Because the construction issue </w:t>
      </w:r>
      <w:r w:rsidR="004130C0">
        <w:t xml:space="preserve">does not depend on any evidence that may be adduced at a final hearing, and </w:t>
      </w:r>
      <w:r w:rsidR="00725372">
        <w:t xml:space="preserve">I have heard </w:t>
      </w:r>
      <w:r w:rsidR="00D453A8">
        <w:t xml:space="preserve">able and </w:t>
      </w:r>
      <w:r w:rsidR="00725372">
        <w:t xml:space="preserve">detailed argument (which it would be inefficient to </w:t>
      </w:r>
      <w:r w:rsidR="006E1C79">
        <w:t xml:space="preserve">hear again at the trial), I </w:t>
      </w:r>
      <w:r w:rsidR="0031052E">
        <w:t xml:space="preserve">consider it appropriate to </w:t>
      </w:r>
      <w:r w:rsidR="001D79C6">
        <w:t xml:space="preserve">decide the issue at this stage. The view </w:t>
      </w:r>
      <w:r w:rsidR="00D453A8">
        <w:t xml:space="preserve">to </w:t>
      </w:r>
      <w:r w:rsidR="001D79C6">
        <w:t xml:space="preserve">which I have </w:t>
      </w:r>
      <w:r w:rsidR="00D453A8">
        <w:t xml:space="preserve">come </w:t>
      </w:r>
      <w:r w:rsidR="001D79C6">
        <w:t>leads me to conclude that the statutory compensation claim should be dismissed.</w:t>
      </w:r>
    </w:p>
    <w:p w14:paraId="2F3753E6" w14:textId="2A2CB6A3" w:rsidR="000948C9" w:rsidRDefault="000948C9" w:rsidP="000948C9">
      <w:pPr>
        <w:pStyle w:val="Heading1"/>
      </w:pPr>
      <w:r>
        <w:t>the construction issue</w:t>
      </w:r>
    </w:p>
    <w:p w14:paraId="789A6C67" w14:textId="77777777" w:rsidR="000948C9" w:rsidRDefault="000948C9" w:rsidP="000948C9">
      <w:pPr>
        <w:pStyle w:val="ParaNumbering"/>
      </w:pPr>
      <w:r>
        <w:t xml:space="preserve">The applicants allege contraventions by the respondent of ss 181 and 182 of the Corporations Act, which impose duties on directors and other officers. </w:t>
      </w:r>
    </w:p>
    <w:p w14:paraId="7CBC498D" w14:textId="3A3BC693" w:rsidR="008F4087" w:rsidRDefault="000948C9" w:rsidP="000948C9">
      <w:pPr>
        <w:pStyle w:val="ParaNumbering"/>
      </w:pPr>
      <w:r>
        <w:t xml:space="preserve">Part 9.4B of the Corporations Act deals with “Civil consequences of contravening civil penalty provisions”. </w:t>
      </w:r>
      <w:r w:rsidR="008F4087">
        <w:t xml:space="preserve">The relevant version of Part 9.4B for present purposes is that which was in force prior to the commencement of </w:t>
      </w:r>
      <w:r w:rsidR="005438C7">
        <w:t xml:space="preserve">amendments made by Schedule 1 to </w:t>
      </w:r>
      <w:r w:rsidR="008F4087">
        <w:t xml:space="preserve">the </w:t>
      </w:r>
      <w:r w:rsidR="00C94000" w:rsidRPr="00143F4C">
        <w:rPr>
          <w:i/>
          <w:iCs/>
        </w:rPr>
        <w:t>Treasury Laws Amendment (Strengthening Corporate and Financial Sector Penalties) Act 2019</w:t>
      </w:r>
      <w:r w:rsidR="00BC4935" w:rsidRPr="00143F4C">
        <w:t xml:space="preserve"> (</w:t>
      </w:r>
      <w:proofErr w:type="spellStart"/>
      <w:r w:rsidR="00BC4935" w:rsidRPr="00143F4C">
        <w:t>Cth</w:t>
      </w:r>
      <w:proofErr w:type="spellEnd"/>
      <w:r w:rsidR="00BC4935" w:rsidRPr="00143F4C">
        <w:t>)</w:t>
      </w:r>
      <w:r w:rsidR="00BC4935">
        <w:t xml:space="preserve">: see </w:t>
      </w:r>
      <w:r w:rsidR="005438C7">
        <w:t>ss</w:t>
      </w:r>
      <w:r w:rsidR="00BD07E1">
        <w:t> </w:t>
      </w:r>
      <w:r w:rsidR="005438C7">
        <w:t>1655</w:t>
      </w:r>
      <w:r w:rsidR="00B50957">
        <w:t xml:space="preserve"> and 1657 of the Corporations Act.</w:t>
      </w:r>
      <w:r w:rsidR="0097619E">
        <w:t xml:space="preserve"> (The important provisions remain in the same form, but </w:t>
      </w:r>
      <w:r w:rsidR="00200F4E">
        <w:t>other provisions have been added and Division headings have been inserted.)</w:t>
      </w:r>
    </w:p>
    <w:p w14:paraId="573DA10E" w14:textId="49D1EB25" w:rsidR="000948C9" w:rsidRDefault="000948C9" w:rsidP="000948C9">
      <w:pPr>
        <w:pStyle w:val="ParaNumbering"/>
      </w:pPr>
      <w:r>
        <w:t>Under s 1317</w:t>
      </w:r>
      <w:proofErr w:type="gramStart"/>
      <w:r>
        <w:t>E</w:t>
      </w:r>
      <w:r w:rsidR="00820C8E">
        <w:t>(</w:t>
      </w:r>
      <w:proofErr w:type="gramEnd"/>
      <w:r w:rsidR="00820C8E">
        <w:t>1)</w:t>
      </w:r>
      <w:r>
        <w:t xml:space="preserve">, if a Court </w:t>
      </w:r>
      <w:r w:rsidR="00820C8E">
        <w:t>wa</w:t>
      </w:r>
      <w:r>
        <w:t>s satisfied that a person ha</w:t>
      </w:r>
      <w:r w:rsidR="00820C8E">
        <w:t>d</w:t>
      </w:r>
      <w:r>
        <w:t xml:space="preserve"> contravened </w:t>
      </w:r>
      <w:r w:rsidR="000F78D9">
        <w:t>one of the provisions referred to therein (defined as the “</w:t>
      </w:r>
      <w:r w:rsidR="000F78D9" w:rsidRPr="00000942">
        <w:rPr>
          <w:b/>
          <w:bCs/>
        </w:rPr>
        <w:t>civil penalty provisions</w:t>
      </w:r>
      <w:r w:rsidR="000F78D9">
        <w:t>”)</w:t>
      </w:r>
      <w:r w:rsidR="00F01884">
        <w:t xml:space="preserve">, </w:t>
      </w:r>
      <w:r>
        <w:t>it</w:t>
      </w:r>
      <w:r w:rsidR="00F01884">
        <w:t xml:space="preserve"> was</w:t>
      </w:r>
      <w:r>
        <w:t xml:space="preserve"> </w:t>
      </w:r>
      <w:r w:rsidR="00820C8E">
        <w:t>required to</w:t>
      </w:r>
      <w:r>
        <w:t xml:space="preserve"> make a declaration to that effect (a </w:t>
      </w:r>
      <w:r w:rsidRPr="006F6C4E">
        <w:t>“</w:t>
      </w:r>
      <w:r>
        <w:rPr>
          <w:b/>
          <w:bCs/>
        </w:rPr>
        <w:t>declaration of contravention</w:t>
      </w:r>
      <w:r w:rsidRPr="00C440B0">
        <w:t>”</w:t>
      </w:r>
      <w:r>
        <w:t>). Sections 181</w:t>
      </w:r>
      <w:r w:rsidR="00F01884">
        <w:t xml:space="preserve"> and 182</w:t>
      </w:r>
      <w:r>
        <w:t xml:space="preserve"> </w:t>
      </w:r>
      <w:r w:rsidR="00F01884">
        <w:t>we</w:t>
      </w:r>
      <w:r>
        <w:t xml:space="preserve">re </w:t>
      </w:r>
      <w:r w:rsidR="00F01884">
        <w:t>in s</w:t>
      </w:r>
      <w:r w:rsidR="00BD56F2">
        <w:t> </w:t>
      </w:r>
      <w:r w:rsidR="00F01884">
        <w:t>1317</w:t>
      </w:r>
      <w:proofErr w:type="gramStart"/>
      <w:r w:rsidR="00F01884">
        <w:t>E(</w:t>
      </w:r>
      <w:proofErr w:type="gramEnd"/>
      <w:r w:rsidR="00F01884">
        <w:t>1)</w:t>
      </w:r>
      <w:r>
        <w:t>.</w:t>
      </w:r>
    </w:p>
    <w:p w14:paraId="725876D1" w14:textId="4521312D" w:rsidR="000948C9" w:rsidRDefault="000948C9" w:rsidP="000948C9">
      <w:pPr>
        <w:pStyle w:val="ParaNumbering"/>
      </w:pPr>
      <w:r>
        <w:t>Section 1317G empower</w:t>
      </w:r>
      <w:r w:rsidR="00F01884">
        <w:t>ed</w:t>
      </w:r>
      <w:r>
        <w:t xml:space="preserve"> the Court to make an order that a person pay a pecuniary penalty to the Commonwealth, in relation to the contravention of a civil penalty provision (a </w:t>
      </w:r>
      <w:r w:rsidRPr="006E7460">
        <w:t>“</w:t>
      </w:r>
      <w:r>
        <w:rPr>
          <w:b/>
          <w:bCs/>
        </w:rPr>
        <w:t>pecuniary penalty order</w:t>
      </w:r>
      <w:r w:rsidRPr="006E7460">
        <w:t>”</w:t>
      </w:r>
      <w:r>
        <w:t>), if a declaration of contravention of that provision ha</w:t>
      </w:r>
      <w:r w:rsidR="00DB231F">
        <w:t>d</w:t>
      </w:r>
      <w:r>
        <w:t xml:space="preserve"> been made. A declaration of contravention </w:t>
      </w:r>
      <w:r w:rsidR="00616318">
        <w:t>could</w:t>
      </w:r>
      <w:r>
        <w:t xml:space="preserve"> also provide a basis for the Court to order a person to refund fees that were charged in breach of s 962P of the </w:t>
      </w:r>
      <w:r w:rsidR="004358E4">
        <w:t xml:space="preserve">Corporations </w:t>
      </w:r>
      <w:r>
        <w:t>Act (s 1317GA).</w:t>
      </w:r>
    </w:p>
    <w:p w14:paraId="46D31CDF" w14:textId="0677774E" w:rsidR="000948C9" w:rsidRDefault="000948C9" w:rsidP="000948C9">
      <w:pPr>
        <w:pStyle w:val="ParaNumbering"/>
      </w:pPr>
      <w:r>
        <w:lastRenderedPageBreak/>
        <w:t>Section 1317H provide</w:t>
      </w:r>
      <w:r w:rsidR="00616318">
        <w:t>d</w:t>
      </w:r>
      <w:r>
        <w:t xml:space="preserve"> for “</w:t>
      </w:r>
      <w:r w:rsidRPr="00585944">
        <w:rPr>
          <w:b/>
          <w:bCs/>
        </w:rPr>
        <w:t>compensation orders</w:t>
      </w:r>
      <w:r w:rsidRPr="00781597">
        <w:t>”</w:t>
      </w:r>
      <w:r>
        <w:t>. It provide</w:t>
      </w:r>
      <w:r w:rsidR="00616318">
        <w:t>d</w:t>
      </w:r>
      <w:r>
        <w:t xml:space="preserve"> (relevantly for present purposes) as follows.</w:t>
      </w:r>
    </w:p>
    <w:p w14:paraId="2C07750C" w14:textId="77777777" w:rsidR="000948C9" w:rsidRPr="00267CB1" w:rsidRDefault="000948C9" w:rsidP="000948C9">
      <w:pPr>
        <w:pStyle w:val="Quote1"/>
        <w:rPr>
          <w:b/>
          <w:bCs/>
          <w:lang w:eastAsia="en-AU"/>
        </w:rPr>
      </w:pPr>
      <w:r w:rsidRPr="00267CB1">
        <w:rPr>
          <w:b/>
          <w:bCs/>
          <w:lang w:eastAsia="en-AU"/>
        </w:rPr>
        <w:t>1317H Compensation orders—corporation/scheme civil penalty provisions</w:t>
      </w:r>
    </w:p>
    <w:p w14:paraId="352225A0" w14:textId="77777777" w:rsidR="000948C9" w:rsidRDefault="000948C9" w:rsidP="000948C9">
      <w:pPr>
        <w:pStyle w:val="Quote1"/>
        <w:rPr>
          <w:rFonts w:ascii="TimesNewRomanPS-ItalicMT" w:hAnsi="TimesNewRomanPS-ItalicMT" w:cs="TimesNewRomanPS-ItalicMT"/>
          <w:i/>
          <w:iCs/>
          <w:szCs w:val="22"/>
          <w:lang w:eastAsia="en-AU"/>
        </w:rPr>
      </w:pPr>
      <w:r>
        <w:rPr>
          <w:rFonts w:ascii="TimesNewRomanPS-ItalicMT" w:hAnsi="TimesNewRomanPS-ItalicMT" w:cs="TimesNewRomanPS-ItalicMT"/>
          <w:i/>
          <w:iCs/>
          <w:szCs w:val="22"/>
          <w:lang w:eastAsia="en-AU"/>
        </w:rPr>
        <w:t xml:space="preserve">Compensation for damage </w:t>
      </w:r>
      <w:proofErr w:type="gramStart"/>
      <w:r>
        <w:rPr>
          <w:rFonts w:ascii="TimesNewRomanPS-ItalicMT" w:hAnsi="TimesNewRomanPS-ItalicMT" w:cs="TimesNewRomanPS-ItalicMT"/>
          <w:i/>
          <w:iCs/>
          <w:szCs w:val="22"/>
          <w:lang w:eastAsia="en-AU"/>
        </w:rPr>
        <w:t>suffered</w:t>
      </w:r>
      <w:proofErr w:type="gramEnd"/>
    </w:p>
    <w:p w14:paraId="7A0A43E9" w14:textId="43C48F5A" w:rsidR="000948C9" w:rsidRDefault="000948C9" w:rsidP="00781597">
      <w:pPr>
        <w:pStyle w:val="Quote1"/>
        <w:ind w:left="1440" w:hanging="703"/>
        <w:rPr>
          <w:rFonts w:ascii="TimesNewRomanPSMT" w:hAnsi="TimesNewRomanPSMT" w:cs="TimesNewRomanPSMT"/>
          <w:szCs w:val="22"/>
          <w:lang w:eastAsia="en-AU"/>
        </w:rPr>
      </w:pPr>
      <w:r>
        <w:rPr>
          <w:rFonts w:ascii="TimesNewRomanPSMT" w:hAnsi="TimesNewRomanPSMT" w:cs="TimesNewRomanPSMT"/>
          <w:szCs w:val="22"/>
          <w:lang w:eastAsia="en-AU"/>
        </w:rPr>
        <w:t xml:space="preserve">(1) </w:t>
      </w:r>
      <w:r w:rsidR="00781597">
        <w:rPr>
          <w:rFonts w:ascii="TimesNewRomanPSMT" w:hAnsi="TimesNewRomanPSMT" w:cs="TimesNewRomanPSMT"/>
          <w:szCs w:val="22"/>
          <w:lang w:eastAsia="en-AU"/>
        </w:rPr>
        <w:tab/>
      </w:r>
      <w:r>
        <w:rPr>
          <w:rFonts w:ascii="TimesNewRomanPSMT" w:hAnsi="TimesNewRomanPSMT" w:cs="TimesNewRomanPSMT"/>
          <w:szCs w:val="22"/>
          <w:lang w:eastAsia="en-AU"/>
        </w:rPr>
        <w:t xml:space="preserve">A Court may order a person to compensate a corporation, registered scheme or notified foreign passport fund for damage suffered by the corporation, </w:t>
      </w:r>
      <w:proofErr w:type="gramStart"/>
      <w:r>
        <w:rPr>
          <w:rFonts w:ascii="TimesNewRomanPSMT" w:hAnsi="TimesNewRomanPSMT" w:cs="TimesNewRomanPSMT"/>
          <w:szCs w:val="22"/>
          <w:lang w:eastAsia="en-AU"/>
        </w:rPr>
        <w:t>scheme</w:t>
      </w:r>
      <w:proofErr w:type="gramEnd"/>
      <w:r>
        <w:rPr>
          <w:rFonts w:ascii="TimesNewRomanPSMT" w:hAnsi="TimesNewRomanPSMT" w:cs="TimesNewRomanPSMT"/>
          <w:szCs w:val="22"/>
          <w:lang w:eastAsia="en-AU"/>
        </w:rPr>
        <w:t xml:space="preserve"> or fund if:</w:t>
      </w:r>
    </w:p>
    <w:p w14:paraId="76DC4B36" w14:textId="28BB27D5" w:rsidR="000948C9" w:rsidRDefault="000948C9" w:rsidP="00781597">
      <w:pPr>
        <w:pStyle w:val="Quote2"/>
        <w:ind w:left="2160" w:hanging="720"/>
        <w:rPr>
          <w:lang w:eastAsia="en-AU"/>
        </w:rPr>
      </w:pPr>
      <w:r>
        <w:rPr>
          <w:lang w:eastAsia="en-AU"/>
        </w:rPr>
        <w:t xml:space="preserve">(a) </w:t>
      </w:r>
      <w:r w:rsidR="00781597">
        <w:rPr>
          <w:lang w:eastAsia="en-AU"/>
        </w:rPr>
        <w:tab/>
      </w:r>
      <w:r>
        <w:rPr>
          <w:lang w:eastAsia="en-AU"/>
        </w:rPr>
        <w:t xml:space="preserve">the person has contravened a corporation/scheme civil penalty provision in relation to the corporation, </w:t>
      </w:r>
      <w:proofErr w:type="gramStart"/>
      <w:r>
        <w:rPr>
          <w:lang w:eastAsia="en-AU"/>
        </w:rPr>
        <w:t>scheme</w:t>
      </w:r>
      <w:proofErr w:type="gramEnd"/>
      <w:r>
        <w:rPr>
          <w:lang w:eastAsia="en-AU"/>
        </w:rPr>
        <w:t xml:space="preserve"> or fund; and</w:t>
      </w:r>
    </w:p>
    <w:p w14:paraId="7C3E4356" w14:textId="6625079C" w:rsidR="000948C9" w:rsidRDefault="000948C9" w:rsidP="00781597">
      <w:pPr>
        <w:pStyle w:val="Quote2"/>
        <w:rPr>
          <w:lang w:eastAsia="en-AU"/>
        </w:rPr>
      </w:pPr>
      <w:r>
        <w:rPr>
          <w:lang w:eastAsia="en-AU"/>
        </w:rPr>
        <w:t xml:space="preserve">(b) </w:t>
      </w:r>
      <w:r w:rsidR="00781597">
        <w:rPr>
          <w:lang w:eastAsia="en-AU"/>
        </w:rPr>
        <w:tab/>
      </w:r>
      <w:r>
        <w:rPr>
          <w:lang w:eastAsia="en-AU"/>
        </w:rPr>
        <w:t>the damage resulted from the contravention.</w:t>
      </w:r>
    </w:p>
    <w:p w14:paraId="7BAA29A8" w14:textId="77777777" w:rsidR="000948C9" w:rsidRDefault="000948C9" w:rsidP="00781597">
      <w:pPr>
        <w:pStyle w:val="Quote1"/>
        <w:ind w:firstLine="703"/>
        <w:rPr>
          <w:rFonts w:ascii="TimesNewRomanPSMT" w:hAnsi="TimesNewRomanPSMT" w:cs="TimesNewRomanPSMT"/>
          <w:szCs w:val="22"/>
          <w:lang w:eastAsia="en-AU"/>
        </w:rPr>
      </w:pPr>
      <w:r>
        <w:rPr>
          <w:rFonts w:ascii="TimesNewRomanPSMT" w:hAnsi="TimesNewRomanPSMT" w:cs="TimesNewRomanPSMT"/>
          <w:szCs w:val="22"/>
          <w:lang w:eastAsia="en-AU"/>
        </w:rPr>
        <w:t>The order must specify the amount of the compensation.</w:t>
      </w:r>
    </w:p>
    <w:p w14:paraId="4A0D1621" w14:textId="029EA2B5" w:rsidR="000948C9" w:rsidRPr="00267CB1" w:rsidRDefault="000948C9" w:rsidP="00D55B55">
      <w:pPr>
        <w:pStyle w:val="Quote1"/>
        <w:ind w:left="2160" w:hanging="720"/>
        <w:rPr>
          <w:lang w:eastAsia="en-AU"/>
        </w:rPr>
      </w:pPr>
      <w:r>
        <w:rPr>
          <w:lang w:eastAsia="en-AU"/>
        </w:rPr>
        <w:t xml:space="preserve">Note: </w:t>
      </w:r>
      <w:r w:rsidR="00D55B55">
        <w:rPr>
          <w:lang w:eastAsia="en-AU"/>
        </w:rPr>
        <w:tab/>
      </w:r>
      <w:r>
        <w:rPr>
          <w:lang w:eastAsia="en-AU"/>
        </w:rPr>
        <w:t xml:space="preserve">An order may be made under this subsection </w:t>
      </w:r>
      <w:proofErr w:type="gramStart"/>
      <w:r>
        <w:rPr>
          <w:lang w:eastAsia="en-AU"/>
        </w:rPr>
        <w:t>whether or not</w:t>
      </w:r>
      <w:proofErr w:type="gramEnd"/>
      <w:r>
        <w:rPr>
          <w:lang w:eastAsia="en-AU"/>
        </w:rPr>
        <w:t xml:space="preserve"> a declaration of contravention has been made under section 1317E.</w:t>
      </w:r>
    </w:p>
    <w:p w14:paraId="7316D2D1" w14:textId="77777777" w:rsidR="000948C9" w:rsidRPr="00267CB1" w:rsidRDefault="000948C9" w:rsidP="000948C9">
      <w:pPr>
        <w:pStyle w:val="Quote1"/>
        <w:rPr>
          <w:sz w:val="24"/>
        </w:rPr>
      </w:pPr>
      <w:r>
        <w:rPr>
          <w:rFonts w:ascii="TimesNewRomanPSMT" w:hAnsi="TimesNewRomanPSMT" w:cs="TimesNewRomanPSMT"/>
          <w:sz w:val="18"/>
          <w:szCs w:val="18"/>
          <w:lang w:eastAsia="en-AU"/>
        </w:rPr>
        <w:t>…</w:t>
      </w:r>
    </w:p>
    <w:p w14:paraId="4DA28C2B" w14:textId="3C0CA255" w:rsidR="000948C9" w:rsidRDefault="000948C9" w:rsidP="000948C9">
      <w:pPr>
        <w:pStyle w:val="Quote1"/>
        <w:rPr>
          <w:rFonts w:ascii="TimesNewRomanPSMT" w:hAnsi="TimesNewRomanPSMT" w:cs="TimesNewRomanPSMT"/>
          <w:szCs w:val="22"/>
          <w:lang w:eastAsia="en-AU"/>
        </w:rPr>
      </w:pPr>
      <w:r>
        <w:rPr>
          <w:rFonts w:ascii="TimesNewRomanPSMT" w:hAnsi="TimesNewRomanPSMT" w:cs="TimesNewRomanPSMT"/>
          <w:szCs w:val="22"/>
          <w:lang w:eastAsia="en-AU"/>
        </w:rPr>
        <w:t xml:space="preserve">(5) </w:t>
      </w:r>
      <w:r w:rsidR="00781597">
        <w:rPr>
          <w:rFonts w:ascii="TimesNewRomanPSMT" w:hAnsi="TimesNewRomanPSMT" w:cs="TimesNewRomanPSMT"/>
          <w:szCs w:val="22"/>
          <w:lang w:eastAsia="en-AU"/>
        </w:rPr>
        <w:tab/>
      </w:r>
      <w:r>
        <w:rPr>
          <w:rFonts w:ascii="TimesNewRomanPSMT" w:hAnsi="TimesNewRomanPSMT" w:cs="TimesNewRomanPSMT"/>
          <w:szCs w:val="22"/>
          <w:lang w:eastAsia="en-AU"/>
        </w:rPr>
        <w:t>A compensation order may be enforced as if it were a judgment of the Court.</w:t>
      </w:r>
    </w:p>
    <w:p w14:paraId="6FE82B5B" w14:textId="0914169C" w:rsidR="000948C9" w:rsidRDefault="000948C9" w:rsidP="000948C9">
      <w:pPr>
        <w:pStyle w:val="ParaNumbering"/>
        <w:rPr>
          <w:lang w:eastAsia="en-AU"/>
        </w:rPr>
      </w:pPr>
      <w:r>
        <w:rPr>
          <w:lang w:eastAsia="en-AU"/>
        </w:rPr>
        <w:t xml:space="preserve">Sections 1317HA </w:t>
      </w:r>
      <w:r w:rsidR="00C67111">
        <w:rPr>
          <w:lang w:eastAsia="en-AU"/>
        </w:rPr>
        <w:t>and</w:t>
      </w:r>
      <w:r>
        <w:rPr>
          <w:lang w:eastAsia="en-AU"/>
        </w:rPr>
        <w:t xml:space="preserve"> 1317H</w:t>
      </w:r>
      <w:r w:rsidR="00C67111">
        <w:rPr>
          <w:lang w:eastAsia="en-AU"/>
        </w:rPr>
        <w:t>B</w:t>
      </w:r>
      <w:r>
        <w:rPr>
          <w:lang w:eastAsia="en-AU"/>
        </w:rPr>
        <w:t xml:space="preserve"> provide</w:t>
      </w:r>
      <w:r w:rsidR="00C67111">
        <w:rPr>
          <w:lang w:eastAsia="en-AU"/>
        </w:rPr>
        <w:t>d</w:t>
      </w:r>
      <w:r>
        <w:rPr>
          <w:lang w:eastAsia="en-AU"/>
        </w:rPr>
        <w:t xml:space="preserve"> for compensation orders in favour of specific classes of person, in circumstances not relevant here.</w:t>
      </w:r>
    </w:p>
    <w:p w14:paraId="3D9528FD" w14:textId="23D0D0BA" w:rsidR="000948C9" w:rsidRDefault="000948C9" w:rsidP="000948C9">
      <w:pPr>
        <w:pStyle w:val="ParaNumbering"/>
        <w:rPr>
          <w:lang w:eastAsia="en-AU"/>
        </w:rPr>
      </w:pPr>
      <w:r>
        <w:rPr>
          <w:lang w:eastAsia="en-AU"/>
        </w:rPr>
        <w:t>Section 131</w:t>
      </w:r>
      <w:r w:rsidR="006030AE">
        <w:rPr>
          <w:lang w:eastAsia="en-AU"/>
        </w:rPr>
        <w:t>7</w:t>
      </w:r>
      <w:r>
        <w:rPr>
          <w:lang w:eastAsia="en-AU"/>
        </w:rPr>
        <w:t>J specifie</w:t>
      </w:r>
      <w:r w:rsidR="001459FE">
        <w:rPr>
          <w:lang w:eastAsia="en-AU"/>
        </w:rPr>
        <w:t>d</w:t>
      </w:r>
      <w:r>
        <w:rPr>
          <w:lang w:eastAsia="en-AU"/>
        </w:rPr>
        <w:t xml:space="preserve"> who </w:t>
      </w:r>
      <w:r w:rsidR="001459FE">
        <w:rPr>
          <w:lang w:eastAsia="en-AU"/>
        </w:rPr>
        <w:t>might</w:t>
      </w:r>
      <w:r>
        <w:rPr>
          <w:lang w:eastAsia="en-AU"/>
        </w:rPr>
        <w:t xml:space="preserve"> apply for a declaration of contravention or an order of a kind provided for in the sections mentioned above. Relevantly:</w:t>
      </w:r>
    </w:p>
    <w:p w14:paraId="1E523B31" w14:textId="2769D22F" w:rsidR="000948C9" w:rsidRDefault="000948C9" w:rsidP="000948C9">
      <w:pPr>
        <w:pStyle w:val="ListNo1alt"/>
        <w:numPr>
          <w:ilvl w:val="0"/>
          <w:numId w:val="23"/>
        </w:numPr>
        <w:rPr>
          <w:lang w:eastAsia="en-AU"/>
        </w:rPr>
      </w:pPr>
      <w:r>
        <w:rPr>
          <w:lang w:eastAsia="en-AU"/>
        </w:rPr>
        <w:t xml:space="preserve">a declaration of contravention </w:t>
      </w:r>
      <w:r w:rsidR="001459FE">
        <w:rPr>
          <w:lang w:eastAsia="en-AU"/>
        </w:rPr>
        <w:t>might</w:t>
      </w:r>
      <w:r>
        <w:rPr>
          <w:lang w:eastAsia="en-AU"/>
        </w:rPr>
        <w:t xml:space="preserve"> be applied for by </w:t>
      </w:r>
      <w:r w:rsidR="00F95A07">
        <w:rPr>
          <w:lang w:eastAsia="en-AU"/>
        </w:rPr>
        <w:t xml:space="preserve">the </w:t>
      </w:r>
      <w:r>
        <w:rPr>
          <w:lang w:eastAsia="en-AU"/>
        </w:rPr>
        <w:t>A</w:t>
      </w:r>
      <w:r w:rsidR="00F95A07">
        <w:rPr>
          <w:lang w:eastAsia="en-AU"/>
        </w:rPr>
        <w:t xml:space="preserve">ustralian </w:t>
      </w:r>
      <w:r>
        <w:rPr>
          <w:lang w:eastAsia="en-AU"/>
        </w:rPr>
        <w:t>S</w:t>
      </w:r>
      <w:r w:rsidR="00F95A07">
        <w:rPr>
          <w:lang w:eastAsia="en-AU"/>
        </w:rPr>
        <w:t xml:space="preserve">ecurities and </w:t>
      </w:r>
      <w:r>
        <w:rPr>
          <w:lang w:eastAsia="en-AU"/>
        </w:rPr>
        <w:t>I</w:t>
      </w:r>
      <w:r w:rsidR="00F95A07">
        <w:rPr>
          <w:lang w:eastAsia="en-AU"/>
        </w:rPr>
        <w:t xml:space="preserve">nvestments </w:t>
      </w:r>
      <w:r>
        <w:rPr>
          <w:lang w:eastAsia="en-AU"/>
        </w:rPr>
        <w:t>C</w:t>
      </w:r>
      <w:r w:rsidR="00F95A07">
        <w:rPr>
          <w:lang w:eastAsia="en-AU"/>
        </w:rPr>
        <w:t>ommission (</w:t>
      </w:r>
      <w:r w:rsidR="00F95A07" w:rsidRPr="00F95A07">
        <w:rPr>
          <w:b/>
          <w:bCs/>
          <w:lang w:eastAsia="en-AU"/>
        </w:rPr>
        <w:t>ASIC</w:t>
      </w:r>
      <w:r w:rsidR="00F95A07">
        <w:rPr>
          <w:lang w:eastAsia="en-AU"/>
        </w:rPr>
        <w:t>)</w:t>
      </w:r>
      <w:r>
        <w:rPr>
          <w:lang w:eastAsia="en-AU"/>
        </w:rPr>
        <w:t xml:space="preserve"> (s 1317</w:t>
      </w:r>
      <w:proofErr w:type="gramStart"/>
      <w:r>
        <w:rPr>
          <w:lang w:eastAsia="en-AU"/>
        </w:rPr>
        <w:t>J(</w:t>
      </w:r>
      <w:proofErr w:type="gramEnd"/>
      <w:r>
        <w:rPr>
          <w:lang w:eastAsia="en-AU"/>
        </w:rPr>
        <w:t>1));</w:t>
      </w:r>
    </w:p>
    <w:p w14:paraId="53B59301" w14:textId="64140EFF" w:rsidR="000948C9" w:rsidRDefault="000948C9" w:rsidP="000948C9">
      <w:pPr>
        <w:pStyle w:val="ListNo1alt"/>
        <w:numPr>
          <w:ilvl w:val="0"/>
          <w:numId w:val="23"/>
        </w:numPr>
        <w:rPr>
          <w:lang w:eastAsia="en-AU"/>
        </w:rPr>
      </w:pPr>
      <w:r>
        <w:rPr>
          <w:lang w:eastAsia="en-AU"/>
        </w:rPr>
        <w:t xml:space="preserve">a pecuniary penalty order </w:t>
      </w:r>
      <w:r w:rsidR="001459FE">
        <w:rPr>
          <w:lang w:eastAsia="en-AU"/>
        </w:rPr>
        <w:t>might</w:t>
      </w:r>
      <w:r>
        <w:rPr>
          <w:lang w:eastAsia="en-AU"/>
        </w:rPr>
        <w:t xml:space="preserve"> be applied for by ASIC (s 1317</w:t>
      </w:r>
      <w:proofErr w:type="gramStart"/>
      <w:r>
        <w:rPr>
          <w:lang w:eastAsia="en-AU"/>
        </w:rPr>
        <w:t>J(</w:t>
      </w:r>
      <w:proofErr w:type="gramEnd"/>
      <w:r>
        <w:rPr>
          <w:lang w:eastAsia="en-AU"/>
        </w:rPr>
        <w:t>1))</w:t>
      </w:r>
    </w:p>
    <w:p w14:paraId="77D55CC9" w14:textId="1C5572AE" w:rsidR="000948C9" w:rsidRPr="00F90404" w:rsidRDefault="000948C9" w:rsidP="000948C9">
      <w:pPr>
        <w:pStyle w:val="ListNo1alt"/>
        <w:numPr>
          <w:ilvl w:val="0"/>
          <w:numId w:val="23"/>
        </w:numPr>
        <w:rPr>
          <w:szCs w:val="24"/>
          <w:lang w:eastAsia="en-AU"/>
        </w:rPr>
      </w:pPr>
      <w:r w:rsidRPr="00F90404">
        <w:rPr>
          <w:szCs w:val="24"/>
          <w:lang w:eastAsia="en-AU"/>
        </w:rPr>
        <w:t>a compensation order in favour of a corporation (</w:t>
      </w:r>
      <w:proofErr w:type="spellStart"/>
      <w:r w:rsidRPr="00F90404">
        <w:rPr>
          <w:szCs w:val="24"/>
          <w:lang w:eastAsia="en-AU"/>
        </w:rPr>
        <w:t>ie</w:t>
      </w:r>
      <w:proofErr w:type="spellEnd"/>
      <w:r w:rsidRPr="00F90404">
        <w:rPr>
          <w:szCs w:val="24"/>
          <w:lang w:eastAsia="en-AU"/>
        </w:rPr>
        <w:t xml:space="preserve">, under s 1317H) </w:t>
      </w:r>
      <w:r w:rsidR="001459FE">
        <w:rPr>
          <w:szCs w:val="24"/>
          <w:lang w:eastAsia="en-AU"/>
        </w:rPr>
        <w:t>might</w:t>
      </w:r>
      <w:r w:rsidRPr="00F90404">
        <w:rPr>
          <w:szCs w:val="24"/>
          <w:lang w:eastAsia="en-AU"/>
        </w:rPr>
        <w:t xml:space="preserve"> be applied for by ASIC (s 1317</w:t>
      </w:r>
      <w:proofErr w:type="gramStart"/>
      <w:r w:rsidRPr="00F90404">
        <w:rPr>
          <w:szCs w:val="24"/>
          <w:lang w:eastAsia="en-AU"/>
        </w:rPr>
        <w:t>J(</w:t>
      </w:r>
      <w:proofErr w:type="gramEnd"/>
      <w:r w:rsidRPr="00F90404">
        <w:rPr>
          <w:szCs w:val="24"/>
          <w:lang w:eastAsia="en-AU"/>
        </w:rPr>
        <w:t>1)) or by “the corporation” (s 1317J(2)); and</w:t>
      </w:r>
    </w:p>
    <w:p w14:paraId="4F55798A" w14:textId="510DB78C" w:rsidR="000948C9" w:rsidRDefault="000948C9" w:rsidP="000948C9">
      <w:pPr>
        <w:pStyle w:val="ListNo1alt"/>
        <w:numPr>
          <w:ilvl w:val="0"/>
          <w:numId w:val="23"/>
        </w:numPr>
        <w:rPr>
          <w:szCs w:val="24"/>
          <w:lang w:eastAsia="en-AU"/>
        </w:rPr>
      </w:pPr>
      <w:r w:rsidRPr="00F90404">
        <w:rPr>
          <w:szCs w:val="24"/>
          <w:lang w:eastAsia="en-AU"/>
        </w:rPr>
        <w:t>no other person m</w:t>
      </w:r>
      <w:r>
        <w:rPr>
          <w:szCs w:val="24"/>
          <w:lang w:eastAsia="en-AU"/>
        </w:rPr>
        <w:t>ay apply for an order of one of these kinds</w:t>
      </w:r>
      <w:r w:rsidR="001459FE">
        <w:rPr>
          <w:szCs w:val="24"/>
          <w:lang w:eastAsia="en-AU"/>
        </w:rPr>
        <w:t xml:space="preserve"> (s 131</w:t>
      </w:r>
      <w:r w:rsidR="00DD2DC3">
        <w:rPr>
          <w:szCs w:val="24"/>
          <w:lang w:eastAsia="en-AU"/>
        </w:rPr>
        <w:t>7</w:t>
      </w:r>
      <w:proofErr w:type="gramStart"/>
      <w:r w:rsidR="001459FE">
        <w:rPr>
          <w:szCs w:val="24"/>
          <w:lang w:eastAsia="en-AU"/>
        </w:rPr>
        <w:t>J(</w:t>
      </w:r>
      <w:proofErr w:type="gramEnd"/>
      <w:r w:rsidR="001459FE">
        <w:rPr>
          <w:szCs w:val="24"/>
          <w:lang w:eastAsia="en-AU"/>
        </w:rPr>
        <w:t>4))</w:t>
      </w:r>
      <w:r>
        <w:rPr>
          <w:szCs w:val="24"/>
          <w:lang w:eastAsia="en-AU"/>
        </w:rPr>
        <w:t>.</w:t>
      </w:r>
    </w:p>
    <w:p w14:paraId="1D2479FA" w14:textId="3396DE62" w:rsidR="000948C9" w:rsidRDefault="000948C9" w:rsidP="000948C9">
      <w:pPr>
        <w:pStyle w:val="ParaNumbering"/>
        <w:rPr>
          <w:lang w:eastAsia="en-AU"/>
        </w:rPr>
      </w:pPr>
      <w:r>
        <w:rPr>
          <w:lang w:eastAsia="en-AU"/>
        </w:rPr>
        <w:t xml:space="preserve">Section 1317K </w:t>
      </w:r>
      <w:r w:rsidR="001459FE">
        <w:rPr>
          <w:lang w:eastAsia="en-AU"/>
        </w:rPr>
        <w:t>imposed</w:t>
      </w:r>
      <w:r>
        <w:rPr>
          <w:lang w:eastAsia="en-AU"/>
        </w:rPr>
        <w:t xml:space="preserve"> a limitation period in respect of all such applications. It </w:t>
      </w:r>
      <w:r w:rsidR="001459FE">
        <w:rPr>
          <w:lang w:eastAsia="en-AU"/>
        </w:rPr>
        <w:t>wa</w:t>
      </w:r>
      <w:r>
        <w:rPr>
          <w:lang w:eastAsia="en-AU"/>
        </w:rPr>
        <w:t>s as follows.</w:t>
      </w:r>
    </w:p>
    <w:p w14:paraId="1B68334E" w14:textId="0BEFE2FB" w:rsidR="000948C9" w:rsidRPr="007B78EB" w:rsidRDefault="000948C9" w:rsidP="000948C9">
      <w:pPr>
        <w:pStyle w:val="Quote1"/>
        <w:rPr>
          <w:b/>
          <w:bCs/>
          <w:lang w:eastAsia="en-AU"/>
        </w:rPr>
      </w:pPr>
      <w:r w:rsidRPr="007B78EB">
        <w:rPr>
          <w:b/>
          <w:bCs/>
          <w:lang w:eastAsia="en-AU"/>
        </w:rPr>
        <w:t xml:space="preserve">1317K </w:t>
      </w:r>
      <w:r w:rsidR="00FC4763">
        <w:rPr>
          <w:b/>
          <w:bCs/>
          <w:lang w:eastAsia="en-AU"/>
        </w:rPr>
        <w:tab/>
      </w:r>
      <w:r w:rsidRPr="007B78EB">
        <w:rPr>
          <w:b/>
          <w:bCs/>
          <w:lang w:eastAsia="en-AU"/>
        </w:rPr>
        <w:t>Time limit for application for a declaration or order</w:t>
      </w:r>
    </w:p>
    <w:p w14:paraId="0784F5C1" w14:textId="77777777" w:rsidR="000948C9" w:rsidRDefault="000948C9" w:rsidP="000948C9">
      <w:pPr>
        <w:pStyle w:val="Quote1"/>
        <w:rPr>
          <w:rFonts w:ascii="TimesNewRomanPSMT" w:hAnsi="TimesNewRomanPSMT" w:cs="TimesNewRomanPSMT"/>
          <w:szCs w:val="22"/>
          <w:lang w:eastAsia="en-AU"/>
        </w:rPr>
      </w:pPr>
      <w:r>
        <w:rPr>
          <w:rFonts w:ascii="TimesNewRomanPSMT" w:hAnsi="TimesNewRomanPSMT" w:cs="TimesNewRomanPSMT"/>
          <w:szCs w:val="22"/>
          <w:lang w:eastAsia="en-AU"/>
        </w:rPr>
        <w:t>Proceedings for a declaration of contravention, a pecuniary penalty order, or a compensation order, may be started no later than 6 years after the contravention.</w:t>
      </w:r>
    </w:p>
    <w:p w14:paraId="12D4AC5B" w14:textId="4DCEE5D7" w:rsidR="000948C9" w:rsidRDefault="000948C9" w:rsidP="000948C9">
      <w:pPr>
        <w:pStyle w:val="ParaNumbering"/>
        <w:rPr>
          <w:lang w:eastAsia="en-AU"/>
        </w:rPr>
      </w:pPr>
      <w:r>
        <w:rPr>
          <w:lang w:eastAsia="en-AU"/>
        </w:rPr>
        <w:t xml:space="preserve">There </w:t>
      </w:r>
      <w:r w:rsidR="001459FE">
        <w:rPr>
          <w:lang w:eastAsia="en-AU"/>
        </w:rPr>
        <w:t>wa</w:t>
      </w:r>
      <w:r>
        <w:rPr>
          <w:lang w:eastAsia="en-AU"/>
        </w:rPr>
        <w:t>s no provision in Part 9.4B for the period specified in s 1317K to be extended.</w:t>
      </w:r>
    </w:p>
    <w:p w14:paraId="03E4DE3A" w14:textId="13C94833" w:rsidR="000948C9" w:rsidRDefault="000948C9" w:rsidP="000948C9">
      <w:pPr>
        <w:pStyle w:val="ParaNumbering"/>
        <w:rPr>
          <w:lang w:eastAsia="en-AU"/>
        </w:rPr>
      </w:pPr>
      <w:r>
        <w:rPr>
          <w:lang w:eastAsia="en-AU"/>
        </w:rPr>
        <w:t xml:space="preserve">Section 1322 is in Part 9.5 of the Corporations Act. It is headed “Irregularities” and contains a range of provisions confirming that procedural irregularities in relation to (for example) the </w:t>
      </w:r>
      <w:r>
        <w:rPr>
          <w:lang w:eastAsia="en-AU"/>
        </w:rPr>
        <w:lastRenderedPageBreak/>
        <w:t>commencement of proceedings and the convening of meetings do not invalidate those things. Of present relevance is s 1322(4)(d), which provides</w:t>
      </w:r>
      <w:r w:rsidR="009F7E66">
        <w:rPr>
          <w:lang w:eastAsia="en-AU"/>
        </w:rPr>
        <w:t xml:space="preserve"> (and provided at</w:t>
      </w:r>
      <w:r w:rsidR="00170811">
        <w:rPr>
          <w:lang w:eastAsia="en-AU"/>
        </w:rPr>
        <w:t xml:space="preserve"> all</w:t>
      </w:r>
      <w:r w:rsidR="009F7E66">
        <w:rPr>
          <w:lang w:eastAsia="en-AU"/>
        </w:rPr>
        <w:t xml:space="preserve"> relevant times)</w:t>
      </w:r>
      <w:r>
        <w:rPr>
          <w:lang w:eastAsia="en-AU"/>
        </w:rPr>
        <w:t xml:space="preserve"> as follows.</w:t>
      </w:r>
    </w:p>
    <w:p w14:paraId="7E2E0F43" w14:textId="0C56774E" w:rsidR="000948C9" w:rsidRDefault="000948C9" w:rsidP="00170811">
      <w:pPr>
        <w:pStyle w:val="Quote1"/>
        <w:ind w:left="1440" w:hanging="703"/>
        <w:rPr>
          <w:lang w:eastAsia="en-AU"/>
        </w:rPr>
      </w:pPr>
      <w:r>
        <w:rPr>
          <w:lang w:eastAsia="en-AU"/>
        </w:rPr>
        <w:t xml:space="preserve">(4) </w:t>
      </w:r>
      <w:r w:rsidR="00170811">
        <w:rPr>
          <w:lang w:eastAsia="en-AU"/>
        </w:rPr>
        <w:tab/>
      </w:r>
      <w:r>
        <w:rPr>
          <w:lang w:eastAsia="en-AU"/>
        </w:rPr>
        <w:t>Subject to the following provisions of this section but without limiting the generality of any other provision of this Act, the Court may, on application by any interested person, make all or any of the following orders, either unconditionally or subject to such conditions as the Court imposes:</w:t>
      </w:r>
    </w:p>
    <w:p w14:paraId="480C8662" w14:textId="77777777" w:rsidR="000948C9" w:rsidRPr="00D15FE8" w:rsidRDefault="000948C9" w:rsidP="000948C9">
      <w:pPr>
        <w:pStyle w:val="Quote1"/>
        <w:rPr>
          <w:lang w:eastAsia="en-AU"/>
        </w:rPr>
      </w:pPr>
      <w:r>
        <w:rPr>
          <w:lang w:eastAsia="en-AU"/>
        </w:rPr>
        <w:t>…</w:t>
      </w:r>
    </w:p>
    <w:p w14:paraId="238C3FFC" w14:textId="031A0AAA" w:rsidR="000948C9" w:rsidRPr="00D15FE8" w:rsidRDefault="000948C9" w:rsidP="00170811">
      <w:pPr>
        <w:pStyle w:val="Quote2"/>
        <w:ind w:left="2160" w:hanging="720"/>
        <w:rPr>
          <w:sz w:val="24"/>
          <w:lang w:eastAsia="en-AU"/>
        </w:rPr>
      </w:pPr>
      <w:r w:rsidRPr="00D15FE8">
        <w:rPr>
          <w:lang w:eastAsia="en-AU"/>
        </w:rPr>
        <w:t xml:space="preserve">(d) </w:t>
      </w:r>
      <w:r w:rsidR="00170811">
        <w:rPr>
          <w:lang w:eastAsia="en-AU"/>
        </w:rPr>
        <w:tab/>
      </w:r>
      <w:r w:rsidRPr="00D15FE8">
        <w:rPr>
          <w:lang w:eastAsia="en-AU"/>
        </w:rPr>
        <w:t>an order extending the period for doing any act, matter or thing or instituting or taking</w:t>
      </w:r>
      <w:r>
        <w:rPr>
          <w:lang w:eastAsia="en-AU"/>
        </w:rPr>
        <w:t xml:space="preserve"> any </w:t>
      </w:r>
      <w:r w:rsidRPr="00D15FE8">
        <w:rPr>
          <w:lang w:eastAsia="en-AU"/>
        </w:rPr>
        <w:t xml:space="preserve">proceeding under this Act or in relation to a corporation (including an order extending a period where the period concerned ended before the application for the order was made) or abridging the period for doing such an act, matter or thing or instituting or taking such a </w:t>
      </w:r>
      <w:proofErr w:type="gramStart"/>
      <w:r w:rsidRPr="00D15FE8">
        <w:rPr>
          <w:lang w:eastAsia="en-AU"/>
        </w:rPr>
        <w:t>proceeding;</w:t>
      </w:r>
      <w:proofErr w:type="gramEnd"/>
    </w:p>
    <w:p w14:paraId="567F6CFA" w14:textId="77777777" w:rsidR="000948C9" w:rsidRDefault="000948C9" w:rsidP="00170811">
      <w:pPr>
        <w:pStyle w:val="Quote1"/>
        <w:ind w:firstLine="703"/>
        <w:rPr>
          <w:lang w:eastAsia="en-AU"/>
        </w:rPr>
      </w:pPr>
      <w:r>
        <w:rPr>
          <w:lang w:eastAsia="en-AU"/>
        </w:rPr>
        <w:t>and may make such consequential or ancillary orders as the Court thinks fit.</w:t>
      </w:r>
    </w:p>
    <w:p w14:paraId="7C1BD770" w14:textId="4A75248C" w:rsidR="00CD1346" w:rsidRDefault="000948C9" w:rsidP="000948C9">
      <w:pPr>
        <w:pStyle w:val="Heading1"/>
      </w:pPr>
      <w:r>
        <w:t>analysis</w:t>
      </w:r>
    </w:p>
    <w:p w14:paraId="62F783EE" w14:textId="0EDCE889" w:rsidR="00C97615" w:rsidRDefault="00C97615" w:rsidP="00C97615">
      <w:pPr>
        <w:pStyle w:val="Heading2"/>
      </w:pPr>
      <w:r>
        <w:t>Earlier cases</w:t>
      </w:r>
    </w:p>
    <w:p w14:paraId="4A45E363" w14:textId="2CBD4E10" w:rsidR="000948C9" w:rsidRDefault="000948C9" w:rsidP="000948C9">
      <w:pPr>
        <w:pStyle w:val="ParaNumbering"/>
      </w:pPr>
      <w:r>
        <w:t xml:space="preserve">In </w:t>
      </w:r>
      <w:proofErr w:type="spellStart"/>
      <w:r>
        <w:rPr>
          <w:i/>
          <w:iCs/>
        </w:rPr>
        <w:t>Austructures</w:t>
      </w:r>
      <w:proofErr w:type="spellEnd"/>
      <w:r>
        <w:t>, Almond J was taken to a line of cases on the interaction between s 1322(4)(d) and limitation provisions in the Corporations Act. It is useful to approach the issue by reference to those cases and the provisions that they considered.</w:t>
      </w:r>
    </w:p>
    <w:p w14:paraId="296F9A06" w14:textId="4A4B0801" w:rsidR="000948C9" w:rsidRDefault="000948C9" w:rsidP="000948C9">
      <w:pPr>
        <w:pStyle w:val="ParaNumbering"/>
        <w:rPr>
          <w:rFonts w:ascii="TimesNewRoman" w:hAnsi="TimesNewRoman" w:cs="TimesNewRoman"/>
          <w:lang w:eastAsia="en-AU"/>
        </w:rPr>
      </w:pPr>
      <w:r w:rsidRPr="000948C9">
        <w:rPr>
          <w:i/>
          <w:iCs/>
          <w:lang w:eastAsia="en-AU"/>
        </w:rPr>
        <w:t>David Grant &amp; Co Pty Ltd v Westpac Banking Corporation</w:t>
      </w:r>
      <w:r>
        <w:rPr>
          <w:lang w:eastAsia="en-AU"/>
        </w:rPr>
        <w:t xml:space="preserve"> </w:t>
      </w:r>
      <w:r>
        <w:rPr>
          <w:rFonts w:ascii="TimesNewRoman" w:hAnsi="TimesNewRoman" w:cs="TimesNewRoman"/>
          <w:lang w:eastAsia="en-AU"/>
        </w:rPr>
        <w:t>(1995) 184 CLR 265 (</w:t>
      </w:r>
      <w:r w:rsidRPr="000948C9">
        <w:rPr>
          <w:rFonts w:ascii="TimesNewRoman,BoldItalic" w:hAnsi="TimesNewRoman,BoldItalic" w:cs="TimesNewRoman,BoldItalic"/>
          <w:b/>
          <w:bCs/>
          <w:i/>
          <w:iCs/>
          <w:lang w:eastAsia="en-AU"/>
        </w:rPr>
        <w:t>David Grant</w:t>
      </w:r>
      <w:r>
        <w:rPr>
          <w:rFonts w:ascii="TimesNewRoman" w:hAnsi="TimesNewRoman" w:cs="TimesNewRoman"/>
          <w:lang w:eastAsia="en-AU"/>
        </w:rPr>
        <w:t xml:space="preserve">) concerned s 1322(4)(d) of the </w:t>
      </w:r>
      <w:r w:rsidRPr="00B03749">
        <w:rPr>
          <w:rFonts w:ascii="TimesNewRoman" w:hAnsi="TimesNewRoman" w:cs="TimesNewRoman"/>
          <w:i/>
          <w:iCs/>
          <w:lang w:eastAsia="en-AU"/>
        </w:rPr>
        <w:t>Corporations Law</w:t>
      </w:r>
      <w:r w:rsidRPr="00B03749">
        <w:rPr>
          <w:rFonts w:ascii="TimesNewRoman" w:hAnsi="TimesNewRoman" w:cs="TimesNewRoman"/>
          <w:lang w:eastAsia="en-AU"/>
        </w:rPr>
        <w:t xml:space="preserve"> (Vic)</w:t>
      </w:r>
      <w:r w:rsidR="00CD7328">
        <w:rPr>
          <w:rFonts w:ascii="TimesNewRoman" w:hAnsi="TimesNewRoman" w:cs="TimesNewRoman"/>
          <w:lang w:eastAsia="en-AU"/>
        </w:rPr>
        <w:t xml:space="preserve"> (</w:t>
      </w:r>
      <w:r w:rsidR="00CD7328">
        <w:rPr>
          <w:rFonts w:ascii="TimesNewRoman" w:hAnsi="TimesNewRoman" w:cs="TimesNewRoman"/>
          <w:b/>
          <w:bCs/>
          <w:lang w:eastAsia="en-AU"/>
        </w:rPr>
        <w:t>the Corporations Law</w:t>
      </w:r>
      <w:r w:rsidR="00CD7328">
        <w:rPr>
          <w:rFonts w:ascii="TimesNewRoman" w:hAnsi="TimesNewRoman" w:cs="TimesNewRoman"/>
          <w:lang w:eastAsia="en-AU"/>
        </w:rPr>
        <w:t>)</w:t>
      </w:r>
      <w:r>
        <w:rPr>
          <w:rFonts w:ascii="TimesNewRoman" w:hAnsi="TimesNewRoman" w:cs="TimesNewRoman"/>
          <w:lang w:eastAsia="en-AU"/>
        </w:rPr>
        <w:t xml:space="preserve">, which was not materially different to the current s 1322(4)(d). </w:t>
      </w:r>
      <w:r w:rsidRPr="007D7E05">
        <w:rPr>
          <w:rFonts w:ascii="TimesNewRoman" w:hAnsi="TimesNewRoman" w:cs="TimesNewRoman"/>
          <w:lang w:eastAsia="en-AU"/>
        </w:rPr>
        <w:t xml:space="preserve">The provision had been part of the uniform </w:t>
      </w:r>
      <w:proofErr w:type="gramStart"/>
      <w:r w:rsidRPr="007D7E05">
        <w:rPr>
          <w:rFonts w:ascii="TimesNewRoman" w:hAnsi="TimesNewRoman" w:cs="TimesNewRoman"/>
          <w:lang w:eastAsia="en-AU"/>
        </w:rPr>
        <w:t>companies</w:t>
      </w:r>
      <w:proofErr w:type="gramEnd"/>
      <w:r w:rsidRPr="007D7E05">
        <w:rPr>
          <w:rFonts w:ascii="TimesNewRoman" w:hAnsi="TimesNewRoman" w:cs="TimesNewRoman"/>
          <w:lang w:eastAsia="en-AU"/>
        </w:rPr>
        <w:t xml:space="preserve"> legislation in Australia </w:t>
      </w:r>
      <w:r w:rsidR="009C4744" w:rsidRPr="007D7E05">
        <w:rPr>
          <w:rFonts w:ascii="TimesNewRoman" w:hAnsi="TimesNewRoman" w:cs="TimesNewRoman"/>
          <w:lang w:eastAsia="en-AU"/>
        </w:rPr>
        <w:t>since 1</w:t>
      </w:r>
      <w:r w:rsidR="00EB40FA" w:rsidRPr="007D7E05">
        <w:rPr>
          <w:rFonts w:ascii="TimesNewRoman" w:hAnsi="TimesNewRoman" w:cs="TimesNewRoman"/>
          <w:lang w:eastAsia="en-AU"/>
        </w:rPr>
        <w:t>990</w:t>
      </w:r>
      <w:r w:rsidRPr="007D7E05">
        <w:rPr>
          <w:rFonts w:ascii="TimesNewRoman" w:hAnsi="TimesNewRoman" w:cs="TimesNewRoman"/>
          <w:lang w:eastAsia="en-AU"/>
        </w:rPr>
        <w:t xml:space="preserve">. </w:t>
      </w:r>
      <w:r>
        <w:rPr>
          <w:rFonts w:ascii="TimesNewRoman" w:hAnsi="TimesNewRoman" w:cs="TimesNewRoman"/>
          <w:lang w:eastAsia="en-AU"/>
        </w:rPr>
        <w:t xml:space="preserve">The issue was whether s 1322(4)(d) authorised an extension of the time provided in s 459G of the </w:t>
      </w:r>
      <w:r w:rsidR="00CD7328">
        <w:rPr>
          <w:rFonts w:ascii="TimesNewRoman" w:hAnsi="TimesNewRoman" w:cs="TimesNewRoman"/>
          <w:lang w:eastAsia="en-AU"/>
        </w:rPr>
        <w:t>Corporations Law</w:t>
      </w:r>
      <w:r>
        <w:rPr>
          <w:rFonts w:ascii="TimesNewRoman" w:hAnsi="TimesNewRoman" w:cs="TimesNewRoman"/>
          <w:lang w:eastAsia="en-AU"/>
        </w:rPr>
        <w:t xml:space="preserve"> for a company to apply for an order setting aside a statutory demand that had been served on it. Section 459</w:t>
      </w:r>
      <w:proofErr w:type="gramStart"/>
      <w:r>
        <w:rPr>
          <w:rFonts w:ascii="TimesNewRoman" w:hAnsi="TimesNewRoman" w:cs="TimesNewRoman"/>
          <w:lang w:eastAsia="en-AU"/>
        </w:rPr>
        <w:t>G(</w:t>
      </w:r>
      <w:proofErr w:type="gramEnd"/>
      <w:r>
        <w:rPr>
          <w:rFonts w:ascii="TimesNewRoman" w:hAnsi="TimesNewRoman" w:cs="TimesNewRoman"/>
          <w:lang w:eastAsia="en-AU"/>
        </w:rPr>
        <w:t>2) provided that an application “</w:t>
      </w:r>
      <w:r w:rsidRPr="009E3E39">
        <w:rPr>
          <w:rFonts w:ascii="TimesNewRoman" w:hAnsi="TimesNewRoman" w:cs="TimesNewRoman"/>
          <w:i/>
          <w:iCs/>
          <w:lang w:eastAsia="en-AU"/>
        </w:rPr>
        <w:t>may only be made</w:t>
      </w:r>
      <w:r>
        <w:rPr>
          <w:rFonts w:ascii="TimesNewRoman" w:hAnsi="TimesNewRoman" w:cs="TimesNewRoman"/>
          <w:lang w:eastAsia="en-AU"/>
        </w:rPr>
        <w:t xml:space="preserve"> within 21 days after the demand is so served”</w:t>
      </w:r>
      <w:r w:rsidR="00CD7328">
        <w:rPr>
          <w:rFonts w:ascii="TimesNewRoman" w:hAnsi="TimesNewRoman" w:cs="TimesNewRoman"/>
          <w:lang w:eastAsia="en-AU"/>
        </w:rPr>
        <w:t xml:space="preserve"> (emphasis added)</w:t>
      </w:r>
      <w:r w:rsidR="009E3E39">
        <w:rPr>
          <w:rFonts w:ascii="TimesNewRoman" w:hAnsi="TimesNewRoman" w:cs="TimesNewRoman"/>
          <w:lang w:eastAsia="en-AU"/>
        </w:rPr>
        <w:t>. Section 459</w:t>
      </w:r>
      <w:proofErr w:type="gramStart"/>
      <w:r w:rsidR="009E3E39">
        <w:rPr>
          <w:rFonts w:ascii="TimesNewRoman" w:hAnsi="TimesNewRoman" w:cs="TimesNewRoman"/>
          <w:lang w:eastAsia="en-AU"/>
        </w:rPr>
        <w:t>G(</w:t>
      </w:r>
      <w:proofErr w:type="gramEnd"/>
      <w:r w:rsidR="009E3E39">
        <w:rPr>
          <w:rFonts w:ascii="TimesNewRoman" w:hAnsi="TimesNewRoman" w:cs="TimesNewRoman"/>
          <w:lang w:eastAsia="en-AU"/>
        </w:rPr>
        <w:t>3) reinforced the stringency of the time limit by providing that an application was made in accordance with the section “only if” an affidavit was also filed and served “within those 21 days”.</w:t>
      </w:r>
    </w:p>
    <w:p w14:paraId="77BA1562" w14:textId="0B4020AE" w:rsidR="009E3E39" w:rsidRPr="009E3E39" w:rsidRDefault="009E3E39" w:rsidP="000948C9">
      <w:pPr>
        <w:pStyle w:val="ParaNumbering"/>
        <w:rPr>
          <w:rFonts w:ascii="TimesNewRoman" w:hAnsi="TimesNewRoman" w:cs="TimesNewRoman"/>
          <w:lang w:eastAsia="en-AU"/>
        </w:rPr>
      </w:pPr>
      <w:r w:rsidRPr="009E3E39">
        <w:rPr>
          <w:lang w:eastAsia="en-AU"/>
        </w:rPr>
        <w:t>Gummow J, with who</w:t>
      </w:r>
      <w:r>
        <w:rPr>
          <w:lang w:eastAsia="en-AU"/>
        </w:rPr>
        <w:t xml:space="preserve">m the other Justices agreed, held that s 1322(4) did not allow the extension of the </w:t>
      </w:r>
      <w:proofErr w:type="gramStart"/>
      <w:r>
        <w:rPr>
          <w:lang w:eastAsia="en-AU"/>
        </w:rPr>
        <w:t>21 day</w:t>
      </w:r>
      <w:proofErr w:type="gramEnd"/>
      <w:r>
        <w:rPr>
          <w:lang w:eastAsia="en-AU"/>
        </w:rPr>
        <w:t xml:space="preserve"> period. The following points were important in his Honour’s reasoning.</w:t>
      </w:r>
    </w:p>
    <w:p w14:paraId="4843AC78" w14:textId="62CBF007" w:rsidR="009E3E39" w:rsidRDefault="009E3E39" w:rsidP="009E3E39">
      <w:pPr>
        <w:pStyle w:val="ListNo1alt"/>
        <w:numPr>
          <w:ilvl w:val="0"/>
          <w:numId w:val="29"/>
        </w:numPr>
        <w:rPr>
          <w:lang w:eastAsia="en-AU"/>
        </w:rPr>
      </w:pPr>
      <w:r>
        <w:rPr>
          <w:lang w:eastAsia="en-AU"/>
        </w:rPr>
        <w:t xml:space="preserve">Section 459G was a later and more specific provision. His Honour thus drew support </w:t>
      </w:r>
      <w:r w:rsidR="00CD7328">
        <w:rPr>
          <w:lang w:eastAsia="en-AU"/>
        </w:rPr>
        <w:t xml:space="preserve">(at 276) </w:t>
      </w:r>
      <w:r>
        <w:rPr>
          <w:lang w:eastAsia="en-AU"/>
        </w:rPr>
        <w:t xml:space="preserve">from the principle stated in </w:t>
      </w:r>
      <w:r>
        <w:rPr>
          <w:i/>
          <w:iCs/>
          <w:lang w:eastAsia="en-AU"/>
        </w:rPr>
        <w:t xml:space="preserve">Anthony Hordern &amp; Sons Ltd v Amalgamated </w:t>
      </w:r>
      <w:r>
        <w:rPr>
          <w:i/>
          <w:iCs/>
          <w:lang w:eastAsia="en-AU"/>
        </w:rPr>
        <w:lastRenderedPageBreak/>
        <w:t>Clothing and Allied Trades Union of Australia</w:t>
      </w:r>
      <w:r>
        <w:rPr>
          <w:lang w:eastAsia="en-AU"/>
        </w:rPr>
        <w:t xml:space="preserve"> (1932) 47 CLR 1 at </w:t>
      </w:r>
      <w:r w:rsidR="005E1550">
        <w:rPr>
          <w:lang w:eastAsia="en-AU"/>
        </w:rPr>
        <w:t>7</w:t>
      </w:r>
      <w:r>
        <w:rPr>
          <w:lang w:eastAsia="en-AU"/>
        </w:rPr>
        <w:t xml:space="preserve"> (Gavan Duffy CJ and Dixon J) (</w:t>
      </w:r>
      <w:r>
        <w:rPr>
          <w:b/>
          <w:bCs/>
          <w:i/>
          <w:iCs/>
          <w:lang w:eastAsia="en-AU"/>
        </w:rPr>
        <w:t>Anthony Hordern</w:t>
      </w:r>
      <w:r>
        <w:rPr>
          <w:lang w:eastAsia="en-AU"/>
        </w:rPr>
        <w:t>), as follows:</w:t>
      </w:r>
    </w:p>
    <w:p w14:paraId="77698538" w14:textId="1D0354FF" w:rsidR="009E3E39" w:rsidRDefault="009E3E39" w:rsidP="001A2138">
      <w:pPr>
        <w:pStyle w:val="Quote2"/>
        <w:rPr>
          <w:lang w:eastAsia="en-AU"/>
        </w:rPr>
      </w:pPr>
      <w:r w:rsidRPr="009E3E39">
        <w:rPr>
          <w:lang w:eastAsia="en-AU"/>
        </w:rPr>
        <w:t>When the Legislature explicitly gives a power by a particular</w:t>
      </w:r>
      <w:r>
        <w:rPr>
          <w:lang w:eastAsia="en-AU"/>
        </w:rPr>
        <w:t xml:space="preserve"> </w:t>
      </w:r>
      <w:r w:rsidRPr="009E3E39">
        <w:rPr>
          <w:lang w:eastAsia="en-AU"/>
        </w:rPr>
        <w:t>provision which prescribes the mode in which it shall be exercised</w:t>
      </w:r>
      <w:r>
        <w:rPr>
          <w:lang w:eastAsia="en-AU"/>
        </w:rPr>
        <w:t xml:space="preserve"> </w:t>
      </w:r>
      <w:r w:rsidRPr="009E3E39">
        <w:rPr>
          <w:lang w:eastAsia="en-AU"/>
        </w:rPr>
        <w:t>and the conditions and restrictions which must be observed, it</w:t>
      </w:r>
      <w:r>
        <w:rPr>
          <w:lang w:eastAsia="en-AU"/>
        </w:rPr>
        <w:t xml:space="preserve"> </w:t>
      </w:r>
      <w:r w:rsidRPr="009E3E39">
        <w:rPr>
          <w:lang w:eastAsia="en-AU"/>
        </w:rPr>
        <w:t>excludes the operation of general expressions in the same instrument</w:t>
      </w:r>
      <w:r>
        <w:rPr>
          <w:lang w:eastAsia="en-AU"/>
        </w:rPr>
        <w:t xml:space="preserve"> </w:t>
      </w:r>
      <w:r w:rsidRPr="009E3E39">
        <w:rPr>
          <w:lang w:eastAsia="en-AU"/>
        </w:rPr>
        <w:t>which might otherwise have been relied upon for the same power</w:t>
      </w:r>
      <w:r w:rsidR="00CD7328">
        <w:rPr>
          <w:lang w:eastAsia="en-AU"/>
        </w:rPr>
        <w:t>.</w:t>
      </w:r>
    </w:p>
    <w:p w14:paraId="774B7968" w14:textId="6A0C8108" w:rsidR="00CD7328" w:rsidRPr="00D525E3" w:rsidRDefault="00CD7328" w:rsidP="00D525E3">
      <w:pPr>
        <w:pStyle w:val="ListNo1alt"/>
        <w:numPr>
          <w:ilvl w:val="0"/>
          <w:numId w:val="29"/>
        </w:numPr>
        <w:rPr>
          <w:szCs w:val="24"/>
        </w:rPr>
      </w:pPr>
      <w:r>
        <w:rPr>
          <w:lang w:eastAsia="en-AU"/>
        </w:rPr>
        <w:t>The temporal requirements in s 459</w:t>
      </w:r>
      <w:proofErr w:type="gramStart"/>
      <w:r w:rsidR="00C91F5C">
        <w:rPr>
          <w:lang w:eastAsia="en-AU"/>
        </w:rPr>
        <w:t>G</w:t>
      </w:r>
      <w:r>
        <w:rPr>
          <w:lang w:eastAsia="en-AU"/>
        </w:rPr>
        <w:t>(</w:t>
      </w:r>
      <w:proofErr w:type="gramEnd"/>
      <w:r>
        <w:rPr>
          <w:lang w:eastAsia="en-AU"/>
        </w:rPr>
        <w:t>2) and (3) operated as part of the definition of the court</w:t>
      </w:r>
      <w:r w:rsidR="00484411">
        <w:rPr>
          <w:lang w:eastAsia="en-AU"/>
        </w:rPr>
        <w:t>’s jurisdiction</w:t>
      </w:r>
      <w:r>
        <w:rPr>
          <w:lang w:eastAsia="en-AU"/>
        </w:rPr>
        <w:t xml:space="preserve"> in respect of an application to set aside a statutory demand. That is, s 459G conferred a “new right” and the requirement as to time was an “essential condition” of that right. Adapting a dictum of Isaacs J in </w:t>
      </w:r>
      <w:r w:rsidRPr="00D525E3">
        <w:rPr>
          <w:i/>
          <w:iCs/>
          <w:lang w:eastAsia="en-AU"/>
        </w:rPr>
        <w:t>The Crown v McNeil</w:t>
      </w:r>
      <w:r>
        <w:rPr>
          <w:lang w:eastAsia="en-AU"/>
        </w:rPr>
        <w:t xml:space="preserve"> (1922) 31 CLR 76 at </w:t>
      </w:r>
      <w:r w:rsidRPr="00D525E3">
        <w:rPr>
          <w:szCs w:val="24"/>
        </w:rPr>
        <w:t>100-101, “it is a condition of the gift in sub-s (I) of s 459G that sub-s (2) be observed and, unless this is so, the gift can never take effect” (at 277).</w:t>
      </w:r>
    </w:p>
    <w:p w14:paraId="5FCB4C01" w14:textId="12ABAD09" w:rsidR="00CD7328" w:rsidRDefault="00CD7328" w:rsidP="00D525E3">
      <w:pPr>
        <w:pStyle w:val="ListNo1alt"/>
        <w:numPr>
          <w:ilvl w:val="0"/>
          <w:numId w:val="29"/>
        </w:numPr>
        <w:rPr>
          <w:szCs w:val="24"/>
        </w:rPr>
      </w:pPr>
      <w:r>
        <w:rPr>
          <w:szCs w:val="24"/>
        </w:rPr>
        <w:t>This added force to the point that it was hard to identify the function or utility of the word “only” in s 459</w:t>
      </w:r>
      <w:proofErr w:type="gramStart"/>
      <w:r>
        <w:rPr>
          <w:szCs w:val="24"/>
        </w:rPr>
        <w:t>G(</w:t>
      </w:r>
      <w:proofErr w:type="gramEnd"/>
      <w:r>
        <w:rPr>
          <w:szCs w:val="24"/>
        </w:rPr>
        <w:t>2) if it did not mean what it said (at 277).</w:t>
      </w:r>
    </w:p>
    <w:p w14:paraId="1862329B" w14:textId="0B3FA28B" w:rsidR="00CD7328" w:rsidRDefault="00CD7328" w:rsidP="00D525E3">
      <w:pPr>
        <w:pStyle w:val="ListNo1alt"/>
        <w:numPr>
          <w:ilvl w:val="0"/>
          <w:numId w:val="29"/>
        </w:numPr>
        <w:rPr>
          <w:szCs w:val="24"/>
        </w:rPr>
      </w:pPr>
      <w:r>
        <w:rPr>
          <w:szCs w:val="24"/>
        </w:rPr>
        <w:t xml:space="preserve">Part 5.4 </w:t>
      </w:r>
      <w:r w:rsidR="00ED514E">
        <w:rPr>
          <w:szCs w:val="24"/>
        </w:rPr>
        <w:t>of the Corporations Law, within which s 459G was located, contained specific provisions conferring power on the court to extend time in various ways (albeit, it would appear, not to extend the time for filing an application stipulated by s 459</w:t>
      </w:r>
      <w:proofErr w:type="gramStart"/>
      <w:r w:rsidR="00ED514E">
        <w:rPr>
          <w:szCs w:val="24"/>
        </w:rPr>
        <w:t>G(</w:t>
      </w:r>
      <w:proofErr w:type="gramEnd"/>
      <w:r w:rsidR="00ED514E">
        <w:rPr>
          <w:szCs w:val="24"/>
        </w:rPr>
        <w:t xml:space="preserve">2)) (at 277). The force of this point appears to have been that the legislature in enacting Part 5.4 had </w:t>
      </w:r>
      <w:proofErr w:type="gramStart"/>
      <w:r w:rsidR="00ED514E">
        <w:rPr>
          <w:szCs w:val="24"/>
        </w:rPr>
        <w:t>given express consideration to</w:t>
      </w:r>
      <w:proofErr w:type="gramEnd"/>
      <w:r w:rsidR="00ED514E">
        <w:rPr>
          <w:szCs w:val="24"/>
        </w:rPr>
        <w:t xml:space="preserve"> whether and how the times for which it provided should be able to be extended.</w:t>
      </w:r>
    </w:p>
    <w:p w14:paraId="1CEC2B4A" w14:textId="4FBFC1D1" w:rsidR="00ED514E" w:rsidRDefault="00ED514E" w:rsidP="00D525E3">
      <w:pPr>
        <w:pStyle w:val="ListNo1alt"/>
        <w:numPr>
          <w:ilvl w:val="0"/>
          <w:numId w:val="29"/>
        </w:numPr>
        <w:rPr>
          <w:szCs w:val="24"/>
        </w:rPr>
      </w:pPr>
      <w:r>
        <w:rPr>
          <w:szCs w:val="24"/>
        </w:rPr>
        <w:t>Read in the context of the provisions defining non-compliance with a statutory demand (s 459F), and the presumption of insolvency following from non-compliance (s 459C), s 459G was an integral part of the scheme established by Part 5.4G (at 277-278).</w:t>
      </w:r>
    </w:p>
    <w:p w14:paraId="38A301DB" w14:textId="5091F49A" w:rsidR="00ED514E" w:rsidRDefault="00ED514E" w:rsidP="00ED514E">
      <w:pPr>
        <w:pStyle w:val="ParaNumbering"/>
        <w:rPr>
          <w:rFonts w:ascii="TimesNewRoman" w:hAnsi="TimesNewRoman" w:cs="TimesNewRoman"/>
          <w:lang w:eastAsia="en-AU"/>
        </w:rPr>
      </w:pPr>
      <w:r w:rsidRPr="00ED514E">
        <w:rPr>
          <w:i/>
          <w:iCs/>
          <w:lang w:eastAsia="en-AU"/>
        </w:rPr>
        <w:t>BP Australia Ltd v Brown</w:t>
      </w:r>
      <w:r>
        <w:rPr>
          <w:lang w:eastAsia="en-AU"/>
        </w:rPr>
        <w:t xml:space="preserve"> </w:t>
      </w:r>
      <w:r w:rsidRPr="00ED514E">
        <w:rPr>
          <w:rFonts w:ascii="TimesNewRoman" w:hAnsi="TimesNewRoman" w:cs="TimesNewRoman"/>
          <w:lang w:eastAsia="en-AU"/>
        </w:rPr>
        <w:t>[2003] NSWCA 216</w:t>
      </w:r>
      <w:r>
        <w:rPr>
          <w:rFonts w:ascii="TimesNewRoman" w:hAnsi="TimesNewRoman" w:cs="TimesNewRoman"/>
          <w:lang w:eastAsia="en-AU"/>
        </w:rPr>
        <w:t>; 58 NSWLR 322</w:t>
      </w:r>
      <w:r w:rsidRPr="00ED514E">
        <w:rPr>
          <w:rFonts w:ascii="TimesNewRoman" w:hAnsi="TimesNewRoman" w:cs="TimesNewRoman"/>
          <w:lang w:eastAsia="en-AU"/>
        </w:rPr>
        <w:t xml:space="preserve"> (</w:t>
      </w:r>
      <w:r w:rsidRPr="00D2231B">
        <w:rPr>
          <w:rFonts w:ascii="TimesNewRoman,BoldItalic" w:hAnsi="TimesNewRoman,BoldItalic" w:cs="TimesNewRoman,BoldItalic"/>
          <w:b/>
          <w:bCs/>
          <w:i/>
          <w:iCs/>
          <w:lang w:eastAsia="en-AU"/>
        </w:rPr>
        <w:t>BP Australia</w:t>
      </w:r>
      <w:r w:rsidRPr="00ED514E">
        <w:rPr>
          <w:rFonts w:ascii="TimesNewRoman" w:hAnsi="TimesNewRoman" w:cs="TimesNewRoman"/>
          <w:lang w:eastAsia="en-AU"/>
        </w:rPr>
        <w:t>)</w:t>
      </w:r>
      <w:r w:rsidR="00D2231B">
        <w:rPr>
          <w:rFonts w:ascii="TimesNewRoman" w:hAnsi="TimesNewRoman" w:cs="TimesNewRoman"/>
          <w:lang w:eastAsia="en-AU"/>
        </w:rPr>
        <w:t xml:space="preserve"> concerned the relationship between s 1322(4)(d) and s 588FF of the Corporations Act, which </w:t>
      </w:r>
      <w:r w:rsidR="00230345">
        <w:rPr>
          <w:rFonts w:ascii="TimesNewRoman" w:hAnsi="TimesNewRoman" w:cs="TimesNewRoman"/>
          <w:lang w:eastAsia="en-AU"/>
        </w:rPr>
        <w:t xml:space="preserve">pertained to </w:t>
      </w:r>
      <w:r w:rsidR="00D2231B">
        <w:rPr>
          <w:rFonts w:ascii="TimesNewRoman" w:hAnsi="TimesNewRoman" w:cs="TimesNewRoman"/>
          <w:lang w:eastAsia="en-AU"/>
        </w:rPr>
        <w:t>applications by liquidators in respect of voidable transactions. Section 588</w:t>
      </w:r>
      <w:proofErr w:type="gramStart"/>
      <w:r w:rsidR="00D2231B">
        <w:rPr>
          <w:rFonts w:ascii="TimesNewRoman" w:hAnsi="TimesNewRoman" w:cs="TimesNewRoman"/>
          <w:lang w:eastAsia="en-AU"/>
        </w:rPr>
        <w:t>FF(</w:t>
      </w:r>
      <w:proofErr w:type="gramEnd"/>
      <w:r w:rsidR="00D2231B">
        <w:rPr>
          <w:rFonts w:ascii="TimesNewRoman" w:hAnsi="TimesNewRoman" w:cs="TimesNewRoman"/>
          <w:lang w:eastAsia="en-AU"/>
        </w:rPr>
        <w:t>3) provided:</w:t>
      </w:r>
    </w:p>
    <w:p w14:paraId="3AF45E7F" w14:textId="00C8C3A9" w:rsidR="0082332B" w:rsidRDefault="00D2231B" w:rsidP="00D2231B">
      <w:pPr>
        <w:pStyle w:val="Quote1"/>
        <w:rPr>
          <w:b/>
          <w:bCs/>
          <w:lang w:eastAsia="en-AU"/>
        </w:rPr>
      </w:pPr>
      <w:r w:rsidRPr="00977CF4">
        <w:rPr>
          <w:b/>
          <w:bCs/>
          <w:lang w:eastAsia="en-AU"/>
        </w:rPr>
        <w:t>588FF</w:t>
      </w:r>
      <w:r w:rsidR="00977CF4" w:rsidRPr="00977CF4">
        <w:rPr>
          <w:b/>
          <w:bCs/>
          <w:lang w:eastAsia="en-AU"/>
        </w:rPr>
        <w:tab/>
        <w:t xml:space="preserve">Courts may make orders about voidable </w:t>
      </w:r>
      <w:proofErr w:type="gramStart"/>
      <w:r w:rsidR="00977CF4" w:rsidRPr="00977CF4">
        <w:rPr>
          <w:b/>
          <w:bCs/>
          <w:lang w:eastAsia="en-AU"/>
        </w:rPr>
        <w:t>transactions</w:t>
      </w:r>
      <w:proofErr w:type="gramEnd"/>
    </w:p>
    <w:p w14:paraId="5800530D" w14:textId="2A331A49" w:rsidR="00977CF4" w:rsidRPr="00977CF4" w:rsidRDefault="00977CF4" w:rsidP="00D2231B">
      <w:pPr>
        <w:pStyle w:val="Quote1"/>
        <w:rPr>
          <w:lang w:eastAsia="en-AU"/>
        </w:rPr>
      </w:pPr>
      <w:r w:rsidRPr="00977CF4">
        <w:rPr>
          <w:lang w:eastAsia="en-AU"/>
        </w:rPr>
        <w:t>…</w:t>
      </w:r>
    </w:p>
    <w:p w14:paraId="5B7499E9" w14:textId="17996005" w:rsidR="00D2231B" w:rsidRDefault="00D2231B" w:rsidP="00D2231B">
      <w:pPr>
        <w:pStyle w:val="Quote1"/>
        <w:rPr>
          <w:lang w:eastAsia="en-AU"/>
        </w:rPr>
      </w:pPr>
      <w:r>
        <w:rPr>
          <w:lang w:eastAsia="en-AU"/>
        </w:rPr>
        <w:t xml:space="preserve">(3) </w:t>
      </w:r>
      <w:r w:rsidR="00977CF4">
        <w:rPr>
          <w:lang w:eastAsia="en-AU"/>
        </w:rPr>
        <w:tab/>
      </w:r>
      <w:r>
        <w:rPr>
          <w:lang w:eastAsia="en-AU"/>
        </w:rPr>
        <w:t>An application under subsection (1) may only be made:</w:t>
      </w:r>
    </w:p>
    <w:p w14:paraId="2341543E" w14:textId="79FD50E9" w:rsidR="00D2231B" w:rsidRDefault="00D2231B" w:rsidP="00D525E3">
      <w:pPr>
        <w:pStyle w:val="Quote2"/>
        <w:ind w:left="2160" w:hanging="720"/>
        <w:rPr>
          <w:lang w:eastAsia="en-AU"/>
        </w:rPr>
      </w:pPr>
      <w:r>
        <w:rPr>
          <w:lang w:eastAsia="en-AU"/>
        </w:rPr>
        <w:t xml:space="preserve">(a) </w:t>
      </w:r>
      <w:r w:rsidR="00977CF4">
        <w:rPr>
          <w:lang w:eastAsia="en-AU"/>
        </w:rPr>
        <w:tab/>
      </w:r>
      <w:r>
        <w:rPr>
          <w:lang w:eastAsia="en-AU"/>
        </w:rPr>
        <w:t>within 3 years after the relation-back day; or</w:t>
      </w:r>
    </w:p>
    <w:p w14:paraId="2D8F9F26" w14:textId="5714F949" w:rsidR="00D2231B" w:rsidRDefault="00D2231B" w:rsidP="00D525E3">
      <w:pPr>
        <w:pStyle w:val="Quote2"/>
        <w:ind w:left="2160" w:hanging="720"/>
        <w:rPr>
          <w:lang w:eastAsia="en-AU"/>
        </w:rPr>
      </w:pPr>
      <w:r>
        <w:rPr>
          <w:lang w:eastAsia="en-AU"/>
        </w:rPr>
        <w:t xml:space="preserve">(b) </w:t>
      </w:r>
      <w:r w:rsidR="00977CF4">
        <w:rPr>
          <w:lang w:eastAsia="en-AU"/>
        </w:rPr>
        <w:tab/>
      </w:r>
      <w:r>
        <w:rPr>
          <w:lang w:eastAsia="en-AU"/>
        </w:rPr>
        <w:t>within such longer period as the Court orders on an application under this paragraph by the liquidator within those 3 years.</w:t>
      </w:r>
    </w:p>
    <w:p w14:paraId="38080DD4" w14:textId="7906146F" w:rsidR="00D2231B" w:rsidRDefault="00D2231B" w:rsidP="00D2231B">
      <w:pPr>
        <w:pStyle w:val="ParaNumbering"/>
        <w:rPr>
          <w:lang w:eastAsia="en-AU"/>
        </w:rPr>
      </w:pPr>
      <w:r>
        <w:rPr>
          <w:lang w:eastAsia="en-AU"/>
        </w:rPr>
        <w:lastRenderedPageBreak/>
        <w:t>Spigelman CJ, with whom Mason P and Handley JA agreed, held that s 588</w:t>
      </w:r>
      <w:proofErr w:type="gramStart"/>
      <w:r>
        <w:rPr>
          <w:lang w:eastAsia="en-AU"/>
        </w:rPr>
        <w:t>FF(</w:t>
      </w:r>
      <w:proofErr w:type="gramEnd"/>
      <w:r>
        <w:rPr>
          <w:lang w:eastAsia="en-AU"/>
        </w:rPr>
        <w:t xml:space="preserve">3) was intended to cover the relevant field to the exclusion of s 1322 (at [85]). His Honour observed that, in a sense, the provision that fell to be construed was s 1322(4)(d) </w:t>
      </w:r>
      <w:r w:rsidR="00A37EDC">
        <w:rPr>
          <w:lang w:eastAsia="en-AU"/>
        </w:rPr>
        <w:t>(</w:t>
      </w:r>
      <w:r>
        <w:rPr>
          <w:lang w:eastAsia="en-AU"/>
        </w:rPr>
        <w:t>at [77]</w:t>
      </w:r>
      <w:r w:rsidR="00A37EDC">
        <w:rPr>
          <w:lang w:eastAsia="en-AU"/>
        </w:rPr>
        <w:t>)</w:t>
      </w:r>
      <w:r>
        <w:rPr>
          <w:lang w:eastAsia="en-AU"/>
        </w:rPr>
        <w:t xml:space="preserve">. He noted the role performed by s 1322 in mitigating the strict application of various provisions in the Corporations Act </w:t>
      </w:r>
      <w:r w:rsidR="00A37EDC">
        <w:rPr>
          <w:lang w:eastAsia="en-AU"/>
        </w:rPr>
        <w:t xml:space="preserve">(at [78]) </w:t>
      </w:r>
      <w:r>
        <w:rPr>
          <w:lang w:eastAsia="en-AU"/>
        </w:rPr>
        <w:t xml:space="preserve">and then observed that the requirements of certainty or deterrence, or other objectives pursued by particular </w:t>
      </w:r>
      <w:r w:rsidR="00A37EDC">
        <w:rPr>
          <w:lang w:eastAsia="en-AU"/>
        </w:rPr>
        <w:t>“sub-regimes” within</w:t>
      </w:r>
      <w:r>
        <w:rPr>
          <w:lang w:eastAsia="en-AU"/>
        </w:rPr>
        <w:t xml:space="preserve"> the Act, might be such that the flexibility introduced by s 1322 was “not appropriate”</w:t>
      </w:r>
      <w:r w:rsidR="00A37EDC">
        <w:rPr>
          <w:lang w:eastAsia="en-AU"/>
        </w:rPr>
        <w:t xml:space="preserve"> (at [79])</w:t>
      </w:r>
      <w:r>
        <w:rPr>
          <w:lang w:eastAsia="en-AU"/>
        </w:rPr>
        <w:t>.</w:t>
      </w:r>
      <w:r w:rsidR="00A37EDC">
        <w:rPr>
          <w:lang w:eastAsia="en-AU"/>
        </w:rPr>
        <w:t xml:space="preserve"> Such a conclusion was “particularly likely” where the </w:t>
      </w:r>
      <w:proofErr w:type="gramStart"/>
      <w:r w:rsidR="00A37EDC">
        <w:rPr>
          <w:lang w:eastAsia="en-AU"/>
        </w:rPr>
        <w:t>particular sub-</w:t>
      </w:r>
      <w:proofErr w:type="gramEnd"/>
      <w:r w:rsidR="00A37EDC">
        <w:rPr>
          <w:lang w:eastAsia="en-AU"/>
        </w:rPr>
        <w:t>regime included its own particular provision for flexibility, as s 588FF did (at [79]). The general words of s 1322(4)(</w:t>
      </w:r>
      <w:r w:rsidR="00CF1492">
        <w:rPr>
          <w:lang w:eastAsia="en-AU"/>
        </w:rPr>
        <w:t>d</w:t>
      </w:r>
      <w:r w:rsidR="00A37EDC">
        <w:rPr>
          <w:lang w:eastAsia="en-AU"/>
        </w:rPr>
        <w:t>) might need to be “read down” with respect to such a provision.</w:t>
      </w:r>
    </w:p>
    <w:p w14:paraId="57CDFB99" w14:textId="4DCE9DC0" w:rsidR="00A37EDC" w:rsidRDefault="00A37EDC" w:rsidP="00D2231B">
      <w:pPr>
        <w:pStyle w:val="ParaNumbering"/>
        <w:rPr>
          <w:lang w:eastAsia="en-AU"/>
        </w:rPr>
      </w:pPr>
      <w:r>
        <w:rPr>
          <w:lang w:eastAsia="en-AU"/>
        </w:rPr>
        <w:t>Spigelman CJ then addressed the text of s 588</w:t>
      </w:r>
      <w:proofErr w:type="gramStart"/>
      <w:r>
        <w:rPr>
          <w:lang w:eastAsia="en-AU"/>
        </w:rPr>
        <w:t>FF(</w:t>
      </w:r>
      <w:proofErr w:type="gramEnd"/>
      <w:r>
        <w:rPr>
          <w:lang w:eastAsia="en-AU"/>
        </w:rPr>
        <w:t>3), observing the role played by the word “only” was to ensure that a particular procedure was observed (at [83]-[84]), and observed (at [85]):</w:t>
      </w:r>
    </w:p>
    <w:p w14:paraId="6B49372A" w14:textId="15F5AB4C" w:rsidR="00A37EDC" w:rsidRDefault="00A37EDC" w:rsidP="00A37EDC">
      <w:pPr>
        <w:pStyle w:val="Quote1"/>
        <w:rPr>
          <w:lang w:eastAsia="en-AU"/>
        </w:rPr>
      </w:pPr>
      <w:r>
        <w:rPr>
          <w:lang w:eastAsia="en-AU"/>
        </w:rPr>
        <w:t xml:space="preserve">The </w:t>
      </w:r>
      <w:proofErr w:type="gramStart"/>
      <w:r>
        <w:rPr>
          <w:lang w:eastAsia="en-AU"/>
        </w:rPr>
        <w:t>time period</w:t>
      </w:r>
      <w:proofErr w:type="gramEnd"/>
      <w:r>
        <w:rPr>
          <w:lang w:eastAsia="en-AU"/>
        </w:rPr>
        <w:t xml:space="preserve"> identified in par (a) is itself subject to a specific power of extension under par (b). That is a comprehensive provision for extension of time which, in my opinion, is intended to cover the relevant field to the exclusion of s 1322. This conclusion turns on the text of s 588</w:t>
      </w:r>
      <w:proofErr w:type="gramStart"/>
      <w:r>
        <w:rPr>
          <w:lang w:eastAsia="en-AU"/>
        </w:rPr>
        <w:t>FF(</w:t>
      </w:r>
      <w:proofErr w:type="gramEnd"/>
      <w:r>
        <w:rPr>
          <w:lang w:eastAsia="en-AU"/>
        </w:rPr>
        <w:t>3) and the scope and purpose of Pt 5.7B.</w:t>
      </w:r>
    </w:p>
    <w:p w14:paraId="3748C815" w14:textId="65000584" w:rsidR="00A37EDC" w:rsidRDefault="00A37EDC" w:rsidP="00A37EDC">
      <w:pPr>
        <w:pStyle w:val="ParaNumbering"/>
        <w:rPr>
          <w:szCs w:val="24"/>
        </w:rPr>
      </w:pPr>
      <w:r w:rsidRPr="00A37EDC">
        <w:rPr>
          <w:szCs w:val="24"/>
          <w:lang w:eastAsia="en-AU"/>
        </w:rPr>
        <w:t xml:space="preserve">The relevant provision of construction was drawn from </w:t>
      </w:r>
      <w:r w:rsidRPr="00A37EDC">
        <w:rPr>
          <w:i/>
          <w:iCs/>
          <w:szCs w:val="24"/>
          <w:lang w:eastAsia="en-AU"/>
        </w:rPr>
        <w:t>Anthony Hordern</w:t>
      </w:r>
      <w:r w:rsidRPr="00A37EDC">
        <w:rPr>
          <w:szCs w:val="24"/>
          <w:lang w:eastAsia="en-AU"/>
        </w:rPr>
        <w:t xml:space="preserve"> (quoted above</w:t>
      </w:r>
      <w:r w:rsidR="008C45D2">
        <w:rPr>
          <w:szCs w:val="24"/>
          <w:lang w:eastAsia="en-AU"/>
        </w:rPr>
        <w:t xml:space="preserve"> at </w:t>
      </w:r>
      <w:r w:rsidR="008C45D2" w:rsidRPr="0077217A">
        <w:rPr>
          <w:szCs w:val="24"/>
          <w:lang w:eastAsia="en-AU"/>
        </w:rPr>
        <w:t>[26(a)]</w:t>
      </w:r>
      <w:r w:rsidRPr="00A37EDC">
        <w:rPr>
          <w:szCs w:val="24"/>
          <w:lang w:eastAsia="en-AU"/>
        </w:rPr>
        <w:t xml:space="preserve">) and </w:t>
      </w:r>
      <w:r w:rsidRPr="00A37EDC">
        <w:rPr>
          <w:i/>
          <w:iCs/>
          <w:szCs w:val="24"/>
          <w:lang w:eastAsia="en-AU"/>
        </w:rPr>
        <w:t xml:space="preserve">R v Wallis; Ex </w:t>
      </w:r>
      <w:proofErr w:type="spellStart"/>
      <w:r w:rsidRPr="00A37EDC">
        <w:rPr>
          <w:i/>
          <w:iCs/>
          <w:szCs w:val="24"/>
          <w:lang w:eastAsia="en-AU"/>
        </w:rPr>
        <w:t>parte</w:t>
      </w:r>
      <w:proofErr w:type="spellEnd"/>
      <w:r w:rsidRPr="00A37EDC">
        <w:rPr>
          <w:i/>
          <w:iCs/>
          <w:szCs w:val="24"/>
          <w:lang w:eastAsia="en-AU"/>
        </w:rPr>
        <w:t xml:space="preserve"> Employers’ Association of Wool-Selling Brokers &amp; H V McKay Massey Harris Pty Ltd </w:t>
      </w:r>
      <w:r w:rsidRPr="00A37EDC">
        <w:rPr>
          <w:szCs w:val="24"/>
          <w:lang w:eastAsia="en-AU"/>
        </w:rPr>
        <w:t>(1949) 78 CLR 529 at 550</w:t>
      </w:r>
      <w:r>
        <w:rPr>
          <w:szCs w:val="24"/>
          <w:lang w:eastAsia="en-AU"/>
        </w:rPr>
        <w:t xml:space="preserve"> (Dixon J), which is to similar effect</w:t>
      </w:r>
      <w:r w:rsidR="00B86046">
        <w:rPr>
          <w:szCs w:val="24"/>
          <w:lang w:eastAsia="en-AU"/>
        </w:rPr>
        <w:t xml:space="preserve"> (at [86]). Spigelman CJ continued (at [88]-[89]):</w:t>
      </w:r>
    </w:p>
    <w:p w14:paraId="45B5BD47" w14:textId="34F7C8D9" w:rsidR="00B86046" w:rsidRPr="00B86046" w:rsidRDefault="00B86046" w:rsidP="00B86046">
      <w:pPr>
        <w:pStyle w:val="Quote1"/>
        <w:rPr>
          <w:lang w:eastAsia="en-AU"/>
        </w:rPr>
      </w:pPr>
      <w:r>
        <w:rPr>
          <w:lang w:eastAsia="en-AU"/>
        </w:rPr>
        <w:t xml:space="preserve">The word “only” in a time limitation statutory provision can characterise the provision as a “time so emphatically prescribed”. However, the use of the word “only” is not of itself determinative. Its force is affected by the relevant statutory scheme considered as a whole, as the analysis in </w:t>
      </w:r>
      <w:r>
        <w:rPr>
          <w:i/>
          <w:iCs/>
          <w:lang w:eastAsia="en-AU"/>
        </w:rPr>
        <w:t xml:space="preserve">David Grant v Westpac </w:t>
      </w:r>
      <w:r>
        <w:rPr>
          <w:lang w:eastAsia="en-AU"/>
        </w:rPr>
        <w:t>shows.</w:t>
      </w:r>
    </w:p>
    <w:p w14:paraId="7959971B" w14:textId="736146B3" w:rsidR="00B86046" w:rsidRDefault="00B86046" w:rsidP="00B86046">
      <w:pPr>
        <w:pStyle w:val="Quote1"/>
        <w:rPr>
          <w:lang w:eastAsia="en-AU"/>
        </w:rPr>
      </w:pPr>
      <w:r>
        <w:rPr>
          <w:lang w:eastAsia="en-AU"/>
        </w:rPr>
        <w:t>Of particular significance in this respect is the scope and purpose of Pt 5.7B</w:t>
      </w:r>
      <w:r w:rsidR="005B0AAE">
        <w:rPr>
          <w:lang w:eastAsia="en-AU"/>
        </w:rPr>
        <w:t xml:space="preserve"> </w:t>
      </w:r>
      <w:r>
        <w:rPr>
          <w:lang w:eastAsia="en-AU"/>
        </w:rPr>
        <w:t>of the legislative scheme and its legislative history.</w:t>
      </w:r>
    </w:p>
    <w:p w14:paraId="186C4CBE" w14:textId="5A5D98C5" w:rsidR="00B86046" w:rsidRDefault="00B86046" w:rsidP="00B86046">
      <w:pPr>
        <w:pStyle w:val="Quote1"/>
        <w:rPr>
          <w:lang w:eastAsia="en-AU"/>
        </w:rPr>
      </w:pPr>
      <w:r>
        <w:rPr>
          <w:lang w:eastAsia="en-AU"/>
        </w:rPr>
        <w:t>(Citations omitted.)</w:t>
      </w:r>
    </w:p>
    <w:p w14:paraId="3818A4E9" w14:textId="24DD1105" w:rsidR="00B86046" w:rsidRDefault="00C2352F" w:rsidP="00B86046">
      <w:pPr>
        <w:pStyle w:val="ParaNumbering"/>
        <w:rPr>
          <w:lang w:eastAsia="en-AU"/>
        </w:rPr>
      </w:pPr>
      <w:r>
        <w:rPr>
          <w:lang w:eastAsia="en-AU"/>
        </w:rPr>
        <w:t xml:space="preserve">At [90], Spigelman CJ observed that the position in </w:t>
      </w:r>
      <w:r>
        <w:rPr>
          <w:i/>
          <w:iCs/>
          <w:lang w:eastAsia="en-AU"/>
        </w:rPr>
        <w:t>BP Australia</w:t>
      </w:r>
      <w:r>
        <w:rPr>
          <w:lang w:eastAsia="en-AU"/>
        </w:rPr>
        <w:t xml:space="preserve"> </w:t>
      </w:r>
      <w:r w:rsidR="002F2BA4">
        <w:rPr>
          <w:lang w:eastAsia="en-AU"/>
        </w:rPr>
        <w:t xml:space="preserve">was “not as clear” as that considered in </w:t>
      </w:r>
      <w:r w:rsidR="002F2BA4">
        <w:rPr>
          <w:i/>
          <w:iCs/>
          <w:lang w:eastAsia="en-AU"/>
        </w:rPr>
        <w:t>David Grant</w:t>
      </w:r>
      <w:r w:rsidR="003067C2">
        <w:rPr>
          <w:lang w:eastAsia="en-AU"/>
        </w:rPr>
        <w:t>, noting the range of statutory indicators in play in that case</w:t>
      </w:r>
      <w:r w:rsidR="00067A9C">
        <w:rPr>
          <w:lang w:eastAsia="en-AU"/>
        </w:rPr>
        <w:t>.</w:t>
      </w:r>
      <w:r w:rsidR="003067C2">
        <w:rPr>
          <w:lang w:eastAsia="en-AU"/>
        </w:rPr>
        <w:t xml:space="preserve"> </w:t>
      </w:r>
      <w:r w:rsidR="007364DE">
        <w:rPr>
          <w:lang w:eastAsia="en-AU"/>
        </w:rPr>
        <w:t xml:space="preserve">Nevertheless, in my view, </w:t>
      </w:r>
      <w:r w:rsidR="007364DE">
        <w:rPr>
          <w:i/>
          <w:iCs/>
          <w:lang w:eastAsia="en-AU"/>
        </w:rPr>
        <w:t>BP Australia</w:t>
      </w:r>
      <w:r w:rsidR="007364DE">
        <w:rPr>
          <w:lang w:eastAsia="en-AU"/>
        </w:rPr>
        <w:t xml:space="preserve"> </w:t>
      </w:r>
      <w:r w:rsidR="007B75E9">
        <w:rPr>
          <w:lang w:eastAsia="en-AU"/>
        </w:rPr>
        <w:t xml:space="preserve">was a clear case of exclusion of </w:t>
      </w:r>
      <w:r w:rsidR="009C2A36">
        <w:rPr>
          <w:lang w:eastAsia="en-AU"/>
        </w:rPr>
        <w:t xml:space="preserve">a general provision </w:t>
      </w:r>
      <w:r w:rsidR="007B75E9">
        <w:rPr>
          <w:lang w:eastAsia="en-AU"/>
        </w:rPr>
        <w:t xml:space="preserve">by the </w:t>
      </w:r>
      <w:r w:rsidR="007B75E9">
        <w:rPr>
          <w:i/>
          <w:iCs/>
          <w:lang w:eastAsia="en-AU"/>
        </w:rPr>
        <w:t>Anthony Hordern</w:t>
      </w:r>
      <w:r w:rsidR="007B75E9">
        <w:rPr>
          <w:lang w:eastAsia="en-AU"/>
        </w:rPr>
        <w:t xml:space="preserve"> principle</w:t>
      </w:r>
      <w:r w:rsidR="00A216CE">
        <w:rPr>
          <w:lang w:eastAsia="en-AU"/>
        </w:rPr>
        <w:t>.</w:t>
      </w:r>
      <w:r w:rsidR="009C2A36">
        <w:rPr>
          <w:lang w:eastAsia="en-AU"/>
        </w:rPr>
        <w:t xml:space="preserve"> The specific provision, s 588FF, contained its own express provision as to when and how </w:t>
      </w:r>
      <w:r w:rsidR="00B13120">
        <w:rPr>
          <w:lang w:eastAsia="en-AU"/>
        </w:rPr>
        <w:t>its time limit could be extended.</w:t>
      </w:r>
    </w:p>
    <w:p w14:paraId="496A9286" w14:textId="4B43FFD2" w:rsidR="00B13120" w:rsidRDefault="00DD0EE1" w:rsidP="00B86046">
      <w:pPr>
        <w:pStyle w:val="ParaNumbering"/>
        <w:rPr>
          <w:lang w:eastAsia="en-AU"/>
        </w:rPr>
      </w:pPr>
      <w:r>
        <w:rPr>
          <w:lang w:eastAsia="en-AU"/>
        </w:rPr>
        <w:lastRenderedPageBreak/>
        <w:t xml:space="preserve">The third </w:t>
      </w:r>
      <w:r w:rsidR="00A61CD6">
        <w:rPr>
          <w:lang w:eastAsia="en-AU"/>
        </w:rPr>
        <w:t xml:space="preserve">of the cases leading up to </w:t>
      </w:r>
      <w:proofErr w:type="spellStart"/>
      <w:r w:rsidR="00A61CD6">
        <w:rPr>
          <w:i/>
          <w:iCs/>
          <w:lang w:eastAsia="en-AU"/>
        </w:rPr>
        <w:t>Austructures</w:t>
      </w:r>
      <w:proofErr w:type="spellEnd"/>
      <w:r w:rsidR="00A61CD6">
        <w:rPr>
          <w:lang w:eastAsia="en-AU"/>
        </w:rPr>
        <w:t xml:space="preserve"> is </w:t>
      </w:r>
      <w:proofErr w:type="spellStart"/>
      <w:r w:rsidR="00A61CD6">
        <w:rPr>
          <w:i/>
          <w:iCs/>
          <w:lang w:eastAsia="en-AU"/>
        </w:rPr>
        <w:t>Newtronics</w:t>
      </w:r>
      <w:proofErr w:type="spellEnd"/>
      <w:r w:rsidR="00A61CD6">
        <w:rPr>
          <w:i/>
          <w:iCs/>
          <w:lang w:eastAsia="en-AU"/>
        </w:rPr>
        <w:t xml:space="preserve"> Pty Ltd v </w:t>
      </w:r>
      <w:proofErr w:type="spellStart"/>
      <w:r w:rsidR="00A61CD6">
        <w:rPr>
          <w:i/>
          <w:iCs/>
          <w:lang w:eastAsia="en-AU"/>
        </w:rPr>
        <w:t>Gjerg</w:t>
      </w:r>
      <w:r w:rsidR="00331FEA">
        <w:rPr>
          <w:i/>
          <w:iCs/>
          <w:lang w:eastAsia="en-AU"/>
        </w:rPr>
        <w:t>ja</w:t>
      </w:r>
      <w:proofErr w:type="spellEnd"/>
      <w:r w:rsidR="00331FEA">
        <w:rPr>
          <w:lang w:eastAsia="en-AU"/>
        </w:rPr>
        <w:t xml:space="preserve"> [2008] VSCA 117 (</w:t>
      </w:r>
      <w:proofErr w:type="spellStart"/>
      <w:r w:rsidR="00331FEA">
        <w:rPr>
          <w:b/>
          <w:bCs/>
          <w:i/>
          <w:iCs/>
          <w:lang w:eastAsia="en-AU"/>
        </w:rPr>
        <w:t>Newtronics</w:t>
      </w:r>
      <w:proofErr w:type="spellEnd"/>
      <w:r w:rsidR="00331FEA">
        <w:rPr>
          <w:lang w:eastAsia="en-AU"/>
        </w:rPr>
        <w:t>)</w:t>
      </w:r>
      <w:r w:rsidR="00AF0C6A">
        <w:rPr>
          <w:lang w:eastAsia="en-AU"/>
        </w:rPr>
        <w:t>.</w:t>
      </w:r>
      <w:r w:rsidR="008A52FE">
        <w:rPr>
          <w:lang w:eastAsia="en-AU"/>
        </w:rPr>
        <w:t xml:space="preserve"> </w:t>
      </w:r>
      <w:proofErr w:type="spellStart"/>
      <w:r w:rsidR="008A52FE">
        <w:rPr>
          <w:i/>
          <w:iCs/>
          <w:lang w:eastAsia="en-AU"/>
        </w:rPr>
        <w:t>Newtronics</w:t>
      </w:r>
      <w:proofErr w:type="spellEnd"/>
      <w:r w:rsidR="008A52FE">
        <w:rPr>
          <w:lang w:eastAsia="en-AU"/>
        </w:rPr>
        <w:t xml:space="preserve"> concerned a predecessor of </w:t>
      </w:r>
      <w:r w:rsidR="00B653EC">
        <w:rPr>
          <w:lang w:eastAsia="en-AU"/>
        </w:rPr>
        <w:t>s 1317H</w:t>
      </w:r>
      <w:r w:rsidR="00CB040A">
        <w:rPr>
          <w:lang w:eastAsia="en-AU"/>
        </w:rPr>
        <w:t xml:space="preserve">. It is necessary to </w:t>
      </w:r>
      <w:r w:rsidR="00330999">
        <w:rPr>
          <w:lang w:eastAsia="en-AU"/>
        </w:rPr>
        <w:t>describe the relevant regime in a little detail.</w:t>
      </w:r>
    </w:p>
    <w:p w14:paraId="346A53D3" w14:textId="2781356E" w:rsidR="004E74AD" w:rsidRDefault="00E734E9" w:rsidP="00330999">
      <w:pPr>
        <w:pStyle w:val="ListNo1alt"/>
        <w:numPr>
          <w:ilvl w:val="0"/>
          <w:numId w:val="30"/>
        </w:numPr>
        <w:rPr>
          <w:lang w:eastAsia="en-AU"/>
        </w:rPr>
      </w:pPr>
      <w:r>
        <w:rPr>
          <w:lang w:eastAsia="en-AU"/>
        </w:rPr>
        <w:t xml:space="preserve">The proceeding at first instance in </w:t>
      </w:r>
      <w:proofErr w:type="spellStart"/>
      <w:r>
        <w:rPr>
          <w:i/>
          <w:iCs/>
          <w:lang w:eastAsia="en-AU"/>
        </w:rPr>
        <w:t>Newtronics</w:t>
      </w:r>
      <w:proofErr w:type="spellEnd"/>
      <w:r>
        <w:rPr>
          <w:lang w:eastAsia="en-AU"/>
        </w:rPr>
        <w:t xml:space="preserve"> was </w:t>
      </w:r>
      <w:r w:rsidR="00B81A3A">
        <w:rPr>
          <w:lang w:eastAsia="en-AU"/>
        </w:rPr>
        <w:t>commenced in 2005, by which time the company was in liquidation</w:t>
      </w:r>
      <w:r w:rsidR="00BC63A2">
        <w:rPr>
          <w:lang w:eastAsia="en-AU"/>
        </w:rPr>
        <w:t>,</w:t>
      </w:r>
      <w:r w:rsidR="00B81A3A">
        <w:rPr>
          <w:lang w:eastAsia="en-AU"/>
        </w:rPr>
        <w:t xml:space="preserve"> and </w:t>
      </w:r>
      <w:r w:rsidR="003D0EFB">
        <w:rPr>
          <w:lang w:eastAsia="en-AU"/>
        </w:rPr>
        <w:t xml:space="preserve">concerned alleged breaches of duty by directors in the </w:t>
      </w:r>
      <w:proofErr w:type="spellStart"/>
      <w:r w:rsidR="003D0EFB">
        <w:rPr>
          <w:lang w:eastAsia="en-AU"/>
        </w:rPr>
        <w:t>mid 1990s</w:t>
      </w:r>
      <w:proofErr w:type="spellEnd"/>
      <w:r w:rsidR="003D0EFB">
        <w:rPr>
          <w:lang w:eastAsia="en-AU"/>
        </w:rPr>
        <w:t>.</w:t>
      </w:r>
      <w:r w:rsidR="00A0298E">
        <w:rPr>
          <w:lang w:eastAsia="en-AU"/>
        </w:rPr>
        <w:t xml:space="preserve"> The relevant provisions were thus understood to </w:t>
      </w:r>
      <w:r w:rsidR="004A580F">
        <w:rPr>
          <w:lang w:eastAsia="en-AU"/>
        </w:rPr>
        <w:t>include</w:t>
      </w:r>
      <w:r w:rsidR="00D53A91">
        <w:rPr>
          <w:lang w:eastAsia="en-AU"/>
        </w:rPr>
        <w:t xml:space="preserve"> Part 9.4B </w:t>
      </w:r>
      <w:r w:rsidR="004A580F">
        <w:rPr>
          <w:lang w:eastAsia="en-AU"/>
        </w:rPr>
        <w:t xml:space="preserve">in the form </w:t>
      </w:r>
      <w:r w:rsidR="00D53A91">
        <w:rPr>
          <w:lang w:eastAsia="en-AU"/>
        </w:rPr>
        <w:t xml:space="preserve">introduced by the </w:t>
      </w:r>
      <w:r w:rsidR="00D53A91" w:rsidRPr="00B03749">
        <w:rPr>
          <w:i/>
          <w:iCs/>
          <w:lang w:eastAsia="en-AU"/>
        </w:rPr>
        <w:t>Corporate Law Reform Act 1992</w:t>
      </w:r>
      <w:r w:rsidR="00D53A91" w:rsidRPr="00B03749">
        <w:rPr>
          <w:lang w:eastAsia="en-AU"/>
        </w:rPr>
        <w:t xml:space="preserve"> (</w:t>
      </w:r>
      <w:proofErr w:type="spellStart"/>
      <w:r w:rsidR="00D53A91" w:rsidRPr="00B03749">
        <w:rPr>
          <w:lang w:eastAsia="en-AU"/>
        </w:rPr>
        <w:t>Cth</w:t>
      </w:r>
      <w:proofErr w:type="spellEnd"/>
      <w:r w:rsidR="00D53A91" w:rsidRPr="00B03749">
        <w:rPr>
          <w:lang w:eastAsia="en-AU"/>
        </w:rPr>
        <w:t>)</w:t>
      </w:r>
      <w:r w:rsidR="00EB40FA">
        <w:rPr>
          <w:lang w:eastAsia="en-AU"/>
        </w:rPr>
        <w:t xml:space="preserve"> (</w:t>
      </w:r>
      <w:r w:rsidR="004E74AD">
        <w:rPr>
          <w:b/>
          <w:bCs/>
          <w:lang w:eastAsia="en-AU"/>
        </w:rPr>
        <w:t>the 1992 Reform Act</w:t>
      </w:r>
      <w:r w:rsidR="004E74AD">
        <w:rPr>
          <w:lang w:eastAsia="en-AU"/>
        </w:rPr>
        <w:t>)</w:t>
      </w:r>
      <w:r w:rsidR="00AD7FDF">
        <w:rPr>
          <w:lang w:eastAsia="en-AU"/>
        </w:rPr>
        <w:t>.</w:t>
      </w:r>
    </w:p>
    <w:p w14:paraId="1C42A183" w14:textId="158346AD" w:rsidR="00330999" w:rsidRDefault="004E74AD" w:rsidP="00330999">
      <w:pPr>
        <w:pStyle w:val="ListNo1alt"/>
        <w:numPr>
          <w:ilvl w:val="0"/>
          <w:numId w:val="30"/>
        </w:numPr>
        <w:rPr>
          <w:lang w:eastAsia="en-AU"/>
        </w:rPr>
      </w:pPr>
      <w:r>
        <w:rPr>
          <w:lang w:eastAsia="en-AU"/>
        </w:rPr>
        <w:t xml:space="preserve">Prior to the 1992 Reform Act, s </w:t>
      </w:r>
      <w:r w:rsidR="005A6F43">
        <w:rPr>
          <w:lang w:eastAsia="en-AU"/>
        </w:rPr>
        <w:t>232(8) provided that a company could recover compensation from a director for</w:t>
      </w:r>
      <w:r w:rsidR="002A5DD5">
        <w:rPr>
          <w:lang w:eastAsia="en-AU"/>
        </w:rPr>
        <w:t xml:space="preserve"> </w:t>
      </w:r>
      <w:r w:rsidR="005A6F43">
        <w:rPr>
          <w:lang w:eastAsia="en-AU"/>
        </w:rPr>
        <w:t>damage caused by a contravention of their duty</w:t>
      </w:r>
      <w:r w:rsidR="003F1841">
        <w:rPr>
          <w:lang w:eastAsia="en-AU"/>
        </w:rPr>
        <w:t>. It did not fix any time limit.</w:t>
      </w:r>
    </w:p>
    <w:p w14:paraId="3D6A8EC6" w14:textId="68599506" w:rsidR="003F1841" w:rsidRDefault="00C13AA5" w:rsidP="00330999">
      <w:pPr>
        <w:pStyle w:val="ListNo1alt"/>
        <w:numPr>
          <w:ilvl w:val="0"/>
          <w:numId w:val="30"/>
        </w:numPr>
        <w:rPr>
          <w:lang w:eastAsia="en-AU"/>
        </w:rPr>
      </w:pPr>
      <w:r>
        <w:rPr>
          <w:lang w:eastAsia="en-AU"/>
        </w:rPr>
        <w:t xml:space="preserve">Following </w:t>
      </w:r>
      <w:r w:rsidR="00471487">
        <w:rPr>
          <w:lang w:eastAsia="en-AU"/>
        </w:rPr>
        <w:t>commencement</w:t>
      </w:r>
      <w:r>
        <w:rPr>
          <w:lang w:eastAsia="en-AU"/>
        </w:rPr>
        <w:t xml:space="preserve"> o</w:t>
      </w:r>
      <w:r w:rsidR="00471487">
        <w:rPr>
          <w:lang w:eastAsia="en-AU"/>
        </w:rPr>
        <w:t>f t</w:t>
      </w:r>
      <w:r w:rsidR="00936832">
        <w:rPr>
          <w:lang w:eastAsia="en-AU"/>
        </w:rPr>
        <w:t xml:space="preserve">he </w:t>
      </w:r>
      <w:r w:rsidR="00471487">
        <w:rPr>
          <w:lang w:eastAsia="en-AU"/>
        </w:rPr>
        <w:t xml:space="preserve">1992 Reform Act, the </w:t>
      </w:r>
      <w:r w:rsidR="00936832">
        <w:rPr>
          <w:lang w:eastAsia="en-AU"/>
        </w:rPr>
        <w:t xml:space="preserve">relevant subsection of s 232 was </w:t>
      </w:r>
      <w:r>
        <w:rPr>
          <w:lang w:eastAsia="en-AU"/>
        </w:rPr>
        <w:t>identified as a civil penalty provision by s 1317DA</w:t>
      </w:r>
      <w:r w:rsidR="00471487">
        <w:rPr>
          <w:lang w:eastAsia="en-AU"/>
        </w:rPr>
        <w:t xml:space="preserve">. There were </w:t>
      </w:r>
      <w:r w:rsidR="007F6FCC">
        <w:rPr>
          <w:lang w:eastAsia="en-AU"/>
        </w:rPr>
        <w:t>three sets of provisions</w:t>
      </w:r>
      <w:r w:rsidR="00624D5C">
        <w:rPr>
          <w:lang w:eastAsia="en-AU"/>
        </w:rPr>
        <w:t xml:space="preserve"> in</w:t>
      </w:r>
      <w:r w:rsidR="00B123A2">
        <w:rPr>
          <w:lang w:eastAsia="en-AU"/>
        </w:rPr>
        <w:t xml:space="preserve"> the Corporations Law</w:t>
      </w:r>
      <w:r w:rsidR="00471487">
        <w:rPr>
          <w:lang w:eastAsia="en-AU"/>
        </w:rPr>
        <w:t xml:space="preserve"> </w:t>
      </w:r>
      <w:r w:rsidR="00624D5C">
        <w:rPr>
          <w:lang w:eastAsia="en-AU"/>
        </w:rPr>
        <w:t>bearing upon</w:t>
      </w:r>
      <w:r w:rsidR="00471487">
        <w:rPr>
          <w:lang w:eastAsia="en-AU"/>
        </w:rPr>
        <w:t xml:space="preserve"> recovery of </w:t>
      </w:r>
      <w:r w:rsidR="00624D5C">
        <w:rPr>
          <w:lang w:eastAsia="en-AU"/>
        </w:rPr>
        <w:t xml:space="preserve">statutory </w:t>
      </w:r>
      <w:r w:rsidR="00471487">
        <w:rPr>
          <w:lang w:eastAsia="en-AU"/>
        </w:rPr>
        <w:t>compensation for loss resulting from a contravention of a civil penalty provision.</w:t>
      </w:r>
    </w:p>
    <w:p w14:paraId="35BC5D36" w14:textId="73E4698E" w:rsidR="00471487" w:rsidRDefault="009F1A3C" w:rsidP="00D525E3">
      <w:pPr>
        <w:pStyle w:val="ListNo2alt"/>
        <w:numPr>
          <w:ilvl w:val="1"/>
          <w:numId w:val="29"/>
        </w:numPr>
        <w:rPr>
          <w:lang w:eastAsia="en-AU"/>
        </w:rPr>
      </w:pPr>
      <w:r>
        <w:rPr>
          <w:lang w:eastAsia="en-AU"/>
        </w:rPr>
        <w:t xml:space="preserve">Section 1317HD, which was relied on in </w:t>
      </w:r>
      <w:proofErr w:type="spellStart"/>
      <w:r>
        <w:rPr>
          <w:i/>
          <w:iCs/>
          <w:lang w:eastAsia="en-AU"/>
        </w:rPr>
        <w:t>Newtronics</w:t>
      </w:r>
      <w:proofErr w:type="spellEnd"/>
      <w:r>
        <w:rPr>
          <w:lang w:eastAsia="en-AU"/>
        </w:rPr>
        <w:t xml:space="preserve">, </w:t>
      </w:r>
      <w:r w:rsidR="00EE7E3D">
        <w:rPr>
          <w:lang w:eastAsia="en-AU"/>
        </w:rPr>
        <w:t>was the predecessor of the current s 1317H.</w:t>
      </w:r>
      <w:r w:rsidR="001C7FAC">
        <w:rPr>
          <w:lang w:eastAsia="en-AU"/>
        </w:rPr>
        <w:t xml:space="preserve"> It conferred on a company the right to rec</w:t>
      </w:r>
      <w:r w:rsidR="00893A8D">
        <w:rPr>
          <w:lang w:eastAsia="en-AU"/>
        </w:rPr>
        <w:t xml:space="preserve">over </w:t>
      </w:r>
      <w:r w:rsidR="00477169">
        <w:rPr>
          <w:lang w:eastAsia="en-AU"/>
        </w:rPr>
        <w:t>compensation from a person who contravened a civil penalty provision if the person made a profit because of the relevant act or if the corporation suffered loss or damage.</w:t>
      </w:r>
      <w:r w:rsidR="00C712D6">
        <w:rPr>
          <w:lang w:eastAsia="en-AU"/>
        </w:rPr>
        <w:t xml:space="preserve"> Unlike the current s 1317H, s 1317HD </w:t>
      </w:r>
      <w:r w:rsidR="009074BB">
        <w:rPr>
          <w:lang w:eastAsia="en-AU"/>
        </w:rPr>
        <w:t xml:space="preserve">had a limitation period contained within it. Subsection (2) </w:t>
      </w:r>
      <w:proofErr w:type="gramStart"/>
      <w:r w:rsidR="009074BB">
        <w:rPr>
          <w:lang w:eastAsia="en-AU"/>
        </w:rPr>
        <w:t>provided that</w:t>
      </w:r>
      <w:proofErr w:type="gramEnd"/>
      <w:r w:rsidR="009074BB">
        <w:rPr>
          <w:lang w:eastAsia="en-AU"/>
        </w:rPr>
        <w:t xml:space="preserve"> proceedings under the section </w:t>
      </w:r>
      <w:r w:rsidR="00ED4C39">
        <w:rPr>
          <w:lang w:eastAsia="en-AU"/>
        </w:rPr>
        <w:t>“</w:t>
      </w:r>
      <w:r w:rsidR="00ED4C39" w:rsidRPr="00ED4C39">
        <w:rPr>
          <w:i/>
          <w:iCs/>
          <w:lang w:eastAsia="en-AU"/>
        </w:rPr>
        <w:t>may only be begun</w:t>
      </w:r>
      <w:r w:rsidR="00ED4C39">
        <w:rPr>
          <w:lang w:eastAsia="en-AU"/>
        </w:rPr>
        <w:t xml:space="preserve"> within 6 years after the contravention” (emphasis added).</w:t>
      </w:r>
    </w:p>
    <w:p w14:paraId="0501848C" w14:textId="1C427DF7" w:rsidR="007E6161" w:rsidRDefault="00DB26EC" w:rsidP="00D525E3">
      <w:pPr>
        <w:pStyle w:val="ListNo2alt"/>
        <w:numPr>
          <w:ilvl w:val="1"/>
          <w:numId w:val="29"/>
        </w:numPr>
        <w:rPr>
          <w:lang w:eastAsia="en-AU"/>
        </w:rPr>
      </w:pPr>
      <w:r>
        <w:rPr>
          <w:lang w:eastAsia="en-AU"/>
        </w:rPr>
        <w:t xml:space="preserve">Division 2 of Part 9.4B provided for civil penalty orders. </w:t>
      </w:r>
      <w:r w:rsidR="00232B6A">
        <w:rPr>
          <w:lang w:eastAsia="en-AU"/>
        </w:rPr>
        <w:t>Under s 1317EA, the Court could impose various sanctions on a person who contravened a civil penalty provision.</w:t>
      </w:r>
      <w:r w:rsidR="003033FD">
        <w:rPr>
          <w:lang w:eastAsia="en-AU"/>
        </w:rPr>
        <w:t xml:space="preserve"> Section 1317EB provided that an application for a civil penalty order could be made by the </w:t>
      </w:r>
      <w:r w:rsidR="00343220">
        <w:rPr>
          <w:lang w:eastAsia="en-AU"/>
        </w:rPr>
        <w:t xml:space="preserve">Australian Securities </w:t>
      </w:r>
      <w:r w:rsidR="003033FD">
        <w:rPr>
          <w:lang w:eastAsia="en-AU"/>
        </w:rPr>
        <w:t>Commission</w:t>
      </w:r>
      <w:r w:rsidR="00343220">
        <w:rPr>
          <w:lang w:eastAsia="en-AU"/>
        </w:rPr>
        <w:t xml:space="preserve"> (now ASIC)</w:t>
      </w:r>
      <w:r w:rsidR="003033FD">
        <w:rPr>
          <w:lang w:eastAsia="en-AU"/>
        </w:rPr>
        <w:t xml:space="preserve">, its delegate or a person authorised by the Minister. </w:t>
      </w:r>
      <w:r w:rsidR="00F3246B">
        <w:rPr>
          <w:lang w:eastAsia="en-AU"/>
        </w:rPr>
        <w:t xml:space="preserve">Section 1317EC </w:t>
      </w:r>
      <w:r w:rsidR="00D5690D">
        <w:rPr>
          <w:lang w:eastAsia="en-AU"/>
        </w:rPr>
        <w:t>provided that an application “</w:t>
      </w:r>
      <w:r w:rsidR="00D5690D" w:rsidRPr="00E74323">
        <w:rPr>
          <w:i/>
          <w:iCs/>
          <w:lang w:eastAsia="en-AU"/>
        </w:rPr>
        <w:t>may be made</w:t>
      </w:r>
      <w:r w:rsidR="00D5690D">
        <w:rPr>
          <w:lang w:eastAsia="en-AU"/>
        </w:rPr>
        <w:t xml:space="preserve"> </w:t>
      </w:r>
      <w:r w:rsidR="00E74323">
        <w:rPr>
          <w:lang w:eastAsia="en-AU"/>
        </w:rPr>
        <w:t>within 6 years after the contravention”</w:t>
      </w:r>
      <w:r w:rsidR="00B30235">
        <w:rPr>
          <w:lang w:eastAsia="en-AU"/>
        </w:rPr>
        <w:t xml:space="preserve"> (emphasis added)</w:t>
      </w:r>
      <w:r w:rsidR="007E0365">
        <w:rPr>
          <w:lang w:eastAsia="en-AU"/>
        </w:rPr>
        <w:t>.</w:t>
      </w:r>
      <w:r w:rsidR="006F7896">
        <w:rPr>
          <w:lang w:eastAsia="en-AU"/>
        </w:rPr>
        <w:t xml:space="preserve"> Upon the hearing of an application for a civil penalty order, </w:t>
      </w:r>
      <w:r w:rsidR="00B11D9F">
        <w:rPr>
          <w:lang w:eastAsia="en-AU"/>
        </w:rPr>
        <w:t xml:space="preserve">s 1317HA empowered the Court to make a compensation order </w:t>
      </w:r>
      <w:r w:rsidR="0036336A">
        <w:rPr>
          <w:lang w:eastAsia="en-AU"/>
        </w:rPr>
        <w:t>in favour of the relevant corporation if satisfied that the contravention was made out and loss had occurred as a result</w:t>
      </w:r>
      <w:r w:rsidR="00675195">
        <w:rPr>
          <w:lang w:eastAsia="en-AU"/>
        </w:rPr>
        <w:t>. The corporation was allowed, under s</w:t>
      </w:r>
      <w:r w:rsidR="00066E9E">
        <w:rPr>
          <w:lang w:eastAsia="en-AU"/>
        </w:rPr>
        <w:t> </w:t>
      </w:r>
      <w:r w:rsidR="00675195">
        <w:rPr>
          <w:lang w:eastAsia="en-AU"/>
        </w:rPr>
        <w:t>131</w:t>
      </w:r>
      <w:r w:rsidR="00F00801">
        <w:rPr>
          <w:lang w:eastAsia="en-AU"/>
        </w:rPr>
        <w:t>7</w:t>
      </w:r>
      <w:proofErr w:type="gramStart"/>
      <w:r w:rsidR="00675195">
        <w:rPr>
          <w:lang w:eastAsia="en-AU"/>
        </w:rPr>
        <w:t>HA(</w:t>
      </w:r>
      <w:proofErr w:type="gramEnd"/>
      <w:r w:rsidR="00675195">
        <w:rPr>
          <w:lang w:eastAsia="en-AU"/>
        </w:rPr>
        <w:t>2), to intervene in the proceeding to seek such an order.</w:t>
      </w:r>
    </w:p>
    <w:p w14:paraId="0AD0FE48" w14:textId="213161CC" w:rsidR="00745343" w:rsidRDefault="00C90ABB" w:rsidP="00D525E3">
      <w:pPr>
        <w:pStyle w:val="ListNo2alt"/>
        <w:numPr>
          <w:ilvl w:val="1"/>
          <w:numId w:val="29"/>
        </w:numPr>
        <w:rPr>
          <w:lang w:eastAsia="en-AU"/>
        </w:rPr>
      </w:pPr>
      <w:r>
        <w:rPr>
          <w:lang w:eastAsia="en-AU"/>
        </w:rPr>
        <w:lastRenderedPageBreak/>
        <w:t xml:space="preserve">Criminal proceedings in respect of a contravention could be </w:t>
      </w:r>
      <w:r w:rsidR="00341474">
        <w:rPr>
          <w:lang w:eastAsia="en-AU"/>
        </w:rPr>
        <w:t xml:space="preserve">commenced under Part 9.4. Section 1316 required such proceedings to be </w:t>
      </w:r>
      <w:r w:rsidR="009D2CAF">
        <w:rPr>
          <w:lang w:eastAsia="en-AU"/>
        </w:rPr>
        <w:t>instituted</w:t>
      </w:r>
      <w:r w:rsidR="00341474">
        <w:rPr>
          <w:lang w:eastAsia="en-AU"/>
        </w:rPr>
        <w:t xml:space="preserve"> within five years </w:t>
      </w:r>
      <w:r w:rsidR="00FC7A24">
        <w:rPr>
          <w:lang w:eastAsia="en-AU"/>
        </w:rPr>
        <w:t xml:space="preserve">after the relevant act or </w:t>
      </w:r>
      <w:proofErr w:type="gramStart"/>
      <w:r w:rsidR="00FC7A24">
        <w:rPr>
          <w:lang w:eastAsia="en-AU"/>
        </w:rPr>
        <w:t>omission</w:t>
      </w:r>
      <w:r w:rsidR="009D2CAF">
        <w:rPr>
          <w:lang w:eastAsia="en-AU"/>
        </w:rPr>
        <w:t>, but</w:t>
      </w:r>
      <w:proofErr w:type="gramEnd"/>
      <w:r w:rsidR="009D2CAF">
        <w:rPr>
          <w:lang w:eastAsia="en-AU"/>
        </w:rPr>
        <w:t xml:space="preserve"> allowed that to be done later with the Minister’s consent.</w:t>
      </w:r>
      <w:r w:rsidR="009126FA">
        <w:rPr>
          <w:lang w:eastAsia="en-AU"/>
        </w:rPr>
        <w:t xml:space="preserve"> A </w:t>
      </w:r>
      <w:r w:rsidR="001D1784">
        <w:rPr>
          <w:lang w:eastAsia="en-AU"/>
        </w:rPr>
        <w:t xml:space="preserve">civil penalty order application could be made in respect of the same contravention but, under s 1317GB, would be stayed </w:t>
      </w:r>
      <w:r w:rsidR="00B05A8A">
        <w:rPr>
          <w:lang w:eastAsia="en-AU"/>
        </w:rPr>
        <w:t>until the criminal proceeding was finally determined.</w:t>
      </w:r>
      <w:r w:rsidR="0082490A">
        <w:rPr>
          <w:lang w:eastAsia="en-AU"/>
        </w:rPr>
        <w:t xml:space="preserve"> Sections 1317GC </w:t>
      </w:r>
      <w:r w:rsidR="007F6FCC">
        <w:rPr>
          <w:lang w:eastAsia="en-AU"/>
        </w:rPr>
        <w:t>to 1317GK provided for various contingencies arising from the interaction of the civil penalty application and criminal proceedings.</w:t>
      </w:r>
      <w:r w:rsidR="00B30235">
        <w:rPr>
          <w:lang w:eastAsia="en-AU"/>
        </w:rPr>
        <w:t xml:space="preserve"> The short point for present purposes is that </w:t>
      </w:r>
      <w:r w:rsidR="004F22E4">
        <w:rPr>
          <w:lang w:eastAsia="en-AU"/>
        </w:rPr>
        <w:t xml:space="preserve">a corporation </w:t>
      </w:r>
      <w:r w:rsidR="0087787D">
        <w:rPr>
          <w:lang w:eastAsia="en-AU"/>
        </w:rPr>
        <w:t xml:space="preserve">could in some circumstances intervene in a civil penalty application, after the lifting of a stay, </w:t>
      </w:r>
      <w:r w:rsidR="00121C8C">
        <w:rPr>
          <w:lang w:eastAsia="en-AU"/>
        </w:rPr>
        <w:t>more than six years after the relevant contravention.</w:t>
      </w:r>
    </w:p>
    <w:p w14:paraId="1A132122" w14:textId="16340C7E" w:rsidR="002530AD" w:rsidRDefault="002F75A2" w:rsidP="002530AD">
      <w:pPr>
        <w:pStyle w:val="ParaNumbering"/>
        <w:rPr>
          <w:lang w:eastAsia="en-AU"/>
        </w:rPr>
      </w:pPr>
      <w:r>
        <w:rPr>
          <w:lang w:eastAsia="en-AU"/>
        </w:rPr>
        <w:t>In the Court of Appeal</w:t>
      </w:r>
      <w:r w:rsidR="00967DB8">
        <w:rPr>
          <w:lang w:eastAsia="en-AU"/>
        </w:rPr>
        <w:t>, Maxwell ACJ and Osborn AJA agreed with the reasons of Dodds-Streeton JA.</w:t>
      </w:r>
      <w:r w:rsidR="00BD76E1">
        <w:rPr>
          <w:lang w:eastAsia="en-AU"/>
        </w:rPr>
        <w:t xml:space="preserve"> Her Honour identified the issue as whether </w:t>
      </w:r>
      <w:r w:rsidR="00B867B3">
        <w:rPr>
          <w:lang w:eastAsia="en-AU"/>
        </w:rPr>
        <w:t xml:space="preserve">the six year limitation period in </w:t>
      </w:r>
      <w:r w:rsidR="001C5ADE">
        <w:rPr>
          <w:lang w:eastAsia="en-AU"/>
        </w:rPr>
        <w:t>s </w:t>
      </w:r>
      <w:r w:rsidR="00B867B3">
        <w:rPr>
          <w:lang w:eastAsia="en-AU"/>
        </w:rPr>
        <w:t>1317</w:t>
      </w:r>
      <w:proofErr w:type="gramStart"/>
      <w:r w:rsidR="00B867B3">
        <w:rPr>
          <w:lang w:eastAsia="en-AU"/>
        </w:rPr>
        <w:t>HD(</w:t>
      </w:r>
      <w:proofErr w:type="gramEnd"/>
      <w:r w:rsidR="00B867B3">
        <w:rPr>
          <w:lang w:eastAsia="en-AU"/>
        </w:rPr>
        <w:t>1) could be extended pursuant to s 1322(4)(d).</w:t>
      </w:r>
      <w:r w:rsidR="008B76A7">
        <w:rPr>
          <w:lang w:eastAsia="en-AU"/>
        </w:rPr>
        <w:t xml:space="preserve"> After </w:t>
      </w:r>
      <w:r w:rsidR="00AD05CD">
        <w:rPr>
          <w:lang w:eastAsia="en-AU"/>
        </w:rPr>
        <w:t xml:space="preserve">describing the legislation, reviewing the authorities and </w:t>
      </w:r>
      <w:r w:rsidR="003720CF">
        <w:rPr>
          <w:lang w:eastAsia="en-AU"/>
        </w:rPr>
        <w:t>summarising the reasoning below, her Honour expressed the view at [81] that the authorities supported the position of the respondent</w:t>
      </w:r>
      <w:r w:rsidR="00461A8E">
        <w:rPr>
          <w:lang w:eastAsia="en-AU"/>
        </w:rPr>
        <w:t>s</w:t>
      </w:r>
      <w:r w:rsidR="003720CF">
        <w:rPr>
          <w:lang w:eastAsia="en-AU"/>
        </w:rPr>
        <w:t xml:space="preserve"> (</w:t>
      </w:r>
      <w:proofErr w:type="spellStart"/>
      <w:r w:rsidR="003720CF">
        <w:rPr>
          <w:lang w:eastAsia="en-AU"/>
        </w:rPr>
        <w:t>ie</w:t>
      </w:r>
      <w:proofErr w:type="spellEnd"/>
      <w:r w:rsidR="003720CF">
        <w:rPr>
          <w:lang w:eastAsia="en-AU"/>
        </w:rPr>
        <w:t xml:space="preserve">, that </w:t>
      </w:r>
      <w:r w:rsidR="005B726D">
        <w:rPr>
          <w:lang w:eastAsia="en-AU"/>
        </w:rPr>
        <w:t>s 1317</w:t>
      </w:r>
      <w:proofErr w:type="gramStart"/>
      <w:r w:rsidR="005B726D">
        <w:rPr>
          <w:lang w:eastAsia="en-AU"/>
        </w:rPr>
        <w:t>HD</w:t>
      </w:r>
      <w:r w:rsidR="00820C41">
        <w:rPr>
          <w:lang w:eastAsia="en-AU"/>
        </w:rPr>
        <w:t>(</w:t>
      </w:r>
      <w:proofErr w:type="gramEnd"/>
      <w:r w:rsidR="00820C41">
        <w:rPr>
          <w:lang w:eastAsia="en-AU"/>
        </w:rPr>
        <w:t xml:space="preserve">2) was on all fours with the provision considered in </w:t>
      </w:r>
      <w:r w:rsidR="00820C41">
        <w:rPr>
          <w:i/>
          <w:iCs/>
          <w:lang w:eastAsia="en-AU"/>
        </w:rPr>
        <w:t>David Grant</w:t>
      </w:r>
      <w:r w:rsidR="00820C41">
        <w:rPr>
          <w:lang w:eastAsia="en-AU"/>
        </w:rPr>
        <w:t xml:space="preserve"> and </w:t>
      </w:r>
      <w:r w:rsidR="003720CF">
        <w:rPr>
          <w:lang w:eastAsia="en-AU"/>
        </w:rPr>
        <w:t>s 1322(</w:t>
      </w:r>
      <w:r w:rsidR="005B726D">
        <w:rPr>
          <w:lang w:eastAsia="en-AU"/>
        </w:rPr>
        <w:t xml:space="preserve">4)(d) </w:t>
      </w:r>
      <w:r w:rsidR="00820C41">
        <w:rPr>
          <w:lang w:eastAsia="en-AU"/>
        </w:rPr>
        <w:t>was therefore excluded</w:t>
      </w:r>
      <w:r w:rsidR="003E6C9E">
        <w:rPr>
          <w:lang w:eastAsia="en-AU"/>
        </w:rPr>
        <w:t>)</w:t>
      </w:r>
      <w:r w:rsidR="00820C41">
        <w:rPr>
          <w:lang w:eastAsia="en-AU"/>
        </w:rPr>
        <w:t>.</w:t>
      </w:r>
      <w:r w:rsidR="00A94D2C">
        <w:rPr>
          <w:lang w:eastAsia="en-AU"/>
        </w:rPr>
        <w:t xml:space="preserve"> She </w:t>
      </w:r>
      <w:r w:rsidR="003E6C9E">
        <w:rPr>
          <w:lang w:eastAsia="en-AU"/>
        </w:rPr>
        <w:t>made the following points in support of this conclusion at [82]-[89].</w:t>
      </w:r>
    </w:p>
    <w:p w14:paraId="26D73057" w14:textId="38875750" w:rsidR="003E6C9E" w:rsidRPr="001F1478" w:rsidRDefault="00E77887" w:rsidP="003E6C9E">
      <w:pPr>
        <w:pStyle w:val="ListNo1alt"/>
        <w:numPr>
          <w:ilvl w:val="0"/>
          <w:numId w:val="31"/>
        </w:numPr>
        <w:rPr>
          <w:lang w:eastAsia="en-AU"/>
        </w:rPr>
      </w:pPr>
      <w:r>
        <w:rPr>
          <w:i/>
          <w:iCs/>
          <w:lang w:eastAsia="en-AU"/>
        </w:rPr>
        <w:t>David Grant</w:t>
      </w:r>
      <w:r>
        <w:rPr>
          <w:lang w:eastAsia="en-AU"/>
        </w:rPr>
        <w:t xml:space="preserve"> indicates that the “emphatic prescription of a limitation period in the very provision which confers a right of action</w:t>
      </w:r>
      <w:r w:rsidR="00771703">
        <w:rPr>
          <w:lang w:eastAsia="en-AU"/>
        </w:rPr>
        <w:t>” ordinarily establishes the “jurisdictional character of the unmodified time limit”</w:t>
      </w:r>
      <w:r w:rsidR="00294A07">
        <w:rPr>
          <w:lang w:eastAsia="en-AU"/>
        </w:rPr>
        <w:t xml:space="preserve">, compliance with which is thus a condition for the exercise of the Court’s power. That reasoning was consistent with </w:t>
      </w:r>
      <w:r w:rsidR="00294A07">
        <w:rPr>
          <w:i/>
          <w:iCs/>
          <w:lang w:eastAsia="en-AU"/>
        </w:rPr>
        <w:t>R v Wallis</w:t>
      </w:r>
      <w:r w:rsidR="007811F1">
        <w:rPr>
          <w:lang w:eastAsia="en-AU"/>
        </w:rPr>
        <w:t xml:space="preserve">, and with the distinction drawn between </w:t>
      </w:r>
      <w:r w:rsidR="007811F1" w:rsidRPr="005E074D">
        <w:rPr>
          <w:szCs w:val="24"/>
          <w:lang w:eastAsia="en-AU"/>
        </w:rPr>
        <w:t xml:space="preserve">jurisdictional and procedural conditions </w:t>
      </w:r>
      <w:r w:rsidR="0029591D" w:rsidRPr="005E074D">
        <w:rPr>
          <w:szCs w:val="24"/>
          <w:lang w:eastAsia="en-AU"/>
        </w:rPr>
        <w:t xml:space="preserve">in </w:t>
      </w:r>
      <w:r w:rsidR="005E074D" w:rsidRPr="005E074D">
        <w:rPr>
          <w:i/>
          <w:iCs/>
          <w:szCs w:val="24"/>
          <w:lang w:eastAsia="en-AU"/>
        </w:rPr>
        <w:t>Emanuele v Australian Securities Commission</w:t>
      </w:r>
      <w:r w:rsidR="005E074D" w:rsidRPr="005E074D">
        <w:rPr>
          <w:szCs w:val="24"/>
          <w:lang w:eastAsia="en-AU"/>
        </w:rPr>
        <w:t xml:space="preserve"> (1997) 188 CLR 114.</w:t>
      </w:r>
    </w:p>
    <w:p w14:paraId="1D07E161" w14:textId="73E2BDAB" w:rsidR="001F1478" w:rsidRDefault="001F1478" w:rsidP="003E6C9E">
      <w:pPr>
        <w:pStyle w:val="ListNo1alt"/>
        <w:numPr>
          <w:ilvl w:val="0"/>
          <w:numId w:val="31"/>
        </w:numPr>
        <w:rPr>
          <w:lang w:eastAsia="en-AU"/>
        </w:rPr>
      </w:pPr>
      <w:r w:rsidRPr="001F1478">
        <w:rPr>
          <w:lang w:eastAsia="en-AU"/>
        </w:rPr>
        <w:t>In</w:t>
      </w:r>
      <w:r w:rsidRPr="001F1478">
        <w:rPr>
          <w:i/>
          <w:iCs/>
          <w:lang w:eastAsia="en-AU"/>
        </w:rPr>
        <w:t xml:space="preserve"> David Gr</w:t>
      </w:r>
      <w:r>
        <w:rPr>
          <w:i/>
          <w:iCs/>
          <w:lang w:eastAsia="en-AU"/>
        </w:rPr>
        <w:t>ant</w:t>
      </w:r>
      <w:r w:rsidR="00EC5E92" w:rsidRPr="00EC5E92">
        <w:rPr>
          <w:lang w:eastAsia="en-AU"/>
        </w:rPr>
        <w:t>, Gummow</w:t>
      </w:r>
      <w:r w:rsidR="00EC5E92">
        <w:rPr>
          <w:lang w:eastAsia="en-AU"/>
        </w:rPr>
        <w:t xml:space="preserve"> J considered </w:t>
      </w:r>
      <w:proofErr w:type="gramStart"/>
      <w:r w:rsidR="00EC5E92">
        <w:rPr>
          <w:lang w:eastAsia="en-AU"/>
        </w:rPr>
        <w:t>a number of</w:t>
      </w:r>
      <w:proofErr w:type="gramEnd"/>
      <w:r w:rsidR="00EC5E92">
        <w:rPr>
          <w:lang w:eastAsia="en-AU"/>
        </w:rPr>
        <w:t xml:space="preserve"> significant factors, all of which pointed the same way.</w:t>
      </w:r>
      <w:r w:rsidR="001C6BCA">
        <w:rPr>
          <w:lang w:eastAsia="en-AU"/>
        </w:rPr>
        <w:t xml:space="preserve"> It was unnecessary to say whether any </w:t>
      </w:r>
      <w:proofErr w:type="gramStart"/>
      <w:r w:rsidR="001C6BCA">
        <w:rPr>
          <w:lang w:eastAsia="en-AU"/>
        </w:rPr>
        <w:t>particular factor</w:t>
      </w:r>
      <w:proofErr w:type="gramEnd"/>
      <w:r w:rsidR="001C6BCA">
        <w:rPr>
          <w:lang w:eastAsia="en-AU"/>
        </w:rPr>
        <w:t xml:space="preserve"> was decisive.</w:t>
      </w:r>
      <w:r w:rsidR="00162767">
        <w:rPr>
          <w:lang w:eastAsia="en-AU"/>
        </w:rPr>
        <w:t xml:space="preserve"> However, it appeared that neither the use of “may only” </w:t>
      </w:r>
      <w:r w:rsidR="00407996">
        <w:rPr>
          <w:lang w:eastAsia="en-AU"/>
        </w:rPr>
        <w:t xml:space="preserve">nor the general principle that a later, more specific provision overrides an earlier, general one was </w:t>
      </w:r>
      <w:proofErr w:type="gramStart"/>
      <w:r w:rsidR="00407996">
        <w:rPr>
          <w:lang w:eastAsia="en-AU"/>
        </w:rPr>
        <w:t>decisive in itself</w:t>
      </w:r>
      <w:proofErr w:type="gramEnd"/>
      <w:r w:rsidR="00407996">
        <w:rPr>
          <w:lang w:eastAsia="en-AU"/>
        </w:rPr>
        <w:t>.</w:t>
      </w:r>
      <w:r w:rsidR="00713A60">
        <w:rPr>
          <w:lang w:eastAsia="en-AU"/>
        </w:rPr>
        <w:t xml:space="preserve"> Gummow J also gave weight to other factors including the </w:t>
      </w:r>
      <w:r w:rsidR="00806592">
        <w:rPr>
          <w:lang w:eastAsia="en-AU"/>
        </w:rPr>
        <w:t>“character, goals and intended operation of the statutory scheme, as reflected in the Explanatory Memorandum”.</w:t>
      </w:r>
      <w:r w:rsidR="005D1BAC">
        <w:rPr>
          <w:lang w:eastAsia="en-AU"/>
        </w:rPr>
        <w:t xml:space="preserve"> His Honour’s jurisdictional analysis appeared to depend on its consistency with the effective operation of the provision</w:t>
      </w:r>
      <w:r w:rsidR="00466A0C">
        <w:rPr>
          <w:lang w:eastAsia="en-AU"/>
        </w:rPr>
        <w:t xml:space="preserve"> in question. On that basis, a </w:t>
      </w:r>
      <w:r w:rsidR="00466A0C">
        <w:rPr>
          <w:lang w:eastAsia="en-AU"/>
        </w:rPr>
        <w:lastRenderedPageBreak/>
        <w:t xml:space="preserve">capricious or irrational </w:t>
      </w:r>
      <w:r w:rsidR="005A0E38">
        <w:rPr>
          <w:lang w:eastAsia="en-AU"/>
        </w:rPr>
        <w:t>out</w:t>
      </w:r>
      <w:r w:rsidR="00343651">
        <w:rPr>
          <w:lang w:eastAsia="en-AU"/>
        </w:rPr>
        <w:t>come</w:t>
      </w:r>
      <w:r w:rsidR="00466A0C">
        <w:rPr>
          <w:lang w:eastAsia="en-AU"/>
        </w:rPr>
        <w:t xml:space="preserve"> could displace the</w:t>
      </w:r>
      <w:r w:rsidR="005C14F4">
        <w:rPr>
          <w:lang w:eastAsia="en-AU"/>
        </w:rPr>
        <w:t xml:space="preserve"> view that compliance with the time limit in s 1317HD was an “integer of </w:t>
      </w:r>
      <w:r w:rsidR="005A2376">
        <w:rPr>
          <w:lang w:eastAsia="en-AU"/>
        </w:rPr>
        <w:t>[</w:t>
      </w:r>
      <w:r w:rsidR="005C14F4">
        <w:rPr>
          <w:lang w:eastAsia="en-AU"/>
        </w:rPr>
        <w:t>the</w:t>
      </w:r>
      <w:r w:rsidR="005A2376">
        <w:rPr>
          <w:lang w:eastAsia="en-AU"/>
        </w:rPr>
        <w:t>]</w:t>
      </w:r>
      <w:r w:rsidR="005C14F4">
        <w:rPr>
          <w:lang w:eastAsia="en-AU"/>
        </w:rPr>
        <w:t xml:space="preserve"> cause of action it confers”.</w:t>
      </w:r>
    </w:p>
    <w:p w14:paraId="56CC0796" w14:textId="7073C167" w:rsidR="00CE11CD" w:rsidRDefault="004C71FD" w:rsidP="003E6C9E">
      <w:pPr>
        <w:pStyle w:val="ListNo1alt"/>
        <w:numPr>
          <w:ilvl w:val="0"/>
          <w:numId w:val="31"/>
        </w:numPr>
        <w:rPr>
          <w:lang w:eastAsia="en-AU"/>
        </w:rPr>
      </w:pPr>
      <w:r>
        <w:rPr>
          <w:lang w:eastAsia="en-AU"/>
        </w:rPr>
        <w:t xml:space="preserve">Only one feature of </w:t>
      </w:r>
      <w:r w:rsidR="00C17CCC">
        <w:rPr>
          <w:lang w:eastAsia="en-AU"/>
        </w:rPr>
        <w:t xml:space="preserve">s 1317HD distinguished it from the provisions considered in </w:t>
      </w:r>
      <w:r w:rsidR="00C17CCC">
        <w:rPr>
          <w:i/>
          <w:iCs/>
          <w:lang w:eastAsia="en-AU"/>
        </w:rPr>
        <w:t>David Grant</w:t>
      </w:r>
      <w:r w:rsidR="00C17CCC">
        <w:rPr>
          <w:lang w:eastAsia="en-AU"/>
        </w:rPr>
        <w:t xml:space="preserve"> and </w:t>
      </w:r>
      <w:r w:rsidR="00C17CCC">
        <w:rPr>
          <w:i/>
          <w:iCs/>
          <w:lang w:eastAsia="en-AU"/>
        </w:rPr>
        <w:t>BP Australia</w:t>
      </w:r>
      <w:r w:rsidR="00C17CCC">
        <w:rPr>
          <w:lang w:eastAsia="en-AU"/>
        </w:rPr>
        <w:t xml:space="preserve">. </w:t>
      </w:r>
      <w:r w:rsidR="00BA193E">
        <w:rPr>
          <w:lang w:eastAsia="en-AU"/>
        </w:rPr>
        <w:t>This was the absence of any internal provision for an extension of time.</w:t>
      </w:r>
    </w:p>
    <w:p w14:paraId="6916A6C1" w14:textId="748AE3D3" w:rsidR="00BA193E" w:rsidRDefault="00B61B56" w:rsidP="003E6C9E">
      <w:pPr>
        <w:pStyle w:val="ListNo1alt"/>
        <w:numPr>
          <w:ilvl w:val="0"/>
          <w:numId w:val="31"/>
        </w:numPr>
        <w:rPr>
          <w:lang w:eastAsia="en-AU"/>
        </w:rPr>
      </w:pPr>
      <w:r>
        <w:rPr>
          <w:lang w:eastAsia="en-AU"/>
        </w:rPr>
        <w:t xml:space="preserve">Otherwise, the provisions were similar. They were specific provisions post-dating the general remedial provision in s 1322. </w:t>
      </w:r>
      <w:r w:rsidR="001B61A4">
        <w:rPr>
          <w:lang w:eastAsia="en-AU"/>
        </w:rPr>
        <w:t>They used peremptory language, apparently deliberately</w:t>
      </w:r>
      <w:r w:rsidR="00CF003D">
        <w:rPr>
          <w:lang w:eastAsia="en-AU"/>
        </w:rPr>
        <w:t>, while an analogous provision</w:t>
      </w:r>
      <w:r w:rsidR="00540224">
        <w:rPr>
          <w:lang w:eastAsia="en-AU"/>
        </w:rPr>
        <w:t xml:space="preserve"> in the same Part</w:t>
      </w:r>
      <w:r w:rsidR="00203486">
        <w:rPr>
          <w:lang w:eastAsia="en-AU"/>
        </w:rPr>
        <w:t xml:space="preserve"> as s 1317HD</w:t>
      </w:r>
      <w:r w:rsidR="00CF003D">
        <w:rPr>
          <w:lang w:eastAsia="en-AU"/>
        </w:rPr>
        <w:t xml:space="preserve"> (s 1317EC) </w:t>
      </w:r>
      <w:r w:rsidR="00540224">
        <w:rPr>
          <w:lang w:eastAsia="en-AU"/>
        </w:rPr>
        <w:t>omitted the word “only”.</w:t>
      </w:r>
      <w:r w:rsidR="00840D7A">
        <w:rPr>
          <w:lang w:eastAsia="en-AU"/>
        </w:rPr>
        <w:t xml:space="preserve"> </w:t>
      </w:r>
      <w:r w:rsidR="00FA64DE">
        <w:rPr>
          <w:lang w:eastAsia="en-AU"/>
        </w:rPr>
        <w:t xml:space="preserve">The Explanatory Memorandum </w:t>
      </w:r>
      <w:r w:rsidR="001A64A1">
        <w:rPr>
          <w:lang w:eastAsia="en-AU"/>
        </w:rPr>
        <w:t xml:space="preserve">to the 1992 Reform Act </w:t>
      </w:r>
      <w:r w:rsidR="00FA64DE">
        <w:rPr>
          <w:lang w:eastAsia="en-AU"/>
        </w:rPr>
        <w:t>confirmed that the “distinctively mandatory operation of ‘only</w:t>
      </w:r>
      <w:r w:rsidR="00857997">
        <w:rPr>
          <w:lang w:eastAsia="en-AU"/>
        </w:rPr>
        <w:t>’ in s 1317</w:t>
      </w:r>
      <w:proofErr w:type="gramStart"/>
      <w:r w:rsidR="00857997">
        <w:rPr>
          <w:lang w:eastAsia="en-AU"/>
        </w:rPr>
        <w:t>HD(</w:t>
      </w:r>
      <w:proofErr w:type="gramEnd"/>
      <w:r w:rsidR="00857997">
        <w:rPr>
          <w:lang w:eastAsia="en-AU"/>
        </w:rPr>
        <w:t xml:space="preserve">2) was intended”. </w:t>
      </w:r>
      <w:r w:rsidR="00E17CEA">
        <w:rPr>
          <w:lang w:eastAsia="en-AU"/>
        </w:rPr>
        <w:t>There was no basis for distinguishing the cause of action created by s 131</w:t>
      </w:r>
      <w:r w:rsidR="00BB7674">
        <w:rPr>
          <w:lang w:eastAsia="en-AU"/>
        </w:rPr>
        <w:t>7</w:t>
      </w:r>
      <w:r w:rsidR="00E17CEA">
        <w:rPr>
          <w:lang w:eastAsia="en-AU"/>
        </w:rPr>
        <w:t>HD from the right created by s 459G.</w:t>
      </w:r>
    </w:p>
    <w:p w14:paraId="452752B9" w14:textId="2E22221C" w:rsidR="00B053D3" w:rsidRDefault="008B039B" w:rsidP="00B053D3">
      <w:pPr>
        <w:pStyle w:val="ParaNumbering"/>
        <w:rPr>
          <w:lang w:eastAsia="en-AU"/>
        </w:rPr>
      </w:pPr>
      <w:r>
        <w:rPr>
          <w:lang w:eastAsia="en-AU"/>
        </w:rPr>
        <w:t>Dodds-Streeton JA then considered</w:t>
      </w:r>
      <w:r w:rsidR="00F61568">
        <w:rPr>
          <w:lang w:eastAsia="en-AU"/>
        </w:rPr>
        <w:t xml:space="preserve"> at [90</w:t>
      </w:r>
      <w:r w:rsidR="00B4046D">
        <w:rPr>
          <w:lang w:eastAsia="en-AU"/>
        </w:rPr>
        <w:t>]</w:t>
      </w:r>
      <w:r>
        <w:rPr>
          <w:lang w:eastAsia="en-AU"/>
        </w:rPr>
        <w:t xml:space="preserve"> whether the exclusion of s 1317</w:t>
      </w:r>
      <w:proofErr w:type="gramStart"/>
      <w:r>
        <w:rPr>
          <w:lang w:eastAsia="en-AU"/>
        </w:rPr>
        <w:t>HD</w:t>
      </w:r>
      <w:r w:rsidR="004E61CE">
        <w:rPr>
          <w:lang w:eastAsia="en-AU"/>
        </w:rPr>
        <w:t>(</w:t>
      </w:r>
      <w:proofErr w:type="gramEnd"/>
      <w:r w:rsidR="004E61CE">
        <w:rPr>
          <w:lang w:eastAsia="en-AU"/>
        </w:rPr>
        <w:t>2)</w:t>
      </w:r>
      <w:r>
        <w:rPr>
          <w:lang w:eastAsia="en-AU"/>
        </w:rPr>
        <w:t xml:space="preserve"> from s</w:t>
      </w:r>
      <w:r w:rsidR="007A4E29">
        <w:rPr>
          <w:lang w:eastAsia="en-AU"/>
        </w:rPr>
        <w:t> </w:t>
      </w:r>
      <w:r>
        <w:rPr>
          <w:lang w:eastAsia="en-AU"/>
        </w:rPr>
        <w:t>1322(4)(d)</w:t>
      </w:r>
      <w:r w:rsidR="00D36C35">
        <w:rPr>
          <w:lang w:eastAsia="en-AU"/>
        </w:rPr>
        <w:t xml:space="preserve">, in making the time limit in the former provision a rigid one, </w:t>
      </w:r>
      <w:r w:rsidR="004E61CE">
        <w:rPr>
          <w:lang w:eastAsia="en-AU"/>
        </w:rPr>
        <w:t>would result in its “capricious or unjust operation”</w:t>
      </w:r>
      <w:r w:rsidR="00D47353">
        <w:rPr>
          <w:lang w:eastAsia="en-AU"/>
        </w:rPr>
        <w:t xml:space="preserve">. The asserted caprice appears to have been that </w:t>
      </w:r>
      <w:r w:rsidR="00924814">
        <w:rPr>
          <w:lang w:eastAsia="en-AU"/>
        </w:rPr>
        <w:t xml:space="preserve">compensation could be obtained </w:t>
      </w:r>
      <w:r w:rsidR="00114351">
        <w:rPr>
          <w:lang w:eastAsia="en-AU"/>
        </w:rPr>
        <w:t xml:space="preserve">through the other avenues contemplated in Part 9.4B (that is, by the </w:t>
      </w:r>
      <w:r w:rsidR="00ED649D">
        <w:rPr>
          <w:lang w:eastAsia="en-AU"/>
        </w:rPr>
        <w:t>corporation intervening at a late stage in an application for pecuniary penalties)</w:t>
      </w:r>
      <w:r w:rsidR="00B4046D">
        <w:rPr>
          <w:lang w:eastAsia="en-AU"/>
        </w:rPr>
        <w:t xml:space="preserve"> after the </w:t>
      </w:r>
      <w:proofErr w:type="gramStart"/>
      <w:r w:rsidR="00B4046D">
        <w:rPr>
          <w:lang w:eastAsia="en-AU"/>
        </w:rPr>
        <w:t>six year</w:t>
      </w:r>
      <w:proofErr w:type="gramEnd"/>
      <w:r w:rsidR="00B4046D">
        <w:rPr>
          <w:lang w:eastAsia="en-AU"/>
        </w:rPr>
        <w:t xml:space="preserve"> period had passed, whereas an action under s 1317HD would be bound to fail if commenced after that time.</w:t>
      </w:r>
      <w:r w:rsidR="003E2669">
        <w:rPr>
          <w:lang w:eastAsia="en-AU"/>
        </w:rPr>
        <w:t xml:space="preserve"> This analysis appears to have proceeded on an understanding that the limitation period for an application by the</w:t>
      </w:r>
      <w:r w:rsidR="00EA43E6">
        <w:rPr>
          <w:lang w:eastAsia="en-AU"/>
        </w:rPr>
        <w:t xml:space="preserve"> Australian Securities</w:t>
      </w:r>
      <w:r w:rsidR="003E2669">
        <w:rPr>
          <w:lang w:eastAsia="en-AU"/>
        </w:rPr>
        <w:t xml:space="preserve"> Commission under s 1317EC</w:t>
      </w:r>
      <w:r w:rsidR="001119EB">
        <w:rPr>
          <w:lang w:eastAsia="en-AU"/>
        </w:rPr>
        <w:t xml:space="preserve"> was capable of being extended under s 1322(4)(d) </w:t>
      </w:r>
      <w:r w:rsidR="004D7081" w:rsidRPr="00A316CD">
        <w:rPr>
          <w:lang w:eastAsia="en-AU"/>
        </w:rPr>
        <w:t>(see</w:t>
      </w:r>
      <w:r w:rsidR="00573D95">
        <w:rPr>
          <w:lang w:eastAsia="en-AU"/>
        </w:rPr>
        <w:t xml:space="preserve"> </w:t>
      </w:r>
      <w:proofErr w:type="spellStart"/>
      <w:r w:rsidR="00573D95">
        <w:rPr>
          <w:i/>
          <w:iCs/>
          <w:lang w:eastAsia="en-AU"/>
        </w:rPr>
        <w:t>Newtronics</w:t>
      </w:r>
      <w:proofErr w:type="spellEnd"/>
      <w:r w:rsidR="004D7081" w:rsidRPr="00A316CD">
        <w:rPr>
          <w:lang w:eastAsia="en-AU"/>
        </w:rPr>
        <w:t xml:space="preserve"> at [27])</w:t>
      </w:r>
      <w:r w:rsidR="00265826">
        <w:rPr>
          <w:lang w:eastAsia="en-AU"/>
        </w:rPr>
        <w:t>, which, as the respondent submitted before me, is not self-evidently correct</w:t>
      </w:r>
      <w:r w:rsidR="000A5FFA">
        <w:rPr>
          <w:lang w:eastAsia="en-AU"/>
        </w:rPr>
        <w:t>. However, be that as it may</w:t>
      </w:r>
      <w:r w:rsidR="007132A1">
        <w:rPr>
          <w:lang w:eastAsia="en-AU"/>
        </w:rPr>
        <w:t>,</w:t>
      </w:r>
      <w:r w:rsidR="000A5FFA">
        <w:rPr>
          <w:lang w:eastAsia="en-AU"/>
        </w:rPr>
        <w:t xml:space="preserve"> it clearly was the case that a corporation might </w:t>
      </w:r>
      <w:r w:rsidR="00B959B4">
        <w:rPr>
          <w:lang w:eastAsia="en-AU"/>
        </w:rPr>
        <w:t>take advantage of a pecuniary penalty application having</w:t>
      </w:r>
      <w:r w:rsidR="00A570AF">
        <w:rPr>
          <w:lang w:eastAsia="en-AU"/>
        </w:rPr>
        <w:t xml:space="preserve"> been</w:t>
      </w:r>
      <w:r w:rsidR="00B959B4">
        <w:rPr>
          <w:lang w:eastAsia="en-AU"/>
        </w:rPr>
        <w:t xml:space="preserve"> made</w:t>
      </w:r>
      <w:r w:rsidR="00416D3B">
        <w:rPr>
          <w:lang w:eastAsia="en-AU"/>
        </w:rPr>
        <w:t xml:space="preserve"> (either </w:t>
      </w:r>
      <w:r w:rsidR="00416D3B">
        <w:rPr>
          <w:i/>
          <w:iCs/>
          <w:lang w:eastAsia="en-AU"/>
        </w:rPr>
        <w:t>simpliciter</w:t>
      </w:r>
      <w:r w:rsidR="00416D3B">
        <w:rPr>
          <w:lang w:eastAsia="en-AU"/>
        </w:rPr>
        <w:t xml:space="preserve"> or in conjunction with criminal proceedings)</w:t>
      </w:r>
      <w:r w:rsidR="00B959B4">
        <w:rPr>
          <w:lang w:eastAsia="en-AU"/>
        </w:rPr>
        <w:t xml:space="preserve"> and intervene in that application, to seek compensation, after the expiry of the s 1317HD limitation period.</w:t>
      </w:r>
      <w:r w:rsidR="007132A1">
        <w:rPr>
          <w:lang w:eastAsia="en-AU"/>
        </w:rPr>
        <w:t xml:space="preserve"> In any case, </w:t>
      </w:r>
      <w:r w:rsidR="002612F9">
        <w:rPr>
          <w:lang w:eastAsia="en-AU"/>
        </w:rPr>
        <w:t>as her Honour accepted at [90]</w:t>
      </w:r>
      <w:r w:rsidR="006D158A">
        <w:rPr>
          <w:lang w:eastAsia="en-AU"/>
        </w:rPr>
        <w:t>,</w:t>
      </w:r>
      <w:r w:rsidR="002612F9">
        <w:rPr>
          <w:lang w:eastAsia="en-AU"/>
        </w:rPr>
        <w:t xml:space="preserve"> there was </w:t>
      </w:r>
      <w:r w:rsidR="009E6A36">
        <w:rPr>
          <w:lang w:eastAsia="en-AU"/>
        </w:rPr>
        <w:t>an obvious explanation for different treatment between proceedings commenced in the public interest</w:t>
      </w:r>
      <w:r w:rsidR="005C299F">
        <w:rPr>
          <w:lang w:eastAsia="en-AU"/>
        </w:rPr>
        <w:t xml:space="preserve"> (where the relevant corporation had no control over whether they were commenced) and proceedings </w:t>
      </w:r>
      <w:r w:rsidR="006D158A">
        <w:rPr>
          <w:lang w:eastAsia="en-AU"/>
        </w:rPr>
        <w:t>commenced by the corporation solely in its own interest</w:t>
      </w:r>
      <w:r w:rsidR="007132A1">
        <w:rPr>
          <w:lang w:eastAsia="en-AU"/>
        </w:rPr>
        <w:t>.</w:t>
      </w:r>
      <w:r w:rsidR="00B720B5">
        <w:rPr>
          <w:lang w:eastAsia="en-AU"/>
        </w:rPr>
        <w:t xml:space="preserve"> It was also to be borne </w:t>
      </w:r>
      <w:r w:rsidR="00D565E4">
        <w:rPr>
          <w:lang w:eastAsia="en-AU"/>
        </w:rPr>
        <w:t xml:space="preserve">in mind that the right to recover compensation under s 1317HD operated in addition to any other </w:t>
      </w:r>
      <w:r w:rsidR="00F4355C">
        <w:rPr>
          <w:lang w:eastAsia="en-AU"/>
        </w:rPr>
        <w:t>rule of law about the duties or liabilities of office holders</w:t>
      </w:r>
      <w:r w:rsidR="004B7B47">
        <w:rPr>
          <w:lang w:eastAsia="en-AU"/>
        </w:rPr>
        <w:t xml:space="preserve"> (at [96]</w:t>
      </w:r>
      <w:r w:rsidR="00E16BE7">
        <w:rPr>
          <w:lang w:eastAsia="en-AU"/>
        </w:rPr>
        <w:t>)</w:t>
      </w:r>
      <w:r w:rsidR="00D82D19">
        <w:rPr>
          <w:lang w:eastAsia="en-AU"/>
        </w:rPr>
        <w:t>.</w:t>
      </w:r>
    </w:p>
    <w:p w14:paraId="426AD99E" w14:textId="4B48FEC1" w:rsidR="00C97615" w:rsidRDefault="002D59B4" w:rsidP="00C97615">
      <w:pPr>
        <w:pStyle w:val="Heading2"/>
        <w:rPr>
          <w:i/>
          <w:iCs/>
          <w:lang w:eastAsia="en-AU"/>
        </w:rPr>
      </w:pPr>
      <w:proofErr w:type="spellStart"/>
      <w:r>
        <w:rPr>
          <w:i/>
          <w:iCs/>
          <w:lang w:eastAsia="en-AU"/>
        </w:rPr>
        <w:lastRenderedPageBreak/>
        <w:t>Austructures</w:t>
      </w:r>
      <w:proofErr w:type="spellEnd"/>
    </w:p>
    <w:p w14:paraId="304BABFA" w14:textId="29F290D4" w:rsidR="002D59B4" w:rsidRDefault="00791DDC" w:rsidP="002D59B4">
      <w:pPr>
        <w:pStyle w:val="ParaNumbering"/>
        <w:rPr>
          <w:lang w:eastAsia="en-AU"/>
        </w:rPr>
      </w:pPr>
      <w:r>
        <w:rPr>
          <w:lang w:eastAsia="en-AU"/>
        </w:rPr>
        <w:t xml:space="preserve">The issues in </w:t>
      </w:r>
      <w:proofErr w:type="spellStart"/>
      <w:r>
        <w:rPr>
          <w:i/>
          <w:iCs/>
          <w:lang w:eastAsia="en-AU"/>
        </w:rPr>
        <w:t>Austructures</w:t>
      </w:r>
      <w:proofErr w:type="spellEnd"/>
      <w:r>
        <w:rPr>
          <w:lang w:eastAsia="en-AU"/>
        </w:rPr>
        <w:t xml:space="preserve"> arose </w:t>
      </w:r>
      <w:r w:rsidR="0099151B">
        <w:rPr>
          <w:lang w:eastAsia="en-AU"/>
        </w:rPr>
        <w:t xml:space="preserve">in connection with </w:t>
      </w:r>
      <w:r w:rsidR="008349A5">
        <w:rPr>
          <w:lang w:eastAsia="en-AU"/>
        </w:rPr>
        <w:t>alleged contraventions occurring in 2007</w:t>
      </w:r>
      <w:r w:rsidR="0099151B">
        <w:rPr>
          <w:lang w:eastAsia="en-AU"/>
        </w:rPr>
        <w:t>. The relevant provisions</w:t>
      </w:r>
      <w:r>
        <w:rPr>
          <w:lang w:eastAsia="en-AU"/>
        </w:rPr>
        <w:t xml:space="preserve"> of Part 9.4B</w:t>
      </w:r>
      <w:r w:rsidR="00480CBC">
        <w:rPr>
          <w:lang w:eastAsia="en-AU"/>
        </w:rPr>
        <w:t xml:space="preserve"> were </w:t>
      </w:r>
      <w:r w:rsidR="000B2518">
        <w:rPr>
          <w:lang w:eastAsia="en-AU"/>
        </w:rPr>
        <w:t>in the same form as is applicable here</w:t>
      </w:r>
      <w:r>
        <w:rPr>
          <w:lang w:eastAsia="en-AU"/>
        </w:rPr>
        <w:t>.</w:t>
      </w:r>
    </w:p>
    <w:p w14:paraId="4CD9DA04" w14:textId="68940AC9" w:rsidR="0013641B" w:rsidRDefault="0013641B" w:rsidP="002D59B4">
      <w:pPr>
        <w:pStyle w:val="ParaNumbering"/>
        <w:rPr>
          <w:lang w:eastAsia="en-AU"/>
        </w:rPr>
      </w:pPr>
      <w:r>
        <w:rPr>
          <w:lang w:eastAsia="en-AU"/>
        </w:rPr>
        <w:t xml:space="preserve">Almond J rejected a submission by the plaintiffs that the phrase “no later than” in s 1317K was </w:t>
      </w:r>
      <w:r w:rsidR="0015685F">
        <w:rPr>
          <w:lang w:eastAsia="en-AU"/>
        </w:rPr>
        <w:t xml:space="preserve">analogous to the word “within” used in s 82(2) of what was then the </w:t>
      </w:r>
      <w:bookmarkStart w:id="21" w:name="_Hlk163559697"/>
      <w:r w:rsidR="0015685F" w:rsidRPr="008662F8">
        <w:rPr>
          <w:i/>
          <w:iCs/>
          <w:lang w:eastAsia="en-AU"/>
        </w:rPr>
        <w:t>Trade Practices Act 1974</w:t>
      </w:r>
      <w:r w:rsidR="0015685F" w:rsidRPr="008662F8">
        <w:rPr>
          <w:lang w:eastAsia="en-AU"/>
        </w:rPr>
        <w:t xml:space="preserve"> (</w:t>
      </w:r>
      <w:proofErr w:type="spellStart"/>
      <w:r w:rsidR="0015685F" w:rsidRPr="008662F8">
        <w:rPr>
          <w:lang w:eastAsia="en-AU"/>
        </w:rPr>
        <w:t>Cth</w:t>
      </w:r>
      <w:proofErr w:type="spellEnd"/>
      <w:r w:rsidR="0015685F" w:rsidRPr="008662F8">
        <w:rPr>
          <w:lang w:eastAsia="en-AU"/>
        </w:rPr>
        <w:t>)</w:t>
      </w:r>
      <w:bookmarkEnd w:id="21"/>
      <w:r w:rsidR="00531E3A">
        <w:rPr>
          <w:lang w:eastAsia="en-AU"/>
        </w:rPr>
        <w:t xml:space="preserve"> (at [29])</w:t>
      </w:r>
      <w:r w:rsidR="004126DB">
        <w:rPr>
          <w:lang w:eastAsia="en-AU"/>
        </w:rPr>
        <w:t xml:space="preserve"> and only barred the relevant remedy without extinguishing the underlying right</w:t>
      </w:r>
      <w:r w:rsidR="0015685F">
        <w:rPr>
          <w:lang w:eastAsia="en-AU"/>
        </w:rPr>
        <w:t>.</w:t>
      </w:r>
      <w:r w:rsidR="00531E3A">
        <w:rPr>
          <w:lang w:eastAsia="en-AU"/>
        </w:rPr>
        <w:t xml:space="preserve"> His Honour gave three reasons for this.</w:t>
      </w:r>
    </w:p>
    <w:p w14:paraId="3956870E" w14:textId="31D2B2F1" w:rsidR="00531E3A" w:rsidRDefault="0036150F" w:rsidP="0036150F">
      <w:pPr>
        <w:pStyle w:val="ParaNumbering"/>
        <w:rPr>
          <w:lang w:eastAsia="en-AU"/>
        </w:rPr>
      </w:pPr>
      <w:r>
        <w:rPr>
          <w:lang w:eastAsia="en-AU"/>
        </w:rPr>
        <w:t>First, t</w:t>
      </w:r>
      <w:r w:rsidR="00663CA9">
        <w:rPr>
          <w:lang w:eastAsia="en-AU"/>
        </w:rPr>
        <w:t xml:space="preserve">he language of s 1317K (“no later than”) </w:t>
      </w:r>
      <w:r w:rsidR="00B2435D">
        <w:rPr>
          <w:lang w:eastAsia="en-AU"/>
        </w:rPr>
        <w:t>wa</w:t>
      </w:r>
      <w:r w:rsidR="00663CA9">
        <w:rPr>
          <w:lang w:eastAsia="en-AU"/>
        </w:rPr>
        <w:t>s emphatic</w:t>
      </w:r>
      <w:r w:rsidR="00685773">
        <w:rPr>
          <w:lang w:eastAsia="en-AU"/>
        </w:rPr>
        <w:t xml:space="preserve">. It </w:t>
      </w:r>
      <w:r w:rsidR="00B2435D">
        <w:rPr>
          <w:lang w:eastAsia="en-AU"/>
        </w:rPr>
        <w:t>was</w:t>
      </w:r>
      <w:r w:rsidR="00685773">
        <w:rPr>
          <w:lang w:eastAsia="en-AU"/>
        </w:rPr>
        <w:t xml:space="preserve"> sufficiently peremptory to suggest </w:t>
      </w:r>
      <w:r w:rsidR="00D86C2F">
        <w:rPr>
          <w:lang w:eastAsia="en-AU"/>
        </w:rPr>
        <w:t xml:space="preserve">that the same operative effect as s 1317HD (“may only”) was intended: </w:t>
      </w:r>
      <w:proofErr w:type="spellStart"/>
      <w:r w:rsidR="00D86C2F">
        <w:rPr>
          <w:lang w:eastAsia="en-AU"/>
        </w:rPr>
        <w:t>ie</w:t>
      </w:r>
      <w:proofErr w:type="spellEnd"/>
      <w:r w:rsidR="00D86C2F">
        <w:rPr>
          <w:lang w:eastAsia="en-AU"/>
        </w:rPr>
        <w:t>, to bar the right and not only the remedy</w:t>
      </w:r>
      <w:r w:rsidR="0065157E">
        <w:rPr>
          <w:lang w:eastAsia="en-AU"/>
        </w:rPr>
        <w:t xml:space="preserve"> (at [30])</w:t>
      </w:r>
      <w:r w:rsidR="00D86C2F">
        <w:rPr>
          <w:lang w:eastAsia="en-AU"/>
        </w:rPr>
        <w:t>.</w:t>
      </w:r>
    </w:p>
    <w:p w14:paraId="654D6B35" w14:textId="1E0F06D9" w:rsidR="00D86C2F" w:rsidRDefault="0036150F" w:rsidP="0036150F">
      <w:pPr>
        <w:pStyle w:val="ParaNumbering"/>
        <w:rPr>
          <w:lang w:eastAsia="en-AU"/>
        </w:rPr>
      </w:pPr>
      <w:r>
        <w:rPr>
          <w:lang w:eastAsia="en-AU"/>
        </w:rPr>
        <w:t>Second</w:t>
      </w:r>
      <w:r w:rsidR="00124783">
        <w:rPr>
          <w:lang w:eastAsia="en-AU"/>
        </w:rPr>
        <w:t>, P</w:t>
      </w:r>
      <w:r w:rsidR="00BA4A9B">
        <w:rPr>
          <w:lang w:eastAsia="en-AU"/>
        </w:rPr>
        <w:t>art 9.4B deal</w:t>
      </w:r>
      <w:r w:rsidR="00B94FE6">
        <w:rPr>
          <w:lang w:eastAsia="en-AU"/>
        </w:rPr>
        <w:t>t</w:t>
      </w:r>
      <w:r w:rsidR="00BA4A9B">
        <w:rPr>
          <w:lang w:eastAsia="en-AU"/>
        </w:rPr>
        <w:t xml:space="preserve"> </w:t>
      </w:r>
      <w:r w:rsidR="00F70E25">
        <w:rPr>
          <w:lang w:eastAsia="en-AU"/>
        </w:rPr>
        <w:t>with the civil consequences of contraventions.</w:t>
      </w:r>
      <w:r w:rsidR="00150565">
        <w:rPr>
          <w:lang w:eastAsia="en-AU"/>
        </w:rPr>
        <w:t xml:space="preserve"> It provide</w:t>
      </w:r>
      <w:r w:rsidR="00B94FE6">
        <w:rPr>
          <w:lang w:eastAsia="en-AU"/>
        </w:rPr>
        <w:t>d</w:t>
      </w:r>
      <w:r w:rsidR="00150565">
        <w:rPr>
          <w:lang w:eastAsia="en-AU"/>
        </w:rPr>
        <w:t xml:space="preserve"> for declarations of contravention, pecuniary penalty orders and compensation orders. </w:t>
      </w:r>
      <w:r w:rsidR="001524FE">
        <w:rPr>
          <w:lang w:eastAsia="en-AU"/>
        </w:rPr>
        <w:t>It provide</w:t>
      </w:r>
      <w:r w:rsidR="00B94FE6">
        <w:rPr>
          <w:lang w:eastAsia="en-AU"/>
        </w:rPr>
        <w:t>d</w:t>
      </w:r>
      <w:r w:rsidR="001524FE">
        <w:rPr>
          <w:lang w:eastAsia="en-AU"/>
        </w:rPr>
        <w:t xml:space="preserve"> a single time limit for applications for these orders (at [31]).</w:t>
      </w:r>
    </w:p>
    <w:p w14:paraId="2FC4E134" w14:textId="1199E623" w:rsidR="001A519A" w:rsidRDefault="00124783" w:rsidP="0036150F">
      <w:pPr>
        <w:pStyle w:val="ParaNumbering"/>
        <w:rPr>
          <w:lang w:eastAsia="en-AU"/>
        </w:rPr>
      </w:pPr>
      <w:r>
        <w:rPr>
          <w:lang w:eastAsia="en-AU"/>
        </w:rPr>
        <w:t xml:space="preserve">The </w:t>
      </w:r>
      <w:r w:rsidR="00B2435D">
        <w:rPr>
          <w:lang w:eastAsia="en-AU"/>
        </w:rPr>
        <w:t>relevant</w:t>
      </w:r>
      <w:r>
        <w:rPr>
          <w:lang w:eastAsia="en-AU"/>
        </w:rPr>
        <w:t xml:space="preserve"> form of Part 9.4B was inserted, and the version that applied in </w:t>
      </w:r>
      <w:proofErr w:type="spellStart"/>
      <w:r>
        <w:rPr>
          <w:i/>
          <w:iCs/>
          <w:lang w:eastAsia="en-AU"/>
        </w:rPr>
        <w:t>Newtronics</w:t>
      </w:r>
      <w:proofErr w:type="spellEnd"/>
      <w:r>
        <w:rPr>
          <w:lang w:eastAsia="en-AU"/>
        </w:rPr>
        <w:t xml:space="preserve"> repealed, by the </w:t>
      </w:r>
      <w:r w:rsidRPr="008662F8">
        <w:rPr>
          <w:i/>
          <w:iCs/>
          <w:lang w:eastAsia="en-AU"/>
        </w:rPr>
        <w:t>Corporate Law Economic Reform Program Act 1999</w:t>
      </w:r>
      <w:r w:rsidRPr="008662F8">
        <w:rPr>
          <w:lang w:eastAsia="en-AU"/>
        </w:rPr>
        <w:t xml:space="preserve"> (</w:t>
      </w:r>
      <w:proofErr w:type="spellStart"/>
      <w:r w:rsidRPr="008662F8">
        <w:rPr>
          <w:lang w:eastAsia="en-AU"/>
        </w:rPr>
        <w:t>Cth</w:t>
      </w:r>
      <w:proofErr w:type="spellEnd"/>
      <w:r w:rsidRPr="008662F8">
        <w:rPr>
          <w:lang w:eastAsia="en-AU"/>
        </w:rPr>
        <w:t>)</w:t>
      </w:r>
      <w:r w:rsidR="007E0147">
        <w:rPr>
          <w:lang w:eastAsia="en-AU"/>
        </w:rPr>
        <w:t xml:space="preserve"> (</w:t>
      </w:r>
      <w:r w:rsidR="007E0147">
        <w:rPr>
          <w:b/>
          <w:bCs/>
          <w:lang w:eastAsia="en-AU"/>
        </w:rPr>
        <w:t xml:space="preserve">the </w:t>
      </w:r>
      <w:r w:rsidR="00C22B11">
        <w:rPr>
          <w:b/>
          <w:bCs/>
          <w:lang w:eastAsia="en-AU"/>
        </w:rPr>
        <w:t xml:space="preserve">1999 </w:t>
      </w:r>
      <w:r w:rsidR="002C1E5C">
        <w:rPr>
          <w:b/>
          <w:bCs/>
          <w:lang w:eastAsia="en-AU"/>
        </w:rPr>
        <w:t>CLERP Act</w:t>
      </w:r>
      <w:r w:rsidR="002C1E5C">
        <w:rPr>
          <w:lang w:eastAsia="en-AU"/>
        </w:rPr>
        <w:t>)</w:t>
      </w:r>
      <w:r w:rsidR="000A2E19">
        <w:rPr>
          <w:lang w:eastAsia="en-AU"/>
        </w:rPr>
        <w:t>.</w:t>
      </w:r>
      <w:r w:rsidR="002C1E5C">
        <w:rPr>
          <w:lang w:eastAsia="en-AU"/>
        </w:rPr>
        <w:t xml:space="preserve"> The </w:t>
      </w:r>
      <w:r w:rsidR="002C1E5C" w:rsidRPr="008662F8">
        <w:rPr>
          <w:lang w:eastAsia="en-AU"/>
        </w:rPr>
        <w:t>Explanatory Memorandum</w:t>
      </w:r>
      <w:r w:rsidR="00BE0562" w:rsidRPr="008662F8">
        <w:rPr>
          <w:lang w:eastAsia="en-AU"/>
        </w:rPr>
        <w:t xml:space="preserve"> (</w:t>
      </w:r>
      <w:r w:rsidR="00BE0562" w:rsidRPr="008662F8">
        <w:rPr>
          <w:b/>
          <w:bCs/>
          <w:lang w:eastAsia="en-AU"/>
        </w:rPr>
        <w:t>EM</w:t>
      </w:r>
      <w:r w:rsidR="00BE0562" w:rsidRPr="008662F8">
        <w:rPr>
          <w:lang w:eastAsia="en-AU"/>
        </w:rPr>
        <w:t>)</w:t>
      </w:r>
      <w:r w:rsidR="002C1E5C" w:rsidRPr="008662F8">
        <w:rPr>
          <w:lang w:eastAsia="en-AU"/>
        </w:rPr>
        <w:t xml:space="preserve"> to the Bill for that Act</w:t>
      </w:r>
      <w:r w:rsidR="002C1E5C">
        <w:rPr>
          <w:lang w:eastAsia="en-AU"/>
        </w:rPr>
        <w:t xml:space="preserve"> </w:t>
      </w:r>
      <w:r w:rsidR="00942BE7">
        <w:rPr>
          <w:lang w:eastAsia="en-AU"/>
        </w:rPr>
        <w:t xml:space="preserve">contained the following passage </w:t>
      </w:r>
      <w:r w:rsidR="001A519A">
        <w:rPr>
          <w:lang w:eastAsia="en-AU"/>
        </w:rPr>
        <w:t>at p 31 [6.10]:</w:t>
      </w:r>
    </w:p>
    <w:p w14:paraId="73219EF4" w14:textId="26BBF3AF" w:rsidR="00324C73" w:rsidRDefault="00324C73" w:rsidP="00324C73">
      <w:pPr>
        <w:pStyle w:val="Quote1"/>
        <w:rPr>
          <w:lang w:eastAsia="en-AU"/>
        </w:rPr>
      </w:pPr>
      <w:r>
        <w:rPr>
          <w:lang w:eastAsia="en-AU"/>
        </w:rPr>
        <w:t xml:space="preserve">6.10 The draft provisions will rewrite without substantial change the existing provisions of the Law about Officers (Part 3.2), Related Party Transactions (Part 3.2A), Oppression (Part 3.4) and Civil Penalties (Part 9.4B). The following paragraphs outline the more significant changes proposed to be made to these provisions </w:t>
      </w:r>
      <w:proofErr w:type="gramStart"/>
      <w:r>
        <w:rPr>
          <w:lang w:eastAsia="en-AU"/>
        </w:rPr>
        <w:t>in the course of</w:t>
      </w:r>
      <w:proofErr w:type="gramEnd"/>
      <w:r>
        <w:rPr>
          <w:lang w:eastAsia="en-AU"/>
        </w:rPr>
        <w:t xml:space="preserve"> rewriting them.</w:t>
      </w:r>
    </w:p>
    <w:p w14:paraId="7D2471C6" w14:textId="6D628BEB" w:rsidR="00124783" w:rsidRDefault="000F5776" w:rsidP="0036150F">
      <w:pPr>
        <w:pStyle w:val="ParaNumbering"/>
        <w:rPr>
          <w:lang w:eastAsia="en-AU"/>
        </w:rPr>
      </w:pPr>
      <w:r>
        <w:rPr>
          <w:lang w:eastAsia="en-AU"/>
        </w:rPr>
        <w:t>The</w:t>
      </w:r>
      <w:r w:rsidR="00BE0562">
        <w:rPr>
          <w:lang w:eastAsia="en-AU"/>
        </w:rPr>
        <w:t xml:space="preserve"> “more significant changes”</w:t>
      </w:r>
      <w:r>
        <w:rPr>
          <w:lang w:eastAsia="en-AU"/>
        </w:rPr>
        <w:t xml:space="preserve">, discussed in the </w:t>
      </w:r>
      <w:r w:rsidR="00501850">
        <w:rPr>
          <w:lang w:eastAsia="en-AU"/>
        </w:rPr>
        <w:t>succeeding paragraphs of the EM,</w:t>
      </w:r>
      <w:r w:rsidR="00BD22F7">
        <w:rPr>
          <w:lang w:eastAsia="en-AU"/>
        </w:rPr>
        <w:t xml:space="preserve"> </w:t>
      </w:r>
      <w:r w:rsidR="00501850">
        <w:rPr>
          <w:lang w:eastAsia="en-AU"/>
        </w:rPr>
        <w:t>did not include any</w:t>
      </w:r>
      <w:r w:rsidR="00BD22F7">
        <w:rPr>
          <w:lang w:eastAsia="en-AU"/>
        </w:rPr>
        <w:t xml:space="preserve"> reference to s 1317K.</w:t>
      </w:r>
      <w:r w:rsidR="00F11CCD">
        <w:rPr>
          <w:lang w:eastAsia="en-AU"/>
        </w:rPr>
        <w:t xml:space="preserve"> </w:t>
      </w:r>
      <w:r w:rsidR="00663552">
        <w:rPr>
          <w:lang w:eastAsia="en-AU"/>
        </w:rPr>
        <w:t>Almond J observed that, h</w:t>
      </w:r>
      <w:r w:rsidR="00F11CCD">
        <w:rPr>
          <w:lang w:eastAsia="en-AU"/>
        </w:rPr>
        <w:t>ad it been intended to convert the absolute bar in former s 1317</w:t>
      </w:r>
      <w:proofErr w:type="gramStart"/>
      <w:r w:rsidR="00F11CCD">
        <w:rPr>
          <w:lang w:eastAsia="en-AU"/>
        </w:rPr>
        <w:t>HD(</w:t>
      </w:r>
      <w:proofErr w:type="gramEnd"/>
      <w:r w:rsidR="00F11CCD">
        <w:rPr>
          <w:lang w:eastAsia="en-AU"/>
        </w:rPr>
        <w:t xml:space="preserve">2) into </w:t>
      </w:r>
      <w:r w:rsidR="00620D58">
        <w:rPr>
          <w:lang w:eastAsia="en-AU"/>
        </w:rPr>
        <w:t>one capable of extension, it would most likely have been referred to in the extrinsic materials</w:t>
      </w:r>
      <w:r w:rsidR="00EE2DC4">
        <w:rPr>
          <w:lang w:eastAsia="en-AU"/>
        </w:rPr>
        <w:t xml:space="preserve"> (at [32]-[36])</w:t>
      </w:r>
      <w:r w:rsidR="00620D58">
        <w:rPr>
          <w:lang w:eastAsia="en-AU"/>
        </w:rPr>
        <w:t>.</w:t>
      </w:r>
    </w:p>
    <w:p w14:paraId="6CE0D448" w14:textId="0D38185E" w:rsidR="00EE2DC4" w:rsidRDefault="00511663" w:rsidP="0036150F">
      <w:pPr>
        <w:pStyle w:val="ParaNumbering"/>
        <w:rPr>
          <w:lang w:eastAsia="en-AU"/>
        </w:rPr>
      </w:pPr>
      <w:r>
        <w:rPr>
          <w:lang w:eastAsia="en-AU"/>
        </w:rPr>
        <w:t xml:space="preserve">Third, there </w:t>
      </w:r>
      <w:r w:rsidR="007C20CF">
        <w:rPr>
          <w:lang w:eastAsia="en-AU"/>
        </w:rPr>
        <w:t>wa</w:t>
      </w:r>
      <w:r>
        <w:rPr>
          <w:lang w:eastAsia="en-AU"/>
        </w:rPr>
        <w:t xml:space="preserve">s the principle of construction that a later specific provision which confers and regulates the </w:t>
      </w:r>
      <w:r w:rsidR="00A36A1D">
        <w:rPr>
          <w:lang w:eastAsia="en-AU"/>
        </w:rPr>
        <w:t>exercise of a power excludes the operation of a prior, general power</w:t>
      </w:r>
      <w:r w:rsidR="00DA3E3C">
        <w:rPr>
          <w:lang w:eastAsia="en-AU"/>
        </w:rPr>
        <w:t xml:space="preserve"> (at [37]).</w:t>
      </w:r>
      <w:r w:rsidR="005E1B95">
        <w:rPr>
          <w:lang w:eastAsia="en-AU"/>
        </w:rPr>
        <w:t xml:space="preserve"> Reference was made in this connection to </w:t>
      </w:r>
      <w:r w:rsidR="005E1B95">
        <w:rPr>
          <w:i/>
          <w:iCs/>
          <w:lang w:eastAsia="en-AU"/>
        </w:rPr>
        <w:t>David Grant</w:t>
      </w:r>
      <w:r w:rsidR="005E1B95">
        <w:rPr>
          <w:lang w:eastAsia="en-AU"/>
        </w:rPr>
        <w:t xml:space="preserve"> and </w:t>
      </w:r>
      <w:proofErr w:type="spellStart"/>
      <w:r w:rsidR="005E1B95">
        <w:rPr>
          <w:i/>
          <w:iCs/>
          <w:lang w:eastAsia="en-AU"/>
        </w:rPr>
        <w:t>Newtronics</w:t>
      </w:r>
      <w:proofErr w:type="spellEnd"/>
      <w:r w:rsidR="005E1B95">
        <w:rPr>
          <w:lang w:eastAsia="en-AU"/>
        </w:rPr>
        <w:t>.</w:t>
      </w:r>
    </w:p>
    <w:p w14:paraId="11068206" w14:textId="72F3D1D2" w:rsidR="00F41402" w:rsidRDefault="00F41402" w:rsidP="0036150F">
      <w:pPr>
        <w:pStyle w:val="ParaNumbering"/>
        <w:rPr>
          <w:lang w:eastAsia="en-AU"/>
        </w:rPr>
      </w:pPr>
      <w:r>
        <w:rPr>
          <w:lang w:eastAsia="en-AU"/>
        </w:rPr>
        <w:t xml:space="preserve">From [38], his Honour considered the significance of the fact that </w:t>
      </w:r>
      <w:r w:rsidR="00184460">
        <w:rPr>
          <w:lang w:eastAsia="en-AU"/>
        </w:rPr>
        <w:t>the limitation period is no longer contained in a subsection of the provision conferring the relevant right of action.</w:t>
      </w:r>
      <w:r w:rsidR="00153468">
        <w:rPr>
          <w:lang w:eastAsia="en-AU"/>
        </w:rPr>
        <w:t xml:space="preserve"> He concluded at [42]:</w:t>
      </w:r>
    </w:p>
    <w:p w14:paraId="0F578264" w14:textId="0C1C18C9" w:rsidR="00064008" w:rsidRDefault="00241B5D" w:rsidP="00241B5D">
      <w:pPr>
        <w:pStyle w:val="Quote1"/>
        <w:rPr>
          <w:lang w:eastAsia="en-AU"/>
        </w:rPr>
      </w:pPr>
      <w:r>
        <w:rPr>
          <w:lang w:eastAsia="en-AU"/>
        </w:rPr>
        <w:lastRenderedPageBreak/>
        <w:t xml:space="preserve">… I accept the general proposition that </w:t>
      </w:r>
      <w:proofErr w:type="gramStart"/>
      <w:r>
        <w:rPr>
          <w:lang w:eastAsia="en-AU"/>
        </w:rPr>
        <w:t>in order to</w:t>
      </w:r>
      <w:proofErr w:type="gramEnd"/>
      <w:r>
        <w:rPr>
          <w:lang w:eastAsia="en-AU"/>
        </w:rPr>
        <w:t xml:space="preserve"> show that a time limitation establishes the jurisdictional character of the specified time limit, it is not essential to demonstrate that the prescribed limitation period is found in the same section as the section which creates the right of action. In my view, this is not inconsistent with the observations of Gummow J in </w:t>
      </w:r>
      <w:r>
        <w:rPr>
          <w:rFonts w:ascii="Times-Italic" w:hAnsi="Times-Italic" w:cs="Times-Italic"/>
          <w:i/>
          <w:iCs/>
          <w:lang w:eastAsia="en-AU"/>
        </w:rPr>
        <w:t>David Grant</w:t>
      </w:r>
      <w:r>
        <w:rPr>
          <w:lang w:eastAsia="en-AU"/>
        </w:rPr>
        <w:t xml:space="preserve">. Here, the statute confers and regulates the exercise of the power not within one specific provision, but in separate sections in the same part: Pt 9.4B. Part 9.4B is a sub-regime devoted to the civil consequences of contravening civil penalty provisions and post-dates the prior general remedial provision in s 1322(4)(d) in Part 9.5 of the </w:t>
      </w:r>
      <w:r>
        <w:rPr>
          <w:rFonts w:ascii="Times-Italic" w:hAnsi="Times-Italic" w:cs="Times-Italic"/>
          <w:i/>
          <w:iCs/>
          <w:lang w:eastAsia="en-AU"/>
        </w:rPr>
        <w:t>Corporations Law</w:t>
      </w:r>
      <w:r>
        <w:rPr>
          <w:lang w:eastAsia="en-AU"/>
        </w:rPr>
        <w:t>, which was enacted in 1990 and remained in substantially identical terms when the Act was enacted.</w:t>
      </w:r>
      <w:r w:rsidR="009F1A54">
        <w:rPr>
          <w:lang w:eastAsia="en-AU"/>
        </w:rPr>
        <w:t xml:space="preserve"> </w:t>
      </w:r>
    </w:p>
    <w:p w14:paraId="467A1D05" w14:textId="4938A214" w:rsidR="00153468" w:rsidRDefault="009F1A54" w:rsidP="00241B5D">
      <w:pPr>
        <w:pStyle w:val="Quote1"/>
        <w:rPr>
          <w:lang w:eastAsia="en-AU"/>
        </w:rPr>
      </w:pPr>
      <w:r>
        <w:rPr>
          <w:lang w:eastAsia="en-AU"/>
        </w:rPr>
        <w:t>(</w:t>
      </w:r>
      <w:r w:rsidR="00B9678A">
        <w:rPr>
          <w:lang w:eastAsia="en-AU"/>
        </w:rPr>
        <w:t>F</w:t>
      </w:r>
      <w:r>
        <w:rPr>
          <w:lang w:eastAsia="en-AU"/>
        </w:rPr>
        <w:t>ootnotes omitted</w:t>
      </w:r>
      <w:r w:rsidR="00B9678A">
        <w:rPr>
          <w:lang w:eastAsia="en-AU"/>
        </w:rPr>
        <w:t>.</w:t>
      </w:r>
      <w:r>
        <w:rPr>
          <w:lang w:eastAsia="en-AU"/>
        </w:rPr>
        <w:t>)</w:t>
      </w:r>
    </w:p>
    <w:p w14:paraId="6FCF719F" w14:textId="7654F1F5" w:rsidR="008A2704" w:rsidRDefault="008A2704" w:rsidP="008A2704">
      <w:pPr>
        <w:pStyle w:val="ParaNumbering"/>
        <w:rPr>
          <w:lang w:eastAsia="en-AU"/>
        </w:rPr>
      </w:pPr>
      <w:r>
        <w:rPr>
          <w:lang w:eastAsia="en-AU"/>
        </w:rPr>
        <w:t xml:space="preserve">His Honour referred to </w:t>
      </w:r>
      <w:r w:rsidR="00BD7816">
        <w:rPr>
          <w:i/>
          <w:iCs/>
          <w:lang w:eastAsia="en-AU"/>
        </w:rPr>
        <w:t>Anthony Hordern</w:t>
      </w:r>
      <w:r w:rsidR="00BD7816">
        <w:rPr>
          <w:lang w:eastAsia="en-AU"/>
        </w:rPr>
        <w:t xml:space="preserve"> and </w:t>
      </w:r>
      <w:r w:rsidR="00BD7816">
        <w:rPr>
          <w:i/>
          <w:iCs/>
          <w:lang w:eastAsia="en-AU"/>
        </w:rPr>
        <w:t>R v Wallis</w:t>
      </w:r>
      <w:r w:rsidR="00BD7816">
        <w:rPr>
          <w:lang w:eastAsia="en-AU"/>
        </w:rPr>
        <w:t xml:space="preserve">, which were regarded as </w:t>
      </w:r>
      <w:r w:rsidR="00F94530">
        <w:rPr>
          <w:lang w:eastAsia="en-AU"/>
        </w:rPr>
        <w:t>indicating that s 1317K, by its affirmative words appointing the course to be followed</w:t>
      </w:r>
      <w:r w:rsidR="007F2CBD">
        <w:rPr>
          <w:lang w:eastAsia="en-AU"/>
        </w:rPr>
        <w:t>, may be understood as importing a negative (namely that proceedings may not be started otherwise than in accordance with its terms) (at [43]-[45]).</w:t>
      </w:r>
    </w:p>
    <w:p w14:paraId="4C39E800" w14:textId="5E486BD1" w:rsidR="007F2CBD" w:rsidRPr="00620D0C" w:rsidRDefault="004C5DF8" w:rsidP="00582FE0">
      <w:pPr>
        <w:pStyle w:val="ParaNumbering"/>
        <w:rPr>
          <w:rFonts w:ascii="Times-Italic" w:hAnsi="Times-Italic" w:cs="Times-Italic"/>
          <w:sz w:val="20"/>
          <w:lang w:eastAsia="en-AU"/>
        </w:rPr>
      </w:pPr>
      <w:r>
        <w:rPr>
          <w:lang w:eastAsia="en-AU"/>
        </w:rPr>
        <w:t xml:space="preserve">The final consideration referred to by </w:t>
      </w:r>
      <w:r w:rsidRPr="00582FE0">
        <w:rPr>
          <w:szCs w:val="24"/>
          <w:lang w:eastAsia="en-AU"/>
        </w:rPr>
        <w:t>Almond J was that Part 9.4B contain</w:t>
      </w:r>
      <w:r w:rsidR="007C20CF">
        <w:rPr>
          <w:szCs w:val="24"/>
          <w:lang w:eastAsia="en-AU"/>
        </w:rPr>
        <w:t>ed</w:t>
      </w:r>
      <w:r w:rsidRPr="00582FE0">
        <w:rPr>
          <w:szCs w:val="24"/>
          <w:lang w:eastAsia="en-AU"/>
        </w:rPr>
        <w:t xml:space="preserve"> “punitive provisions</w:t>
      </w:r>
      <w:r w:rsidR="000A2D3B" w:rsidRPr="00582FE0">
        <w:rPr>
          <w:szCs w:val="24"/>
          <w:lang w:eastAsia="en-AU"/>
        </w:rPr>
        <w:t xml:space="preserve">”. His Honour referred at [47] to the </w:t>
      </w:r>
      <w:proofErr w:type="spellStart"/>
      <w:proofErr w:type="gramStart"/>
      <w:r w:rsidR="000A2D3B" w:rsidRPr="00582FE0">
        <w:rPr>
          <w:szCs w:val="24"/>
          <w:lang w:eastAsia="en-AU"/>
        </w:rPr>
        <w:t>well known</w:t>
      </w:r>
      <w:proofErr w:type="spellEnd"/>
      <w:proofErr w:type="gramEnd"/>
      <w:r w:rsidR="000A2D3B" w:rsidRPr="00582FE0">
        <w:rPr>
          <w:szCs w:val="24"/>
          <w:lang w:eastAsia="en-AU"/>
        </w:rPr>
        <w:t xml:space="preserve"> statement of McHugh J in </w:t>
      </w:r>
      <w:r w:rsidR="00582FE0" w:rsidRPr="00582FE0">
        <w:rPr>
          <w:i/>
          <w:iCs/>
          <w:szCs w:val="24"/>
          <w:lang w:eastAsia="en-AU"/>
        </w:rPr>
        <w:t xml:space="preserve">Brisbane South Regional Health Authority v Taylor </w:t>
      </w:r>
      <w:r w:rsidR="00582FE0" w:rsidRPr="00582FE0">
        <w:rPr>
          <w:szCs w:val="24"/>
          <w:lang w:eastAsia="en-AU"/>
        </w:rPr>
        <w:t>(1996) 186 CLR 541 at 552</w:t>
      </w:r>
      <w:r w:rsidR="00E9772F">
        <w:rPr>
          <w:szCs w:val="24"/>
          <w:lang w:eastAsia="en-AU"/>
        </w:rPr>
        <w:t>-553</w:t>
      </w:r>
      <w:r w:rsidR="00582FE0">
        <w:rPr>
          <w:szCs w:val="24"/>
          <w:lang w:eastAsia="en-AU"/>
        </w:rPr>
        <w:t xml:space="preserve"> concerning the justification for limitation provisions</w:t>
      </w:r>
      <w:r w:rsidR="00620D0C">
        <w:rPr>
          <w:szCs w:val="24"/>
          <w:lang w:eastAsia="en-AU"/>
        </w:rPr>
        <w:t xml:space="preserve"> and continued (at [48]):</w:t>
      </w:r>
    </w:p>
    <w:p w14:paraId="459D970E" w14:textId="617AFFC5" w:rsidR="00620D0C" w:rsidRDefault="007C04E3" w:rsidP="007C04E3">
      <w:pPr>
        <w:pStyle w:val="Quote1"/>
        <w:rPr>
          <w:lang w:eastAsia="en-AU"/>
        </w:rPr>
      </w:pPr>
      <w:r>
        <w:rPr>
          <w:lang w:eastAsia="en-AU"/>
        </w:rPr>
        <w:t xml:space="preserve">In my view, these observations are </w:t>
      </w:r>
      <w:proofErr w:type="gramStart"/>
      <w:r>
        <w:rPr>
          <w:lang w:eastAsia="en-AU"/>
        </w:rPr>
        <w:t>all the more</w:t>
      </w:r>
      <w:proofErr w:type="gramEnd"/>
      <w:r>
        <w:rPr>
          <w:lang w:eastAsia="en-AU"/>
        </w:rPr>
        <w:t xml:space="preserve"> potent where punitive provisions such as those found in Pt 9.4B are concerned.</w:t>
      </w:r>
    </w:p>
    <w:p w14:paraId="70773CD4" w14:textId="1CD04C2D" w:rsidR="006E5151" w:rsidRDefault="006E5151" w:rsidP="006E5151">
      <w:pPr>
        <w:pStyle w:val="Heading2"/>
        <w:rPr>
          <w:lang w:eastAsia="en-AU"/>
        </w:rPr>
      </w:pPr>
      <w:r>
        <w:rPr>
          <w:lang w:eastAsia="en-AU"/>
        </w:rPr>
        <w:t>The construction of s 1317K</w:t>
      </w:r>
    </w:p>
    <w:p w14:paraId="743C14B0" w14:textId="0819CAAA" w:rsidR="006E5151" w:rsidRDefault="00FE479D" w:rsidP="006E5151">
      <w:pPr>
        <w:pStyle w:val="ParaNumbering"/>
        <w:rPr>
          <w:lang w:eastAsia="en-AU"/>
        </w:rPr>
      </w:pPr>
      <w:r>
        <w:rPr>
          <w:lang w:eastAsia="en-AU"/>
        </w:rPr>
        <w:t>I describe the task here as the construction of s 1317K because the relevant question is</w:t>
      </w:r>
      <w:r w:rsidR="00BE409E">
        <w:rPr>
          <w:lang w:eastAsia="en-AU"/>
        </w:rPr>
        <w:t>:</w:t>
      </w:r>
      <w:r>
        <w:rPr>
          <w:lang w:eastAsia="en-AU"/>
        </w:rPr>
        <w:t xml:space="preserve"> what </w:t>
      </w:r>
      <w:r w:rsidR="00BE409E">
        <w:rPr>
          <w:lang w:eastAsia="en-AU"/>
        </w:rPr>
        <w:t>is the legislative intention that that provision embodie</w:t>
      </w:r>
      <w:r w:rsidR="007C20CF">
        <w:rPr>
          <w:lang w:eastAsia="en-AU"/>
        </w:rPr>
        <w:t>d</w:t>
      </w:r>
      <w:r w:rsidR="003D6627">
        <w:rPr>
          <w:lang w:eastAsia="en-AU"/>
        </w:rPr>
        <w:t xml:space="preserve">? </w:t>
      </w:r>
      <w:r w:rsidR="007C20CF">
        <w:rPr>
          <w:lang w:eastAsia="en-AU"/>
        </w:rPr>
        <w:t>Wa</w:t>
      </w:r>
      <w:r w:rsidR="00FB4F42">
        <w:rPr>
          <w:lang w:eastAsia="en-AU"/>
        </w:rPr>
        <w:t>s it intended to be an exhaustive code governing the time within which applications must be made</w:t>
      </w:r>
      <w:r w:rsidR="002A7A99">
        <w:rPr>
          <w:lang w:eastAsia="en-AU"/>
        </w:rPr>
        <w:t xml:space="preserve">; or </w:t>
      </w:r>
      <w:r w:rsidR="0032685C">
        <w:rPr>
          <w:lang w:eastAsia="en-AU"/>
        </w:rPr>
        <w:t>wa</w:t>
      </w:r>
      <w:r w:rsidR="002A7A99">
        <w:rPr>
          <w:lang w:eastAsia="en-AU"/>
        </w:rPr>
        <w:t xml:space="preserve">s it intended to operate subject to </w:t>
      </w:r>
      <w:r w:rsidR="00EA43D9">
        <w:rPr>
          <w:lang w:eastAsia="en-AU"/>
        </w:rPr>
        <w:t>provisions elsewhere in the Corporations Act that permit time limits to be extended?</w:t>
      </w:r>
    </w:p>
    <w:p w14:paraId="2575768E" w14:textId="43639B36" w:rsidR="009465FB" w:rsidRDefault="009465FB" w:rsidP="006E5151">
      <w:pPr>
        <w:pStyle w:val="ParaNumbering"/>
        <w:rPr>
          <w:lang w:eastAsia="en-AU"/>
        </w:rPr>
      </w:pPr>
      <w:r>
        <w:rPr>
          <w:lang w:eastAsia="en-AU"/>
        </w:rPr>
        <w:t>The legislative intention for these purposes resides in the text, with which the task of statutory interpretation must begin and end</w:t>
      </w:r>
      <w:r w:rsidR="00993CAE">
        <w:rPr>
          <w:lang w:eastAsia="en-AU"/>
        </w:rPr>
        <w:t xml:space="preserve"> (</w:t>
      </w:r>
      <w:r w:rsidR="00AD44BF" w:rsidRPr="00AB529C">
        <w:rPr>
          <w:i/>
          <w:iCs/>
          <w:lang w:eastAsia="en-AU"/>
        </w:rPr>
        <w:t>Alcan (NT) Alumina Pty Ltd v Commissioner of Territory Revenue</w:t>
      </w:r>
      <w:r w:rsidR="00AD44BF">
        <w:rPr>
          <w:lang w:eastAsia="en-AU"/>
        </w:rPr>
        <w:t xml:space="preserve"> [2009] HCA 41; 239 CLR 27 at [47] (Hayne, </w:t>
      </w:r>
      <w:proofErr w:type="spellStart"/>
      <w:r w:rsidR="00AD44BF">
        <w:rPr>
          <w:lang w:eastAsia="en-AU"/>
        </w:rPr>
        <w:t>Heydon</w:t>
      </w:r>
      <w:proofErr w:type="spellEnd"/>
      <w:r w:rsidR="00AD44BF">
        <w:rPr>
          <w:lang w:eastAsia="en-AU"/>
        </w:rPr>
        <w:t>, Crennan and Kiefel JJ)</w:t>
      </w:r>
      <w:r w:rsidR="00993CAE">
        <w:rPr>
          <w:lang w:eastAsia="en-AU"/>
        </w:rPr>
        <w:t>)</w:t>
      </w:r>
      <w:r>
        <w:rPr>
          <w:lang w:eastAsia="en-AU"/>
        </w:rPr>
        <w:t>.</w:t>
      </w:r>
      <w:r w:rsidR="00993CAE">
        <w:rPr>
          <w:lang w:eastAsia="en-AU"/>
        </w:rPr>
        <w:t xml:space="preserve"> It</w:t>
      </w:r>
      <w:r w:rsidR="00832F87">
        <w:rPr>
          <w:lang w:eastAsia="en-AU"/>
        </w:rPr>
        <w:t xml:space="preserve"> is not a function of the subjective intentions of people involved in the legislative process and</w:t>
      </w:r>
      <w:r w:rsidR="00993CAE">
        <w:rPr>
          <w:lang w:eastAsia="en-AU"/>
        </w:rPr>
        <w:t xml:space="preserve"> is not to be inferred from other sources</w:t>
      </w:r>
      <w:r w:rsidR="007867E9">
        <w:rPr>
          <w:lang w:eastAsia="en-AU"/>
        </w:rPr>
        <w:t xml:space="preserve">. The consequences of competing interpretations </w:t>
      </w:r>
      <w:r w:rsidR="00FA5317">
        <w:rPr>
          <w:lang w:eastAsia="en-AU"/>
        </w:rPr>
        <w:t>may provide significant guidance as to what the legislative intention is taken to be</w:t>
      </w:r>
      <w:r w:rsidR="0091593B">
        <w:rPr>
          <w:lang w:eastAsia="en-AU"/>
        </w:rPr>
        <w:t xml:space="preserve">, to the extent that such consequences are obviously unlikely to have been intended. </w:t>
      </w:r>
      <w:r w:rsidR="00014092">
        <w:rPr>
          <w:lang w:eastAsia="en-AU"/>
        </w:rPr>
        <w:t xml:space="preserve">However, that form of reasoning should generally be confined to cases where a particular construction </w:t>
      </w:r>
      <w:r w:rsidR="00C81D59">
        <w:rPr>
          <w:lang w:eastAsia="en-AU"/>
        </w:rPr>
        <w:t>renders</w:t>
      </w:r>
      <w:r w:rsidR="0048238A">
        <w:rPr>
          <w:lang w:eastAsia="en-AU"/>
        </w:rPr>
        <w:t xml:space="preserve"> the statute </w:t>
      </w:r>
      <w:r w:rsidR="00C81D59">
        <w:rPr>
          <w:lang w:eastAsia="en-AU"/>
        </w:rPr>
        <w:t>incoherent</w:t>
      </w:r>
      <w:r w:rsidR="0048238A">
        <w:rPr>
          <w:lang w:eastAsia="en-AU"/>
        </w:rPr>
        <w:t xml:space="preserve"> or </w:t>
      </w:r>
      <w:r w:rsidR="00947211">
        <w:rPr>
          <w:lang w:eastAsia="en-AU"/>
        </w:rPr>
        <w:t xml:space="preserve">runs against one of the accepted presumptions of </w:t>
      </w:r>
      <w:r w:rsidR="00034A5F">
        <w:rPr>
          <w:lang w:eastAsia="en-AU"/>
        </w:rPr>
        <w:t>legislative intention found in the cases</w:t>
      </w:r>
      <w:r w:rsidR="00995445">
        <w:rPr>
          <w:lang w:eastAsia="en-AU"/>
        </w:rPr>
        <w:t xml:space="preserve">. There is a danger in the Court </w:t>
      </w:r>
      <w:r w:rsidR="004525FA">
        <w:rPr>
          <w:lang w:eastAsia="en-AU"/>
        </w:rPr>
        <w:t xml:space="preserve">identifying its own view of what constitutes </w:t>
      </w:r>
      <w:r w:rsidR="004525FA">
        <w:rPr>
          <w:lang w:eastAsia="en-AU"/>
        </w:rPr>
        <w:lastRenderedPageBreak/>
        <w:t>a sensible policy and assuming this to have been the legislative intention</w:t>
      </w:r>
      <w:r w:rsidR="00C52C57">
        <w:rPr>
          <w:lang w:eastAsia="en-AU"/>
        </w:rPr>
        <w:t xml:space="preserve"> (</w:t>
      </w:r>
      <w:r w:rsidR="001D1B13" w:rsidRPr="009473A4">
        <w:rPr>
          <w:i/>
          <w:iCs/>
        </w:rPr>
        <w:t>Certain Lloyd’s Underwriters v Cross</w:t>
      </w:r>
      <w:r w:rsidR="001D1B13" w:rsidRPr="009473A4">
        <w:t xml:space="preserve"> [2012] HCA 56; 248 CLR 378 at [25]</w:t>
      </w:r>
      <w:r w:rsidR="001D1B13">
        <w:t>-[26]</w:t>
      </w:r>
      <w:r w:rsidR="001D1B13" w:rsidRPr="009473A4">
        <w:t xml:space="preserve"> (French CJ and Hayne J)</w:t>
      </w:r>
      <w:r w:rsidR="00C52C57">
        <w:rPr>
          <w:lang w:eastAsia="en-AU"/>
        </w:rPr>
        <w:t>)</w:t>
      </w:r>
      <w:r w:rsidR="004525FA">
        <w:rPr>
          <w:lang w:eastAsia="en-AU"/>
        </w:rPr>
        <w:t>.</w:t>
      </w:r>
    </w:p>
    <w:p w14:paraId="226E0A62" w14:textId="6859FAD4" w:rsidR="00C52C57" w:rsidRDefault="00C52C57" w:rsidP="006E5151">
      <w:pPr>
        <w:pStyle w:val="ParaNumbering"/>
        <w:rPr>
          <w:lang w:eastAsia="en-AU"/>
        </w:rPr>
      </w:pPr>
      <w:r>
        <w:rPr>
          <w:lang w:eastAsia="en-AU"/>
        </w:rPr>
        <w:t xml:space="preserve">The text, of course, is always to be read in its context. That context includes the statutory </w:t>
      </w:r>
      <w:proofErr w:type="gramStart"/>
      <w:r>
        <w:rPr>
          <w:lang w:eastAsia="en-AU"/>
        </w:rPr>
        <w:t xml:space="preserve">scheme as a whole, </w:t>
      </w:r>
      <w:r w:rsidR="007C6C75">
        <w:rPr>
          <w:lang w:eastAsia="en-AU"/>
        </w:rPr>
        <w:t>the</w:t>
      </w:r>
      <w:proofErr w:type="gramEnd"/>
      <w:r w:rsidR="007C6C75">
        <w:rPr>
          <w:lang w:eastAsia="en-AU"/>
        </w:rPr>
        <w:t xml:space="preserve"> mischief at which the provision was directed (if it can be identified)</w:t>
      </w:r>
      <w:r w:rsidR="00D6642C">
        <w:rPr>
          <w:lang w:eastAsia="en-AU"/>
        </w:rPr>
        <w:t>, the pre-existing law</w:t>
      </w:r>
      <w:r w:rsidR="007C6C75">
        <w:rPr>
          <w:lang w:eastAsia="en-AU"/>
        </w:rPr>
        <w:t xml:space="preserve"> and the extrinsic materials.</w:t>
      </w:r>
      <w:r w:rsidR="00BC78BB">
        <w:rPr>
          <w:lang w:eastAsia="en-AU"/>
        </w:rPr>
        <w:t xml:space="preserve"> The text is also to be read with the aid of </w:t>
      </w:r>
      <w:r w:rsidR="005B6A47">
        <w:rPr>
          <w:lang w:eastAsia="en-AU"/>
        </w:rPr>
        <w:t>established</w:t>
      </w:r>
      <w:r w:rsidR="00BC78BB">
        <w:rPr>
          <w:lang w:eastAsia="en-AU"/>
        </w:rPr>
        <w:t xml:space="preserve"> principles of statutory construction</w:t>
      </w:r>
      <w:r w:rsidR="005541F8">
        <w:rPr>
          <w:lang w:eastAsia="en-AU"/>
        </w:rPr>
        <w:t xml:space="preserve"> (which, it is assumed, Parliament knows and expects to be applied).</w:t>
      </w:r>
      <w:r w:rsidR="005B6A47">
        <w:rPr>
          <w:lang w:eastAsia="en-AU"/>
        </w:rPr>
        <w:t xml:space="preserve"> Thus, the “legal meaning” ultimately given to the statutory words </w:t>
      </w:r>
      <w:r w:rsidR="006E5381">
        <w:rPr>
          <w:lang w:eastAsia="en-AU"/>
        </w:rPr>
        <w:t>does not always accord with its “literal” or “ordinary” meaning</w:t>
      </w:r>
      <w:r w:rsidR="0034251D">
        <w:rPr>
          <w:lang w:eastAsia="en-AU"/>
        </w:rPr>
        <w:t xml:space="preserve">: </w:t>
      </w:r>
      <w:r w:rsidR="0034251D">
        <w:rPr>
          <w:i/>
          <w:iCs/>
          <w:lang w:eastAsia="en-AU"/>
        </w:rPr>
        <w:t>Greylag Goose Leasing 1410 Designated Activity Company v PT Garuda Indonesia Ltd</w:t>
      </w:r>
      <w:r w:rsidR="0034251D">
        <w:rPr>
          <w:lang w:eastAsia="en-AU"/>
        </w:rPr>
        <w:t xml:space="preserve"> [2023] NSWCA 134; 111 NSWLR 550 at [14] (Bell CJ (Meagher and Kirk JJA agreeing))</w:t>
      </w:r>
      <w:r w:rsidR="005059AD">
        <w:rPr>
          <w:lang w:eastAsia="en-AU"/>
        </w:rPr>
        <w:t>. However, the text is not to be given a meaning which its words cannot</w:t>
      </w:r>
      <w:r w:rsidR="001B2975">
        <w:rPr>
          <w:lang w:eastAsia="en-AU"/>
        </w:rPr>
        <w:t xml:space="preserve"> reasonably bear.</w:t>
      </w:r>
    </w:p>
    <w:p w14:paraId="34FECCFC" w14:textId="63FD5E84" w:rsidR="006C1678" w:rsidRDefault="006C1678" w:rsidP="006E5151">
      <w:pPr>
        <w:pStyle w:val="ParaNumbering"/>
        <w:rPr>
          <w:lang w:eastAsia="en-AU"/>
        </w:rPr>
      </w:pPr>
      <w:r>
        <w:rPr>
          <w:lang w:eastAsia="en-AU"/>
        </w:rPr>
        <w:t xml:space="preserve">These basic principles make some aspects of the reasoning in </w:t>
      </w:r>
      <w:proofErr w:type="spellStart"/>
      <w:r>
        <w:rPr>
          <w:i/>
          <w:iCs/>
          <w:lang w:eastAsia="en-AU"/>
        </w:rPr>
        <w:t>Austructures</w:t>
      </w:r>
      <w:proofErr w:type="spellEnd"/>
      <w:r>
        <w:rPr>
          <w:lang w:eastAsia="en-AU"/>
        </w:rPr>
        <w:t xml:space="preserve"> questionable.</w:t>
      </w:r>
      <w:r w:rsidR="00D63C47">
        <w:rPr>
          <w:lang w:eastAsia="en-AU"/>
        </w:rPr>
        <w:t xml:space="preserve"> </w:t>
      </w:r>
      <w:r w:rsidR="00B62A5E">
        <w:rPr>
          <w:lang w:eastAsia="en-AU"/>
        </w:rPr>
        <w:t xml:space="preserve">First, it is doubtful whether anything can really be drawn from the EM </w:t>
      </w:r>
      <w:r w:rsidR="00071D61">
        <w:rPr>
          <w:lang w:eastAsia="en-AU"/>
        </w:rPr>
        <w:t xml:space="preserve">to the Bill for the 1999 CLERP Act </w:t>
      </w:r>
      <w:r w:rsidR="00B62A5E">
        <w:rPr>
          <w:lang w:eastAsia="en-AU"/>
        </w:rPr>
        <w:t>for reasons I will explain below. Secondly, t</w:t>
      </w:r>
      <w:r w:rsidR="00D63C47">
        <w:rPr>
          <w:lang w:eastAsia="en-AU"/>
        </w:rPr>
        <w:t xml:space="preserve">he observation at [48] concerning the </w:t>
      </w:r>
      <w:r w:rsidR="00CD579D">
        <w:rPr>
          <w:lang w:eastAsia="en-AU"/>
        </w:rPr>
        <w:t xml:space="preserve">“potency” of </w:t>
      </w:r>
      <w:r w:rsidR="003E3977">
        <w:rPr>
          <w:lang w:eastAsia="en-AU"/>
        </w:rPr>
        <w:t xml:space="preserve">the </w:t>
      </w:r>
      <w:r w:rsidR="00CD579D">
        <w:rPr>
          <w:lang w:eastAsia="en-AU"/>
        </w:rPr>
        <w:t xml:space="preserve">factors identified by McHugh J </w:t>
      </w:r>
      <w:r w:rsidR="003E3977">
        <w:rPr>
          <w:lang w:eastAsia="en-AU"/>
        </w:rPr>
        <w:t>appears to</w:t>
      </w:r>
      <w:r w:rsidR="0097619E">
        <w:rPr>
          <w:lang w:eastAsia="en-AU"/>
        </w:rPr>
        <w:t xml:space="preserve"> reflect</w:t>
      </w:r>
      <w:r w:rsidR="003E3977">
        <w:rPr>
          <w:lang w:eastAsia="en-AU"/>
        </w:rPr>
        <w:t xml:space="preserve"> </w:t>
      </w:r>
      <w:r w:rsidR="0034251D">
        <w:rPr>
          <w:lang w:eastAsia="en-AU"/>
        </w:rPr>
        <w:t>Almond J’s</w:t>
      </w:r>
      <w:r w:rsidR="003E3977">
        <w:rPr>
          <w:lang w:eastAsia="en-AU"/>
        </w:rPr>
        <w:t xml:space="preserve"> own conception of good policy rather than to draw </w:t>
      </w:r>
      <w:r w:rsidR="00A75B58">
        <w:rPr>
          <w:lang w:eastAsia="en-AU"/>
        </w:rPr>
        <w:t xml:space="preserve">from the statutory text, </w:t>
      </w:r>
      <w:proofErr w:type="gramStart"/>
      <w:r w:rsidR="00A75B58">
        <w:rPr>
          <w:lang w:eastAsia="en-AU"/>
        </w:rPr>
        <w:t>structure</w:t>
      </w:r>
      <w:proofErr w:type="gramEnd"/>
      <w:r w:rsidR="00A75B58">
        <w:rPr>
          <w:lang w:eastAsia="en-AU"/>
        </w:rPr>
        <w:t xml:space="preserve"> or context.</w:t>
      </w:r>
      <w:r w:rsidR="009B7BA4">
        <w:rPr>
          <w:lang w:eastAsia="en-AU"/>
        </w:rPr>
        <w:t xml:space="preserve"> However, </w:t>
      </w:r>
      <w:r w:rsidR="006978B0">
        <w:rPr>
          <w:lang w:eastAsia="en-AU"/>
        </w:rPr>
        <w:t xml:space="preserve">that does not resolve the question whether the decision in </w:t>
      </w:r>
      <w:proofErr w:type="spellStart"/>
      <w:r w:rsidR="006978B0">
        <w:rPr>
          <w:i/>
          <w:iCs/>
          <w:lang w:eastAsia="en-AU"/>
        </w:rPr>
        <w:t>Austructures</w:t>
      </w:r>
      <w:proofErr w:type="spellEnd"/>
      <w:r w:rsidR="006978B0">
        <w:rPr>
          <w:lang w:eastAsia="en-AU"/>
        </w:rPr>
        <w:t xml:space="preserve"> is correct.</w:t>
      </w:r>
    </w:p>
    <w:p w14:paraId="4A239CF5" w14:textId="595609A1" w:rsidR="008F0270" w:rsidRDefault="00D53897" w:rsidP="006E5151">
      <w:pPr>
        <w:pStyle w:val="ParaNumbering"/>
        <w:rPr>
          <w:lang w:eastAsia="en-AU"/>
        </w:rPr>
      </w:pPr>
      <w:r>
        <w:rPr>
          <w:lang w:eastAsia="en-AU"/>
        </w:rPr>
        <w:t>In seeking to give effect to the principles</w:t>
      </w:r>
      <w:r w:rsidR="00082A5F">
        <w:rPr>
          <w:lang w:eastAsia="en-AU"/>
        </w:rPr>
        <w:t xml:space="preserve"> referred to above</w:t>
      </w:r>
      <w:r>
        <w:rPr>
          <w:lang w:eastAsia="en-AU"/>
        </w:rPr>
        <w:t xml:space="preserve">, a single judge necessarily starts </w:t>
      </w:r>
      <w:r w:rsidR="00082A5F">
        <w:rPr>
          <w:lang w:eastAsia="en-AU"/>
        </w:rPr>
        <w:t xml:space="preserve">(as Almond J did) </w:t>
      </w:r>
      <w:r>
        <w:rPr>
          <w:lang w:eastAsia="en-AU"/>
        </w:rPr>
        <w:t xml:space="preserve">from the position that </w:t>
      </w:r>
      <w:r w:rsidR="005C768E">
        <w:rPr>
          <w:lang w:eastAsia="en-AU"/>
        </w:rPr>
        <w:t xml:space="preserve">the decisions in </w:t>
      </w:r>
      <w:r w:rsidR="005C768E">
        <w:rPr>
          <w:i/>
          <w:iCs/>
          <w:lang w:eastAsia="en-AU"/>
        </w:rPr>
        <w:t>David Grant</w:t>
      </w:r>
      <w:r w:rsidR="005C768E">
        <w:rPr>
          <w:lang w:eastAsia="en-AU"/>
        </w:rPr>
        <w:t xml:space="preserve">, </w:t>
      </w:r>
      <w:r w:rsidR="005C768E">
        <w:rPr>
          <w:i/>
          <w:iCs/>
          <w:lang w:eastAsia="en-AU"/>
        </w:rPr>
        <w:t>BP Australia</w:t>
      </w:r>
      <w:r w:rsidR="005C768E">
        <w:rPr>
          <w:lang w:eastAsia="en-AU"/>
        </w:rPr>
        <w:t xml:space="preserve"> and </w:t>
      </w:r>
      <w:proofErr w:type="spellStart"/>
      <w:r w:rsidR="0030729C">
        <w:rPr>
          <w:i/>
          <w:iCs/>
          <w:lang w:eastAsia="en-AU"/>
        </w:rPr>
        <w:t>Newtronics</w:t>
      </w:r>
      <w:proofErr w:type="spellEnd"/>
      <w:r w:rsidR="0030729C">
        <w:rPr>
          <w:lang w:eastAsia="en-AU"/>
        </w:rPr>
        <w:t xml:space="preserve"> state the correct constructions of the provisions with which those cases were concerned.</w:t>
      </w:r>
      <w:r w:rsidR="002F019D">
        <w:rPr>
          <w:lang w:eastAsia="en-AU"/>
        </w:rPr>
        <w:t xml:space="preserve"> </w:t>
      </w:r>
      <w:r w:rsidR="00CE4593">
        <w:rPr>
          <w:lang w:eastAsia="en-AU"/>
        </w:rPr>
        <w:t xml:space="preserve">The </w:t>
      </w:r>
      <w:r w:rsidR="005C0905">
        <w:rPr>
          <w:lang w:eastAsia="en-AU"/>
        </w:rPr>
        <w:t>actual decisions</w:t>
      </w:r>
      <w:r w:rsidR="00CE4593">
        <w:rPr>
          <w:lang w:eastAsia="en-AU"/>
        </w:rPr>
        <w:t xml:space="preserve"> in those c</w:t>
      </w:r>
      <w:r w:rsidR="005C0905">
        <w:rPr>
          <w:lang w:eastAsia="en-AU"/>
        </w:rPr>
        <w:t>ases do not govern the present case, because the provisions are different</w:t>
      </w:r>
      <w:r w:rsidR="00CB7FAA">
        <w:rPr>
          <w:lang w:eastAsia="en-AU"/>
        </w:rPr>
        <w:t xml:space="preserve">; however, the </w:t>
      </w:r>
      <w:r w:rsidR="006A74B6">
        <w:rPr>
          <w:lang w:eastAsia="en-AU"/>
        </w:rPr>
        <w:t xml:space="preserve">reasoning supporting those decisions </w:t>
      </w:r>
      <w:r w:rsidR="00F52B78">
        <w:rPr>
          <w:lang w:eastAsia="en-AU"/>
        </w:rPr>
        <w:t>is to be applied to the extent that it is relevant here</w:t>
      </w:r>
      <w:r w:rsidR="005C0905">
        <w:rPr>
          <w:lang w:eastAsia="en-AU"/>
        </w:rPr>
        <w:t xml:space="preserve">. </w:t>
      </w:r>
      <w:r w:rsidR="002F019D">
        <w:rPr>
          <w:lang w:eastAsia="en-AU"/>
        </w:rPr>
        <w:t xml:space="preserve">The following points emerge with </w:t>
      </w:r>
      <w:r w:rsidR="00CA7A88">
        <w:rPr>
          <w:lang w:eastAsia="en-AU"/>
        </w:rPr>
        <w:t>reasonable clarity from these cases.</w:t>
      </w:r>
    </w:p>
    <w:p w14:paraId="107158C7" w14:textId="3D9F5B4B" w:rsidR="00CA7A88" w:rsidRDefault="00CA7A88" w:rsidP="00CA7A88">
      <w:pPr>
        <w:pStyle w:val="ListNo1alt"/>
        <w:numPr>
          <w:ilvl w:val="0"/>
          <w:numId w:val="33"/>
        </w:numPr>
        <w:rPr>
          <w:lang w:eastAsia="en-AU"/>
        </w:rPr>
      </w:pPr>
      <w:r>
        <w:rPr>
          <w:lang w:eastAsia="en-AU"/>
        </w:rPr>
        <w:t xml:space="preserve">Where the provision in question confers a new right </w:t>
      </w:r>
      <w:r w:rsidR="00BB574C">
        <w:rPr>
          <w:lang w:eastAsia="en-AU"/>
        </w:rPr>
        <w:t xml:space="preserve">or creates a cause of action, rather than regulating the commencement of </w:t>
      </w:r>
      <w:r w:rsidR="00AD0685">
        <w:rPr>
          <w:lang w:eastAsia="en-AU"/>
        </w:rPr>
        <w:t xml:space="preserve">proceedings more generally, </w:t>
      </w:r>
      <w:r w:rsidR="00823B06">
        <w:rPr>
          <w:lang w:eastAsia="en-AU"/>
        </w:rPr>
        <w:t xml:space="preserve">that points strongly to the conclusion that </w:t>
      </w:r>
      <w:r w:rsidR="007B77A7">
        <w:rPr>
          <w:lang w:eastAsia="en-AU"/>
        </w:rPr>
        <w:t xml:space="preserve">the time specified for exercising the right or moving on the cause of action is </w:t>
      </w:r>
      <w:r w:rsidR="00247959">
        <w:rPr>
          <w:lang w:eastAsia="en-AU"/>
        </w:rPr>
        <w:t>integral to its definition</w:t>
      </w:r>
      <w:r w:rsidR="005116D0">
        <w:rPr>
          <w:lang w:eastAsia="en-AU"/>
        </w:rPr>
        <w:t xml:space="preserve">: that is, “[when] the time expired the right of action was terminated or defeated” </w:t>
      </w:r>
      <w:r w:rsidR="00D16485">
        <w:rPr>
          <w:lang w:eastAsia="en-AU"/>
        </w:rPr>
        <w:t>(</w:t>
      </w:r>
      <w:r w:rsidR="00D16485" w:rsidRPr="00541659">
        <w:rPr>
          <w:i/>
          <w:iCs/>
          <w:lang w:eastAsia="en-AU"/>
        </w:rPr>
        <w:t>Maxwell v Murphy</w:t>
      </w:r>
      <w:r w:rsidR="0024330E">
        <w:rPr>
          <w:lang w:eastAsia="en-AU"/>
        </w:rPr>
        <w:t xml:space="preserve"> (1957) 96 CLR 261</w:t>
      </w:r>
      <w:r w:rsidR="00541659">
        <w:rPr>
          <w:lang w:eastAsia="en-AU"/>
        </w:rPr>
        <w:t>,</w:t>
      </w:r>
      <w:r w:rsidR="005116D0">
        <w:rPr>
          <w:lang w:eastAsia="en-AU"/>
        </w:rPr>
        <w:t xml:space="preserve"> 268 (Dixon CJ)</w:t>
      </w:r>
      <w:r w:rsidR="00E65DF9">
        <w:rPr>
          <w:lang w:eastAsia="en-AU"/>
        </w:rPr>
        <w:t xml:space="preserve">; see also </w:t>
      </w:r>
      <w:r w:rsidR="00E65DF9">
        <w:rPr>
          <w:i/>
          <w:iCs/>
          <w:lang w:eastAsia="en-AU"/>
        </w:rPr>
        <w:t>McKain v RW Millar &amp; Company (South Australia) Pty Ltd</w:t>
      </w:r>
      <w:r w:rsidR="00E65DF9">
        <w:rPr>
          <w:lang w:eastAsia="en-AU"/>
        </w:rPr>
        <w:t xml:space="preserve"> (1991) 174 CLR 1 at 43 (Brennan, Dawson, Toohey and McHugh JJ)</w:t>
      </w:r>
      <w:r w:rsidR="00541659">
        <w:rPr>
          <w:lang w:eastAsia="en-AU"/>
        </w:rPr>
        <w:t>)</w:t>
      </w:r>
      <w:r w:rsidR="00D4356E">
        <w:rPr>
          <w:lang w:eastAsia="en-AU"/>
        </w:rPr>
        <w:t>.</w:t>
      </w:r>
      <w:r w:rsidR="00900C02">
        <w:rPr>
          <w:lang w:eastAsia="en-AU"/>
        </w:rPr>
        <w:t xml:space="preserve"> This, in turn, makes it likely that the time limit</w:t>
      </w:r>
      <w:r w:rsidR="009F0F6C">
        <w:rPr>
          <w:lang w:eastAsia="en-AU"/>
        </w:rPr>
        <w:t xml:space="preserve"> is intended to operate to the exclusion of </w:t>
      </w:r>
      <w:r w:rsidR="00210A90">
        <w:rPr>
          <w:lang w:eastAsia="en-AU"/>
        </w:rPr>
        <w:t xml:space="preserve">general provisions for the </w:t>
      </w:r>
      <w:r w:rsidR="00210A90">
        <w:rPr>
          <w:lang w:eastAsia="en-AU"/>
        </w:rPr>
        <w:lastRenderedPageBreak/>
        <w:t xml:space="preserve">relaxation of </w:t>
      </w:r>
      <w:r w:rsidR="00C82A60">
        <w:rPr>
          <w:lang w:eastAsia="en-AU"/>
        </w:rPr>
        <w:t>statutory requirements</w:t>
      </w:r>
      <w:r w:rsidR="005D7E0A">
        <w:rPr>
          <w:lang w:eastAsia="en-AU"/>
        </w:rPr>
        <w:t>; particularly if the terms of the general provision suggest that it is concerned with procedural irregularities.</w:t>
      </w:r>
    </w:p>
    <w:p w14:paraId="0621843B" w14:textId="5A0F9F2D" w:rsidR="00B047FC" w:rsidRDefault="00B047FC" w:rsidP="00CA7A88">
      <w:pPr>
        <w:pStyle w:val="ListNo1alt"/>
        <w:numPr>
          <w:ilvl w:val="0"/>
          <w:numId w:val="33"/>
        </w:numPr>
        <w:rPr>
          <w:lang w:eastAsia="en-AU"/>
        </w:rPr>
      </w:pPr>
      <w:r>
        <w:rPr>
          <w:lang w:eastAsia="en-AU"/>
        </w:rPr>
        <w:t xml:space="preserve">The point is reinforced if the </w:t>
      </w:r>
      <w:r w:rsidR="00C07B62">
        <w:rPr>
          <w:lang w:eastAsia="en-AU"/>
        </w:rPr>
        <w:t xml:space="preserve">provision in question </w:t>
      </w:r>
      <w:r w:rsidR="00475850">
        <w:rPr>
          <w:lang w:eastAsia="en-AU"/>
        </w:rPr>
        <w:t>uses emphatic or peremptory language in stating its time limit</w:t>
      </w:r>
      <w:r w:rsidR="000F4CD6">
        <w:rPr>
          <w:lang w:eastAsia="en-AU"/>
        </w:rPr>
        <w:t xml:space="preserve"> (</w:t>
      </w:r>
      <w:proofErr w:type="spellStart"/>
      <w:r w:rsidR="000F4CD6">
        <w:rPr>
          <w:lang w:eastAsia="en-AU"/>
        </w:rPr>
        <w:t>eg</w:t>
      </w:r>
      <w:proofErr w:type="spellEnd"/>
      <w:r w:rsidR="000F4CD6">
        <w:rPr>
          <w:lang w:eastAsia="en-AU"/>
        </w:rPr>
        <w:t xml:space="preserve"> “may only be made”). </w:t>
      </w:r>
      <w:r w:rsidR="004C4821">
        <w:rPr>
          <w:lang w:eastAsia="en-AU"/>
        </w:rPr>
        <w:t xml:space="preserve">Such language tends to confirm that the time limit defines the limits of the right being </w:t>
      </w:r>
      <w:r w:rsidR="0045023D">
        <w:rPr>
          <w:lang w:eastAsia="en-AU"/>
        </w:rPr>
        <w:t>conferred</w:t>
      </w:r>
      <w:r w:rsidR="00A92EA0">
        <w:rPr>
          <w:lang w:eastAsia="en-AU"/>
        </w:rPr>
        <w:t>.</w:t>
      </w:r>
    </w:p>
    <w:p w14:paraId="5A5EE301" w14:textId="493E241F" w:rsidR="002A26F7" w:rsidRDefault="002A26F7" w:rsidP="00CA7A88">
      <w:pPr>
        <w:pStyle w:val="ListNo1alt"/>
        <w:numPr>
          <w:ilvl w:val="0"/>
          <w:numId w:val="33"/>
        </w:numPr>
        <w:rPr>
          <w:lang w:eastAsia="en-AU"/>
        </w:rPr>
      </w:pPr>
      <w:r>
        <w:rPr>
          <w:lang w:eastAsia="en-AU"/>
        </w:rPr>
        <w:t>If the provision in question contains</w:t>
      </w:r>
      <w:r w:rsidR="00DB0F05">
        <w:rPr>
          <w:lang w:eastAsia="en-AU"/>
        </w:rPr>
        <w:t xml:space="preserve"> </w:t>
      </w:r>
      <w:r w:rsidR="00DF2046">
        <w:rPr>
          <w:lang w:eastAsia="en-AU"/>
        </w:rPr>
        <w:t>(</w:t>
      </w:r>
      <w:r w:rsidR="00DB0F05">
        <w:rPr>
          <w:lang w:eastAsia="en-AU"/>
        </w:rPr>
        <w:t xml:space="preserve">or is </w:t>
      </w:r>
      <w:r w:rsidR="00DF2046">
        <w:rPr>
          <w:lang w:eastAsia="en-AU"/>
        </w:rPr>
        <w:t>accompanied by)</w:t>
      </w:r>
      <w:r w:rsidR="00DB0F05">
        <w:rPr>
          <w:lang w:eastAsia="en-AU"/>
        </w:rPr>
        <w:t xml:space="preserve"> a provision dealing expressly with how and </w:t>
      </w:r>
      <w:r w:rsidR="00220675">
        <w:rPr>
          <w:lang w:eastAsia="en-AU"/>
        </w:rPr>
        <w:t xml:space="preserve">when its limitation period can be extended, </w:t>
      </w:r>
      <w:r w:rsidR="00DA63FE">
        <w:rPr>
          <w:lang w:eastAsia="en-AU"/>
        </w:rPr>
        <w:t xml:space="preserve">that brings the principle of construction in </w:t>
      </w:r>
      <w:r w:rsidR="00DA63FE">
        <w:rPr>
          <w:i/>
          <w:iCs/>
          <w:lang w:eastAsia="en-AU"/>
        </w:rPr>
        <w:t>Anthony Hordern</w:t>
      </w:r>
      <w:r w:rsidR="00DA63FE">
        <w:rPr>
          <w:lang w:eastAsia="en-AU"/>
        </w:rPr>
        <w:t xml:space="preserve"> into play in a direct way. </w:t>
      </w:r>
      <w:r w:rsidR="00B0039A">
        <w:rPr>
          <w:lang w:eastAsia="en-AU"/>
        </w:rPr>
        <w:t>It is a powerful indication that the limitation period is not intended to be extended otherwise than pursuant to the specific provision therefor.</w:t>
      </w:r>
      <w:r w:rsidR="00FC7214">
        <w:rPr>
          <w:lang w:eastAsia="en-AU"/>
        </w:rPr>
        <w:t xml:space="preserve"> This point, in my view, was </w:t>
      </w:r>
      <w:r w:rsidR="0083539E">
        <w:rPr>
          <w:lang w:eastAsia="en-AU"/>
        </w:rPr>
        <w:t xml:space="preserve">arguably sufficient </w:t>
      </w:r>
      <w:proofErr w:type="gramStart"/>
      <w:r w:rsidR="0083539E">
        <w:rPr>
          <w:lang w:eastAsia="en-AU"/>
        </w:rPr>
        <w:t>in itself to</w:t>
      </w:r>
      <w:proofErr w:type="gramEnd"/>
      <w:r w:rsidR="0083539E">
        <w:rPr>
          <w:lang w:eastAsia="en-AU"/>
        </w:rPr>
        <w:t xml:space="preserve"> justify the decision in </w:t>
      </w:r>
      <w:r w:rsidR="0083539E">
        <w:rPr>
          <w:i/>
          <w:iCs/>
          <w:lang w:eastAsia="en-AU"/>
        </w:rPr>
        <w:t>BP Australia</w:t>
      </w:r>
      <w:r w:rsidR="0083539E">
        <w:rPr>
          <w:lang w:eastAsia="en-AU"/>
        </w:rPr>
        <w:t>.</w:t>
      </w:r>
    </w:p>
    <w:p w14:paraId="157AB7B3" w14:textId="3F0E0550" w:rsidR="00466539" w:rsidRDefault="00977AA0" w:rsidP="00466539">
      <w:pPr>
        <w:pStyle w:val="ListNo1alt"/>
        <w:numPr>
          <w:ilvl w:val="0"/>
          <w:numId w:val="33"/>
        </w:numPr>
        <w:rPr>
          <w:lang w:eastAsia="en-AU"/>
        </w:rPr>
      </w:pPr>
      <w:r>
        <w:rPr>
          <w:lang w:eastAsia="en-AU"/>
        </w:rPr>
        <w:t xml:space="preserve">The </w:t>
      </w:r>
      <w:r w:rsidR="002D46B9">
        <w:rPr>
          <w:lang w:eastAsia="en-AU"/>
        </w:rPr>
        <w:t xml:space="preserve">reasoning in </w:t>
      </w:r>
      <w:r w:rsidR="002D46B9">
        <w:rPr>
          <w:i/>
          <w:iCs/>
          <w:lang w:eastAsia="en-AU"/>
        </w:rPr>
        <w:t>David Grant</w:t>
      </w:r>
      <w:r w:rsidR="002D46B9">
        <w:rPr>
          <w:lang w:eastAsia="en-AU"/>
        </w:rPr>
        <w:t xml:space="preserve"> and </w:t>
      </w:r>
      <w:proofErr w:type="spellStart"/>
      <w:r w:rsidR="002D46B9">
        <w:rPr>
          <w:i/>
          <w:iCs/>
          <w:lang w:eastAsia="en-AU"/>
        </w:rPr>
        <w:t>Newtronics</w:t>
      </w:r>
      <w:proofErr w:type="spellEnd"/>
      <w:r w:rsidR="002D46B9">
        <w:rPr>
          <w:lang w:eastAsia="en-AU"/>
        </w:rPr>
        <w:t xml:space="preserve"> </w:t>
      </w:r>
      <w:r w:rsidR="005B446E">
        <w:rPr>
          <w:lang w:eastAsia="en-AU"/>
        </w:rPr>
        <w:t xml:space="preserve">appears to derive a somewhat broader principle from </w:t>
      </w:r>
      <w:r w:rsidR="005B446E">
        <w:rPr>
          <w:i/>
          <w:iCs/>
          <w:lang w:eastAsia="en-AU"/>
        </w:rPr>
        <w:t>Anthony Hordern</w:t>
      </w:r>
      <w:r w:rsidR="005B446E">
        <w:rPr>
          <w:lang w:eastAsia="en-AU"/>
        </w:rPr>
        <w:t xml:space="preserve">: </w:t>
      </w:r>
      <w:r w:rsidR="0081738F">
        <w:rPr>
          <w:lang w:eastAsia="en-AU"/>
        </w:rPr>
        <w:t xml:space="preserve">that the stipulation of a time limit in respect of a specific kind of application </w:t>
      </w:r>
      <w:r w:rsidR="00C654DA">
        <w:rPr>
          <w:lang w:eastAsia="en-AU"/>
        </w:rPr>
        <w:t xml:space="preserve">is taken to be intended to displace </w:t>
      </w:r>
      <w:r w:rsidR="00A06260">
        <w:rPr>
          <w:lang w:eastAsia="en-AU"/>
        </w:rPr>
        <w:t xml:space="preserve">a provision in the same Act </w:t>
      </w:r>
      <w:r w:rsidR="00893CAF">
        <w:rPr>
          <w:lang w:eastAsia="en-AU"/>
        </w:rPr>
        <w:t xml:space="preserve">allowing discretionary relaxation of </w:t>
      </w:r>
      <w:r w:rsidR="00A92D3F">
        <w:rPr>
          <w:lang w:eastAsia="en-AU"/>
        </w:rPr>
        <w:t xml:space="preserve">rules in relation to </w:t>
      </w:r>
      <w:r w:rsidR="00313975">
        <w:rPr>
          <w:lang w:eastAsia="en-AU"/>
        </w:rPr>
        <w:t>(among other things) applications</w:t>
      </w:r>
      <w:r w:rsidR="00542944">
        <w:rPr>
          <w:lang w:eastAsia="en-AU"/>
        </w:rPr>
        <w:t xml:space="preserve">. This goes somewhat beyond the words of the </w:t>
      </w:r>
      <w:r w:rsidR="00671CEF">
        <w:rPr>
          <w:lang w:eastAsia="en-AU"/>
        </w:rPr>
        <w:t xml:space="preserve">statement in </w:t>
      </w:r>
      <w:r w:rsidR="00671CEF">
        <w:rPr>
          <w:i/>
          <w:iCs/>
          <w:lang w:eastAsia="en-AU"/>
        </w:rPr>
        <w:t>Anthony Hordern</w:t>
      </w:r>
      <w:r w:rsidR="00671CEF">
        <w:rPr>
          <w:lang w:eastAsia="en-AU"/>
        </w:rPr>
        <w:t xml:space="preserve"> extracted above. I do not understand this principle to have been </w:t>
      </w:r>
      <w:r w:rsidR="00F72408">
        <w:rPr>
          <w:lang w:eastAsia="en-AU"/>
        </w:rPr>
        <w:t>decisive in either case</w:t>
      </w:r>
      <w:r w:rsidR="006E718A">
        <w:rPr>
          <w:lang w:eastAsia="en-AU"/>
        </w:rPr>
        <w:t xml:space="preserve">. Properly understood, it does not appear to take matters very far beyond the </w:t>
      </w:r>
      <w:r w:rsidR="00CA38D1">
        <w:rPr>
          <w:lang w:eastAsia="en-AU"/>
        </w:rPr>
        <w:t>presumption</w:t>
      </w:r>
      <w:r w:rsidR="006E718A">
        <w:rPr>
          <w:lang w:eastAsia="en-AU"/>
        </w:rPr>
        <w:t xml:space="preserve"> that more specific provisions </w:t>
      </w:r>
      <w:r w:rsidR="00685A3B">
        <w:rPr>
          <w:lang w:eastAsia="en-AU"/>
        </w:rPr>
        <w:t>(especially if enacted later) prevail over more general ones</w:t>
      </w:r>
      <w:r w:rsidR="004A3A78">
        <w:rPr>
          <w:lang w:eastAsia="en-AU"/>
        </w:rPr>
        <w:t xml:space="preserve">. That </w:t>
      </w:r>
      <w:r w:rsidR="00CA38D1">
        <w:rPr>
          <w:lang w:eastAsia="en-AU"/>
        </w:rPr>
        <w:t>presumption</w:t>
      </w:r>
      <w:r w:rsidR="004A3A78">
        <w:rPr>
          <w:lang w:eastAsia="en-AU"/>
        </w:rPr>
        <w:t xml:space="preserve"> must give way </w:t>
      </w:r>
      <w:r w:rsidR="00531FB0">
        <w:rPr>
          <w:lang w:eastAsia="en-AU"/>
        </w:rPr>
        <w:t>to any clear indications that the specific provision was intended to accommodate or operate subject to the general one</w:t>
      </w:r>
      <w:r w:rsidR="00C92530">
        <w:rPr>
          <w:lang w:eastAsia="en-AU"/>
        </w:rPr>
        <w:t>.</w:t>
      </w:r>
      <w:r w:rsidR="004875F1">
        <w:rPr>
          <w:lang w:eastAsia="en-AU"/>
        </w:rPr>
        <w:t xml:space="preserve"> For this reason, in my view, the observation in </w:t>
      </w:r>
      <w:proofErr w:type="spellStart"/>
      <w:r w:rsidR="00503083">
        <w:rPr>
          <w:i/>
          <w:iCs/>
          <w:lang w:eastAsia="en-AU"/>
        </w:rPr>
        <w:t>Austructures</w:t>
      </w:r>
      <w:proofErr w:type="spellEnd"/>
      <w:r w:rsidR="004875F1">
        <w:rPr>
          <w:lang w:eastAsia="en-AU"/>
        </w:rPr>
        <w:t xml:space="preserve"> at [45] that the positive s</w:t>
      </w:r>
      <w:r w:rsidR="00B50CB0">
        <w:rPr>
          <w:lang w:eastAsia="en-AU"/>
        </w:rPr>
        <w:t xml:space="preserve">pecification in s 1317K </w:t>
      </w:r>
      <w:r w:rsidR="008C5D54">
        <w:rPr>
          <w:lang w:eastAsia="en-AU"/>
        </w:rPr>
        <w:t>“</w:t>
      </w:r>
      <w:r w:rsidR="00B50CB0">
        <w:rPr>
          <w:lang w:eastAsia="en-AU"/>
        </w:rPr>
        <w:t xml:space="preserve">may be understood as importing </w:t>
      </w:r>
      <w:r w:rsidR="008C5D54">
        <w:rPr>
          <w:lang w:eastAsia="en-AU"/>
        </w:rPr>
        <w:t>the</w:t>
      </w:r>
      <w:r w:rsidR="00B50CB0">
        <w:rPr>
          <w:lang w:eastAsia="en-AU"/>
        </w:rPr>
        <w:t xml:space="preserve"> negative</w:t>
      </w:r>
      <w:r w:rsidR="008C5D54">
        <w:rPr>
          <w:lang w:eastAsia="en-AU"/>
        </w:rPr>
        <w:t xml:space="preserve">”, although correct, </w:t>
      </w:r>
      <w:proofErr w:type="gramStart"/>
      <w:r w:rsidR="008C5D54">
        <w:rPr>
          <w:lang w:eastAsia="en-AU"/>
        </w:rPr>
        <w:t>really only</w:t>
      </w:r>
      <w:proofErr w:type="gramEnd"/>
      <w:r w:rsidR="008C5D54">
        <w:rPr>
          <w:lang w:eastAsia="en-AU"/>
        </w:rPr>
        <w:t xml:space="preserve"> states the position before the interaction of </w:t>
      </w:r>
      <w:r w:rsidR="00852F54">
        <w:rPr>
          <w:lang w:eastAsia="en-AU"/>
        </w:rPr>
        <w:t>s 1317K with other provisions of the Corporations Act is considered.</w:t>
      </w:r>
    </w:p>
    <w:p w14:paraId="37A5772C" w14:textId="1E56A391" w:rsidR="00852F54" w:rsidRDefault="002B5D1C" w:rsidP="00CA7A88">
      <w:pPr>
        <w:pStyle w:val="ListNo1alt"/>
        <w:numPr>
          <w:ilvl w:val="0"/>
          <w:numId w:val="33"/>
        </w:numPr>
        <w:rPr>
          <w:lang w:eastAsia="en-AU"/>
        </w:rPr>
      </w:pPr>
      <w:r>
        <w:rPr>
          <w:lang w:eastAsia="en-AU"/>
        </w:rPr>
        <w:t xml:space="preserve">Here again, however, </w:t>
      </w:r>
      <w:proofErr w:type="gramStart"/>
      <w:r>
        <w:rPr>
          <w:lang w:eastAsia="en-AU"/>
        </w:rPr>
        <w:t>p</w:t>
      </w:r>
      <w:r w:rsidR="00FF138E">
        <w:rPr>
          <w:lang w:eastAsia="en-AU"/>
        </w:rPr>
        <w:t>eremptory</w:t>
      </w:r>
      <w:proofErr w:type="gramEnd"/>
      <w:r w:rsidR="00FF138E">
        <w:rPr>
          <w:lang w:eastAsia="en-AU"/>
        </w:rPr>
        <w:t xml:space="preserve"> or emphatic language in the enactment of the limitation period </w:t>
      </w:r>
      <w:r w:rsidR="00C65E43">
        <w:rPr>
          <w:lang w:eastAsia="en-AU"/>
        </w:rPr>
        <w:t>tends to support the view that it is intended to operate to the exclusion of more general and pre-existing provisions in the Act.</w:t>
      </w:r>
      <w:r w:rsidR="006D2777">
        <w:rPr>
          <w:lang w:eastAsia="en-AU"/>
        </w:rPr>
        <w:t xml:space="preserve"> A stipulation that an application “may </w:t>
      </w:r>
      <w:r w:rsidR="006D2777">
        <w:rPr>
          <w:i/>
          <w:iCs/>
          <w:lang w:eastAsia="en-AU"/>
        </w:rPr>
        <w:t>only</w:t>
      </w:r>
      <w:r w:rsidR="006D2777">
        <w:rPr>
          <w:lang w:eastAsia="en-AU"/>
        </w:rPr>
        <w:t xml:space="preserve">” be made within a certain time can be taken as </w:t>
      </w:r>
      <w:r w:rsidR="002D34A6">
        <w:rPr>
          <w:lang w:eastAsia="en-AU"/>
        </w:rPr>
        <w:t xml:space="preserve">conveying that </w:t>
      </w:r>
      <w:r w:rsidR="007641A7">
        <w:rPr>
          <w:lang w:eastAsia="en-AU"/>
        </w:rPr>
        <w:t xml:space="preserve">the legislature is consciously </w:t>
      </w:r>
      <w:r w:rsidR="00974DD5">
        <w:rPr>
          <w:lang w:eastAsia="en-AU"/>
        </w:rPr>
        <w:t xml:space="preserve">overriding any general rules or principles that might otherwise </w:t>
      </w:r>
      <w:r w:rsidR="00E40454">
        <w:rPr>
          <w:lang w:eastAsia="en-AU"/>
        </w:rPr>
        <w:t>allow the time limit to be relaxed.</w:t>
      </w:r>
    </w:p>
    <w:p w14:paraId="7A7341BF" w14:textId="58A7BC0D" w:rsidR="00E40454" w:rsidRDefault="004F42FB" w:rsidP="00CA7A88">
      <w:pPr>
        <w:pStyle w:val="ListNo1alt"/>
        <w:numPr>
          <w:ilvl w:val="0"/>
          <w:numId w:val="33"/>
        </w:numPr>
        <w:rPr>
          <w:lang w:eastAsia="en-AU"/>
        </w:rPr>
      </w:pPr>
      <w:r>
        <w:rPr>
          <w:lang w:eastAsia="en-AU"/>
        </w:rPr>
        <w:t xml:space="preserve">The context is relevant. The context includes the nature of the right being conferred </w:t>
      </w:r>
      <w:r w:rsidR="00AA1D03">
        <w:rPr>
          <w:lang w:eastAsia="en-AU"/>
        </w:rPr>
        <w:t xml:space="preserve">and the statutory scheme within which it sits—particularly </w:t>
      </w:r>
      <w:r w:rsidR="00735216">
        <w:rPr>
          <w:lang w:eastAsia="en-AU"/>
        </w:rPr>
        <w:t xml:space="preserve">if that scheme envisages steps </w:t>
      </w:r>
      <w:r w:rsidR="00735216">
        <w:rPr>
          <w:lang w:eastAsia="en-AU"/>
        </w:rPr>
        <w:lastRenderedPageBreak/>
        <w:t>occurring in a particular sequence or time frame.</w:t>
      </w:r>
      <w:r w:rsidR="00B80C27">
        <w:rPr>
          <w:lang w:eastAsia="en-AU"/>
        </w:rPr>
        <w:t xml:space="preserve"> The context also includes the extrinsic materials, to the extent that they shed real light on the issue.</w:t>
      </w:r>
    </w:p>
    <w:p w14:paraId="5E335056" w14:textId="71022114" w:rsidR="00DB1E20" w:rsidRDefault="00952D3B" w:rsidP="00DB1E20">
      <w:pPr>
        <w:pStyle w:val="ParaNumbering"/>
        <w:rPr>
          <w:lang w:eastAsia="en-AU"/>
        </w:rPr>
      </w:pPr>
      <w:r>
        <w:rPr>
          <w:lang w:eastAsia="en-AU"/>
        </w:rPr>
        <w:t>I</w:t>
      </w:r>
      <w:r w:rsidR="00377E17">
        <w:rPr>
          <w:lang w:eastAsia="en-AU"/>
        </w:rPr>
        <w:t xml:space="preserve"> turn to consider how these points apply in the present case.</w:t>
      </w:r>
    </w:p>
    <w:p w14:paraId="72E4DB65" w14:textId="7DF4AE97" w:rsidR="00466834" w:rsidRDefault="00466834" w:rsidP="00466834">
      <w:pPr>
        <w:pStyle w:val="Heading3"/>
        <w:rPr>
          <w:lang w:eastAsia="en-AU"/>
        </w:rPr>
      </w:pPr>
      <w:r>
        <w:rPr>
          <w:lang w:eastAsia="en-AU"/>
        </w:rPr>
        <w:t>Textual matters</w:t>
      </w:r>
    </w:p>
    <w:p w14:paraId="398413EE" w14:textId="6374427B" w:rsidR="00377E17" w:rsidRDefault="00377E17" w:rsidP="00DB1E20">
      <w:pPr>
        <w:pStyle w:val="ParaNumbering"/>
        <w:rPr>
          <w:lang w:eastAsia="en-AU"/>
        </w:rPr>
      </w:pPr>
      <w:r>
        <w:rPr>
          <w:b/>
          <w:bCs/>
          <w:i/>
          <w:iCs/>
          <w:lang w:eastAsia="en-AU"/>
        </w:rPr>
        <w:t>First</w:t>
      </w:r>
      <w:r>
        <w:rPr>
          <w:lang w:eastAsia="en-AU"/>
        </w:rPr>
        <w:t xml:space="preserve">, </w:t>
      </w:r>
      <w:r w:rsidR="00AC1C7F">
        <w:rPr>
          <w:lang w:eastAsia="en-AU"/>
        </w:rPr>
        <w:t xml:space="preserve">s 1317H </w:t>
      </w:r>
      <w:r w:rsidR="000A291F">
        <w:rPr>
          <w:lang w:eastAsia="en-AU"/>
        </w:rPr>
        <w:t>create</w:t>
      </w:r>
      <w:r w:rsidR="0097619E">
        <w:rPr>
          <w:lang w:eastAsia="en-AU"/>
        </w:rPr>
        <w:t>d</w:t>
      </w:r>
      <w:r w:rsidR="000A291F">
        <w:rPr>
          <w:lang w:eastAsia="en-AU"/>
        </w:rPr>
        <w:t xml:space="preserve"> a right of action. The </w:t>
      </w:r>
      <w:r w:rsidR="007855B0">
        <w:rPr>
          <w:lang w:eastAsia="en-AU"/>
        </w:rPr>
        <w:t xml:space="preserve">express </w:t>
      </w:r>
      <w:r w:rsidR="000A291F">
        <w:rPr>
          <w:lang w:eastAsia="en-AU"/>
        </w:rPr>
        <w:t xml:space="preserve">time limit </w:t>
      </w:r>
      <w:r w:rsidR="007855B0">
        <w:rPr>
          <w:lang w:eastAsia="en-AU"/>
        </w:rPr>
        <w:t xml:space="preserve">within which an application must be made </w:t>
      </w:r>
      <w:r w:rsidR="0097619E">
        <w:rPr>
          <w:lang w:eastAsia="en-AU"/>
        </w:rPr>
        <w:t>wa</w:t>
      </w:r>
      <w:r w:rsidR="007855B0">
        <w:rPr>
          <w:lang w:eastAsia="en-AU"/>
        </w:rPr>
        <w:t xml:space="preserve">s, </w:t>
      </w:r>
      <w:r w:rsidR="00A952A6">
        <w:rPr>
          <w:i/>
          <w:iCs/>
          <w:lang w:eastAsia="en-AU"/>
        </w:rPr>
        <w:t>prima facie</w:t>
      </w:r>
      <w:r w:rsidR="00A952A6">
        <w:rPr>
          <w:lang w:eastAsia="en-AU"/>
        </w:rPr>
        <w:t>, inherent to that right of action.</w:t>
      </w:r>
      <w:r w:rsidR="00A42F77">
        <w:rPr>
          <w:lang w:eastAsia="en-AU"/>
        </w:rPr>
        <w:t xml:space="preserve"> </w:t>
      </w:r>
      <w:r w:rsidR="00893B85">
        <w:rPr>
          <w:lang w:eastAsia="en-AU"/>
        </w:rPr>
        <w:t xml:space="preserve">Unlike the regime considered in </w:t>
      </w:r>
      <w:proofErr w:type="spellStart"/>
      <w:r w:rsidR="00893B85">
        <w:rPr>
          <w:i/>
          <w:iCs/>
          <w:lang w:eastAsia="en-AU"/>
        </w:rPr>
        <w:t>Newtronics</w:t>
      </w:r>
      <w:proofErr w:type="spellEnd"/>
      <w:r w:rsidR="000272D8">
        <w:rPr>
          <w:lang w:eastAsia="en-AU"/>
        </w:rPr>
        <w:t>,</w:t>
      </w:r>
      <w:r w:rsidR="000272D8">
        <w:rPr>
          <w:i/>
          <w:iCs/>
          <w:lang w:eastAsia="en-AU"/>
        </w:rPr>
        <w:t xml:space="preserve"> </w:t>
      </w:r>
      <w:r w:rsidR="00A42F77">
        <w:rPr>
          <w:lang w:eastAsia="en-AU"/>
        </w:rPr>
        <w:t xml:space="preserve">the time limit </w:t>
      </w:r>
      <w:r w:rsidR="0097619E">
        <w:rPr>
          <w:lang w:eastAsia="en-AU"/>
        </w:rPr>
        <w:t>wa</w:t>
      </w:r>
      <w:r w:rsidR="00A42F77">
        <w:rPr>
          <w:lang w:eastAsia="en-AU"/>
        </w:rPr>
        <w:t xml:space="preserve">s </w:t>
      </w:r>
      <w:r w:rsidR="000272D8">
        <w:rPr>
          <w:lang w:eastAsia="en-AU"/>
        </w:rPr>
        <w:t xml:space="preserve">provided by a separate section </w:t>
      </w:r>
      <w:r w:rsidR="00A23669">
        <w:rPr>
          <w:lang w:eastAsia="en-AU"/>
        </w:rPr>
        <w:t>(</w:t>
      </w:r>
      <w:r w:rsidR="00BD0149">
        <w:rPr>
          <w:lang w:eastAsia="en-AU"/>
        </w:rPr>
        <w:t>s 1317K</w:t>
      </w:r>
      <w:r w:rsidR="00A23669">
        <w:rPr>
          <w:lang w:eastAsia="en-AU"/>
        </w:rPr>
        <w:t xml:space="preserve">) </w:t>
      </w:r>
      <w:r w:rsidR="000272D8">
        <w:rPr>
          <w:lang w:eastAsia="en-AU"/>
        </w:rPr>
        <w:t xml:space="preserve">rather than </w:t>
      </w:r>
      <w:r w:rsidR="003C6B0F">
        <w:rPr>
          <w:lang w:eastAsia="en-AU"/>
        </w:rPr>
        <w:t>within the section that create</w:t>
      </w:r>
      <w:r w:rsidR="00296CF2">
        <w:rPr>
          <w:lang w:eastAsia="en-AU"/>
        </w:rPr>
        <w:t>d</w:t>
      </w:r>
      <w:r w:rsidR="003C6B0F">
        <w:rPr>
          <w:lang w:eastAsia="en-AU"/>
        </w:rPr>
        <w:t xml:space="preserve"> the right</w:t>
      </w:r>
      <w:r w:rsidR="00E17C1B">
        <w:rPr>
          <w:lang w:eastAsia="en-AU"/>
        </w:rPr>
        <w:t xml:space="preserve">; however, that is not particularly </w:t>
      </w:r>
      <w:proofErr w:type="gramStart"/>
      <w:r w:rsidR="00E17C1B">
        <w:rPr>
          <w:lang w:eastAsia="en-AU"/>
        </w:rPr>
        <w:t>significant in itself</w:t>
      </w:r>
      <w:proofErr w:type="gramEnd"/>
      <w:r w:rsidR="00E17C1B">
        <w:rPr>
          <w:lang w:eastAsia="en-AU"/>
        </w:rPr>
        <w:t xml:space="preserve">. </w:t>
      </w:r>
      <w:r w:rsidR="00DD03B6">
        <w:rPr>
          <w:lang w:eastAsia="en-AU"/>
        </w:rPr>
        <w:t>What may be more significant is that s 1317K applie</w:t>
      </w:r>
      <w:r w:rsidR="00296CF2">
        <w:rPr>
          <w:lang w:eastAsia="en-AU"/>
        </w:rPr>
        <w:t>d</w:t>
      </w:r>
      <w:r w:rsidR="00DD03B6">
        <w:rPr>
          <w:lang w:eastAsia="en-AU"/>
        </w:rPr>
        <w:t xml:space="preserve"> to applications for declarations of contravention and pecuniary penalty orders as well as applications for compensation orders. I return to this issue later.</w:t>
      </w:r>
    </w:p>
    <w:p w14:paraId="28B09B8C" w14:textId="31D7BDA7" w:rsidR="007705E5" w:rsidRDefault="00CC326B" w:rsidP="00DB1E20">
      <w:pPr>
        <w:pStyle w:val="ParaNumbering"/>
        <w:rPr>
          <w:lang w:eastAsia="en-AU"/>
        </w:rPr>
      </w:pPr>
      <w:r>
        <w:rPr>
          <w:b/>
          <w:bCs/>
          <w:i/>
          <w:iCs/>
          <w:lang w:eastAsia="en-AU"/>
        </w:rPr>
        <w:t>Secondly</w:t>
      </w:r>
      <w:r>
        <w:rPr>
          <w:lang w:eastAsia="en-AU"/>
        </w:rPr>
        <w:t xml:space="preserve">, </w:t>
      </w:r>
      <w:r w:rsidR="0072394C">
        <w:rPr>
          <w:lang w:eastAsia="en-AU"/>
        </w:rPr>
        <w:t xml:space="preserve">I do not think there is any real difference in meaning or tone between </w:t>
      </w:r>
      <w:r w:rsidR="002B3797">
        <w:rPr>
          <w:lang w:eastAsia="en-AU"/>
        </w:rPr>
        <w:t xml:space="preserve">“may only be made” (the language considered in </w:t>
      </w:r>
      <w:proofErr w:type="spellStart"/>
      <w:r w:rsidR="002B3797">
        <w:rPr>
          <w:i/>
          <w:iCs/>
          <w:lang w:eastAsia="en-AU"/>
        </w:rPr>
        <w:t>Newtronics</w:t>
      </w:r>
      <w:proofErr w:type="spellEnd"/>
      <w:r w:rsidR="002B3797">
        <w:rPr>
          <w:lang w:eastAsia="en-AU"/>
        </w:rPr>
        <w:t>) and “may be made not later than” (in s 1317K).</w:t>
      </w:r>
      <w:r w:rsidR="00034DC6">
        <w:rPr>
          <w:lang w:eastAsia="en-AU"/>
        </w:rPr>
        <w:t xml:space="preserve"> Replacement of statutory language that has an established meaning is often </w:t>
      </w:r>
      <w:proofErr w:type="gramStart"/>
      <w:r w:rsidR="00034DC6">
        <w:rPr>
          <w:lang w:eastAsia="en-AU"/>
        </w:rPr>
        <w:t>unhelpful</w:t>
      </w:r>
      <w:r w:rsidR="003C4DAC">
        <w:rPr>
          <w:lang w:eastAsia="en-AU"/>
        </w:rPr>
        <w:t>, unless</w:t>
      </w:r>
      <w:proofErr w:type="gramEnd"/>
      <w:r w:rsidR="003C4DAC">
        <w:rPr>
          <w:lang w:eastAsia="en-AU"/>
        </w:rPr>
        <w:t xml:space="preserve"> some change of effect is intended. However, </w:t>
      </w:r>
      <w:r w:rsidR="00334099">
        <w:rPr>
          <w:lang w:eastAsia="en-AU"/>
        </w:rPr>
        <w:t xml:space="preserve">there do not seem to have been any cases </w:t>
      </w:r>
      <w:r w:rsidR="00F137CE">
        <w:rPr>
          <w:lang w:eastAsia="en-AU"/>
        </w:rPr>
        <w:t>considering s 1317</w:t>
      </w:r>
      <w:proofErr w:type="gramStart"/>
      <w:r w:rsidR="00F137CE">
        <w:rPr>
          <w:lang w:eastAsia="en-AU"/>
        </w:rPr>
        <w:t>HD(</w:t>
      </w:r>
      <w:proofErr w:type="gramEnd"/>
      <w:r w:rsidR="00F137CE">
        <w:rPr>
          <w:lang w:eastAsia="en-AU"/>
        </w:rPr>
        <w:t>2)</w:t>
      </w:r>
      <w:r w:rsidR="00735C09">
        <w:rPr>
          <w:lang w:eastAsia="en-AU"/>
        </w:rPr>
        <w:t>, in the form inserted by the 1992 Reform Act</w:t>
      </w:r>
      <w:r w:rsidR="00A67A7D">
        <w:rPr>
          <w:lang w:eastAsia="en-AU"/>
        </w:rPr>
        <w:t>, decided before it was repealed and replaced by s 1317K</w:t>
      </w:r>
      <w:r w:rsidR="006F23E3">
        <w:rPr>
          <w:lang w:eastAsia="en-AU"/>
        </w:rPr>
        <w:t xml:space="preserve"> as part of the amendments made by the</w:t>
      </w:r>
      <w:r w:rsidR="00F07E82">
        <w:rPr>
          <w:lang w:eastAsia="en-AU"/>
        </w:rPr>
        <w:t xml:space="preserve"> 1999</w:t>
      </w:r>
      <w:r w:rsidR="006F23E3">
        <w:rPr>
          <w:lang w:eastAsia="en-AU"/>
        </w:rPr>
        <w:t xml:space="preserve"> CLERP Act.</w:t>
      </w:r>
      <w:r w:rsidR="00F779C5">
        <w:rPr>
          <w:lang w:eastAsia="en-AU"/>
        </w:rPr>
        <w:t xml:space="preserve"> As a matter of ordinary language, “not later than” conveys that there is a point in time after which an application cannot be made</w:t>
      </w:r>
      <w:r w:rsidR="00C72F71">
        <w:rPr>
          <w:lang w:eastAsia="en-AU"/>
        </w:rPr>
        <w:t xml:space="preserve">. It reinforces the impression that the limitation period </w:t>
      </w:r>
      <w:r w:rsidR="004C79BE">
        <w:rPr>
          <w:lang w:eastAsia="en-AU"/>
        </w:rPr>
        <w:t>wa</w:t>
      </w:r>
      <w:r w:rsidR="00C72F71">
        <w:rPr>
          <w:lang w:eastAsia="en-AU"/>
        </w:rPr>
        <w:t xml:space="preserve">s inherent </w:t>
      </w:r>
      <w:r w:rsidR="00C10A45">
        <w:rPr>
          <w:lang w:eastAsia="en-AU"/>
        </w:rPr>
        <w:t>in the right created by s 1317H.</w:t>
      </w:r>
    </w:p>
    <w:p w14:paraId="6E98A062" w14:textId="2B94D8E4" w:rsidR="00C10A45" w:rsidRDefault="00C10A45" w:rsidP="00DB1E20">
      <w:pPr>
        <w:pStyle w:val="ParaNumbering"/>
        <w:rPr>
          <w:lang w:eastAsia="en-AU"/>
        </w:rPr>
      </w:pPr>
      <w:r>
        <w:rPr>
          <w:b/>
          <w:bCs/>
          <w:i/>
          <w:iCs/>
          <w:lang w:eastAsia="en-AU"/>
        </w:rPr>
        <w:t>Thirdly</w:t>
      </w:r>
      <w:r>
        <w:rPr>
          <w:lang w:eastAsia="en-AU"/>
        </w:rPr>
        <w:t xml:space="preserve">, </w:t>
      </w:r>
      <w:r w:rsidR="004832D2">
        <w:rPr>
          <w:lang w:eastAsia="en-AU"/>
        </w:rPr>
        <w:t xml:space="preserve">Part 9.4B in its </w:t>
      </w:r>
      <w:r w:rsidR="004C79BE">
        <w:rPr>
          <w:lang w:eastAsia="en-AU"/>
        </w:rPr>
        <w:t>presently relevant</w:t>
      </w:r>
      <w:r w:rsidR="004832D2">
        <w:rPr>
          <w:lang w:eastAsia="en-AU"/>
        </w:rPr>
        <w:t xml:space="preserve"> form </w:t>
      </w:r>
      <w:r w:rsidR="004C79BE">
        <w:rPr>
          <w:lang w:eastAsia="en-AU"/>
        </w:rPr>
        <w:t>did</w:t>
      </w:r>
      <w:r w:rsidR="004832D2">
        <w:rPr>
          <w:lang w:eastAsia="en-AU"/>
        </w:rPr>
        <w:t xml:space="preserve"> not contain any express provision for extension of the </w:t>
      </w:r>
      <w:r w:rsidR="00AB3840">
        <w:rPr>
          <w:lang w:eastAsia="en-AU"/>
        </w:rPr>
        <w:t>limitation period in s 1317K.</w:t>
      </w:r>
      <w:r w:rsidR="008C7BD9">
        <w:rPr>
          <w:lang w:eastAsia="en-AU"/>
        </w:rPr>
        <w:t xml:space="preserve"> In </w:t>
      </w:r>
      <w:proofErr w:type="spellStart"/>
      <w:r w:rsidR="008C7BD9">
        <w:rPr>
          <w:i/>
          <w:iCs/>
          <w:lang w:eastAsia="en-AU"/>
        </w:rPr>
        <w:t>Newtronics</w:t>
      </w:r>
      <w:proofErr w:type="spellEnd"/>
      <w:r w:rsidR="008C7BD9">
        <w:rPr>
          <w:lang w:eastAsia="en-AU"/>
        </w:rPr>
        <w:t xml:space="preserve">, some attention was given to the potential </w:t>
      </w:r>
      <w:r w:rsidR="00C01F05">
        <w:rPr>
          <w:lang w:eastAsia="en-AU"/>
        </w:rPr>
        <w:t xml:space="preserve">that existed in </w:t>
      </w:r>
      <w:r w:rsidR="00E83741">
        <w:rPr>
          <w:lang w:eastAsia="en-AU"/>
        </w:rPr>
        <w:t>Part 9.4B</w:t>
      </w:r>
      <w:r w:rsidR="002B2843">
        <w:rPr>
          <w:lang w:eastAsia="en-AU"/>
        </w:rPr>
        <w:t>,</w:t>
      </w:r>
      <w:r w:rsidR="00E83741">
        <w:rPr>
          <w:lang w:eastAsia="en-AU"/>
        </w:rPr>
        <w:t xml:space="preserve"> </w:t>
      </w:r>
      <w:r w:rsidR="002B2843">
        <w:rPr>
          <w:lang w:eastAsia="en-AU"/>
        </w:rPr>
        <w:t>prior to the 1999 CLERP Act</w:t>
      </w:r>
      <w:r w:rsidR="00E83741">
        <w:rPr>
          <w:lang w:eastAsia="en-AU"/>
        </w:rPr>
        <w:t xml:space="preserve">, for </w:t>
      </w:r>
      <w:r w:rsidR="0076053C">
        <w:rPr>
          <w:lang w:eastAsia="en-AU"/>
        </w:rPr>
        <w:t>a corporation to seek and obtain a compensation order by intervening in proceedings on an application for a pecuniary penalty order (proceedings which could conceivably be stayed for some time if there were also criminal proceedings arising from the same conduct)</w:t>
      </w:r>
      <w:r w:rsidR="00401C2D">
        <w:rPr>
          <w:lang w:eastAsia="en-AU"/>
        </w:rPr>
        <w:t xml:space="preserve">. This feature of the legislation at that time meant that </w:t>
      </w:r>
      <w:r w:rsidR="007341A0">
        <w:rPr>
          <w:lang w:eastAsia="en-AU"/>
        </w:rPr>
        <w:t xml:space="preserve">circumstances could readily be imagined in which a corporation that took no action </w:t>
      </w:r>
      <w:r w:rsidR="00896C01">
        <w:rPr>
          <w:lang w:eastAsia="en-AU"/>
        </w:rPr>
        <w:t>before the expiry of the limitation period in s 1317</w:t>
      </w:r>
      <w:proofErr w:type="gramStart"/>
      <w:r w:rsidR="00896C01">
        <w:rPr>
          <w:lang w:eastAsia="en-AU"/>
        </w:rPr>
        <w:t>HD(</w:t>
      </w:r>
      <w:proofErr w:type="gramEnd"/>
      <w:r w:rsidR="00896C01">
        <w:rPr>
          <w:lang w:eastAsia="en-AU"/>
        </w:rPr>
        <w:t xml:space="preserve">2) could nevertheless obtain the benefit of a compensation order. </w:t>
      </w:r>
      <w:r w:rsidR="00601821">
        <w:rPr>
          <w:lang w:eastAsia="en-AU"/>
        </w:rPr>
        <w:t xml:space="preserve">However, </w:t>
      </w:r>
      <w:r w:rsidR="00B26C5D">
        <w:rPr>
          <w:lang w:eastAsia="en-AU"/>
        </w:rPr>
        <w:t>this consideration was clearly not determinative.</w:t>
      </w:r>
      <w:r w:rsidR="00962EDF">
        <w:rPr>
          <w:lang w:eastAsia="en-AU"/>
        </w:rPr>
        <w:t xml:space="preserve"> It was different in character from an express provision</w:t>
      </w:r>
      <w:r w:rsidR="004B5E3D">
        <w:rPr>
          <w:lang w:eastAsia="en-AU"/>
        </w:rPr>
        <w:t xml:space="preserve"> (of the kind seen in </w:t>
      </w:r>
      <w:r w:rsidR="004B5E3D">
        <w:rPr>
          <w:i/>
          <w:iCs/>
          <w:lang w:eastAsia="en-AU"/>
        </w:rPr>
        <w:t>BP Australia</w:t>
      </w:r>
      <w:r w:rsidR="004B5E3D">
        <w:rPr>
          <w:lang w:eastAsia="en-AU"/>
        </w:rPr>
        <w:t>)</w:t>
      </w:r>
      <w:r w:rsidR="00962EDF">
        <w:rPr>
          <w:lang w:eastAsia="en-AU"/>
        </w:rPr>
        <w:t xml:space="preserve"> allowing a limitation period to be extended</w:t>
      </w:r>
      <w:r w:rsidR="00A6709B">
        <w:rPr>
          <w:lang w:eastAsia="en-AU"/>
        </w:rPr>
        <w:t xml:space="preserve">, in defined circumstances, by an exercise of judicial discretion on the application of </w:t>
      </w:r>
      <w:r w:rsidR="001148A9">
        <w:rPr>
          <w:lang w:eastAsia="en-AU"/>
        </w:rPr>
        <w:t>a person who seeks to file an application for relief.</w:t>
      </w:r>
    </w:p>
    <w:p w14:paraId="252FCB66" w14:textId="60558C19" w:rsidR="004564FC" w:rsidRDefault="001834FA" w:rsidP="00DB1E20">
      <w:pPr>
        <w:pStyle w:val="ParaNumbering"/>
        <w:rPr>
          <w:lang w:eastAsia="en-AU"/>
        </w:rPr>
      </w:pPr>
      <w:r>
        <w:rPr>
          <w:b/>
          <w:bCs/>
          <w:i/>
          <w:iCs/>
          <w:lang w:eastAsia="en-AU"/>
        </w:rPr>
        <w:lastRenderedPageBreak/>
        <w:t>Fourthly</w:t>
      </w:r>
      <w:r>
        <w:rPr>
          <w:lang w:eastAsia="en-AU"/>
        </w:rPr>
        <w:t xml:space="preserve">, </w:t>
      </w:r>
      <w:r w:rsidR="004C5430">
        <w:rPr>
          <w:lang w:eastAsia="en-AU"/>
        </w:rPr>
        <w:t xml:space="preserve">s 1317K </w:t>
      </w:r>
      <w:r w:rsidR="004B5E3D">
        <w:rPr>
          <w:lang w:eastAsia="en-AU"/>
        </w:rPr>
        <w:t>wa</w:t>
      </w:r>
      <w:r w:rsidR="004C5430">
        <w:rPr>
          <w:lang w:eastAsia="en-AU"/>
        </w:rPr>
        <w:t>s clearly later in time and more specific than s 1322(4)(d).</w:t>
      </w:r>
      <w:r w:rsidR="005836DA">
        <w:rPr>
          <w:lang w:eastAsia="en-AU"/>
        </w:rPr>
        <w:t xml:space="preserve"> For reasons outlined above, that does not in itself take matters very far. However, </w:t>
      </w:r>
      <w:r w:rsidR="005836DA">
        <w:rPr>
          <w:b/>
          <w:bCs/>
          <w:i/>
          <w:iCs/>
          <w:lang w:eastAsia="en-AU"/>
        </w:rPr>
        <w:t>fifthly</w:t>
      </w:r>
      <w:r w:rsidR="005836DA">
        <w:rPr>
          <w:lang w:eastAsia="en-AU"/>
        </w:rPr>
        <w:t xml:space="preserve">, </w:t>
      </w:r>
      <w:r w:rsidR="002626BA">
        <w:rPr>
          <w:lang w:eastAsia="en-AU"/>
        </w:rPr>
        <w:t>the emphatic language of s 1317K adds some force to this consideration.</w:t>
      </w:r>
    </w:p>
    <w:p w14:paraId="3C1FC51F" w14:textId="201E13DD" w:rsidR="00F8123F" w:rsidRDefault="00F8123F" w:rsidP="00DB1E20">
      <w:pPr>
        <w:pStyle w:val="ParaNumbering"/>
        <w:rPr>
          <w:lang w:eastAsia="en-AU"/>
        </w:rPr>
      </w:pPr>
      <w:r>
        <w:rPr>
          <w:lang w:eastAsia="en-AU"/>
        </w:rPr>
        <w:t xml:space="preserve">These considerations point to the conclusion that </w:t>
      </w:r>
      <w:r w:rsidR="00C04EC1">
        <w:rPr>
          <w:lang w:eastAsia="en-AU"/>
        </w:rPr>
        <w:t xml:space="preserve">s 1317K meant what it said—that an application for a compensation order </w:t>
      </w:r>
      <w:r w:rsidR="008B1217">
        <w:rPr>
          <w:lang w:eastAsia="en-AU"/>
        </w:rPr>
        <w:t>could be brought up to six years after the relevant contravention and not later—</w:t>
      </w:r>
      <w:r w:rsidR="008C74ED">
        <w:rPr>
          <w:lang w:eastAsia="en-AU"/>
        </w:rPr>
        <w:t>and was intended to operate to the exclusion of s 1322(4)(d).</w:t>
      </w:r>
    </w:p>
    <w:p w14:paraId="1A9EE19D" w14:textId="70DD541A" w:rsidR="00466834" w:rsidRDefault="00466834" w:rsidP="00466834">
      <w:pPr>
        <w:pStyle w:val="Heading3"/>
        <w:rPr>
          <w:lang w:eastAsia="en-AU"/>
        </w:rPr>
      </w:pPr>
      <w:r>
        <w:rPr>
          <w:lang w:eastAsia="en-AU"/>
        </w:rPr>
        <w:t>Context</w:t>
      </w:r>
    </w:p>
    <w:p w14:paraId="1905BA99" w14:textId="5C7C82B0" w:rsidR="002626BA" w:rsidRDefault="00466834" w:rsidP="00DB1E20">
      <w:pPr>
        <w:pStyle w:val="ParaNumbering"/>
        <w:rPr>
          <w:lang w:eastAsia="en-AU"/>
        </w:rPr>
      </w:pPr>
      <w:r w:rsidRPr="00836E8B">
        <w:rPr>
          <w:lang w:eastAsia="en-AU"/>
        </w:rPr>
        <w:t>Four</w:t>
      </w:r>
      <w:r w:rsidR="008719A2">
        <w:rPr>
          <w:lang w:eastAsia="en-AU"/>
        </w:rPr>
        <w:t xml:space="preserve"> points should be made about context.</w:t>
      </w:r>
    </w:p>
    <w:p w14:paraId="03AECC2B" w14:textId="0CB3BAC3" w:rsidR="007A4C9F" w:rsidRDefault="00836E8B" w:rsidP="007F695C">
      <w:pPr>
        <w:pStyle w:val="ParaNumbering"/>
        <w:rPr>
          <w:lang w:eastAsia="en-AU"/>
        </w:rPr>
      </w:pPr>
      <w:r w:rsidRPr="00836E8B">
        <w:rPr>
          <w:b/>
          <w:bCs/>
          <w:i/>
          <w:iCs/>
          <w:lang w:eastAsia="en-AU"/>
        </w:rPr>
        <w:t>First</w:t>
      </w:r>
      <w:r w:rsidR="007F695C">
        <w:rPr>
          <w:lang w:eastAsia="en-AU"/>
        </w:rPr>
        <w:t xml:space="preserve">, </w:t>
      </w:r>
      <w:r w:rsidR="00207448">
        <w:rPr>
          <w:lang w:eastAsia="en-AU"/>
        </w:rPr>
        <w:t>because the pre-existing law (</w:t>
      </w:r>
      <w:r w:rsidR="009B70DE">
        <w:rPr>
          <w:lang w:eastAsia="en-AU"/>
        </w:rPr>
        <w:t>s 1317HD</w:t>
      </w:r>
      <w:r w:rsidR="00207448">
        <w:rPr>
          <w:lang w:eastAsia="en-AU"/>
        </w:rPr>
        <w:t xml:space="preserve"> as </w:t>
      </w:r>
      <w:r w:rsidR="009B70DE">
        <w:rPr>
          <w:lang w:eastAsia="en-AU"/>
        </w:rPr>
        <w:t xml:space="preserve">enacted by the 1992 Reform Act) had </w:t>
      </w:r>
      <w:r w:rsidR="002D28C4">
        <w:rPr>
          <w:lang w:eastAsia="en-AU"/>
        </w:rPr>
        <w:t xml:space="preserve">not been interpreted by the courts before </w:t>
      </w:r>
      <w:r w:rsidR="002540FF">
        <w:rPr>
          <w:lang w:eastAsia="en-AU"/>
        </w:rPr>
        <w:t xml:space="preserve">the insertion of the </w:t>
      </w:r>
      <w:r w:rsidR="00195F53">
        <w:rPr>
          <w:lang w:eastAsia="en-AU"/>
        </w:rPr>
        <w:t>presently relevant</w:t>
      </w:r>
      <w:r w:rsidR="002540FF">
        <w:rPr>
          <w:lang w:eastAsia="en-AU"/>
        </w:rPr>
        <w:t xml:space="preserve"> provisions (by the CLERP Act in 1999)</w:t>
      </w:r>
      <w:r w:rsidR="008701CB">
        <w:rPr>
          <w:lang w:eastAsia="en-AU"/>
        </w:rPr>
        <w:t xml:space="preserve">, </w:t>
      </w:r>
      <w:r w:rsidR="000B36BB">
        <w:rPr>
          <w:lang w:eastAsia="en-AU"/>
        </w:rPr>
        <w:t>no</w:t>
      </w:r>
      <w:r w:rsidR="00974A8C">
        <w:rPr>
          <w:lang w:eastAsia="en-AU"/>
        </w:rPr>
        <w:t xml:space="preserve"> presumption </w:t>
      </w:r>
      <w:r w:rsidR="000B36BB">
        <w:rPr>
          <w:lang w:eastAsia="en-AU"/>
        </w:rPr>
        <w:t xml:space="preserve">arises from the fact </w:t>
      </w:r>
      <w:r w:rsidR="00974A8C">
        <w:rPr>
          <w:lang w:eastAsia="en-AU"/>
        </w:rPr>
        <w:t xml:space="preserve">that Parliament </w:t>
      </w:r>
      <w:r w:rsidR="004465F8">
        <w:rPr>
          <w:lang w:eastAsia="en-AU"/>
        </w:rPr>
        <w:t xml:space="preserve">used the same, or similar, or different language in the </w:t>
      </w:r>
      <w:r w:rsidR="00195F53">
        <w:rPr>
          <w:lang w:eastAsia="en-AU"/>
        </w:rPr>
        <w:t>latter</w:t>
      </w:r>
      <w:r w:rsidR="004465F8">
        <w:rPr>
          <w:lang w:eastAsia="en-AU"/>
        </w:rPr>
        <w:t xml:space="preserve"> provisions</w:t>
      </w:r>
      <w:r w:rsidR="00E5752D">
        <w:rPr>
          <w:lang w:eastAsia="en-AU"/>
        </w:rPr>
        <w:t xml:space="preserve"> (</w:t>
      </w:r>
      <w:proofErr w:type="spellStart"/>
      <w:r w:rsidR="00E5752D">
        <w:rPr>
          <w:lang w:eastAsia="en-AU"/>
        </w:rPr>
        <w:t>cf</w:t>
      </w:r>
      <w:proofErr w:type="spellEnd"/>
      <w:r w:rsidR="00E5752D">
        <w:rPr>
          <w:lang w:eastAsia="en-AU"/>
        </w:rPr>
        <w:t xml:space="preserve"> </w:t>
      </w:r>
      <w:proofErr w:type="spellStart"/>
      <w:r w:rsidR="00E5752D">
        <w:rPr>
          <w:lang w:eastAsia="en-AU"/>
        </w:rPr>
        <w:t>eg</w:t>
      </w:r>
      <w:proofErr w:type="spellEnd"/>
      <w:r w:rsidR="00E5752D">
        <w:rPr>
          <w:lang w:eastAsia="en-AU"/>
        </w:rPr>
        <w:t xml:space="preserve"> </w:t>
      </w:r>
      <w:r w:rsidR="00727C19">
        <w:rPr>
          <w:i/>
          <w:iCs/>
          <w:lang w:eastAsia="en-AU"/>
        </w:rPr>
        <w:t xml:space="preserve">Re </w:t>
      </w:r>
      <w:r w:rsidR="00E5752D">
        <w:rPr>
          <w:i/>
          <w:iCs/>
          <w:lang w:eastAsia="en-AU"/>
        </w:rPr>
        <w:t xml:space="preserve">Alcan </w:t>
      </w:r>
      <w:r w:rsidR="00AD57B9">
        <w:rPr>
          <w:i/>
          <w:iCs/>
          <w:lang w:eastAsia="en-AU"/>
        </w:rPr>
        <w:t xml:space="preserve">Australia </w:t>
      </w:r>
      <w:r w:rsidR="00727C19">
        <w:rPr>
          <w:i/>
          <w:iCs/>
          <w:lang w:eastAsia="en-AU"/>
        </w:rPr>
        <w:t xml:space="preserve">Ltd; Ex </w:t>
      </w:r>
      <w:proofErr w:type="spellStart"/>
      <w:r w:rsidR="00727C19">
        <w:rPr>
          <w:i/>
          <w:iCs/>
          <w:lang w:eastAsia="en-AU"/>
        </w:rPr>
        <w:t>parte</w:t>
      </w:r>
      <w:proofErr w:type="spellEnd"/>
      <w:r w:rsidR="00727C19">
        <w:rPr>
          <w:i/>
          <w:iCs/>
          <w:lang w:eastAsia="en-AU"/>
        </w:rPr>
        <w:t xml:space="preserve"> Federation of Industrial</w:t>
      </w:r>
      <w:r w:rsidR="00707D05">
        <w:rPr>
          <w:i/>
          <w:iCs/>
          <w:lang w:eastAsia="en-AU"/>
        </w:rPr>
        <w:t xml:space="preserve"> Manufacturing and Engineering Employees</w:t>
      </w:r>
      <w:r w:rsidR="00707D05">
        <w:rPr>
          <w:lang w:eastAsia="en-AU"/>
        </w:rPr>
        <w:t xml:space="preserve"> (1994) 181 CLR </w:t>
      </w:r>
      <w:r w:rsidR="007B4A47">
        <w:rPr>
          <w:lang w:eastAsia="en-AU"/>
        </w:rPr>
        <w:t xml:space="preserve">96 at 106–107 </w:t>
      </w:r>
      <w:r w:rsidR="00226BA5">
        <w:rPr>
          <w:lang w:eastAsia="en-AU"/>
        </w:rPr>
        <w:t xml:space="preserve">(Mason CJ, Brennan, Deane, Dawson, Toohey, </w:t>
      </w:r>
      <w:proofErr w:type="spellStart"/>
      <w:r w:rsidR="00226BA5">
        <w:rPr>
          <w:lang w:eastAsia="en-AU"/>
        </w:rPr>
        <w:t>Gaudron</w:t>
      </w:r>
      <w:proofErr w:type="spellEnd"/>
      <w:r w:rsidR="00226BA5">
        <w:rPr>
          <w:lang w:eastAsia="en-AU"/>
        </w:rPr>
        <w:t xml:space="preserve"> and McHugh JJ)).</w:t>
      </w:r>
    </w:p>
    <w:p w14:paraId="58A18CF0" w14:textId="621630F8" w:rsidR="008719A2" w:rsidRDefault="00836E8B" w:rsidP="007F695C">
      <w:pPr>
        <w:pStyle w:val="ParaNumbering"/>
        <w:rPr>
          <w:lang w:eastAsia="en-AU"/>
        </w:rPr>
      </w:pPr>
      <w:r w:rsidRPr="00836E8B">
        <w:rPr>
          <w:b/>
          <w:bCs/>
          <w:i/>
          <w:iCs/>
          <w:lang w:eastAsia="en-AU"/>
        </w:rPr>
        <w:t>S</w:t>
      </w:r>
      <w:r w:rsidR="007A4C9F" w:rsidRPr="00836E8B">
        <w:rPr>
          <w:b/>
          <w:bCs/>
          <w:i/>
          <w:iCs/>
          <w:lang w:eastAsia="en-AU"/>
        </w:rPr>
        <w:t>econd</w:t>
      </w:r>
      <w:r w:rsidRPr="00836E8B">
        <w:rPr>
          <w:b/>
          <w:bCs/>
          <w:i/>
          <w:iCs/>
          <w:lang w:eastAsia="en-AU"/>
        </w:rPr>
        <w:t>ly</w:t>
      </w:r>
      <w:r w:rsidR="006C298E">
        <w:rPr>
          <w:lang w:eastAsia="en-AU"/>
        </w:rPr>
        <w:t xml:space="preserve">, for the same reason, care is needed in attributing weight to </w:t>
      </w:r>
      <w:r w:rsidR="001A0073">
        <w:rPr>
          <w:lang w:eastAsia="en-AU"/>
        </w:rPr>
        <w:t xml:space="preserve">statements in the EM </w:t>
      </w:r>
      <w:r w:rsidR="00594242">
        <w:rPr>
          <w:lang w:eastAsia="en-AU"/>
        </w:rPr>
        <w:t xml:space="preserve">to the Bill </w:t>
      </w:r>
      <w:r w:rsidR="001A0073">
        <w:rPr>
          <w:lang w:eastAsia="en-AU"/>
        </w:rPr>
        <w:t xml:space="preserve">for the </w:t>
      </w:r>
      <w:r w:rsidR="007950EB">
        <w:rPr>
          <w:lang w:eastAsia="en-AU"/>
        </w:rPr>
        <w:t xml:space="preserve">1999 </w:t>
      </w:r>
      <w:r w:rsidR="001A0073">
        <w:rPr>
          <w:lang w:eastAsia="en-AU"/>
        </w:rPr>
        <w:t xml:space="preserve">CLERP Act </w:t>
      </w:r>
      <w:r w:rsidR="00594242">
        <w:rPr>
          <w:lang w:eastAsia="en-AU"/>
        </w:rPr>
        <w:t>concerning</w:t>
      </w:r>
      <w:r w:rsidR="001A0073">
        <w:rPr>
          <w:lang w:eastAsia="en-AU"/>
        </w:rPr>
        <w:t xml:space="preserve"> what were or were not understood to be significant changes </w:t>
      </w:r>
      <w:r w:rsidR="00594242">
        <w:rPr>
          <w:lang w:eastAsia="en-AU"/>
        </w:rPr>
        <w:t>being made to the legislative regime by that Act</w:t>
      </w:r>
      <w:r w:rsidR="00AB37D4">
        <w:rPr>
          <w:lang w:eastAsia="en-AU"/>
        </w:rPr>
        <w:t xml:space="preserve"> (</w:t>
      </w:r>
      <w:proofErr w:type="spellStart"/>
      <w:r w:rsidR="00AB37D4">
        <w:rPr>
          <w:lang w:eastAsia="en-AU"/>
        </w:rPr>
        <w:t>cf</w:t>
      </w:r>
      <w:proofErr w:type="spellEnd"/>
      <w:r w:rsidR="00AB37D4">
        <w:rPr>
          <w:lang w:eastAsia="en-AU"/>
        </w:rPr>
        <w:t xml:space="preserve"> </w:t>
      </w:r>
      <w:proofErr w:type="spellStart"/>
      <w:r w:rsidR="00AB37D4">
        <w:rPr>
          <w:i/>
          <w:iCs/>
          <w:lang w:eastAsia="en-AU"/>
        </w:rPr>
        <w:t>Austructures</w:t>
      </w:r>
      <w:proofErr w:type="spellEnd"/>
      <w:r w:rsidR="00AB37D4">
        <w:rPr>
          <w:lang w:eastAsia="en-AU"/>
        </w:rPr>
        <w:t xml:space="preserve"> at [32]-[36])</w:t>
      </w:r>
      <w:r w:rsidR="00594242">
        <w:rPr>
          <w:lang w:eastAsia="en-AU"/>
        </w:rPr>
        <w:t>.</w:t>
      </w:r>
      <w:r w:rsidR="00A160D4">
        <w:rPr>
          <w:lang w:eastAsia="en-AU"/>
        </w:rPr>
        <w:t xml:space="preserve"> </w:t>
      </w:r>
      <w:r w:rsidR="004134D2">
        <w:rPr>
          <w:lang w:eastAsia="en-AU"/>
        </w:rPr>
        <w:t xml:space="preserve">As noted earlier, </w:t>
      </w:r>
      <w:proofErr w:type="spellStart"/>
      <w:r w:rsidR="00A160D4">
        <w:rPr>
          <w:i/>
          <w:iCs/>
          <w:lang w:eastAsia="en-AU"/>
        </w:rPr>
        <w:t>Newtronics</w:t>
      </w:r>
      <w:proofErr w:type="spellEnd"/>
      <w:r w:rsidR="00A160D4">
        <w:rPr>
          <w:lang w:eastAsia="en-AU"/>
        </w:rPr>
        <w:t xml:space="preserve"> was not dec</w:t>
      </w:r>
      <w:r w:rsidR="004134D2">
        <w:rPr>
          <w:lang w:eastAsia="en-AU"/>
        </w:rPr>
        <w:t>ided until some years later</w:t>
      </w:r>
      <w:r w:rsidR="00331528">
        <w:rPr>
          <w:lang w:eastAsia="en-AU"/>
        </w:rPr>
        <w:t>; so that the construction of s</w:t>
      </w:r>
      <w:r w:rsidR="007C5995">
        <w:rPr>
          <w:lang w:eastAsia="en-AU"/>
        </w:rPr>
        <w:t> </w:t>
      </w:r>
      <w:r w:rsidR="00331528">
        <w:rPr>
          <w:lang w:eastAsia="en-AU"/>
        </w:rPr>
        <w:t>131</w:t>
      </w:r>
      <w:r w:rsidR="00CC0542">
        <w:rPr>
          <w:lang w:eastAsia="en-AU"/>
        </w:rPr>
        <w:t>7</w:t>
      </w:r>
      <w:proofErr w:type="gramStart"/>
      <w:r w:rsidR="00CC0542">
        <w:rPr>
          <w:lang w:eastAsia="en-AU"/>
        </w:rPr>
        <w:t>HD(</w:t>
      </w:r>
      <w:proofErr w:type="gramEnd"/>
      <w:r w:rsidR="00CC0542">
        <w:rPr>
          <w:lang w:eastAsia="en-AU"/>
        </w:rPr>
        <w:t xml:space="preserve">2) in that case cannot have been a reference point for any </w:t>
      </w:r>
      <w:r w:rsidR="00EC64CD">
        <w:rPr>
          <w:lang w:eastAsia="en-AU"/>
        </w:rPr>
        <w:t xml:space="preserve">view as to whether the form of s 1317K in the </w:t>
      </w:r>
      <w:r w:rsidR="00C96681">
        <w:rPr>
          <w:lang w:eastAsia="en-AU"/>
        </w:rPr>
        <w:t>Bill involved a significant change to the pre-existing law.</w:t>
      </w:r>
      <w:r w:rsidR="00B35367">
        <w:rPr>
          <w:lang w:eastAsia="en-AU"/>
        </w:rPr>
        <w:t xml:space="preserve"> However, the fact that no mention was made of s 1317K in the EM </w:t>
      </w:r>
      <w:r w:rsidR="00CF6F3A">
        <w:rPr>
          <w:lang w:eastAsia="en-AU"/>
        </w:rPr>
        <w:t>does provide some</w:t>
      </w:r>
      <w:r w:rsidR="003D04F4">
        <w:rPr>
          <w:lang w:eastAsia="en-AU"/>
        </w:rPr>
        <w:t xml:space="preserve"> limited</w:t>
      </w:r>
      <w:r w:rsidR="00CF6F3A">
        <w:rPr>
          <w:lang w:eastAsia="en-AU"/>
        </w:rPr>
        <w:t xml:space="preserve"> support for the view, expressed above, that </w:t>
      </w:r>
      <w:r w:rsidR="00E16CC9">
        <w:rPr>
          <w:lang w:eastAsia="en-AU"/>
        </w:rPr>
        <w:t xml:space="preserve">the change in expression from “only” to “no later than” </w:t>
      </w:r>
      <w:r w:rsidR="003863D7">
        <w:rPr>
          <w:lang w:eastAsia="en-AU"/>
        </w:rPr>
        <w:t xml:space="preserve">does not reflect </w:t>
      </w:r>
      <w:r w:rsidR="00E253CE">
        <w:rPr>
          <w:lang w:eastAsia="en-AU"/>
        </w:rPr>
        <w:t>a change in intended operation.</w:t>
      </w:r>
    </w:p>
    <w:p w14:paraId="0F114E13" w14:textId="4DCC5FD0" w:rsidR="005A44B9" w:rsidRDefault="005A44B9" w:rsidP="007F695C">
      <w:pPr>
        <w:pStyle w:val="ParaNumbering"/>
        <w:rPr>
          <w:lang w:eastAsia="en-AU"/>
        </w:rPr>
      </w:pPr>
      <w:r>
        <w:rPr>
          <w:lang w:eastAsia="en-AU"/>
        </w:rPr>
        <w:t xml:space="preserve">It is of course not unknown for </w:t>
      </w:r>
      <w:r w:rsidR="00FE21D6">
        <w:rPr>
          <w:lang w:eastAsia="en-AU"/>
        </w:rPr>
        <w:t xml:space="preserve">explanatory memoranda and second reading speeches to contain statements concerning the </w:t>
      </w:r>
      <w:r w:rsidR="009E34E2">
        <w:rPr>
          <w:lang w:eastAsia="en-AU"/>
        </w:rPr>
        <w:t xml:space="preserve">intended </w:t>
      </w:r>
      <w:r w:rsidR="00FE21D6">
        <w:rPr>
          <w:lang w:eastAsia="en-AU"/>
        </w:rPr>
        <w:t xml:space="preserve">effect of </w:t>
      </w:r>
      <w:r w:rsidR="00114A4C">
        <w:rPr>
          <w:lang w:eastAsia="en-AU"/>
        </w:rPr>
        <w:t>proposed provisions contained in a Bill that are</w:t>
      </w:r>
      <w:r w:rsidR="00F81CB8">
        <w:rPr>
          <w:lang w:eastAsia="en-AU"/>
        </w:rPr>
        <w:t xml:space="preserve"> not borne out by </w:t>
      </w:r>
      <w:r w:rsidR="00C7694A">
        <w:rPr>
          <w:lang w:eastAsia="en-AU"/>
        </w:rPr>
        <w:t>the construction given to those provisions by the courts</w:t>
      </w:r>
      <w:r w:rsidR="00114A4C">
        <w:rPr>
          <w:lang w:eastAsia="en-AU"/>
        </w:rPr>
        <w:t>.</w:t>
      </w:r>
      <w:r w:rsidR="00C7694A">
        <w:rPr>
          <w:lang w:eastAsia="en-AU"/>
        </w:rPr>
        <w:t xml:space="preserve"> </w:t>
      </w:r>
      <w:r w:rsidR="002A761F">
        <w:rPr>
          <w:lang w:eastAsia="en-AU"/>
        </w:rPr>
        <w:t>E</w:t>
      </w:r>
      <w:r w:rsidR="00C04847">
        <w:rPr>
          <w:lang w:eastAsia="en-AU"/>
        </w:rPr>
        <w:t>xample</w:t>
      </w:r>
      <w:r w:rsidR="002A761F">
        <w:rPr>
          <w:lang w:eastAsia="en-AU"/>
        </w:rPr>
        <w:t>s</w:t>
      </w:r>
      <w:r w:rsidR="00C04847">
        <w:rPr>
          <w:lang w:eastAsia="en-AU"/>
        </w:rPr>
        <w:t xml:space="preserve"> </w:t>
      </w:r>
      <w:r w:rsidR="002A761F">
        <w:rPr>
          <w:lang w:eastAsia="en-AU"/>
        </w:rPr>
        <w:t>are</w:t>
      </w:r>
      <w:r w:rsidR="00C04847">
        <w:rPr>
          <w:lang w:eastAsia="en-AU"/>
        </w:rPr>
        <w:t xml:space="preserve"> </w:t>
      </w:r>
      <w:r w:rsidR="00C04847">
        <w:rPr>
          <w:i/>
          <w:iCs/>
          <w:lang w:eastAsia="en-AU"/>
        </w:rPr>
        <w:t xml:space="preserve">Re Bolton; Ex </w:t>
      </w:r>
      <w:proofErr w:type="spellStart"/>
      <w:r w:rsidR="00C04847">
        <w:rPr>
          <w:i/>
          <w:iCs/>
          <w:lang w:eastAsia="en-AU"/>
        </w:rPr>
        <w:t>parte</w:t>
      </w:r>
      <w:proofErr w:type="spellEnd"/>
      <w:r w:rsidR="00C04847">
        <w:rPr>
          <w:i/>
          <w:iCs/>
          <w:lang w:eastAsia="en-AU"/>
        </w:rPr>
        <w:t xml:space="preserve"> Beane</w:t>
      </w:r>
      <w:r w:rsidR="00C04847">
        <w:rPr>
          <w:lang w:eastAsia="en-AU"/>
        </w:rPr>
        <w:t xml:space="preserve"> (1987) 162 CLR </w:t>
      </w:r>
      <w:r w:rsidR="00E56AA9">
        <w:rPr>
          <w:lang w:eastAsia="en-AU"/>
        </w:rPr>
        <w:t>514 at 51</w:t>
      </w:r>
      <w:r w:rsidR="00E00BDB">
        <w:rPr>
          <w:lang w:eastAsia="en-AU"/>
        </w:rPr>
        <w:t>7-51</w:t>
      </w:r>
      <w:r w:rsidR="00E56AA9">
        <w:rPr>
          <w:lang w:eastAsia="en-AU"/>
        </w:rPr>
        <w:t xml:space="preserve">8 (Mason CJ, </w:t>
      </w:r>
      <w:proofErr w:type="gramStart"/>
      <w:r w:rsidR="00E56AA9">
        <w:rPr>
          <w:lang w:eastAsia="en-AU"/>
        </w:rPr>
        <w:t>Wilson</w:t>
      </w:r>
      <w:proofErr w:type="gramEnd"/>
      <w:r w:rsidR="00E56AA9">
        <w:rPr>
          <w:lang w:eastAsia="en-AU"/>
        </w:rPr>
        <w:t xml:space="preserve"> and Dawson JJ)</w:t>
      </w:r>
      <w:r w:rsidR="002A761F">
        <w:rPr>
          <w:lang w:eastAsia="en-AU"/>
        </w:rPr>
        <w:t xml:space="preserve"> and </w:t>
      </w:r>
      <w:r w:rsidR="002A761F">
        <w:rPr>
          <w:i/>
          <w:iCs/>
          <w:lang w:eastAsia="en-AU"/>
        </w:rPr>
        <w:t>Saeed v Minister for Immigration</w:t>
      </w:r>
      <w:r w:rsidR="00646353">
        <w:rPr>
          <w:i/>
          <w:iCs/>
          <w:lang w:eastAsia="en-AU"/>
        </w:rPr>
        <w:t xml:space="preserve"> and Citizenship</w:t>
      </w:r>
      <w:r w:rsidR="00646353">
        <w:rPr>
          <w:lang w:eastAsia="en-AU"/>
        </w:rPr>
        <w:t xml:space="preserve"> [2010] HCA 23; 241 CLR 252 at [</w:t>
      </w:r>
      <w:r w:rsidR="009A18D3">
        <w:rPr>
          <w:lang w:eastAsia="en-AU"/>
        </w:rPr>
        <w:t>31]-[32]</w:t>
      </w:r>
      <w:r w:rsidR="008A2C94">
        <w:rPr>
          <w:lang w:eastAsia="en-AU"/>
        </w:rPr>
        <w:t xml:space="preserve"> (French CJ, Gummow, Hayne, Crennan and Kiefel JJ).</w:t>
      </w:r>
      <w:r w:rsidR="00826BAD">
        <w:rPr>
          <w:lang w:eastAsia="en-AU"/>
        </w:rPr>
        <w:t xml:space="preserve"> It is </w:t>
      </w:r>
      <w:r w:rsidR="003D04F4">
        <w:rPr>
          <w:lang w:eastAsia="en-AU"/>
        </w:rPr>
        <w:t>not im</w:t>
      </w:r>
      <w:r w:rsidR="00826BAD">
        <w:rPr>
          <w:lang w:eastAsia="en-AU"/>
        </w:rPr>
        <w:t>possible that the authors of the EM</w:t>
      </w:r>
      <w:r w:rsidR="001C6D0C">
        <w:rPr>
          <w:lang w:eastAsia="en-AU"/>
        </w:rPr>
        <w:t xml:space="preserve">, in coming to the view that the provisions of the Bill for the </w:t>
      </w:r>
      <w:r w:rsidR="00B513D0">
        <w:rPr>
          <w:lang w:eastAsia="en-AU"/>
        </w:rPr>
        <w:t xml:space="preserve">1999 </w:t>
      </w:r>
      <w:r w:rsidR="001C6D0C">
        <w:rPr>
          <w:lang w:eastAsia="en-AU"/>
        </w:rPr>
        <w:t xml:space="preserve">CLERP Act would “rewrite </w:t>
      </w:r>
      <w:r w:rsidR="004A2BF4">
        <w:rPr>
          <w:lang w:eastAsia="en-AU"/>
        </w:rPr>
        <w:t>without substantial change” Part 9.4B</w:t>
      </w:r>
      <w:r w:rsidR="00175ACC">
        <w:rPr>
          <w:lang w:eastAsia="en-AU"/>
        </w:rPr>
        <w:t>,</w:t>
      </w:r>
      <w:r w:rsidR="003D04F4">
        <w:rPr>
          <w:lang w:eastAsia="en-AU"/>
        </w:rPr>
        <w:t xml:space="preserve"> were simply wrong in their understanding of </w:t>
      </w:r>
      <w:r w:rsidR="003D04F4">
        <w:rPr>
          <w:lang w:eastAsia="en-AU"/>
        </w:rPr>
        <w:lastRenderedPageBreak/>
        <w:t>either the pre-existing law or the proper construction of the text that was being enacted (</w:t>
      </w:r>
      <w:proofErr w:type="spellStart"/>
      <w:r w:rsidR="003D04F4">
        <w:rPr>
          <w:lang w:eastAsia="en-AU"/>
        </w:rPr>
        <w:t>cf</w:t>
      </w:r>
      <w:proofErr w:type="spellEnd"/>
      <w:r w:rsidR="003D04F4">
        <w:rPr>
          <w:lang w:eastAsia="en-AU"/>
        </w:rPr>
        <w:t xml:space="preserve"> </w:t>
      </w:r>
      <w:r w:rsidR="003D04F4">
        <w:rPr>
          <w:i/>
          <w:iCs/>
          <w:lang w:eastAsia="en-AU"/>
        </w:rPr>
        <w:t>R v JS</w:t>
      </w:r>
      <w:r w:rsidR="003D04F4">
        <w:rPr>
          <w:lang w:eastAsia="en-AU"/>
        </w:rPr>
        <w:t xml:space="preserve"> </w:t>
      </w:r>
      <w:r w:rsidR="003D04F4" w:rsidRPr="00E81FF6">
        <w:rPr>
          <w:color w:val="263238"/>
        </w:rPr>
        <w:t>[2007] NSWCCA 272</w:t>
      </w:r>
      <w:r w:rsidR="003D04F4">
        <w:rPr>
          <w:lang w:eastAsia="en-AU"/>
        </w:rPr>
        <w:t>; 230 FLR 276 at [141]-[144] (Spigelman CJ)</w:t>
      </w:r>
      <w:r w:rsidR="00DB09D3">
        <w:rPr>
          <w:lang w:eastAsia="en-AU"/>
        </w:rPr>
        <w:t xml:space="preserve">). Statements of this kind </w:t>
      </w:r>
      <w:r w:rsidR="00DB09D3" w:rsidRPr="00DB09D3">
        <w:rPr>
          <w:szCs w:val="24"/>
          <w:lang w:eastAsia="en-AU"/>
        </w:rPr>
        <w:t>“</w:t>
      </w:r>
      <w:r w:rsidR="00DB09D3" w:rsidRPr="00E81FF6">
        <w:rPr>
          <w:color w:val="212121"/>
          <w:szCs w:val="24"/>
          <w:shd w:val="clear" w:color="auto" w:fill="FFFFFF"/>
        </w:rPr>
        <w:t xml:space="preserve">may reinforce the understanding to be gained from a reading of the </w:t>
      </w:r>
      <w:r w:rsidR="00DB09D3">
        <w:rPr>
          <w:color w:val="212121"/>
          <w:szCs w:val="24"/>
          <w:shd w:val="clear" w:color="auto" w:fill="FFFFFF"/>
        </w:rPr>
        <w:t>[provision]</w:t>
      </w:r>
      <w:r w:rsidR="00DB09D3" w:rsidRPr="00E81FF6">
        <w:rPr>
          <w:color w:val="212121"/>
          <w:szCs w:val="24"/>
          <w:shd w:val="clear" w:color="auto" w:fill="FFFFFF"/>
        </w:rPr>
        <w:t xml:space="preserve"> itself</w:t>
      </w:r>
      <w:proofErr w:type="gramStart"/>
      <w:r w:rsidR="00DB09D3" w:rsidRPr="00E81FF6">
        <w:rPr>
          <w:color w:val="212121"/>
          <w:szCs w:val="24"/>
          <w:shd w:val="clear" w:color="auto" w:fill="FFFFFF"/>
        </w:rPr>
        <w:t>”</w:t>
      </w:r>
      <w:r w:rsidR="00DB09D3">
        <w:rPr>
          <w:color w:val="212121"/>
          <w:szCs w:val="24"/>
          <w:shd w:val="clear" w:color="auto" w:fill="FFFFFF"/>
        </w:rPr>
        <w:t>, but</w:t>
      </w:r>
      <w:proofErr w:type="gramEnd"/>
      <w:r w:rsidR="00DB09D3">
        <w:rPr>
          <w:color w:val="212121"/>
          <w:szCs w:val="24"/>
          <w:shd w:val="clear" w:color="auto" w:fill="FFFFFF"/>
        </w:rPr>
        <w:t xml:space="preserve"> would not be a sound basis for resolving any real doubt about its legal meaning: </w:t>
      </w:r>
      <w:r w:rsidR="00DB09D3">
        <w:rPr>
          <w:i/>
          <w:iCs/>
          <w:color w:val="212121"/>
          <w:szCs w:val="24"/>
          <w:shd w:val="clear" w:color="auto" w:fill="FFFFFF"/>
        </w:rPr>
        <w:t>Minister for Immigration and Border Protection v BHA17</w:t>
      </w:r>
      <w:r w:rsidR="00DB09D3">
        <w:rPr>
          <w:color w:val="212121"/>
          <w:szCs w:val="24"/>
          <w:shd w:val="clear" w:color="auto" w:fill="FFFFFF"/>
        </w:rPr>
        <w:t xml:space="preserve"> [2018] FCAFC 68; 260 FCR 523 at [47] (Robertson, Moshinsky and Bromwich JJ).</w:t>
      </w:r>
    </w:p>
    <w:p w14:paraId="7D7ED42B" w14:textId="0C0627EC" w:rsidR="0095247B" w:rsidRDefault="0016689A" w:rsidP="007F695C">
      <w:pPr>
        <w:pStyle w:val="ParaNumbering"/>
        <w:rPr>
          <w:lang w:eastAsia="en-AU"/>
        </w:rPr>
      </w:pPr>
      <w:r>
        <w:rPr>
          <w:b/>
          <w:bCs/>
          <w:i/>
          <w:iCs/>
          <w:lang w:eastAsia="en-AU"/>
        </w:rPr>
        <w:t>Thirdly</w:t>
      </w:r>
      <w:r w:rsidR="0095247B">
        <w:rPr>
          <w:lang w:eastAsia="en-AU"/>
        </w:rPr>
        <w:t xml:space="preserve">, in one respect, the </w:t>
      </w:r>
      <w:r w:rsidR="00407E90">
        <w:rPr>
          <w:lang w:eastAsia="en-AU"/>
        </w:rPr>
        <w:t xml:space="preserve">enactment of s 1317K arguably did </w:t>
      </w:r>
      <w:r w:rsidR="006C3C2B">
        <w:rPr>
          <w:lang w:eastAsia="en-AU"/>
        </w:rPr>
        <w:t>involve significant change.</w:t>
      </w:r>
      <w:r w:rsidR="00C22B11">
        <w:rPr>
          <w:lang w:eastAsia="en-AU"/>
        </w:rPr>
        <w:t xml:space="preserve"> As Part 9.4B stood before the enactment of the </w:t>
      </w:r>
      <w:r w:rsidR="0035415D">
        <w:rPr>
          <w:lang w:eastAsia="en-AU"/>
        </w:rPr>
        <w:t xml:space="preserve">1999 </w:t>
      </w:r>
      <w:r w:rsidR="00C22B11">
        <w:rPr>
          <w:lang w:eastAsia="en-AU"/>
        </w:rPr>
        <w:t xml:space="preserve">CLERP Act, </w:t>
      </w:r>
      <w:r w:rsidR="00EB6502">
        <w:rPr>
          <w:lang w:eastAsia="en-AU"/>
        </w:rPr>
        <w:t>civil penalty orders and compensation orders were dealt with in separate divisions.</w:t>
      </w:r>
      <w:r w:rsidR="00287CC1">
        <w:rPr>
          <w:lang w:eastAsia="en-AU"/>
        </w:rPr>
        <w:t xml:space="preserve"> Division 1 contained provisions </w:t>
      </w:r>
      <w:r w:rsidR="00060695">
        <w:rPr>
          <w:lang w:eastAsia="en-AU"/>
        </w:rPr>
        <w:t xml:space="preserve">dealing with the making of civil penalty orders (s 1317EA), the persons entitled to apply for those orders (s 1317EB) and </w:t>
      </w:r>
      <w:r w:rsidR="00EE66FD">
        <w:rPr>
          <w:lang w:eastAsia="en-AU"/>
        </w:rPr>
        <w:t>the limitation period for such applications (s 1317EC)</w:t>
      </w:r>
      <w:r w:rsidR="00DD705A">
        <w:rPr>
          <w:lang w:eastAsia="en-AU"/>
        </w:rPr>
        <w:t>. The last of these sections provided:</w:t>
      </w:r>
    </w:p>
    <w:p w14:paraId="660FE539" w14:textId="4213633F" w:rsidR="00DD705A" w:rsidRDefault="005B219A" w:rsidP="005B219A">
      <w:pPr>
        <w:pStyle w:val="Quote1"/>
        <w:rPr>
          <w:lang w:eastAsia="en-AU"/>
        </w:rPr>
      </w:pPr>
      <w:r>
        <w:rPr>
          <w:lang w:eastAsia="en-AU"/>
        </w:rPr>
        <w:t>An application for a civil penalty order may be made within 6 years after the contravention.</w:t>
      </w:r>
    </w:p>
    <w:p w14:paraId="21B61196" w14:textId="500C195E" w:rsidR="006B1205" w:rsidRDefault="006B1205" w:rsidP="005B219A">
      <w:pPr>
        <w:pStyle w:val="ParaNumbering"/>
        <w:rPr>
          <w:lang w:eastAsia="en-AU"/>
        </w:rPr>
      </w:pPr>
      <w:r>
        <w:rPr>
          <w:lang w:eastAsia="en-AU"/>
        </w:rPr>
        <w:t xml:space="preserve">Division 5, which was the focus of attention in </w:t>
      </w:r>
      <w:proofErr w:type="spellStart"/>
      <w:r>
        <w:rPr>
          <w:i/>
          <w:iCs/>
          <w:lang w:eastAsia="en-AU"/>
        </w:rPr>
        <w:t>Newtronics</w:t>
      </w:r>
      <w:proofErr w:type="spellEnd"/>
      <w:r>
        <w:rPr>
          <w:lang w:eastAsia="en-AU"/>
        </w:rPr>
        <w:t>, dealt with compensation orders.</w:t>
      </w:r>
      <w:r w:rsidR="001F4E2F">
        <w:rPr>
          <w:lang w:eastAsia="en-AU"/>
        </w:rPr>
        <w:t xml:space="preserve"> Section 1317</w:t>
      </w:r>
      <w:proofErr w:type="gramStart"/>
      <w:r w:rsidR="001F4E2F">
        <w:rPr>
          <w:lang w:eastAsia="en-AU"/>
        </w:rPr>
        <w:t>HD(</w:t>
      </w:r>
      <w:proofErr w:type="gramEnd"/>
      <w:r w:rsidR="001F4E2F">
        <w:rPr>
          <w:lang w:eastAsia="en-AU"/>
        </w:rPr>
        <w:t xml:space="preserve">2), which has been set out above, </w:t>
      </w:r>
      <w:r w:rsidR="0000746B">
        <w:rPr>
          <w:lang w:eastAsia="en-AU"/>
        </w:rPr>
        <w:t>provided a limitation period (also six years) specifically applicable to applications for such orders.</w:t>
      </w:r>
    </w:p>
    <w:p w14:paraId="519235D0" w14:textId="57DFCCF2" w:rsidR="005B219A" w:rsidRDefault="005B219A" w:rsidP="005B219A">
      <w:pPr>
        <w:pStyle w:val="ParaNumbering"/>
        <w:rPr>
          <w:lang w:eastAsia="en-AU"/>
        </w:rPr>
      </w:pPr>
      <w:r>
        <w:rPr>
          <w:lang w:eastAsia="en-AU"/>
        </w:rPr>
        <w:t xml:space="preserve">The </w:t>
      </w:r>
      <w:r w:rsidR="002E58AA">
        <w:rPr>
          <w:lang w:eastAsia="en-AU"/>
        </w:rPr>
        <w:t>presently relevant</w:t>
      </w:r>
      <w:r>
        <w:rPr>
          <w:lang w:eastAsia="en-AU"/>
        </w:rPr>
        <w:t xml:space="preserve"> iteration of Part 9.4B </w:t>
      </w:r>
      <w:r w:rsidR="002E58AA">
        <w:rPr>
          <w:lang w:eastAsia="en-AU"/>
        </w:rPr>
        <w:t>wa</w:t>
      </w:r>
      <w:r>
        <w:rPr>
          <w:lang w:eastAsia="en-AU"/>
        </w:rPr>
        <w:t xml:space="preserve">s organised differently. </w:t>
      </w:r>
      <w:r w:rsidR="002E58AA">
        <w:rPr>
          <w:lang w:eastAsia="en-AU"/>
        </w:rPr>
        <w:t xml:space="preserve">It was not divided into Divisions. </w:t>
      </w:r>
      <w:r w:rsidR="00A608D4">
        <w:rPr>
          <w:lang w:eastAsia="en-AU"/>
        </w:rPr>
        <w:t>Sections 1317E, 1317G</w:t>
      </w:r>
      <w:r w:rsidR="00692C37">
        <w:rPr>
          <w:lang w:eastAsia="en-AU"/>
        </w:rPr>
        <w:t>, 1317GA</w:t>
      </w:r>
      <w:r w:rsidR="00094F2D">
        <w:rPr>
          <w:lang w:eastAsia="en-AU"/>
        </w:rPr>
        <w:t>,</w:t>
      </w:r>
      <w:r w:rsidR="00692C37">
        <w:rPr>
          <w:lang w:eastAsia="en-AU"/>
        </w:rPr>
        <w:t xml:space="preserve"> 1317H</w:t>
      </w:r>
      <w:r w:rsidR="00E21C08">
        <w:rPr>
          <w:lang w:eastAsia="en-AU"/>
        </w:rPr>
        <w:t xml:space="preserve">, 1317HA and 1317HB empowered the Court to make specific kinds of orders. </w:t>
      </w:r>
      <w:r w:rsidR="00064D5B">
        <w:rPr>
          <w:lang w:eastAsia="en-AU"/>
        </w:rPr>
        <w:t>The classes of persons entitled to apply for orders of these various kinds were all identified by s 13</w:t>
      </w:r>
      <w:r w:rsidR="00CC2C80">
        <w:rPr>
          <w:lang w:eastAsia="en-AU"/>
        </w:rPr>
        <w:t>17J</w:t>
      </w:r>
      <w:r w:rsidR="00D0128B">
        <w:rPr>
          <w:lang w:eastAsia="en-AU"/>
        </w:rPr>
        <w:t xml:space="preserve">. A single limitation period, applicable to all applications for </w:t>
      </w:r>
      <w:r w:rsidR="001D63AE">
        <w:rPr>
          <w:lang w:eastAsia="en-AU"/>
        </w:rPr>
        <w:t>declarations, pecuniary penalty orders and compensation orders, was imposed by s 1317K.</w:t>
      </w:r>
    </w:p>
    <w:p w14:paraId="10EB7A07" w14:textId="6FB1BC4E" w:rsidR="00654C32" w:rsidRDefault="00654C32" w:rsidP="005B219A">
      <w:pPr>
        <w:pStyle w:val="ParaNumbering"/>
        <w:rPr>
          <w:lang w:eastAsia="en-AU"/>
        </w:rPr>
      </w:pPr>
      <w:r>
        <w:rPr>
          <w:lang w:eastAsia="en-AU"/>
        </w:rPr>
        <w:t xml:space="preserve">The judgments at first instance and on appeal in </w:t>
      </w:r>
      <w:proofErr w:type="spellStart"/>
      <w:r>
        <w:rPr>
          <w:i/>
          <w:iCs/>
          <w:lang w:eastAsia="en-AU"/>
        </w:rPr>
        <w:t>Newtronics</w:t>
      </w:r>
      <w:proofErr w:type="spellEnd"/>
      <w:r>
        <w:rPr>
          <w:lang w:eastAsia="en-AU"/>
        </w:rPr>
        <w:t xml:space="preserve"> noted the difference in language between s 1317EC (</w:t>
      </w:r>
      <w:r w:rsidR="005601D7">
        <w:rPr>
          <w:lang w:eastAsia="en-AU"/>
        </w:rPr>
        <w:t xml:space="preserve">“may be made within 6 years”) and s 1317HD(2) (“may </w:t>
      </w:r>
      <w:r w:rsidR="005601D7">
        <w:rPr>
          <w:i/>
          <w:iCs/>
          <w:lang w:eastAsia="en-AU"/>
        </w:rPr>
        <w:t>only</w:t>
      </w:r>
      <w:r w:rsidR="005601D7">
        <w:rPr>
          <w:lang w:eastAsia="en-AU"/>
        </w:rPr>
        <w:t xml:space="preserve"> be </w:t>
      </w:r>
      <w:r w:rsidR="00180673">
        <w:rPr>
          <w:lang w:eastAsia="en-AU"/>
        </w:rPr>
        <w:t>begun within 6 years”): see</w:t>
      </w:r>
      <w:r w:rsidR="00E57CFA">
        <w:rPr>
          <w:lang w:eastAsia="en-AU"/>
        </w:rPr>
        <w:t xml:space="preserve"> </w:t>
      </w:r>
      <w:r w:rsidR="0010329F">
        <w:rPr>
          <w:lang w:eastAsia="en-AU"/>
        </w:rPr>
        <w:t>(</w:t>
      </w:r>
      <w:r w:rsidR="00E57CFA">
        <w:rPr>
          <w:lang w:eastAsia="en-AU"/>
        </w:rPr>
        <w:t>at first instance</w:t>
      </w:r>
      <w:r w:rsidR="0010329F">
        <w:rPr>
          <w:lang w:eastAsia="en-AU"/>
        </w:rPr>
        <w:t>)</w:t>
      </w:r>
      <w:r w:rsidR="00F4218A">
        <w:rPr>
          <w:lang w:eastAsia="en-AU"/>
        </w:rPr>
        <w:t xml:space="preserve"> </w:t>
      </w:r>
      <w:proofErr w:type="spellStart"/>
      <w:r w:rsidR="00F4218A">
        <w:rPr>
          <w:i/>
          <w:iCs/>
          <w:lang w:eastAsia="en-AU"/>
        </w:rPr>
        <w:t>Newtronics</w:t>
      </w:r>
      <w:proofErr w:type="spellEnd"/>
      <w:r w:rsidR="00F4218A">
        <w:rPr>
          <w:i/>
          <w:iCs/>
          <w:lang w:eastAsia="en-AU"/>
        </w:rPr>
        <w:t xml:space="preserve"> Pty Ltd v </w:t>
      </w:r>
      <w:proofErr w:type="spellStart"/>
      <w:r w:rsidR="0054693D">
        <w:rPr>
          <w:i/>
          <w:iCs/>
          <w:lang w:eastAsia="en-AU"/>
        </w:rPr>
        <w:t>Gjergja</w:t>
      </w:r>
      <w:proofErr w:type="spellEnd"/>
      <w:r w:rsidR="00180673">
        <w:rPr>
          <w:lang w:eastAsia="en-AU"/>
        </w:rPr>
        <w:t xml:space="preserve"> </w:t>
      </w:r>
      <w:r w:rsidR="00E57CFA">
        <w:rPr>
          <w:lang w:eastAsia="en-AU"/>
        </w:rPr>
        <w:t xml:space="preserve">[2007] </w:t>
      </w:r>
      <w:r w:rsidR="0010329F">
        <w:rPr>
          <w:lang w:eastAsia="en-AU"/>
        </w:rPr>
        <w:t>VSC 195</w:t>
      </w:r>
      <w:r w:rsidR="002C31DC">
        <w:rPr>
          <w:lang w:eastAsia="en-AU"/>
        </w:rPr>
        <w:t>;</w:t>
      </w:r>
      <w:r w:rsidR="0010329F">
        <w:rPr>
          <w:lang w:eastAsia="en-AU"/>
        </w:rPr>
        <w:t xml:space="preserve"> </w:t>
      </w:r>
      <w:r w:rsidR="00E57CFA">
        <w:rPr>
          <w:lang w:eastAsia="en-AU"/>
        </w:rPr>
        <w:t xml:space="preserve">212 FLR 190 at </w:t>
      </w:r>
      <w:r w:rsidR="00C13A5C">
        <w:rPr>
          <w:lang w:eastAsia="en-AU"/>
        </w:rPr>
        <w:t xml:space="preserve">[29], </w:t>
      </w:r>
      <w:r w:rsidR="00E57CFA">
        <w:rPr>
          <w:lang w:eastAsia="en-AU"/>
        </w:rPr>
        <w:t>[31] (Byrne J)</w:t>
      </w:r>
      <w:r w:rsidR="0010329F">
        <w:rPr>
          <w:lang w:eastAsia="en-AU"/>
        </w:rPr>
        <w:t xml:space="preserve">, and (on appeal) </w:t>
      </w:r>
      <w:proofErr w:type="spellStart"/>
      <w:r w:rsidR="003E5B7A">
        <w:rPr>
          <w:i/>
          <w:iCs/>
          <w:lang w:eastAsia="en-AU"/>
        </w:rPr>
        <w:t>Newtronics</w:t>
      </w:r>
      <w:proofErr w:type="spellEnd"/>
      <w:r w:rsidR="003E5B7A">
        <w:rPr>
          <w:lang w:eastAsia="en-AU"/>
        </w:rPr>
        <w:t xml:space="preserve"> at [65], </w:t>
      </w:r>
      <w:r w:rsidR="00C13A5C">
        <w:rPr>
          <w:lang w:eastAsia="en-AU"/>
        </w:rPr>
        <w:t>[68],</w:t>
      </w:r>
      <w:r w:rsidR="0096327C">
        <w:rPr>
          <w:lang w:eastAsia="en-AU"/>
        </w:rPr>
        <w:t xml:space="preserve"> [</w:t>
      </w:r>
      <w:r w:rsidR="003523CC">
        <w:rPr>
          <w:lang w:eastAsia="en-AU"/>
        </w:rPr>
        <w:t>89</w:t>
      </w:r>
      <w:r w:rsidR="0096327C">
        <w:rPr>
          <w:lang w:eastAsia="en-AU"/>
        </w:rPr>
        <w:t>].</w:t>
      </w:r>
      <w:r w:rsidR="00527575">
        <w:rPr>
          <w:lang w:eastAsia="en-AU"/>
        </w:rPr>
        <w:t xml:space="preserve"> While the point was not </w:t>
      </w:r>
      <w:r w:rsidR="00E222C4">
        <w:rPr>
          <w:lang w:eastAsia="en-AU"/>
        </w:rPr>
        <w:t xml:space="preserve">expressly </w:t>
      </w:r>
      <w:r w:rsidR="00527575">
        <w:rPr>
          <w:lang w:eastAsia="en-AU"/>
        </w:rPr>
        <w:t>decided</w:t>
      </w:r>
      <w:r w:rsidR="00E222C4">
        <w:rPr>
          <w:lang w:eastAsia="en-AU"/>
        </w:rPr>
        <w:t xml:space="preserve"> (and did not need to be), it is apparent that both Byrne J and Dodds-Streeton JA </w:t>
      </w:r>
      <w:r w:rsidR="00CD75B9">
        <w:rPr>
          <w:lang w:eastAsia="en-AU"/>
        </w:rPr>
        <w:t xml:space="preserve">considered it at least possible that the limitation period in s 1317EC </w:t>
      </w:r>
      <w:r w:rsidR="00914848">
        <w:rPr>
          <w:lang w:eastAsia="en-AU"/>
        </w:rPr>
        <w:t>was capable of extension. They explained why, in their view, this would not be anomalous or capricious.</w:t>
      </w:r>
      <w:r w:rsidR="00480481">
        <w:rPr>
          <w:lang w:eastAsia="en-AU"/>
        </w:rPr>
        <w:t xml:space="preserve"> If the </w:t>
      </w:r>
      <w:r w:rsidR="009050E5">
        <w:rPr>
          <w:lang w:eastAsia="en-AU"/>
        </w:rPr>
        <w:t xml:space="preserve">limitation period for an application for a pecuniary penalty order </w:t>
      </w:r>
      <w:r w:rsidR="009251EC">
        <w:rPr>
          <w:lang w:eastAsia="en-AU"/>
        </w:rPr>
        <w:t xml:space="preserve">prior to the 1999 CLERP Act </w:t>
      </w:r>
      <w:r w:rsidR="009050E5">
        <w:rPr>
          <w:lang w:eastAsia="en-AU"/>
        </w:rPr>
        <w:t xml:space="preserve">was capable of extension, the effect of the reasoning in </w:t>
      </w:r>
      <w:proofErr w:type="spellStart"/>
      <w:r w:rsidR="009050E5">
        <w:rPr>
          <w:i/>
          <w:iCs/>
          <w:lang w:eastAsia="en-AU"/>
        </w:rPr>
        <w:t>Austructures</w:t>
      </w:r>
      <w:proofErr w:type="spellEnd"/>
      <w:r w:rsidR="009050E5">
        <w:rPr>
          <w:lang w:eastAsia="en-AU"/>
        </w:rPr>
        <w:t xml:space="preserve"> is that </w:t>
      </w:r>
      <w:r w:rsidR="009773B9">
        <w:rPr>
          <w:lang w:eastAsia="en-AU"/>
        </w:rPr>
        <w:t xml:space="preserve">the 1999 </w:t>
      </w:r>
      <w:r w:rsidR="009773B9">
        <w:rPr>
          <w:lang w:eastAsia="en-AU"/>
        </w:rPr>
        <w:lastRenderedPageBreak/>
        <w:t xml:space="preserve">CLERP Act </w:t>
      </w:r>
      <w:r w:rsidR="00A05EE7">
        <w:rPr>
          <w:lang w:eastAsia="en-AU"/>
        </w:rPr>
        <w:t>replaced it with a rigid time limit.</w:t>
      </w:r>
      <w:r w:rsidR="002222FC">
        <w:rPr>
          <w:lang w:eastAsia="en-AU"/>
        </w:rPr>
        <w:t xml:space="preserve"> That is hard to reconcile with </w:t>
      </w:r>
      <w:r w:rsidR="00F75AEE">
        <w:rPr>
          <w:lang w:eastAsia="en-AU"/>
        </w:rPr>
        <w:t>the observation in the EM that Part 9.4B was being rewritten without substantial change.</w:t>
      </w:r>
      <w:r w:rsidR="004B7205">
        <w:rPr>
          <w:lang w:eastAsia="en-AU"/>
        </w:rPr>
        <w:t xml:space="preserve"> However, if </w:t>
      </w:r>
      <w:proofErr w:type="spellStart"/>
      <w:r w:rsidR="004B7205">
        <w:rPr>
          <w:i/>
          <w:iCs/>
          <w:lang w:eastAsia="en-AU"/>
        </w:rPr>
        <w:t>Austructures</w:t>
      </w:r>
      <w:proofErr w:type="spellEnd"/>
      <w:r w:rsidR="004B7205">
        <w:rPr>
          <w:lang w:eastAsia="en-AU"/>
        </w:rPr>
        <w:t xml:space="preserve"> is wrong and the applicant’s argument is correct</w:t>
      </w:r>
      <w:r w:rsidR="00735538">
        <w:rPr>
          <w:lang w:eastAsia="en-AU"/>
        </w:rPr>
        <w:t xml:space="preserve"> (</w:t>
      </w:r>
      <w:proofErr w:type="spellStart"/>
      <w:r w:rsidR="00735538">
        <w:rPr>
          <w:lang w:eastAsia="en-AU"/>
        </w:rPr>
        <w:t>ie</w:t>
      </w:r>
      <w:proofErr w:type="spellEnd"/>
      <w:r w:rsidR="00735538">
        <w:rPr>
          <w:lang w:eastAsia="en-AU"/>
        </w:rPr>
        <w:t xml:space="preserve">, if the limitation period in s 1317K can be extended), </w:t>
      </w:r>
      <w:r w:rsidR="00156EF7">
        <w:rPr>
          <w:lang w:eastAsia="en-AU"/>
        </w:rPr>
        <w:t xml:space="preserve">an equally substantial change has been </w:t>
      </w:r>
      <w:proofErr w:type="gramStart"/>
      <w:r w:rsidR="00156EF7">
        <w:rPr>
          <w:lang w:eastAsia="en-AU"/>
        </w:rPr>
        <w:t>effected</w:t>
      </w:r>
      <w:proofErr w:type="gramEnd"/>
      <w:r w:rsidR="00156EF7">
        <w:rPr>
          <w:lang w:eastAsia="en-AU"/>
        </w:rPr>
        <w:t xml:space="preserve"> in relation to applications for compensation orders. </w:t>
      </w:r>
      <w:r w:rsidR="006C7AF0">
        <w:rPr>
          <w:lang w:eastAsia="en-AU"/>
        </w:rPr>
        <w:t xml:space="preserve">The answer to that conundrum is probably that the authors of the EM did not </w:t>
      </w:r>
      <w:r w:rsidR="0098460D">
        <w:rPr>
          <w:lang w:eastAsia="en-AU"/>
        </w:rPr>
        <w:t>understand</w:t>
      </w:r>
      <w:r w:rsidR="006C7AF0">
        <w:rPr>
          <w:lang w:eastAsia="en-AU"/>
        </w:rPr>
        <w:t xml:space="preserve"> the </w:t>
      </w:r>
      <w:r w:rsidR="0098460D">
        <w:rPr>
          <w:lang w:eastAsia="en-AU"/>
        </w:rPr>
        <w:t>limitation periods in ss 1317EC and 1317</w:t>
      </w:r>
      <w:proofErr w:type="gramStart"/>
      <w:r w:rsidR="0098460D">
        <w:rPr>
          <w:lang w:eastAsia="en-AU"/>
        </w:rPr>
        <w:t>HD(</w:t>
      </w:r>
      <w:proofErr w:type="gramEnd"/>
      <w:r w:rsidR="0098460D">
        <w:rPr>
          <w:lang w:eastAsia="en-AU"/>
        </w:rPr>
        <w:t xml:space="preserve">2) to be different. </w:t>
      </w:r>
      <w:r w:rsidR="008079C6">
        <w:rPr>
          <w:lang w:eastAsia="en-AU"/>
        </w:rPr>
        <w:t>Whether they were correct in that understanding does not need to be decided.</w:t>
      </w:r>
      <w:r w:rsidR="00A379D2">
        <w:rPr>
          <w:lang w:eastAsia="en-AU"/>
        </w:rPr>
        <w:t xml:space="preserve"> The lack of clarity tends to confirm the limitations of the EM as a guide to </w:t>
      </w:r>
      <w:r w:rsidR="006B2822">
        <w:rPr>
          <w:lang w:eastAsia="en-AU"/>
        </w:rPr>
        <w:t>the meaning of the statutory text.</w:t>
      </w:r>
    </w:p>
    <w:p w14:paraId="47E93A85" w14:textId="5C9651A7" w:rsidR="00981AC5" w:rsidRDefault="00981AC5" w:rsidP="005B219A">
      <w:pPr>
        <w:pStyle w:val="ParaNumbering"/>
        <w:rPr>
          <w:lang w:eastAsia="en-AU"/>
        </w:rPr>
      </w:pPr>
      <w:r>
        <w:rPr>
          <w:lang w:eastAsia="en-AU"/>
        </w:rPr>
        <w:t xml:space="preserve">I was referred during oral argument to </w:t>
      </w:r>
      <w:r w:rsidR="00FB41BD">
        <w:rPr>
          <w:lang w:eastAsia="en-AU"/>
        </w:rPr>
        <w:t>pp 33-34 of the EM</w:t>
      </w:r>
      <w:r w:rsidR="006F09C5">
        <w:rPr>
          <w:lang w:eastAsia="en-AU"/>
        </w:rPr>
        <w:t>, which form part of the discussion of “more significant changes” that is introduced by the paragraph set out above.</w:t>
      </w:r>
      <w:r w:rsidR="00B56C29">
        <w:rPr>
          <w:lang w:eastAsia="en-AU"/>
        </w:rPr>
        <w:t xml:space="preserve"> The passage </w:t>
      </w:r>
      <w:r w:rsidR="00EB2E68">
        <w:rPr>
          <w:lang w:eastAsia="en-AU"/>
        </w:rPr>
        <w:t xml:space="preserve">is found under the heading “Civil penalty provisions” </w:t>
      </w:r>
      <w:r w:rsidR="002229B1">
        <w:rPr>
          <w:lang w:eastAsia="en-AU"/>
        </w:rPr>
        <w:t>and confusingly begins with paragraph [6.5]</w:t>
      </w:r>
      <w:r w:rsidR="00A60A9D">
        <w:rPr>
          <w:lang w:eastAsia="en-AU"/>
        </w:rPr>
        <w:t>. (There are many oddities in the paragraph numbering of the pdf version available online.)</w:t>
      </w:r>
      <w:r w:rsidR="00CE3AD7">
        <w:rPr>
          <w:lang w:eastAsia="en-AU"/>
        </w:rPr>
        <w:t xml:space="preserve"> Changes are outlined </w:t>
      </w:r>
      <w:r w:rsidR="004B5786">
        <w:rPr>
          <w:lang w:eastAsia="en-AU"/>
        </w:rPr>
        <w:t xml:space="preserve">which involve repealing some of the complex provisions in the earlier iteration of Part 9.4B that dealt with the interaction between civil and criminal proceedings. </w:t>
      </w:r>
      <w:r w:rsidR="00913D27">
        <w:rPr>
          <w:lang w:eastAsia="en-AU"/>
        </w:rPr>
        <w:t>The passage ends with the following.</w:t>
      </w:r>
    </w:p>
    <w:p w14:paraId="7A8DBABF" w14:textId="455D4007" w:rsidR="00913D27" w:rsidRDefault="00913D27" w:rsidP="00913D27">
      <w:pPr>
        <w:pStyle w:val="Quote1"/>
      </w:pPr>
      <w:r>
        <w:t>6.9 It is proposed to remove the power of a criminal court to make a compensation order against a defendant who has not been found guilty. This will make it necessary for ASIC to begin fresh civil proceedings if it wishes to pursue civil remedies following an unsuccessful prosecution.</w:t>
      </w:r>
    </w:p>
    <w:p w14:paraId="34342C09" w14:textId="2B8B3D88" w:rsidR="00913D27" w:rsidRDefault="00913D27" w:rsidP="005B219A">
      <w:pPr>
        <w:pStyle w:val="ParaNumbering"/>
        <w:rPr>
          <w:lang w:eastAsia="en-AU"/>
        </w:rPr>
      </w:pPr>
      <w:r>
        <w:rPr>
          <w:lang w:eastAsia="en-AU"/>
        </w:rPr>
        <w:t>It was suggested that</w:t>
      </w:r>
      <w:r w:rsidR="00F93F50">
        <w:rPr>
          <w:lang w:eastAsia="en-AU"/>
        </w:rPr>
        <w:t xml:space="preserve">, given the time that a criminal prosecution is likely to take to reach </w:t>
      </w:r>
      <w:r w:rsidR="00443961">
        <w:rPr>
          <w:lang w:eastAsia="en-AU"/>
        </w:rPr>
        <w:t>its conclusion,</w:t>
      </w:r>
      <w:r>
        <w:rPr>
          <w:lang w:eastAsia="en-AU"/>
        </w:rPr>
        <w:t xml:space="preserve"> this paragraph </w:t>
      </w:r>
      <w:r w:rsidR="00443961">
        <w:rPr>
          <w:lang w:eastAsia="en-AU"/>
        </w:rPr>
        <w:t xml:space="preserve">envisages the limitation period in s </w:t>
      </w:r>
      <w:r w:rsidR="00710B3C">
        <w:rPr>
          <w:lang w:eastAsia="en-AU"/>
        </w:rPr>
        <w:t>1</w:t>
      </w:r>
      <w:r w:rsidR="00914B51">
        <w:rPr>
          <w:lang w:eastAsia="en-AU"/>
        </w:rPr>
        <w:t>317K being extended.</w:t>
      </w:r>
      <w:r w:rsidR="00F832D4">
        <w:rPr>
          <w:lang w:eastAsia="en-AU"/>
        </w:rPr>
        <w:t xml:space="preserve"> If that is so, it is at best an assumption on the part of the authors of the EM. It </w:t>
      </w:r>
      <w:r w:rsidR="001A2622">
        <w:rPr>
          <w:lang w:eastAsia="en-AU"/>
        </w:rPr>
        <w:t xml:space="preserve">finds no reflection in the text of s 1317K or </w:t>
      </w:r>
      <w:r w:rsidR="00C75735">
        <w:rPr>
          <w:lang w:eastAsia="en-AU"/>
        </w:rPr>
        <w:t xml:space="preserve">elsewhere in </w:t>
      </w:r>
      <w:r w:rsidR="000F7B4C">
        <w:rPr>
          <w:lang w:eastAsia="en-AU"/>
        </w:rPr>
        <w:t>Part 9.4B.</w:t>
      </w:r>
    </w:p>
    <w:p w14:paraId="64A783D8" w14:textId="62C3C249" w:rsidR="00F12891" w:rsidRDefault="00F12891" w:rsidP="005B219A">
      <w:pPr>
        <w:pStyle w:val="ParaNumbering"/>
        <w:rPr>
          <w:lang w:eastAsia="en-AU"/>
        </w:rPr>
      </w:pPr>
      <w:r>
        <w:rPr>
          <w:lang w:eastAsia="en-AU"/>
        </w:rPr>
        <w:t xml:space="preserve">Stepping back from the EM, </w:t>
      </w:r>
      <w:r w:rsidR="002C3B64">
        <w:rPr>
          <w:lang w:eastAsia="en-AU"/>
        </w:rPr>
        <w:t xml:space="preserve">the imposition of an inflexible deadline </w:t>
      </w:r>
      <w:r w:rsidR="00B16A0A">
        <w:rPr>
          <w:lang w:eastAsia="en-AU"/>
        </w:rPr>
        <w:t>for an application by ASIC for</w:t>
      </w:r>
      <w:r w:rsidR="00AC088D">
        <w:rPr>
          <w:lang w:eastAsia="en-AU"/>
        </w:rPr>
        <w:t xml:space="preserve"> a declaration of contravention or</w:t>
      </w:r>
      <w:r w:rsidR="00B16A0A">
        <w:rPr>
          <w:lang w:eastAsia="en-AU"/>
        </w:rPr>
        <w:t xml:space="preserve"> a pecuniary penalty order </w:t>
      </w:r>
      <w:r w:rsidR="00895149">
        <w:rPr>
          <w:lang w:eastAsia="en-AU"/>
        </w:rPr>
        <w:t xml:space="preserve">clearly raises real issues of public policy. </w:t>
      </w:r>
      <w:r w:rsidR="00F555B6">
        <w:rPr>
          <w:lang w:eastAsia="en-AU"/>
        </w:rPr>
        <w:t xml:space="preserve">It can be persuasively argued that an application </w:t>
      </w:r>
      <w:r w:rsidR="00A92C2F">
        <w:rPr>
          <w:lang w:eastAsia="en-AU"/>
        </w:rPr>
        <w:t xml:space="preserve">brought </w:t>
      </w:r>
      <w:r w:rsidR="00AC088D">
        <w:rPr>
          <w:lang w:eastAsia="en-AU"/>
        </w:rPr>
        <w:t xml:space="preserve">by a regulator </w:t>
      </w:r>
      <w:r w:rsidR="00A92C2F">
        <w:rPr>
          <w:lang w:eastAsia="en-AU"/>
        </w:rPr>
        <w:t xml:space="preserve">in the public interest, </w:t>
      </w:r>
      <w:r w:rsidR="00AC088D">
        <w:rPr>
          <w:lang w:eastAsia="en-AU"/>
        </w:rPr>
        <w:t>with the aim of</w:t>
      </w:r>
      <w:r w:rsidR="00A92C2F">
        <w:rPr>
          <w:lang w:eastAsia="en-AU"/>
        </w:rPr>
        <w:t xml:space="preserve"> identify</w:t>
      </w:r>
      <w:r w:rsidR="00AC088D">
        <w:rPr>
          <w:lang w:eastAsia="en-AU"/>
        </w:rPr>
        <w:t>ing</w:t>
      </w:r>
      <w:r w:rsidR="00A92C2F">
        <w:rPr>
          <w:lang w:eastAsia="en-AU"/>
        </w:rPr>
        <w:t xml:space="preserve"> and </w:t>
      </w:r>
      <w:r w:rsidR="00AC088D">
        <w:rPr>
          <w:lang w:eastAsia="en-AU"/>
        </w:rPr>
        <w:t>condemning breaches of the law</w:t>
      </w:r>
      <w:r w:rsidR="000D6424">
        <w:rPr>
          <w:lang w:eastAsia="en-AU"/>
        </w:rPr>
        <w:t>, should not be subject to an inflexible limitation period</w:t>
      </w:r>
      <w:r w:rsidR="009D271D">
        <w:rPr>
          <w:lang w:eastAsia="en-AU"/>
        </w:rPr>
        <w:t xml:space="preserve">, especially in a field where contraventions may not be discoverable </w:t>
      </w:r>
      <w:r w:rsidR="008C3293">
        <w:rPr>
          <w:lang w:eastAsia="en-AU"/>
        </w:rPr>
        <w:t>until some years after they have been committed.</w:t>
      </w:r>
      <w:r w:rsidR="002B7497">
        <w:rPr>
          <w:lang w:eastAsia="en-AU"/>
        </w:rPr>
        <w:t xml:space="preserve"> However, as noted above, </w:t>
      </w:r>
      <w:r w:rsidR="00C91B53">
        <w:rPr>
          <w:lang w:eastAsia="en-AU"/>
        </w:rPr>
        <w:t xml:space="preserve">the Court should not </w:t>
      </w:r>
      <w:r w:rsidR="00424FEA">
        <w:rPr>
          <w:lang w:eastAsia="en-AU"/>
        </w:rPr>
        <w:t xml:space="preserve">form its own view as to what constitutes good policy and assume that that was Parliament’s intention. </w:t>
      </w:r>
      <w:r w:rsidR="003B47AB">
        <w:rPr>
          <w:lang w:eastAsia="en-AU"/>
        </w:rPr>
        <w:t xml:space="preserve">The text </w:t>
      </w:r>
      <w:r w:rsidR="00157572">
        <w:rPr>
          <w:lang w:eastAsia="en-AU"/>
        </w:rPr>
        <w:t>o</w:t>
      </w:r>
      <w:r w:rsidR="003B47AB">
        <w:rPr>
          <w:lang w:eastAsia="en-AU"/>
        </w:rPr>
        <w:t xml:space="preserve">f s 1317K must be given effect, </w:t>
      </w:r>
      <w:r w:rsidR="00DD50A9">
        <w:rPr>
          <w:lang w:eastAsia="en-AU"/>
        </w:rPr>
        <w:t>read in context and consistently with established rules of statutory construction.</w:t>
      </w:r>
    </w:p>
    <w:p w14:paraId="7FE61369" w14:textId="3B589D39" w:rsidR="00DD50A9" w:rsidRDefault="00B91091" w:rsidP="005B219A">
      <w:pPr>
        <w:pStyle w:val="ParaNumbering"/>
        <w:rPr>
          <w:lang w:eastAsia="en-AU"/>
        </w:rPr>
      </w:pPr>
      <w:r>
        <w:rPr>
          <w:lang w:eastAsia="en-AU"/>
        </w:rPr>
        <w:lastRenderedPageBreak/>
        <w:t xml:space="preserve">The </w:t>
      </w:r>
      <w:r w:rsidRPr="0016689A">
        <w:rPr>
          <w:b/>
          <w:bCs/>
          <w:i/>
          <w:iCs/>
          <w:lang w:eastAsia="en-AU"/>
        </w:rPr>
        <w:t>fourth</w:t>
      </w:r>
      <w:r>
        <w:rPr>
          <w:lang w:eastAsia="en-AU"/>
        </w:rPr>
        <w:t xml:space="preserve"> point concerning context was raised by the applicants</w:t>
      </w:r>
      <w:r w:rsidR="006F7B9D">
        <w:rPr>
          <w:lang w:eastAsia="en-AU"/>
        </w:rPr>
        <w:t>’</w:t>
      </w:r>
      <w:r>
        <w:rPr>
          <w:lang w:eastAsia="en-AU"/>
        </w:rPr>
        <w:t xml:space="preserve"> submissions and </w:t>
      </w:r>
      <w:r w:rsidR="0090225C">
        <w:rPr>
          <w:lang w:eastAsia="en-AU"/>
        </w:rPr>
        <w:t xml:space="preserve">to some extent differentiates the present case from </w:t>
      </w:r>
      <w:r w:rsidR="0090225C">
        <w:rPr>
          <w:i/>
          <w:iCs/>
          <w:lang w:eastAsia="en-AU"/>
        </w:rPr>
        <w:t>David Grant</w:t>
      </w:r>
      <w:r w:rsidR="0090225C">
        <w:rPr>
          <w:lang w:eastAsia="en-AU"/>
        </w:rPr>
        <w:t xml:space="preserve"> and </w:t>
      </w:r>
      <w:r w:rsidR="0090225C">
        <w:rPr>
          <w:i/>
          <w:iCs/>
          <w:lang w:eastAsia="en-AU"/>
        </w:rPr>
        <w:t>BP Australia</w:t>
      </w:r>
      <w:r w:rsidR="0090225C">
        <w:rPr>
          <w:lang w:eastAsia="en-AU"/>
        </w:rPr>
        <w:t xml:space="preserve">. </w:t>
      </w:r>
      <w:r w:rsidR="00C85428">
        <w:rPr>
          <w:lang w:eastAsia="en-AU"/>
        </w:rPr>
        <w:t xml:space="preserve">Both of those cases </w:t>
      </w:r>
      <w:r w:rsidR="00C51E01">
        <w:rPr>
          <w:lang w:eastAsia="en-AU"/>
        </w:rPr>
        <w:t xml:space="preserve">arose </w:t>
      </w:r>
      <w:r w:rsidR="00C85428">
        <w:rPr>
          <w:lang w:eastAsia="en-AU"/>
        </w:rPr>
        <w:t>in the context of corporate insolvency</w:t>
      </w:r>
      <w:r w:rsidR="00B02104">
        <w:rPr>
          <w:lang w:eastAsia="en-AU"/>
        </w:rPr>
        <w:t xml:space="preserve">. </w:t>
      </w:r>
      <w:r w:rsidR="00D72672">
        <w:rPr>
          <w:i/>
          <w:iCs/>
          <w:lang w:eastAsia="en-AU"/>
        </w:rPr>
        <w:t>David Grant</w:t>
      </w:r>
      <w:r w:rsidR="00B02104">
        <w:rPr>
          <w:lang w:eastAsia="en-AU"/>
        </w:rPr>
        <w:t xml:space="preserve"> involved an application to set aside </w:t>
      </w:r>
      <w:r w:rsidR="00E1133F">
        <w:rPr>
          <w:lang w:eastAsia="en-AU"/>
        </w:rPr>
        <w:t xml:space="preserve">an </w:t>
      </w:r>
      <w:r w:rsidR="00D72672">
        <w:rPr>
          <w:lang w:eastAsia="en-AU"/>
        </w:rPr>
        <w:t>order served on a corporation</w:t>
      </w:r>
      <w:r w:rsidR="008547BB">
        <w:rPr>
          <w:lang w:eastAsia="en-AU"/>
        </w:rPr>
        <w:t xml:space="preserve">. Obviously in such a case the corporation knows or ought to know about the </w:t>
      </w:r>
      <w:proofErr w:type="gramStart"/>
      <w:r w:rsidR="008547BB">
        <w:rPr>
          <w:lang w:eastAsia="en-AU"/>
        </w:rPr>
        <w:t>notice, and</w:t>
      </w:r>
      <w:proofErr w:type="gramEnd"/>
      <w:r w:rsidR="008547BB">
        <w:rPr>
          <w:lang w:eastAsia="en-AU"/>
        </w:rPr>
        <w:t xml:space="preserve"> subjecting it to a rigid deadline to apply for the notice to be set aside subjects it to no hardship.</w:t>
      </w:r>
      <w:r w:rsidR="00965FE7">
        <w:rPr>
          <w:lang w:eastAsia="en-AU"/>
        </w:rPr>
        <w:t xml:space="preserve"> This was in a context where, as explained by Gummow J, the relevant </w:t>
      </w:r>
      <w:r w:rsidR="007A15BD">
        <w:rPr>
          <w:lang w:eastAsia="en-AU"/>
        </w:rPr>
        <w:t xml:space="preserve">sub-regime in the Corporations Law provided for steps to follow in a particular sequence and time frame. </w:t>
      </w:r>
      <w:r w:rsidR="006F3F02">
        <w:rPr>
          <w:i/>
          <w:iCs/>
          <w:lang w:eastAsia="en-AU"/>
        </w:rPr>
        <w:t>BP Australia</w:t>
      </w:r>
      <w:r w:rsidR="006F3F02">
        <w:rPr>
          <w:lang w:eastAsia="en-AU"/>
        </w:rPr>
        <w:t xml:space="preserve"> also arose in the insolvency context</w:t>
      </w:r>
      <w:r w:rsidR="0023166C">
        <w:rPr>
          <w:lang w:eastAsia="en-AU"/>
        </w:rPr>
        <w:t xml:space="preserve">. The provision in issue there provided a </w:t>
      </w:r>
      <w:proofErr w:type="gramStart"/>
      <w:r w:rsidR="0023166C">
        <w:rPr>
          <w:lang w:eastAsia="en-AU"/>
        </w:rPr>
        <w:t>three year</w:t>
      </w:r>
      <w:proofErr w:type="gramEnd"/>
      <w:r w:rsidR="0023166C">
        <w:rPr>
          <w:lang w:eastAsia="en-AU"/>
        </w:rPr>
        <w:t xml:space="preserve"> period in which a liquidator could apply </w:t>
      </w:r>
      <w:r w:rsidR="00BF1FF2">
        <w:rPr>
          <w:lang w:eastAsia="en-AU"/>
        </w:rPr>
        <w:t>for orders in relation to a voidable transaction.</w:t>
      </w:r>
      <w:r w:rsidR="005267BD">
        <w:rPr>
          <w:lang w:eastAsia="en-AU"/>
        </w:rPr>
        <w:t xml:space="preserve"> It could be assumed that a liquidator, with access to the corporation’s records, would be </w:t>
      </w:r>
      <w:proofErr w:type="gramStart"/>
      <w:r w:rsidR="005267BD">
        <w:rPr>
          <w:lang w:eastAsia="en-AU"/>
        </w:rPr>
        <w:t>in a position</w:t>
      </w:r>
      <w:proofErr w:type="gramEnd"/>
      <w:r w:rsidR="005267BD">
        <w:rPr>
          <w:lang w:eastAsia="en-AU"/>
        </w:rPr>
        <w:t xml:space="preserve"> to identify relevant transactions and make applications for orders within that period</w:t>
      </w:r>
      <w:r w:rsidR="00D30232">
        <w:rPr>
          <w:lang w:eastAsia="en-AU"/>
        </w:rPr>
        <w:t>.</w:t>
      </w:r>
      <w:r w:rsidR="004C76F4">
        <w:rPr>
          <w:lang w:eastAsia="en-AU"/>
        </w:rPr>
        <w:t xml:space="preserve"> In contrast, the operation of ss 1317H and 1317K in a case such as the p</w:t>
      </w:r>
      <w:r w:rsidR="00921D9C">
        <w:rPr>
          <w:lang w:eastAsia="en-AU"/>
        </w:rPr>
        <w:t xml:space="preserve">resent concerns contraventions of civil penalty provisions which </w:t>
      </w:r>
      <w:r w:rsidR="00FE3526">
        <w:rPr>
          <w:lang w:eastAsia="en-AU"/>
        </w:rPr>
        <w:t xml:space="preserve">may be actively concealed and, even if not concealed, may not become known to the company (or, as in the present case, its liquidators) until </w:t>
      </w:r>
      <w:r w:rsidR="00B549F2">
        <w:rPr>
          <w:lang w:eastAsia="en-AU"/>
        </w:rPr>
        <w:t>years have passed.</w:t>
      </w:r>
    </w:p>
    <w:p w14:paraId="03C1D24C" w14:textId="73FA81D8" w:rsidR="00246F49" w:rsidRDefault="00246F49" w:rsidP="005B219A">
      <w:pPr>
        <w:pStyle w:val="ParaNumbering"/>
        <w:rPr>
          <w:lang w:eastAsia="en-AU"/>
        </w:rPr>
      </w:pPr>
      <w:r>
        <w:rPr>
          <w:lang w:eastAsia="en-AU"/>
        </w:rPr>
        <w:t xml:space="preserve">Again, it is important </w:t>
      </w:r>
      <w:r w:rsidR="00153B94">
        <w:rPr>
          <w:lang w:eastAsia="en-AU"/>
        </w:rPr>
        <w:t xml:space="preserve">that the Court not take its own view of what would be a sensible policy </w:t>
      </w:r>
      <w:r w:rsidR="009A4882">
        <w:rPr>
          <w:lang w:eastAsia="en-AU"/>
        </w:rPr>
        <w:t>and impute it to the legislature, in the absence of indications in the statutory text that that is indeed the policy being pursued.</w:t>
      </w:r>
    </w:p>
    <w:p w14:paraId="14AB8417" w14:textId="2027C580" w:rsidR="00513AEC" w:rsidRDefault="00513AEC" w:rsidP="00513AEC">
      <w:pPr>
        <w:pStyle w:val="ListNo1alt"/>
        <w:numPr>
          <w:ilvl w:val="0"/>
          <w:numId w:val="35"/>
        </w:numPr>
        <w:rPr>
          <w:lang w:eastAsia="en-AU"/>
        </w:rPr>
      </w:pPr>
      <w:r>
        <w:rPr>
          <w:lang w:eastAsia="en-AU"/>
        </w:rPr>
        <w:t xml:space="preserve">The sequence of statutory events and their timing was </w:t>
      </w:r>
      <w:r w:rsidR="00B82CA0">
        <w:rPr>
          <w:lang w:eastAsia="en-AU"/>
        </w:rPr>
        <w:t xml:space="preserve">set out in the relevant provisions in </w:t>
      </w:r>
      <w:proofErr w:type="gramStart"/>
      <w:r w:rsidR="00B82CA0">
        <w:rPr>
          <w:i/>
          <w:iCs/>
          <w:lang w:eastAsia="en-AU"/>
        </w:rPr>
        <w:t>David Grant</w:t>
      </w:r>
      <w:r w:rsidR="00C4426F">
        <w:rPr>
          <w:lang w:eastAsia="en-AU"/>
        </w:rPr>
        <w:t>, and</w:t>
      </w:r>
      <w:proofErr w:type="gramEnd"/>
      <w:r w:rsidR="00C4426F">
        <w:rPr>
          <w:lang w:eastAsia="en-AU"/>
        </w:rPr>
        <w:t xml:space="preserve"> was thus an aspect of context properly brought to bear in coming to the conclusion that the </w:t>
      </w:r>
      <w:r w:rsidR="00CD0A68">
        <w:rPr>
          <w:lang w:eastAsia="en-AU"/>
        </w:rPr>
        <w:t>limitation period in that case was not intended to be flexible.</w:t>
      </w:r>
      <w:r w:rsidR="00BA25CD">
        <w:rPr>
          <w:lang w:eastAsia="en-AU"/>
        </w:rPr>
        <w:t xml:space="preserve"> The issue did not attract attention in </w:t>
      </w:r>
      <w:r w:rsidR="00BA25CD">
        <w:rPr>
          <w:i/>
          <w:iCs/>
          <w:lang w:eastAsia="en-AU"/>
        </w:rPr>
        <w:t>BP Australia</w:t>
      </w:r>
      <w:r w:rsidR="00BA25CD">
        <w:rPr>
          <w:lang w:eastAsia="en-AU"/>
        </w:rPr>
        <w:t xml:space="preserve">, probably because the limitation period there </w:t>
      </w:r>
      <w:r w:rsidR="001A025E">
        <w:rPr>
          <w:lang w:eastAsia="en-AU"/>
        </w:rPr>
        <w:t>was subject to express provisions allowing some flexibility.</w:t>
      </w:r>
      <w:r w:rsidR="009A29CB">
        <w:rPr>
          <w:lang w:eastAsia="en-AU"/>
        </w:rPr>
        <w:t xml:space="preserve"> The features of </w:t>
      </w:r>
      <w:r w:rsidR="003E2990">
        <w:rPr>
          <w:lang w:eastAsia="en-AU"/>
        </w:rPr>
        <w:t xml:space="preserve">sequence and timing in the provisions considered in </w:t>
      </w:r>
      <w:r w:rsidR="003E2990">
        <w:rPr>
          <w:i/>
          <w:iCs/>
          <w:lang w:eastAsia="en-AU"/>
        </w:rPr>
        <w:t>David Grant</w:t>
      </w:r>
      <w:r w:rsidR="003E2990">
        <w:rPr>
          <w:lang w:eastAsia="en-AU"/>
        </w:rPr>
        <w:t xml:space="preserve"> are not present here</w:t>
      </w:r>
      <w:r w:rsidR="00814130">
        <w:rPr>
          <w:lang w:eastAsia="en-AU"/>
        </w:rPr>
        <w:t>.</w:t>
      </w:r>
      <w:r w:rsidR="000E1C16">
        <w:rPr>
          <w:lang w:eastAsia="en-AU"/>
        </w:rPr>
        <w:t xml:space="preserve"> However, the textual aspects of the reasoning in that case, which were influential in </w:t>
      </w:r>
      <w:r w:rsidR="000E1C16">
        <w:rPr>
          <w:i/>
          <w:iCs/>
          <w:lang w:eastAsia="en-AU"/>
        </w:rPr>
        <w:t>BP Australia</w:t>
      </w:r>
      <w:r w:rsidR="000E1C16">
        <w:rPr>
          <w:lang w:eastAsia="en-AU"/>
        </w:rPr>
        <w:t xml:space="preserve"> and </w:t>
      </w:r>
      <w:proofErr w:type="spellStart"/>
      <w:r w:rsidR="000E1C16">
        <w:rPr>
          <w:i/>
          <w:iCs/>
          <w:lang w:eastAsia="en-AU"/>
        </w:rPr>
        <w:t>Newtronics</w:t>
      </w:r>
      <w:proofErr w:type="spellEnd"/>
      <w:r w:rsidR="000E1C16">
        <w:rPr>
          <w:lang w:eastAsia="en-AU"/>
        </w:rPr>
        <w:t xml:space="preserve">, </w:t>
      </w:r>
      <w:r w:rsidR="00DF0879">
        <w:rPr>
          <w:lang w:eastAsia="en-AU"/>
        </w:rPr>
        <w:t>remain clearly relevant.</w:t>
      </w:r>
    </w:p>
    <w:p w14:paraId="7D81605B" w14:textId="4D254D8E" w:rsidR="001A025E" w:rsidRDefault="001D6563" w:rsidP="00513AEC">
      <w:pPr>
        <w:pStyle w:val="ListNo1alt"/>
        <w:numPr>
          <w:ilvl w:val="0"/>
          <w:numId w:val="35"/>
        </w:numPr>
        <w:rPr>
          <w:lang w:eastAsia="en-AU"/>
        </w:rPr>
      </w:pPr>
      <w:r>
        <w:rPr>
          <w:lang w:eastAsia="en-AU"/>
        </w:rPr>
        <w:t>The direct predecessor of s 1317K in its present operation, namely s 1317</w:t>
      </w:r>
      <w:proofErr w:type="gramStart"/>
      <w:r>
        <w:rPr>
          <w:lang w:eastAsia="en-AU"/>
        </w:rPr>
        <w:t>HD(</w:t>
      </w:r>
      <w:proofErr w:type="gramEnd"/>
      <w:r>
        <w:rPr>
          <w:lang w:eastAsia="en-AU"/>
        </w:rPr>
        <w:t xml:space="preserve">2), was held not to be </w:t>
      </w:r>
      <w:r w:rsidR="00D06CF1">
        <w:rPr>
          <w:lang w:eastAsia="en-AU"/>
        </w:rPr>
        <w:t xml:space="preserve">amenable to extension in </w:t>
      </w:r>
      <w:proofErr w:type="spellStart"/>
      <w:r w:rsidR="00D06CF1">
        <w:rPr>
          <w:i/>
          <w:iCs/>
          <w:lang w:eastAsia="en-AU"/>
        </w:rPr>
        <w:t>Newtronics</w:t>
      </w:r>
      <w:proofErr w:type="spellEnd"/>
      <w:r w:rsidR="00D06CF1">
        <w:rPr>
          <w:lang w:eastAsia="en-AU"/>
        </w:rPr>
        <w:t>.</w:t>
      </w:r>
      <w:r w:rsidR="00EF7270">
        <w:rPr>
          <w:lang w:eastAsia="en-AU"/>
        </w:rPr>
        <w:t xml:space="preserve"> In other words, whatever </w:t>
      </w:r>
      <w:r w:rsidR="007674B8">
        <w:rPr>
          <w:lang w:eastAsia="en-AU"/>
        </w:rPr>
        <w:t xml:space="preserve">may be the policy merits of </w:t>
      </w:r>
      <w:r w:rsidR="004F2DDE">
        <w:rPr>
          <w:lang w:eastAsia="en-AU"/>
        </w:rPr>
        <w:t>allowing extensions of the</w:t>
      </w:r>
      <w:r w:rsidR="0055055C">
        <w:rPr>
          <w:lang w:eastAsia="en-AU"/>
        </w:rPr>
        <w:t xml:space="preserve"> limitation period</w:t>
      </w:r>
      <w:r w:rsidR="004F2DDE">
        <w:rPr>
          <w:lang w:eastAsia="en-AU"/>
        </w:rPr>
        <w:t xml:space="preserve"> in appropriate cases</w:t>
      </w:r>
      <w:r w:rsidR="0055055C">
        <w:rPr>
          <w:lang w:eastAsia="en-AU"/>
        </w:rPr>
        <w:t xml:space="preserve">, </w:t>
      </w:r>
      <w:proofErr w:type="spellStart"/>
      <w:r w:rsidR="0055055C">
        <w:rPr>
          <w:i/>
          <w:iCs/>
          <w:lang w:eastAsia="en-AU"/>
        </w:rPr>
        <w:t>Newtronics</w:t>
      </w:r>
      <w:proofErr w:type="spellEnd"/>
      <w:r w:rsidR="0055055C">
        <w:rPr>
          <w:lang w:eastAsia="en-AU"/>
        </w:rPr>
        <w:t xml:space="preserve"> stands as binding authority for the view that the Parliament </w:t>
      </w:r>
      <w:r w:rsidR="00F23E5E">
        <w:rPr>
          <w:lang w:eastAsia="en-AU"/>
        </w:rPr>
        <w:t>chose not to allow for such extensions when enacting s 1317</w:t>
      </w:r>
      <w:proofErr w:type="gramStart"/>
      <w:r w:rsidR="00F23E5E">
        <w:rPr>
          <w:lang w:eastAsia="en-AU"/>
        </w:rPr>
        <w:t>HD(</w:t>
      </w:r>
      <w:proofErr w:type="gramEnd"/>
      <w:r w:rsidR="00F23E5E">
        <w:rPr>
          <w:lang w:eastAsia="en-AU"/>
        </w:rPr>
        <w:t>2).</w:t>
      </w:r>
      <w:r w:rsidR="00614C6C">
        <w:rPr>
          <w:lang w:eastAsia="en-AU"/>
        </w:rPr>
        <w:t xml:space="preserve"> The Parliament having taken that position makes it </w:t>
      </w:r>
      <w:proofErr w:type="gramStart"/>
      <w:r w:rsidR="00614C6C">
        <w:rPr>
          <w:lang w:eastAsia="en-AU"/>
        </w:rPr>
        <w:t>all the more</w:t>
      </w:r>
      <w:proofErr w:type="gramEnd"/>
      <w:r w:rsidR="00614C6C">
        <w:rPr>
          <w:lang w:eastAsia="en-AU"/>
        </w:rPr>
        <w:t xml:space="preserve"> difficult for the Court to </w:t>
      </w:r>
      <w:r w:rsidR="00183FA2">
        <w:rPr>
          <w:lang w:eastAsia="en-AU"/>
        </w:rPr>
        <w:t xml:space="preserve">conclude that the </w:t>
      </w:r>
      <w:r w:rsidR="00F9491F">
        <w:rPr>
          <w:lang w:eastAsia="en-AU"/>
        </w:rPr>
        <w:t xml:space="preserve">merit of flexibility is so obvious as to </w:t>
      </w:r>
      <w:r w:rsidR="00E47309">
        <w:rPr>
          <w:lang w:eastAsia="en-AU"/>
        </w:rPr>
        <w:t xml:space="preserve">affect the construction of the </w:t>
      </w:r>
      <w:r w:rsidR="00BF5B63">
        <w:rPr>
          <w:lang w:eastAsia="en-AU"/>
        </w:rPr>
        <w:t>spare language of s 1317K.</w:t>
      </w:r>
    </w:p>
    <w:p w14:paraId="17D1B2C5" w14:textId="77777777" w:rsidR="005E3960" w:rsidRDefault="005E3960" w:rsidP="005E3960">
      <w:pPr>
        <w:pStyle w:val="Heading2"/>
        <w:rPr>
          <w:lang w:eastAsia="en-AU"/>
        </w:rPr>
      </w:pPr>
      <w:r>
        <w:rPr>
          <w:lang w:eastAsia="en-AU"/>
        </w:rPr>
        <w:lastRenderedPageBreak/>
        <w:t>Cases in Equity</w:t>
      </w:r>
    </w:p>
    <w:p w14:paraId="14E90471" w14:textId="3A44698C" w:rsidR="00F06330" w:rsidRDefault="005E3960" w:rsidP="005E3960">
      <w:pPr>
        <w:pStyle w:val="ParaNumbering"/>
        <w:rPr>
          <w:lang w:eastAsia="en-AU"/>
        </w:rPr>
      </w:pPr>
      <w:r>
        <w:rPr>
          <w:lang w:eastAsia="en-AU"/>
        </w:rPr>
        <w:t xml:space="preserve">A further reason for adhering to the </w:t>
      </w:r>
      <w:r w:rsidR="004879C7">
        <w:rPr>
          <w:lang w:eastAsia="en-AU"/>
        </w:rPr>
        <w:t>construction of s 1317K adopted in</w:t>
      </w:r>
      <w:r>
        <w:rPr>
          <w:lang w:eastAsia="en-AU"/>
        </w:rPr>
        <w:t xml:space="preserve"> </w:t>
      </w:r>
      <w:proofErr w:type="spellStart"/>
      <w:r>
        <w:rPr>
          <w:i/>
          <w:iCs/>
          <w:lang w:eastAsia="en-AU"/>
        </w:rPr>
        <w:t>Austructures</w:t>
      </w:r>
      <w:proofErr w:type="spellEnd"/>
      <w:r>
        <w:rPr>
          <w:lang w:eastAsia="en-AU"/>
        </w:rPr>
        <w:t xml:space="preserve"> is</w:t>
      </w:r>
      <w:r w:rsidR="001F2AF0">
        <w:rPr>
          <w:lang w:eastAsia="en-AU"/>
        </w:rPr>
        <w:t xml:space="preserve"> that decisions (including at appellate level</w:t>
      </w:r>
      <w:r w:rsidR="004F4EF1">
        <w:rPr>
          <w:lang w:eastAsia="en-AU"/>
        </w:rPr>
        <w:t>) on claims for equitable remedies have proceeded consistently with it.</w:t>
      </w:r>
      <w:r w:rsidR="00A179E2">
        <w:rPr>
          <w:lang w:eastAsia="en-AU"/>
        </w:rPr>
        <w:t xml:space="preserve"> Because </w:t>
      </w:r>
      <w:r w:rsidR="00A85E3A">
        <w:rPr>
          <w:lang w:eastAsia="en-AU"/>
        </w:rPr>
        <w:t>E</w:t>
      </w:r>
      <w:r w:rsidR="00A179E2">
        <w:rPr>
          <w:lang w:eastAsia="en-AU"/>
        </w:rPr>
        <w:t xml:space="preserve">quity follows the law, </w:t>
      </w:r>
      <w:r w:rsidR="00FE6AC3">
        <w:rPr>
          <w:lang w:eastAsia="en-AU"/>
        </w:rPr>
        <w:t xml:space="preserve">and therefore </w:t>
      </w:r>
      <w:r w:rsidR="00EF3815">
        <w:rPr>
          <w:lang w:eastAsia="en-AU"/>
        </w:rPr>
        <w:t xml:space="preserve">has regard to </w:t>
      </w:r>
      <w:r w:rsidR="000C1D30">
        <w:rPr>
          <w:lang w:eastAsia="en-AU"/>
        </w:rPr>
        <w:t xml:space="preserve">the limitation period applicable to any </w:t>
      </w:r>
      <w:r w:rsidR="00D33F63">
        <w:rPr>
          <w:lang w:eastAsia="en-AU"/>
        </w:rPr>
        <w:t xml:space="preserve">analogous claim for remedies at law, the operation of s 1317K has sometimes </w:t>
      </w:r>
      <w:r w:rsidR="00F06330">
        <w:rPr>
          <w:lang w:eastAsia="en-AU"/>
        </w:rPr>
        <w:t>arisen for consideration in connection with claims for equitable relief.</w:t>
      </w:r>
    </w:p>
    <w:p w14:paraId="78ED897E" w14:textId="6CC1AD15" w:rsidR="007066FF" w:rsidRDefault="003B71B3" w:rsidP="007066FF">
      <w:pPr>
        <w:pStyle w:val="ParaNumbering"/>
        <w:rPr>
          <w:lang w:eastAsia="en-AU"/>
        </w:rPr>
      </w:pPr>
      <w:r>
        <w:rPr>
          <w:i/>
          <w:iCs/>
          <w:lang w:eastAsia="en-AU"/>
        </w:rPr>
        <w:t xml:space="preserve">Gerace v </w:t>
      </w:r>
      <w:proofErr w:type="spellStart"/>
      <w:r>
        <w:rPr>
          <w:i/>
          <w:iCs/>
          <w:lang w:eastAsia="en-AU"/>
        </w:rPr>
        <w:t>Auzhair</w:t>
      </w:r>
      <w:proofErr w:type="spellEnd"/>
      <w:r>
        <w:rPr>
          <w:i/>
          <w:iCs/>
          <w:lang w:eastAsia="en-AU"/>
        </w:rPr>
        <w:t xml:space="preserve"> Supplies Pty Ltd</w:t>
      </w:r>
      <w:r w:rsidR="00E54E3B">
        <w:rPr>
          <w:i/>
          <w:iCs/>
          <w:lang w:eastAsia="en-AU"/>
        </w:rPr>
        <w:t xml:space="preserve"> (in </w:t>
      </w:r>
      <w:proofErr w:type="spellStart"/>
      <w:r w:rsidR="00E54E3B">
        <w:rPr>
          <w:i/>
          <w:iCs/>
          <w:lang w:eastAsia="en-AU"/>
        </w:rPr>
        <w:t>liq</w:t>
      </w:r>
      <w:proofErr w:type="spellEnd"/>
      <w:r w:rsidR="00E54E3B">
        <w:rPr>
          <w:i/>
          <w:iCs/>
          <w:lang w:eastAsia="en-AU"/>
        </w:rPr>
        <w:t>)</w:t>
      </w:r>
      <w:r w:rsidR="008B62B6">
        <w:rPr>
          <w:i/>
          <w:iCs/>
          <w:lang w:eastAsia="en-AU"/>
        </w:rPr>
        <w:t xml:space="preserve"> </w:t>
      </w:r>
      <w:r w:rsidR="008B62B6">
        <w:t>[2014]</w:t>
      </w:r>
      <w:r w:rsidR="002064F6">
        <w:t xml:space="preserve"> </w:t>
      </w:r>
      <w:r w:rsidR="00821EAE">
        <w:t>NSWCA 181</w:t>
      </w:r>
      <w:r w:rsidR="00050E89">
        <w:t xml:space="preserve">; </w:t>
      </w:r>
      <w:r w:rsidR="00E54E3B">
        <w:t>87 NSWLR 435</w:t>
      </w:r>
      <w:r w:rsidR="00821EAE">
        <w:t xml:space="preserve"> </w:t>
      </w:r>
      <w:r w:rsidR="007066FF">
        <w:t>(</w:t>
      </w:r>
      <w:proofErr w:type="spellStart"/>
      <w:r w:rsidR="007066FF" w:rsidRPr="007066FF">
        <w:rPr>
          <w:b/>
          <w:bCs/>
          <w:i/>
          <w:iCs/>
        </w:rPr>
        <w:t>Auzhair</w:t>
      </w:r>
      <w:proofErr w:type="spellEnd"/>
      <w:r w:rsidR="007066FF">
        <w:t xml:space="preserve">) </w:t>
      </w:r>
      <w:r w:rsidR="00821EAE">
        <w:t xml:space="preserve">was decided before </w:t>
      </w:r>
      <w:proofErr w:type="spellStart"/>
      <w:r w:rsidR="00821EAE">
        <w:rPr>
          <w:i/>
          <w:iCs/>
        </w:rPr>
        <w:t>Austructures</w:t>
      </w:r>
      <w:proofErr w:type="spellEnd"/>
      <w:r w:rsidR="00821EAE">
        <w:t xml:space="preserve">. </w:t>
      </w:r>
      <w:r w:rsidR="00986257">
        <w:t>A company in liquidation commenced proceedings</w:t>
      </w:r>
      <w:r w:rsidR="00FD3433">
        <w:t xml:space="preserve"> seeking equitable compensation</w:t>
      </w:r>
      <w:r w:rsidR="00986257">
        <w:t xml:space="preserve"> against </w:t>
      </w:r>
      <w:r w:rsidR="008E7D28">
        <w:t xml:space="preserve">its </w:t>
      </w:r>
      <w:r w:rsidR="00E73BC4">
        <w:t xml:space="preserve">former </w:t>
      </w:r>
      <w:r w:rsidR="008E7D28">
        <w:t xml:space="preserve">directors for breach of their equitable duties. More than six years had passed since the </w:t>
      </w:r>
      <w:r w:rsidR="008C3432">
        <w:t>alleged breaches</w:t>
      </w:r>
      <w:r w:rsidR="00957E3E">
        <w:t xml:space="preserve"> and the </w:t>
      </w:r>
      <w:r w:rsidR="002350DE">
        <w:t>former directors</w:t>
      </w:r>
      <w:r w:rsidR="00957E3E">
        <w:t xml:space="preserve"> relied on the application by analogy of s 1317K. </w:t>
      </w:r>
      <w:r w:rsidR="005969ED">
        <w:t xml:space="preserve">The primary judge </w:t>
      </w:r>
      <w:r w:rsidR="00B4799B">
        <w:t xml:space="preserve">(Brereton J) </w:t>
      </w:r>
      <w:r w:rsidR="001C028B">
        <w:t xml:space="preserve">held that the equitable claim and the corresponding legal right were </w:t>
      </w:r>
      <w:r w:rsidR="00EA7A61">
        <w:t>practically indistinguishable and the time limit applicable to the latter should therefore apply</w:t>
      </w:r>
      <w:r w:rsidR="00AB35D9">
        <w:t>, but also held that it would nevertheless be inequitable to apply the limitation period</w:t>
      </w:r>
      <w:r w:rsidR="00B4799B">
        <w:t xml:space="preserve"> (</w:t>
      </w:r>
      <w:r w:rsidR="00DF4380">
        <w:t>see</w:t>
      </w:r>
      <w:r w:rsidR="008E3FB4">
        <w:t xml:space="preserve"> </w:t>
      </w:r>
      <w:r w:rsidR="001A7E66">
        <w:rPr>
          <w:i/>
          <w:iCs/>
        </w:rPr>
        <w:t xml:space="preserve">Re </w:t>
      </w:r>
      <w:proofErr w:type="spellStart"/>
      <w:r w:rsidR="001A7E66">
        <w:rPr>
          <w:i/>
          <w:iCs/>
        </w:rPr>
        <w:t>Auzhair</w:t>
      </w:r>
      <w:proofErr w:type="spellEnd"/>
      <w:r w:rsidR="001A7E66">
        <w:rPr>
          <w:i/>
          <w:iCs/>
        </w:rPr>
        <w:t xml:space="preserve"> Supplies Pty Ltd (in </w:t>
      </w:r>
      <w:proofErr w:type="spellStart"/>
      <w:r w:rsidR="001A7E66">
        <w:rPr>
          <w:i/>
          <w:iCs/>
        </w:rPr>
        <w:t>liq</w:t>
      </w:r>
      <w:proofErr w:type="spellEnd"/>
      <w:r w:rsidR="001A7E66">
        <w:rPr>
          <w:i/>
          <w:iCs/>
        </w:rPr>
        <w:t>)</w:t>
      </w:r>
      <w:r w:rsidR="00DF4380">
        <w:t xml:space="preserve"> </w:t>
      </w:r>
      <w:r w:rsidR="00B4799B">
        <w:t xml:space="preserve">[2013] NSWSC </w:t>
      </w:r>
      <w:r w:rsidR="00423395">
        <w:t>1; 272 FLR 304)</w:t>
      </w:r>
      <w:r w:rsidR="00AB35D9">
        <w:t>.</w:t>
      </w:r>
      <w:r w:rsidR="00423395">
        <w:t xml:space="preserve"> His Honour </w:t>
      </w:r>
      <w:r w:rsidR="00CA5F3E">
        <w:t>in substance granted the final relief that was sought.</w:t>
      </w:r>
      <w:r w:rsidR="00175DDE">
        <w:t xml:space="preserve"> The </w:t>
      </w:r>
      <w:r w:rsidR="00E751A1">
        <w:t xml:space="preserve">former directors’ </w:t>
      </w:r>
      <w:r w:rsidR="00175DDE">
        <w:t xml:space="preserve">appeal to the Court of Appeal </w:t>
      </w:r>
      <w:r w:rsidR="00496DD3">
        <w:t xml:space="preserve">was confined to whether </w:t>
      </w:r>
      <w:r w:rsidR="00E1066B">
        <w:t xml:space="preserve">it was inequitable for them to rely on the limitation period (there being no dispute that the analogy between the equitable </w:t>
      </w:r>
      <w:r w:rsidR="007066FF">
        <w:t>and statutory claims and remedies was “as close an analogy as one can conceive” (</w:t>
      </w:r>
      <w:proofErr w:type="spellStart"/>
      <w:r w:rsidR="007066FF">
        <w:rPr>
          <w:i/>
          <w:iCs/>
        </w:rPr>
        <w:t>Auzhair</w:t>
      </w:r>
      <w:proofErr w:type="spellEnd"/>
      <w:r w:rsidR="007066FF">
        <w:t xml:space="preserve"> at [4] (Meagher JA, Beazley P </w:t>
      </w:r>
      <w:r w:rsidR="007066FF">
        <w:rPr>
          <w:lang w:eastAsia="en-AU"/>
        </w:rPr>
        <w:t>agreeing)</w:t>
      </w:r>
      <w:r w:rsidR="00780D87">
        <w:rPr>
          <w:lang w:eastAsia="en-AU"/>
        </w:rPr>
        <w:t>, [103] (Emmett JA)</w:t>
      </w:r>
      <w:r w:rsidR="00954588">
        <w:rPr>
          <w:lang w:eastAsia="en-AU"/>
        </w:rPr>
        <w:t>)</w:t>
      </w:r>
      <w:r w:rsidR="009531F7">
        <w:rPr>
          <w:lang w:eastAsia="en-AU"/>
        </w:rPr>
        <w:t xml:space="preserve"> and also</w:t>
      </w:r>
      <w:r w:rsidR="000B5F50">
        <w:rPr>
          <w:lang w:eastAsia="en-AU"/>
        </w:rPr>
        <w:t>, it would seem, no contest concerning the breaches of duty</w:t>
      </w:r>
      <w:r w:rsidR="00954588">
        <w:rPr>
          <w:lang w:eastAsia="en-AU"/>
        </w:rPr>
        <w:t xml:space="preserve"> (</w:t>
      </w:r>
      <w:r w:rsidR="000B5F50">
        <w:rPr>
          <w:lang w:eastAsia="en-AU"/>
        </w:rPr>
        <w:t>at [91] (Emmett JA)</w:t>
      </w:r>
      <w:r w:rsidR="00A47E90">
        <w:rPr>
          <w:lang w:eastAsia="en-AU"/>
        </w:rPr>
        <w:t>)</w:t>
      </w:r>
      <w:r w:rsidR="00954588">
        <w:rPr>
          <w:lang w:eastAsia="en-AU"/>
        </w:rPr>
        <w:t>)</w:t>
      </w:r>
      <w:r w:rsidR="007066FF">
        <w:rPr>
          <w:lang w:eastAsia="en-AU"/>
        </w:rPr>
        <w:t>.</w:t>
      </w:r>
      <w:r w:rsidR="00587647">
        <w:rPr>
          <w:lang w:eastAsia="en-AU"/>
        </w:rPr>
        <w:t xml:space="preserve"> They succeeded on this issue</w:t>
      </w:r>
      <w:r w:rsidR="002377FF">
        <w:rPr>
          <w:lang w:eastAsia="en-AU"/>
        </w:rPr>
        <w:t>.</w:t>
      </w:r>
    </w:p>
    <w:p w14:paraId="28C4FFBC" w14:textId="6788DC0E" w:rsidR="004C430B" w:rsidRDefault="004C430B" w:rsidP="007066FF">
      <w:pPr>
        <w:pStyle w:val="ParaNumbering"/>
        <w:rPr>
          <w:lang w:eastAsia="en-AU"/>
        </w:rPr>
      </w:pPr>
      <w:r>
        <w:rPr>
          <w:lang w:eastAsia="en-AU"/>
        </w:rPr>
        <w:t>The starting point, for Meagher JA, was (at [3]):</w:t>
      </w:r>
    </w:p>
    <w:p w14:paraId="20B89848" w14:textId="12CBFE0C" w:rsidR="004C430B" w:rsidRPr="001C2A6A" w:rsidRDefault="001C2A6A" w:rsidP="001C2A6A">
      <w:pPr>
        <w:pStyle w:val="Quote1"/>
        <w:rPr>
          <w:lang w:eastAsia="en-AU"/>
        </w:rPr>
      </w:pPr>
      <w:r>
        <w:rPr>
          <w:lang w:eastAsia="en-AU"/>
        </w:rPr>
        <w:t xml:space="preserve">[Section 1317K] provides that proceedings under s 1317H for compensation for contraventions of the statutory duties in ss 180–183, which are essentially the same as the equitable duties the appellant directors were found to have breached, must be commenced no later than six years after the contravention. There are no provisions in the Act that postpone the time from which that period commences to run in the face of fraudulent concealment or mistake. Nor are there provisions that suspend the operation of the statute in the event of disability because of age or incapacity: </w:t>
      </w:r>
      <w:proofErr w:type="spellStart"/>
      <w:r>
        <w:rPr>
          <w:lang w:eastAsia="en-AU"/>
        </w:rPr>
        <w:t>cf</w:t>
      </w:r>
      <w:proofErr w:type="spellEnd"/>
      <w:r>
        <w:rPr>
          <w:lang w:eastAsia="en-AU"/>
        </w:rPr>
        <w:t xml:space="preserve"> </w:t>
      </w:r>
      <w:r>
        <w:rPr>
          <w:rFonts w:ascii="TimesNewRomanPS-ItalicMT" w:hAnsi="TimesNewRomanPS-ItalicMT" w:cs="TimesNewRomanPS-ItalicMT"/>
          <w:i/>
          <w:iCs/>
          <w:lang w:eastAsia="en-AU"/>
        </w:rPr>
        <w:t>Limitation Act 1969</w:t>
      </w:r>
      <w:r>
        <w:rPr>
          <w:lang w:eastAsia="en-AU"/>
        </w:rPr>
        <w:t>, s 52, s 55 and s 56.</w:t>
      </w:r>
    </w:p>
    <w:p w14:paraId="32753876" w14:textId="28D55E3B" w:rsidR="007E7976" w:rsidRDefault="001B62ED" w:rsidP="005E3960">
      <w:pPr>
        <w:pStyle w:val="ParaNumbering"/>
        <w:rPr>
          <w:lang w:eastAsia="en-AU"/>
        </w:rPr>
      </w:pPr>
      <w:r>
        <w:rPr>
          <w:lang w:eastAsia="en-AU"/>
        </w:rPr>
        <w:t xml:space="preserve">The question whether </w:t>
      </w:r>
      <w:r w:rsidR="005816F8">
        <w:rPr>
          <w:lang w:eastAsia="en-AU"/>
        </w:rPr>
        <w:t>the limitation period in s 1317K could be extended by the exercise of any general discretion</w:t>
      </w:r>
      <w:r w:rsidR="00797E52">
        <w:rPr>
          <w:lang w:eastAsia="en-AU"/>
        </w:rPr>
        <w:t xml:space="preserve"> does not seem to have been agitated</w:t>
      </w:r>
      <w:r w:rsidR="00656F05">
        <w:rPr>
          <w:lang w:eastAsia="en-AU"/>
        </w:rPr>
        <w:t xml:space="preserve">. </w:t>
      </w:r>
      <w:proofErr w:type="spellStart"/>
      <w:r w:rsidR="00656F05">
        <w:rPr>
          <w:i/>
          <w:iCs/>
          <w:lang w:eastAsia="en-AU"/>
        </w:rPr>
        <w:t>Auzhair</w:t>
      </w:r>
      <w:proofErr w:type="spellEnd"/>
      <w:r w:rsidR="00656F05">
        <w:rPr>
          <w:lang w:eastAsia="en-AU"/>
        </w:rPr>
        <w:t xml:space="preserve"> is therefore not strictly authority on the point</w:t>
      </w:r>
      <w:r w:rsidR="00572AA9">
        <w:rPr>
          <w:lang w:eastAsia="en-AU"/>
        </w:rPr>
        <w:t>:</w:t>
      </w:r>
      <w:r w:rsidR="00572AA9" w:rsidRPr="00572AA9">
        <w:rPr>
          <w:rFonts w:ascii="Source Sans Pro" w:hAnsi="Source Sans Pro"/>
          <w:color w:val="3D3D3D"/>
          <w:sz w:val="27"/>
          <w:szCs w:val="27"/>
          <w:shd w:val="clear" w:color="auto" w:fill="FFFFFF"/>
        </w:rPr>
        <w:t> </w:t>
      </w:r>
      <w:hyperlink r:id="rId19" w:anchor="co_pp_13" w:history="1">
        <w:r w:rsidR="00572AA9" w:rsidRPr="00572AA9">
          <w:rPr>
            <w:i/>
            <w:iCs/>
            <w:szCs w:val="24"/>
            <w:bdr w:val="none" w:sz="0" w:space="0" w:color="auto" w:frame="1"/>
            <w:shd w:val="clear" w:color="auto" w:fill="FFFFFF"/>
          </w:rPr>
          <w:t>CSR Ltd v Eddy</w:t>
        </w:r>
        <w:r w:rsidR="00572AA9" w:rsidRPr="00572AA9">
          <w:rPr>
            <w:szCs w:val="24"/>
            <w:bdr w:val="none" w:sz="0" w:space="0" w:color="auto" w:frame="1"/>
            <w:shd w:val="clear" w:color="auto" w:fill="FFFFFF"/>
          </w:rPr>
          <w:t xml:space="preserve"> [2005] HCA 64; 226 CLR 1 at [13]</w:t>
        </w:r>
      </w:hyperlink>
      <w:r w:rsidR="00572AA9" w:rsidRPr="00572AA9">
        <w:rPr>
          <w:szCs w:val="24"/>
          <w:shd w:val="clear" w:color="auto" w:fill="FFFFFF"/>
        </w:rPr>
        <w:t> (Gleeson CJ, Gummow and</w:t>
      </w:r>
      <w:r w:rsidR="00964C56">
        <w:rPr>
          <w:szCs w:val="24"/>
          <w:shd w:val="clear" w:color="auto" w:fill="FFFFFF"/>
        </w:rPr>
        <w:t xml:space="preserve"> </w:t>
      </w:r>
      <w:proofErr w:type="spellStart"/>
      <w:r w:rsidR="00964C56">
        <w:rPr>
          <w:szCs w:val="24"/>
          <w:shd w:val="clear" w:color="auto" w:fill="FFFFFF"/>
        </w:rPr>
        <w:t>Heydon</w:t>
      </w:r>
      <w:proofErr w:type="spellEnd"/>
      <w:r w:rsidR="00964C56" w:rsidRPr="00572AA9">
        <w:rPr>
          <w:szCs w:val="24"/>
          <w:shd w:val="clear" w:color="auto" w:fill="FFFFFF"/>
        </w:rPr>
        <w:t xml:space="preserve"> </w:t>
      </w:r>
      <w:r w:rsidR="00572AA9" w:rsidRPr="00572AA9">
        <w:rPr>
          <w:szCs w:val="24"/>
          <w:shd w:val="clear" w:color="auto" w:fill="FFFFFF"/>
        </w:rPr>
        <w:t>JJ</w:t>
      </w:r>
      <w:r w:rsidR="00964C56">
        <w:rPr>
          <w:szCs w:val="24"/>
          <w:shd w:val="clear" w:color="auto" w:fill="FFFFFF"/>
        </w:rPr>
        <w:t>).</w:t>
      </w:r>
      <w:r w:rsidR="00E048D5">
        <w:rPr>
          <w:szCs w:val="24"/>
          <w:shd w:val="clear" w:color="auto" w:fill="FFFFFF"/>
        </w:rPr>
        <w:t xml:space="preserve"> </w:t>
      </w:r>
      <w:r w:rsidR="00E048D5" w:rsidRPr="00EA6179">
        <w:rPr>
          <w:szCs w:val="24"/>
          <w:shd w:val="clear" w:color="auto" w:fill="FFFFFF"/>
        </w:rPr>
        <w:t xml:space="preserve">However, in considering whether </w:t>
      </w:r>
      <w:r w:rsidR="00546245" w:rsidRPr="00EA6179">
        <w:rPr>
          <w:szCs w:val="24"/>
          <w:shd w:val="clear" w:color="auto" w:fill="FFFFFF"/>
        </w:rPr>
        <w:t xml:space="preserve">an existing authority should be departed from, the extent to which </w:t>
      </w:r>
      <w:r w:rsidR="00802CD0" w:rsidRPr="00EA6179">
        <w:rPr>
          <w:szCs w:val="24"/>
          <w:shd w:val="clear" w:color="auto" w:fill="FFFFFF"/>
        </w:rPr>
        <w:t xml:space="preserve">it reflects a position relied upon in other cases </w:t>
      </w:r>
      <w:r w:rsidR="006C589A" w:rsidRPr="00EA6179">
        <w:rPr>
          <w:szCs w:val="24"/>
          <w:shd w:val="clear" w:color="auto" w:fill="FFFFFF"/>
        </w:rPr>
        <w:t xml:space="preserve">is potentially </w:t>
      </w:r>
      <w:r w:rsidR="006C589A" w:rsidRPr="00EA6179">
        <w:rPr>
          <w:szCs w:val="24"/>
          <w:shd w:val="clear" w:color="auto" w:fill="FFFFFF"/>
        </w:rPr>
        <w:lastRenderedPageBreak/>
        <w:t xml:space="preserve">of some relevance: see </w:t>
      </w:r>
      <w:r w:rsidR="00B7356A" w:rsidRPr="00EA6179">
        <w:rPr>
          <w:i/>
          <w:iCs/>
          <w:szCs w:val="24"/>
          <w:bdr w:val="none" w:sz="0" w:space="0" w:color="auto" w:frame="1"/>
          <w:shd w:val="clear" w:color="auto" w:fill="FFFFFF"/>
        </w:rPr>
        <w:t>Minister for Immigration v FAK19</w:t>
      </w:r>
      <w:r w:rsidR="00B7356A" w:rsidRPr="00EA6179">
        <w:rPr>
          <w:szCs w:val="24"/>
          <w:bdr w:val="none" w:sz="0" w:space="0" w:color="auto" w:frame="1"/>
          <w:shd w:val="clear" w:color="auto" w:fill="FFFFFF"/>
        </w:rPr>
        <w:t xml:space="preserve"> [2021] FCAFC 153; 287 FCR 181 at [2]-[13]</w:t>
      </w:r>
      <w:r w:rsidR="000C6CE8" w:rsidRPr="00EA6179">
        <w:rPr>
          <w:szCs w:val="24"/>
          <w:shd w:val="clear" w:color="auto" w:fill="FFFFFF"/>
        </w:rPr>
        <w:t xml:space="preserve"> (Allsop CJ)</w:t>
      </w:r>
      <w:r w:rsidR="00E93671" w:rsidRPr="00EA6179">
        <w:rPr>
          <w:szCs w:val="24"/>
          <w:shd w:val="clear" w:color="auto" w:fill="FFFFFF"/>
        </w:rPr>
        <w:t>.</w:t>
      </w:r>
      <w:r w:rsidR="00B7356A" w:rsidRPr="000C6CE8">
        <w:rPr>
          <w:szCs w:val="24"/>
          <w:shd w:val="clear" w:color="auto" w:fill="FFFFFF"/>
        </w:rPr>
        <w:t> </w:t>
      </w:r>
    </w:p>
    <w:p w14:paraId="3291F6E4" w14:textId="6E7EBA1F" w:rsidR="007B36F4" w:rsidRDefault="002B3EFA" w:rsidP="005E3960">
      <w:pPr>
        <w:pStyle w:val="ParaNumbering"/>
        <w:rPr>
          <w:lang w:eastAsia="en-AU"/>
        </w:rPr>
      </w:pPr>
      <w:proofErr w:type="spellStart"/>
      <w:r>
        <w:rPr>
          <w:i/>
          <w:iCs/>
          <w:lang w:eastAsia="en-AU"/>
        </w:rPr>
        <w:t>Austructures</w:t>
      </w:r>
      <w:proofErr w:type="spellEnd"/>
      <w:r w:rsidR="005E3960">
        <w:rPr>
          <w:lang w:eastAsia="en-AU"/>
        </w:rPr>
        <w:t xml:space="preserve"> was referred to</w:t>
      </w:r>
      <w:r w:rsidR="00581EF0">
        <w:rPr>
          <w:lang w:eastAsia="en-AU"/>
        </w:rPr>
        <w:t xml:space="preserve"> </w:t>
      </w:r>
      <w:r w:rsidR="005E3960">
        <w:rPr>
          <w:lang w:eastAsia="en-AU"/>
        </w:rPr>
        <w:t xml:space="preserve">in </w:t>
      </w:r>
      <w:r w:rsidR="005E3960">
        <w:rPr>
          <w:i/>
          <w:iCs/>
          <w:lang w:eastAsia="en-AU"/>
        </w:rPr>
        <w:t xml:space="preserve">Port Ballidu Pty Ltd v </w:t>
      </w:r>
      <w:proofErr w:type="spellStart"/>
      <w:r w:rsidR="005E3960">
        <w:rPr>
          <w:i/>
          <w:iCs/>
          <w:lang w:eastAsia="en-AU"/>
        </w:rPr>
        <w:t>Frews</w:t>
      </w:r>
      <w:proofErr w:type="spellEnd"/>
      <w:r w:rsidR="005E3960">
        <w:rPr>
          <w:i/>
          <w:iCs/>
          <w:lang w:eastAsia="en-AU"/>
        </w:rPr>
        <w:t xml:space="preserve"> Lawyers</w:t>
      </w:r>
      <w:r w:rsidR="005E3960">
        <w:rPr>
          <w:lang w:eastAsia="en-AU"/>
        </w:rPr>
        <w:t xml:space="preserve"> [2018] QCA 110; 1 </w:t>
      </w:r>
      <w:proofErr w:type="spellStart"/>
      <w:r w:rsidR="005E3960">
        <w:rPr>
          <w:lang w:eastAsia="en-AU"/>
        </w:rPr>
        <w:t>Qd</w:t>
      </w:r>
      <w:proofErr w:type="spellEnd"/>
      <w:r w:rsidR="005E3960">
        <w:rPr>
          <w:lang w:eastAsia="en-AU"/>
        </w:rPr>
        <w:t xml:space="preserve"> R 276 (</w:t>
      </w:r>
      <w:r w:rsidR="005E3960">
        <w:rPr>
          <w:b/>
          <w:bCs/>
          <w:i/>
          <w:iCs/>
          <w:lang w:eastAsia="en-AU"/>
        </w:rPr>
        <w:t>Port Ballidu</w:t>
      </w:r>
      <w:r w:rsidR="005E3960">
        <w:rPr>
          <w:lang w:eastAsia="en-AU"/>
        </w:rPr>
        <w:t>)</w:t>
      </w:r>
      <w:r w:rsidR="005A7E27">
        <w:rPr>
          <w:lang w:eastAsia="en-AU"/>
        </w:rPr>
        <w:t xml:space="preserve">. </w:t>
      </w:r>
      <w:r w:rsidR="00CE1A9A">
        <w:rPr>
          <w:lang w:eastAsia="en-AU"/>
        </w:rPr>
        <w:t xml:space="preserve">In that case a company commenced proceedings in 2015 against </w:t>
      </w:r>
      <w:r w:rsidR="00356F43">
        <w:rPr>
          <w:lang w:eastAsia="en-AU"/>
        </w:rPr>
        <w:t>the solicitors who had acted on a transaction in 2006</w:t>
      </w:r>
      <w:r w:rsidR="007D74E6">
        <w:rPr>
          <w:lang w:eastAsia="en-AU"/>
        </w:rPr>
        <w:t xml:space="preserve">, by which one of its directors had procured a mortgage </w:t>
      </w:r>
      <w:r w:rsidR="00B67F48">
        <w:rPr>
          <w:lang w:eastAsia="en-AU"/>
        </w:rPr>
        <w:t>of land owned by the company to secure a l</w:t>
      </w:r>
      <w:r w:rsidR="000E63F2">
        <w:rPr>
          <w:lang w:eastAsia="en-AU"/>
        </w:rPr>
        <w:t>oan to him.</w:t>
      </w:r>
      <w:r w:rsidR="00CB3053">
        <w:rPr>
          <w:lang w:eastAsia="en-AU"/>
        </w:rPr>
        <w:t xml:space="preserve"> One of the claims against the lawyers was for equitable compensation</w:t>
      </w:r>
      <w:r w:rsidR="007B36F4">
        <w:rPr>
          <w:lang w:eastAsia="en-AU"/>
        </w:rPr>
        <w:t xml:space="preserve"> for knowing participation in a dishonest breach of fiduciary duty by the director (the second limb of </w:t>
      </w:r>
      <w:r w:rsidR="007B36F4">
        <w:rPr>
          <w:i/>
          <w:iCs/>
          <w:lang w:eastAsia="en-AU"/>
        </w:rPr>
        <w:t>Barnes v Addy</w:t>
      </w:r>
      <w:r w:rsidR="007B36F4">
        <w:rPr>
          <w:i/>
          <w:iCs/>
        </w:rPr>
        <w:t xml:space="preserve"> </w:t>
      </w:r>
      <w:r w:rsidR="007B36F4">
        <w:t>(1874)</w:t>
      </w:r>
      <w:r w:rsidR="009F28FB">
        <w:t xml:space="preserve"> LR</w:t>
      </w:r>
      <w:r w:rsidR="007B36F4">
        <w:t xml:space="preserve"> 9 Ch App 244</w:t>
      </w:r>
      <w:r w:rsidR="00043662">
        <w:t xml:space="preserve"> (</w:t>
      </w:r>
      <w:r w:rsidR="00043662">
        <w:rPr>
          <w:b/>
          <w:bCs/>
          <w:i/>
          <w:iCs/>
        </w:rPr>
        <w:t>Barnes v Addy</w:t>
      </w:r>
      <w:r w:rsidR="00043662">
        <w:t>)</w:t>
      </w:r>
      <w:r w:rsidR="007B36F4">
        <w:t>).</w:t>
      </w:r>
      <w:r w:rsidR="00E91CD6">
        <w:t xml:space="preserve"> The primary judge held that </w:t>
      </w:r>
      <w:r w:rsidR="00291E74">
        <w:t xml:space="preserve">s 1317K should be applied by analogy unless it was unconscionable for the lawyers to rely on a </w:t>
      </w:r>
      <w:proofErr w:type="gramStart"/>
      <w:r w:rsidR="00291E74">
        <w:t>six year</w:t>
      </w:r>
      <w:proofErr w:type="gramEnd"/>
      <w:r w:rsidR="00291E74">
        <w:t xml:space="preserve"> limitation period, and dismissed the claim</w:t>
      </w:r>
      <w:r w:rsidR="00AB1A99">
        <w:t>:</w:t>
      </w:r>
      <w:r w:rsidR="002E1800">
        <w:t xml:space="preserve"> </w:t>
      </w:r>
      <w:r w:rsidR="00152392">
        <w:rPr>
          <w:i/>
          <w:iCs/>
        </w:rPr>
        <w:t xml:space="preserve">Port Ballidu Pty </w:t>
      </w:r>
      <w:r w:rsidR="00E829EF">
        <w:rPr>
          <w:i/>
          <w:iCs/>
        </w:rPr>
        <w:t>L</w:t>
      </w:r>
      <w:r w:rsidR="00152392">
        <w:rPr>
          <w:i/>
          <w:iCs/>
        </w:rPr>
        <w:t xml:space="preserve">td v </w:t>
      </w:r>
      <w:proofErr w:type="spellStart"/>
      <w:r w:rsidR="00152392">
        <w:rPr>
          <w:i/>
          <w:iCs/>
        </w:rPr>
        <w:t>Frews</w:t>
      </w:r>
      <w:proofErr w:type="spellEnd"/>
      <w:r w:rsidR="00152392">
        <w:rPr>
          <w:i/>
          <w:iCs/>
        </w:rPr>
        <w:t xml:space="preserve"> La</w:t>
      </w:r>
      <w:r w:rsidR="00F1779C">
        <w:rPr>
          <w:i/>
          <w:iCs/>
        </w:rPr>
        <w:t>w</w:t>
      </w:r>
      <w:r w:rsidR="00152392">
        <w:rPr>
          <w:i/>
          <w:iCs/>
        </w:rPr>
        <w:t xml:space="preserve">yers </w:t>
      </w:r>
      <w:r w:rsidR="00152392">
        <w:t>[2017] QSC 19</w:t>
      </w:r>
      <w:r w:rsidR="00291E74">
        <w:t>.</w:t>
      </w:r>
    </w:p>
    <w:p w14:paraId="178820BB" w14:textId="49810217" w:rsidR="00AE7EED" w:rsidRDefault="00AE7EED" w:rsidP="005E3960">
      <w:pPr>
        <w:pStyle w:val="ParaNumbering"/>
        <w:rPr>
          <w:lang w:eastAsia="en-AU"/>
        </w:rPr>
      </w:pPr>
      <w:r>
        <w:rPr>
          <w:lang w:eastAsia="en-AU"/>
        </w:rPr>
        <w:t>In the Court of Appeal, Fraser JA</w:t>
      </w:r>
      <w:r w:rsidR="00E9575F">
        <w:rPr>
          <w:lang w:eastAsia="en-AU"/>
        </w:rPr>
        <w:t xml:space="preserve"> (with whom</w:t>
      </w:r>
      <w:r>
        <w:rPr>
          <w:lang w:eastAsia="en-AU"/>
        </w:rPr>
        <w:t xml:space="preserve"> McMurdo JA and Boddice J agree</w:t>
      </w:r>
      <w:r w:rsidR="00E9575F">
        <w:rPr>
          <w:lang w:eastAsia="en-AU"/>
        </w:rPr>
        <w:t>d</w:t>
      </w:r>
      <w:r>
        <w:rPr>
          <w:lang w:eastAsia="en-AU"/>
        </w:rPr>
        <w:t>)</w:t>
      </w:r>
      <w:r w:rsidR="00E9575F">
        <w:rPr>
          <w:lang w:eastAsia="en-AU"/>
        </w:rPr>
        <w:t xml:space="preserve"> </w:t>
      </w:r>
      <w:r w:rsidR="008E0158">
        <w:rPr>
          <w:lang w:eastAsia="en-AU"/>
        </w:rPr>
        <w:t xml:space="preserve">referred to </w:t>
      </w:r>
      <w:proofErr w:type="spellStart"/>
      <w:r w:rsidR="008E0158">
        <w:rPr>
          <w:i/>
          <w:iCs/>
          <w:lang w:eastAsia="en-AU"/>
        </w:rPr>
        <w:t>Austructures</w:t>
      </w:r>
      <w:proofErr w:type="spellEnd"/>
      <w:r w:rsidR="008E0158">
        <w:rPr>
          <w:lang w:eastAsia="en-AU"/>
        </w:rPr>
        <w:t xml:space="preserve"> and </w:t>
      </w:r>
      <w:proofErr w:type="spellStart"/>
      <w:r w:rsidR="008E0158">
        <w:rPr>
          <w:i/>
          <w:iCs/>
          <w:lang w:eastAsia="en-AU"/>
        </w:rPr>
        <w:t>Newtronics</w:t>
      </w:r>
      <w:proofErr w:type="spellEnd"/>
      <w:r w:rsidR="008E0158">
        <w:rPr>
          <w:lang w:eastAsia="en-AU"/>
        </w:rPr>
        <w:t xml:space="preserve"> for the </w:t>
      </w:r>
      <w:r w:rsidR="006B27F9">
        <w:rPr>
          <w:lang w:eastAsia="en-AU"/>
        </w:rPr>
        <w:t xml:space="preserve">following </w:t>
      </w:r>
      <w:r w:rsidR="008E0158">
        <w:rPr>
          <w:lang w:eastAsia="en-AU"/>
        </w:rPr>
        <w:t>proposition</w:t>
      </w:r>
      <w:r w:rsidR="006B27F9">
        <w:rPr>
          <w:lang w:eastAsia="en-AU"/>
        </w:rPr>
        <w:t xml:space="preserve"> (at [14]):</w:t>
      </w:r>
    </w:p>
    <w:p w14:paraId="351FDEAF" w14:textId="4484CE44" w:rsidR="006B27F9" w:rsidRDefault="0098372E" w:rsidP="006B27F9">
      <w:pPr>
        <w:pStyle w:val="Quote1"/>
        <w:rPr>
          <w:lang w:eastAsia="en-AU"/>
        </w:rPr>
      </w:pPr>
      <w:r>
        <w:rPr>
          <w:lang w:eastAsia="en-AU"/>
        </w:rPr>
        <w:t xml:space="preserve">It has been held that s 1317K extinguishes the right to compensation for the contravention after expiry of the </w:t>
      </w:r>
      <w:proofErr w:type="gramStart"/>
      <w:r>
        <w:rPr>
          <w:lang w:eastAsia="en-AU"/>
        </w:rPr>
        <w:t>six year</w:t>
      </w:r>
      <w:proofErr w:type="gramEnd"/>
      <w:r>
        <w:rPr>
          <w:lang w:eastAsia="en-AU"/>
        </w:rPr>
        <w:t xml:space="preserve"> time limit.</w:t>
      </w:r>
    </w:p>
    <w:p w14:paraId="667ADBA2" w14:textId="3367CAD5" w:rsidR="0098372E" w:rsidRDefault="00AD21C2" w:rsidP="005E3960">
      <w:pPr>
        <w:pStyle w:val="ParaNumbering"/>
        <w:rPr>
          <w:lang w:eastAsia="en-AU"/>
        </w:rPr>
      </w:pPr>
      <w:r>
        <w:rPr>
          <w:lang w:eastAsia="en-AU"/>
        </w:rPr>
        <w:t xml:space="preserve">The unsuccessful argument of the company on appeal (dealt with at </w:t>
      </w:r>
      <w:r w:rsidR="004A3368">
        <w:rPr>
          <w:lang w:eastAsia="en-AU"/>
        </w:rPr>
        <w:t>[15]</w:t>
      </w:r>
      <w:proofErr w:type="gramStart"/>
      <w:r w:rsidR="00792C27">
        <w:rPr>
          <w:lang w:eastAsia="en-AU"/>
        </w:rPr>
        <w:t>–</w:t>
      </w:r>
      <w:r w:rsidR="004A3368">
        <w:rPr>
          <w:lang w:eastAsia="en-AU"/>
        </w:rPr>
        <w:t>[</w:t>
      </w:r>
      <w:proofErr w:type="gramEnd"/>
      <w:r w:rsidR="004A3368">
        <w:rPr>
          <w:lang w:eastAsia="en-AU"/>
        </w:rPr>
        <w:t xml:space="preserve">19]) was that s 185 of the Corporations Act, which </w:t>
      </w:r>
      <w:r w:rsidR="00792C27">
        <w:rPr>
          <w:lang w:eastAsia="en-AU"/>
        </w:rPr>
        <w:t xml:space="preserve">provides that ss 180–184 </w:t>
      </w:r>
      <w:r w:rsidR="00E67B4B">
        <w:rPr>
          <w:lang w:eastAsia="en-AU"/>
        </w:rPr>
        <w:t xml:space="preserve">do not derogate from other rules of law </w:t>
      </w:r>
      <w:r w:rsidR="009D755B">
        <w:rPr>
          <w:lang w:eastAsia="en-AU"/>
        </w:rPr>
        <w:t>relating to the duties of officers of a corporation, thereby excluded s 1317K.</w:t>
      </w:r>
      <w:r w:rsidR="00977FD0">
        <w:rPr>
          <w:lang w:eastAsia="en-AU"/>
        </w:rPr>
        <w:t xml:space="preserve"> Whether the limitation period in s 1317K was a rigid one was therefore not explored.</w:t>
      </w:r>
      <w:r w:rsidR="003725DC">
        <w:rPr>
          <w:lang w:eastAsia="en-AU"/>
        </w:rPr>
        <w:t xml:space="preserve"> However, the </w:t>
      </w:r>
      <w:r w:rsidR="008938FD">
        <w:rPr>
          <w:lang w:eastAsia="en-AU"/>
        </w:rPr>
        <w:t>respondent’s argument in the present case gains some support from</w:t>
      </w:r>
      <w:r w:rsidR="00507BF8">
        <w:rPr>
          <w:lang w:eastAsia="en-AU"/>
        </w:rPr>
        <w:t xml:space="preserve"> Fraser JA’s </w:t>
      </w:r>
      <w:r w:rsidR="00713759">
        <w:rPr>
          <w:lang w:eastAsia="en-AU"/>
        </w:rPr>
        <w:t>apparent acceptance that</w:t>
      </w:r>
      <w:r w:rsidR="00B57CC1">
        <w:rPr>
          <w:lang w:eastAsia="en-AU"/>
        </w:rPr>
        <w:t xml:space="preserve"> s 1317K operates to extinguish the right to statutory compensation (see also at [18]) and that</w:t>
      </w:r>
      <w:r w:rsidR="00713759">
        <w:rPr>
          <w:lang w:eastAsia="en-AU"/>
        </w:rPr>
        <w:t xml:space="preserve"> </w:t>
      </w:r>
      <w:proofErr w:type="spellStart"/>
      <w:r w:rsidR="00713759">
        <w:rPr>
          <w:i/>
          <w:iCs/>
          <w:lang w:eastAsia="en-AU"/>
        </w:rPr>
        <w:t>Newtronics</w:t>
      </w:r>
      <w:proofErr w:type="spellEnd"/>
      <w:r w:rsidR="00713759">
        <w:rPr>
          <w:lang w:eastAsia="en-AU"/>
        </w:rPr>
        <w:t xml:space="preserve"> </w:t>
      </w:r>
      <w:r w:rsidR="00F02DAA">
        <w:rPr>
          <w:lang w:eastAsia="en-AU"/>
        </w:rPr>
        <w:t>supports this proposition.</w:t>
      </w:r>
    </w:p>
    <w:p w14:paraId="0703F7EE" w14:textId="1307673C" w:rsidR="00586E5C" w:rsidRDefault="00586E5C" w:rsidP="005E3960">
      <w:pPr>
        <w:pStyle w:val="ParaNumbering"/>
        <w:rPr>
          <w:lang w:eastAsia="en-AU"/>
        </w:rPr>
      </w:pPr>
      <w:r>
        <w:rPr>
          <w:lang w:eastAsia="en-AU"/>
        </w:rPr>
        <w:t xml:space="preserve">In </w:t>
      </w:r>
      <w:r w:rsidR="00E60752" w:rsidRPr="00F90BEB">
        <w:rPr>
          <w:i/>
          <w:iCs/>
          <w:lang w:eastAsia="en-AU"/>
        </w:rPr>
        <w:t xml:space="preserve">Chung-Yi Pty Ltd v </w:t>
      </w:r>
      <w:r w:rsidR="00DE7EA1">
        <w:rPr>
          <w:i/>
          <w:iCs/>
          <w:lang w:eastAsia="en-AU"/>
        </w:rPr>
        <w:t>Chi</w:t>
      </w:r>
      <w:r w:rsidR="00C72E83">
        <w:rPr>
          <w:i/>
          <w:iCs/>
          <w:lang w:eastAsia="en-AU"/>
        </w:rPr>
        <w:t>h</w:t>
      </w:r>
      <w:r w:rsidR="00DE7EA1">
        <w:rPr>
          <w:i/>
          <w:iCs/>
          <w:lang w:eastAsia="en-AU"/>
        </w:rPr>
        <w:t>-Yang</w:t>
      </w:r>
      <w:r w:rsidR="00C72E83">
        <w:rPr>
          <w:i/>
          <w:iCs/>
          <w:lang w:eastAsia="en-AU"/>
        </w:rPr>
        <w:t xml:space="preserve"> </w:t>
      </w:r>
      <w:r w:rsidR="00E60752" w:rsidRPr="00F90BEB">
        <w:rPr>
          <w:i/>
          <w:iCs/>
          <w:lang w:eastAsia="en-AU"/>
        </w:rPr>
        <w:t>Chang (No 2)</w:t>
      </w:r>
      <w:r w:rsidR="00E60752">
        <w:rPr>
          <w:lang w:eastAsia="en-AU"/>
        </w:rPr>
        <w:t xml:space="preserve"> </w:t>
      </w:r>
      <w:r w:rsidR="00F90BEB">
        <w:rPr>
          <w:lang w:eastAsia="en-AU"/>
        </w:rPr>
        <w:t>[2018] NSWSC 1112; 128 ACSR 585</w:t>
      </w:r>
      <w:r w:rsidR="00357DCD">
        <w:rPr>
          <w:lang w:eastAsia="en-AU"/>
        </w:rPr>
        <w:t xml:space="preserve"> (</w:t>
      </w:r>
      <w:r w:rsidR="00357DCD">
        <w:rPr>
          <w:b/>
          <w:bCs/>
          <w:i/>
          <w:iCs/>
          <w:lang w:eastAsia="en-AU"/>
        </w:rPr>
        <w:t>Chang</w:t>
      </w:r>
      <w:r w:rsidR="00357DCD">
        <w:rPr>
          <w:lang w:eastAsia="en-AU"/>
        </w:rPr>
        <w:t>)</w:t>
      </w:r>
      <w:r w:rsidR="00F90BEB">
        <w:rPr>
          <w:lang w:eastAsia="en-AU"/>
        </w:rPr>
        <w:t>, which was</w:t>
      </w:r>
      <w:r>
        <w:rPr>
          <w:lang w:eastAsia="en-AU"/>
        </w:rPr>
        <w:t xml:space="preserve"> heard before the judgment in </w:t>
      </w:r>
      <w:r>
        <w:rPr>
          <w:i/>
          <w:iCs/>
          <w:lang w:eastAsia="en-AU"/>
        </w:rPr>
        <w:t>Port Ballidu</w:t>
      </w:r>
      <w:r>
        <w:rPr>
          <w:lang w:eastAsia="en-AU"/>
        </w:rPr>
        <w:t xml:space="preserve"> and decided </w:t>
      </w:r>
      <w:r w:rsidR="00BC3AD8">
        <w:rPr>
          <w:lang w:eastAsia="en-AU"/>
        </w:rPr>
        <w:t>shortly afterwards</w:t>
      </w:r>
      <w:r w:rsidR="00F90BEB">
        <w:rPr>
          <w:lang w:eastAsia="en-AU"/>
        </w:rPr>
        <w:t xml:space="preserve"> and involved both</w:t>
      </w:r>
      <w:r w:rsidR="00BC3AD8">
        <w:rPr>
          <w:lang w:eastAsia="en-AU"/>
        </w:rPr>
        <w:t xml:space="preserve"> statutory and equitable claims, Ba</w:t>
      </w:r>
      <w:r w:rsidR="00026E8F">
        <w:rPr>
          <w:lang w:eastAsia="en-AU"/>
        </w:rPr>
        <w:t>ll</w:t>
      </w:r>
      <w:r w:rsidR="00BC3AD8">
        <w:rPr>
          <w:lang w:eastAsia="en-AU"/>
        </w:rPr>
        <w:t xml:space="preserve"> J observed (at [90]):</w:t>
      </w:r>
    </w:p>
    <w:p w14:paraId="6D259CCD" w14:textId="354D8125" w:rsidR="00EA7573" w:rsidRDefault="00EA7573" w:rsidP="00EA7573">
      <w:pPr>
        <w:pStyle w:val="Quote1"/>
        <w:rPr>
          <w:rFonts w:ascii="Times-Roman" w:hAnsi="Times-Roman" w:cs="Times-Roman"/>
          <w:lang w:eastAsia="en-AU"/>
        </w:rPr>
      </w:pPr>
      <w:r>
        <w:rPr>
          <w:rFonts w:ascii="Times-Roman" w:hAnsi="Times-Roman" w:cs="Times-Roman"/>
          <w:lang w:eastAsia="en-AU"/>
        </w:rPr>
        <w:t xml:space="preserve">The limitation period in respect of claims for breaches of ss 180–182 of the Corporations Act is six years commencing from the time of the contravention: s 1317K of the Corporations Act. There is no provision for extending that period in the case of fraud. Consequently, the statutory claim in respect of the first payment of $709,142 is time barred </w:t>
      </w:r>
      <w:r w:rsidR="00545AA9">
        <w:rPr>
          <w:rFonts w:ascii="Times-Roman" w:hAnsi="Times-Roman" w:cs="Times-Roman"/>
          <w:lang w:eastAsia="en-AU"/>
        </w:rPr>
        <w:t>..</w:t>
      </w:r>
      <w:r>
        <w:rPr>
          <w:rFonts w:ascii="Times-Roman" w:hAnsi="Times-Roman" w:cs="Times-Roman"/>
          <w:lang w:eastAsia="en-AU"/>
        </w:rPr>
        <w:t>.</w:t>
      </w:r>
    </w:p>
    <w:p w14:paraId="31D75FB2" w14:textId="3B0DAB94" w:rsidR="00545AA9" w:rsidRDefault="00F90BEB" w:rsidP="00F90BEB">
      <w:pPr>
        <w:pStyle w:val="ParaNumbering"/>
        <w:rPr>
          <w:lang w:eastAsia="en-AU"/>
        </w:rPr>
      </w:pPr>
      <w:r>
        <w:rPr>
          <w:lang w:eastAsia="en-AU"/>
        </w:rPr>
        <w:t xml:space="preserve">No authority was cited and </w:t>
      </w:r>
      <w:r w:rsidR="00022DE1">
        <w:rPr>
          <w:lang w:eastAsia="en-AU"/>
        </w:rPr>
        <w:t>the potential availability of s 1322(4)(d) does not appear to have been the subject of argument.</w:t>
      </w:r>
      <w:r w:rsidR="00E83BF3">
        <w:rPr>
          <w:lang w:eastAsia="en-AU"/>
        </w:rPr>
        <w:t xml:space="preserve"> At [91]-[95], referring to </w:t>
      </w:r>
      <w:proofErr w:type="spellStart"/>
      <w:r w:rsidR="00E83BF3">
        <w:rPr>
          <w:i/>
          <w:iCs/>
          <w:lang w:eastAsia="en-AU"/>
        </w:rPr>
        <w:t>Auzhair</w:t>
      </w:r>
      <w:proofErr w:type="spellEnd"/>
      <w:r w:rsidR="00E83BF3">
        <w:rPr>
          <w:lang w:eastAsia="en-AU"/>
        </w:rPr>
        <w:t xml:space="preserve">, Barr J held that </w:t>
      </w:r>
      <w:r w:rsidR="00D1410D">
        <w:rPr>
          <w:lang w:eastAsia="en-AU"/>
        </w:rPr>
        <w:t xml:space="preserve">the defendant </w:t>
      </w:r>
      <w:r w:rsidR="00D1410D">
        <w:rPr>
          <w:lang w:eastAsia="en-AU"/>
        </w:rPr>
        <w:lastRenderedPageBreak/>
        <w:t>was guilty of fraudulent concealment and could not rely on the statutory time bar</w:t>
      </w:r>
      <w:r w:rsidR="007F060E">
        <w:rPr>
          <w:lang w:eastAsia="en-AU"/>
        </w:rPr>
        <w:t xml:space="preserve"> in answer to the claims in </w:t>
      </w:r>
      <w:r w:rsidR="005D0126">
        <w:rPr>
          <w:lang w:eastAsia="en-AU"/>
        </w:rPr>
        <w:t>E</w:t>
      </w:r>
      <w:r w:rsidR="007F060E">
        <w:rPr>
          <w:lang w:eastAsia="en-AU"/>
        </w:rPr>
        <w:t>quity.</w:t>
      </w:r>
    </w:p>
    <w:p w14:paraId="6CD27AD6" w14:textId="5D7E8519" w:rsidR="007A730A" w:rsidRDefault="007A730A" w:rsidP="00F90BEB">
      <w:pPr>
        <w:pStyle w:val="ParaNumbering"/>
        <w:rPr>
          <w:lang w:eastAsia="en-AU"/>
        </w:rPr>
      </w:pPr>
      <w:r>
        <w:rPr>
          <w:lang w:eastAsia="en-AU"/>
        </w:rPr>
        <w:t>In oral argument</w:t>
      </w:r>
      <w:r w:rsidR="00513E73">
        <w:rPr>
          <w:lang w:eastAsia="en-AU"/>
        </w:rPr>
        <w:t xml:space="preserve">, senior counsel for the applicants submitted that </w:t>
      </w:r>
      <w:r w:rsidR="00513E73">
        <w:rPr>
          <w:i/>
          <w:iCs/>
          <w:lang w:eastAsia="en-AU"/>
        </w:rPr>
        <w:t>Port Ballidu</w:t>
      </w:r>
      <w:r w:rsidR="00513E73">
        <w:rPr>
          <w:lang w:eastAsia="en-AU"/>
        </w:rPr>
        <w:t xml:space="preserve"> was not good law because it was inconsistent with the approach of the New South Wales Court of Appeal in </w:t>
      </w:r>
      <w:r w:rsidR="00346A21">
        <w:rPr>
          <w:i/>
          <w:iCs/>
          <w:lang w:eastAsia="en-AU"/>
        </w:rPr>
        <w:t xml:space="preserve">Lewis Securities Ltd (in </w:t>
      </w:r>
      <w:proofErr w:type="spellStart"/>
      <w:r w:rsidR="00346A21">
        <w:rPr>
          <w:i/>
          <w:iCs/>
          <w:lang w:eastAsia="en-AU"/>
        </w:rPr>
        <w:t>liq</w:t>
      </w:r>
      <w:proofErr w:type="spellEnd"/>
      <w:r w:rsidR="00346A21">
        <w:rPr>
          <w:i/>
          <w:iCs/>
          <w:lang w:eastAsia="en-AU"/>
        </w:rPr>
        <w:t>) v Carter</w:t>
      </w:r>
      <w:r w:rsidR="00346A21">
        <w:rPr>
          <w:lang w:eastAsia="en-AU"/>
        </w:rPr>
        <w:t xml:space="preserve"> [2018] </w:t>
      </w:r>
      <w:r w:rsidR="00EC1671">
        <w:rPr>
          <w:lang w:eastAsia="en-AU"/>
        </w:rPr>
        <w:t>NSWCA 118; 355 ALR 703</w:t>
      </w:r>
      <w:r w:rsidR="00E949FB">
        <w:rPr>
          <w:lang w:eastAsia="en-AU"/>
        </w:rPr>
        <w:t xml:space="preserve"> (</w:t>
      </w:r>
      <w:r w:rsidR="00E949FB">
        <w:rPr>
          <w:b/>
          <w:bCs/>
          <w:i/>
          <w:iCs/>
          <w:lang w:eastAsia="en-AU"/>
        </w:rPr>
        <w:t>Lewis Securities</w:t>
      </w:r>
      <w:r w:rsidR="00E949FB">
        <w:rPr>
          <w:lang w:eastAsia="en-AU"/>
        </w:rPr>
        <w:t xml:space="preserve">). </w:t>
      </w:r>
      <w:r w:rsidR="00E949FB">
        <w:rPr>
          <w:i/>
          <w:iCs/>
          <w:lang w:eastAsia="en-AU"/>
        </w:rPr>
        <w:t>Lewis Securities</w:t>
      </w:r>
      <w:r w:rsidR="00E949FB">
        <w:rPr>
          <w:lang w:eastAsia="en-AU"/>
        </w:rPr>
        <w:t xml:space="preserve"> was also heard </w:t>
      </w:r>
      <w:r w:rsidR="00F1648A">
        <w:rPr>
          <w:lang w:eastAsia="en-AU"/>
        </w:rPr>
        <w:t>before judgment in</w:t>
      </w:r>
      <w:r w:rsidR="0098231D">
        <w:rPr>
          <w:lang w:eastAsia="en-AU"/>
        </w:rPr>
        <w:t xml:space="preserve"> the appeal in</w:t>
      </w:r>
      <w:r w:rsidR="00F1648A">
        <w:rPr>
          <w:lang w:eastAsia="en-AU"/>
        </w:rPr>
        <w:t xml:space="preserve"> </w:t>
      </w:r>
      <w:r w:rsidR="00F1648A">
        <w:rPr>
          <w:i/>
          <w:iCs/>
          <w:lang w:eastAsia="en-AU"/>
        </w:rPr>
        <w:t>Port Ballidu</w:t>
      </w:r>
      <w:r w:rsidR="00F1648A">
        <w:rPr>
          <w:lang w:eastAsia="en-AU"/>
        </w:rPr>
        <w:t xml:space="preserve"> and decided soon afterwards.</w:t>
      </w:r>
      <w:r w:rsidR="00357CF9">
        <w:rPr>
          <w:lang w:eastAsia="en-AU"/>
        </w:rPr>
        <w:t xml:space="preserve"> Leeming JA </w:t>
      </w:r>
      <w:r w:rsidR="0098231D">
        <w:rPr>
          <w:lang w:eastAsia="en-AU"/>
        </w:rPr>
        <w:t xml:space="preserve">referred at [46] to the first instance judgment in </w:t>
      </w:r>
      <w:r w:rsidR="0098231D">
        <w:rPr>
          <w:i/>
          <w:iCs/>
          <w:lang w:eastAsia="en-AU"/>
        </w:rPr>
        <w:t>Port Ballidu</w:t>
      </w:r>
      <w:r w:rsidR="00FE5D54">
        <w:rPr>
          <w:lang w:eastAsia="en-AU"/>
        </w:rPr>
        <w:t xml:space="preserve"> and noted that the appeal had been dismissed “without addressing the issues presently relevant”</w:t>
      </w:r>
      <w:r w:rsidR="00E565CB">
        <w:rPr>
          <w:lang w:eastAsia="en-AU"/>
        </w:rPr>
        <w:t>.</w:t>
      </w:r>
    </w:p>
    <w:p w14:paraId="564E8CF2" w14:textId="21A690A2" w:rsidR="00505DC6" w:rsidRDefault="00D873EE" w:rsidP="00F90BEB">
      <w:pPr>
        <w:pStyle w:val="ParaNumbering"/>
        <w:rPr>
          <w:lang w:eastAsia="en-AU"/>
        </w:rPr>
      </w:pPr>
      <w:r>
        <w:rPr>
          <w:lang w:eastAsia="en-AU"/>
        </w:rPr>
        <w:t xml:space="preserve">The issue in </w:t>
      </w:r>
      <w:r>
        <w:rPr>
          <w:i/>
          <w:iCs/>
          <w:lang w:eastAsia="en-AU"/>
        </w:rPr>
        <w:t>Lewis Securities</w:t>
      </w:r>
      <w:r>
        <w:rPr>
          <w:lang w:eastAsia="en-AU"/>
        </w:rPr>
        <w:t xml:space="preserve"> that is of potential relevance to the present case was whether </w:t>
      </w:r>
      <w:r w:rsidR="00146CBA">
        <w:rPr>
          <w:lang w:eastAsia="en-AU"/>
        </w:rPr>
        <w:t>a limitation period of six years applied to</w:t>
      </w:r>
      <w:r w:rsidR="006A7F90">
        <w:rPr>
          <w:lang w:eastAsia="en-AU"/>
        </w:rPr>
        <w:t xml:space="preserve"> a</w:t>
      </w:r>
      <w:r w:rsidR="00146CBA">
        <w:rPr>
          <w:lang w:eastAsia="en-AU"/>
        </w:rPr>
        <w:t xml:space="preserve"> claim under </w:t>
      </w:r>
      <w:r w:rsidR="006A7F90">
        <w:rPr>
          <w:lang w:eastAsia="en-AU"/>
        </w:rPr>
        <w:t xml:space="preserve">the second </w:t>
      </w:r>
      <w:r w:rsidR="00146CBA">
        <w:rPr>
          <w:lang w:eastAsia="en-AU"/>
        </w:rPr>
        <w:t xml:space="preserve">limb of </w:t>
      </w:r>
      <w:r w:rsidR="00146CBA">
        <w:rPr>
          <w:i/>
          <w:iCs/>
          <w:lang w:eastAsia="en-AU"/>
        </w:rPr>
        <w:t>Barnes v Addy</w:t>
      </w:r>
      <w:r w:rsidR="00146CBA">
        <w:rPr>
          <w:lang w:eastAsia="en-AU"/>
        </w:rPr>
        <w:t xml:space="preserve"> </w:t>
      </w:r>
      <w:r w:rsidR="002A3A7C">
        <w:rPr>
          <w:lang w:eastAsia="en-AU"/>
        </w:rPr>
        <w:t>by analogy with s 1317K.</w:t>
      </w:r>
      <w:r w:rsidR="00103B49">
        <w:rPr>
          <w:lang w:eastAsia="en-AU"/>
        </w:rPr>
        <w:t xml:space="preserve"> As to that </w:t>
      </w:r>
      <w:r w:rsidR="003A7225">
        <w:rPr>
          <w:lang w:eastAsia="en-AU"/>
        </w:rPr>
        <w:t>issue, Leeming JA held at [60]</w:t>
      </w:r>
      <w:r w:rsidR="006C4C35">
        <w:rPr>
          <w:lang w:eastAsia="en-AU"/>
        </w:rPr>
        <w:t>-</w:t>
      </w:r>
      <w:r w:rsidR="003A7225">
        <w:rPr>
          <w:lang w:eastAsia="en-AU"/>
        </w:rPr>
        <w:t>[</w:t>
      </w:r>
      <w:r w:rsidR="00BA4F36">
        <w:rPr>
          <w:lang w:eastAsia="en-AU"/>
        </w:rPr>
        <w:t>71</w:t>
      </w:r>
      <w:r w:rsidR="003A7225">
        <w:rPr>
          <w:lang w:eastAsia="en-AU"/>
        </w:rPr>
        <w:t xml:space="preserve">] that s 1317K was an inapt analogy for </w:t>
      </w:r>
      <w:r w:rsidR="008B4B77">
        <w:rPr>
          <w:lang w:eastAsia="en-AU"/>
        </w:rPr>
        <w:t xml:space="preserve">an equitable claim </w:t>
      </w:r>
      <w:r w:rsidR="00E47DC7">
        <w:rPr>
          <w:lang w:eastAsia="en-AU"/>
        </w:rPr>
        <w:t>that had</w:t>
      </w:r>
      <w:r w:rsidR="008B4B77">
        <w:rPr>
          <w:lang w:eastAsia="en-AU"/>
        </w:rPr>
        <w:t xml:space="preserve"> a fraudulent and dishonest design</w:t>
      </w:r>
      <w:r w:rsidR="00E47DC7">
        <w:rPr>
          <w:lang w:eastAsia="en-AU"/>
        </w:rPr>
        <w:t xml:space="preserve"> as a necessary element</w:t>
      </w:r>
      <w:r w:rsidR="008B4B77">
        <w:rPr>
          <w:lang w:eastAsia="en-AU"/>
        </w:rPr>
        <w:t>.</w:t>
      </w:r>
      <w:r w:rsidR="00E23C70">
        <w:rPr>
          <w:lang w:eastAsia="en-AU"/>
        </w:rPr>
        <w:t xml:space="preserve"> </w:t>
      </w:r>
      <w:r w:rsidR="00BD347C">
        <w:rPr>
          <w:lang w:eastAsia="en-AU"/>
        </w:rPr>
        <w:t xml:space="preserve">Sackville AJA agreed at </w:t>
      </w:r>
      <w:r w:rsidR="00BA1EAD">
        <w:rPr>
          <w:lang w:eastAsia="en-AU"/>
        </w:rPr>
        <w:t xml:space="preserve">[98]. </w:t>
      </w:r>
      <w:r w:rsidR="00F32A8B">
        <w:rPr>
          <w:lang w:eastAsia="en-AU"/>
        </w:rPr>
        <w:t xml:space="preserve">Emmett AJA </w:t>
      </w:r>
      <w:r w:rsidR="00BF19EF">
        <w:rPr>
          <w:lang w:eastAsia="en-AU"/>
        </w:rPr>
        <w:t xml:space="preserve">concluded as a broad proposition that </w:t>
      </w:r>
      <w:r w:rsidR="00AB3578">
        <w:rPr>
          <w:lang w:eastAsia="en-AU"/>
        </w:rPr>
        <w:t xml:space="preserve">a claim for breach of a director’s fiduciary duties was analogous to a claim </w:t>
      </w:r>
      <w:r w:rsidR="00ED0F62">
        <w:rPr>
          <w:lang w:eastAsia="en-AU"/>
        </w:rPr>
        <w:t>for breach of ss 180-182 of the Corporations Act (</w:t>
      </w:r>
      <w:r w:rsidR="00F741A8">
        <w:rPr>
          <w:lang w:eastAsia="en-AU"/>
        </w:rPr>
        <w:t xml:space="preserve">at </w:t>
      </w:r>
      <w:r w:rsidR="00E23C70">
        <w:rPr>
          <w:lang w:eastAsia="en-AU"/>
        </w:rPr>
        <w:t>[203]</w:t>
      </w:r>
      <w:r w:rsidR="00392AFE">
        <w:rPr>
          <w:lang w:eastAsia="en-AU"/>
        </w:rPr>
        <w:t>-[21</w:t>
      </w:r>
      <w:r w:rsidR="00F83387">
        <w:rPr>
          <w:lang w:eastAsia="en-AU"/>
        </w:rPr>
        <w:t>5</w:t>
      </w:r>
      <w:r w:rsidR="00392AFE">
        <w:rPr>
          <w:lang w:eastAsia="en-AU"/>
        </w:rPr>
        <w:t>]</w:t>
      </w:r>
      <w:r w:rsidR="00F83387">
        <w:rPr>
          <w:lang w:eastAsia="en-AU"/>
        </w:rPr>
        <w:t xml:space="preserve">), but that </w:t>
      </w:r>
      <w:r w:rsidR="007B212B">
        <w:rPr>
          <w:lang w:eastAsia="en-AU"/>
        </w:rPr>
        <w:t xml:space="preserve">s 1317K could not apply by analogy to a claim for accessorial liability that depended on </w:t>
      </w:r>
      <w:r w:rsidR="00834819">
        <w:rPr>
          <w:lang w:eastAsia="en-AU"/>
        </w:rPr>
        <w:t>a fraudulent and dishonest breach of duty (at [216]-[218])</w:t>
      </w:r>
      <w:r w:rsidR="005C1115">
        <w:rPr>
          <w:lang w:eastAsia="en-AU"/>
        </w:rPr>
        <w:t>.</w:t>
      </w:r>
    </w:p>
    <w:p w14:paraId="54FA1570" w14:textId="33D5C865" w:rsidR="005C1115" w:rsidRDefault="005C1115" w:rsidP="00F90BEB">
      <w:pPr>
        <w:pStyle w:val="ParaNumbering"/>
        <w:rPr>
          <w:lang w:eastAsia="en-AU"/>
        </w:rPr>
      </w:pPr>
      <w:r>
        <w:rPr>
          <w:lang w:eastAsia="en-AU"/>
        </w:rPr>
        <w:t>This issue</w:t>
      </w:r>
      <w:r w:rsidR="004E4360">
        <w:rPr>
          <w:lang w:eastAsia="en-AU"/>
        </w:rPr>
        <w:t xml:space="preserve"> (including whether there is tension between </w:t>
      </w:r>
      <w:r w:rsidR="004E4360">
        <w:rPr>
          <w:i/>
          <w:iCs/>
          <w:lang w:eastAsia="en-AU"/>
        </w:rPr>
        <w:t>Port Ballidu</w:t>
      </w:r>
      <w:r w:rsidR="004E4360">
        <w:rPr>
          <w:lang w:eastAsia="en-AU"/>
        </w:rPr>
        <w:t xml:space="preserve"> and </w:t>
      </w:r>
      <w:r w:rsidR="004E4360">
        <w:rPr>
          <w:i/>
          <w:iCs/>
          <w:lang w:eastAsia="en-AU"/>
        </w:rPr>
        <w:t>Lewis Securities</w:t>
      </w:r>
      <w:r w:rsidR="004E4360">
        <w:rPr>
          <w:lang w:eastAsia="en-AU"/>
        </w:rPr>
        <w:t>)</w:t>
      </w:r>
      <w:r>
        <w:rPr>
          <w:lang w:eastAsia="en-AU"/>
        </w:rPr>
        <w:t xml:space="preserve"> is clearly likely to require close attention at the final hearing of the present case.</w:t>
      </w:r>
      <w:r w:rsidR="004821D7">
        <w:rPr>
          <w:lang w:eastAsia="en-AU"/>
        </w:rPr>
        <w:t xml:space="preserve"> It does not require determination at present.</w:t>
      </w:r>
      <w:r w:rsidR="00E94009">
        <w:rPr>
          <w:lang w:eastAsia="en-AU"/>
        </w:rPr>
        <w:t xml:space="preserve"> </w:t>
      </w:r>
      <w:r w:rsidR="00E94009">
        <w:rPr>
          <w:i/>
          <w:iCs/>
          <w:lang w:eastAsia="en-AU"/>
        </w:rPr>
        <w:t>Lewis Securities</w:t>
      </w:r>
      <w:r w:rsidR="00E94009">
        <w:rPr>
          <w:lang w:eastAsia="en-AU"/>
        </w:rPr>
        <w:t xml:space="preserve">, like </w:t>
      </w:r>
      <w:proofErr w:type="spellStart"/>
      <w:r w:rsidR="00E94009">
        <w:rPr>
          <w:i/>
          <w:iCs/>
          <w:lang w:eastAsia="en-AU"/>
        </w:rPr>
        <w:t>Auzhair</w:t>
      </w:r>
      <w:proofErr w:type="spellEnd"/>
      <w:r w:rsidR="00E94009">
        <w:rPr>
          <w:lang w:eastAsia="en-AU"/>
        </w:rPr>
        <w:t xml:space="preserve"> and </w:t>
      </w:r>
      <w:r w:rsidR="00357DCD">
        <w:rPr>
          <w:i/>
          <w:iCs/>
          <w:lang w:eastAsia="en-AU"/>
        </w:rPr>
        <w:t>Chang</w:t>
      </w:r>
      <w:r w:rsidR="00357DCD">
        <w:rPr>
          <w:lang w:eastAsia="en-AU"/>
        </w:rPr>
        <w:t xml:space="preserve">, </w:t>
      </w:r>
      <w:r w:rsidR="00F726B6">
        <w:rPr>
          <w:lang w:eastAsia="en-AU"/>
        </w:rPr>
        <w:t xml:space="preserve">appears to have taken as its starting point the unquestioned assumption that </w:t>
      </w:r>
      <w:r w:rsidR="00A4301C">
        <w:rPr>
          <w:lang w:eastAsia="en-AU"/>
        </w:rPr>
        <w:t xml:space="preserve">s 1317K in its direct application </w:t>
      </w:r>
      <w:r w:rsidR="00A94E21">
        <w:rPr>
          <w:lang w:eastAsia="en-AU"/>
        </w:rPr>
        <w:t xml:space="preserve">(as distinct from its application by analogy) </w:t>
      </w:r>
      <w:r w:rsidR="00A4301C">
        <w:rPr>
          <w:lang w:eastAsia="en-AU"/>
        </w:rPr>
        <w:t>imposed a rigid time limit</w:t>
      </w:r>
      <w:r w:rsidR="00A94E21">
        <w:rPr>
          <w:lang w:eastAsia="en-AU"/>
        </w:rPr>
        <w:t>.</w:t>
      </w:r>
      <w:r w:rsidR="00394917">
        <w:rPr>
          <w:lang w:eastAsia="en-AU"/>
        </w:rPr>
        <w:t xml:space="preserve"> None of the </w:t>
      </w:r>
      <w:r w:rsidR="00741D0B">
        <w:rPr>
          <w:lang w:eastAsia="en-AU"/>
        </w:rPr>
        <w:t xml:space="preserve">decisions on claims in </w:t>
      </w:r>
      <w:r w:rsidR="00876593">
        <w:rPr>
          <w:lang w:eastAsia="en-AU"/>
        </w:rPr>
        <w:t>E</w:t>
      </w:r>
      <w:r w:rsidR="00741D0B">
        <w:rPr>
          <w:lang w:eastAsia="en-AU"/>
        </w:rPr>
        <w:t xml:space="preserve">quity </w:t>
      </w:r>
      <w:r w:rsidR="00A6025C">
        <w:rPr>
          <w:lang w:eastAsia="en-AU"/>
        </w:rPr>
        <w:t xml:space="preserve">constitutes binding authority as to the correctness of </w:t>
      </w:r>
      <w:proofErr w:type="spellStart"/>
      <w:r w:rsidR="00A6025C">
        <w:rPr>
          <w:i/>
          <w:iCs/>
          <w:lang w:eastAsia="en-AU"/>
        </w:rPr>
        <w:t>Austructures</w:t>
      </w:r>
      <w:proofErr w:type="spellEnd"/>
      <w:r w:rsidR="00A6025C">
        <w:rPr>
          <w:lang w:eastAsia="en-AU"/>
        </w:rPr>
        <w:t>.</w:t>
      </w:r>
      <w:r w:rsidR="00255D43">
        <w:rPr>
          <w:lang w:eastAsia="en-AU"/>
        </w:rPr>
        <w:t xml:space="preserve"> </w:t>
      </w:r>
      <w:r w:rsidR="00255D43">
        <w:rPr>
          <w:i/>
          <w:iCs/>
          <w:lang w:eastAsia="en-AU"/>
        </w:rPr>
        <w:t>Port Ballidu</w:t>
      </w:r>
      <w:r w:rsidR="00255D43">
        <w:rPr>
          <w:lang w:eastAsia="en-AU"/>
        </w:rPr>
        <w:t xml:space="preserve"> provides </w:t>
      </w:r>
      <w:r w:rsidR="001F7322">
        <w:rPr>
          <w:lang w:eastAsia="en-AU"/>
        </w:rPr>
        <w:t xml:space="preserve">a modicum of support to the </w:t>
      </w:r>
      <w:r w:rsidR="00F45A90">
        <w:rPr>
          <w:lang w:eastAsia="en-AU"/>
        </w:rPr>
        <w:t>respondent’s position in so far as it appears</w:t>
      </w:r>
      <w:r w:rsidR="00835AA6">
        <w:rPr>
          <w:lang w:eastAsia="en-AU"/>
        </w:rPr>
        <w:t xml:space="preserve">, in an observation </w:t>
      </w:r>
      <w:r w:rsidR="00D234F7">
        <w:rPr>
          <w:lang w:eastAsia="en-AU"/>
        </w:rPr>
        <w:t xml:space="preserve">that is strictly </w:t>
      </w:r>
      <w:r w:rsidR="00D234F7">
        <w:rPr>
          <w:i/>
          <w:iCs/>
          <w:lang w:eastAsia="en-AU"/>
        </w:rPr>
        <w:t>obiter</w:t>
      </w:r>
      <w:r w:rsidR="00835AA6">
        <w:rPr>
          <w:lang w:eastAsia="en-AU"/>
        </w:rPr>
        <w:t>,</w:t>
      </w:r>
      <w:r w:rsidR="00D234F7">
        <w:rPr>
          <w:lang w:eastAsia="en-AU"/>
        </w:rPr>
        <w:t xml:space="preserve"> to regard </w:t>
      </w:r>
      <w:proofErr w:type="spellStart"/>
      <w:r w:rsidR="00D45D5A">
        <w:rPr>
          <w:i/>
          <w:iCs/>
          <w:lang w:eastAsia="en-AU"/>
        </w:rPr>
        <w:t>Newtronics</w:t>
      </w:r>
      <w:proofErr w:type="spellEnd"/>
      <w:r w:rsidR="00D45D5A">
        <w:rPr>
          <w:lang w:eastAsia="en-AU"/>
        </w:rPr>
        <w:t xml:space="preserve"> as applicable to the construction of s</w:t>
      </w:r>
      <w:r w:rsidR="00A73AD1">
        <w:rPr>
          <w:lang w:eastAsia="en-AU"/>
        </w:rPr>
        <w:t> </w:t>
      </w:r>
      <w:r w:rsidR="00D45D5A">
        <w:rPr>
          <w:lang w:eastAsia="en-AU"/>
        </w:rPr>
        <w:t>1317K.</w:t>
      </w:r>
    </w:p>
    <w:p w14:paraId="43E6DD43" w14:textId="5D671611" w:rsidR="002215EC" w:rsidRDefault="002215EC" w:rsidP="00A645A0">
      <w:pPr>
        <w:pStyle w:val="Heading2"/>
        <w:rPr>
          <w:lang w:eastAsia="en-AU"/>
        </w:rPr>
      </w:pPr>
      <w:r>
        <w:rPr>
          <w:lang w:eastAsia="en-AU"/>
        </w:rPr>
        <w:t>Conclusion on the construction issue</w:t>
      </w:r>
    </w:p>
    <w:p w14:paraId="4A1E9C02" w14:textId="3B25CA35" w:rsidR="002215EC" w:rsidRPr="00A645A0" w:rsidRDefault="001D6209" w:rsidP="002215EC">
      <w:pPr>
        <w:pStyle w:val="ParaNumbering"/>
        <w:rPr>
          <w:lang w:eastAsia="en-AU"/>
        </w:rPr>
      </w:pPr>
      <w:r w:rsidRPr="00325FDB">
        <w:rPr>
          <w:lang w:eastAsia="en-AU"/>
        </w:rPr>
        <w:t xml:space="preserve">On the present state of the authorities, the claim for statutory compensation cannot succeed at a final hearing unless </w:t>
      </w:r>
      <w:r w:rsidR="000E5928" w:rsidRPr="00325FDB">
        <w:rPr>
          <w:lang w:eastAsia="en-AU"/>
        </w:rPr>
        <w:t>I am persuaded t</w:t>
      </w:r>
      <w:r w:rsidR="000E5928" w:rsidRPr="00325FDB">
        <w:rPr>
          <w:szCs w:val="24"/>
          <w:lang w:eastAsia="en-AU"/>
        </w:rPr>
        <w:t xml:space="preserve">hat the decision in </w:t>
      </w:r>
      <w:proofErr w:type="spellStart"/>
      <w:r w:rsidR="000E5928" w:rsidRPr="00325FDB">
        <w:rPr>
          <w:i/>
          <w:iCs/>
          <w:szCs w:val="24"/>
          <w:lang w:eastAsia="en-AU"/>
        </w:rPr>
        <w:t>Austructures</w:t>
      </w:r>
      <w:proofErr w:type="spellEnd"/>
      <w:r w:rsidR="000E5928" w:rsidRPr="00325FDB">
        <w:rPr>
          <w:szCs w:val="24"/>
          <w:lang w:eastAsia="en-AU"/>
        </w:rPr>
        <w:t xml:space="preserve"> is plainly wrong</w:t>
      </w:r>
      <w:r w:rsidR="00440498" w:rsidRPr="00325FDB">
        <w:rPr>
          <w:szCs w:val="24"/>
          <w:shd w:val="clear" w:color="auto" w:fill="FFFFFF"/>
        </w:rPr>
        <w:t xml:space="preserve"> (see </w:t>
      </w:r>
      <w:proofErr w:type="spellStart"/>
      <w:r w:rsidR="00440498" w:rsidRPr="00325FDB">
        <w:rPr>
          <w:szCs w:val="24"/>
          <w:shd w:val="clear" w:color="auto" w:fill="FFFFFF"/>
        </w:rPr>
        <w:t>eg</w:t>
      </w:r>
      <w:proofErr w:type="spellEnd"/>
      <w:r w:rsidR="00440498" w:rsidRPr="00325FDB">
        <w:rPr>
          <w:szCs w:val="24"/>
          <w:shd w:val="clear" w:color="auto" w:fill="FFFFFF"/>
        </w:rPr>
        <w:t> </w:t>
      </w:r>
      <w:hyperlink r:id="rId20" w:history="1">
        <w:r w:rsidR="00440498" w:rsidRPr="00325FDB">
          <w:rPr>
            <w:i/>
            <w:iCs/>
            <w:szCs w:val="24"/>
            <w:bdr w:val="none" w:sz="0" w:space="0" w:color="auto" w:frame="1"/>
            <w:shd w:val="clear" w:color="auto" w:fill="FFFFFF"/>
          </w:rPr>
          <w:t>Australian Securities and Investments Commission v BHF Solutions Pty Ltd</w:t>
        </w:r>
        <w:r w:rsidR="00440498" w:rsidRPr="00325FDB">
          <w:rPr>
            <w:szCs w:val="24"/>
            <w:bdr w:val="none" w:sz="0" w:space="0" w:color="auto" w:frame="1"/>
            <w:shd w:val="clear" w:color="auto" w:fill="FFFFFF"/>
          </w:rPr>
          <w:t xml:space="preserve"> [2021] FCA 684 at [106] (Halley J)</w:t>
        </w:r>
      </w:hyperlink>
      <w:r w:rsidR="00440498" w:rsidRPr="00325FDB">
        <w:rPr>
          <w:szCs w:val="24"/>
          <w:shd w:val="clear" w:color="auto" w:fill="FFFFFF"/>
        </w:rPr>
        <w:t>)</w:t>
      </w:r>
      <w:r w:rsidR="00806845" w:rsidRPr="00325FDB">
        <w:rPr>
          <w:szCs w:val="24"/>
          <w:shd w:val="clear" w:color="auto" w:fill="FFFFFF"/>
        </w:rPr>
        <w:t>.</w:t>
      </w:r>
      <w:r w:rsidR="009832CC" w:rsidRPr="00325FDB">
        <w:rPr>
          <w:szCs w:val="24"/>
          <w:shd w:val="clear" w:color="auto" w:fill="FFFFFF"/>
        </w:rPr>
        <w:t xml:space="preserve"> For the reasons set out above</w:t>
      </w:r>
      <w:r w:rsidR="00884BC1" w:rsidRPr="00325FDB">
        <w:rPr>
          <w:szCs w:val="24"/>
          <w:shd w:val="clear" w:color="auto" w:fill="FFFFFF"/>
        </w:rPr>
        <w:t xml:space="preserve">, </w:t>
      </w:r>
      <w:r w:rsidR="00585AFB" w:rsidRPr="00325FDB">
        <w:rPr>
          <w:szCs w:val="24"/>
          <w:shd w:val="clear" w:color="auto" w:fill="FFFFFF"/>
        </w:rPr>
        <w:t xml:space="preserve">I consider that the </w:t>
      </w:r>
      <w:r w:rsidR="00FA48DA" w:rsidRPr="00325FDB">
        <w:rPr>
          <w:szCs w:val="24"/>
          <w:shd w:val="clear" w:color="auto" w:fill="FFFFFF"/>
        </w:rPr>
        <w:t xml:space="preserve">conclusion reached in </w:t>
      </w:r>
      <w:proofErr w:type="spellStart"/>
      <w:r w:rsidR="00FA48DA" w:rsidRPr="00325FDB">
        <w:rPr>
          <w:i/>
          <w:iCs/>
          <w:szCs w:val="24"/>
          <w:shd w:val="clear" w:color="auto" w:fill="FFFFFF"/>
        </w:rPr>
        <w:t>Austructures</w:t>
      </w:r>
      <w:proofErr w:type="spellEnd"/>
      <w:r w:rsidR="00FA48DA" w:rsidRPr="00325FDB">
        <w:rPr>
          <w:szCs w:val="24"/>
          <w:shd w:val="clear" w:color="auto" w:fill="FFFFFF"/>
        </w:rPr>
        <w:t xml:space="preserve"> as to the availability of the power in s 1322(4)(d) </w:t>
      </w:r>
      <w:r w:rsidR="00A623B5" w:rsidRPr="00325FDB">
        <w:rPr>
          <w:szCs w:val="24"/>
          <w:shd w:val="clear" w:color="auto" w:fill="FFFFFF"/>
        </w:rPr>
        <w:t xml:space="preserve">is the preferable view. </w:t>
      </w:r>
      <w:proofErr w:type="gramStart"/>
      <w:r w:rsidR="00A623B5" w:rsidRPr="00325FDB">
        <w:rPr>
          <w:szCs w:val="24"/>
          <w:shd w:val="clear" w:color="auto" w:fill="FFFFFF"/>
        </w:rPr>
        <w:t>I</w:t>
      </w:r>
      <w:r w:rsidR="00884BC1" w:rsidRPr="00325FDB">
        <w:rPr>
          <w:szCs w:val="24"/>
          <w:shd w:val="clear" w:color="auto" w:fill="FFFFFF"/>
        </w:rPr>
        <w:t xml:space="preserve">t is clear that </w:t>
      </w:r>
      <w:proofErr w:type="spellStart"/>
      <w:r w:rsidR="00884BC1" w:rsidRPr="00325FDB">
        <w:rPr>
          <w:i/>
          <w:iCs/>
          <w:szCs w:val="24"/>
          <w:shd w:val="clear" w:color="auto" w:fill="FFFFFF"/>
        </w:rPr>
        <w:t>Austructures</w:t>
      </w:r>
      <w:proofErr w:type="spellEnd"/>
      <w:proofErr w:type="gramEnd"/>
      <w:r w:rsidR="00884BC1" w:rsidRPr="00325FDB">
        <w:rPr>
          <w:szCs w:val="24"/>
          <w:shd w:val="clear" w:color="auto" w:fill="FFFFFF"/>
        </w:rPr>
        <w:t xml:space="preserve"> is at least not plainly wrong</w:t>
      </w:r>
      <w:r w:rsidR="003569E7" w:rsidRPr="00325FDB">
        <w:rPr>
          <w:szCs w:val="24"/>
          <w:shd w:val="clear" w:color="auto" w:fill="FFFFFF"/>
        </w:rPr>
        <w:t xml:space="preserve"> and would therefore be followed.</w:t>
      </w:r>
    </w:p>
    <w:p w14:paraId="54E21A31" w14:textId="5BEBD6D3" w:rsidR="00DD3967" w:rsidRPr="00DD3967" w:rsidRDefault="00A645A0" w:rsidP="00DD3967">
      <w:pPr>
        <w:pStyle w:val="Heading1"/>
        <w:rPr>
          <w:lang w:eastAsia="en-AU"/>
        </w:rPr>
      </w:pPr>
      <w:r>
        <w:rPr>
          <w:lang w:eastAsia="en-AU"/>
        </w:rPr>
        <w:lastRenderedPageBreak/>
        <w:t>conclusion on summary dismissal</w:t>
      </w:r>
    </w:p>
    <w:p w14:paraId="06355612" w14:textId="4B10D81D" w:rsidR="006F6D40" w:rsidRDefault="00066525" w:rsidP="006F6D40">
      <w:pPr>
        <w:pStyle w:val="ParaNumbering"/>
        <w:rPr>
          <w:lang w:eastAsia="en-AU"/>
        </w:rPr>
      </w:pPr>
      <w:r>
        <w:rPr>
          <w:lang w:eastAsia="en-AU"/>
        </w:rPr>
        <w:t xml:space="preserve">The conclusion in the previous paragraph </w:t>
      </w:r>
      <w:r w:rsidR="000F3DE4">
        <w:rPr>
          <w:lang w:eastAsia="en-AU"/>
        </w:rPr>
        <w:t>means</w:t>
      </w:r>
      <w:r w:rsidR="006F7460">
        <w:rPr>
          <w:lang w:eastAsia="en-AU"/>
        </w:rPr>
        <w:t xml:space="preserve">, inevitably, that the </w:t>
      </w:r>
      <w:r w:rsidR="00207DE1">
        <w:rPr>
          <w:lang w:eastAsia="en-AU"/>
        </w:rPr>
        <w:t>claim for statutory compensation will fail on the present state of the authorities.</w:t>
      </w:r>
      <w:r w:rsidR="00741704">
        <w:rPr>
          <w:lang w:eastAsia="en-AU"/>
        </w:rPr>
        <w:t xml:space="preserve"> It is preferable that that conclusion be stated now and the issues in the final hearing be </w:t>
      </w:r>
      <w:r w:rsidR="00D70A91">
        <w:rPr>
          <w:lang w:eastAsia="en-AU"/>
        </w:rPr>
        <w:t>correspondingly narrowed.</w:t>
      </w:r>
    </w:p>
    <w:p w14:paraId="0BDADC6D" w14:textId="64603FAC" w:rsidR="00DD3967" w:rsidRDefault="00DD3967" w:rsidP="006F6D40">
      <w:pPr>
        <w:pStyle w:val="ParaNumbering"/>
        <w:rPr>
          <w:lang w:eastAsia="en-AU"/>
        </w:rPr>
      </w:pPr>
      <w:r>
        <w:rPr>
          <w:lang w:eastAsia="en-AU"/>
        </w:rPr>
        <w:t xml:space="preserve">The </w:t>
      </w:r>
      <w:r w:rsidR="008D6042">
        <w:rPr>
          <w:lang w:eastAsia="en-AU"/>
        </w:rPr>
        <w:t xml:space="preserve">originating application will therefore be dismissed in so far as it seeks </w:t>
      </w:r>
      <w:r w:rsidR="00A161FC">
        <w:rPr>
          <w:lang w:eastAsia="en-AU"/>
        </w:rPr>
        <w:t xml:space="preserve">compensation under s 1317H </w:t>
      </w:r>
      <w:r w:rsidR="00F778C7">
        <w:rPr>
          <w:lang w:eastAsia="en-AU"/>
        </w:rPr>
        <w:t>of the Corporations Act.</w:t>
      </w:r>
    </w:p>
    <w:p w14:paraId="3A2D733F" w14:textId="6D1FF14E" w:rsidR="009279FB" w:rsidRDefault="00854A8E" w:rsidP="006F6D40">
      <w:pPr>
        <w:pStyle w:val="ParaNumbering"/>
        <w:rPr>
          <w:lang w:eastAsia="en-AU"/>
        </w:rPr>
      </w:pPr>
      <w:r>
        <w:rPr>
          <w:lang w:eastAsia="en-AU"/>
        </w:rPr>
        <w:t xml:space="preserve">The applicants’ application for leave to amend their pleadings will </w:t>
      </w:r>
      <w:r w:rsidR="00865475">
        <w:rPr>
          <w:lang w:eastAsia="en-AU"/>
        </w:rPr>
        <w:t xml:space="preserve">be dismissed, on the basis that </w:t>
      </w:r>
      <w:r w:rsidR="00A82DDF">
        <w:rPr>
          <w:lang w:eastAsia="en-AU"/>
        </w:rPr>
        <w:t xml:space="preserve">those pleadings require further amendment in the light of </w:t>
      </w:r>
      <w:r w:rsidR="009D1244">
        <w:rPr>
          <w:lang w:eastAsia="en-AU"/>
        </w:rPr>
        <w:t xml:space="preserve">the dismissal of part of the applicants’ claims </w:t>
      </w:r>
      <w:proofErr w:type="gramStart"/>
      <w:r w:rsidR="009D1244">
        <w:rPr>
          <w:lang w:eastAsia="en-AU"/>
        </w:rPr>
        <w:t xml:space="preserve">in order </w:t>
      </w:r>
      <w:r w:rsidR="00C16646">
        <w:rPr>
          <w:lang w:eastAsia="en-AU"/>
        </w:rPr>
        <w:t>for</w:t>
      </w:r>
      <w:proofErr w:type="gramEnd"/>
      <w:r w:rsidR="00C16646">
        <w:rPr>
          <w:lang w:eastAsia="en-AU"/>
        </w:rPr>
        <w:t xml:space="preserve"> their filing to be appropriate. I note th</w:t>
      </w:r>
      <w:r w:rsidR="002F0AB6">
        <w:rPr>
          <w:lang w:eastAsia="en-AU"/>
        </w:rPr>
        <w:t>e</w:t>
      </w:r>
      <w:r w:rsidR="00C16646">
        <w:rPr>
          <w:lang w:eastAsia="en-AU"/>
        </w:rPr>
        <w:t xml:space="preserve"> respondent</w:t>
      </w:r>
      <w:r w:rsidR="00D455C6">
        <w:rPr>
          <w:lang w:eastAsia="en-AU"/>
        </w:rPr>
        <w:t>’s indication, through his counsel, that he otherwise does not oppose the proposed amendments.</w:t>
      </w:r>
    </w:p>
    <w:p w14:paraId="7B1795F7" w14:textId="77777777" w:rsidR="00C822B5" w:rsidRDefault="00C822B5" w:rsidP="00815065">
      <w:pPr>
        <w:pStyle w:val="BodyText"/>
      </w:pPr>
      <w:bookmarkStart w:id="22" w:name="Certification"/>
    </w:p>
    <w:tbl>
      <w:tblPr>
        <w:tblW w:w="0" w:type="auto"/>
        <w:tblLook w:val="04A0" w:firstRow="1" w:lastRow="0" w:firstColumn="1" w:lastColumn="0" w:noHBand="0" w:noVBand="1"/>
      </w:tblPr>
      <w:tblGrid>
        <w:gridCol w:w="3794"/>
      </w:tblGrid>
      <w:tr w:rsidR="00C822B5" w:rsidRPr="00C822B5" w14:paraId="22895431" w14:textId="77777777">
        <w:tc>
          <w:tcPr>
            <w:tcW w:w="3794" w:type="dxa"/>
            <w:shd w:val="clear" w:color="auto" w:fill="auto"/>
          </w:tcPr>
          <w:p w14:paraId="52E1265B" w14:textId="11999740" w:rsidR="00C822B5" w:rsidRPr="00C822B5" w:rsidRDefault="00C822B5" w:rsidP="00C822B5">
            <w:pPr>
              <w:pStyle w:val="Normal1linespace"/>
            </w:pPr>
            <w:r w:rsidRPr="00C822B5">
              <w:t xml:space="preserve">I certify that the preceding </w:t>
            </w:r>
            <w:bookmarkStart w:id="23" w:name="NumberWord"/>
            <w:r>
              <w:t>eighty-four</w:t>
            </w:r>
            <w:bookmarkEnd w:id="23"/>
            <w:r w:rsidRPr="00C822B5">
              <w:t xml:space="preserve"> (</w:t>
            </w:r>
            <w:bookmarkStart w:id="24" w:name="NumberNumeral"/>
            <w:r>
              <w:t>84</w:t>
            </w:r>
            <w:bookmarkEnd w:id="24"/>
            <w:r w:rsidRPr="00C822B5">
              <w:t xml:space="preserve">) numbered </w:t>
            </w:r>
            <w:bookmarkStart w:id="25" w:name="CertPara"/>
            <w:r>
              <w:t>paragraphs are</w:t>
            </w:r>
            <w:bookmarkEnd w:id="25"/>
            <w:r w:rsidRPr="00C822B5">
              <w:t xml:space="preserve"> a true copy of the Reasons for Judgment of </w:t>
            </w:r>
            <w:bookmarkStart w:id="26" w:name="bkHonourable"/>
            <w:r w:rsidRPr="00C822B5">
              <w:t xml:space="preserve">the Honourable </w:t>
            </w:r>
            <w:bookmarkStart w:id="27" w:name="Justice"/>
            <w:bookmarkEnd w:id="26"/>
            <w:r>
              <w:t>Justice Kennett</w:t>
            </w:r>
            <w:bookmarkEnd w:id="27"/>
            <w:r w:rsidRPr="00C822B5">
              <w:t>.</w:t>
            </w:r>
          </w:p>
        </w:tc>
      </w:tr>
    </w:tbl>
    <w:p w14:paraId="096F9B32" w14:textId="77777777" w:rsidR="00C822B5" w:rsidRDefault="00C822B5" w:rsidP="00815065">
      <w:pPr>
        <w:pStyle w:val="BodyText"/>
      </w:pPr>
    </w:p>
    <w:p w14:paraId="19A173E8" w14:textId="77777777" w:rsidR="00C822B5" w:rsidRDefault="00C822B5" w:rsidP="00815065">
      <w:pPr>
        <w:pStyle w:val="BodyText"/>
      </w:pPr>
    </w:p>
    <w:p w14:paraId="61E83B3C" w14:textId="77777777" w:rsidR="00C822B5" w:rsidRDefault="00C822B5" w:rsidP="00815065">
      <w:pPr>
        <w:pStyle w:val="BodyText"/>
      </w:pPr>
    </w:p>
    <w:p w14:paraId="2535503B" w14:textId="77777777" w:rsidR="00C822B5" w:rsidRDefault="00C822B5" w:rsidP="00815065">
      <w:pPr>
        <w:pStyle w:val="BodyText"/>
      </w:pPr>
      <w:r>
        <w:t>Associate:</w:t>
      </w:r>
    </w:p>
    <w:p w14:paraId="09539C56" w14:textId="77777777" w:rsidR="00C822B5" w:rsidRDefault="00C822B5" w:rsidP="00815065">
      <w:pPr>
        <w:pStyle w:val="BodyText"/>
      </w:pPr>
    </w:p>
    <w:p w14:paraId="67A14BDB" w14:textId="4C4C2ABF" w:rsidR="00C822B5" w:rsidRDefault="00C822B5" w:rsidP="00815065">
      <w:pPr>
        <w:pStyle w:val="BodyText"/>
        <w:tabs>
          <w:tab w:val="left" w:pos="1134"/>
        </w:tabs>
      </w:pPr>
      <w:r>
        <w:t>Dated:</w:t>
      </w:r>
      <w:r>
        <w:tab/>
      </w:r>
      <w:bookmarkStart w:id="28" w:name="CertifyDated"/>
      <w:r>
        <w:t>12 April 2024</w:t>
      </w:r>
      <w:bookmarkEnd w:id="28"/>
    </w:p>
    <w:p w14:paraId="31E80EBD" w14:textId="77777777" w:rsidR="00C822B5" w:rsidRDefault="00C822B5" w:rsidP="00815065">
      <w:pPr>
        <w:pStyle w:val="BodyText"/>
      </w:pPr>
    </w:p>
    <w:bookmarkEnd w:id="22"/>
    <w:p w14:paraId="32141A10" w14:textId="483895C7" w:rsidR="004D592F" w:rsidRDefault="004D592F" w:rsidP="00C822B5">
      <w:pPr>
        <w:pStyle w:val="BodyText"/>
        <w:rPr>
          <w:lang w:eastAsia="en-AU"/>
        </w:rPr>
      </w:pPr>
      <w:r>
        <w:rPr>
          <w:lang w:eastAsia="en-AU"/>
        </w:rPr>
        <w:br w:type="page"/>
      </w:r>
    </w:p>
    <w:p w14:paraId="01D7EC47" w14:textId="77777777" w:rsidR="004D592F" w:rsidRPr="00CD498A" w:rsidRDefault="004D592F" w:rsidP="00E91A0F">
      <w:pPr>
        <w:pStyle w:val="NormalHeadings"/>
        <w:spacing w:before="180" w:line="480" w:lineRule="auto"/>
        <w:jc w:val="center"/>
        <w:rPr>
          <w:sz w:val="28"/>
          <w:szCs w:val="28"/>
        </w:rPr>
      </w:pPr>
      <w:bookmarkStart w:id="29" w:name="SOP_Section"/>
      <w:r w:rsidRPr="00CD498A">
        <w:rPr>
          <w:sz w:val="28"/>
          <w:szCs w:val="28"/>
        </w:rPr>
        <w:lastRenderedPageBreak/>
        <w:t>SCHEDULE OF PARTIES</w:t>
      </w:r>
    </w:p>
    <w:p w14:paraId="5390027C" w14:textId="77777777" w:rsidR="004D592F" w:rsidRPr="00663089" w:rsidRDefault="004D592F" w:rsidP="00663089">
      <w:pPr>
        <w:pStyle w:val="BodyText"/>
      </w:pPr>
    </w:p>
    <w:tbl>
      <w:tblPr>
        <w:tblW w:w="9242" w:type="dxa"/>
        <w:tblLayout w:type="fixed"/>
        <w:tblLook w:val="0000" w:firstRow="0" w:lastRow="0" w:firstColumn="0" w:lastColumn="0" w:noHBand="0" w:noVBand="0"/>
        <w:tblCaption w:val="SOP Table"/>
        <w:tblDescription w:val="SOP Table"/>
      </w:tblPr>
      <w:tblGrid>
        <w:gridCol w:w="3368"/>
        <w:gridCol w:w="5874"/>
      </w:tblGrid>
      <w:tr w:rsidR="004D592F" w14:paraId="4596CED3" w14:textId="77777777" w:rsidTr="004D592F">
        <w:tc>
          <w:tcPr>
            <w:tcW w:w="3368" w:type="dxa"/>
          </w:tcPr>
          <w:p w14:paraId="56BC2CB5" w14:textId="77777777" w:rsidR="004D592F" w:rsidRDefault="004D592F" w:rsidP="004F5197">
            <w:pPr>
              <w:pStyle w:val="NormalHeadings"/>
              <w:jc w:val="left"/>
              <w:rPr>
                <w:caps/>
                <w:szCs w:val="24"/>
              </w:rPr>
            </w:pPr>
          </w:p>
        </w:tc>
        <w:tc>
          <w:tcPr>
            <w:tcW w:w="5874" w:type="dxa"/>
          </w:tcPr>
          <w:p w14:paraId="0C0C0E8C" w14:textId="0215C777" w:rsidR="004D592F" w:rsidRPr="00F27C2C" w:rsidRDefault="00F27C2C" w:rsidP="004F5197">
            <w:pPr>
              <w:pStyle w:val="NormalHeadings"/>
              <w:jc w:val="right"/>
            </w:pPr>
            <w:r>
              <w:t>NSD 377 of 2023</w:t>
            </w:r>
          </w:p>
        </w:tc>
      </w:tr>
      <w:tr w:rsidR="004D592F" w14:paraId="24201DAB" w14:textId="77777777" w:rsidTr="004D592F">
        <w:trPr>
          <w:trHeight w:val="386"/>
        </w:trPr>
        <w:tc>
          <w:tcPr>
            <w:tcW w:w="3368" w:type="dxa"/>
          </w:tcPr>
          <w:p w14:paraId="458956CF" w14:textId="1690C5C5" w:rsidR="004D592F" w:rsidRDefault="004D592F" w:rsidP="0087788E">
            <w:pPr>
              <w:pStyle w:val="BodyTextBold"/>
              <w:spacing w:before="180"/>
              <w:jc w:val="left"/>
            </w:pPr>
            <w:bookmarkStart w:id="30" w:name="SOP_ApplicantsRows" w:colFirst="0" w:colLast="1"/>
            <w:r>
              <w:t>Applicants</w:t>
            </w:r>
          </w:p>
        </w:tc>
        <w:tc>
          <w:tcPr>
            <w:tcW w:w="5874" w:type="dxa"/>
            <w:tcMar>
              <w:left w:w="28" w:type="dxa"/>
            </w:tcMar>
          </w:tcPr>
          <w:p w14:paraId="40D41B17" w14:textId="77777777" w:rsidR="004D592F" w:rsidRDefault="004D592F" w:rsidP="0087788E">
            <w:pPr>
              <w:pStyle w:val="BodyText"/>
              <w:jc w:val="left"/>
            </w:pPr>
          </w:p>
        </w:tc>
      </w:tr>
      <w:tr w:rsidR="004D592F" w14:paraId="4F192A6B" w14:textId="77777777" w:rsidTr="004D592F">
        <w:trPr>
          <w:trHeight w:val="386"/>
        </w:trPr>
        <w:tc>
          <w:tcPr>
            <w:tcW w:w="3368" w:type="dxa"/>
          </w:tcPr>
          <w:p w14:paraId="7F1EFA91" w14:textId="2A4538C7" w:rsidR="004D592F" w:rsidRDefault="004D592F" w:rsidP="00F2363B">
            <w:pPr>
              <w:pStyle w:val="BodyText"/>
              <w:spacing w:after="240" w:line="240" w:lineRule="auto"/>
              <w:jc w:val="left"/>
            </w:pPr>
            <w:bookmarkStart w:id="31" w:name="SOP_FirstApplicant"/>
            <w:bookmarkEnd w:id="31"/>
            <w:r>
              <w:t>Fourth Applicant:</w:t>
            </w:r>
          </w:p>
        </w:tc>
        <w:tc>
          <w:tcPr>
            <w:tcW w:w="5874" w:type="dxa"/>
            <w:tcMar>
              <w:left w:w="28" w:type="dxa"/>
            </w:tcMar>
          </w:tcPr>
          <w:p w14:paraId="627F7786" w14:textId="3C9FE6C3" w:rsidR="004D592F" w:rsidRDefault="004D592F" w:rsidP="00F2363B">
            <w:pPr>
              <w:pStyle w:val="BodyText"/>
              <w:spacing w:after="240" w:line="240" w:lineRule="auto"/>
              <w:jc w:val="left"/>
            </w:pPr>
            <w:r>
              <w:t>RAWBIN FINANCES PTY LTD (IN LIQ) (ACN 140 576 549)</w:t>
            </w:r>
          </w:p>
        </w:tc>
      </w:tr>
      <w:tr w:rsidR="004D592F" w14:paraId="150E4D3C" w14:textId="77777777" w:rsidTr="004D592F">
        <w:trPr>
          <w:trHeight w:val="386"/>
        </w:trPr>
        <w:tc>
          <w:tcPr>
            <w:tcW w:w="3368" w:type="dxa"/>
          </w:tcPr>
          <w:p w14:paraId="7BB310C7" w14:textId="60B5B2E3" w:rsidR="004D592F" w:rsidRDefault="004D592F" w:rsidP="00F2363B">
            <w:pPr>
              <w:pStyle w:val="BodyText"/>
              <w:spacing w:after="240" w:line="240" w:lineRule="auto"/>
              <w:jc w:val="left"/>
            </w:pPr>
            <w:r>
              <w:t>Fifth Applicant:</w:t>
            </w:r>
          </w:p>
        </w:tc>
        <w:tc>
          <w:tcPr>
            <w:tcW w:w="5874" w:type="dxa"/>
            <w:tcMar>
              <w:left w:w="28" w:type="dxa"/>
            </w:tcMar>
          </w:tcPr>
          <w:p w14:paraId="1F9793D0" w14:textId="359CA23B" w:rsidR="004D592F" w:rsidRDefault="004D592F" w:rsidP="00F2363B">
            <w:pPr>
              <w:pStyle w:val="BodyText"/>
              <w:spacing w:after="240" w:line="240" w:lineRule="auto"/>
              <w:jc w:val="left"/>
            </w:pPr>
            <w:r>
              <w:t>MARBIN FINANCES PTY LTD (IN LIQ) (ACN 140 572 970)</w:t>
            </w:r>
          </w:p>
        </w:tc>
      </w:tr>
      <w:tr w:rsidR="004D592F" w14:paraId="4099DAD8" w14:textId="77777777" w:rsidTr="004D592F">
        <w:trPr>
          <w:trHeight w:val="386"/>
        </w:trPr>
        <w:tc>
          <w:tcPr>
            <w:tcW w:w="3368" w:type="dxa"/>
          </w:tcPr>
          <w:p w14:paraId="22273B48" w14:textId="696D6D4D" w:rsidR="004D592F" w:rsidRDefault="004D592F" w:rsidP="00F2363B">
            <w:pPr>
              <w:pStyle w:val="BodyText"/>
              <w:spacing w:after="240" w:line="240" w:lineRule="auto"/>
              <w:jc w:val="left"/>
            </w:pPr>
            <w:r>
              <w:t>Sixth Applicant:</w:t>
            </w:r>
          </w:p>
        </w:tc>
        <w:tc>
          <w:tcPr>
            <w:tcW w:w="5874" w:type="dxa"/>
            <w:tcMar>
              <w:left w:w="28" w:type="dxa"/>
            </w:tcMar>
          </w:tcPr>
          <w:p w14:paraId="561A0E0D" w14:textId="26072533" w:rsidR="004D592F" w:rsidRDefault="004D592F" w:rsidP="00F2363B">
            <w:pPr>
              <w:pStyle w:val="BodyText"/>
              <w:spacing w:after="240" w:line="240" w:lineRule="auto"/>
              <w:jc w:val="left"/>
            </w:pPr>
            <w:r>
              <w:t>GEROBIN FINANCES PTY LTD (IN LIQ) (ACN 140 586 410)</w:t>
            </w:r>
          </w:p>
        </w:tc>
      </w:tr>
      <w:bookmarkEnd w:id="30"/>
    </w:tbl>
    <w:p w14:paraId="3198EF3D" w14:textId="77777777" w:rsidR="004D592F" w:rsidRDefault="004D592F" w:rsidP="002B0E91">
      <w:pPr>
        <w:pStyle w:val="BodyText"/>
      </w:pPr>
    </w:p>
    <w:bookmarkEnd w:id="29"/>
    <w:p w14:paraId="3DD6D573" w14:textId="77777777" w:rsidR="004D592F" w:rsidRPr="006F6D40" w:rsidRDefault="004D592F" w:rsidP="004D592F">
      <w:pPr>
        <w:pStyle w:val="BodyText"/>
        <w:rPr>
          <w:lang w:eastAsia="en-AU"/>
        </w:rPr>
      </w:pPr>
    </w:p>
    <w:sectPr w:rsidR="004D592F" w:rsidRPr="006F6D40" w:rsidSect="000E1924">
      <w:headerReference w:type="even" r:id="rId21"/>
      <w:headerReference w:type="default" r:id="rId22"/>
      <w:footerReference w:type="default" r:id="rId23"/>
      <w:headerReference w:type="first" r:id="rId24"/>
      <w:footerReference w:type="first" r:id="rId25"/>
      <w:endnotePr>
        <w:numFmt w:val="decimal"/>
      </w:endnotePr>
      <w:pgSz w:w="11907" w:h="16840" w:code="9"/>
      <w:pgMar w:top="1440" w:right="1440" w:bottom="1440" w:left="1440" w:header="851" w:footer="851"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77A9A9" w14:textId="77777777" w:rsidR="000C1BB5" w:rsidRDefault="000C1BB5">
      <w:pPr>
        <w:spacing w:line="20" w:lineRule="exact"/>
      </w:pPr>
    </w:p>
    <w:p w14:paraId="02B4868C" w14:textId="77777777" w:rsidR="000C1BB5" w:rsidRDefault="000C1BB5"/>
    <w:p w14:paraId="629A6DA4" w14:textId="77777777" w:rsidR="000C1BB5" w:rsidRDefault="000C1BB5"/>
  </w:endnote>
  <w:endnote w:type="continuationSeparator" w:id="0">
    <w:p w14:paraId="4AE62E25" w14:textId="77777777" w:rsidR="000C1BB5" w:rsidRDefault="000C1BB5">
      <w:r>
        <w:t xml:space="preserve"> </w:t>
      </w:r>
    </w:p>
    <w:p w14:paraId="7B85106A" w14:textId="77777777" w:rsidR="000C1BB5" w:rsidRDefault="000C1BB5"/>
    <w:p w14:paraId="3AD39D95" w14:textId="77777777" w:rsidR="000C1BB5" w:rsidRDefault="000C1BB5"/>
  </w:endnote>
  <w:endnote w:type="continuationNotice" w:id="1">
    <w:p w14:paraId="3B38767A" w14:textId="77777777" w:rsidR="000C1BB5" w:rsidRDefault="000C1BB5">
      <w:r>
        <w:t xml:space="preserve"> </w:t>
      </w:r>
    </w:p>
    <w:p w14:paraId="0025F9DF" w14:textId="77777777" w:rsidR="000C1BB5" w:rsidRDefault="000C1BB5"/>
    <w:p w14:paraId="4BEF816E" w14:textId="77777777" w:rsidR="000C1BB5" w:rsidRDefault="000C1B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¹ÙÅÁ"/>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TimesNewRoman,Italic">
    <w:altName w:val="Times New Roman"/>
    <w:panose1 w:val="00000000000000000000"/>
    <w:charset w:val="00"/>
    <w:family w:val="auto"/>
    <w:notTrueType/>
    <w:pitch w:val="default"/>
    <w:sig w:usb0="00000003" w:usb1="00000000" w:usb2="00000000" w:usb3="00000000" w:csb0="00000001" w:csb1="00000000"/>
  </w:font>
  <w:font w:name="TimesNewRomanPS-ItalicMT">
    <w:altName w:val="Times New Roman"/>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TimesNewRoman,BoldItalic">
    <w:altName w:val="Times New Roman"/>
    <w:panose1 w:val="00000000000000000000"/>
    <w:charset w:val="00"/>
    <w:family w:val="roman"/>
    <w:notTrueType/>
    <w:pitch w:val="default"/>
    <w:sig w:usb0="00000003" w:usb1="00000000" w:usb2="00000000" w:usb3="00000000" w:csb0="00000001" w:csb1="00000000"/>
  </w:font>
  <w:font w:name="Times-Italic">
    <w:altName w:val="Times New Roman"/>
    <w:panose1 w:val="00000000000000000000"/>
    <w:charset w:val="00"/>
    <w:family w:val="auto"/>
    <w:notTrueType/>
    <w:pitch w:val="default"/>
    <w:sig w:usb0="00000003" w:usb1="00000000" w:usb2="00000000" w:usb3="00000000" w:csb0="00000001" w:csb1="00000000"/>
  </w:font>
  <w:font w:name="Source Sans Pro">
    <w:charset w:val="00"/>
    <w:family w:val="swiss"/>
    <w:pitch w:val="variable"/>
    <w:sig w:usb0="600002F7" w:usb1="02000001" w:usb2="00000000" w:usb3="00000000" w:csb0="0000019F" w:csb1="00000000"/>
  </w:font>
  <w:font w:name="Times-Roma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CE458" w14:textId="77777777" w:rsidR="00C822B5" w:rsidRDefault="00C822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17A67" w14:textId="4B4A5D08" w:rsidR="00A436E8" w:rsidRPr="00C47B9D" w:rsidRDefault="00A436E8"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rPr>
      <mc:AlternateContent>
        <mc:Choice Requires="wps">
          <w:drawing>
            <wp:anchor distT="0" distB="0" distL="114300" distR="114300" simplePos="0" relativeHeight="251658240" behindDoc="0" locked="0" layoutInCell="1" allowOverlap="1" wp14:anchorId="7540614E" wp14:editId="41E1F089">
              <wp:simplePos x="0" y="0"/>
              <wp:positionH relativeFrom="column">
                <wp:posOffset>-28575</wp:posOffset>
              </wp:positionH>
              <wp:positionV relativeFrom="paragraph">
                <wp:posOffset>-635</wp:posOffset>
              </wp:positionV>
              <wp:extent cx="294322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3B8C69C" id="Straight Connector 5"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25pt,-.05pt" to="22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" strokecolor="black [3213]"/>
          </w:pict>
        </mc:Fallback>
      </mc:AlternateContent>
    </w:r>
    <w:sdt>
      <w:sdtPr>
        <w:rPr>
          <w:bCs/>
          <w:sz w:val="18"/>
          <w:szCs w:val="18"/>
        </w:rPr>
        <w:tag w:val="MNC"/>
        <w:id w:val="1707292070"/>
        <w:dataBinding w:prefixMappings="xmlns:ns0='http://schemas.globalmacros.com/FCA'" w:xpath="/ns0:root[1]/ns0:Name[1]" w:storeItemID="{687E7CCB-4AA5-44E7-B148-17BA2B6F57C0}"/>
        <w:text w:multiLine="1"/>
      </w:sdtPr>
      <w:sdtEndPr/>
      <w:sdtContent>
        <w:proofErr w:type="spellStart"/>
        <w:r w:rsidR="008409C4">
          <w:rPr>
            <w:bCs/>
            <w:sz w:val="18"/>
            <w:szCs w:val="18"/>
          </w:rPr>
          <w:t>Binqld</w:t>
        </w:r>
        <w:proofErr w:type="spellEnd"/>
        <w:r w:rsidR="008409C4">
          <w:rPr>
            <w:bCs/>
            <w:sz w:val="18"/>
            <w:szCs w:val="18"/>
          </w:rPr>
          <w:t xml:space="preserve"> Finances Pty Ltd (in </w:t>
        </w:r>
        <w:proofErr w:type="spellStart"/>
        <w:r w:rsidR="008409C4">
          <w:rPr>
            <w:bCs/>
            <w:sz w:val="18"/>
            <w:szCs w:val="18"/>
          </w:rPr>
          <w:t>liq</w:t>
        </w:r>
        <w:proofErr w:type="spellEnd"/>
        <w:r w:rsidR="008409C4">
          <w:rPr>
            <w:bCs/>
            <w:sz w:val="18"/>
            <w:szCs w:val="18"/>
          </w:rPr>
          <w:t xml:space="preserve">) v Binetter [2024] FCA 361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63520" w14:textId="37408539" w:rsidR="00395B24" w:rsidRPr="00C822B5" w:rsidRDefault="00395B24" w:rsidP="00C822B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C6BC5" w14:textId="6CAD4B55" w:rsidR="00A84FD0" w:rsidRPr="00C47B9D" w:rsidRDefault="00A84FD0" w:rsidP="00E94CBF">
    <w:pPr>
      <w:pStyle w:val="Footer"/>
      <w:tabs>
        <w:tab w:val="clear" w:pos="4320"/>
        <w:tab w:val="clear" w:pos="8640"/>
        <w:tab w:val="right" w:pos="8931"/>
      </w:tabs>
      <w:spacing w:before="180" w:line="240" w:lineRule="auto"/>
      <w:jc w:val="left"/>
      <w:rPr>
        <w:bCs/>
        <w:sz w:val="18"/>
        <w:szCs w:val="18"/>
      </w:rPr>
    </w:pPr>
    <w:r w:rsidRPr="00F76A9B">
      <w:rPr>
        <w:bCs/>
        <w:noProof/>
        <w:sz w:val="18"/>
        <w:szCs w:val="18"/>
      </w:rPr>
      <mc:AlternateContent>
        <mc:Choice Requires="wps">
          <w:drawing>
            <wp:anchor distT="0" distB="0" distL="114300" distR="114300" simplePos="0" relativeHeight="251658242" behindDoc="0" locked="0" layoutInCell="1" allowOverlap="1" wp14:anchorId="13D593B6" wp14:editId="03905BBA">
              <wp:simplePos x="0" y="0"/>
              <wp:positionH relativeFrom="column">
                <wp:posOffset>-28575</wp:posOffset>
              </wp:positionH>
              <wp:positionV relativeFrom="paragraph">
                <wp:posOffset>21590</wp:posOffset>
              </wp:positionV>
              <wp:extent cx="294322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5ADA9BB" id="Straight Connector 6" o:spid="_x0000_s1026" style="position:absolute;z-index:251658242;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" strokecolor="black [3213]"/>
          </w:pict>
        </mc:Fallback>
      </mc:AlternateContent>
    </w:r>
    <w:sdt>
      <w:sdtPr>
        <w:rPr>
          <w:bCs/>
          <w:sz w:val="18"/>
          <w:szCs w:val="18"/>
        </w:rPr>
        <w:tag w:val="MNC"/>
        <w:id w:val="-831216538"/>
        <w:placeholder>
          <w:docPart w:val="8DA38845B5C8496BBCC9A51B366832AC"/>
        </w:placeholder>
        <w:dataBinding w:prefixMappings="xmlns:ns0='http://schemas.globalmacros.com/FCA'" w:xpath="/ns0:root[1]/ns0:Name[1]" w:storeItemID="{687E7CCB-4AA5-44E7-B148-17BA2B6F57C0}"/>
        <w:text w:multiLine="1"/>
      </w:sdtPr>
      <w:sdtEndPr/>
      <w:sdtContent>
        <w:proofErr w:type="spellStart"/>
        <w:r w:rsidR="008409C4">
          <w:rPr>
            <w:bCs/>
            <w:sz w:val="18"/>
            <w:szCs w:val="18"/>
          </w:rPr>
          <w:t>Binqld</w:t>
        </w:r>
        <w:proofErr w:type="spellEnd"/>
        <w:r w:rsidR="008409C4">
          <w:rPr>
            <w:bCs/>
            <w:sz w:val="18"/>
            <w:szCs w:val="18"/>
          </w:rPr>
          <w:t xml:space="preserve"> Finances Pty Ltd (in </w:t>
        </w:r>
        <w:proofErr w:type="spellStart"/>
        <w:r w:rsidR="008409C4">
          <w:rPr>
            <w:bCs/>
            <w:sz w:val="18"/>
            <w:szCs w:val="18"/>
          </w:rPr>
          <w:t>liq</w:t>
        </w:r>
        <w:proofErr w:type="spellEnd"/>
        <w:r w:rsidR="008409C4">
          <w:rPr>
            <w:bCs/>
            <w:sz w:val="18"/>
            <w:szCs w:val="18"/>
          </w:rPr>
          <w:t xml:space="preserve">) v Binetter [2024] FCA 361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Pr>
        <w:bCs/>
        <w:sz w:val="20"/>
      </w:rPr>
      <w:t>ii</w:t>
    </w:r>
    <w:r w:rsidRPr="00EA7F6D">
      <w:rPr>
        <w:bCs/>
        <w:noProof/>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59F1F" w14:textId="7B7CAAB0" w:rsidR="00A436E8" w:rsidRPr="00C47B9D" w:rsidRDefault="00A436E8"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rPr>
      <mc:AlternateContent>
        <mc:Choice Requires="wps">
          <w:drawing>
            <wp:anchor distT="0" distB="0" distL="114300" distR="114300" simplePos="0" relativeHeight="251658241" behindDoc="0" locked="0" layoutInCell="1" allowOverlap="1" wp14:anchorId="541BA14C" wp14:editId="4307B953">
              <wp:simplePos x="0" y="0"/>
              <wp:positionH relativeFrom="column">
                <wp:posOffset>-28575</wp:posOffset>
              </wp:positionH>
              <wp:positionV relativeFrom="paragraph">
                <wp:posOffset>21590</wp:posOffset>
              </wp:positionV>
              <wp:extent cx="294322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6870C41" id="Straight Connector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" strokecolor="black [3213]"/>
          </w:pict>
        </mc:Fallback>
      </mc:AlternateContent>
    </w:r>
    <w:sdt>
      <w:sdtPr>
        <w:rPr>
          <w:bCs/>
          <w:sz w:val="18"/>
          <w:szCs w:val="18"/>
        </w:rPr>
        <w:tag w:val="MNC"/>
        <w:id w:val="510263260"/>
        <w:placeholder>
          <w:docPart w:val="2C29BB113BCA420BBBCBE240D3D4AA0E"/>
        </w:placeholder>
        <w:dataBinding w:prefixMappings="xmlns:ns0='http://schemas.globalmacros.com/FCA'" w:xpath="/ns0:root[1]/ns0:Name[1]" w:storeItemID="{687E7CCB-4AA5-44E7-B148-17BA2B6F57C0}"/>
        <w:text w:multiLine="1"/>
      </w:sdtPr>
      <w:sdtEndPr/>
      <w:sdtContent>
        <w:proofErr w:type="spellStart"/>
        <w:r w:rsidR="008409C4">
          <w:rPr>
            <w:bCs/>
            <w:sz w:val="18"/>
            <w:szCs w:val="18"/>
          </w:rPr>
          <w:t>Binqld</w:t>
        </w:r>
        <w:proofErr w:type="spellEnd"/>
        <w:r w:rsidR="008409C4">
          <w:rPr>
            <w:bCs/>
            <w:sz w:val="18"/>
            <w:szCs w:val="18"/>
          </w:rPr>
          <w:t xml:space="preserve"> Finances Pty Ltd (in </w:t>
        </w:r>
        <w:proofErr w:type="spellStart"/>
        <w:r w:rsidR="008409C4">
          <w:rPr>
            <w:bCs/>
            <w:sz w:val="18"/>
            <w:szCs w:val="18"/>
          </w:rPr>
          <w:t>liq</w:t>
        </w:r>
        <w:proofErr w:type="spellEnd"/>
        <w:r w:rsidR="008409C4">
          <w:rPr>
            <w:bCs/>
            <w:sz w:val="18"/>
            <w:szCs w:val="18"/>
          </w:rPr>
          <w:t xml:space="preserve">) v Binetter [2024] FCA 361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Pr>
        <w:bCs/>
        <w:sz w:val="20"/>
      </w:rPr>
      <w:t>i</w:t>
    </w:r>
    <w:r w:rsidRPr="00EA7F6D">
      <w:rPr>
        <w:bCs/>
        <w:noProof/>
        <w:sz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AFCC9" w14:textId="2403BC69" w:rsidR="00A84FD0" w:rsidRPr="00C47B9D" w:rsidRDefault="00A84FD0"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rPr>
      <mc:AlternateContent>
        <mc:Choice Requires="wps">
          <w:drawing>
            <wp:anchor distT="0" distB="0" distL="114300" distR="114300" simplePos="0" relativeHeight="251658244" behindDoc="0" locked="0" layoutInCell="1" allowOverlap="1" wp14:anchorId="1A5D8164" wp14:editId="1039A3CF">
              <wp:simplePos x="0" y="0"/>
              <wp:positionH relativeFrom="column">
                <wp:posOffset>-28575</wp:posOffset>
              </wp:positionH>
              <wp:positionV relativeFrom="paragraph">
                <wp:posOffset>21590</wp:posOffset>
              </wp:positionV>
              <wp:extent cx="2943225"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D75FA08" id="Straight Connector 7" o:spid="_x0000_s1026" style="position:absolute;z-index:251658244;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" strokecolor="black [3213]"/>
          </w:pict>
        </mc:Fallback>
      </mc:AlternateContent>
    </w:r>
    <w:sdt>
      <w:sdtPr>
        <w:rPr>
          <w:bCs/>
          <w:sz w:val="18"/>
          <w:szCs w:val="18"/>
        </w:rPr>
        <w:tag w:val="MNC"/>
        <w:id w:val="1095746746"/>
        <w:placeholder>
          <w:docPart w:val="DA671643AF484BEDB08EA8248A45EBC2"/>
        </w:placeholder>
        <w:dataBinding w:prefixMappings="xmlns:ns0='http://schemas.globalmacros.com/FCA'" w:xpath="/ns0:root[1]/ns0:Name[1]" w:storeItemID="{687E7CCB-4AA5-44E7-B148-17BA2B6F57C0}"/>
        <w:text w:multiLine="1"/>
      </w:sdtPr>
      <w:sdtEndPr/>
      <w:sdtContent>
        <w:proofErr w:type="spellStart"/>
        <w:r w:rsidR="008409C4">
          <w:rPr>
            <w:bCs/>
            <w:sz w:val="18"/>
            <w:szCs w:val="18"/>
          </w:rPr>
          <w:t>Binqld</w:t>
        </w:r>
        <w:proofErr w:type="spellEnd"/>
        <w:r w:rsidR="008409C4">
          <w:rPr>
            <w:bCs/>
            <w:sz w:val="18"/>
            <w:szCs w:val="18"/>
          </w:rPr>
          <w:t xml:space="preserve"> Finances Pty Ltd (in </w:t>
        </w:r>
        <w:proofErr w:type="spellStart"/>
        <w:r w:rsidR="008409C4">
          <w:rPr>
            <w:bCs/>
            <w:sz w:val="18"/>
            <w:szCs w:val="18"/>
          </w:rPr>
          <w:t>liq</w:t>
        </w:r>
        <w:proofErr w:type="spellEnd"/>
        <w:r w:rsidR="008409C4">
          <w:rPr>
            <w:bCs/>
            <w:sz w:val="18"/>
            <w:szCs w:val="18"/>
          </w:rPr>
          <w:t xml:space="preserve">) v Binetter [2024] FCA 361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Pr>
        <w:bCs/>
        <w:sz w:val="20"/>
      </w:rPr>
      <w:t>2</w:t>
    </w:r>
    <w:r w:rsidRPr="00EA7F6D">
      <w:rPr>
        <w:bCs/>
        <w:noProof/>
        <w:sz w:val="2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8E10A" w14:textId="7EEED7E8" w:rsidR="00A84FD0" w:rsidRPr="00C47B9D" w:rsidRDefault="00A84FD0"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rPr>
      <mc:AlternateContent>
        <mc:Choice Requires="wps">
          <w:drawing>
            <wp:anchor distT="0" distB="0" distL="114300" distR="114300" simplePos="0" relativeHeight="251658243" behindDoc="0" locked="0" layoutInCell="1" allowOverlap="1" wp14:anchorId="0E4E04CF" wp14:editId="621B2D0C">
              <wp:simplePos x="0" y="0"/>
              <wp:positionH relativeFrom="column">
                <wp:posOffset>-28575</wp:posOffset>
              </wp:positionH>
              <wp:positionV relativeFrom="paragraph">
                <wp:posOffset>21590</wp:posOffset>
              </wp:positionV>
              <wp:extent cx="29432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F411C94" id="Straight Connector 3" o:spid="_x0000_s1026" style="position:absolute;z-index:251658243;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" strokecolor="black [3213]"/>
          </w:pict>
        </mc:Fallback>
      </mc:AlternateContent>
    </w:r>
    <w:sdt>
      <w:sdtPr>
        <w:rPr>
          <w:bCs/>
          <w:sz w:val="18"/>
          <w:szCs w:val="18"/>
        </w:rPr>
        <w:tag w:val="MNC"/>
        <w:id w:val="-1532949365"/>
        <w:placeholder>
          <w:docPart w:val="E274216109AD465A9B93A6CA8368F89C"/>
        </w:placeholder>
        <w:dataBinding w:prefixMappings="xmlns:ns0='http://schemas.globalmacros.com/FCA'" w:xpath="/ns0:root[1]/ns0:Name[1]" w:storeItemID="{687E7CCB-4AA5-44E7-B148-17BA2B6F57C0}"/>
        <w:text w:multiLine="1"/>
      </w:sdtPr>
      <w:sdtEndPr/>
      <w:sdtContent>
        <w:proofErr w:type="spellStart"/>
        <w:r w:rsidR="008409C4">
          <w:rPr>
            <w:bCs/>
            <w:sz w:val="18"/>
            <w:szCs w:val="18"/>
          </w:rPr>
          <w:t>Binqld</w:t>
        </w:r>
        <w:proofErr w:type="spellEnd"/>
        <w:r w:rsidR="008409C4">
          <w:rPr>
            <w:bCs/>
            <w:sz w:val="18"/>
            <w:szCs w:val="18"/>
          </w:rPr>
          <w:t xml:space="preserve"> Finances Pty Ltd (in </w:t>
        </w:r>
        <w:proofErr w:type="spellStart"/>
        <w:r w:rsidR="008409C4">
          <w:rPr>
            <w:bCs/>
            <w:sz w:val="18"/>
            <w:szCs w:val="18"/>
          </w:rPr>
          <w:t>liq</w:t>
        </w:r>
        <w:proofErr w:type="spellEnd"/>
        <w:r w:rsidR="008409C4">
          <w:rPr>
            <w:bCs/>
            <w:sz w:val="18"/>
            <w:szCs w:val="18"/>
          </w:rPr>
          <w:t xml:space="preserve">) v Binetter [2024] FCA 361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Pr>
        <w:bCs/>
        <w:sz w:val="20"/>
      </w:rPr>
      <w:t>1</w:t>
    </w:r>
    <w:r w:rsidRPr="00EA7F6D">
      <w:rPr>
        <w:bCs/>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08EE53" w14:textId="77777777" w:rsidR="000C1BB5" w:rsidRDefault="000C1BB5"/>
  </w:footnote>
  <w:footnote w:type="continuationSeparator" w:id="0">
    <w:p w14:paraId="4E3978BB" w14:textId="77777777" w:rsidR="000C1BB5" w:rsidRDefault="000C1BB5">
      <w:r>
        <w:continuationSeparator/>
      </w:r>
    </w:p>
    <w:p w14:paraId="0DD98809" w14:textId="77777777" w:rsidR="000C1BB5" w:rsidRDefault="000C1BB5"/>
    <w:p w14:paraId="6D447C89" w14:textId="77777777" w:rsidR="000C1BB5" w:rsidRDefault="000C1BB5"/>
  </w:footnote>
  <w:footnote w:type="continuationNotice" w:id="1">
    <w:p w14:paraId="4CE13E9E" w14:textId="77777777" w:rsidR="000C1BB5" w:rsidRDefault="000C1BB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28B09" w14:textId="77777777" w:rsidR="00C822B5" w:rsidRDefault="00C822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FF644" w14:textId="77777777" w:rsidR="00C822B5" w:rsidRDefault="00C822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7ADBA" w14:textId="77777777" w:rsidR="00C822B5" w:rsidRDefault="00C822B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754EC" w14:textId="77777777" w:rsidR="00395B24" w:rsidRDefault="00395B24">
    <w:pPr>
      <w:tabs>
        <w:tab w:val="center" w:pos="4512"/>
      </w:tabs>
      <w:suppressAutoHyphen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E64DD" w14:textId="77777777" w:rsidR="00395B24" w:rsidRDefault="00395B24">
    <w:pPr>
      <w:pStyle w:val="Header"/>
      <w:tabs>
        <w:tab w:val="clear" w:pos="4320"/>
        <w:tab w:val="clear" w:pos="8640"/>
      </w:tabs>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760B9" w14:textId="77777777" w:rsidR="00395B24" w:rsidRDefault="00395B24"/>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8CC9B" w14:textId="77777777" w:rsidR="00395B24" w:rsidRDefault="00395B24">
    <w:pPr>
      <w:tabs>
        <w:tab w:val="center" w:pos="4512"/>
      </w:tabs>
      <w:suppressAutoHyphens/>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F3506" w14:textId="77777777" w:rsidR="00395B24" w:rsidRDefault="00395B24" w:rsidP="00A436E8">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23ACBC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04AF16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63689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B22946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8E2E98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26AA5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D947F0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C5AED4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5EC11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6DC146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9E2A2F"/>
    <w:multiLevelType w:val="multilevel"/>
    <w:tmpl w:val="F61AF490"/>
    <w:styleLink w:val="FCListNoalt"/>
    <w:lvl w:ilvl="0">
      <w:start w:val="1"/>
      <w:numFmt w:val="lowerLetter"/>
      <w:lvlRestart w:val="0"/>
      <w:pStyle w:val="ListNo1alt"/>
      <w:lvlText w:val="(%1)"/>
      <w:lvlJc w:val="left"/>
      <w:pPr>
        <w:tabs>
          <w:tab w:val="num" w:pos="720"/>
        </w:tabs>
        <w:ind w:left="720" w:hanging="720"/>
      </w:pPr>
      <w:rPr>
        <w:rFonts w:ascii="Times New Roman" w:hAnsi="Times New Roman" w:hint="default"/>
      </w:rPr>
    </w:lvl>
    <w:lvl w:ilvl="1">
      <w:start w:val="1"/>
      <w:numFmt w:val="lowerRoman"/>
      <w:pStyle w:val="ListNo2alt"/>
      <w:lvlText w:val="(%2)"/>
      <w:lvlJc w:val="left"/>
      <w:pPr>
        <w:tabs>
          <w:tab w:val="num" w:pos="1440"/>
        </w:tabs>
        <w:ind w:left="1440" w:hanging="720"/>
      </w:pPr>
      <w:rPr>
        <w:rFonts w:hint="default"/>
      </w:rPr>
    </w:lvl>
    <w:lvl w:ilvl="2">
      <w:start w:val="1"/>
      <w:numFmt w:val="upperLetter"/>
      <w:pStyle w:val="ListNo3alt"/>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1" w15:restartNumberingAfterBreak="0">
    <w:nsid w:val="0B9B7C7A"/>
    <w:multiLevelType w:val="hybridMultilevel"/>
    <w:tmpl w:val="0D8E828C"/>
    <w:lvl w:ilvl="0" w:tplc="E5462CDA">
      <w:start w:val="1"/>
      <w:numFmt w:val="bullet"/>
      <w:pStyle w:val="Quote2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2" w15:restartNumberingAfterBreak="0">
    <w:nsid w:val="168F28D0"/>
    <w:multiLevelType w:val="multilevel"/>
    <w:tmpl w:val="D26E5E56"/>
    <w:lvl w:ilvl="0">
      <w:start w:val="1"/>
      <w:numFmt w:val="bullet"/>
      <w:pStyle w:val="FCBullets"/>
      <w:lvlText w:val=""/>
      <w:lvlJc w:val="left"/>
      <w:pPr>
        <w:tabs>
          <w:tab w:val="num" w:pos="720"/>
        </w:tabs>
        <w:ind w:left="720" w:hanging="720"/>
      </w:pPr>
      <w:rPr>
        <w:rFonts w:ascii="Symbol" w:hAnsi="Symbol" w:hint="default"/>
      </w:rPr>
    </w:lvl>
    <w:lvl w:ilvl="1">
      <w:start w:val="1"/>
      <w:numFmt w:val="bullet"/>
      <w:pStyle w:val="FCBullets2"/>
      <w:lvlText w:val=""/>
      <w:lvlJc w:val="left"/>
      <w:pPr>
        <w:tabs>
          <w:tab w:val="num" w:pos="1440"/>
        </w:tabs>
        <w:ind w:left="1440" w:hanging="720"/>
      </w:pPr>
      <w:rPr>
        <w:rFonts w:ascii="Symbol" w:hAnsi="Symbol" w:hint="default"/>
        <w:sz w:val="24"/>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3" w15:restartNumberingAfterBreak="0">
    <w:nsid w:val="1C1468D3"/>
    <w:multiLevelType w:val="multilevel"/>
    <w:tmpl w:val="0F0EC90E"/>
    <w:styleLink w:val="FCListNo"/>
    <w:lvl w:ilvl="0">
      <w:start w:val="1"/>
      <w:numFmt w:val="decimal"/>
      <w:lvlRestart w:val="0"/>
      <w:pStyle w:val="ListNo1"/>
      <w:lvlText w:val="(%1)"/>
      <w:lvlJc w:val="left"/>
      <w:pPr>
        <w:tabs>
          <w:tab w:val="num" w:pos="720"/>
        </w:tabs>
        <w:ind w:left="720" w:hanging="720"/>
      </w:pPr>
      <w:rPr>
        <w:rFonts w:ascii="Times New Roman" w:hAnsi="Times New Roman" w:hint="default"/>
      </w:rPr>
    </w:lvl>
    <w:lvl w:ilvl="1">
      <w:start w:val="1"/>
      <w:numFmt w:val="lowerLetter"/>
      <w:pStyle w:val="ListNo2"/>
      <w:lvlText w:val="(%2)"/>
      <w:lvlJc w:val="left"/>
      <w:pPr>
        <w:tabs>
          <w:tab w:val="num" w:pos="1440"/>
        </w:tabs>
        <w:ind w:left="1440" w:hanging="720"/>
      </w:pPr>
      <w:rPr>
        <w:rFonts w:hint="default"/>
      </w:rPr>
    </w:lvl>
    <w:lvl w:ilvl="2">
      <w:start w:val="1"/>
      <w:numFmt w:val="lowerRoman"/>
      <w:pStyle w:val="ListNo3"/>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4" w15:restartNumberingAfterBreak="0">
    <w:nsid w:val="29AE3DD1"/>
    <w:multiLevelType w:val="singleLevel"/>
    <w:tmpl w:val="5C92B9B0"/>
    <w:lvl w:ilvl="0">
      <w:start w:val="1"/>
      <w:numFmt w:val="decimal"/>
      <w:lvlRestart w:val="0"/>
      <w:pStyle w:val="ParaNumbering"/>
      <w:lvlText w:val="%1"/>
      <w:lvlJc w:val="left"/>
      <w:pPr>
        <w:tabs>
          <w:tab w:val="num" w:pos="720"/>
        </w:tabs>
        <w:ind w:left="0" w:hanging="720"/>
      </w:pPr>
      <w:rPr>
        <w:rFonts w:hint="default"/>
        <w:sz w:val="20"/>
      </w:rPr>
    </w:lvl>
  </w:abstractNum>
  <w:abstractNum w:abstractNumId="15" w15:restartNumberingAfterBreak="0">
    <w:nsid w:val="2AD4345C"/>
    <w:multiLevelType w:val="multilevel"/>
    <w:tmpl w:val="A1C8FFD0"/>
    <w:styleLink w:val="FCOrders"/>
    <w:lvl w:ilvl="0">
      <w:start w:val="1"/>
      <w:numFmt w:val="decimal"/>
      <w:pStyle w:val="Order1"/>
      <w:lvlText w:val="%1."/>
      <w:lvlJc w:val="left"/>
      <w:pPr>
        <w:tabs>
          <w:tab w:val="num" w:pos="720"/>
        </w:tabs>
        <w:ind w:left="720" w:hanging="720"/>
      </w:pPr>
      <w:rPr>
        <w:rFonts w:ascii="Times New Roman" w:hAnsi="Times New Roman" w:hint="default"/>
        <w:sz w:val="24"/>
      </w:rPr>
    </w:lvl>
    <w:lvl w:ilvl="1">
      <w:start w:val="1"/>
      <w:numFmt w:val="lowerLetter"/>
      <w:pStyle w:val="Order2"/>
      <w:lvlText w:val="(%2)"/>
      <w:lvlJc w:val="left"/>
      <w:pPr>
        <w:tabs>
          <w:tab w:val="num" w:pos="1440"/>
        </w:tabs>
        <w:ind w:left="1440" w:hanging="720"/>
      </w:pPr>
      <w:rPr>
        <w:rFonts w:hint="default"/>
      </w:rPr>
    </w:lvl>
    <w:lvl w:ilvl="2">
      <w:start w:val="1"/>
      <w:numFmt w:val="lowerRoman"/>
      <w:pStyle w:val="Order3"/>
      <w:lvlText w:val="(%3)"/>
      <w:lvlJc w:val="left"/>
      <w:pPr>
        <w:tabs>
          <w:tab w:val="num" w:pos="1440"/>
        </w:tabs>
        <w:ind w:left="2160" w:hanging="720"/>
      </w:pPr>
      <w:rPr>
        <w:rFonts w:hint="default"/>
      </w:rPr>
    </w:lvl>
    <w:lvl w:ilvl="3">
      <w:start w:val="1"/>
      <w:numFmt w:val="upperLetter"/>
      <w:pStyle w:val="Order4"/>
      <w:lvlText w:val="%4."/>
      <w:lvlJc w:val="left"/>
      <w:pPr>
        <w:tabs>
          <w:tab w:val="num" w:pos="2160"/>
        </w:tabs>
        <w:ind w:left="2880" w:hanging="720"/>
      </w:pPr>
      <w:rPr>
        <w:rFonts w:hint="default"/>
      </w:rPr>
    </w:lvl>
    <w:lvl w:ilvl="4">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6" w15:restartNumberingAfterBreak="0">
    <w:nsid w:val="2AF11FCB"/>
    <w:multiLevelType w:val="hybridMultilevel"/>
    <w:tmpl w:val="94A6534E"/>
    <w:lvl w:ilvl="0" w:tplc="31029F3C">
      <w:start w:val="1"/>
      <w:numFmt w:val="bullet"/>
      <w:pStyle w:val="Quote4Bullet"/>
      <w:lvlText w:val=""/>
      <w:lvlJc w:val="left"/>
      <w:pPr>
        <w:ind w:left="3600" w:hanging="360"/>
      </w:pPr>
      <w:rPr>
        <w:rFonts w:ascii="Symbol" w:hAnsi="Symbol" w:hint="default"/>
        <w:sz w:val="16"/>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17" w15:restartNumberingAfterBreak="0">
    <w:nsid w:val="32D95B3D"/>
    <w:multiLevelType w:val="multilevel"/>
    <w:tmpl w:val="253A8338"/>
    <w:styleLink w:val="FCNotes"/>
    <w:lvl w:ilvl="0">
      <w:start w:val="1"/>
      <w:numFmt w:val="upperLetter"/>
      <w:pStyle w:val="Notes"/>
      <w:lvlText w:val="%1."/>
      <w:lvlJc w:val="left"/>
      <w:pPr>
        <w:tabs>
          <w:tab w:val="num" w:pos="720"/>
        </w:tabs>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33561E2E"/>
    <w:multiLevelType w:val="hybridMultilevel"/>
    <w:tmpl w:val="433821BE"/>
    <w:lvl w:ilvl="0" w:tplc="DE3AD0E2">
      <w:start w:val="1"/>
      <w:numFmt w:val="bullet"/>
      <w:pStyle w:val="Quote3Bullet"/>
      <w:lvlText w:val=""/>
      <w:lvlJc w:val="left"/>
      <w:pPr>
        <w:ind w:left="2880" w:hanging="360"/>
      </w:pPr>
      <w:rPr>
        <w:rFonts w:ascii="Wingdings" w:hAnsi="Wingdings" w:hint="default"/>
      </w:rPr>
    </w:lvl>
    <w:lvl w:ilvl="1" w:tplc="0C090003">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19" w15:restartNumberingAfterBreak="0">
    <w:nsid w:val="494817A7"/>
    <w:multiLevelType w:val="multilevel"/>
    <w:tmpl w:val="0F0EC90E"/>
    <w:numStyleLink w:val="FCListNo"/>
  </w:abstractNum>
  <w:abstractNum w:abstractNumId="20" w15:restartNumberingAfterBreak="0">
    <w:nsid w:val="49B30D2B"/>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A736C9D"/>
    <w:multiLevelType w:val="multilevel"/>
    <w:tmpl w:val="0C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2" w15:restartNumberingAfterBreak="0">
    <w:nsid w:val="668713D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3" w15:restartNumberingAfterBreak="0">
    <w:nsid w:val="6F9B6398"/>
    <w:multiLevelType w:val="hybridMultilevel"/>
    <w:tmpl w:val="0E4CBD92"/>
    <w:lvl w:ilvl="0" w:tplc="907C4790">
      <w:start w:val="1"/>
      <w:numFmt w:val="bullet"/>
      <w:pStyle w:val="Quote1Bullet"/>
      <w:lvlText w:val=""/>
      <w:lvlJc w:val="left"/>
      <w:pPr>
        <w:ind w:left="1457" w:hanging="360"/>
      </w:pPr>
      <w:rPr>
        <w:rFonts w:ascii="Wingdings" w:hAnsi="Wingdings"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24" w15:restartNumberingAfterBreak="0">
    <w:nsid w:val="7D0861FF"/>
    <w:multiLevelType w:val="multilevel"/>
    <w:tmpl w:val="1BC46E94"/>
    <w:lvl w:ilvl="0">
      <w:start w:val="1"/>
      <w:numFmt w:val="decimal"/>
      <w:lvlRestart w:val="0"/>
      <w:pStyle w:val="fcHeading1"/>
      <w:lvlText w:val="%1."/>
      <w:lvlJc w:val="left"/>
      <w:pPr>
        <w:tabs>
          <w:tab w:val="num" w:pos="1134"/>
        </w:tabs>
        <w:ind w:left="1134" w:hanging="1134"/>
      </w:pPr>
      <w:rPr>
        <w:rFonts w:hint="default"/>
      </w:rPr>
    </w:lvl>
    <w:lvl w:ilvl="1">
      <w:start w:val="1"/>
      <w:numFmt w:val="decimal"/>
      <w:pStyle w:val="fcHeading2"/>
      <w:lvlText w:val="%1.%2"/>
      <w:lvlJc w:val="left"/>
      <w:pPr>
        <w:tabs>
          <w:tab w:val="num" w:pos="1134"/>
        </w:tabs>
        <w:ind w:left="1134" w:hanging="1134"/>
      </w:pPr>
      <w:rPr>
        <w:rFonts w:hint="default"/>
      </w:rPr>
    </w:lvl>
    <w:lvl w:ilvl="2">
      <w:start w:val="1"/>
      <w:numFmt w:val="decimal"/>
      <w:pStyle w:val="fcHeading3"/>
      <w:lvlText w:val="%1.%2.%3"/>
      <w:lvlJc w:val="left"/>
      <w:pPr>
        <w:tabs>
          <w:tab w:val="num" w:pos="1134"/>
        </w:tabs>
        <w:ind w:left="1134" w:hanging="1134"/>
      </w:pPr>
      <w:rPr>
        <w:rFonts w:hint="default"/>
      </w:rPr>
    </w:lvl>
    <w:lvl w:ilvl="3">
      <w:start w:val="1"/>
      <w:numFmt w:val="decimal"/>
      <w:pStyle w:val="fcHeading4"/>
      <w:lvlText w:val="%1.%2.%3.%4"/>
      <w:lvlJc w:val="left"/>
      <w:pPr>
        <w:tabs>
          <w:tab w:val="num" w:pos="1134"/>
        </w:tabs>
        <w:ind w:left="1134" w:hanging="1134"/>
      </w:pPr>
      <w:rPr>
        <w:rFonts w:hint="default"/>
      </w:rPr>
    </w:lvl>
    <w:lvl w:ilvl="4">
      <w:start w:val="1"/>
      <w:numFmt w:val="decimal"/>
      <w:pStyle w:val="fcHeading5"/>
      <w:lvlText w:val="%1.%2.%3.%4.%5"/>
      <w:lvlJc w:val="left"/>
      <w:pPr>
        <w:tabs>
          <w:tab w:val="num" w:pos="1134"/>
        </w:tabs>
        <w:ind w:left="1134" w:hanging="113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num w:numId="1" w16cid:durableId="817763697">
    <w:abstractNumId w:val="14"/>
  </w:num>
  <w:num w:numId="2" w16cid:durableId="608466051">
    <w:abstractNumId w:val="9"/>
  </w:num>
  <w:num w:numId="3" w16cid:durableId="679163545">
    <w:abstractNumId w:val="7"/>
  </w:num>
  <w:num w:numId="4" w16cid:durableId="654841958">
    <w:abstractNumId w:val="6"/>
  </w:num>
  <w:num w:numId="5" w16cid:durableId="1079055847">
    <w:abstractNumId w:val="5"/>
  </w:num>
  <w:num w:numId="6" w16cid:durableId="61997380">
    <w:abstractNumId w:val="4"/>
  </w:num>
  <w:num w:numId="7" w16cid:durableId="301426974">
    <w:abstractNumId w:val="8"/>
  </w:num>
  <w:num w:numId="8" w16cid:durableId="1358773506">
    <w:abstractNumId w:val="3"/>
  </w:num>
  <w:num w:numId="9" w16cid:durableId="1630238587">
    <w:abstractNumId w:val="2"/>
  </w:num>
  <w:num w:numId="10" w16cid:durableId="639848024">
    <w:abstractNumId w:val="1"/>
  </w:num>
  <w:num w:numId="11" w16cid:durableId="1204249366">
    <w:abstractNumId w:val="0"/>
  </w:num>
  <w:num w:numId="12" w16cid:durableId="560092220">
    <w:abstractNumId w:val="22"/>
  </w:num>
  <w:num w:numId="13" w16cid:durableId="209852031">
    <w:abstractNumId w:val="20"/>
  </w:num>
  <w:num w:numId="14" w16cid:durableId="1909609103">
    <w:abstractNumId w:val="21"/>
  </w:num>
  <w:num w:numId="15" w16cid:durableId="1942571167">
    <w:abstractNumId w:val="24"/>
  </w:num>
  <w:num w:numId="16" w16cid:durableId="1299604038">
    <w:abstractNumId w:val="13"/>
  </w:num>
  <w:num w:numId="17" w16cid:durableId="517740974">
    <w:abstractNumId w:val="23"/>
  </w:num>
  <w:num w:numId="18" w16cid:durableId="1421681570">
    <w:abstractNumId w:val="11"/>
  </w:num>
  <w:num w:numId="19" w16cid:durableId="519976596">
    <w:abstractNumId w:val="18"/>
  </w:num>
  <w:num w:numId="20" w16cid:durableId="503522099">
    <w:abstractNumId w:val="15"/>
  </w:num>
  <w:num w:numId="21" w16cid:durableId="385572856">
    <w:abstractNumId w:val="16"/>
  </w:num>
  <w:num w:numId="22" w16cid:durableId="1415543433">
    <w:abstractNumId w:val="19"/>
  </w:num>
  <w:num w:numId="23" w16cid:durableId="184487573">
    <w:abstractNumId w:val="10"/>
  </w:num>
  <w:num w:numId="24" w16cid:durableId="887109007">
    <w:abstractNumId w:val="10"/>
  </w:num>
  <w:num w:numId="25" w16cid:durableId="1984457150">
    <w:abstractNumId w:val="12"/>
  </w:num>
  <w:num w:numId="26" w16cid:durableId="2146308245">
    <w:abstractNumId w:val="17"/>
  </w:num>
  <w:num w:numId="27" w16cid:durableId="564873401">
    <w:abstractNumId w:val="17"/>
  </w:num>
  <w:num w:numId="28" w16cid:durableId="1592280521">
    <w:abstractNumId w:val="17"/>
  </w:num>
  <w:num w:numId="29" w16cid:durableId="700933164">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711227961">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86885537">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21916510">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06765803">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80729995">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11237975">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16893560">
    <w:abstractNumId w:val="15"/>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AU"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en-AU" w:vendorID="8" w:dllVersion="513"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PAndAnother" w:val="False"/>
    <w:docVar w:name="APPAndOthers" w:val="True"/>
    <w:docVar w:name="Applicant" w:val="Binqld Finances Pty Ltd (in liq) (ACN 119 243 220)|Ligon 268 Pty Ltd (in liq) (ACN 051 824 081)|Erbin finances pty ltd (in liq) (ACN 138 259 800)|Rawbin Finances Pty Ltd (in liq) (ACN 140 576 549)|Marbin Finances Pty Ltd (in liq) (ACN 140 572 970)|Gerobin Finances Pty Ltd (in liq) (ACN 140 586 410)"/>
    <w:docVar w:name="CounselParties" w:val="Applicant"/>
    <w:docVar w:name="CounselType" w:val="Counsel for the "/>
    <w:docVar w:name="Court" w:val="Federal Court of Australia (FCA)"/>
    <w:docVar w:name="Cross1AndAnother" w:val="True"/>
    <w:docVar w:name="Cross1AndOthers" w:val="False"/>
    <w:docVar w:name="Cross2AndAnother" w:val="True"/>
    <w:docVar w:name="Cross2AndOthers" w:val="False"/>
    <w:docVar w:name="Defenders" w:val="(and another named in the Schedule)"/>
    <w:docVar w:name="dgnword-docGUID" w:val="{D976EC00-38E8-4066-A44D-FB6F952356E2}"/>
    <w:docVar w:name="dgnword-eventsink" w:val="2467197167600"/>
    <w:docVar w:name="Division" w:val="FCA General Division"/>
    <w:docVar w:name="DocCreated" w:val="True"/>
    <w:docVar w:name="FileNumbers" w:val="NSD 377 of 2023"/>
    <w:docVar w:name="Initiators" w:val="(and another named in the Schedule)"/>
    <w:docVar w:name="Judgdate" w:val="12 April 2024"/>
    <w:docVar w:name="Judge" w:val="Kennett"/>
    <w:docVar w:name="JudgeType" w:val="Justice"/>
    <w:docVar w:name="lstEntryList" w:val="-1"/>
    <w:docVar w:name="NSD" w:val="NSD "/>
    <w:docVar w:name="NumApps" w:val="6"/>
    <w:docVar w:name="NumApps_" w:val="6"/>
    <w:docVar w:name="NumCrossResps" w:val="0"/>
    <w:docVar w:name="NumDefs" w:val="1"/>
    <w:docVar w:name="NumOthers" w:val="0"/>
    <w:docVar w:name="OtherNum" w:val="0"/>
    <w:docVar w:name="Parties1" w:val="Applicant"/>
    <w:docVar w:name="Parties2" w:val="Respondent"/>
    <w:docVar w:name="Parties3" w:val="Cross-Appellant"/>
    <w:docVar w:name="Parties4" w:val="Cross-Defendant"/>
    <w:docVar w:name="Parties5" w:val="Intervener"/>
    <w:docVar w:name="Place" w:val="N/A FCA"/>
    <w:docVar w:name="PracticeArea" w:val="Commercial and Corporations"/>
    <w:docVar w:name="RESAndAnother" w:val="True"/>
    <w:docVar w:name="RESAndOthers" w:val="False"/>
    <w:docVar w:name="Respondent" w:val="Steven Binetter"/>
    <w:docVar w:name="ResState" w:val="New South Wales"/>
    <w:docVar w:name="SubArea" w:val="Corporations and Corporate Insolvency (C &amp; C)"/>
  </w:docVars>
  <w:rsids>
    <w:rsidRoot w:val="000948C9"/>
    <w:rsid w:val="00000747"/>
    <w:rsid w:val="00000942"/>
    <w:rsid w:val="00002446"/>
    <w:rsid w:val="00003921"/>
    <w:rsid w:val="000061A8"/>
    <w:rsid w:val="0000746B"/>
    <w:rsid w:val="00007573"/>
    <w:rsid w:val="000115C5"/>
    <w:rsid w:val="00014092"/>
    <w:rsid w:val="0001469E"/>
    <w:rsid w:val="00015993"/>
    <w:rsid w:val="00015B09"/>
    <w:rsid w:val="00021BEA"/>
    <w:rsid w:val="00021CCB"/>
    <w:rsid w:val="00022289"/>
    <w:rsid w:val="00022DE1"/>
    <w:rsid w:val="000237E9"/>
    <w:rsid w:val="00026E8F"/>
    <w:rsid w:val="000272D8"/>
    <w:rsid w:val="00027398"/>
    <w:rsid w:val="00027CA8"/>
    <w:rsid w:val="00030254"/>
    <w:rsid w:val="0003201A"/>
    <w:rsid w:val="0003207A"/>
    <w:rsid w:val="00032F9F"/>
    <w:rsid w:val="00034A5F"/>
    <w:rsid w:val="00034DC6"/>
    <w:rsid w:val="000373FB"/>
    <w:rsid w:val="00041C07"/>
    <w:rsid w:val="00043662"/>
    <w:rsid w:val="00045BB7"/>
    <w:rsid w:val="00047955"/>
    <w:rsid w:val="00050E89"/>
    <w:rsid w:val="0005410D"/>
    <w:rsid w:val="00055719"/>
    <w:rsid w:val="0005641B"/>
    <w:rsid w:val="00060695"/>
    <w:rsid w:val="0006196A"/>
    <w:rsid w:val="00061DFC"/>
    <w:rsid w:val="00064008"/>
    <w:rsid w:val="00064D5B"/>
    <w:rsid w:val="000650F0"/>
    <w:rsid w:val="00066525"/>
    <w:rsid w:val="00066E9E"/>
    <w:rsid w:val="0006711B"/>
    <w:rsid w:val="00067A9C"/>
    <w:rsid w:val="00071D61"/>
    <w:rsid w:val="00071FB3"/>
    <w:rsid w:val="000725CB"/>
    <w:rsid w:val="00077768"/>
    <w:rsid w:val="00081497"/>
    <w:rsid w:val="00082A5F"/>
    <w:rsid w:val="000831EC"/>
    <w:rsid w:val="00084126"/>
    <w:rsid w:val="00084530"/>
    <w:rsid w:val="00085255"/>
    <w:rsid w:val="00090B91"/>
    <w:rsid w:val="00092BB7"/>
    <w:rsid w:val="00093A1C"/>
    <w:rsid w:val="000948C9"/>
    <w:rsid w:val="00094F2D"/>
    <w:rsid w:val="0009648E"/>
    <w:rsid w:val="00096AE7"/>
    <w:rsid w:val="000A291F"/>
    <w:rsid w:val="000A2D3B"/>
    <w:rsid w:val="000A2E19"/>
    <w:rsid w:val="000A2E76"/>
    <w:rsid w:val="000A4807"/>
    <w:rsid w:val="000A4BE4"/>
    <w:rsid w:val="000A5FFA"/>
    <w:rsid w:val="000B2518"/>
    <w:rsid w:val="000B36BB"/>
    <w:rsid w:val="000B5F50"/>
    <w:rsid w:val="000B6512"/>
    <w:rsid w:val="000C023E"/>
    <w:rsid w:val="000C1BB5"/>
    <w:rsid w:val="000C1D30"/>
    <w:rsid w:val="000C405D"/>
    <w:rsid w:val="000C5195"/>
    <w:rsid w:val="000C62EF"/>
    <w:rsid w:val="000C6CE8"/>
    <w:rsid w:val="000D2137"/>
    <w:rsid w:val="000D3FD2"/>
    <w:rsid w:val="000D4B2E"/>
    <w:rsid w:val="000D5E67"/>
    <w:rsid w:val="000D6424"/>
    <w:rsid w:val="000E1924"/>
    <w:rsid w:val="000E1C16"/>
    <w:rsid w:val="000E3FC8"/>
    <w:rsid w:val="000E5928"/>
    <w:rsid w:val="000E63F2"/>
    <w:rsid w:val="000E7BAE"/>
    <w:rsid w:val="000F133D"/>
    <w:rsid w:val="000F3DE4"/>
    <w:rsid w:val="000F4CD6"/>
    <w:rsid w:val="000F5776"/>
    <w:rsid w:val="000F78D9"/>
    <w:rsid w:val="000F7B4C"/>
    <w:rsid w:val="0010329F"/>
    <w:rsid w:val="00103B49"/>
    <w:rsid w:val="0010536B"/>
    <w:rsid w:val="0011145C"/>
    <w:rsid w:val="001119EB"/>
    <w:rsid w:val="001128BD"/>
    <w:rsid w:val="0011419D"/>
    <w:rsid w:val="00114351"/>
    <w:rsid w:val="001148A9"/>
    <w:rsid w:val="00114A4C"/>
    <w:rsid w:val="00114B02"/>
    <w:rsid w:val="00121C8C"/>
    <w:rsid w:val="001226C0"/>
    <w:rsid w:val="00124783"/>
    <w:rsid w:val="00124EBE"/>
    <w:rsid w:val="0012634D"/>
    <w:rsid w:val="00126EC8"/>
    <w:rsid w:val="0012731C"/>
    <w:rsid w:val="00132054"/>
    <w:rsid w:val="00134964"/>
    <w:rsid w:val="001351B9"/>
    <w:rsid w:val="0013641B"/>
    <w:rsid w:val="0014136D"/>
    <w:rsid w:val="001433BC"/>
    <w:rsid w:val="00143F4C"/>
    <w:rsid w:val="001459FE"/>
    <w:rsid w:val="00146CBA"/>
    <w:rsid w:val="00150565"/>
    <w:rsid w:val="00151913"/>
    <w:rsid w:val="00152392"/>
    <w:rsid w:val="001524FE"/>
    <w:rsid w:val="00153468"/>
    <w:rsid w:val="00153B94"/>
    <w:rsid w:val="00154081"/>
    <w:rsid w:val="00155CD2"/>
    <w:rsid w:val="0015685F"/>
    <w:rsid w:val="00156EF7"/>
    <w:rsid w:val="00157572"/>
    <w:rsid w:val="00157C0B"/>
    <w:rsid w:val="001607B7"/>
    <w:rsid w:val="00162767"/>
    <w:rsid w:val="0016689A"/>
    <w:rsid w:val="00167B21"/>
    <w:rsid w:val="00170811"/>
    <w:rsid w:val="00170E79"/>
    <w:rsid w:val="001727A4"/>
    <w:rsid w:val="0017376C"/>
    <w:rsid w:val="001738AB"/>
    <w:rsid w:val="00175ACC"/>
    <w:rsid w:val="00175DDE"/>
    <w:rsid w:val="001765E0"/>
    <w:rsid w:val="00177759"/>
    <w:rsid w:val="00180673"/>
    <w:rsid w:val="00180BB3"/>
    <w:rsid w:val="001834FA"/>
    <w:rsid w:val="00183FA2"/>
    <w:rsid w:val="00184460"/>
    <w:rsid w:val="00185DD6"/>
    <w:rsid w:val="00185E6B"/>
    <w:rsid w:val="00187BBC"/>
    <w:rsid w:val="001932F3"/>
    <w:rsid w:val="00195F53"/>
    <w:rsid w:val="001A0073"/>
    <w:rsid w:val="001A025E"/>
    <w:rsid w:val="001A2138"/>
    <w:rsid w:val="001A2622"/>
    <w:rsid w:val="001A2B40"/>
    <w:rsid w:val="001A4309"/>
    <w:rsid w:val="001A46AE"/>
    <w:rsid w:val="001A48BD"/>
    <w:rsid w:val="001A519A"/>
    <w:rsid w:val="001A64A1"/>
    <w:rsid w:val="001A6C52"/>
    <w:rsid w:val="001A7E66"/>
    <w:rsid w:val="001B1053"/>
    <w:rsid w:val="001B14AC"/>
    <w:rsid w:val="001B2975"/>
    <w:rsid w:val="001B59A9"/>
    <w:rsid w:val="001B5B7F"/>
    <w:rsid w:val="001B61A4"/>
    <w:rsid w:val="001B62ED"/>
    <w:rsid w:val="001B7940"/>
    <w:rsid w:val="001C028B"/>
    <w:rsid w:val="001C171A"/>
    <w:rsid w:val="001C2A6A"/>
    <w:rsid w:val="001C2FE0"/>
    <w:rsid w:val="001C37CA"/>
    <w:rsid w:val="001C4085"/>
    <w:rsid w:val="001C48E1"/>
    <w:rsid w:val="001C5ADE"/>
    <w:rsid w:val="001C6BCA"/>
    <w:rsid w:val="001C6D0C"/>
    <w:rsid w:val="001C7FAC"/>
    <w:rsid w:val="001D1784"/>
    <w:rsid w:val="001D1B13"/>
    <w:rsid w:val="001D4303"/>
    <w:rsid w:val="001D6209"/>
    <w:rsid w:val="001D63AE"/>
    <w:rsid w:val="001D6563"/>
    <w:rsid w:val="001D6746"/>
    <w:rsid w:val="001D79C6"/>
    <w:rsid w:val="001E0C61"/>
    <w:rsid w:val="001E3B49"/>
    <w:rsid w:val="001E4A05"/>
    <w:rsid w:val="001E6A19"/>
    <w:rsid w:val="001E7388"/>
    <w:rsid w:val="001E78FE"/>
    <w:rsid w:val="001F13DD"/>
    <w:rsid w:val="001F1478"/>
    <w:rsid w:val="001F2473"/>
    <w:rsid w:val="001F2AF0"/>
    <w:rsid w:val="001F2DBC"/>
    <w:rsid w:val="001F4E2F"/>
    <w:rsid w:val="001F7322"/>
    <w:rsid w:val="001F73E8"/>
    <w:rsid w:val="0020008E"/>
    <w:rsid w:val="00200F4E"/>
    <w:rsid w:val="0020262C"/>
    <w:rsid w:val="00202723"/>
    <w:rsid w:val="00203486"/>
    <w:rsid w:val="002064F6"/>
    <w:rsid w:val="00207448"/>
    <w:rsid w:val="00207DE1"/>
    <w:rsid w:val="00210A90"/>
    <w:rsid w:val="00211A3E"/>
    <w:rsid w:val="00213F20"/>
    <w:rsid w:val="00214055"/>
    <w:rsid w:val="00215BCA"/>
    <w:rsid w:val="002160F5"/>
    <w:rsid w:val="00217AC4"/>
    <w:rsid w:val="00220675"/>
    <w:rsid w:val="00221461"/>
    <w:rsid w:val="002215EC"/>
    <w:rsid w:val="002222FC"/>
    <w:rsid w:val="002229B1"/>
    <w:rsid w:val="00224537"/>
    <w:rsid w:val="00226BA5"/>
    <w:rsid w:val="00230345"/>
    <w:rsid w:val="0023166C"/>
    <w:rsid w:val="00232B6A"/>
    <w:rsid w:val="002350DE"/>
    <w:rsid w:val="00235956"/>
    <w:rsid w:val="002377FF"/>
    <w:rsid w:val="00241B5D"/>
    <w:rsid w:val="0024330E"/>
    <w:rsid w:val="00243E5E"/>
    <w:rsid w:val="002467A6"/>
    <w:rsid w:val="00246F49"/>
    <w:rsid w:val="00247959"/>
    <w:rsid w:val="00247C9A"/>
    <w:rsid w:val="002507B7"/>
    <w:rsid w:val="0025098A"/>
    <w:rsid w:val="0025160C"/>
    <w:rsid w:val="00251B26"/>
    <w:rsid w:val="002530AD"/>
    <w:rsid w:val="002535D0"/>
    <w:rsid w:val="002539B3"/>
    <w:rsid w:val="002540FF"/>
    <w:rsid w:val="0025472E"/>
    <w:rsid w:val="00255D43"/>
    <w:rsid w:val="00256336"/>
    <w:rsid w:val="00257C3E"/>
    <w:rsid w:val="002602C2"/>
    <w:rsid w:val="002612F9"/>
    <w:rsid w:val="002626BA"/>
    <w:rsid w:val="00265826"/>
    <w:rsid w:val="002662C9"/>
    <w:rsid w:val="002666C9"/>
    <w:rsid w:val="00270136"/>
    <w:rsid w:val="00270FD7"/>
    <w:rsid w:val="00272FB8"/>
    <w:rsid w:val="00274F5B"/>
    <w:rsid w:val="00280836"/>
    <w:rsid w:val="00282E1A"/>
    <w:rsid w:val="002840F1"/>
    <w:rsid w:val="00285922"/>
    <w:rsid w:val="00286AF8"/>
    <w:rsid w:val="00287CC1"/>
    <w:rsid w:val="0029113B"/>
    <w:rsid w:val="00291E74"/>
    <w:rsid w:val="002934C0"/>
    <w:rsid w:val="00293E1F"/>
    <w:rsid w:val="00294A07"/>
    <w:rsid w:val="0029591D"/>
    <w:rsid w:val="00296CF2"/>
    <w:rsid w:val="00296D81"/>
    <w:rsid w:val="0029764C"/>
    <w:rsid w:val="002A1B50"/>
    <w:rsid w:val="002A26F7"/>
    <w:rsid w:val="002A3A7C"/>
    <w:rsid w:val="002A5295"/>
    <w:rsid w:val="002A5DD5"/>
    <w:rsid w:val="002A761F"/>
    <w:rsid w:val="002A7A99"/>
    <w:rsid w:val="002B0E91"/>
    <w:rsid w:val="002B132C"/>
    <w:rsid w:val="002B2843"/>
    <w:rsid w:val="002B3797"/>
    <w:rsid w:val="002B3EFA"/>
    <w:rsid w:val="002B3F23"/>
    <w:rsid w:val="002B4EB5"/>
    <w:rsid w:val="002B5AF5"/>
    <w:rsid w:val="002B5D1C"/>
    <w:rsid w:val="002B6779"/>
    <w:rsid w:val="002B71C0"/>
    <w:rsid w:val="002B7497"/>
    <w:rsid w:val="002B7A34"/>
    <w:rsid w:val="002C0209"/>
    <w:rsid w:val="002C1E5C"/>
    <w:rsid w:val="002C31AD"/>
    <w:rsid w:val="002C31DC"/>
    <w:rsid w:val="002C3B64"/>
    <w:rsid w:val="002C7385"/>
    <w:rsid w:val="002D086F"/>
    <w:rsid w:val="002D28C4"/>
    <w:rsid w:val="002D2DBB"/>
    <w:rsid w:val="002D34A6"/>
    <w:rsid w:val="002D37D8"/>
    <w:rsid w:val="002D46B9"/>
    <w:rsid w:val="002D54A6"/>
    <w:rsid w:val="002D59B4"/>
    <w:rsid w:val="002E1800"/>
    <w:rsid w:val="002E3779"/>
    <w:rsid w:val="002E58AA"/>
    <w:rsid w:val="002E5BF9"/>
    <w:rsid w:val="002E6A7A"/>
    <w:rsid w:val="002E72AC"/>
    <w:rsid w:val="002F019D"/>
    <w:rsid w:val="002F0AB6"/>
    <w:rsid w:val="002F1E49"/>
    <w:rsid w:val="002F2BA4"/>
    <w:rsid w:val="002F4E9C"/>
    <w:rsid w:val="002F6E15"/>
    <w:rsid w:val="002F75A2"/>
    <w:rsid w:val="00302F4E"/>
    <w:rsid w:val="003033FD"/>
    <w:rsid w:val="003067C2"/>
    <w:rsid w:val="0030729C"/>
    <w:rsid w:val="0031052E"/>
    <w:rsid w:val="0031256C"/>
    <w:rsid w:val="00313975"/>
    <w:rsid w:val="003142D9"/>
    <w:rsid w:val="00314D6C"/>
    <w:rsid w:val="00316D2A"/>
    <w:rsid w:val="0032013E"/>
    <w:rsid w:val="00322A7C"/>
    <w:rsid w:val="00322EEC"/>
    <w:rsid w:val="00323061"/>
    <w:rsid w:val="00324C73"/>
    <w:rsid w:val="00325FDB"/>
    <w:rsid w:val="0032685C"/>
    <w:rsid w:val="00330999"/>
    <w:rsid w:val="00331528"/>
    <w:rsid w:val="0033153A"/>
    <w:rsid w:val="00331FEA"/>
    <w:rsid w:val="00334099"/>
    <w:rsid w:val="00337ACE"/>
    <w:rsid w:val="003402D3"/>
    <w:rsid w:val="0034068E"/>
    <w:rsid w:val="00341474"/>
    <w:rsid w:val="0034196A"/>
    <w:rsid w:val="0034251D"/>
    <w:rsid w:val="00343220"/>
    <w:rsid w:val="003433BB"/>
    <w:rsid w:val="00343651"/>
    <w:rsid w:val="00343ABC"/>
    <w:rsid w:val="003463FE"/>
    <w:rsid w:val="00346A21"/>
    <w:rsid w:val="003472FC"/>
    <w:rsid w:val="00347D41"/>
    <w:rsid w:val="003523CC"/>
    <w:rsid w:val="0035415D"/>
    <w:rsid w:val="003554B3"/>
    <w:rsid w:val="00356632"/>
    <w:rsid w:val="003569E7"/>
    <w:rsid w:val="00356F43"/>
    <w:rsid w:val="00357C7E"/>
    <w:rsid w:val="00357CF9"/>
    <w:rsid w:val="00357DCD"/>
    <w:rsid w:val="0036150F"/>
    <w:rsid w:val="0036336A"/>
    <w:rsid w:val="003636BD"/>
    <w:rsid w:val="003653B6"/>
    <w:rsid w:val="00367955"/>
    <w:rsid w:val="00370327"/>
    <w:rsid w:val="003720CF"/>
    <w:rsid w:val="003725DC"/>
    <w:rsid w:val="00374CC4"/>
    <w:rsid w:val="003774B2"/>
    <w:rsid w:val="00377E17"/>
    <w:rsid w:val="00380A4D"/>
    <w:rsid w:val="00380F2D"/>
    <w:rsid w:val="003845A9"/>
    <w:rsid w:val="00384D3A"/>
    <w:rsid w:val="003850C9"/>
    <w:rsid w:val="003863D7"/>
    <w:rsid w:val="00386848"/>
    <w:rsid w:val="00390883"/>
    <w:rsid w:val="003922F8"/>
    <w:rsid w:val="00392AFE"/>
    <w:rsid w:val="00394917"/>
    <w:rsid w:val="00395B24"/>
    <w:rsid w:val="003A2D38"/>
    <w:rsid w:val="003A3724"/>
    <w:rsid w:val="003A4BCB"/>
    <w:rsid w:val="003A7225"/>
    <w:rsid w:val="003A7ECC"/>
    <w:rsid w:val="003B2C72"/>
    <w:rsid w:val="003B2D4B"/>
    <w:rsid w:val="003B47AB"/>
    <w:rsid w:val="003B47D4"/>
    <w:rsid w:val="003B58B4"/>
    <w:rsid w:val="003B71B3"/>
    <w:rsid w:val="003C1333"/>
    <w:rsid w:val="003C20FF"/>
    <w:rsid w:val="003C4DAC"/>
    <w:rsid w:val="003C550A"/>
    <w:rsid w:val="003C55F3"/>
    <w:rsid w:val="003C6055"/>
    <w:rsid w:val="003C6B0F"/>
    <w:rsid w:val="003C7515"/>
    <w:rsid w:val="003D04F4"/>
    <w:rsid w:val="003D0EFB"/>
    <w:rsid w:val="003D1C29"/>
    <w:rsid w:val="003D2650"/>
    <w:rsid w:val="003D560C"/>
    <w:rsid w:val="003D5C00"/>
    <w:rsid w:val="003D6627"/>
    <w:rsid w:val="003E2669"/>
    <w:rsid w:val="003E2990"/>
    <w:rsid w:val="003E3154"/>
    <w:rsid w:val="003E3322"/>
    <w:rsid w:val="003E3977"/>
    <w:rsid w:val="003E5874"/>
    <w:rsid w:val="003E5B7A"/>
    <w:rsid w:val="003E6C9E"/>
    <w:rsid w:val="003E72D3"/>
    <w:rsid w:val="003F1841"/>
    <w:rsid w:val="003F193E"/>
    <w:rsid w:val="003F242C"/>
    <w:rsid w:val="003F34F1"/>
    <w:rsid w:val="00401C2D"/>
    <w:rsid w:val="004031D8"/>
    <w:rsid w:val="00407996"/>
    <w:rsid w:val="00407E90"/>
    <w:rsid w:val="004104B6"/>
    <w:rsid w:val="004117F7"/>
    <w:rsid w:val="00411AE8"/>
    <w:rsid w:val="004126DB"/>
    <w:rsid w:val="004130C0"/>
    <w:rsid w:val="004134D2"/>
    <w:rsid w:val="00413B74"/>
    <w:rsid w:val="00414BE2"/>
    <w:rsid w:val="00416D3B"/>
    <w:rsid w:val="00423395"/>
    <w:rsid w:val="00424FEA"/>
    <w:rsid w:val="00426657"/>
    <w:rsid w:val="00431387"/>
    <w:rsid w:val="004342F3"/>
    <w:rsid w:val="004347C4"/>
    <w:rsid w:val="004358E4"/>
    <w:rsid w:val="00435C5F"/>
    <w:rsid w:val="00436155"/>
    <w:rsid w:val="00436460"/>
    <w:rsid w:val="00436C67"/>
    <w:rsid w:val="00440498"/>
    <w:rsid w:val="00441E98"/>
    <w:rsid w:val="00443961"/>
    <w:rsid w:val="00444B8B"/>
    <w:rsid w:val="00445B5C"/>
    <w:rsid w:val="004465F8"/>
    <w:rsid w:val="0045023D"/>
    <w:rsid w:val="00450F3A"/>
    <w:rsid w:val="004525FA"/>
    <w:rsid w:val="004532F7"/>
    <w:rsid w:val="004564FC"/>
    <w:rsid w:val="00461A8E"/>
    <w:rsid w:val="00464D51"/>
    <w:rsid w:val="00466539"/>
    <w:rsid w:val="00466834"/>
    <w:rsid w:val="00466A0C"/>
    <w:rsid w:val="00470072"/>
    <w:rsid w:val="00471487"/>
    <w:rsid w:val="00472027"/>
    <w:rsid w:val="00475850"/>
    <w:rsid w:val="00475FE7"/>
    <w:rsid w:val="00477169"/>
    <w:rsid w:val="00480481"/>
    <w:rsid w:val="004804CF"/>
    <w:rsid w:val="00480CBC"/>
    <w:rsid w:val="004821D7"/>
    <w:rsid w:val="0048238A"/>
    <w:rsid w:val="0048253E"/>
    <w:rsid w:val="004832D2"/>
    <w:rsid w:val="00483314"/>
    <w:rsid w:val="00484369"/>
    <w:rsid w:val="00484411"/>
    <w:rsid w:val="00484962"/>
    <w:rsid w:val="00484F6D"/>
    <w:rsid w:val="00484FB7"/>
    <w:rsid w:val="0048554D"/>
    <w:rsid w:val="004875F1"/>
    <w:rsid w:val="004879C7"/>
    <w:rsid w:val="0049338A"/>
    <w:rsid w:val="0049417F"/>
    <w:rsid w:val="00496D41"/>
    <w:rsid w:val="00496DD3"/>
    <w:rsid w:val="004A2BF4"/>
    <w:rsid w:val="004A330F"/>
    <w:rsid w:val="004A3368"/>
    <w:rsid w:val="004A3A78"/>
    <w:rsid w:val="004A4E85"/>
    <w:rsid w:val="004A580F"/>
    <w:rsid w:val="004A6602"/>
    <w:rsid w:val="004B3EFA"/>
    <w:rsid w:val="004B5786"/>
    <w:rsid w:val="004B5E3D"/>
    <w:rsid w:val="004B6779"/>
    <w:rsid w:val="004B7205"/>
    <w:rsid w:val="004B7B47"/>
    <w:rsid w:val="004C2A87"/>
    <w:rsid w:val="004C430B"/>
    <w:rsid w:val="004C4821"/>
    <w:rsid w:val="004C4D7B"/>
    <w:rsid w:val="004C4ED3"/>
    <w:rsid w:val="004C5430"/>
    <w:rsid w:val="004C5DF8"/>
    <w:rsid w:val="004C667B"/>
    <w:rsid w:val="004C71FD"/>
    <w:rsid w:val="004C76F4"/>
    <w:rsid w:val="004C79BE"/>
    <w:rsid w:val="004C7ECD"/>
    <w:rsid w:val="004D2EA5"/>
    <w:rsid w:val="004D32A6"/>
    <w:rsid w:val="004D53E5"/>
    <w:rsid w:val="004D592F"/>
    <w:rsid w:val="004D5BEF"/>
    <w:rsid w:val="004D5C95"/>
    <w:rsid w:val="004D7081"/>
    <w:rsid w:val="004D7950"/>
    <w:rsid w:val="004E4360"/>
    <w:rsid w:val="004E61CE"/>
    <w:rsid w:val="004E6DC4"/>
    <w:rsid w:val="004E74AD"/>
    <w:rsid w:val="004F21C1"/>
    <w:rsid w:val="004F22E4"/>
    <w:rsid w:val="004F2DDE"/>
    <w:rsid w:val="004F42FB"/>
    <w:rsid w:val="004F4EF1"/>
    <w:rsid w:val="00501850"/>
    <w:rsid w:val="00501A12"/>
    <w:rsid w:val="00501C2A"/>
    <w:rsid w:val="00503083"/>
    <w:rsid w:val="0050309C"/>
    <w:rsid w:val="0050349E"/>
    <w:rsid w:val="005059AD"/>
    <w:rsid w:val="00505DC6"/>
    <w:rsid w:val="00507BF8"/>
    <w:rsid w:val="005111D9"/>
    <w:rsid w:val="00511663"/>
    <w:rsid w:val="005116D0"/>
    <w:rsid w:val="0051327C"/>
    <w:rsid w:val="0051346D"/>
    <w:rsid w:val="00513AEC"/>
    <w:rsid w:val="00513E73"/>
    <w:rsid w:val="00513EAE"/>
    <w:rsid w:val="0051434F"/>
    <w:rsid w:val="00516806"/>
    <w:rsid w:val="0052098C"/>
    <w:rsid w:val="00521463"/>
    <w:rsid w:val="005234D6"/>
    <w:rsid w:val="00524773"/>
    <w:rsid w:val="00525A49"/>
    <w:rsid w:val="005262D1"/>
    <w:rsid w:val="005267BD"/>
    <w:rsid w:val="00526AF3"/>
    <w:rsid w:val="00527575"/>
    <w:rsid w:val="00530876"/>
    <w:rsid w:val="00531E3A"/>
    <w:rsid w:val="00531FB0"/>
    <w:rsid w:val="00532CD7"/>
    <w:rsid w:val="00535613"/>
    <w:rsid w:val="005359EB"/>
    <w:rsid w:val="00540224"/>
    <w:rsid w:val="00541659"/>
    <w:rsid w:val="0054254A"/>
    <w:rsid w:val="00542944"/>
    <w:rsid w:val="005438C7"/>
    <w:rsid w:val="0054500B"/>
    <w:rsid w:val="00545AA9"/>
    <w:rsid w:val="00546245"/>
    <w:rsid w:val="005466B5"/>
    <w:rsid w:val="0054693D"/>
    <w:rsid w:val="0055055C"/>
    <w:rsid w:val="00552B40"/>
    <w:rsid w:val="005541F8"/>
    <w:rsid w:val="00554314"/>
    <w:rsid w:val="005601D7"/>
    <w:rsid w:val="00561B15"/>
    <w:rsid w:val="00562829"/>
    <w:rsid w:val="005629B3"/>
    <w:rsid w:val="0057128A"/>
    <w:rsid w:val="005724F6"/>
    <w:rsid w:val="00572AA9"/>
    <w:rsid w:val="00573AC4"/>
    <w:rsid w:val="00573D95"/>
    <w:rsid w:val="00574877"/>
    <w:rsid w:val="005758D3"/>
    <w:rsid w:val="00576E11"/>
    <w:rsid w:val="005801FC"/>
    <w:rsid w:val="005816F8"/>
    <w:rsid w:val="00581EF0"/>
    <w:rsid w:val="00582FE0"/>
    <w:rsid w:val="005836DA"/>
    <w:rsid w:val="00585AFB"/>
    <w:rsid w:val="00585BA9"/>
    <w:rsid w:val="00586E5C"/>
    <w:rsid w:val="00587359"/>
    <w:rsid w:val="00587647"/>
    <w:rsid w:val="00591ABB"/>
    <w:rsid w:val="00594242"/>
    <w:rsid w:val="00595016"/>
    <w:rsid w:val="00595F10"/>
    <w:rsid w:val="005969ED"/>
    <w:rsid w:val="00597AAE"/>
    <w:rsid w:val="005A0E38"/>
    <w:rsid w:val="005A222C"/>
    <w:rsid w:val="005A2376"/>
    <w:rsid w:val="005A44B9"/>
    <w:rsid w:val="005A4DF8"/>
    <w:rsid w:val="005A6F43"/>
    <w:rsid w:val="005A78C8"/>
    <w:rsid w:val="005A7E27"/>
    <w:rsid w:val="005B0AAE"/>
    <w:rsid w:val="005B1426"/>
    <w:rsid w:val="005B219A"/>
    <w:rsid w:val="005B446E"/>
    <w:rsid w:val="005B6363"/>
    <w:rsid w:val="005B6A47"/>
    <w:rsid w:val="005B726D"/>
    <w:rsid w:val="005C0905"/>
    <w:rsid w:val="005C0A8E"/>
    <w:rsid w:val="005C1115"/>
    <w:rsid w:val="005C14F4"/>
    <w:rsid w:val="005C1767"/>
    <w:rsid w:val="005C185C"/>
    <w:rsid w:val="005C299F"/>
    <w:rsid w:val="005C42EF"/>
    <w:rsid w:val="005C768E"/>
    <w:rsid w:val="005D0126"/>
    <w:rsid w:val="005D1BAC"/>
    <w:rsid w:val="005D7E0A"/>
    <w:rsid w:val="005E02F5"/>
    <w:rsid w:val="005E0510"/>
    <w:rsid w:val="005E074D"/>
    <w:rsid w:val="005E1550"/>
    <w:rsid w:val="005E176E"/>
    <w:rsid w:val="005E18D7"/>
    <w:rsid w:val="005E1B95"/>
    <w:rsid w:val="005E218E"/>
    <w:rsid w:val="005E35A0"/>
    <w:rsid w:val="005E3960"/>
    <w:rsid w:val="005E7313"/>
    <w:rsid w:val="005F0D1B"/>
    <w:rsid w:val="005F1865"/>
    <w:rsid w:val="005F74D6"/>
    <w:rsid w:val="006007BD"/>
    <w:rsid w:val="00600931"/>
    <w:rsid w:val="006013C8"/>
    <w:rsid w:val="00601821"/>
    <w:rsid w:val="0060270D"/>
    <w:rsid w:val="006030AE"/>
    <w:rsid w:val="006039CA"/>
    <w:rsid w:val="00604342"/>
    <w:rsid w:val="00604611"/>
    <w:rsid w:val="00611586"/>
    <w:rsid w:val="00612418"/>
    <w:rsid w:val="00612D26"/>
    <w:rsid w:val="00614C6C"/>
    <w:rsid w:val="00615855"/>
    <w:rsid w:val="00616318"/>
    <w:rsid w:val="00620D0C"/>
    <w:rsid w:val="00620D58"/>
    <w:rsid w:val="00620DA8"/>
    <w:rsid w:val="00621887"/>
    <w:rsid w:val="00621B9B"/>
    <w:rsid w:val="00624520"/>
    <w:rsid w:val="00624D5C"/>
    <w:rsid w:val="00625244"/>
    <w:rsid w:val="006271F5"/>
    <w:rsid w:val="00632300"/>
    <w:rsid w:val="00632BB7"/>
    <w:rsid w:val="00635B36"/>
    <w:rsid w:val="00636871"/>
    <w:rsid w:val="00640EE1"/>
    <w:rsid w:val="00640F4E"/>
    <w:rsid w:val="0064320B"/>
    <w:rsid w:val="00643DE0"/>
    <w:rsid w:val="0064437D"/>
    <w:rsid w:val="00644E85"/>
    <w:rsid w:val="00646353"/>
    <w:rsid w:val="0065157E"/>
    <w:rsid w:val="006516D8"/>
    <w:rsid w:val="00652C52"/>
    <w:rsid w:val="00654C32"/>
    <w:rsid w:val="00656F05"/>
    <w:rsid w:val="0066063F"/>
    <w:rsid w:val="00662BB0"/>
    <w:rsid w:val="00663552"/>
    <w:rsid w:val="00663878"/>
    <w:rsid w:val="00663CA9"/>
    <w:rsid w:val="00667773"/>
    <w:rsid w:val="00667925"/>
    <w:rsid w:val="00670743"/>
    <w:rsid w:val="00671BF2"/>
    <w:rsid w:val="00671CEF"/>
    <w:rsid w:val="00675195"/>
    <w:rsid w:val="00680A85"/>
    <w:rsid w:val="00681ADF"/>
    <w:rsid w:val="00685773"/>
    <w:rsid w:val="00685A3B"/>
    <w:rsid w:val="00690EE2"/>
    <w:rsid w:val="006911B0"/>
    <w:rsid w:val="00692C37"/>
    <w:rsid w:val="00693854"/>
    <w:rsid w:val="00694BEB"/>
    <w:rsid w:val="00696A13"/>
    <w:rsid w:val="006978B0"/>
    <w:rsid w:val="006A0939"/>
    <w:rsid w:val="006A0E20"/>
    <w:rsid w:val="006A24E3"/>
    <w:rsid w:val="006A5695"/>
    <w:rsid w:val="006A74B6"/>
    <w:rsid w:val="006A7F90"/>
    <w:rsid w:val="006B0439"/>
    <w:rsid w:val="006B1205"/>
    <w:rsid w:val="006B27F9"/>
    <w:rsid w:val="006B2822"/>
    <w:rsid w:val="006B3904"/>
    <w:rsid w:val="006B3B03"/>
    <w:rsid w:val="006B5B7D"/>
    <w:rsid w:val="006C1678"/>
    <w:rsid w:val="006C298E"/>
    <w:rsid w:val="006C3C2B"/>
    <w:rsid w:val="006C4C35"/>
    <w:rsid w:val="006C589A"/>
    <w:rsid w:val="006C5B46"/>
    <w:rsid w:val="006C6E39"/>
    <w:rsid w:val="006C7AF0"/>
    <w:rsid w:val="006D0ECF"/>
    <w:rsid w:val="006D158A"/>
    <w:rsid w:val="006D2777"/>
    <w:rsid w:val="006D3D5B"/>
    <w:rsid w:val="006D4C92"/>
    <w:rsid w:val="006D4EB6"/>
    <w:rsid w:val="006D7FBC"/>
    <w:rsid w:val="006E1C79"/>
    <w:rsid w:val="006E35BF"/>
    <w:rsid w:val="006E5151"/>
    <w:rsid w:val="006E5381"/>
    <w:rsid w:val="006E587C"/>
    <w:rsid w:val="006E5CCD"/>
    <w:rsid w:val="006E6C23"/>
    <w:rsid w:val="006E718A"/>
    <w:rsid w:val="006E7460"/>
    <w:rsid w:val="006E7850"/>
    <w:rsid w:val="006F09C5"/>
    <w:rsid w:val="006F133D"/>
    <w:rsid w:val="006F19D8"/>
    <w:rsid w:val="006F23E3"/>
    <w:rsid w:val="006F3F02"/>
    <w:rsid w:val="006F46D6"/>
    <w:rsid w:val="006F4BBB"/>
    <w:rsid w:val="006F6C4E"/>
    <w:rsid w:val="006F6D40"/>
    <w:rsid w:val="006F7460"/>
    <w:rsid w:val="006F7896"/>
    <w:rsid w:val="006F7B9D"/>
    <w:rsid w:val="00700944"/>
    <w:rsid w:val="007028D9"/>
    <w:rsid w:val="007066FF"/>
    <w:rsid w:val="00707218"/>
    <w:rsid w:val="00707D05"/>
    <w:rsid w:val="00710B1E"/>
    <w:rsid w:val="00710B3C"/>
    <w:rsid w:val="00710D04"/>
    <w:rsid w:val="00711138"/>
    <w:rsid w:val="0071248F"/>
    <w:rsid w:val="00712B1D"/>
    <w:rsid w:val="007131F0"/>
    <w:rsid w:val="007132A1"/>
    <w:rsid w:val="00713759"/>
    <w:rsid w:val="00713A60"/>
    <w:rsid w:val="00715751"/>
    <w:rsid w:val="007171BA"/>
    <w:rsid w:val="00717616"/>
    <w:rsid w:val="0072394C"/>
    <w:rsid w:val="0072474B"/>
    <w:rsid w:val="00725372"/>
    <w:rsid w:val="00727C11"/>
    <w:rsid w:val="00727C19"/>
    <w:rsid w:val="00730973"/>
    <w:rsid w:val="007325D9"/>
    <w:rsid w:val="0073413F"/>
    <w:rsid w:val="007341A0"/>
    <w:rsid w:val="00735216"/>
    <w:rsid w:val="00735538"/>
    <w:rsid w:val="0073583B"/>
    <w:rsid w:val="00735C09"/>
    <w:rsid w:val="007360CA"/>
    <w:rsid w:val="007364DE"/>
    <w:rsid w:val="0073742F"/>
    <w:rsid w:val="00740DE3"/>
    <w:rsid w:val="00741704"/>
    <w:rsid w:val="00741D0B"/>
    <w:rsid w:val="00744060"/>
    <w:rsid w:val="00745343"/>
    <w:rsid w:val="007462A8"/>
    <w:rsid w:val="0074667B"/>
    <w:rsid w:val="007470BD"/>
    <w:rsid w:val="00747849"/>
    <w:rsid w:val="00753656"/>
    <w:rsid w:val="0076053C"/>
    <w:rsid w:val="00760EC0"/>
    <w:rsid w:val="00761E28"/>
    <w:rsid w:val="007641A7"/>
    <w:rsid w:val="007641C6"/>
    <w:rsid w:val="007674B8"/>
    <w:rsid w:val="00767598"/>
    <w:rsid w:val="007705E5"/>
    <w:rsid w:val="00770820"/>
    <w:rsid w:val="007711BD"/>
    <w:rsid w:val="00771703"/>
    <w:rsid w:val="0077217A"/>
    <w:rsid w:val="00775BA2"/>
    <w:rsid w:val="007773CA"/>
    <w:rsid w:val="00777451"/>
    <w:rsid w:val="0078003A"/>
    <w:rsid w:val="00780771"/>
    <w:rsid w:val="00780D87"/>
    <w:rsid w:val="00781179"/>
    <w:rsid w:val="007811F1"/>
    <w:rsid w:val="00781597"/>
    <w:rsid w:val="007855B0"/>
    <w:rsid w:val="007867E9"/>
    <w:rsid w:val="00791638"/>
    <w:rsid w:val="00791DDC"/>
    <w:rsid w:val="007929CF"/>
    <w:rsid w:val="00792C27"/>
    <w:rsid w:val="00793511"/>
    <w:rsid w:val="007950EB"/>
    <w:rsid w:val="00797BA8"/>
    <w:rsid w:val="00797E52"/>
    <w:rsid w:val="007A081D"/>
    <w:rsid w:val="007A15BD"/>
    <w:rsid w:val="007A412F"/>
    <w:rsid w:val="007A4887"/>
    <w:rsid w:val="007A49E7"/>
    <w:rsid w:val="007A4C9F"/>
    <w:rsid w:val="007A4E29"/>
    <w:rsid w:val="007A6F28"/>
    <w:rsid w:val="007A730A"/>
    <w:rsid w:val="007B03C6"/>
    <w:rsid w:val="007B0DB1"/>
    <w:rsid w:val="007B212B"/>
    <w:rsid w:val="007B36F4"/>
    <w:rsid w:val="007B4A47"/>
    <w:rsid w:val="007B5673"/>
    <w:rsid w:val="007B7238"/>
    <w:rsid w:val="007B75E9"/>
    <w:rsid w:val="007B76FF"/>
    <w:rsid w:val="007B77A7"/>
    <w:rsid w:val="007C04E3"/>
    <w:rsid w:val="007C067F"/>
    <w:rsid w:val="007C20CF"/>
    <w:rsid w:val="007C3BF6"/>
    <w:rsid w:val="007C5995"/>
    <w:rsid w:val="007C67B3"/>
    <w:rsid w:val="007C6C75"/>
    <w:rsid w:val="007D0FD2"/>
    <w:rsid w:val="007D2EF8"/>
    <w:rsid w:val="007D561F"/>
    <w:rsid w:val="007D74E6"/>
    <w:rsid w:val="007D7E05"/>
    <w:rsid w:val="007D7FD2"/>
    <w:rsid w:val="007E0147"/>
    <w:rsid w:val="007E0365"/>
    <w:rsid w:val="007E13D9"/>
    <w:rsid w:val="007E2AEC"/>
    <w:rsid w:val="007E41BE"/>
    <w:rsid w:val="007E4DB6"/>
    <w:rsid w:val="007E6161"/>
    <w:rsid w:val="007E6733"/>
    <w:rsid w:val="007E7857"/>
    <w:rsid w:val="007E7976"/>
    <w:rsid w:val="007E7CD4"/>
    <w:rsid w:val="007F060E"/>
    <w:rsid w:val="007F12AC"/>
    <w:rsid w:val="007F1CD9"/>
    <w:rsid w:val="007F270B"/>
    <w:rsid w:val="007F2CBD"/>
    <w:rsid w:val="007F4501"/>
    <w:rsid w:val="007F60DF"/>
    <w:rsid w:val="007F695C"/>
    <w:rsid w:val="007F6FCC"/>
    <w:rsid w:val="00801800"/>
    <w:rsid w:val="00801861"/>
    <w:rsid w:val="00801B5B"/>
    <w:rsid w:val="00802CD0"/>
    <w:rsid w:val="00805A30"/>
    <w:rsid w:val="00806592"/>
    <w:rsid w:val="00806845"/>
    <w:rsid w:val="00807196"/>
    <w:rsid w:val="008079C6"/>
    <w:rsid w:val="008133AF"/>
    <w:rsid w:val="00814130"/>
    <w:rsid w:val="00816485"/>
    <w:rsid w:val="0081738F"/>
    <w:rsid w:val="00820C41"/>
    <w:rsid w:val="00820C8E"/>
    <w:rsid w:val="008216E7"/>
    <w:rsid w:val="00821EAE"/>
    <w:rsid w:val="0082332B"/>
    <w:rsid w:val="00823B06"/>
    <w:rsid w:val="0082490A"/>
    <w:rsid w:val="00825BE6"/>
    <w:rsid w:val="00825C8A"/>
    <w:rsid w:val="00826BAD"/>
    <w:rsid w:val="008276B4"/>
    <w:rsid w:val="00831927"/>
    <w:rsid w:val="00832F87"/>
    <w:rsid w:val="00834819"/>
    <w:rsid w:val="008349A5"/>
    <w:rsid w:val="0083539E"/>
    <w:rsid w:val="00835AA6"/>
    <w:rsid w:val="00836E8B"/>
    <w:rsid w:val="00837288"/>
    <w:rsid w:val="008409C4"/>
    <w:rsid w:val="00840D7A"/>
    <w:rsid w:val="00841BD3"/>
    <w:rsid w:val="0084273D"/>
    <w:rsid w:val="00842AAE"/>
    <w:rsid w:val="00844E3F"/>
    <w:rsid w:val="00845A83"/>
    <w:rsid w:val="00846BB9"/>
    <w:rsid w:val="00852E4B"/>
    <w:rsid w:val="00852F54"/>
    <w:rsid w:val="008547BB"/>
    <w:rsid w:val="00854A8E"/>
    <w:rsid w:val="00856EFD"/>
    <w:rsid w:val="00857997"/>
    <w:rsid w:val="008642CC"/>
    <w:rsid w:val="00864511"/>
    <w:rsid w:val="008649D5"/>
    <w:rsid w:val="00865475"/>
    <w:rsid w:val="008662F8"/>
    <w:rsid w:val="008663A0"/>
    <w:rsid w:val="008701CB"/>
    <w:rsid w:val="008712BB"/>
    <w:rsid w:val="00871610"/>
    <w:rsid w:val="008719A2"/>
    <w:rsid w:val="008740ED"/>
    <w:rsid w:val="00874BD1"/>
    <w:rsid w:val="00876593"/>
    <w:rsid w:val="0087787D"/>
    <w:rsid w:val="008830E7"/>
    <w:rsid w:val="00884BC1"/>
    <w:rsid w:val="00890EDE"/>
    <w:rsid w:val="00892B38"/>
    <w:rsid w:val="008938FD"/>
    <w:rsid w:val="00893A8D"/>
    <w:rsid w:val="00893B85"/>
    <w:rsid w:val="00893CAF"/>
    <w:rsid w:val="00895149"/>
    <w:rsid w:val="00896C01"/>
    <w:rsid w:val="008A1741"/>
    <w:rsid w:val="008A1DB2"/>
    <w:rsid w:val="008A2484"/>
    <w:rsid w:val="008A2704"/>
    <w:rsid w:val="008A2C94"/>
    <w:rsid w:val="008A30CB"/>
    <w:rsid w:val="008A52F3"/>
    <w:rsid w:val="008A52FE"/>
    <w:rsid w:val="008B039B"/>
    <w:rsid w:val="008B1217"/>
    <w:rsid w:val="008B2C79"/>
    <w:rsid w:val="008B4B77"/>
    <w:rsid w:val="008B62B6"/>
    <w:rsid w:val="008B76A7"/>
    <w:rsid w:val="008C26D9"/>
    <w:rsid w:val="008C3293"/>
    <w:rsid w:val="008C3432"/>
    <w:rsid w:val="008C45D2"/>
    <w:rsid w:val="008C5D54"/>
    <w:rsid w:val="008C6D50"/>
    <w:rsid w:val="008C7167"/>
    <w:rsid w:val="008C74ED"/>
    <w:rsid w:val="008C7503"/>
    <w:rsid w:val="008C7BD9"/>
    <w:rsid w:val="008D1617"/>
    <w:rsid w:val="008D330F"/>
    <w:rsid w:val="008D48C1"/>
    <w:rsid w:val="008D6042"/>
    <w:rsid w:val="008E0158"/>
    <w:rsid w:val="008E3FB4"/>
    <w:rsid w:val="008E6315"/>
    <w:rsid w:val="008E7D28"/>
    <w:rsid w:val="008F0270"/>
    <w:rsid w:val="008F0480"/>
    <w:rsid w:val="008F07FC"/>
    <w:rsid w:val="008F11E0"/>
    <w:rsid w:val="008F3EA7"/>
    <w:rsid w:val="008F4087"/>
    <w:rsid w:val="008F78BC"/>
    <w:rsid w:val="008F7B63"/>
    <w:rsid w:val="008F7D6A"/>
    <w:rsid w:val="008F7DE0"/>
    <w:rsid w:val="00900C02"/>
    <w:rsid w:val="00901C86"/>
    <w:rsid w:val="0090225C"/>
    <w:rsid w:val="00903603"/>
    <w:rsid w:val="009050E5"/>
    <w:rsid w:val="009054CB"/>
    <w:rsid w:val="00906125"/>
    <w:rsid w:val="009074BB"/>
    <w:rsid w:val="00911F8D"/>
    <w:rsid w:val="009126FA"/>
    <w:rsid w:val="00912F94"/>
    <w:rsid w:val="00913D27"/>
    <w:rsid w:val="00914848"/>
    <w:rsid w:val="00914985"/>
    <w:rsid w:val="00914B51"/>
    <w:rsid w:val="0091593B"/>
    <w:rsid w:val="009171BC"/>
    <w:rsid w:val="00921D9C"/>
    <w:rsid w:val="00924814"/>
    <w:rsid w:val="0092497E"/>
    <w:rsid w:val="009251EC"/>
    <w:rsid w:val="0092590B"/>
    <w:rsid w:val="00925BF3"/>
    <w:rsid w:val="00925E60"/>
    <w:rsid w:val="009264B3"/>
    <w:rsid w:val="009279FB"/>
    <w:rsid w:val="009307CA"/>
    <w:rsid w:val="00931E4C"/>
    <w:rsid w:val="009328BC"/>
    <w:rsid w:val="009365E0"/>
    <w:rsid w:val="00936832"/>
    <w:rsid w:val="00937689"/>
    <w:rsid w:val="00941E8F"/>
    <w:rsid w:val="00942BA2"/>
    <w:rsid w:val="00942BE7"/>
    <w:rsid w:val="009432B7"/>
    <w:rsid w:val="00944C86"/>
    <w:rsid w:val="009465FB"/>
    <w:rsid w:val="00947211"/>
    <w:rsid w:val="00947C02"/>
    <w:rsid w:val="00950BE6"/>
    <w:rsid w:val="0095247B"/>
    <w:rsid w:val="00952D3B"/>
    <w:rsid w:val="009531F7"/>
    <w:rsid w:val="00954588"/>
    <w:rsid w:val="00957DE8"/>
    <w:rsid w:val="00957E3E"/>
    <w:rsid w:val="00960ECB"/>
    <w:rsid w:val="009615D6"/>
    <w:rsid w:val="00962EDF"/>
    <w:rsid w:val="0096327C"/>
    <w:rsid w:val="00963778"/>
    <w:rsid w:val="00964C56"/>
    <w:rsid w:val="00965FE7"/>
    <w:rsid w:val="00967855"/>
    <w:rsid w:val="00967DB8"/>
    <w:rsid w:val="00971CD1"/>
    <w:rsid w:val="00971D99"/>
    <w:rsid w:val="00974709"/>
    <w:rsid w:val="00974A8C"/>
    <w:rsid w:val="00974DD5"/>
    <w:rsid w:val="0097619E"/>
    <w:rsid w:val="00977355"/>
    <w:rsid w:val="009773B9"/>
    <w:rsid w:val="00977AA0"/>
    <w:rsid w:val="00977CF4"/>
    <w:rsid w:val="00977FD0"/>
    <w:rsid w:val="009801AE"/>
    <w:rsid w:val="00980736"/>
    <w:rsid w:val="00981A39"/>
    <w:rsid w:val="00981AC5"/>
    <w:rsid w:val="0098231D"/>
    <w:rsid w:val="00982D56"/>
    <w:rsid w:val="009832CC"/>
    <w:rsid w:val="0098372E"/>
    <w:rsid w:val="00983DBF"/>
    <w:rsid w:val="0098460D"/>
    <w:rsid w:val="00986257"/>
    <w:rsid w:val="00987097"/>
    <w:rsid w:val="00991123"/>
    <w:rsid w:val="0099151B"/>
    <w:rsid w:val="00991CAB"/>
    <w:rsid w:val="00993CAE"/>
    <w:rsid w:val="00995445"/>
    <w:rsid w:val="009A0592"/>
    <w:rsid w:val="009A18D3"/>
    <w:rsid w:val="009A29CB"/>
    <w:rsid w:val="009A3A9C"/>
    <w:rsid w:val="009A4283"/>
    <w:rsid w:val="009A4882"/>
    <w:rsid w:val="009A48B3"/>
    <w:rsid w:val="009B046C"/>
    <w:rsid w:val="009B13FA"/>
    <w:rsid w:val="009B1E2D"/>
    <w:rsid w:val="009B5E41"/>
    <w:rsid w:val="009B70DE"/>
    <w:rsid w:val="009B7BA4"/>
    <w:rsid w:val="009C095E"/>
    <w:rsid w:val="009C1ED3"/>
    <w:rsid w:val="009C2907"/>
    <w:rsid w:val="009C2A36"/>
    <w:rsid w:val="009C4744"/>
    <w:rsid w:val="009C59FB"/>
    <w:rsid w:val="009C6F3B"/>
    <w:rsid w:val="009D1244"/>
    <w:rsid w:val="009D1467"/>
    <w:rsid w:val="009D271D"/>
    <w:rsid w:val="009D2CAF"/>
    <w:rsid w:val="009D328D"/>
    <w:rsid w:val="009D508F"/>
    <w:rsid w:val="009D755B"/>
    <w:rsid w:val="009E255D"/>
    <w:rsid w:val="009E34E2"/>
    <w:rsid w:val="009E3E39"/>
    <w:rsid w:val="009E4003"/>
    <w:rsid w:val="009E4FA6"/>
    <w:rsid w:val="009E6A36"/>
    <w:rsid w:val="009E7D93"/>
    <w:rsid w:val="009F0517"/>
    <w:rsid w:val="009F0F6C"/>
    <w:rsid w:val="009F1A3C"/>
    <w:rsid w:val="009F1A54"/>
    <w:rsid w:val="009F28FB"/>
    <w:rsid w:val="009F3926"/>
    <w:rsid w:val="009F3C34"/>
    <w:rsid w:val="009F462C"/>
    <w:rsid w:val="009F5C33"/>
    <w:rsid w:val="009F7132"/>
    <w:rsid w:val="009F7E66"/>
    <w:rsid w:val="00A026F0"/>
    <w:rsid w:val="00A0298E"/>
    <w:rsid w:val="00A0377A"/>
    <w:rsid w:val="00A03EAC"/>
    <w:rsid w:val="00A04DBB"/>
    <w:rsid w:val="00A04FA9"/>
    <w:rsid w:val="00A05EE7"/>
    <w:rsid w:val="00A06260"/>
    <w:rsid w:val="00A07EA0"/>
    <w:rsid w:val="00A10F27"/>
    <w:rsid w:val="00A11CA6"/>
    <w:rsid w:val="00A160D4"/>
    <w:rsid w:val="00A161FC"/>
    <w:rsid w:val="00A179E2"/>
    <w:rsid w:val="00A20C49"/>
    <w:rsid w:val="00A216CE"/>
    <w:rsid w:val="00A22932"/>
    <w:rsid w:val="00A23669"/>
    <w:rsid w:val="00A269CA"/>
    <w:rsid w:val="00A316CD"/>
    <w:rsid w:val="00A336EE"/>
    <w:rsid w:val="00A33F46"/>
    <w:rsid w:val="00A3427E"/>
    <w:rsid w:val="00A359AC"/>
    <w:rsid w:val="00A36A1D"/>
    <w:rsid w:val="00A379D2"/>
    <w:rsid w:val="00A37EDC"/>
    <w:rsid w:val="00A40F83"/>
    <w:rsid w:val="00A410FB"/>
    <w:rsid w:val="00A41413"/>
    <w:rsid w:val="00A42F77"/>
    <w:rsid w:val="00A4301C"/>
    <w:rsid w:val="00A431E6"/>
    <w:rsid w:val="00A436E8"/>
    <w:rsid w:val="00A45FB1"/>
    <w:rsid w:val="00A46A0F"/>
    <w:rsid w:val="00A46CCC"/>
    <w:rsid w:val="00A47996"/>
    <w:rsid w:val="00A47E90"/>
    <w:rsid w:val="00A50F97"/>
    <w:rsid w:val="00A51CFE"/>
    <w:rsid w:val="00A51DEC"/>
    <w:rsid w:val="00A5204D"/>
    <w:rsid w:val="00A55EF3"/>
    <w:rsid w:val="00A56297"/>
    <w:rsid w:val="00A56E77"/>
    <w:rsid w:val="00A570AF"/>
    <w:rsid w:val="00A6025C"/>
    <w:rsid w:val="00A608D4"/>
    <w:rsid w:val="00A60A9D"/>
    <w:rsid w:val="00A61605"/>
    <w:rsid w:val="00A61CD6"/>
    <w:rsid w:val="00A623B5"/>
    <w:rsid w:val="00A645A0"/>
    <w:rsid w:val="00A65F97"/>
    <w:rsid w:val="00A6609D"/>
    <w:rsid w:val="00A6709B"/>
    <w:rsid w:val="00A67A7D"/>
    <w:rsid w:val="00A73AD1"/>
    <w:rsid w:val="00A73B04"/>
    <w:rsid w:val="00A75B58"/>
    <w:rsid w:val="00A76C13"/>
    <w:rsid w:val="00A778F2"/>
    <w:rsid w:val="00A8063F"/>
    <w:rsid w:val="00A82DDF"/>
    <w:rsid w:val="00A84FD0"/>
    <w:rsid w:val="00A85E3A"/>
    <w:rsid w:val="00A92C2F"/>
    <w:rsid w:val="00A92D3F"/>
    <w:rsid w:val="00A92E79"/>
    <w:rsid w:val="00A92EA0"/>
    <w:rsid w:val="00A94D2C"/>
    <w:rsid w:val="00A94E21"/>
    <w:rsid w:val="00A950B6"/>
    <w:rsid w:val="00A952A6"/>
    <w:rsid w:val="00A95D45"/>
    <w:rsid w:val="00AA0898"/>
    <w:rsid w:val="00AA1D03"/>
    <w:rsid w:val="00AA3EA8"/>
    <w:rsid w:val="00AA56F3"/>
    <w:rsid w:val="00AB1A99"/>
    <w:rsid w:val="00AB3578"/>
    <w:rsid w:val="00AB35D9"/>
    <w:rsid w:val="00AB37D4"/>
    <w:rsid w:val="00AB3840"/>
    <w:rsid w:val="00AB41C1"/>
    <w:rsid w:val="00AB4CF2"/>
    <w:rsid w:val="00AB6CCA"/>
    <w:rsid w:val="00AC088D"/>
    <w:rsid w:val="00AC1974"/>
    <w:rsid w:val="00AC1C7F"/>
    <w:rsid w:val="00AC223F"/>
    <w:rsid w:val="00AC33B1"/>
    <w:rsid w:val="00AD05CD"/>
    <w:rsid w:val="00AD0685"/>
    <w:rsid w:val="00AD12A8"/>
    <w:rsid w:val="00AD21C2"/>
    <w:rsid w:val="00AD44BF"/>
    <w:rsid w:val="00AD57B9"/>
    <w:rsid w:val="00AD7FDF"/>
    <w:rsid w:val="00AE023F"/>
    <w:rsid w:val="00AE7EED"/>
    <w:rsid w:val="00AF02C8"/>
    <w:rsid w:val="00AF0C6A"/>
    <w:rsid w:val="00AF1C47"/>
    <w:rsid w:val="00AF3577"/>
    <w:rsid w:val="00AF35F9"/>
    <w:rsid w:val="00B0039A"/>
    <w:rsid w:val="00B02104"/>
    <w:rsid w:val="00B03749"/>
    <w:rsid w:val="00B03BC2"/>
    <w:rsid w:val="00B0424C"/>
    <w:rsid w:val="00B047FC"/>
    <w:rsid w:val="00B053D3"/>
    <w:rsid w:val="00B05A8A"/>
    <w:rsid w:val="00B05C7D"/>
    <w:rsid w:val="00B07661"/>
    <w:rsid w:val="00B11D9F"/>
    <w:rsid w:val="00B123A2"/>
    <w:rsid w:val="00B13120"/>
    <w:rsid w:val="00B15D57"/>
    <w:rsid w:val="00B16347"/>
    <w:rsid w:val="00B16A0A"/>
    <w:rsid w:val="00B1754A"/>
    <w:rsid w:val="00B17D6E"/>
    <w:rsid w:val="00B212C4"/>
    <w:rsid w:val="00B225B8"/>
    <w:rsid w:val="00B2435D"/>
    <w:rsid w:val="00B2435E"/>
    <w:rsid w:val="00B26C5D"/>
    <w:rsid w:val="00B30235"/>
    <w:rsid w:val="00B32C22"/>
    <w:rsid w:val="00B33D1A"/>
    <w:rsid w:val="00B346C3"/>
    <w:rsid w:val="00B35367"/>
    <w:rsid w:val="00B377A7"/>
    <w:rsid w:val="00B4005C"/>
    <w:rsid w:val="00B4046D"/>
    <w:rsid w:val="00B4227E"/>
    <w:rsid w:val="00B4471C"/>
    <w:rsid w:val="00B451A6"/>
    <w:rsid w:val="00B4799B"/>
    <w:rsid w:val="00B50957"/>
    <w:rsid w:val="00B50CB0"/>
    <w:rsid w:val="00B513D0"/>
    <w:rsid w:val="00B53097"/>
    <w:rsid w:val="00B549F2"/>
    <w:rsid w:val="00B561A9"/>
    <w:rsid w:val="00B56C29"/>
    <w:rsid w:val="00B56D6E"/>
    <w:rsid w:val="00B56EC0"/>
    <w:rsid w:val="00B57CC1"/>
    <w:rsid w:val="00B61B56"/>
    <w:rsid w:val="00B627A1"/>
    <w:rsid w:val="00B62A5E"/>
    <w:rsid w:val="00B64347"/>
    <w:rsid w:val="00B653EC"/>
    <w:rsid w:val="00B65DC6"/>
    <w:rsid w:val="00B67AC2"/>
    <w:rsid w:val="00B67F48"/>
    <w:rsid w:val="00B720B5"/>
    <w:rsid w:val="00B722DE"/>
    <w:rsid w:val="00B7356A"/>
    <w:rsid w:val="00B751E3"/>
    <w:rsid w:val="00B75BA6"/>
    <w:rsid w:val="00B76C44"/>
    <w:rsid w:val="00B80C27"/>
    <w:rsid w:val="00B8184A"/>
    <w:rsid w:val="00B81A3A"/>
    <w:rsid w:val="00B82283"/>
    <w:rsid w:val="00B828D8"/>
    <w:rsid w:val="00B82CA0"/>
    <w:rsid w:val="00B83F87"/>
    <w:rsid w:val="00B86046"/>
    <w:rsid w:val="00B867B3"/>
    <w:rsid w:val="00B87CDC"/>
    <w:rsid w:val="00B91091"/>
    <w:rsid w:val="00B910C1"/>
    <w:rsid w:val="00B94FE6"/>
    <w:rsid w:val="00B959B4"/>
    <w:rsid w:val="00B9678A"/>
    <w:rsid w:val="00BA193E"/>
    <w:rsid w:val="00BA1EAD"/>
    <w:rsid w:val="00BA25CD"/>
    <w:rsid w:val="00BA2CA4"/>
    <w:rsid w:val="00BA2D2D"/>
    <w:rsid w:val="00BA2EFA"/>
    <w:rsid w:val="00BA3DBC"/>
    <w:rsid w:val="00BA4A9B"/>
    <w:rsid w:val="00BA4F36"/>
    <w:rsid w:val="00BA5382"/>
    <w:rsid w:val="00BA707A"/>
    <w:rsid w:val="00BB06BC"/>
    <w:rsid w:val="00BB1AFB"/>
    <w:rsid w:val="00BB27AE"/>
    <w:rsid w:val="00BB2DA2"/>
    <w:rsid w:val="00BB56DC"/>
    <w:rsid w:val="00BB574C"/>
    <w:rsid w:val="00BB7674"/>
    <w:rsid w:val="00BC2737"/>
    <w:rsid w:val="00BC3AD8"/>
    <w:rsid w:val="00BC4935"/>
    <w:rsid w:val="00BC63A2"/>
    <w:rsid w:val="00BC78BB"/>
    <w:rsid w:val="00BD0149"/>
    <w:rsid w:val="00BD07E1"/>
    <w:rsid w:val="00BD22F7"/>
    <w:rsid w:val="00BD347C"/>
    <w:rsid w:val="00BD363F"/>
    <w:rsid w:val="00BD56F2"/>
    <w:rsid w:val="00BD6213"/>
    <w:rsid w:val="00BD76E1"/>
    <w:rsid w:val="00BD7816"/>
    <w:rsid w:val="00BE0562"/>
    <w:rsid w:val="00BE183D"/>
    <w:rsid w:val="00BE409E"/>
    <w:rsid w:val="00BE4233"/>
    <w:rsid w:val="00BF19EF"/>
    <w:rsid w:val="00BF1FF2"/>
    <w:rsid w:val="00BF225A"/>
    <w:rsid w:val="00BF24C2"/>
    <w:rsid w:val="00BF2922"/>
    <w:rsid w:val="00BF5B63"/>
    <w:rsid w:val="00BF5D7A"/>
    <w:rsid w:val="00C01029"/>
    <w:rsid w:val="00C01C2E"/>
    <w:rsid w:val="00C01F05"/>
    <w:rsid w:val="00C02D33"/>
    <w:rsid w:val="00C04847"/>
    <w:rsid w:val="00C04B53"/>
    <w:rsid w:val="00C04EC1"/>
    <w:rsid w:val="00C07B62"/>
    <w:rsid w:val="00C10A45"/>
    <w:rsid w:val="00C1232C"/>
    <w:rsid w:val="00C13A5C"/>
    <w:rsid w:val="00C13AA5"/>
    <w:rsid w:val="00C145B6"/>
    <w:rsid w:val="00C16646"/>
    <w:rsid w:val="00C17CCC"/>
    <w:rsid w:val="00C22B11"/>
    <w:rsid w:val="00C2352F"/>
    <w:rsid w:val="00C27C6B"/>
    <w:rsid w:val="00C33DD7"/>
    <w:rsid w:val="00C3594D"/>
    <w:rsid w:val="00C36442"/>
    <w:rsid w:val="00C400CE"/>
    <w:rsid w:val="00C40FCE"/>
    <w:rsid w:val="00C410FD"/>
    <w:rsid w:val="00C440B0"/>
    <w:rsid w:val="00C4426F"/>
    <w:rsid w:val="00C457DE"/>
    <w:rsid w:val="00C47DD3"/>
    <w:rsid w:val="00C51E01"/>
    <w:rsid w:val="00C52C57"/>
    <w:rsid w:val="00C5316F"/>
    <w:rsid w:val="00C53562"/>
    <w:rsid w:val="00C539FB"/>
    <w:rsid w:val="00C57AAE"/>
    <w:rsid w:val="00C654DA"/>
    <w:rsid w:val="00C65E43"/>
    <w:rsid w:val="00C66AA3"/>
    <w:rsid w:val="00C66E57"/>
    <w:rsid w:val="00C67111"/>
    <w:rsid w:val="00C712D6"/>
    <w:rsid w:val="00C724D7"/>
    <w:rsid w:val="00C72E83"/>
    <w:rsid w:val="00C72F71"/>
    <w:rsid w:val="00C74150"/>
    <w:rsid w:val="00C74CBA"/>
    <w:rsid w:val="00C75594"/>
    <w:rsid w:val="00C75735"/>
    <w:rsid w:val="00C7694A"/>
    <w:rsid w:val="00C778D1"/>
    <w:rsid w:val="00C81D59"/>
    <w:rsid w:val="00C822B5"/>
    <w:rsid w:val="00C82A60"/>
    <w:rsid w:val="00C85428"/>
    <w:rsid w:val="00C85982"/>
    <w:rsid w:val="00C86494"/>
    <w:rsid w:val="00C90ABB"/>
    <w:rsid w:val="00C91B53"/>
    <w:rsid w:val="00C91F5C"/>
    <w:rsid w:val="00C92530"/>
    <w:rsid w:val="00C92632"/>
    <w:rsid w:val="00C94000"/>
    <w:rsid w:val="00C94469"/>
    <w:rsid w:val="00C96681"/>
    <w:rsid w:val="00C97615"/>
    <w:rsid w:val="00CA0466"/>
    <w:rsid w:val="00CA246D"/>
    <w:rsid w:val="00CA3811"/>
    <w:rsid w:val="00CA38D1"/>
    <w:rsid w:val="00CA50D9"/>
    <w:rsid w:val="00CA5F3E"/>
    <w:rsid w:val="00CA7A88"/>
    <w:rsid w:val="00CB040A"/>
    <w:rsid w:val="00CB1A68"/>
    <w:rsid w:val="00CB3053"/>
    <w:rsid w:val="00CB3054"/>
    <w:rsid w:val="00CB5636"/>
    <w:rsid w:val="00CB5F30"/>
    <w:rsid w:val="00CB7FAA"/>
    <w:rsid w:val="00CC0542"/>
    <w:rsid w:val="00CC24FD"/>
    <w:rsid w:val="00CC2C80"/>
    <w:rsid w:val="00CC326B"/>
    <w:rsid w:val="00CC3EE5"/>
    <w:rsid w:val="00CC6E47"/>
    <w:rsid w:val="00CD0A68"/>
    <w:rsid w:val="00CD1346"/>
    <w:rsid w:val="00CD579D"/>
    <w:rsid w:val="00CD7328"/>
    <w:rsid w:val="00CD75B9"/>
    <w:rsid w:val="00CE11CD"/>
    <w:rsid w:val="00CE1A9A"/>
    <w:rsid w:val="00CE3726"/>
    <w:rsid w:val="00CE3AD7"/>
    <w:rsid w:val="00CE425C"/>
    <w:rsid w:val="00CE4593"/>
    <w:rsid w:val="00CE58AC"/>
    <w:rsid w:val="00CF003D"/>
    <w:rsid w:val="00CF1492"/>
    <w:rsid w:val="00CF5A80"/>
    <w:rsid w:val="00CF6F3A"/>
    <w:rsid w:val="00CF7656"/>
    <w:rsid w:val="00D0128B"/>
    <w:rsid w:val="00D045EE"/>
    <w:rsid w:val="00D05091"/>
    <w:rsid w:val="00D06CF1"/>
    <w:rsid w:val="00D10CA6"/>
    <w:rsid w:val="00D10F21"/>
    <w:rsid w:val="00D134CF"/>
    <w:rsid w:val="00D1410D"/>
    <w:rsid w:val="00D1573B"/>
    <w:rsid w:val="00D16485"/>
    <w:rsid w:val="00D16799"/>
    <w:rsid w:val="00D17B08"/>
    <w:rsid w:val="00D20BD9"/>
    <w:rsid w:val="00D2231B"/>
    <w:rsid w:val="00D22812"/>
    <w:rsid w:val="00D234F7"/>
    <w:rsid w:val="00D24806"/>
    <w:rsid w:val="00D30232"/>
    <w:rsid w:val="00D31E4D"/>
    <w:rsid w:val="00D33F63"/>
    <w:rsid w:val="00D34040"/>
    <w:rsid w:val="00D34A31"/>
    <w:rsid w:val="00D34E69"/>
    <w:rsid w:val="00D36C35"/>
    <w:rsid w:val="00D36C78"/>
    <w:rsid w:val="00D375EE"/>
    <w:rsid w:val="00D4356E"/>
    <w:rsid w:val="00D453A8"/>
    <w:rsid w:val="00D455C6"/>
    <w:rsid w:val="00D45D5A"/>
    <w:rsid w:val="00D47353"/>
    <w:rsid w:val="00D476AC"/>
    <w:rsid w:val="00D525E3"/>
    <w:rsid w:val="00D52C93"/>
    <w:rsid w:val="00D53897"/>
    <w:rsid w:val="00D53A91"/>
    <w:rsid w:val="00D55AE8"/>
    <w:rsid w:val="00D55B55"/>
    <w:rsid w:val="00D56056"/>
    <w:rsid w:val="00D565E4"/>
    <w:rsid w:val="00D5690D"/>
    <w:rsid w:val="00D603C3"/>
    <w:rsid w:val="00D6085F"/>
    <w:rsid w:val="00D62699"/>
    <w:rsid w:val="00D63C47"/>
    <w:rsid w:val="00D649FB"/>
    <w:rsid w:val="00D6642C"/>
    <w:rsid w:val="00D70A91"/>
    <w:rsid w:val="00D72672"/>
    <w:rsid w:val="00D778E9"/>
    <w:rsid w:val="00D80D55"/>
    <w:rsid w:val="00D812BF"/>
    <w:rsid w:val="00D81FAA"/>
    <w:rsid w:val="00D82620"/>
    <w:rsid w:val="00D82D19"/>
    <w:rsid w:val="00D85707"/>
    <w:rsid w:val="00D86686"/>
    <w:rsid w:val="00D86C2F"/>
    <w:rsid w:val="00D873EE"/>
    <w:rsid w:val="00D92798"/>
    <w:rsid w:val="00D9725F"/>
    <w:rsid w:val="00DA01B1"/>
    <w:rsid w:val="00DA11A2"/>
    <w:rsid w:val="00DA14ED"/>
    <w:rsid w:val="00DA26D6"/>
    <w:rsid w:val="00DA3E3C"/>
    <w:rsid w:val="00DA504E"/>
    <w:rsid w:val="00DA63FE"/>
    <w:rsid w:val="00DB09D3"/>
    <w:rsid w:val="00DB0F05"/>
    <w:rsid w:val="00DB1E20"/>
    <w:rsid w:val="00DB231F"/>
    <w:rsid w:val="00DB26EC"/>
    <w:rsid w:val="00DB2EF1"/>
    <w:rsid w:val="00DB3DE1"/>
    <w:rsid w:val="00DB5417"/>
    <w:rsid w:val="00DB5DA0"/>
    <w:rsid w:val="00DB716C"/>
    <w:rsid w:val="00DC5C85"/>
    <w:rsid w:val="00DC7C5D"/>
    <w:rsid w:val="00DD03B6"/>
    <w:rsid w:val="00DD0EE1"/>
    <w:rsid w:val="00DD2DC3"/>
    <w:rsid w:val="00DD3967"/>
    <w:rsid w:val="00DD3A0B"/>
    <w:rsid w:val="00DD4236"/>
    <w:rsid w:val="00DD44F1"/>
    <w:rsid w:val="00DD50A9"/>
    <w:rsid w:val="00DD6957"/>
    <w:rsid w:val="00DD6E7A"/>
    <w:rsid w:val="00DD705A"/>
    <w:rsid w:val="00DE3067"/>
    <w:rsid w:val="00DE34A1"/>
    <w:rsid w:val="00DE38EA"/>
    <w:rsid w:val="00DE7EA1"/>
    <w:rsid w:val="00DF0879"/>
    <w:rsid w:val="00DF2046"/>
    <w:rsid w:val="00DF3EEE"/>
    <w:rsid w:val="00DF4380"/>
    <w:rsid w:val="00DF75E1"/>
    <w:rsid w:val="00E00BDB"/>
    <w:rsid w:val="00E027BC"/>
    <w:rsid w:val="00E045BE"/>
    <w:rsid w:val="00E048D5"/>
    <w:rsid w:val="00E1066B"/>
    <w:rsid w:val="00E10F0D"/>
    <w:rsid w:val="00E1133F"/>
    <w:rsid w:val="00E12F0D"/>
    <w:rsid w:val="00E14EA5"/>
    <w:rsid w:val="00E16BE7"/>
    <w:rsid w:val="00E16CC9"/>
    <w:rsid w:val="00E17C1B"/>
    <w:rsid w:val="00E17CEA"/>
    <w:rsid w:val="00E2008A"/>
    <w:rsid w:val="00E2070E"/>
    <w:rsid w:val="00E21133"/>
    <w:rsid w:val="00E21C08"/>
    <w:rsid w:val="00E222C4"/>
    <w:rsid w:val="00E2327E"/>
    <w:rsid w:val="00E23577"/>
    <w:rsid w:val="00E23C70"/>
    <w:rsid w:val="00E253CE"/>
    <w:rsid w:val="00E266EF"/>
    <w:rsid w:val="00E30C53"/>
    <w:rsid w:val="00E32467"/>
    <w:rsid w:val="00E326A8"/>
    <w:rsid w:val="00E40454"/>
    <w:rsid w:val="00E47309"/>
    <w:rsid w:val="00E47428"/>
    <w:rsid w:val="00E47DC7"/>
    <w:rsid w:val="00E54E3B"/>
    <w:rsid w:val="00E565CB"/>
    <w:rsid w:val="00E56AA9"/>
    <w:rsid w:val="00E56C8E"/>
    <w:rsid w:val="00E5716B"/>
    <w:rsid w:val="00E5752D"/>
    <w:rsid w:val="00E57CFA"/>
    <w:rsid w:val="00E57F1F"/>
    <w:rsid w:val="00E60752"/>
    <w:rsid w:val="00E634C0"/>
    <w:rsid w:val="00E64DE3"/>
    <w:rsid w:val="00E65DF9"/>
    <w:rsid w:val="00E66B9F"/>
    <w:rsid w:val="00E67B4B"/>
    <w:rsid w:val="00E70A6A"/>
    <w:rsid w:val="00E710D6"/>
    <w:rsid w:val="00E734E9"/>
    <w:rsid w:val="00E7375F"/>
    <w:rsid w:val="00E73BC4"/>
    <w:rsid w:val="00E73DA4"/>
    <w:rsid w:val="00E74323"/>
    <w:rsid w:val="00E751A1"/>
    <w:rsid w:val="00E76E45"/>
    <w:rsid w:val="00E775C6"/>
    <w:rsid w:val="00E777C9"/>
    <w:rsid w:val="00E77887"/>
    <w:rsid w:val="00E80CE4"/>
    <w:rsid w:val="00E81DA6"/>
    <w:rsid w:val="00E81FF6"/>
    <w:rsid w:val="00E829EF"/>
    <w:rsid w:val="00E83741"/>
    <w:rsid w:val="00E83BF3"/>
    <w:rsid w:val="00E84212"/>
    <w:rsid w:val="00E8439C"/>
    <w:rsid w:val="00E86FFA"/>
    <w:rsid w:val="00E9086C"/>
    <w:rsid w:val="00E90AAA"/>
    <w:rsid w:val="00E91A0F"/>
    <w:rsid w:val="00E91CD6"/>
    <w:rsid w:val="00E93671"/>
    <w:rsid w:val="00E94009"/>
    <w:rsid w:val="00E949FB"/>
    <w:rsid w:val="00E94A71"/>
    <w:rsid w:val="00E94CBF"/>
    <w:rsid w:val="00E9575F"/>
    <w:rsid w:val="00E9772F"/>
    <w:rsid w:val="00EA03CE"/>
    <w:rsid w:val="00EA0CE8"/>
    <w:rsid w:val="00EA23E5"/>
    <w:rsid w:val="00EA43D9"/>
    <w:rsid w:val="00EA43E6"/>
    <w:rsid w:val="00EA4E2E"/>
    <w:rsid w:val="00EA5E8D"/>
    <w:rsid w:val="00EA6179"/>
    <w:rsid w:val="00EA7573"/>
    <w:rsid w:val="00EA7A61"/>
    <w:rsid w:val="00EB2417"/>
    <w:rsid w:val="00EB2CCB"/>
    <w:rsid w:val="00EB2E68"/>
    <w:rsid w:val="00EB40FA"/>
    <w:rsid w:val="00EB50F7"/>
    <w:rsid w:val="00EB6502"/>
    <w:rsid w:val="00EB7A25"/>
    <w:rsid w:val="00EC0F3E"/>
    <w:rsid w:val="00EC1671"/>
    <w:rsid w:val="00EC1760"/>
    <w:rsid w:val="00EC57A7"/>
    <w:rsid w:val="00EC5E92"/>
    <w:rsid w:val="00EC64CD"/>
    <w:rsid w:val="00ED0817"/>
    <w:rsid w:val="00ED0EA8"/>
    <w:rsid w:val="00ED0F62"/>
    <w:rsid w:val="00ED4C39"/>
    <w:rsid w:val="00ED514E"/>
    <w:rsid w:val="00ED649D"/>
    <w:rsid w:val="00ED7DD9"/>
    <w:rsid w:val="00EE0568"/>
    <w:rsid w:val="00EE2DC4"/>
    <w:rsid w:val="00EE445B"/>
    <w:rsid w:val="00EE66FD"/>
    <w:rsid w:val="00EE7E3D"/>
    <w:rsid w:val="00EF2BB3"/>
    <w:rsid w:val="00EF3113"/>
    <w:rsid w:val="00EF3815"/>
    <w:rsid w:val="00EF3F84"/>
    <w:rsid w:val="00EF7270"/>
    <w:rsid w:val="00F00801"/>
    <w:rsid w:val="00F01884"/>
    <w:rsid w:val="00F02DAA"/>
    <w:rsid w:val="00F06330"/>
    <w:rsid w:val="00F07E82"/>
    <w:rsid w:val="00F11CCD"/>
    <w:rsid w:val="00F12891"/>
    <w:rsid w:val="00F137CE"/>
    <w:rsid w:val="00F13CB4"/>
    <w:rsid w:val="00F1623B"/>
    <w:rsid w:val="00F1648A"/>
    <w:rsid w:val="00F176AC"/>
    <w:rsid w:val="00F1779C"/>
    <w:rsid w:val="00F21689"/>
    <w:rsid w:val="00F229C3"/>
    <w:rsid w:val="00F23E5E"/>
    <w:rsid w:val="00F26F28"/>
    <w:rsid w:val="00F27714"/>
    <w:rsid w:val="00F27C2C"/>
    <w:rsid w:val="00F31A4D"/>
    <w:rsid w:val="00F3246B"/>
    <w:rsid w:val="00F3276E"/>
    <w:rsid w:val="00F32A8B"/>
    <w:rsid w:val="00F33D3C"/>
    <w:rsid w:val="00F37A91"/>
    <w:rsid w:val="00F408A0"/>
    <w:rsid w:val="00F41402"/>
    <w:rsid w:val="00F417F2"/>
    <w:rsid w:val="00F4218A"/>
    <w:rsid w:val="00F42AFE"/>
    <w:rsid w:val="00F4355C"/>
    <w:rsid w:val="00F448C2"/>
    <w:rsid w:val="00F45A90"/>
    <w:rsid w:val="00F45CF5"/>
    <w:rsid w:val="00F45F93"/>
    <w:rsid w:val="00F47DB0"/>
    <w:rsid w:val="00F50C3F"/>
    <w:rsid w:val="00F50E34"/>
    <w:rsid w:val="00F51AFB"/>
    <w:rsid w:val="00F52B78"/>
    <w:rsid w:val="00F5366E"/>
    <w:rsid w:val="00F53EF7"/>
    <w:rsid w:val="00F54BF2"/>
    <w:rsid w:val="00F555B6"/>
    <w:rsid w:val="00F61568"/>
    <w:rsid w:val="00F70E25"/>
    <w:rsid w:val="00F72408"/>
    <w:rsid w:val="00F726B6"/>
    <w:rsid w:val="00F741A8"/>
    <w:rsid w:val="00F75AEE"/>
    <w:rsid w:val="00F775AC"/>
    <w:rsid w:val="00F778C7"/>
    <w:rsid w:val="00F779C5"/>
    <w:rsid w:val="00F8123F"/>
    <w:rsid w:val="00F81CB8"/>
    <w:rsid w:val="00F832D4"/>
    <w:rsid w:val="00F83387"/>
    <w:rsid w:val="00F8792F"/>
    <w:rsid w:val="00F9080F"/>
    <w:rsid w:val="00F90BEB"/>
    <w:rsid w:val="00F9214D"/>
    <w:rsid w:val="00F92355"/>
    <w:rsid w:val="00F93963"/>
    <w:rsid w:val="00F93F50"/>
    <w:rsid w:val="00F94291"/>
    <w:rsid w:val="00F94530"/>
    <w:rsid w:val="00F9491F"/>
    <w:rsid w:val="00F95A07"/>
    <w:rsid w:val="00F967D0"/>
    <w:rsid w:val="00FA298A"/>
    <w:rsid w:val="00FA48DA"/>
    <w:rsid w:val="00FA51ED"/>
    <w:rsid w:val="00FA5317"/>
    <w:rsid w:val="00FA5B66"/>
    <w:rsid w:val="00FA64DE"/>
    <w:rsid w:val="00FB0B9C"/>
    <w:rsid w:val="00FB0D49"/>
    <w:rsid w:val="00FB30EB"/>
    <w:rsid w:val="00FB41BD"/>
    <w:rsid w:val="00FB4F42"/>
    <w:rsid w:val="00FB7982"/>
    <w:rsid w:val="00FC0734"/>
    <w:rsid w:val="00FC0FC5"/>
    <w:rsid w:val="00FC4763"/>
    <w:rsid w:val="00FC588F"/>
    <w:rsid w:val="00FC6879"/>
    <w:rsid w:val="00FC7214"/>
    <w:rsid w:val="00FC7A24"/>
    <w:rsid w:val="00FD3433"/>
    <w:rsid w:val="00FD43C2"/>
    <w:rsid w:val="00FD4947"/>
    <w:rsid w:val="00FD57CC"/>
    <w:rsid w:val="00FE1B30"/>
    <w:rsid w:val="00FE21D6"/>
    <w:rsid w:val="00FE3526"/>
    <w:rsid w:val="00FE479D"/>
    <w:rsid w:val="00FE4D6C"/>
    <w:rsid w:val="00FE5D54"/>
    <w:rsid w:val="00FE6026"/>
    <w:rsid w:val="00FE6AC3"/>
    <w:rsid w:val="00FE7840"/>
    <w:rsid w:val="00FE7B44"/>
    <w:rsid w:val="00FF138E"/>
    <w:rsid w:val="00FF1CC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996B29"/>
  <w15:docId w15:val="{3312FCEF-350F-4848-8D55-3864C86F6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1765E0"/>
    <w:pPr>
      <w:spacing w:line="360" w:lineRule="auto"/>
      <w:jc w:val="both"/>
    </w:pPr>
    <w:rPr>
      <w:sz w:val="24"/>
      <w:lang w:eastAsia="en-US"/>
    </w:rPr>
  </w:style>
  <w:style w:type="paragraph" w:styleId="Heading1">
    <w:name w:val="heading 1"/>
    <w:basedOn w:val="Normal"/>
    <w:next w:val="ParaNumbering"/>
    <w:qFormat/>
    <w:pPr>
      <w:keepNext/>
      <w:spacing w:before="240" w:after="60" w:line="240" w:lineRule="auto"/>
      <w:outlineLvl w:val="0"/>
    </w:pPr>
    <w:rPr>
      <w:b/>
      <w:caps/>
      <w:kern w:val="28"/>
    </w:rPr>
  </w:style>
  <w:style w:type="paragraph" w:styleId="Heading2">
    <w:name w:val="heading 2"/>
    <w:basedOn w:val="Normal"/>
    <w:next w:val="ParaNumbering"/>
    <w:qFormat/>
    <w:pPr>
      <w:keepNext/>
      <w:spacing w:before="240" w:after="60" w:line="240" w:lineRule="auto"/>
      <w:outlineLvl w:val="1"/>
    </w:pPr>
    <w:rPr>
      <w:b/>
      <w:szCs w:val="24"/>
    </w:rPr>
  </w:style>
  <w:style w:type="paragraph" w:styleId="Heading3">
    <w:name w:val="heading 3"/>
    <w:basedOn w:val="Normal"/>
    <w:next w:val="ParaNumbering"/>
    <w:qFormat/>
    <w:pPr>
      <w:keepNext/>
      <w:spacing w:before="240" w:after="60" w:line="240" w:lineRule="auto"/>
      <w:outlineLvl w:val="2"/>
    </w:pPr>
    <w:rPr>
      <w:b/>
      <w:i/>
    </w:rPr>
  </w:style>
  <w:style w:type="paragraph" w:styleId="Heading4">
    <w:name w:val="heading 4"/>
    <w:basedOn w:val="Normal"/>
    <w:next w:val="ParaNumbering"/>
    <w:qFormat/>
    <w:rsid w:val="009F5C33"/>
    <w:pPr>
      <w:keepNext/>
      <w:spacing w:before="240" w:after="60" w:line="240" w:lineRule="auto"/>
      <w:jc w:val="left"/>
      <w:outlineLvl w:val="3"/>
    </w:pPr>
    <w:rPr>
      <w:i/>
      <w:szCs w:val="24"/>
    </w:rPr>
  </w:style>
  <w:style w:type="paragraph" w:styleId="Heading5">
    <w:name w:val="heading 5"/>
    <w:basedOn w:val="fcHeading1"/>
    <w:next w:val="ParaNumbering"/>
    <w:qFormat/>
    <w:rsid w:val="000E7BAE"/>
    <w:pPr>
      <w:outlineLvl w:val="4"/>
    </w:pPr>
    <w:rPr>
      <w:caps w:val="0"/>
    </w:rPr>
  </w:style>
  <w:style w:type="paragraph" w:styleId="Heading6">
    <w:name w:val="heading 6"/>
    <w:basedOn w:val="fcHeading2"/>
    <w:next w:val="ParaNumbering"/>
    <w:qFormat/>
    <w:pPr>
      <w:outlineLvl w:val="5"/>
    </w:pPr>
  </w:style>
  <w:style w:type="paragraph" w:styleId="Heading7">
    <w:name w:val="heading 7"/>
    <w:basedOn w:val="fcHeading3"/>
    <w:next w:val="ParaNumbering"/>
    <w:qFormat/>
    <w:rsid w:val="00635B36"/>
    <w:pPr>
      <w:outlineLvl w:val="6"/>
    </w:pPr>
    <w:rPr>
      <w:i w:val="0"/>
    </w:rPr>
  </w:style>
  <w:style w:type="paragraph" w:styleId="Heading8">
    <w:name w:val="heading 8"/>
    <w:basedOn w:val="fcHeading4"/>
    <w:next w:val="ParaNumbering"/>
    <w:rsid w:val="00635B36"/>
    <w:pPr>
      <w:outlineLvl w:val="7"/>
    </w:pPr>
    <w:rPr>
      <w:smallCaps w:val="0"/>
    </w:rPr>
  </w:style>
  <w:style w:type="paragraph" w:styleId="Heading9">
    <w:name w:val="heading 9"/>
    <w:basedOn w:val="fcHeading5"/>
    <w:next w:val="ParaNumbering"/>
    <w:rsid w:val="00635B36"/>
    <w:pPr>
      <w:outlineLvl w:val="8"/>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ersPage">
    <w:name w:val="OrdersPage"/>
    <w:basedOn w:val="Normal"/>
    <w:semiHidden/>
    <w:pPr>
      <w:spacing w:line="240" w:lineRule="auto"/>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ParaNumbering">
    <w:name w:val="ParaNumbering"/>
    <w:basedOn w:val="Normal"/>
    <w:rsid w:val="00967855"/>
    <w:pPr>
      <w:numPr>
        <w:numId w:val="1"/>
      </w:numPr>
      <w:tabs>
        <w:tab w:val="clear" w:pos="720"/>
      </w:tabs>
      <w:spacing w:before="180" w:after="180"/>
    </w:pPr>
  </w:style>
  <w:style w:type="paragraph" w:customStyle="1" w:styleId="Quote1">
    <w:name w:val="Quote1"/>
    <w:rsid w:val="00960ECB"/>
    <w:pPr>
      <w:widowControl w:val="0"/>
      <w:spacing w:after="180"/>
      <w:ind w:left="737" w:right="737"/>
      <w:jc w:val="both"/>
    </w:pPr>
    <w:rPr>
      <w:sz w:val="22"/>
      <w:lang w:eastAsia="en-US"/>
    </w:rPr>
  </w:style>
  <w:style w:type="paragraph" w:customStyle="1" w:styleId="NormalHeadings">
    <w:name w:val="Normal Headings"/>
    <w:link w:val="NormalHeadingsChar"/>
    <w:pPr>
      <w:widowControl w:val="0"/>
      <w:jc w:val="both"/>
    </w:pPr>
    <w:rPr>
      <w:b/>
      <w:sz w:val="24"/>
      <w:lang w:eastAsia="en-US"/>
    </w:rPr>
  </w:style>
  <w:style w:type="table" w:styleId="TableGrid">
    <w:name w:val="Table Grid"/>
    <w:basedOn w:val="TableNormal"/>
    <w:semiHidden/>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aNeutralStyle">
    <w:name w:val="Media Neutral Style"/>
    <w:basedOn w:val="Normal"/>
    <w:next w:val="Normal1linespace"/>
    <w:semiHidden/>
    <w:pPr>
      <w:spacing w:before="20" w:after="20"/>
      <w:jc w:val="center"/>
    </w:pPr>
    <w:rPr>
      <w:b/>
      <w:sz w:val="26"/>
    </w:rPr>
  </w:style>
  <w:style w:type="paragraph" w:customStyle="1" w:styleId="Normal1linespace">
    <w:name w:val="Normal1linespace"/>
    <w:basedOn w:val="Normal"/>
    <w:pPr>
      <w:spacing w:line="240" w:lineRule="auto"/>
    </w:pPr>
  </w:style>
  <w:style w:type="paragraph" w:styleId="BalloonText">
    <w:name w:val="Balloon Text"/>
    <w:basedOn w:val="Normal"/>
    <w:semiHidden/>
    <w:rPr>
      <w:rFonts w:ascii="Tahoma" w:hAnsi="Tahoma" w:cs="Tahoma"/>
      <w:sz w:val="16"/>
      <w:szCs w:val="16"/>
    </w:rPr>
  </w:style>
  <w:style w:type="paragraph" w:customStyle="1" w:styleId="StyleBold">
    <w:name w:val="Style Bold"/>
    <w:basedOn w:val="Normal"/>
    <w:next w:val="BodyText"/>
    <w:semiHidden/>
    <w:rPr>
      <w:szCs w:val="24"/>
    </w:rPr>
  </w:style>
  <w:style w:type="paragraph" w:customStyle="1" w:styleId="Bold">
    <w:name w:val="Bold"/>
    <w:basedOn w:val="Normal"/>
    <w:next w:val="Normal"/>
    <w:semiHidden/>
    <w:pPr>
      <w:suppressAutoHyphens/>
      <w:jc w:val="left"/>
    </w:pPr>
    <w:rPr>
      <w:b/>
      <w:szCs w:val="24"/>
    </w:rPr>
  </w:style>
  <w:style w:type="paragraph" w:customStyle="1" w:styleId="Certify">
    <w:name w:val="Certify"/>
    <w:basedOn w:val="Normal"/>
    <w:link w:val="CertifyChar"/>
    <w:semiHidden/>
    <w:pPr>
      <w:spacing w:line="240" w:lineRule="auto"/>
    </w:pPr>
    <w:rPr>
      <w:szCs w:val="24"/>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FCBullets">
    <w:name w:val="FCBullets"/>
    <w:basedOn w:val="Normal"/>
    <w:rsid w:val="001C2FE0"/>
    <w:pPr>
      <w:numPr>
        <w:numId w:val="25"/>
      </w:numPr>
      <w:spacing w:before="60" w:after="60"/>
    </w:pPr>
  </w:style>
  <w:style w:type="paragraph" w:customStyle="1" w:styleId="JudgeStyle">
    <w:name w:val="JudgeStyle"/>
    <w:basedOn w:val="Heading1"/>
    <w:next w:val="ParaNumbering"/>
    <w:semiHidden/>
  </w:style>
  <w:style w:type="paragraph" w:styleId="TOC1">
    <w:name w:val="toc 1"/>
    <w:basedOn w:val="Normal"/>
    <w:next w:val="Normal"/>
    <w:autoRedefine/>
    <w:semiHidden/>
    <w:pPr>
      <w:tabs>
        <w:tab w:val="right" w:leader="dot" w:pos="9071"/>
      </w:tabs>
    </w:pPr>
  </w:style>
  <w:style w:type="paragraph" w:styleId="TOC2">
    <w:name w:val="toc 2"/>
    <w:basedOn w:val="Normal"/>
    <w:next w:val="Normal"/>
    <w:autoRedefine/>
    <w:semiHidden/>
    <w:pPr>
      <w:tabs>
        <w:tab w:val="right" w:leader="dot" w:pos="9071"/>
      </w:tabs>
      <w:ind w:left="240"/>
    </w:pPr>
  </w:style>
  <w:style w:type="paragraph" w:styleId="TOC3">
    <w:name w:val="toc 3"/>
    <w:basedOn w:val="Normal"/>
    <w:next w:val="Normal"/>
    <w:autoRedefine/>
    <w:semiHidden/>
    <w:pPr>
      <w:tabs>
        <w:tab w:val="right" w:leader="dot" w:pos="9071"/>
      </w:tabs>
      <w:ind w:left="480"/>
    </w:pPr>
  </w:style>
  <w:style w:type="paragraph" w:styleId="TOC4">
    <w:name w:val="toc 4"/>
    <w:basedOn w:val="Normal"/>
    <w:next w:val="Normal"/>
    <w:autoRedefine/>
    <w:semiHidden/>
    <w:pPr>
      <w:tabs>
        <w:tab w:val="right" w:leader="dot" w:pos="9071"/>
      </w:tabs>
      <w:ind w:left="720"/>
    </w:pPr>
  </w:style>
  <w:style w:type="paragraph" w:customStyle="1" w:styleId="NoNum">
    <w:name w:val="No Num"/>
    <w:basedOn w:val="Normal1linespace"/>
    <w:pPr>
      <w:spacing w:before="120" w:after="180" w:line="360" w:lineRule="auto"/>
    </w:pPr>
  </w:style>
  <w:style w:type="paragraph" w:customStyle="1" w:styleId="AppealTable">
    <w:name w:val="AppealTable"/>
    <w:basedOn w:val="Normal"/>
    <w:unhideWhenUsed/>
    <w:pPr>
      <w:spacing w:line="240" w:lineRule="auto"/>
      <w:jc w:val="left"/>
    </w:pPr>
    <w:rPr>
      <w:b/>
      <w:caps/>
      <w:sz w:val="22"/>
      <w:szCs w:val="22"/>
    </w:rPr>
  </w:style>
  <w:style w:type="paragraph" w:customStyle="1" w:styleId="Quote3">
    <w:name w:val="Quote3"/>
    <w:basedOn w:val="Quote1"/>
    <w:pPr>
      <w:ind w:left="2160"/>
    </w:pPr>
  </w:style>
  <w:style w:type="paragraph" w:customStyle="1" w:styleId="Quote2">
    <w:name w:val="Quote2"/>
    <w:basedOn w:val="Quote1"/>
    <w:pPr>
      <w:ind w:left="1440"/>
    </w:pPr>
  </w:style>
  <w:style w:type="paragraph" w:customStyle="1" w:styleId="FTOC1">
    <w:name w:val="FTOC 1"/>
    <w:basedOn w:val="Normal"/>
    <w:semiHidden/>
    <w:rsid w:val="00681ADF"/>
    <w:pPr>
      <w:tabs>
        <w:tab w:val="right" w:leader="dot" w:pos="9072"/>
      </w:tabs>
      <w:spacing w:before="120" w:after="60" w:line="240" w:lineRule="auto"/>
      <w:jc w:val="left"/>
    </w:pPr>
    <w:rPr>
      <w:b/>
      <w:caps/>
      <w:kern w:val="28"/>
    </w:rPr>
  </w:style>
  <w:style w:type="paragraph" w:customStyle="1" w:styleId="ListNo1">
    <w:name w:val="List No 1"/>
    <w:basedOn w:val="Normal"/>
    <w:rsid w:val="0052098C"/>
    <w:pPr>
      <w:numPr>
        <w:numId w:val="22"/>
      </w:numPr>
      <w:spacing w:before="60" w:after="60"/>
    </w:pPr>
  </w:style>
  <w:style w:type="paragraph" w:customStyle="1" w:styleId="FTOC2">
    <w:name w:val="FTOC 2"/>
    <w:basedOn w:val="Normal"/>
    <w:semiHidden/>
    <w:rsid w:val="00681ADF"/>
    <w:pPr>
      <w:tabs>
        <w:tab w:val="right" w:leader="dot" w:pos="9072"/>
      </w:tabs>
      <w:spacing w:before="120" w:after="60" w:line="240" w:lineRule="auto"/>
      <w:ind w:left="238"/>
      <w:jc w:val="left"/>
    </w:pPr>
    <w:rPr>
      <w:b/>
    </w:rPr>
  </w:style>
  <w:style w:type="paragraph" w:customStyle="1" w:styleId="FTOC3">
    <w:name w:val="FTOC 3"/>
    <w:basedOn w:val="Normal"/>
    <w:semiHidden/>
    <w:rsid w:val="00681ADF"/>
    <w:pPr>
      <w:tabs>
        <w:tab w:val="right" w:leader="dot" w:pos="9072"/>
      </w:tabs>
      <w:spacing w:before="120" w:after="60" w:line="240" w:lineRule="auto"/>
      <w:ind w:left="482"/>
      <w:jc w:val="left"/>
    </w:pPr>
    <w:rPr>
      <w:b/>
      <w:i/>
    </w:rPr>
  </w:style>
  <w:style w:type="paragraph" w:customStyle="1" w:styleId="FTOC4">
    <w:name w:val="FTOC 4"/>
    <w:basedOn w:val="Normal"/>
    <w:semiHidden/>
    <w:rsid w:val="00681ADF"/>
    <w:pPr>
      <w:tabs>
        <w:tab w:val="right" w:leader="dot" w:pos="9072"/>
      </w:tabs>
      <w:spacing w:before="120" w:after="60" w:line="240" w:lineRule="auto"/>
      <w:ind w:left="720"/>
      <w:jc w:val="left"/>
    </w:pPr>
    <w:rPr>
      <w:i/>
    </w:rPr>
  </w:style>
  <w:style w:type="paragraph" w:styleId="TOC5">
    <w:name w:val="toc 5"/>
    <w:basedOn w:val="Normal"/>
    <w:next w:val="Normal"/>
    <w:autoRedefine/>
    <w:semiHidden/>
    <w:pPr>
      <w:tabs>
        <w:tab w:val="right" w:leader="dot" w:pos="9072"/>
      </w:tabs>
      <w:ind w:left="960"/>
    </w:pPr>
  </w:style>
  <w:style w:type="numbering" w:styleId="111111">
    <w:name w:val="Outline List 2"/>
    <w:basedOn w:val="NoList"/>
    <w:semiHidden/>
    <w:pPr>
      <w:numPr>
        <w:numId w:val="12"/>
      </w:numPr>
    </w:pPr>
  </w:style>
  <w:style w:type="numbering" w:styleId="1ai">
    <w:name w:val="Outline List 1"/>
    <w:basedOn w:val="NoList"/>
    <w:semiHidden/>
    <w:pPr>
      <w:numPr>
        <w:numId w:val="13"/>
      </w:numPr>
    </w:pPr>
  </w:style>
  <w:style w:type="numbering" w:styleId="ArticleSection">
    <w:name w:val="Outline List 3"/>
    <w:basedOn w:val="NoList"/>
    <w:semiHidden/>
    <w:pPr>
      <w:numPr>
        <w:numId w:val="14"/>
      </w:numPr>
    </w:pPr>
  </w:style>
  <w:style w:type="paragraph" w:styleId="BodyText">
    <w:name w:val="Body Text"/>
    <w:basedOn w:val="Normal"/>
    <w:link w:val="BodyTextChar"/>
    <w:qFormat/>
    <w:rsid w:val="002B0E91"/>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semiHidden/>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uiPriority w:val="99"/>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2"/>
      </w:numPr>
    </w:pPr>
  </w:style>
  <w:style w:type="paragraph" w:styleId="ListBullet2">
    <w:name w:val="List Bullet 2"/>
    <w:basedOn w:val="Normal"/>
    <w:semiHidden/>
    <w:pPr>
      <w:numPr>
        <w:numId w:val="3"/>
      </w:numPr>
    </w:pPr>
  </w:style>
  <w:style w:type="paragraph" w:styleId="ListBullet3">
    <w:name w:val="List Bullet 3"/>
    <w:basedOn w:val="Normal"/>
    <w:semiHidden/>
    <w:pPr>
      <w:numPr>
        <w:numId w:val="4"/>
      </w:numPr>
    </w:pPr>
  </w:style>
  <w:style w:type="paragraph" w:styleId="ListBullet4">
    <w:name w:val="List Bullet 4"/>
    <w:basedOn w:val="Normal"/>
    <w:semiHidden/>
    <w:pPr>
      <w:numPr>
        <w:numId w:val="5"/>
      </w:numPr>
    </w:pPr>
  </w:style>
  <w:style w:type="paragraph" w:styleId="ListBullet5">
    <w:name w:val="List Bullet 5"/>
    <w:basedOn w:val="Normal"/>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semiHidden/>
    <w:rPr>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semiHidden/>
    <w:rPr>
      <w:b/>
      <w:bCs/>
    </w:rPr>
  </w:style>
  <w:style w:type="paragraph" w:styleId="Subtitle">
    <w:name w:val="Subtitle"/>
    <w:basedOn w:val="Normal"/>
    <w:semiHidden/>
    <w:pPr>
      <w:spacing w:after="60"/>
      <w:jc w:val="center"/>
      <w:outlineLvl w:val="1"/>
    </w:pPr>
    <w:rPr>
      <w:rFonts w:ascii="Arial" w:hAnsi="Arial" w:cs="Arial"/>
      <w:szCs w:val="24"/>
    </w:rPr>
  </w:style>
  <w:style w:type="table" w:styleId="Table3Deffects1">
    <w:name w:val="Table 3D effects 1"/>
    <w:basedOn w:val="TableNormal"/>
    <w:semiHidden/>
    <w:pPr>
      <w:spacing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line="36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line="36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line="36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TOC1">
    <w:name w:val="bTOC 1"/>
    <w:basedOn w:val="TOC1"/>
    <w:rsid w:val="00323061"/>
    <w:pPr>
      <w:spacing w:before="120" w:after="60" w:line="240" w:lineRule="auto"/>
      <w:jc w:val="left"/>
    </w:pPr>
  </w:style>
  <w:style w:type="paragraph" w:customStyle="1" w:styleId="bTOC2">
    <w:name w:val="bTOC 2"/>
    <w:basedOn w:val="TOC2"/>
    <w:semiHidden/>
    <w:rsid w:val="00323061"/>
    <w:pPr>
      <w:spacing w:before="120" w:after="60" w:line="240" w:lineRule="auto"/>
      <w:ind w:left="238"/>
      <w:jc w:val="left"/>
    </w:pPr>
  </w:style>
  <w:style w:type="paragraph" w:customStyle="1" w:styleId="bTOC3">
    <w:name w:val="bTOC 3"/>
    <w:basedOn w:val="TOC3"/>
    <w:semiHidden/>
    <w:rsid w:val="00323061"/>
    <w:pPr>
      <w:spacing w:before="120" w:after="60" w:line="240" w:lineRule="auto"/>
      <w:ind w:left="482"/>
      <w:jc w:val="left"/>
    </w:pPr>
  </w:style>
  <w:style w:type="paragraph" w:customStyle="1" w:styleId="bTOC4">
    <w:name w:val="bTOC 4"/>
    <w:basedOn w:val="TOC4"/>
    <w:semiHidden/>
    <w:rsid w:val="00323061"/>
    <w:pPr>
      <w:spacing w:before="120" w:after="60" w:line="240" w:lineRule="auto"/>
      <w:jc w:val="left"/>
    </w:pPr>
  </w:style>
  <w:style w:type="paragraph" w:customStyle="1" w:styleId="Counsel">
    <w:name w:val="Counsel"/>
    <w:basedOn w:val="Normal"/>
    <w:unhideWhenUsed/>
    <w:pPr>
      <w:widowControl w:val="0"/>
      <w:suppressAutoHyphens/>
      <w:spacing w:line="240" w:lineRule="auto"/>
    </w:pPr>
  </w:style>
  <w:style w:type="character" w:customStyle="1" w:styleId="CertifyChar">
    <w:name w:val="Certify Char"/>
    <w:link w:val="Certify"/>
    <w:rPr>
      <w:sz w:val="24"/>
      <w:szCs w:val="24"/>
      <w:lang w:val="en-AU" w:eastAsia="en-US" w:bidi="ar-SA"/>
    </w:rPr>
  </w:style>
  <w:style w:type="paragraph" w:customStyle="1" w:styleId="fcHeading1">
    <w:name w:val="fcHeading 1"/>
    <w:basedOn w:val="Normal"/>
    <w:next w:val="ParaNumbering"/>
    <w:semiHidden/>
    <w:pPr>
      <w:keepNext/>
      <w:numPr>
        <w:numId w:val="15"/>
      </w:numPr>
      <w:spacing w:before="240" w:after="60" w:line="240" w:lineRule="auto"/>
    </w:pPr>
    <w:rPr>
      <w:b/>
      <w:caps/>
      <w:kern w:val="28"/>
    </w:rPr>
  </w:style>
  <w:style w:type="paragraph" w:customStyle="1" w:styleId="fcHeading2">
    <w:name w:val="fcHeading 2"/>
    <w:basedOn w:val="Normal"/>
    <w:next w:val="ParaNumbering"/>
    <w:semiHidden/>
    <w:pPr>
      <w:keepNext/>
      <w:numPr>
        <w:ilvl w:val="1"/>
        <w:numId w:val="15"/>
      </w:numPr>
      <w:spacing w:before="240" w:after="60" w:line="240" w:lineRule="auto"/>
    </w:pPr>
    <w:rPr>
      <w:b/>
    </w:rPr>
  </w:style>
  <w:style w:type="paragraph" w:customStyle="1" w:styleId="fcHeading3">
    <w:name w:val="fcHeading 3"/>
    <w:basedOn w:val="Normal"/>
    <w:next w:val="ParaNumbering"/>
    <w:semiHidden/>
    <w:pPr>
      <w:keepNext/>
      <w:numPr>
        <w:ilvl w:val="2"/>
        <w:numId w:val="15"/>
      </w:numPr>
      <w:spacing w:before="240" w:after="60" w:line="240" w:lineRule="auto"/>
    </w:pPr>
    <w:rPr>
      <w:b/>
      <w:i/>
    </w:rPr>
  </w:style>
  <w:style w:type="paragraph" w:customStyle="1" w:styleId="fcHeading4">
    <w:name w:val="fcHeading 4"/>
    <w:basedOn w:val="Normal"/>
    <w:next w:val="ParaNumbering"/>
    <w:semiHidden/>
    <w:pPr>
      <w:keepNext/>
      <w:numPr>
        <w:ilvl w:val="3"/>
        <w:numId w:val="15"/>
      </w:numPr>
      <w:spacing w:before="240" w:after="60" w:line="240" w:lineRule="auto"/>
    </w:pPr>
    <w:rPr>
      <w:b/>
      <w:smallCaps/>
    </w:rPr>
  </w:style>
  <w:style w:type="paragraph" w:customStyle="1" w:styleId="fcHeading5">
    <w:name w:val="fcHeading 5"/>
    <w:basedOn w:val="Normal"/>
    <w:next w:val="ParaNumbering"/>
    <w:semiHidden/>
    <w:pPr>
      <w:keepNext/>
      <w:numPr>
        <w:ilvl w:val="4"/>
        <w:numId w:val="15"/>
      </w:numPr>
      <w:spacing w:before="240" w:after="60" w:line="240" w:lineRule="auto"/>
    </w:pPr>
    <w:rPr>
      <w:b/>
      <w:caps/>
    </w:rPr>
  </w:style>
  <w:style w:type="paragraph" w:customStyle="1" w:styleId="FTOC5">
    <w:name w:val="FTOC 5"/>
    <w:basedOn w:val="Normal"/>
    <w:semiHidden/>
    <w:rsid w:val="006516D8"/>
    <w:pPr>
      <w:tabs>
        <w:tab w:val="right" w:leader="dot" w:pos="9072"/>
      </w:tabs>
      <w:spacing w:before="120" w:after="60" w:line="240" w:lineRule="auto"/>
      <w:ind w:left="567" w:hanging="567"/>
      <w:jc w:val="left"/>
    </w:pPr>
    <w:rPr>
      <w:b/>
      <w:kern w:val="28"/>
    </w:rPr>
  </w:style>
  <w:style w:type="paragraph" w:customStyle="1" w:styleId="FTOC6">
    <w:name w:val="FTOC 6"/>
    <w:basedOn w:val="Normal"/>
    <w:semiHidden/>
    <w:rsid w:val="006516D8"/>
    <w:pPr>
      <w:tabs>
        <w:tab w:val="right" w:leader="dot" w:pos="9072"/>
      </w:tabs>
      <w:spacing w:before="120" w:after="60" w:line="240" w:lineRule="auto"/>
      <w:ind w:left="1304" w:hanging="737"/>
      <w:jc w:val="left"/>
    </w:pPr>
    <w:rPr>
      <w:b/>
    </w:rPr>
  </w:style>
  <w:style w:type="paragraph" w:customStyle="1" w:styleId="FTOC7">
    <w:name w:val="FTOC 7"/>
    <w:basedOn w:val="Normal"/>
    <w:semiHidden/>
    <w:rsid w:val="006516D8"/>
    <w:pPr>
      <w:tabs>
        <w:tab w:val="right" w:leader="dot" w:pos="9072"/>
      </w:tabs>
      <w:spacing w:before="120" w:after="60" w:line="240" w:lineRule="auto"/>
      <w:ind w:left="2325" w:hanging="1021"/>
      <w:jc w:val="left"/>
    </w:pPr>
    <w:rPr>
      <w:b/>
    </w:rPr>
  </w:style>
  <w:style w:type="paragraph" w:customStyle="1" w:styleId="FTOC8">
    <w:name w:val="FTOC 8"/>
    <w:basedOn w:val="Normal"/>
    <w:semiHidden/>
    <w:rsid w:val="006516D8"/>
    <w:pPr>
      <w:tabs>
        <w:tab w:val="right" w:leader="dot" w:pos="9072"/>
      </w:tabs>
      <w:spacing w:before="120" w:after="60" w:line="240" w:lineRule="auto"/>
      <w:ind w:left="3232" w:hanging="1418"/>
      <w:jc w:val="left"/>
    </w:pPr>
    <w:rPr>
      <w:b/>
    </w:rPr>
  </w:style>
  <w:style w:type="paragraph" w:customStyle="1" w:styleId="FTOC9">
    <w:name w:val="FTOC 9"/>
    <w:basedOn w:val="Normal"/>
    <w:semiHidden/>
    <w:rsid w:val="006516D8"/>
    <w:pPr>
      <w:tabs>
        <w:tab w:val="right" w:leader="dot" w:pos="9072"/>
      </w:tabs>
      <w:spacing w:before="120" w:after="60" w:line="240" w:lineRule="auto"/>
      <w:ind w:left="4082" w:hanging="1701"/>
      <w:jc w:val="left"/>
    </w:pPr>
    <w:rPr>
      <w:b/>
    </w:rPr>
  </w:style>
  <w:style w:type="paragraph" w:customStyle="1" w:styleId="bTOC5">
    <w:name w:val="bTOC 5"/>
    <w:basedOn w:val="Normal"/>
    <w:semiHidden/>
    <w:rsid w:val="00323061"/>
    <w:pPr>
      <w:tabs>
        <w:tab w:val="right" w:leader="dot" w:pos="9072"/>
      </w:tabs>
      <w:spacing w:before="120" w:after="60" w:line="240" w:lineRule="auto"/>
      <w:ind w:left="709" w:hanging="709"/>
      <w:jc w:val="left"/>
    </w:pPr>
  </w:style>
  <w:style w:type="paragraph" w:customStyle="1" w:styleId="bTOC6">
    <w:name w:val="bTOC 6"/>
    <w:basedOn w:val="Normal"/>
    <w:semiHidden/>
    <w:rsid w:val="00323061"/>
    <w:pPr>
      <w:tabs>
        <w:tab w:val="right" w:leader="dot" w:pos="9072"/>
      </w:tabs>
      <w:spacing w:before="120" w:after="60" w:line="240" w:lineRule="auto"/>
      <w:ind w:left="1418" w:hanging="709"/>
      <w:jc w:val="left"/>
    </w:pPr>
  </w:style>
  <w:style w:type="paragraph" w:customStyle="1" w:styleId="bTOC7">
    <w:name w:val="bTOC 7"/>
    <w:basedOn w:val="Normal"/>
    <w:semiHidden/>
    <w:rsid w:val="00F51AFB"/>
    <w:pPr>
      <w:tabs>
        <w:tab w:val="right" w:leader="dot" w:pos="9072"/>
      </w:tabs>
      <w:spacing w:before="120" w:after="60" w:line="240" w:lineRule="auto"/>
      <w:ind w:left="2240" w:hanging="822"/>
      <w:jc w:val="left"/>
    </w:pPr>
  </w:style>
  <w:style w:type="paragraph" w:customStyle="1" w:styleId="bTOC8">
    <w:name w:val="bTOC 8"/>
    <w:basedOn w:val="Normal"/>
    <w:semiHidden/>
    <w:rsid w:val="00F51AFB"/>
    <w:pPr>
      <w:keepNext/>
      <w:tabs>
        <w:tab w:val="right" w:leader="dot" w:pos="9072"/>
      </w:tabs>
      <w:spacing w:before="120" w:after="60" w:line="240" w:lineRule="auto"/>
      <w:ind w:left="3373" w:hanging="1247"/>
      <w:jc w:val="left"/>
    </w:pPr>
  </w:style>
  <w:style w:type="paragraph" w:customStyle="1" w:styleId="bTOC9">
    <w:name w:val="bTOC 9"/>
    <w:basedOn w:val="Normal"/>
    <w:semiHidden/>
    <w:rsid w:val="00F51AFB"/>
    <w:pPr>
      <w:keepNext/>
      <w:tabs>
        <w:tab w:val="right" w:leader="dot" w:pos="9072"/>
      </w:tabs>
      <w:spacing w:before="120" w:after="60" w:line="240" w:lineRule="auto"/>
      <w:ind w:left="4082" w:hanging="1247"/>
      <w:jc w:val="left"/>
    </w:pPr>
  </w:style>
  <w:style w:type="paragraph" w:customStyle="1" w:styleId="ListNo2">
    <w:name w:val="List No 2"/>
    <w:basedOn w:val="ListNo1"/>
    <w:rsid w:val="0052098C"/>
    <w:pPr>
      <w:numPr>
        <w:ilvl w:val="1"/>
      </w:numPr>
    </w:pPr>
  </w:style>
  <w:style w:type="paragraph" w:customStyle="1" w:styleId="ListNo3">
    <w:name w:val="List No 3"/>
    <w:basedOn w:val="ListNo2"/>
    <w:rsid w:val="0052098C"/>
    <w:pPr>
      <w:numPr>
        <w:ilvl w:val="2"/>
      </w:numPr>
    </w:pPr>
  </w:style>
  <w:style w:type="numbering" w:customStyle="1" w:styleId="FCListNo">
    <w:name w:val="FCListNo"/>
    <w:uiPriority w:val="99"/>
    <w:rsid w:val="0052098C"/>
    <w:pPr>
      <w:numPr>
        <w:numId w:val="16"/>
      </w:numPr>
    </w:pPr>
  </w:style>
  <w:style w:type="paragraph" w:customStyle="1" w:styleId="SingleSpace">
    <w:name w:val="SingleSpace"/>
    <w:basedOn w:val="Normal"/>
    <w:rsid w:val="00055719"/>
    <w:pPr>
      <w:spacing w:line="240" w:lineRule="auto"/>
    </w:pPr>
    <w:rPr>
      <w:szCs w:val="22"/>
    </w:rPr>
  </w:style>
  <w:style w:type="paragraph" w:customStyle="1" w:styleId="Quote1Bullet">
    <w:name w:val="Quote1 Bullet"/>
    <w:basedOn w:val="Quote1"/>
    <w:rsid w:val="00EF3F84"/>
    <w:pPr>
      <w:numPr>
        <w:numId w:val="17"/>
      </w:numPr>
      <w:ind w:left="1440" w:hanging="720"/>
    </w:pPr>
  </w:style>
  <w:style w:type="paragraph" w:customStyle="1" w:styleId="Quote2Bullet">
    <w:name w:val="Quote2 Bullet"/>
    <w:basedOn w:val="Quote2"/>
    <w:rsid w:val="00EF3F84"/>
    <w:pPr>
      <w:numPr>
        <w:numId w:val="18"/>
      </w:numPr>
      <w:ind w:hanging="720"/>
    </w:pPr>
  </w:style>
  <w:style w:type="paragraph" w:customStyle="1" w:styleId="Quote3Bullet">
    <w:name w:val="Quote3 Bullet"/>
    <w:basedOn w:val="Quote3"/>
    <w:rsid w:val="00EE445B"/>
    <w:pPr>
      <w:numPr>
        <w:numId w:val="19"/>
      </w:numPr>
      <w:ind w:hanging="720"/>
    </w:pPr>
  </w:style>
  <w:style w:type="paragraph" w:customStyle="1" w:styleId="Order1">
    <w:name w:val="Order 1"/>
    <w:basedOn w:val="Normal"/>
    <w:rsid w:val="004104B6"/>
    <w:pPr>
      <w:numPr>
        <w:numId w:val="20"/>
      </w:numPr>
      <w:spacing w:before="60" w:after="60"/>
    </w:pPr>
  </w:style>
  <w:style w:type="numbering" w:customStyle="1" w:styleId="FCOrders">
    <w:name w:val="FCOrders"/>
    <w:uiPriority w:val="99"/>
    <w:rsid w:val="004104B6"/>
    <w:pPr>
      <w:numPr>
        <w:numId w:val="20"/>
      </w:numPr>
    </w:pPr>
  </w:style>
  <w:style w:type="paragraph" w:customStyle="1" w:styleId="BodyTextBold">
    <w:name w:val="Body Text Bold"/>
    <w:basedOn w:val="BodyText"/>
    <w:rsid w:val="00484F6D"/>
    <w:rPr>
      <w:b/>
    </w:rPr>
  </w:style>
  <w:style w:type="paragraph" w:customStyle="1" w:styleId="GeneralHeading">
    <w:name w:val="General Heading"/>
    <w:basedOn w:val="BodyTextBold"/>
    <w:next w:val="BodyText"/>
    <w:rsid w:val="008C7167"/>
    <w:pPr>
      <w:spacing w:line="480" w:lineRule="auto"/>
      <w:jc w:val="center"/>
    </w:pPr>
    <w:rPr>
      <w:sz w:val="28"/>
    </w:rPr>
  </w:style>
  <w:style w:type="paragraph" w:customStyle="1" w:styleId="ReasonJudge">
    <w:name w:val="Reason Judge"/>
    <w:basedOn w:val="BodyText"/>
    <w:next w:val="BodyText"/>
    <w:rsid w:val="008C7167"/>
    <w:pPr>
      <w:jc w:val="left"/>
    </w:pPr>
    <w:rPr>
      <w:b/>
      <w:sz w:val="26"/>
    </w:rPr>
  </w:style>
  <w:style w:type="paragraph" w:customStyle="1" w:styleId="FileNo">
    <w:name w:val="FileNo"/>
    <w:basedOn w:val="NormalHeadings"/>
    <w:rsid w:val="007E4DB6"/>
    <w:pPr>
      <w:tabs>
        <w:tab w:val="right" w:pos="3609"/>
      </w:tabs>
      <w:spacing w:line="276" w:lineRule="auto"/>
      <w:jc w:val="right"/>
    </w:pPr>
    <w:rPr>
      <w:szCs w:val="24"/>
    </w:rPr>
  </w:style>
  <w:style w:type="paragraph" w:customStyle="1" w:styleId="CasesLegislationAppealFrom">
    <w:name w:val="Cases Legislation Appeal From"/>
    <w:basedOn w:val="Normal1linespace"/>
    <w:rsid w:val="000C023E"/>
    <w:pPr>
      <w:widowControl w:val="0"/>
      <w:spacing w:after="100"/>
      <w:jc w:val="left"/>
    </w:pPr>
  </w:style>
  <w:style w:type="paragraph" w:customStyle="1" w:styleId="PartyName">
    <w:name w:val="Party Name"/>
    <w:basedOn w:val="NormalHeadings"/>
    <w:rsid w:val="00A45FB1"/>
    <w:pPr>
      <w:jc w:val="left"/>
    </w:pPr>
    <w:rPr>
      <w:szCs w:val="24"/>
    </w:rPr>
  </w:style>
  <w:style w:type="paragraph" w:customStyle="1" w:styleId="PartyType">
    <w:name w:val="Party Type"/>
    <w:basedOn w:val="PartyName"/>
    <w:rsid w:val="00A45FB1"/>
    <w:rPr>
      <w:b w:val="0"/>
    </w:rPr>
  </w:style>
  <w:style w:type="paragraph" w:customStyle="1" w:styleId="Small-TableswithinQuotes">
    <w:name w:val="Small - Tables within Quotes"/>
    <w:basedOn w:val="BodyText"/>
    <w:rsid w:val="005E0510"/>
    <w:pPr>
      <w:spacing w:line="240" w:lineRule="auto"/>
      <w:jc w:val="left"/>
    </w:pPr>
    <w:rPr>
      <w:sz w:val="22"/>
    </w:rPr>
  </w:style>
  <w:style w:type="character" w:customStyle="1" w:styleId="BodyTextChar">
    <w:name w:val="Body Text Char"/>
    <w:basedOn w:val="DefaultParagraphFont"/>
    <w:link w:val="BodyText"/>
    <w:rsid w:val="00E91A0F"/>
    <w:rPr>
      <w:sz w:val="24"/>
      <w:lang w:eastAsia="en-US"/>
    </w:rPr>
  </w:style>
  <w:style w:type="character" w:customStyle="1" w:styleId="NormalHeadingsChar">
    <w:name w:val="Normal Headings Char"/>
    <w:basedOn w:val="DefaultParagraphFont"/>
    <w:link w:val="NormalHeadings"/>
    <w:rsid w:val="00E91A0F"/>
    <w:rPr>
      <w:b/>
      <w:sz w:val="24"/>
      <w:lang w:eastAsia="en-US"/>
    </w:rPr>
  </w:style>
  <w:style w:type="paragraph" w:customStyle="1" w:styleId="CourtTitle">
    <w:name w:val="CourtTitle"/>
    <w:basedOn w:val="NormalHeadings"/>
    <w:rsid w:val="00285922"/>
    <w:pPr>
      <w:jc w:val="center"/>
    </w:pPr>
    <w:rPr>
      <w:caps/>
      <w:sz w:val="32"/>
    </w:rPr>
  </w:style>
  <w:style w:type="paragraph" w:customStyle="1" w:styleId="MNC">
    <w:name w:val="MNC"/>
    <w:basedOn w:val="MediaNeutralStyle"/>
    <w:rsid w:val="00085255"/>
    <w:pPr>
      <w:spacing w:after="240"/>
    </w:pPr>
    <w:rPr>
      <w:sz w:val="28"/>
    </w:rPr>
  </w:style>
  <w:style w:type="paragraph" w:customStyle="1" w:styleId="Quote4">
    <w:name w:val="Quote4"/>
    <w:basedOn w:val="Quote1"/>
    <w:rsid w:val="00DF75E1"/>
    <w:pPr>
      <w:ind w:left="2880"/>
    </w:pPr>
  </w:style>
  <w:style w:type="paragraph" w:customStyle="1" w:styleId="Quote4Bullet">
    <w:name w:val="Quote4 Bullet"/>
    <w:basedOn w:val="Quote4"/>
    <w:rsid w:val="00EE445B"/>
    <w:pPr>
      <w:numPr>
        <w:numId w:val="21"/>
      </w:numPr>
      <w:ind w:hanging="720"/>
    </w:pPr>
  </w:style>
  <w:style w:type="character" w:styleId="PlaceholderText">
    <w:name w:val="Placeholder Text"/>
    <w:basedOn w:val="DefaultParagraphFont"/>
    <w:uiPriority w:val="99"/>
    <w:semiHidden/>
    <w:rsid w:val="00CF5A80"/>
    <w:rPr>
      <w:color w:val="808080"/>
    </w:rPr>
  </w:style>
  <w:style w:type="paragraph" w:customStyle="1" w:styleId="Order2">
    <w:name w:val="Order 2"/>
    <w:basedOn w:val="Order1"/>
    <w:rsid w:val="001351B9"/>
    <w:pPr>
      <w:numPr>
        <w:ilvl w:val="1"/>
      </w:numPr>
      <w:tabs>
        <w:tab w:val="clear" w:pos="1440"/>
      </w:tabs>
    </w:pPr>
  </w:style>
  <w:style w:type="paragraph" w:customStyle="1" w:styleId="Order3">
    <w:name w:val="Order 3"/>
    <w:basedOn w:val="Order2"/>
    <w:rsid w:val="00DD6957"/>
    <w:pPr>
      <w:numPr>
        <w:ilvl w:val="2"/>
      </w:numPr>
    </w:pPr>
  </w:style>
  <w:style w:type="paragraph" w:customStyle="1" w:styleId="ListNo1alt">
    <w:name w:val="List No 1 (alt)"/>
    <w:basedOn w:val="Normal"/>
    <w:rsid w:val="008A1741"/>
    <w:pPr>
      <w:numPr>
        <w:numId w:val="24"/>
      </w:numPr>
      <w:spacing w:before="60" w:after="60"/>
    </w:pPr>
  </w:style>
  <w:style w:type="paragraph" w:customStyle="1" w:styleId="ListNo2alt">
    <w:name w:val="List No 2 (alt)"/>
    <w:basedOn w:val="ListNo1alt"/>
    <w:rsid w:val="008A1741"/>
    <w:pPr>
      <w:numPr>
        <w:ilvl w:val="1"/>
      </w:numPr>
    </w:pPr>
  </w:style>
  <w:style w:type="paragraph" w:customStyle="1" w:styleId="ListNo3alt">
    <w:name w:val="List No 3 (alt)"/>
    <w:basedOn w:val="ListNo2alt"/>
    <w:rsid w:val="008A1741"/>
    <w:pPr>
      <w:numPr>
        <w:ilvl w:val="2"/>
      </w:numPr>
    </w:pPr>
  </w:style>
  <w:style w:type="numbering" w:customStyle="1" w:styleId="FCListNoalt">
    <w:name w:val="FC List No (alt)"/>
    <w:uiPriority w:val="99"/>
    <w:rsid w:val="008A1741"/>
    <w:pPr>
      <w:numPr>
        <w:numId w:val="23"/>
      </w:numPr>
    </w:pPr>
  </w:style>
  <w:style w:type="paragraph" w:customStyle="1" w:styleId="Order4">
    <w:name w:val="Order 4"/>
    <w:basedOn w:val="Order3"/>
    <w:rsid w:val="004104B6"/>
    <w:pPr>
      <w:numPr>
        <w:ilvl w:val="3"/>
      </w:numPr>
    </w:pPr>
  </w:style>
  <w:style w:type="paragraph" w:styleId="FootnoteText">
    <w:name w:val="footnote text"/>
    <w:basedOn w:val="Normal"/>
    <w:link w:val="FootnoteTextChar"/>
    <w:semiHidden/>
    <w:unhideWhenUsed/>
    <w:rsid w:val="00077768"/>
    <w:pPr>
      <w:spacing w:line="240" w:lineRule="auto"/>
    </w:pPr>
    <w:rPr>
      <w:sz w:val="20"/>
    </w:rPr>
  </w:style>
  <w:style w:type="character" w:customStyle="1" w:styleId="FootnoteTextChar">
    <w:name w:val="Footnote Text Char"/>
    <w:basedOn w:val="DefaultParagraphFont"/>
    <w:link w:val="FootnoteText"/>
    <w:semiHidden/>
    <w:rsid w:val="00077768"/>
    <w:rPr>
      <w:lang w:eastAsia="en-US"/>
    </w:rPr>
  </w:style>
  <w:style w:type="character" w:styleId="FootnoteReference">
    <w:name w:val="footnote reference"/>
    <w:basedOn w:val="DefaultParagraphFont"/>
    <w:semiHidden/>
    <w:unhideWhenUsed/>
    <w:rsid w:val="00077768"/>
    <w:rPr>
      <w:vertAlign w:val="superscript"/>
    </w:rPr>
  </w:style>
  <w:style w:type="paragraph" w:customStyle="1" w:styleId="FCBullets2">
    <w:name w:val="FCBullets2"/>
    <w:basedOn w:val="FCBullets"/>
    <w:rsid w:val="001C2FE0"/>
    <w:pPr>
      <w:numPr>
        <w:ilvl w:val="1"/>
      </w:numPr>
    </w:pPr>
  </w:style>
  <w:style w:type="numbering" w:customStyle="1" w:styleId="FCNotes">
    <w:name w:val="FCNotes"/>
    <w:uiPriority w:val="99"/>
    <w:rsid w:val="00805A30"/>
    <w:pPr>
      <w:numPr>
        <w:numId w:val="26"/>
      </w:numPr>
    </w:pPr>
  </w:style>
  <w:style w:type="paragraph" w:customStyle="1" w:styleId="Notes">
    <w:name w:val="Notes"/>
    <w:basedOn w:val="Normal"/>
    <w:rsid w:val="00805A30"/>
    <w:pPr>
      <w:numPr>
        <w:numId w:val="28"/>
      </w:numPr>
      <w:spacing w:before="60" w:after="60"/>
    </w:pPr>
  </w:style>
  <w:style w:type="paragraph" w:customStyle="1" w:styleId="OrdersHeading1">
    <w:name w:val="Orders Heading 1"/>
    <w:basedOn w:val="Normal"/>
    <w:next w:val="BodyText"/>
    <w:rsid w:val="001E0C61"/>
    <w:pPr>
      <w:keepNext/>
      <w:spacing w:before="240" w:after="180" w:line="240" w:lineRule="auto"/>
    </w:pPr>
    <w:rPr>
      <w:b/>
      <w:caps/>
    </w:rPr>
  </w:style>
  <w:style w:type="paragraph" w:customStyle="1" w:styleId="OrdersHeading2">
    <w:name w:val="Orders Heading 2"/>
    <w:basedOn w:val="Normal"/>
    <w:next w:val="BodyText"/>
    <w:rsid w:val="001E0C61"/>
    <w:pPr>
      <w:keepNext/>
      <w:spacing w:before="240" w:after="180" w:line="240" w:lineRule="auto"/>
    </w:pPr>
    <w:rPr>
      <w:b/>
    </w:rPr>
  </w:style>
  <w:style w:type="paragraph" w:customStyle="1" w:styleId="Default">
    <w:name w:val="Default"/>
    <w:rsid w:val="00913D27"/>
    <w:pPr>
      <w:autoSpaceDE w:val="0"/>
      <w:autoSpaceDN w:val="0"/>
      <w:adjustRightInd w:val="0"/>
    </w:pPr>
    <w:rPr>
      <w:color w:val="000000"/>
      <w:sz w:val="24"/>
      <w:szCs w:val="24"/>
    </w:rPr>
  </w:style>
  <w:style w:type="character" w:customStyle="1" w:styleId="cosearchterm">
    <w:name w:val="co_searchterm"/>
    <w:basedOn w:val="DefaultParagraphFont"/>
    <w:rsid w:val="00440498"/>
  </w:style>
  <w:style w:type="character" w:customStyle="1" w:styleId="copinpointicon">
    <w:name w:val="co_pinpointicon"/>
    <w:basedOn w:val="DefaultParagraphFont"/>
    <w:rsid w:val="00440498"/>
  </w:style>
  <w:style w:type="paragraph" w:styleId="Revision">
    <w:name w:val="Revision"/>
    <w:hidden/>
    <w:uiPriority w:val="99"/>
    <w:semiHidden/>
    <w:rsid w:val="00431387"/>
    <w:rPr>
      <w:sz w:val="24"/>
      <w:lang w:eastAsia="en-US"/>
    </w:rPr>
  </w:style>
  <w:style w:type="character" w:styleId="UnresolvedMention">
    <w:name w:val="Unresolved Mention"/>
    <w:basedOn w:val="DefaultParagraphFont"/>
    <w:uiPriority w:val="99"/>
    <w:semiHidden/>
    <w:unhideWhenUsed/>
    <w:rsid w:val="007916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yperlink" Target="https://anzlaw.thomsonreuters.com/Link/Document/FullText?refType=U2&amp;serNum=2053870013&amp;pubNum=0006270&amp;originationContext=document&amp;transitionType=DocumentItem&amp;ppcid=b1131bdc88584fe8a941c8b926b008e2&amp;contextData=(sc.Searc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8.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s://anzlaw.thomsonreuters.com/Link/Document/FullText?refType=U2&amp;serNum=2007540841&amp;pubNum=0003586&amp;originationContext=document&amp;transitionType=DocumentItem&amp;ppcid=556d2802f170405d898a99753a09462a&amp;contextData=(sc.Search)"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nmurad\AppData\Roaming\Microsoft\Templates\Judg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97CD05F6AE64A57BA02D19F4812C986"/>
        <w:category>
          <w:name w:val="General"/>
          <w:gallery w:val="placeholder"/>
        </w:category>
        <w:types>
          <w:type w:val="bbPlcHdr"/>
        </w:types>
        <w:behaviors>
          <w:behavior w:val="content"/>
        </w:behaviors>
        <w:guid w:val="{7CA91A0C-2B60-465B-A687-D6B3F1497050}"/>
      </w:docPartPr>
      <w:docPartBody>
        <w:p w:rsidR="00EA69ED" w:rsidRDefault="00291FD3">
          <w:pPr>
            <w:pStyle w:val="197CD05F6AE64A57BA02D19F4812C986"/>
          </w:pPr>
          <w:r>
            <w:rPr>
              <w:rStyle w:val="PlaceholderText"/>
            </w:rPr>
            <w:t>MNC Text</w:t>
          </w:r>
        </w:p>
      </w:docPartBody>
    </w:docPart>
    <w:docPart>
      <w:docPartPr>
        <w:name w:val="8DA38845B5C8496BBCC9A51B366832AC"/>
        <w:category>
          <w:name w:val="General"/>
          <w:gallery w:val="placeholder"/>
        </w:category>
        <w:types>
          <w:type w:val="bbPlcHdr"/>
        </w:types>
        <w:behaviors>
          <w:behavior w:val="content"/>
        </w:behaviors>
        <w:guid w:val="{90ED033F-80DD-487C-BE9F-564A6393C69E}"/>
      </w:docPartPr>
      <w:docPartBody>
        <w:p w:rsidR="00EA69ED" w:rsidRDefault="00291FD3">
          <w:pPr>
            <w:pStyle w:val="8DA38845B5C8496BBCC9A51B366832AC"/>
          </w:pPr>
          <w:r w:rsidRPr="005C44BE">
            <w:rPr>
              <w:rStyle w:val="PlaceholderText"/>
            </w:rPr>
            <w:t>Click or tap here to enter text.</w:t>
          </w:r>
        </w:p>
      </w:docPartBody>
    </w:docPart>
    <w:docPart>
      <w:docPartPr>
        <w:name w:val="2C29BB113BCA420BBBCBE240D3D4AA0E"/>
        <w:category>
          <w:name w:val="General"/>
          <w:gallery w:val="placeholder"/>
        </w:category>
        <w:types>
          <w:type w:val="bbPlcHdr"/>
        </w:types>
        <w:behaviors>
          <w:behavior w:val="content"/>
        </w:behaviors>
        <w:guid w:val="{7CDE1BA9-4405-4D73-BCBC-91866F927E76}"/>
      </w:docPartPr>
      <w:docPartBody>
        <w:p w:rsidR="00EA69ED" w:rsidRDefault="00291FD3">
          <w:pPr>
            <w:pStyle w:val="2C29BB113BCA420BBBCBE240D3D4AA0E"/>
          </w:pPr>
          <w:r w:rsidRPr="005C44BE">
            <w:rPr>
              <w:rStyle w:val="PlaceholderText"/>
            </w:rPr>
            <w:t>Click or tap here to enter text.</w:t>
          </w:r>
        </w:p>
      </w:docPartBody>
    </w:docPart>
    <w:docPart>
      <w:docPartPr>
        <w:name w:val="DA671643AF484BEDB08EA8248A45EBC2"/>
        <w:category>
          <w:name w:val="General"/>
          <w:gallery w:val="placeholder"/>
        </w:category>
        <w:types>
          <w:type w:val="bbPlcHdr"/>
        </w:types>
        <w:behaviors>
          <w:behavior w:val="content"/>
        </w:behaviors>
        <w:guid w:val="{42894FD8-033D-4C50-BBBF-DC5B077387FA}"/>
      </w:docPartPr>
      <w:docPartBody>
        <w:p w:rsidR="00EA69ED" w:rsidRDefault="00291FD3">
          <w:pPr>
            <w:pStyle w:val="DA671643AF484BEDB08EA8248A45EBC2"/>
          </w:pPr>
          <w:r w:rsidRPr="005C44BE">
            <w:rPr>
              <w:rStyle w:val="PlaceholderText"/>
            </w:rPr>
            <w:t>Click or tap here to enter text.</w:t>
          </w:r>
        </w:p>
      </w:docPartBody>
    </w:docPart>
    <w:docPart>
      <w:docPartPr>
        <w:name w:val="E274216109AD465A9B93A6CA8368F89C"/>
        <w:category>
          <w:name w:val="General"/>
          <w:gallery w:val="placeholder"/>
        </w:category>
        <w:types>
          <w:type w:val="bbPlcHdr"/>
        </w:types>
        <w:behaviors>
          <w:behavior w:val="content"/>
        </w:behaviors>
        <w:guid w:val="{ECDBD43B-45B8-4F79-9568-1D4154C1E815}"/>
      </w:docPartPr>
      <w:docPartBody>
        <w:p w:rsidR="00EA69ED" w:rsidRDefault="00291FD3">
          <w:pPr>
            <w:pStyle w:val="E274216109AD465A9B93A6CA8368F89C"/>
          </w:pPr>
          <w:r w:rsidRPr="005C44B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¹ÙÅÁ"/>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TimesNewRoman,Italic">
    <w:altName w:val="Times New Roman"/>
    <w:panose1 w:val="00000000000000000000"/>
    <w:charset w:val="00"/>
    <w:family w:val="auto"/>
    <w:notTrueType/>
    <w:pitch w:val="default"/>
    <w:sig w:usb0="00000003" w:usb1="00000000" w:usb2="00000000" w:usb3="00000000" w:csb0="00000001" w:csb1="00000000"/>
  </w:font>
  <w:font w:name="TimesNewRomanPS-ItalicMT">
    <w:altName w:val="Times New Roman"/>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TimesNewRoman,BoldItalic">
    <w:altName w:val="Times New Roman"/>
    <w:panose1 w:val="00000000000000000000"/>
    <w:charset w:val="00"/>
    <w:family w:val="roman"/>
    <w:notTrueType/>
    <w:pitch w:val="default"/>
    <w:sig w:usb0="00000003" w:usb1="00000000" w:usb2="00000000" w:usb3="00000000" w:csb0="00000001" w:csb1="00000000"/>
  </w:font>
  <w:font w:name="Times-Italic">
    <w:altName w:val="Times New Roman"/>
    <w:panose1 w:val="00000000000000000000"/>
    <w:charset w:val="00"/>
    <w:family w:val="auto"/>
    <w:notTrueType/>
    <w:pitch w:val="default"/>
    <w:sig w:usb0="00000003" w:usb1="00000000" w:usb2="00000000" w:usb3="00000000" w:csb0="00000001" w:csb1="00000000"/>
  </w:font>
  <w:font w:name="Source Sans Pro">
    <w:charset w:val="00"/>
    <w:family w:val="swiss"/>
    <w:pitch w:val="variable"/>
    <w:sig w:usb0="600002F7" w:usb1="02000001" w:usb2="00000000" w:usb3="00000000" w:csb0="0000019F" w:csb1="00000000"/>
  </w:font>
  <w:font w:name="Times-Roma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9ED"/>
    <w:rsid w:val="001C1DC1"/>
    <w:rsid w:val="00291FD3"/>
    <w:rsid w:val="00346C38"/>
    <w:rsid w:val="00385199"/>
    <w:rsid w:val="00447FCB"/>
    <w:rsid w:val="004B53CB"/>
    <w:rsid w:val="005C0C0E"/>
    <w:rsid w:val="00647F94"/>
    <w:rsid w:val="00736965"/>
    <w:rsid w:val="00C846D5"/>
    <w:rsid w:val="00CD4FB4"/>
    <w:rsid w:val="00EA69ED"/>
    <w:rsid w:val="00F1214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197CD05F6AE64A57BA02D19F4812C986">
    <w:name w:val="197CD05F6AE64A57BA02D19F4812C986"/>
  </w:style>
  <w:style w:type="paragraph" w:customStyle="1" w:styleId="8DA38845B5C8496BBCC9A51B366832AC">
    <w:name w:val="8DA38845B5C8496BBCC9A51B366832AC"/>
  </w:style>
  <w:style w:type="paragraph" w:customStyle="1" w:styleId="2C29BB113BCA420BBBCBE240D3D4AA0E">
    <w:name w:val="2C29BB113BCA420BBBCBE240D3D4AA0E"/>
  </w:style>
  <w:style w:type="paragraph" w:customStyle="1" w:styleId="DA671643AF484BEDB08EA8248A45EBC2">
    <w:name w:val="DA671643AF484BEDB08EA8248A45EBC2"/>
  </w:style>
  <w:style w:type="paragraph" w:customStyle="1" w:styleId="E274216109AD465A9B93A6CA8368F89C">
    <w:name w:val="E274216109AD465A9B93A6CA8368F8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root xmlns="http://schemas.globalmacros.com/FCA">
  <Name>Binqld Finances Pty Ltd (in liq) v Binetter [2024] FCA 361 </Name>
</root>
</file>

<file path=customXml/itemProps1.xml><?xml version="1.0" encoding="utf-8"?>
<ds:datastoreItem xmlns:ds="http://schemas.openxmlformats.org/officeDocument/2006/customXml" ds:itemID="{D2491BDD-2516-4911-AD38-40105538EAAB}">
  <ds:schemaRefs>
    <ds:schemaRef ds:uri="http://schemas.openxmlformats.org/officeDocument/2006/bibliography"/>
  </ds:schemaRefs>
</ds:datastoreItem>
</file>

<file path=customXml/itemProps2.xml><?xml version="1.0" encoding="utf-8"?>
<ds:datastoreItem xmlns:ds="http://schemas.openxmlformats.org/officeDocument/2006/customXml" ds:itemID="{687E7CCB-4AA5-44E7-B148-17BA2B6F57C0}">
  <ds:schemaRefs>
    <ds:schemaRef ds:uri="http://schemas.globalmacros.com/FCA"/>
  </ds:schemaRefs>
</ds:datastoreItem>
</file>

<file path=docProps/app.xml><?xml version="1.0" encoding="utf-8"?>
<Properties xmlns="http://schemas.openxmlformats.org/officeDocument/2006/extended-properties" xmlns:vt="http://schemas.openxmlformats.org/officeDocument/2006/docPropsVTypes">
  <Template>Judgment.dotx</Template>
  <TotalTime>13</TotalTime>
  <Pages>29</Pages>
  <Words>11286</Words>
  <Characters>56882</Characters>
  <Application>Microsoft Office Word</Application>
  <DocSecurity>0</DocSecurity>
  <Lines>1015</Lines>
  <Paragraphs>330</Paragraphs>
  <ScaleCrop>false</ScaleCrop>
  <HeadingPairs>
    <vt:vector size="2" baseType="variant">
      <vt:variant>
        <vt:lpstr>Title</vt:lpstr>
      </vt:variant>
      <vt:variant>
        <vt:i4>1</vt:i4>
      </vt:variant>
    </vt:vector>
  </HeadingPairs>
  <TitlesOfParts>
    <vt:vector size="1" baseType="lpstr">
      <vt:lpstr>Binqld Finances Pty Ltd (in liq) v Binetter [2024] FCA 361</vt:lpstr>
    </vt:vector>
  </TitlesOfParts>
  <Company>Federal Court of Australia</Company>
  <LinksUpToDate>false</LinksUpToDate>
  <CharactersWithSpaces>67838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Binqld Finances Pty Ltd (in liq) v Binetter [2024] FCA 361</dc:title>
  <dc:creator>Justice Kennett (FCA)</dc:creator>
  <dc:description>v1.3</dc:description>
  <cp:lastModifiedBy>Federal Court of Australia</cp:lastModifiedBy>
  <cp:revision>3</cp:revision>
  <cp:lastPrinted>2006-02-06T01:31:00Z</cp:lastPrinted>
  <dcterms:created xsi:type="dcterms:W3CDTF">2024-04-12T05:28:00Z</dcterms:created>
  <dcterms:modified xsi:type="dcterms:W3CDTF">2024-04-12T05:41:00Z</dcterms:modified>
  <cp:version>v1.2</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licant">
    <vt:lpwstr> </vt:lpwstr>
  </property>
  <property fmtid="{D5CDD505-2E9C-101B-9397-08002B2CF9AE}" pid="3" name="Distribution">
    <vt:lpwstr>GENERAL DISTRIBUTION</vt:lpwstr>
  </property>
  <property fmtid="{D5CDD505-2E9C-101B-9397-08002B2CF9AE}" pid="4" name="MNC">
    <vt:lpwstr> </vt:lpwstr>
  </property>
  <property fmtid="{D5CDD505-2E9C-101B-9397-08002B2CF9AE}" pid="5" name="Pages">
    <vt:lpwstr>3</vt:lpwstr>
  </property>
  <property fmtid="{D5CDD505-2E9C-101B-9397-08002B2CF9AE}" pid="6" name="Parties">
    <vt:lpwstr> </vt:lpwstr>
  </property>
  <property fmtid="{D5CDD505-2E9C-101B-9397-08002B2CF9AE}" pid="7" name="Place">
    <vt:lpwstr>N/A FCA</vt:lpwstr>
  </property>
  <property fmtid="{D5CDD505-2E9C-101B-9397-08002B2CF9AE}" pid="8" name="Respondent">
    <vt:lpwstr> </vt:lpwstr>
  </property>
  <property fmtid="{D5CDD505-2E9C-101B-9397-08002B2CF9AE}" pid="9" name="Year">
    <vt:lpwstr>2020</vt:lpwstr>
  </property>
  <property fmtid="{D5CDD505-2E9C-101B-9397-08002B2CF9AE}" pid="10" name="Judgment Template">
    <vt:lpwstr>True</vt:lpwstr>
  </property>
  <property fmtid="{D5CDD505-2E9C-101B-9397-08002B2CF9AE}" pid="11" name="VERSION">
    <vt:lpwstr>1.0</vt:lpwstr>
  </property>
  <property fmtid="{D5CDD505-2E9C-101B-9397-08002B2CF9AE}" pid="12" name="Registry">
    <vt:lpwstr>New South Wales</vt:lpwstr>
  </property>
  <property fmtid="{D5CDD505-2E9C-101B-9397-08002B2CF9AE}" pid="13" name="Division">
    <vt:lpwstr>General Division</vt:lpwstr>
  </property>
  <property fmtid="{D5CDD505-2E9C-101B-9397-08002B2CF9AE}" pid="14" name="FileNo">
    <vt:lpwstr>&lt;FILE NO&gt;</vt:lpwstr>
  </property>
  <property fmtid="{D5CDD505-2E9C-101B-9397-08002B2CF9AE}" pid="15" name="Practice Area">
    <vt:lpwstr>Commercial and Corporations</vt:lpwstr>
  </property>
  <property fmtid="{D5CDD505-2E9C-101B-9397-08002B2CF9AE}" pid="16" name="Court">
    <vt:lpwstr>Federal Court of Australia</vt:lpwstr>
  </property>
  <property fmtid="{D5CDD505-2E9C-101B-9397-08002B2CF9AE}" pid="17" name="Sub Area">
    <vt:lpwstr>Corporations and Corporate Insolvency</vt:lpwstr>
  </property>
  <property fmtid="{D5CDD505-2E9C-101B-9397-08002B2CF9AE}" pid="18" name="AppealFrom">
    <vt:lpwstr>&lt;AppealFrom&gt;</vt:lpwstr>
  </property>
  <property fmtid="{D5CDD505-2E9C-101B-9397-08002B2CF9AE}" pid="19" name="DivisionTitle">
    <vt:lpwstr>none</vt:lpwstr>
  </property>
  <property fmtid="{D5CDD505-2E9C-101B-9397-08002B2CF9AE}" pid="20" name="Judge">
    <vt:lpwstr>Judge</vt:lpwstr>
  </property>
  <property fmtid="{D5CDD505-2E9C-101B-9397-08002B2CF9AE}" pid="21" name="Judgment_dated">
    <vt:lpwstr>Judgment_dated</vt:lpwstr>
  </property>
  <property fmtid="{D5CDD505-2E9C-101B-9397-08002B2CF9AE}" pid="22" name="Legislation">
    <vt:lpwstr>Legislation</vt:lpwstr>
  </property>
  <property fmtid="{D5CDD505-2E9C-101B-9397-08002B2CF9AE}" pid="23" name="Catchwords">
    <vt:lpwstr>Catchwords</vt:lpwstr>
  </property>
  <property fmtid="{D5CDD505-2E9C-101B-9397-08002B2CF9AE}" pid="24" name="Words_Phrases">
    <vt:lpwstr>WordsPhrases</vt:lpwstr>
  </property>
  <property fmtid="{D5CDD505-2E9C-101B-9397-08002B2CF9AE}" pid="25" name="Cases_Cited">
    <vt:lpwstr>CasesCited</vt:lpwstr>
  </property>
  <property fmtid="{D5CDD505-2E9C-101B-9397-08002B2CF9AE}" pid="26" name="File_Number">
    <vt:lpwstr>Num</vt:lpwstr>
  </property>
  <property fmtid="{D5CDD505-2E9C-101B-9397-08002B2CF9AE}" pid="27" name="State">
    <vt:lpwstr>State</vt:lpwstr>
  </property>
</Properties>
</file>