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444C" w14:textId="31EF602E" w:rsidR="00395B24" w:rsidRDefault="00C07C6E" w:rsidP="00A22932">
      <w:pPr>
        <w:pStyle w:val="CourtTitle"/>
      </w:pPr>
      <w:r>
        <w:fldChar w:fldCharType="begin"/>
      </w:r>
      <w:r>
        <w:instrText xml:space="preserve"> DOCPROPERTY  Court  \* MERGEFORMAT </w:instrText>
      </w:r>
      <w:r>
        <w:fldChar w:fldCharType="separate"/>
      </w:r>
      <w:r w:rsidR="0041188A">
        <w:t>Federal Court of Australia</w:t>
      </w:r>
      <w:r>
        <w:fldChar w:fldCharType="end"/>
      </w:r>
    </w:p>
    <w:p w14:paraId="54851E12" w14:textId="77777777" w:rsidR="004D7950" w:rsidRDefault="004D7950">
      <w:pPr>
        <w:pStyle w:val="NormalHeadings"/>
        <w:jc w:val="center"/>
        <w:rPr>
          <w:sz w:val="32"/>
        </w:rPr>
      </w:pPr>
    </w:p>
    <w:bookmarkStart w:id="0" w:name="MNC"/>
    <w:p w14:paraId="11DF723B" w14:textId="695B8D24" w:rsidR="00374CC4" w:rsidRDefault="00C15F53" w:rsidP="001A2B40">
      <w:pPr>
        <w:pStyle w:val="MNC"/>
      </w:pPr>
      <w:sdt>
        <w:sdtPr>
          <w:alias w:val="MNC"/>
          <w:tag w:val="MNC"/>
          <w:id w:val="343289786"/>
          <w:lock w:val="sdtLocked"/>
          <w:placeholder>
            <w:docPart w:val="DB670DB58FD3443BB90620033EDCAE36"/>
          </w:placeholder>
          <w:dataBinding w:prefixMappings="xmlns:ns0='http://schemas.globalmacros.com/FCA'" w:xpath="/ns0:root[1]/ns0:Name[1]" w:storeItemID="{687E7CCB-4AA5-44E7-B148-17BA2B6F57C0}"/>
          <w:text w:multiLine="1"/>
        </w:sdtPr>
        <w:sdtEndPr/>
        <w:sdtContent>
          <w:r w:rsidR="0050360F">
            <w:t xml:space="preserve">Deputy Commissioner of Taxation v </w:t>
          </w:r>
          <w:proofErr w:type="spellStart"/>
          <w:r w:rsidR="0050360F">
            <w:t>Kocic</w:t>
          </w:r>
          <w:proofErr w:type="spellEnd"/>
          <w:r w:rsidR="0050360F">
            <w:t xml:space="preserve"> (No 2) [2024] FCA </w:t>
          </w:r>
          <w:r w:rsidR="00BF1C13">
            <w:t>372</w:t>
          </w:r>
          <w:r w:rsidR="0050360F">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52473FC1" w14:textId="77777777" w:rsidTr="00DE65E5">
        <w:tc>
          <w:tcPr>
            <w:tcW w:w="3084" w:type="dxa"/>
            <w:shd w:val="clear" w:color="auto" w:fill="auto"/>
          </w:tcPr>
          <w:p w14:paraId="3AB05B67" w14:textId="77777777" w:rsidR="00395B24" w:rsidRDefault="002C7385" w:rsidP="00663878">
            <w:pPr>
              <w:pStyle w:val="Normal1linespace"/>
              <w:widowControl w:val="0"/>
              <w:jc w:val="left"/>
            </w:pPr>
            <w:r>
              <w:t>File number(s):</w:t>
            </w:r>
          </w:p>
        </w:tc>
        <w:tc>
          <w:tcPr>
            <w:tcW w:w="5989" w:type="dxa"/>
            <w:shd w:val="clear" w:color="auto" w:fill="auto"/>
          </w:tcPr>
          <w:p w14:paraId="1AAF4DC5" w14:textId="635C9A81" w:rsidR="00395B24" w:rsidRPr="0041188A" w:rsidRDefault="00C07C6E" w:rsidP="0041188A">
            <w:pPr>
              <w:pStyle w:val="Normal1linespace"/>
              <w:jc w:val="left"/>
            </w:pPr>
            <w:fldSimple w:instr=" REF  FileNo  \* MERGEFORMAT " w:fldLock="1">
              <w:r w:rsidR="0041188A" w:rsidRPr="0041188A">
                <w:t>NSD 1201 of 2021</w:t>
              </w:r>
            </w:fldSimple>
          </w:p>
        </w:tc>
      </w:tr>
      <w:tr w:rsidR="00395B24" w14:paraId="2F4822EC" w14:textId="77777777" w:rsidTr="00DE65E5">
        <w:tc>
          <w:tcPr>
            <w:tcW w:w="3084" w:type="dxa"/>
            <w:shd w:val="clear" w:color="auto" w:fill="auto"/>
          </w:tcPr>
          <w:p w14:paraId="1265AA01" w14:textId="77777777" w:rsidR="00395B24" w:rsidRDefault="00395B24" w:rsidP="00663878">
            <w:pPr>
              <w:pStyle w:val="Normal1linespace"/>
              <w:widowControl w:val="0"/>
              <w:jc w:val="left"/>
            </w:pPr>
          </w:p>
        </w:tc>
        <w:tc>
          <w:tcPr>
            <w:tcW w:w="5989" w:type="dxa"/>
            <w:shd w:val="clear" w:color="auto" w:fill="auto"/>
          </w:tcPr>
          <w:p w14:paraId="6137A880" w14:textId="77777777" w:rsidR="00395B24" w:rsidRDefault="00395B24" w:rsidP="00663878">
            <w:pPr>
              <w:pStyle w:val="Normal1linespace"/>
              <w:widowControl w:val="0"/>
              <w:jc w:val="left"/>
            </w:pPr>
          </w:p>
        </w:tc>
      </w:tr>
      <w:tr w:rsidR="00395B24" w14:paraId="4CFC37A9" w14:textId="77777777" w:rsidTr="00DE65E5">
        <w:tc>
          <w:tcPr>
            <w:tcW w:w="3084" w:type="dxa"/>
            <w:shd w:val="clear" w:color="auto" w:fill="auto"/>
          </w:tcPr>
          <w:p w14:paraId="7D708B3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1993111" w14:textId="6D3E9335" w:rsidR="00395B24" w:rsidRDefault="002C7385" w:rsidP="00663878">
            <w:pPr>
              <w:pStyle w:val="Normal1linespace"/>
              <w:widowControl w:val="0"/>
              <w:jc w:val="left"/>
              <w:rPr>
                <w:b/>
              </w:rPr>
            </w:pPr>
            <w:r w:rsidRPr="0041188A">
              <w:rPr>
                <w:b/>
              </w:rPr>
              <w:fldChar w:fldCharType="begin" w:fldLock="1"/>
            </w:r>
            <w:r w:rsidRPr="0041188A">
              <w:rPr>
                <w:b/>
              </w:rPr>
              <w:instrText xml:space="preserve"> REF  Judge  \* MERGEFORMAT </w:instrText>
            </w:r>
            <w:r w:rsidRPr="0041188A">
              <w:rPr>
                <w:b/>
              </w:rPr>
              <w:fldChar w:fldCharType="separate"/>
            </w:r>
            <w:r w:rsidR="0041188A" w:rsidRPr="0041188A">
              <w:rPr>
                <w:b/>
                <w:caps/>
                <w:szCs w:val="24"/>
              </w:rPr>
              <w:t>ABRAHAM J</w:t>
            </w:r>
            <w:r w:rsidRPr="0041188A">
              <w:rPr>
                <w:b/>
              </w:rPr>
              <w:fldChar w:fldCharType="end"/>
            </w:r>
          </w:p>
        </w:tc>
      </w:tr>
      <w:tr w:rsidR="00395B24" w14:paraId="67BCC740" w14:textId="77777777" w:rsidTr="00DE65E5">
        <w:tc>
          <w:tcPr>
            <w:tcW w:w="3084" w:type="dxa"/>
            <w:shd w:val="clear" w:color="auto" w:fill="auto"/>
          </w:tcPr>
          <w:p w14:paraId="02F02A1C" w14:textId="77777777" w:rsidR="00395B24" w:rsidRDefault="00395B24" w:rsidP="00663878">
            <w:pPr>
              <w:pStyle w:val="Normal1linespace"/>
              <w:widowControl w:val="0"/>
              <w:jc w:val="left"/>
            </w:pPr>
          </w:p>
        </w:tc>
        <w:tc>
          <w:tcPr>
            <w:tcW w:w="5989" w:type="dxa"/>
            <w:shd w:val="clear" w:color="auto" w:fill="auto"/>
          </w:tcPr>
          <w:p w14:paraId="528C343C" w14:textId="77777777" w:rsidR="00395B24" w:rsidRDefault="00395B24" w:rsidP="00663878">
            <w:pPr>
              <w:pStyle w:val="Normal1linespace"/>
              <w:widowControl w:val="0"/>
              <w:jc w:val="left"/>
            </w:pPr>
          </w:p>
        </w:tc>
      </w:tr>
      <w:tr w:rsidR="00395B24" w14:paraId="5872C9A5" w14:textId="77777777" w:rsidTr="00DE65E5">
        <w:tc>
          <w:tcPr>
            <w:tcW w:w="3084" w:type="dxa"/>
            <w:shd w:val="clear" w:color="auto" w:fill="auto"/>
          </w:tcPr>
          <w:p w14:paraId="5034D0D8" w14:textId="77777777" w:rsidR="00395B24" w:rsidRDefault="002C7385" w:rsidP="00663878">
            <w:pPr>
              <w:pStyle w:val="Normal1linespace"/>
              <w:widowControl w:val="0"/>
              <w:jc w:val="left"/>
            </w:pPr>
            <w:r>
              <w:t>Date of judgment:</w:t>
            </w:r>
          </w:p>
        </w:tc>
        <w:tc>
          <w:tcPr>
            <w:tcW w:w="5989" w:type="dxa"/>
            <w:shd w:val="clear" w:color="auto" w:fill="auto"/>
          </w:tcPr>
          <w:p w14:paraId="153CCC35" w14:textId="7452865D" w:rsidR="00395B24" w:rsidRDefault="0050360F" w:rsidP="00663878">
            <w:pPr>
              <w:pStyle w:val="Normal1linespace"/>
              <w:widowControl w:val="0"/>
              <w:jc w:val="left"/>
            </w:pPr>
            <w:bookmarkStart w:id="1" w:name="JudgmentDate"/>
            <w:r w:rsidRPr="0050360F">
              <w:t>16 April 2024</w:t>
            </w:r>
            <w:bookmarkEnd w:id="1"/>
          </w:p>
        </w:tc>
      </w:tr>
      <w:tr w:rsidR="00395B24" w14:paraId="5D975F61" w14:textId="77777777" w:rsidTr="00DE65E5">
        <w:tc>
          <w:tcPr>
            <w:tcW w:w="3084" w:type="dxa"/>
            <w:shd w:val="clear" w:color="auto" w:fill="auto"/>
          </w:tcPr>
          <w:p w14:paraId="46AEA837" w14:textId="77777777" w:rsidR="00395B24" w:rsidRDefault="00395B24" w:rsidP="00663878">
            <w:pPr>
              <w:pStyle w:val="Normal1linespace"/>
              <w:widowControl w:val="0"/>
              <w:jc w:val="left"/>
            </w:pPr>
          </w:p>
        </w:tc>
        <w:tc>
          <w:tcPr>
            <w:tcW w:w="5989" w:type="dxa"/>
            <w:shd w:val="clear" w:color="auto" w:fill="auto"/>
          </w:tcPr>
          <w:p w14:paraId="357827B0" w14:textId="77777777" w:rsidR="00395B24" w:rsidRDefault="00395B24" w:rsidP="00663878">
            <w:pPr>
              <w:pStyle w:val="Normal1linespace"/>
              <w:widowControl w:val="0"/>
              <w:jc w:val="left"/>
            </w:pPr>
          </w:p>
        </w:tc>
      </w:tr>
      <w:tr w:rsidR="00395B24" w14:paraId="676C1CE3" w14:textId="77777777" w:rsidTr="00DE65E5">
        <w:tc>
          <w:tcPr>
            <w:tcW w:w="3084" w:type="dxa"/>
            <w:shd w:val="clear" w:color="auto" w:fill="auto"/>
          </w:tcPr>
          <w:p w14:paraId="13330148" w14:textId="77777777" w:rsidR="00395B24" w:rsidRDefault="002C7385" w:rsidP="00663878">
            <w:pPr>
              <w:pStyle w:val="Normal1linespace"/>
              <w:widowControl w:val="0"/>
              <w:jc w:val="left"/>
            </w:pPr>
            <w:r>
              <w:t>Catchwords:</w:t>
            </w:r>
          </w:p>
        </w:tc>
        <w:tc>
          <w:tcPr>
            <w:tcW w:w="5989" w:type="dxa"/>
            <w:shd w:val="clear" w:color="auto" w:fill="auto"/>
          </w:tcPr>
          <w:p w14:paraId="26C4CFFE" w14:textId="14357C19" w:rsidR="00D81FAD" w:rsidRPr="004809C5" w:rsidRDefault="00870FCA" w:rsidP="00663878">
            <w:pPr>
              <w:pStyle w:val="Normal1linespace"/>
              <w:widowControl w:val="0"/>
              <w:jc w:val="left"/>
              <w:rPr>
                <w:rFonts w:eastAsia="Times New Roman"/>
                <w:szCs w:val="24"/>
                <w:lang w:eastAsia="en-AU"/>
              </w:rPr>
            </w:pPr>
            <w:bookmarkStart w:id="2" w:name="Catchwords"/>
            <w:r>
              <w:rPr>
                <w:b/>
                <w:bCs/>
              </w:rPr>
              <w:t xml:space="preserve">PRACTICE AND PROCEDURE </w:t>
            </w:r>
            <w:r>
              <w:t>–</w:t>
            </w:r>
            <w:r w:rsidR="007019EC">
              <w:t xml:space="preserve"> where leave sought to file an amended originating application pursuant to r 8.21 of the </w:t>
            </w:r>
            <w:r w:rsidR="007019EC">
              <w:rPr>
                <w:i/>
                <w:iCs/>
              </w:rPr>
              <w:t xml:space="preserve">Federal Court Rules 2011 </w:t>
            </w:r>
            <w:r w:rsidR="007019EC">
              <w:t>(</w:t>
            </w:r>
            <w:proofErr w:type="spellStart"/>
            <w:r w:rsidR="007019EC">
              <w:t>Cth</w:t>
            </w:r>
            <w:proofErr w:type="spellEnd"/>
            <w:r w:rsidR="007019EC">
              <w:t>) (FCR) – where leave sought to file a statement of claim – where joinder of parties sought pursuant to r 9.05 of the FCR –</w:t>
            </w:r>
            <w:r w:rsidR="00D36E8B">
              <w:t xml:space="preserve"> </w:t>
            </w:r>
            <w:r w:rsidR="00D668E0">
              <w:t xml:space="preserve">where </w:t>
            </w:r>
            <w:r w:rsidR="00501ADC">
              <w:t>a</w:t>
            </w:r>
            <w:r w:rsidR="00501ADC" w:rsidRPr="00471697">
              <w:t xml:space="preserve">mended </w:t>
            </w:r>
            <w:r w:rsidR="00501ADC">
              <w:t>o</w:t>
            </w:r>
            <w:r w:rsidR="00501ADC" w:rsidRPr="00471697">
              <w:t xml:space="preserve">riginating </w:t>
            </w:r>
            <w:r w:rsidR="00501ADC">
              <w:t>a</w:t>
            </w:r>
            <w:r w:rsidR="00501ADC" w:rsidRPr="00471697">
              <w:t xml:space="preserve">pplication, accompanying </w:t>
            </w:r>
            <w:r w:rsidR="00501ADC">
              <w:t>s</w:t>
            </w:r>
            <w:r w:rsidR="00501ADC" w:rsidRPr="00471697">
              <w:t>tatement of</w:t>
            </w:r>
            <w:r w:rsidR="00501ADC">
              <w:t xml:space="preserve"> c</w:t>
            </w:r>
            <w:r w:rsidR="00501ADC" w:rsidRPr="00471697">
              <w:t xml:space="preserve">laim and joinder </w:t>
            </w:r>
            <w:r w:rsidR="00501ADC">
              <w:t>are</w:t>
            </w:r>
            <w:r w:rsidR="00501ADC" w:rsidRPr="00471697">
              <w:t xml:space="preserve"> in aid of the relief sought pursuant to s 37A of the </w:t>
            </w:r>
            <w:r w:rsidR="00D668E0" w:rsidRPr="00B3224F">
              <w:rPr>
                <w:rFonts w:eastAsia="Times New Roman"/>
                <w:i/>
                <w:iCs/>
                <w:szCs w:val="24"/>
                <w:lang w:eastAsia="en-AU"/>
              </w:rPr>
              <w:t xml:space="preserve">Conveyancing Act 1919 </w:t>
            </w:r>
            <w:r w:rsidR="00D668E0" w:rsidRPr="00B3224F">
              <w:rPr>
                <w:rFonts w:eastAsia="Times New Roman"/>
                <w:szCs w:val="24"/>
                <w:lang w:eastAsia="en-AU"/>
              </w:rPr>
              <w:t>(NSW)</w:t>
            </w:r>
            <w:r w:rsidR="00F85F25">
              <w:rPr>
                <w:rFonts w:eastAsia="Times New Roman"/>
                <w:szCs w:val="24"/>
                <w:lang w:eastAsia="en-AU"/>
              </w:rPr>
              <w:t xml:space="preserve"> (Conveyancing Act)</w:t>
            </w:r>
            <w:r w:rsidR="001C42FB">
              <w:rPr>
                <w:rFonts w:eastAsia="Times New Roman"/>
                <w:szCs w:val="24"/>
                <w:lang w:eastAsia="en-AU"/>
              </w:rPr>
              <w:t xml:space="preserve"> – whether amendment </w:t>
            </w:r>
            <w:r w:rsidR="00594A6C">
              <w:rPr>
                <w:rFonts w:eastAsia="Times New Roman"/>
                <w:szCs w:val="24"/>
                <w:lang w:eastAsia="en-AU"/>
              </w:rPr>
              <w:t>to</w:t>
            </w:r>
            <w:r w:rsidR="001C42FB">
              <w:rPr>
                <w:rFonts w:eastAsia="Times New Roman"/>
                <w:szCs w:val="24"/>
                <w:lang w:eastAsia="en-AU"/>
              </w:rPr>
              <w:t xml:space="preserve"> pleadings </w:t>
            </w:r>
            <w:r w:rsidR="00667EFE">
              <w:rPr>
                <w:rFonts w:eastAsia="Times New Roman"/>
                <w:szCs w:val="24"/>
                <w:lang w:eastAsia="en-AU"/>
              </w:rPr>
              <w:t xml:space="preserve">is </w:t>
            </w:r>
            <w:r w:rsidR="001C42FB">
              <w:rPr>
                <w:rFonts w:eastAsia="Times New Roman"/>
                <w:szCs w:val="24"/>
                <w:lang w:eastAsia="en-AU"/>
              </w:rPr>
              <w:t xml:space="preserve">based on the same facts or substantially the same facts as those already pleaded </w:t>
            </w:r>
            <w:r w:rsidR="00F85F25">
              <w:rPr>
                <w:rFonts w:eastAsia="Times New Roman"/>
                <w:szCs w:val="24"/>
                <w:lang w:eastAsia="en-AU"/>
              </w:rPr>
              <w:t xml:space="preserve">– whether this Court has jurisdiction in respect to the </w:t>
            </w:r>
            <w:r w:rsidR="00F85F25">
              <w:t>claim sought to be brought pursuant to s 37A of the Conveyancing Act</w:t>
            </w:r>
            <w:bookmarkEnd w:id="2"/>
          </w:p>
        </w:tc>
      </w:tr>
      <w:tr w:rsidR="00395B24" w14:paraId="230A848F" w14:textId="77777777" w:rsidTr="00DE65E5">
        <w:tc>
          <w:tcPr>
            <w:tcW w:w="3084" w:type="dxa"/>
            <w:shd w:val="clear" w:color="auto" w:fill="auto"/>
          </w:tcPr>
          <w:p w14:paraId="399D1398" w14:textId="77777777" w:rsidR="00395B24" w:rsidRDefault="00395B24" w:rsidP="00663878">
            <w:pPr>
              <w:pStyle w:val="Normal1linespace"/>
              <w:widowControl w:val="0"/>
              <w:jc w:val="left"/>
            </w:pPr>
          </w:p>
        </w:tc>
        <w:tc>
          <w:tcPr>
            <w:tcW w:w="5989" w:type="dxa"/>
            <w:shd w:val="clear" w:color="auto" w:fill="auto"/>
          </w:tcPr>
          <w:p w14:paraId="5A0593F8" w14:textId="77777777" w:rsidR="00395B24" w:rsidRDefault="00395B24" w:rsidP="00663878">
            <w:pPr>
              <w:pStyle w:val="Normal1linespace"/>
              <w:widowControl w:val="0"/>
              <w:jc w:val="left"/>
            </w:pPr>
          </w:p>
        </w:tc>
      </w:tr>
      <w:tr w:rsidR="00395B24" w14:paraId="67DC2F9D" w14:textId="77777777" w:rsidTr="00DE65E5">
        <w:tc>
          <w:tcPr>
            <w:tcW w:w="3084" w:type="dxa"/>
            <w:shd w:val="clear" w:color="auto" w:fill="auto"/>
          </w:tcPr>
          <w:p w14:paraId="658C3844" w14:textId="77777777" w:rsidR="00395B24" w:rsidRDefault="002C7385" w:rsidP="00663878">
            <w:pPr>
              <w:pStyle w:val="Normal1linespace"/>
              <w:widowControl w:val="0"/>
              <w:jc w:val="left"/>
            </w:pPr>
            <w:r>
              <w:t>Legislation:</w:t>
            </w:r>
          </w:p>
        </w:tc>
        <w:tc>
          <w:tcPr>
            <w:tcW w:w="5989" w:type="dxa"/>
            <w:shd w:val="clear" w:color="auto" w:fill="auto"/>
          </w:tcPr>
          <w:p w14:paraId="4F576C22" w14:textId="34B80920" w:rsidR="00B3224F" w:rsidRPr="00B3224F" w:rsidRDefault="000327D0" w:rsidP="00B3224F">
            <w:pPr>
              <w:pStyle w:val="CasesLegislationAppealFrom"/>
              <w:spacing w:after="60"/>
            </w:pPr>
            <w:bookmarkStart w:id="3" w:name="Legislation"/>
            <w:r w:rsidRPr="000327D0">
              <w:rPr>
                <w:rFonts w:eastAsia="Times New Roman"/>
                <w:i/>
                <w:iCs/>
                <w:szCs w:val="24"/>
                <w:lang w:eastAsia="en-AU"/>
              </w:rPr>
              <w:t>Corporation</w:t>
            </w:r>
            <w:r w:rsidR="00257221">
              <w:rPr>
                <w:rFonts w:eastAsia="Times New Roman"/>
                <w:i/>
                <w:iCs/>
                <w:szCs w:val="24"/>
                <w:lang w:eastAsia="en-AU"/>
              </w:rPr>
              <w:t>s</w:t>
            </w:r>
            <w:r w:rsidRPr="000327D0">
              <w:rPr>
                <w:rFonts w:eastAsia="Times New Roman"/>
                <w:i/>
                <w:iCs/>
                <w:szCs w:val="24"/>
                <w:lang w:eastAsia="en-AU"/>
              </w:rPr>
              <w:t xml:space="preserve"> Act 2001 </w:t>
            </w:r>
            <w:r w:rsidRPr="000327D0">
              <w:rPr>
                <w:rFonts w:eastAsia="Times New Roman"/>
                <w:szCs w:val="24"/>
                <w:lang w:eastAsia="en-AU"/>
              </w:rPr>
              <w:t>(</w:t>
            </w:r>
            <w:proofErr w:type="spellStart"/>
            <w:r w:rsidRPr="000327D0">
              <w:rPr>
                <w:rFonts w:eastAsia="Times New Roman"/>
                <w:szCs w:val="24"/>
                <w:lang w:eastAsia="en-AU"/>
              </w:rPr>
              <w:t>Cth</w:t>
            </w:r>
            <w:proofErr w:type="spellEnd"/>
            <w:r w:rsidRPr="000327D0">
              <w:rPr>
                <w:rFonts w:eastAsia="Times New Roman"/>
                <w:szCs w:val="24"/>
                <w:lang w:eastAsia="en-AU"/>
              </w:rPr>
              <w:t>) s 175</w:t>
            </w:r>
            <w:r>
              <w:rPr>
                <w:rFonts w:eastAsia="Times New Roman"/>
                <w:szCs w:val="24"/>
                <w:lang w:eastAsia="en-AU"/>
              </w:rPr>
              <w:br/>
            </w:r>
            <w:r w:rsidRPr="000327D0">
              <w:rPr>
                <w:rFonts w:eastAsia="Times New Roman"/>
                <w:i/>
                <w:iCs/>
                <w:szCs w:val="24"/>
                <w:lang w:eastAsia="en-AU"/>
              </w:rPr>
              <w:t xml:space="preserve">Federal Court of Australia Act 1976 </w:t>
            </w:r>
            <w:r w:rsidRPr="000327D0">
              <w:rPr>
                <w:rFonts w:eastAsia="Times New Roman"/>
                <w:szCs w:val="24"/>
                <w:lang w:eastAsia="en-AU"/>
              </w:rPr>
              <w:t>(</w:t>
            </w:r>
            <w:proofErr w:type="spellStart"/>
            <w:r w:rsidRPr="000327D0">
              <w:rPr>
                <w:rFonts w:eastAsia="Times New Roman"/>
                <w:szCs w:val="24"/>
                <w:lang w:eastAsia="en-AU"/>
              </w:rPr>
              <w:t>Cth</w:t>
            </w:r>
            <w:proofErr w:type="spellEnd"/>
            <w:r w:rsidRPr="000327D0">
              <w:rPr>
                <w:rFonts w:eastAsia="Times New Roman"/>
                <w:szCs w:val="24"/>
                <w:lang w:eastAsia="en-AU"/>
              </w:rPr>
              <w:t>) s 37M</w:t>
            </w:r>
            <w:r w:rsidR="00BF1C13">
              <w:rPr>
                <w:rFonts w:eastAsia="Times New Roman"/>
                <w:szCs w:val="24"/>
                <w:lang w:eastAsia="en-AU"/>
              </w:rPr>
              <w:br/>
            </w:r>
            <w:r w:rsidR="00BF1C13" w:rsidRPr="000327D0">
              <w:rPr>
                <w:rFonts w:eastAsia="Times New Roman"/>
                <w:i/>
                <w:iCs/>
                <w:szCs w:val="24"/>
                <w:lang w:eastAsia="en-AU"/>
              </w:rPr>
              <w:t>Judiciary Act 1903 </w:t>
            </w:r>
            <w:r w:rsidR="00BF1C13" w:rsidRPr="000327D0">
              <w:rPr>
                <w:rFonts w:eastAsia="Times New Roman"/>
                <w:szCs w:val="24"/>
                <w:lang w:eastAsia="en-AU"/>
              </w:rPr>
              <w:t>(</w:t>
            </w:r>
            <w:proofErr w:type="spellStart"/>
            <w:r w:rsidR="00BF1C13" w:rsidRPr="000327D0">
              <w:rPr>
                <w:rFonts w:eastAsia="Times New Roman"/>
                <w:szCs w:val="24"/>
                <w:lang w:eastAsia="en-AU"/>
              </w:rPr>
              <w:t>Cth</w:t>
            </w:r>
            <w:proofErr w:type="spellEnd"/>
            <w:r w:rsidR="00BF1C13" w:rsidRPr="000327D0">
              <w:rPr>
                <w:rFonts w:eastAsia="Times New Roman"/>
                <w:szCs w:val="24"/>
                <w:lang w:eastAsia="en-AU"/>
              </w:rPr>
              <w:t>) s 39B</w:t>
            </w:r>
            <w:r>
              <w:rPr>
                <w:rFonts w:eastAsia="Times New Roman"/>
                <w:szCs w:val="24"/>
                <w:lang w:eastAsia="en-AU"/>
              </w:rPr>
              <w:br/>
            </w:r>
            <w:r w:rsidRPr="000327D0">
              <w:rPr>
                <w:rFonts w:eastAsia="Times New Roman"/>
                <w:i/>
                <w:iCs/>
                <w:lang w:eastAsia="en-AU"/>
              </w:rPr>
              <w:t xml:space="preserve">Federal Court Rules 2011 </w:t>
            </w:r>
            <w:r w:rsidRPr="000327D0">
              <w:rPr>
                <w:rFonts w:eastAsia="Times New Roman"/>
                <w:lang w:eastAsia="en-AU"/>
              </w:rPr>
              <w:t>(</w:t>
            </w:r>
            <w:proofErr w:type="spellStart"/>
            <w:r w:rsidRPr="000327D0">
              <w:rPr>
                <w:rFonts w:eastAsia="Times New Roman"/>
                <w:lang w:eastAsia="en-AU"/>
              </w:rPr>
              <w:t>Cth</w:t>
            </w:r>
            <w:proofErr w:type="spellEnd"/>
            <w:r w:rsidRPr="000327D0">
              <w:rPr>
                <w:rFonts w:eastAsia="Times New Roman"/>
                <w:lang w:eastAsia="en-AU"/>
              </w:rPr>
              <w:t xml:space="preserve">) </w:t>
            </w:r>
            <w:proofErr w:type="spellStart"/>
            <w:r w:rsidRPr="000327D0">
              <w:rPr>
                <w:rFonts w:eastAsia="Times New Roman"/>
                <w:lang w:eastAsia="en-AU"/>
              </w:rPr>
              <w:t>rr</w:t>
            </w:r>
            <w:proofErr w:type="spellEnd"/>
            <w:r w:rsidRPr="000327D0">
              <w:rPr>
                <w:rFonts w:eastAsia="Times New Roman"/>
                <w:lang w:eastAsia="en-AU"/>
              </w:rPr>
              <w:t xml:space="preserve"> 1.32-1.35, 8.21, 9.05</w:t>
            </w:r>
            <w:r w:rsidR="00B3224F">
              <w:br/>
            </w:r>
            <w:bookmarkEnd w:id="3"/>
            <w:r w:rsidR="00B3224F" w:rsidRPr="00B3224F">
              <w:rPr>
                <w:rFonts w:eastAsia="Times New Roman"/>
                <w:i/>
                <w:iCs/>
                <w:szCs w:val="24"/>
                <w:lang w:eastAsia="en-AU"/>
              </w:rPr>
              <w:t xml:space="preserve">Conveyancing Act 1919 </w:t>
            </w:r>
            <w:r w:rsidR="00B3224F" w:rsidRPr="00B3224F">
              <w:rPr>
                <w:rFonts w:eastAsia="Times New Roman"/>
                <w:szCs w:val="24"/>
                <w:lang w:eastAsia="en-AU"/>
              </w:rPr>
              <w:t>(NSW) s 37A</w:t>
            </w:r>
          </w:p>
        </w:tc>
      </w:tr>
      <w:tr w:rsidR="00395B24" w14:paraId="7E9D5E68" w14:textId="77777777" w:rsidTr="00DE65E5">
        <w:tc>
          <w:tcPr>
            <w:tcW w:w="3084" w:type="dxa"/>
            <w:shd w:val="clear" w:color="auto" w:fill="auto"/>
          </w:tcPr>
          <w:p w14:paraId="051B7D05" w14:textId="77777777" w:rsidR="00395B24" w:rsidRDefault="00395B24" w:rsidP="00663878">
            <w:pPr>
              <w:pStyle w:val="Normal1linespace"/>
              <w:widowControl w:val="0"/>
              <w:jc w:val="left"/>
            </w:pPr>
          </w:p>
        </w:tc>
        <w:tc>
          <w:tcPr>
            <w:tcW w:w="5989" w:type="dxa"/>
            <w:shd w:val="clear" w:color="auto" w:fill="auto"/>
          </w:tcPr>
          <w:p w14:paraId="0A97DA46" w14:textId="77777777" w:rsidR="00395B24" w:rsidRDefault="00395B24" w:rsidP="00663878">
            <w:pPr>
              <w:pStyle w:val="Normal1linespace"/>
              <w:widowControl w:val="0"/>
              <w:jc w:val="left"/>
            </w:pPr>
          </w:p>
        </w:tc>
      </w:tr>
      <w:tr w:rsidR="00395B24" w14:paraId="63E05DC8" w14:textId="77777777" w:rsidTr="00DE65E5">
        <w:tc>
          <w:tcPr>
            <w:tcW w:w="3084" w:type="dxa"/>
            <w:shd w:val="clear" w:color="auto" w:fill="auto"/>
          </w:tcPr>
          <w:p w14:paraId="763BB7B6" w14:textId="77777777" w:rsidR="00395B24" w:rsidRDefault="002C7385" w:rsidP="00663878">
            <w:pPr>
              <w:pStyle w:val="Normal1linespace"/>
              <w:widowControl w:val="0"/>
              <w:jc w:val="left"/>
            </w:pPr>
            <w:r>
              <w:t>Cases cited:</w:t>
            </w:r>
          </w:p>
        </w:tc>
        <w:tc>
          <w:tcPr>
            <w:tcW w:w="5989" w:type="dxa"/>
            <w:shd w:val="clear" w:color="auto" w:fill="auto"/>
          </w:tcPr>
          <w:p w14:paraId="1F99B063" w14:textId="0CF65171" w:rsidR="00E75259" w:rsidRPr="00E75259" w:rsidRDefault="00E75259" w:rsidP="00E75259">
            <w:pPr>
              <w:spacing w:line="240" w:lineRule="auto"/>
              <w:jc w:val="left"/>
              <w:rPr>
                <w:rFonts w:eastAsia="Times New Roman"/>
                <w:szCs w:val="24"/>
                <w:lang w:eastAsia="en-AU"/>
              </w:rPr>
            </w:pPr>
            <w:bookmarkStart w:id="4" w:name="Cases_Cited"/>
            <w:r w:rsidRPr="00E75259">
              <w:rPr>
                <w:rFonts w:eastAsia="Times New Roman"/>
                <w:i/>
                <w:iCs/>
                <w:color w:val="000000"/>
                <w:szCs w:val="24"/>
                <w:shd w:val="clear" w:color="auto" w:fill="FFFFFF"/>
                <w:lang w:eastAsia="en-AU"/>
              </w:rPr>
              <w:t>Australian Securities and Investments Commission v Edensor Nominees Pty Ltd </w:t>
            </w:r>
            <w:r w:rsidRPr="00E75259">
              <w:rPr>
                <w:rFonts w:eastAsia="Times New Roman"/>
                <w:szCs w:val="24"/>
                <w:shd w:val="clear" w:color="auto" w:fill="FFFFFF"/>
                <w:lang w:eastAsia="en-AU"/>
              </w:rPr>
              <w:t xml:space="preserve">[2001] HCA 1; </w:t>
            </w:r>
            <w:r w:rsidR="00AF55D3">
              <w:rPr>
                <w:rFonts w:eastAsia="Times New Roman"/>
                <w:szCs w:val="24"/>
                <w:shd w:val="clear" w:color="auto" w:fill="FFFFFF"/>
                <w:lang w:eastAsia="en-AU"/>
              </w:rPr>
              <w:t xml:space="preserve">(2001) </w:t>
            </w:r>
            <w:r w:rsidRPr="00E75259">
              <w:rPr>
                <w:rFonts w:eastAsia="Times New Roman"/>
                <w:szCs w:val="24"/>
                <w:shd w:val="clear" w:color="auto" w:fill="FFFFFF"/>
                <w:lang w:eastAsia="en-AU"/>
              </w:rPr>
              <w:t xml:space="preserve">204 CLR 559 </w:t>
            </w:r>
          </w:p>
          <w:p w14:paraId="6610996F" w14:textId="1CACBE52"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Bryant (Liquidator) v L</w:t>
            </w:r>
            <w:r w:rsidR="007B5897">
              <w:rPr>
                <w:rFonts w:eastAsia="Times New Roman"/>
                <w:i/>
                <w:iCs/>
                <w:szCs w:val="24"/>
                <w:lang w:eastAsia="en-AU"/>
              </w:rPr>
              <w:t>.</w:t>
            </w:r>
            <w:r w:rsidRPr="00E75259">
              <w:rPr>
                <w:rFonts w:eastAsia="Times New Roman"/>
                <w:i/>
                <w:iCs/>
                <w:szCs w:val="24"/>
                <w:lang w:eastAsia="en-AU"/>
              </w:rPr>
              <w:t>V</w:t>
            </w:r>
            <w:r w:rsidR="007B5897">
              <w:rPr>
                <w:rFonts w:eastAsia="Times New Roman"/>
                <w:i/>
                <w:iCs/>
                <w:szCs w:val="24"/>
                <w:lang w:eastAsia="en-AU"/>
              </w:rPr>
              <w:t>.</w:t>
            </w:r>
            <w:r w:rsidRPr="00E75259">
              <w:rPr>
                <w:rFonts w:eastAsia="Times New Roman"/>
                <w:i/>
                <w:iCs/>
                <w:szCs w:val="24"/>
                <w:lang w:eastAsia="en-AU"/>
              </w:rPr>
              <w:t xml:space="preserve"> </w:t>
            </w:r>
            <w:proofErr w:type="spellStart"/>
            <w:r w:rsidRPr="00E75259">
              <w:rPr>
                <w:rFonts w:eastAsia="Times New Roman"/>
                <w:i/>
                <w:iCs/>
                <w:szCs w:val="24"/>
                <w:lang w:eastAsia="en-AU"/>
              </w:rPr>
              <w:t>Dohnt</w:t>
            </w:r>
            <w:proofErr w:type="spellEnd"/>
            <w:r w:rsidRPr="00E75259">
              <w:rPr>
                <w:rFonts w:eastAsia="Times New Roman"/>
                <w:i/>
                <w:iCs/>
                <w:szCs w:val="24"/>
                <w:lang w:eastAsia="en-AU"/>
              </w:rPr>
              <w:t xml:space="preserve"> &amp; Co Pty Ltd, in the Matter of Gunns Limited (In </w:t>
            </w:r>
            <w:proofErr w:type="spellStart"/>
            <w:r w:rsidRPr="00E75259">
              <w:rPr>
                <w:rFonts w:eastAsia="Times New Roman"/>
                <w:i/>
                <w:iCs/>
                <w:szCs w:val="24"/>
                <w:lang w:eastAsia="en-AU"/>
              </w:rPr>
              <w:t>Liq</w:t>
            </w:r>
            <w:proofErr w:type="spellEnd"/>
            <w:r w:rsidRPr="00E75259">
              <w:rPr>
                <w:rFonts w:eastAsia="Times New Roman"/>
                <w:i/>
                <w:iCs/>
                <w:szCs w:val="24"/>
                <w:lang w:eastAsia="en-AU"/>
              </w:rPr>
              <w:t>) (Receivers and Managers Appointed)</w:t>
            </w:r>
            <w:r w:rsidRPr="00E75259">
              <w:rPr>
                <w:rFonts w:eastAsia="Times New Roman"/>
                <w:szCs w:val="24"/>
                <w:lang w:eastAsia="en-AU"/>
              </w:rPr>
              <w:t xml:space="preserve"> [2018] FCA 238 </w:t>
            </w:r>
          </w:p>
          <w:p w14:paraId="25DB1E81"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Carter, in the matter of Spec FS NSW Pty Ltd (In Liquidation) </w:t>
            </w:r>
            <w:r w:rsidRPr="00E75259">
              <w:rPr>
                <w:rFonts w:eastAsia="Times New Roman"/>
                <w:szCs w:val="24"/>
                <w:lang w:eastAsia="en-AU"/>
              </w:rPr>
              <w:t xml:space="preserve">[2013] FCA 1027; (2013) 225 FCR 79 </w:t>
            </w:r>
          </w:p>
          <w:p w14:paraId="622DF2E8"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Commissioner of Taxation v </w:t>
            </w:r>
            <w:proofErr w:type="spellStart"/>
            <w:r w:rsidRPr="00E75259">
              <w:rPr>
                <w:rFonts w:eastAsia="Times New Roman"/>
                <w:i/>
                <w:iCs/>
                <w:szCs w:val="24"/>
                <w:lang w:eastAsia="en-AU"/>
              </w:rPr>
              <w:t>Oswal</w:t>
            </w:r>
            <w:proofErr w:type="spellEnd"/>
            <w:r w:rsidRPr="00E75259">
              <w:rPr>
                <w:rFonts w:eastAsia="Times New Roman"/>
                <w:i/>
                <w:iCs/>
                <w:szCs w:val="24"/>
                <w:lang w:eastAsia="en-AU"/>
              </w:rPr>
              <w:t xml:space="preserve"> (No 6)</w:t>
            </w:r>
            <w:r w:rsidRPr="00E75259">
              <w:rPr>
                <w:rFonts w:eastAsia="Times New Roman"/>
                <w:szCs w:val="24"/>
                <w:lang w:eastAsia="en-AU"/>
              </w:rPr>
              <w:t xml:space="preserve"> [2016] FCA 762; (2016) 339 ALR 560</w:t>
            </w:r>
          </w:p>
          <w:p w14:paraId="17CCA964"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Commissioner of Taxation v </w:t>
            </w:r>
            <w:proofErr w:type="spellStart"/>
            <w:r w:rsidRPr="00E75259">
              <w:rPr>
                <w:rFonts w:eastAsia="Times New Roman"/>
                <w:i/>
                <w:iCs/>
                <w:szCs w:val="24"/>
                <w:lang w:eastAsia="en-AU"/>
              </w:rPr>
              <w:t>Oswal</w:t>
            </w:r>
            <w:proofErr w:type="spellEnd"/>
            <w:r w:rsidRPr="00E75259">
              <w:rPr>
                <w:rFonts w:eastAsia="Times New Roman"/>
                <w:i/>
                <w:iCs/>
                <w:szCs w:val="24"/>
                <w:lang w:eastAsia="en-AU"/>
              </w:rPr>
              <w:t xml:space="preserve"> </w:t>
            </w:r>
            <w:r w:rsidRPr="00E75259">
              <w:rPr>
                <w:rFonts w:eastAsia="Times New Roman"/>
                <w:szCs w:val="24"/>
                <w:lang w:eastAsia="en-AU"/>
              </w:rPr>
              <w:t>[2012] FCA 1507</w:t>
            </w:r>
          </w:p>
          <w:p w14:paraId="218B2584"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CPT Custodian Pty Ltd v Commissioner of State Revenue</w:t>
            </w:r>
            <w:r w:rsidRPr="00E75259">
              <w:rPr>
                <w:rFonts w:eastAsia="Times New Roman"/>
                <w:szCs w:val="24"/>
                <w:lang w:eastAsia="en-AU"/>
              </w:rPr>
              <w:t xml:space="preserve"> [2005] HCA 53; (2004) 224 CLR 98 </w:t>
            </w:r>
          </w:p>
          <w:p w14:paraId="722AF7AA"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Darcy v </w:t>
            </w:r>
            <w:proofErr w:type="spellStart"/>
            <w:r w:rsidRPr="00E75259">
              <w:rPr>
                <w:rFonts w:eastAsia="Times New Roman"/>
                <w:i/>
                <w:iCs/>
                <w:szCs w:val="24"/>
                <w:lang w:eastAsia="en-AU"/>
              </w:rPr>
              <w:t>Medtel</w:t>
            </w:r>
            <w:proofErr w:type="spellEnd"/>
            <w:r w:rsidRPr="00E75259">
              <w:rPr>
                <w:rFonts w:eastAsia="Times New Roman"/>
                <w:i/>
                <w:iCs/>
                <w:szCs w:val="24"/>
                <w:lang w:eastAsia="en-AU"/>
              </w:rPr>
              <w:t xml:space="preserve"> Pty Ltd (No 3) </w:t>
            </w:r>
            <w:r w:rsidRPr="00E75259">
              <w:rPr>
                <w:rFonts w:eastAsia="Times New Roman"/>
                <w:szCs w:val="24"/>
                <w:lang w:eastAsia="en-AU"/>
              </w:rPr>
              <w:t xml:space="preserve">[2004] FCA 807 </w:t>
            </w:r>
          </w:p>
          <w:p w14:paraId="756C363B"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DCJ21 v Medical Board of Australia</w:t>
            </w:r>
            <w:r w:rsidRPr="00E75259">
              <w:rPr>
                <w:rFonts w:eastAsia="Times New Roman"/>
                <w:szCs w:val="24"/>
                <w:lang w:eastAsia="en-AU"/>
              </w:rPr>
              <w:t xml:space="preserve"> [2021] FCA 1037 </w:t>
            </w:r>
          </w:p>
          <w:p w14:paraId="536970D7"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Deputy Commissioner of Taxation v Ghaly </w:t>
            </w:r>
            <w:r w:rsidRPr="00E75259">
              <w:rPr>
                <w:rFonts w:eastAsia="Times New Roman"/>
                <w:szCs w:val="24"/>
                <w:lang w:eastAsia="en-AU"/>
              </w:rPr>
              <w:t xml:space="preserve">[2016] FCA 707 </w:t>
            </w:r>
          </w:p>
          <w:p w14:paraId="0F1AC83E"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lastRenderedPageBreak/>
              <w:t xml:space="preserve">Deputy Commissioner of Taxation v </w:t>
            </w:r>
            <w:proofErr w:type="spellStart"/>
            <w:r w:rsidRPr="00E75259">
              <w:rPr>
                <w:rFonts w:eastAsia="Times New Roman"/>
                <w:i/>
                <w:iCs/>
                <w:szCs w:val="24"/>
                <w:lang w:eastAsia="en-AU"/>
              </w:rPr>
              <w:t>Kocic</w:t>
            </w:r>
            <w:proofErr w:type="spellEnd"/>
            <w:r w:rsidRPr="00E75259">
              <w:rPr>
                <w:rFonts w:eastAsia="Times New Roman"/>
                <w:i/>
                <w:iCs/>
                <w:szCs w:val="24"/>
                <w:lang w:eastAsia="en-AU"/>
              </w:rPr>
              <w:t xml:space="preserve"> </w:t>
            </w:r>
            <w:r w:rsidRPr="00E75259">
              <w:rPr>
                <w:rFonts w:eastAsia="Times New Roman"/>
                <w:szCs w:val="24"/>
                <w:lang w:eastAsia="en-AU"/>
              </w:rPr>
              <w:t>[2023] FCA 1353</w:t>
            </w:r>
          </w:p>
          <w:p w14:paraId="1180A7BA"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Draney v Barry</w:t>
            </w:r>
            <w:r w:rsidRPr="00E75259">
              <w:rPr>
                <w:rFonts w:eastAsia="Times New Roman"/>
                <w:szCs w:val="24"/>
                <w:lang w:eastAsia="en-AU"/>
              </w:rPr>
              <w:t xml:space="preserve"> [1999] QCA 491; [2002] 1 </w:t>
            </w:r>
            <w:proofErr w:type="spellStart"/>
            <w:r w:rsidRPr="00E75259">
              <w:rPr>
                <w:rFonts w:eastAsia="Times New Roman"/>
                <w:szCs w:val="24"/>
                <w:lang w:eastAsia="en-AU"/>
              </w:rPr>
              <w:t>Qd</w:t>
            </w:r>
            <w:proofErr w:type="spellEnd"/>
            <w:r w:rsidRPr="00E75259">
              <w:rPr>
                <w:rFonts w:eastAsia="Times New Roman"/>
                <w:szCs w:val="24"/>
                <w:lang w:eastAsia="en-AU"/>
              </w:rPr>
              <w:t xml:space="preserve"> R 145 </w:t>
            </w:r>
          </w:p>
          <w:p w14:paraId="0FAF3CB3"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Dye v Commonwealth Securities Limited (No 2) </w:t>
            </w:r>
            <w:r w:rsidRPr="00E75259">
              <w:rPr>
                <w:rFonts w:eastAsia="Times New Roman"/>
                <w:szCs w:val="24"/>
                <w:lang w:eastAsia="en-AU"/>
              </w:rPr>
              <w:t xml:space="preserve">[2010] FCAFC 118 </w:t>
            </w:r>
          </w:p>
          <w:p w14:paraId="50B8665C"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Fina Research SA v Halliburton Energy Services Inc</w:t>
            </w:r>
            <w:r w:rsidRPr="00E75259">
              <w:rPr>
                <w:rFonts w:eastAsia="Times New Roman"/>
                <w:szCs w:val="24"/>
                <w:lang w:eastAsia="en-AU"/>
              </w:rPr>
              <w:t xml:space="preserve"> [2002] FCA 1281</w:t>
            </w:r>
          </w:p>
          <w:p w14:paraId="4D3BAE43"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Krakowski v </w:t>
            </w:r>
            <w:proofErr w:type="spellStart"/>
            <w:r w:rsidRPr="00E75259">
              <w:rPr>
                <w:rFonts w:eastAsia="Times New Roman"/>
                <w:i/>
                <w:iCs/>
                <w:szCs w:val="24"/>
                <w:lang w:eastAsia="en-AU"/>
              </w:rPr>
              <w:t>Eurolynx</w:t>
            </w:r>
            <w:proofErr w:type="spellEnd"/>
            <w:r w:rsidRPr="00E75259">
              <w:rPr>
                <w:rFonts w:eastAsia="Times New Roman"/>
                <w:i/>
                <w:iCs/>
                <w:szCs w:val="24"/>
                <w:lang w:eastAsia="en-AU"/>
              </w:rPr>
              <w:t xml:space="preserve"> Properties Limited </w:t>
            </w:r>
            <w:r w:rsidRPr="00E75259">
              <w:rPr>
                <w:rFonts w:eastAsia="Times New Roman"/>
                <w:szCs w:val="24"/>
                <w:lang w:eastAsia="en-AU"/>
              </w:rPr>
              <w:t>[1995] HCA 68; (1995) 183 CLR 563</w:t>
            </w:r>
          </w:p>
          <w:p w14:paraId="05992E30" w14:textId="77777777" w:rsidR="00E75259" w:rsidRPr="00E75259" w:rsidRDefault="00E75259" w:rsidP="00E75259">
            <w:pPr>
              <w:spacing w:line="240" w:lineRule="auto"/>
              <w:jc w:val="left"/>
              <w:rPr>
                <w:rFonts w:eastAsia="Times New Roman"/>
                <w:szCs w:val="24"/>
                <w:lang w:eastAsia="en-AU"/>
              </w:rPr>
            </w:pPr>
            <w:proofErr w:type="spellStart"/>
            <w:r w:rsidRPr="00E75259">
              <w:rPr>
                <w:rFonts w:eastAsia="Times New Roman"/>
                <w:i/>
                <w:iCs/>
                <w:szCs w:val="24"/>
                <w:lang w:eastAsia="en-AU"/>
              </w:rPr>
              <w:t>Lakatamia</w:t>
            </w:r>
            <w:proofErr w:type="spellEnd"/>
            <w:r w:rsidRPr="00E75259">
              <w:rPr>
                <w:rFonts w:eastAsia="Times New Roman"/>
                <w:i/>
                <w:iCs/>
                <w:szCs w:val="24"/>
                <w:lang w:eastAsia="en-AU"/>
              </w:rPr>
              <w:t xml:space="preserve"> Shipping Co Ltd v Su </w:t>
            </w:r>
            <w:r w:rsidRPr="00E75259">
              <w:rPr>
                <w:rFonts w:eastAsia="Times New Roman"/>
                <w:szCs w:val="24"/>
                <w:lang w:eastAsia="en-AU"/>
              </w:rPr>
              <w:t xml:space="preserve">[2014] EWCA Civ 636; [2015] 1 WLR 291 </w:t>
            </w:r>
          </w:p>
          <w:p w14:paraId="608DA5DA"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Mansfield (Liquidator) v </w:t>
            </w:r>
            <w:proofErr w:type="spellStart"/>
            <w:r w:rsidRPr="00E75259">
              <w:rPr>
                <w:rFonts w:eastAsia="Times New Roman"/>
                <w:i/>
                <w:iCs/>
                <w:szCs w:val="24"/>
                <w:lang w:eastAsia="en-AU"/>
              </w:rPr>
              <w:t>Fortrust</w:t>
            </w:r>
            <w:proofErr w:type="spellEnd"/>
            <w:r w:rsidRPr="00E75259">
              <w:rPr>
                <w:rFonts w:eastAsia="Times New Roman"/>
                <w:i/>
                <w:iCs/>
                <w:szCs w:val="24"/>
                <w:lang w:eastAsia="en-AU"/>
              </w:rPr>
              <w:t xml:space="preserve"> International Pty Ltd, in the matter of Palladium Investments International Pty Ltd (in </w:t>
            </w:r>
            <w:proofErr w:type="spellStart"/>
            <w:r w:rsidRPr="00E75259">
              <w:rPr>
                <w:rFonts w:eastAsia="Times New Roman"/>
                <w:i/>
                <w:iCs/>
                <w:szCs w:val="24"/>
                <w:lang w:eastAsia="en-AU"/>
              </w:rPr>
              <w:t>liq</w:t>
            </w:r>
            <w:proofErr w:type="spellEnd"/>
            <w:r w:rsidRPr="00E75259">
              <w:rPr>
                <w:rFonts w:eastAsia="Times New Roman"/>
                <w:i/>
                <w:iCs/>
                <w:szCs w:val="24"/>
                <w:lang w:eastAsia="en-AU"/>
              </w:rPr>
              <w:t>)</w:t>
            </w:r>
            <w:r w:rsidRPr="00E75259">
              <w:rPr>
                <w:rFonts w:eastAsia="Times New Roman"/>
                <w:szCs w:val="24"/>
                <w:lang w:eastAsia="en-AU"/>
              </w:rPr>
              <w:t xml:space="preserve"> [2023] FCA 350 </w:t>
            </w:r>
          </w:p>
          <w:p w14:paraId="352081CD"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Marcolongo v Chen </w:t>
            </w:r>
            <w:r w:rsidRPr="00E75259">
              <w:rPr>
                <w:rFonts w:eastAsia="Times New Roman"/>
                <w:szCs w:val="24"/>
                <w:lang w:eastAsia="en-AU"/>
              </w:rPr>
              <w:t xml:space="preserve">[2011] HCA 3; (2011) 242 CLR 546 </w:t>
            </w:r>
          </w:p>
          <w:p w14:paraId="3B2054A3"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McGraw-Hill Financial, Inc v </w:t>
            </w:r>
            <w:proofErr w:type="spellStart"/>
            <w:r w:rsidRPr="00E75259">
              <w:rPr>
                <w:rFonts w:eastAsia="Times New Roman"/>
                <w:i/>
                <w:iCs/>
                <w:szCs w:val="24"/>
                <w:lang w:eastAsia="en-AU"/>
              </w:rPr>
              <w:t>Clurname</w:t>
            </w:r>
            <w:proofErr w:type="spellEnd"/>
            <w:r w:rsidRPr="00E75259">
              <w:rPr>
                <w:rFonts w:eastAsia="Times New Roman"/>
                <w:i/>
                <w:iCs/>
                <w:szCs w:val="24"/>
                <w:lang w:eastAsia="en-AU"/>
              </w:rPr>
              <w:t xml:space="preserve"> Pty Ltd</w:t>
            </w:r>
            <w:r w:rsidRPr="00E75259">
              <w:rPr>
                <w:rFonts w:eastAsia="Times New Roman"/>
                <w:szCs w:val="24"/>
                <w:lang w:eastAsia="en-AU"/>
              </w:rPr>
              <w:t xml:space="preserve"> [2017] FCAFC 211; (2017) 123 ACSR 467</w:t>
            </w:r>
          </w:p>
          <w:p w14:paraId="625BCFC6"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Rana v Google</w:t>
            </w:r>
            <w:r w:rsidRPr="00E75259">
              <w:rPr>
                <w:rFonts w:eastAsia="Times New Roman"/>
                <w:szCs w:val="24"/>
                <w:lang w:eastAsia="en-AU"/>
              </w:rPr>
              <w:t xml:space="preserve"> [2017] FCAFC 156; (2017) 254 FCR 1 </w:t>
            </w:r>
          </w:p>
          <w:p w14:paraId="773EC19B"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Resort Lifestyle Developments Pty Ltd v NGI Savannah Living Communities Pty Ltd</w:t>
            </w:r>
            <w:r w:rsidRPr="00E75259">
              <w:rPr>
                <w:rFonts w:eastAsia="Times New Roman"/>
                <w:szCs w:val="24"/>
                <w:lang w:eastAsia="en-AU"/>
              </w:rPr>
              <w:t xml:space="preserve"> [2022] QSC 194; (2022) 12 QR 67 </w:t>
            </w:r>
          </w:p>
          <w:p w14:paraId="3D965FFA" w14:textId="445CA504"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Rizeq v Western Australia</w:t>
            </w:r>
            <w:r w:rsidRPr="00E75259">
              <w:rPr>
                <w:rFonts w:eastAsia="Times New Roman"/>
                <w:szCs w:val="24"/>
                <w:lang w:eastAsia="en-AU"/>
              </w:rPr>
              <w:t xml:space="preserve"> [2017] HCA 23; (2017) 262 CLR 1</w:t>
            </w:r>
            <w:r>
              <w:t xml:space="preserve"> </w:t>
            </w:r>
          </w:p>
          <w:p w14:paraId="4CECDFA6" w14:textId="77777777" w:rsidR="00E75259" w:rsidRPr="00E75259" w:rsidRDefault="00E75259" w:rsidP="00E75259">
            <w:pPr>
              <w:spacing w:line="240" w:lineRule="auto"/>
              <w:jc w:val="left"/>
              <w:rPr>
                <w:rFonts w:eastAsia="Times New Roman"/>
                <w:szCs w:val="24"/>
                <w:lang w:eastAsia="en-AU"/>
              </w:rPr>
            </w:pPr>
            <w:r w:rsidRPr="00E75259">
              <w:rPr>
                <w:rFonts w:eastAsia="Times New Roman"/>
                <w:i/>
                <w:iCs/>
                <w:szCs w:val="24"/>
                <w:lang w:eastAsia="en-AU"/>
              </w:rPr>
              <w:t xml:space="preserve">Royal v El Ali </w:t>
            </w:r>
            <w:r w:rsidRPr="00E75259">
              <w:rPr>
                <w:rFonts w:eastAsia="Times New Roman"/>
                <w:szCs w:val="24"/>
                <w:lang w:eastAsia="en-AU"/>
              </w:rPr>
              <w:t xml:space="preserve">[2016] FCA 782 </w:t>
            </w:r>
          </w:p>
          <w:p w14:paraId="6C03ABBD" w14:textId="0A2A76DE" w:rsidR="00395B24" w:rsidRPr="00E00C63" w:rsidRDefault="00E75259" w:rsidP="00E00C63">
            <w:pPr>
              <w:spacing w:line="240" w:lineRule="auto"/>
              <w:jc w:val="left"/>
              <w:rPr>
                <w:rFonts w:eastAsia="Times New Roman"/>
                <w:szCs w:val="24"/>
                <w:lang w:eastAsia="en-AU"/>
              </w:rPr>
            </w:pPr>
            <w:r w:rsidRPr="00E75259">
              <w:rPr>
                <w:rFonts w:eastAsia="Times New Roman"/>
                <w:i/>
                <w:iCs/>
                <w:szCs w:val="24"/>
                <w:lang w:eastAsia="en-AU"/>
              </w:rPr>
              <w:t>Singh v Super City Home Loans Pty Ltd</w:t>
            </w:r>
            <w:r w:rsidRPr="00E75259">
              <w:rPr>
                <w:rFonts w:eastAsia="Times New Roman"/>
                <w:szCs w:val="24"/>
                <w:lang w:eastAsia="en-AU"/>
              </w:rPr>
              <w:t xml:space="preserve"> [2011] FCA 646 </w:t>
            </w:r>
            <w:bookmarkEnd w:id="4"/>
          </w:p>
        </w:tc>
      </w:tr>
      <w:tr w:rsidR="0041188A" w14:paraId="1C655E26" w14:textId="77777777" w:rsidTr="00DE65E5">
        <w:tc>
          <w:tcPr>
            <w:tcW w:w="3084" w:type="dxa"/>
            <w:shd w:val="clear" w:color="auto" w:fill="auto"/>
          </w:tcPr>
          <w:p w14:paraId="1CDFBF29" w14:textId="77777777" w:rsidR="0041188A" w:rsidRDefault="0041188A" w:rsidP="002F7154">
            <w:pPr>
              <w:pStyle w:val="Normal1linespace"/>
              <w:widowControl w:val="0"/>
            </w:pPr>
          </w:p>
        </w:tc>
        <w:tc>
          <w:tcPr>
            <w:tcW w:w="5989" w:type="dxa"/>
            <w:shd w:val="clear" w:color="auto" w:fill="auto"/>
          </w:tcPr>
          <w:p w14:paraId="4EB54D5A" w14:textId="77777777" w:rsidR="0041188A" w:rsidRDefault="0041188A" w:rsidP="002F7154">
            <w:pPr>
              <w:pStyle w:val="Normal1linespace"/>
              <w:widowControl w:val="0"/>
              <w:jc w:val="left"/>
            </w:pPr>
          </w:p>
        </w:tc>
      </w:tr>
      <w:tr w:rsidR="0041188A" w14:paraId="0756E8D2" w14:textId="77777777" w:rsidTr="00DE65E5">
        <w:tc>
          <w:tcPr>
            <w:tcW w:w="3084" w:type="dxa"/>
            <w:shd w:val="clear" w:color="auto" w:fill="auto"/>
          </w:tcPr>
          <w:p w14:paraId="77D99338" w14:textId="77777777" w:rsidR="0041188A" w:rsidRDefault="0041188A" w:rsidP="00501A12">
            <w:pPr>
              <w:pStyle w:val="Normal1linespace"/>
              <w:widowControl w:val="0"/>
            </w:pPr>
            <w:r>
              <w:t>Division:</w:t>
            </w:r>
          </w:p>
        </w:tc>
        <w:tc>
          <w:tcPr>
            <w:tcW w:w="5989" w:type="dxa"/>
            <w:shd w:val="clear" w:color="auto" w:fill="auto"/>
          </w:tcPr>
          <w:p w14:paraId="70F1CD1E" w14:textId="2EBBC535" w:rsidR="0041188A" w:rsidRPr="00F17599" w:rsidRDefault="00C07C6E" w:rsidP="00501A12">
            <w:pPr>
              <w:pStyle w:val="Normal1linespace"/>
              <w:widowControl w:val="0"/>
              <w:jc w:val="left"/>
            </w:pPr>
            <w:fldSimple w:instr=" DOCPROPERTY  Division ">
              <w:r w:rsidR="0041188A">
                <w:t>General Division</w:t>
              </w:r>
            </w:fldSimple>
          </w:p>
        </w:tc>
      </w:tr>
      <w:tr w:rsidR="0041188A" w14:paraId="6F98E4A2" w14:textId="77777777" w:rsidTr="00DE65E5">
        <w:tc>
          <w:tcPr>
            <w:tcW w:w="3084" w:type="dxa"/>
            <w:shd w:val="clear" w:color="auto" w:fill="auto"/>
          </w:tcPr>
          <w:p w14:paraId="2C2E6993" w14:textId="77777777" w:rsidR="0041188A" w:rsidRDefault="0041188A" w:rsidP="00501A12">
            <w:pPr>
              <w:pStyle w:val="Normal1linespace"/>
              <w:widowControl w:val="0"/>
            </w:pPr>
            <w:bookmarkStart w:id="5" w:name="Registry_rows" w:colFirst="0" w:colLast="1"/>
          </w:p>
        </w:tc>
        <w:tc>
          <w:tcPr>
            <w:tcW w:w="5989" w:type="dxa"/>
            <w:shd w:val="clear" w:color="auto" w:fill="auto"/>
          </w:tcPr>
          <w:p w14:paraId="0B950978" w14:textId="77777777" w:rsidR="0041188A" w:rsidRDefault="0041188A" w:rsidP="00501A12">
            <w:pPr>
              <w:pStyle w:val="Normal1linespace"/>
              <w:widowControl w:val="0"/>
              <w:jc w:val="left"/>
            </w:pPr>
          </w:p>
        </w:tc>
      </w:tr>
      <w:tr w:rsidR="0041188A" w14:paraId="5E45862E" w14:textId="77777777" w:rsidTr="00DE65E5">
        <w:tc>
          <w:tcPr>
            <w:tcW w:w="3084" w:type="dxa"/>
            <w:shd w:val="clear" w:color="auto" w:fill="auto"/>
          </w:tcPr>
          <w:p w14:paraId="578802DA" w14:textId="77777777" w:rsidR="0041188A" w:rsidRDefault="0041188A" w:rsidP="00501A12">
            <w:pPr>
              <w:pStyle w:val="Normal1linespace"/>
              <w:widowControl w:val="0"/>
            </w:pPr>
            <w:r>
              <w:t>Registry:</w:t>
            </w:r>
          </w:p>
        </w:tc>
        <w:tc>
          <w:tcPr>
            <w:tcW w:w="5989" w:type="dxa"/>
            <w:shd w:val="clear" w:color="auto" w:fill="auto"/>
          </w:tcPr>
          <w:p w14:paraId="17E24388" w14:textId="51B657E3" w:rsidR="0041188A" w:rsidRPr="00F17599" w:rsidRDefault="00C07C6E" w:rsidP="00501A12">
            <w:pPr>
              <w:pStyle w:val="Normal1linespace"/>
              <w:widowControl w:val="0"/>
              <w:jc w:val="left"/>
            </w:pPr>
            <w:fldSimple w:instr=" DOCPROPERTY  Registry ">
              <w:r w:rsidR="0041188A">
                <w:t>New South Wales</w:t>
              </w:r>
            </w:fldSimple>
          </w:p>
        </w:tc>
      </w:tr>
      <w:tr w:rsidR="0041188A" w14:paraId="5C744478" w14:textId="77777777" w:rsidTr="00DE65E5">
        <w:tc>
          <w:tcPr>
            <w:tcW w:w="3084" w:type="dxa"/>
            <w:shd w:val="clear" w:color="auto" w:fill="auto"/>
          </w:tcPr>
          <w:p w14:paraId="353B041E" w14:textId="77777777" w:rsidR="0041188A" w:rsidRDefault="0041188A" w:rsidP="00501A12">
            <w:pPr>
              <w:pStyle w:val="Normal1linespace"/>
              <w:widowControl w:val="0"/>
            </w:pPr>
            <w:bookmarkStart w:id="6" w:name="NPARow" w:colFirst="0" w:colLast="1"/>
            <w:bookmarkEnd w:id="5"/>
          </w:p>
        </w:tc>
        <w:tc>
          <w:tcPr>
            <w:tcW w:w="5989" w:type="dxa"/>
            <w:shd w:val="clear" w:color="auto" w:fill="auto"/>
          </w:tcPr>
          <w:p w14:paraId="3419CA57" w14:textId="77777777" w:rsidR="0041188A" w:rsidRPr="00F17599" w:rsidRDefault="0041188A" w:rsidP="00501A12">
            <w:pPr>
              <w:pStyle w:val="Normal1linespace"/>
              <w:widowControl w:val="0"/>
              <w:jc w:val="left"/>
              <w:rPr>
                <w:b/>
              </w:rPr>
            </w:pPr>
          </w:p>
        </w:tc>
      </w:tr>
      <w:tr w:rsidR="0041188A" w14:paraId="64C99430" w14:textId="77777777" w:rsidTr="00DE65E5">
        <w:tc>
          <w:tcPr>
            <w:tcW w:w="3084" w:type="dxa"/>
            <w:shd w:val="clear" w:color="auto" w:fill="auto"/>
          </w:tcPr>
          <w:p w14:paraId="737399C4" w14:textId="77777777" w:rsidR="0041188A" w:rsidRDefault="0041188A" w:rsidP="00501A12">
            <w:pPr>
              <w:pStyle w:val="Normal1linespace"/>
              <w:widowControl w:val="0"/>
            </w:pPr>
            <w:r>
              <w:t>National Practice Area:</w:t>
            </w:r>
          </w:p>
        </w:tc>
        <w:tc>
          <w:tcPr>
            <w:tcW w:w="5989" w:type="dxa"/>
            <w:shd w:val="clear" w:color="auto" w:fill="auto"/>
          </w:tcPr>
          <w:p w14:paraId="34DEDCCE" w14:textId="1E64836D" w:rsidR="0041188A" w:rsidRPr="00F17599" w:rsidRDefault="00C07C6E" w:rsidP="00171DBB">
            <w:pPr>
              <w:pStyle w:val="Normal1linespace"/>
              <w:widowControl w:val="0"/>
              <w:jc w:val="left"/>
              <w:rPr>
                <w:b/>
              </w:rPr>
            </w:pPr>
            <w:fldSimple w:instr=" DOCPROPERTY  &quot;Practice Area&quot;  \* MERGEFORMAT ">
              <w:r w:rsidR="0041188A">
                <w:t>Taxation</w:t>
              </w:r>
            </w:fldSimple>
          </w:p>
        </w:tc>
      </w:tr>
      <w:bookmarkEnd w:id="6"/>
      <w:tr w:rsidR="0041188A" w14:paraId="0C714FA3" w14:textId="77777777" w:rsidTr="00DE65E5">
        <w:tc>
          <w:tcPr>
            <w:tcW w:w="3084" w:type="dxa"/>
            <w:shd w:val="clear" w:color="auto" w:fill="auto"/>
          </w:tcPr>
          <w:p w14:paraId="3BB9460E" w14:textId="77777777" w:rsidR="0041188A" w:rsidRDefault="0041188A" w:rsidP="00501A12">
            <w:pPr>
              <w:pStyle w:val="Normal1linespace"/>
              <w:widowControl w:val="0"/>
            </w:pPr>
          </w:p>
        </w:tc>
        <w:tc>
          <w:tcPr>
            <w:tcW w:w="5989" w:type="dxa"/>
            <w:shd w:val="clear" w:color="auto" w:fill="auto"/>
          </w:tcPr>
          <w:p w14:paraId="4DC151F0" w14:textId="77777777" w:rsidR="0041188A" w:rsidRDefault="0041188A" w:rsidP="00501A12">
            <w:pPr>
              <w:pStyle w:val="Normal1linespace"/>
              <w:widowControl w:val="0"/>
              <w:jc w:val="left"/>
            </w:pPr>
          </w:p>
        </w:tc>
      </w:tr>
      <w:tr w:rsidR="0041188A" w14:paraId="07AB8964" w14:textId="77777777" w:rsidTr="00DE65E5">
        <w:tc>
          <w:tcPr>
            <w:tcW w:w="3084" w:type="dxa"/>
            <w:shd w:val="clear" w:color="auto" w:fill="auto"/>
          </w:tcPr>
          <w:p w14:paraId="7208E5D2" w14:textId="77777777" w:rsidR="0041188A" w:rsidRPr="00180B0F" w:rsidRDefault="0041188A" w:rsidP="00501A12">
            <w:pPr>
              <w:pStyle w:val="Normal1linespace"/>
              <w:widowControl w:val="0"/>
            </w:pPr>
            <w:r w:rsidRPr="00180B0F">
              <w:t>Number of paragraphs:</w:t>
            </w:r>
          </w:p>
        </w:tc>
        <w:tc>
          <w:tcPr>
            <w:tcW w:w="5989" w:type="dxa"/>
            <w:shd w:val="clear" w:color="auto" w:fill="auto"/>
          </w:tcPr>
          <w:p w14:paraId="5A659FAD" w14:textId="1D4FC155" w:rsidR="0041188A" w:rsidRPr="00180B0F" w:rsidRDefault="00DE65E5" w:rsidP="00501A12">
            <w:pPr>
              <w:pStyle w:val="Normal1linespace"/>
              <w:widowControl w:val="0"/>
              <w:jc w:val="left"/>
            </w:pPr>
            <w:bookmarkStart w:id="7" w:name="PlaceCategoryParagraphs"/>
            <w:r>
              <w:t>3</w:t>
            </w:r>
            <w:r w:rsidR="00005DD5">
              <w:t>9</w:t>
            </w:r>
            <w:bookmarkEnd w:id="7"/>
          </w:p>
        </w:tc>
      </w:tr>
      <w:tr w:rsidR="0041188A" w14:paraId="583B9A15" w14:textId="77777777" w:rsidTr="00DE65E5">
        <w:tc>
          <w:tcPr>
            <w:tcW w:w="3084" w:type="dxa"/>
            <w:shd w:val="clear" w:color="auto" w:fill="auto"/>
          </w:tcPr>
          <w:p w14:paraId="5951CDE0" w14:textId="77777777" w:rsidR="0041188A" w:rsidRDefault="0041188A" w:rsidP="0041188A">
            <w:pPr>
              <w:pStyle w:val="Normal1linespace"/>
              <w:widowControl w:val="0"/>
              <w:jc w:val="left"/>
            </w:pPr>
          </w:p>
        </w:tc>
        <w:tc>
          <w:tcPr>
            <w:tcW w:w="5989" w:type="dxa"/>
            <w:shd w:val="clear" w:color="auto" w:fill="auto"/>
          </w:tcPr>
          <w:p w14:paraId="3253E9C3" w14:textId="77777777" w:rsidR="0041188A" w:rsidRDefault="0041188A" w:rsidP="0041188A">
            <w:pPr>
              <w:pStyle w:val="Normal1linespace"/>
              <w:widowControl w:val="0"/>
              <w:jc w:val="left"/>
            </w:pPr>
          </w:p>
        </w:tc>
      </w:tr>
      <w:tr w:rsidR="0041188A" w14:paraId="1F16575A" w14:textId="77777777" w:rsidTr="00DE65E5">
        <w:tc>
          <w:tcPr>
            <w:tcW w:w="3084" w:type="dxa"/>
            <w:shd w:val="clear" w:color="auto" w:fill="auto"/>
          </w:tcPr>
          <w:p w14:paraId="6789AF7B" w14:textId="77777777" w:rsidR="0041188A" w:rsidRDefault="0041188A" w:rsidP="0041188A">
            <w:pPr>
              <w:pStyle w:val="Normal1linespace"/>
              <w:widowControl w:val="0"/>
              <w:jc w:val="left"/>
            </w:pPr>
            <w:bookmarkStart w:id="8" w:name="CounselDate" w:colFirst="0" w:colLast="2"/>
            <w:r w:rsidRPr="006A24E3">
              <w:t>Date of hearing:</w:t>
            </w:r>
          </w:p>
        </w:tc>
        <w:tc>
          <w:tcPr>
            <w:tcW w:w="5989" w:type="dxa"/>
            <w:shd w:val="clear" w:color="auto" w:fill="auto"/>
          </w:tcPr>
          <w:p w14:paraId="281DECE8" w14:textId="1ABF77D7" w:rsidR="0041188A" w:rsidRDefault="00113BB5" w:rsidP="0041188A">
            <w:pPr>
              <w:pStyle w:val="Normal1linespace"/>
              <w:widowControl w:val="0"/>
              <w:jc w:val="left"/>
            </w:pPr>
            <w:bookmarkStart w:id="9" w:name="HearingDate"/>
            <w:r>
              <w:t>6 February 2024</w:t>
            </w:r>
            <w:r w:rsidR="0041188A">
              <w:t xml:space="preserve"> </w:t>
            </w:r>
            <w:bookmarkEnd w:id="9"/>
          </w:p>
        </w:tc>
      </w:tr>
      <w:tr w:rsidR="0041188A" w14:paraId="298A9EB4" w14:textId="77777777" w:rsidTr="00DE65E5">
        <w:tc>
          <w:tcPr>
            <w:tcW w:w="3084" w:type="dxa"/>
            <w:shd w:val="clear" w:color="auto" w:fill="auto"/>
          </w:tcPr>
          <w:p w14:paraId="3721CDB8" w14:textId="332E9CD9" w:rsidR="0041188A" w:rsidRDefault="0041188A" w:rsidP="0041188A">
            <w:pPr>
              <w:pStyle w:val="Normal1linespace"/>
              <w:widowControl w:val="0"/>
              <w:jc w:val="left"/>
            </w:pPr>
          </w:p>
        </w:tc>
        <w:tc>
          <w:tcPr>
            <w:tcW w:w="5989" w:type="dxa"/>
            <w:shd w:val="clear" w:color="auto" w:fill="auto"/>
          </w:tcPr>
          <w:p w14:paraId="26DDE443" w14:textId="77777777" w:rsidR="0041188A" w:rsidRDefault="0041188A" w:rsidP="0041188A">
            <w:pPr>
              <w:pStyle w:val="Normal1linespace"/>
              <w:widowControl w:val="0"/>
              <w:jc w:val="left"/>
            </w:pPr>
          </w:p>
        </w:tc>
      </w:tr>
      <w:tr w:rsidR="00113BB5" w14:paraId="61072D96" w14:textId="77777777" w:rsidTr="00DE65E5">
        <w:tc>
          <w:tcPr>
            <w:tcW w:w="3084" w:type="dxa"/>
            <w:shd w:val="clear" w:color="auto" w:fill="auto"/>
          </w:tcPr>
          <w:p w14:paraId="271F3443" w14:textId="797BE4E3" w:rsidR="00113BB5" w:rsidRDefault="00113BB5" w:rsidP="00D740F6">
            <w:pPr>
              <w:pStyle w:val="Normal1linespace"/>
              <w:widowControl w:val="0"/>
              <w:jc w:val="left"/>
            </w:pPr>
            <w:bookmarkStart w:id="10" w:name="CompletionTable"/>
            <w:bookmarkEnd w:id="8"/>
            <w:r>
              <w:t xml:space="preserve">Counsel for the Applicant </w:t>
            </w:r>
          </w:p>
        </w:tc>
        <w:tc>
          <w:tcPr>
            <w:tcW w:w="5989" w:type="dxa"/>
            <w:shd w:val="clear" w:color="auto" w:fill="auto"/>
          </w:tcPr>
          <w:p w14:paraId="7324ACD4" w14:textId="6E21CB6C" w:rsidR="00113BB5" w:rsidRDefault="00B3593C" w:rsidP="00D740F6">
            <w:pPr>
              <w:pStyle w:val="Normal1linespace"/>
              <w:widowControl w:val="0"/>
              <w:jc w:val="left"/>
            </w:pPr>
            <w:r>
              <w:t>Mr</w:t>
            </w:r>
            <w:r w:rsidR="002F05F8">
              <w:t xml:space="preserve"> </w:t>
            </w:r>
            <w:r>
              <w:t xml:space="preserve">White SC and Ms Gaussen </w:t>
            </w:r>
          </w:p>
        </w:tc>
      </w:tr>
      <w:tr w:rsidR="00113BB5" w14:paraId="55999675" w14:textId="77777777" w:rsidTr="00DE65E5">
        <w:tc>
          <w:tcPr>
            <w:tcW w:w="3084" w:type="dxa"/>
            <w:shd w:val="clear" w:color="auto" w:fill="auto"/>
          </w:tcPr>
          <w:p w14:paraId="6B6CB4F9" w14:textId="77777777" w:rsidR="00113BB5" w:rsidRDefault="00113BB5" w:rsidP="00D740F6">
            <w:pPr>
              <w:pStyle w:val="Normal1linespace"/>
              <w:widowControl w:val="0"/>
              <w:jc w:val="left"/>
            </w:pPr>
          </w:p>
        </w:tc>
        <w:tc>
          <w:tcPr>
            <w:tcW w:w="5989" w:type="dxa"/>
            <w:shd w:val="clear" w:color="auto" w:fill="auto"/>
          </w:tcPr>
          <w:p w14:paraId="44679A5C" w14:textId="77777777" w:rsidR="00113BB5" w:rsidRDefault="00113BB5" w:rsidP="00D740F6">
            <w:pPr>
              <w:pStyle w:val="Normal1linespace"/>
              <w:widowControl w:val="0"/>
              <w:jc w:val="left"/>
            </w:pPr>
          </w:p>
        </w:tc>
      </w:tr>
      <w:tr w:rsidR="00113BB5" w14:paraId="5DC78127" w14:textId="77777777" w:rsidTr="00DE65E5">
        <w:tc>
          <w:tcPr>
            <w:tcW w:w="3084" w:type="dxa"/>
            <w:shd w:val="clear" w:color="auto" w:fill="auto"/>
          </w:tcPr>
          <w:p w14:paraId="002DFAF2" w14:textId="77777777" w:rsidR="00113BB5" w:rsidRDefault="00113BB5" w:rsidP="00D740F6">
            <w:pPr>
              <w:pStyle w:val="Normal1linespace"/>
              <w:widowControl w:val="0"/>
              <w:jc w:val="left"/>
            </w:pPr>
            <w:r>
              <w:t xml:space="preserve">Solicitor for the Applicant </w:t>
            </w:r>
          </w:p>
        </w:tc>
        <w:tc>
          <w:tcPr>
            <w:tcW w:w="5989" w:type="dxa"/>
            <w:shd w:val="clear" w:color="auto" w:fill="auto"/>
          </w:tcPr>
          <w:p w14:paraId="7F00D3BA" w14:textId="4CE2C2E2" w:rsidR="00113BB5" w:rsidRDefault="00BA1FAD" w:rsidP="00D740F6">
            <w:pPr>
              <w:pStyle w:val="Normal1linespace"/>
              <w:widowControl w:val="0"/>
              <w:jc w:val="left"/>
            </w:pPr>
            <w:r>
              <w:t xml:space="preserve">The Australian Government Solicitor </w:t>
            </w:r>
          </w:p>
        </w:tc>
      </w:tr>
      <w:tr w:rsidR="00113BB5" w14:paraId="27037945" w14:textId="77777777" w:rsidTr="00DE65E5">
        <w:tc>
          <w:tcPr>
            <w:tcW w:w="3084" w:type="dxa"/>
            <w:shd w:val="clear" w:color="auto" w:fill="auto"/>
          </w:tcPr>
          <w:p w14:paraId="49B2A3B0" w14:textId="77777777" w:rsidR="00113BB5" w:rsidRDefault="00113BB5" w:rsidP="00D740F6">
            <w:pPr>
              <w:pStyle w:val="Normal1linespace"/>
              <w:widowControl w:val="0"/>
              <w:jc w:val="left"/>
            </w:pPr>
          </w:p>
        </w:tc>
        <w:tc>
          <w:tcPr>
            <w:tcW w:w="5989" w:type="dxa"/>
            <w:shd w:val="clear" w:color="auto" w:fill="auto"/>
          </w:tcPr>
          <w:p w14:paraId="653E6DB4" w14:textId="77777777" w:rsidR="00113BB5" w:rsidRDefault="00113BB5" w:rsidP="00D740F6">
            <w:pPr>
              <w:pStyle w:val="Normal1linespace"/>
              <w:widowControl w:val="0"/>
              <w:jc w:val="left"/>
            </w:pPr>
          </w:p>
        </w:tc>
      </w:tr>
      <w:tr w:rsidR="00113BB5" w14:paraId="7C4BF408" w14:textId="77777777" w:rsidTr="00DE65E5">
        <w:tc>
          <w:tcPr>
            <w:tcW w:w="3084" w:type="dxa"/>
            <w:shd w:val="clear" w:color="auto" w:fill="auto"/>
          </w:tcPr>
          <w:p w14:paraId="4B500E9A" w14:textId="165A80A5" w:rsidR="00113BB5" w:rsidRDefault="00113BB5" w:rsidP="00D740F6">
            <w:pPr>
              <w:pStyle w:val="Normal1linespace"/>
              <w:widowControl w:val="0"/>
              <w:jc w:val="left"/>
            </w:pPr>
            <w:r>
              <w:t>Counsel for the</w:t>
            </w:r>
            <w:r w:rsidR="0039248D">
              <w:t xml:space="preserve"> Respondents</w:t>
            </w:r>
          </w:p>
        </w:tc>
        <w:tc>
          <w:tcPr>
            <w:tcW w:w="5989" w:type="dxa"/>
            <w:shd w:val="clear" w:color="auto" w:fill="auto"/>
          </w:tcPr>
          <w:p w14:paraId="594D0F2C" w14:textId="2185CF1E" w:rsidR="00113BB5" w:rsidRDefault="0054141F" w:rsidP="00D740F6">
            <w:pPr>
              <w:pStyle w:val="Normal1linespace"/>
              <w:widowControl w:val="0"/>
              <w:jc w:val="left"/>
            </w:pPr>
            <w:r>
              <w:t>Mr McGovern SC</w:t>
            </w:r>
            <w:r w:rsidR="00483B96">
              <w:t xml:space="preserve"> and Mr Russoniello</w:t>
            </w:r>
          </w:p>
        </w:tc>
      </w:tr>
      <w:tr w:rsidR="00113BB5" w14:paraId="29DD04C1" w14:textId="77777777" w:rsidTr="00DE65E5">
        <w:tc>
          <w:tcPr>
            <w:tcW w:w="3084" w:type="dxa"/>
            <w:shd w:val="clear" w:color="auto" w:fill="auto"/>
          </w:tcPr>
          <w:p w14:paraId="08DDCA13" w14:textId="77777777" w:rsidR="00113BB5" w:rsidRDefault="00113BB5" w:rsidP="00D740F6">
            <w:pPr>
              <w:pStyle w:val="Normal1linespace"/>
              <w:widowControl w:val="0"/>
              <w:jc w:val="left"/>
            </w:pPr>
          </w:p>
        </w:tc>
        <w:tc>
          <w:tcPr>
            <w:tcW w:w="5989" w:type="dxa"/>
            <w:shd w:val="clear" w:color="auto" w:fill="auto"/>
          </w:tcPr>
          <w:p w14:paraId="3F9DF56C" w14:textId="77777777" w:rsidR="00113BB5" w:rsidRDefault="00113BB5" w:rsidP="00D740F6">
            <w:pPr>
              <w:pStyle w:val="Normal1linespace"/>
              <w:widowControl w:val="0"/>
              <w:jc w:val="left"/>
            </w:pPr>
          </w:p>
        </w:tc>
      </w:tr>
      <w:tr w:rsidR="00113BB5" w14:paraId="1EDC0794" w14:textId="77777777" w:rsidTr="00DE65E5">
        <w:tc>
          <w:tcPr>
            <w:tcW w:w="3084" w:type="dxa"/>
            <w:shd w:val="clear" w:color="auto" w:fill="auto"/>
          </w:tcPr>
          <w:p w14:paraId="1F0C35C2" w14:textId="48E7E503" w:rsidR="00113BB5" w:rsidRDefault="00113BB5" w:rsidP="00D740F6">
            <w:pPr>
              <w:pStyle w:val="Normal1linespace"/>
              <w:widowControl w:val="0"/>
              <w:jc w:val="left"/>
            </w:pPr>
            <w:r>
              <w:t>Solicitor for the</w:t>
            </w:r>
            <w:r w:rsidR="00972519">
              <w:t xml:space="preserve"> </w:t>
            </w:r>
            <w:r>
              <w:t>Respondent</w:t>
            </w:r>
            <w:r w:rsidR="000A148C">
              <w:t>s</w:t>
            </w:r>
            <w:r>
              <w:t xml:space="preserve"> </w:t>
            </w:r>
          </w:p>
        </w:tc>
        <w:tc>
          <w:tcPr>
            <w:tcW w:w="5989" w:type="dxa"/>
            <w:shd w:val="clear" w:color="auto" w:fill="auto"/>
          </w:tcPr>
          <w:p w14:paraId="32771E8E" w14:textId="3782F9C2" w:rsidR="00113BB5" w:rsidRDefault="00B3593C" w:rsidP="00D740F6">
            <w:pPr>
              <w:pStyle w:val="Normal1linespace"/>
              <w:widowControl w:val="0"/>
              <w:jc w:val="left"/>
            </w:pPr>
            <w:r>
              <w:t>McEvoy Legal</w:t>
            </w:r>
          </w:p>
        </w:tc>
      </w:tr>
    </w:tbl>
    <w:p w14:paraId="648C770B" w14:textId="77777777" w:rsidR="00B17D6E" w:rsidRDefault="00B17D6E">
      <w:pPr>
        <w:pStyle w:val="Normal1linespace"/>
      </w:pPr>
    </w:p>
    <w:bookmarkEnd w:id="10"/>
    <w:p w14:paraId="7BBFD069" w14:textId="77777777" w:rsidR="007470BD" w:rsidRDefault="007470BD">
      <w:pPr>
        <w:pStyle w:val="Normal1linespace"/>
      </w:pPr>
    </w:p>
    <w:p w14:paraId="08AB502C" w14:textId="77777777" w:rsidR="00E94CBF" w:rsidRDefault="00E94CBF">
      <w:pPr>
        <w:pStyle w:val="Normal1linespace"/>
      </w:pPr>
    </w:p>
    <w:p w14:paraId="358F8084" w14:textId="77777777" w:rsidR="003A219F" w:rsidRDefault="003A219F">
      <w:pPr>
        <w:pStyle w:val="Normal1linespace"/>
      </w:pPr>
    </w:p>
    <w:p w14:paraId="4DCE16E8" w14:textId="77777777" w:rsidR="00B32875" w:rsidRDefault="00B32875">
      <w:pPr>
        <w:pStyle w:val="Normal1linespace"/>
      </w:pPr>
    </w:p>
    <w:p w14:paraId="3557B1FE" w14:textId="77777777" w:rsidR="00B32875" w:rsidRDefault="00B32875">
      <w:pPr>
        <w:pStyle w:val="Normal1linespace"/>
      </w:pPr>
    </w:p>
    <w:p w14:paraId="47250BEB"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EC19AA0" w14:textId="77777777" w:rsidTr="00E81DA6">
        <w:tc>
          <w:tcPr>
            <w:tcW w:w="6912" w:type="dxa"/>
            <w:gridSpan w:val="2"/>
          </w:tcPr>
          <w:p w14:paraId="73470F75" w14:textId="77777777" w:rsidR="00A46CCC" w:rsidRPr="001765E0" w:rsidRDefault="00A46CCC" w:rsidP="00525A49">
            <w:pPr>
              <w:pStyle w:val="NormalHeadings"/>
            </w:pPr>
          </w:p>
        </w:tc>
        <w:tc>
          <w:tcPr>
            <w:tcW w:w="2330" w:type="dxa"/>
          </w:tcPr>
          <w:p w14:paraId="2722025E" w14:textId="6D93FEDE" w:rsidR="00A46CCC" w:rsidRDefault="0041188A" w:rsidP="00F92355">
            <w:pPr>
              <w:pStyle w:val="NormalHeadings"/>
              <w:jc w:val="right"/>
            </w:pPr>
            <w:bookmarkStart w:id="11" w:name="FileNo"/>
            <w:r>
              <w:t>NSD 1201 of 2021</w:t>
            </w:r>
            <w:bookmarkEnd w:id="11"/>
          </w:p>
        </w:tc>
      </w:tr>
      <w:tr w:rsidR="00A76C13" w14:paraId="2CC301EF" w14:textId="77777777" w:rsidTr="00F461A4">
        <w:tc>
          <w:tcPr>
            <w:tcW w:w="9242" w:type="dxa"/>
            <w:gridSpan w:val="3"/>
          </w:tcPr>
          <w:p w14:paraId="4455DB18" w14:textId="4896964D" w:rsidR="00A76C13" w:rsidRPr="00A76C13" w:rsidRDefault="0041188A" w:rsidP="0041188A">
            <w:pPr>
              <w:pStyle w:val="NormalHeadings"/>
              <w:jc w:val="left"/>
            </w:pPr>
            <w:bookmarkStart w:id="12" w:name="InTheMatterOf"/>
            <w:r>
              <w:t xml:space="preserve"> </w:t>
            </w:r>
            <w:bookmarkEnd w:id="12"/>
          </w:p>
        </w:tc>
      </w:tr>
      <w:tr w:rsidR="00A46CCC" w14:paraId="1C8E8C69" w14:textId="77777777" w:rsidTr="005041F0">
        <w:trPr>
          <w:trHeight w:val="386"/>
        </w:trPr>
        <w:tc>
          <w:tcPr>
            <w:tcW w:w="2376" w:type="dxa"/>
          </w:tcPr>
          <w:p w14:paraId="502DFBF9" w14:textId="77777777" w:rsidR="00A46CCC" w:rsidRDefault="00A46CCC" w:rsidP="005041F0">
            <w:pPr>
              <w:pStyle w:val="NormalHeadings"/>
              <w:jc w:val="left"/>
              <w:rPr>
                <w:caps/>
                <w:szCs w:val="24"/>
              </w:rPr>
            </w:pPr>
            <w:bookmarkStart w:id="13" w:name="Parties"/>
            <w:r>
              <w:rPr>
                <w:caps/>
                <w:szCs w:val="24"/>
              </w:rPr>
              <w:t>BETWEEN:</w:t>
            </w:r>
          </w:p>
        </w:tc>
        <w:tc>
          <w:tcPr>
            <w:tcW w:w="6866" w:type="dxa"/>
            <w:gridSpan w:val="2"/>
          </w:tcPr>
          <w:p w14:paraId="3EC65FEE" w14:textId="77777777" w:rsidR="0041188A" w:rsidRDefault="0041188A" w:rsidP="0041188A">
            <w:pPr>
              <w:pStyle w:val="NormalHeadings"/>
              <w:jc w:val="left"/>
            </w:pPr>
            <w:bookmarkStart w:id="14" w:name="Applicant"/>
            <w:r>
              <w:t>DEPUTY COMMISSIONER OF TAXATION</w:t>
            </w:r>
          </w:p>
          <w:p w14:paraId="4C485CC2" w14:textId="77777777" w:rsidR="0041188A" w:rsidRDefault="0041188A" w:rsidP="0041188A">
            <w:pPr>
              <w:pStyle w:val="PartyType"/>
            </w:pPr>
            <w:r>
              <w:t>Applicant</w:t>
            </w:r>
          </w:p>
          <w:bookmarkEnd w:id="14"/>
          <w:p w14:paraId="0F286A9C" w14:textId="5B5AFA7C" w:rsidR="00A46CCC" w:rsidRPr="006555B4" w:rsidRDefault="00A46CCC" w:rsidP="005041F0">
            <w:pPr>
              <w:pStyle w:val="NormalHeadings"/>
              <w:jc w:val="left"/>
            </w:pPr>
          </w:p>
        </w:tc>
      </w:tr>
      <w:tr w:rsidR="00A46CCC" w14:paraId="26D51FFC" w14:textId="77777777" w:rsidTr="005041F0">
        <w:trPr>
          <w:trHeight w:val="386"/>
        </w:trPr>
        <w:tc>
          <w:tcPr>
            <w:tcW w:w="2376" w:type="dxa"/>
          </w:tcPr>
          <w:p w14:paraId="23AD524A" w14:textId="77777777" w:rsidR="00A46CCC" w:rsidRDefault="00A46CCC" w:rsidP="005041F0">
            <w:pPr>
              <w:pStyle w:val="NormalHeadings"/>
              <w:jc w:val="left"/>
              <w:rPr>
                <w:caps/>
                <w:szCs w:val="24"/>
              </w:rPr>
            </w:pPr>
            <w:r>
              <w:rPr>
                <w:caps/>
                <w:szCs w:val="24"/>
              </w:rPr>
              <w:t>AND:</w:t>
            </w:r>
          </w:p>
        </w:tc>
        <w:tc>
          <w:tcPr>
            <w:tcW w:w="6866" w:type="dxa"/>
            <w:gridSpan w:val="2"/>
          </w:tcPr>
          <w:p w14:paraId="30456377" w14:textId="4A8C8225" w:rsidR="0041188A" w:rsidRDefault="0041188A" w:rsidP="0041188A">
            <w:pPr>
              <w:pStyle w:val="NormalHeadings"/>
              <w:jc w:val="left"/>
            </w:pPr>
            <w:bookmarkStart w:id="15" w:name="Respondent"/>
            <w:r>
              <w:t>NEDZAD KOCIC</w:t>
            </w:r>
          </w:p>
          <w:p w14:paraId="7DC9F459" w14:textId="77777777" w:rsidR="0041188A" w:rsidRDefault="0041188A" w:rsidP="0041188A">
            <w:pPr>
              <w:pStyle w:val="PartyType"/>
            </w:pPr>
            <w:r>
              <w:t>First Respondent</w:t>
            </w:r>
          </w:p>
          <w:p w14:paraId="4730943D" w14:textId="77777777" w:rsidR="0041188A" w:rsidRDefault="0041188A" w:rsidP="005041F0">
            <w:pPr>
              <w:pStyle w:val="NormalHeadings"/>
              <w:jc w:val="left"/>
              <w:rPr>
                <w:szCs w:val="24"/>
              </w:rPr>
            </w:pPr>
          </w:p>
          <w:p w14:paraId="6331F6AA" w14:textId="77777777" w:rsidR="0041188A" w:rsidRDefault="0041188A" w:rsidP="0041188A">
            <w:pPr>
              <w:pStyle w:val="NormalHeadings"/>
              <w:jc w:val="left"/>
            </w:pPr>
            <w:r>
              <w:t>ALMIRA KOCIC</w:t>
            </w:r>
          </w:p>
          <w:p w14:paraId="77E9645D" w14:textId="77777777" w:rsidR="0041188A" w:rsidRDefault="0041188A" w:rsidP="0041188A">
            <w:pPr>
              <w:pStyle w:val="PartyType"/>
            </w:pPr>
            <w:r>
              <w:t>Second Respondent</w:t>
            </w:r>
          </w:p>
          <w:p w14:paraId="014A581C" w14:textId="77777777" w:rsidR="0041188A" w:rsidRDefault="0041188A" w:rsidP="005041F0">
            <w:pPr>
              <w:pStyle w:val="NormalHeadings"/>
              <w:jc w:val="left"/>
              <w:rPr>
                <w:szCs w:val="24"/>
              </w:rPr>
            </w:pPr>
          </w:p>
          <w:p w14:paraId="02E580BB" w14:textId="2E7E5571" w:rsidR="0041188A" w:rsidRDefault="0041188A" w:rsidP="0041188A">
            <w:pPr>
              <w:pStyle w:val="NormalHeadings"/>
              <w:jc w:val="left"/>
            </w:pPr>
            <w:r>
              <w:t xml:space="preserve">SENAD KOCIC </w:t>
            </w:r>
            <w:r w:rsidRPr="0041188A">
              <w:rPr>
                <w:b w:val="0"/>
              </w:rPr>
              <w:t>(and others named in the Schedule)</w:t>
            </w:r>
          </w:p>
          <w:p w14:paraId="37141528" w14:textId="77777777" w:rsidR="0041188A" w:rsidRDefault="0041188A" w:rsidP="0041188A">
            <w:pPr>
              <w:pStyle w:val="PartyType"/>
            </w:pPr>
            <w:r>
              <w:t>Third Respondent</w:t>
            </w:r>
          </w:p>
          <w:bookmarkEnd w:id="15"/>
          <w:p w14:paraId="4B3AB8EC" w14:textId="39882584" w:rsidR="00A46CCC" w:rsidRPr="006555B4" w:rsidRDefault="00A46CCC" w:rsidP="005041F0">
            <w:pPr>
              <w:pStyle w:val="NormalHeadings"/>
              <w:jc w:val="left"/>
            </w:pPr>
          </w:p>
        </w:tc>
      </w:tr>
    </w:tbl>
    <w:p w14:paraId="5938CFC0"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3D026898" w14:textId="77777777">
        <w:tc>
          <w:tcPr>
            <w:tcW w:w="2376" w:type="dxa"/>
          </w:tcPr>
          <w:p w14:paraId="7386E458"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18F2FDE1" w14:textId="24E3F4EE" w:rsidR="00395B24" w:rsidRDefault="0041188A">
            <w:pPr>
              <w:pStyle w:val="NormalHeadings"/>
              <w:jc w:val="left"/>
              <w:rPr>
                <w:caps/>
                <w:szCs w:val="24"/>
              </w:rPr>
            </w:pPr>
            <w:bookmarkStart w:id="18" w:name="Judge"/>
            <w:r>
              <w:rPr>
                <w:caps/>
                <w:szCs w:val="24"/>
              </w:rPr>
              <w:t>ABRAHAM J</w:t>
            </w:r>
            <w:bookmarkEnd w:id="18"/>
          </w:p>
        </w:tc>
      </w:tr>
      <w:tr w:rsidR="00395B24" w14:paraId="576E0FD3" w14:textId="77777777">
        <w:tc>
          <w:tcPr>
            <w:tcW w:w="2376" w:type="dxa"/>
          </w:tcPr>
          <w:p w14:paraId="2073707A" w14:textId="77777777" w:rsidR="00395B24" w:rsidRDefault="002C7385">
            <w:pPr>
              <w:pStyle w:val="NormalHeadings"/>
              <w:spacing w:after="120"/>
              <w:jc w:val="left"/>
              <w:rPr>
                <w:caps/>
                <w:szCs w:val="24"/>
              </w:rPr>
            </w:pPr>
            <w:r>
              <w:rPr>
                <w:caps/>
                <w:szCs w:val="24"/>
              </w:rPr>
              <w:t>DATE OF ORDER:</w:t>
            </w:r>
          </w:p>
        </w:tc>
        <w:tc>
          <w:tcPr>
            <w:tcW w:w="6866" w:type="dxa"/>
          </w:tcPr>
          <w:p w14:paraId="07AEC952" w14:textId="261FB326" w:rsidR="00395B24" w:rsidRDefault="0050360F">
            <w:pPr>
              <w:pStyle w:val="NormalHeadings"/>
              <w:jc w:val="left"/>
              <w:rPr>
                <w:caps/>
                <w:szCs w:val="24"/>
              </w:rPr>
            </w:pPr>
            <w:r>
              <w:rPr>
                <w:caps/>
                <w:szCs w:val="24"/>
              </w:rPr>
              <w:t>16 April 2024</w:t>
            </w:r>
          </w:p>
        </w:tc>
      </w:tr>
    </w:tbl>
    <w:p w14:paraId="346204F8" w14:textId="77777777" w:rsidR="00395B24" w:rsidRDefault="00395B24">
      <w:pPr>
        <w:pStyle w:val="NormalHeadings"/>
        <w:rPr>
          <w:b w:val="0"/>
        </w:rPr>
      </w:pPr>
    </w:p>
    <w:p w14:paraId="2F65667A" w14:textId="77777777" w:rsidR="008D1617" w:rsidRDefault="008D1617">
      <w:pPr>
        <w:pStyle w:val="NormalHeadings"/>
        <w:rPr>
          <w:b w:val="0"/>
        </w:rPr>
      </w:pPr>
    </w:p>
    <w:p w14:paraId="60191BA1" w14:textId="77777777" w:rsidR="00395B24" w:rsidRDefault="002C7385">
      <w:pPr>
        <w:pStyle w:val="NormalHeadings"/>
      </w:pPr>
      <w:r>
        <w:t>THE COURT ORDERS THAT:</w:t>
      </w:r>
    </w:p>
    <w:p w14:paraId="3E45CA01" w14:textId="77777777" w:rsidR="007F60DF" w:rsidRDefault="007F60DF" w:rsidP="00243E5E">
      <w:pPr>
        <w:pStyle w:val="NormalHeadings"/>
      </w:pPr>
    </w:p>
    <w:p w14:paraId="54DFC3D2" w14:textId="6C40BD32" w:rsidR="00025EBC" w:rsidRPr="00635C14" w:rsidRDefault="00025EBC" w:rsidP="001A6C52">
      <w:pPr>
        <w:pStyle w:val="Order1"/>
      </w:pPr>
      <w:r w:rsidRPr="00635C14">
        <w:t>Leave to file the statement of claim in its current form is refused.</w:t>
      </w:r>
    </w:p>
    <w:p w14:paraId="2E70FA1A" w14:textId="0AA71ADB" w:rsidR="00864D47" w:rsidRPr="00635C14" w:rsidRDefault="008E2BB2" w:rsidP="00864D47">
      <w:pPr>
        <w:pStyle w:val="Order1"/>
      </w:pPr>
      <w:r w:rsidRPr="00635C14">
        <w:t xml:space="preserve">The applicant is </w:t>
      </w:r>
      <w:r w:rsidR="006E23EA" w:rsidRPr="00635C14">
        <w:t xml:space="preserve">granted leave </w:t>
      </w:r>
      <w:r w:rsidRPr="00635C14">
        <w:t xml:space="preserve">to </w:t>
      </w:r>
      <w:r w:rsidR="004C2310" w:rsidRPr="00635C14">
        <w:t xml:space="preserve">replead the </w:t>
      </w:r>
      <w:r w:rsidRPr="00635C14">
        <w:t>statement of claim</w:t>
      </w:r>
      <w:r w:rsidR="00864D47" w:rsidRPr="00635C14">
        <w:t xml:space="preserve"> </w:t>
      </w:r>
      <w:r w:rsidR="007363E2" w:rsidRPr="00635C14">
        <w:t>(</w:t>
      </w:r>
      <w:r w:rsidR="00E92113" w:rsidRPr="00635C14">
        <w:t xml:space="preserve">before the application to amend </w:t>
      </w:r>
      <w:r w:rsidR="00062F3B" w:rsidRPr="00635C14">
        <w:t>its</w:t>
      </w:r>
      <w:r w:rsidR="00E92113" w:rsidRPr="00635C14">
        <w:t xml:space="preserve"> pleadings</w:t>
      </w:r>
      <w:r w:rsidR="00062F3B" w:rsidRPr="00635C14">
        <w:t xml:space="preserve"> </w:t>
      </w:r>
      <w:r w:rsidR="007728DA" w:rsidRPr="00635C14">
        <w:t xml:space="preserve">and associated applications are </w:t>
      </w:r>
      <w:r w:rsidR="00062F3B" w:rsidRPr="00635C14">
        <w:t>determined</w:t>
      </w:r>
      <w:r w:rsidR="007363E2" w:rsidRPr="00635C14">
        <w:t>)</w:t>
      </w:r>
      <w:r w:rsidR="00571A31" w:rsidRPr="00635C14">
        <w:t>.</w:t>
      </w:r>
      <w:r w:rsidR="00864D47" w:rsidRPr="00635C14">
        <w:t xml:space="preserve"> </w:t>
      </w:r>
    </w:p>
    <w:p w14:paraId="7A685CD7" w14:textId="77777777" w:rsidR="001A6C52" w:rsidRDefault="001A6C52" w:rsidP="001A6C52">
      <w:pPr>
        <w:pStyle w:val="BodyText"/>
      </w:pPr>
    </w:p>
    <w:p w14:paraId="10BE9C12" w14:textId="77777777" w:rsidR="00A431E6" w:rsidRDefault="00A431E6" w:rsidP="001A6C52">
      <w:pPr>
        <w:pStyle w:val="BodyText"/>
      </w:pPr>
    </w:p>
    <w:p w14:paraId="7B760AAB" w14:textId="73D94683" w:rsidR="0050309C" w:rsidRDefault="0041188A"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7A8441CC" w14:textId="77777777" w:rsidR="00E23577" w:rsidRDefault="00E23577" w:rsidP="002B0E91">
      <w:pPr>
        <w:pStyle w:val="BodyText"/>
      </w:pPr>
    </w:p>
    <w:p w14:paraId="3EDD1CBB" w14:textId="77777777" w:rsidR="00395B24" w:rsidRDefault="00395B24">
      <w:pPr>
        <w:pStyle w:val="NormalHeadings"/>
        <w:spacing w:before="240" w:after="120"/>
        <w:rPr>
          <w:b w:val="0"/>
        </w:rPr>
        <w:sectPr w:rsidR="00395B24" w:rsidSect="0092590B">
          <w:headerReference w:type="default" r:id="rId9"/>
          <w:footerReference w:type="default" r:id="rId10"/>
          <w:headerReference w:type="first" r:id="rId11"/>
          <w:footerReference w:type="first" r:id="rId12"/>
          <w:endnotePr>
            <w:numFmt w:val="decimal"/>
          </w:endnotePr>
          <w:pgSz w:w="11907" w:h="16840" w:code="9"/>
          <w:pgMar w:top="1440" w:right="1440" w:bottom="1440" w:left="1440" w:header="851" w:footer="851" w:gutter="0"/>
          <w:pgNumType w:fmt="lowerRoman" w:start="1"/>
          <w:cols w:space="720"/>
          <w:noEndnote/>
          <w:titlePg/>
        </w:sectPr>
      </w:pPr>
    </w:p>
    <w:p w14:paraId="43A401E2"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05E90DAD" w14:textId="0491DF1D" w:rsidR="00694BEB" w:rsidRDefault="0041188A" w:rsidP="005E0510">
      <w:pPr>
        <w:pStyle w:val="NormalHeadings"/>
        <w:spacing w:line="360" w:lineRule="auto"/>
        <w:jc w:val="left"/>
        <w:rPr>
          <w:sz w:val="26"/>
          <w:szCs w:val="26"/>
        </w:rPr>
      </w:pPr>
      <w:r>
        <w:rPr>
          <w:sz w:val="26"/>
          <w:szCs w:val="26"/>
        </w:rPr>
        <w:t>ABRAHAM J:</w:t>
      </w:r>
    </w:p>
    <w:p w14:paraId="3F1F4DDB" w14:textId="10883935" w:rsidR="00F77D70" w:rsidRDefault="00F77D70" w:rsidP="00113BB5">
      <w:pPr>
        <w:pStyle w:val="ParaNumbering"/>
      </w:pPr>
      <w:r>
        <w:t>By interlocutory application dated 22 November 2023, the Deputy Commissioner of Taxation (</w:t>
      </w:r>
      <w:r w:rsidR="00797EAD">
        <w:t xml:space="preserve">the </w:t>
      </w:r>
      <w:r>
        <w:t>Commissioner</w:t>
      </w:r>
      <w:r w:rsidR="00E00DDD">
        <w:t>, the applicant</w:t>
      </w:r>
      <w:r>
        <w:t xml:space="preserve">) seeks joinder of listed persons and entities pursuant to r 9.05 of the </w:t>
      </w:r>
      <w:r>
        <w:rPr>
          <w:i/>
          <w:iCs/>
        </w:rPr>
        <w:t xml:space="preserve">Federal Court Rules 2011 </w:t>
      </w:r>
      <w:r>
        <w:t>(</w:t>
      </w:r>
      <w:proofErr w:type="spellStart"/>
      <w:r>
        <w:t>Cth</w:t>
      </w:r>
      <w:proofErr w:type="spellEnd"/>
      <w:r>
        <w:t xml:space="preserve">) (FCR); leave to file an amended originating application pursuant to r 8.21 of the FCR; and leave to file a statement of claim (the Amendment and Joinder Application). </w:t>
      </w:r>
      <w:r w:rsidR="00816357">
        <w:t xml:space="preserve">The respondents oppose the </w:t>
      </w:r>
      <w:r w:rsidR="000B6771">
        <w:t>grant of leave on various bases</w:t>
      </w:r>
      <w:r w:rsidR="00A8204D">
        <w:t>,</w:t>
      </w:r>
      <w:r w:rsidR="000B6771">
        <w:t xml:space="preserve"> including lack of jurisdiction, futility as the case</w:t>
      </w:r>
      <w:r w:rsidR="00626123">
        <w:t xml:space="preserve"> (in their submission)</w:t>
      </w:r>
      <w:r w:rsidR="000B6771">
        <w:t xml:space="preserve"> has no merit</w:t>
      </w:r>
      <w:r w:rsidR="00626123">
        <w:t>,</w:t>
      </w:r>
      <w:r w:rsidR="000B6771">
        <w:t xml:space="preserve"> and </w:t>
      </w:r>
      <w:r w:rsidR="00207438">
        <w:t xml:space="preserve">deficiencies in the pleadings. </w:t>
      </w:r>
    </w:p>
    <w:p w14:paraId="015D83A5" w14:textId="172C7F8C" w:rsidR="00207438" w:rsidRPr="000206F9" w:rsidRDefault="00207438" w:rsidP="00113BB5">
      <w:pPr>
        <w:pStyle w:val="ParaNumbering"/>
      </w:pPr>
      <w:r>
        <w:t>Although I do not accept the respondents</w:t>
      </w:r>
      <w:r w:rsidR="00CF4618">
        <w:t>’</w:t>
      </w:r>
      <w:r>
        <w:t xml:space="preserve"> assertions, I nonetheless consider there are aspects of the statement of claim which </w:t>
      </w:r>
      <w:r w:rsidR="007361BC">
        <w:t>are</w:t>
      </w:r>
      <w:r w:rsidR="00944C2A">
        <w:t xml:space="preserve"> deficient but could be readily rectified. That being so I </w:t>
      </w:r>
      <w:r w:rsidR="00CF4618">
        <w:t xml:space="preserve">do not grant leave to file the statement of claim in its current form, but </w:t>
      </w:r>
      <w:r w:rsidR="00494098">
        <w:t xml:space="preserve">give the applicant leave to address the </w:t>
      </w:r>
      <w:r w:rsidR="0070716F">
        <w:t>concerns raised and to file a</w:t>
      </w:r>
      <w:r w:rsidR="005F7169">
        <w:t xml:space="preserve">n </w:t>
      </w:r>
      <w:r w:rsidR="0070716F">
        <w:t xml:space="preserve">amended statement of claim. </w:t>
      </w:r>
      <w:r w:rsidR="0070716F" w:rsidRPr="000206F9">
        <w:t xml:space="preserve">The amended originating application </w:t>
      </w:r>
      <w:r w:rsidR="00BA2D95" w:rsidRPr="000206F9">
        <w:t>needs no</w:t>
      </w:r>
      <w:r w:rsidR="00293FD1">
        <w:t xml:space="preserve"> further</w:t>
      </w:r>
      <w:r w:rsidR="00BA2D95" w:rsidRPr="000206F9">
        <w:t xml:space="preserve"> amendment. </w:t>
      </w:r>
    </w:p>
    <w:p w14:paraId="063A2F48" w14:textId="6ED3CDCB" w:rsidR="00BA2D95" w:rsidRDefault="00BA2D95" w:rsidP="007F5031">
      <w:pPr>
        <w:pStyle w:val="ParaNumbering"/>
      </w:pPr>
      <w:r w:rsidRPr="007B1332">
        <w:t xml:space="preserve">The </w:t>
      </w:r>
      <w:r>
        <w:t xml:space="preserve">background to </w:t>
      </w:r>
      <w:r w:rsidR="00904950">
        <w:t xml:space="preserve">this </w:t>
      </w:r>
      <w:r>
        <w:t>application</w:t>
      </w:r>
      <w:r w:rsidRPr="007B1332">
        <w:t xml:space="preserve"> is that the</w:t>
      </w:r>
      <w:r w:rsidRPr="007B1332">
        <w:rPr>
          <w:spacing w:val="-15"/>
        </w:rPr>
        <w:t xml:space="preserve"> </w:t>
      </w:r>
      <w:r w:rsidRPr="007B1332">
        <w:t>Commissioner</w:t>
      </w:r>
      <w:r w:rsidRPr="007B1332">
        <w:rPr>
          <w:spacing w:val="-14"/>
        </w:rPr>
        <w:t xml:space="preserve"> </w:t>
      </w:r>
      <w:r w:rsidRPr="007B1332">
        <w:t>commenced</w:t>
      </w:r>
      <w:r w:rsidRPr="007B1332">
        <w:rPr>
          <w:spacing w:val="-13"/>
        </w:rPr>
        <w:t xml:space="preserve"> </w:t>
      </w:r>
      <w:r w:rsidRPr="007B1332">
        <w:t>proceedings</w:t>
      </w:r>
      <w:r w:rsidRPr="007B1332">
        <w:rPr>
          <w:spacing w:val="-15"/>
        </w:rPr>
        <w:t xml:space="preserve"> </w:t>
      </w:r>
      <w:r w:rsidRPr="007B1332">
        <w:t>in</w:t>
      </w:r>
      <w:r w:rsidRPr="007B1332">
        <w:rPr>
          <w:spacing w:val="-13"/>
        </w:rPr>
        <w:t xml:space="preserve"> </w:t>
      </w:r>
      <w:r w:rsidRPr="007B1332">
        <w:t>this</w:t>
      </w:r>
      <w:r w:rsidRPr="007B1332">
        <w:rPr>
          <w:spacing w:val="-13"/>
        </w:rPr>
        <w:t xml:space="preserve"> </w:t>
      </w:r>
      <w:r w:rsidRPr="007B1332">
        <w:t>Court</w:t>
      </w:r>
      <w:r w:rsidRPr="007B1332">
        <w:rPr>
          <w:spacing w:val="-15"/>
        </w:rPr>
        <w:t xml:space="preserve"> on 18 November 2021 </w:t>
      </w:r>
      <w:r w:rsidRPr="007B1332">
        <w:t xml:space="preserve">seeking the recovery of taxation related debts. The Commissioner then made an application for a freezing order, in circumstances where there was a real risk of dissipation which would frustrate recovery. </w:t>
      </w:r>
      <w:r>
        <w:t>Freezing Orders</w:t>
      </w:r>
      <w:r w:rsidRPr="007B1332">
        <w:t xml:space="preserve"> were made on that date against each</w:t>
      </w:r>
      <w:r w:rsidRPr="007B1332">
        <w:rPr>
          <w:spacing w:val="-3"/>
        </w:rPr>
        <w:t xml:space="preserve"> </w:t>
      </w:r>
      <w:r w:rsidRPr="007B1332">
        <w:t>of</w:t>
      </w:r>
      <w:r w:rsidRPr="007B1332">
        <w:rPr>
          <w:spacing w:val="-4"/>
        </w:rPr>
        <w:t xml:space="preserve"> </w:t>
      </w:r>
      <w:r w:rsidRPr="007B1332">
        <w:t>the</w:t>
      </w:r>
      <w:r w:rsidRPr="007B1332">
        <w:rPr>
          <w:spacing w:val="-2"/>
        </w:rPr>
        <w:t xml:space="preserve"> </w:t>
      </w:r>
      <w:r w:rsidRPr="007B1332">
        <w:t>respondent</w:t>
      </w:r>
      <w:r w:rsidR="00407E21">
        <w:t>s</w:t>
      </w:r>
      <w:r w:rsidRPr="007B1332">
        <w:t xml:space="preserve">. </w:t>
      </w:r>
      <w:r w:rsidR="00D82091">
        <w:t>The Commissioner has since executed settlement deeds with the third to sixth respondents. Freezing Orders remain in place for, and proceedings remain on foot as against, the first, seventh and eighth respondent</w:t>
      </w:r>
      <w:r w:rsidR="00D876A7">
        <w:t>s</w:t>
      </w:r>
      <w:r w:rsidR="00D82091">
        <w:t>, although a</w:t>
      </w:r>
      <w:r w:rsidR="00B72CBF">
        <w:t xml:space="preserve"> </w:t>
      </w:r>
      <w:r w:rsidR="00D82091">
        <w:t>settlement has been reached with the second respondent. The Commissioner also has the benefit of a summary judgment in this Court, in the amount of $18,026,881.25, against the first respondent</w:t>
      </w:r>
      <w:r w:rsidR="001D05A6">
        <w:t xml:space="preserve">: </w:t>
      </w:r>
      <w:r w:rsidR="0009530C">
        <w:rPr>
          <w:i/>
          <w:iCs/>
        </w:rPr>
        <w:t xml:space="preserve">Deputy Commissioner of Taxation v </w:t>
      </w:r>
      <w:proofErr w:type="spellStart"/>
      <w:r w:rsidR="0009530C">
        <w:rPr>
          <w:i/>
          <w:iCs/>
        </w:rPr>
        <w:t>Kocic</w:t>
      </w:r>
      <w:proofErr w:type="spellEnd"/>
      <w:r w:rsidR="0009530C">
        <w:rPr>
          <w:i/>
          <w:iCs/>
        </w:rPr>
        <w:t xml:space="preserve"> </w:t>
      </w:r>
      <w:r w:rsidR="0009530C">
        <w:t>[2023] FCA 1353</w:t>
      </w:r>
      <w:r w:rsidR="00D82091">
        <w:t xml:space="preserve">. </w:t>
      </w:r>
    </w:p>
    <w:p w14:paraId="5354726D" w14:textId="762CC488" w:rsidR="00D82091" w:rsidRDefault="00407E21" w:rsidP="00221845">
      <w:pPr>
        <w:pStyle w:val="ParaNumbering"/>
      </w:pPr>
      <w:r>
        <w:t xml:space="preserve">There are currently applications before </w:t>
      </w:r>
      <w:r w:rsidRPr="00076364">
        <w:t>me by</w:t>
      </w:r>
      <w:r w:rsidR="00F4236D" w:rsidRPr="00076364">
        <w:t xml:space="preserve"> </w:t>
      </w:r>
      <w:r w:rsidR="00F101AD" w:rsidRPr="00076364">
        <w:t xml:space="preserve">both </w:t>
      </w:r>
      <w:r w:rsidR="00F4236D" w:rsidRPr="00076364">
        <w:t xml:space="preserve">the applicant and </w:t>
      </w:r>
      <w:r w:rsidR="00F101AD" w:rsidRPr="00076364">
        <w:t>the respondents</w:t>
      </w:r>
      <w:r>
        <w:t xml:space="preserve"> to amend </w:t>
      </w:r>
      <w:r w:rsidR="00221845">
        <w:t xml:space="preserve">aspects of the </w:t>
      </w:r>
      <w:r w:rsidR="00904950">
        <w:t>F</w:t>
      </w:r>
      <w:r w:rsidR="00221845">
        <w:t xml:space="preserve">reezing </w:t>
      </w:r>
      <w:r w:rsidR="00904950">
        <w:t>O</w:t>
      </w:r>
      <w:r w:rsidR="00221845">
        <w:t xml:space="preserve">rders. These applications, </w:t>
      </w:r>
      <w:r>
        <w:t xml:space="preserve">although heard on </w:t>
      </w:r>
      <w:r w:rsidR="00221845">
        <w:t xml:space="preserve">a </w:t>
      </w:r>
      <w:r>
        <w:t>different day</w:t>
      </w:r>
      <w:r w:rsidR="00221845">
        <w:t xml:space="preserve"> </w:t>
      </w:r>
      <w:r w:rsidR="00D126B8">
        <w:t xml:space="preserve">to </w:t>
      </w:r>
      <w:r w:rsidR="00221845">
        <w:t>the</w:t>
      </w:r>
      <w:r w:rsidR="00904950">
        <w:t xml:space="preserve"> Amendment and Joinder Application </w:t>
      </w:r>
      <w:r w:rsidR="00D82091">
        <w:t>(</w:t>
      </w:r>
      <w:r>
        <w:t>for reasons not presently relevant</w:t>
      </w:r>
      <w:r w:rsidR="00D82091">
        <w:t>)</w:t>
      </w:r>
      <w:r>
        <w:t xml:space="preserve">, are intertwined. </w:t>
      </w:r>
      <w:r w:rsidR="005977B9">
        <w:t xml:space="preserve">The amendments to the pleadings have a capacity to impact the applications in relation to the </w:t>
      </w:r>
      <w:r w:rsidR="00362859">
        <w:t>F</w:t>
      </w:r>
      <w:r w:rsidR="005977B9">
        <w:t xml:space="preserve">reezing </w:t>
      </w:r>
      <w:r w:rsidR="00362859">
        <w:t>O</w:t>
      </w:r>
      <w:r w:rsidR="005977B9">
        <w:t xml:space="preserve">rders. </w:t>
      </w:r>
      <w:r w:rsidR="007F5031">
        <w:t xml:space="preserve">Consequently, it is appropriate to give brief reasons </w:t>
      </w:r>
      <w:r w:rsidR="00A844FB">
        <w:t xml:space="preserve">in relation to the </w:t>
      </w:r>
      <w:r w:rsidR="00A844FB">
        <w:lastRenderedPageBreak/>
        <w:t xml:space="preserve">amendment of the pleadings and to defer consideration of the variation of the </w:t>
      </w:r>
      <w:r w:rsidR="00362859">
        <w:t>F</w:t>
      </w:r>
      <w:r w:rsidR="00A844FB">
        <w:t xml:space="preserve">reezing </w:t>
      </w:r>
      <w:r w:rsidR="00362859">
        <w:t>O</w:t>
      </w:r>
      <w:r w:rsidR="00A844FB">
        <w:t xml:space="preserve">rders until after </w:t>
      </w:r>
      <w:r w:rsidR="00CF70E7">
        <w:t>an amended statement of claim has been filed</w:t>
      </w:r>
      <w:r w:rsidR="00A844FB">
        <w:t xml:space="preserve">. </w:t>
      </w:r>
    </w:p>
    <w:p w14:paraId="1F9E1A84" w14:textId="4C060A98" w:rsidR="004A7DF3" w:rsidRDefault="004A7DF3" w:rsidP="004A7DF3">
      <w:pPr>
        <w:pStyle w:val="Heading2"/>
      </w:pPr>
      <w:r>
        <w:t xml:space="preserve">The Amendment and Joinder Application </w:t>
      </w:r>
    </w:p>
    <w:p w14:paraId="2A80144A" w14:textId="22742C0B" w:rsidR="008918A8" w:rsidRDefault="008918A8" w:rsidP="008918A8">
      <w:pPr>
        <w:pStyle w:val="ParaNumbering"/>
      </w:pPr>
      <w:r>
        <w:rPr>
          <w:spacing w:val="-2"/>
        </w:rPr>
        <w:t>A</w:t>
      </w:r>
      <w:r w:rsidRPr="007B1332">
        <w:rPr>
          <w:spacing w:val="-2"/>
        </w:rPr>
        <w:t>t the hearing of the</w:t>
      </w:r>
      <w:r>
        <w:rPr>
          <w:spacing w:val="-2"/>
        </w:rPr>
        <w:t xml:space="preserve"> interlocutory</w:t>
      </w:r>
      <w:r w:rsidRPr="007B1332">
        <w:rPr>
          <w:spacing w:val="-2"/>
        </w:rPr>
        <w:t xml:space="preserve"> application</w:t>
      </w:r>
      <w:r>
        <w:rPr>
          <w:spacing w:val="-2"/>
        </w:rPr>
        <w:t xml:space="preserve">, the </w:t>
      </w:r>
      <w:r w:rsidRPr="0027608B">
        <w:rPr>
          <w:spacing w:val="-2"/>
        </w:rPr>
        <w:t xml:space="preserve">orders </w:t>
      </w:r>
      <w:r w:rsidR="00DF22E9" w:rsidRPr="0027608B">
        <w:rPr>
          <w:spacing w:val="-2"/>
        </w:rPr>
        <w:t>relevantly</w:t>
      </w:r>
      <w:r w:rsidR="00DF22E9">
        <w:rPr>
          <w:spacing w:val="-2"/>
        </w:rPr>
        <w:t xml:space="preserve"> </w:t>
      </w:r>
      <w:r>
        <w:rPr>
          <w:spacing w:val="-2"/>
        </w:rPr>
        <w:t xml:space="preserve">sought were </w:t>
      </w:r>
      <w:r w:rsidR="00E00DDD">
        <w:rPr>
          <w:spacing w:val="-2"/>
        </w:rPr>
        <w:t>as follows</w:t>
      </w:r>
      <w:r>
        <w:rPr>
          <w:spacing w:val="-2"/>
        </w:rPr>
        <w:t xml:space="preserve">: </w:t>
      </w:r>
    </w:p>
    <w:p w14:paraId="457BED84" w14:textId="06884AD9" w:rsidR="008918A8" w:rsidRDefault="008918A8" w:rsidP="004538C8">
      <w:pPr>
        <w:pStyle w:val="ListNo1"/>
      </w:pPr>
      <w:r>
        <w:t>Pursuant to r 9.05 of the FCR:</w:t>
      </w:r>
    </w:p>
    <w:p w14:paraId="3E53ABF5" w14:textId="0F82E9EA" w:rsidR="008918A8" w:rsidRDefault="008918A8" w:rsidP="004538C8">
      <w:pPr>
        <w:pStyle w:val="ListNo2"/>
      </w:pPr>
      <w:r>
        <w:t xml:space="preserve">Suada </w:t>
      </w:r>
      <w:proofErr w:type="spellStart"/>
      <w:r>
        <w:t>Deversivic</w:t>
      </w:r>
      <w:proofErr w:type="spellEnd"/>
      <w:r>
        <w:t xml:space="preserve"> be re-joined to the proceedings as the </w:t>
      </w:r>
      <w:r w:rsidR="00E00DDD">
        <w:t>s</w:t>
      </w:r>
      <w:r>
        <w:t xml:space="preserve">ixth </w:t>
      </w:r>
      <w:r w:rsidR="00E00DDD">
        <w:t>r</w:t>
      </w:r>
      <w:r>
        <w:t>espondent.</w:t>
      </w:r>
    </w:p>
    <w:p w14:paraId="20792EE9" w14:textId="3D9EC8E0" w:rsidR="008918A8" w:rsidRDefault="008918A8" w:rsidP="007F6826">
      <w:pPr>
        <w:pStyle w:val="ListNo2"/>
      </w:pPr>
      <w:r>
        <w:t xml:space="preserve">Arabian Owl Pty Ltd (ACN 151 186 560) be joined to the proceedings as the </w:t>
      </w:r>
      <w:r w:rsidR="00E00DDD">
        <w:t>ninth respondent</w:t>
      </w:r>
      <w:r>
        <w:t>.</w:t>
      </w:r>
    </w:p>
    <w:p w14:paraId="5950E85E" w14:textId="482F08AE" w:rsidR="008918A8" w:rsidRDefault="008918A8" w:rsidP="007F6826">
      <w:pPr>
        <w:pStyle w:val="ListNo2"/>
      </w:pPr>
      <w:r>
        <w:t xml:space="preserve">Trans Group Holdings Pty Ltd (ACN 137 580 548) be joined to the proceedings as the </w:t>
      </w:r>
      <w:r w:rsidR="00E00DDD">
        <w:t>tenth respondent</w:t>
      </w:r>
      <w:r>
        <w:t>.</w:t>
      </w:r>
    </w:p>
    <w:p w14:paraId="0FEF3777" w14:textId="16C2F4E4" w:rsidR="008918A8" w:rsidRDefault="008918A8" w:rsidP="007F6826">
      <w:pPr>
        <w:pStyle w:val="ListNo2"/>
      </w:pPr>
      <w:r>
        <w:t xml:space="preserve">Alaina Kahila be joined to the proceedings as the </w:t>
      </w:r>
      <w:r w:rsidR="00E00DDD">
        <w:t>eleventh respondent</w:t>
      </w:r>
      <w:r>
        <w:t>.</w:t>
      </w:r>
    </w:p>
    <w:p w14:paraId="672F977C" w14:textId="4C0A6CBE" w:rsidR="008918A8" w:rsidRDefault="008918A8" w:rsidP="007F6826">
      <w:pPr>
        <w:pStyle w:val="ListNo2"/>
      </w:pPr>
      <w:r>
        <w:t xml:space="preserve">Daniel Osmond be joined to the proceedings as the </w:t>
      </w:r>
      <w:r w:rsidR="00E00DDD">
        <w:t>twelfth respondent</w:t>
      </w:r>
      <w:r>
        <w:t>.</w:t>
      </w:r>
    </w:p>
    <w:p w14:paraId="7407CA1F" w14:textId="2FFF0F7C" w:rsidR="008918A8" w:rsidRDefault="008918A8" w:rsidP="007F6826">
      <w:pPr>
        <w:pStyle w:val="ListNo2"/>
      </w:pPr>
      <w:proofErr w:type="spellStart"/>
      <w:r>
        <w:t>Austil</w:t>
      </w:r>
      <w:proofErr w:type="spellEnd"/>
      <w:r>
        <w:t xml:space="preserve"> Corp Pty Ltd (ACN 096 087 900) be joined to the proceedings as the </w:t>
      </w:r>
      <w:r w:rsidR="00E00DDD">
        <w:t>thirteenth respondent</w:t>
      </w:r>
      <w:r>
        <w:t>.</w:t>
      </w:r>
    </w:p>
    <w:p w14:paraId="6C8CCEDE" w14:textId="381B6234" w:rsidR="008918A8" w:rsidRPr="00DF30B1" w:rsidRDefault="008918A8" w:rsidP="007F6826">
      <w:pPr>
        <w:pStyle w:val="ListNo1"/>
      </w:pPr>
      <w:r w:rsidRPr="00DF30B1">
        <w:t>Pursuant to r 8.21 of the FCR, leave be granted to the applicant to file an amended originating application in the form of Annexure DM-01 to the</w:t>
      </w:r>
      <w:r w:rsidR="00B12D9B" w:rsidRPr="00DF30B1">
        <w:t xml:space="preserve"> affidavit of David Morris, affirmed 22 November 2023 (Morris Affidavit)</w:t>
      </w:r>
      <w:r w:rsidR="00DF22E9" w:rsidRPr="00DF30B1">
        <w:t>.</w:t>
      </w:r>
    </w:p>
    <w:p w14:paraId="3A252A07" w14:textId="45107284" w:rsidR="008918A8" w:rsidRPr="00DF30B1" w:rsidRDefault="008918A8" w:rsidP="007F6826">
      <w:pPr>
        <w:pStyle w:val="ListNo1"/>
      </w:pPr>
      <w:r w:rsidRPr="00DF30B1">
        <w:t>Leave be granted to the applicant to file a statement of claim in the form of Annexure DM-02 to the Morris Affidavit</w:t>
      </w:r>
      <w:r w:rsidR="001D1F1F" w:rsidRPr="00DF30B1">
        <w:t>.</w:t>
      </w:r>
    </w:p>
    <w:p w14:paraId="65D20494" w14:textId="395DDD43" w:rsidR="001B4CD4" w:rsidRDefault="001B4CD4" w:rsidP="001B4CD4">
      <w:pPr>
        <w:pStyle w:val="ParaNumbering"/>
      </w:pPr>
      <w:r>
        <w:t>In the proposed amended originating application, the applicant seeks, inter alia:</w:t>
      </w:r>
    </w:p>
    <w:p w14:paraId="1DE7469D" w14:textId="65EDA76E" w:rsidR="004538C8" w:rsidRDefault="001B4CD4" w:rsidP="004538C8">
      <w:pPr>
        <w:pStyle w:val="ListNo1alt"/>
        <w:numPr>
          <w:ilvl w:val="0"/>
          <w:numId w:val="39"/>
        </w:numPr>
      </w:pPr>
      <w:r>
        <w:t xml:space="preserve">a declaration that the assets held in the name of </w:t>
      </w:r>
      <w:r w:rsidR="00646C2F">
        <w:t>the eighth respondent</w:t>
      </w:r>
      <w:r>
        <w:t xml:space="preserve"> are beneficially held by </w:t>
      </w:r>
      <w:r w:rsidR="00646C2F">
        <w:t>the first respondent</w:t>
      </w:r>
      <w:r>
        <w:t xml:space="preserve"> (the First Declaration);</w:t>
      </w:r>
    </w:p>
    <w:p w14:paraId="6E8F7E58" w14:textId="6F699CB3" w:rsidR="004538C8" w:rsidRDefault="001B4CD4" w:rsidP="004538C8">
      <w:pPr>
        <w:pStyle w:val="ListNo1alt"/>
        <w:numPr>
          <w:ilvl w:val="0"/>
          <w:numId w:val="39"/>
        </w:numPr>
      </w:pPr>
      <w:r>
        <w:t xml:space="preserve">a declaration that the </w:t>
      </w:r>
      <w:r w:rsidR="00646C2F">
        <w:t>first respondent</w:t>
      </w:r>
      <w:r>
        <w:t xml:space="preserve"> has been</w:t>
      </w:r>
      <w:r w:rsidR="005233F9">
        <w:t>,</w:t>
      </w:r>
      <w:r>
        <w:t xml:space="preserve"> and continues to be</w:t>
      </w:r>
      <w:r w:rsidR="005233F9">
        <w:t>,</w:t>
      </w:r>
      <w:r>
        <w:t xml:space="preserve"> the beneficial owner of the </w:t>
      </w:r>
      <w:r w:rsidR="00646C2F">
        <w:t>ninth respondent</w:t>
      </w:r>
      <w:r>
        <w:t xml:space="preserve">, </w:t>
      </w:r>
      <w:r w:rsidR="005055D0">
        <w:t xml:space="preserve">Arabian Owl Pty Ltd (ACN 151 186 560) (previously known as </w:t>
      </w:r>
      <w:r>
        <w:t>ZWF Pty Ltd (ZWF)</w:t>
      </w:r>
      <w:r w:rsidR="005055D0">
        <w:t>)</w:t>
      </w:r>
      <w:r>
        <w:t xml:space="preserve">, from on or about 1 November 2011 (the Second Declaration); and </w:t>
      </w:r>
    </w:p>
    <w:p w14:paraId="7767AC83" w14:textId="37E530D7" w:rsidR="001B4CD4" w:rsidRDefault="001B4CD4" w:rsidP="004538C8">
      <w:pPr>
        <w:pStyle w:val="ListNo1alt"/>
        <w:numPr>
          <w:ilvl w:val="0"/>
          <w:numId w:val="39"/>
        </w:numPr>
      </w:pPr>
      <w:r>
        <w:t xml:space="preserve">a declaration that the transfers of funds from ZWF for the purchase of several commercial properties held in the name of </w:t>
      </w:r>
      <w:r w:rsidR="0083400A">
        <w:t>the eighth respondent</w:t>
      </w:r>
      <w:r>
        <w:t xml:space="preserve"> (the Commercial </w:t>
      </w:r>
      <w:r>
        <w:lastRenderedPageBreak/>
        <w:t xml:space="preserve">Properties) are void pursuant to s 37A of </w:t>
      </w:r>
      <w:r w:rsidR="004B33E5" w:rsidRPr="00471697">
        <w:t xml:space="preserve">the </w:t>
      </w:r>
      <w:r w:rsidR="004B33E5" w:rsidRPr="004538C8">
        <w:rPr>
          <w:i/>
          <w:iCs/>
        </w:rPr>
        <w:t>Conveyancing Act 1919</w:t>
      </w:r>
      <w:r w:rsidR="004B33E5">
        <w:t xml:space="preserve"> </w:t>
      </w:r>
      <w:r w:rsidR="004B33E5" w:rsidRPr="00471697">
        <w:t xml:space="preserve">(NSW) (Conveyancing Act) </w:t>
      </w:r>
      <w:r>
        <w:t xml:space="preserve">(the Third Declaration). </w:t>
      </w:r>
    </w:p>
    <w:p w14:paraId="64214E1A" w14:textId="34E9EF40" w:rsidR="001D2759" w:rsidRDefault="00396119" w:rsidP="00396119">
      <w:pPr>
        <w:pStyle w:val="ParaNumbering"/>
      </w:pPr>
      <w:r>
        <w:t>T</w:t>
      </w:r>
      <w:r w:rsidRPr="00471697">
        <w:t xml:space="preserve">he proposed </w:t>
      </w:r>
      <w:r>
        <w:t>a</w:t>
      </w:r>
      <w:r w:rsidRPr="00471697">
        <w:t xml:space="preserve">mended </w:t>
      </w:r>
      <w:r>
        <w:t>o</w:t>
      </w:r>
      <w:r w:rsidRPr="00471697">
        <w:t xml:space="preserve">riginating </w:t>
      </w:r>
      <w:r>
        <w:t>a</w:t>
      </w:r>
      <w:r w:rsidRPr="00471697">
        <w:t xml:space="preserve">pplication, accompanying </w:t>
      </w:r>
      <w:r>
        <w:t>s</w:t>
      </w:r>
      <w:r w:rsidRPr="00471697">
        <w:t>tatement of</w:t>
      </w:r>
      <w:r>
        <w:t xml:space="preserve"> c</w:t>
      </w:r>
      <w:r w:rsidRPr="00471697">
        <w:t xml:space="preserve">laim and joinder </w:t>
      </w:r>
      <w:r>
        <w:t>are</w:t>
      </w:r>
      <w:r w:rsidRPr="00471697">
        <w:t xml:space="preserve"> in aid of the relief sought pursuant to s 37A of the Conveyancing Act</w:t>
      </w:r>
      <w:r w:rsidR="00F1047E">
        <w:t xml:space="preserve"> </w:t>
      </w:r>
      <w:r w:rsidRPr="00471697">
        <w:t>concerning alienation of property with intent to defraud</w:t>
      </w:r>
      <w:r>
        <w:t xml:space="preserve"> </w:t>
      </w:r>
      <w:r w:rsidRPr="00471697">
        <w:t>creditors.</w:t>
      </w:r>
    </w:p>
    <w:p w14:paraId="01D8CF68" w14:textId="0ABC87EF" w:rsidR="00396119" w:rsidRDefault="00396119" w:rsidP="00396119">
      <w:pPr>
        <w:pStyle w:val="ParaNumbering"/>
      </w:pPr>
      <w:r>
        <w:t>Section 37</w:t>
      </w:r>
      <w:r w:rsidR="00E4728B">
        <w:t>A</w:t>
      </w:r>
      <w:r>
        <w:t xml:space="preserve"> of the Conveyancing Act provides that:</w:t>
      </w:r>
    </w:p>
    <w:p w14:paraId="16F89C11" w14:textId="77777777" w:rsidR="00396119" w:rsidRPr="00396119" w:rsidRDefault="00396119" w:rsidP="00396119">
      <w:pPr>
        <w:pStyle w:val="Quote1"/>
        <w:rPr>
          <w:b/>
          <w:bCs/>
        </w:rPr>
      </w:pPr>
      <w:r w:rsidRPr="00396119">
        <w:rPr>
          <w:b/>
          <w:bCs/>
        </w:rPr>
        <w:t xml:space="preserve">37A Voluntary alienation to defraud creditors voidable </w:t>
      </w:r>
    </w:p>
    <w:p w14:paraId="78AEE1FE" w14:textId="3053EA73" w:rsidR="00396119" w:rsidRDefault="00396119" w:rsidP="00396119">
      <w:pPr>
        <w:pStyle w:val="Quote1"/>
      </w:pPr>
      <w:r>
        <w:t>(1) Save as provided in this section, every alienation of property … with intent to defraud creditors, shall be voidable at the instance of any person thereby prejudiced.</w:t>
      </w:r>
    </w:p>
    <w:p w14:paraId="6820BC8A" w14:textId="1E561E10" w:rsidR="00396119" w:rsidRDefault="00396119" w:rsidP="00396119">
      <w:pPr>
        <w:pStyle w:val="Quote1"/>
      </w:pPr>
      <w:r>
        <w:t>(2) This section does not affect the law of bankruptcy for the time being in force.</w:t>
      </w:r>
    </w:p>
    <w:p w14:paraId="52A892FC" w14:textId="280787E7" w:rsidR="00396119" w:rsidRDefault="00396119" w:rsidP="00396119">
      <w:pPr>
        <w:pStyle w:val="Quote1"/>
      </w:pPr>
      <w:r>
        <w:t>(3) This section does not extend to any estate or interest in property alienated to</w:t>
      </w:r>
      <w:r w:rsidR="001D0634">
        <w:t xml:space="preserve"> </w:t>
      </w:r>
      <w:r>
        <w:t xml:space="preserve">a purchaser in good faith not having, at the time of the alienation, notice of the intent to defraud creditors. </w:t>
      </w:r>
    </w:p>
    <w:p w14:paraId="75651150" w14:textId="48623A81" w:rsidR="00396119" w:rsidRPr="00A001CE" w:rsidRDefault="001E47B5" w:rsidP="001E47B5">
      <w:pPr>
        <w:pStyle w:val="ParaNumbering"/>
      </w:pPr>
      <w:r>
        <w:t xml:space="preserve">In </w:t>
      </w:r>
      <w:r w:rsidRPr="001E47B5">
        <w:rPr>
          <w:i/>
          <w:iCs/>
        </w:rPr>
        <w:t xml:space="preserve">Marcolongo v Chen </w:t>
      </w:r>
      <w:r w:rsidR="007B1637">
        <w:t xml:space="preserve">[2011] HCA 3; </w:t>
      </w:r>
      <w:r>
        <w:t xml:space="preserve">(2011) 242 CLR 546 the High Court held that it is not necessary to prove actual intent of the relevant person’s state of mind and that intent can be inferred from the evidence as a question of fact. In </w:t>
      </w:r>
      <w:r w:rsidRPr="001E47B5">
        <w:rPr>
          <w:i/>
          <w:iCs/>
        </w:rPr>
        <w:t xml:space="preserve">Commissioner of Taxation v </w:t>
      </w:r>
      <w:proofErr w:type="spellStart"/>
      <w:r w:rsidRPr="001E47B5">
        <w:rPr>
          <w:i/>
          <w:iCs/>
        </w:rPr>
        <w:t>Oswal</w:t>
      </w:r>
      <w:proofErr w:type="spellEnd"/>
      <w:r w:rsidRPr="001E47B5">
        <w:rPr>
          <w:i/>
          <w:iCs/>
        </w:rPr>
        <w:t xml:space="preserve"> (No 6)</w:t>
      </w:r>
      <w:r>
        <w:t xml:space="preserve"> </w:t>
      </w:r>
      <w:r w:rsidR="002868F9">
        <w:t xml:space="preserve">[2016] FCA 762; </w:t>
      </w:r>
      <w:r>
        <w:t xml:space="preserve">(2016) 339 ALR 560, the </w:t>
      </w:r>
      <w:r w:rsidR="0051747C">
        <w:t>C</w:t>
      </w:r>
      <w:r>
        <w:t xml:space="preserve">ourt identified (at [66]) that the relevant intent may be inferred where the natural and probable consequence of the disposition is the defeat or delay of creditors; </w:t>
      </w:r>
      <w:r w:rsidR="003E0420">
        <w:t xml:space="preserve">and </w:t>
      </w:r>
      <w:r>
        <w:t xml:space="preserve">the alienation is voluntary, in favour of a family member and made in proximity to one or more events indicating financial stress. </w:t>
      </w:r>
    </w:p>
    <w:p w14:paraId="0848A722" w14:textId="79B84755" w:rsidR="00A001CE" w:rsidRPr="00C134B6" w:rsidRDefault="00A001CE" w:rsidP="005C27BD">
      <w:pPr>
        <w:pStyle w:val="Heading3"/>
      </w:pPr>
      <w:r w:rsidRPr="00C134B6">
        <w:t xml:space="preserve">Relevant legal principles </w:t>
      </w:r>
    </w:p>
    <w:p w14:paraId="1EAC7233" w14:textId="675E4DA3" w:rsidR="001E47B5" w:rsidRDefault="00210E8F" w:rsidP="00396119">
      <w:pPr>
        <w:pStyle w:val="ParaNumbering"/>
      </w:pPr>
      <w:r>
        <w:t xml:space="preserve">Rules 8.21 and 9.05 of the FCR provide the relevant statutory framework for amendment generally and the joinder of parties, respectively. </w:t>
      </w:r>
    </w:p>
    <w:p w14:paraId="270B2DDB" w14:textId="21586130" w:rsidR="00396119" w:rsidRPr="001D2759" w:rsidRDefault="00396119" w:rsidP="00396119">
      <w:pPr>
        <w:pStyle w:val="ParaNumbering"/>
      </w:pPr>
      <w:r>
        <w:rPr>
          <w:spacing w:val="-2"/>
        </w:rPr>
        <w:t>Rule 8.21 of the FCR provides:</w:t>
      </w:r>
    </w:p>
    <w:p w14:paraId="72EAE0A7" w14:textId="77777777" w:rsidR="00396119" w:rsidRPr="001D2759" w:rsidRDefault="00396119" w:rsidP="00396119">
      <w:pPr>
        <w:pStyle w:val="Quote1"/>
        <w:rPr>
          <w:b/>
          <w:bCs/>
        </w:rPr>
      </w:pPr>
      <w:r w:rsidRPr="001D2759">
        <w:rPr>
          <w:b/>
          <w:bCs/>
        </w:rPr>
        <w:t>8.21 Amendment generally</w:t>
      </w:r>
    </w:p>
    <w:p w14:paraId="37B96C6A" w14:textId="77777777" w:rsidR="00396119" w:rsidRDefault="00396119" w:rsidP="00396119">
      <w:pPr>
        <w:pStyle w:val="Quote1"/>
      </w:pPr>
      <w:r>
        <w:t xml:space="preserve">(1) An applicant may apply to the Court for leave to amend an originating application for any reason, including: </w:t>
      </w:r>
    </w:p>
    <w:p w14:paraId="5F810130" w14:textId="77777777" w:rsidR="00396119" w:rsidRDefault="00396119" w:rsidP="00396119">
      <w:pPr>
        <w:pStyle w:val="Quote2"/>
      </w:pPr>
      <w:r>
        <w:t xml:space="preserve">… </w:t>
      </w:r>
    </w:p>
    <w:p w14:paraId="731770BE" w14:textId="77777777" w:rsidR="00396119" w:rsidRDefault="00396119" w:rsidP="00396119">
      <w:pPr>
        <w:pStyle w:val="Quote2"/>
      </w:pPr>
      <w:r>
        <w:t>(b) to avoid the multiplicity of proceedings; or</w:t>
      </w:r>
    </w:p>
    <w:p w14:paraId="654D0ED9" w14:textId="77777777" w:rsidR="00396119" w:rsidRDefault="00396119" w:rsidP="00396119">
      <w:pPr>
        <w:pStyle w:val="Quote2"/>
      </w:pPr>
      <w:r>
        <w:t>…</w:t>
      </w:r>
    </w:p>
    <w:p w14:paraId="583F9557" w14:textId="77777777" w:rsidR="00396119" w:rsidRDefault="00396119" w:rsidP="00396119">
      <w:pPr>
        <w:pStyle w:val="Quote2"/>
      </w:pPr>
      <w:r>
        <w:t>(g) to add or substitute a new claim for relief, or a new foundation in law for a claim for relief, that arises:</w:t>
      </w:r>
    </w:p>
    <w:p w14:paraId="1A5103C6" w14:textId="77777777" w:rsidR="00396119" w:rsidRDefault="00396119" w:rsidP="00396119">
      <w:pPr>
        <w:pStyle w:val="Quote3"/>
      </w:pPr>
      <w:r>
        <w:lastRenderedPageBreak/>
        <w:t>(</w:t>
      </w:r>
      <w:proofErr w:type="spellStart"/>
      <w:r>
        <w:t>i</w:t>
      </w:r>
      <w:proofErr w:type="spellEnd"/>
      <w:r>
        <w:t>) out of the same facts or substantially the same facts as those already pleaded to support an existing claim for relief by the applicant; or</w:t>
      </w:r>
    </w:p>
    <w:p w14:paraId="310A7C40" w14:textId="77777777" w:rsidR="00396119" w:rsidRPr="001D2759" w:rsidRDefault="00396119" w:rsidP="00396119">
      <w:pPr>
        <w:pStyle w:val="Quote3"/>
      </w:pPr>
      <w:r>
        <w:t xml:space="preserve">(ii) in whole or in part, out of facts or matters that have occurred or arisen since the start of the proceeding. </w:t>
      </w:r>
    </w:p>
    <w:p w14:paraId="5DE18EC1" w14:textId="75B5ECB6" w:rsidR="00EC47F2" w:rsidRPr="00D52A07" w:rsidRDefault="00FB2821" w:rsidP="00F827A3">
      <w:pPr>
        <w:pStyle w:val="ParaNumbering"/>
        <w:rPr>
          <w:szCs w:val="24"/>
        </w:rPr>
      </w:pPr>
      <w:r w:rsidRPr="00D52A07">
        <w:t xml:space="preserve">The </w:t>
      </w:r>
      <w:r w:rsidR="004506C8">
        <w:t>FCR</w:t>
      </w:r>
      <w:r w:rsidRPr="00D52A07">
        <w:t xml:space="preserve"> must be construed as a w</w:t>
      </w:r>
      <w:r w:rsidR="008C3CBC" w:rsidRPr="00D52A07">
        <w:t>hol</w:t>
      </w:r>
      <w:r w:rsidR="004F4160" w:rsidRPr="00D52A07">
        <w:t>e</w:t>
      </w:r>
      <w:r w:rsidR="00A42D77" w:rsidRPr="00DA0636">
        <w:t xml:space="preserve">. </w:t>
      </w:r>
      <w:r w:rsidR="00396119" w:rsidRPr="00DA0636">
        <w:t xml:space="preserve">Rule 8.21 is to be construed in light of </w:t>
      </w:r>
      <w:proofErr w:type="spellStart"/>
      <w:r w:rsidR="00B56FF9" w:rsidRPr="00DA0636">
        <w:t>r</w:t>
      </w:r>
      <w:r w:rsidR="00B56FF9">
        <w:t>r</w:t>
      </w:r>
      <w:proofErr w:type="spellEnd"/>
      <w:r w:rsidR="00B56FF9" w:rsidRPr="00DA0636">
        <w:t xml:space="preserve"> </w:t>
      </w:r>
      <w:r w:rsidR="00396119" w:rsidRPr="00DA0636">
        <w:t xml:space="preserve">1.32 to 1.35 </w:t>
      </w:r>
      <w:r w:rsidR="00547890" w:rsidRPr="00DA0636">
        <w:t xml:space="preserve">which allow the Court to enable the overarching purpose of the </w:t>
      </w:r>
      <w:r w:rsidR="00DA0636" w:rsidRPr="00DA0636">
        <w:t>“civil practice and procedure provisions”; being</w:t>
      </w:r>
      <w:r w:rsidR="00547890" w:rsidRPr="00DA0636">
        <w:t xml:space="preserve"> </w:t>
      </w:r>
      <w:r w:rsidR="00DA0636" w:rsidRPr="00DA0636">
        <w:t xml:space="preserve">the </w:t>
      </w:r>
      <w:r w:rsidR="00396119" w:rsidRPr="00DA0636">
        <w:t>facilitat</w:t>
      </w:r>
      <w:r w:rsidR="00DA0636" w:rsidRPr="00DA0636">
        <w:t>ion of</w:t>
      </w:r>
      <w:r w:rsidR="00396119" w:rsidRPr="00DA0636">
        <w:t xml:space="preserve"> the just resolution of disputes according to law</w:t>
      </w:r>
      <w:r w:rsidR="00547890" w:rsidRPr="00DA0636">
        <w:t xml:space="preserve"> and</w:t>
      </w:r>
      <w:r w:rsidR="00396119" w:rsidRPr="00DA0636">
        <w:t xml:space="preserve"> as quickly, inexpensively and efficiently as possible: </w:t>
      </w:r>
      <w:r w:rsidR="00FF5746" w:rsidRPr="00D52A07">
        <w:t xml:space="preserve">see s 37M of the </w:t>
      </w:r>
      <w:r w:rsidR="00547890" w:rsidRPr="00D52A07">
        <w:rPr>
          <w:i/>
          <w:iCs/>
        </w:rPr>
        <w:t xml:space="preserve">Federal Court of Australia Act 1976 </w:t>
      </w:r>
      <w:r w:rsidR="00547890" w:rsidRPr="00D52A07">
        <w:t>(</w:t>
      </w:r>
      <w:proofErr w:type="spellStart"/>
      <w:r w:rsidR="00547890" w:rsidRPr="00D52A07">
        <w:t>Cth</w:t>
      </w:r>
      <w:proofErr w:type="spellEnd"/>
      <w:r w:rsidR="00547890" w:rsidRPr="00D52A07">
        <w:t>)</w:t>
      </w:r>
      <w:r w:rsidR="00D0531C">
        <w:t xml:space="preserve"> (FCA Act)</w:t>
      </w:r>
      <w:r w:rsidR="00FF5746" w:rsidRPr="00D52A07">
        <w:t xml:space="preserve">; </w:t>
      </w:r>
      <w:r w:rsidR="001A32B8" w:rsidRPr="00D52A07">
        <w:rPr>
          <w:i/>
          <w:iCs/>
        </w:rPr>
        <w:t>McGraw-Hil</w:t>
      </w:r>
      <w:r w:rsidR="00040822" w:rsidRPr="00D52A07">
        <w:rPr>
          <w:i/>
          <w:iCs/>
        </w:rPr>
        <w:t xml:space="preserve">l Financial, Inc v </w:t>
      </w:r>
      <w:proofErr w:type="spellStart"/>
      <w:r w:rsidR="00040822" w:rsidRPr="00D52A07">
        <w:rPr>
          <w:i/>
          <w:iCs/>
        </w:rPr>
        <w:t>Clurname</w:t>
      </w:r>
      <w:proofErr w:type="spellEnd"/>
      <w:r w:rsidR="00547890" w:rsidRPr="00D52A07">
        <w:rPr>
          <w:i/>
          <w:iCs/>
        </w:rPr>
        <w:t xml:space="preserve"> Pty Ltd</w:t>
      </w:r>
      <w:r w:rsidR="00040822" w:rsidRPr="00D52A07">
        <w:t xml:space="preserve"> </w:t>
      </w:r>
      <w:r w:rsidR="00D4207C" w:rsidRPr="00D52A07">
        <w:rPr>
          <w:szCs w:val="24"/>
        </w:rPr>
        <w:t>[2017] FCAFC 211</w:t>
      </w:r>
      <w:r w:rsidR="00547890" w:rsidRPr="00D52A07">
        <w:rPr>
          <w:szCs w:val="24"/>
        </w:rPr>
        <w:t>; (2017) 123 ACSR 467</w:t>
      </w:r>
      <w:r w:rsidR="00D4207C" w:rsidRPr="00D52A07">
        <w:rPr>
          <w:szCs w:val="24"/>
        </w:rPr>
        <w:t xml:space="preserve"> at [23]-[26]. </w:t>
      </w:r>
    </w:p>
    <w:p w14:paraId="48298F9A" w14:textId="57DF3795" w:rsidR="00B95ABE" w:rsidRPr="00D52A07" w:rsidRDefault="00D479E3" w:rsidP="00F827A3">
      <w:pPr>
        <w:pStyle w:val="ParaNumbering"/>
        <w:rPr>
          <w:szCs w:val="24"/>
        </w:rPr>
      </w:pPr>
      <w:r w:rsidRPr="00D52A07">
        <w:rPr>
          <w:szCs w:val="24"/>
        </w:rPr>
        <w:t xml:space="preserve">The onus is on the party seeking leave to amend </w:t>
      </w:r>
      <w:r w:rsidR="00DA0636" w:rsidRPr="00D52A07">
        <w:rPr>
          <w:szCs w:val="24"/>
        </w:rPr>
        <w:t xml:space="preserve">an originating application </w:t>
      </w:r>
      <w:r w:rsidRPr="00D52A07">
        <w:rPr>
          <w:szCs w:val="24"/>
        </w:rPr>
        <w:t xml:space="preserve">to persuade the Court that such leave should be given: </w:t>
      </w:r>
      <w:r w:rsidRPr="00D52A07">
        <w:rPr>
          <w:i/>
          <w:iCs/>
          <w:szCs w:val="24"/>
        </w:rPr>
        <w:t xml:space="preserve">Dye v Commonwealth Securities Limited (No 2) </w:t>
      </w:r>
      <w:r w:rsidRPr="00D52A07">
        <w:rPr>
          <w:szCs w:val="24"/>
        </w:rPr>
        <w:t xml:space="preserve">[2010] FCAFC 118 at [17].   </w:t>
      </w:r>
    </w:p>
    <w:p w14:paraId="09829001" w14:textId="7FB4A141" w:rsidR="00396119" w:rsidRDefault="00064E57" w:rsidP="00396119">
      <w:pPr>
        <w:pStyle w:val="ParaNumbering"/>
      </w:pPr>
      <w:r w:rsidRPr="0027608B">
        <w:t>Rule</w:t>
      </w:r>
      <w:r w:rsidR="00396119" w:rsidRPr="0027608B">
        <w:t xml:space="preserve"> 8.21</w:t>
      </w:r>
      <w:r w:rsidR="00396119">
        <w:t>(g)(</w:t>
      </w:r>
      <w:proofErr w:type="spellStart"/>
      <w:r w:rsidR="00396119">
        <w:t>i</w:t>
      </w:r>
      <w:proofErr w:type="spellEnd"/>
      <w:r w:rsidR="00396119">
        <w:t xml:space="preserve">) “requires the court to focus on the facts currently pleaded to determine whether the new claim for relief (or new legal foundation for a claim) arises out of the same, or substantially the same facts”: </w:t>
      </w:r>
      <w:r w:rsidR="00396119">
        <w:rPr>
          <w:i/>
          <w:iCs/>
        </w:rPr>
        <w:t xml:space="preserve">Darcy v </w:t>
      </w:r>
      <w:proofErr w:type="spellStart"/>
      <w:r w:rsidR="00396119">
        <w:rPr>
          <w:i/>
          <w:iCs/>
        </w:rPr>
        <w:t>Medtel</w:t>
      </w:r>
      <w:proofErr w:type="spellEnd"/>
      <w:r w:rsidR="00396119">
        <w:rPr>
          <w:i/>
          <w:iCs/>
        </w:rPr>
        <w:t xml:space="preserve"> Pty Ltd (No 3) </w:t>
      </w:r>
      <w:r w:rsidR="00396119">
        <w:t xml:space="preserve">[2004] FCA 807 at [30] cited in </w:t>
      </w:r>
      <w:r w:rsidR="00396119">
        <w:rPr>
          <w:i/>
          <w:iCs/>
        </w:rPr>
        <w:t xml:space="preserve">Carter, </w:t>
      </w:r>
      <w:r w:rsidR="00F40E49">
        <w:rPr>
          <w:i/>
          <w:iCs/>
        </w:rPr>
        <w:t xml:space="preserve">in the matter of </w:t>
      </w:r>
      <w:r w:rsidR="00396119">
        <w:rPr>
          <w:i/>
          <w:iCs/>
        </w:rPr>
        <w:t>Spec FS NSW Pty Ltd (In Liq</w:t>
      </w:r>
      <w:r w:rsidR="00F40E49">
        <w:rPr>
          <w:i/>
          <w:iCs/>
        </w:rPr>
        <w:t>uidation</w:t>
      </w:r>
      <w:r w:rsidR="00396119">
        <w:rPr>
          <w:i/>
          <w:iCs/>
        </w:rPr>
        <w:t xml:space="preserve">) </w:t>
      </w:r>
      <w:r w:rsidR="00812CF0">
        <w:t xml:space="preserve">[2013] FCA 1027; </w:t>
      </w:r>
      <w:r w:rsidR="00396119">
        <w:t xml:space="preserve">(2013) 225 FCR 79 at [38]. </w:t>
      </w:r>
      <w:r w:rsidR="00396119" w:rsidRPr="00396119">
        <w:t>The expression “substantially the same facts” does not mean “the same facts”</w:t>
      </w:r>
      <w:r w:rsidR="00396119">
        <w:t xml:space="preserve"> and the need to prove additional facts to support the new cause of action does not preclude the exercise of the Court’s discretion under r 8.21(g)(</w:t>
      </w:r>
      <w:proofErr w:type="spellStart"/>
      <w:r w:rsidR="00396119">
        <w:t>i</w:t>
      </w:r>
      <w:proofErr w:type="spellEnd"/>
      <w:r w:rsidR="00396119">
        <w:t xml:space="preserve">). </w:t>
      </w:r>
      <w:r w:rsidR="00396119" w:rsidRPr="00396119">
        <w:t>If the additional facts to support</w:t>
      </w:r>
      <w:r w:rsidR="00396119">
        <w:t xml:space="preserve"> </w:t>
      </w:r>
      <w:r w:rsidR="00396119" w:rsidRPr="00396119">
        <w:t xml:space="preserve">the new cause of action arise out of substantially the same story as that which </w:t>
      </w:r>
      <w:r w:rsidR="00396119">
        <w:t>supports</w:t>
      </w:r>
      <w:r w:rsidR="00396119" w:rsidRPr="00396119">
        <w:t xml:space="preserve"> the original cause of action, the fact that there is a changed focus with</w:t>
      </w:r>
      <w:r w:rsidR="00396119">
        <w:t xml:space="preserve"> </w:t>
      </w:r>
      <w:r w:rsidR="00396119" w:rsidRPr="00396119">
        <w:t>elicitation of additional details should not</w:t>
      </w:r>
      <w:r w:rsidR="008E2D51">
        <w:t>,</w:t>
      </w:r>
      <w:r w:rsidR="00396119" w:rsidRPr="00396119">
        <w:t xml:space="preserve"> of itself</w:t>
      </w:r>
      <w:r w:rsidR="008E2D51">
        <w:t>,</w:t>
      </w:r>
      <w:r w:rsidR="00396119" w:rsidRPr="00396119">
        <w:t xml:space="preserve"> prevent a finding that the new cause of</w:t>
      </w:r>
      <w:r w:rsidR="00396119">
        <w:t xml:space="preserve"> </w:t>
      </w:r>
      <w:r w:rsidR="00396119" w:rsidRPr="00396119">
        <w:t xml:space="preserve">action arises out of substantially the same facts: </w:t>
      </w:r>
      <w:r w:rsidR="00396119" w:rsidRPr="00396119">
        <w:rPr>
          <w:i/>
          <w:iCs/>
        </w:rPr>
        <w:t>Draney v Barry</w:t>
      </w:r>
      <w:r w:rsidR="00396119" w:rsidRPr="00396119">
        <w:t xml:space="preserve"> </w:t>
      </w:r>
      <w:r w:rsidR="009968B9">
        <w:t>[1999</w:t>
      </w:r>
      <w:r w:rsidR="00CE1330">
        <w:t xml:space="preserve">] QCA 491; </w:t>
      </w:r>
      <w:r w:rsidR="00396119" w:rsidRPr="00396119">
        <w:t xml:space="preserve">[2002] 1 </w:t>
      </w:r>
      <w:proofErr w:type="spellStart"/>
      <w:r w:rsidR="00396119" w:rsidRPr="00396119">
        <w:t>Qd</w:t>
      </w:r>
      <w:proofErr w:type="spellEnd"/>
      <w:r w:rsidR="00396119" w:rsidRPr="00396119">
        <w:t xml:space="preserve"> R 145 at [57]</w:t>
      </w:r>
      <w:r w:rsidR="00396119">
        <w:t xml:space="preserve"> </w:t>
      </w:r>
      <w:r w:rsidR="00396119" w:rsidRPr="00396119">
        <w:t>cited with approval in</w:t>
      </w:r>
      <w:r w:rsidR="00396119" w:rsidRPr="00396119">
        <w:rPr>
          <w:i/>
          <w:iCs/>
        </w:rPr>
        <w:t xml:space="preserve"> Bryant (Liquidator) v L</w:t>
      </w:r>
      <w:r w:rsidR="007B5897">
        <w:rPr>
          <w:i/>
          <w:iCs/>
        </w:rPr>
        <w:t>.</w:t>
      </w:r>
      <w:r w:rsidR="00396119" w:rsidRPr="00396119">
        <w:rPr>
          <w:i/>
          <w:iCs/>
        </w:rPr>
        <w:t>V</w:t>
      </w:r>
      <w:r w:rsidR="007B5897">
        <w:rPr>
          <w:i/>
          <w:iCs/>
        </w:rPr>
        <w:t>.</w:t>
      </w:r>
      <w:r w:rsidR="00396119" w:rsidRPr="00396119">
        <w:rPr>
          <w:i/>
          <w:iCs/>
        </w:rPr>
        <w:t xml:space="preserve"> </w:t>
      </w:r>
      <w:proofErr w:type="spellStart"/>
      <w:r w:rsidR="00396119" w:rsidRPr="00396119">
        <w:rPr>
          <w:i/>
          <w:iCs/>
        </w:rPr>
        <w:t>Dohnt</w:t>
      </w:r>
      <w:proofErr w:type="spellEnd"/>
      <w:r w:rsidR="00396119" w:rsidRPr="00396119">
        <w:rPr>
          <w:i/>
          <w:iCs/>
        </w:rPr>
        <w:t xml:space="preserve"> &amp; Co Pty Ltd, in the Matter of Gunns Limited (In </w:t>
      </w:r>
      <w:proofErr w:type="spellStart"/>
      <w:r w:rsidR="00396119" w:rsidRPr="00396119">
        <w:rPr>
          <w:i/>
          <w:iCs/>
        </w:rPr>
        <w:t>Liq</w:t>
      </w:r>
      <w:proofErr w:type="spellEnd"/>
      <w:r w:rsidR="00396119" w:rsidRPr="00396119">
        <w:rPr>
          <w:i/>
          <w:iCs/>
        </w:rPr>
        <w:t>) (Receivers and Managers Appointed)</w:t>
      </w:r>
      <w:r w:rsidR="00396119" w:rsidRPr="00396119">
        <w:t xml:space="preserve"> [2018] FCA 238 at [71].</w:t>
      </w:r>
      <w:r w:rsidR="00396119">
        <w:t xml:space="preserve">  </w:t>
      </w:r>
    </w:p>
    <w:p w14:paraId="70DB3B85" w14:textId="37883FBC" w:rsidR="00396119" w:rsidRDefault="00396119" w:rsidP="00396119">
      <w:pPr>
        <w:pStyle w:val="ParaNumbering"/>
      </w:pPr>
      <w:r>
        <w:t xml:space="preserve">Rule 9.05 of the FCR provides: </w:t>
      </w:r>
    </w:p>
    <w:p w14:paraId="25875042" w14:textId="77777777" w:rsidR="00396119" w:rsidRPr="001D2759" w:rsidRDefault="00396119" w:rsidP="00396119">
      <w:pPr>
        <w:pStyle w:val="Quote1"/>
        <w:rPr>
          <w:b/>
          <w:bCs/>
        </w:rPr>
      </w:pPr>
      <w:r w:rsidRPr="001D2759">
        <w:rPr>
          <w:b/>
          <w:bCs/>
        </w:rPr>
        <w:t>9.05 Joinder of parties by Court order</w:t>
      </w:r>
    </w:p>
    <w:p w14:paraId="531EC007" w14:textId="77777777" w:rsidR="00396119" w:rsidRDefault="00396119" w:rsidP="00396119">
      <w:pPr>
        <w:pStyle w:val="Quote1"/>
      </w:pPr>
      <w:r w:rsidRPr="001D2759">
        <w:t>(1)</w:t>
      </w:r>
      <w:r>
        <w:t xml:space="preserve"> </w:t>
      </w:r>
      <w:r w:rsidRPr="001D2759">
        <w:t>A party may apply to the Court for an order that a person be joined as a party to the</w:t>
      </w:r>
      <w:r>
        <w:t xml:space="preserve"> </w:t>
      </w:r>
      <w:r w:rsidRPr="001D2759">
        <w:t>proceeding if the person:</w:t>
      </w:r>
    </w:p>
    <w:p w14:paraId="5DB9B464" w14:textId="77777777" w:rsidR="00396119" w:rsidRDefault="00396119" w:rsidP="00396119">
      <w:pPr>
        <w:pStyle w:val="Quote2"/>
      </w:pPr>
      <w:r w:rsidRPr="001D2759">
        <w:t>(a)</w:t>
      </w:r>
      <w:r>
        <w:t xml:space="preserve"> </w:t>
      </w:r>
      <w:r w:rsidRPr="001D2759">
        <w:t>ought to have been joined as a party to the proceeding; or</w:t>
      </w:r>
    </w:p>
    <w:p w14:paraId="384A5717" w14:textId="77777777" w:rsidR="00396119" w:rsidRDefault="00396119" w:rsidP="00396119">
      <w:pPr>
        <w:pStyle w:val="Quote2"/>
      </w:pPr>
      <w:r w:rsidRPr="001D2759">
        <w:t>(b)</w:t>
      </w:r>
      <w:r>
        <w:t xml:space="preserve"> </w:t>
      </w:r>
      <w:r w:rsidRPr="001D2759">
        <w:t>is a person:</w:t>
      </w:r>
      <w:r>
        <w:t xml:space="preserve"> </w:t>
      </w:r>
    </w:p>
    <w:p w14:paraId="16FBE360" w14:textId="77777777" w:rsidR="00396119" w:rsidRDefault="00396119" w:rsidP="00396119">
      <w:pPr>
        <w:pStyle w:val="Quote3"/>
      </w:pPr>
      <w:r w:rsidRPr="001D2759">
        <w:lastRenderedPageBreak/>
        <w:t>(</w:t>
      </w:r>
      <w:proofErr w:type="spellStart"/>
      <w:r w:rsidRPr="001D2759">
        <w:t>i</w:t>
      </w:r>
      <w:proofErr w:type="spellEnd"/>
      <w:r w:rsidRPr="001D2759">
        <w:t>)</w:t>
      </w:r>
      <w:r>
        <w:t xml:space="preserve"> </w:t>
      </w:r>
      <w:r w:rsidRPr="001D2759">
        <w:t>whose cooperation might be required to enforce a judgment; or</w:t>
      </w:r>
      <w:r>
        <w:t xml:space="preserve"> </w:t>
      </w:r>
    </w:p>
    <w:p w14:paraId="584EA16E" w14:textId="77777777" w:rsidR="00396119" w:rsidRDefault="00396119" w:rsidP="00396119">
      <w:pPr>
        <w:pStyle w:val="Quote3"/>
      </w:pPr>
      <w:r w:rsidRPr="001D2759">
        <w:t>(ii)</w:t>
      </w:r>
      <w:r>
        <w:t xml:space="preserve"> </w:t>
      </w:r>
      <w:r w:rsidRPr="001D2759">
        <w:t>whose joinder is necessary to ensure that each issue in dispute in the</w:t>
      </w:r>
      <w:r>
        <w:t xml:space="preserve"> </w:t>
      </w:r>
      <w:r w:rsidRPr="001D2759">
        <w:t>proceeding is able to be heard and finally determined; or</w:t>
      </w:r>
      <w:r>
        <w:t xml:space="preserve"> </w:t>
      </w:r>
    </w:p>
    <w:p w14:paraId="5B93E4B5" w14:textId="77777777" w:rsidR="00396119" w:rsidRDefault="00396119" w:rsidP="00396119">
      <w:pPr>
        <w:pStyle w:val="Quote3"/>
      </w:pPr>
      <w:r w:rsidRPr="001D2759">
        <w:t>(iii)</w:t>
      </w:r>
      <w:r>
        <w:t xml:space="preserve"> </w:t>
      </w:r>
      <w:r w:rsidRPr="001D2759">
        <w:t>who should be joined as a party in order to enable determination of</w:t>
      </w:r>
      <w:r>
        <w:t xml:space="preserve"> </w:t>
      </w:r>
      <w:r w:rsidRPr="001D2759">
        <w:t>a related dispute and, as a result, avoid multiplicity of proceedings.</w:t>
      </w:r>
      <w:r>
        <w:t xml:space="preserve"> </w:t>
      </w:r>
    </w:p>
    <w:p w14:paraId="53B9D53C" w14:textId="77777777" w:rsidR="00396119" w:rsidRDefault="00396119" w:rsidP="00396119">
      <w:pPr>
        <w:pStyle w:val="Quote1"/>
      </w:pPr>
      <w:r>
        <w:t>…</w:t>
      </w:r>
    </w:p>
    <w:p w14:paraId="1B3644B4" w14:textId="77777777" w:rsidR="00396119" w:rsidRDefault="00396119" w:rsidP="00396119">
      <w:pPr>
        <w:pStyle w:val="Quote1"/>
      </w:pPr>
      <w:r w:rsidRPr="001D2759">
        <w:t>(4)</w:t>
      </w:r>
      <w:r>
        <w:t xml:space="preserve"> </w:t>
      </w:r>
      <w:r w:rsidRPr="001D2759">
        <w:t>An application under subrule (1) need not be served on any person who was not</w:t>
      </w:r>
      <w:r>
        <w:t xml:space="preserve"> </w:t>
      </w:r>
      <w:r w:rsidRPr="001D2759">
        <w:t>served with a copy of the originating application.</w:t>
      </w:r>
    </w:p>
    <w:p w14:paraId="0BF66212" w14:textId="77777777" w:rsidR="00396119" w:rsidRDefault="00396119" w:rsidP="00396119">
      <w:pPr>
        <w:pStyle w:val="Quote1"/>
      </w:pPr>
      <w:r w:rsidRPr="001D2759">
        <w:t>…</w:t>
      </w:r>
      <w:r>
        <w:t xml:space="preserve"> </w:t>
      </w:r>
    </w:p>
    <w:p w14:paraId="061CF441" w14:textId="4D20CE13" w:rsidR="00396119" w:rsidRPr="00A001CE" w:rsidRDefault="00396119" w:rsidP="00396119">
      <w:pPr>
        <w:pStyle w:val="ParaNumbering"/>
      </w:pPr>
      <w:r>
        <w:t xml:space="preserve">Where an applicant </w:t>
      </w:r>
      <w:r w:rsidR="008E2D51">
        <w:t>seeks</w:t>
      </w:r>
      <w:r>
        <w:t xml:space="preserve"> to join additional respondents, it must satisfy the Court that it has an arguable claim against the proposed additional respondents, and that there is a good reason for joining them to the proceeding: </w:t>
      </w:r>
      <w:r w:rsidRPr="00396119">
        <w:rPr>
          <w:i/>
          <w:iCs/>
        </w:rPr>
        <w:t>Singh v Super City Home Loans Pty Ltd</w:t>
      </w:r>
      <w:r>
        <w:t xml:space="preserve"> [2011] FCA 646 at [108]. The Court also has the power to make an order rejoining a party who has been removed: see for example </w:t>
      </w:r>
      <w:r w:rsidRPr="00396119">
        <w:rPr>
          <w:i/>
          <w:iCs/>
        </w:rPr>
        <w:t>Fina Research SA v</w:t>
      </w:r>
      <w:r>
        <w:rPr>
          <w:i/>
          <w:iCs/>
        </w:rPr>
        <w:t xml:space="preserve"> </w:t>
      </w:r>
      <w:r w:rsidRPr="00396119">
        <w:rPr>
          <w:i/>
          <w:iCs/>
        </w:rPr>
        <w:t>Halliburton Energy Services Inc</w:t>
      </w:r>
      <w:r>
        <w:t xml:space="preserve"> [2002] FCA 1281. </w:t>
      </w:r>
    </w:p>
    <w:p w14:paraId="6857ECA2" w14:textId="10C89764" w:rsidR="0006594A" w:rsidRDefault="0006594A" w:rsidP="00A001CE">
      <w:pPr>
        <w:pStyle w:val="Heading3"/>
      </w:pPr>
      <w:r>
        <w:t xml:space="preserve">Evidence </w:t>
      </w:r>
    </w:p>
    <w:p w14:paraId="2C14D6E7" w14:textId="7375580B" w:rsidR="009B7ECB" w:rsidRPr="009B7ECB" w:rsidRDefault="0006594A" w:rsidP="009B7ECB">
      <w:pPr>
        <w:pStyle w:val="ParaNumbering"/>
      </w:pPr>
      <w:r w:rsidRPr="009B7ECB">
        <w:t xml:space="preserve">In support of </w:t>
      </w:r>
      <w:r w:rsidR="008E2D51">
        <w:t>the Amendment and Joinder Application</w:t>
      </w:r>
      <w:r w:rsidRPr="009B7ECB">
        <w:t>, the Commissioner relied on the Morris Affidavit, including the accompanying documents annexed to that affidavit.</w:t>
      </w:r>
    </w:p>
    <w:p w14:paraId="2A167CF6" w14:textId="3CBBF86D" w:rsidR="009B7ECB" w:rsidRPr="009B7ECB" w:rsidRDefault="009B7ECB" w:rsidP="002C452F">
      <w:pPr>
        <w:pStyle w:val="ParaNumbering"/>
      </w:pPr>
      <w:r w:rsidRPr="009B7ECB">
        <w:t xml:space="preserve">The </w:t>
      </w:r>
      <w:r w:rsidR="000A148C">
        <w:t>r</w:t>
      </w:r>
      <w:r w:rsidRPr="009B7ECB">
        <w:t>espondent</w:t>
      </w:r>
      <w:r w:rsidR="000A148C">
        <w:t>s</w:t>
      </w:r>
      <w:r w:rsidRPr="009B7ECB">
        <w:t xml:space="preserve"> relied on the affidavit of Kevin Cheng affirmed 27 November 2023 (Cheng Affidavit), together with accompanying exhibit KC-2. The </w:t>
      </w:r>
      <w:r w:rsidR="00D6302F">
        <w:t>r</w:t>
      </w:r>
      <w:r w:rsidRPr="009B7ECB">
        <w:t>espondent</w:t>
      </w:r>
      <w:r w:rsidR="00D6302F">
        <w:t>s</w:t>
      </w:r>
      <w:r w:rsidRPr="009B7ECB">
        <w:t xml:space="preserve"> also relied upon paragraphs 68 to 69 of the affidavit of Craig </w:t>
      </w:r>
      <w:proofErr w:type="spellStart"/>
      <w:r w:rsidRPr="009B7ECB">
        <w:t>Morelande</w:t>
      </w:r>
      <w:proofErr w:type="spellEnd"/>
      <w:r w:rsidRPr="009B7ECB">
        <w:t xml:space="preserve"> dated 18 November 2021 (</w:t>
      </w:r>
      <w:proofErr w:type="spellStart"/>
      <w:r w:rsidRPr="009B7ECB">
        <w:t>Morelande</w:t>
      </w:r>
      <w:proofErr w:type="spellEnd"/>
      <w:r w:rsidRPr="009B7ECB">
        <w:t xml:space="preserve"> Affidavit) and a copy of a stamped deed of trust for the Trans Holdings Unit Trust</w:t>
      </w:r>
      <w:r w:rsidR="00910FA1">
        <w:t xml:space="preserve"> </w:t>
      </w:r>
      <w:r w:rsidR="00910FA1" w:rsidRPr="009B7ECB">
        <w:t>dated 22 June 2009</w:t>
      </w:r>
      <w:r w:rsidRPr="009B7ECB">
        <w:t>.</w:t>
      </w:r>
      <w:r w:rsidR="001D1F1F">
        <w:t xml:space="preserve"> </w:t>
      </w:r>
    </w:p>
    <w:p w14:paraId="6EACD995" w14:textId="3F1D7680" w:rsidR="00A001CE" w:rsidRPr="00A001CE" w:rsidRDefault="00A001CE" w:rsidP="00A001CE">
      <w:pPr>
        <w:pStyle w:val="Heading3"/>
      </w:pPr>
      <w:r>
        <w:t xml:space="preserve">Submissions </w:t>
      </w:r>
    </w:p>
    <w:p w14:paraId="124AB9E5" w14:textId="23C4CCEB" w:rsidR="00472D86" w:rsidRDefault="00BC29D9" w:rsidP="00472D86">
      <w:pPr>
        <w:pStyle w:val="ParaNumbering"/>
      </w:pPr>
      <w:r>
        <w:t>T</w:t>
      </w:r>
      <w:r w:rsidR="00472D86">
        <w:t xml:space="preserve">he Commissioner submitted that the proposed amendments </w:t>
      </w:r>
      <w:r>
        <w:t xml:space="preserve">to the originating application </w:t>
      </w:r>
      <w:r w:rsidR="00472D86">
        <w:t>fall within r 8.21(1)(g)(</w:t>
      </w:r>
      <w:proofErr w:type="spellStart"/>
      <w:r w:rsidR="00472D86">
        <w:t>i</w:t>
      </w:r>
      <w:proofErr w:type="spellEnd"/>
      <w:r w:rsidR="00472D86">
        <w:t>) of the FCR. The originating application in its initial form arose from facts including an unpaid tax debt to the Commissioner and concern as to the dissipation of assets. Declaratory relief was sought as to beneficial ownership of the various properties. The</w:t>
      </w:r>
      <w:r w:rsidR="00C1530D">
        <w:t xml:space="preserve"> Commissioner submitted that the</w:t>
      </w:r>
      <w:r w:rsidR="00472D86">
        <w:t xml:space="preserve"> same facts ground the proposed amended originating application as the availability of the cause of action pursuant to s 37A of the Conveyancing Act became apparent on the basis of information obtained through the subpoena and notice to produce process in these proceedings.</w:t>
      </w:r>
    </w:p>
    <w:p w14:paraId="2038DD12" w14:textId="5EB57B00" w:rsidR="00A001CE" w:rsidRDefault="00D010B3" w:rsidP="009C56AA">
      <w:pPr>
        <w:pStyle w:val="ParaNumbering"/>
      </w:pPr>
      <w:r>
        <w:lastRenderedPageBreak/>
        <w:t xml:space="preserve">The Commissioner contended that it </w:t>
      </w:r>
      <w:r w:rsidR="00472D86">
        <w:t xml:space="preserve">is appropriate that the amended claim pursuant to s 37A of the Conveyancing Act proceed in </w:t>
      </w:r>
      <w:r>
        <w:t>this Court</w:t>
      </w:r>
      <w:r w:rsidR="00472D86">
        <w:t xml:space="preserve"> </w:t>
      </w:r>
      <w:r>
        <w:t>(as opposed to</w:t>
      </w:r>
      <w:r w:rsidR="00472D86">
        <w:t xml:space="preserve"> the Supreme Court of New South Wales</w:t>
      </w:r>
      <w:r>
        <w:t xml:space="preserve">) </w:t>
      </w:r>
      <w:r w:rsidRPr="00D52A07">
        <w:t>because</w:t>
      </w:r>
      <w:r w:rsidR="00472D86" w:rsidRPr="00D52A07">
        <w:t xml:space="preserve"> </w:t>
      </w:r>
      <w:r w:rsidR="00524862" w:rsidRPr="00D52A07">
        <w:t>it</w:t>
      </w:r>
      <w:r w:rsidR="00472D86" w:rsidRPr="00D52A07">
        <w:t xml:space="preserve"> has a</w:t>
      </w:r>
      <w:r w:rsidR="00472D86">
        <w:t xml:space="preserve"> substantial connection</w:t>
      </w:r>
      <w:r>
        <w:t xml:space="preserve"> </w:t>
      </w:r>
      <w:r w:rsidR="00472D86">
        <w:t xml:space="preserve">with the extant pleadings, </w:t>
      </w:r>
      <w:r>
        <w:t>and will therefore avoid</w:t>
      </w:r>
      <w:r w:rsidR="00472D86">
        <w:t xml:space="preserve"> multiplicity of </w:t>
      </w:r>
      <w:r w:rsidR="00472D86" w:rsidRPr="00D52A07">
        <w:t>pleadings</w:t>
      </w:r>
      <w:r w:rsidR="003575B6" w:rsidRPr="00D52A07">
        <w:t xml:space="preserve">, referring to </w:t>
      </w:r>
      <w:r w:rsidR="00472D86" w:rsidRPr="00D52A07">
        <w:rPr>
          <w:i/>
          <w:iCs/>
        </w:rPr>
        <w:t>Mansfield</w:t>
      </w:r>
      <w:r w:rsidRPr="00D52A07">
        <w:rPr>
          <w:i/>
          <w:iCs/>
        </w:rPr>
        <w:t xml:space="preserve"> </w:t>
      </w:r>
      <w:r w:rsidR="00472D86" w:rsidRPr="00D52A07">
        <w:rPr>
          <w:i/>
          <w:iCs/>
        </w:rPr>
        <w:t>(</w:t>
      </w:r>
      <w:r w:rsidR="00472D86" w:rsidRPr="00DA0636">
        <w:rPr>
          <w:i/>
          <w:iCs/>
        </w:rPr>
        <w:t>Liquidator</w:t>
      </w:r>
      <w:r w:rsidR="00472D86" w:rsidRPr="00D010B3">
        <w:rPr>
          <w:i/>
          <w:iCs/>
        </w:rPr>
        <w:t xml:space="preserve">) v </w:t>
      </w:r>
      <w:proofErr w:type="spellStart"/>
      <w:r w:rsidR="00472D86" w:rsidRPr="00D010B3">
        <w:rPr>
          <w:i/>
          <w:iCs/>
        </w:rPr>
        <w:t>Fortrust</w:t>
      </w:r>
      <w:proofErr w:type="spellEnd"/>
      <w:r w:rsidR="00472D86" w:rsidRPr="00D010B3">
        <w:rPr>
          <w:i/>
          <w:iCs/>
        </w:rPr>
        <w:t xml:space="preserve"> International Pty Ltd, in the matter of Palladium Investments</w:t>
      </w:r>
      <w:r>
        <w:rPr>
          <w:i/>
          <w:iCs/>
        </w:rPr>
        <w:t xml:space="preserve"> </w:t>
      </w:r>
      <w:r w:rsidR="00472D86" w:rsidRPr="00D010B3">
        <w:rPr>
          <w:i/>
          <w:iCs/>
        </w:rPr>
        <w:t xml:space="preserve">International Pty Ltd (in </w:t>
      </w:r>
      <w:proofErr w:type="spellStart"/>
      <w:r w:rsidR="00472D86" w:rsidRPr="00D010B3">
        <w:rPr>
          <w:i/>
          <w:iCs/>
        </w:rPr>
        <w:t>liq</w:t>
      </w:r>
      <w:proofErr w:type="spellEnd"/>
      <w:r w:rsidR="00472D86" w:rsidRPr="00D010B3">
        <w:rPr>
          <w:i/>
          <w:iCs/>
        </w:rPr>
        <w:t>)</w:t>
      </w:r>
      <w:r w:rsidR="00472D86">
        <w:t xml:space="preserve"> [2023] FCA 350 at [10].</w:t>
      </w:r>
      <w:r w:rsidR="00EE5B7F">
        <w:t xml:space="preserve"> The Commissioner submitted that the proposed s 37A claim form</w:t>
      </w:r>
      <w:r w:rsidR="00DB12EC">
        <w:t>s</w:t>
      </w:r>
      <w:r w:rsidR="00EE5B7F">
        <w:t xml:space="preserve"> part of the single controversy between the Commissioner and respondents because: (a) the Commissioner has the benefit of a summary judgment against the first respondent; (b) by prayer 2 of the existing originating application, the Commissioner seeks judgment against the second respondent in relation to taxation liabilities; (c) by prayers 7 and 8 of the existing originating application, the Commissioner seeks declarations as to the beneficial ownership of the assets which are held in the name of the seventh and eighth respondents; (d) the Commissioner sought those declarations in aide of recovery of taxation liabilities; and (e) consistent with those declarations, the Commissioner now seeks recovery of those taxation liabilities pursuant to s 37A of the Conveyancing Act. </w:t>
      </w:r>
    </w:p>
    <w:p w14:paraId="08A89ED8" w14:textId="75B3F2E7" w:rsidR="00D010B3" w:rsidRPr="00BB77E0" w:rsidRDefault="00D010B3" w:rsidP="00D010B3">
      <w:pPr>
        <w:pStyle w:val="ParaNumbering"/>
      </w:pPr>
      <w:r>
        <w:t xml:space="preserve">In respect to the joinder of parties, the Commissioner submitted that he has a clearly arguable claim </w:t>
      </w:r>
      <w:r w:rsidRPr="00DA0636">
        <w:t xml:space="preserve">pursuant </w:t>
      </w:r>
      <w:r w:rsidRPr="00D52A07">
        <w:t>to s 3</w:t>
      </w:r>
      <w:r w:rsidR="00FB21A3" w:rsidRPr="00D52A07">
        <w:t>7A</w:t>
      </w:r>
      <w:r w:rsidRPr="00D52A07">
        <w:t xml:space="preserve"> of the</w:t>
      </w:r>
      <w:r>
        <w:t xml:space="preserve"> Conveyancing Act on the basis of the pleaded matters in the proposed statement of claim. </w:t>
      </w:r>
      <w:r w:rsidR="008A4F25">
        <w:t xml:space="preserve">It was submitted that it is necessary to join each of the below-listed parties to ensure that each issue in dispute in the proceeding </w:t>
      </w:r>
      <w:r w:rsidR="007D00C6">
        <w:t>can</w:t>
      </w:r>
      <w:r w:rsidR="008A4F25">
        <w:t xml:space="preserve"> be heard and finally determined, to enable determination of a related dispute and, as a result, avoid multiplicity of pr</w:t>
      </w:r>
      <w:r w:rsidR="008A4F25" w:rsidRPr="00BB77E0">
        <w:t>oceedings:</w:t>
      </w:r>
      <w:r w:rsidR="00873946" w:rsidRPr="00BB77E0">
        <w:t xml:space="preserve"> </w:t>
      </w:r>
    </w:p>
    <w:p w14:paraId="6EA0AEE4" w14:textId="468D26E6" w:rsidR="00316E77" w:rsidRPr="00BB77E0" w:rsidRDefault="00FB2BD4" w:rsidP="00316E77">
      <w:pPr>
        <w:pStyle w:val="ListNo1alt"/>
        <w:numPr>
          <w:ilvl w:val="0"/>
          <w:numId w:val="36"/>
        </w:numPr>
      </w:pPr>
      <w:r w:rsidRPr="00BB77E0">
        <w:t>ZWF (</w:t>
      </w:r>
      <w:r w:rsidR="00885935">
        <w:t xml:space="preserve">proposed </w:t>
      </w:r>
      <w:r w:rsidRPr="00BB77E0">
        <w:t>n</w:t>
      </w:r>
      <w:r w:rsidR="00316E77" w:rsidRPr="00BB77E0">
        <w:t>inth respondent</w:t>
      </w:r>
      <w:r w:rsidRPr="00BB77E0">
        <w:t>)</w:t>
      </w:r>
      <w:r w:rsidR="00316E77" w:rsidRPr="00BB77E0">
        <w:t xml:space="preserve"> – the Commissioner seeks a declaration that </w:t>
      </w:r>
      <w:r w:rsidRPr="00BB77E0">
        <w:t xml:space="preserve">the </w:t>
      </w:r>
      <w:r w:rsidR="00316E77" w:rsidRPr="00BB77E0">
        <w:t xml:space="preserve">first respondent was the beneficial owner of </w:t>
      </w:r>
      <w:r w:rsidR="00BB77E0" w:rsidRPr="00BB77E0">
        <w:t xml:space="preserve">ZWF </w:t>
      </w:r>
      <w:r w:rsidR="00316E77" w:rsidRPr="00BB77E0">
        <w:t xml:space="preserve">in about the period 1 November 2011 to 11 July 2023. Relief is sought to the effect that transfers of funds </w:t>
      </w:r>
      <w:r w:rsidRPr="00BB77E0">
        <w:t xml:space="preserve">from </w:t>
      </w:r>
      <w:r w:rsidR="00BB77E0" w:rsidRPr="00BB77E0">
        <w:t>ZWF</w:t>
      </w:r>
      <w:r w:rsidR="00316E77" w:rsidRPr="00BB77E0">
        <w:t xml:space="preserve"> are void pursuant to s 37A of the Conveyancing Act.</w:t>
      </w:r>
    </w:p>
    <w:p w14:paraId="25624B61" w14:textId="023B362C" w:rsidR="00316E77" w:rsidRPr="00BB77E0" w:rsidRDefault="00316E77" w:rsidP="00316E77">
      <w:pPr>
        <w:pStyle w:val="ListNo1alt"/>
        <w:numPr>
          <w:ilvl w:val="0"/>
          <w:numId w:val="36"/>
        </w:numPr>
      </w:pPr>
      <w:r w:rsidRPr="00DA0636">
        <w:t xml:space="preserve">Suada </w:t>
      </w:r>
      <w:r w:rsidRPr="00D52A07">
        <w:t>Dervisevic (</w:t>
      </w:r>
      <w:r w:rsidR="00885935">
        <w:t xml:space="preserve">proposed </w:t>
      </w:r>
      <w:r w:rsidRPr="00D52A07">
        <w:t>sixth respondent</w:t>
      </w:r>
      <w:r w:rsidRPr="00DA0636">
        <w:t>)</w:t>
      </w:r>
      <w:r w:rsidRPr="00BB77E0">
        <w:t xml:space="preserve"> – </w:t>
      </w:r>
      <w:r w:rsidR="00BB77E0" w:rsidRPr="00BB77E0">
        <w:t xml:space="preserve">Ms Dervisevic </w:t>
      </w:r>
      <w:r w:rsidRPr="00BB77E0">
        <w:t xml:space="preserve">is recorded as the sole director and secretary of </w:t>
      </w:r>
      <w:r w:rsidR="00BB77E0" w:rsidRPr="00BB77E0">
        <w:t>ZWF</w:t>
      </w:r>
      <w:r w:rsidRPr="00BB77E0">
        <w:t xml:space="preserve"> from about 1 November 2011 until about 23 November 2021. </w:t>
      </w:r>
      <w:r w:rsidR="00BB77E0" w:rsidRPr="00BB77E0">
        <w:t xml:space="preserve">Ms Dervisevic </w:t>
      </w:r>
      <w:r w:rsidRPr="00BB77E0">
        <w:t xml:space="preserve">is recorded as the sole shareholder of </w:t>
      </w:r>
      <w:r w:rsidR="00BB77E0" w:rsidRPr="00BB77E0">
        <w:t>ZWF</w:t>
      </w:r>
      <w:r w:rsidR="00FB2BD4" w:rsidRPr="00BB77E0">
        <w:t xml:space="preserve"> </w:t>
      </w:r>
      <w:r w:rsidRPr="00BB77E0">
        <w:t>from about 1 November 2011</w:t>
      </w:r>
      <w:r w:rsidR="00FB2BD4" w:rsidRPr="00BB77E0">
        <w:t xml:space="preserve"> </w:t>
      </w:r>
      <w:r w:rsidRPr="00BB77E0">
        <w:t xml:space="preserve">until about 1 July 2016. </w:t>
      </w:r>
      <w:r w:rsidR="00EC6C19" w:rsidRPr="00BB77E0">
        <w:t>The Commissioner submitted that a</w:t>
      </w:r>
      <w:r w:rsidRPr="00BB77E0">
        <w:t xml:space="preserve"> declaration that </w:t>
      </w:r>
      <w:r w:rsidR="00FB2BD4" w:rsidRPr="00BB77E0">
        <w:t>the first respondent</w:t>
      </w:r>
      <w:r w:rsidRPr="00BB77E0">
        <w:t xml:space="preserve"> was the beneficial owner of </w:t>
      </w:r>
      <w:r w:rsidR="00BB77E0" w:rsidRPr="00BB77E0">
        <w:t>ZWF</w:t>
      </w:r>
      <w:r w:rsidRPr="00BB77E0">
        <w:t xml:space="preserve"> has the potential to impact </w:t>
      </w:r>
      <w:r w:rsidR="00BB77E0" w:rsidRPr="00BB77E0">
        <w:t xml:space="preserve">Ms Dervisevic’s </w:t>
      </w:r>
      <w:r w:rsidRPr="00BB77E0">
        <w:t>rights.</w:t>
      </w:r>
    </w:p>
    <w:p w14:paraId="46F2871A" w14:textId="55882726" w:rsidR="00316E77" w:rsidRPr="00BB77E0" w:rsidRDefault="00316E77" w:rsidP="00316E77">
      <w:pPr>
        <w:pStyle w:val="ListNo1alt"/>
        <w:numPr>
          <w:ilvl w:val="0"/>
          <w:numId w:val="36"/>
        </w:numPr>
      </w:pPr>
      <w:r w:rsidRPr="00DA0636">
        <w:lastRenderedPageBreak/>
        <w:t xml:space="preserve">Trans Group </w:t>
      </w:r>
      <w:r w:rsidRPr="00D52A07">
        <w:t>Holdings Pty Ltd (</w:t>
      </w:r>
      <w:r w:rsidR="00885935">
        <w:t xml:space="preserve">proposed </w:t>
      </w:r>
      <w:r w:rsidRPr="00D52A07">
        <w:t>tenth</w:t>
      </w:r>
      <w:r w:rsidRPr="00BB77E0">
        <w:t xml:space="preserve"> respondent</w:t>
      </w:r>
      <w:r w:rsidR="00861E14">
        <w:t>, Trans Group</w:t>
      </w:r>
      <w:r w:rsidRPr="00BB77E0">
        <w:t xml:space="preserve">) – the Commissioner </w:t>
      </w:r>
      <w:r w:rsidR="00EC6C19" w:rsidRPr="00BB77E0">
        <w:t xml:space="preserve">alleges </w:t>
      </w:r>
      <w:r w:rsidRPr="00BB77E0">
        <w:t xml:space="preserve">that the sale by </w:t>
      </w:r>
      <w:r w:rsidR="00BB77E0" w:rsidRPr="00BB77E0">
        <w:t>Trans Group</w:t>
      </w:r>
      <w:r w:rsidRPr="00BB77E0">
        <w:t xml:space="preserve"> of its shareholding in </w:t>
      </w:r>
      <w:proofErr w:type="spellStart"/>
      <w:r w:rsidRPr="00BB77E0">
        <w:t>Austil</w:t>
      </w:r>
      <w:proofErr w:type="spellEnd"/>
      <w:r w:rsidRPr="00BB77E0">
        <w:t xml:space="preserve"> Corp</w:t>
      </w:r>
      <w:r w:rsidR="007F0CE1">
        <w:t xml:space="preserve"> </w:t>
      </w:r>
      <w:r w:rsidRPr="00BB77E0">
        <w:t>Pty Ltd</w:t>
      </w:r>
      <w:r w:rsidR="00EC6C19" w:rsidRPr="00BB77E0">
        <w:t xml:space="preserve"> </w:t>
      </w:r>
      <w:r w:rsidRPr="00BB77E0">
        <w:t>(</w:t>
      </w:r>
      <w:proofErr w:type="spellStart"/>
      <w:r w:rsidRPr="00BB77E0">
        <w:t>AusSteel</w:t>
      </w:r>
      <w:proofErr w:type="spellEnd"/>
      <w:r w:rsidR="00037E2E" w:rsidRPr="00BB77E0">
        <w:t xml:space="preserve">, </w:t>
      </w:r>
      <w:r w:rsidR="00861E14">
        <w:t xml:space="preserve">proposed </w:t>
      </w:r>
      <w:r w:rsidR="00037E2E" w:rsidRPr="00BB77E0">
        <w:t>thirteenth respondent</w:t>
      </w:r>
      <w:r w:rsidRPr="00BB77E0">
        <w:t xml:space="preserve">) on 22 November 2021 was an alienation of property by </w:t>
      </w:r>
      <w:r w:rsidR="00EC6C19" w:rsidRPr="00BB77E0">
        <w:t>the first respondent</w:t>
      </w:r>
      <w:r w:rsidRPr="00BB77E0">
        <w:t xml:space="preserve"> which was made with intent to defraud creditors within the meaning of s 37A of the Conveyancing Act. </w:t>
      </w:r>
      <w:r w:rsidR="00EC6C19" w:rsidRPr="00BB77E0">
        <w:t>The Commissioner seeks v</w:t>
      </w:r>
      <w:r w:rsidRPr="00BB77E0">
        <w:t xml:space="preserve">arious forms of relief against </w:t>
      </w:r>
      <w:r w:rsidR="00BB77E0" w:rsidRPr="00BB77E0">
        <w:t>Trans Group</w:t>
      </w:r>
      <w:r w:rsidRPr="00BB77E0">
        <w:t>.</w:t>
      </w:r>
    </w:p>
    <w:p w14:paraId="6135D97E" w14:textId="2F1ACD28" w:rsidR="00316E77" w:rsidRPr="00BB77E0" w:rsidRDefault="00316E77" w:rsidP="00316E77">
      <w:pPr>
        <w:pStyle w:val="ListNo1alt"/>
        <w:numPr>
          <w:ilvl w:val="0"/>
          <w:numId w:val="36"/>
        </w:numPr>
      </w:pPr>
      <w:r w:rsidRPr="00BB77E0">
        <w:t xml:space="preserve">Alaina </w:t>
      </w:r>
      <w:r w:rsidRPr="00D52A07">
        <w:t>Kahila (</w:t>
      </w:r>
      <w:r w:rsidR="00885935">
        <w:t xml:space="preserve">proposed </w:t>
      </w:r>
      <w:r w:rsidRPr="00D52A07">
        <w:t>eleventh</w:t>
      </w:r>
      <w:r w:rsidRPr="00BB77E0">
        <w:t xml:space="preserve"> respondent) –</w:t>
      </w:r>
      <w:r w:rsidR="00EC6C19" w:rsidRPr="00BB77E0">
        <w:t xml:space="preserve"> </w:t>
      </w:r>
      <w:r w:rsidR="00BB77E0" w:rsidRPr="00BB77E0">
        <w:t>Ms Kahila</w:t>
      </w:r>
      <w:r w:rsidRPr="00BB77E0">
        <w:t xml:space="preserve"> is presently the sole director, secretary and sole shareholder of </w:t>
      </w:r>
      <w:r w:rsidR="00BB77E0" w:rsidRPr="00BB77E0">
        <w:t>Trans Group</w:t>
      </w:r>
      <w:r w:rsidRPr="00BB77E0">
        <w:t xml:space="preserve">. The proposed relief </w:t>
      </w:r>
      <w:r w:rsidR="003848F9" w:rsidRPr="00BB77E0">
        <w:t xml:space="preserve">sought by the Commissioner </w:t>
      </w:r>
      <w:r w:rsidRPr="00BB77E0">
        <w:t xml:space="preserve">includes a declaration and corresponding order that the transfer of shares in </w:t>
      </w:r>
      <w:r w:rsidR="00BB77E0" w:rsidRPr="00BB77E0">
        <w:t>Trans Group</w:t>
      </w:r>
      <w:r w:rsidR="003848F9" w:rsidRPr="00BB77E0">
        <w:t xml:space="preserve"> to </w:t>
      </w:r>
      <w:r w:rsidR="00BB77E0" w:rsidRPr="00BB77E0">
        <w:t>Ms Kahila</w:t>
      </w:r>
      <w:r w:rsidRPr="00BB77E0">
        <w:t xml:space="preserve"> is void.</w:t>
      </w:r>
    </w:p>
    <w:p w14:paraId="69E5A9F0" w14:textId="35BCFB16" w:rsidR="00316E77" w:rsidRPr="00BB77E0" w:rsidRDefault="00316E77" w:rsidP="00316E77">
      <w:pPr>
        <w:pStyle w:val="ListNo1alt"/>
        <w:numPr>
          <w:ilvl w:val="0"/>
          <w:numId w:val="36"/>
        </w:numPr>
      </w:pPr>
      <w:r w:rsidRPr="00BB77E0">
        <w:t xml:space="preserve">Mark </w:t>
      </w:r>
      <w:r w:rsidRPr="00D52A07">
        <w:t>Osmond (</w:t>
      </w:r>
      <w:r w:rsidR="00885935">
        <w:t xml:space="preserve">proposed </w:t>
      </w:r>
      <w:r w:rsidRPr="00D52A07">
        <w:t>twelfth</w:t>
      </w:r>
      <w:r w:rsidRPr="00BB77E0">
        <w:t xml:space="preserve"> respondent) – </w:t>
      </w:r>
      <w:r w:rsidR="00BB77E0" w:rsidRPr="00BB77E0">
        <w:t>Mr Osmond</w:t>
      </w:r>
      <w:r w:rsidR="003848F9" w:rsidRPr="00BB77E0">
        <w:t xml:space="preserve"> </w:t>
      </w:r>
      <w:r w:rsidRPr="00BB77E0">
        <w:t xml:space="preserve">is presently the sole director, secretary and sole shareholder of </w:t>
      </w:r>
      <w:proofErr w:type="spellStart"/>
      <w:r w:rsidRPr="00BB77E0">
        <w:t>AusSteel</w:t>
      </w:r>
      <w:proofErr w:type="spellEnd"/>
      <w:r w:rsidRPr="00BB77E0">
        <w:t xml:space="preserve">. The proposed relief includes a declaration and corresponding order that the transfer of shares in </w:t>
      </w:r>
      <w:proofErr w:type="spellStart"/>
      <w:r w:rsidRPr="00BB77E0">
        <w:t>AusSteel</w:t>
      </w:r>
      <w:proofErr w:type="spellEnd"/>
      <w:r w:rsidRPr="00BB77E0">
        <w:t xml:space="preserve"> to M</w:t>
      </w:r>
      <w:r w:rsidR="00BB77E0" w:rsidRPr="00BB77E0">
        <w:t>r</w:t>
      </w:r>
      <w:r w:rsidRPr="00BB77E0">
        <w:t xml:space="preserve"> Osmond is void.</w:t>
      </w:r>
    </w:p>
    <w:p w14:paraId="44678259" w14:textId="7C1A02A7" w:rsidR="00316E77" w:rsidRPr="00BB77E0" w:rsidRDefault="00316E77" w:rsidP="00316E77">
      <w:pPr>
        <w:pStyle w:val="ListNo1alt"/>
        <w:numPr>
          <w:ilvl w:val="0"/>
          <w:numId w:val="36"/>
        </w:numPr>
      </w:pPr>
      <w:proofErr w:type="spellStart"/>
      <w:r w:rsidRPr="00BB77E0">
        <w:t>AusSteel</w:t>
      </w:r>
      <w:proofErr w:type="spellEnd"/>
      <w:r w:rsidRPr="00BB77E0">
        <w:t xml:space="preserve"> (</w:t>
      </w:r>
      <w:r w:rsidR="00885935">
        <w:t xml:space="preserve">proposed </w:t>
      </w:r>
      <w:r w:rsidRPr="00BB77E0">
        <w:t xml:space="preserve">thirteenth respondent) – the proposed relief </w:t>
      </w:r>
      <w:r w:rsidR="00BB77E0" w:rsidRPr="00BB77E0">
        <w:t xml:space="preserve">sought by the Commissioner </w:t>
      </w:r>
      <w:r w:rsidRPr="00BB77E0">
        <w:t xml:space="preserve">includes a declaration and corresponding order that the shares in </w:t>
      </w:r>
      <w:proofErr w:type="spellStart"/>
      <w:r w:rsidRPr="00BB77E0">
        <w:t>AusSteel</w:t>
      </w:r>
      <w:proofErr w:type="spellEnd"/>
      <w:r w:rsidRPr="00BB77E0">
        <w:t xml:space="preserve"> vest forthwith as to their legal and beneficial ownership in Trans Group. </w:t>
      </w:r>
    </w:p>
    <w:p w14:paraId="4BA3FDFB" w14:textId="16EC4699" w:rsidR="00210E8F" w:rsidRDefault="00371051" w:rsidP="00401F01">
      <w:pPr>
        <w:pStyle w:val="ParaNumbering"/>
      </w:pPr>
      <w:r w:rsidRPr="00D52A07">
        <w:t>The</w:t>
      </w:r>
      <w:r w:rsidR="00DA0636" w:rsidRPr="00D52A07">
        <w:t xml:space="preserve"> </w:t>
      </w:r>
      <w:r w:rsidRPr="00D52A07">
        <w:t>respondents submit</w:t>
      </w:r>
      <w:r w:rsidR="00210E8F" w:rsidRPr="00D52A07">
        <w:t>ted</w:t>
      </w:r>
      <w:r w:rsidRPr="00D52A07">
        <w:t xml:space="preserve"> that</w:t>
      </w:r>
      <w:r>
        <w:t xml:space="preserve"> leave should not be granted for the applicant to file and serve the proposed amended originating application and statement of claim because the relief sought and the claims made therein are unlikely to succeed or are likely to be struck out, respectively</w:t>
      </w:r>
      <w:r w:rsidR="003637DB">
        <w:t>:</w:t>
      </w:r>
      <w:r w:rsidR="00CC6283" w:rsidRPr="00D52A07">
        <w:t xml:space="preserve"> referring to </w:t>
      </w:r>
      <w:r w:rsidR="00CC6283" w:rsidRPr="00D52A07">
        <w:rPr>
          <w:i/>
          <w:iCs/>
        </w:rPr>
        <w:t>DCJ2</w:t>
      </w:r>
      <w:r w:rsidR="00BF3A61" w:rsidRPr="00D52A07">
        <w:rPr>
          <w:i/>
          <w:iCs/>
        </w:rPr>
        <w:t>1 v</w:t>
      </w:r>
      <w:r w:rsidR="00CC6283" w:rsidRPr="00D52A07">
        <w:rPr>
          <w:i/>
          <w:iCs/>
        </w:rPr>
        <w:t xml:space="preserve"> Medical Board of Australia</w:t>
      </w:r>
      <w:r w:rsidR="00CC6283" w:rsidRPr="00D52A07">
        <w:t xml:space="preserve"> </w:t>
      </w:r>
      <w:r w:rsidR="00BF3A61" w:rsidRPr="00D52A07">
        <w:t>[2021] FCA 1037</w:t>
      </w:r>
      <w:r w:rsidR="00CC6283" w:rsidRPr="00D52A07">
        <w:t xml:space="preserve"> at [52]</w:t>
      </w:r>
      <w:r w:rsidRPr="00D52A07">
        <w:t>.</w:t>
      </w:r>
      <w:r>
        <w:t xml:space="preserve"> </w:t>
      </w:r>
      <w:r w:rsidR="00BB77E0">
        <w:t>The respondent</w:t>
      </w:r>
      <w:r w:rsidR="00401F01">
        <w:t>s</w:t>
      </w:r>
      <w:r w:rsidR="00BB77E0">
        <w:t xml:space="preserve"> also submitted that the Court should refuse to join additional respondents to these proceedings as there is no arguable claim against the proposed additional respondents. </w:t>
      </w:r>
    </w:p>
    <w:p w14:paraId="3A2033BB" w14:textId="5E73CE93" w:rsidR="00210E8F" w:rsidRPr="00C27884" w:rsidRDefault="00401F01" w:rsidP="00D010B3">
      <w:pPr>
        <w:pStyle w:val="ParaNumbering"/>
      </w:pPr>
      <w:r>
        <w:t>It was submitted that</w:t>
      </w:r>
      <w:r w:rsidR="00210E8F">
        <w:t xml:space="preserve"> this</w:t>
      </w:r>
      <w:r w:rsidR="00371051">
        <w:t xml:space="preserve"> Court has no jurisdiction to entertain the claims sought to be brought pursuant to s 37A of the Conveyancing Act </w:t>
      </w:r>
      <w:r w:rsidR="00210E8F">
        <w:t xml:space="preserve">because those proposed claims are non-federal claims not forming part of the single controversy between the Commissioner and the respondents. </w:t>
      </w:r>
      <w:r w:rsidR="006C679B" w:rsidRPr="00D52A07">
        <w:t>That said</w:t>
      </w:r>
      <w:r w:rsidR="00912379">
        <w:t>,</w:t>
      </w:r>
      <w:r w:rsidR="006C679B" w:rsidRPr="00D52A07">
        <w:t xml:space="preserve"> the respondent</w:t>
      </w:r>
      <w:r w:rsidR="0000366D" w:rsidRPr="00D52A07">
        <w:t xml:space="preserve">s referred to </w:t>
      </w:r>
      <w:r w:rsidR="00C27884" w:rsidRPr="00D52A07">
        <w:rPr>
          <w:i/>
          <w:iCs/>
        </w:rPr>
        <w:t xml:space="preserve">Commissioner of Taxation v </w:t>
      </w:r>
      <w:proofErr w:type="spellStart"/>
      <w:r w:rsidR="00C27884" w:rsidRPr="00D52A07">
        <w:rPr>
          <w:i/>
          <w:iCs/>
        </w:rPr>
        <w:t>Oswal</w:t>
      </w:r>
      <w:proofErr w:type="spellEnd"/>
      <w:r w:rsidR="00C27884" w:rsidRPr="00D52A07">
        <w:rPr>
          <w:i/>
          <w:iCs/>
        </w:rPr>
        <w:t xml:space="preserve"> </w:t>
      </w:r>
      <w:r w:rsidR="00C27884" w:rsidRPr="00D52A07">
        <w:t>[2012] FCA 1507</w:t>
      </w:r>
      <w:r w:rsidR="000B52F7" w:rsidRPr="00D52A07">
        <w:t xml:space="preserve"> (</w:t>
      </w:r>
      <w:proofErr w:type="spellStart"/>
      <w:r w:rsidR="000B52F7" w:rsidRPr="00D52A07">
        <w:rPr>
          <w:i/>
          <w:iCs/>
        </w:rPr>
        <w:t>Oswal</w:t>
      </w:r>
      <w:proofErr w:type="spellEnd"/>
      <w:r w:rsidR="000B52F7" w:rsidRPr="00D52A07">
        <w:t>)</w:t>
      </w:r>
      <w:r w:rsidR="0000366D" w:rsidRPr="00D52A07">
        <w:t xml:space="preserve">, a decision where this Court </w:t>
      </w:r>
      <w:r w:rsidR="00904AD8">
        <w:t xml:space="preserve">accepted </w:t>
      </w:r>
      <w:r w:rsidR="0000366D" w:rsidRPr="00D52A07">
        <w:t xml:space="preserve">after argument </w:t>
      </w:r>
      <w:r w:rsidR="00904AD8">
        <w:t>that</w:t>
      </w:r>
      <w:r w:rsidR="0000366D" w:rsidRPr="00D52A07">
        <w:t xml:space="preserve"> it had jurisdiction in circumstances</w:t>
      </w:r>
      <w:r w:rsidR="00DA0636" w:rsidRPr="00C27884">
        <w:t xml:space="preserve"> such as these</w:t>
      </w:r>
      <w:r w:rsidR="0000366D" w:rsidRPr="00C27884">
        <w:t xml:space="preserve">. </w:t>
      </w:r>
    </w:p>
    <w:p w14:paraId="7AEE10E8" w14:textId="77777777" w:rsidR="00292D5C" w:rsidRDefault="00210E8F" w:rsidP="00D010B3">
      <w:pPr>
        <w:pStyle w:val="ParaNumbering"/>
      </w:pPr>
      <w:r>
        <w:t>The respondent</w:t>
      </w:r>
      <w:r w:rsidR="00E40EB0">
        <w:t>s also</w:t>
      </w:r>
      <w:r>
        <w:t xml:space="preserve"> submitted that the proposed statement of claim fails to plead the material facts necessary to support a claim under s 37A of the Conveyancing Act</w:t>
      </w:r>
      <w:r w:rsidR="00522ADC">
        <w:t xml:space="preserve">, and that </w:t>
      </w:r>
      <w:r w:rsidR="000934CF">
        <w:t>an</w:t>
      </w:r>
      <w:r w:rsidR="00522ADC">
        <w:t xml:space="preserve"> allegation </w:t>
      </w:r>
      <w:r w:rsidR="00522ADC">
        <w:lastRenderedPageBreak/>
        <w:t xml:space="preserve">of fraud </w:t>
      </w:r>
      <w:r w:rsidR="000934CF">
        <w:t>such as involved here</w:t>
      </w:r>
      <w:r w:rsidR="00522ADC">
        <w:t xml:space="preserve"> requires great precision and full particularity in terms of the facts that are relied upon to establish the fraud</w:t>
      </w:r>
      <w:r w:rsidR="000934CF">
        <w:t xml:space="preserve">: citing </w:t>
      </w:r>
      <w:r w:rsidR="000934CF">
        <w:rPr>
          <w:i/>
          <w:iCs/>
        </w:rPr>
        <w:t xml:space="preserve">Krakowski v </w:t>
      </w:r>
      <w:proofErr w:type="spellStart"/>
      <w:r w:rsidR="000934CF">
        <w:rPr>
          <w:i/>
          <w:iCs/>
        </w:rPr>
        <w:t>Eurolynx</w:t>
      </w:r>
      <w:proofErr w:type="spellEnd"/>
      <w:r w:rsidR="000934CF">
        <w:rPr>
          <w:i/>
          <w:iCs/>
        </w:rPr>
        <w:t xml:space="preserve"> Properties Limited </w:t>
      </w:r>
      <w:r w:rsidR="000934CF">
        <w:t>[1995] HCA 68; (1995) 183 CLR 563</w:t>
      </w:r>
      <w:r>
        <w:t xml:space="preserve">. </w:t>
      </w:r>
      <w:r w:rsidR="00226FF8" w:rsidRPr="00D52A07">
        <w:t xml:space="preserve">The purported deficiencies </w:t>
      </w:r>
      <w:r w:rsidR="000934CF">
        <w:t xml:space="preserve">in the statement of claim </w:t>
      </w:r>
      <w:r w:rsidR="00226FF8" w:rsidRPr="00D52A07">
        <w:t xml:space="preserve">were </w:t>
      </w:r>
      <w:r w:rsidR="000934CF">
        <w:t>outlin</w:t>
      </w:r>
      <w:r w:rsidR="00226FF8" w:rsidRPr="00D52A07">
        <w:t>ed during argument, the detail of which is unnecessary to repeat here.</w:t>
      </w:r>
      <w:r w:rsidR="00226FF8">
        <w:t xml:space="preserve"> </w:t>
      </w:r>
    </w:p>
    <w:p w14:paraId="5B276755" w14:textId="4E6E5CE1" w:rsidR="00316E77" w:rsidRDefault="00226FF8" w:rsidP="00D010B3">
      <w:pPr>
        <w:pStyle w:val="ParaNumbering"/>
      </w:pPr>
      <w:r>
        <w:t xml:space="preserve">In addition, </w:t>
      </w:r>
      <w:r w:rsidR="0058170E">
        <w:t>a</w:t>
      </w:r>
      <w:r w:rsidR="00210E8F">
        <w:t>s to the First Declaration, the respondent submitted that</w:t>
      </w:r>
      <w:r w:rsidR="001D7059">
        <w:t xml:space="preserve"> in the proposed statement of claim,</w:t>
      </w:r>
      <w:r w:rsidR="00210E8F">
        <w:t xml:space="preserve"> the Commissioner merely states that Koch Commercial </w:t>
      </w:r>
      <w:r w:rsidR="001D7059">
        <w:t>is</w:t>
      </w:r>
      <w:r w:rsidR="00210E8F">
        <w:t xml:space="preserve"> the trustee of the Koc</w:t>
      </w:r>
      <w:r w:rsidR="000628EE">
        <w:t>h</w:t>
      </w:r>
      <w:r w:rsidR="00210E8F">
        <w:t xml:space="preserve"> Commercial Unit Trust and that the unitholders are Koc</w:t>
      </w:r>
      <w:r w:rsidR="000628EE">
        <w:t>h</w:t>
      </w:r>
      <w:r w:rsidR="00210E8F">
        <w:t>71</w:t>
      </w:r>
      <w:r w:rsidR="00BD0B36">
        <w:t xml:space="preserve"> Pty Ltd</w:t>
      </w:r>
      <w:r w:rsidR="00210E8F">
        <w:t xml:space="preserve"> </w:t>
      </w:r>
      <w:r w:rsidR="00BD0B36">
        <w:t xml:space="preserve">(Koch71) </w:t>
      </w:r>
      <w:r w:rsidR="00210E8F">
        <w:t xml:space="preserve">as trustee for the NK </w:t>
      </w:r>
      <w:r w:rsidR="001D7059">
        <w:t xml:space="preserve">Property Trust and Koch77 </w:t>
      </w:r>
      <w:r w:rsidR="00BD0B36">
        <w:t xml:space="preserve">Pty Ltd (Koch77) </w:t>
      </w:r>
      <w:r w:rsidR="001D7059">
        <w:t>as trustee for the SK Property</w:t>
      </w:r>
      <w:r w:rsidR="00062CD0">
        <w:t xml:space="preserve"> Trust</w:t>
      </w:r>
      <w:r w:rsidR="001D7059">
        <w:t>, who each hold 50 units. The respondent</w:t>
      </w:r>
      <w:r w:rsidR="00094F0C">
        <w:t xml:space="preserve">s </w:t>
      </w:r>
      <w:r w:rsidR="001D7059">
        <w:t>submit</w:t>
      </w:r>
      <w:r w:rsidR="00094F0C">
        <w:t>ted</w:t>
      </w:r>
      <w:r w:rsidR="001D7059">
        <w:t xml:space="preserve"> that unitholders are not “owners” of the assets held by a unit trust where the unitholders only have an interest in the assets of the trust as a whole</w:t>
      </w:r>
      <w:r w:rsidR="00094F0C">
        <w:t xml:space="preserve">: citing </w:t>
      </w:r>
      <w:r w:rsidR="00094F0C" w:rsidRPr="001D7059">
        <w:rPr>
          <w:i/>
          <w:iCs/>
        </w:rPr>
        <w:t>CPT Custodian Pty Ltd v Commissioner of State Revenue</w:t>
      </w:r>
      <w:r w:rsidR="00094F0C" w:rsidRPr="001D7059">
        <w:t xml:space="preserve"> [2005] HCA 53; (2004) 224 CLR 98</w:t>
      </w:r>
      <w:r w:rsidR="002938CF">
        <w:t xml:space="preserve"> (</w:t>
      </w:r>
      <w:r w:rsidR="002938CF">
        <w:rPr>
          <w:i/>
          <w:iCs/>
        </w:rPr>
        <w:t>CPT Custodian</w:t>
      </w:r>
      <w:r w:rsidR="002938CF">
        <w:t>)</w:t>
      </w:r>
      <w:r w:rsidR="00094F0C">
        <w:t xml:space="preserve">; </w:t>
      </w:r>
      <w:r w:rsidR="001D7059">
        <w:t xml:space="preserve">and that relevantly, clause 12 of the Koch Commercial Unit Trust states that “[n]o unit is entitled to any particular asset or part of any particular asset of the trust”. </w:t>
      </w:r>
    </w:p>
    <w:p w14:paraId="52E805AB" w14:textId="2F8516DD" w:rsidR="00962A11" w:rsidRDefault="006E6BFF" w:rsidP="00962A11">
      <w:pPr>
        <w:pStyle w:val="ParaNumbering"/>
      </w:pPr>
      <w:r>
        <w:t xml:space="preserve">As to the Second Declaration, </w:t>
      </w:r>
      <w:r w:rsidR="00962A11">
        <w:t>t</w:t>
      </w:r>
      <w:r>
        <w:t xml:space="preserve">he respondent submitted that since a company’s assets do not belong beneficially to their shareholders: citing </w:t>
      </w:r>
      <w:r w:rsidRPr="006E6BFF">
        <w:rPr>
          <w:i/>
          <w:iCs/>
        </w:rPr>
        <w:t>Resort Lifestyle Developments Pty Ltd v NGI Savannah Living Communities Pty Ltd</w:t>
      </w:r>
      <w:r w:rsidRPr="006E6BFF">
        <w:t xml:space="preserve"> </w:t>
      </w:r>
      <w:r w:rsidR="00FC22F1">
        <w:t xml:space="preserve">[2022] QSC 194; </w:t>
      </w:r>
      <w:r w:rsidRPr="006E6BFF">
        <w:t>(2022) 12 QR 67</w:t>
      </w:r>
      <w:r>
        <w:t xml:space="preserve"> at [53] and </w:t>
      </w:r>
      <w:proofErr w:type="spellStart"/>
      <w:r w:rsidRPr="00BC29D9">
        <w:rPr>
          <w:i/>
          <w:iCs/>
        </w:rPr>
        <w:t>Lakatamia</w:t>
      </w:r>
      <w:proofErr w:type="spellEnd"/>
      <w:r w:rsidRPr="00BC29D9">
        <w:rPr>
          <w:i/>
          <w:iCs/>
        </w:rPr>
        <w:t xml:space="preserve"> Shipping Co Ltd v Su </w:t>
      </w:r>
      <w:r w:rsidR="005F0498">
        <w:t xml:space="preserve">[2014] EWCA Civ 636; </w:t>
      </w:r>
      <w:r>
        <w:t xml:space="preserve">[2015] 1 WLR 291 at [50]-[51], the assets of ZWF including the funds in its bank accounts do not belong to the first respondent (even if the first respondent was the beneficial owner of ZWF, which is denied). </w:t>
      </w:r>
      <w:r w:rsidR="00BC29D9">
        <w:t>Moreover,</w:t>
      </w:r>
      <w:r>
        <w:t xml:space="preserve"> Trans Group was merely the corporate trustee of the Trans Holdings Unit Trust, </w:t>
      </w:r>
      <w:r w:rsidR="00BC29D9">
        <w:t>t</w:t>
      </w:r>
      <w:r>
        <w:t>he trust deed for which does not appear to grant the unitholders any ownership interest in any particular asset of the unit trust.</w:t>
      </w:r>
      <w:r w:rsidR="00BC29D9">
        <w:t xml:space="preserve"> The respondents also submitted that it is unclear how the first respondent could be the beneficial owner of ZWF from 1 November 2011 (the date from which the Second Declaration would retrospectively apply), during the period where </w:t>
      </w:r>
      <w:r w:rsidR="00962A11">
        <w:t xml:space="preserve">Ms </w:t>
      </w:r>
      <w:r w:rsidR="00BC29D9">
        <w:t>Dervisevic was the s</w:t>
      </w:r>
      <w:r w:rsidR="00962A11">
        <w:t>ole</w:t>
      </w:r>
      <w:r w:rsidR="00BC29D9">
        <w:t xml:space="preserve"> shareholder of ZWF.</w:t>
      </w:r>
    </w:p>
    <w:p w14:paraId="709506AC" w14:textId="35C7F3F2" w:rsidR="00BC29D9" w:rsidRDefault="00D740D5" w:rsidP="00D010B3">
      <w:pPr>
        <w:pStyle w:val="ParaNumbering"/>
      </w:pPr>
      <w:r>
        <w:t xml:space="preserve">In respect to the Third Declaration, the respondents submitted that </w:t>
      </w:r>
      <w:r w:rsidR="006A77A1">
        <w:t>there is no pleading or allegation that ZWF (as opposed to the first respondent) alienated its property with intent to defraud creditors within the meaning of s 37A of the Conveyancing Act</w:t>
      </w:r>
      <w:r w:rsidR="00924632">
        <w:t xml:space="preserve"> and that neither the respondents, </w:t>
      </w:r>
      <w:r w:rsidR="007A69D3">
        <w:t xml:space="preserve">the </w:t>
      </w:r>
      <w:r w:rsidR="00924632">
        <w:t xml:space="preserve">Commissioner </w:t>
      </w:r>
      <w:r w:rsidR="00962A11">
        <w:t>n</w:t>
      </w:r>
      <w:r w:rsidR="00924632">
        <w:t xml:space="preserve">or </w:t>
      </w:r>
      <w:r w:rsidR="007A69D3">
        <w:t xml:space="preserve">the </w:t>
      </w:r>
      <w:r w:rsidR="00924632">
        <w:t>Commonwealth of Australia were creditors of ZWF. Moreover, the respondent submitted that the Third Declaration regards the purported transfer of funds from ZWF for the purchase of certain properties</w:t>
      </w:r>
      <w:r w:rsidR="0079651D">
        <w:t xml:space="preserve"> </w:t>
      </w:r>
      <w:r w:rsidR="00924632">
        <w:t xml:space="preserve">when </w:t>
      </w:r>
      <w:r w:rsidR="00962A11">
        <w:t>Ms</w:t>
      </w:r>
      <w:r w:rsidR="00924632">
        <w:t xml:space="preserve"> Dervisevic was the sole </w:t>
      </w:r>
      <w:r w:rsidR="00924632">
        <w:lastRenderedPageBreak/>
        <w:t xml:space="preserve">shareholder and director of ZWF, such that there is no basis to support the proposed pleading that the first respondent caused ZWF to make the purported transfers to fund the acquisition of those properties. </w:t>
      </w:r>
    </w:p>
    <w:p w14:paraId="283EBB14" w14:textId="09ADD71E" w:rsidR="004724AB" w:rsidRPr="004025A9" w:rsidRDefault="007C319E" w:rsidP="004724AB">
      <w:pPr>
        <w:pStyle w:val="ParaNumbering"/>
      </w:pPr>
      <w:r w:rsidRPr="004025A9">
        <w:t xml:space="preserve">In response, the Commissioner submitted that it is appropriate the matter proceed in </w:t>
      </w:r>
      <w:r w:rsidR="00F410C2">
        <w:t>this</w:t>
      </w:r>
      <w:r w:rsidRPr="004025A9">
        <w:t xml:space="preserve"> Court, </w:t>
      </w:r>
      <w:r w:rsidR="00F066CF" w:rsidRPr="004025A9">
        <w:t>and that contrary to the respondents</w:t>
      </w:r>
      <w:r w:rsidR="00C27884" w:rsidRPr="004025A9">
        <w:t>’</w:t>
      </w:r>
      <w:r w:rsidR="00F066CF" w:rsidRPr="004025A9">
        <w:t xml:space="preserve"> submission</w:t>
      </w:r>
      <w:r w:rsidR="00C27884" w:rsidRPr="004025A9">
        <w:t>,</w:t>
      </w:r>
      <w:r w:rsidR="00F066CF" w:rsidRPr="004025A9">
        <w:t xml:space="preserve"> the claims </w:t>
      </w:r>
      <w:r w:rsidR="004820AB" w:rsidRPr="004025A9">
        <w:t xml:space="preserve">form part of the single controversy between the Commissioner and the respondents. The Commissioner referred to </w:t>
      </w:r>
      <w:r w:rsidR="004724AB" w:rsidRPr="004025A9">
        <w:rPr>
          <w:i/>
          <w:iCs/>
        </w:rPr>
        <w:t xml:space="preserve">Deputy Commissioner of Taxation v Ghaly </w:t>
      </w:r>
      <w:r w:rsidR="004724AB" w:rsidRPr="004025A9">
        <w:t xml:space="preserve">[2016] FCA 707 </w:t>
      </w:r>
      <w:r w:rsidR="00800949" w:rsidRPr="004025A9">
        <w:t>as an example where this has occurred in relation to a claim under s 37A</w:t>
      </w:r>
      <w:r w:rsidR="00305A40" w:rsidRPr="004025A9">
        <w:t>.</w:t>
      </w:r>
      <w:r w:rsidR="0058170E" w:rsidRPr="004025A9">
        <w:t xml:space="preserve"> </w:t>
      </w:r>
      <w:r w:rsidR="00C27884" w:rsidRPr="004025A9">
        <w:t xml:space="preserve">He </w:t>
      </w:r>
      <w:r w:rsidR="0058170E" w:rsidRPr="004025A9">
        <w:t xml:space="preserve">submitted that there </w:t>
      </w:r>
      <w:r w:rsidR="00C27884" w:rsidRPr="004025A9">
        <w:t>are</w:t>
      </w:r>
      <w:r w:rsidR="0058170E" w:rsidRPr="004025A9">
        <w:t xml:space="preserve"> no relevant deficiencies in the </w:t>
      </w:r>
      <w:r w:rsidR="00EE77A5" w:rsidRPr="004025A9">
        <w:t xml:space="preserve">statement of claim. </w:t>
      </w:r>
    </w:p>
    <w:p w14:paraId="3A819B9F" w14:textId="08151453" w:rsidR="009C56AA" w:rsidRDefault="00305A40" w:rsidP="009C56AA">
      <w:pPr>
        <w:pStyle w:val="ParaNumbering"/>
      </w:pPr>
      <w:r>
        <w:t>T</w:t>
      </w:r>
      <w:r w:rsidR="009C56AA">
        <w:t xml:space="preserve">he Commissioner </w:t>
      </w:r>
      <w:r>
        <w:t xml:space="preserve">also </w:t>
      </w:r>
      <w:r w:rsidR="009C56AA">
        <w:t xml:space="preserve">submitted that it is not appropriate to challenge the First Declaration in the context of an application to amend the originating application, and that contentions as to beneficial ownership are matters which should properly be pleaded by way of a defence and </w:t>
      </w:r>
      <w:r w:rsidR="004870BB">
        <w:t xml:space="preserve">be </w:t>
      </w:r>
      <w:r w:rsidR="009C56AA">
        <w:t>the subject of evidence. The Commissioner</w:t>
      </w:r>
      <w:r w:rsidR="0079651D">
        <w:t xml:space="preserve"> also</w:t>
      </w:r>
      <w:r w:rsidR="009C56AA">
        <w:t xml:space="preserve"> submitted that the respondents’ criticisms of the Second and Third Declaration</w:t>
      </w:r>
      <w:r w:rsidR="00082C68">
        <w:t>s</w:t>
      </w:r>
      <w:r w:rsidR="009C56AA">
        <w:t xml:space="preserve"> </w:t>
      </w:r>
      <w:r w:rsidR="0079651D">
        <w:t xml:space="preserve">are </w:t>
      </w:r>
      <w:r w:rsidR="009C56AA">
        <w:t>misconceived, because a claim pursuant to s 37A of the Conveyancing Ac</w:t>
      </w:r>
      <w:r w:rsidR="00DA6620">
        <w:t>t</w:t>
      </w:r>
      <w:r w:rsidR="009C56AA">
        <w:t xml:space="preserve"> does not require that the alienated property be the property of the respondent: </w:t>
      </w:r>
      <w:r w:rsidR="009C56AA">
        <w:rPr>
          <w:i/>
          <w:iCs/>
        </w:rPr>
        <w:t xml:space="preserve">Royal v El Ali </w:t>
      </w:r>
      <w:r w:rsidR="009C56AA">
        <w:t xml:space="preserve">[2016] FCA 782 </w:t>
      </w:r>
      <w:r w:rsidR="008804E6">
        <w:t>(</w:t>
      </w:r>
      <w:r w:rsidR="008804E6">
        <w:rPr>
          <w:i/>
          <w:iCs/>
        </w:rPr>
        <w:t>El Ali</w:t>
      </w:r>
      <w:r w:rsidR="008804E6">
        <w:t xml:space="preserve">) </w:t>
      </w:r>
      <w:r w:rsidR="009C56AA">
        <w:t>at [202]</w:t>
      </w:r>
      <w:r w:rsidR="0079651D">
        <w:t>; and</w:t>
      </w:r>
      <w:r w:rsidR="009C56AA">
        <w:t xml:space="preserve"> there is </w:t>
      </w:r>
      <w:r w:rsidR="0041329A">
        <w:t xml:space="preserve">a </w:t>
      </w:r>
      <w:r w:rsidR="009C56AA">
        <w:t>sufficient basis to make out a reasonable cause of action as to the first respondent’s beneficial ownership and control of ZWF</w:t>
      </w:r>
      <w:r w:rsidR="0079651D">
        <w:t>. That is</w:t>
      </w:r>
      <w:r w:rsidR="009C56AA">
        <w:t xml:space="preserve"> because there is a close relationship between </w:t>
      </w:r>
      <w:r w:rsidR="004870BB">
        <w:t>Ms</w:t>
      </w:r>
      <w:r w:rsidR="009C56AA">
        <w:t xml:space="preserve"> Dervisevic and the first respondent (they are siblings); </w:t>
      </w:r>
      <w:r w:rsidR="004870BB">
        <w:t>Ms</w:t>
      </w:r>
      <w:r w:rsidR="009C56AA">
        <w:t xml:space="preserve"> Dervisevic disposed of her 100% shareholding in ZWF to </w:t>
      </w:r>
      <w:proofErr w:type="spellStart"/>
      <w:r w:rsidR="009C56AA">
        <w:t>AusSteel</w:t>
      </w:r>
      <w:proofErr w:type="spellEnd"/>
      <w:r w:rsidR="009C56AA">
        <w:t xml:space="preserve"> for nominal consideration ($1.00) on 1 July 2016; and as at 1 July 2016, </w:t>
      </w:r>
      <w:proofErr w:type="spellStart"/>
      <w:r w:rsidR="009C56AA">
        <w:t>AusSteel</w:t>
      </w:r>
      <w:proofErr w:type="spellEnd"/>
      <w:r w:rsidR="009C56AA">
        <w:t xml:space="preserve"> was wholly owned by Trans Group, of which the first respondent was the sole director, secretary and shareholder.</w:t>
      </w:r>
      <w:r w:rsidR="0079651D">
        <w:t xml:space="preserve"> In respect of the Third Declaration, the Commissioner also submitted that the respondents</w:t>
      </w:r>
      <w:r w:rsidR="00A90772">
        <w:t>’</w:t>
      </w:r>
      <w:r w:rsidR="0079651D">
        <w:t xml:space="preserve"> submission that the Commissioner must be a creditor of ZWF to make out a s 37A claim is wrong: citing </w:t>
      </w:r>
      <w:r w:rsidR="0079651D">
        <w:rPr>
          <w:i/>
          <w:iCs/>
        </w:rPr>
        <w:t xml:space="preserve">El Ali </w:t>
      </w:r>
      <w:r w:rsidR="0079651D">
        <w:t>at [202].</w:t>
      </w:r>
    </w:p>
    <w:p w14:paraId="7A4AF8F4" w14:textId="585B7D08" w:rsidR="00A001CE" w:rsidRDefault="00A001CE" w:rsidP="00A001CE">
      <w:pPr>
        <w:pStyle w:val="Heading3"/>
      </w:pPr>
      <w:r>
        <w:t xml:space="preserve">Consideration  </w:t>
      </w:r>
    </w:p>
    <w:p w14:paraId="278808A9" w14:textId="1FA82FE4" w:rsidR="007B696D" w:rsidRPr="0027608B" w:rsidRDefault="00F46CEA" w:rsidP="00EE77A5">
      <w:pPr>
        <w:pStyle w:val="ParaNumbering"/>
      </w:pPr>
      <w:r>
        <w:t xml:space="preserve">There are two aspects to this </w:t>
      </w:r>
      <w:r w:rsidRPr="00D97C99">
        <w:t>application</w:t>
      </w:r>
      <w:r w:rsidR="00E12462" w:rsidRPr="00D97C99">
        <w:t>;</w:t>
      </w:r>
      <w:r w:rsidRPr="00D97C99">
        <w:t xml:space="preserve"> amendment</w:t>
      </w:r>
      <w:r>
        <w:t xml:space="preserve"> to the pleadin</w:t>
      </w:r>
      <w:r w:rsidR="00E24D19">
        <w:t>gs and joinder of parties. That said, i</w:t>
      </w:r>
      <w:r w:rsidR="00411A6E" w:rsidRPr="0027608B">
        <w:t>n p</w:t>
      </w:r>
      <w:r w:rsidR="007B696D" w:rsidRPr="0027608B">
        <w:t>ractical</w:t>
      </w:r>
      <w:r w:rsidR="00411A6E" w:rsidRPr="0027608B">
        <w:t xml:space="preserve"> terms, the </w:t>
      </w:r>
      <w:r w:rsidR="00E24D19">
        <w:t xml:space="preserve">real </w:t>
      </w:r>
      <w:r w:rsidR="00411A6E" w:rsidRPr="0027608B">
        <w:t>issue is whether the amendments</w:t>
      </w:r>
      <w:r w:rsidR="00E24D19">
        <w:t xml:space="preserve"> to the pleading</w:t>
      </w:r>
      <w:r w:rsidR="003B5773">
        <w:t>s</w:t>
      </w:r>
      <w:r w:rsidR="00411A6E" w:rsidRPr="0027608B">
        <w:t xml:space="preserve"> sought</w:t>
      </w:r>
      <w:r w:rsidR="00E24D19">
        <w:t xml:space="preserve"> </w:t>
      </w:r>
      <w:r w:rsidR="007B696D" w:rsidRPr="0027608B">
        <w:t>ought to be allowed</w:t>
      </w:r>
      <w:r w:rsidR="00E24D19">
        <w:t xml:space="preserve"> because if that </w:t>
      </w:r>
      <w:r w:rsidR="009100C8" w:rsidRPr="0027608B">
        <w:t xml:space="preserve">occurs, the parties sought to be joined should in fact be joined. </w:t>
      </w:r>
      <w:r w:rsidR="00E24D19">
        <w:t xml:space="preserve">Neither party took issue with that proposition. </w:t>
      </w:r>
    </w:p>
    <w:p w14:paraId="2A41CFFF" w14:textId="5E85A779" w:rsidR="002A009D" w:rsidRPr="00D52A07" w:rsidRDefault="00ED3355" w:rsidP="00EE77A5">
      <w:pPr>
        <w:pStyle w:val="ParaNumbering"/>
      </w:pPr>
      <w:r w:rsidRPr="00D52A07">
        <w:t>I accept the applicant’s submission as to the circumstances in which this application is made</w:t>
      </w:r>
      <w:r w:rsidR="00CE40BE" w:rsidRPr="00D52A07">
        <w:t>,</w:t>
      </w:r>
      <w:r w:rsidR="00972CB4" w:rsidRPr="00D52A07">
        <w:t xml:space="preserve"> being </w:t>
      </w:r>
      <w:r w:rsidR="00CE40BE" w:rsidRPr="00D52A07">
        <w:t xml:space="preserve">that </w:t>
      </w:r>
      <w:r w:rsidRPr="00D52A07">
        <w:t xml:space="preserve">documents produced </w:t>
      </w:r>
      <w:r w:rsidR="002A009D" w:rsidRPr="00D52A07">
        <w:t xml:space="preserve">on subpoena in these proceedings </w:t>
      </w:r>
      <w:r w:rsidR="00CE40BE" w:rsidRPr="00D52A07">
        <w:t>gave</w:t>
      </w:r>
      <w:r w:rsidR="002A009D" w:rsidRPr="00D52A07">
        <w:t xml:space="preserve"> rise to what </w:t>
      </w:r>
      <w:r w:rsidR="00CE40BE" w:rsidRPr="00D52A07">
        <w:t xml:space="preserve">he </w:t>
      </w:r>
      <w:r w:rsidR="002A009D" w:rsidRPr="00D52A07">
        <w:t xml:space="preserve">submits </w:t>
      </w:r>
      <w:r w:rsidR="002A009D" w:rsidRPr="00D52A07">
        <w:lastRenderedPageBreak/>
        <w:t xml:space="preserve">is an additional arguable </w:t>
      </w:r>
      <w:r w:rsidR="002A009D" w:rsidRPr="003B5773">
        <w:t>claim</w:t>
      </w:r>
      <w:r w:rsidR="00C828BB" w:rsidRPr="00D97C99">
        <w:t xml:space="preserve">, being the </w:t>
      </w:r>
      <w:r w:rsidR="003B5773" w:rsidRPr="00D97C99">
        <w:t xml:space="preserve">claim under </w:t>
      </w:r>
      <w:r w:rsidR="00C828BB" w:rsidRPr="00D97C99">
        <w:t xml:space="preserve">s 37A </w:t>
      </w:r>
      <w:r w:rsidR="003B5773" w:rsidRPr="00D97C99">
        <w:t>of the Conveyancing Act</w:t>
      </w:r>
      <w:r w:rsidR="00C828BB" w:rsidRPr="00D97C99">
        <w:t>.</w:t>
      </w:r>
      <w:r w:rsidR="002A009D" w:rsidRPr="00D97C99">
        <w:t xml:space="preserve"> </w:t>
      </w:r>
      <w:r w:rsidR="00AE23F9" w:rsidRPr="00D97C99">
        <w:t>Indeed,</w:t>
      </w:r>
      <w:r w:rsidR="00AE23F9">
        <w:t xml:space="preserve"> the evidence led in support was not challenged. </w:t>
      </w:r>
    </w:p>
    <w:p w14:paraId="4F7D07EC" w14:textId="5937C637" w:rsidR="000B52F7" w:rsidRDefault="003B5773" w:rsidP="00E3703D">
      <w:pPr>
        <w:pStyle w:val="ParaNumbering"/>
      </w:pPr>
      <w:r>
        <w:t>I</w:t>
      </w:r>
      <w:r w:rsidR="00AE23F9">
        <w:t>t is necessary to address jurisdiction</w:t>
      </w:r>
      <w:r>
        <w:t xml:space="preserve"> at the outset</w:t>
      </w:r>
      <w:r w:rsidR="00AE23F9">
        <w:t xml:space="preserve">. </w:t>
      </w:r>
      <w:r w:rsidR="00321090" w:rsidRPr="00D52A07">
        <w:t xml:space="preserve">The Court has jurisdiction to </w:t>
      </w:r>
      <w:r w:rsidR="001336BC" w:rsidRPr="00D52A07">
        <w:t>determine the matters sought to be included in the amended pleadings</w:t>
      </w:r>
      <w:r w:rsidR="002648BD" w:rsidRPr="00D52A07">
        <w:t xml:space="preserve">. </w:t>
      </w:r>
      <w:r w:rsidR="00EA266F" w:rsidRPr="00D52A07">
        <w:t>The respondents</w:t>
      </w:r>
      <w:r w:rsidR="00016AC1" w:rsidRPr="00D52A07">
        <w:t>’</w:t>
      </w:r>
      <w:r w:rsidR="00EA266F" w:rsidRPr="00D52A07">
        <w:t xml:space="preserve"> submission directed to the s 37A claim was</w:t>
      </w:r>
      <w:r w:rsidR="00202897" w:rsidRPr="00D52A07">
        <w:t xml:space="preserve"> that the </w:t>
      </w:r>
      <w:r w:rsidR="00E30742">
        <w:t xml:space="preserve">proposed </w:t>
      </w:r>
      <w:r w:rsidR="00202897" w:rsidRPr="00D52A07">
        <w:t>amendments</w:t>
      </w:r>
      <w:r w:rsidR="00EA266F" w:rsidRPr="00D52A07">
        <w:t xml:space="preserve"> </w:t>
      </w:r>
      <w:r w:rsidR="00016AC1" w:rsidRPr="00D52A07">
        <w:t>“</w:t>
      </w:r>
      <w:r w:rsidR="00202897" w:rsidRPr="00D52A07">
        <w:t>[are]</w:t>
      </w:r>
      <w:r w:rsidR="00EA266F" w:rsidRPr="00D52A07">
        <w:t xml:space="preserve"> seeking to set up entirely fresh proceedings relating to voidable transactions and, </w:t>
      </w:r>
      <w:r w:rsidR="006D4467">
        <w:t>[they]</w:t>
      </w:r>
      <w:r w:rsidR="00EA266F" w:rsidRPr="00D52A07">
        <w:t xml:space="preserve"> say, it’s completely severable from the debt owed to the Commissioner</w:t>
      </w:r>
      <w:r w:rsidR="00016AC1" w:rsidRPr="00D52A07">
        <w:t>”</w:t>
      </w:r>
      <w:r w:rsidR="00EA266F" w:rsidRPr="00D52A07">
        <w:t xml:space="preserve">.  </w:t>
      </w:r>
      <w:r w:rsidR="00616564" w:rsidRPr="00D52A07">
        <w:t xml:space="preserve">I do not agree. </w:t>
      </w:r>
      <w:r w:rsidR="0073211E" w:rsidRPr="00D52A07">
        <w:t xml:space="preserve">The originating application already pleads </w:t>
      </w:r>
      <w:r w:rsidR="00CB0081" w:rsidRPr="00D52A07">
        <w:t>a case</w:t>
      </w:r>
      <w:r w:rsidR="00202897" w:rsidRPr="00D52A07">
        <w:t xml:space="preserve"> that</w:t>
      </w:r>
      <w:r w:rsidR="00CB0081" w:rsidRPr="00D52A07">
        <w:t xml:space="preserve"> </w:t>
      </w:r>
      <w:r w:rsidR="0073211E" w:rsidRPr="00D52A07">
        <w:t xml:space="preserve">the </w:t>
      </w:r>
      <w:r w:rsidR="007B6132" w:rsidRPr="00D52A07">
        <w:t xml:space="preserve">first respondent is </w:t>
      </w:r>
      <w:r w:rsidR="00202897" w:rsidRPr="00D52A07">
        <w:t xml:space="preserve">the </w:t>
      </w:r>
      <w:r w:rsidR="0073211E" w:rsidRPr="00960F1D">
        <w:t xml:space="preserve">beneficial </w:t>
      </w:r>
      <w:r w:rsidR="0073211E" w:rsidRPr="00436AA7">
        <w:t xml:space="preserve">owner of </w:t>
      </w:r>
      <w:r w:rsidR="00B35418" w:rsidRPr="00436AA7">
        <w:t>the seventh respondent.</w:t>
      </w:r>
      <w:r w:rsidR="0073211E" w:rsidRPr="00436AA7">
        <w:t xml:space="preserve"> Th</w:t>
      </w:r>
      <w:r w:rsidR="003708EF" w:rsidRPr="00436AA7">
        <w:t>e amendment to the</w:t>
      </w:r>
      <w:r w:rsidR="0073211E" w:rsidRPr="00436AA7">
        <w:t xml:space="preserve"> pleading</w:t>
      </w:r>
      <w:r w:rsidR="000F1FB6" w:rsidRPr="00436AA7">
        <w:t>s</w:t>
      </w:r>
      <w:r w:rsidR="003708EF" w:rsidRPr="00436AA7">
        <w:t xml:space="preserve"> </w:t>
      </w:r>
      <w:r w:rsidR="007E1788" w:rsidRPr="00436AA7">
        <w:t xml:space="preserve">alters one aspect of </w:t>
      </w:r>
      <w:r w:rsidR="00B35418" w:rsidRPr="00436AA7">
        <w:t xml:space="preserve">the claims </w:t>
      </w:r>
      <w:r w:rsidR="00607F18" w:rsidRPr="00436AA7">
        <w:t xml:space="preserve">seeking declarations of </w:t>
      </w:r>
      <w:r w:rsidR="00B35418" w:rsidRPr="00436AA7">
        <w:t>beneficial ownership</w:t>
      </w:r>
      <w:r w:rsidR="00D16F21">
        <w:t xml:space="preserve"> by</w:t>
      </w:r>
      <w:r w:rsidR="003708EF" w:rsidRPr="00436AA7">
        <w:t xml:space="preserve"> </w:t>
      </w:r>
      <w:r w:rsidR="007E1788" w:rsidRPr="00436AA7">
        <w:t xml:space="preserve">nominating the first respondent as the beneficial owner of </w:t>
      </w:r>
      <w:r w:rsidR="007B6132" w:rsidRPr="00436AA7">
        <w:t>the eight</w:t>
      </w:r>
      <w:r w:rsidR="006C7E24" w:rsidRPr="00436AA7">
        <w:t>h</w:t>
      </w:r>
      <w:r w:rsidR="007B6132" w:rsidRPr="00436AA7">
        <w:t xml:space="preserve"> respondent (</w:t>
      </w:r>
      <w:r w:rsidR="003708EF" w:rsidRPr="00436AA7">
        <w:t xml:space="preserve">previously </w:t>
      </w:r>
      <w:r w:rsidR="00954676">
        <w:t>pleaded that the first respondent was the beneficial owner of</w:t>
      </w:r>
      <w:r w:rsidR="003708EF" w:rsidRPr="00436AA7">
        <w:t xml:space="preserve"> the second and fourth respondent)</w:t>
      </w:r>
      <w:r w:rsidR="006E304A">
        <w:t xml:space="preserve"> </w:t>
      </w:r>
      <w:r w:rsidR="003B52C4">
        <w:t xml:space="preserve">and </w:t>
      </w:r>
      <w:r w:rsidR="00242B24" w:rsidRPr="00436AA7">
        <w:t xml:space="preserve">adds a pleading </w:t>
      </w:r>
      <w:r w:rsidR="00954676">
        <w:t xml:space="preserve">that </w:t>
      </w:r>
      <w:r w:rsidR="00242B24" w:rsidRPr="00436AA7">
        <w:t>he is the beneficial owner of the ninth respondent</w:t>
      </w:r>
      <w:r w:rsidR="003708EF" w:rsidRPr="00436AA7">
        <w:t>.</w:t>
      </w:r>
      <w:r w:rsidR="000F1FB6" w:rsidRPr="00436AA7">
        <w:t xml:space="preserve"> </w:t>
      </w:r>
      <w:r w:rsidR="009C24BF" w:rsidRPr="00AB6B20">
        <w:t xml:space="preserve">It is difficult to understand how those amendments could be challenged. </w:t>
      </w:r>
      <w:r w:rsidR="001A6356" w:rsidRPr="00AB6B20">
        <w:rPr>
          <w:lang w:eastAsia="en-AU"/>
        </w:rPr>
        <w:t xml:space="preserve">There can be no dispute that the </w:t>
      </w:r>
      <w:r w:rsidR="00E84599" w:rsidRPr="003B52C4">
        <w:rPr>
          <w:lang w:eastAsia="en-AU"/>
        </w:rPr>
        <w:t>p</w:t>
      </w:r>
      <w:r w:rsidR="00E84599">
        <w:rPr>
          <w:lang w:eastAsia="en-AU"/>
        </w:rPr>
        <w:t>leadings</w:t>
      </w:r>
      <w:r w:rsidR="00E84599" w:rsidRPr="003B52C4">
        <w:rPr>
          <w:lang w:eastAsia="en-AU"/>
        </w:rPr>
        <w:t xml:space="preserve"> </w:t>
      </w:r>
      <w:r w:rsidR="001A6356" w:rsidRPr="003B52C4">
        <w:rPr>
          <w:lang w:eastAsia="en-AU"/>
        </w:rPr>
        <w:t xml:space="preserve">sought </w:t>
      </w:r>
      <w:r w:rsidR="001A6356" w:rsidRPr="00AB6B20">
        <w:rPr>
          <w:lang w:eastAsia="en-AU"/>
        </w:rPr>
        <w:t>to be amended here are within federal jurisdiction.</w:t>
      </w:r>
      <w:r w:rsidR="001A6356" w:rsidRPr="00AB6B20">
        <w:t xml:space="preserve"> </w:t>
      </w:r>
      <w:r w:rsidR="000F1FB6" w:rsidRPr="006E304A">
        <w:t xml:space="preserve">The </w:t>
      </w:r>
      <w:r w:rsidR="006C7E24" w:rsidRPr="006E304A">
        <w:t>amendments</w:t>
      </w:r>
      <w:r w:rsidR="000B52F7" w:rsidRPr="006E304A">
        <w:t xml:space="preserve"> which</w:t>
      </w:r>
      <w:r w:rsidR="006C7E24" w:rsidRPr="006E304A">
        <w:t xml:space="preserve"> add </w:t>
      </w:r>
      <w:r w:rsidR="009C24BF" w:rsidRPr="006E304A">
        <w:t xml:space="preserve">the s 37A claim to </w:t>
      </w:r>
      <w:r w:rsidR="000F76D4" w:rsidRPr="006E304A">
        <w:t xml:space="preserve">the </w:t>
      </w:r>
      <w:r w:rsidR="006C7E24" w:rsidRPr="006E304A">
        <w:t>pleading</w:t>
      </w:r>
      <w:r w:rsidR="000F76D4" w:rsidRPr="006E304A">
        <w:t>s</w:t>
      </w:r>
      <w:r w:rsidR="009C24BF" w:rsidRPr="006E304A">
        <w:t xml:space="preserve"> </w:t>
      </w:r>
      <w:r w:rsidR="00B26353">
        <w:t>are</w:t>
      </w:r>
      <w:r w:rsidR="00B26353" w:rsidRPr="006E304A">
        <w:t xml:space="preserve"> </w:t>
      </w:r>
      <w:r w:rsidR="009C24BF" w:rsidRPr="006E304A">
        <w:t xml:space="preserve">in </w:t>
      </w:r>
      <w:r w:rsidR="006C7E24" w:rsidRPr="006E304A">
        <w:t>the alternative</w:t>
      </w:r>
      <w:r w:rsidR="000B52F7" w:rsidRPr="006E304A">
        <w:t xml:space="preserve"> to the </w:t>
      </w:r>
      <w:r w:rsidR="001E3495" w:rsidRPr="006E304A">
        <w:t xml:space="preserve">declarations as to </w:t>
      </w:r>
      <w:r w:rsidR="000F76D4" w:rsidRPr="006E304A">
        <w:t xml:space="preserve">the </w:t>
      </w:r>
      <w:r w:rsidR="000B52F7" w:rsidRPr="006E304A">
        <w:t>beneficial ownership case</w:t>
      </w:r>
      <w:r w:rsidR="009C24BF" w:rsidRPr="006E304A">
        <w:t xml:space="preserve">. </w:t>
      </w:r>
      <w:r w:rsidR="00BB3939" w:rsidRPr="006E304A">
        <w:t>They</w:t>
      </w:r>
      <w:r w:rsidR="003A1E8E" w:rsidRPr="006E304A">
        <w:t xml:space="preserve"> seek, inter alia, a declaration as to </w:t>
      </w:r>
      <w:r w:rsidR="00960F1D" w:rsidRPr="006E304A">
        <w:t xml:space="preserve">the </w:t>
      </w:r>
      <w:r w:rsidR="0073176C" w:rsidRPr="006E304A">
        <w:t>transfer of funds.</w:t>
      </w:r>
      <w:r w:rsidR="00676019" w:rsidRPr="006E304A">
        <w:t xml:space="preserve"> </w:t>
      </w:r>
      <w:r w:rsidR="007A7E22" w:rsidRPr="008278CF">
        <w:t>T</w:t>
      </w:r>
      <w:r w:rsidR="00D109D5" w:rsidRPr="008278CF">
        <w:t xml:space="preserve">he amendments to the originating application </w:t>
      </w:r>
      <w:r w:rsidR="000B52F7" w:rsidRPr="008278CF">
        <w:t>also</w:t>
      </w:r>
      <w:r w:rsidR="00BF55C2" w:rsidRPr="008278CF">
        <w:t xml:space="preserve"> seek an order pursuant to s 175 of the </w:t>
      </w:r>
      <w:r w:rsidR="00BF55C2" w:rsidRPr="00E3703D">
        <w:rPr>
          <w:i/>
          <w:iCs/>
        </w:rPr>
        <w:t>Corporation</w:t>
      </w:r>
      <w:r w:rsidR="00257221" w:rsidRPr="00E3703D">
        <w:rPr>
          <w:i/>
          <w:iCs/>
        </w:rPr>
        <w:t>s</w:t>
      </w:r>
      <w:r w:rsidR="00BF55C2" w:rsidRPr="00E3703D">
        <w:rPr>
          <w:i/>
          <w:iCs/>
        </w:rPr>
        <w:t xml:space="preserve"> Act 2001</w:t>
      </w:r>
      <w:r w:rsidR="000B52F7" w:rsidRPr="00E3703D">
        <w:rPr>
          <w:i/>
          <w:iCs/>
        </w:rPr>
        <w:t xml:space="preserve"> </w:t>
      </w:r>
      <w:r w:rsidR="000B52F7" w:rsidRPr="008278CF">
        <w:t>(</w:t>
      </w:r>
      <w:proofErr w:type="spellStart"/>
      <w:r w:rsidR="000B52F7" w:rsidRPr="008278CF">
        <w:t>Cth</w:t>
      </w:r>
      <w:proofErr w:type="spellEnd"/>
      <w:r w:rsidR="000B52F7" w:rsidRPr="008278CF">
        <w:t>)</w:t>
      </w:r>
      <w:r w:rsidR="00960F1D" w:rsidRPr="008278CF">
        <w:t xml:space="preserve"> (Corporations Act)</w:t>
      </w:r>
      <w:r w:rsidR="00AB0899" w:rsidRPr="008278CF">
        <w:t xml:space="preserve">, </w:t>
      </w:r>
      <w:r w:rsidR="00BB22ED" w:rsidRPr="008278CF">
        <w:t xml:space="preserve">in respect to the thirteenth and </w:t>
      </w:r>
      <w:r w:rsidR="00207360" w:rsidRPr="008278CF">
        <w:t>tenth respondent</w:t>
      </w:r>
      <w:r w:rsidR="000B52F7" w:rsidRPr="008278CF">
        <w:t>s, to</w:t>
      </w:r>
      <w:r w:rsidR="00207360" w:rsidRPr="008278CF">
        <w:t xml:space="preserve"> correct the share record</w:t>
      </w:r>
      <w:r w:rsidR="00273AEA" w:rsidRPr="008278CF">
        <w:t xml:space="preserve"> to reflect the conclusions sought as to the outcome of the s 37A claim. </w:t>
      </w:r>
      <w:r w:rsidR="00511FD1" w:rsidRPr="008278CF">
        <w:rPr>
          <w:lang w:eastAsia="en-AU"/>
        </w:rPr>
        <w:t xml:space="preserve">The originating application seeks judgment against various taxpayers in respect to taxation liabilities, with declarations being sought in respect to various respondents as to beneficial ownership as an aid to the recovery of the judgment debt. The s 37A claim </w:t>
      </w:r>
      <w:r w:rsidR="005C4B63">
        <w:rPr>
          <w:lang w:eastAsia="en-AU"/>
        </w:rPr>
        <w:t>is</w:t>
      </w:r>
      <w:r w:rsidR="00511FD1" w:rsidRPr="008278CF">
        <w:rPr>
          <w:lang w:eastAsia="en-AU"/>
        </w:rPr>
        <w:t xml:space="preserve"> intertwined</w:t>
      </w:r>
      <w:r w:rsidR="00960F1D" w:rsidRPr="008278CF">
        <w:rPr>
          <w:lang w:eastAsia="en-AU"/>
        </w:rPr>
        <w:t>.</w:t>
      </w:r>
      <w:r w:rsidR="00511FD1" w:rsidRPr="008278CF">
        <w:rPr>
          <w:lang w:eastAsia="en-AU"/>
        </w:rPr>
        <w:t xml:space="preserve"> So too is the order sought pursuant to s 175 of the Corporations Act, in the amended application. </w:t>
      </w:r>
      <w:r w:rsidR="00861147" w:rsidRPr="00AB6B20">
        <w:rPr>
          <w:lang w:eastAsia="en-AU"/>
        </w:rPr>
        <w:t xml:space="preserve">The amendments </w:t>
      </w:r>
      <w:r w:rsidR="00F3537D" w:rsidRPr="00AB6B20">
        <w:rPr>
          <w:lang w:eastAsia="en-AU"/>
        </w:rPr>
        <w:t xml:space="preserve">in respect to s 37A </w:t>
      </w:r>
      <w:r w:rsidR="00861147" w:rsidRPr="00AB6B20">
        <w:rPr>
          <w:lang w:eastAsia="en-AU"/>
        </w:rPr>
        <w:t>involve a common substratum of facts</w:t>
      </w:r>
      <w:r w:rsidR="00861147" w:rsidRPr="00960F1D">
        <w:rPr>
          <w:lang w:eastAsia="en-AU"/>
        </w:rPr>
        <w:t>.</w:t>
      </w:r>
      <w:r w:rsidR="00861147" w:rsidRPr="00960F1D">
        <w:t xml:space="preserve"> </w:t>
      </w:r>
      <w:r w:rsidR="00511FD1" w:rsidRPr="00AB6B20">
        <w:rPr>
          <w:lang w:eastAsia="en-AU"/>
        </w:rPr>
        <w:t>It is part of the one “matter”</w:t>
      </w:r>
      <w:r w:rsidR="00F3537D" w:rsidRPr="00AB6B20">
        <w:rPr>
          <w:lang w:eastAsia="en-AU"/>
        </w:rPr>
        <w:t>.</w:t>
      </w:r>
      <w:r w:rsidR="00511FD1" w:rsidRPr="00AB6B20">
        <w:rPr>
          <w:lang w:eastAsia="en-AU"/>
        </w:rPr>
        <w:t xml:space="preserve"> </w:t>
      </w:r>
    </w:p>
    <w:p w14:paraId="4797E6A8" w14:textId="49801E07" w:rsidR="00B1591F" w:rsidRPr="009C4F97" w:rsidRDefault="00CC4231" w:rsidP="00A06275">
      <w:pPr>
        <w:pStyle w:val="ParaNumbering"/>
      </w:pPr>
      <w:r w:rsidRPr="00BB61B8">
        <w:rPr>
          <w:lang w:eastAsia="en-AU"/>
        </w:rPr>
        <w:t>The originating application seeks, inter alia</w:t>
      </w:r>
      <w:r w:rsidR="00960F1D" w:rsidRPr="00BB61B8">
        <w:rPr>
          <w:lang w:eastAsia="en-AU"/>
        </w:rPr>
        <w:t>,</w:t>
      </w:r>
      <w:r w:rsidRPr="00BB61B8">
        <w:rPr>
          <w:lang w:eastAsia="en-AU"/>
        </w:rPr>
        <w:t xml:space="preserve"> </w:t>
      </w:r>
      <w:r w:rsidR="00FE7E27" w:rsidRPr="00BB61B8">
        <w:rPr>
          <w:lang w:eastAsia="en-AU"/>
        </w:rPr>
        <w:t>in</w:t>
      </w:r>
      <w:r w:rsidR="002E421C" w:rsidRPr="00BB61B8">
        <w:rPr>
          <w:lang w:eastAsia="en-AU"/>
        </w:rPr>
        <w:t xml:space="preserve">junctive and </w:t>
      </w:r>
      <w:r w:rsidRPr="00BB61B8">
        <w:rPr>
          <w:lang w:eastAsia="en-AU"/>
        </w:rPr>
        <w:t>declaratory relief. </w:t>
      </w:r>
      <w:hyperlink r:id="rId13" w:history="1">
        <w:r w:rsidRPr="00BB61B8">
          <w:rPr>
            <w:lang w:eastAsia="en-AU"/>
          </w:rPr>
          <w:t>Section 39B(1A)(a)</w:t>
        </w:r>
      </w:hyperlink>
      <w:r w:rsidRPr="00BB61B8">
        <w:rPr>
          <w:lang w:eastAsia="en-AU"/>
        </w:rPr>
        <w:t> of the </w:t>
      </w:r>
      <w:r w:rsidR="007F2450" w:rsidRPr="00BB61B8">
        <w:rPr>
          <w:i/>
          <w:iCs/>
          <w:lang w:eastAsia="en-AU"/>
        </w:rPr>
        <w:t>Judiciary Act 1903</w:t>
      </w:r>
      <w:r w:rsidRPr="00BB61B8">
        <w:rPr>
          <w:i/>
          <w:iCs/>
          <w:lang w:eastAsia="en-AU"/>
        </w:rPr>
        <w:t> </w:t>
      </w:r>
      <w:r w:rsidRPr="00BB61B8">
        <w:rPr>
          <w:lang w:eastAsia="en-AU"/>
        </w:rPr>
        <w:t>(</w:t>
      </w:r>
      <w:proofErr w:type="spellStart"/>
      <w:r w:rsidRPr="00BB61B8">
        <w:rPr>
          <w:lang w:eastAsia="en-AU"/>
        </w:rPr>
        <w:t>Cth</w:t>
      </w:r>
      <w:proofErr w:type="spellEnd"/>
      <w:r w:rsidRPr="00BB61B8">
        <w:rPr>
          <w:lang w:eastAsia="en-AU"/>
        </w:rPr>
        <w:t>)</w:t>
      </w:r>
      <w:r w:rsidR="005C634E">
        <w:rPr>
          <w:lang w:eastAsia="en-AU"/>
        </w:rPr>
        <w:t xml:space="preserve"> (Judiciary Act)</w:t>
      </w:r>
      <w:r w:rsidRPr="00BB61B8">
        <w:rPr>
          <w:lang w:eastAsia="en-AU"/>
        </w:rPr>
        <w:t xml:space="preserve"> gives this Court jurisdiction in any matter in which </w:t>
      </w:r>
      <w:r w:rsidR="00154231">
        <w:rPr>
          <w:lang w:eastAsia="en-AU"/>
        </w:rPr>
        <w:t>“</w:t>
      </w:r>
      <w:r w:rsidRPr="00BB61B8">
        <w:rPr>
          <w:lang w:eastAsia="en-AU"/>
        </w:rPr>
        <w:t>the Commonwealth</w:t>
      </w:r>
      <w:r w:rsidR="00154231">
        <w:rPr>
          <w:lang w:eastAsia="en-AU"/>
        </w:rPr>
        <w:t>”</w:t>
      </w:r>
      <w:r w:rsidRPr="00BB61B8">
        <w:rPr>
          <w:lang w:eastAsia="en-AU"/>
        </w:rPr>
        <w:t xml:space="preserve"> is seeking an injunction or declaration.</w:t>
      </w:r>
      <w:r w:rsidR="0009465A" w:rsidRPr="00BB61B8">
        <w:rPr>
          <w:lang w:eastAsia="en-AU"/>
        </w:rPr>
        <w:t xml:space="preserve"> </w:t>
      </w:r>
      <w:r w:rsidR="00233483" w:rsidRPr="00BB61B8">
        <w:rPr>
          <w:lang w:eastAsia="en-AU"/>
        </w:rPr>
        <w:t xml:space="preserve">The Deputy Commissioner of Taxation </w:t>
      </w:r>
      <w:r w:rsidR="005C634E" w:rsidRPr="00BB61B8">
        <w:rPr>
          <w:lang w:eastAsia="en-AU"/>
        </w:rPr>
        <w:t>falls within the expression</w:t>
      </w:r>
      <w:r w:rsidR="00233483" w:rsidRPr="00BB61B8">
        <w:rPr>
          <w:lang w:eastAsia="en-AU"/>
        </w:rPr>
        <w:t xml:space="preserve"> </w:t>
      </w:r>
      <w:r w:rsidR="005C634E" w:rsidRPr="00BB61B8">
        <w:rPr>
          <w:lang w:eastAsia="en-AU"/>
        </w:rPr>
        <w:t>“</w:t>
      </w:r>
      <w:r w:rsidR="00233483" w:rsidRPr="00BB61B8">
        <w:rPr>
          <w:lang w:eastAsia="en-AU"/>
        </w:rPr>
        <w:t>the Commonwealth</w:t>
      </w:r>
      <w:r w:rsidR="005C634E" w:rsidRPr="00BB61B8">
        <w:rPr>
          <w:lang w:eastAsia="en-AU"/>
        </w:rPr>
        <w:t>” in s 39B(1</w:t>
      </w:r>
      <w:r w:rsidR="007F7550">
        <w:rPr>
          <w:lang w:eastAsia="en-AU"/>
        </w:rPr>
        <w:t>A</w:t>
      </w:r>
      <w:r w:rsidR="005C634E" w:rsidRPr="00BB61B8">
        <w:rPr>
          <w:lang w:eastAsia="en-AU"/>
        </w:rPr>
        <w:t>)(a) of the Judiciary Act</w:t>
      </w:r>
      <w:r w:rsidR="00233483" w:rsidRPr="00BB61B8">
        <w:rPr>
          <w:lang w:eastAsia="en-AU"/>
        </w:rPr>
        <w:t>: see</w:t>
      </w:r>
      <w:r w:rsidR="005C634E" w:rsidRPr="00BB61B8">
        <w:rPr>
          <w:lang w:eastAsia="en-AU"/>
        </w:rPr>
        <w:t>,</w:t>
      </w:r>
      <w:r w:rsidR="00233483" w:rsidRPr="00BB61B8">
        <w:rPr>
          <w:lang w:eastAsia="en-AU"/>
        </w:rPr>
        <w:t xml:space="preserve"> for example, </w:t>
      </w:r>
      <w:proofErr w:type="spellStart"/>
      <w:r w:rsidR="001E1D8D" w:rsidRPr="00BB61B8">
        <w:rPr>
          <w:i/>
          <w:iCs/>
          <w:lang w:eastAsia="en-AU"/>
        </w:rPr>
        <w:t>Oswal</w:t>
      </w:r>
      <w:proofErr w:type="spellEnd"/>
      <w:r w:rsidR="001E1D8D" w:rsidRPr="00BB61B8">
        <w:rPr>
          <w:lang w:eastAsia="en-AU"/>
        </w:rPr>
        <w:t xml:space="preserve"> at [12]</w:t>
      </w:r>
      <w:r w:rsidR="00C82BCF" w:rsidRPr="00BB61B8">
        <w:rPr>
          <w:lang w:eastAsia="en-AU"/>
        </w:rPr>
        <w:t xml:space="preserve">. </w:t>
      </w:r>
      <w:r w:rsidR="00247520" w:rsidRPr="00BB61B8">
        <w:rPr>
          <w:szCs w:val="24"/>
          <w:shd w:val="clear" w:color="auto" w:fill="FFFFFF"/>
        </w:rPr>
        <w:t>Once a matter is within federal jurisdiction, the entire matter is within federal jurisdiction: </w:t>
      </w:r>
      <w:r w:rsidR="00247520" w:rsidRPr="00BB61B8">
        <w:rPr>
          <w:i/>
          <w:iCs/>
          <w:szCs w:val="24"/>
          <w:shd w:val="clear" w:color="auto" w:fill="FFFFFF"/>
        </w:rPr>
        <w:t>Australian Securities and Investments Commission v Edensor Nominees Pty Ltd </w:t>
      </w:r>
      <w:r w:rsidR="003B69E8" w:rsidRPr="00BB61B8">
        <w:rPr>
          <w:szCs w:val="24"/>
          <w:shd w:val="clear" w:color="auto" w:fill="FFFFFF"/>
        </w:rPr>
        <w:t>[2001] HCA 1</w:t>
      </w:r>
      <w:r w:rsidR="00247520" w:rsidRPr="00BB61B8">
        <w:rPr>
          <w:szCs w:val="24"/>
          <w:shd w:val="clear" w:color="auto" w:fill="FFFFFF"/>
        </w:rPr>
        <w:t xml:space="preserve">; </w:t>
      </w:r>
      <w:r w:rsidR="00AF55D3">
        <w:rPr>
          <w:szCs w:val="24"/>
          <w:shd w:val="clear" w:color="auto" w:fill="FFFFFF"/>
        </w:rPr>
        <w:t xml:space="preserve">(2001) </w:t>
      </w:r>
      <w:r w:rsidR="00247520" w:rsidRPr="00BB61B8">
        <w:rPr>
          <w:szCs w:val="24"/>
          <w:shd w:val="clear" w:color="auto" w:fill="FFFFFF"/>
        </w:rPr>
        <w:t xml:space="preserve">204 CLR 559 </w:t>
      </w:r>
      <w:r w:rsidR="005C634E" w:rsidRPr="00001E92">
        <w:rPr>
          <w:szCs w:val="24"/>
          <w:shd w:val="clear" w:color="auto" w:fill="FFFFFF"/>
        </w:rPr>
        <w:t xml:space="preserve">at </w:t>
      </w:r>
      <w:hyperlink r:id="rId14" w:anchor="para7" w:history="1">
        <w:r w:rsidR="00247520" w:rsidRPr="00BB61B8">
          <w:rPr>
            <w:szCs w:val="24"/>
            <w:shd w:val="clear" w:color="auto" w:fill="FFFFFF"/>
          </w:rPr>
          <w:t>[7]</w:t>
        </w:r>
      </w:hyperlink>
      <w:r w:rsidR="005C634E" w:rsidRPr="00BB61B8">
        <w:rPr>
          <w:szCs w:val="24"/>
        </w:rPr>
        <w:t>;</w:t>
      </w:r>
      <w:r w:rsidR="002F1400" w:rsidRPr="00BB61B8">
        <w:rPr>
          <w:szCs w:val="24"/>
        </w:rPr>
        <w:t xml:space="preserve"> </w:t>
      </w:r>
      <w:r w:rsidR="002F1400" w:rsidRPr="00BB61B8">
        <w:rPr>
          <w:i/>
          <w:iCs/>
          <w:szCs w:val="24"/>
        </w:rPr>
        <w:t>Rana v Google</w:t>
      </w:r>
      <w:r w:rsidR="002F1400" w:rsidRPr="00BB61B8">
        <w:rPr>
          <w:szCs w:val="24"/>
        </w:rPr>
        <w:t xml:space="preserve"> </w:t>
      </w:r>
      <w:r w:rsidR="00AE7E21" w:rsidRPr="00BB61B8">
        <w:rPr>
          <w:szCs w:val="24"/>
        </w:rPr>
        <w:t>[2017] FCAFC 156</w:t>
      </w:r>
      <w:r w:rsidR="002632EC" w:rsidRPr="00BB61B8">
        <w:rPr>
          <w:szCs w:val="24"/>
        </w:rPr>
        <w:t>; (2017) 254 FCR 1</w:t>
      </w:r>
      <w:r w:rsidR="00AE7E21" w:rsidRPr="00BB61B8">
        <w:rPr>
          <w:szCs w:val="24"/>
        </w:rPr>
        <w:t xml:space="preserve"> at [20]</w:t>
      </w:r>
      <w:r w:rsidR="005B0E2A" w:rsidRPr="00BB61B8">
        <w:rPr>
          <w:szCs w:val="24"/>
        </w:rPr>
        <w:t>;</w:t>
      </w:r>
      <w:r w:rsidR="00703DA8" w:rsidRPr="00BB61B8">
        <w:rPr>
          <w:szCs w:val="24"/>
        </w:rPr>
        <w:t xml:space="preserve"> and see </w:t>
      </w:r>
      <w:r w:rsidR="00465E82" w:rsidRPr="00BB61B8">
        <w:rPr>
          <w:i/>
          <w:iCs/>
        </w:rPr>
        <w:t>Rizeq v Western Australia</w:t>
      </w:r>
      <w:r w:rsidR="00465E82" w:rsidRPr="00BB61B8">
        <w:t xml:space="preserve"> [2017] HCA 23; (2017) 262 CLR 1</w:t>
      </w:r>
      <w:r w:rsidR="00703DA8" w:rsidRPr="00BB61B8">
        <w:t xml:space="preserve"> </w:t>
      </w:r>
      <w:r w:rsidR="00465E82" w:rsidRPr="00BB61B8">
        <w:t>at [55]</w:t>
      </w:r>
      <w:r w:rsidR="00CC3C0F" w:rsidRPr="00BB61B8">
        <w:t>.</w:t>
      </w:r>
      <w:r w:rsidR="00465E82" w:rsidRPr="00BB61B8">
        <w:t xml:space="preserve"> </w:t>
      </w:r>
      <w:r w:rsidR="00E67A50" w:rsidRPr="00BB61B8">
        <w:rPr>
          <w:szCs w:val="24"/>
        </w:rPr>
        <w:t xml:space="preserve">This matter is within federal jurisdiction. </w:t>
      </w:r>
    </w:p>
    <w:p w14:paraId="278DB010" w14:textId="5F544470" w:rsidR="009C4F97" w:rsidRPr="00D97C99" w:rsidRDefault="009C4F97" w:rsidP="009C4F97">
      <w:pPr>
        <w:pStyle w:val="ParaNumbering"/>
      </w:pPr>
      <w:r w:rsidRPr="00D97C99">
        <w:t>I do not accept the respondents’ submission that the s 37</w:t>
      </w:r>
      <w:r w:rsidR="004F2651" w:rsidRPr="00D97C99">
        <w:t>A</w:t>
      </w:r>
      <w:r w:rsidRPr="00D97C99">
        <w:t xml:space="preserve"> clam is severable and ought to be heard in the Supreme Court of New South Wales. Such submission fails to recognise the claims are obviously intertwined. It would be highly inefficient for two courts to be required to address </w:t>
      </w:r>
      <w:r w:rsidR="006230C1" w:rsidRPr="00D97C99">
        <w:t xml:space="preserve">related issues involving the same evidence. </w:t>
      </w:r>
      <w:r w:rsidRPr="00D97C99">
        <w:t xml:space="preserve"> </w:t>
      </w:r>
    </w:p>
    <w:p w14:paraId="5C525B72" w14:textId="3E766B92" w:rsidR="00030AE2" w:rsidRPr="00B301C2" w:rsidRDefault="002A009D" w:rsidP="00EE77A5">
      <w:pPr>
        <w:pStyle w:val="ParaNumbering"/>
      </w:pPr>
      <w:r w:rsidRPr="00B301C2">
        <w:t>I also accept the applicant’s submission that</w:t>
      </w:r>
      <w:r w:rsidR="000B52F7" w:rsidRPr="00B301C2">
        <w:t xml:space="preserve"> it is not appropriate </w:t>
      </w:r>
      <w:r w:rsidR="00B83C94" w:rsidRPr="00D97C99">
        <w:t xml:space="preserve">on this application </w:t>
      </w:r>
      <w:r w:rsidR="000B52F7" w:rsidRPr="00D97C99">
        <w:t>to consider</w:t>
      </w:r>
      <w:r w:rsidRPr="00B301C2">
        <w:t xml:space="preserve"> the </w:t>
      </w:r>
      <w:r w:rsidR="006867FB" w:rsidRPr="00B301C2">
        <w:t xml:space="preserve">substantive </w:t>
      </w:r>
      <w:r w:rsidRPr="00B301C2">
        <w:t xml:space="preserve">matters which </w:t>
      </w:r>
      <w:r w:rsidR="006867FB" w:rsidRPr="00B301C2">
        <w:t xml:space="preserve">the respondents </w:t>
      </w:r>
      <w:r w:rsidR="000B52F7" w:rsidRPr="00B301C2">
        <w:t>contend render this case futile</w:t>
      </w:r>
      <w:r w:rsidR="00030AE2" w:rsidRPr="00B301C2">
        <w:t>.</w:t>
      </w:r>
      <w:r w:rsidR="00501CDF" w:rsidRPr="00B301C2">
        <w:t xml:space="preserve"> </w:t>
      </w:r>
      <w:r w:rsidR="00590EA8" w:rsidRPr="00B301C2">
        <w:t xml:space="preserve">The </w:t>
      </w:r>
      <w:r w:rsidR="002938CF" w:rsidRPr="00B301C2">
        <w:t>substantive matters raised</w:t>
      </w:r>
      <w:r w:rsidR="00220E93">
        <w:t xml:space="preserve"> </w:t>
      </w:r>
      <w:r w:rsidR="00590EA8" w:rsidRPr="00B301C2">
        <w:t xml:space="preserve">include </w:t>
      </w:r>
      <w:r w:rsidR="000A2852" w:rsidRPr="00D97C99">
        <w:t xml:space="preserve">arguments </w:t>
      </w:r>
      <w:r w:rsidR="00C9016A" w:rsidRPr="00D97C99">
        <w:t xml:space="preserve">based on </w:t>
      </w:r>
      <w:r w:rsidR="00C9016A" w:rsidRPr="00D97C99">
        <w:rPr>
          <w:i/>
          <w:iCs/>
        </w:rPr>
        <w:t xml:space="preserve">CPT Custodian, </w:t>
      </w:r>
      <w:r w:rsidR="000A2852" w:rsidRPr="00D97C99">
        <w:t>which involve</w:t>
      </w:r>
      <w:r w:rsidR="002938CF" w:rsidRPr="00D97C99">
        <w:t>,</w:t>
      </w:r>
      <w:r w:rsidR="000A2852" w:rsidRPr="00D97C99">
        <w:t xml:space="preserve"> </w:t>
      </w:r>
      <w:r w:rsidR="0085218C" w:rsidRPr="00D97C99">
        <w:t>inter alia,</w:t>
      </w:r>
      <w:r w:rsidR="0085218C" w:rsidRPr="004F2651">
        <w:t xml:space="preserve"> </w:t>
      </w:r>
      <w:r w:rsidR="00C9016A" w:rsidRPr="00D97C99">
        <w:t xml:space="preserve">consideration of the </w:t>
      </w:r>
      <w:r w:rsidR="000A2852" w:rsidRPr="00D97C99">
        <w:t xml:space="preserve">trust deed </w:t>
      </w:r>
      <w:r w:rsidR="007A4B9C" w:rsidRPr="00D97C99">
        <w:t>(tendered by the respondent</w:t>
      </w:r>
      <w:r w:rsidR="004F2651" w:rsidRPr="00D97C99">
        <w:t>s</w:t>
      </w:r>
      <w:r w:rsidR="007A4B9C" w:rsidRPr="00D97C99">
        <w:t xml:space="preserve">) </w:t>
      </w:r>
      <w:r w:rsidR="0085218C" w:rsidRPr="00D97C99">
        <w:t>a</w:t>
      </w:r>
      <w:r w:rsidR="0085218C" w:rsidRPr="004F2651">
        <w:t xml:space="preserve">nd </w:t>
      </w:r>
      <w:r w:rsidR="00D2354C" w:rsidRPr="004F2651">
        <w:t>its</w:t>
      </w:r>
      <w:r w:rsidR="0085218C" w:rsidRPr="004F2651">
        <w:t xml:space="preserve"> constructio</w:t>
      </w:r>
      <w:r w:rsidR="0085218C" w:rsidRPr="007744D3">
        <w:t>n</w:t>
      </w:r>
      <w:r w:rsidR="0085218C" w:rsidRPr="00D97C99">
        <w:t>.</w:t>
      </w:r>
      <w:r w:rsidR="004F2D3A" w:rsidRPr="00D97C99">
        <w:t xml:space="preserve"> </w:t>
      </w:r>
      <w:r w:rsidR="007744D3" w:rsidRPr="00D97C99">
        <w:t>Th</w:t>
      </w:r>
      <w:r w:rsidR="007744D3" w:rsidRPr="007744D3">
        <w:t xml:space="preserve">e </w:t>
      </w:r>
      <w:r w:rsidR="00754D51" w:rsidRPr="007744D3">
        <w:t>submission</w:t>
      </w:r>
      <w:r w:rsidR="007744D3" w:rsidRPr="007744D3">
        <w:t xml:space="preserve">s based on </w:t>
      </w:r>
      <w:r w:rsidR="007744D3" w:rsidRPr="007744D3">
        <w:rPr>
          <w:i/>
          <w:iCs/>
        </w:rPr>
        <w:t>CPT Custodian</w:t>
      </w:r>
      <w:r w:rsidR="00754D51" w:rsidRPr="007744D3">
        <w:t xml:space="preserve"> </w:t>
      </w:r>
      <w:r w:rsidR="007744D3" w:rsidRPr="007744D3">
        <w:t>are</w:t>
      </w:r>
      <w:r w:rsidR="00754D51" w:rsidRPr="007744D3">
        <w:t xml:space="preserve"> dependent on the terms of the trus</w:t>
      </w:r>
      <w:r w:rsidR="007C226A" w:rsidRPr="007744D3">
        <w:t>t.</w:t>
      </w:r>
      <w:r w:rsidR="007B1184" w:rsidRPr="007744D3">
        <w:t xml:space="preserve"> </w:t>
      </w:r>
      <w:r w:rsidR="004F2D3A" w:rsidRPr="00D97C99">
        <w:t>Suffice to say at this stage</w:t>
      </w:r>
      <w:r w:rsidR="007744D3" w:rsidRPr="00D97C99">
        <w:t xml:space="preserve"> that</w:t>
      </w:r>
      <w:r w:rsidR="004F2D3A" w:rsidRPr="00D97C99">
        <w:t xml:space="preserve"> t</w:t>
      </w:r>
      <w:r w:rsidR="00B1591F" w:rsidRPr="00D97C99">
        <w:t xml:space="preserve">he issue </w:t>
      </w:r>
      <w:r w:rsidR="00375AF5" w:rsidRPr="00D97C99">
        <w:t xml:space="preserve">does not appear to be </w:t>
      </w:r>
      <w:r w:rsidR="00B1591F" w:rsidRPr="00D97C99">
        <w:t>as simple or clear cut as p</w:t>
      </w:r>
      <w:r w:rsidR="00B1591F" w:rsidRPr="007744D3">
        <w:t>ortrayed by the respondents.</w:t>
      </w:r>
      <w:r w:rsidR="00B1591F">
        <w:t xml:space="preserve"> </w:t>
      </w:r>
      <w:r w:rsidR="006506FB" w:rsidRPr="00B301C2">
        <w:t xml:space="preserve">It is premature to </w:t>
      </w:r>
      <w:r w:rsidR="00FC7FFA" w:rsidRPr="00B301C2">
        <w:t>resolve these issues</w:t>
      </w:r>
      <w:r w:rsidR="002938CF" w:rsidRPr="00B301C2">
        <w:t xml:space="preserve"> at</w:t>
      </w:r>
      <w:r w:rsidR="00FC7FFA" w:rsidRPr="00B301C2">
        <w:t xml:space="preserve"> th</w:t>
      </w:r>
      <w:r w:rsidR="007C226A" w:rsidRPr="00B301C2">
        <w:t>e</w:t>
      </w:r>
      <w:r w:rsidR="00FC7FFA" w:rsidRPr="00B301C2">
        <w:t xml:space="preserve"> stage of proceeding which is an application to amend the pleadings. </w:t>
      </w:r>
      <w:r w:rsidR="002938CF" w:rsidRPr="00B301C2">
        <w:t>I note</w:t>
      </w:r>
      <w:r w:rsidR="00DB7925" w:rsidRPr="00B301C2">
        <w:t xml:space="preserve"> also that provenance </w:t>
      </w:r>
      <w:r w:rsidR="00122A97" w:rsidRPr="00B301C2">
        <w:t xml:space="preserve">or authenticity </w:t>
      </w:r>
      <w:r w:rsidR="00DB7925" w:rsidRPr="00B301C2">
        <w:t xml:space="preserve">of the trust deed is not before the </w:t>
      </w:r>
      <w:r w:rsidR="00A1686E">
        <w:t>C</w:t>
      </w:r>
      <w:r w:rsidR="00DB7925" w:rsidRPr="00B301C2">
        <w:t>ourt</w:t>
      </w:r>
      <w:r w:rsidR="00122A97" w:rsidRPr="00B301C2">
        <w:t xml:space="preserve">. </w:t>
      </w:r>
      <w:r w:rsidR="0085218C" w:rsidRPr="00B301C2">
        <w:t xml:space="preserve">These are matters of </w:t>
      </w:r>
      <w:r w:rsidR="003A3566" w:rsidRPr="00B301C2">
        <w:t xml:space="preserve">evidence and submissions to be considered at a substantive hearing. </w:t>
      </w:r>
      <w:r w:rsidR="009040EA">
        <w:t>Further, contrary to the respondents</w:t>
      </w:r>
      <w:r w:rsidR="006E01F7">
        <w:t>’</w:t>
      </w:r>
      <w:r w:rsidR="009040EA">
        <w:t xml:space="preserve"> submission, it </w:t>
      </w:r>
      <w:r w:rsidR="00D14765">
        <w:t>cannot be said</w:t>
      </w:r>
      <w:r w:rsidR="000749F3">
        <w:t xml:space="preserve"> that </w:t>
      </w:r>
      <w:r w:rsidR="00336414">
        <w:t xml:space="preserve">the matters relied on by the applicant </w:t>
      </w:r>
      <w:r w:rsidR="006E01F7">
        <w:t xml:space="preserve">could </w:t>
      </w:r>
      <w:r w:rsidR="00E14CA4">
        <w:t xml:space="preserve">not </w:t>
      </w:r>
      <w:r w:rsidR="006E01F7">
        <w:t xml:space="preserve">sustain a case of beneficial ownership such that the </w:t>
      </w:r>
      <w:r w:rsidR="008C79B6">
        <w:t xml:space="preserve">claims should be struck out or leave to amend </w:t>
      </w:r>
      <w:r w:rsidR="00C4747E">
        <w:t xml:space="preserve">ought not to </w:t>
      </w:r>
      <w:r w:rsidR="008C79B6">
        <w:t>be granted</w:t>
      </w:r>
      <w:r w:rsidR="006E01F7">
        <w:t xml:space="preserve">. Whether </w:t>
      </w:r>
      <w:r w:rsidR="00E10C96">
        <w:t xml:space="preserve">the claims are </w:t>
      </w:r>
      <w:r w:rsidR="00524A00">
        <w:t>establish</w:t>
      </w:r>
      <w:r w:rsidR="00E10C96">
        <w:t>ed</w:t>
      </w:r>
      <w:r w:rsidR="00524A00">
        <w:t xml:space="preserve"> </w:t>
      </w:r>
      <w:r w:rsidR="006E01F7">
        <w:t xml:space="preserve">will be a matter for the </w:t>
      </w:r>
      <w:r w:rsidR="00755E20">
        <w:t xml:space="preserve">substantive </w:t>
      </w:r>
      <w:r w:rsidR="006E01F7">
        <w:t>hearing</w:t>
      </w:r>
      <w:r w:rsidR="00755E20">
        <w:t>.</w:t>
      </w:r>
      <w:r w:rsidR="006E01F7">
        <w:t xml:space="preserve"> </w:t>
      </w:r>
      <w:r w:rsidR="00EE406B">
        <w:t>Similarly, I do not accept the respondents</w:t>
      </w:r>
      <w:r w:rsidR="00BA14DA">
        <w:t>’</w:t>
      </w:r>
      <w:r w:rsidR="00EE406B">
        <w:t xml:space="preserve"> submission that the </w:t>
      </w:r>
      <w:r w:rsidR="00BF58D7">
        <w:t xml:space="preserve">s 37A case is </w:t>
      </w:r>
      <w:r w:rsidR="0077146E">
        <w:t xml:space="preserve">flawed such that </w:t>
      </w:r>
      <w:r w:rsidR="000A2A18">
        <w:t>leave ought not</w:t>
      </w:r>
      <w:r w:rsidR="005640C6">
        <w:t xml:space="preserve"> </w:t>
      </w:r>
      <w:r w:rsidR="000A2A18">
        <w:t>be granted to amend the pleadings.</w:t>
      </w:r>
    </w:p>
    <w:p w14:paraId="650120F6" w14:textId="0A82B0D3" w:rsidR="00533DD9" w:rsidRDefault="00A2171F" w:rsidP="00462F41">
      <w:pPr>
        <w:pStyle w:val="ParaNumbering"/>
      </w:pPr>
      <w:r>
        <w:t xml:space="preserve">The </w:t>
      </w:r>
      <w:r w:rsidR="00691D9D">
        <w:t>submissions advanced by the respondent</w:t>
      </w:r>
      <w:r w:rsidR="00760CA2">
        <w:t>s</w:t>
      </w:r>
      <w:r w:rsidR="00691D9D">
        <w:t xml:space="preserve"> </w:t>
      </w:r>
      <w:r>
        <w:t xml:space="preserve">also </w:t>
      </w:r>
      <w:r w:rsidR="00691D9D">
        <w:t>allege</w:t>
      </w:r>
      <w:r w:rsidR="00920A3E">
        <w:t xml:space="preserve"> deficiencies</w:t>
      </w:r>
      <w:r w:rsidR="00691D9D">
        <w:t xml:space="preserve"> </w:t>
      </w:r>
      <w:r w:rsidR="005F2581">
        <w:t>in the statement of claim</w:t>
      </w:r>
      <w:r>
        <w:t xml:space="preserve">. </w:t>
      </w:r>
      <w:r w:rsidR="00177500">
        <w:t xml:space="preserve"> </w:t>
      </w:r>
      <w:r w:rsidR="00304E6E">
        <w:t>T</w:t>
      </w:r>
      <w:r w:rsidR="00177500">
        <w:t>he Commissioner’s</w:t>
      </w:r>
      <w:r w:rsidR="00462F41">
        <w:t xml:space="preserve"> case in respect to the amendment is evident from the statement of claim as drafted</w:t>
      </w:r>
      <w:r w:rsidR="004A356B">
        <w:t>,</w:t>
      </w:r>
      <w:r w:rsidR="00462F41">
        <w:t xml:space="preserve"> </w:t>
      </w:r>
      <w:r w:rsidR="00177500">
        <w:t>as well as his</w:t>
      </w:r>
      <w:r w:rsidR="00462F41">
        <w:t xml:space="preserve"> submissions. </w:t>
      </w:r>
      <w:r w:rsidR="00533DD9">
        <w:t>The claim is advanced on two bases</w:t>
      </w:r>
      <w:r w:rsidR="00D1285C">
        <w:t xml:space="preserve">: that the first </w:t>
      </w:r>
      <w:r w:rsidR="0099465B">
        <w:t xml:space="preserve">respondent </w:t>
      </w:r>
      <w:r w:rsidR="008C6E28">
        <w:t xml:space="preserve">is the </w:t>
      </w:r>
      <w:r w:rsidR="0099465B">
        <w:t>beneficial</w:t>
      </w:r>
      <w:r w:rsidR="008C6E28">
        <w:t xml:space="preserve"> owner of the </w:t>
      </w:r>
      <w:r w:rsidR="005D2712">
        <w:t xml:space="preserve">seventh, </w:t>
      </w:r>
      <w:r w:rsidR="008C6E28">
        <w:t>eighth and ninth respondents (</w:t>
      </w:r>
      <w:r w:rsidR="005D2712">
        <w:t xml:space="preserve">being </w:t>
      </w:r>
      <w:r w:rsidR="003C336E">
        <w:t xml:space="preserve">Koch71, </w:t>
      </w:r>
      <w:r w:rsidR="00626135">
        <w:t xml:space="preserve">Koch Commercial and </w:t>
      </w:r>
      <w:r w:rsidR="00626135" w:rsidRPr="00405F6B">
        <w:t xml:space="preserve">ZWF </w:t>
      </w:r>
      <w:r w:rsidR="00626135" w:rsidRPr="00D97C99">
        <w:t>respectively</w:t>
      </w:r>
      <w:r w:rsidR="00405F6B" w:rsidRPr="00D97C99">
        <w:t>,</w:t>
      </w:r>
      <w:r w:rsidR="00AD5539" w:rsidRPr="00D97C99">
        <w:t xml:space="preserve"> </w:t>
      </w:r>
      <w:r w:rsidR="00951C5A" w:rsidRPr="00D97C99">
        <w:t xml:space="preserve">with </w:t>
      </w:r>
      <w:r w:rsidR="00626135" w:rsidRPr="00D97C99">
        <w:t>declarations</w:t>
      </w:r>
      <w:r w:rsidR="000974E5" w:rsidRPr="00D97C99">
        <w:t xml:space="preserve"> sought in</w:t>
      </w:r>
      <w:r w:rsidR="000974E5" w:rsidRPr="00405F6B">
        <w:t xml:space="preserve"> </w:t>
      </w:r>
      <w:r w:rsidR="00F603ED" w:rsidRPr="00405F6B">
        <w:t>pray</w:t>
      </w:r>
      <w:r w:rsidR="00AD5539" w:rsidRPr="00405F6B">
        <w:t>ers</w:t>
      </w:r>
      <w:r w:rsidR="000974E5">
        <w:t xml:space="preserve"> </w:t>
      </w:r>
      <w:r w:rsidR="006737FC">
        <w:t>7, 8 and 8A of the amended originating application</w:t>
      </w:r>
      <w:r w:rsidR="00961E1F">
        <w:t>)</w:t>
      </w:r>
      <w:r w:rsidR="008343DC">
        <w:t>;</w:t>
      </w:r>
      <w:r w:rsidR="00961E1F">
        <w:t xml:space="preserve"> or alternatively</w:t>
      </w:r>
      <w:r w:rsidR="008343DC">
        <w:t>,</w:t>
      </w:r>
      <w:r w:rsidR="00961E1F">
        <w:t xml:space="preserve"> </w:t>
      </w:r>
      <w:r w:rsidR="00F83C54">
        <w:t xml:space="preserve">that the </w:t>
      </w:r>
      <w:r w:rsidR="0004110B">
        <w:t xml:space="preserve">first respondent alienated property within the meaning of s 37A of the Conveyancing Act (which the applicant contends does not require proof of beneficial ownership). </w:t>
      </w:r>
    </w:p>
    <w:p w14:paraId="1862F09D" w14:textId="73C8ACA8" w:rsidR="00691D9D" w:rsidRDefault="00CA0A05" w:rsidP="00CA0A05">
      <w:pPr>
        <w:pStyle w:val="ParaNumbering"/>
      </w:pPr>
      <w:r w:rsidRPr="00D97C99">
        <w:t xml:space="preserve">From the Commissioner’s submissions, the </w:t>
      </w:r>
      <w:r w:rsidR="00A41935" w:rsidRPr="00D97C99">
        <w:t>case</w:t>
      </w:r>
      <w:r w:rsidR="00920A3E" w:rsidRPr="00D97C99">
        <w:t xml:space="preserve"> advanced is based on inferences to be drawn from the matters</w:t>
      </w:r>
      <w:r w:rsidR="00920A3E" w:rsidRPr="001F28AD">
        <w:t xml:space="preserve"> </w:t>
      </w:r>
      <w:r w:rsidR="00920A3E" w:rsidRPr="00D97C99">
        <w:t xml:space="preserve">pleaded in the statement of </w:t>
      </w:r>
      <w:r w:rsidR="00001417" w:rsidRPr="00D97C99">
        <w:t>claim</w:t>
      </w:r>
      <w:r w:rsidR="00001417" w:rsidRPr="001F28AD">
        <w:t xml:space="preserve">. </w:t>
      </w:r>
      <w:r w:rsidR="00092C43" w:rsidRPr="00D97C99">
        <w:t xml:space="preserve">So much also appears </w:t>
      </w:r>
      <w:r w:rsidR="00BD4B7E" w:rsidRPr="00D97C99">
        <w:t xml:space="preserve">evident from the </w:t>
      </w:r>
      <w:r w:rsidR="00BD4B7E" w:rsidRPr="00D97C99">
        <w:lastRenderedPageBreak/>
        <w:t>statement of claim.</w:t>
      </w:r>
      <w:r w:rsidR="00BD4B7E" w:rsidRPr="001F28AD">
        <w:t xml:space="preserve"> </w:t>
      </w:r>
      <w:r w:rsidR="00A41935" w:rsidRPr="00D97C99">
        <w:t xml:space="preserve">That said, </w:t>
      </w:r>
      <w:r w:rsidR="00FE2FAF" w:rsidRPr="00D97C99">
        <w:t>th</w:t>
      </w:r>
      <w:r w:rsidR="00BD4B7E" w:rsidRPr="00D97C99">
        <w:t xml:space="preserve">e </w:t>
      </w:r>
      <w:r w:rsidR="001F28AD" w:rsidRPr="00D97C99">
        <w:t>bas</w:t>
      </w:r>
      <w:r w:rsidR="001F28AD">
        <w:t>e</w:t>
      </w:r>
      <w:r w:rsidR="001F28AD" w:rsidRPr="00D97C99">
        <w:t xml:space="preserve">s </w:t>
      </w:r>
      <w:r w:rsidR="005E74AA" w:rsidRPr="00D97C99">
        <w:t xml:space="preserve">of the claims </w:t>
      </w:r>
      <w:r w:rsidR="001F28AD">
        <w:t>are</w:t>
      </w:r>
      <w:r w:rsidR="00FE2FAF" w:rsidRPr="00D97C99">
        <w:t xml:space="preserve"> not</w:t>
      </w:r>
      <w:r w:rsidR="00FE2FAF" w:rsidRPr="001F28AD">
        <w:t xml:space="preserve"> always brought together in the </w:t>
      </w:r>
      <w:r w:rsidR="003F6E9C" w:rsidRPr="001F28AD">
        <w:t>statement of claim.</w:t>
      </w:r>
      <w:r w:rsidR="003F6E9C">
        <w:t xml:space="preserve"> For example, there is no reference in the statement of </w:t>
      </w:r>
      <w:r w:rsidR="003F6E9C" w:rsidRPr="00D97C99">
        <w:t xml:space="preserve">claim to </w:t>
      </w:r>
      <w:r w:rsidR="00A70AD6" w:rsidRPr="00D97C99">
        <w:t xml:space="preserve">the </w:t>
      </w:r>
      <w:r w:rsidR="003F6E9C" w:rsidRPr="00D97C99">
        <w:t>beneficial ownership</w:t>
      </w:r>
      <w:r w:rsidR="00441338">
        <w:t xml:space="preserve"> </w:t>
      </w:r>
      <w:r w:rsidR="00B023D7">
        <w:t xml:space="preserve">claims </w:t>
      </w:r>
      <w:r w:rsidR="00473F88">
        <w:t>at</w:t>
      </w:r>
      <w:r w:rsidR="00E30C95">
        <w:t xml:space="preserve"> prayers </w:t>
      </w:r>
      <w:r w:rsidR="00B023D7">
        <w:t xml:space="preserve">7 and 8 </w:t>
      </w:r>
      <w:r w:rsidR="002C29DD">
        <w:t xml:space="preserve">of the amended originating application </w:t>
      </w:r>
      <w:r w:rsidR="00B023D7">
        <w:t>(</w:t>
      </w:r>
      <w:r w:rsidR="002C29DD">
        <w:t>relating to</w:t>
      </w:r>
      <w:r w:rsidR="008F017E">
        <w:t xml:space="preserve"> the claim that the first respondent is the beneficial owner of</w:t>
      </w:r>
      <w:r w:rsidR="002C29DD">
        <w:t xml:space="preserve"> </w:t>
      </w:r>
      <w:r w:rsidR="00B023D7">
        <w:t xml:space="preserve">Koch71 and Koch </w:t>
      </w:r>
      <w:r w:rsidR="00B023D7" w:rsidRPr="007129E5">
        <w:t>Commercial</w:t>
      </w:r>
      <w:r w:rsidR="00B023D7" w:rsidRPr="00D97C99">
        <w:t>)</w:t>
      </w:r>
      <w:r w:rsidR="00A70AD6" w:rsidRPr="00D97C99">
        <w:t>. Nor</w:t>
      </w:r>
      <w:r w:rsidR="00B023D7" w:rsidRPr="00D97C99">
        <w:t xml:space="preserve"> </w:t>
      </w:r>
      <w:r w:rsidR="002435C4" w:rsidRPr="00D97C99">
        <w:t>is there reference</w:t>
      </w:r>
      <w:r w:rsidR="002435C4">
        <w:t xml:space="preserve"> to </w:t>
      </w:r>
      <w:r w:rsidR="00441338">
        <w:t xml:space="preserve">the pleaded </w:t>
      </w:r>
      <w:r w:rsidR="00FC43C7">
        <w:t>matters</w:t>
      </w:r>
      <w:r w:rsidR="00441338">
        <w:t xml:space="preserve"> relied on as material to establishing </w:t>
      </w:r>
      <w:r w:rsidR="00222599">
        <w:t xml:space="preserve">those claims. </w:t>
      </w:r>
      <w:r w:rsidR="00FC43C7">
        <w:t xml:space="preserve">This is to be contrasted to </w:t>
      </w:r>
      <w:r w:rsidR="000D6F22">
        <w:t xml:space="preserve">the claim of beneficial ownership </w:t>
      </w:r>
      <w:r w:rsidR="00E30C95">
        <w:t xml:space="preserve">at prayer </w:t>
      </w:r>
      <w:r w:rsidR="000D6F22">
        <w:t>8A</w:t>
      </w:r>
      <w:r w:rsidR="00473F88">
        <w:t xml:space="preserve"> of the amended originating application</w:t>
      </w:r>
      <w:r w:rsidR="000D6F22">
        <w:t xml:space="preserve"> (</w:t>
      </w:r>
      <w:r w:rsidR="00473F88">
        <w:t xml:space="preserve">relating to </w:t>
      </w:r>
      <w:r w:rsidR="000D6F22">
        <w:t xml:space="preserve">ZWF). </w:t>
      </w:r>
      <w:r w:rsidR="00C224DF">
        <w:t xml:space="preserve">Given the stage of the </w:t>
      </w:r>
      <w:r w:rsidR="00473F88">
        <w:t>proceeding</w:t>
      </w:r>
      <w:r w:rsidR="00C224DF">
        <w:t xml:space="preserve">, it is appropriate </w:t>
      </w:r>
      <w:r w:rsidR="007129E5">
        <w:t xml:space="preserve">that </w:t>
      </w:r>
      <w:r w:rsidR="009A794E">
        <w:t>the bas</w:t>
      </w:r>
      <w:r w:rsidR="008652D0">
        <w:t>e</w:t>
      </w:r>
      <w:r w:rsidR="009A794E">
        <w:t xml:space="preserve">s on which the case is </w:t>
      </w:r>
      <w:r w:rsidR="009A794E" w:rsidRPr="00D97C99">
        <w:t xml:space="preserve">advanced </w:t>
      </w:r>
      <w:r w:rsidR="003A534E" w:rsidRPr="00D97C99">
        <w:t>be</w:t>
      </w:r>
      <w:r w:rsidR="009A794E" w:rsidRPr="00D97C99">
        <w:t xml:space="preserve"> </w:t>
      </w:r>
      <w:r w:rsidR="002B4153" w:rsidRPr="00D97C99">
        <w:t>expressly pleaded</w:t>
      </w:r>
      <w:r w:rsidR="00126137">
        <w:t xml:space="preserve">. </w:t>
      </w:r>
      <w:r w:rsidR="00EE406B">
        <w:t xml:space="preserve">I note that the </w:t>
      </w:r>
      <w:r w:rsidR="007129E5">
        <w:t xml:space="preserve">bases </w:t>
      </w:r>
      <w:r w:rsidR="009F38A9">
        <w:t xml:space="preserve">for these claims </w:t>
      </w:r>
      <w:r w:rsidR="007129E5">
        <w:t xml:space="preserve">were </w:t>
      </w:r>
      <w:r w:rsidR="00EE406B">
        <w:t>articulated during the</w:t>
      </w:r>
      <w:r w:rsidR="009F38A9">
        <w:t xml:space="preserve"> </w:t>
      </w:r>
      <w:r w:rsidR="009F38A9" w:rsidRPr="00D97C99">
        <w:t>hearing of th</w:t>
      </w:r>
      <w:r w:rsidR="00B81671" w:rsidRPr="00D97C99">
        <w:t xml:space="preserve">e </w:t>
      </w:r>
      <w:r w:rsidR="00EE406B" w:rsidRPr="00D97C99">
        <w:t>interlocutory a</w:t>
      </w:r>
      <w:r w:rsidR="00EE406B" w:rsidRPr="007129E5">
        <w:t>pplica</w:t>
      </w:r>
      <w:r w:rsidR="00EE406B">
        <w:t>tion</w:t>
      </w:r>
      <w:r w:rsidR="00B81671">
        <w:t>.</w:t>
      </w:r>
    </w:p>
    <w:p w14:paraId="7B13952D" w14:textId="29723A44" w:rsidR="00C93D8C" w:rsidRDefault="00126137" w:rsidP="00C93D8C">
      <w:pPr>
        <w:pStyle w:val="ParaNumbering"/>
      </w:pPr>
      <w:r>
        <w:t>Further,</w:t>
      </w:r>
      <w:r w:rsidR="007B7AD6">
        <w:t xml:space="preserve"> </w:t>
      </w:r>
      <w:r w:rsidR="00EE406B">
        <w:t xml:space="preserve">as </w:t>
      </w:r>
      <w:r w:rsidR="007B7AD6">
        <w:t xml:space="preserve">the s 37A claim is plainly an alternative claim to that of beneficial ownership, that ought to be expressed. </w:t>
      </w:r>
      <w:r w:rsidR="00C90EAE">
        <w:t xml:space="preserve">I note there was an error in [42] of the </w:t>
      </w:r>
      <w:r w:rsidR="00C205DC">
        <w:t xml:space="preserve">proposed </w:t>
      </w:r>
      <w:r w:rsidR="00C90EAE">
        <w:t xml:space="preserve">statement of claim </w:t>
      </w:r>
      <w:r w:rsidR="007129E5">
        <w:t xml:space="preserve">raised during the hearing of the interlocutory application </w:t>
      </w:r>
      <w:r w:rsidR="00C90EAE">
        <w:t>which should also be corrected.</w:t>
      </w:r>
    </w:p>
    <w:p w14:paraId="3D238BB9" w14:textId="47E5A65D" w:rsidR="00E16784" w:rsidRPr="00676D19" w:rsidRDefault="00E16784" w:rsidP="00676D19">
      <w:pPr>
        <w:pStyle w:val="Heading2"/>
      </w:pPr>
      <w:r w:rsidRPr="00676D19">
        <w:t>Conclusion</w:t>
      </w:r>
    </w:p>
    <w:p w14:paraId="44720BBF" w14:textId="61D7350D" w:rsidR="00C90EAE" w:rsidRDefault="001160E4" w:rsidP="00EE77A5">
      <w:pPr>
        <w:pStyle w:val="ParaNumbering"/>
      </w:pPr>
      <w:r>
        <w:t xml:space="preserve">Accordingly, </w:t>
      </w:r>
      <w:r w:rsidR="000C742C">
        <w:t xml:space="preserve">I do not grant leave to file the </w:t>
      </w:r>
      <w:r w:rsidR="00115CC8">
        <w:t xml:space="preserve">proposed </w:t>
      </w:r>
      <w:r w:rsidR="000C742C">
        <w:t xml:space="preserve">statement of claim in </w:t>
      </w:r>
      <w:r w:rsidR="00115CC8">
        <w:t xml:space="preserve">its </w:t>
      </w:r>
      <w:r w:rsidR="000C742C">
        <w:t xml:space="preserve">current form. </w:t>
      </w:r>
      <w:r w:rsidR="00FA5CD6">
        <w:t xml:space="preserve">I </w:t>
      </w:r>
      <w:r w:rsidR="00FA5CD6" w:rsidRPr="00D97C99">
        <w:t xml:space="preserve">grant leave to </w:t>
      </w:r>
      <w:r w:rsidR="00676D19" w:rsidRPr="00D97C99">
        <w:t xml:space="preserve">replead </w:t>
      </w:r>
      <w:r w:rsidR="00AB6B20" w:rsidRPr="00D97C99">
        <w:t xml:space="preserve">and provide a further </w:t>
      </w:r>
      <w:r w:rsidR="00FA5CD6" w:rsidRPr="00D97C99">
        <w:t>amended statement</w:t>
      </w:r>
      <w:r w:rsidR="00FA5CD6">
        <w:t xml:space="preserve"> of claim. I will then consider th</w:t>
      </w:r>
      <w:r w:rsidR="00C93D8C">
        <w:t>ose pleading</w:t>
      </w:r>
      <w:r w:rsidR="005774B3">
        <w:t>s</w:t>
      </w:r>
      <w:r w:rsidR="00BE7AE3">
        <w:t xml:space="preserve"> </w:t>
      </w:r>
      <w:r w:rsidR="00FC6ED2">
        <w:t>(alongside</w:t>
      </w:r>
      <w:r w:rsidR="00BE7AE3">
        <w:t xml:space="preserve"> the amended originating </w:t>
      </w:r>
      <w:r w:rsidR="00FC6ED2">
        <w:t xml:space="preserve">application and </w:t>
      </w:r>
      <w:r w:rsidR="00BA304A">
        <w:t xml:space="preserve">application as to </w:t>
      </w:r>
      <w:r w:rsidR="00FC6ED2">
        <w:t>joinder of parties)</w:t>
      </w:r>
      <w:r w:rsidR="007129E5">
        <w:t>,</w:t>
      </w:r>
      <w:r w:rsidR="00C93D8C">
        <w:t xml:space="preserve"> before addressing the </w:t>
      </w:r>
      <w:r w:rsidR="00BA304A">
        <w:t>Freezing Orders</w:t>
      </w:r>
      <w:r w:rsidR="00C93D8C">
        <w:t xml:space="preserve">. </w:t>
      </w:r>
    </w:p>
    <w:p w14:paraId="16C095E1" w14:textId="77777777" w:rsidR="00DE65E5" w:rsidRDefault="00DE65E5" w:rsidP="00815065">
      <w:pPr>
        <w:pStyle w:val="BodyText"/>
      </w:pPr>
      <w:bookmarkStart w:id="21" w:name="Certification"/>
    </w:p>
    <w:tbl>
      <w:tblPr>
        <w:tblW w:w="0" w:type="auto"/>
        <w:tblLook w:val="04A0" w:firstRow="1" w:lastRow="0" w:firstColumn="1" w:lastColumn="0" w:noHBand="0" w:noVBand="1"/>
      </w:tblPr>
      <w:tblGrid>
        <w:gridCol w:w="3794"/>
      </w:tblGrid>
      <w:tr w:rsidR="00DE65E5" w:rsidRPr="00DE65E5" w14:paraId="14FFDC1C" w14:textId="77777777">
        <w:tc>
          <w:tcPr>
            <w:tcW w:w="3794" w:type="dxa"/>
            <w:shd w:val="clear" w:color="auto" w:fill="auto"/>
          </w:tcPr>
          <w:p w14:paraId="75428BF3" w14:textId="5F46E745" w:rsidR="00DE65E5" w:rsidRPr="00DE65E5" w:rsidRDefault="00DE65E5" w:rsidP="00DE65E5">
            <w:pPr>
              <w:pStyle w:val="Normal1linespace"/>
            </w:pPr>
            <w:r w:rsidRPr="00DE65E5">
              <w:t xml:space="preserve">I certify that the preceding </w:t>
            </w:r>
            <w:bookmarkStart w:id="22" w:name="NumberWord"/>
            <w:r>
              <w:t>thirty-eight</w:t>
            </w:r>
            <w:bookmarkEnd w:id="22"/>
            <w:r w:rsidRPr="00DE65E5">
              <w:t xml:space="preserve"> (</w:t>
            </w:r>
            <w:bookmarkStart w:id="23" w:name="NumberNumeral"/>
            <w:r>
              <w:t>3</w:t>
            </w:r>
            <w:r w:rsidR="00005DD5">
              <w:t>9</w:t>
            </w:r>
            <w:bookmarkEnd w:id="23"/>
            <w:r w:rsidRPr="00DE65E5">
              <w:t xml:space="preserve">) numbered </w:t>
            </w:r>
            <w:bookmarkStart w:id="24" w:name="CertPara"/>
            <w:r>
              <w:t>paragraphs are</w:t>
            </w:r>
            <w:bookmarkEnd w:id="24"/>
            <w:r w:rsidRPr="00DE65E5">
              <w:t xml:space="preserve"> a true copy of the Reasons for Judgment of </w:t>
            </w:r>
            <w:bookmarkStart w:id="25" w:name="bkHonourable"/>
            <w:r w:rsidRPr="00DE65E5">
              <w:t xml:space="preserve">the Honourable </w:t>
            </w:r>
            <w:bookmarkStart w:id="26" w:name="Justice"/>
            <w:bookmarkEnd w:id="25"/>
            <w:r>
              <w:t>Justice Abraham</w:t>
            </w:r>
            <w:bookmarkEnd w:id="26"/>
            <w:r w:rsidRPr="00DE65E5">
              <w:t>.</w:t>
            </w:r>
          </w:p>
        </w:tc>
      </w:tr>
    </w:tbl>
    <w:p w14:paraId="36ABCC8E" w14:textId="77777777" w:rsidR="00DE65E5" w:rsidRDefault="00DE65E5" w:rsidP="00815065">
      <w:pPr>
        <w:pStyle w:val="BodyText"/>
      </w:pPr>
    </w:p>
    <w:p w14:paraId="77D327C5" w14:textId="600A79D4" w:rsidR="00DE65E5" w:rsidRDefault="00DE65E5" w:rsidP="00815065">
      <w:pPr>
        <w:pStyle w:val="BodyText"/>
      </w:pPr>
    </w:p>
    <w:p w14:paraId="7AA995A4" w14:textId="22E97071" w:rsidR="00DE65E5" w:rsidRDefault="00DE65E5" w:rsidP="00815065">
      <w:pPr>
        <w:pStyle w:val="BodyText"/>
      </w:pPr>
    </w:p>
    <w:p w14:paraId="56DEB621" w14:textId="4137E19F" w:rsidR="00DE65E5" w:rsidRDefault="00DE65E5" w:rsidP="00815065">
      <w:pPr>
        <w:pStyle w:val="BodyText"/>
      </w:pPr>
      <w:r>
        <w:t>Associate:</w:t>
      </w:r>
      <w:r w:rsidR="00B95599">
        <w:t xml:space="preserve"> </w:t>
      </w:r>
    </w:p>
    <w:p w14:paraId="38FDEC13" w14:textId="77777777" w:rsidR="00DE65E5" w:rsidRDefault="00DE65E5" w:rsidP="00815065">
      <w:pPr>
        <w:pStyle w:val="BodyText"/>
      </w:pPr>
    </w:p>
    <w:p w14:paraId="005677D0" w14:textId="649521E4" w:rsidR="00DE65E5" w:rsidRDefault="00DE65E5" w:rsidP="00815065">
      <w:pPr>
        <w:pStyle w:val="BodyText"/>
        <w:tabs>
          <w:tab w:val="left" w:pos="1134"/>
        </w:tabs>
      </w:pPr>
      <w:r>
        <w:t>Dated:</w:t>
      </w:r>
      <w:r>
        <w:tab/>
      </w:r>
      <w:bookmarkStart w:id="27" w:name="CertifyDated"/>
      <w:r>
        <w:t>16 April 2024</w:t>
      </w:r>
      <w:bookmarkEnd w:id="27"/>
    </w:p>
    <w:p w14:paraId="103F110D" w14:textId="77777777" w:rsidR="00DE65E5" w:rsidRDefault="00DE65E5" w:rsidP="00815065">
      <w:pPr>
        <w:pStyle w:val="BodyText"/>
      </w:pPr>
    </w:p>
    <w:bookmarkEnd w:id="21"/>
    <w:p w14:paraId="6D01AC8B" w14:textId="77777777" w:rsidR="00E16784" w:rsidRDefault="00E16784" w:rsidP="00DE65E5">
      <w:pPr>
        <w:pStyle w:val="BodyText"/>
      </w:pPr>
      <w:r>
        <w:br w:type="page"/>
      </w:r>
    </w:p>
    <w:p w14:paraId="41DF8517" w14:textId="77777777" w:rsidR="0041188A" w:rsidRPr="00CD498A" w:rsidRDefault="0041188A" w:rsidP="00E91A0F">
      <w:pPr>
        <w:pStyle w:val="NormalHeadings"/>
        <w:spacing w:before="180" w:line="480" w:lineRule="auto"/>
        <w:jc w:val="center"/>
        <w:rPr>
          <w:sz w:val="28"/>
          <w:szCs w:val="28"/>
        </w:rPr>
      </w:pPr>
      <w:bookmarkStart w:id="28" w:name="SOP_Section"/>
      <w:r w:rsidRPr="00CD498A">
        <w:rPr>
          <w:sz w:val="28"/>
          <w:szCs w:val="28"/>
        </w:rPr>
        <w:lastRenderedPageBreak/>
        <w:t>SCHEDULE OF PARTIES</w:t>
      </w:r>
    </w:p>
    <w:p w14:paraId="37018DE9" w14:textId="77777777" w:rsidR="0041188A" w:rsidRPr="00663089" w:rsidRDefault="0041188A"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41188A" w14:paraId="736A7436" w14:textId="77777777" w:rsidTr="0041188A">
        <w:tc>
          <w:tcPr>
            <w:tcW w:w="3368" w:type="dxa"/>
          </w:tcPr>
          <w:p w14:paraId="51ADF338" w14:textId="77777777" w:rsidR="0041188A" w:rsidRDefault="0041188A" w:rsidP="004F5197">
            <w:pPr>
              <w:pStyle w:val="NormalHeadings"/>
              <w:jc w:val="left"/>
              <w:rPr>
                <w:caps/>
                <w:szCs w:val="24"/>
              </w:rPr>
            </w:pPr>
          </w:p>
        </w:tc>
        <w:tc>
          <w:tcPr>
            <w:tcW w:w="5874" w:type="dxa"/>
          </w:tcPr>
          <w:p w14:paraId="19588170" w14:textId="478D24AD" w:rsidR="0041188A" w:rsidRDefault="00C07C6E" w:rsidP="004F5197">
            <w:pPr>
              <w:pStyle w:val="NormalHeadings"/>
              <w:jc w:val="right"/>
            </w:pPr>
            <w:fldSimple w:instr=" REF  FileNo " w:fldLock="1">
              <w:r w:rsidR="0041188A">
                <w:t>NSD 1201 of 2021</w:t>
              </w:r>
            </w:fldSimple>
          </w:p>
        </w:tc>
      </w:tr>
      <w:tr w:rsidR="0041188A" w14:paraId="184DD2BC" w14:textId="77777777" w:rsidTr="0041188A">
        <w:trPr>
          <w:trHeight w:val="386"/>
        </w:trPr>
        <w:tc>
          <w:tcPr>
            <w:tcW w:w="3368" w:type="dxa"/>
          </w:tcPr>
          <w:p w14:paraId="13AE9000" w14:textId="4EA16DC1" w:rsidR="0041188A" w:rsidRDefault="0041188A" w:rsidP="0087788E">
            <w:pPr>
              <w:pStyle w:val="BodyTextBold"/>
              <w:spacing w:before="180"/>
              <w:jc w:val="left"/>
            </w:pPr>
            <w:bookmarkStart w:id="29" w:name="SOP_RespondentsRows" w:colFirst="0" w:colLast="1"/>
            <w:r>
              <w:t>Respondents</w:t>
            </w:r>
          </w:p>
        </w:tc>
        <w:tc>
          <w:tcPr>
            <w:tcW w:w="5874" w:type="dxa"/>
            <w:tcMar>
              <w:left w:w="28" w:type="dxa"/>
            </w:tcMar>
          </w:tcPr>
          <w:p w14:paraId="2AD71503" w14:textId="77777777" w:rsidR="0041188A" w:rsidRDefault="0041188A" w:rsidP="0087788E">
            <w:pPr>
              <w:pStyle w:val="BodyText"/>
              <w:jc w:val="left"/>
            </w:pPr>
          </w:p>
        </w:tc>
      </w:tr>
      <w:tr w:rsidR="0041188A" w14:paraId="478917CB" w14:textId="77777777" w:rsidTr="0041188A">
        <w:trPr>
          <w:trHeight w:val="386"/>
        </w:trPr>
        <w:tc>
          <w:tcPr>
            <w:tcW w:w="3368" w:type="dxa"/>
          </w:tcPr>
          <w:p w14:paraId="7C9A2413" w14:textId="21FC6673" w:rsidR="0041188A" w:rsidRDefault="0041188A" w:rsidP="00F2363B">
            <w:pPr>
              <w:pStyle w:val="BodyText"/>
              <w:spacing w:after="240" w:line="240" w:lineRule="auto"/>
              <w:jc w:val="left"/>
            </w:pPr>
            <w:bookmarkStart w:id="30" w:name="SOP_FirstRespondent"/>
            <w:bookmarkEnd w:id="30"/>
            <w:r>
              <w:t>Fourth Respondent:</w:t>
            </w:r>
          </w:p>
        </w:tc>
        <w:tc>
          <w:tcPr>
            <w:tcW w:w="5874" w:type="dxa"/>
            <w:tcMar>
              <w:left w:w="28" w:type="dxa"/>
            </w:tcMar>
          </w:tcPr>
          <w:p w14:paraId="4066EC6E" w14:textId="6AF2FB61" w:rsidR="0041188A" w:rsidRDefault="0041188A" w:rsidP="00F2363B">
            <w:pPr>
              <w:pStyle w:val="BodyText"/>
              <w:spacing w:after="240" w:line="240" w:lineRule="auto"/>
              <w:jc w:val="left"/>
            </w:pPr>
            <w:r>
              <w:t>ELVIRA KOCIC</w:t>
            </w:r>
          </w:p>
        </w:tc>
      </w:tr>
      <w:tr w:rsidR="0041188A" w14:paraId="66C9EDB8" w14:textId="77777777" w:rsidTr="0041188A">
        <w:trPr>
          <w:trHeight w:val="386"/>
        </w:trPr>
        <w:tc>
          <w:tcPr>
            <w:tcW w:w="3368" w:type="dxa"/>
          </w:tcPr>
          <w:p w14:paraId="38E900AC" w14:textId="35D66509" w:rsidR="0041188A" w:rsidRDefault="0041188A" w:rsidP="00F2363B">
            <w:pPr>
              <w:pStyle w:val="BodyText"/>
              <w:spacing w:after="240" w:line="240" w:lineRule="auto"/>
              <w:jc w:val="left"/>
            </w:pPr>
            <w:r>
              <w:t>Seventh Respondent:</w:t>
            </w:r>
          </w:p>
        </w:tc>
        <w:tc>
          <w:tcPr>
            <w:tcW w:w="5874" w:type="dxa"/>
            <w:tcMar>
              <w:left w:w="28" w:type="dxa"/>
            </w:tcMar>
          </w:tcPr>
          <w:p w14:paraId="5DCB996E" w14:textId="19646292" w:rsidR="0041188A" w:rsidRDefault="0041188A" w:rsidP="00F2363B">
            <w:pPr>
              <w:pStyle w:val="BodyText"/>
              <w:spacing w:after="240" w:line="240" w:lineRule="auto"/>
              <w:jc w:val="left"/>
            </w:pPr>
            <w:r>
              <w:t>KOCH71 PTY LTD ACN 155 181 712</w:t>
            </w:r>
          </w:p>
        </w:tc>
      </w:tr>
      <w:tr w:rsidR="0041188A" w14:paraId="42D90B39" w14:textId="77777777" w:rsidTr="0041188A">
        <w:trPr>
          <w:trHeight w:val="386"/>
        </w:trPr>
        <w:tc>
          <w:tcPr>
            <w:tcW w:w="3368" w:type="dxa"/>
          </w:tcPr>
          <w:p w14:paraId="7AA31223" w14:textId="6E6E1FCA" w:rsidR="0041188A" w:rsidRDefault="0041188A" w:rsidP="00F2363B">
            <w:pPr>
              <w:pStyle w:val="BodyText"/>
              <w:spacing w:after="240" w:line="240" w:lineRule="auto"/>
              <w:jc w:val="left"/>
            </w:pPr>
            <w:r>
              <w:t>Eighth Respondent:</w:t>
            </w:r>
          </w:p>
        </w:tc>
        <w:tc>
          <w:tcPr>
            <w:tcW w:w="5874" w:type="dxa"/>
            <w:tcMar>
              <w:left w:w="28" w:type="dxa"/>
            </w:tcMar>
          </w:tcPr>
          <w:p w14:paraId="5CFBCC4A" w14:textId="0E2AD951" w:rsidR="0041188A" w:rsidRDefault="0041188A" w:rsidP="00F2363B">
            <w:pPr>
              <w:pStyle w:val="BodyText"/>
              <w:spacing w:after="240" w:line="240" w:lineRule="auto"/>
              <w:jc w:val="left"/>
            </w:pPr>
            <w:r>
              <w:t>KOCH COMMERCIAL PTY LTD ACN 604 679 576</w:t>
            </w:r>
          </w:p>
        </w:tc>
      </w:tr>
      <w:bookmarkEnd w:id="29"/>
    </w:tbl>
    <w:p w14:paraId="5196904B" w14:textId="77777777" w:rsidR="0041188A" w:rsidRDefault="0041188A" w:rsidP="002B0E91">
      <w:pPr>
        <w:pStyle w:val="BodyText"/>
      </w:pPr>
    </w:p>
    <w:bookmarkEnd w:id="28"/>
    <w:p w14:paraId="75CFD9B2" w14:textId="77777777" w:rsidR="0041188A" w:rsidRDefault="0041188A" w:rsidP="0041188A">
      <w:pPr>
        <w:pStyle w:val="BodyText"/>
      </w:pPr>
    </w:p>
    <w:sectPr w:rsidR="0041188A"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DBB9" w14:textId="77777777" w:rsidR="00137BA2" w:rsidRDefault="00137BA2">
      <w:pPr>
        <w:spacing w:line="20" w:lineRule="exact"/>
      </w:pPr>
    </w:p>
    <w:p w14:paraId="7DAD2E7B" w14:textId="77777777" w:rsidR="00137BA2" w:rsidRDefault="00137BA2"/>
    <w:p w14:paraId="77DD228F" w14:textId="77777777" w:rsidR="00137BA2" w:rsidRDefault="00137BA2"/>
  </w:endnote>
  <w:endnote w:type="continuationSeparator" w:id="0">
    <w:p w14:paraId="50884791" w14:textId="77777777" w:rsidR="00137BA2" w:rsidRDefault="00137BA2">
      <w:r>
        <w:t xml:space="preserve"> </w:t>
      </w:r>
    </w:p>
    <w:p w14:paraId="172E75B2" w14:textId="77777777" w:rsidR="00137BA2" w:rsidRDefault="00137BA2"/>
    <w:p w14:paraId="6C65F658" w14:textId="77777777" w:rsidR="00137BA2" w:rsidRDefault="00137BA2"/>
  </w:endnote>
  <w:endnote w:type="continuationNotice" w:id="1">
    <w:p w14:paraId="3EBCF546" w14:textId="77777777" w:rsidR="00137BA2" w:rsidRDefault="00137BA2">
      <w:r>
        <w:t xml:space="preserve"> </w:t>
      </w:r>
    </w:p>
    <w:p w14:paraId="721A4A8E" w14:textId="77777777" w:rsidR="00137BA2" w:rsidRDefault="00137BA2"/>
    <w:p w14:paraId="75AB1867" w14:textId="77777777" w:rsidR="00137BA2" w:rsidRDefault="00137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450C" w14:textId="2A6C539F" w:rsidR="00A84FD0" w:rsidRDefault="00A84FD0" w:rsidP="00E94CBF">
    <w:pPr>
      <w:pStyle w:val="Footer"/>
      <w:tabs>
        <w:tab w:val="clear" w:pos="4320"/>
        <w:tab w:val="clear" w:pos="8640"/>
        <w:tab w:val="right" w:pos="8931"/>
      </w:tabs>
      <w:spacing w:before="180" w:line="240" w:lineRule="auto"/>
      <w:jc w:val="left"/>
      <w:rPr>
        <w:bCs/>
        <w:noProof/>
        <w:sz w:val="20"/>
      </w:rPr>
    </w:pPr>
    <w:r w:rsidRPr="00F76A9B">
      <w:rPr>
        <w:bCs/>
        <w:noProof/>
        <w:sz w:val="18"/>
        <w:szCs w:val="18"/>
      </w:rPr>
      <mc:AlternateContent>
        <mc:Choice Requires="wps">
          <w:drawing>
            <wp:anchor distT="0" distB="0" distL="114300" distR="114300" simplePos="0" relativeHeight="251663360" behindDoc="0" locked="0" layoutInCell="1" allowOverlap="1" wp14:anchorId="66FA2C39" wp14:editId="267F80D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E083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7D265CA842CC4085A9C3FB134ED47248"/>
        </w:placeholder>
        <w:dataBinding w:prefixMappings="xmlns:ns0='http://schemas.globalmacros.com/FCA'" w:xpath="/ns0:root[1]/ns0:Name[1]" w:storeItemID="{687E7CCB-4AA5-44E7-B148-17BA2B6F57C0}"/>
        <w:text w:multiLine="1"/>
      </w:sdtPr>
      <w:sdtEndPr/>
      <w:sdtContent>
        <w:r w:rsidR="00BF1C13">
          <w:rPr>
            <w:bCs/>
            <w:sz w:val="18"/>
            <w:szCs w:val="18"/>
          </w:rPr>
          <w:t xml:space="preserve">Deputy Commissioner of Taxation v </w:t>
        </w:r>
        <w:proofErr w:type="spellStart"/>
        <w:r w:rsidR="00BF1C13">
          <w:rPr>
            <w:bCs/>
            <w:sz w:val="18"/>
            <w:szCs w:val="18"/>
          </w:rPr>
          <w:t>Kocic</w:t>
        </w:r>
        <w:proofErr w:type="spellEnd"/>
        <w:r w:rsidR="00BF1C13">
          <w:rPr>
            <w:bCs/>
            <w:sz w:val="18"/>
            <w:szCs w:val="18"/>
          </w:rPr>
          <w:t xml:space="preserve"> (No 2) [2024] FCA 372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5C749D0D" w14:textId="06921582" w:rsidR="00AB2A15" w:rsidRPr="00BA0E19" w:rsidRDefault="00AB2A15" w:rsidP="00BA0E19">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1A2B" w14:textId="1AB8D4D1" w:rsidR="00A436E8" w:rsidRDefault="00A436E8" w:rsidP="00B2435E">
    <w:pPr>
      <w:pStyle w:val="Footer"/>
      <w:tabs>
        <w:tab w:val="clear" w:pos="4320"/>
        <w:tab w:val="clear" w:pos="8640"/>
        <w:tab w:val="right" w:pos="8931"/>
      </w:tabs>
      <w:spacing w:before="180" w:line="240" w:lineRule="auto"/>
      <w:jc w:val="left"/>
      <w:rPr>
        <w:bCs/>
        <w:noProof/>
        <w:sz w:val="20"/>
      </w:rPr>
    </w:pPr>
    <w:r w:rsidRPr="00F76A9B">
      <w:rPr>
        <w:bCs/>
        <w:noProof/>
        <w:sz w:val="18"/>
        <w:szCs w:val="18"/>
      </w:rPr>
      <mc:AlternateContent>
        <mc:Choice Requires="wps">
          <w:drawing>
            <wp:anchor distT="0" distB="0" distL="114300" distR="114300" simplePos="0" relativeHeight="251661312" behindDoc="0" locked="0" layoutInCell="1" allowOverlap="1" wp14:anchorId="047E94CC" wp14:editId="071EFDA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DF95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76E06941A26A4670B094BFDC09C68356"/>
        </w:placeholder>
        <w:dataBinding w:prefixMappings="xmlns:ns0='http://schemas.globalmacros.com/FCA'" w:xpath="/ns0:root[1]/ns0:Name[1]" w:storeItemID="{687E7CCB-4AA5-44E7-B148-17BA2B6F57C0}"/>
        <w:text w:multiLine="1"/>
      </w:sdtPr>
      <w:sdtEndPr/>
      <w:sdtContent>
        <w:r w:rsidR="00BF1C13">
          <w:rPr>
            <w:bCs/>
            <w:sz w:val="18"/>
            <w:szCs w:val="18"/>
          </w:rPr>
          <w:t xml:space="preserve">Deputy Commissioner of Taxation v </w:t>
        </w:r>
        <w:proofErr w:type="spellStart"/>
        <w:r w:rsidR="00BF1C13">
          <w:rPr>
            <w:bCs/>
            <w:sz w:val="18"/>
            <w:szCs w:val="18"/>
          </w:rPr>
          <w:t>Kocic</w:t>
        </w:r>
        <w:proofErr w:type="spellEnd"/>
        <w:r w:rsidR="00BF1C13">
          <w:rPr>
            <w:bCs/>
            <w:sz w:val="18"/>
            <w:szCs w:val="18"/>
          </w:rPr>
          <w:t xml:space="preserve"> (No 2) [2024] FCA 372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p w14:paraId="1A92AB5B" w14:textId="2D4FD33A" w:rsidR="00AB2A15" w:rsidRPr="00BA0E19" w:rsidRDefault="00AB2A15" w:rsidP="00BA0E19">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3D85" w14:textId="1DB70EE3" w:rsidR="00A84FD0" w:rsidRDefault="00A84FD0" w:rsidP="00B2435E">
    <w:pPr>
      <w:pStyle w:val="Footer"/>
      <w:tabs>
        <w:tab w:val="clear" w:pos="4320"/>
        <w:tab w:val="clear" w:pos="8640"/>
        <w:tab w:val="right" w:pos="8931"/>
      </w:tabs>
      <w:spacing w:before="180" w:line="240" w:lineRule="auto"/>
      <w:jc w:val="left"/>
      <w:rPr>
        <w:bCs/>
        <w:noProof/>
        <w:sz w:val="20"/>
      </w:rPr>
    </w:pPr>
    <w:r w:rsidRPr="00F76A9B">
      <w:rPr>
        <w:bCs/>
        <w:noProof/>
        <w:sz w:val="18"/>
        <w:szCs w:val="18"/>
      </w:rPr>
      <mc:AlternateContent>
        <mc:Choice Requires="wps">
          <w:drawing>
            <wp:anchor distT="0" distB="0" distL="114300" distR="114300" simplePos="0" relativeHeight="251667456" behindDoc="0" locked="0" layoutInCell="1" allowOverlap="1" wp14:anchorId="4AF685BA" wp14:editId="6E750D0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0EF5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0EB28CB068E843328F6837D97544865F"/>
        </w:placeholder>
        <w:dataBinding w:prefixMappings="xmlns:ns0='http://schemas.globalmacros.com/FCA'" w:xpath="/ns0:root[1]/ns0:Name[1]" w:storeItemID="{687E7CCB-4AA5-44E7-B148-17BA2B6F57C0}"/>
        <w:text w:multiLine="1"/>
      </w:sdtPr>
      <w:sdtEndPr/>
      <w:sdtContent>
        <w:r w:rsidR="00BF1C13">
          <w:rPr>
            <w:bCs/>
            <w:sz w:val="18"/>
            <w:szCs w:val="18"/>
          </w:rPr>
          <w:t xml:space="preserve">Deputy Commissioner of Taxation v </w:t>
        </w:r>
        <w:proofErr w:type="spellStart"/>
        <w:r w:rsidR="00BF1C13">
          <w:rPr>
            <w:bCs/>
            <w:sz w:val="18"/>
            <w:szCs w:val="18"/>
          </w:rPr>
          <w:t>Kocic</w:t>
        </w:r>
        <w:proofErr w:type="spellEnd"/>
        <w:r w:rsidR="00BF1C13">
          <w:rPr>
            <w:bCs/>
            <w:sz w:val="18"/>
            <w:szCs w:val="18"/>
          </w:rPr>
          <w:t xml:space="preserve"> (No 2) [2024] FCA 372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p w14:paraId="2BDA67EF" w14:textId="09719F65" w:rsidR="00F27F13" w:rsidRPr="00F27F13" w:rsidRDefault="00F27F13" w:rsidP="00F27F13">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1076" w14:textId="699D5709" w:rsidR="00A84FD0" w:rsidRDefault="00A84FD0" w:rsidP="00F27F13">
    <w:pPr>
      <w:pStyle w:val="Footer"/>
      <w:tabs>
        <w:tab w:val="clear" w:pos="4320"/>
        <w:tab w:val="clear" w:pos="8640"/>
        <w:tab w:val="left" w:pos="5491"/>
        <w:tab w:val="right" w:pos="8931"/>
      </w:tabs>
      <w:spacing w:before="180" w:line="240" w:lineRule="auto"/>
      <w:jc w:val="left"/>
      <w:rPr>
        <w:bCs/>
        <w:noProof/>
        <w:sz w:val="20"/>
      </w:rPr>
    </w:pPr>
    <w:r w:rsidRPr="00F76A9B">
      <w:rPr>
        <w:bCs/>
        <w:noProof/>
        <w:sz w:val="18"/>
        <w:szCs w:val="18"/>
      </w:rPr>
      <mc:AlternateContent>
        <mc:Choice Requires="wps">
          <w:drawing>
            <wp:anchor distT="0" distB="0" distL="114300" distR="114300" simplePos="0" relativeHeight="251665408" behindDoc="0" locked="0" layoutInCell="1" allowOverlap="1" wp14:anchorId="1B81CB4B" wp14:editId="5D60B89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BBC6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9C9394937E0E4127AA112DB3C8ED5982"/>
        </w:placeholder>
        <w:dataBinding w:prefixMappings="xmlns:ns0='http://schemas.globalmacros.com/FCA'" w:xpath="/ns0:root[1]/ns0:Name[1]" w:storeItemID="{687E7CCB-4AA5-44E7-B148-17BA2B6F57C0}"/>
        <w:text w:multiLine="1"/>
      </w:sdtPr>
      <w:sdtEndPr/>
      <w:sdtContent>
        <w:r w:rsidR="00BF1C13">
          <w:rPr>
            <w:bCs/>
            <w:sz w:val="18"/>
            <w:szCs w:val="18"/>
          </w:rPr>
          <w:t xml:space="preserve">Deputy Commissioner of Taxation v </w:t>
        </w:r>
        <w:proofErr w:type="spellStart"/>
        <w:r w:rsidR="00BF1C13">
          <w:rPr>
            <w:bCs/>
            <w:sz w:val="18"/>
            <w:szCs w:val="18"/>
          </w:rPr>
          <w:t>Kocic</w:t>
        </w:r>
        <w:proofErr w:type="spellEnd"/>
        <w:r w:rsidR="00BF1C13">
          <w:rPr>
            <w:bCs/>
            <w:sz w:val="18"/>
            <w:szCs w:val="18"/>
          </w:rPr>
          <w:t xml:space="preserve"> (No 2) [2024] FCA 372 </w:t>
        </w:r>
      </w:sdtContent>
    </w:sdt>
    <w:r>
      <w:rPr>
        <w:bCs/>
        <w:sz w:val="18"/>
        <w:szCs w:val="18"/>
      </w:rPr>
      <w:tab/>
    </w:r>
    <w:r w:rsidR="00F27F13">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p w14:paraId="587EF79C" w14:textId="66FCAD52" w:rsidR="00F27F13" w:rsidRPr="00F27F13" w:rsidRDefault="00F27F13" w:rsidP="00F27F13">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A16B" w14:textId="77777777" w:rsidR="00137BA2" w:rsidRDefault="00137BA2"/>
  </w:footnote>
  <w:footnote w:type="continuationSeparator" w:id="0">
    <w:p w14:paraId="1F08AA4F" w14:textId="77777777" w:rsidR="00137BA2" w:rsidRDefault="00137BA2">
      <w:r>
        <w:continuationSeparator/>
      </w:r>
    </w:p>
    <w:p w14:paraId="2A7A6DE5" w14:textId="77777777" w:rsidR="00137BA2" w:rsidRDefault="00137BA2"/>
    <w:p w14:paraId="35D6B1D3" w14:textId="77777777" w:rsidR="00137BA2" w:rsidRDefault="00137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C339"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D9B7"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9B22"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E6B7"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4241"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57F27BFA"/>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C7510D6"/>
    <w:multiLevelType w:val="multilevel"/>
    <w:tmpl w:val="1D48B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01D18"/>
    <w:multiLevelType w:val="hybridMultilevel"/>
    <w:tmpl w:val="DF124ED4"/>
    <w:lvl w:ilvl="0" w:tplc="F38616B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02E4407"/>
    <w:multiLevelType w:val="hybridMultilevel"/>
    <w:tmpl w:val="FD787BD6"/>
    <w:lvl w:ilvl="0" w:tplc="39DE8C2E">
      <w:start w:val="5"/>
      <w:numFmt w:val="decimal"/>
      <w:lvlText w:val="%1."/>
      <w:lvlJc w:val="left"/>
      <w:pPr>
        <w:ind w:left="667" w:hanging="567"/>
      </w:pPr>
      <w:rPr>
        <w:rFonts w:ascii="Times New Roman" w:eastAsia="Times New Roman" w:hAnsi="Times New Roman" w:cs="Times New Roman" w:hint="default"/>
        <w:b w:val="0"/>
        <w:bCs w:val="0"/>
        <w:i w:val="0"/>
        <w:iCs w:val="0"/>
        <w:spacing w:val="-3"/>
        <w:w w:val="100"/>
        <w:sz w:val="24"/>
        <w:szCs w:val="24"/>
        <w:lang w:val="en-US" w:eastAsia="en-US" w:bidi="ar-SA"/>
      </w:rPr>
    </w:lvl>
    <w:lvl w:ilvl="1" w:tplc="5462AD62">
      <w:start w:val="1"/>
      <w:numFmt w:val="lowerLetter"/>
      <w:lvlText w:val="%2."/>
      <w:lvlJc w:val="left"/>
      <w:pPr>
        <w:ind w:left="1401" w:hanging="574"/>
      </w:pPr>
      <w:rPr>
        <w:rFonts w:ascii="Times New Roman" w:eastAsia="Times New Roman" w:hAnsi="Times New Roman" w:cs="Times New Roman" w:hint="default"/>
        <w:b w:val="0"/>
        <w:bCs w:val="0"/>
        <w:i w:val="0"/>
        <w:iCs w:val="0"/>
        <w:spacing w:val="-1"/>
        <w:w w:val="100"/>
        <w:sz w:val="24"/>
        <w:szCs w:val="24"/>
        <w:lang w:val="en-US" w:eastAsia="en-US" w:bidi="ar-SA"/>
      </w:rPr>
    </w:lvl>
    <w:lvl w:ilvl="2" w:tplc="3904CC94">
      <w:numFmt w:val="bullet"/>
      <w:lvlText w:val="•"/>
      <w:lvlJc w:val="left"/>
      <w:pPr>
        <w:ind w:left="2274" w:hanging="574"/>
      </w:pPr>
      <w:rPr>
        <w:rFonts w:hint="default"/>
        <w:lang w:val="en-US" w:eastAsia="en-US" w:bidi="ar-SA"/>
      </w:rPr>
    </w:lvl>
    <w:lvl w:ilvl="3" w:tplc="E45AFBE6">
      <w:numFmt w:val="bullet"/>
      <w:lvlText w:val="•"/>
      <w:lvlJc w:val="left"/>
      <w:pPr>
        <w:ind w:left="3148" w:hanging="574"/>
      </w:pPr>
      <w:rPr>
        <w:rFonts w:hint="default"/>
        <w:lang w:val="en-US" w:eastAsia="en-US" w:bidi="ar-SA"/>
      </w:rPr>
    </w:lvl>
    <w:lvl w:ilvl="4" w:tplc="4DF2BF62">
      <w:numFmt w:val="bullet"/>
      <w:lvlText w:val="•"/>
      <w:lvlJc w:val="left"/>
      <w:pPr>
        <w:ind w:left="4022" w:hanging="574"/>
      </w:pPr>
      <w:rPr>
        <w:rFonts w:hint="default"/>
        <w:lang w:val="en-US" w:eastAsia="en-US" w:bidi="ar-SA"/>
      </w:rPr>
    </w:lvl>
    <w:lvl w:ilvl="5" w:tplc="A79A5E70">
      <w:numFmt w:val="bullet"/>
      <w:lvlText w:val="•"/>
      <w:lvlJc w:val="left"/>
      <w:pPr>
        <w:ind w:left="4896" w:hanging="574"/>
      </w:pPr>
      <w:rPr>
        <w:rFonts w:hint="default"/>
        <w:lang w:val="en-US" w:eastAsia="en-US" w:bidi="ar-SA"/>
      </w:rPr>
    </w:lvl>
    <w:lvl w:ilvl="6" w:tplc="5AA279BA">
      <w:numFmt w:val="bullet"/>
      <w:lvlText w:val="•"/>
      <w:lvlJc w:val="left"/>
      <w:pPr>
        <w:ind w:left="5770" w:hanging="574"/>
      </w:pPr>
      <w:rPr>
        <w:rFonts w:hint="default"/>
        <w:lang w:val="en-US" w:eastAsia="en-US" w:bidi="ar-SA"/>
      </w:rPr>
    </w:lvl>
    <w:lvl w:ilvl="7" w:tplc="6A42E5D4">
      <w:numFmt w:val="bullet"/>
      <w:lvlText w:val="•"/>
      <w:lvlJc w:val="left"/>
      <w:pPr>
        <w:ind w:left="6644" w:hanging="574"/>
      </w:pPr>
      <w:rPr>
        <w:rFonts w:hint="default"/>
        <w:lang w:val="en-US" w:eastAsia="en-US" w:bidi="ar-SA"/>
      </w:rPr>
    </w:lvl>
    <w:lvl w:ilvl="8" w:tplc="7AD4A8E4">
      <w:numFmt w:val="bullet"/>
      <w:lvlText w:val="•"/>
      <w:lvlJc w:val="left"/>
      <w:pPr>
        <w:ind w:left="7518" w:hanging="574"/>
      </w:pPr>
      <w:rPr>
        <w:rFonts w:hint="default"/>
        <w:lang w:val="en-US" w:eastAsia="en-US" w:bidi="ar-SA"/>
      </w:rPr>
    </w:lvl>
  </w:abstractNum>
  <w:abstractNum w:abstractNumId="17" w15:restartNumberingAfterBreak="0">
    <w:nsid w:val="29AE3DD1"/>
    <w:multiLevelType w:val="singleLevel"/>
    <w:tmpl w:val="8474D626"/>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18"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1096986"/>
    <w:multiLevelType w:val="multilevel"/>
    <w:tmpl w:val="EF66D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2811D09"/>
    <w:multiLevelType w:val="hybridMultilevel"/>
    <w:tmpl w:val="1916BF66"/>
    <w:lvl w:ilvl="0" w:tplc="2F0E9012">
      <w:start w:val="1"/>
      <w:numFmt w:val="upperLetter"/>
      <w:lvlText w:val="%1."/>
      <w:lvlJc w:val="left"/>
      <w:pPr>
        <w:ind w:left="640" w:hanging="540"/>
      </w:pPr>
      <w:rPr>
        <w:rFonts w:ascii="Times New Roman" w:eastAsia="Times New Roman" w:hAnsi="Times New Roman" w:cs="Times New Roman" w:hint="default"/>
        <w:b/>
        <w:bCs/>
        <w:i w:val="0"/>
        <w:iCs w:val="0"/>
        <w:spacing w:val="-1"/>
        <w:w w:val="100"/>
        <w:sz w:val="24"/>
        <w:szCs w:val="24"/>
        <w:lang w:val="en-US" w:eastAsia="en-US" w:bidi="ar-SA"/>
      </w:rPr>
    </w:lvl>
    <w:lvl w:ilvl="1" w:tplc="7A84AED4">
      <w:start w:val="1"/>
      <w:numFmt w:val="decimal"/>
      <w:lvlText w:val="%2."/>
      <w:lvlJc w:val="left"/>
      <w:pPr>
        <w:ind w:left="667" w:hanging="567"/>
      </w:pPr>
      <w:rPr>
        <w:rFonts w:ascii="Times New Roman" w:eastAsia="Times New Roman" w:hAnsi="Times New Roman" w:cs="Times New Roman" w:hint="default"/>
        <w:b w:val="0"/>
        <w:bCs w:val="0"/>
        <w:i w:val="0"/>
        <w:iCs w:val="0"/>
        <w:w w:val="100"/>
        <w:sz w:val="24"/>
        <w:szCs w:val="24"/>
        <w:lang w:val="en-US" w:eastAsia="en-US" w:bidi="ar-SA"/>
      </w:rPr>
    </w:lvl>
    <w:lvl w:ilvl="2" w:tplc="75441A1A">
      <w:start w:val="1"/>
      <w:numFmt w:val="lowerLetter"/>
      <w:lvlText w:val="%3."/>
      <w:lvlJc w:val="left"/>
      <w:pPr>
        <w:ind w:left="1233" w:hanging="567"/>
      </w:pPr>
      <w:rPr>
        <w:rFonts w:ascii="Times New Roman" w:eastAsia="Times New Roman" w:hAnsi="Times New Roman" w:cs="Times New Roman" w:hint="default"/>
        <w:b w:val="0"/>
        <w:bCs w:val="0"/>
        <w:i w:val="0"/>
        <w:iCs w:val="0"/>
        <w:spacing w:val="-1"/>
        <w:w w:val="100"/>
        <w:sz w:val="24"/>
        <w:szCs w:val="24"/>
        <w:lang w:val="en-US" w:eastAsia="en-US" w:bidi="ar-SA"/>
      </w:rPr>
    </w:lvl>
    <w:lvl w:ilvl="3" w:tplc="AA40F98A">
      <w:numFmt w:val="bullet"/>
      <w:lvlText w:val="•"/>
      <w:lvlJc w:val="left"/>
      <w:pPr>
        <w:ind w:left="2276" w:hanging="567"/>
      </w:pPr>
      <w:rPr>
        <w:rFonts w:hint="default"/>
        <w:lang w:val="en-US" w:eastAsia="en-US" w:bidi="ar-SA"/>
      </w:rPr>
    </w:lvl>
    <w:lvl w:ilvl="4" w:tplc="C5F4CFB4">
      <w:numFmt w:val="bullet"/>
      <w:lvlText w:val="•"/>
      <w:lvlJc w:val="left"/>
      <w:pPr>
        <w:ind w:left="3312" w:hanging="567"/>
      </w:pPr>
      <w:rPr>
        <w:rFonts w:hint="default"/>
        <w:lang w:val="en-US" w:eastAsia="en-US" w:bidi="ar-SA"/>
      </w:rPr>
    </w:lvl>
    <w:lvl w:ilvl="5" w:tplc="BF98DBDA">
      <w:numFmt w:val="bullet"/>
      <w:lvlText w:val="•"/>
      <w:lvlJc w:val="left"/>
      <w:pPr>
        <w:ind w:left="4349" w:hanging="567"/>
      </w:pPr>
      <w:rPr>
        <w:rFonts w:hint="default"/>
        <w:lang w:val="en-US" w:eastAsia="en-US" w:bidi="ar-SA"/>
      </w:rPr>
    </w:lvl>
    <w:lvl w:ilvl="6" w:tplc="E51CE998">
      <w:numFmt w:val="bullet"/>
      <w:lvlText w:val="•"/>
      <w:lvlJc w:val="left"/>
      <w:pPr>
        <w:ind w:left="5385" w:hanging="567"/>
      </w:pPr>
      <w:rPr>
        <w:rFonts w:hint="default"/>
        <w:lang w:val="en-US" w:eastAsia="en-US" w:bidi="ar-SA"/>
      </w:rPr>
    </w:lvl>
    <w:lvl w:ilvl="7" w:tplc="3036E142">
      <w:numFmt w:val="bullet"/>
      <w:lvlText w:val="•"/>
      <w:lvlJc w:val="left"/>
      <w:pPr>
        <w:ind w:left="6422" w:hanging="567"/>
      </w:pPr>
      <w:rPr>
        <w:rFonts w:hint="default"/>
        <w:lang w:val="en-US" w:eastAsia="en-US" w:bidi="ar-SA"/>
      </w:rPr>
    </w:lvl>
    <w:lvl w:ilvl="8" w:tplc="6024C61C">
      <w:numFmt w:val="bullet"/>
      <w:lvlText w:val="•"/>
      <w:lvlJc w:val="left"/>
      <w:pPr>
        <w:ind w:left="7458" w:hanging="567"/>
      </w:pPr>
      <w:rPr>
        <w:rFonts w:hint="default"/>
        <w:lang w:val="en-US" w:eastAsia="en-US" w:bidi="ar-SA"/>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7FA41B91"/>
    <w:multiLevelType w:val="hybridMultilevel"/>
    <w:tmpl w:val="8E5A860E"/>
    <w:lvl w:ilvl="0" w:tplc="57DE6F66">
      <w:start w:val="1"/>
      <w:numFmt w:val="lowerLetter"/>
      <w:lvlText w:val="(%1)"/>
      <w:lvlJc w:val="left"/>
      <w:pPr>
        <w:ind w:left="2419" w:hanging="1023"/>
      </w:pPr>
      <w:rPr>
        <w:rFonts w:ascii="Times New Roman" w:eastAsia="Times New Roman" w:hAnsi="Times New Roman" w:cs="Times New Roman" w:hint="default"/>
        <w:b w:val="0"/>
        <w:bCs w:val="0"/>
        <w:i w:val="0"/>
        <w:iCs w:val="0"/>
        <w:spacing w:val="-3"/>
        <w:w w:val="103"/>
        <w:sz w:val="22"/>
        <w:szCs w:val="22"/>
        <w:lang w:val="en-US" w:eastAsia="en-US" w:bidi="ar-SA"/>
      </w:rPr>
    </w:lvl>
    <w:lvl w:ilvl="1" w:tplc="2FA2BD1E">
      <w:start w:val="1"/>
      <w:numFmt w:val="lowerRoman"/>
      <w:lvlText w:val="(%2)"/>
      <w:lvlJc w:val="left"/>
      <w:pPr>
        <w:ind w:left="3155" w:hanging="735"/>
      </w:pPr>
      <w:rPr>
        <w:rFonts w:ascii="Times New Roman" w:eastAsia="Times New Roman" w:hAnsi="Times New Roman" w:cs="Times New Roman" w:hint="default"/>
        <w:b w:val="0"/>
        <w:bCs w:val="0"/>
        <w:i w:val="0"/>
        <w:iCs w:val="0"/>
        <w:spacing w:val="-2"/>
        <w:w w:val="100"/>
        <w:sz w:val="22"/>
        <w:szCs w:val="22"/>
        <w:lang w:val="en-US" w:eastAsia="en-US" w:bidi="ar-SA"/>
      </w:rPr>
    </w:lvl>
    <w:lvl w:ilvl="2" w:tplc="AF8897CE">
      <w:numFmt w:val="bullet"/>
      <w:lvlText w:val="•"/>
      <w:lvlJc w:val="left"/>
      <w:pPr>
        <w:ind w:left="3838" w:hanging="735"/>
      </w:pPr>
      <w:rPr>
        <w:rFonts w:hint="default"/>
        <w:lang w:val="en-US" w:eastAsia="en-US" w:bidi="ar-SA"/>
      </w:rPr>
    </w:lvl>
    <w:lvl w:ilvl="3" w:tplc="5CA47844">
      <w:numFmt w:val="bullet"/>
      <w:lvlText w:val="•"/>
      <w:lvlJc w:val="left"/>
      <w:pPr>
        <w:ind w:left="4516" w:hanging="735"/>
      </w:pPr>
      <w:rPr>
        <w:rFonts w:hint="default"/>
        <w:lang w:val="en-US" w:eastAsia="en-US" w:bidi="ar-SA"/>
      </w:rPr>
    </w:lvl>
    <w:lvl w:ilvl="4" w:tplc="546C41D8">
      <w:numFmt w:val="bullet"/>
      <w:lvlText w:val="•"/>
      <w:lvlJc w:val="left"/>
      <w:pPr>
        <w:ind w:left="5195" w:hanging="735"/>
      </w:pPr>
      <w:rPr>
        <w:rFonts w:hint="default"/>
        <w:lang w:val="en-US" w:eastAsia="en-US" w:bidi="ar-SA"/>
      </w:rPr>
    </w:lvl>
    <w:lvl w:ilvl="5" w:tplc="667032F6">
      <w:numFmt w:val="bullet"/>
      <w:lvlText w:val="•"/>
      <w:lvlJc w:val="left"/>
      <w:pPr>
        <w:ind w:left="5873" w:hanging="735"/>
      </w:pPr>
      <w:rPr>
        <w:rFonts w:hint="default"/>
        <w:lang w:val="en-US" w:eastAsia="en-US" w:bidi="ar-SA"/>
      </w:rPr>
    </w:lvl>
    <w:lvl w:ilvl="6" w:tplc="85DE36D8">
      <w:numFmt w:val="bullet"/>
      <w:lvlText w:val="•"/>
      <w:lvlJc w:val="left"/>
      <w:pPr>
        <w:ind w:left="6552" w:hanging="735"/>
      </w:pPr>
      <w:rPr>
        <w:rFonts w:hint="default"/>
        <w:lang w:val="en-US" w:eastAsia="en-US" w:bidi="ar-SA"/>
      </w:rPr>
    </w:lvl>
    <w:lvl w:ilvl="7" w:tplc="8B2EEA6A">
      <w:numFmt w:val="bullet"/>
      <w:lvlText w:val="•"/>
      <w:lvlJc w:val="left"/>
      <w:pPr>
        <w:ind w:left="7230" w:hanging="735"/>
      </w:pPr>
      <w:rPr>
        <w:rFonts w:hint="default"/>
        <w:lang w:val="en-US" w:eastAsia="en-US" w:bidi="ar-SA"/>
      </w:rPr>
    </w:lvl>
    <w:lvl w:ilvl="8" w:tplc="6BFC1710">
      <w:numFmt w:val="bullet"/>
      <w:lvlText w:val="•"/>
      <w:lvlJc w:val="left"/>
      <w:pPr>
        <w:ind w:left="7909" w:hanging="735"/>
      </w:pPr>
      <w:rPr>
        <w:rFonts w:hint="default"/>
        <w:lang w:val="en-US" w:eastAsia="en-US" w:bidi="ar-SA"/>
      </w:rPr>
    </w:lvl>
  </w:abstractNum>
  <w:num w:numId="1" w16cid:durableId="1972780426">
    <w:abstractNumId w:val="17"/>
  </w:num>
  <w:num w:numId="2" w16cid:durableId="918758516">
    <w:abstractNumId w:val="9"/>
  </w:num>
  <w:num w:numId="3" w16cid:durableId="1462458074">
    <w:abstractNumId w:val="7"/>
  </w:num>
  <w:num w:numId="4" w16cid:durableId="482047169">
    <w:abstractNumId w:val="6"/>
  </w:num>
  <w:num w:numId="5" w16cid:durableId="1001080152">
    <w:abstractNumId w:val="5"/>
  </w:num>
  <w:num w:numId="6" w16cid:durableId="913048165">
    <w:abstractNumId w:val="4"/>
  </w:num>
  <w:num w:numId="7" w16cid:durableId="1134985138">
    <w:abstractNumId w:val="8"/>
  </w:num>
  <w:num w:numId="8" w16cid:durableId="5719110">
    <w:abstractNumId w:val="3"/>
  </w:num>
  <w:num w:numId="9" w16cid:durableId="1651981237">
    <w:abstractNumId w:val="2"/>
  </w:num>
  <w:num w:numId="10" w16cid:durableId="255556414">
    <w:abstractNumId w:val="1"/>
  </w:num>
  <w:num w:numId="11" w16cid:durableId="1204059511">
    <w:abstractNumId w:val="0"/>
  </w:num>
  <w:num w:numId="12" w16cid:durableId="916473604">
    <w:abstractNumId w:val="26"/>
  </w:num>
  <w:num w:numId="13" w16cid:durableId="288973383">
    <w:abstractNumId w:val="23"/>
  </w:num>
  <w:num w:numId="14" w16cid:durableId="1891644261">
    <w:abstractNumId w:val="24"/>
  </w:num>
  <w:num w:numId="15" w16cid:durableId="1848474135">
    <w:abstractNumId w:val="29"/>
  </w:num>
  <w:num w:numId="16" w16cid:durableId="1831559959">
    <w:abstractNumId w:val="15"/>
  </w:num>
  <w:num w:numId="17" w16cid:durableId="859392312">
    <w:abstractNumId w:val="27"/>
  </w:num>
  <w:num w:numId="18" w16cid:durableId="1145508176">
    <w:abstractNumId w:val="11"/>
  </w:num>
  <w:num w:numId="19" w16cid:durableId="2067601772">
    <w:abstractNumId w:val="21"/>
  </w:num>
  <w:num w:numId="20" w16cid:durableId="892546642">
    <w:abstractNumId w:val="18"/>
  </w:num>
  <w:num w:numId="21" w16cid:durableId="1501233667">
    <w:abstractNumId w:val="19"/>
  </w:num>
  <w:num w:numId="22" w16cid:durableId="2139834560">
    <w:abstractNumId w:val="22"/>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720"/>
          </w:tabs>
          <w:ind w:left="72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1077677183">
    <w:abstractNumId w:val="10"/>
  </w:num>
  <w:num w:numId="24" w16cid:durableId="274823757">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16cid:durableId="1636375769">
    <w:abstractNumId w:val="14"/>
  </w:num>
  <w:num w:numId="26" w16cid:durableId="1584223243">
    <w:abstractNumId w:val="20"/>
  </w:num>
  <w:num w:numId="27" w16cid:durableId="1856068763">
    <w:abstractNumId w:val="20"/>
  </w:num>
  <w:num w:numId="28" w16cid:durableId="1033382485">
    <w:abstractNumId w:val="20"/>
  </w:num>
  <w:num w:numId="29" w16cid:durableId="1862474871">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1631670172">
    <w:abstractNumId w:val="28"/>
  </w:num>
  <w:num w:numId="31" w16cid:durableId="1743676662">
    <w:abstractNumId w:val="30"/>
  </w:num>
  <w:num w:numId="32" w16cid:durableId="657343508">
    <w:abstractNumId w:val="13"/>
  </w:num>
  <w:num w:numId="33" w16cid:durableId="221143394">
    <w:abstractNumId w:val="16"/>
  </w:num>
  <w:num w:numId="34" w16cid:durableId="1402631528">
    <w:abstractNumId w:val="22"/>
    <w:lvlOverride w:ilvl="0">
      <w:lvl w:ilvl="0">
        <w:start w:val="1"/>
        <w:numFmt w:val="lowerLetter"/>
        <w:pStyle w:val="ListNo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ListNo2"/>
        <w:lvlText w:val="%2."/>
        <w:lvlJc w:val="left"/>
        <w:pPr>
          <w:ind w:left="1080" w:hanging="360"/>
        </w:pPr>
        <w:rPr>
          <w:rFonts w:hint="default"/>
        </w:rPr>
      </w:lvl>
    </w:lvlOverride>
    <w:lvlOverride w:ilvl="2">
      <w:lvl w:ilvl="2">
        <w:start w:val="1"/>
        <w:numFmt w:val="lowerRoman"/>
        <w:pStyle w:val="ListNo3"/>
        <w:lvlText w:val="%3."/>
        <w:lvlJc w:val="right"/>
        <w:pPr>
          <w:ind w:left="1800" w:hanging="180"/>
        </w:pPr>
        <w:rPr>
          <w:rFonts w:hint="default"/>
        </w:rPr>
      </w:lvl>
    </w:lvlOverride>
    <w:lvlOverride w:ilvl="3">
      <w:lvl w:ilvl="3">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5" w16cid:durableId="548954082">
    <w:abstractNumId w:val="18"/>
  </w:num>
  <w:num w:numId="36" w16cid:durableId="16286559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3675607">
    <w:abstractNumId w:val="10"/>
  </w:num>
  <w:num w:numId="38" w16cid:durableId="1452506195">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16cid:durableId="1041587293">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16cid:durableId="1384065336">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16cid:durableId="2027250717">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16cid:durableId="852960993">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16cid:durableId="1966421742">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16cid:durableId="473105387">
    <w:abstractNumId w:val="12"/>
    <w:lvlOverride w:ilvl="0">
      <w:startOverride w:val="52"/>
    </w:lvlOverride>
  </w:num>
  <w:num w:numId="45" w16cid:durableId="1409418693">
    <w:abstractNumId w:val="25"/>
    <w:lvlOverride w:ilvl="0">
      <w:startOverride w:val="4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Deputy Commissioner of Taxation"/>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201 of 2021"/>
    <w:docVar w:name="Initiators" w:val="(and another named in the Schedule)"/>
    <w:docVar w:name="Judgdate" w:val="16 April 2024"/>
    <w:docVar w:name="Judge" w:val="Abraham"/>
    <w:docVar w:name="JudgeType" w:val="Justice"/>
    <w:docVar w:name="lstEntryList" w:val="-1"/>
    <w:docVar w:name="NSD" w:val="NSD "/>
    <w:docVar w:name="NumApps" w:val="1"/>
    <w:docVar w:name="NumApps_" w:val="1"/>
    <w:docVar w:name="NumCrossResps" w:val="0"/>
    <w:docVar w:name="NumDefs" w:val="6"/>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axation"/>
    <w:docVar w:name="RESAndAnother" w:val="False"/>
    <w:docVar w:name="RESAndOthers" w:val="True"/>
    <w:docVar w:name="Respondent" w:val="Nedzac Kocic|Almira Kocic|Senad Kocic|Elvira Kocic|Koch71 Pty Ltd ACN 155 181 712|Koch Commercial Pty Ltd ACN 604 679 576"/>
    <w:docVar w:name="ResState" w:val="New South Wales"/>
    <w:docVar w:name="SubArea" w:val="(none)"/>
  </w:docVars>
  <w:rsids>
    <w:rsidRoot w:val="0041188A"/>
    <w:rsid w:val="00000747"/>
    <w:rsid w:val="00000D13"/>
    <w:rsid w:val="00001417"/>
    <w:rsid w:val="00001E92"/>
    <w:rsid w:val="0000366D"/>
    <w:rsid w:val="00005DD5"/>
    <w:rsid w:val="000077D6"/>
    <w:rsid w:val="00010CD6"/>
    <w:rsid w:val="000115C5"/>
    <w:rsid w:val="0001469E"/>
    <w:rsid w:val="00015993"/>
    <w:rsid w:val="00016AC1"/>
    <w:rsid w:val="00016BEA"/>
    <w:rsid w:val="000206F9"/>
    <w:rsid w:val="00021886"/>
    <w:rsid w:val="00021CCB"/>
    <w:rsid w:val="00022289"/>
    <w:rsid w:val="000237E9"/>
    <w:rsid w:val="00025EBC"/>
    <w:rsid w:val="00027398"/>
    <w:rsid w:val="00027873"/>
    <w:rsid w:val="00030AE2"/>
    <w:rsid w:val="0003201A"/>
    <w:rsid w:val="0003207A"/>
    <w:rsid w:val="000327D0"/>
    <w:rsid w:val="00032F9F"/>
    <w:rsid w:val="000355E9"/>
    <w:rsid w:val="00037E2E"/>
    <w:rsid w:val="00040822"/>
    <w:rsid w:val="0004110B"/>
    <w:rsid w:val="00041C07"/>
    <w:rsid w:val="00045BB7"/>
    <w:rsid w:val="000471ED"/>
    <w:rsid w:val="00055719"/>
    <w:rsid w:val="0005641B"/>
    <w:rsid w:val="00060395"/>
    <w:rsid w:val="00060867"/>
    <w:rsid w:val="0006196A"/>
    <w:rsid w:val="000628EE"/>
    <w:rsid w:val="00062CD0"/>
    <w:rsid w:val="00062F3B"/>
    <w:rsid w:val="00064E57"/>
    <w:rsid w:val="000650F0"/>
    <w:rsid w:val="0006594A"/>
    <w:rsid w:val="00071FB3"/>
    <w:rsid w:val="000749F3"/>
    <w:rsid w:val="00076364"/>
    <w:rsid w:val="00077768"/>
    <w:rsid w:val="00081497"/>
    <w:rsid w:val="00081BB6"/>
    <w:rsid w:val="00082C68"/>
    <w:rsid w:val="00082EC2"/>
    <w:rsid w:val="000831EC"/>
    <w:rsid w:val="00084126"/>
    <w:rsid w:val="00084948"/>
    <w:rsid w:val="00084B9B"/>
    <w:rsid w:val="00085255"/>
    <w:rsid w:val="00092C43"/>
    <w:rsid w:val="000934CF"/>
    <w:rsid w:val="0009465A"/>
    <w:rsid w:val="00094F0C"/>
    <w:rsid w:val="0009530C"/>
    <w:rsid w:val="000974E5"/>
    <w:rsid w:val="000A001B"/>
    <w:rsid w:val="000A0489"/>
    <w:rsid w:val="000A148C"/>
    <w:rsid w:val="000A2852"/>
    <w:rsid w:val="000A2A18"/>
    <w:rsid w:val="000A2E76"/>
    <w:rsid w:val="000A4807"/>
    <w:rsid w:val="000A4BE4"/>
    <w:rsid w:val="000B12C9"/>
    <w:rsid w:val="000B52F7"/>
    <w:rsid w:val="000B5BF4"/>
    <w:rsid w:val="000B6771"/>
    <w:rsid w:val="000C023E"/>
    <w:rsid w:val="000C1FB1"/>
    <w:rsid w:val="000C405D"/>
    <w:rsid w:val="000C4630"/>
    <w:rsid w:val="000C5195"/>
    <w:rsid w:val="000C62EF"/>
    <w:rsid w:val="000C68A9"/>
    <w:rsid w:val="000C742C"/>
    <w:rsid w:val="000D2137"/>
    <w:rsid w:val="000D3FD2"/>
    <w:rsid w:val="000D4B2E"/>
    <w:rsid w:val="000D6F22"/>
    <w:rsid w:val="000E3FC8"/>
    <w:rsid w:val="000E43B2"/>
    <w:rsid w:val="000E7BAE"/>
    <w:rsid w:val="000F133D"/>
    <w:rsid w:val="000F1FB6"/>
    <w:rsid w:val="000F7008"/>
    <w:rsid w:val="000F76D4"/>
    <w:rsid w:val="000F79CA"/>
    <w:rsid w:val="001020F7"/>
    <w:rsid w:val="00104927"/>
    <w:rsid w:val="0010536B"/>
    <w:rsid w:val="001104B1"/>
    <w:rsid w:val="0011145C"/>
    <w:rsid w:val="001128BD"/>
    <w:rsid w:val="00113BB5"/>
    <w:rsid w:val="0011419D"/>
    <w:rsid w:val="00114B02"/>
    <w:rsid w:val="00115CC8"/>
    <w:rsid w:val="001160E4"/>
    <w:rsid w:val="00117125"/>
    <w:rsid w:val="001213B7"/>
    <w:rsid w:val="001226C0"/>
    <w:rsid w:val="00122A97"/>
    <w:rsid w:val="00126137"/>
    <w:rsid w:val="00126EC8"/>
    <w:rsid w:val="00126F74"/>
    <w:rsid w:val="00127212"/>
    <w:rsid w:val="0012731C"/>
    <w:rsid w:val="001274EB"/>
    <w:rsid w:val="00131BE9"/>
    <w:rsid w:val="00132054"/>
    <w:rsid w:val="001336BC"/>
    <w:rsid w:val="001345BF"/>
    <w:rsid w:val="00134964"/>
    <w:rsid w:val="001351B9"/>
    <w:rsid w:val="00137BA2"/>
    <w:rsid w:val="00143E8F"/>
    <w:rsid w:val="00145B7A"/>
    <w:rsid w:val="00154231"/>
    <w:rsid w:val="00155CD2"/>
    <w:rsid w:val="00167F4F"/>
    <w:rsid w:val="001727A4"/>
    <w:rsid w:val="00172825"/>
    <w:rsid w:val="0017376C"/>
    <w:rsid w:val="001738AB"/>
    <w:rsid w:val="00173BFF"/>
    <w:rsid w:val="00174809"/>
    <w:rsid w:val="001765E0"/>
    <w:rsid w:val="001772E5"/>
    <w:rsid w:val="00177500"/>
    <w:rsid w:val="00177759"/>
    <w:rsid w:val="001806D3"/>
    <w:rsid w:val="00180B0F"/>
    <w:rsid w:val="00180BB3"/>
    <w:rsid w:val="00184C34"/>
    <w:rsid w:val="001855DD"/>
    <w:rsid w:val="00185DD6"/>
    <w:rsid w:val="00185E6B"/>
    <w:rsid w:val="00187BBC"/>
    <w:rsid w:val="001932F3"/>
    <w:rsid w:val="00194F67"/>
    <w:rsid w:val="00195CBD"/>
    <w:rsid w:val="001A0213"/>
    <w:rsid w:val="001A2B40"/>
    <w:rsid w:val="001A32B8"/>
    <w:rsid w:val="001A4309"/>
    <w:rsid w:val="001A46AE"/>
    <w:rsid w:val="001A6356"/>
    <w:rsid w:val="001A6C52"/>
    <w:rsid w:val="001B1053"/>
    <w:rsid w:val="001B14AC"/>
    <w:rsid w:val="001B4CD4"/>
    <w:rsid w:val="001B7940"/>
    <w:rsid w:val="001C0132"/>
    <w:rsid w:val="001C0292"/>
    <w:rsid w:val="001C171A"/>
    <w:rsid w:val="001C2A88"/>
    <w:rsid w:val="001C2FE0"/>
    <w:rsid w:val="001C37CA"/>
    <w:rsid w:val="001C4085"/>
    <w:rsid w:val="001C42FB"/>
    <w:rsid w:val="001D05A6"/>
    <w:rsid w:val="001D0634"/>
    <w:rsid w:val="001D1F1F"/>
    <w:rsid w:val="001D2759"/>
    <w:rsid w:val="001D4303"/>
    <w:rsid w:val="001D6746"/>
    <w:rsid w:val="001D7059"/>
    <w:rsid w:val="001E0C61"/>
    <w:rsid w:val="001E1D8D"/>
    <w:rsid w:val="001E3495"/>
    <w:rsid w:val="001E3B49"/>
    <w:rsid w:val="001E47B5"/>
    <w:rsid w:val="001E4A05"/>
    <w:rsid w:val="001E597C"/>
    <w:rsid w:val="001E6A19"/>
    <w:rsid w:val="001E7388"/>
    <w:rsid w:val="001E7BC9"/>
    <w:rsid w:val="001F13DD"/>
    <w:rsid w:val="001F2473"/>
    <w:rsid w:val="001F28AD"/>
    <w:rsid w:val="001F2DBC"/>
    <w:rsid w:val="001F4CF5"/>
    <w:rsid w:val="001F73E8"/>
    <w:rsid w:val="0020138F"/>
    <w:rsid w:val="0020262C"/>
    <w:rsid w:val="00202723"/>
    <w:rsid w:val="00202897"/>
    <w:rsid w:val="00207360"/>
    <w:rsid w:val="00207438"/>
    <w:rsid w:val="00207736"/>
    <w:rsid w:val="00210E8F"/>
    <w:rsid w:val="00211A3E"/>
    <w:rsid w:val="00213F20"/>
    <w:rsid w:val="00214055"/>
    <w:rsid w:val="00215BCA"/>
    <w:rsid w:val="002160F5"/>
    <w:rsid w:val="00217AC4"/>
    <w:rsid w:val="00220E93"/>
    <w:rsid w:val="00221461"/>
    <w:rsid w:val="00221845"/>
    <w:rsid w:val="00222599"/>
    <w:rsid w:val="00223A81"/>
    <w:rsid w:val="00224537"/>
    <w:rsid w:val="00226FF8"/>
    <w:rsid w:val="0022708E"/>
    <w:rsid w:val="00227CD3"/>
    <w:rsid w:val="00227CE4"/>
    <w:rsid w:val="00233483"/>
    <w:rsid w:val="00235956"/>
    <w:rsid w:val="00240B9C"/>
    <w:rsid w:val="0024298E"/>
    <w:rsid w:val="00242B24"/>
    <w:rsid w:val="002435C4"/>
    <w:rsid w:val="00243E5E"/>
    <w:rsid w:val="002467A6"/>
    <w:rsid w:val="00247520"/>
    <w:rsid w:val="00247C9A"/>
    <w:rsid w:val="002508BD"/>
    <w:rsid w:val="0025160C"/>
    <w:rsid w:val="00252DDC"/>
    <w:rsid w:val="002535D0"/>
    <w:rsid w:val="002539B3"/>
    <w:rsid w:val="00256336"/>
    <w:rsid w:val="00257221"/>
    <w:rsid w:val="00257C3E"/>
    <w:rsid w:val="002602C2"/>
    <w:rsid w:val="002632EC"/>
    <w:rsid w:val="00263A81"/>
    <w:rsid w:val="002648BD"/>
    <w:rsid w:val="002666C9"/>
    <w:rsid w:val="00270136"/>
    <w:rsid w:val="00270FD7"/>
    <w:rsid w:val="00273AEA"/>
    <w:rsid w:val="00274F5B"/>
    <w:rsid w:val="00275745"/>
    <w:rsid w:val="0027608B"/>
    <w:rsid w:val="00277780"/>
    <w:rsid w:val="00280836"/>
    <w:rsid w:val="00282E1A"/>
    <w:rsid w:val="002840F1"/>
    <w:rsid w:val="00285922"/>
    <w:rsid w:val="002868F9"/>
    <w:rsid w:val="002870C3"/>
    <w:rsid w:val="0029113B"/>
    <w:rsid w:val="00292D5C"/>
    <w:rsid w:val="002934C0"/>
    <w:rsid w:val="002938CF"/>
    <w:rsid w:val="00293E1F"/>
    <w:rsid w:val="00293FD1"/>
    <w:rsid w:val="0029764C"/>
    <w:rsid w:val="002A009D"/>
    <w:rsid w:val="002A1B50"/>
    <w:rsid w:val="002A431F"/>
    <w:rsid w:val="002B0E91"/>
    <w:rsid w:val="002B132C"/>
    <w:rsid w:val="002B2A69"/>
    <w:rsid w:val="002B376D"/>
    <w:rsid w:val="002B3F23"/>
    <w:rsid w:val="002B4153"/>
    <w:rsid w:val="002B4EB5"/>
    <w:rsid w:val="002B5AF5"/>
    <w:rsid w:val="002B6779"/>
    <w:rsid w:val="002B6C58"/>
    <w:rsid w:val="002B71C0"/>
    <w:rsid w:val="002B7A34"/>
    <w:rsid w:val="002C1534"/>
    <w:rsid w:val="002C26DC"/>
    <w:rsid w:val="002C29DD"/>
    <w:rsid w:val="002C31AD"/>
    <w:rsid w:val="002C452F"/>
    <w:rsid w:val="002C6DFF"/>
    <w:rsid w:val="002C7385"/>
    <w:rsid w:val="002D2DBB"/>
    <w:rsid w:val="002D37D8"/>
    <w:rsid w:val="002D49E3"/>
    <w:rsid w:val="002D54A6"/>
    <w:rsid w:val="002D7C37"/>
    <w:rsid w:val="002E3779"/>
    <w:rsid w:val="002E421C"/>
    <w:rsid w:val="002E5BF9"/>
    <w:rsid w:val="002E6A7A"/>
    <w:rsid w:val="002F05F8"/>
    <w:rsid w:val="002F1400"/>
    <w:rsid w:val="002F1E49"/>
    <w:rsid w:val="002F4E9C"/>
    <w:rsid w:val="002F6E15"/>
    <w:rsid w:val="00302F4E"/>
    <w:rsid w:val="00304E6E"/>
    <w:rsid w:val="00305A40"/>
    <w:rsid w:val="0030798C"/>
    <w:rsid w:val="0031256C"/>
    <w:rsid w:val="00314D6C"/>
    <w:rsid w:val="00316D2A"/>
    <w:rsid w:val="00316E77"/>
    <w:rsid w:val="00320BEB"/>
    <w:rsid w:val="00321090"/>
    <w:rsid w:val="00322A7C"/>
    <w:rsid w:val="00322EEC"/>
    <w:rsid w:val="00323061"/>
    <w:rsid w:val="00336414"/>
    <w:rsid w:val="003402D3"/>
    <w:rsid w:val="0034068E"/>
    <w:rsid w:val="00343ABC"/>
    <w:rsid w:val="00344FC0"/>
    <w:rsid w:val="003463FE"/>
    <w:rsid w:val="00347093"/>
    <w:rsid w:val="003472FC"/>
    <w:rsid w:val="00347D41"/>
    <w:rsid w:val="00351691"/>
    <w:rsid w:val="003525D4"/>
    <w:rsid w:val="003554B3"/>
    <w:rsid w:val="00356632"/>
    <w:rsid w:val="003575B6"/>
    <w:rsid w:val="00357C7E"/>
    <w:rsid w:val="00357ED0"/>
    <w:rsid w:val="00362859"/>
    <w:rsid w:val="003637DB"/>
    <w:rsid w:val="003653B6"/>
    <w:rsid w:val="00367EE3"/>
    <w:rsid w:val="00370327"/>
    <w:rsid w:val="003708EF"/>
    <w:rsid w:val="00371051"/>
    <w:rsid w:val="00371632"/>
    <w:rsid w:val="00373956"/>
    <w:rsid w:val="00374CC4"/>
    <w:rsid w:val="00375AF5"/>
    <w:rsid w:val="003774B2"/>
    <w:rsid w:val="00380F2D"/>
    <w:rsid w:val="003839FD"/>
    <w:rsid w:val="003845A9"/>
    <w:rsid w:val="003848F9"/>
    <w:rsid w:val="003850C9"/>
    <w:rsid w:val="00390883"/>
    <w:rsid w:val="0039139E"/>
    <w:rsid w:val="00391913"/>
    <w:rsid w:val="003922F8"/>
    <w:rsid w:val="0039248D"/>
    <w:rsid w:val="00395B24"/>
    <w:rsid w:val="00396119"/>
    <w:rsid w:val="00396867"/>
    <w:rsid w:val="003A1E8E"/>
    <w:rsid w:val="003A219F"/>
    <w:rsid w:val="003A2D38"/>
    <w:rsid w:val="003A3566"/>
    <w:rsid w:val="003A534E"/>
    <w:rsid w:val="003A7ECC"/>
    <w:rsid w:val="003B2C72"/>
    <w:rsid w:val="003B52C4"/>
    <w:rsid w:val="003B5773"/>
    <w:rsid w:val="003B58B4"/>
    <w:rsid w:val="003B69E8"/>
    <w:rsid w:val="003C08E4"/>
    <w:rsid w:val="003C1333"/>
    <w:rsid w:val="003C20FF"/>
    <w:rsid w:val="003C336E"/>
    <w:rsid w:val="003C36E8"/>
    <w:rsid w:val="003C4CBD"/>
    <w:rsid w:val="003C550A"/>
    <w:rsid w:val="003C6055"/>
    <w:rsid w:val="003D2650"/>
    <w:rsid w:val="003D468B"/>
    <w:rsid w:val="003D560C"/>
    <w:rsid w:val="003D5C00"/>
    <w:rsid w:val="003D7F96"/>
    <w:rsid w:val="003E0420"/>
    <w:rsid w:val="003E0994"/>
    <w:rsid w:val="003E1E0B"/>
    <w:rsid w:val="003E3154"/>
    <w:rsid w:val="003E3872"/>
    <w:rsid w:val="003E3AB3"/>
    <w:rsid w:val="003E5874"/>
    <w:rsid w:val="003E72D3"/>
    <w:rsid w:val="003F193E"/>
    <w:rsid w:val="003F242C"/>
    <w:rsid w:val="003F34F1"/>
    <w:rsid w:val="003F6E9C"/>
    <w:rsid w:val="00401F01"/>
    <w:rsid w:val="004025A9"/>
    <w:rsid w:val="004031D8"/>
    <w:rsid w:val="00404A04"/>
    <w:rsid w:val="00405F6B"/>
    <w:rsid w:val="00407A64"/>
    <w:rsid w:val="00407E21"/>
    <w:rsid w:val="004104B6"/>
    <w:rsid w:val="004104EE"/>
    <w:rsid w:val="0041188A"/>
    <w:rsid w:val="00411A6E"/>
    <w:rsid w:val="00411AE8"/>
    <w:rsid w:val="0041329A"/>
    <w:rsid w:val="00413B74"/>
    <w:rsid w:val="004141B9"/>
    <w:rsid w:val="00424B7A"/>
    <w:rsid w:val="00430B92"/>
    <w:rsid w:val="004341CA"/>
    <w:rsid w:val="004342F3"/>
    <w:rsid w:val="00435C5F"/>
    <w:rsid w:val="00436155"/>
    <w:rsid w:val="00436460"/>
    <w:rsid w:val="00436AA7"/>
    <w:rsid w:val="00441338"/>
    <w:rsid w:val="00441E98"/>
    <w:rsid w:val="004506C8"/>
    <w:rsid w:val="00450F3A"/>
    <w:rsid w:val="00452144"/>
    <w:rsid w:val="004532F7"/>
    <w:rsid w:val="004538C8"/>
    <w:rsid w:val="00453B22"/>
    <w:rsid w:val="00453FD6"/>
    <w:rsid w:val="00455731"/>
    <w:rsid w:val="00462F41"/>
    <w:rsid w:val="00463C2B"/>
    <w:rsid w:val="00464D51"/>
    <w:rsid w:val="00465E82"/>
    <w:rsid w:val="00466E61"/>
    <w:rsid w:val="00467749"/>
    <w:rsid w:val="004679D7"/>
    <w:rsid w:val="004700BD"/>
    <w:rsid w:val="00471697"/>
    <w:rsid w:val="00472027"/>
    <w:rsid w:val="004724AB"/>
    <w:rsid w:val="00472D86"/>
    <w:rsid w:val="00473F88"/>
    <w:rsid w:val="004804CF"/>
    <w:rsid w:val="004809C5"/>
    <w:rsid w:val="004820AB"/>
    <w:rsid w:val="00483314"/>
    <w:rsid w:val="00483B96"/>
    <w:rsid w:val="00483BD9"/>
    <w:rsid w:val="00484962"/>
    <w:rsid w:val="00484F6D"/>
    <w:rsid w:val="00484FB7"/>
    <w:rsid w:val="0048554D"/>
    <w:rsid w:val="004859AC"/>
    <w:rsid w:val="004870BB"/>
    <w:rsid w:val="004877BB"/>
    <w:rsid w:val="00491FAF"/>
    <w:rsid w:val="0049338A"/>
    <w:rsid w:val="00493788"/>
    <w:rsid w:val="00494098"/>
    <w:rsid w:val="0049417F"/>
    <w:rsid w:val="00496D41"/>
    <w:rsid w:val="00497A3F"/>
    <w:rsid w:val="004A356B"/>
    <w:rsid w:val="004A3C75"/>
    <w:rsid w:val="004A6602"/>
    <w:rsid w:val="004A7DF3"/>
    <w:rsid w:val="004B33E5"/>
    <w:rsid w:val="004B3EFA"/>
    <w:rsid w:val="004C01D5"/>
    <w:rsid w:val="004C2310"/>
    <w:rsid w:val="004C2A87"/>
    <w:rsid w:val="004C4D7B"/>
    <w:rsid w:val="004C4ED3"/>
    <w:rsid w:val="004C6040"/>
    <w:rsid w:val="004C667B"/>
    <w:rsid w:val="004C7105"/>
    <w:rsid w:val="004C7ECD"/>
    <w:rsid w:val="004D1318"/>
    <w:rsid w:val="004D21CB"/>
    <w:rsid w:val="004D2EA5"/>
    <w:rsid w:val="004D32A6"/>
    <w:rsid w:val="004D458E"/>
    <w:rsid w:val="004D5182"/>
    <w:rsid w:val="004D53E5"/>
    <w:rsid w:val="004D7950"/>
    <w:rsid w:val="004E6C3D"/>
    <w:rsid w:val="004E6DC4"/>
    <w:rsid w:val="004E6EC8"/>
    <w:rsid w:val="004F21C1"/>
    <w:rsid w:val="004F2651"/>
    <w:rsid w:val="004F2D3A"/>
    <w:rsid w:val="004F4160"/>
    <w:rsid w:val="004F4FA9"/>
    <w:rsid w:val="00501A12"/>
    <w:rsid w:val="00501ADC"/>
    <w:rsid w:val="00501CDF"/>
    <w:rsid w:val="0050309C"/>
    <w:rsid w:val="0050360F"/>
    <w:rsid w:val="005055D0"/>
    <w:rsid w:val="00505E56"/>
    <w:rsid w:val="00511FD1"/>
    <w:rsid w:val="0051327C"/>
    <w:rsid w:val="0051346D"/>
    <w:rsid w:val="00513EAE"/>
    <w:rsid w:val="0051434F"/>
    <w:rsid w:val="0051561E"/>
    <w:rsid w:val="005162CC"/>
    <w:rsid w:val="00516806"/>
    <w:rsid w:val="0051747C"/>
    <w:rsid w:val="0052098C"/>
    <w:rsid w:val="00521368"/>
    <w:rsid w:val="00522ADC"/>
    <w:rsid w:val="005233F9"/>
    <w:rsid w:val="00523BFF"/>
    <w:rsid w:val="00524862"/>
    <w:rsid w:val="00524A00"/>
    <w:rsid w:val="00525A49"/>
    <w:rsid w:val="005262D1"/>
    <w:rsid w:val="0053058F"/>
    <w:rsid w:val="00530876"/>
    <w:rsid w:val="005308BC"/>
    <w:rsid w:val="00533DD9"/>
    <w:rsid w:val="00535613"/>
    <w:rsid w:val="005359EB"/>
    <w:rsid w:val="0054141F"/>
    <w:rsid w:val="0054254A"/>
    <w:rsid w:val="00542FB2"/>
    <w:rsid w:val="0054500B"/>
    <w:rsid w:val="00545E31"/>
    <w:rsid w:val="005466B5"/>
    <w:rsid w:val="00547890"/>
    <w:rsid w:val="005535AA"/>
    <w:rsid w:val="005540FA"/>
    <w:rsid w:val="00554314"/>
    <w:rsid w:val="00557A0A"/>
    <w:rsid w:val="00562829"/>
    <w:rsid w:val="005629B3"/>
    <w:rsid w:val="005640C6"/>
    <w:rsid w:val="0056609A"/>
    <w:rsid w:val="0056704A"/>
    <w:rsid w:val="0057128A"/>
    <w:rsid w:val="00571A31"/>
    <w:rsid w:val="005724F6"/>
    <w:rsid w:val="00573AC4"/>
    <w:rsid w:val="005774B3"/>
    <w:rsid w:val="00577B07"/>
    <w:rsid w:val="005801FC"/>
    <w:rsid w:val="0058170E"/>
    <w:rsid w:val="00581988"/>
    <w:rsid w:val="00585BA9"/>
    <w:rsid w:val="00587359"/>
    <w:rsid w:val="00590635"/>
    <w:rsid w:val="00590EA8"/>
    <w:rsid w:val="00594274"/>
    <w:rsid w:val="00594A6C"/>
    <w:rsid w:val="00595016"/>
    <w:rsid w:val="00595C52"/>
    <w:rsid w:val="005977B9"/>
    <w:rsid w:val="00597AAE"/>
    <w:rsid w:val="005A1AA1"/>
    <w:rsid w:val="005A222C"/>
    <w:rsid w:val="005A4DF8"/>
    <w:rsid w:val="005A739E"/>
    <w:rsid w:val="005A78C8"/>
    <w:rsid w:val="005B0E2A"/>
    <w:rsid w:val="005B1426"/>
    <w:rsid w:val="005B61CC"/>
    <w:rsid w:val="005C0A8E"/>
    <w:rsid w:val="005C1767"/>
    <w:rsid w:val="005C185C"/>
    <w:rsid w:val="005C27BD"/>
    <w:rsid w:val="005C42EF"/>
    <w:rsid w:val="005C4B63"/>
    <w:rsid w:val="005C5953"/>
    <w:rsid w:val="005C634E"/>
    <w:rsid w:val="005D1798"/>
    <w:rsid w:val="005D2712"/>
    <w:rsid w:val="005D2FBC"/>
    <w:rsid w:val="005E02F5"/>
    <w:rsid w:val="005E0510"/>
    <w:rsid w:val="005E176E"/>
    <w:rsid w:val="005E218E"/>
    <w:rsid w:val="005E21C4"/>
    <w:rsid w:val="005E35A0"/>
    <w:rsid w:val="005E3A14"/>
    <w:rsid w:val="005E522A"/>
    <w:rsid w:val="005E74AA"/>
    <w:rsid w:val="005F0498"/>
    <w:rsid w:val="005F0D1B"/>
    <w:rsid w:val="005F0F9F"/>
    <w:rsid w:val="005F1865"/>
    <w:rsid w:val="005F2581"/>
    <w:rsid w:val="005F4CAC"/>
    <w:rsid w:val="005F57BB"/>
    <w:rsid w:val="005F7169"/>
    <w:rsid w:val="006007BD"/>
    <w:rsid w:val="006013C8"/>
    <w:rsid w:val="006016DC"/>
    <w:rsid w:val="0060270D"/>
    <w:rsid w:val="00604342"/>
    <w:rsid w:val="00604611"/>
    <w:rsid w:val="00605F31"/>
    <w:rsid w:val="00607F18"/>
    <w:rsid w:val="00611586"/>
    <w:rsid w:val="00612D26"/>
    <w:rsid w:val="00615855"/>
    <w:rsid w:val="00616564"/>
    <w:rsid w:val="006178CD"/>
    <w:rsid w:val="00620DA8"/>
    <w:rsid w:val="00621887"/>
    <w:rsid w:val="006230C1"/>
    <w:rsid w:val="00624520"/>
    <w:rsid w:val="00626123"/>
    <w:rsid w:val="00626135"/>
    <w:rsid w:val="006271F5"/>
    <w:rsid w:val="00630586"/>
    <w:rsid w:val="00632300"/>
    <w:rsid w:val="00632BB7"/>
    <w:rsid w:val="00634728"/>
    <w:rsid w:val="00635B36"/>
    <w:rsid w:val="00635C14"/>
    <w:rsid w:val="00636871"/>
    <w:rsid w:val="00640EE1"/>
    <w:rsid w:val="00640F4E"/>
    <w:rsid w:val="0064148B"/>
    <w:rsid w:val="00643DE0"/>
    <w:rsid w:val="0064437D"/>
    <w:rsid w:val="00644E85"/>
    <w:rsid w:val="00646C2F"/>
    <w:rsid w:val="006506FB"/>
    <w:rsid w:val="006516D8"/>
    <w:rsid w:val="00652C52"/>
    <w:rsid w:val="0066063F"/>
    <w:rsid w:val="00662BB0"/>
    <w:rsid w:val="00662D0C"/>
    <w:rsid w:val="00663878"/>
    <w:rsid w:val="00667773"/>
    <w:rsid w:val="00667EFE"/>
    <w:rsid w:val="00670743"/>
    <w:rsid w:val="006737FC"/>
    <w:rsid w:val="0067576C"/>
    <w:rsid w:val="00676019"/>
    <w:rsid w:val="00676D19"/>
    <w:rsid w:val="00680A85"/>
    <w:rsid w:val="00681ADF"/>
    <w:rsid w:val="006867FB"/>
    <w:rsid w:val="00690EE2"/>
    <w:rsid w:val="00691D9D"/>
    <w:rsid w:val="0069306A"/>
    <w:rsid w:val="00693854"/>
    <w:rsid w:val="00694BEB"/>
    <w:rsid w:val="00695B78"/>
    <w:rsid w:val="0069767E"/>
    <w:rsid w:val="006A0E20"/>
    <w:rsid w:val="006A24E3"/>
    <w:rsid w:val="006A3B0A"/>
    <w:rsid w:val="006A5695"/>
    <w:rsid w:val="006A6FD0"/>
    <w:rsid w:val="006A77A1"/>
    <w:rsid w:val="006B0439"/>
    <w:rsid w:val="006B3904"/>
    <w:rsid w:val="006B5B7D"/>
    <w:rsid w:val="006B65F4"/>
    <w:rsid w:val="006B6B62"/>
    <w:rsid w:val="006B70E1"/>
    <w:rsid w:val="006C5B46"/>
    <w:rsid w:val="006C679B"/>
    <w:rsid w:val="006C6E39"/>
    <w:rsid w:val="006C7E24"/>
    <w:rsid w:val="006D0ECF"/>
    <w:rsid w:val="006D2106"/>
    <w:rsid w:val="006D3D5B"/>
    <w:rsid w:val="006D4467"/>
    <w:rsid w:val="006D4C92"/>
    <w:rsid w:val="006D4EB6"/>
    <w:rsid w:val="006D7325"/>
    <w:rsid w:val="006D7FBC"/>
    <w:rsid w:val="006E01F7"/>
    <w:rsid w:val="006E23EA"/>
    <w:rsid w:val="006E304A"/>
    <w:rsid w:val="006E35BF"/>
    <w:rsid w:val="006E6969"/>
    <w:rsid w:val="006E6BFF"/>
    <w:rsid w:val="006E7850"/>
    <w:rsid w:val="006F19D8"/>
    <w:rsid w:val="006F46D6"/>
    <w:rsid w:val="006F4BBB"/>
    <w:rsid w:val="007019EC"/>
    <w:rsid w:val="007028D9"/>
    <w:rsid w:val="00703DA8"/>
    <w:rsid w:val="00706637"/>
    <w:rsid w:val="0070716F"/>
    <w:rsid w:val="00707218"/>
    <w:rsid w:val="00710D04"/>
    <w:rsid w:val="007129E5"/>
    <w:rsid w:val="00712B1D"/>
    <w:rsid w:val="00715751"/>
    <w:rsid w:val="007171BA"/>
    <w:rsid w:val="00717616"/>
    <w:rsid w:val="00720C1A"/>
    <w:rsid w:val="00730D88"/>
    <w:rsid w:val="0073176C"/>
    <w:rsid w:val="0073211E"/>
    <w:rsid w:val="007325D9"/>
    <w:rsid w:val="00733BB7"/>
    <w:rsid w:val="0073413F"/>
    <w:rsid w:val="0073583B"/>
    <w:rsid w:val="00735FC4"/>
    <w:rsid w:val="007360CA"/>
    <w:rsid w:val="007361BC"/>
    <w:rsid w:val="007363E2"/>
    <w:rsid w:val="00744F0D"/>
    <w:rsid w:val="0074667B"/>
    <w:rsid w:val="007470BD"/>
    <w:rsid w:val="007477FA"/>
    <w:rsid w:val="00751774"/>
    <w:rsid w:val="00752414"/>
    <w:rsid w:val="00754335"/>
    <w:rsid w:val="00754D51"/>
    <w:rsid w:val="00755E20"/>
    <w:rsid w:val="00760CA2"/>
    <w:rsid w:val="00760EC0"/>
    <w:rsid w:val="0076734F"/>
    <w:rsid w:val="00770FB1"/>
    <w:rsid w:val="007711BD"/>
    <w:rsid w:val="0077146E"/>
    <w:rsid w:val="007728DA"/>
    <w:rsid w:val="007744D3"/>
    <w:rsid w:val="0078003A"/>
    <w:rsid w:val="00780771"/>
    <w:rsid w:val="00785C37"/>
    <w:rsid w:val="00790966"/>
    <w:rsid w:val="007929CF"/>
    <w:rsid w:val="00793E84"/>
    <w:rsid w:val="00795581"/>
    <w:rsid w:val="0079651D"/>
    <w:rsid w:val="00797BA8"/>
    <w:rsid w:val="00797EAD"/>
    <w:rsid w:val="007A033F"/>
    <w:rsid w:val="007A081D"/>
    <w:rsid w:val="007A49E7"/>
    <w:rsid w:val="007A4AF4"/>
    <w:rsid w:val="007A4B9C"/>
    <w:rsid w:val="007A69D3"/>
    <w:rsid w:val="007A6F19"/>
    <w:rsid w:val="007A6F28"/>
    <w:rsid w:val="007A7E22"/>
    <w:rsid w:val="007B03C6"/>
    <w:rsid w:val="007B098B"/>
    <w:rsid w:val="007B0DB1"/>
    <w:rsid w:val="007B1184"/>
    <w:rsid w:val="007B1637"/>
    <w:rsid w:val="007B256C"/>
    <w:rsid w:val="007B2FF6"/>
    <w:rsid w:val="007B5673"/>
    <w:rsid w:val="007B5897"/>
    <w:rsid w:val="007B6132"/>
    <w:rsid w:val="007B6636"/>
    <w:rsid w:val="007B696D"/>
    <w:rsid w:val="007B7238"/>
    <w:rsid w:val="007B76FF"/>
    <w:rsid w:val="007B7AD6"/>
    <w:rsid w:val="007C226A"/>
    <w:rsid w:val="007C319E"/>
    <w:rsid w:val="007C3211"/>
    <w:rsid w:val="007C3BF6"/>
    <w:rsid w:val="007C5A22"/>
    <w:rsid w:val="007C67B3"/>
    <w:rsid w:val="007C7293"/>
    <w:rsid w:val="007D00C6"/>
    <w:rsid w:val="007D0FD2"/>
    <w:rsid w:val="007D2968"/>
    <w:rsid w:val="007D2EF8"/>
    <w:rsid w:val="007D561F"/>
    <w:rsid w:val="007D7FD2"/>
    <w:rsid w:val="007E13D9"/>
    <w:rsid w:val="007E1788"/>
    <w:rsid w:val="007E209D"/>
    <w:rsid w:val="007E2AEC"/>
    <w:rsid w:val="007E41BE"/>
    <w:rsid w:val="007E4DB6"/>
    <w:rsid w:val="007E5483"/>
    <w:rsid w:val="007E6733"/>
    <w:rsid w:val="007E7CD4"/>
    <w:rsid w:val="007F0CE1"/>
    <w:rsid w:val="007F12AC"/>
    <w:rsid w:val="007F2450"/>
    <w:rsid w:val="007F4501"/>
    <w:rsid w:val="007F5031"/>
    <w:rsid w:val="007F556E"/>
    <w:rsid w:val="007F60DF"/>
    <w:rsid w:val="007F6826"/>
    <w:rsid w:val="007F74BA"/>
    <w:rsid w:val="007F7550"/>
    <w:rsid w:val="00800502"/>
    <w:rsid w:val="00800949"/>
    <w:rsid w:val="00801800"/>
    <w:rsid w:val="00801861"/>
    <w:rsid w:val="00801B5B"/>
    <w:rsid w:val="008039EF"/>
    <w:rsid w:val="00805A30"/>
    <w:rsid w:val="00806199"/>
    <w:rsid w:val="00812CF0"/>
    <w:rsid w:val="0081428D"/>
    <w:rsid w:val="00816357"/>
    <w:rsid w:val="008174BE"/>
    <w:rsid w:val="008216E7"/>
    <w:rsid w:val="008222E8"/>
    <w:rsid w:val="00825BE6"/>
    <w:rsid w:val="008276B4"/>
    <w:rsid w:val="008278CF"/>
    <w:rsid w:val="00831927"/>
    <w:rsid w:val="00831F59"/>
    <w:rsid w:val="0083378F"/>
    <w:rsid w:val="0083400A"/>
    <w:rsid w:val="008343DC"/>
    <w:rsid w:val="008360C0"/>
    <w:rsid w:val="008369C3"/>
    <w:rsid w:val="00837288"/>
    <w:rsid w:val="00841B9D"/>
    <w:rsid w:val="00841BD3"/>
    <w:rsid w:val="00841D56"/>
    <w:rsid w:val="0084204B"/>
    <w:rsid w:val="0084273D"/>
    <w:rsid w:val="00844BEF"/>
    <w:rsid w:val="00844E3F"/>
    <w:rsid w:val="00845A83"/>
    <w:rsid w:val="00845E8A"/>
    <w:rsid w:val="0084663D"/>
    <w:rsid w:val="00846BB9"/>
    <w:rsid w:val="0085218C"/>
    <w:rsid w:val="008569E2"/>
    <w:rsid w:val="00861147"/>
    <w:rsid w:val="00861E14"/>
    <w:rsid w:val="00863922"/>
    <w:rsid w:val="008649D5"/>
    <w:rsid w:val="00864D47"/>
    <w:rsid w:val="008652D0"/>
    <w:rsid w:val="008655B1"/>
    <w:rsid w:val="008708FC"/>
    <w:rsid w:val="00870FCA"/>
    <w:rsid w:val="008712BB"/>
    <w:rsid w:val="00873946"/>
    <w:rsid w:val="008744E5"/>
    <w:rsid w:val="00875E4C"/>
    <w:rsid w:val="00875EDF"/>
    <w:rsid w:val="008804E6"/>
    <w:rsid w:val="008805C2"/>
    <w:rsid w:val="008830E7"/>
    <w:rsid w:val="00885539"/>
    <w:rsid w:val="00885935"/>
    <w:rsid w:val="008906FE"/>
    <w:rsid w:val="00890EDE"/>
    <w:rsid w:val="008918A8"/>
    <w:rsid w:val="00891D13"/>
    <w:rsid w:val="00891F1A"/>
    <w:rsid w:val="00892B38"/>
    <w:rsid w:val="00894809"/>
    <w:rsid w:val="00895945"/>
    <w:rsid w:val="008A1741"/>
    <w:rsid w:val="008A2313"/>
    <w:rsid w:val="008A2484"/>
    <w:rsid w:val="008A26FB"/>
    <w:rsid w:val="008A4F25"/>
    <w:rsid w:val="008A52F3"/>
    <w:rsid w:val="008B3C4D"/>
    <w:rsid w:val="008B4138"/>
    <w:rsid w:val="008B44CD"/>
    <w:rsid w:val="008C1BAE"/>
    <w:rsid w:val="008C26D9"/>
    <w:rsid w:val="008C3CBC"/>
    <w:rsid w:val="008C6D50"/>
    <w:rsid w:val="008C6E28"/>
    <w:rsid w:val="008C7167"/>
    <w:rsid w:val="008C7503"/>
    <w:rsid w:val="008C79B6"/>
    <w:rsid w:val="008D1617"/>
    <w:rsid w:val="008D330F"/>
    <w:rsid w:val="008D455D"/>
    <w:rsid w:val="008D48C1"/>
    <w:rsid w:val="008E20AF"/>
    <w:rsid w:val="008E2AD8"/>
    <w:rsid w:val="008E2BB2"/>
    <w:rsid w:val="008E2D51"/>
    <w:rsid w:val="008E317F"/>
    <w:rsid w:val="008E6315"/>
    <w:rsid w:val="008E7F81"/>
    <w:rsid w:val="008F017E"/>
    <w:rsid w:val="008F0208"/>
    <w:rsid w:val="008F0480"/>
    <w:rsid w:val="008F07FC"/>
    <w:rsid w:val="008F11E0"/>
    <w:rsid w:val="008F22DD"/>
    <w:rsid w:val="008F2884"/>
    <w:rsid w:val="008F2A2A"/>
    <w:rsid w:val="008F3EA7"/>
    <w:rsid w:val="008F7499"/>
    <w:rsid w:val="008F78BC"/>
    <w:rsid w:val="008F7B63"/>
    <w:rsid w:val="008F7D6A"/>
    <w:rsid w:val="00900D7B"/>
    <w:rsid w:val="00901C86"/>
    <w:rsid w:val="00903603"/>
    <w:rsid w:val="009040EA"/>
    <w:rsid w:val="00904950"/>
    <w:rsid w:val="00904AD8"/>
    <w:rsid w:val="009054CB"/>
    <w:rsid w:val="009100C8"/>
    <w:rsid w:val="00910FA1"/>
    <w:rsid w:val="009113C2"/>
    <w:rsid w:val="00911F8D"/>
    <w:rsid w:val="00912379"/>
    <w:rsid w:val="009125C1"/>
    <w:rsid w:val="00912F94"/>
    <w:rsid w:val="00915883"/>
    <w:rsid w:val="0091641B"/>
    <w:rsid w:val="009171BC"/>
    <w:rsid w:val="00920A3E"/>
    <w:rsid w:val="00923F23"/>
    <w:rsid w:val="00924632"/>
    <w:rsid w:val="0092497E"/>
    <w:rsid w:val="0092590B"/>
    <w:rsid w:val="00925BF3"/>
    <w:rsid w:val="00925D61"/>
    <w:rsid w:val="00925E60"/>
    <w:rsid w:val="009264B3"/>
    <w:rsid w:val="009306B7"/>
    <w:rsid w:val="00931E4C"/>
    <w:rsid w:val="00933198"/>
    <w:rsid w:val="009365E0"/>
    <w:rsid w:val="00942BA2"/>
    <w:rsid w:val="009432B7"/>
    <w:rsid w:val="00944C2A"/>
    <w:rsid w:val="00944C86"/>
    <w:rsid w:val="009458D5"/>
    <w:rsid w:val="00947C02"/>
    <w:rsid w:val="00947DD0"/>
    <w:rsid w:val="00950BE6"/>
    <w:rsid w:val="00951641"/>
    <w:rsid w:val="00951C5A"/>
    <w:rsid w:val="00952766"/>
    <w:rsid w:val="00954676"/>
    <w:rsid w:val="00957DE8"/>
    <w:rsid w:val="009601E5"/>
    <w:rsid w:val="00960ECB"/>
    <w:rsid w:val="00960F1D"/>
    <w:rsid w:val="009615D6"/>
    <w:rsid w:val="00961E1F"/>
    <w:rsid w:val="00962A11"/>
    <w:rsid w:val="00967855"/>
    <w:rsid w:val="00970AA2"/>
    <w:rsid w:val="00970E82"/>
    <w:rsid w:val="00971CD1"/>
    <w:rsid w:val="00972519"/>
    <w:rsid w:val="00972A51"/>
    <w:rsid w:val="00972CB4"/>
    <w:rsid w:val="00974709"/>
    <w:rsid w:val="00976A0F"/>
    <w:rsid w:val="009801AE"/>
    <w:rsid w:val="00980736"/>
    <w:rsid w:val="00981A39"/>
    <w:rsid w:val="00982D56"/>
    <w:rsid w:val="00983DBF"/>
    <w:rsid w:val="00987097"/>
    <w:rsid w:val="00991123"/>
    <w:rsid w:val="00991CAB"/>
    <w:rsid w:val="0099465B"/>
    <w:rsid w:val="009968B9"/>
    <w:rsid w:val="009A3A9C"/>
    <w:rsid w:val="009A4DDD"/>
    <w:rsid w:val="009A529C"/>
    <w:rsid w:val="009A7449"/>
    <w:rsid w:val="009A794E"/>
    <w:rsid w:val="009B046C"/>
    <w:rsid w:val="009B0A7B"/>
    <w:rsid w:val="009B13FA"/>
    <w:rsid w:val="009B1E2D"/>
    <w:rsid w:val="009B7ECB"/>
    <w:rsid w:val="009C24BF"/>
    <w:rsid w:val="009C4F97"/>
    <w:rsid w:val="009C56AA"/>
    <w:rsid w:val="009C58AB"/>
    <w:rsid w:val="009C59FB"/>
    <w:rsid w:val="009C6F3B"/>
    <w:rsid w:val="009D103E"/>
    <w:rsid w:val="009D1467"/>
    <w:rsid w:val="009D328D"/>
    <w:rsid w:val="009E42F5"/>
    <w:rsid w:val="009E4FA6"/>
    <w:rsid w:val="009E6021"/>
    <w:rsid w:val="009E7D93"/>
    <w:rsid w:val="009F38A9"/>
    <w:rsid w:val="009F3C34"/>
    <w:rsid w:val="009F462C"/>
    <w:rsid w:val="009F5C33"/>
    <w:rsid w:val="009F7EB4"/>
    <w:rsid w:val="00A001CE"/>
    <w:rsid w:val="00A01C1D"/>
    <w:rsid w:val="00A026F0"/>
    <w:rsid w:val="00A03EAC"/>
    <w:rsid w:val="00A04110"/>
    <w:rsid w:val="00A04DBB"/>
    <w:rsid w:val="00A06275"/>
    <w:rsid w:val="00A06943"/>
    <w:rsid w:val="00A07EA0"/>
    <w:rsid w:val="00A11CA6"/>
    <w:rsid w:val="00A1251B"/>
    <w:rsid w:val="00A1686E"/>
    <w:rsid w:val="00A20C49"/>
    <w:rsid w:val="00A2171F"/>
    <w:rsid w:val="00A21BBC"/>
    <w:rsid w:val="00A22932"/>
    <w:rsid w:val="00A24004"/>
    <w:rsid w:val="00A269CA"/>
    <w:rsid w:val="00A27066"/>
    <w:rsid w:val="00A31E13"/>
    <w:rsid w:val="00A336EE"/>
    <w:rsid w:val="00A33F46"/>
    <w:rsid w:val="00A3427E"/>
    <w:rsid w:val="00A359AC"/>
    <w:rsid w:val="00A36A4F"/>
    <w:rsid w:val="00A37CAB"/>
    <w:rsid w:val="00A40F83"/>
    <w:rsid w:val="00A410FB"/>
    <w:rsid w:val="00A41413"/>
    <w:rsid w:val="00A41935"/>
    <w:rsid w:val="00A425B2"/>
    <w:rsid w:val="00A42D77"/>
    <w:rsid w:val="00A431E6"/>
    <w:rsid w:val="00A435F8"/>
    <w:rsid w:val="00A436E8"/>
    <w:rsid w:val="00A45FB1"/>
    <w:rsid w:val="00A46A0F"/>
    <w:rsid w:val="00A46CCC"/>
    <w:rsid w:val="00A47996"/>
    <w:rsid w:val="00A50C6A"/>
    <w:rsid w:val="00A50D9F"/>
    <w:rsid w:val="00A50EF3"/>
    <w:rsid w:val="00A51CFE"/>
    <w:rsid w:val="00A5204D"/>
    <w:rsid w:val="00A54356"/>
    <w:rsid w:val="00A56E77"/>
    <w:rsid w:val="00A61605"/>
    <w:rsid w:val="00A65F97"/>
    <w:rsid w:val="00A70394"/>
    <w:rsid w:val="00A70AD6"/>
    <w:rsid w:val="00A71100"/>
    <w:rsid w:val="00A73B04"/>
    <w:rsid w:val="00A73E15"/>
    <w:rsid w:val="00A749C6"/>
    <w:rsid w:val="00A76C13"/>
    <w:rsid w:val="00A8204D"/>
    <w:rsid w:val="00A844FB"/>
    <w:rsid w:val="00A84FD0"/>
    <w:rsid w:val="00A85137"/>
    <w:rsid w:val="00A85D18"/>
    <w:rsid w:val="00A90772"/>
    <w:rsid w:val="00A914E0"/>
    <w:rsid w:val="00A92A27"/>
    <w:rsid w:val="00A92E79"/>
    <w:rsid w:val="00A94AA0"/>
    <w:rsid w:val="00A950B6"/>
    <w:rsid w:val="00A95D45"/>
    <w:rsid w:val="00A97DC6"/>
    <w:rsid w:val="00AA1A02"/>
    <w:rsid w:val="00AA3EA8"/>
    <w:rsid w:val="00AA57F1"/>
    <w:rsid w:val="00AB0899"/>
    <w:rsid w:val="00AB2A15"/>
    <w:rsid w:val="00AB41C1"/>
    <w:rsid w:val="00AB4CF2"/>
    <w:rsid w:val="00AB4D52"/>
    <w:rsid w:val="00AB6B20"/>
    <w:rsid w:val="00AB6CCA"/>
    <w:rsid w:val="00AC1226"/>
    <w:rsid w:val="00AC223F"/>
    <w:rsid w:val="00AC33B1"/>
    <w:rsid w:val="00AC3CD5"/>
    <w:rsid w:val="00AC68BA"/>
    <w:rsid w:val="00AD12A8"/>
    <w:rsid w:val="00AD5539"/>
    <w:rsid w:val="00AE023F"/>
    <w:rsid w:val="00AE23F9"/>
    <w:rsid w:val="00AE50D9"/>
    <w:rsid w:val="00AE709A"/>
    <w:rsid w:val="00AE7E21"/>
    <w:rsid w:val="00AF3577"/>
    <w:rsid w:val="00AF35F9"/>
    <w:rsid w:val="00AF55D3"/>
    <w:rsid w:val="00B023D7"/>
    <w:rsid w:val="00B0424C"/>
    <w:rsid w:val="00B05C7D"/>
    <w:rsid w:val="00B05DF4"/>
    <w:rsid w:val="00B06C26"/>
    <w:rsid w:val="00B06FDA"/>
    <w:rsid w:val="00B11CFA"/>
    <w:rsid w:val="00B12D9B"/>
    <w:rsid w:val="00B1591F"/>
    <w:rsid w:val="00B15D57"/>
    <w:rsid w:val="00B16347"/>
    <w:rsid w:val="00B170A8"/>
    <w:rsid w:val="00B17D6E"/>
    <w:rsid w:val="00B20235"/>
    <w:rsid w:val="00B22D1B"/>
    <w:rsid w:val="00B2435E"/>
    <w:rsid w:val="00B25493"/>
    <w:rsid w:val="00B2602C"/>
    <w:rsid w:val="00B26353"/>
    <w:rsid w:val="00B301C2"/>
    <w:rsid w:val="00B304E5"/>
    <w:rsid w:val="00B30946"/>
    <w:rsid w:val="00B3224F"/>
    <w:rsid w:val="00B32875"/>
    <w:rsid w:val="00B346C3"/>
    <w:rsid w:val="00B35418"/>
    <w:rsid w:val="00B3593C"/>
    <w:rsid w:val="00B3781D"/>
    <w:rsid w:val="00B4005C"/>
    <w:rsid w:val="00B42225"/>
    <w:rsid w:val="00B4227E"/>
    <w:rsid w:val="00B4471C"/>
    <w:rsid w:val="00B451A6"/>
    <w:rsid w:val="00B47FBA"/>
    <w:rsid w:val="00B56D6E"/>
    <w:rsid w:val="00B56FF9"/>
    <w:rsid w:val="00B64347"/>
    <w:rsid w:val="00B65C15"/>
    <w:rsid w:val="00B65DC6"/>
    <w:rsid w:val="00B67AC2"/>
    <w:rsid w:val="00B70CDE"/>
    <w:rsid w:val="00B722DE"/>
    <w:rsid w:val="00B72CBF"/>
    <w:rsid w:val="00B73EF2"/>
    <w:rsid w:val="00B74A91"/>
    <w:rsid w:val="00B751E3"/>
    <w:rsid w:val="00B75BA6"/>
    <w:rsid w:val="00B76C44"/>
    <w:rsid w:val="00B81671"/>
    <w:rsid w:val="00B8184A"/>
    <w:rsid w:val="00B82283"/>
    <w:rsid w:val="00B828D8"/>
    <w:rsid w:val="00B83C94"/>
    <w:rsid w:val="00B83F87"/>
    <w:rsid w:val="00B87CDC"/>
    <w:rsid w:val="00B910C1"/>
    <w:rsid w:val="00B95599"/>
    <w:rsid w:val="00B95ABE"/>
    <w:rsid w:val="00B97CBF"/>
    <w:rsid w:val="00BA0E19"/>
    <w:rsid w:val="00BA14DA"/>
    <w:rsid w:val="00BA1FAD"/>
    <w:rsid w:val="00BA2872"/>
    <w:rsid w:val="00BA2CA4"/>
    <w:rsid w:val="00BA2D95"/>
    <w:rsid w:val="00BA2EFA"/>
    <w:rsid w:val="00BA304A"/>
    <w:rsid w:val="00BA3DBC"/>
    <w:rsid w:val="00BA707A"/>
    <w:rsid w:val="00BA74E7"/>
    <w:rsid w:val="00BA77EA"/>
    <w:rsid w:val="00BB1AFB"/>
    <w:rsid w:val="00BB22ED"/>
    <w:rsid w:val="00BB27AE"/>
    <w:rsid w:val="00BB2DA2"/>
    <w:rsid w:val="00BB3939"/>
    <w:rsid w:val="00BB4A32"/>
    <w:rsid w:val="00BB55F8"/>
    <w:rsid w:val="00BB56DC"/>
    <w:rsid w:val="00BB61B8"/>
    <w:rsid w:val="00BB7210"/>
    <w:rsid w:val="00BB77E0"/>
    <w:rsid w:val="00BC29D9"/>
    <w:rsid w:val="00BC6737"/>
    <w:rsid w:val="00BD0B36"/>
    <w:rsid w:val="00BD4B7E"/>
    <w:rsid w:val="00BD627E"/>
    <w:rsid w:val="00BD6608"/>
    <w:rsid w:val="00BE183D"/>
    <w:rsid w:val="00BE3154"/>
    <w:rsid w:val="00BE5FA9"/>
    <w:rsid w:val="00BE71A6"/>
    <w:rsid w:val="00BE7AE3"/>
    <w:rsid w:val="00BF1C13"/>
    <w:rsid w:val="00BF24C2"/>
    <w:rsid w:val="00BF2922"/>
    <w:rsid w:val="00BF3160"/>
    <w:rsid w:val="00BF33AF"/>
    <w:rsid w:val="00BF3A61"/>
    <w:rsid w:val="00BF55C2"/>
    <w:rsid w:val="00BF58D7"/>
    <w:rsid w:val="00BF5D7A"/>
    <w:rsid w:val="00BF7539"/>
    <w:rsid w:val="00C01C2E"/>
    <w:rsid w:val="00C02D33"/>
    <w:rsid w:val="00C04B53"/>
    <w:rsid w:val="00C066A2"/>
    <w:rsid w:val="00C06D95"/>
    <w:rsid w:val="00C07C6E"/>
    <w:rsid w:val="00C1232C"/>
    <w:rsid w:val="00C134B6"/>
    <w:rsid w:val="00C1530D"/>
    <w:rsid w:val="00C15F53"/>
    <w:rsid w:val="00C169C9"/>
    <w:rsid w:val="00C20570"/>
    <w:rsid w:val="00C205DC"/>
    <w:rsid w:val="00C224DF"/>
    <w:rsid w:val="00C27884"/>
    <w:rsid w:val="00C279D3"/>
    <w:rsid w:val="00C27C6B"/>
    <w:rsid w:val="00C3594D"/>
    <w:rsid w:val="00C36442"/>
    <w:rsid w:val="00C400CE"/>
    <w:rsid w:val="00C410FD"/>
    <w:rsid w:val="00C457DE"/>
    <w:rsid w:val="00C46573"/>
    <w:rsid w:val="00C4747E"/>
    <w:rsid w:val="00C47DD3"/>
    <w:rsid w:val="00C5316F"/>
    <w:rsid w:val="00C53562"/>
    <w:rsid w:val="00C539FB"/>
    <w:rsid w:val="00C60242"/>
    <w:rsid w:val="00C60B40"/>
    <w:rsid w:val="00C66AA3"/>
    <w:rsid w:val="00C66E57"/>
    <w:rsid w:val="00C724D7"/>
    <w:rsid w:val="00C74150"/>
    <w:rsid w:val="00C75594"/>
    <w:rsid w:val="00C80983"/>
    <w:rsid w:val="00C828BB"/>
    <w:rsid w:val="00C82BCF"/>
    <w:rsid w:val="00C83942"/>
    <w:rsid w:val="00C85982"/>
    <w:rsid w:val="00C9016A"/>
    <w:rsid w:val="00C90EAE"/>
    <w:rsid w:val="00C93D8C"/>
    <w:rsid w:val="00CA0466"/>
    <w:rsid w:val="00CA0A05"/>
    <w:rsid w:val="00CA246D"/>
    <w:rsid w:val="00CA334D"/>
    <w:rsid w:val="00CA46DE"/>
    <w:rsid w:val="00CA50D9"/>
    <w:rsid w:val="00CB0081"/>
    <w:rsid w:val="00CB00A8"/>
    <w:rsid w:val="00CB3054"/>
    <w:rsid w:val="00CB3ACB"/>
    <w:rsid w:val="00CB5636"/>
    <w:rsid w:val="00CB5F30"/>
    <w:rsid w:val="00CB629C"/>
    <w:rsid w:val="00CC3C0F"/>
    <w:rsid w:val="00CC3DF0"/>
    <w:rsid w:val="00CC3EE5"/>
    <w:rsid w:val="00CC4223"/>
    <w:rsid w:val="00CC4231"/>
    <w:rsid w:val="00CC6283"/>
    <w:rsid w:val="00CC6E47"/>
    <w:rsid w:val="00CD1346"/>
    <w:rsid w:val="00CD21EC"/>
    <w:rsid w:val="00CE1330"/>
    <w:rsid w:val="00CE40BE"/>
    <w:rsid w:val="00CE425C"/>
    <w:rsid w:val="00CE453B"/>
    <w:rsid w:val="00CE58AC"/>
    <w:rsid w:val="00CF2141"/>
    <w:rsid w:val="00CF4618"/>
    <w:rsid w:val="00CF5A80"/>
    <w:rsid w:val="00CF70E7"/>
    <w:rsid w:val="00D010B3"/>
    <w:rsid w:val="00D045EE"/>
    <w:rsid w:val="00D048C0"/>
    <w:rsid w:val="00D05091"/>
    <w:rsid w:val="00D0531C"/>
    <w:rsid w:val="00D109D5"/>
    <w:rsid w:val="00D10CA6"/>
    <w:rsid w:val="00D10F21"/>
    <w:rsid w:val="00D126B8"/>
    <w:rsid w:val="00D1285C"/>
    <w:rsid w:val="00D134CF"/>
    <w:rsid w:val="00D14765"/>
    <w:rsid w:val="00D1573B"/>
    <w:rsid w:val="00D16F21"/>
    <w:rsid w:val="00D2184B"/>
    <w:rsid w:val="00D2354C"/>
    <w:rsid w:val="00D24806"/>
    <w:rsid w:val="00D27578"/>
    <w:rsid w:val="00D27902"/>
    <w:rsid w:val="00D308A8"/>
    <w:rsid w:val="00D33CB3"/>
    <w:rsid w:val="00D34040"/>
    <w:rsid w:val="00D347BD"/>
    <w:rsid w:val="00D34E69"/>
    <w:rsid w:val="00D36C78"/>
    <w:rsid w:val="00D36E8B"/>
    <w:rsid w:val="00D36FE9"/>
    <w:rsid w:val="00D3713D"/>
    <w:rsid w:val="00D375EE"/>
    <w:rsid w:val="00D37826"/>
    <w:rsid w:val="00D4207C"/>
    <w:rsid w:val="00D44BCE"/>
    <w:rsid w:val="00D47632"/>
    <w:rsid w:val="00D479E3"/>
    <w:rsid w:val="00D50CF1"/>
    <w:rsid w:val="00D52A07"/>
    <w:rsid w:val="00D54EAA"/>
    <w:rsid w:val="00D55AE8"/>
    <w:rsid w:val="00D56056"/>
    <w:rsid w:val="00D6085F"/>
    <w:rsid w:val="00D62699"/>
    <w:rsid w:val="00D6302F"/>
    <w:rsid w:val="00D668E0"/>
    <w:rsid w:val="00D67218"/>
    <w:rsid w:val="00D67F01"/>
    <w:rsid w:val="00D740D5"/>
    <w:rsid w:val="00D7671C"/>
    <w:rsid w:val="00D778E9"/>
    <w:rsid w:val="00D812BF"/>
    <w:rsid w:val="00D81FAD"/>
    <w:rsid w:val="00D82091"/>
    <w:rsid w:val="00D82620"/>
    <w:rsid w:val="00D85707"/>
    <w:rsid w:val="00D863E8"/>
    <w:rsid w:val="00D876A7"/>
    <w:rsid w:val="00D95160"/>
    <w:rsid w:val="00D958C0"/>
    <w:rsid w:val="00D962F9"/>
    <w:rsid w:val="00D97115"/>
    <w:rsid w:val="00D9725F"/>
    <w:rsid w:val="00D9799A"/>
    <w:rsid w:val="00D97C99"/>
    <w:rsid w:val="00DA01B1"/>
    <w:rsid w:val="00DA0636"/>
    <w:rsid w:val="00DA11A2"/>
    <w:rsid w:val="00DA14ED"/>
    <w:rsid w:val="00DA26D6"/>
    <w:rsid w:val="00DA468C"/>
    <w:rsid w:val="00DA6620"/>
    <w:rsid w:val="00DB12EC"/>
    <w:rsid w:val="00DB1B28"/>
    <w:rsid w:val="00DB26AB"/>
    <w:rsid w:val="00DB2EF1"/>
    <w:rsid w:val="00DB3DE1"/>
    <w:rsid w:val="00DB5667"/>
    <w:rsid w:val="00DB5DA0"/>
    <w:rsid w:val="00DB716C"/>
    <w:rsid w:val="00DB7925"/>
    <w:rsid w:val="00DC4591"/>
    <w:rsid w:val="00DC5C85"/>
    <w:rsid w:val="00DC7C5D"/>
    <w:rsid w:val="00DD2CA3"/>
    <w:rsid w:val="00DD3B86"/>
    <w:rsid w:val="00DD4236"/>
    <w:rsid w:val="00DD44F1"/>
    <w:rsid w:val="00DD6957"/>
    <w:rsid w:val="00DD6E7A"/>
    <w:rsid w:val="00DE1AC2"/>
    <w:rsid w:val="00DE3067"/>
    <w:rsid w:val="00DE3B33"/>
    <w:rsid w:val="00DE408B"/>
    <w:rsid w:val="00DE6316"/>
    <w:rsid w:val="00DE65E5"/>
    <w:rsid w:val="00DF0A63"/>
    <w:rsid w:val="00DF203B"/>
    <w:rsid w:val="00DF22E9"/>
    <w:rsid w:val="00DF30B1"/>
    <w:rsid w:val="00DF3EEE"/>
    <w:rsid w:val="00DF69DA"/>
    <w:rsid w:val="00DF75E1"/>
    <w:rsid w:val="00E00C63"/>
    <w:rsid w:val="00E00D7D"/>
    <w:rsid w:val="00E00DDD"/>
    <w:rsid w:val="00E027BC"/>
    <w:rsid w:val="00E02C4E"/>
    <w:rsid w:val="00E03E82"/>
    <w:rsid w:val="00E045BE"/>
    <w:rsid w:val="00E05E7B"/>
    <w:rsid w:val="00E10C96"/>
    <w:rsid w:val="00E10F0D"/>
    <w:rsid w:val="00E12462"/>
    <w:rsid w:val="00E14CA4"/>
    <w:rsid w:val="00E14EA5"/>
    <w:rsid w:val="00E160E4"/>
    <w:rsid w:val="00E16784"/>
    <w:rsid w:val="00E16CE7"/>
    <w:rsid w:val="00E2070E"/>
    <w:rsid w:val="00E21133"/>
    <w:rsid w:val="00E212C1"/>
    <w:rsid w:val="00E2327E"/>
    <w:rsid w:val="00E23577"/>
    <w:rsid w:val="00E24D19"/>
    <w:rsid w:val="00E266EF"/>
    <w:rsid w:val="00E30742"/>
    <w:rsid w:val="00E30C95"/>
    <w:rsid w:val="00E326A8"/>
    <w:rsid w:val="00E3703D"/>
    <w:rsid w:val="00E40EB0"/>
    <w:rsid w:val="00E43175"/>
    <w:rsid w:val="00E4728B"/>
    <w:rsid w:val="00E47428"/>
    <w:rsid w:val="00E51FA2"/>
    <w:rsid w:val="00E56C8E"/>
    <w:rsid w:val="00E5716B"/>
    <w:rsid w:val="00E57F1F"/>
    <w:rsid w:val="00E641A6"/>
    <w:rsid w:val="00E66B9F"/>
    <w:rsid w:val="00E67A50"/>
    <w:rsid w:val="00E70A6A"/>
    <w:rsid w:val="00E710D6"/>
    <w:rsid w:val="00E73DA4"/>
    <w:rsid w:val="00E75259"/>
    <w:rsid w:val="00E75516"/>
    <w:rsid w:val="00E76E45"/>
    <w:rsid w:val="00E777C9"/>
    <w:rsid w:val="00E81DA6"/>
    <w:rsid w:val="00E84212"/>
    <w:rsid w:val="00E84599"/>
    <w:rsid w:val="00E851B5"/>
    <w:rsid w:val="00E9079B"/>
    <w:rsid w:val="00E9086C"/>
    <w:rsid w:val="00E90AAA"/>
    <w:rsid w:val="00E91A0F"/>
    <w:rsid w:val="00E92113"/>
    <w:rsid w:val="00E94A71"/>
    <w:rsid w:val="00E94CBF"/>
    <w:rsid w:val="00E96826"/>
    <w:rsid w:val="00EA03CE"/>
    <w:rsid w:val="00EA1F0D"/>
    <w:rsid w:val="00EA23E5"/>
    <w:rsid w:val="00EA266F"/>
    <w:rsid w:val="00EA4E2E"/>
    <w:rsid w:val="00EB2417"/>
    <w:rsid w:val="00EB2CCB"/>
    <w:rsid w:val="00EB6A47"/>
    <w:rsid w:val="00EB6AAC"/>
    <w:rsid w:val="00EB72B1"/>
    <w:rsid w:val="00EB7A25"/>
    <w:rsid w:val="00EB7F43"/>
    <w:rsid w:val="00EC0F3E"/>
    <w:rsid w:val="00EC140E"/>
    <w:rsid w:val="00EC47F2"/>
    <w:rsid w:val="00EC495E"/>
    <w:rsid w:val="00EC4986"/>
    <w:rsid w:val="00EC57A7"/>
    <w:rsid w:val="00EC6C19"/>
    <w:rsid w:val="00EC7DDB"/>
    <w:rsid w:val="00ED0817"/>
    <w:rsid w:val="00ED3355"/>
    <w:rsid w:val="00ED7DD9"/>
    <w:rsid w:val="00EE0353"/>
    <w:rsid w:val="00EE262F"/>
    <w:rsid w:val="00EE406B"/>
    <w:rsid w:val="00EE445B"/>
    <w:rsid w:val="00EE5B7F"/>
    <w:rsid w:val="00EE5E49"/>
    <w:rsid w:val="00EE77A5"/>
    <w:rsid w:val="00EF01F0"/>
    <w:rsid w:val="00EF222F"/>
    <w:rsid w:val="00EF24D1"/>
    <w:rsid w:val="00EF3113"/>
    <w:rsid w:val="00EF3F84"/>
    <w:rsid w:val="00F066CF"/>
    <w:rsid w:val="00F101AD"/>
    <w:rsid w:val="00F1047E"/>
    <w:rsid w:val="00F15B5D"/>
    <w:rsid w:val="00F176AC"/>
    <w:rsid w:val="00F26E20"/>
    <w:rsid w:val="00F26F28"/>
    <w:rsid w:val="00F27714"/>
    <w:rsid w:val="00F27F13"/>
    <w:rsid w:val="00F31159"/>
    <w:rsid w:val="00F3276E"/>
    <w:rsid w:val="00F33D3C"/>
    <w:rsid w:val="00F3537D"/>
    <w:rsid w:val="00F35F0F"/>
    <w:rsid w:val="00F37A91"/>
    <w:rsid w:val="00F405C1"/>
    <w:rsid w:val="00F408A0"/>
    <w:rsid w:val="00F40E49"/>
    <w:rsid w:val="00F410C2"/>
    <w:rsid w:val="00F41EE7"/>
    <w:rsid w:val="00F4236D"/>
    <w:rsid w:val="00F45CF5"/>
    <w:rsid w:val="00F46CEA"/>
    <w:rsid w:val="00F4763D"/>
    <w:rsid w:val="00F47DB0"/>
    <w:rsid w:val="00F50C3F"/>
    <w:rsid w:val="00F50E34"/>
    <w:rsid w:val="00F51AFB"/>
    <w:rsid w:val="00F53EF7"/>
    <w:rsid w:val="00F54BF2"/>
    <w:rsid w:val="00F56B74"/>
    <w:rsid w:val="00F603ED"/>
    <w:rsid w:val="00F60BB7"/>
    <w:rsid w:val="00F61819"/>
    <w:rsid w:val="00F6189C"/>
    <w:rsid w:val="00F66DE5"/>
    <w:rsid w:val="00F6724D"/>
    <w:rsid w:val="00F75AEA"/>
    <w:rsid w:val="00F775AC"/>
    <w:rsid w:val="00F77658"/>
    <w:rsid w:val="00F77D70"/>
    <w:rsid w:val="00F827A3"/>
    <w:rsid w:val="00F83B6D"/>
    <w:rsid w:val="00F83C54"/>
    <w:rsid w:val="00F85F25"/>
    <w:rsid w:val="00F8792F"/>
    <w:rsid w:val="00F91D06"/>
    <w:rsid w:val="00F9214D"/>
    <w:rsid w:val="00F92355"/>
    <w:rsid w:val="00F93963"/>
    <w:rsid w:val="00F94291"/>
    <w:rsid w:val="00F94346"/>
    <w:rsid w:val="00F972A8"/>
    <w:rsid w:val="00FA1DEC"/>
    <w:rsid w:val="00FA298A"/>
    <w:rsid w:val="00FA5B66"/>
    <w:rsid w:val="00FA5CD6"/>
    <w:rsid w:val="00FA5DD2"/>
    <w:rsid w:val="00FB0B9C"/>
    <w:rsid w:val="00FB208C"/>
    <w:rsid w:val="00FB21A3"/>
    <w:rsid w:val="00FB2821"/>
    <w:rsid w:val="00FB2BD4"/>
    <w:rsid w:val="00FB30EB"/>
    <w:rsid w:val="00FB7982"/>
    <w:rsid w:val="00FC0734"/>
    <w:rsid w:val="00FC0FC5"/>
    <w:rsid w:val="00FC22F1"/>
    <w:rsid w:val="00FC43C7"/>
    <w:rsid w:val="00FC588F"/>
    <w:rsid w:val="00FC6879"/>
    <w:rsid w:val="00FC6ED2"/>
    <w:rsid w:val="00FC722D"/>
    <w:rsid w:val="00FC7FFA"/>
    <w:rsid w:val="00FD269B"/>
    <w:rsid w:val="00FD2C6F"/>
    <w:rsid w:val="00FD43C2"/>
    <w:rsid w:val="00FD533B"/>
    <w:rsid w:val="00FD57CC"/>
    <w:rsid w:val="00FE003B"/>
    <w:rsid w:val="00FE1B30"/>
    <w:rsid w:val="00FE2FAF"/>
    <w:rsid w:val="00FE7B44"/>
    <w:rsid w:val="00FE7E27"/>
    <w:rsid w:val="00FF5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5E93B"/>
  <w15:docId w15:val="{5C4C717D-E186-436A-BE5E-2D83D76B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qFormat/>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tabs>
        <w:tab w:val="clear" w:pos="720"/>
        <w:tab w:val="num" w:pos="1440"/>
      </w:tabs>
      <w:ind w:left="1440"/>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1"/>
    <w:qFormat/>
    <w:rsid w:val="00B47FBA"/>
    <w:pPr>
      <w:widowControl w:val="0"/>
      <w:autoSpaceDE w:val="0"/>
      <w:autoSpaceDN w:val="0"/>
      <w:spacing w:line="240" w:lineRule="auto"/>
      <w:ind w:left="686" w:hanging="567"/>
    </w:pPr>
    <w:rPr>
      <w:rFonts w:eastAsia="Times New Roman"/>
      <w:sz w:val="22"/>
      <w:szCs w:val="22"/>
      <w:lang w:val="en-US"/>
    </w:rPr>
  </w:style>
  <w:style w:type="paragraph" w:styleId="Revision">
    <w:name w:val="Revision"/>
    <w:hidden/>
    <w:uiPriority w:val="99"/>
    <w:semiHidden/>
    <w:rsid w:val="00CB3ACB"/>
    <w:rPr>
      <w:sz w:val="24"/>
      <w:lang w:eastAsia="en-US"/>
    </w:rPr>
  </w:style>
  <w:style w:type="paragraph" w:customStyle="1" w:styleId="Default">
    <w:name w:val="Default"/>
    <w:rsid w:val="00BF33AF"/>
    <w:pPr>
      <w:autoSpaceDE w:val="0"/>
      <w:autoSpaceDN w:val="0"/>
      <w:adjustRightInd w:val="0"/>
    </w:pPr>
    <w:rPr>
      <w:color w:val="000000"/>
      <w:sz w:val="24"/>
      <w:szCs w:val="24"/>
    </w:rPr>
  </w:style>
  <w:style w:type="character" w:customStyle="1" w:styleId="sup">
    <w:name w:val="sup"/>
    <w:basedOn w:val="DefaultParagraphFont"/>
    <w:rsid w:val="003E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7457">
      <w:bodyDiv w:val="1"/>
      <w:marLeft w:val="0"/>
      <w:marRight w:val="0"/>
      <w:marTop w:val="0"/>
      <w:marBottom w:val="0"/>
      <w:divBdr>
        <w:top w:val="none" w:sz="0" w:space="0" w:color="auto"/>
        <w:left w:val="none" w:sz="0" w:space="0" w:color="auto"/>
        <w:bottom w:val="none" w:sz="0" w:space="0" w:color="auto"/>
        <w:right w:val="none" w:sz="0" w:space="0" w:color="auto"/>
      </w:divBdr>
    </w:div>
    <w:div w:id="357236976">
      <w:bodyDiv w:val="1"/>
      <w:marLeft w:val="0"/>
      <w:marRight w:val="0"/>
      <w:marTop w:val="0"/>
      <w:marBottom w:val="0"/>
      <w:divBdr>
        <w:top w:val="none" w:sz="0" w:space="0" w:color="auto"/>
        <w:left w:val="none" w:sz="0" w:space="0" w:color="auto"/>
        <w:bottom w:val="none" w:sz="0" w:space="0" w:color="auto"/>
        <w:right w:val="none" w:sz="0" w:space="0" w:color="auto"/>
      </w:divBdr>
    </w:div>
    <w:div w:id="404643491">
      <w:bodyDiv w:val="1"/>
      <w:marLeft w:val="0"/>
      <w:marRight w:val="0"/>
      <w:marTop w:val="0"/>
      <w:marBottom w:val="0"/>
      <w:divBdr>
        <w:top w:val="none" w:sz="0" w:space="0" w:color="auto"/>
        <w:left w:val="none" w:sz="0" w:space="0" w:color="auto"/>
        <w:bottom w:val="none" w:sz="0" w:space="0" w:color="auto"/>
        <w:right w:val="none" w:sz="0" w:space="0" w:color="auto"/>
      </w:divBdr>
    </w:div>
    <w:div w:id="739332494">
      <w:bodyDiv w:val="1"/>
      <w:marLeft w:val="0"/>
      <w:marRight w:val="0"/>
      <w:marTop w:val="0"/>
      <w:marBottom w:val="0"/>
      <w:divBdr>
        <w:top w:val="none" w:sz="0" w:space="0" w:color="auto"/>
        <w:left w:val="none" w:sz="0" w:space="0" w:color="auto"/>
        <w:bottom w:val="none" w:sz="0" w:space="0" w:color="auto"/>
        <w:right w:val="none" w:sz="0" w:space="0" w:color="auto"/>
      </w:divBdr>
    </w:div>
    <w:div w:id="798761253">
      <w:bodyDiv w:val="1"/>
      <w:marLeft w:val="0"/>
      <w:marRight w:val="0"/>
      <w:marTop w:val="0"/>
      <w:marBottom w:val="0"/>
      <w:divBdr>
        <w:top w:val="none" w:sz="0" w:space="0" w:color="auto"/>
        <w:left w:val="none" w:sz="0" w:space="0" w:color="auto"/>
        <w:bottom w:val="none" w:sz="0" w:space="0" w:color="auto"/>
        <w:right w:val="none" w:sz="0" w:space="0" w:color="auto"/>
      </w:divBdr>
    </w:div>
    <w:div w:id="973755251">
      <w:bodyDiv w:val="1"/>
      <w:marLeft w:val="0"/>
      <w:marRight w:val="0"/>
      <w:marTop w:val="0"/>
      <w:marBottom w:val="0"/>
      <w:divBdr>
        <w:top w:val="none" w:sz="0" w:space="0" w:color="auto"/>
        <w:left w:val="none" w:sz="0" w:space="0" w:color="auto"/>
        <w:bottom w:val="none" w:sz="0" w:space="0" w:color="auto"/>
        <w:right w:val="none" w:sz="0" w:space="0" w:color="auto"/>
      </w:divBdr>
    </w:div>
    <w:div w:id="1234312590">
      <w:bodyDiv w:val="1"/>
      <w:marLeft w:val="0"/>
      <w:marRight w:val="0"/>
      <w:marTop w:val="0"/>
      <w:marBottom w:val="0"/>
      <w:divBdr>
        <w:top w:val="none" w:sz="0" w:space="0" w:color="auto"/>
        <w:left w:val="none" w:sz="0" w:space="0" w:color="auto"/>
        <w:bottom w:val="none" w:sz="0" w:space="0" w:color="auto"/>
        <w:right w:val="none" w:sz="0" w:space="0" w:color="auto"/>
      </w:divBdr>
    </w:div>
    <w:div w:id="1483697722">
      <w:bodyDiv w:val="1"/>
      <w:marLeft w:val="0"/>
      <w:marRight w:val="0"/>
      <w:marTop w:val="0"/>
      <w:marBottom w:val="0"/>
      <w:divBdr>
        <w:top w:val="none" w:sz="0" w:space="0" w:color="auto"/>
        <w:left w:val="none" w:sz="0" w:space="0" w:color="auto"/>
        <w:bottom w:val="none" w:sz="0" w:space="0" w:color="auto"/>
        <w:right w:val="none" w:sz="0" w:space="0" w:color="auto"/>
      </w:divBdr>
    </w:div>
    <w:div w:id="1519344574">
      <w:bodyDiv w:val="1"/>
      <w:marLeft w:val="0"/>
      <w:marRight w:val="0"/>
      <w:marTop w:val="0"/>
      <w:marBottom w:val="0"/>
      <w:divBdr>
        <w:top w:val="none" w:sz="0" w:space="0" w:color="auto"/>
        <w:left w:val="none" w:sz="0" w:space="0" w:color="auto"/>
        <w:bottom w:val="none" w:sz="0" w:space="0" w:color="auto"/>
        <w:right w:val="none" w:sz="0" w:space="0" w:color="auto"/>
      </w:divBdr>
    </w:div>
    <w:div w:id="1692797797">
      <w:bodyDiv w:val="1"/>
      <w:marLeft w:val="0"/>
      <w:marRight w:val="0"/>
      <w:marTop w:val="0"/>
      <w:marBottom w:val="0"/>
      <w:divBdr>
        <w:top w:val="none" w:sz="0" w:space="0" w:color="auto"/>
        <w:left w:val="none" w:sz="0" w:space="0" w:color="auto"/>
        <w:bottom w:val="none" w:sz="0" w:space="0" w:color="auto"/>
        <w:right w:val="none" w:sz="0" w:space="0" w:color="auto"/>
      </w:divBdr>
    </w:div>
    <w:div w:id="1757360954">
      <w:bodyDiv w:val="1"/>
      <w:marLeft w:val="0"/>
      <w:marRight w:val="0"/>
      <w:marTop w:val="0"/>
      <w:marBottom w:val="0"/>
      <w:divBdr>
        <w:top w:val="none" w:sz="0" w:space="0" w:color="auto"/>
        <w:left w:val="none" w:sz="0" w:space="0" w:color="auto"/>
        <w:bottom w:val="none" w:sz="0" w:space="0" w:color="auto"/>
        <w:right w:val="none" w:sz="0" w:space="0" w:color="auto"/>
      </w:divBdr>
    </w:div>
    <w:div w:id="1771656536">
      <w:bodyDiv w:val="1"/>
      <w:marLeft w:val="0"/>
      <w:marRight w:val="0"/>
      <w:marTop w:val="0"/>
      <w:marBottom w:val="0"/>
      <w:divBdr>
        <w:top w:val="none" w:sz="0" w:space="0" w:color="auto"/>
        <w:left w:val="none" w:sz="0" w:space="0" w:color="auto"/>
        <w:bottom w:val="none" w:sz="0" w:space="0" w:color="auto"/>
        <w:right w:val="none" w:sz="0" w:space="0" w:color="auto"/>
      </w:divBdr>
    </w:div>
    <w:div w:id="20033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austlii.edu.au/cgi-bin/viewdoc/au/legis/cth/consol_act/ja1903112/s39b.html" TargetMode="Externa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8.austlii.edu.au/cgi-bin/viewdoc/au/cases/cth/HCA/2001/1.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70DB58FD3443BB90620033EDCAE36"/>
        <w:category>
          <w:name w:val="General"/>
          <w:gallery w:val="placeholder"/>
        </w:category>
        <w:types>
          <w:type w:val="bbPlcHdr"/>
        </w:types>
        <w:behaviors>
          <w:behavior w:val="content"/>
        </w:behaviors>
        <w:guid w:val="{084DEEA7-4211-46A1-AF2D-556171033DD5}"/>
      </w:docPartPr>
      <w:docPartBody>
        <w:p w:rsidR="00A65E7C" w:rsidRDefault="00A65E7C">
          <w:pPr>
            <w:pStyle w:val="DB670DB58FD3443BB90620033EDCAE36"/>
          </w:pPr>
          <w:r>
            <w:rPr>
              <w:rStyle w:val="PlaceholderText"/>
            </w:rPr>
            <w:t>MNC Text</w:t>
          </w:r>
        </w:p>
      </w:docPartBody>
    </w:docPart>
    <w:docPart>
      <w:docPartPr>
        <w:name w:val="7D265CA842CC4085A9C3FB134ED47248"/>
        <w:category>
          <w:name w:val="General"/>
          <w:gallery w:val="placeholder"/>
        </w:category>
        <w:types>
          <w:type w:val="bbPlcHdr"/>
        </w:types>
        <w:behaviors>
          <w:behavior w:val="content"/>
        </w:behaviors>
        <w:guid w:val="{832BF90A-7C49-41C9-B4DC-C22F8016B23A}"/>
      </w:docPartPr>
      <w:docPartBody>
        <w:p w:rsidR="00A65E7C" w:rsidRDefault="00A65E7C">
          <w:pPr>
            <w:pStyle w:val="7D265CA842CC4085A9C3FB134ED47248"/>
          </w:pPr>
          <w:r w:rsidRPr="005C44BE">
            <w:rPr>
              <w:rStyle w:val="PlaceholderText"/>
            </w:rPr>
            <w:t>Click or tap here to enter text.</w:t>
          </w:r>
        </w:p>
      </w:docPartBody>
    </w:docPart>
    <w:docPart>
      <w:docPartPr>
        <w:name w:val="76E06941A26A4670B094BFDC09C68356"/>
        <w:category>
          <w:name w:val="General"/>
          <w:gallery w:val="placeholder"/>
        </w:category>
        <w:types>
          <w:type w:val="bbPlcHdr"/>
        </w:types>
        <w:behaviors>
          <w:behavior w:val="content"/>
        </w:behaviors>
        <w:guid w:val="{4F4082ED-5740-4042-87F2-3496E79E520A}"/>
      </w:docPartPr>
      <w:docPartBody>
        <w:p w:rsidR="00A65E7C" w:rsidRDefault="00A65E7C">
          <w:pPr>
            <w:pStyle w:val="76E06941A26A4670B094BFDC09C68356"/>
          </w:pPr>
          <w:r w:rsidRPr="005C44BE">
            <w:rPr>
              <w:rStyle w:val="PlaceholderText"/>
            </w:rPr>
            <w:t>Click or tap here to enter text.</w:t>
          </w:r>
        </w:p>
      </w:docPartBody>
    </w:docPart>
    <w:docPart>
      <w:docPartPr>
        <w:name w:val="0EB28CB068E843328F6837D97544865F"/>
        <w:category>
          <w:name w:val="General"/>
          <w:gallery w:val="placeholder"/>
        </w:category>
        <w:types>
          <w:type w:val="bbPlcHdr"/>
        </w:types>
        <w:behaviors>
          <w:behavior w:val="content"/>
        </w:behaviors>
        <w:guid w:val="{793D0150-F7B2-44C2-ACF6-E0DC83D06D99}"/>
      </w:docPartPr>
      <w:docPartBody>
        <w:p w:rsidR="00A65E7C" w:rsidRDefault="00A65E7C">
          <w:pPr>
            <w:pStyle w:val="0EB28CB068E843328F6837D97544865F"/>
          </w:pPr>
          <w:r w:rsidRPr="005C44BE">
            <w:rPr>
              <w:rStyle w:val="PlaceholderText"/>
            </w:rPr>
            <w:t>Click or tap here to enter text.</w:t>
          </w:r>
        </w:p>
      </w:docPartBody>
    </w:docPart>
    <w:docPart>
      <w:docPartPr>
        <w:name w:val="9C9394937E0E4127AA112DB3C8ED5982"/>
        <w:category>
          <w:name w:val="General"/>
          <w:gallery w:val="placeholder"/>
        </w:category>
        <w:types>
          <w:type w:val="bbPlcHdr"/>
        </w:types>
        <w:behaviors>
          <w:behavior w:val="content"/>
        </w:behaviors>
        <w:guid w:val="{737C3C37-80DB-4844-AA44-0E13CA821B65}"/>
      </w:docPartPr>
      <w:docPartBody>
        <w:p w:rsidR="00A65E7C" w:rsidRDefault="00A65E7C">
          <w:pPr>
            <w:pStyle w:val="9C9394937E0E4127AA112DB3C8ED5982"/>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7C"/>
    <w:rsid w:val="000F23AB"/>
    <w:rsid w:val="00983097"/>
    <w:rsid w:val="009D03D4"/>
    <w:rsid w:val="00A65E7C"/>
    <w:rsid w:val="00B50D24"/>
    <w:rsid w:val="00C80C33"/>
    <w:rsid w:val="00D0225B"/>
    <w:rsid w:val="00D346FA"/>
    <w:rsid w:val="00D3786E"/>
    <w:rsid w:val="00D6008E"/>
    <w:rsid w:val="00FC5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B670DB58FD3443BB90620033EDCAE36">
    <w:name w:val="DB670DB58FD3443BB90620033EDCAE36"/>
  </w:style>
  <w:style w:type="paragraph" w:customStyle="1" w:styleId="7D265CA842CC4085A9C3FB134ED47248">
    <w:name w:val="7D265CA842CC4085A9C3FB134ED47248"/>
  </w:style>
  <w:style w:type="paragraph" w:customStyle="1" w:styleId="76E06941A26A4670B094BFDC09C68356">
    <w:name w:val="76E06941A26A4670B094BFDC09C68356"/>
  </w:style>
  <w:style w:type="paragraph" w:customStyle="1" w:styleId="0EB28CB068E843328F6837D97544865F">
    <w:name w:val="0EB28CB068E843328F6837D97544865F"/>
  </w:style>
  <w:style w:type="paragraph" w:customStyle="1" w:styleId="9C9394937E0E4127AA112DB3C8ED5982">
    <w:name w:val="9C9394937E0E4127AA112DB3C8ED5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Deputy Commissioner of Taxation v Kocic (No 2) [2024] FCA 372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16</Pages>
  <Words>5392</Words>
  <Characters>27482</Characters>
  <Application>Microsoft Office Word</Application>
  <DocSecurity>0</DocSecurity>
  <Lines>560</Lines>
  <Paragraphs>209</Paragraphs>
  <ScaleCrop>false</ScaleCrop>
  <HeadingPairs>
    <vt:vector size="2" baseType="variant">
      <vt:variant>
        <vt:lpstr>Title</vt:lpstr>
      </vt:variant>
      <vt:variant>
        <vt:i4>1</vt:i4>
      </vt:variant>
    </vt:vector>
  </HeadingPairs>
  <TitlesOfParts>
    <vt:vector size="1" baseType="lpstr">
      <vt:lpstr>Deputy Commissioner of Taxation v Kocic (No 2) [2024] FCA 372 </vt:lpstr>
    </vt:vector>
  </TitlesOfParts>
  <Company>Federal Court of Australia</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Commissioner of Taxation v Kocic (No 2) [2024] FCA 372</dc:title>
  <dc:creator>Sandra Casey</dc:creator>
  <dc:description>v1.3</dc:description>
  <cp:lastModifiedBy>Sandra Casey</cp:lastModifiedBy>
  <cp:revision>3</cp:revision>
  <cp:lastPrinted>2024-04-15T22:51:00Z</cp:lastPrinted>
  <dcterms:created xsi:type="dcterms:W3CDTF">2024-04-16T01:28:00Z</dcterms:created>
  <dcterms:modified xsi:type="dcterms:W3CDTF">2024-04-16T01:28:00Z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Taxation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