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A77F" w14:textId="01A91C30" w:rsidR="00395B24" w:rsidRDefault="001A691C" w:rsidP="00A22932">
      <w:pPr>
        <w:pStyle w:val="CourtTitle"/>
      </w:pPr>
      <w:r>
        <w:fldChar w:fldCharType="begin"/>
      </w:r>
      <w:r>
        <w:instrText xml:space="preserve"> DOCPROPERTY  Court  \* MERGEFORMAT </w:instrText>
      </w:r>
      <w:r>
        <w:fldChar w:fldCharType="separate"/>
      </w:r>
      <w:r w:rsidR="0074636E">
        <w:t>Federal Court of Australia</w:t>
      </w:r>
      <w:r>
        <w:fldChar w:fldCharType="end"/>
      </w:r>
    </w:p>
    <w:p w14:paraId="1A4C0AA1" w14:textId="77777777" w:rsidR="004D7950" w:rsidRDefault="004D7950">
      <w:pPr>
        <w:pStyle w:val="NormalHeadings"/>
        <w:jc w:val="center"/>
        <w:rPr>
          <w:sz w:val="32"/>
        </w:rPr>
      </w:pPr>
    </w:p>
    <w:bookmarkStart w:id="0" w:name="MNC"/>
    <w:p w14:paraId="7240894B" w14:textId="31ED94AC" w:rsidR="00374CC4" w:rsidRDefault="00E501EF" w:rsidP="001A2B40">
      <w:pPr>
        <w:pStyle w:val="MNC"/>
      </w:pPr>
      <w:sdt>
        <w:sdtPr>
          <w:alias w:val="MNC"/>
          <w:tag w:val="MNC"/>
          <w:id w:val="343289786"/>
          <w:lock w:val="sdtLocked"/>
          <w:placeholder>
            <w:docPart w:val="91296B8823994348BCF7DAE055BEFFEA"/>
          </w:placeholder>
          <w:dataBinding w:prefixMappings="xmlns:ns0='http://schemas.globalmacros.com/FCA'" w:xpath="/ns0:root[1]/ns0:Name[1]" w:storeItemID="{687E7CCB-4AA5-44E7-B148-17BA2B6F57C0}"/>
          <w:text w:multiLine="1"/>
        </w:sdtPr>
        <w:sdtEndPr/>
        <w:sdtContent>
          <w:r w:rsidR="0074636E">
            <w:t xml:space="preserve">Australian Securities and Investments Commission v Blumenthal [2024] FCA </w:t>
          </w:r>
          <w:r w:rsidR="001D3F8F">
            <w:t>384</w:t>
          </w:r>
          <w:r w:rsidR="00693854">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05B95BF9" w14:textId="77777777" w:rsidTr="005B12D6">
        <w:tc>
          <w:tcPr>
            <w:tcW w:w="3084" w:type="dxa"/>
            <w:shd w:val="clear" w:color="auto" w:fill="auto"/>
          </w:tcPr>
          <w:p w14:paraId="51F091B4" w14:textId="13386454" w:rsidR="00395B24" w:rsidRDefault="002C7385" w:rsidP="00663878">
            <w:pPr>
              <w:pStyle w:val="Normal1linespace"/>
              <w:widowControl w:val="0"/>
              <w:jc w:val="left"/>
            </w:pPr>
            <w:r>
              <w:t>File number:</w:t>
            </w:r>
          </w:p>
        </w:tc>
        <w:tc>
          <w:tcPr>
            <w:tcW w:w="5989" w:type="dxa"/>
            <w:shd w:val="clear" w:color="auto" w:fill="auto"/>
          </w:tcPr>
          <w:p w14:paraId="15129A62" w14:textId="75F73015" w:rsidR="00395B24" w:rsidRPr="0074636E" w:rsidRDefault="001A691C" w:rsidP="0074636E">
            <w:pPr>
              <w:pStyle w:val="Normal1linespace"/>
              <w:jc w:val="left"/>
            </w:pPr>
            <w:fldSimple w:instr=" REF  FileNo  \* MERGEFORMAT " w:fldLock="1">
              <w:r w:rsidR="0074636E" w:rsidRPr="0074636E">
                <w:t>NSD 1533 of 2023</w:t>
              </w:r>
            </w:fldSimple>
          </w:p>
        </w:tc>
      </w:tr>
      <w:tr w:rsidR="00395B24" w14:paraId="7C2C57A4" w14:textId="77777777" w:rsidTr="005B12D6">
        <w:tc>
          <w:tcPr>
            <w:tcW w:w="3084" w:type="dxa"/>
            <w:shd w:val="clear" w:color="auto" w:fill="auto"/>
          </w:tcPr>
          <w:p w14:paraId="330A260A" w14:textId="77777777" w:rsidR="00395B24" w:rsidRDefault="00395B24" w:rsidP="00663878">
            <w:pPr>
              <w:pStyle w:val="Normal1linespace"/>
              <w:widowControl w:val="0"/>
              <w:jc w:val="left"/>
            </w:pPr>
          </w:p>
        </w:tc>
        <w:tc>
          <w:tcPr>
            <w:tcW w:w="5989" w:type="dxa"/>
            <w:shd w:val="clear" w:color="auto" w:fill="auto"/>
          </w:tcPr>
          <w:p w14:paraId="27622B85" w14:textId="77777777" w:rsidR="00395B24" w:rsidRDefault="00395B24" w:rsidP="00663878">
            <w:pPr>
              <w:pStyle w:val="Normal1linespace"/>
              <w:widowControl w:val="0"/>
              <w:jc w:val="left"/>
            </w:pPr>
          </w:p>
        </w:tc>
      </w:tr>
      <w:tr w:rsidR="00395B24" w14:paraId="2EE88548" w14:textId="77777777" w:rsidTr="005B12D6">
        <w:tc>
          <w:tcPr>
            <w:tcW w:w="3084" w:type="dxa"/>
            <w:shd w:val="clear" w:color="auto" w:fill="auto"/>
          </w:tcPr>
          <w:p w14:paraId="4C2B35F9"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0C273FD" w14:textId="50675A3F" w:rsidR="00395B24" w:rsidRDefault="002C7385" w:rsidP="00663878">
            <w:pPr>
              <w:pStyle w:val="Normal1linespace"/>
              <w:widowControl w:val="0"/>
              <w:jc w:val="left"/>
              <w:rPr>
                <w:b/>
              </w:rPr>
            </w:pPr>
            <w:r w:rsidRPr="0074636E">
              <w:rPr>
                <w:b/>
              </w:rPr>
              <w:fldChar w:fldCharType="begin" w:fldLock="1"/>
            </w:r>
            <w:r w:rsidRPr="0074636E">
              <w:rPr>
                <w:b/>
              </w:rPr>
              <w:instrText xml:space="preserve"> REF  Judge  \* MERGEFORMAT </w:instrText>
            </w:r>
            <w:r w:rsidRPr="0074636E">
              <w:rPr>
                <w:b/>
              </w:rPr>
              <w:fldChar w:fldCharType="separate"/>
            </w:r>
            <w:r w:rsidR="0074636E" w:rsidRPr="0074636E">
              <w:rPr>
                <w:b/>
                <w:caps/>
                <w:szCs w:val="24"/>
              </w:rPr>
              <w:t>STEWART J</w:t>
            </w:r>
            <w:r w:rsidRPr="0074636E">
              <w:rPr>
                <w:b/>
              </w:rPr>
              <w:fldChar w:fldCharType="end"/>
            </w:r>
          </w:p>
        </w:tc>
      </w:tr>
      <w:tr w:rsidR="00395B24" w14:paraId="589B128C" w14:textId="77777777" w:rsidTr="005B12D6">
        <w:tc>
          <w:tcPr>
            <w:tcW w:w="3084" w:type="dxa"/>
            <w:shd w:val="clear" w:color="auto" w:fill="auto"/>
          </w:tcPr>
          <w:p w14:paraId="294DE2DD" w14:textId="77777777" w:rsidR="00395B24" w:rsidRDefault="00395B24" w:rsidP="00663878">
            <w:pPr>
              <w:pStyle w:val="Normal1linespace"/>
              <w:widowControl w:val="0"/>
              <w:jc w:val="left"/>
            </w:pPr>
          </w:p>
        </w:tc>
        <w:tc>
          <w:tcPr>
            <w:tcW w:w="5989" w:type="dxa"/>
            <w:shd w:val="clear" w:color="auto" w:fill="auto"/>
          </w:tcPr>
          <w:p w14:paraId="2C050B9B" w14:textId="77777777" w:rsidR="00395B24" w:rsidRDefault="00395B24" w:rsidP="00663878">
            <w:pPr>
              <w:pStyle w:val="Normal1linespace"/>
              <w:widowControl w:val="0"/>
              <w:jc w:val="left"/>
            </w:pPr>
          </w:p>
        </w:tc>
      </w:tr>
      <w:tr w:rsidR="00395B24" w14:paraId="2E19C9B9" w14:textId="77777777" w:rsidTr="005B12D6">
        <w:tc>
          <w:tcPr>
            <w:tcW w:w="3084" w:type="dxa"/>
            <w:shd w:val="clear" w:color="auto" w:fill="auto"/>
          </w:tcPr>
          <w:p w14:paraId="50236B83" w14:textId="77777777" w:rsidR="00395B24" w:rsidRDefault="002C7385" w:rsidP="00663878">
            <w:pPr>
              <w:pStyle w:val="Normal1linespace"/>
              <w:widowControl w:val="0"/>
              <w:jc w:val="left"/>
            </w:pPr>
            <w:r>
              <w:t>Date of judgment:</w:t>
            </w:r>
          </w:p>
        </w:tc>
        <w:tc>
          <w:tcPr>
            <w:tcW w:w="5989" w:type="dxa"/>
            <w:shd w:val="clear" w:color="auto" w:fill="auto"/>
          </w:tcPr>
          <w:p w14:paraId="79E05495" w14:textId="4F1A2FB5" w:rsidR="00395B24" w:rsidRDefault="00F3794D" w:rsidP="00663878">
            <w:pPr>
              <w:pStyle w:val="Normal1linespace"/>
              <w:widowControl w:val="0"/>
              <w:jc w:val="left"/>
            </w:pPr>
            <w:bookmarkStart w:id="1" w:name="JudgmentDate"/>
            <w:r>
              <w:t xml:space="preserve">12 April 2024  </w:t>
            </w:r>
            <w:bookmarkEnd w:id="1"/>
          </w:p>
        </w:tc>
      </w:tr>
      <w:tr w:rsidR="0074636E" w14:paraId="7CA25E1F" w14:textId="77777777" w:rsidTr="005B12D6">
        <w:tc>
          <w:tcPr>
            <w:tcW w:w="3084" w:type="dxa"/>
            <w:shd w:val="clear" w:color="auto" w:fill="auto"/>
          </w:tcPr>
          <w:p w14:paraId="5DAEF4EF" w14:textId="77777777" w:rsidR="0074636E" w:rsidRDefault="0074636E" w:rsidP="00663878">
            <w:pPr>
              <w:pStyle w:val="Normal1linespace"/>
              <w:widowControl w:val="0"/>
              <w:jc w:val="left"/>
            </w:pPr>
          </w:p>
        </w:tc>
        <w:tc>
          <w:tcPr>
            <w:tcW w:w="5989" w:type="dxa"/>
            <w:shd w:val="clear" w:color="auto" w:fill="auto"/>
          </w:tcPr>
          <w:p w14:paraId="1BF7631F" w14:textId="77777777" w:rsidR="0074636E" w:rsidRDefault="0074636E" w:rsidP="00663878">
            <w:pPr>
              <w:pStyle w:val="Normal1linespace"/>
              <w:widowControl w:val="0"/>
              <w:jc w:val="left"/>
            </w:pPr>
          </w:p>
        </w:tc>
      </w:tr>
      <w:tr w:rsidR="0074636E" w14:paraId="6335CB4F" w14:textId="77777777" w:rsidTr="005B12D6">
        <w:tc>
          <w:tcPr>
            <w:tcW w:w="3084" w:type="dxa"/>
            <w:shd w:val="clear" w:color="auto" w:fill="auto"/>
          </w:tcPr>
          <w:p w14:paraId="21AD590B" w14:textId="19DEA5AA" w:rsidR="0074636E" w:rsidRDefault="0074636E" w:rsidP="00663878">
            <w:pPr>
              <w:pStyle w:val="Normal1linespace"/>
              <w:widowControl w:val="0"/>
              <w:jc w:val="left"/>
            </w:pPr>
            <w:r>
              <w:t>Date of publication of reasons:</w:t>
            </w:r>
          </w:p>
        </w:tc>
        <w:tc>
          <w:tcPr>
            <w:tcW w:w="5989" w:type="dxa"/>
            <w:shd w:val="clear" w:color="auto" w:fill="auto"/>
          </w:tcPr>
          <w:p w14:paraId="123DAD80" w14:textId="52DB714C" w:rsidR="0074636E" w:rsidRDefault="00FA4EEA" w:rsidP="00663878">
            <w:pPr>
              <w:pStyle w:val="Normal1linespace"/>
              <w:widowControl w:val="0"/>
              <w:jc w:val="left"/>
            </w:pPr>
            <w:r>
              <w:t>17 April 2024</w:t>
            </w:r>
          </w:p>
        </w:tc>
      </w:tr>
      <w:tr w:rsidR="00395B24" w14:paraId="349EC5B9" w14:textId="77777777" w:rsidTr="005B12D6">
        <w:tc>
          <w:tcPr>
            <w:tcW w:w="3084" w:type="dxa"/>
            <w:shd w:val="clear" w:color="auto" w:fill="auto"/>
          </w:tcPr>
          <w:p w14:paraId="2E5C7FC5" w14:textId="77777777" w:rsidR="00395B24" w:rsidRDefault="00395B24" w:rsidP="00663878">
            <w:pPr>
              <w:pStyle w:val="Normal1linespace"/>
              <w:widowControl w:val="0"/>
              <w:jc w:val="left"/>
            </w:pPr>
          </w:p>
        </w:tc>
        <w:tc>
          <w:tcPr>
            <w:tcW w:w="5989" w:type="dxa"/>
            <w:shd w:val="clear" w:color="auto" w:fill="auto"/>
          </w:tcPr>
          <w:p w14:paraId="2D9E7FEF" w14:textId="77777777" w:rsidR="00395B24" w:rsidRDefault="00395B24" w:rsidP="00663878">
            <w:pPr>
              <w:pStyle w:val="Normal1linespace"/>
              <w:widowControl w:val="0"/>
              <w:jc w:val="left"/>
            </w:pPr>
          </w:p>
        </w:tc>
      </w:tr>
      <w:tr w:rsidR="00395B24" w14:paraId="0B78DA6E" w14:textId="77777777" w:rsidTr="005B12D6">
        <w:tc>
          <w:tcPr>
            <w:tcW w:w="3084" w:type="dxa"/>
            <w:shd w:val="clear" w:color="auto" w:fill="auto"/>
          </w:tcPr>
          <w:p w14:paraId="4A141223" w14:textId="77777777" w:rsidR="00395B24" w:rsidRDefault="002C7385" w:rsidP="00663878">
            <w:pPr>
              <w:pStyle w:val="Normal1linespace"/>
              <w:widowControl w:val="0"/>
              <w:jc w:val="left"/>
            </w:pPr>
            <w:r>
              <w:t>Catchwords:</w:t>
            </w:r>
          </w:p>
        </w:tc>
        <w:tc>
          <w:tcPr>
            <w:tcW w:w="5989" w:type="dxa"/>
            <w:shd w:val="clear" w:color="auto" w:fill="auto"/>
          </w:tcPr>
          <w:p w14:paraId="7F08B0F0" w14:textId="52BCB675" w:rsidR="00395B24" w:rsidRDefault="00B750C7" w:rsidP="00663878">
            <w:pPr>
              <w:pStyle w:val="Normal1linespace"/>
              <w:widowControl w:val="0"/>
              <w:jc w:val="left"/>
            </w:pPr>
            <w:bookmarkStart w:id="2" w:name="Catchwords"/>
            <w:r>
              <w:rPr>
                <w:b/>
                <w:bCs/>
              </w:rPr>
              <w:t xml:space="preserve">CORPORATIONS </w:t>
            </w:r>
            <w:r>
              <w:t xml:space="preserve">– </w:t>
            </w:r>
            <w:r w:rsidR="00FD10FC">
              <w:t xml:space="preserve">where </w:t>
            </w:r>
            <w:r w:rsidR="007C61A8">
              <w:t xml:space="preserve">parties jointly seek agreed declarations and penalty orders in relation to </w:t>
            </w:r>
            <w:r w:rsidR="00FB6FF2">
              <w:t xml:space="preserve">admitted </w:t>
            </w:r>
            <w:r w:rsidR="007C61A8">
              <w:t xml:space="preserve">contraventions of the </w:t>
            </w:r>
            <w:r w:rsidR="007C61A8">
              <w:rPr>
                <w:i/>
                <w:iCs/>
              </w:rPr>
              <w:t xml:space="preserve">Corporations Act 2001 </w:t>
            </w:r>
            <w:r w:rsidR="007C61A8">
              <w:t>(</w:t>
            </w:r>
            <w:proofErr w:type="spellStart"/>
            <w:r w:rsidR="007C61A8">
              <w:t>Cth</w:t>
            </w:r>
            <w:proofErr w:type="spellEnd"/>
            <w:r w:rsidR="007C61A8">
              <w:t xml:space="preserve">) </w:t>
            </w:r>
            <w:r w:rsidR="00324EAE">
              <w:t xml:space="preserve">– where contravening conduct concerned breaches by the defendant of </w:t>
            </w:r>
            <w:r w:rsidR="003E120B">
              <w:t xml:space="preserve">his </w:t>
            </w:r>
            <w:r w:rsidR="00324EAE">
              <w:t>directors’ duties and</w:t>
            </w:r>
            <w:r w:rsidR="00715751">
              <w:t xml:space="preserve"> </w:t>
            </w:r>
            <w:r w:rsidR="00E175C0">
              <w:t xml:space="preserve">provision preventing a person from </w:t>
            </w:r>
            <w:r w:rsidR="00EC61D8">
              <w:t>creating a false or misleading appearance of active trading –</w:t>
            </w:r>
            <w:r w:rsidR="007C18D4">
              <w:t xml:space="preserve"> </w:t>
            </w:r>
            <w:r w:rsidR="00241A3B">
              <w:t>where disqualification and pecuniary penalty sought</w:t>
            </w:r>
            <w:r w:rsidR="007C18D4">
              <w:t xml:space="preserve"> </w:t>
            </w:r>
            <w:r w:rsidR="00B6744C">
              <w:t xml:space="preserve">– </w:t>
            </w:r>
            <w:r w:rsidR="007C18D4">
              <w:t xml:space="preserve">where contravening conduct serious – where application made for </w:t>
            </w:r>
            <w:r w:rsidR="00B6744C">
              <w:t xml:space="preserve">leave </w:t>
            </w:r>
            <w:r w:rsidR="006B239C">
              <w:t xml:space="preserve">pursuant to s 206G of the Corporations Act </w:t>
            </w:r>
            <w:r w:rsidR="00B6744C">
              <w:t>for disqualified person to manage particular corporations</w:t>
            </w:r>
            <w:r w:rsidR="00B36F3F">
              <w:t xml:space="preserve"> – where </w:t>
            </w:r>
            <w:r w:rsidR="00783677">
              <w:t xml:space="preserve">suitable </w:t>
            </w:r>
            <w:r w:rsidR="00B36F3F">
              <w:t xml:space="preserve">limitations </w:t>
            </w:r>
            <w:r w:rsidR="00783677">
              <w:t xml:space="preserve">proposed with respect to </w:t>
            </w:r>
            <w:r w:rsidR="00491487">
              <w:t>such</w:t>
            </w:r>
            <w:r w:rsidR="00783677">
              <w:t xml:space="preserve"> leave</w:t>
            </w:r>
            <w:r w:rsidR="002C7385">
              <w:t xml:space="preserve"> </w:t>
            </w:r>
            <w:bookmarkEnd w:id="2"/>
          </w:p>
        </w:tc>
      </w:tr>
      <w:tr w:rsidR="00395B24" w14:paraId="0DB68142" w14:textId="77777777" w:rsidTr="005B12D6">
        <w:tc>
          <w:tcPr>
            <w:tcW w:w="3084" w:type="dxa"/>
            <w:shd w:val="clear" w:color="auto" w:fill="auto"/>
          </w:tcPr>
          <w:p w14:paraId="36606F86" w14:textId="77777777" w:rsidR="00395B24" w:rsidRDefault="00395B24" w:rsidP="00663878">
            <w:pPr>
              <w:pStyle w:val="Normal1linespace"/>
              <w:widowControl w:val="0"/>
              <w:jc w:val="left"/>
            </w:pPr>
          </w:p>
        </w:tc>
        <w:tc>
          <w:tcPr>
            <w:tcW w:w="5989" w:type="dxa"/>
            <w:shd w:val="clear" w:color="auto" w:fill="auto"/>
          </w:tcPr>
          <w:p w14:paraId="2CA33F0C" w14:textId="77777777" w:rsidR="00395B24" w:rsidRDefault="00395B24" w:rsidP="00663878">
            <w:pPr>
              <w:pStyle w:val="Normal1linespace"/>
              <w:widowControl w:val="0"/>
              <w:jc w:val="left"/>
            </w:pPr>
          </w:p>
        </w:tc>
      </w:tr>
      <w:tr w:rsidR="00395B24" w14:paraId="515D8C1A" w14:textId="77777777" w:rsidTr="005B12D6">
        <w:tc>
          <w:tcPr>
            <w:tcW w:w="3084" w:type="dxa"/>
            <w:shd w:val="clear" w:color="auto" w:fill="auto"/>
          </w:tcPr>
          <w:p w14:paraId="2D8988E9" w14:textId="77777777" w:rsidR="00395B24" w:rsidRDefault="002C7385" w:rsidP="00663878">
            <w:pPr>
              <w:pStyle w:val="Normal1linespace"/>
              <w:widowControl w:val="0"/>
              <w:jc w:val="left"/>
            </w:pPr>
            <w:r>
              <w:t>Legislation:</w:t>
            </w:r>
          </w:p>
        </w:tc>
        <w:tc>
          <w:tcPr>
            <w:tcW w:w="5989" w:type="dxa"/>
            <w:shd w:val="clear" w:color="auto" w:fill="auto"/>
          </w:tcPr>
          <w:p w14:paraId="1F4A718B" w14:textId="77777777" w:rsidR="009D4786" w:rsidRDefault="009D4786" w:rsidP="00D82620">
            <w:pPr>
              <w:pStyle w:val="CasesLegislationAppealFrom"/>
              <w:spacing w:after="60"/>
            </w:pPr>
            <w:bookmarkStart w:id="3" w:name="Legislation"/>
            <w:r>
              <w:rPr>
                <w:i/>
                <w:iCs/>
              </w:rPr>
              <w:t xml:space="preserve">Australian Securities and Investments Commission Act 2001 </w:t>
            </w:r>
            <w:r>
              <w:t>(</w:t>
            </w:r>
            <w:proofErr w:type="spellStart"/>
            <w:r>
              <w:t>Cth</w:t>
            </w:r>
            <w:proofErr w:type="spellEnd"/>
            <w:r>
              <w:t>) ss 91, 93AA</w:t>
            </w:r>
          </w:p>
          <w:p w14:paraId="05F2B38C" w14:textId="77777777" w:rsidR="009D4786" w:rsidRDefault="009D4786" w:rsidP="00D82620">
            <w:pPr>
              <w:pStyle w:val="CasesLegislationAppealFrom"/>
              <w:spacing w:after="60"/>
            </w:pPr>
            <w:r>
              <w:rPr>
                <w:i/>
                <w:iCs/>
              </w:rPr>
              <w:t xml:space="preserve">Corporations Act 2001 </w:t>
            </w:r>
            <w:r>
              <w:t>(</w:t>
            </w:r>
            <w:proofErr w:type="spellStart"/>
            <w:r>
              <w:t>Cth</w:t>
            </w:r>
            <w:proofErr w:type="spellEnd"/>
            <w:r>
              <w:t>) ss 912A, 180(1), 181(1), 206C, 206G, 1041B(1)(b), 1317E, 1317G, 1322</w:t>
            </w:r>
          </w:p>
          <w:p w14:paraId="4ADEB15D" w14:textId="77777777" w:rsidR="009D4786" w:rsidRPr="00791F97" w:rsidRDefault="009D4786" w:rsidP="00D82620">
            <w:pPr>
              <w:pStyle w:val="CasesLegislationAppealFrom"/>
              <w:spacing w:after="60"/>
            </w:pPr>
            <w:r>
              <w:rPr>
                <w:i/>
                <w:iCs/>
              </w:rPr>
              <w:t xml:space="preserve">Crimes Act 1914 </w:t>
            </w:r>
            <w:r>
              <w:t>(</w:t>
            </w:r>
            <w:proofErr w:type="spellStart"/>
            <w:r>
              <w:t>Cth</w:t>
            </w:r>
            <w:proofErr w:type="spellEnd"/>
            <w:r>
              <w:t>) s 4AA</w:t>
            </w:r>
          </w:p>
          <w:p w14:paraId="10561482" w14:textId="5C471CC4" w:rsidR="00395B24" w:rsidRDefault="009D4786" w:rsidP="00D82620">
            <w:pPr>
              <w:pStyle w:val="CasesLegislationAppealFrom"/>
              <w:spacing w:after="60"/>
            </w:pPr>
            <w:r w:rsidRPr="00E4548A">
              <w:rPr>
                <w:i/>
                <w:iCs/>
              </w:rPr>
              <w:t>Evidence Act 1995</w:t>
            </w:r>
            <w:r>
              <w:t xml:space="preserve"> (</w:t>
            </w:r>
            <w:proofErr w:type="spellStart"/>
            <w:r>
              <w:t>Cth</w:t>
            </w:r>
            <w:proofErr w:type="spellEnd"/>
            <w:r>
              <w:t xml:space="preserve">) s 191 </w:t>
            </w:r>
            <w:bookmarkEnd w:id="3"/>
          </w:p>
        </w:tc>
      </w:tr>
      <w:tr w:rsidR="00395B24" w14:paraId="47074DDA" w14:textId="77777777" w:rsidTr="005B12D6">
        <w:tc>
          <w:tcPr>
            <w:tcW w:w="3084" w:type="dxa"/>
            <w:shd w:val="clear" w:color="auto" w:fill="auto"/>
          </w:tcPr>
          <w:p w14:paraId="0CD4A939" w14:textId="77777777" w:rsidR="00395B24" w:rsidRDefault="00395B24" w:rsidP="00663878">
            <w:pPr>
              <w:pStyle w:val="Normal1linespace"/>
              <w:widowControl w:val="0"/>
              <w:jc w:val="left"/>
            </w:pPr>
          </w:p>
        </w:tc>
        <w:tc>
          <w:tcPr>
            <w:tcW w:w="5989" w:type="dxa"/>
            <w:shd w:val="clear" w:color="auto" w:fill="auto"/>
          </w:tcPr>
          <w:p w14:paraId="556CB923" w14:textId="77777777" w:rsidR="00395B24" w:rsidRDefault="00395B24" w:rsidP="00663878">
            <w:pPr>
              <w:pStyle w:val="Normal1linespace"/>
              <w:widowControl w:val="0"/>
              <w:jc w:val="left"/>
            </w:pPr>
          </w:p>
        </w:tc>
      </w:tr>
      <w:tr w:rsidR="00395B24" w14:paraId="0F23F043" w14:textId="77777777" w:rsidTr="005B12D6">
        <w:tc>
          <w:tcPr>
            <w:tcW w:w="3084" w:type="dxa"/>
            <w:shd w:val="clear" w:color="auto" w:fill="auto"/>
          </w:tcPr>
          <w:p w14:paraId="7E4291BD" w14:textId="77777777" w:rsidR="00395B24" w:rsidRDefault="002C7385" w:rsidP="00663878">
            <w:pPr>
              <w:pStyle w:val="Normal1linespace"/>
              <w:widowControl w:val="0"/>
              <w:jc w:val="left"/>
            </w:pPr>
            <w:r>
              <w:t>Cases cited:</w:t>
            </w:r>
          </w:p>
        </w:tc>
        <w:tc>
          <w:tcPr>
            <w:tcW w:w="5989" w:type="dxa"/>
            <w:shd w:val="clear" w:color="auto" w:fill="auto"/>
          </w:tcPr>
          <w:p w14:paraId="2D63650A" w14:textId="77777777" w:rsidR="009D4786" w:rsidRPr="009D4786" w:rsidRDefault="009D4786" w:rsidP="009D4786">
            <w:pPr>
              <w:pStyle w:val="CasesLegislationAppealFrom"/>
              <w:spacing w:after="60"/>
            </w:pPr>
            <w:bookmarkStart w:id="4" w:name="Cases_Cited"/>
            <w:r w:rsidRPr="009D4786">
              <w:rPr>
                <w:i/>
                <w:iCs/>
              </w:rPr>
              <w:t>ACCC v Reckitt Benckiser (Australia) Pty Ltd</w:t>
            </w:r>
            <w:r w:rsidRPr="009D4786">
              <w:t xml:space="preserve"> [2016] FCAFC 181; 340 ALR 25</w:t>
            </w:r>
          </w:p>
          <w:p w14:paraId="5927FF3C" w14:textId="77777777" w:rsidR="009D4786" w:rsidRPr="009D4786" w:rsidRDefault="009D4786" w:rsidP="009D4786">
            <w:pPr>
              <w:pStyle w:val="CasesLegislationAppealFrom"/>
              <w:spacing w:after="60"/>
            </w:pPr>
            <w:r w:rsidRPr="009D4786">
              <w:rPr>
                <w:i/>
                <w:iCs/>
              </w:rPr>
              <w:t xml:space="preserve">ASIC v </w:t>
            </w:r>
            <w:proofErr w:type="spellStart"/>
            <w:r w:rsidRPr="009D4786">
              <w:rPr>
                <w:i/>
                <w:iCs/>
              </w:rPr>
              <w:t>Employsure</w:t>
            </w:r>
            <w:proofErr w:type="spellEnd"/>
            <w:r w:rsidRPr="009D4786">
              <w:rPr>
                <w:i/>
                <w:iCs/>
              </w:rPr>
              <w:t xml:space="preserve"> Pty Ltd</w:t>
            </w:r>
            <w:r w:rsidRPr="009D4786">
              <w:t xml:space="preserve"> [2023] FCAFC 5; 407 ALR 302</w:t>
            </w:r>
          </w:p>
          <w:p w14:paraId="6E778007" w14:textId="77777777" w:rsidR="009D4786" w:rsidRPr="009D4786" w:rsidRDefault="009D4786" w:rsidP="009D4786">
            <w:pPr>
              <w:pStyle w:val="CasesLegislationAppealFrom"/>
              <w:spacing w:after="60"/>
            </w:pPr>
            <w:r w:rsidRPr="009D4786">
              <w:rPr>
                <w:i/>
                <w:iCs/>
              </w:rPr>
              <w:t>ASIC v Forex Capital Trading Pty Ltd</w:t>
            </w:r>
            <w:r w:rsidRPr="009D4786">
              <w:t xml:space="preserve"> [2021] FCA 570</w:t>
            </w:r>
          </w:p>
          <w:p w14:paraId="79778792" w14:textId="77777777" w:rsidR="009D4786" w:rsidRPr="009D4786" w:rsidRDefault="009D4786" w:rsidP="009D4786">
            <w:pPr>
              <w:pStyle w:val="CasesLegislationAppealFrom"/>
              <w:spacing w:after="60"/>
            </w:pPr>
            <w:r w:rsidRPr="009D4786">
              <w:rPr>
                <w:i/>
                <w:iCs/>
              </w:rPr>
              <w:t>ASIC v Westpac Banking Corporation (No 3)</w:t>
            </w:r>
            <w:r w:rsidRPr="009D4786">
              <w:t xml:space="preserve"> [2018] FCA 1701; 131 ACSR 585</w:t>
            </w:r>
          </w:p>
          <w:p w14:paraId="7998F621" w14:textId="77777777" w:rsidR="009D4786" w:rsidRPr="009D4786" w:rsidRDefault="009D4786" w:rsidP="009D4786">
            <w:pPr>
              <w:pStyle w:val="CasesLegislationAppealFrom"/>
              <w:spacing w:after="60"/>
            </w:pPr>
            <w:r w:rsidRPr="009D4786">
              <w:rPr>
                <w:i/>
                <w:iCs/>
              </w:rPr>
              <w:t>Australian Building &amp; Construction Commissioner v Pattinson</w:t>
            </w:r>
            <w:r w:rsidRPr="009D4786">
              <w:t xml:space="preserve"> [2022] HCA 13; 274 CLR 450</w:t>
            </w:r>
          </w:p>
          <w:p w14:paraId="7C274732" w14:textId="77777777" w:rsidR="009D4786" w:rsidRPr="009D4786" w:rsidRDefault="009D4786" w:rsidP="009D4786">
            <w:pPr>
              <w:pStyle w:val="CasesLegislationAppealFrom"/>
              <w:spacing w:after="60"/>
            </w:pPr>
            <w:r w:rsidRPr="009D4786">
              <w:rPr>
                <w:i/>
                <w:iCs/>
              </w:rPr>
              <w:t>Australian Building and Construction Commissioner v Construction, Forestry, Mining and Energy Union</w:t>
            </w:r>
            <w:r w:rsidRPr="009D4786">
              <w:t xml:space="preserve"> [2018] HCA 3; 262 CLR 157</w:t>
            </w:r>
          </w:p>
          <w:p w14:paraId="09E34912" w14:textId="77777777" w:rsidR="009D4786" w:rsidRPr="009D4786" w:rsidRDefault="009D4786" w:rsidP="009D4786">
            <w:pPr>
              <w:pStyle w:val="CasesLegislationAppealFrom"/>
              <w:spacing w:after="60"/>
            </w:pPr>
            <w:r w:rsidRPr="009D4786">
              <w:rPr>
                <w:i/>
                <w:iCs/>
              </w:rPr>
              <w:lastRenderedPageBreak/>
              <w:t>Gillfillan v ASIC</w:t>
            </w:r>
            <w:r w:rsidRPr="009D4786">
              <w:t xml:space="preserve"> [2012] NSWCA 370; ACSR 460</w:t>
            </w:r>
          </w:p>
          <w:p w14:paraId="6F76ED69" w14:textId="77777777" w:rsidR="009D4786" w:rsidRPr="009D4786" w:rsidRDefault="009D4786" w:rsidP="009D4786">
            <w:pPr>
              <w:pStyle w:val="CasesLegislationAppealFrom"/>
              <w:spacing w:after="60"/>
            </w:pPr>
            <w:r w:rsidRPr="009D4786">
              <w:rPr>
                <w:i/>
                <w:iCs/>
              </w:rPr>
              <w:t>Minister for Industry, Tourism and Resources v Mobile Oil Australia Pty Ltd</w:t>
            </w:r>
            <w:r w:rsidRPr="009D4786">
              <w:t xml:space="preserve"> [2004] FCAFC 72; 26 ATPR 41-993</w:t>
            </w:r>
          </w:p>
          <w:p w14:paraId="407EC5FD" w14:textId="77777777" w:rsidR="009D4786" w:rsidRPr="009D4786" w:rsidRDefault="009D4786" w:rsidP="009D4786">
            <w:pPr>
              <w:pStyle w:val="CasesLegislationAppealFrom"/>
              <w:spacing w:after="60"/>
            </w:pPr>
            <w:r w:rsidRPr="009D4786">
              <w:rPr>
                <w:i/>
                <w:iCs/>
              </w:rPr>
              <w:t>Nenna v ASIC</w:t>
            </w:r>
            <w:r w:rsidRPr="009D4786">
              <w:t xml:space="preserve"> [2011] FCA 1193; 198 FCR 32</w:t>
            </w:r>
          </w:p>
          <w:p w14:paraId="5A7E43AA" w14:textId="77777777" w:rsidR="009D4786" w:rsidRPr="009D4786" w:rsidRDefault="009D4786" w:rsidP="009D4786">
            <w:pPr>
              <w:pStyle w:val="CasesLegislationAppealFrom"/>
              <w:spacing w:after="60"/>
            </w:pPr>
            <w:r w:rsidRPr="009D4786">
              <w:rPr>
                <w:i/>
                <w:iCs/>
              </w:rPr>
              <w:t xml:space="preserve">Re HIH Insurance Ltd (in prov </w:t>
            </w:r>
            <w:proofErr w:type="spellStart"/>
            <w:r w:rsidRPr="009D4786">
              <w:rPr>
                <w:i/>
                <w:iCs/>
              </w:rPr>
              <w:t>liq</w:t>
            </w:r>
            <w:proofErr w:type="spellEnd"/>
            <w:r w:rsidRPr="009D4786">
              <w:rPr>
                <w:i/>
                <w:iCs/>
              </w:rPr>
              <w:t xml:space="preserve">) and HIH Casualty and General Insurance Ltd (in prov </w:t>
            </w:r>
            <w:proofErr w:type="spellStart"/>
            <w:r w:rsidRPr="009D4786">
              <w:rPr>
                <w:i/>
                <w:iCs/>
              </w:rPr>
              <w:t>liq</w:t>
            </w:r>
            <w:proofErr w:type="spellEnd"/>
            <w:r w:rsidRPr="009D4786">
              <w:rPr>
                <w:i/>
                <w:iCs/>
              </w:rPr>
              <w:t>); ASIC v Adler</w:t>
            </w:r>
            <w:r w:rsidRPr="009D4786">
              <w:t xml:space="preserve"> [2002] NSWSC 483; 42 ACSR 80</w:t>
            </w:r>
          </w:p>
          <w:p w14:paraId="5ADDEEED" w14:textId="38F6B8E9" w:rsidR="009D4786" w:rsidRPr="009D4786" w:rsidRDefault="009D4786" w:rsidP="009D4786">
            <w:pPr>
              <w:pStyle w:val="CasesLegislationAppealFrom"/>
              <w:spacing w:after="60"/>
            </w:pPr>
            <w:r w:rsidRPr="009D4786">
              <w:rPr>
                <w:i/>
                <w:iCs/>
              </w:rPr>
              <w:t>Vines v ASIC</w:t>
            </w:r>
            <w:r w:rsidRPr="009D4786">
              <w:t xml:space="preserve"> [2007] NSWCA 126; 63 ACSR 505</w:t>
            </w:r>
            <w:bookmarkEnd w:id="4"/>
          </w:p>
        </w:tc>
      </w:tr>
      <w:tr w:rsidR="0074636E" w14:paraId="37A783A9" w14:textId="77777777" w:rsidTr="005B12D6">
        <w:tc>
          <w:tcPr>
            <w:tcW w:w="3084" w:type="dxa"/>
            <w:shd w:val="clear" w:color="auto" w:fill="auto"/>
          </w:tcPr>
          <w:p w14:paraId="69AFF6F2" w14:textId="77777777" w:rsidR="0074636E" w:rsidRDefault="0074636E" w:rsidP="002F7154">
            <w:pPr>
              <w:pStyle w:val="Normal1linespace"/>
              <w:widowControl w:val="0"/>
            </w:pPr>
          </w:p>
        </w:tc>
        <w:tc>
          <w:tcPr>
            <w:tcW w:w="5989" w:type="dxa"/>
            <w:shd w:val="clear" w:color="auto" w:fill="auto"/>
          </w:tcPr>
          <w:p w14:paraId="1EA19395" w14:textId="77777777" w:rsidR="0074636E" w:rsidRDefault="0074636E" w:rsidP="002F7154">
            <w:pPr>
              <w:pStyle w:val="Normal1linespace"/>
              <w:widowControl w:val="0"/>
              <w:jc w:val="left"/>
            </w:pPr>
          </w:p>
        </w:tc>
      </w:tr>
      <w:tr w:rsidR="0074636E" w14:paraId="4760859B" w14:textId="77777777" w:rsidTr="005B12D6">
        <w:tc>
          <w:tcPr>
            <w:tcW w:w="3084" w:type="dxa"/>
            <w:shd w:val="clear" w:color="auto" w:fill="auto"/>
          </w:tcPr>
          <w:p w14:paraId="3072BDA4" w14:textId="77777777" w:rsidR="0074636E" w:rsidRDefault="0074636E" w:rsidP="00501A12">
            <w:pPr>
              <w:pStyle w:val="Normal1linespace"/>
              <w:widowControl w:val="0"/>
            </w:pPr>
            <w:r>
              <w:t>Division:</w:t>
            </w:r>
          </w:p>
        </w:tc>
        <w:tc>
          <w:tcPr>
            <w:tcW w:w="5989" w:type="dxa"/>
            <w:shd w:val="clear" w:color="auto" w:fill="auto"/>
          </w:tcPr>
          <w:p w14:paraId="3CE20EDA" w14:textId="54D57FC1" w:rsidR="0074636E" w:rsidRPr="00F17599" w:rsidRDefault="001A691C" w:rsidP="00501A12">
            <w:pPr>
              <w:pStyle w:val="Normal1linespace"/>
              <w:widowControl w:val="0"/>
              <w:jc w:val="left"/>
            </w:pPr>
            <w:fldSimple w:instr=" DOCPROPERTY  Division ">
              <w:r w:rsidR="0074636E">
                <w:t>General Division</w:t>
              </w:r>
            </w:fldSimple>
          </w:p>
        </w:tc>
      </w:tr>
      <w:tr w:rsidR="0074636E" w14:paraId="3958B0C9" w14:textId="77777777" w:rsidTr="005B12D6">
        <w:tc>
          <w:tcPr>
            <w:tcW w:w="3084" w:type="dxa"/>
            <w:shd w:val="clear" w:color="auto" w:fill="auto"/>
          </w:tcPr>
          <w:p w14:paraId="5CF25EED" w14:textId="77777777" w:rsidR="0074636E" w:rsidRDefault="0074636E" w:rsidP="00501A12">
            <w:pPr>
              <w:pStyle w:val="Normal1linespace"/>
              <w:widowControl w:val="0"/>
            </w:pPr>
            <w:bookmarkStart w:id="5" w:name="Registry_rows" w:colFirst="0" w:colLast="1"/>
          </w:p>
        </w:tc>
        <w:tc>
          <w:tcPr>
            <w:tcW w:w="5989" w:type="dxa"/>
            <w:shd w:val="clear" w:color="auto" w:fill="auto"/>
          </w:tcPr>
          <w:p w14:paraId="59309F36" w14:textId="77777777" w:rsidR="0074636E" w:rsidRDefault="0074636E" w:rsidP="00501A12">
            <w:pPr>
              <w:pStyle w:val="Normal1linespace"/>
              <w:widowControl w:val="0"/>
              <w:jc w:val="left"/>
            </w:pPr>
          </w:p>
        </w:tc>
      </w:tr>
      <w:tr w:rsidR="0074636E" w14:paraId="58B7CFF3" w14:textId="77777777" w:rsidTr="005B12D6">
        <w:tc>
          <w:tcPr>
            <w:tcW w:w="3084" w:type="dxa"/>
            <w:shd w:val="clear" w:color="auto" w:fill="auto"/>
          </w:tcPr>
          <w:p w14:paraId="1A82E484" w14:textId="77777777" w:rsidR="0074636E" w:rsidRDefault="0074636E" w:rsidP="00501A12">
            <w:pPr>
              <w:pStyle w:val="Normal1linespace"/>
              <w:widowControl w:val="0"/>
            </w:pPr>
            <w:r>
              <w:t>Registry:</w:t>
            </w:r>
          </w:p>
        </w:tc>
        <w:tc>
          <w:tcPr>
            <w:tcW w:w="5989" w:type="dxa"/>
            <w:shd w:val="clear" w:color="auto" w:fill="auto"/>
          </w:tcPr>
          <w:p w14:paraId="2A855919" w14:textId="29CB959F" w:rsidR="0074636E" w:rsidRPr="00F17599" w:rsidRDefault="001A691C" w:rsidP="00501A12">
            <w:pPr>
              <w:pStyle w:val="Normal1linespace"/>
              <w:widowControl w:val="0"/>
              <w:jc w:val="left"/>
            </w:pPr>
            <w:fldSimple w:instr=" DOCPROPERTY  Registry ">
              <w:r w:rsidR="0074636E">
                <w:t>New South Wales</w:t>
              </w:r>
            </w:fldSimple>
          </w:p>
        </w:tc>
      </w:tr>
      <w:tr w:rsidR="0074636E" w14:paraId="48815FA0" w14:textId="77777777" w:rsidTr="005B12D6">
        <w:tc>
          <w:tcPr>
            <w:tcW w:w="3084" w:type="dxa"/>
            <w:shd w:val="clear" w:color="auto" w:fill="auto"/>
          </w:tcPr>
          <w:p w14:paraId="4F3E7CE2" w14:textId="77777777" w:rsidR="0074636E" w:rsidRDefault="0074636E" w:rsidP="00501A12">
            <w:pPr>
              <w:pStyle w:val="Normal1linespace"/>
              <w:widowControl w:val="0"/>
            </w:pPr>
            <w:bookmarkStart w:id="6" w:name="NPARow" w:colFirst="0" w:colLast="1"/>
            <w:bookmarkEnd w:id="5"/>
          </w:p>
        </w:tc>
        <w:tc>
          <w:tcPr>
            <w:tcW w:w="5989" w:type="dxa"/>
            <w:shd w:val="clear" w:color="auto" w:fill="auto"/>
          </w:tcPr>
          <w:p w14:paraId="2B49C7C3" w14:textId="77777777" w:rsidR="0074636E" w:rsidRPr="00F17599" w:rsidRDefault="0074636E" w:rsidP="00501A12">
            <w:pPr>
              <w:pStyle w:val="Normal1linespace"/>
              <w:widowControl w:val="0"/>
              <w:jc w:val="left"/>
              <w:rPr>
                <w:b/>
              </w:rPr>
            </w:pPr>
          </w:p>
        </w:tc>
      </w:tr>
      <w:tr w:rsidR="0074636E" w14:paraId="060E2546" w14:textId="77777777" w:rsidTr="005B12D6">
        <w:tc>
          <w:tcPr>
            <w:tcW w:w="3084" w:type="dxa"/>
            <w:shd w:val="clear" w:color="auto" w:fill="auto"/>
          </w:tcPr>
          <w:p w14:paraId="263E6A86" w14:textId="77777777" w:rsidR="0074636E" w:rsidRDefault="0074636E" w:rsidP="00501A12">
            <w:pPr>
              <w:pStyle w:val="Normal1linespace"/>
              <w:widowControl w:val="0"/>
            </w:pPr>
            <w:r>
              <w:t>National Practice Area:</w:t>
            </w:r>
          </w:p>
        </w:tc>
        <w:tc>
          <w:tcPr>
            <w:tcW w:w="5989" w:type="dxa"/>
            <w:shd w:val="clear" w:color="auto" w:fill="auto"/>
          </w:tcPr>
          <w:p w14:paraId="438951A6" w14:textId="30D888CF" w:rsidR="0074636E" w:rsidRPr="00F17599" w:rsidRDefault="001A691C" w:rsidP="00171DBB">
            <w:pPr>
              <w:pStyle w:val="Normal1linespace"/>
              <w:widowControl w:val="0"/>
              <w:jc w:val="left"/>
              <w:rPr>
                <w:b/>
              </w:rPr>
            </w:pPr>
            <w:fldSimple w:instr=" DOCPROPERTY  &quot;Practice Area&quot;  \* MERGEFORMAT ">
              <w:r w:rsidR="0074636E">
                <w:t>Commercial and Corporations</w:t>
              </w:r>
            </w:fldSimple>
          </w:p>
        </w:tc>
      </w:tr>
      <w:tr w:rsidR="0074636E" w14:paraId="30141241" w14:textId="77777777" w:rsidTr="005B12D6">
        <w:tc>
          <w:tcPr>
            <w:tcW w:w="3084" w:type="dxa"/>
            <w:shd w:val="clear" w:color="auto" w:fill="auto"/>
          </w:tcPr>
          <w:p w14:paraId="67B8AB58" w14:textId="77777777" w:rsidR="0074636E" w:rsidRDefault="0074636E" w:rsidP="00501A12">
            <w:pPr>
              <w:pStyle w:val="Normal1linespace"/>
              <w:widowControl w:val="0"/>
            </w:pPr>
            <w:bookmarkStart w:id="7" w:name="SubAreaRow" w:colFirst="0" w:colLast="1"/>
            <w:bookmarkEnd w:id="6"/>
          </w:p>
        </w:tc>
        <w:tc>
          <w:tcPr>
            <w:tcW w:w="5989" w:type="dxa"/>
            <w:shd w:val="clear" w:color="auto" w:fill="auto"/>
          </w:tcPr>
          <w:p w14:paraId="329242A9" w14:textId="77777777" w:rsidR="0074636E" w:rsidRDefault="0074636E" w:rsidP="00171DBB">
            <w:pPr>
              <w:pStyle w:val="Normal1linespace"/>
              <w:widowControl w:val="0"/>
              <w:jc w:val="left"/>
            </w:pPr>
          </w:p>
        </w:tc>
      </w:tr>
      <w:tr w:rsidR="0074636E" w14:paraId="10352700" w14:textId="77777777" w:rsidTr="005B12D6">
        <w:tc>
          <w:tcPr>
            <w:tcW w:w="3084" w:type="dxa"/>
            <w:shd w:val="clear" w:color="auto" w:fill="auto"/>
          </w:tcPr>
          <w:p w14:paraId="0D0D1EAF" w14:textId="77777777" w:rsidR="0074636E" w:rsidRDefault="0074636E" w:rsidP="00501A12">
            <w:pPr>
              <w:pStyle w:val="Normal1linespace"/>
              <w:widowControl w:val="0"/>
            </w:pPr>
            <w:r>
              <w:t>Sub-area:</w:t>
            </w:r>
          </w:p>
        </w:tc>
        <w:tc>
          <w:tcPr>
            <w:tcW w:w="5989" w:type="dxa"/>
            <w:shd w:val="clear" w:color="auto" w:fill="auto"/>
          </w:tcPr>
          <w:p w14:paraId="4B5ED599" w14:textId="2B32B6EE" w:rsidR="0074636E" w:rsidRPr="00837288" w:rsidRDefault="001A691C" w:rsidP="00435936">
            <w:pPr>
              <w:pStyle w:val="Normal1linespace"/>
              <w:widowControl w:val="0"/>
              <w:jc w:val="left"/>
            </w:pPr>
            <w:fldSimple w:instr=" DOCPROPERTY  &quot;Sub Area&quot;  \* MERGEFORMAT ">
              <w:r w:rsidR="0074636E" w:rsidRPr="0074636E">
                <w:rPr>
                  <w:lang w:val="en-US"/>
                </w:rPr>
                <w:t xml:space="preserve">Commercial Contracts, </w:t>
              </w:r>
              <w:r w:rsidR="0074636E">
                <w:t>Banking, Finance and Insurance</w:t>
              </w:r>
            </w:fldSimple>
          </w:p>
        </w:tc>
      </w:tr>
      <w:bookmarkEnd w:id="7"/>
      <w:tr w:rsidR="0074636E" w14:paraId="555D7873" w14:textId="77777777" w:rsidTr="005B12D6">
        <w:tc>
          <w:tcPr>
            <w:tcW w:w="3084" w:type="dxa"/>
            <w:shd w:val="clear" w:color="auto" w:fill="auto"/>
          </w:tcPr>
          <w:p w14:paraId="61B2D630" w14:textId="77777777" w:rsidR="0074636E" w:rsidRDefault="0074636E" w:rsidP="00501A12">
            <w:pPr>
              <w:pStyle w:val="Normal1linespace"/>
              <w:widowControl w:val="0"/>
            </w:pPr>
          </w:p>
        </w:tc>
        <w:tc>
          <w:tcPr>
            <w:tcW w:w="5989" w:type="dxa"/>
            <w:shd w:val="clear" w:color="auto" w:fill="auto"/>
          </w:tcPr>
          <w:p w14:paraId="24CFDCFC" w14:textId="77777777" w:rsidR="0074636E" w:rsidRDefault="0074636E" w:rsidP="00501A12">
            <w:pPr>
              <w:pStyle w:val="Normal1linespace"/>
              <w:widowControl w:val="0"/>
              <w:jc w:val="left"/>
            </w:pPr>
          </w:p>
        </w:tc>
      </w:tr>
      <w:tr w:rsidR="0074636E" w14:paraId="0B9074C9" w14:textId="77777777" w:rsidTr="005B12D6">
        <w:tc>
          <w:tcPr>
            <w:tcW w:w="3084" w:type="dxa"/>
            <w:shd w:val="clear" w:color="auto" w:fill="auto"/>
          </w:tcPr>
          <w:p w14:paraId="7DE2C9DC" w14:textId="77777777" w:rsidR="0074636E" w:rsidRDefault="0074636E" w:rsidP="00501A12">
            <w:pPr>
              <w:pStyle w:val="Normal1linespace"/>
              <w:widowControl w:val="0"/>
            </w:pPr>
            <w:r>
              <w:t>Number of paragraphs:</w:t>
            </w:r>
          </w:p>
        </w:tc>
        <w:tc>
          <w:tcPr>
            <w:tcW w:w="5989" w:type="dxa"/>
            <w:shd w:val="clear" w:color="auto" w:fill="auto"/>
          </w:tcPr>
          <w:p w14:paraId="00670752" w14:textId="7391FCEC" w:rsidR="0074636E" w:rsidRDefault="005B12D6" w:rsidP="00501A12">
            <w:pPr>
              <w:pStyle w:val="Normal1linespace"/>
              <w:widowControl w:val="0"/>
              <w:jc w:val="left"/>
            </w:pPr>
            <w:bookmarkStart w:id="8" w:name="PlaceCategoryParagraphs"/>
            <w:r>
              <w:t>72</w:t>
            </w:r>
            <w:bookmarkEnd w:id="8"/>
          </w:p>
        </w:tc>
      </w:tr>
      <w:tr w:rsidR="0074636E" w14:paraId="50C0AE13" w14:textId="77777777" w:rsidTr="005B12D6">
        <w:tc>
          <w:tcPr>
            <w:tcW w:w="3084" w:type="dxa"/>
            <w:shd w:val="clear" w:color="auto" w:fill="auto"/>
          </w:tcPr>
          <w:p w14:paraId="71648C0B" w14:textId="77777777" w:rsidR="0074636E" w:rsidRDefault="0074636E" w:rsidP="0074636E">
            <w:pPr>
              <w:pStyle w:val="Normal1linespace"/>
              <w:widowControl w:val="0"/>
              <w:jc w:val="left"/>
            </w:pPr>
          </w:p>
        </w:tc>
        <w:tc>
          <w:tcPr>
            <w:tcW w:w="5989" w:type="dxa"/>
            <w:shd w:val="clear" w:color="auto" w:fill="auto"/>
          </w:tcPr>
          <w:p w14:paraId="395D70E4" w14:textId="77777777" w:rsidR="0074636E" w:rsidRDefault="0074636E" w:rsidP="0074636E">
            <w:pPr>
              <w:pStyle w:val="Normal1linespace"/>
              <w:widowControl w:val="0"/>
              <w:jc w:val="left"/>
            </w:pPr>
          </w:p>
        </w:tc>
      </w:tr>
      <w:tr w:rsidR="0074636E" w14:paraId="41CBC919" w14:textId="77777777" w:rsidTr="005B12D6">
        <w:tc>
          <w:tcPr>
            <w:tcW w:w="3084" w:type="dxa"/>
            <w:shd w:val="clear" w:color="auto" w:fill="auto"/>
          </w:tcPr>
          <w:p w14:paraId="0AE2E12D" w14:textId="77777777" w:rsidR="0074636E" w:rsidRDefault="0074636E" w:rsidP="0074636E">
            <w:pPr>
              <w:pStyle w:val="Normal1linespace"/>
              <w:widowControl w:val="0"/>
              <w:jc w:val="left"/>
            </w:pPr>
            <w:bookmarkStart w:id="9" w:name="CounselDate" w:colFirst="0" w:colLast="2"/>
            <w:r w:rsidRPr="006A24E3">
              <w:t>Date of hearing:</w:t>
            </w:r>
          </w:p>
        </w:tc>
        <w:tc>
          <w:tcPr>
            <w:tcW w:w="5989" w:type="dxa"/>
            <w:shd w:val="clear" w:color="auto" w:fill="auto"/>
          </w:tcPr>
          <w:p w14:paraId="3CE53FC2" w14:textId="0000BE8E" w:rsidR="0074636E" w:rsidRDefault="0074636E" w:rsidP="0074636E">
            <w:pPr>
              <w:pStyle w:val="Normal1linespace"/>
              <w:widowControl w:val="0"/>
              <w:jc w:val="left"/>
            </w:pPr>
            <w:bookmarkStart w:id="10" w:name="HearingDate"/>
            <w:r>
              <w:t xml:space="preserve">11 April 2024 </w:t>
            </w:r>
            <w:bookmarkEnd w:id="10"/>
          </w:p>
        </w:tc>
      </w:tr>
      <w:tr w:rsidR="0074636E" w14:paraId="73248F5A" w14:textId="77777777" w:rsidTr="005B12D6">
        <w:tc>
          <w:tcPr>
            <w:tcW w:w="3084" w:type="dxa"/>
            <w:shd w:val="clear" w:color="auto" w:fill="auto"/>
          </w:tcPr>
          <w:p w14:paraId="41EE92D5" w14:textId="77777777" w:rsidR="0074636E" w:rsidRDefault="0074636E" w:rsidP="0074636E">
            <w:pPr>
              <w:pStyle w:val="Normal1linespace"/>
              <w:widowControl w:val="0"/>
              <w:jc w:val="left"/>
            </w:pPr>
          </w:p>
        </w:tc>
        <w:tc>
          <w:tcPr>
            <w:tcW w:w="5989" w:type="dxa"/>
            <w:shd w:val="clear" w:color="auto" w:fill="auto"/>
          </w:tcPr>
          <w:p w14:paraId="7883CB8B" w14:textId="77777777" w:rsidR="0074636E" w:rsidRDefault="0074636E" w:rsidP="0074636E">
            <w:pPr>
              <w:pStyle w:val="Normal1linespace"/>
              <w:widowControl w:val="0"/>
              <w:jc w:val="left"/>
            </w:pPr>
          </w:p>
        </w:tc>
      </w:tr>
      <w:tr w:rsidR="0074636E" w14:paraId="75EB973F" w14:textId="77777777" w:rsidTr="005B12D6">
        <w:tc>
          <w:tcPr>
            <w:tcW w:w="3084" w:type="dxa"/>
            <w:shd w:val="clear" w:color="auto" w:fill="auto"/>
          </w:tcPr>
          <w:p w14:paraId="2F17C4EF" w14:textId="7F8B7218" w:rsidR="0074636E" w:rsidRDefault="0074636E" w:rsidP="0074636E">
            <w:pPr>
              <w:pStyle w:val="Normal1linespace"/>
              <w:widowControl w:val="0"/>
              <w:jc w:val="left"/>
            </w:pPr>
            <w:r>
              <w:t>Counsel for the Plaintiff:</w:t>
            </w:r>
          </w:p>
        </w:tc>
        <w:tc>
          <w:tcPr>
            <w:tcW w:w="5989" w:type="dxa"/>
            <w:shd w:val="clear" w:color="auto" w:fill="auto"/>
          </w:tcPr>
          <w:p w14:paraId="3DEADB4B" w14:textId="60E9390D" w:rsidR="0074636E" w:rsidRDefault="0074636E" w:rsidP="0074636E">
            <w:pPr>
              <w:pStyle w:val="Normal1linespace"/>
              <w:widowControl w:val="0"/>
              <w:jc w:val="left"/>
            </w:pPr>
            <w:r>
              <w:t>G P Craddock SC</w:t>
            </w:r>
          </w:p>
        </w:tc>
      </w:tr>
      <w:tr w:rsidR="0074636E" w14:paraId="4E8DA992" w14:textId="77777777" w:rsidTr="005B12D6">
        <w:tc>
          <w:tcPr>
            <w:tcW w:w="3084" w:type="dxa"/>
            <w:shd w:val="clear" w:color="auto" w:fill="auto"/>
          </w:tcPr>
          <w:p w14:paraId="7AA356F1" w14:textId="77777777" w:rsidR="0074636E" w:rsidRDefault="0074636E" w:rsidP="0074636E">
            <w:pPr>
              <w:pStyle w:val="Normal1linespace"/>
              <w:widowControl w:val="0"/>
              <w:jc w:val="left"/>
            </w:pPr>
          </w:p>
        </w:tc>
        <w:tc>
          <w:tcPr>
            <w:tcW w:w="5989" w:type="dxa"/>
            <w:shd w:val="clear" w:color="auto" w:fill="auto"/>
          </w:tcPr>
          <w:p w14:paraId="674B4B1E" w14:textId="77777777" w:rsidR="0074636E" w:rsidRDefault="0074636E" w:rsidP="0074636E">
            <w:pPr>
              <w:pStyle w:val="Normal1linespace"/>
              <w:widowControl w:val="0"/>
              <w:jc w:val="left"/>
            </w:pPr>
          </w:p>
        </w:tc>
      </w:tr>
      <w:tr w:rsidR="0074636E" w14:paraId="006E2E88" w14:textId="77777777" w:rsidTr="005B12D6">
        <w:tc>
          <w:tcPr>
            <w:tcW w:w="3084" w:type="dxa"/>
            <w:shd w:val="clear" w:color="auto" w:fill="auto"/>
          </w:tcPr>
          <w:p w14:paraId="7B366A8C" w14:textId="7A0139F7" w:rsidR="0074636E" w:rsidRDefault="0074636E" w:rsidP="0074636E">
            <w:pPr>
              <w:pStyle w:val="Normal1linespace"/>
              <w:widowControl w:val="0"/>
              <w:jc w:val="left"/>
            </w:pPr>
            <w:r>
              <w:t>Solicitor for the Plaintiff:</w:t>
            </w:r>
          </w:p>
        </w:tc>
        <w:tc>
          <w:tcPr>
            <w:tcW w:w="5989" w:type="dxa"/>
            <w:shd w:val="clear" w:color="auto" w:fill="auto"/>
          </w:tcPr>
          <w:p w14:paraId="71A274F7" w14:textId="53531319" w:rsidR="0074636E" w:rsidRDefault="0074636E" w:rsidP="0074636E">
            <w:pPr>
              <w:pStyle w:val="Normal1linespace"/>
              <w:widowControl w:val="0"/>
              <w:jc w:val="left"/>
            </w:pPr>
            <w:r>
              <w:t>Corrs Chambers Westgarth</w:t>
            </w:r>
          </w:p>
        </w:tc>
      </w:tr>
      <w:tr w:rsidR="0074636E" w14:paraId="56B28523" w14:textId="77777777" w:rsidTr="005B12D6">
        <w:tc>
          <w:tcPr>
            <w:tcW w:w="3084" w:type="dxa"/>
            <w:shd w:val="clear" w:color="auto" w:fill="auto"/>
          </w:tcPr>
          <w:p w14:paraId="1C866D71" w14:textId="77777777" w:rsidR="0074636E" w:rsidRDefault="0074636E" w:rsidP="0074636E">
            <w:pPr>
              <w:pStyle w:val="Normal1linespace"/>
              <w:widowControl w:val="0"/>
              <w:jc w:val="left"/>
            </w:pPr>
          </w:p>
        </w:tc>
        <w:tc>
          <w:tcPr>
            <w:tcW w:w="5989" w:type="dxa"/>
            <w:shd w:val="clear" w:color="auto" w:fill="auto"/>
          </w:tcPr>
          <w:p w14:paraId="6C215B25" w14:textId="77777777" w:rsidR="0074636E" w:rsidRDefault="0074636E" w:rsidP="0074636E">
            <w:pPr>
              <w:pStyle w:val="Normal1linespace"/>
              <w:widowControl w:val="0"/>
              <w:jc w:val="left"/>
            </w:pPr>
          </w:p>
        </w:tc>
      </w:tr>
      <w:tr w:rsidR="0074636E" w14:paraId="20C7499D" w14:textId="77777777" w:rsidTr="005B12D6">
        <w:tc>
          <w:tcPr>
            <w:tcW w:w="3084" w:type="dxa"/>
            <w:shd w:val="clear" w:color="auto" w:fill="auto"/>
          </w:tcPr>
          <w:p w14:paraId="0FEC3EA2" w14:textId="20F221A8" w:rsidR="0074636E" w:rsidRDefault="0074636E" w:rsidP="0074636E">
            <w:pPr>
              <w:pStyle w:val="Normal1linespace"/>
              <w:widowControl w:val="0"/>
              <w:jc w:val="left"/>
            </w:pPr>
            <w:r>
              <w:t>Counsel for the Defendant:</w:t>
            </w:r>
          </w:p>
        </w:tc>
        <w:tc>
          <w:tcPr>
            <w:tcW w:w="5989" w:type="dxa"/>
            <w:shd w:val="clear" w:color="auto" w:fill="auto"/>
          </w:tcPr>
          <w:p w14:paraId="752B7F80" w14:textId="2D4CAFFA" w:rsidR="0074636E" w:rsidRDefault="0074636E" w:rsidP="0074636E">
            <w:pPr>
              <w:pStyle w:val="Normal1linespace"/>
              <w:widowControl w:val="0"/>
              <w:jc w:val="left"/>
            </w:pPr>
            <w:r>
              <w:t>P English</w:t>
            </w:r>
          </w:p>
        </w:tc>
      </w:tr>
      <w:tr w:rsidR="0074636E" w14:paraId="79B172EB" w14:textId="77777777" w:rsidTr="005B12D6">
        <w:tc>
          <w:tcPr>
            <w:tcW w:w="3084" w:type="dxa"/>
            <w:shd w:val="clear" w:color="auto" w:fill="auto"/>
          </w:tcPr>
          <w:p w14:paraId="5BB3873D" w14:textId="77777777" w:rsidR="0074636E" w:rsidRDefault="0074636E" w:rsidP="0074636E">
            <w:pPr>
              <w:pStyle w:val="Normal1linespace"/>
              <w:widowControl w:val="0"/>
              <w:jc w:val="left"/>
            </w:pPr>
          </w:p>
        </w:tc>
        <w:tc>
          <w:tcPr>
            <w:tcW w:w="5989" w:type="dxa"/>
            <w:shd w:val="clear" w:color="auto" w:fill="auto"/>
          </w:tcPr>
          <w:p w14:paraId="11580B2D" w14:textId="77777777" w:rsidR="0074636E" w:rsidRDefault="0074636E" w:rsidP="0074636E">
            <w:pPr>
              <w:pStyle w:val="Normal1linespace"/>
              <w:widowControl w:val="0"/>
              <w:jc w:val="left"/>
            </w:pPr>
          </w:p>
        </w:tc>
      </w:tr>
      <w:tr w:rsidR="0074636E" w14:paraId="09AE4E22" w14:textId="77777777" w:rsidTr="005B12D6">
        <w:tc>
          <w:tcPr>
            <w:tcW w:w="3084" w:type="dxa"/>
            <w:shd w:val="clear" w:color="auto" w:fill="auto"/>
          </w:tcPr>
          <w:p w14:paraId="1510CD25" w14:textId="26C0744D" w:rsidR="0074636E" w:rsidRDefault="0074636E" w:rsidP="0074636E">
            <w:pPr>
              <w:pStyle w:val="Normal1linespace"/>
              <w:widowControl w:val="0"/>
              <w:jc w:val="left"/>
            </w:pPr>
            <w:r>
              <w:t>Solicitor for the Defendant:</w:t>
            </w:r>
          </w:p>
        </w:tc>
        <w:tc>
          <w:tcPr>
            <w:tcW w:w="5989" w:type="dxa"/>
            <w:shd w:val="clear" w:color="auto" w:fill="auto"/>
          </w:tcPr>
          <w:p w14:paraId="409AB213" w14:textId="712410C8" w:rsidR="0074636E" w:rsidRDefault="0074636E" w:rsidP="0074636E">
            <w:pPr>
              <w:pStyle w:val="Normal1linespace"/>
              <w:widowControl w:val="0"/>
              <w:jc w:val="left"/>
            </w:pPr>
            <w:r>
              <w:t>Quinn Emanuel Urquhart &amp; Sullivan</w:t>
            </w:r>
          </w:p>
        </w:tc>
      </w:tr>
    </w:tbl>
    <w:p w14:paraId="03909EDF" w14:textId="77777777" w:rsidR="00B17D6E" w:rsidRDefault="00B17D6E">
      <w:pPr>
        <w:pStyle w:val="Normal1linespace"/>
      </w:pPr>
      <w:bookmarkStart w:id="11" w:name="CompletionTable"/>
      <w:bookmarkEnd w:id="9"/>
    </w:p>
    <w:bookmarkEnd w:id="11"/>
    <w:p w14:paraId="5E2B8503" w14:textId="77777777" w:rsidR="007470BD" w:rsidRDefault="007470BD">
      <w:pPr>
        <w:pStyle w:val="Normal1linespace"/>
      </w:pPr>
    </w:p>
    <w:p w14:paraId="469AA02D" w14:textId="77777777" w:rsidR="00E94CBF" w:rsidRDefault="00E94CBF">
      <w:pPr>
        <w:pStyle w:val="Normal1linespace"/>
      </w:pPr>
    </w:p>
    <w:p w14:paraId="34FFC141"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52A5AB7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252591F" w14:textId="77777777" w:rsidTr="00E81DA6">
        <w:tc>
          <w:tcPr>
            <w:tcW w:w="6912" w:type="dxa"/>
            <w:gridSpan w:val="2"/>
          </w:tcPr>
          <w:p w14:paraId="38AFA755" w14:textId="77777777" w:rsidR="00A46CCC" w:rsidRPr="001765E0" w:rsidRDefault="00A46CCC" w:rsidP="00525A49">
            <w:pPr>
              <w:pStyle w:val="NormalHeadings"/>
            </w:pPr>
          </w:p>
        </w:tc>
        <w:tc>
          <w:tcPr>
            <w:tcW w:w="2330" w:type="dxa"/>
          </w:tcPr>
          <w:p w14:paraId="083AC98A" w14:textId="423A226E" w:rsidR="00A46CCC" w:rsidRDefault="0074636E" w:rsidP="00F92355">
            <w:pPr>
              <w:pStyle w:val="NormalHeadings"/>
              <w:jc w:val="right"/>
            </w:pPr>
            <w:bookmarkStart w:id="12" w:name="FileNo"/>
            <w:r>
              <w:t>NSD 1533 of 2023</w:t>
            </w:r>
            <w:bookmarkEnd w:id="12"/>
          </w:p>
        </w:tc>
      </w:tr>
      <w:tr w:rsidR="00A76C13" w14:paraId="5F29D50A" w14:textId="77777777" w:rsidTr="00F461A4">
        <w:tc>
          <w:tcPr>
            <w:tcW w:w="9242" w:type="dxa"/>
            <w:gridSpan w:val="3"/>
          </w:tcPr>
          <w:p w14:paraId="3C31D79F" w14:textId="1FE5D300" w:rsidR="00A76C13" w:rsidRPr="00A76C13" w:rsidRDefault="0074636E" w:rsidP="0074636E">
            <w:pPr>
              <w:pStyle w:val="NormalHeadings"/>
              <w:jc w:val="left"/>
            </w:pPr>
            <w:bookmarkStart w:id="13" w:name="InTheMatterOf"/>
            <w:r>
              <w:t xml:space="preserve"> </w:t>
            </w:r>
            <w:bookmarkEnd w:id="13"/>
          </w:p>
        </w:tc>
      </w:tr>
      <w:tr w:rsidR="00A46CCC" w14:paraId="09207845" w14:textId="77777777" w:rsidTr="005041F0">
        <w:trPr>
          <w:trHeight w:val="386"/>
        </w:trPr>
        <w:tc>
          <w:tcPr>
            <w:tcW w:w="2376" w:type="dxa"/>
          </w:tcPr>
          <w:p w14:paraId="62DEB826"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09BD4F0F" w14:textId="77777777" w:rsidR="0074636E" w:rsidRDefault="0074636E" w:rsidP="0074636E">
            <w:pPr>
              <w:pStyle w:val="NormalHeadings"/>
              <w:jc w:val="left"/>
            </w:pPr>
            <w:bookmarkStart w:id="15" w:name="Applicant"/>
            <w:r>
              <w:t>AUSTRALIAN SECURITIES AND INVESTMENTS COMMISSION</w:t>
            </w:r>
          </w:p>
          <w:p w14:paraId="01A2C539" w14:textId="104D507D" w:rsidR="0074636E" w:rsidRDefault="0074636E" w:rsidP="0074636E">
            <w:pPr>
              <w:pStyle w:val="PartyType"/>
            </w:pPr>
            <w:r>
              <w:t>Plaintiff</w:t>
            </w:r>
          </w:p>
          <w:bookmarkEnd w:id="15"/>
          <w:p w14:paraId="154B69A4" w14:textId="3E8EA6D3" w:rsidR="00A46CCC" w:rsidRPr="006555B4" w:rsidRDefault="00A46CCC" w:rsidP="005041F0">
            <w:pPr>
              <w:pStyle w:val="NormalHeadings"/>
              <w:jc w:val="left"/>
            </w:pPr>
          </w:p>
        </w:tc>
      </w:tr>
      <w:tr w:rsidR="00A46CCC" w14:paraId="295B58ED" w14:textId="77777777" w:rsidTr="005041F0">
        <w:trPr>
          <w:trHeight w:val="386"/>
        </w:trPr>
        <w:tc>
          <w:tcPr>
            <w:tcW w:w="2376" w:type="dxa"/>
          </w:tcPr>
          <w:p w14:paraId="3DB2B1AE" w14:textId="77777777" w:rsidR="00A46CCC" w:rsidRDefault="00A46CCC" w:rsidP="005041F0">
            <w:pPr>
              <w:pStyle w:val="NormalHeadings"/>
              <w:jc w:val="left"/>
              <w:rPr>
                <w:caps/>
                <w:szCs w:val="24"/>
              </w:rPr>
            </w:pPr>
            <w:r>
              <w:rPr>
                <w:caps/>
                <w:szCs w:val="24"/>
              </w:rPr>
              <w:t>AND:</w:t>
            </w:r>
          </w:p>
        </w:tc>
        <w:tc>
          <w:tcPr>
            <w:tcW w:w="6866" w:type="dxa"/>
            <w:gridSpan w:val="2"/>
          </w:tcPr>
          <w:p w14:paraId="53364414" w14:textId="77777777" w:rsidR="0074636E" w:rsidRDefault="0074636E" w:rsidP="0074636E">
            <w:pPr>
              <w:pStyle w:val="NormalHeadings"/>
              <w:jc w:val="left"/>
            </w:pPr>
            <w:bookmarkStart w:id="16" w:name="Respondent"/>
            <w:r>
              <w:t>ADAM BLUMENTHAL</w:t>
            </w:r>
          </w:p>
          <w:p w14:paraId="6BC11783" w14:textId="10E8B131" w:rsidR="0074636E" w:rsidRDefault="0074636E" w:rsidP="0074636E">
            <w:pPr>
              <w:pStyle w:val="PartyType"/>
            </w:pPr>
            <w:r>
              <w:t>Defendant</w:t>
            </w:r>
          </w:p>
          <w:bookmarkEnd w:id="16"/>
          <w:p w14:paraId="0B57260C" w14:textId="63DE8C81" w:rsidR="00A46CCC" w:rsidRPr="006555B4" w:rsidRDefault="00A46CCC" w:rsidP="005041F0">
            <w:pPr>
              <w:pStyle w:val="NormalHeadings"/>
              <w:jc w:val="left"/>
            </w:pPr>
          </w:p>
        </w:tc>
      </w:tr>
    </w:tbl>
    <w:p w14:paraId="306F4946"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2AEC7706" w14:textId="77777777">
        <w:tc>
          <w:tcPr>
            <w:tcW w:w="2376" w:type="dxa"/>
          </w:tcPr>
          <w:p w14:paraId="385ADFB7"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11454ECB" w14:textId="1A43E539" w:rsidR="00395B24" w:rsidRDefault="0074636E">
            <w:pPr>
              <w:pStyle w:val="NormalHeadings"/>
              <w:jc w:val="left"/>
              <w:rPr>
                <w:caps/>
                <w:szCs w:val="24"/>
              </w:rPr>
            </w:pPr>
            <w:bookmarkStart w:id="19" w:name="Judge"/>
            <w:r>
              <w:rPr>
                <w:caps/>
                <w:szCs w:val="24"/>
              </w:rPr>
              <w:t>STEWART J</w:t>
            </w:r>
            <w:bookmarkEnd w:id="19"/>
          </w:p>
        </w:tc>
      </w:tr>
      <w:tr w:rsidR="00395B24" w14:paraId="01829295" w14:textId="77777777">
        <w:tc>
          <w:tcPr>
            <w:tcW w:w="2376" w:type="dxa"/>
          </w:tcPr>
          <w:p w14:paraId="4C9EDA46" w14:textId="77777777" w:rsidR="00395B24" w:rsidRDefault="002C7385">
            <w:pPr>
              <w:pStyle w:val="NormalHeadings"/>
              <w:spacing w:after="120"/>
              <w:jc w:val="left"/>
              <w:rPr>
                <w:caps/>
                <w:szCs w:val="24"/>
              </w:rPr>
            </w:pPr>
            <w:r>
              <w:rPr>
                <w:caps/>
                <w:szCs w:val="24"/>
              </w:rPr>
              <w:t>DATE OF ORDER:</w:t>
            </w:r>
          </w:p>
        </w:tc>
        <w:tc>
          <w:tcPr>
            <w:tcW w:w="6866" w:type="dxa"/>
          </w:tcPr>
          <w:p w14:paraId="05289902" w14:textId="799F365D" w:rsidR="00395B24" w:rsidRDefault="0074636E">
            <w:pPr>
              <w:pStyle w:val="NormalHeadings"/>
              <w:jc w:val="left"/>
              <w:rPr>
                <w:caps/>
                <w:szCs w:val="24"/>
              </w:rPr>
            </w:pPr>
            <w:r>
              <w:rPr>
                <w:caps/>
                <w:szCs w:val="24"/>
              </w:rPr>
              <w:t>12 April 2024</w:t>
            </w:r>
          </w:p>
        </w:tc>
      </w:tr>
    </w:tbl>
    <w:p w14:paraId="093E2218" w14:textId="77777777" w:rsidR="00395B24" w:rsidRDefault="00395B24">
      <w:pPr>
        <w:pStyle w:val="NormalHeadings"/>
        <w:rPr>
          <w:b w:val="0"/>
        </w:rPr>
      </w:pPr>
    </w:p>
    <w:p w14:paraId="2FAE9C88" w14:textId="77777777" w:rsidR="008D1617" w:rsidRDefault="008D1617">
      <w:pPr>
        <w:pStyle w:val="NormalHeadings"/>
        <w:rPr>
          <w:b w:val="0"/>
        </w:rPr>
      </w:pPr>
    </w:p>
    <w:p w14:paraId="62DAE7E9" w14:textId="77777777" w:rsidR="0074636E" w:rsidRDefault="0074636E" w:rsidP="0074636E">
      <w:pPr>
        <w:spacing w:before="120"/>
        <w:rPr>
          <w:b/>
          <w:bCs/>
        </w:rPr>
      </w:pPr>
      <w:r>
        <w:rPr>
          <w:b/>
          <w:bCs/>
        </w:rPr>
        <w:t>RE ORIGINATING PROCESS DATED 15 FEBRUARY 2024</w:t>
      </w:r>
    </w:p>
    <w:p w14:paraId="02FFCD62" w14:textId="77777777" w:rsidR="0074636E" w:rsidRDefault="0074636E" w:rsidP="00F3794D">
      <w:pPr>
        <w:pStyle w:val="OrdersHeading1"/>
      </w:pPr>
      <w:r>
        <w:t>THE COURT DECLARES THAT:</w:t>
      </w:r>
    </w:p>
    <w:p w14:paraId="2A76E61F" w14:textId="77777777" w:rsidR="0074636E" w:rsidRPr="00CD4141" w:rsidRDefault="0074636E" w:rsidP="0074636E">
      <w:pPr>
        <w:pStyle w:val="Order1"/>
      </w:pPr>
      <w:r w:rsidRPr="00CD4141">
        <w:t xml:space="preserve">On the facts stated in the </w:t>
      </w:r>
      <w:r>
        <w:t>amended s</w:t>
      </w:r>
      <w:r w:rsidRPr="00CD4141">
        <w:t xml:space="preserve">tatement of </w:t>
      </w:r>
      <w:r>
        <w:t>a</w:t>
      </w:r>
      <w:r w:rsidRPr="00CD4141">
        <w:t xml:space="preserve">greed </w:t>
      </w:r>
      <w:r>
        <w:t>f</w:t>
      </w:r>
      <w:r w:rsidRPr="00CD4141">
        <w:t>acts</w:t>
      </w:r>
      <w:r>
        <w:t xml:space="preserve"> (at annexure AIR-4 to the affidavit of Anna Inglis Ross affirmed 26 March 2024)</w:t>
      </w:r>
      <w:r w:rsidRPr="00CD4141">
        <w:t xml:space="preserve">, pursuant to </w:t>
      </w:r>
      <w:r>
        <w:br/>
      </w:r>
      <w:r w:rsidRPr="00CD4141">
        <w:t xml:space="preserve">s 1317E of the </w:t>
      </w:r>
      <w:r w:rsidRPr="00CD4141">
        <w:rPr>
          <w:i/>
          <w:iCs/>
        </w:rPr>
        <w:t>Corporations Act</w:t>
      </w:r>
      <w:r>
        <w:t xml:space="preserve"> </w:t>
      </w:r>
      <w:r>
        <w:rPr>
          <w:i/>
          <w:iCs/>
        </w:rPr>
        <w:t xml:space="preserve">2001 </w:t>
      </w:r>
      <w:r>
        <w:t>(</w:t>
      </w:r>
      <w:proofErr w:type="spellStart"/>
      <w:r>
        <w:t>Cth</w:t>
      </w:r>
      <w:proofErr w:type="spellEnd"/>
      <w:r>
        <w:t xml:space="preserve">), </w:t>
      </w:r>
      <w:r w:rsidRPr="00CD4141">
        <w:t xml:space="preserve">during the </w:t>
      </w:r>
      <w:r>
        <w:t>r</w:t>
      </w:r>
      <w:r w:rsidRPr="00CD4141">
        <w:t>elevant</w:t>
      </w:r>
      <w:r>
        <w:t xml:space="preserve"> p</w:t>
      </w:r>
      <w:r w:rsidRPr="00CD4141">
        <w:t>eriod</w:t>
      </w:r>
      <w:r>
        <w:t xml:space="preserve"> (</w:t>
      </w:r>
      <w:r w:rsidRPr="00CD4141">
        <w:t>18 March 2021 to 15 November 2021</w:t>
      </w:r>
      <w:r>
        <w:t>)</w:t>
      </w:r>
      <w:r w:rsidRPr="00CD4141">
        <w:t xml:space="preserve">, </w:t>
      </w:r>
      <w:r>
        <w:t>the defendant</w:t>
      </w:r>
      <w:r w:rsidRPr="00CD4141">
        <w:t xml:space="preserve"> contravened:</w:t>
      </w:r>
    </w:p>
    <w:p w14:paraId="2E66EB9D" w14:textId="77777777" w:rsidR="0074636E" w:rsidRPr="00CD4141" w:rsidRDefault="0074636E" w:rsidP="0074636E">
      <w:pPr>
        <w:pStyle w:val="Order2"/>
      </w:pPr>
      <w:r w:rsidRPr="007031AA">
        <w:t>t</w:t>
      </w:r>
      <w:r w:rsidRPr="00CD4141">
        <w:t>he duties he owed as a director of</w:t>
      </w:r>
      <w:r w:rsidRPr="007031AA">
        <w:t xml:space="preserve"> </w:t>
      </w:r>
      <w:proofErr w:type="spellStart"/>
      <w:r w:rsidRPr="00A2728F">
        <w:rPr>
          <w:b/>
          <w:bCs/>
        </w:rPr>
        <w:t>EverBlu</w:t>
      </w:r>
      <w:proofErr w:type="spellEnd"/>
      <w:r w:rsidRPr="007031AA">
        <w:t xml:space="preserve"> Capital</w:t>
      </w:r>
      <w:r>
        <w:t xml:space="preserve"> </w:t>
      </w:r>
      <w:r w:rsidRPr="007031AA">
        <w:t>Pty Ltd ACN 612 793 683</w:t>
      </w:r>
      <w:r w:rsidRPr="00CD4141">
        <w:t>, pursuant to s 180(1) of the</w:t>
      </w:r>
      <w:r w:rsidRPr="007031AA">
        <w:t xml:space="preserve"> </w:t>
      </w:r>
      <w:r w:rsidRPr="00CD4141">
        <w:t>Corporations Act by:</w:t>
      </w:r>
    </w:p>
    <w:p w14:paraId="3D69A0EE" w14:textId="77777777" w:rsidR="0074636E" w:rsidRDefault="0074636E" w:rsidP="0074636E">
      <w:pPr>
        <w:pStyle w:val="Order3"/>
      </w:pPr>
      <w:r w:rsidRPr="00CD4141">
        <w:t xml:space="preserve">engaging in conduct that was in breach of a number of </w:t>
      </w:r>
      <w:proofErr w:type="spellStart"/>
      <w:r w:rsidRPr="00CD4141">
        <w:t>EverBlu’s</w:t>
      </w:r>
      <w:proofErr w:type="spellEnd"/>
      <w:r w:rsidRPr="00CD4141">
        <w:t xml:space="preserve"> policies, </w:t>
      </w:r>
      <w:r>
        <w:t>being</w:t>
      </w:r>
      <w:r w:rsidRPr="00CD4141">
        <w:t xml:space="preserve"> the Dealing Manual, Document Retention Policy, Conflicts of</w:t>
      </w:r>
      <w:r>
        <w:t xml:space="preserve"> </w:t>
      </w:r>
      <w:r w:rsidRPr="00CD4141">
        <w:t>Interest Policy, Personal Dealing Policy and Compliance Framework;</w:t>
      </w:r>
      <w:r>
        <w:t xml:space="preserve"> and</w:t>
      </w:r>
    </w:p>
    <w:p w14:paraId="184F9B76" w14:textId="77777777" w:rsidR="0074636E" w:rsidRPr="00CD4141" w:rsidRDefault="0074636E" w:rsidP="0074636E">
      <w:pPr>
        <w:pStyle w:val="Order3"/>
      </w:pPr>
      <w:r w:rsidRPr="00CD4141">
        <w:t xml:space="preserve">causing </w:t>
      </w:r>
      <w:proofErr w:type="spellStart"/>
      <w:r w:rsidRPr="00CD4141">
        <w:t>EverBlu</w:t>
      </w:r>
      <w:proofErr w:type="spellEnd"/>
      <w:r w:rsidRPr="00CD4141">
        <w:t xml:space="preserve"> to be in breach of its obligations under s 912A of the Corporations Act, through his involvement in </w:t>
      </w:r>
      <w:proofErr w:type="spellStart"/>
      <w:r w:rsidRPr="00CD4141">
        <w:t>EverBlu’s</w:t>
      </w:r>
      <w:proofErr w:type="spellEnd"/>
      <w:r w:rsidRPr="00CD4141">
        <w:t xml:space="preserve"> breaches of its general obligations, which jeopardised </w:t>
      </w:r>
      <w:proofErr w:type="spellStart"/>
      <w:r w:rsidRPr="00CD4141">
        <w:t>EverBlu</w:t>
      </w:r>
      <w:r>
        <w:t>’</w:t>
      </w:r>
      <w:r w:rsidRPr="00CD4141">
        <w:t>s</w:t>
      </w:r>
      <w:proofErr w:type="spellEnd"/>
      <w:r w:rsidRPr="00CD4141">
        <w:t xml:space="preserve"> interests including by creating a real risk of regulatory action</w:t>
      </w:r>
      <w:r>
        <w:t>;</w:t>
      </w:r>
    </w:p>
    <w:p w14:paraId="410BBEE8" w14:textId="77777777" w:rsidR="0074636E" w:rsidRPr="00CD4141" w:rsidRDefault="0074636E" w:rsidP="0074636E">
      <w:pPr>
        <w:pStyle w:val="Order2"/>
      </w:pPr>
      <w:r w:rsidRPr="00A347A7">
        <w:t>t</w:t>
      </w:r>
      <w:r w:rsidRPr="00CD4141">
        <w:t xml:space="preserve">he duties he owed as a director of </w:t>
      </w:r>
      <w:proofErr w:type="spellStart"/>
      <w:r w:rsidRPr="00A2728F">
        <w:rPr>
          <w:b/>
          <w:bCs/>
        </w:rPr>
        <w:t>Creso</w:t>
      </w:r>
      <w:proofErr w:type="spellEnd"/>
      <w:r w:rsidRPr="00A347A7">
        <w:t xml:space="preserve"> Pharma </w:t>
      </w:r>
      <w:r>
        <w:t>Ltd</w:t>
      </w:r>
      <w:r w:rsidRPr="00A347A7">
        <w:t xml:space="preserve"> ACN 609 406 911</w:t>
      </w:r>
      <w:r w:rsidRPr="00CD4141">
        <w:t>, pursuant to s 180(1) of the</w:t>
      </w:r>
      <w:r w:rsidRPr="00A347A7">
        <w:t xml:space="preserve"> </w:t>
      </w:r>
      <w:r w:rsidRPr="00CD4141">
        <w:t xml:space="preserve">Corporations Act, by causing </w:t>
      </w:r>
      <w:proofErr w:type="spellStart"/>
      <w:r w:rsidRPr="00CD4141">
        <w:t>Creso</w:t>
      </w:r>
      <w:proofErr w:type="spellEnd"/>
      <w:r w:rsidRPr="00CD4141">
        <w:t xml:space="preserve"> to engage </w:t>
      </w:r>
      <w:r>
        <w:t xml:space="preserve">Aldo </w:t>
      </w:r>
      <w:r w:rsidRPr="00A347A7">
        <w:t xml:space="preserve">Sacco </w:t>
      </w:r>
      <w:r w:rsidRPr="00CD4141">
        <w:t>and</w:t>
      </w:r>
      <w:r w:rsidRPr="00A347A7">
        <w:t xml:space="preserve"> </w:t>
      </w:r>
      <w:r>
        <w:t xml:space="preserve">Tyson </w:t>
      </w:r>
      <w:r w:rsidRPr="00CD4141">
        <w:t>Scholz to provide consultancy, promotional and</w:t>
      </w:r>
      <w:r w:rsidRPr="00A347A7">
        <w:t xml:space="preserve"> </w:t>
      </w:r>
      <w:r w:rsidRPr="00CD4141">
        <w:t xml:space="preserve">marketing services to </w:t>
      </w:r>
      <w:proofErr w:type="spellStart"/>
      <w:r w:rsidRPr="00CD4141">
        <w:t>Creso</w:t>
      </w:r>
      <w:proofErr w:type="spellEnd"/>
      <w:r w:rsidRPr="00CD4141">
        <w:t xml:space="preserve"> and, in the absence of sufficient due diligence</w:t>
      </w:r>
      <w:r>
        <w:t xml:space="preserve"> and </w:t>
      </w:r>
      <w:r w:rsidRPr="00CD4141">
        <w:lastRenderedPageBreak/>
        <w:t>documentation and the imposition of measurable deliverables, authorising</w:t>
      </w:r>
      <w:r w:rsidRPr="00A347A7">
        <w:t xml:space="preserve"> </w:t>
      </w:r>
      <w:r w:rsidRPr="00CD4141">
        <w:t xml:space="preserve">and co-ordinating </w:t>
      </w:r>
      <w:proofErr w:type="spellStart"/>
      <w:r w:rsidRPr="00CD4141">
        <w:t>Creso’s</w:t>
      </w:r>
      <w:proofErr w:type="spellEnd"/>
      <w:r w:rsidRPr="00CD4141">
        <w:t xml:space="preserve"> payment of invoices totalling:</w:t>
      </w:r>
    </w:p>
    <w:p w14:paraId="7AA7973B" w14:textId="77777777" w:rsidR="0074636E" w:rsidRDefault="0074636E" w:rsidP="0074636E">
      <w:pPr>
        <w:pStyle w:val="Order3"/>
      </w:pPr>
      <w:r w:rsidRPr="00CD4141">
        <w:t xml:space="preserve">$2,013,000 to two companies controlled by </w:t>
      </w:r>
      <w:r>
        <w:t xml:space="preserve">Mr </w:t>
      </w:r>
      <w:r w:rsidRPr="00CD4141">
        <w:t>Scholz; and</w:t>
      </w:r>
    </w:p>
    <w:p w14:paraId="0A61A12E" w14:textId="77777777" w:rsidR="0074636E" w:rsidRPr="00CD4141" w:rsidRDefault="0074636E" w:rsidP="0074636E">
      <w:pPr>
        <w:pStyle w:val="Order3"/>
      </w:pPr>
      <w:r w:rsidRPr="00CD4141">
        <w:t xml:space="preserve">$1,237,500 to a company controlled by </w:t>
      </w:r>
      <w:r>
        <w:t>Mr Sacco;</w:t>
      </w:r>
    </w:p>
    <w:p w14:paraId="5E71272B" w14:textId="77777777" w:rsidR="0074636E" w:rsidRPr="00CD4141" w:rsidRDefault="0074636E" w:rsidP="0074636E">
      <w:pPr>
        <w:pStyle w:val="Order2"/>
      </w:pPr>
      <w:r w:rsidRPr="00672772">
        <w:t>t</w:t>
      </w:r>
      <w:r w:rsidRPr="00CD4141">
        <w:t xml:space="preserve">he duties he owed as a director of </w:t>
      </w:r>
      <w:proofErr w:type="spellStart"/>
      <w:r w:rsidRPr="00CD4141">
        <w:t>Creso</w:t>
      </w:r>
      <w:proofErr w:type="spellEnd"/>
      <w:r w:rsidRPr="00CD4141">
        <w:t>, pursuant to s 181(1)(a) of the</w:t>
      </w:r>
      <w:r w:rsidRPr="00672772">
        <w:t xml:space="preserve"> </w:t>
      </w:r>
      <w:r w:rsidRPr="00CD4141">
        <w:t>Corporations Act, by failing to avoid the conflict of interest between the</w:t>
      </w:r>
      <w:r w:rsidRPr="00672772">
        <w:t xml:space="preserve"> </w:t>
      </w:r>
      <w:r w:rsidRPr="00CD4141">
        <w:t xml:space="preserve">advantage he stood to gain and the interests of </w:t>
      </w:r>
      <w:proofErr w:type="spellStart"/>
      <w:r w:rsidRPr="00CD4141">
        <w:t>Creso</w:t>
      </w:r>
      <w:proofErr w:type="spellEnd"/>
      <w:r w:rsidRPr="00CD4141">
        <w:t xml:space="preserve"> </w:t>
      </w:r>
      <w:r w:rsidRPr="00672772">
        <w:t xml:space="preserve">in circumstances where he benefitted from </w:t>
      </w:r>
      <w:proofErr w:type="spellStart"/>
      <w:r w:rsidRPr="00672772">
        <w:t>Creso’s</w:t>
      </w:r>
      <w:proofErr w:type="spellEnd"/>
      <w:r w:rsidRPr="00672772">
        <w:t xml:space="preserve"> payments to </w:t>
      </w:r>
      <w:r>
        <w:t xml:space="preserve">Mr </w:t>
      </w:r>
      <w:r w:rsidRPr="00672772">
        <w:t>Scholz, as such payments</w:t>
      </w:r>
      <w:r>
        <w:t xml:space="preserve"> </w:t>
      </w:r>
      <w:r w:rsidRPr="00672772">
        <w:t xml:space="preserve">enhanced </w:t>
      </w:r>
      <w:r>
        <w:t xml:space="preserve">Mr </w:t>
      </w:r>
      <w:r w:rsidRPr="00672772">
        <w:t>Scholz’s ability to repay loans advanced by Anglo Menda</w:t>
      </w:r>
      <w:r>
        <w:t xml:space="preserve"> </w:t>
      </w:r>
      <w:r w:rsidRPr="00672772">
        <w:t>Pty Ltd ACN 608 554 052,</w:t>
      </w:r>
      <w:r>
        <w:t xml:space="preserve"> </w:t>
      </w:r>
      <w:r w:rsidRPr="00CD4141">
        <w:t>and</w:t>
      </w:r>
      <w:r w:rsidRPr="00672772">
        <w:t xml:space="preserve"> </w:t>
      </w:r>
      <w:r w:rsidRPr="00CD4141">
        <w:t>where he failed to:</w:t>
      </w:r>
    </w:p>
    <w:p w14:paraId="35F88512" w14:textId="77777777" w:rsidR="0074636E" w:rsidRDefault="0074636E" w:rsidP="0074636E">
      <w:pPr>
        <w:pStyle w:val="Order3"/>
      </w:pPr>
      <w:r w:rsidRPr="00CD4141">
        <w:t xml:space="preserve">disclose to the </w:t>
      </w:r>
      <w:r>
        <w:t>b</w:t>
      </w:r>
      <w:r w:rsidRPr="00CD4141">
        <w:t xml:space="preserve">oard of </w:t>
      </w:r>
      <w:proofErr w:type="spellStart"/>
      <w:r w:rsidRPr="00CD4141">
        <w:t>Creso</w:t>
      </w:r>
      <w:proofErr w:type="spellEnd"/>
      <w:r w:rsidRPr="00CD4141">
        <w:t xml:space="preserve"> his financial relationship with </w:t>
      </w:r>
      <w:r>
        <w:t xml:space="preserve">Mr </w:t>
      </w:r>
      <w:r w:rsidRPr="00CD4141">
        <w:t>Scholz from</w:t>
      </w:r>
      <w:r>
        <w:t xml:space="preserve"> </w:t>
      </w:r>
      <w:r w:rsidRPr="00CD4141">
        <w:t xml:space="preserve">May 2021 to the end of the </w:t>
      </w:r>
      <w:r>
        <w:t>r</w:t>
      </w:r>
      <w:r w:rsidRPr="00CD4141">
        <w:t xml:space="preserve">elevant </w:t>
      </w:r>
      <w:r>
        <w:t>p</w:t>
      </w:r>
      <w:r w:rsidRPr="00CD4141">
        <w:t>eriod (noting disclosure of th</w:t>
      </w:r>
      <w:r>
        <w:t xml:space="preserve">e </w:t>
      </w:r>
      <w:r w:rsidRPr="00CD4141">
        <w:t xml:space="preserve">relationship was made by Mr Blumenthal to the </w:t>
      </w:r>
      <w:r>
        <w:t>b</w:t>
      </w:r>
      <w:r w:rsidRPr="00CD4141">
        <w:t xml:space="preserve">oard of </w:t>
      </w:r>
      <w:proofErr w:type="spellStart"/>
      <w:r w:rsidRPr="00CD4141">
        <w:t>Creso</w:t>
      </w:r>
      <w:proofErr w:type="spellEnd"/>
      <w:r w:rsidRPr="00CD4141">
        <w:t xml:space="preserve"> in </w:t>
      </w:r>
      <w:r>
        <w:t xml:space="preserve">September </w:t>
      </w:r>
      <w:r w:rsidRPr="00CD4141">
        <w:t>2022);</w:t>
      </w:r>
      <w:r>
        <w:t xml:space="preserve"> </w:t>
      </w:r>
      <w:r w:rsidRPr="00CD4141">
        <w:t>and</w:t>
      </w:r>
    </w:p>
    <w:p w14:paraId="1A15E553" w14:textId="77777777" w:rsidR="0074636E" w:rsidRPr="00CD4141" w:rsidRDefault="0074636E" w:rsidP="0074636E">
      <w:pPr>
        <w:pStyle w:val="Order3"/>
      </w:pPr>
      <w:r w:rsidRPr="00CD4141">
        <w:t xml:space="preserve">exclude himself from the approval of </w:t>
      </w:r>
      <w:r>
        <w:t xml:space="preserve">Mr </w:t>
      </w:r>
      <w:r w:rsidRPr="00CD4141">
        <w:t xml:space="preserve">Scholz’s invoices by the </w:t>
      </w:r>
      <w:r>
        <w:t>b</w:t>
      </w:r>
      <w:r w:rsidRPr="00CD4141">
        <w:t xml:space="preserve">oard of </w:t>
      </w:r>
      <w:proofErr w:type="spellStart"/>
      <w:r w:rsidRPr="00CD4141">
        <w:t>Creso</w:t>
      </w:r>
      <w:proofErr w:type="spellEnd"/>
      <w:r w:rsidRPr="00CD4141">
        <w:t xml:space="preserve"> in July, September and November 2021</w:t>
      </w:r>
      <w:r>
        <w:t>;</w:t>
      </w:r>
    </w:p>
    <w:p w14:paraId="550B5633" w14:textId="77777777" w:rsidR="0074636E" w:rsidRDefault="0074636E" w:rsidP="0074636E">
      <w:pPr>
        <w:pStyle w:val="Order2"/>
      </w:pPr>
      <w:r>
        <w:t>s</w:t>
      </w:r>
      <w:r w:rsidRPr="00CD4141">
        <w:t xml:space="preserve"> 1041B(1)(b) of the Corporations Act by directing or causing certain</w:t>
      </w:r>
      <w:r>
        <w:t xml:space="preserve"> </w:t>
      </w:r>
      <w:r w:rsidRPr="00CD4141">
        <w:t xml:space="preserve">single client bids (of significant volume) to purchase </w:t>
      </w:r>
      <w:proofErr w:type="spellStart"/>
      <w:r w:rsidRPr="00CD4141">
        <w:t>Creso</w:t>
      </w:r>
      <w:proofErr w:type="spellEnd"/>
      <w:r w:rsidRPr="00CD4141">
        <w:t xml:space="preserve"> shares to be</w:t>
      </w:r>
      <w:r>
        <w:t xml:space="preserve"> </w:t>
      </w:r>
      <w:r w:rsidRPr="00CD4141">
        <w:t xml:space="preserve">disaggregated into two bids through the </w:t>
      </w:r>
      <w:proofErr w:type="spellStart"/>
      <w:r w:rsidRPr="00CD4141">
        <w:t>EverBlu</w:t>
      </w:r>
      <w:proofErr w:type="spellEnd"/>
      <w:r w:rsidRPr="00CD4141">
        <w:t xml:space="preserve"> </w:t>
      </w:r>
      <w:r>
        <w:t>Suspense A</w:t>
      </w:r>
      <w:r w:rsidRPr="00CD4141">
        <w:t>ccount designated</w:t>
      </w:r>
      <w:r>
        <w:t xml:space="preserve"> ‘</w:t>
      </w:r>
      <w:r w:rsidRPr="00CD4141">
        <w:t>SUSP_EVB</w:t>
      </w:r>
      <w:r>
        <w:t>’</w:t>
      </w:r>
      <w:r w:rsidRPr="00CD4141">
        <w:t xml:space="preserve"> and/or the relevant client’s account, intending to represent to</w:t>
      </w:r>
      <w:r>
        <w:t xml:space="preserve"> </w:t>
      </w:r>
      <w:r w:rsidRPr="00CD4141">
        <w:t xml:space="preserve">the market that there were more individual bidders for </w:t>
      </w:r>
      <w:proofErr w:type="spellStart"/>
      <w:r w:rsidRPr="00CD4141">
        <w:t>Creso</w:t>
      </w:r>
      <w:proofErr w:type="spellEnd"/>
      <w:r w:rsidRPr="00CD4141">
        <w:t xml:space="preserve"> shares than in</w:t>
      </w:r>
      <w:r>
        <w:t xml:space="preserve"> </w:t>
      </w:r>
      <w:r w:rsidRPr="00CD4141">
        <w:t>fact existed, so as to likely have had the effect of creating, or causing the</w:t>
      </w:r>
      <w:r>
        <w:t xml:space="preserve"> </w:t>
      </w:r>
      <w:r w:rsidRPr="00CD4141">
        <w:t>creation of, a misleading appearance with respect to the number of market</w:t>
      </w:r>
      <w:r>
        <w:t xml:space="preserve"> </w:t>
      </w:r>
      <w:r w:rsidRPr="00CD4141">
        <w:t xml:space="preserve">participants actively trading </w:t>
      </w:r>
      <w:proofErr w:type="spellStart"/>
      <w:r w:rsidRPr="00CD4141">
        <w:t>Creso</w:t>
      </w:r>
      <w:proofErr w:type="spellEnd"/>
      <w:r w:rsidRPr="00CD4141">
        <w:t xml:space="preserve"> shares</w:t>
      </w:r>
      <w:r>
        <w:t>.</w:t>
      </w:r>
    </w:p>
    <w:p w14:paraId="2EF6D372" w14:textId="77777777" w:rsidR="0074636E" w:rsidRPr="00B84ACA" w:rsidRDefault="0074636E" w:rsidP="00F3794D">
      <w:pPr>
        <w:pStyle w:val="OrdersHeading1"/>
      </w:pPr>
      <w:r w:rsidRPr="00B84ACA">
        <w:t>THE COURT ORDERS THAT:</w:t>
      </w:r>
    </w:p>
    <w:p w14:paraId="4E1A8BFD" w14:textId="77777777" w:rsidR="0074636E" w:rsidRDefault="0074636E" w:rsidP="0074636E">
      <w:pPr>
        <w:pStyle w:val="Order1"/>
      </w:pPr>
      <w:r>
        <w:t>P</w:t>
      </w:r>
      <w:r w:rsidRPr="0031706D">
        <w:t xml:space="preserve">ursuant to s 206C of the Corporations Act, the </w:t>
      </w:r>
      <w:r>
        <w:t>d</w:t>
      </w:r>
      <w:r w:rsidRPr="0031706D">
        <w:t>efendant is disqualified from managing corporations for a period of 5 years.</w:t>
      </w:r>
    </w:p>
    <w:p w14:paraId="6B793F00" w14:textId="77777777" w:rsidR="0074636E" w:rsidRDefault="0074636E" w:rsidP="0074636E">
      <w:pPr>
        <w:pStyle w:val="Order1"/>
      </w:pPr>
      <w:r>
        <w:t>P</w:t>
      </w:r>
      <w:r w:rsidRPr="0031706D">
        <w:t xml:space="preserve">ursuant to s 1317G of the Corporations Act, </w:t>
      </w:r>
      <w:r>
        <w:t>t</w:t>
      </w:r>
      <w:r w:rsidRPr="0031706D">
        <w:t xml:space="preserve">he </w:t>
      </w:r>
      <w:r>
        <w:t>d</w:t>
      </w:r>
      <w:r w:rsidRPr="0031706D">
        <w:t>efendant is ordered to pay to the Commonwealth of Australia</w:t>
      </w:r>
      <w:r>
        <w:t xml:space="preserve"> – within 90 days from the date of this Order – </w:t>
      </w:r>
      <w:r w:rsidRPr="0031706D">
        <w:t xml:space="preserve">a pecuniary penalty in the amount of $850,000 in respect of his civil penalty contraventions of his director’s duties as a director of </w:t>
      </w:r>
      <w:proofErr w:type="spellStart"/>
      <w:r w:rsidRPr="0031706D">
        <w:t>EverBlu</w:t>
      </w:r>
      <w:proofErr w:type="spellEnd"/>
      <w:r w:rsidRPr="0031706D">
        <w:t xml:space="preserve"> and </w:t>
      </w:r>
      <w:proofErr w:type="spellStart"/>
      <w:r w:rsidRPr="0031706D">
        <w:t>Creso</w:t>
      </w:r>
      <w:proofErr w:type="spellEnd"/>
      <w:r w:rsidRPr="0031706D">
        <w:t xml:space="preserve"> pursuant to ss 180(1) and 181(1)(a) (as applicable), and his contraventions of s 1041B(1)(b) of the Corporations Act.</w:t>
      </w:r>
    </w:p>
    <w:p w14:paraId="2572D7E4" w14:textId="77777777" w:rsidR="0074636E" w:rsidRDefault="0074636E" w:rsidP="0074636E">
      <w:pPr>
        <w:pStyle w:val="Order1"/>
      </w:pPr>
      <w:r w:rsidRPr="0031706D">
        <w:lastRenderedPageBreak/>
        <w:t xml:space="preserve">The </w:t>
      </w:r>
      <w:r>
        <w:t>d</w:t>
      </w:r>
      <w:r w:rsidRPr="0031706D">
        <w:t>efendant is ordered to pay</w:t>
      </w:r>
      <w:r>
        <w:t xml:space="preserve"> – within 90 days from the date of this Order – </w:t>
      </w:r>
      <w:r w:rsidRPr="0031706D">
        <w:t xml:space="preserve">the </w:t>
      </w:r>
      <w:r>
        <w:t>p</w:t>
      </w:r>
      <w:r w:rsidRPr="0031706D">
        <w:t>laintiff’s litigation costs in the amount of</w:t>
      </w:r>
      <w:r>
        <w:t xml:space="preserve"> </w:t>
      </w:r>
      <w:r w:rsidRPr="0031706D">
        <w:t>$100,000.</w:t>
      </w:r>
    </w:p>
    <w:p w14:paraId="41D10717" w14:textId="77777777" w:rsidR="0074636E" w:rsidRPr="00181DCC" w:rsidRDefault="0074636E" w:rsidP="00F3794D">
      <w:pPr>
        <w:pStyle w:val="OrdersHeading1"/>
      </w:pPr>
      <w:r w:rsidRPr="00181DCC">
        <w:t>THE COURT NOTES THAT:</w:t>
      </w:r>
    </w:p>
    <w:p w14:paraId="0B09DF37" w14:textId="77777777" w:rsidR="0074636E" w:rsidRPr="0031706D" w:rsidRDefault="0074636E" w:rsidP="0074636E">
      <w:pPr>
        <w:pStyle w:val="Order1"/>
      </w:pPr>
      <w:r>
        <w:t>On 14 December 2023, t</w:t>
      </w:r>
      <w:r w:rsidRPr="0031706D">
        <w:t xml:space="preserve">he </w:t>
      </w:r>
      <w:r>
        <w:t>d</w:t>
      </w:r>
      <w:r w:rsidRPr="0031706D">
        <w:t xml:space="preserve">efendant entered into a Court Enforceable Undertaking with the </w:t>
      </w:r>
      <w:r>
        <w:t>p</w:t>
      </w:r>
      <w:r w:rsidRPr="0031706D">
        <w:t xml:space="preserve">laintiff, pursuant to s 93AA of the </w:t>
      </w:r>
      <w:r w:rsidRPr="0031706D">
        <w:rPr>
          <w:i/>
          <w:iCs/>
        </w:rPr>
        <w:t>Australian Securities and Investments Commission Act 2001</w:t>
      </w:r>
      <w:r w:rsidRPr="0031706D">
        <w:t xml:space="preserve"> (</w:t>
      </w:r>
      <w:proofErr w:type="spellStart"/>
      <w:r w:rsidRPr="0031706D">
        <w:t>Cth</w:t>
      </w:r>
      <w:proofErr w:type="spellEnd"/>
      <w:r w:rsidRPr="0031706D">
        <w:t>)</w:t>
      </w:r>
      <w:r>
        <w:t xml:space="preserve"> by which </w:t>
      </w:r>
      <w:r w:rsidRPr="0031706D">
        <w:t xml:space="preserve">the </w:t>
      </w:r>
      <w:r>
        <w:t>d</w:t>
      </w:r>
      <w:r w:rsidRPr="0031706D">
        <w:t>efendant has undertaken (amongst other things):</w:t>
      </w:r>
    </w:p>
    <w:p w14:paraId="14C4FD00" w14:textId="77777777" w:rsidR="0074636E" w:rsidRPr="0031706D" w:rsidRDefault="0074636E" w:rsidP="0074636E">
      <w:pPr>
        <w:pStyle w:val="Order2"/>
      </w:pPr>
      <w:r w:rsidRPr="0031706D">
        <w:t>to not act as a responsible manager, or perform any function as an officer,</w:t>
      </w:r>
      <w:r>
        <w:t xml:space="preserve"> </w:t>
      </w:r>
      <w:r w:rsidRPr="0031706D">
        <w:t>of an entity carrying on a financial services business for a period of 5 years;</w:t>
      </w:r>
      <w:r>
        <w:t xml:space="preserve"> </w:t>
      </w:r>
      <w:r w:rsidRPr="0031706D">
        <w:t>and</w:t>
      </w:r>
    </w:p>
    <w:p w14:paraId="642AAF6E" w14:textId="77777777" w:rsidR="0074636E" w:rsidRPr="0031706D" w:rsidRDefault="0074636E" w:rsidP="0074636E">
      <w:pPr>
        <w:pStyle w:val="Order2"/>
      </w:pPr>
      <w:r w:rsidRPr="0031706D">
        <w:t>if at the end of the 5 year period he wishes to re-enter the financial services</w:t>
      </w:r>
      <w:r>
        <w:t xml:space="preserve"> </w:t>
      </w:r>
      <w:r w:rsidRPr="0031706D">
        <w:t xml:space="preserve">industry, to complete training </w:t>
      </w:r>
      <w:r>
        <w:t xml:space="preserve">deemed appropriate by the plaintiff </w:t>
      </w:r>
      <w:r w:rsidRPr="0031706D">
        <w:t xml:space="preserve">and provide the </w:t>
      </w:r>
      <w:r>
        <w:t>p</w:t>
      </w:r>
      <w:r w:rsidRPr="0031706D">
        <w:t>laintiff with</w:t>
      </w:r>
      <w:r>
        <w:t xml:space="preserve"> </w:t>
      </w:r>
      <w:r w:rsidRPr="0031706D">
        <w:t>documentary evidence of the completion of such training.</w:t>
      </w:r>
    </w:p>
    <w:p w14:paraId="54990546" w14:textId="77777777" w:rsidR="0074636E" w:rsidRDefault="0074636E" w:rsidP="0074636E">
      <w:pPr>
        <w:pStyle w:val="Order1"/>
      </w:pPr>
      <w:r>
        <w:t>T</w:t>
      </w:r>
      <w:r w:rsidRPr="0031706D">
        <w:t xml:space="preserve">he </w:t>
      </w:r>
      <w:r>
        <w:t>d</w:t>
      </w:r>
      <w:r w:rsidRPr="0031706D">
        <w:t>efendant has undertaken to pay</w:t>
      </w:r>
      <w:r>
        <w:t xml:space="preserve"> at least</w:t>
      </w:r>
      <w:r w:rsidRPr="0031706D">
        <w:t xml:space="preserve"> $150,000 towards the </w:t>
      </w:r>
      <w:r>
        <w:t>p</w:t>
      </w:r>
      <w:r w:rsidRPr="0031706D">
        <w:t xml:space="preserve">laintiff’s investigation costs </w:t>
      </w:r>
      <w:r>
        <w:t>(</w:t>
      </w:r>
      <w:r w:rsidRPr="0031706D">
        <w:t>which may be ordered by the</w:t>
      </w:r>
      <w:r>
        <w:t xml:space="preserve"> p</w:t>
      </w:r>
      <w:r w:rsidRPr="0031706D">
        <w:t>laintiff pursuant to s 91 of the ASIC Act</w:t>
      </w:r>
      <w:r>
        <w:t>) within:</w:t>
      </w:r>
    </w:p>
    <w:p w14:paraId="0D6C2101" w14:textId="77777777" w:rsidR="0074636E" w:rsidRPr="003B4B15" w:rsidRDefault="0074636E" w:rsidP="0074636E">
      <w:pPr>
        <w:pStyle w:val="Order2"/>
      </w:pPr>
      <w:r w:rsidRPr="003B4B15">
        <w:t>90 days from the date of this Order; or</w:t>
      </w:r>
    </w:p>
    <w:p w14:paraId="083ADD49" w14:textId="77777777" w:rsidR="0074636E" w:rsidRPr="003B4B15" w:rsidRDefault="0074636E" w:rsidP="0074636E">
      <w:pPr>
        <w:pStyle w:val="Order2"/>
      </w:pPr>
      <w:r w:rsidRPr="003B4B15">
        <w:t xml:space="preserve">30 days from the date of the order issued in accordance with s 91, </w:t>
      </w:r>
    </w:p>
    <w:p w14:paraId="5547FCA8" w14:textId="77777777" w:rsidR="0074636E" w:rsidRDefault="0074636E" w:rsidP="0074636E">
      <w:pPr>
        <w:pStyle w:val="Order1"/>
        <w:numPr>
          <w:ilvl w:val="0"/>
          <w:numId w:val="0"/>
        </w:numPr>
        <w:ind w:left="720"/>
      </w:pPr>
      <w:r w:rsidRPr="003B4B15">
        <w:t>whichever date is later.</w:t>
      </w:r>
    </w:p>
    <w:p w14:paraId="45B48948" w14:textId="77777777" w:rsidR="0074636E" w:rsidRDefault="0074636E" w:rsidP="00F3794D">
      <w:pPr>
        <w:pStyle w:val="OrdersHeading1"/>
      </w:pPr>
      <w:r>
        <w:t xml:space="preserve">RE </w:t>
      </w:r>
      <w:r w:rsidRPr="00691B29">
        <w:t xml:space="preserve">INTERLOCUTORY </w:t>
      </w:r>
      <w:r>
        <w:t>PROCESS DATED 12 MARCH 2024</w:t>
      </w:r>
    </w:p>
    <w:p w14:paraId="3A03573D" w14:textId="77777777" w:rsidR="0074636E" w:rsidRPr="00B84ACA" w:rsidRDefault="0074636E" w:rsidP="00F3794D">
      <w:pPr>
        <w:pStyle w:val="OrdersHeading1"/>
      </w:pPr>
      <w:r w:rsidRPr="00B84ACA">
        <w:t xml:space="preserve">THE COURT </w:t>
      </w:r>
      <w:r>
        <w:t>DECLARES</w:t>
      </w:r>
      <w:r w:rsidRPr="00B84ACA">
        <w:t xml:space="preserve"> THAT:</w:t>
      </w:r>
    </w:p>
    <w:p w14:paraId="2D368EF6" w14:textId="77777777" w:rsidR="0074636E" w:rsidRDefault="0074636E" w:rsidP="0074636E">
      <w:pPr>
        <w:pStyle w:val="Order1"/>
      </w:pPr>
      <w:r>
        <w:t>P</w:t>
      </w:r>
      <w:r w:rsidRPr="00691B29">
        <w:t xml:space="preserve">ursuant to </w:t>
      </w:r>
      <w:r>
        <w:t xml:space="preserve">s </w:t>
      </w:r>
      <w:r w:rsidRPr="00691B29">
        <w:t>1322(4)</w:t>
      </w:r>
      <w:r>
        <w:t xml:space="preserve">(a) </w:t>
      </w:r>
      <w:r w:rsidRPr="00691B29">
        <w:t>of the Corporations Act</w:t>
      </w:r>
      <w:r>
        <w:t xml:space="preserve">, </w:t>
      </w:r>
      <w:r w:rsidRPr="001441D1">
        <w:t xml:space="preserve">the </w:t>
      </w:r>
      <w:r>
        <w:t>d</w:t>
      </w:r>
      <w:r w:rsidRPr="001441D1">
        <w:t>efendant’s application dated 12 March 2024 and made pursuant to s 206G(1) of the Corporations Act is not invalid by reason of non-compliance with s 206G(2).</w:t>
      </w:r>
    </w:p>
    <w:p w14:paraId="21173801" w14:textId="77777777" w:rsidR="0074636E" w:rsidRPr="00B84ACA" w:rsidRDefault="0074636E" w:rsidP="00F3794D">
      <w:pPr>
        <w:pStyle w:val="OrdersHeading1"/>
      </w:pPr>
      <w:r w:rsidRPr="00B84ACA">
        <w:t>THE COURT ORDERS THAT:</w:t>
      </w:r>
    </w:p>
    <w:p w14:paraId="12CC4087" w14:textId="77777777" w:rsidR="0074636E" w:rsidRDefault="0074636E" w:rsidP="0074636E">
      <w:pPr>
        <w:pStyle w:val="Order1"/>
      </w:pPr>
      <w:r>
        <w:t>P</w:t>
      </w:r>
      <w:r w:rsidRPr="00691B29">
        <w:t xml:space="preserve">ursuant to </w:t>
      </w:r>
      <w:r>
        <w:t>s</w:t>
      </w:r>
      <w:r w:rsidRPr="00691B29">
        <w:t xml:space="preserve"> 206G(1) of the Corporations Act</w:t>
      </w:r>
      <w:r w:rsidRPr="0074636E">
        <w:t xml:space="preserve">, </w:t>
      </w:r>
      <w:r w:rsidRPr="00691B29">
        <w:t xml:space="preserve">and subject to the conditions </w:t>
      </w:r>
      <w:r>
        <w:t>below</w:t>
      </w:r>
      <w:r w:rsidRPr="00691B29">
        <w:t xml:space="preserve">, the </w:t>
      </w:r>
      <w:r>
        <w:t>d</w:t>
      </w:r>
      <w:r w:rsidRPr="00691B29">
        <w:t>efendant has leave</w:t>
      </w:r>
      <w:r>
        <w:t xml:space="preserve"> during the period of disqualification the subject of Order 2 above</w:t>
      </w:r>
      <w:r w:rsidRPr="00691B29">
        <w:t xml:space="preserve"> to manage the</w:t>
      </w:r>
      <w:r>
        <w:t xml:space="preserve"> </w:t>
      </w:r>
      <w:r w:rsidRPr="00691B29">
        <w:t>affairs of the following two companies:</w:t>
      </w:r>
    </w:p>
    <w:p w14:paraId="40D43D6E" w14:textId="77777777" w:rsidR="0074636E" w:rsidRDefault="0074636E" w:rsidP="0074636E">
      <w:pPr>
        <w:pStyle w:val="Order2"/>
        <w:tabs>
          <w:tab w:val="clear" w:pos="1440"/>
        </w:tabs>
      </w:pPr>
      <w:r w:rsidRPr="0074636E">
        <w:rPr>
          <w:b/>
          <w:bCs/>
        </w:rPr>
        <w:t>Phillip Street</w:t>
      </w:r>
      <w:r w:rsidRPr="00691B29">
        <w:t xml:space="preserve"> Holdings Pty Ltd (ACN 615 424 783) as trustee for the Phillip Street</w:t>
      </w:r>
      <w:r>
        <w:t xml:space="preserve"> </w:t>
      </w:r>
      <w:r w:rsidRPr="00691B29">
        <w:t>Trust (and no other trust</w:t>
      </w:r>
      <w:r w:rsidRPr="00650FDE">
        <w:t>),</w:t>
      </w:r>
      <w:r w:rsidRPr="00691B29">
        <w:t xml:space="preserve"> provided that</w:t>
      </w:r>
      <w:r>
        <w:t xml:space="preserve"> </w:t>
      </w:r>
      <w:r w:rsidRPr="00691B29">
        <w:t>Phillip Street:</w:t>
      </w:r>
    </w:p>
    <w:p w14:paraId="29457C41" w14:textId="77777777" w:rsidR="0074636E" w:rsidRPr="00691B29" w:rsidRDefault="0074636E" w:rsidP="0074636E">
      <w:pPr>
        <w:pStyle w:val="Order3"/>
      </w:pPr>
      <w:r w:rsidRPr="00691B29">
        <w:t>continues to act only as trustee for the Phillip Street Trust;</w:t>
      </w:r>
    </w:p>
    <w:p w14:paraId="69BC948A" w14:textId="77777777" w:rsidR="0074636E" w:rsidRDefault="0074636E" w:rsidP="0074636E">
      <w:pPr>
        <w:pStyle w:val="Order3"/>
      </w:pPr>
      <w:r w:rsidRPr="00691B29">
        <w:lastRenderedPageBreak/>
        <w:t>does not engage any employees;</w:t>
      </w:r>
    </w:p>
    <w:p w14:paraId="029B648D" w14:textId="77777777" w:rsidR="0074636E" w:rsidRPr="00E6743E" w:rsidRDefault="0074636E" w:rsidP="0074636E">
      <w:pPr>
        <w:pStyle w:val="Order3"/>
      </w:pPr>
      <w:r w:rsidRPr="00E6743E">
        <w:t xml:space="preserve">does not incur any debt for the purposes of its permitted activities, including investing in listed and unlisted companies, save where Stewart J’s </w:t>
      </w:r>
      <w:r>
        <w:t xml:space="preserve">reasons for </w:t>
      </w:r>
      <w:r w:rsidRPr="00E6743E">
        <w:t>judgment in these proceedings and Court Enforceable</w:t>
      </w:r>
      <w:r w:rsidRPr="00E6743E">
        <w:rPr>
          <w:rFonts w:ascii="ArialMT" w:hAnsi="ArialMT" w:cs="ArialMT"/>
          <w:sz w:val="20"/>
          <w:lang w:eastAsia="en-AU"/>
        </w:rPr>
        <w:t xml:space="preserve"> </w:t>
      </w:r>
      <w:r w:rsidRPr="00E6743E">
        <w:t>Undertaking 031914829 dated 14 December 2023 have been provided in advance to any prospective lender; and</w:t>
      </w:r>
    </w:p>
    <w:p w14:paraId="1E6D36B6" w14:textId="77777777" w:rsidR="0074636E" w:rsidRPr="0031706D" w:rsidRDefault="0074636E" w:rsidP="0074636E">
      <w:pPr>
        <w:pStyle w:val="Order3"/>
      </w:pPr>
      <w:r w:rsidRPr="00691B29">
        <w:t xml:space="preserve">the eligible beneficiaries of the Phillip Street Trust are limited to </w:t>
      </w:r>
      <w:r>
        <w:t>the defendant</w:t>
      </w:r>
      <w:r w:rsidRPr="00691B29">
        <w:t xml:space="preserve"> and members of his immediate family</w:t>
      </w:r>
      <w:r>
        <w:t xml:space="preserve">; </w:t>
      </w:r>
    </w:p>
    <w:p w14:paraId="5ED8B484" w14:textId="77777777" w:rsidR="0074636E" w:rsidRPr="00691B29" w:rsidRDefault="0074636E" w:rsidP="0074636E">
      <w:pPr>
        <w:pStyle w:val="Order2"/>
      </w:pPr>
      <w:proofErr w:type="spellStart"/>
      <w:r w:rsidRPr="0074636E">
        <w:rPr>
          <w:b/>
          <w:bCs/>
        </w:rPr>
        <w:t>Oakphil</w:t>
      </w:r>
      <w:proofErr w:type="spellEnd"/>
      <w:r w:rsidRPr="0074636E">
        <w:rPr>
          <w:b/>
          <w:bCs/>
        </w:rPr>
        <w:t xml:space="preserve"> </w:t>
      </w:r>
      <w:r w:rsidRPr="00691B29">
        <w:t xml:space="preserve">Pty </w:t>
      </w:r>
      <w:r>
        <w:t>Ltd</w:t>
      </w:r>
      <w:r w:rsidRPr="00691B29">
        <w:t xml:space="preserve"> (ACN 674 979 170) as trustee for the </w:t>
      </w:r>
      <w:proofErr w:type="spellStart"/>
      <w:r w:rsidRPr="00691B29">
        <w:t>Oakphil</w:t>
      </w:r>
      <w:proofErr w:type="spellEnd"/>
      <w:r w:rsidRPr="00691B29">
        <w:t xml:space="preserve"> Family Trust (and no other trust)</w:t>
      </w:r>
      <w:r w:rsidRPr="00650FDE">
        <w:t xml:space="preserve">, </w:t>
      </w:r>
      <w:r w:rsidRPr="00691B29">
        <w:t>provided that</w:t>
      </w:r>
      <w:r>
        <w:t xml:space="preserve"> </w:t>
      </w:r>
      <w:proofErr w:type="spellStart"/>
      <w:r w:rsidRPr="00691B29">
        <w:t>Oakphil</w:t>
      </w:r>
      <w:proofErr w:type="spellEnd"/>
      <w:r w:rsidRPr="00691B29">
        <w:t>:</w:t>
      </w:r>
    </w:p>
    <w:p w14:paraId="3A9218F9" w14:textId="77777777" w:rsidR="0074636E" w:rsidRDefault="0074636E" w:rsidP="0074636E">
      <w:pPr>
        <w:pStyle w:val="Order3"/>
      </w:pPr>
      <w:r w:rsidRPr="00691B29">
        <w:t xml:space="preserve">continues to act only as trustee for the </w:t>
      </w:r>
      <w:proofErr w:type="spellStart"/>
      <w:r w:rsidRPr="00691B29">
        <w:t>Oakphil</w:t>
      </w:r>
      <w:proofErr w:type="spellEnd"/>
      <w:r w:rsidRPr="00691B29">
        <w:t xml:space="preserve"> Family Trust; </w:t>
      </w:r>
    </w:p>
    <w:p w14:paraId="11D4ED50" w14:textId="77777777" w:rsidR="0074636E" w:rsidRDefault="0074636E" w:rsidP="0074636E">
      <w:pPr>
        <w:pStyle w:val="Order3"/>
      </w:pPr>
      <w:r w:rsidRPr="00691B29">
        <w:t>plays no role in managing the affairs of Oakley Capital Partners Pty Ltd</w:t>
      </w:r>
      <w:r>
        <w:t xml:space="preserve"> (ACN 663 165 839)</w:t>
      </w:r>
      <w:r w:rsidRPr="00691B29">
        <w:t>; and</w:t>
      </w:r>
    </w:p>
    <w:p w14:paraId="30A0DC46" w14:textId="77777777" w:rsidR="0074636E" w:rsidRPr="00691B29" w:rsidRDefault="0074636E" w:rsidP="0074636E">
      <w:pPr>
        <w:pStyle w:val="Order3"/>
      </w:pPr>
      <w:r w:rsidRPr="00691B29">
        <w:t xml:space="preserve">the eligible beneficiaries of the </w:t>
      </w:r>
      <w:proofErr w:type="spellStart"/>
      <w:r w:rsidRPr="00691B29">
        <w:t>Oakphil</w:t>
      </w:r>
      <w:proofErr w:type="spellEnd"/>
      <w:r w:rsidRPr="00691B29">
        <w:t xml:space="preserve"> Family Trust are limited to </w:t>
      </w:r>
      <w:r>
        <w:t>the defendant</w:t>
      </w:r>
      <w:r w:rsidRPr="00691B29">
        <w:t xml:space="preserve"> and members of his immediate family.</w:t>
      </w:r>
    </w:p>
    <w:p w14:paraId="262F247A" w14:textId="77777777" w:rsidR="0074636E" w:rsidRDefault="0074636E" w:rsidP="0074636E">
      <w:pPr>
        <w:pStyle w:val="Order1"/>
      </w:pPr>
      <w:r>
        <w:t>U</w:t>
      </w:r>
      <w:r w:rsidRPr="00691B29">
        <w:t xml:space="preserve">ntil such time as the </w:t>
      </w:r>
      <w:r>
        <w:t>d</w:t>
      </w:r>
      <w:r w:rsidRPr="00691B29">
        <w:t xml:space="preserve">efendant is no longer disqualified from managing corporations under Pt 2D.6 of the Corporations Act, </w:t>
      </w:r>
      <w:r>
        <w:t>the defendant’s</w:t>
      </w:r>
      <w:r w:rsidRPr="00691B29">
        <w:t xml:space="preserve"> ability to</w:t>
      </w:r>
      <w:r>
        <w:t xml:space="preserve"> </w:t>
      </w:r>
      <w:r w:rsidRPr="00691B29">
        <w:t>manage the affairs of</w:t>
      </w:r>
      <w:r>
        <w:t xml:space="preserve"> </w:t>
      </w:r>
      <w:r w:rsidRPr="00650FDE">
        <w:t xml:space="preserve">Phillip Street and </w:t>
      </w:r>
      <w:proofErr w:type="spellStart"/>
      <w:r w:rsidRPr="00650FDE">
        <w:t>Oakphil</w:t>
      </w:r>
      <w:proofErr w:type="spellEnd"/>
      <w:r>
        <w:t>:</w:t>
      </w:r>
    </w:p>
    <w:p w14:paraId="799714E3" w14:textId="77777777" w:rsidR="0074636E" w:rsidRPr="00691B29" w:rsidRDefault="0074636E" w:rsidP="0074636E">
      <w:pPr>
        <w:pStyle w:val="Order2"/>
      </w:pPr>
      <w:r w:rsidRPr="000E5E0D">
        <w:t>is limited to the following activities:</w:t>
      </w:r>
    </w:p>
    <w:p w14:paraId="34094DFD" w14:textId="77777777" w:rsidR="0074636E" w:rsidRDefault="0074636E" w:rsidP="0074636E">
      <w:pPr>
        <w:pStyle w:val="Order3"/>
      </w:pPr>
      <w:r w:rsidRPr="000E5E0D">
        <w:t>those required by, or incidental to, maintaining their status as a registered company;</w:t>
      </w:r>
    </w:p>
    <w:p w14:paraId="6401B0C2" w14:textId="77777777" w:rsidR="0074636E" w:rsidRDefault="0074636E" w:rsidP="0074636E">
      <w:pPr>
        <w:pStyle w:val="Order3"/>
      </w:pPr>
      <w:r w:rsidRPr="000E5E0D">
        <w:t xml:space="preserve">buying, holding and selling shares; </w:t>
      </w:r>
      <w:r>
        <w:t>and</w:t>
      </w:r>
    </w:p>
    <w:p w14:paraId="2FE6F81E" w14:textId="77777777" w:rsidR="0074636E" w:rsidRPr="009D260C" w:rsidRDefault="0074636E" w:rsidP="0074636E">
      <w:pPr>
        <w:pStyle w:val="Order3"/>
        <w:rPr>
          <w:u w:val="single"/>
        </w:rPr>
      </w:pPr>
      <w:r w:rsidRPr="000E5E0D">
        <w:t xml:space="preserve">acting as trustee of the relevant trust and doing things that are reasonably incidental to </w:t>
      </w:r>
      <w:r w:rsidRPr="00650FDE">
        <w:t>so acting; and</w:t>
      </w:r>
    </w:p>
    <w:p w14:paraId="4AC9511E" w14:textId="77777777" w:rsidR="0074636E" w:rsidRPr="0074636E" w:rsidRDefault="0074636E" w:rsidP="0074636E">
      <w:pPr>
        <w:pStyle w:val="Order2"/>
      </w:pPr>
      <w:r w:rsidRPr="0074636E">
        <w:t>does not extend to:</w:t>
      </w:r>
    </w:p>
    <w:p w14:paraId="2839CAE9" w14:textId="77777777" w:rsidR="0074636E" w:rsidRPr="00650FDE" w:rsidRDefault="0074636E" w:rsidP="0074636E">
      <w:pPr>
        <w:pStyle w:val="Order3"/>
      </w:pPr>
      <w:r w:rsidRPr="00650FDE">
        <w:rPr>
          <w:lang w:eastAsia="en-AU"/>
        </w:rPr>
        <w:t>providing Financial Services;</w:t>
      </w:r>
    </w:p>
    <w:p w14:paraId="4C2A0C68" w14:textId="77777777" w:rsidR="0074636E" w:rsidRPr="00650FDE" w:rsidRDefault="0074636E" w:rsidP="0074636E">
      <w:pPr>
        <w:pStyle w:val="Order3"/>
      </w:pPr>
      <w:r w:rsidRPr="00650FDE">
        <w:rPr>
          <w:lang w:eastAsia="en-AU"/>
        </w:rPr>
        <w:t>carrying on a Financial Services business; or</w:t>
      </w:r>
    </w:p>
    <w:p w14:paraId="7F679E98" w14:textId="261DAE2C" w:rsidR="001A6C52" w:rsidRPr="0074636E" w:rsidRDefault="0074636E" w:rsidP="0074636E">
      <w:pPr>
        <w:pStyle w:val="Order3"/>
        <w:rPr>
          <w:u w:val="single"/>
        </w:rPr>
      </w:pPr>
      <w:r w:rsidRPr="00650FDE">
        <w:t xml:space="preserve">performing any function which would amount to the </w:t>
      </w:r>
      <w:r>
        <w:t>d</w:t>
      </w:r>
      <w:r w:rsidRPr="00650FDE">
        <w:t>efendant being involved in the carrying on of a Financial Services business (</w:t>
      </w:r>
      <w:r w:rsidRPr="00650FDE">
        <w:rPr>
          <w:lang w:eastAsia="en-AU"/>
        </w:rPr>
        <w:t>including as an officer, manager, employee, contractor or a Responsible Manager</w:t>
      </w:r>
      <w:r w:rsidRPr="00650FDE">
        <w:t xml:space="preserve"> </w:t>
      </w:r>
      <w:r w:rsidRPr="00650FDE">
        <w:rPr>
          <w:lang w:eastAsia="en-AU"/>
        </w:rPr>
        <w:t>of an entity carrying on a Financial Services business</w:t>
      </w:r>
      <w:r w:rsidRPr="00650FDE">
        <w:t xml:space="preserve">).   </w:t>
      </w:r>
    </w:p>
    <w:p w14:paraId="0D1CE51D" w14:textId="0A389D6C" w:rsidR="0050309C" w:rsidRDefault="0074636E" w:rsidP="004D53E5">
      <w:pPr>
        <w:pStyle w:val="SingleSpace"/>
      </w:pPr>
      <w:bookmarkStart w:id="20" w:name="OrdersStatement"/>
      <w:r>
        <w:lastRenderedPageBreak/>
        <w:t>Note:</w:t>
      </w:r>
      <w:r>
        <w:tab/>
        <w:t xml:space="preserve">Entry of orders is dealt with in Rule 39.32 of the </w:t>
      </w:r>
      <w:r>
        <w:rPr>
          <w:i/>
        </w:rPr>
        <w:t>Federal Court Rules 2011</w:t>
      </w:r>
      <w:r>
        <w:t>.</w:t>
      </w:r>
      <w:bookmarkEnd w:id="20"/>
    </w:p>
    <w:p w14:paraId="288E5058" w14:textId="77777777" w:rsidR="00E23577" w:rsidRDefault="00E23577" w:rsidP="002B0E91">
      <w:pPr>
        <w:pStyle w:val="BodyText"/>
      </w:pPr>
    </w:p>
    <w:p w14:paraId="76AD0C65"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7C16305"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0100990D" w14:textId="20F69B4C" w:rsidR="00694BEB" w:rsidRDefault="00E9145B" w:rsidP="005E0510">
      <w:pPr>
        <w:pStyle w:val="NormalHeadings"/>
        <w:spacing w:line="360" w:lineRule="auto"/>
        <w:jc w:val="left"/>
        <w:rPr>
          <w:sz w:val="26"/>
          <w:szCs w:val="26"/>
        </w:rPr>
      </w:pPr>
      <w:r>
        <w:rPr>
          <w:sz w:val="26"/>
          <w:szCs w:val="26"/>
        </w:rPr>
        <w:t>STEWART J:</w:t>
      </w:r>
    </w:p>
    <w:p w14:paraId="333FDB5A" w14:textId="77777777" w:rsidR="00E9145B" w:rsidRDefault="00E9145B" w:rsidP="00E9145B">
      <w:pPr>
        <w:pStyle w:val="Heading2"/>
      </w:pPr>
      <w:r>
        <w:t>Introduction</w:t>
      </w:r>
    </w:p>
    <w:p w14:paraId="33CEE1F0" w14:textId="2CB07A6D" w:rsidR="00E9145B" w:rsidRDefault="00E9145B" w:rsidP="00E9145B">
      <w:pPr>
        <w:pStyle w:val="ParaNumbering"/>
      </w:pPr>
      <w:r>
        <w:t xml:space="preserve">The plaintiff, </w:t>
      </w:r>
      <w:r w:rsidR="00FD10FC">
        <w:t>the Australian Securities and Investments Commission (</w:t>
      </w:r>
      <w:r w:rsidRPr="007C61A8">
        <w:rPr>
          <w:b/>
          <w:bCs/>
        </w:rPr>
        <w:t>ASIC</w:t>
      </w:r>
      <w:r w:rsidR="00FD10FC">
        <w:t>)</w:t>
      </w:r>
      <w:r>
        <w:t>, and the defendant, Adam Blumenthal, jointly sought agreed declarations and penalty orders in relation to contraventions by Mr Blumenthal of</w:t>
      </w:r>
      <w:r w:rsidRPr="00786396">
        <w:rPr>
          <w:i/>
          <w:iCs/>
        </w:rPr>
        <w:t xml:space="preserve"> </w:t>
      </w:r>
      <w:r w:rsidRPr="00786396">
        <w:t>various provisions of the</w:t>
      </w:r>
      <w:r w:rsidRPr="00786396">
        <w:rPr>
          <w:i/>
          <w:iCs/>
        </w:rPr>
        <w:t xml:space="preserve"> Corporations Act </w:t>
      </w:r>
      <w:r w:rsidR="00295C24">
        <w:rPr>
          <w:i/>
          <w:iCs/>
        </w:rPr>
        <w:t>2001</w:t>
      </w:r>
      <w:r w:rsidRPr="00786396">
        <w:rPr>
          <w:i/>
          <w:iCs/>
        </w:rPr>
        <w:t xml:space="preserve"> </w:t>
      </w:r>
      <w:r>
        <w:t>(</w:t>
      </w:r>
      <w:proofErr w:type="spellStart"/>
      <w:r>
        <w:t>Cth</w:t>
      </w:r>
      <w:proofErr w:type="spellEnd"/>
      <w:r>
        <w:t xml:space="preserve">). The contraventions took place in the period </w:t>
      </w:r>
      <w:r w:rsidR="00B928A9">
        <w:t xml:space="preserve">from </w:t>
      </w:r>
      <w:r>
        <w:t>18 March 2021 to 15 November 2021, which is referred to as the relevant period.</w:t>
      </w:r>
    </w:p>
    <w:p w14:paraId="22BE90A7" w14:textId="5FD02A6B" w:rsidR="00E9145B" w:rsidRDefault="00E9145B" w:rsidP="00E9145B">
      <w:pPr>
        <w:pStyle w:val="ParaNumbering"/>
      </w:pPr>
      <w:r>
        <w:t>One of the orders that was sought was an order under s 206C of the Corporations Act that Mr Blumenthal be disqualified from managing corporations for a period of five years. Against the event that I was to make that order, Mr Blumenthal applied by way of interlocutory process for orders under s 206G that he be given leave to manage the affairs of two family companies. During the course of the hearing, in response to queries raised by me, Mr Blumenthal sought amended orders. ASIC did not oppose the relief (as amended) sought under the interlocutory process.</w:t>
      </w:r>
    </w:p>
    <w:p w14:paraId="03C00FB1" w14:textId="77777777" w:rsidR="00E9145B" w:rsidRDefault="00E9145B" w:rsidP="00E9145B">
      <w:pPr>
        <w:pStyle w:val="ParaNumbering"/>
      </w:pPr>
      <w:r>
        <w:t>I was satisfied that orders substantially in the form of the orders jointly sought by the parties and in the amended form sought by Mr Blumenthal under the interlocutory process should be made. My reasons for being so satisfied, briefly stated, follow.</w:t>
      </w:r>
    </w:p>
    <w:p w14:paraId="7A26B58A" w14:textId="77777777" w:rsidR="00E9145B" w:rsidRDefault="00E9145B" w:rsidP="00E9145B">
      <w:pPr>
        <w:pStyle w:val="ParaNumbering"/>
      </w:pPr>
      <w:r>
        <w:t>The parties helpfully filed and tendered an amended statement of agreed facts</w:t>
      </w:r>
      <w:r w:rsidRPr="00E14238">
        <w:t xml:space="preserve"> </w:t>
      </w:r>
      <w:r>
        <w:t xml:space="preserve">under s 191 of the </w:t>
      </w:r>
      <w:r w:rsidRPr="00E4548A">
        <w:rPr>
          <w:i/>
          <w:iCs/>
        </w:rPr>
        <w:t>Evidence Act 1995</w:t>
      </w:r>
      <w:r>
        <w:t xml:space="preserve"> (</w:t>
      </w:r>
      <w:proofErr w:type="spellStart"/>
      <w:r>
        <w:t>Cth</w:t>
      </w:r>
      <w:proofErr w:type="spellEnd"/>
      <w:r>
        <w:t xml:space="preserve">). For simplicity, I shall refer to it as the statement of facts. They also tendered an enforceable undertaking executed by Mr Blumenthal and accepted by ASIC on 14 December 2023 under s 93AA of the </w:t>
      </w:r>
      <w:r w:rsidRPr="00EC79DE">
        <w:rPr>
          <w:i/>
          <w:iCs/>
        </w:rPr>
        <w:t>Australian Securities Investments Commission Act 200</w:t>
      </w:r>
      <w:r>
        <w:rPr>
          <w:i/>
          <w:iCs/>
        </w:rPr>
        <w:t>1</w:t>
      </w:r>
      <w:r>
        <w:t xml:space="preserve"> (</w:t>
      </w:r>
      <w:proofErr w:type="spellStart"/>
      <w:r>
        <w:t>Cth</w:t>
      </w:r>
      <w:proofErr w:type="spellEnd"/>
      <w:r>
        <w:t>) (</w:t>
      </w:r>
      <w:r w:rsidRPr="00F104A3">
        <w:rPr>
          <w:b/>
          <w:bCs/>
        </w:rPr>
        <w:t>ASIC Act</w:t>
      </w:r>
      <w:r>
        <w:t xml:space="preserve">). </w:t>
      </w:r>
    </w:p>
    <w:p w14:paraId="3A0F70D6" w14:textId="77777777" w:rsidR="00E9145B" w:rsidRDefault="00E9145B" w:rsidP="00E9145B">
      <w:pPr>
        <w:pStyle w:val="ParaNumbering"/>
      </w:pPr>
      <w:r>
        <w:t>My reasons draw heavily on the statement of agreed facts and the joint written submissions filed by the parties.</w:t>
      </w:r>
    </w:p>
    <w:p w14:paraId="7D688566" w14:textId="77777777" w:rsidR="00E9145B" w:rsidRDefault="00E9145B" w:rsidP="00E9145B">
      <w:pPr>
        <w:pStyle w:val="Heading2"/>
      </w:pPr>
      <w:r>
        <w:t>The material facts</w:t>
      </w:r>
    </w:p>
    <w:p w14:paraId="2DD29B15" w14:textId="2D179C9B" w:rsidR="00E9145B" w:rsidRDefault="00E9145B" w:rsidP="00E9145B">
      <w:pPr>
        <w:pStyle w:val="ParaNumbering"/>
      </w:pPr>
      <w:r>
        <w:t xml:space="preserve">During the relevant period, Mr Blumenthal was one of two directors of </w:t>
      </w:r>
      <w:proofErr w:type="spellStart"/>
      <w:r w:rsidRPr="00445C6E">
        <w:rPr>
          <w:b/>
          <w:bCs/>
        </w:rPr>
        <w:t>EverBlu</w:t>
      </w:r>
      <w:proofErr w:type="spellEnd"/>
      <w:r>
        <w:t xml:space="preserve"> Capital Pty Ltd. The other director was not resident in Australia and was not active in </w:t>
      </w:r>
      <w:proofErr w:type="spellStart"/>
      <w:r>
        <w:t>EverBlu</w:t>
      </w:r>
      <w:proofErr w:type="spellEnd"/>
      <w:r>
        <w:t xml:space="preserve">. Mr Blumenthal was also the chairman and an Authorised Representative and Responsible Manager of </w:t>
      </w:r>
      <w:proofErr w:type="spellStart"/>
      <w:r>
        <w:t>EverBlu</w:t>
      </w:r>
      <w:proofErr w:type="spellEnd"/>
      <w:r>
        <w:t xml:space="preserve">. He oversaw and participated in the corporate advisory and stockbroking services </w:t>
      </w:r>
      <w:r>
        <w:lastRenderedPageBreak/>
        <w:t xml:space="preserve">provided by </w:t>
      </w:r>
      <w:proofErr w:type="spellStart"/>
      <w:r>
        <w:t>EverBlu</w:t>
      </w:r>
      <w:proofErr w:type="spellEnd"/>
      <w:r>
        <w:t xml:space="preserve"> as holder of an Australian Financial Services Licence (</w:t>
      </w:r>
      <w:r w:rsidRPr="00435D0C">
        <w:rPr>
          <w:b/>
          <w:bCs/>
        </w:rPr>
        <w:t>AFSL</w:t>
      </w:r>
      <w:r>
        <w:t xml:space="preserve">). He was also indirectly, through a corporate vehicle owned by him, a part owner of </w:t>
      </w:r>
      <w:proofErr w:type="spellStart"/>
      <w:r>
        <w:t>EverBlu</w:t>
      </w:r>
      <w:proofErr w:type="spellEnd"/>
      <w:r>
        <w:t xml:space="preserve"> and, with the other director, the controlling mind of </w:t>
      </w:r>
      <w:proofErr w:type="spellStart"/>
      <w:r>
        <w:t>EverBlu</w:t>
      </w:r>
      <w:proofErr w:type="spellEnd"/>
      <w:r>
        <w:t xml:space="preserve">. </w:t>
      </w:r>
    </w:p>
    <w:p w14:paraId="03944661" w14:textId="7DDFBD4C" w:rsidR="00E9145B" w:rsidRPr="00E4548A" w:rsidRDefault="00E9145B" w:rsidP="00E9145B">
      <w:pPr>
        <w:pStyle w:val="ParaNumbering"/>
      </w:pPr>
      <w:r w:rsidRPr="00445C6E">
        <w:rPr>
          <w:b/>
          <w:bCs/>
        </w:rPr>
        <w:t>Anglo Menda</w:t>
      </w:r>
      <w:r>
        <w:t xml:space="preserve"> Pty Ltd was a corporation of which Mr Blumenthal was the sole director and shareholder. Anglo Menda was an Authorised Representative of </w:t>
      </w:r>
      <w:proofErr w:type="spellStart"/>
      <w:r>
        <w:t>EverBlu</w:t>
      </w:r>
      <w:proofErr w:type="spellEnd"/>
      <w:r>
        <w:t xml:space="preserve">. </w:t>
      </w:r>
    </w:p>
    <w:p w14:paraId="6A5CB13B" w14:textId="0B6E0865" w:rsidR="00E9145B" w:rsidRDefault="00E9145B" w:rsidP="00E9145B">
      <w:pPr>
        <w:pStyle w:val="ParaNumbering"/>
      </w:pPr>
      <w:proofErr w:type="spellStart"/>
      <w:r w:rsidRPr="00884433">
        <w:rPr>
          <w:b/>
          <w:bCs/>
        </w:rPr>
        <w:t>Creso</w:t>
      </w:r>
      <w:proofErr w:type="spellEnd"/>
      <w:r>
        <w:t xml:space="preserve"> Pharma Ltd (now known as </w:t>
      </w:r>
      <w:proofErr w:type="spellStart"/>
      <w:r>
        <w:t>Melodiol</w:t>
      </w:r>
      <w:proofErr w:type="spellEnd"/>
      <w:r>
        <w:t xml:space="preserve"> Global Health Ltd) was listed on the Australian Securities Exchange (</w:t>
      </w:r>
      <w:r w:rsidRPr="00BB5160">
        <w:rPr>
          <w:b/>
          <w:bCs/>
        </w:rPr>
        <w:t>ASX</w:t>
      </w:r>
      <w:r>
        <w:t xml:space="preserve">) from 20 October 2016 to 12 June 2023, </w:t>
      </w:r>
      <w:proofErr w:type="spellStart"/>
      <w:r>
        <w:t>ie</w:t>
      </w:r>
      <w:proofErr w:type="spellEnd"/>
      <w:r>
        <w:t xml:space="preserve"> covering the relevant period. During the relevant period, Mr Blumenthal was a substantial shareholder, non-executive director and chairman of </w:t>
      </w:r>
      <w:proofErr w:type="spellStart"/>
      <w:r>
        <w:t>Creso</w:t>
      </w:r>
      <w:proofErr w:type="spellEnd"/>
      <w:r>
        <w:t xml:space="preserve">. As at 28 February 2021, Mr Blumenthal’s total shareholding in </w:t>
      </w:r>
      <w:proofErr w:type="spellStart"/>
      <w:r>
        <w:t>Creso</w:t>
      </w:r>
      <w:proofErr w:type="spellEnd"/>
      <w:r>
        <w:t xml:space="preserve"> – which was indirectly held through various corporate vehicles owned by him – was valued at approximately $30 million. </w:t>
      </w:r>
    </w:p>
    <w:p w14:paraId="010814E8" w14:textId="1744C0DE" w:rsidR="00E9145B" w:rsidRPr="005B12D6" w:rsidRDefault="00E9145B" w:rsidP="00E9145B">
      <w:pPr>
        <w:pStyle w:val="ParaNumbering"/>
      </w:pPr>
      <w:r w:rsidRPr="005B12D6">
        <w:t xml:space="preserve">From at least July 2017, </w:t>
      </w:r>
      <w:proofErr w:type="spellStart"/>
      <w:r w:rsidRPr="005B12D6">
        <w:t>EverBlu</w:t>
      </w:r>
      <w:proofErr w:type="spellEnd"/>
      <w:r w:rsidRPr="005B12D6">
        <w:t xml:space="preserve"> provided corporate advisory services to </w:t>
      </w:r>
      <w:proofErr w:type="spellStart"/>
      <w:r w:rsidRPr="005B12D6">
        <w:t>Creso</w:t>
      </w:r>
      <w:proofErr w:type="spellEnd"/>
      <w:r w:rsidRPr="005B12D6">
        <w:t xml:space="preserve">. </w:t>
      </w:r>
      <w:proofErr w:type="spellStart"/>
      <w:r w:rsidRPr="005B12D6">
        <w:t>EverBlu</w:t>
      </w:r>
      <w:proofErr w:type="spellEnd"/>
      <w:r w:rsidRPr="005B12D6">
        <w:t xml:space="preserve"> led </w:t>
      </w:r>
      <w:proofErr w:type="spellStart"/>
      <w:r w:rsidRPr="005B12D6">
        <w:t>Creso’s</w:t>
      </w:r>
      <w:proofErr w:type="spellEnd"/>
      <w:r w:rsidRPr="005B12D6">
        <w:t xml:space="preserve"> initial public offering. </w:t>
      </w:r>
    </w:p>
    <w:p w14:paraId="2E16AE0C" w14:textId="77777777" w:rsidR="00E9145B" w:rsidRDefault="00E9145B" w:rsidP="00E9145B">
      <w:pPr>
        <w:pStyle w:val="ParaNumbering"/>
      </w:pPr>
      <w:proofErr w:type="spellStart"/>
      <w:r>
        <w:t>EverBlu</w:t>
      </w:r>
      <w:proofErr w:type="spellEnd"/>
      <w:r>
        <w:t xml:space="preserve"> maintained a suite of internal policies that included procedures directed towards compliance with its AFSL and the general law. By those policies, Mr Blumenthal was prohibited from providing general advice or accepting client instructions in relation to a company of which he was a director and accepting client instructions in relation to a company under “Restriction”. </w:t>
      </w:r>
      <w:proofErr w:type="spellStart"/>
      <w:r>
        <w:t>Creso</w:t>
      </w:r>
      <w:proofErr w:type="spellEnd"/>
      <w:r>
        <w:t xml:space="preserve"> was a company under “Restriction” during the relevant period.</w:t>
      </w:r>
    </w:p>
    <w:p w14:paraId="371FCAD1" w14:textId="77777777" w:rsidR="00E9145B" w:rsidRDefault="00E9145B" w:rsidP="00E9145B">
      <w:pPr>
        <w:pStyle w:val="ParaNumbering"/>
      </w:pPr>
      <w:r>
        <w:t xml:space="preserve">On 23 March 2021, Mr Blumenthal was placed on the “Chinese Wall” Register (which recorded </w:t>
      </w:r>
      <w:proofErr w:type="spellStart"/>
      <w:r>
        <w:t>EverBlu’s</w:t>
      </w:r>
      <w:proofErr w:type="spellEnd"/>
      <w:r>
        <w:t xml:space="preserve"> representatives in possession of non-public information and imposed strict limitations and conditions on the use of that information) with respect to </w:t>
      </w:r>
      <w:proofErr w:type="spellStart"/>
      <w:r>
        <w:t>Creso</w:t>
      </w:r>
      <w:proofErr w:type="spellEnd"/>
      <w:r>
        <w:t xml:space="preserve">. The addition of Mr Blumenthal to that register generated an automated “Chinese Walls Register Entry Acknowledgement”, which required him to acknowledge that he would, amongst other things, not take orders from clients to buy or sell </w:t>
      </w:r>
      <w:proofErr w:type="spellStart"/>
      <w:r>
        <w:t>Creso</w:t>
      </w:r>
      <w:proofErr w:type="spellEnd"/>
      <w:r>
        <w:t xml:space="preserve"> shares and, in the event of receiving such an order, he would “pass the phone to another adviser”.</w:t>
      </w:r>
    </w:p>
    <w:p w14:paraId="59B48BB4" w14:textId="77777777" w:rsidR="00E9145B" w:rsidRDefault="00E9145B" w:rsidP="00E9145B">
      <w:pPr>
        <w:pStyle w:val="ParaNumbering"/>
      </w:pPr>
      <w:r>
        <w:t xml:space="preserve">Contrary to several of </w:t>
      </w:r>
      <w:proofErr w:type="spellStart"/>
      <w:r>
        <w:t>EverBlu’s</w:t>
      </w:r>
      <w:proofErr w:type="spellEnd"/>
      <w:r>
        <w:t xml:space="preserve"> policies, Mr Blumenthal personally and through a Designated Trading Representative (</w:t>
      </w:r>
      <w:r w:rsidRPr="00805F43">
        <w:rPr>
          <w:b/>
          <w:bCs/>
        </w:rPr>
        <w:t>DTR</w:t>
      </w:r>
      <w:r>
        <w:t xml:space="preserve">) entered, amended and cancelled multiple client orders for </w:t>
      </w:r>
      <w:proofErr w:type="spellStart"/>
      <w:r>
        <w:t>Creso</w:t>
      </w:r>
      <w:proofErr w:type="spellEnd"/>
      <w:r>
        <w:t xml:space="preserve"> shares directly through client accounts. He also directed the DTR to enter, amend and cancel multiple client orders for </w:t>
      </w:r>
      <w:proofErr w:type="spellStart"/>
      <w:r>
        <w:t>Creso</w:t>
      </w:r>
      <w:proofErr w:type="spellEnd"/>
      <w:r>
        <w:t xml:space="preserve"> shares through the Suspense Account and subsequently book the resulting trades from the Suspense Account to one or more client accounts, each of which was held in the name of individuals known to Mr Blumenthal.</w:t>
      </w:r>
    </w:p>
    <w:p w14:paraId="7E605D64" w14:textId="77777777" w:rsidR="00E9145B" w:rsidRDefault="00E9145B" w:rsidP="00E9145B">
      <w:pPr>
        <w:pStyle w:val="ParaNumbering"/>
      </w:pPr>
      <w:r>
        <w:lastRenderedPageBreak/>
        <w:t>The Suspense Account, styled ‘SUSP_EVB’, was an account typically used for temporary entries in the absence of some information that was needed to properly assign an order to a particular client account.</w:t>
      </w:r>
    </w:p>
    <w:p w14:paraId="51EBBFD6" w14:textId="77777777" w:rsidR="00E9145B" w:rsidRDefault="00E9145B" w:rsidP="00E9145B">
      <w:pPr>
        <w:pStyle w:val="ParaNumbering"/>
      </w:pPr>
      <w:r>
        <w:t xml:space="preserve">During the relevant period, trades placed through </w:t>
      </w:r>
      <w:proofErr w:type="spellStart"/>
      <w:r>
        <w:t>EverBlu</w:t>
      </w:r>
      <w:proofErr w:type="spellEnd"/>
      <w:r>
        <w:t xml:space="preserve"> accounted for approximately 27% of all market volume for trading in </w:t>
      </w:r>
      <w:proofErr w:type="spellStart"/>
      <w:r>
        <w:t>Creso</w:t>
      </w:r>
      <w:proofErr w:type="spellEnd"/>
      <w:r>
        <w:t xml:space="preserve"> shares. Approximately 75% of those trades were conducted through the Suspense Account.</w:t>
      </w:r>
    </w:p>
    <w:p w14:paraId="5C2B4DFB" w14:textId="77777777" w:rsidR="00E9145B" w:rsidRDefault="00E9145B" w:rsidP="00E9145B">
      <w:pPr>
        <w:pStyle w:val="ParaNumbering"/>
      </w:pPr>
      <w:r>
        <w:t xml:space="preserve">In all, six </w:t>
      </w:r>
      <w:proofErr w:type="spellStart"/>
      <w:r>
        <w:t>EverBlu</w:t>
      </w:r>
      <w:proofErr w:type="spellEnd"/>
      <w:r>
        <w:t xml:space="preserve"> clients’ accounts were ultimately allocated </w:t>
      </w:r>
      <w:proofErr w:type="spellStart"/>
      <w:r>
        <w:t>Creso</w:t>
      </w:r>
      <w:proofErr w:type="spellEnd"/>
      <w:r>
        <w:t xml:space="preserve"> shares bought or sold through the Suspense Account. Mr Blumenthal loaned money to three of those six </w:t>
      </w:r>
      <w:proofErr w:type="spellStart"/>
      <w:r>
        <w:t>EverBlu</w:t>
      </w:r>
      <w:proofErr w:type="spellEnd"/>
      <w:r>
        <w:t xml:space="preserve"> clients via </w:t>
      </w:r>
      <w:r w:rsidRPr="009D6360">
        <w:t>Anglo Menda</w:t>
      </w:r>
      <w:r>
        <w:t xml:space="preserve"> for </w:t>
      </w:r>
      <w:r w:rsidRPr="001F6BD2">
        <w:t xml:space="preserve">the purpose of funding the purchase of those </w:t>
      </w:r>
      <w:proofErr w:type="spellStart"/>
      <w:r w:rsidRPr="001F6BD2">
        <w:t>Creso</w:t>
      </w:r>
      <w:proofErr w:type="spellEnd"/>
      <w:r w:rsidRPr="001F6BD2">
        <w:t xml:space="preserve"> shares.</w:t>
      </w:r>
    </w:p>
    <w:p w14:paraId="045B7CD7" w14:textId="77777777" w:rsidR="00E9145B" w:rsidRDefault="00E9145B" w:rsidP="00E9145B">
      <w:pPr>
        <w:pStyle w:val="ParaNumbering"/>
      </w:pPr>
      <w:r w:rsidRPr="00462EAE">
        <w:t xml:space="preserve">A substantial portion of the trades allocated to the six clients were conducted under </w:t>
      </w:r>
      <w:r>
        <w:t>Mr Blumenthal’</w:t>
      </w:r>
      <w:r w:rsidRPr="00462EAE">
        <w:t xml:space="preserve">s instructions to the DTR during the </w:t>
      </w:r>
      <w:r>
        <w:t>r</w:t>
      </w:r>
      <w:r w:rsidRPr="00462EAE">
        <w:t xml:space="preserve">elevant </w:t>
      </w:r>
      <w:r>
        <w:t>p</w:t>
      </w:r>
      <w:r w:rsidRPr="00462EAE">
        <w:t xml:space="preserve">eriod </w:t>
      </w:r>
      <w:r>
        <w:t>when</w:t>
      </w:r>
      <w:r w:rsidRPr="00462EAE">
        <w:t xml:space="preserve"> </w:t>
      </w:r>
      <w:r>
        <w:t>Mr Blumenthal</w:t>
      </w:r>
      <w:r w:rsidRPr="00462EAE">
        <w:t xml:space="preserve"> was subject to the </w:t>
      </w:r>
      <w:r>
        <w:t>“</w:t>
      </w:r>
      <w:r w:rsidRPr="00462EAE">
        <w:t>Chinese Wall</w:t>
      </w:r>
      <w:r>
        <w:t>”</w:t>
      </w:r>
      <w:r w:rsidRPr="00462EAE">
        <w:t xml:space="preserve"> restriction. It is not alleged that the relevant trade instructions were not provided by each of the clients identified, but rather that they were</w:t>
      </w:r>
      <w:r>
        <w:t xml:space="preserve"> given effect </w:t>
      </w:r>
      <w:r w:rsidRPr="00462EAE">
        <w:t>in breach of</w:t>
      </w:r>
      <w:r>
        <w:t xml:space="preserve"> </w:t>
      </w:r>
      <w:proofErr w:type="spellStart"/>
      <w:r>
        <w:t>EverBlu’s</w:t>
      </w:r>
      <w:proofErr w:type="spellEnd"/>
      <w:r>
        <w:t xml:space="preserve"> policies</w:t>
      </w:r>
      <w:r w:rsidRPr="00462EAE">
        <w:t>.</w:t>
      </w:r>
    </w:p>
    <w:p w14:paraId="44D0F1BD" w14:textId="0281D3CC" w:rsidR="00E9145B" w:rsidRPr="005B12D6" w:rsidRDefault="00E9145B" w:rsidP="00E9145B">
      <w:pPr>
        <w:pStyle w:val="ParaNumbering"/>
      </w:pPr>
      <w:r w:rsidRPr="005B12D6">
        <w:t xml:space="preserve">On 14 occasions during the relevant period, Mr Blumenthal either by himself or by direction to the DTR disaggregated single client orders for the purchase of </w:t>
      </w:r>
      <w:proofErr w:type="spellStart"/>
      <w:r w:rsidRPr="005B12D6">
        <w:t>Creso</w:t>
      </w:r>
      <w:proofErr w:type="spellEnd"/>
      <w:r w:rsidRPr="005B12D6">
        <w:t xml:space="preserve"> shares. That was done using the Suspense Account, save for </w:t>
      </w:r>
      <w:r w:rsidR="00085CC0" w:rsidRPr="005B12D6">
        <w:t xml:space="preserve">three </w:t>
      </w:r>
      <w:r w:rsidRPr="005B12D6">
        <w:t xml:space="preserve">occasions when some bids were placed via the Suspense Account and some via the client account of Tyson Scholz. At the time of receiving the client orders, Mr Blumenthal had sought and obtained from the relevant </w:t>
      </w:r>
      <w:proofErr w:type="spellStart"/>
      <w:r w:rsidRPr="005B12D6">
        <w:t>EverBlu</w:t>
      </w:r>
      <w:proofErr w:type="spellEnd"/>
      <w:r w:rsidRPr="005B12D6">
        <w:t xml:space="preserve"> clients their authorisation to execute the orders in a manner that he considered appropriate.</w:t>
      </w:r>
    </w:p>
    <w:p w14:paraId="1ED6AAE4" w14:textId="77777777" w:rsidR="00E9145B" w:rsidRDefault="00E9145B" w:rsidP="00E9145B">
      <w:pPr>
        <w:pStyle w:val="ParaNumbering"/>
      </w:pPr>
      <w:r>
        <w:t xml:space="preserve">The trades were disaggregated with the intention, on the part of Mr Blumenthal, of representing to the market that there were more individual bidders for </w:t>
      </w:r>
      <w:proofErr w:type="spellStart"/>
      <w:r>
        <w:t>Creso</w:t>
      </w:r>
      <w:proofErr w:type="spellEnd"/>
      <w:r>
        <w:t xml:space="preserve"> shares than in fact existed, so as to create, or cause the creation of, a false or misleading appearance with respect to the market for </w:t>
      </w:r>
      <w:proofErr w:type="spellStart"/>
      <w:r>
        <w:t>Creso</w:t>
      </w:r>
      <w:proofErr w:type="spellEnd"/>
      <w:r>
        <w:t xml:space="preserve"> shares. The parties are agreed that the conduct was likely to have had the effect of creating, or causing the creation of, a misleading appearance with respect to the number of market participants actively trading </w:t>
      </w:r>
      <w:proofErr w:type="spellStart"/>
      <w:r>
        <w:t>Creso</w:t>
      </w:r>
      <w:proofErr w:type="spellEnd"/>
      <w:r>
        <w:t xml:space="preserve"> shares.</w:t>
      </w:r>
    </w:p>
    <w:p w14:paraId="2C66AE64" w14:textId="18EA178C" w:rsidR="00E9145B" w:rsidRDefault="00E9145B" w:rsidP="00E9145B">
      <w:pPr>
        <w:pStyle w:val="ParaNumbering"/>
      </w:pPr>
      <w:r>
        <w:t xml:space="preserve">As mentioned, Mr Blumenthal was, indirectly, a substantial </w:t>
      </w:r>
      <w:proofErr w:type="spellStart"/>
      <w:r>
        <w:t>Creso</w:t>
      </w:r>
      <w:proofErr w:type="spellEnd"/>
      <w:r>
        <w:t xml:space="preserve"> shareholder and a member of its board. Notwithstanding his obligations to adhere to </w:t>
      </w:r>
      <w:proofErr w:type="spellStart"/>
      <w:r>
        <w:t>EverBlu’s</w:t>
      </w:r>
      <w:proofErr w:type="spellEnd"/>
      <w:r>
        <w:t xml:space="preserve"> relevant policies which prohibited such conduct</w:t>
      </w:r>
      <w:r w:rsidRPr="002B13E9">
        <w:t xml:space="preserve">, </w:t>
      </w:r>
      <w:r>
        <w:t>Mr Blum</w:t>
      </w:r>
      <w:r w:rsidR="00C812F6">
        <w:t>en</w:t>
      </w:r>
      <w:r>
        <w:t>thal</w:t>
      </w:r>
      <w:r w:rsidRPr="002B13E9">
        <w:t xml:space="preserve"> used his capacity as a broker at </w:t>
      </w:r>
      <w:proofErr w:type="spellStart"/>
      <w:r w:rsidRPr="002B13E9">
        <w:t>EverBlu</w:t>
      </w:r>
      <w:proofErr w:type="spellEnd"/>
      <w:r w:rsidRPr="002B13E9">
        <w:t xml:space="preserve"> to place trades for </w:t>
      </w:r>
      <w:proofErr w:type="spellStart"/>
      <w:r w:rsidRPr="002B13E9">
        <w:t>Creso</w:t>
      </w:r>
      <w:proofErr w:type="spellEnd"/>
      <w:r w:rsidRPr="002B13E9">
        <w:t xml:space="preserve"> shares in the </w:t>
      </w:r>
      <w:r>
        <w:t xml:space="preserve">disaggregated </w:t>
      </w:r>
      <w:r w:rsidRPr="002B13E9">
        <w:t>manner referred to above</w:t>
      </w:r>
      <w:r>
        <w:t>.</w:t>
      </w:r>
    </w:p>
    <w:p w14:paraId="7A3D09B1" w14:textId="49A6D86E" w:rsidR="00E9145B" w:rsidRPr="005B12D6" w:rsidRDefault="00E9145B" w:rsidP="00E9145B">
      <w:pPr>
        <w:pStyle w:val="ParaNumbering"/>
      </w:pPr>
      <w:r w:rsidRPr="005B12D6">
        <w:lastRenderedPageBreak/>
        <w:t xml:space="preserve">In or around March 2021, Mr Blumenthal caused </w:t>
      </w:r>
      <w:proofErr w:type="spellStart"/>
      <w:r w:rsidRPr="005B12D6">
        <w:t>Creso</w:t>
      </w:r>
      <w:proofErr w:type="spellEnd"/>
      <w:r w:rsidRPr="005B12D6">
        <w:t xml:space="preserve"> to separately engage Mr Scholz and </w:t>
      </w:r>
      <w:r w:rsidR="00D719A9" w:rsidRPr="005B12D6">
        <w:t xml:space="preserve">Aldo </w:t>
      </w:r>
      <w:r w:rsidRPr="005B12D6">
        <w:t xml:space="preserve">Sacco to provide </w:t>
      </w:r>
      <w:proofErr w:type="spellStart"/>
      <w:r w:rsidRPr="005B12D6">
        <w:t>Creso</w:t>
      </w:r>
      <w:proofErr w:type="spellEnd"/>
      <w:r w:rsidRPr="005B12D6">
        <w:t xml:space="preserve"> with promotional and marketing services. Mr Sacco was also engaged by </w:t>
      </w:r>
      <w:proofErr w:type="spellStart"/>
      <w:r w:rsidRPr="005B12D6">
        <w:t>Creso</w:t>
      </w:r>
      <w:proofErr w:type="spellEnd"/>
      <w:r w:rsidRPr="005B12D6">
        <w:t xml:space="preserve"> to consult and to provide market data, market research and market intelligence, which services were to be provided to Mr Blumenthal on behalf of </w:t>
      </w:r>
      <w:proofErr w:type="spellStart"/>
      <w:r w:rsidRPr="005B12D6">
        <w:t>Creso</w:t>
      </w:r>
      <w:proofErr w:type="spellEnd"/>
      <w:r w:rsidRPr="005B12D6">
        <w:t xml:space="preserve">. Mr Sacco was also to promote </w:t>
      </w:r>
      <w:proofErr w:type="spellStart"/>
      <w:r w:rsidRPr="005B12D6">
        <w:t>Creso</w:t>
      </w:r>
      <w:proofErr w:type="spellEnd"/>
      <w:r w:rsidRPr="005B12D6">
        <w:t xml:space="preserve"> via his professional and social media network.</w:t>
      </w:r>
      <w:r w:rsidR="00DC52E6" w:rsidRPr="005B12D6">
        <w:t xml:space="preserve"> </w:t>
      </w:r>
      <w:r w:rsidR="00EA79B1" w:rsidRPr="005B12D6">
        <w:t xml:space="preserve">Both </w:t>
      </w:r>
      <w:r w:rsidR="00DC52E6" w:rsidRPr="005B12D6">
        <w:t xml:space="preserve">Mr Sacco </w:t>
      </w:r>
      <w:r w:rsidR="00EA79B1" w:rsidRPr="005B12D6">
        <w:t xml:space="preserve">and his main trading entity were clients of </w:t>
      </w:r>
      <w:proofErr w:type="spellStart"/>
      <w:r w:rsidR="00EA79B1" w:rsidRPr="005B12D6">
        <w:t>EverBlu</w:t>
      </w:r>
      <w:proofErr w:type="spellEnd"/>
      <w:r w:rsidR="00EA79B1" w:rsidRPr="005B12D6">
        <w:t>.</w:t>
      </w:r>
    </w:p>
    <w:p w14:paraId="12A9C390" w14:textId="77777777" w:rsidR="00E9145B" w:rsidRDefault="00E9145B" w:rsidP="00E9145B">
      <w:pPr>
        <w:pStyle w:val="ParaNumbering"/>
      </w:pPr>
      <w:r>
        <w:t xml:space="preserve">The agreement between </w:t>
      </w:r>
      <w:proofErr w:type="spellStart"/>
      <w:r>
        <w:t>Creso</w:t>
      </w:r>
      <w:proofErr w:type="spellEnd"/>
      <w:r>
        <w:t xml:space="preserve"> and Mr Sacco was not in writing. Mr Sacco did not provide Mr Blumenthal with any formal reports detailing the services he provided.</w:t>
      </w:r>
    </w:p>
    <w:p w14:paraId="15C03352" w14:textId="77777777" w:rsidR="00E9145B" w:rsidRDefault="00E9145B" w:rsidP="00E9145B">
      <w:pPr>
        <w:pStyle w:val="ParaNumbering"/>
      </w:pPr>
      <w:r>
        <w:t xml:space="preserve">During the relevant period, Mr Sacco, via his company Nandil Pty Ltd, issued invoices to </w:t>
      </w:r>
      <w:proofErr w:type="spellStart"/>
      <w:r>
        <w:t>Creso</w:t>
      </w:r>
      <w:proofErr w:type="spellEnd"/>
      <w:r>
        <w:t xml:space="preserve"> totalling $1,237,500 for his marketing and promotional services. Those invoices were paid by </w:t>
      </w:r>
      <w:proofErr w:type="spellStart"/>
      <w:r>
        <w:t>Creso</w:t>
      </w:r>
      <w:proofErr w:type="spellEnd"/>
      <w:r>
        <w:t xml:space="preserve"> after having been approved by </w:t>
      </w:r>
      <w:proofErr w:type="spellStart"/>
      <w:r>
        <w:t>Creso’s</w:t>
      </w:r>
      <w:proofErr w:type="spellEnd"/>
      <w:r>
        <w:t xml:space="preserve"> board of directors on Mr Blumenthal’s recommendation.</w:t>
      </w:r>
    </w:p>
    <w:p w14:paraId="097D999F" w14:textId="77777777" w:rsidR="00E9145B" w:rsidRDefault="00E9145B" w:rsidP="00E9145B">
      <w:pPr>
        <w:pStyle w:val="ParaNumbering"/>
      </w:pPr>
      <w:r>
        <w:t xml:space="preserve">Prior to his engagement by </w:t>
      </w:r>
      <w:proofErr w:type="spellStart"/>
      <w:r>
        <w:t>Creso</w:t>
      </w:r>
      <w:proofErr w:type="spellEnd"/>
      <w:r>
        <w:t xml:space="preserve">, Mr Scholz was an existing </w:t>
      </w:r>
      <w:proofErr w:type="spellStart"/>
      <w:r>
        <w:t>EverBlu</w:t>
      </w:r>
      <w:proofErr w:type="spellEnd"/>
      <w:r>
        <w:t xml:space="preserve"> client. During the relevant period, via his companies SV4T Investments Pty Ltd and EWOLF Enterprises Pty Ltd, Mr Scholz issued invoices to </w:t>
      </w:r>
      <w:proofErr w:type="spellStart"/>
      <w:r>
        <w:t>Creso</w:t>
      </w:r>
      <w:proofErr w:type="spellEnd"/>
      <w:r>
        <w:t xml:space="preserve"> totalling $2,013,000. Those invoices were paid by </w:t>
      </w:r>
      <w:proofErr w:type="spellStart"/>
      <w:r>
        <w:t>Creso</w:t>
      </w:r>
      <w:proofErr w:type="spellEnd"/>
      <w:r>
        <w:t xml:space="preserve"> after having been approved by </w:t>
      </w:r>
      <w:proofErr w:type="spellStart"/>
      <w:r>
        <w:t>Creso’s</w:t>
      </w:r>
      <w:proofErr w:type="spellEnd"/>
      <w:r>
        <w:t xml:space="preserve"> board of directors on Mr Blumenthal’s recommendation.</w:t>
      </w:r>
    </w:p>
    <w:p w14:paraId="327B3185" w14:textId="77777777" w:rsidR="00E9145B" w:rsidRDefault="00E9145B" w:rsidP="00E9145B">
      <w:pPr>
        <w:pStyle w:val="ParaNumbering"/>
      </w:pPr>
      <w:r>
        <w:t xml:space="preserve">During the relevant period, Mr Blumenthal, via his company Anglo Menda, loaned Mr Scholz $7,125,460 to fund the purchase of </w:t>
      </w:r>
      <w:proofErr w:type="spellStart"/>
      <w:r>
        <w:t>Creso</w:t>
      </w:r>
      <w:proofErr w:type="spellEnd"/>
      <w:r>
        <w:t xml:space="preserve"> shares, whilst Mr Scholz was providing </w:t>
      </w:r>
      <w:proofErr w:type="spellStart"/>
      <w:r>
        <w:t>Creso</w:t>
      </w:r>
      <w:proofErr w:type="spellEnd"/>
      <w:r>
        <w:t xml:space="preserve"> with marketing and promotional services. Mr Blumenthal charged Mr Scholz $712,546 in interest on the loans. The financial relationship between Mr Blumenthal and Mr Scholz was not disclosed to the board of </w:t>
      </w:r>
      <w:proofErr w:type="spellStart"/>
      <w:r>
        <w:t>Creso</w:t>
      </w:r>
      <w:proofErr w:type="spellEnd"/>
      <w:r>
        <w:t xml:space="preserve"> from May 2021 to the end of the relevant period. Disclosure of the relationship was made by way of letter from Mr Blumenthal to the board of </w:t>
      </w:r>
      <w:proofErr w:type="spellStart"/>
      <w:r>
        <w:t>Creso</w:t>
      </w:r>
      <w:proofErr w:type="spellEnd"/>
      <w:r>
        <w:t xml:space="preserve"> in September 2022. Also, </w:t>
      </w:r>
      <w:r w:rsidRPr="00BA60F2">
        <w:t xml:space="preserve">Mr Blumenthal </w:t>
      </w:r>
      <w:r>
        <w:t xml:space="preserve">failed to </w:t>
      </w:r>
      <w:r w:rsidRPr="00BA60F2">
        <w:t xml:space="preserve">exclude himself from the </w:t>
      </w:r>
      <w:r>
        <w:t>b</w:t>
      </w:r>
      <w:r w:rsidRPr="00BA60F2">
        <w:t xml:space="preserve">oard of </w:t>
      </w:r>
      <w:proofErr w:type="spellStart"/>
      <w:r w:rsidRPr="00BA60F2">
        <w:t>Creso</w:t>
      </w:r>
      <w:proofErr w:type="spellEnd"/>
      <w:r w:rsidRPr="00BA60F2">
        <w:t xml:space="preserve"> when the </w:t>
      </w:r>
      <w:r>
        <w:t>b</w:t>
      </w:r>
      <w:r w:rsidRPr="00BA60F2">
        <w:t>oard decided to approve the payment of Mr Scholz</w:t>
      </w:r>
      <w:r>
        <w:t>’</w:t>
      </w:r>
      <w:r w:rsidRPr="00BA60F2">
        <w:t xml:space="preserve">s invoices to </w:t>
      </w:r>
      <w:proofErr w:type="spellStart"/>
      <w:r w:rsidRPr="00BA60F2">
        <w:t>Creso</w:t>
      </w:r>
      <w:proofErr w:type="spellEnd"/>
      <w:r w:rsidRPr="00BA60F2">
        <w:t>.</w:t>
      </w:r>
    </w:p>
    <w:p w14:paraId="3B277D1B" w14:textId="77777777" w:rsidR="00E9145B" w:rsidRDefault="00E9145B" w:rsidP="00E9145B">
      <w:pPr>
        <w:pStyle w:val="ParaNumbering"/>
      </w:pPr>
      <w:r>
        <w:t xml:space="preserve">I am satisfied that in engaging Mr Scholz and Mr Sacco on behalf of </w:t>
      </w:r>
      <w:proofErr w:type="spellStart"/>
      <w:r>
        <w:t>Creso</w:t>
      </w:r>
      <w:proofErr w:type="spellEnd"/>
      <w:r>
        <w:t>, Mr Blumenthal failed to:</w:t>
      </w:r>
    </w:p>
    <w:p w14:paraId="74F73AB7" w14:textId="77777777" w:rsidR="00E9145B" w:rsidRDefault="00E9145B" w:rsidP="00E9145B">
      <w:pPr>
        <w:pStyle w:val="ListNo1"/>
      </w:pPr>
      <w:r>
        <w:t xml:space="preserve">carry out adequate due diligence as to the capacity of those persons to perform the contracted services with </w:t>
      </w:r>
      <w:proofErr w:type="spellStart"/>
      <w:r>
        <w:t>Creso</w:t>
      </w:r>
      <w:proofErr w:type="spellEnd"/>
      <w:r>
        <w:t>;</w:t>
      </w:r>
    </w:p>
    <w:p w14:paraId="4B946A60" w14:textId="77777777" w:rsidR="00E9145B" w:rsidRDefault="00E9145B" w:rsidP="00E9145B">
      <w:pPr>
        <w:pStyle w:val="ListNo1"/>
      </w:pPr>
      <w:r>
        <w:t>document the contracted services in writing;</w:t>
      </w:r>
    </w:p>
    <w:p w14:paraId="17C1D44C" w14:textId="77777777" w:rsidR="00E9145B" w:rsidRDefault="00E9145B" w:rsidP="00E9145B">
      <w:pPr>
        <w:pStyle w:val="ListNo1"/>
      </w:pPr>
      <w:r>
        <w:lastRenderedPageBreak/>
        <w:t>require measurable deliverables such that the service provision could be objectively assessed;</w:t>
      </w:r>
    </w:p>
    <w:p w14:paraId="01FA1EE9" w14:textId="77777777" w:rsidR="00E9145B" w:rsidRDefault="00E9145B" w:rsidP="00E9145B">
      <w:pPr>
        <w:pStyle w:val="ListNo1"/>
      </w:pPr>
      <w:r>
        <w:t>require detailed invoices documenting the services provided;</w:t>
      </w:r>
    </w:p>
    <w:p w14:paraId="73808611" w14:textId="77777777" w:rsidR="00E9145B" w:rsidRDefault="00E9145B" w:rsidP="00E9145B">
      <w:pPr>
        <w:pStyle w:val="ListNo1"/>
      </w:pPr>
      <w:r>
        <w:t xml:space="preserve">keep any record of the services being provided to </w:t>
      </w:r>
      <w:proofErr w:type="spellStart"/>
      <w:r>
        <w:t>Creso</w:t>
      </w:r>
      <w:proofErr w:type="spellEnd"/>
      <w:r>
        <w:t xml:space="preserve"> by Mr Sacco and Mr Scholz; and</w:t>
      </w:r>
    </w:p>
    <w:p w14:paraId="24A42793" w14:textId="77777777" w:rsidR="00E9145B" w:rsidRDefault="00E9145B" w:rsidP="00E9145B">
      <w:pPr>
        <w:pStyle w:val="ListNo1"/>
      </w:pPr>
      <w:r>
        <w:t xml:space="preserve">assess whether the contracted services provided by Mr Sacco and Mr Scholz represented value for money for </w:t>
      </w:r>
      <w:proofErr w:type="spellStart"/>
      <w:r>
        <w:t>Creso</w:t>
      </w:r>
      <w:proofErr w:type="spellEnd"/>
      <w:r>
        <w:t>.</w:t>
      </w:r>
    </w:p>
    <w:p w14:paraId="488F0473" w14:textId="77777777" w:rsidR="00E9145B" w:rsidRDefault="00E9145B" w:rsidP="00E9145B">
      <w:pPr>
        <w:pStyle w:val="Heading2"/>
      </w:pPr>
      <w:r>
        <w:t>The contraventions</w:t>
      </w:r>
    </w:p>
    <w:p w14:paraId="31AA85A5" w14:textId="3742D1BE" w:rsidR="00E9145B" w:rsidRDefault="00E9145B" w:rsidP="00E9145B">
      <w:pPr>
        <w:pStyle w:val="ParaNumbering"/>
      </w:pPr>
      <w:r>
        <w:t xml:space="preserve">Mr Blumenthal </w:t>
      </w:r>
      <w:r w:rsidR="0018662E">
        <w:t>admitted</w:t>
      </w:r>
      <w:r>
        <w:t>, and I am satisfied, that the conduct summarised above and set out in further detail in the statement of facts amounts to contraventions of the following provisions of the Corporations Act:</w:t>
      </w:r>
    </w:p>
    <w:p w14:paraId="75D5EAEC" w14:textId="01D44061" w:rsidR="00E9145B" w:rsidRDefault="00C451B2" w:rsidP="00E9145B">
      <w:pPr>
        <w:pStyle w:val="ListNo1"/>
        <w:numPr>
          <w:ilvl w:val="0"/>
          <w:numId w:val="44"/>
        </w:numPr>
      </w:pPr>
      <w:r>
        <w:t>S</w:t>
      </w:r>
      <w:r w:rsidR="00A52651">
        <w:t>ection</w:t>
      </w:r>
      <w:r w:rsidR="00E9145B">
        <w:t xml:space="preserve"> 1041B(1)(b) (</w:t>
      </w:r>
      <w:proofErr w:type="spellStart"/>
      <w:r w:rsidR="00E9145B">
        <w:t>ie</w:t>
      </w:r>
      <w:proofErr w:type="spellEnd"/>
      <w:r w:rsidR="00E9145B">
        <w:t xml:space="preserve"> conduct that has or is likely to have the effect of creating, or causing the creation of, a false or misleading appearance with respect to the market for</w:t>
      </w:r>
      <w:r>
        <w:t>, or the price for trading in,</w:t>
      </w:r>
      <w:r w:rsidR="00E9145B">
        <w:t xml:space="preserve"> financial products on a financial market in Australia) by directing or causing single client bids of significant volume to purchase </w:t>
      </w:r>
      <w:proofErr w:type="spellStart"/>
      <w:r w:rsidR="00E9145B">
        <w:t>Creso</w:t>
      </w:r>
      <w:proofErr w:type="spellEnd"/>
      <w:r w:rsidR="00E9145B">
        <w:t xml:space="preserve"> shares to be disaggregated into two bids intending thereby to represent to the market that there were more individual bidders of </w:t>
      </w:r>
      <w:proofErr w:type="spellStart"/>
      <w:r w:rsidR="00E9145B">
        <w:t>Creso</w:t>
      </w:r>
      <w:proofErr w:type="spellEnd"/>
      <w:r w:rsidR="00E9145B">
        <w:t xml:space="preserve"> shares than in fact existed;</w:t>
      </w:r>
    </w:p>
    <w:p w14:paraId="2AA253BA" w14:textId="0B2CDC89" w:rsidR="00E9145B" w:rsidRDefault="00A52651" w:rsidP="00E9145B">
      <w:pPr>
        <w:pStyle w:val="ListNo1"/>
        <w:numPr>
          <w:ilvl w:val="0"/>
          <w:numId w:val="44"/>
        </w:numPr>
      </w:pPr>
      <w:r>
        <w:t>Section</w:t>
      </w:r>
      <w:r w:rsidR="00E9145B">
        <w:t xml:space="preserve"> 180(1) (</w:t>
      </w:r>
      <w:proofErr w:type="spellStart"/>
      <w:r w:rsidR="00E9145B">
        <w:t>ie</w:t>
      </w:r>
      <w:proofErr w:type="spellEnd"/>
      <w:r w:rsidR="00E9145B">
        <w:t xml:space="preserve"> as a director or other officer of a corporation failing to exercise their powers and discharge their duties with the degree of care and diligence that a reasonable person would exercise in that position) in respect of:</w:t>
      </w:r>
    </w:p>
    <w:p w14:paraId="3072C0F1" w14:textId="77777777" w:rsidR="00E9145B" w:rsidRDefault="00E9145B" w:rsidP="00E9145B">
      <w:pPr>
        <w:pStyle w:val="ListNo3"/>
        <w:tabs>
          <w:tab w:val="clear" w:pos="2160"/>
          <w:tab w:val="num" w:pos="1418"/>
        </w:tabs>
        <w:ind w:left="1418" w:hanging="709"/>
      </w:pPr>
      <w:proofErr w:type="spellStart"/>
      <w:r>
        <w:t>EverBlu</w:t>
      </w:r>
      <w:proofErr w:type="spellEnd"/>
      <w:r>
        <w:t xml:space="preserve"> by engaging in conduct that was in breach of a number of </w:t>
      </w:r>
      <w:proofErr w:type="spellStart"/>
      <w:r>
        <w:t>EverBlu’s</w:t>
      </w:r>
      <w:proofErr w:type="spellEnd"/>
      <w:r>
        <w:t xml:space="preserve"> policies and causing </w:t>
      </w:r>
      <w:proofErr w:type="spellStart"/>
      <w:r>
        <w:t>EverBlu</w:t>
      </w:r>
      <w:proofErr w:type="spellEnd"/>
      <w:r>
        <w:t xml:space="preserve"> to be in breach of its obligations under s 912A of the Corporations Act through his involvement in </w:t>
      </w:r>
      <w:proofErr w:type="spellStart"/>
      <w:r>
        <w:t>EverBlu’s</w:t>
      </w:r>
      <w:proofErr w:type="spellEnd"/>
      <w:r>
        <w:t xml:space="preserve"> breaches of its general obligations, which jeopardised </w:t>
      </w:r>
      <w:proofErr w:type="spellStart"/>
      <w:r>
        <w:t>EverBlu’s</w:t>
      </w:r>
      <w:proofErr w:type="spellEnd"/>
      <w:r>
        <w:t xml:space="preserve"> interests including by creating a real risk of regulatory action; and</w:t>
      </w:r>
    </w:p>
    <w:p w14:paraId="3D60A422" w14:textId="77777777" w:rsidR="00E9145B" w:rsidRDefault="00E9145B" w:rsidP="00E9145B">
      <w:pPr>
        <w:pStyle w:val="ListNo3"/>
        <w:tabs>
          <w:tab w:val="clear" w:pos="2160"/>
          <w:tab w:val="num" w:pos="1418"/>
        </w:tabs>
        <w:ind w:left="1418" w:hanging="709"/>
      </w:pPr>
      <w:proofErr w:type="spellStart"/>
      <w:r>
        <w:t>Creso</w:t>
      </w:r>
      <w:proofErr w:type="spellEnd"/>
      <w:r>
        <w:t xml:space="preserve"> by causing it to engage Mr Scholz and Mr Sacco to provide consultancy, promotional and marketing services to it and, in the absence of sufficient due diligence, documentation and imposition of measurable deliverables, authorising and coordinating its payment of invoices totalling more than $3 million; and</w:t>
      </w:r>
    </w:p>
    <w:p w14:paraId="3F858A3D" w14:textId="59CC14F9" w:rsidR="00E9145B" w:rsidRDefault="00A52651" w:rsidP="00E9145B">
      <w:pPr>
        <w:pStyle w:val="ListNo1"/>
        <w:numPr>
          <w:ilvl w:val="0"/>
          <w:numId w:val="44"/>
        </w:numPr>
      </w:pPr>
      <w:r>
        <w:lastRenderedPageBreak/>
        <w:t>Section</w:t>
      </w:r>
      <w:r w:rsidR="00E9145B">
        <w:t xml:space="preserve"> 181(1)(a) (</w:t>
      </w:r>
      <w:proofErr w:type="spellStart"/>
      <w:r w:rsidR="00E9145B">
        <w:t>ie</w:t>
      </w:r>
      <w:proofErr w:type="spellEnd"/>
      <w:r w:rsidR="00E9145B">
        <w:t xml:space="preserve"> as a director or other officer of a corporation failing to exercise their powers and discharge their duties in good faith and in the best interests of the </w:t>
      </w:r>
      <w:r w:rsidR="008217F0">
        <w:t>c</w:t>
      </w:r>
      <w:r w:rsidR="00E9145B">
        <w:t xml:space="preserve">orporation) by failing to avoid the conflict of interest between the advantage he stood to gain and the interests of </w:t>
      </w:r>
      <w:proofErr w:type="spellStart"/>
      <w:r w:rsidR="00E9145B">
        <w:t>Creso</w:t>
      </w:r>
      <w:proofErr w:type="spellEnd"/>
      <w:r w:rsidR="00E9145B">
        <w:t xml:space="preserve">, in circumstances where he benefited from </w:t>
      </w:r>
      <w:proofErr w:type="spellStart"/>
      <w:r w:rsidR="00E9145B">
        <w:t>Creso’s</w:t>
      </w:r>
      <w:proofErr w:type="spellEnd"/>
      <w:r w:rsidR="00E9145B">
        <w:t xml:space="preserve"> payments to Mr S</w:t>
      </w:r>
      <w:r w:rsidR="008D5A67">
        <w:t>c</w:t>
      </w:r>
      <w:r w:rsidR="00E9145B">
        <w:t>holz by enhancing Mr S</w:t>
      </w:r>
      <w:r w:rsidR="008D5A67">
        <w:t>c</w:t>
      </w:r>
      <w:r w:rsidR="00E9145B">
        <w:t xml:space="preserve">holz’s ability to repay loans advanced by Anglo Menda, and where he failed to disclose his conflict of interest to the board of </w:t>
      </w:r>
      <w:proofErr w:type="spellStart"/>
      <w:r w:rsidR="00E9145B">
        <w:t>Creso</w:t>
      </w:r>
      <w:proofErr w:type="spellEnd"/>
      <w:r w:rsidR="00E9145B">
        <w:t xml:space="preserve"> and exclude himself from the board’s approval of Mr Scholz’s invoices.</w:t>
      </w:r>
    </w:p>
    <w:p w14:paraId="0115107E" w14:textId="77777777" w:rsidR="00E9145B" w:rsidRDefault="00E9145B" w:rsidP="00E9145B">
      <w:pPr>
        <w:pStyle w:val="Heading2"/>
      </w:pPr>
      <w:r>
        <w:t>The agreed penalty, disqualification and costs</w:t>
      </w:r>
    </w:p>
    <w:p w14:paraId="20266C72" w14:textId="77777777" w:rsidR="00E9145B" w:rsidRDefault="00E9145B" w:rsidP="00E9145B">
      <w:pPr>
        <w:pStyle w:val="ParaNumbering"/>
      </w:pPr>
      <w:r>
        <w:t>ASIC and Mr Blumenthal agreed that for the contraventions of ss 1041B(1)(b), 180(1) and 181(1)(a) of the Corporations Act, the Court should make declarations of contravention pursuant to s 1317E and an order for a pecuniary penalty pursuant to s 1317G. ASIC and Mr Blumenthal agreed that an aggregate penalty of $850,000 for the many contraventions is an appropriate amount for the Court to order Mr Blumenthal to pay.</w:t>
      </w:r>
    </w:p>
    <w:p w14:paraId="7D1B0D81" w14:textId="77777777" w:rsidR="00E9145B" w:rsidRDefault="00E9145B" w:rsidP="00E9145B">
      <w:pPr>
        <w:pStyle w:val="ParaNumbering"/>
      </w:pPr>
      <w:r>
        <w:t>By reason of the ss 180(1) and 181(1)(a) contraventions, the parties also agreed that the Court should make an order pursuant to s 206C of the Corporations Act disqualifying Mr Blumenthal from managing corporations for five years.</w:t>
      </w:r>
    </w:p>
    <w:p w14:paraId="11E20D22" w14:textId="77777777" w:rsidR="00E9145B" w:rsidRDefault="00E9145B" w:rsidP="00E9145B">
      <w:pPr>
        <w:pStyle w:val="ParaNumbering"/>
      </w:pPr>
      <w:r>
        <w:t>Mr Blumenthal also agreed to pay ASIC’s litigation costs in the sum of $100,000.</w:t>
      </w:r>
    </w:p>
    <w:p w14:paraId="281E8594" w14:textId="3E42FF72" w:rsidR="00E9145B" w:rsidRDefault="00E9145B" w:rsidP="00E9145B">
      <w:pPr>
        <w:pStyle w:val="ParaNumbering"/>
      </w:pPr>
      <w:r>
        <w:t xml:space="preserve">I note that Mr Blumenthal entered into the enforceable undertaking and he has undertaken to pay at least the sum of $150,000 towards </w:t>
      </w:r>
      <w:r w:rsidR="00F5573D">
        <w:t>ASIC’s</w:t>
      </w:r>
      <w:r>
        <w:t xml:space="preserve"> investigation costs to be directed by ASIC pursuant to s 91 of the ASIC Act.</w:t>
      </w:r>
    </w:p>
    <w:p w14:paraId="35F74965" w14:textId="3D9FD970" w:rsidR="00E9145B" w:rsidRDefault="00E9145B" w:rsidP="00E9145B">
      <w:pPr>
        <w:pStyle w:val="ParaNumbering"/>
      </w:pPr>
      <w:r>
        <w:t>By the enforceable undertaking, Mr Blumenthal has undertaken that he will not provide Financial Services</w:t>
      </w:r>
      <w:r w:rsidR="00DD70F8">
        <w:t xml:space="preserve"> (as defined in </w:t>
      </w:r>
      <w:r w:rsidR="004F0F7F">
        <w:t>Div 4 of Pt 7.1 of the Corporations Act)</w:t>
      </w:r>
      <w:r>
        <w:t>, carry on a Financial Services business or perform any function involved in the carrying on of such a business including as an officer, manager, employee, contractor or a Responsible Manager of an entity carrying on a Financial Services business for a period of five years. The undertaking also provides that in the event that Mr Blumenthal intends to re-enter the Financial Services industry after the five-year period has elapsed, he undertakes to complete further professional training in areas deemed appropriate by ASIC prior to such re-entry.</w:t>
      </w:r>
    </w:p>
    <w:p w14:paraId="6AC77E3B" w14:textId="77777777" w:rsidR="00E9145B" w:rsidRDefault="00E9145B" w:rsidP="00E9145B">
      <w:pPr>
        <w:pStyle w:val="ParaNumbering"/>
      </w:pPr>
      <w:r w:rsidRPr="00982CDC">
        <w:t xml:space="preserve">Mr Blumenthal has not been found by a </w:t>
      </w:r>
      <w:r>
        <w:t>c</w:t>
      </w:r>
      <w:r w:rsidRPr="00982CDC">
        <w:t>ourt to have engaged in similar conduct in the past.</w:t>
      </w:r>
    </w:p>
    <w:p w14:paraId="024295C6" w14:textId="77777777" w:rsidR="00E9145B" w:rsidRDefault="00E9145B" w:rsidP="00E9145B">
      <w:pPr>
        <w:pStyle w:val="Heading2"/>
      </w:pPr>
      <w:r>
        <w:lastRenderedPageBreak/>
        <w:t>Disqualification analysis</w:t>
      </w:r>
    </w:p>
    <w:p w14:paraId="4F78759D" w14:textId="77777777" w:rsidR="00E9145B" w:rsidRDefault="00E9145B" w:rsidP="00E9145B">
      <w:pPr>
        <w:pStyle w:val="ParaNumbering"/>
      </w:pPr>
      <w:r w:rsidRPr="001F57EE">
        <w:t xml:space="preserve">In </w:t>
      </w:r>
      <w:r w:rsidRPr="009D4786">
        <w:rPr>
          <w:i/>
          <w:iCs/>
        </w:rPr>
        <w:t>Gillfillan v ASIC</w:t>
      </w:r>
      <w:r w:rsidRPr="009D4786">
        <w:t xml:space="preserve"> [2012] NSWCA 370; ACSR 460</w:t>
      </w:r>
      <w:r w:rsidRPr="00E97ED2">
        <w:t xml:space="preserve"> </w:t>
      </w:r>
      <w:r w:rsidRPr="001F57EE">
        <w:t>at [330]</w:t>
      </w:r>
      <w:r>
        <w:t xml:space="preserve"> it was</w:t>
      </w:r>
      <w:r w:rsidRPr="001F57EE">
        <w:t xml:space="preserve"> said </w:t>
      </w:r>
      <w:r>
        <w:t xml:space="preserve">that </w:t>
      </w:r>
      <w:r w:rsidRPr="001F57EE">
        <w:t>a pecuniary penalty should be imposed only if an order for disqualification is an inadequate or inappropriate remedy.</w:t>
      </w:r>
      <w:r>
        <w:t xml:space="preserve"> That means that the Court should consider disqualification before considering penalty: </w:t>
      </w:r>
      <w:r w:rsidRPr="009D4786">
        <w:rPr>
          <w:i/>
          <w:iCs/>
        </w:rPr>
        <w:t>ASIC v Forex Capital Trading Pty Ltd</w:t>
      </w:r>
      <w:r w:rsidRPr="009D4786">
        <w:t xml:space="preserve"> [2021] FCA 570</w:t>
      </w:r>
      <w:r w:rsidRPr="00E97ED2">
        <w:t xml:space="preserve"> at [112]</w:t>
      </w:r>
      <w:r>
        <w:t>.</w:t>
      </w:r>
    </w:p>
    <w:p w14:paraId="5B44FA14" w14:textId="77777777" w:rsidR="00E9145B" w:rsidRDefault="00E9145B" w:rsidP="00E9145B">
      <w:pPr>
        <w:pStyle w:val="ParaNumbering"/>
      </w:pPr>
      <w:r>
        <w:t>There are two preconditions, relevant here, to the making of an order for disqualification pursuant to s 206C of the Corporations Act. First, a declaration of contravention of a corporations/scheme civil penalty provision must have been made pursuant to s 1317E: s 206C(1)(a)(</w:t>
      </w:r>
      <w:proofErr w:type="spellStart"/>
      <w:r>
        <w:t>i</w:t>
      </w:r>
      <w:proofErr w:type="spellEnd"/>
      <w:r>
        <w:t>). I accept that I should make such declarations in this case.</w:t>
      </w:r>
    </w:p>
    <w:p w14:paraId="003AAD48" w14:textId="77777777" w:rsidR="00E9145B" w:rsidRDefault="00E9145B" w:rsidP="00E9145B">
      <w:pPr>
        <w:pStyle w:val="ParaNumbering"/>
      </w:pPr>
      <w:r>
        <w:t>Secondly, the Court must be satisfied that the disqualification is justified: s 206C(1)(b). In order to determine whether disqualification is justified, the Court may have regard to “the person’s conduct in relation to the management, business or property of any corporation” (s 206C(2)(a)), together with “any other matters that the Court considers appropriate” (s 206C(2)(b)).</w:t>
      </w:r>
    </w:p>
    <w:p w14:paraId="661658BA" w14:textId="77777777" w:rsidR="00E9145B" w:rsidRDefault="00E9145B" w:rsidP="00E9145B">
      <w:pPr>
        <w:pStyle w:val="ParaNumbering"/>
      </w:pPr>
      <w:r>
        <w:t xml:space="preserve">The principles which guide the exercise of the Court’s power to order disqualification pursuant to s 206C of the Corporations Act, were identified in </w:t>
      </w:r>
      <w:r w:rsidRPr="009D4786">
        <w:rPr>
          <w:i/>
          <w:iCs/>
        </w:rPr>
        <w:t xml:space="preserve">Re HIH Insurance Ltd (in prov </w:t>
      </w:r>
      <w:proofErr w:type="spellStart"/>
      <w:r w:rsidRPr="009D4786">
        <w:rPr>
          <w:i/>
          <w:iCs/>
        </w:rPr>
        <w:t>liq</w:t>
      </w:r>
      <w:proofErr w:type="spellEnd"/>
      <w:r w:rsidRPr="009D4786">
        <w:rPr>
          <w:i/>
          <w:iCs/>
        </w:rPr>
        <w:t xml:space="preserve">) and HIH Casualty and General Insurance Ltd (in prov </w:t>
      </w:r>
      <w:proofErr w:type="spellStart"/>
      <w:r w:rsidRPr="009D4786">
        <w:rPr>
          <w:i/>
          <w:iCs/>
        </w:rPr>
        <w:t>liq</w:t>
      </w:r>
      <w:proofErr w:type="spellEnd"/>
      <w:r w:rsidRPr="009D4786">
        <w:rPr>
          <w:i/>
          <w:iCs/>
        </w:rPr>
        <w:t>); ASIC v Adler</w:t>
      </w:r>
      <w:r w:rsidRPr="009D4786">
        <w:t xml:space="preserve"> [2002] NSWSC 483; 42 ACSR 80</w:t>
      </w:r>
      <w:r>
        <w:t xml:space="preserve"> (known as the “Santow principles”) to which I have had regard.</w:t>
      </w:r>
    </w:p>
    <w:p w14:paraId="0256D2E8" w14:textId="77777777" w:rsidR="00E9145B" w:rsidRDefault="00E9145B" w:rsidP="00E9145B">
      <w:pPr>
        <w:pStyle w:val="ParaNumbering"/>
      </w:pPr>
      <w:r>
        <w:t>Mr Blumenthal has committed corporation/scheme civil penalty contraventions in relation to two companies. He was the chairman of each of them.</w:t>
      </w:r>
    </w:p>
    <w:p w14:paraId="57E5CF65" w14:textId="77777777" w:rsidR="00E9145B" w:rsidRDefault="00E9145B" w:rsidP="00E9145B">
      <w:pPr>
        <w:pStyle w:val="ParaNumbering"/>
      </w:pPr>
      <w:r>
        <w:t xml:space="preserve">The contraventions are interrelated. They each had their source in Mr Blumenthal’s large shareholding in </w:t>
      </w:r>
      <w:proofErr w:type="spellStart"/>
      <w:r>
        <w:t>Creso</w:t>
      </w:r>
      <w:proofErr w:type="spellEnd"/>
      <w:r>
        <w:t xml:space="preserve">, his position as the chairman of a financial services licensee with a capacity to employ trading strategies, and his intention of presenting a false or misleading picture to the market for </w:t>
      </w:r>
      <w:proofErr w:type="spellStart"/>
      <w:r>
        <w:t>Creso</w:t>
      </w:r>
      <w:proofErr w:type="spellEnd"/>
      <w:r>
        <w:t xml:space="preserve"> shares. The contraventions concerned fundamental obligations by a senior officeholder in each corporation and, in the case of </w:t>
      </w:r>
      <w:proofErr w:type="spellStart"/>
      <w:r>
        <w:t>EverBlu</w:t>
      </w:r>
      <w:proofErr w:type="spellEnd"/>
      <w:r>
        <w:t>, a senior officeholder who oversaw and participated in the stockbroking services that it provided.</w:t>
      </w:r>
    </w:p>
    <w:p w14:paraId="2652299E" w14:textId="77777777" w:rsidR="00E9145B" w:rsidRDefault="00E9145B" w:rsidP="00E9145B">
      <w:pPr>
        <w:pStyle w:val="ParaNumbering"/>
      </w:pPr>
      <w:r>
        <w:t>I accept that I should also have regard to the s 1041B(1)(b) contraventions (pursuant to s 206C(2)(b)), as those contraventions go “hand in hand” with the ss 180 and 181 contraventions and also go to the heart of the financial system and the necessity for public confidence in it.</w:t>
      </w:r>
    </w:p>
    <w:p w14:paraId="3913474C" w14:textId="46C7A59C" w:rsidR="00E9145B" w:rsidRDefault="00E9145B" w:rsidP="00E9145B">
      <w:pPr>
        <w:pStyle w:val="ParaNumbering"/>
      </w:pPr>
      <w:r>
        <w:lastRenderedPageBreak/>
        <w:t xml:space="preserve">The agreed disqualification order here serves both specific and general deterrence, directed towards Mr Blumenthal and similarly placed professionals. It should be set at a level that both deters Mr Blumenthal and similarly placed professionals, and also demonstrates to the broader </w:t>
      </w:r>
      <w:r w:rsidRPr="00082943">
        <w:t xml:space="preserve">community that serious consequences are imposed </w:t>
      </w:r>
      <w:r w:rsidR="00A938B8">
        <w:t xml:space="preserve">for contraventions </w:t>
      </w:r>
      <w:r w:rsidRPr="00082943">
        <w:t>to ensure there can be confidence in the financial system.</w:t>
      </w:r>
    </w:p>
    <w:p w14:paraId="33A31197" w14:textId="64557E72" w:rsidR="00E9145B" w:rsidRDefault="00E9145B" w:rsidP="00E9145B">
      <w:pPr>
        <w:pStyle w:val="ParaNumbering"/>
      </w:pPr>
      <w:r>
        <w:t>I am satisfied that there is ample basis to order the five year disqualification from managing corporations which ASIC and Mr Blumenthal have agreed.</w:t>
      </w:r>
      <w:r w:rsidR="00A52651">
        <w:t xml:space="preserve"> Such an order is entirely justified and appropriate. </w:t>
      </w:r>
    </w:p>
    <w:p w14:paraId="11E6A5AD" w14:textId="77777777" w:rsidR="00E9145B" w:rsidRPr="008E1CC3" w:rsidRDefault="00E9145B" w:rsidP="00E9145B">
      <w:pPr>
        <w:pStyle w:val="Heading2"/>
      </w:pPr>
      <w:r>
        <w:t>Pecuniary penalty analysis</w:t>
      </w:r>
    </w:p>
    <w:p w14:paraId="586E8CD4" w14:textId="77777777" w:rsidR="00E9145B" w:rsidRDefault="00E9145B" w:rsidP="00E9145B">
      <w:pPr>
        <w:pStyle w:val="ParaNumbering"/>
      </w:pPr>
      <w:r>
        <w:t>The applicable principles are well rehearsed, were common ground in this case, and need not be restated.</w:t>
      </w:r>
    </w:p>
    <w:p w14:paraId="241D7696" w14:textId="77777777" w:rsidR="00E9145B" w:rsidRDefault="00E9145B" w:rsidP="00E9145B">
      <w:pPr>
        <w:pStyle w:val="ParaNumbering"/>
      </w:pPr>
      <w:r>
        <w:t>Section 1317G of the Corporations Act provides that the Court may order a person to pay to the Commonwealth a pecuniary penalty in relation to the contravention of a civil penalty provision. The preconditions are, first, that a declaration of contravention has been made pursuant to s 1317E: s 1317G(1)(a).</w:t>
      </w:r>
    </w:p>
    <w:p w14:paraId="195B1C9B" w14:textId="77777777" w:rsidR="00E9145B" w:rsidRDefault="00E9145B" w:rsidP="00E9145B">
      <w:pPr>
        <w:pStyle w:val="ParaNumbering"/>
      </w:pPr>
      <w:r>
        <w:t>In relation to corporations/scheme civil penalty provisions (being ss 180(1) and 181(1): s 1317E(3)), the second precondition is that they must “materially [prejudice] the interests of the corporation” (s 1317G(1)(b)(</w:t>
      </w:r>
      <w:proofErr w:type="spellStart"/>
      <w:r>
        <w:t>i</w:t>
      </w:r>
      <w:proofErr w:type="spellEnd"/>
      <w:r>
        <w:t>)), “materially [prejudice] the corporation’s ability to pay its creditors” (s 1317G(1)(b)(ii)) or be “serious” (s 1317G(1)(b)(iii)).</w:t>
      </w:r>
    </w:p>
    <w:p w14:paraId="57651E0E" w14:textId="77777777" w:rsidR="00E9145B" w:rsidRDefault="00E9145B" w:rsidP="00E9145B">
      <w:pPr>
        <w:pStyle w:val="ParaNumbering"/>
      </w:pPr>
      <w:r>
        <w:t>In relation to financial services civil penalty provisions (being s 1041B(1): s 1317E(3)), the second precondition is that they must “materially [prejudice] the interests of acquirers or disposers of the relevant financial products” (s 1317G(1)(c)(</w:t>
      </w:r>
      <w:proofErr w:type="spellStart"/>
      <w:r>
        <w:t>i</w:t>
      </w:r>
      <w:proofErr w:type="spellEnd"/>
      <w:r>
        <w:t>)), “materially [prejudice] the issuer of the relevant financial products, or if the issuer is a corporation, scheme or fund, the members of that corporation, scheme or fund” (s 1317G(1)(c)(ii)) or be “serious” (s 1317G(1)(c)(iii)).</w:t>
      </w:r>
    </w:p>
    <w:p w14:paraId="5D3EDE51" w14:textId="77777777" w:rsidR="00E9145B" w:rsidRDefault="00E9145B" w:rsidP="00E9145B">
      <w:pPr>
        <w:pStyle w:val="ParaNumbering"/>
      </w:pPr>
      <w:r>
        <w:t>I am satisfied that the ss 180(1) and 181(1)(a) contraventions in this matter satisfy each of ss 1317G(1)(b)(</w:t>
      </w:r>
      <w:proofErr w:type="spellStart"/>
      <w:r>
        <w:t>i</w:t>
      </w:r>
      <w:proofErr w:type="spellEnd"/>
      <w:r>
        <w:t xml:space="preserve">) and (iii), and that the s 1041B(1)(b) contraventions here satisfy s 1317G(1)(c)(iii). With regard to whether the contraventions were serious, there was a significant degree of departure by Mr Blumenthal from the requisite standard of care and diligence. See </w:t>
      </w:r>
      <w:r w:rsidRPr="009D4786">
        <w:rPr>
          <w:i/>
          <w:iCs/>
        </w:rPr>
        <w:t>Vines v ASIC</w:t>
      </w:r>
      <w:r w:rsidRPr="009D4786">
        <w:t xml:space="preserve"> [2007] NSWCA 126; 63 ACSR 505</w:t>
      </w:r>
      <w:r>
        <w:t xml:space="preserve"> at [105] and [229].</w:t>
      </w:r>
    </w:p>
    <w:p w14:paraId="4FE3C475" w14:textId="77777777" w:rsidR="00E9145B" w:rsidRDefault="00E9145B" w:rsidP="00E9145B">
      <w:pPr>
        <w:pStyle w:val="ParaNumbering"/>
      </w:pPr>
      <w:r>
        <w:lastRenderedPageBreak/>
        <w:t>Section 1317G(3) provides that the pecuniary penalty applicable to the contravention of a civil penalty provision by an individual is the greater of: (a) 5,000 penalty units; and (b) three times the benefit obtained or detriment avoided if the Court can determine that value. The parties were agreed, and I cannot gainsay, that the value cannot be determined in this case. Accordingly, the maximum penalty is 5,000 penalty units per contravention.</w:t>
      </w:r>
    </w:p>
    <w:p w14:paraId="6FF4A015" w14:textId="77777777" w:rsidR="00E9145B" w:rsidRDefault="00E9145B" w:rsidP="00E9145B">
      <w:pPr>
        <w:pStyle w:val="ParaNumbering"/>
      </w:pPr>
      <w:r>
        <w:t xml:space="preserve">The dollar value of a penalty unit is fixed by s 4AA of the </w:t>
      </w:r>
      <w:r w:rsidRPr="006A56B5">
        <w:rPr>
          <w:i/>
          <w:iCs/>
        </w:rPr>
        <w:t>Crimes Act 1914</w:t>
      </w:r>
      <w:r>
        <w:t xml:space="preserve"> (</w:t>
      </w:r>
      <w:proofErr w:type="spellStart"/>
      <w:r>
        <w:t>Cth</w:t>
      </w:r>
      <w:proofErr w:type="spellEnd"/>
      <w:r>
        <w:t xml:space="preserve">). During the relevant period, the dollar value was $222. Accordingly, the maximum penalty for each of Mr Blumenthal’s contraventions is $1,110,000. The theoretical maximum penalty for all of Mr Blumenthal’s contraventions (which total 18 in number) is therefore $19,980,000. However, in cases where the total applicable maximum penalty is not meaningful, as here, the appropriateness of a given penalty may be best assessed by reference to other factors: </w:t>
      </w:r>
      <w:r w:rsidRPr="009D4786">
        <w:rPr>
          <w:i/>
          <w:iCs/>
        </w:rPr>
        <w:t>ACCC v Reckitt Benckiser (Australia) Pty Ltd</w:t>
      </w:r>
      <w:r w:rsidRPr="009D4786">
        <w:t xml:space="preserve"> [2016] FCAFC 181; 340 ALR 25</w:t>
      </w:r>
      <w:r w:rsidRPr="00DA7620">
        <w:t xml:space="preserve"> at [157]</w:t>
      </w:r>
      <w:r>
        <w:t>.</w:t>
      </w:r>
    </w:p>
    <w:p w14:paraId="16AE2ED5" w14:textId="77777777" w:rsidR="00E9145B" w:rsidRDefault="00E9145B" w:rsidP="00E9145B">
      <w:pPr>
        <w:pStyle w:val="ParaNumbering"/>
      </w:pPr>
      <w:r>
        <w:t xml:space="preserve">Civil penalties are imposed primarily, if not solely, for the purpose of deterrence: </w:t>
      </w:r>
      <w:r w:rsidRPr="009D4786">
        <w:rPr>
          <w:i/>
          <w:iCs/>
        </w:rPr>
        <w:t>Australian Building &amp; Construction Commissioner v Pattinson</w:t>
      </w:r>
      <w:r w:rsidRPr="009D4786">
        <w:t xml:space="preserve"> [2022] HCA 13; 274 CLR 450</w:t>
      </w:r>
      <w:r>
        <w:t xml:space="preserve"> at [15]. A penalty must have the necessary “sting or burden” to secure “the specific and general deterrent effects that are the raison d’être of its imposition”: </w:t>
      </w:r>
      <w:r w:rsidRPr="009D4786">
        <w:rPr>
          <w:i/>
          <w:iCs/>
        </w:rPr>
        <w:t>Australian Building and Construction Commissioner v Construction, Forestry, Mining and Energy Union</w:t>
      </w:r>
      <w:r w:rsidRPr="009D4786">
        <w:t xml:space="preserve"> [2018] HCA 3; 262 CLR 157</w:t>
      </w:r>
      <w:r>
        <w:t xml:space="preserve"> at [116]. Where the parties have jointly proposed a penalty, as here, the question is whether that figure is within the permissible range of appropriate penalties: </w:t>
      </w:r>
      <w:r w:rsidRPr="009D4786">
        <w:rPr>
          <w:i/>
          <w:iCs/>
        </w:rPr>
        <w:t>Minister for Industry, Tourism and Resources v Mobile Oil Australia Pty Ltd</w:t>
      </w:r>
      <w:r w:rsidRPr="009D4786">
        <w:t xml:space="preserve"> [2004] FCAFC 72; 26 ATPR 41-993</w:t>
      </w:r>
      <w:r>
        <w:t xml:space="preserve"> at [51].</w:t>
      </w:r>
    </w:p>
    <w:p w14:paraId="334755C1" w14:textId="77777777" w:rsidR="00E9145B" w:rsidRDefault="00E9145B" w:rsidP="00E9145B">
      <w:pPr>
        <w:pStyle w:val="Heading3"/>
      </w:pPr>
      <w:r>
        <w:t>The s 1041B(1)(b) contraventions – misleading the market</w:t>
      </w:r>
    </w:p>
    <w:p w14:paraId="52B1A5AD" w14:textId="77777777" w:rsidR="00E9145B" w:rsidRPr="008F5235" w:rsidRDefault="00E9145B" w:rsidP="00E9145B">
      <w:pPr>
        <w:pStyle w:val="ParaNumbering"/>
      </w:pPr>
      <w:r w:rsidRPr="008F5235">
        <w:t>There</w:t>
      </w:r>
      <w:r>
        <w:t xml:space="preserve"> were</w:t>
      </w:r>
      <w:r w:rsidRPr="008F5235">
        <w:t xml:space="preserve"> 14 contraventions of s 1041B(1)(b). </w:t>
      </w:r>
      <w:r>
        <w:t>I</w:t>
      </w:r>
      <w:r w:rsidRPr="008F5235">
        <w:t xml:space="preserve">t is not appropriate to treat </w:t>
      </w:r>
      <w:r>
        <w:t xml:space="preserve">the </w:t>
      </w:r>
      <w:r w:rsidRPr="008F5235">
        <w:t>multiple contraventions as one</w:t>
      </w:r>
      <w:r>
        <w:t xml:space="preserve"> for the purpose of determining the statutory maximum: </w:t>
      </w:r>
      <w:r w:rsidRPr="009D4786">
        <w:rPr>
          <w:i/>
          <w:iCs/>
        </w:rPr>
        <w:t>ASIC v Westpac Banking Corporation (No 3)</w:t>
      </w:r>
      <w:r w:rsidRPr="009D4786">
        <w:t xml:space="preserve"> [2018] FCA 1701; 131 ACSR 585</w:t>
      </w:r>
      <w:r w:rsidRPr="00FF7B58">
        <w:t xml:space="preserve"> </w:t>
      </w:r>
      <w:r>
        <w:t>at [132]</w:t>
      </w:r>
      <w:r w:rsidRPr="008F5235">
        <w:t>. However, the course of conduct principle is applicable in relation to the s 1041B(1)(b) contraventions</w:t>
      </w:r>
      <w:r>
        <w:t xml:space="preserve"> because the</w:t>
      </w:r>
      <w:r w:rsidRPr="008F5235">
        <w:t xml:space="preserve"> facts and elements of the contraventions are the same</w:t>
      </w:r>
      <w:r>
        <w:t xml:space="preserve"> – there is a significant interrelationship between the legal and factual elements of each contravention: </w:t>
      </w:r>
      <w:r w:rsidRPr="009D4786">
        <w:rPr>
          <w:i/>
          <w:iCs/>
        </w:rPr>
        <w:t xml:space="preserve">ASIC v </w:t>
      </w:r>
      <w:proofErr w:type="spellStart"/>
      <w:r w:rsidRPr="009D4786">
        <w:rPr>
          <w:i/>
          <w:iCs/>
        </w:rPr>
        <w:t>Employsure</w:t>
      </w:r>
      <w:proofErr w:type="spellEnd"/>
      <w:r w:rsidRPr="009D4786">
        <w:rPr>
          <w:i/>
          <w:iCs/>
        </w:rPr>
        <w:t xml:space="preserve"> Pty Ltd</w:t>
      </w:r>
      <w:r w:rsidRPr="009D4786">
        <w:t xml:space="preserve"> [2023] FCAFC 5; 407 ALR 302</w:t>
      </w:r>
      <w:r>
        <w:t xml:space="preserve"> at [51]</w:t>
      </w:r>
      <w:r w:rsidRPr="008F5235">
        <w:t xml:space="preserve">. </w:t>
      </w:r>
      <w:r>
        <w:t>Although</w:t>
      </w:r>
      <w:r w:rsidRPr="008F5235">
        <w:t xml:space="preserve"> each is a contravention in its own right, they are individual instances of the putting into effect of a trading strategy with the intention of informing the market of active trading in </w:t>
      </w:r>
      <w:proofErr w:type="spellStart"/>
      <w:r w:rsidRPr="008F5235">
        <w:t>Creso</w:t>
      </w:r>
      <w:proofErr w:type="spellEnd"/>
      <w:r w:rsidRPr="008F5235">
        <w:t xml:space="preserve"> shares by more bidders than actually existed. </w:t>
      </w:r>
      <w:r w:rsidRPr="008F5235">
        <w:lastRenderedPageBreak/>
        <w:t>Applying the course of conduct principle, there is a legitimate basis for holding that the need for deterrence, both personal and general, can be encompassed in the one penalty.</w:t>
      </w:r>
    </w:p>
    <w:p w14:paraId="042DD284" w14:textId="77777777" w:rsidR="00E9145B" w:rsidRDefault="00E9145B" w:rsidP="00E9145B">
      <w:pPr>
        <w:pStyle w:val="ParaNumbering"/>
      </w:pPr>
      <w:r w:rsidRPr="007E30B9">
        <w:t>The context in which the s 1041B(1)(b) contraventions occurred includes Mr Blumenthal</w:t>
      </w:r>
      <w:r>
        <w:t>’</w:t>
      </w:r>
      <w:r w:rsidRPr="007E30B9">
        <w:t xml:space="preserve">s senior position at </w:t>
      </w:r>
      <w:proofErr w:type="spellStart"/>
      <w:r w:rsidRPr="007E30B9">
        <w:t>EverBlu</w:t>
      </w:r>
      <w:proofErr w:type="spellEnd"/>
      <w:r w:rsidRPr="007E30B9">
        <w:t xml:space="preserve"> and directorship of </w:t>
      </w:r>
      <w:proofErr w:type="spellStart"/>
      <w:r w:rsidRPr="007E30B9">
        <w:t>Creso</w:t>
      </w:r>
      <w:proofErr w:type="spellEnd"/>
      <w:r w:rsidRPr="007E30B9">
        <w:t xml:space="preserve">. The contraventions were serious, deliberate, repeated and occurred over a period of around </w:t>
      </w:r>
      <w:r>
        <w:t>eight</w:t>
      </w:r>
      <w:r w:rsidRPr="007E30B9">
        <w:t xml:space="preserve"> months</w:t>
      </w:r>
      <w:r>
        <w:t>. T</w:t>
      </w:r>
      <w:r w:rsidRPr="007E30B9">
        <w:t>hese are matters that justify the need for a significant penalty.</w:t>
      </w:r>
    </w:p>
    <w:p w14:paraId="6CF1BE4F" w14:textId="2E9ECFEA" w:rsidR="00E9145B" w:rsidRDefault="00E9145B" w:rsidP="00E9145B">
      <w:pPr>
        <w:pStyle w:val="ParaNumbering"/>
      </w:pPr>
      <w:r>
        <w:t xml:space="preserve">As against that, Mr Blumenthal’s acknowledgment of wrongdoing and his cooperation with ASIC stand to his credit and indicate that the object of specific deterrence in setting an appropriate penalty has less of a role than it would otherwise have. After detection of the wrongdoing, at a relatively early stage Mr Blumenthal demonstrated a realisation that his conduct was wrong. That included by </w:t>
      </w:r>
      <w:r w:rsidR="00D42DF9">
        <w:t xml:space="preserve">his </w:t>
      </w:r>
      <w:r>
        <w:t xml:space="preserve">informing and apologising to the board of </w:t>
      </w:r>
      <w:proofErr w:type="spellStart"/>
      <w:r>
        <w:t>Creso</w:t>
      </w:r>
      <w:proofErr w:type="spellEnd"/>
      <w:r>
        <w:t>, agreeing to the enforceable undertaking, negotiating and agreeing the statement of facts, and agreeing to appropriate orders.</w:t>
      </w:r>
    </w:p>
    <w:p w14:paraId="111ECAEC" w14:textId="77777777" w:rsidR="00E9145B" w:rsidRDefault="00E9145B" w:rsidP="00E9145B">
      <w:pPr>
        <w:pStyle w:val="Heading3"/>
      </w:pPr>
      <w:r w:rsidRPr="00CD602D">
        <w:t xml:space="preserve">The s 180(1) contraventions – as a director of </w:t>
      </w:r>
      <w:proofErr w:type="spellStart"/>
      <w:r w:rsidRPr="00CD602D">
        <w:t>EverBlu</w:t>
      </w:r>
      <w:proofErr w:type="spellEnd"/>
    </w:p>
    <w:p w14:paraId="655B7AB3" w14:textId="77777777" w:rsidR="00E9145B" w:rsidRDefault="00E9145B" w:rsidP="00E9145B">
      <w:pPr>
        <w:pStyle w:val="ParaNumbering"/>
      </w:pPr>
      <w:r>
        <w:t xml:space="preserve">The contravention of directors’ duties by Mr Blumenthal as a director of </w:t>
      </w:r>
      <w:proofErr w:type="spellStart"/>
      <w:r>
        <w:t>EverBlu</w:t>
      </w:r>
      <w:proofErr w:type="spellEnd"/>
      <w:r>
        <w:t xml:space="preserve"> is serious. There are at least two reasons, as jointly submitted by the parties, why that is so.</w:t>
      </w:r>
    </w:p>
    <w:p w14:paraId="017F235C" w14:textId="77777777" w:rsidR="00E9145B" w:rsidRDefault="00E9145B" w:rsidP="00E9145B">
      <w:pPr>
        <w:pStyle w:val="ParaNumbering"/>
      </w:pPr>
      <w:r>
        <w:t xml:space="preserve">First, it was Mr Blumenthal’s conduct that placed </w:t>
      </w:r>
      <w:proofErr w:type="spellStart"/>
      <w:r>
        <w:t>EverBlu</w:t>
      </w:r>
      <w:proofErr w:type="spellEnd"/>
      <w:r>
        <w:t xml:space="preserve"> in contravention of its obligations. For example, </w:t>
      </w:r>
      <w:proofErr w:type="spellStart"/>
      <w:r>
        <w:t>EverBlu</w:t>
      </w:r>
      <w:proofErr w:type="spellEnd"/>
      <w:r>
        <w:t xml:space="preserve"> breached its general licensee obligations to do all things necessary to ensure financial services were provided efficiently and fairly (s 912A(1)(a)), it did not have in place adequate arrangements for the management of conflicts of interest (s 912A(1)(aa)), and it did not comply with the financial services laws (s 912A(1)(c)). </w:t>
      </w:r>
      <w:proofErr w:type="spellStart"/>
      <w:r>
        <w:t>EverBlu</w:t>
      </w:r>
      <w:proofErr w:type="spellEnd"/>
      <w:r>
        <w:t xml:space="preserve"> accepted its contraventions and also concluded an enforceable undertaking under s 93AA of the ASIC Act.</w:t>
      </w:r>
    </w:p>
    <w:p w14:paraId="057C3D58" w14:textId="77777777" w:rsidR="00E9145B" w:rsidRDefault="00E9145B" w:rsidP="00E9145B">
      <w:pPr>
        <w:pStyle w:val="ParaNumbering"/>
      </w:pPr>
      <w:r>
        <w:t xml:space="preserve">Secondly, the contraventions </w:t>
      </w:r>
      <w:r w:rsidRPr="00F9489B">
        <w:t>played a role in Mr Blumenthal</w:t>
      </w:r>
      <w:r>
        <w:t>’</w:t>
      </w:r>
      <w:r w:rsidRPr="00F9489B">
        <w:t xml:space="preserve">s methodology of seeking to create a false or misleading appearance of active trading in </w:t>
      </w:r>
      <w:proofErr w:type="spellStart"/>
      <w:r w:rsidRPr="00F9489B">
        <w:t>Creso</w:t>
      </w:r>
      <w:proofErr w:type="spellEnd"/>
      <w:r w:rsidRPr="00F9489B">
        <w:t xml:space="preserve"> shares. To do so, Mr Blumenthal had to disregard the requirements of </w:t>
      </w:r>
      <w:proofErr w:type="spellStart"/>
      <w:r>
        <w:t>EverBlu’s</w:t>
      </w:r>
      <w:proofErr w:type="spellEnd"/>
      <w:r>
        <w:t xml:space="preserve"> various policies that were in place to protect against such conduct.</w:t>
      </w:r>
    </w:p>
    <w:p w14:paraId="0A49FFF0" w14:textId="77777777" w:rsidR="00E9145B" w:rsidRDefault="00E9145B" w:rsidP="00E9145B">
      <w:pPr>
        <w:pStyle w:val="Heading3"/>
      </w:pPr>
      <w:r w:rsidRPr="00B2759E">
        <w:t xml:space="preserve">The s 180(1) contraventions – as a director of </w:t>
      </w:r>
      <w:proofErr w:type="spellStart"/>
      <w:r w:rsidRPr="00B2759E">
        <w:t>Creso</w:t>
      </w:r>
      <w:proofErr w:type="spellEnd"/>
    </w:p>
    <w:p w14:paraId="53EC442E" w14:textId="19D82B45" w:rsidR="00E9145B" w:rsidRDefault="00E9145B" w:rsidP="00E9145B">
      <w:pPr>
        <w:pStyle w:val="ParaNumbering"/>
      </w:pPr>
      <w:r>
        <w:t xml:space="preserve">The contraventions of directors’ duties by Mr Blumenthal as a director of </w:t>
      </w:r>
      <w:proofErr w:type="spellStart"/>
      <w:r>
        <w:t>Creso</w:t>
      </w:r>
      <w:proofErr w:type="spellEnd"/>
      <w:r>
        <w:t xml:space="preserve"> are also serious. There were two such contraventions, one for Mr Scholz’s and one for Mr Sacco’s respective engagements. Given the similarity of the tasks they each performed on behalf of </w:t>
      </w:r>
      <w:proofErr w:type="spellStart"/>
      <w:r>
        <w:lastRenderedPageBreak/>
        <w:t>Creso</w:t>
      </w:r>
      <w:proofErr w:type="spellEnd"/>
      <w:r>
        <w:t>, and Mr Blumenthal’s common intention and method in acquiring their services, the parties submit</w:t>
      </w:r>
      <w:r w:rsidR="00A52651">
        <w:t>ted</w:t>
      </w:r>
      <w:r>
        <w:t xml:space="preserve"> that the totality principle is engaged with respect to these two contraventions. That is an acceptable approach.</w:t>
      </w:r>
    </w:p>
    <w:p w14:paraId="2A0076CE" w14:textId="77777777" w:rsidR="00E9145B" w:rsidRDefault="00E9145B" w:rsidP="00E9145B">
      <w:pPr>
        <w:pStyle w:val="ParaNumbering"/>
      </w:pPr>
      <w:r>
        <w:t xml:space="preserve">It is not suggested that Mr Scholz and Mr Sacco did not provide (as applicable) consultancy, promotional and marketing services to </w:t>
      </w:r>
      <w:proofErr w:type="spellStart"/>
      <w:r>
        <w:t>Creso</w:t>
      </w:r>
      <w:proofErr w:type="spellEnd"/>
      <w:r>
        <w:t xml:space="preserve">. However, they charged </w:t>
      </w:r>
      <w:proofErr w:type="spellStart"/>
      <w:r>
        <w:t>Creso</w:t>
      </w:r>
      <w:proofErr w:type="spellEnd"/>
      <w:r>
        <w:t xml:space="preserve"> a combined total of $3,250,500 with there being no metrics put in place to enable the </w:t>
      </w:r>
      <w:proofErr w:type="spellStart"/>
      <w:r>
        <w:t>Creso</w:t>
      </w:r>
      <w:proofErr w:type="spellEnd"/>
      <w:r>
        <w:t xml:space="preserve"> board to assess the value obtained for the money paid. The invoices did not set out the services actually performed. No reports from Mr Scholz and Mr Sacco were sought or provided.</w:t>
      </w:r>
    </w:p>
    <w:p w14:paraId="6EDA7D92" w14:textId="77777777" w:rsidR="00E9145B" w:rsidRDefault="00E9145B" w:rsidP="00E9145B">
      <w:pPr>
        <w:pStyle w:val="Heading3"/>
      </w:pPr>
      <w:r w:rsidRPr="007B035C">
        <w:t xml:space="preserve">The s 181(1)(a) contraventions – as a director of </w:t>
      </w:r>
      <w:proofErr w:type="spellStart"/>
      <w:r w:rsidRPr="007B035C">
        <w:t>Creso</w:t>
      </w:r>
      <w:proofErr w:type="spellEnd"/>
    </w:p>
    <w:p w14:paraId="4F1047D8" w14:textId="77777777" w:rsidR="00E9145B" w:rsidRDefault="00E9145B" w:rsidP="00E9145B">
      <w:pPr>
        <w:pStyle w:val="ParaNumbering"/>
      </w:pPr>
      <w:r w:rsidRPr="00ED61F1">
        <w:t xml:space="preserve">The failure to put the </w:t>
      </w:r>
      <w:proofErr w:type="spellStart"/>
      <w:r w:rsidRPr="00ED61F1">
        <w:t>Creso</w:t>
      </w:r>
      <w:proofErr w:type="spellEnd"/>
      <w:r w:rsidRPr="00ED61F1">
        <w:t xml:space="preserve"> </w:t>
      </w:r>
      <w:r>
        <w:t>b</w:t>
      </w:r>
      <w:r w:rsidRPr="00ED61F1">
        <w:t>oard in a proper position to make an informed choice as to Mr Scholz</w:t>
      </w:r>
      <w:r>
        <w:t>’</w:t>
      </w:r>
      <w:r w:rsidRPr="00ED61F1">
        <w:t>s engagement is compounded by Mr Blumenthal</w:t>
      </w:r>
      <w:r>
        <w:t>’</w:t>
      </w:r>
      <w:r w:rsidRPr="00ED61F1">
        <w:t xml:space="preserve">s failure to inform the </w:t>
      </w:r>
      <w:r>
        <w:t>b</w:t>
      </w:r>
      <w:r w:rsidRPr="00ED61F1">
        <w:t>oard that he had a direct conflict of interest</w:t>
      </w:r>
      <w:r>
        <w:t xml:space="preserve"> </w:t>
      </w:r>
      <w:r w:rsidRPr="00BE7D21">
        <w:t xml:space="preserve">with respect to Mr Scholz given that </w:t>
      </w:r>
      <w:proofErr w:type="spellStart"/>
      <w:r w:rsidRPr="00BE7D21">
        <w:t>Creso</w:t>
      </w:r>
      <w:r>
        <w:t>’</w:t>
      </w:r>
      <w:r w:rsidRPr="00BE7D21">
        <w:t>s</w:t>
      </w:r>
      <w:proofErr w:type="spellEnd"/>
      <w:r w:rsidRPr="00BE7D21">
        <w:t xml:space="preserve"> payments to Mr Scholz enhanced Mr Scholz</w:t>
      </w:r>
      <w:r>
        <w:t>’</w:t>
      </w:r>
      <w:r w:rsidRPr="00BE7D21">
        <w:t>s capacity to repay loans advanced by Anglo Menda (the sole director and ultimate shareholder of which was Mr Blumenthal). Mr Blumenthal also failed to exclude himself from the approval of Mr Scholz</w:t>
      </w:r>
      <w:r>
        <w:t>’</w:t>
      </w:r>
      <w:r w:rsidRPr="00BE7D21">
        <w:t xml:space="preserve">s invoices by the </w:t>
      </w:r>
      <w:proofErr w:type="spellStart"/>
      <w:r w:rsidRPr="00BE7D21">
        <w:t>Creso</w:t>
      </w:r>
      <w:proofErr w:type="spellEnd"/>
      <w:r w:rsidRPr="00BE7D21">
        <w:t xml:space="preserve"> </w:t>
      </w:r>
      <w:r>
        <w:t>b</w:t>
      </w:r>
      <w:r w:rsidRPr="00BE7D21">
        <w:t>oard.</w:t>
      </w:r>
    </w:p>
    <w:p w14:paraId="3EA10269" w14:textId="77777777" w:rsidR="00E9145B" w:rsidRDefault="00E9145B" w:rsidP="00E9145B">
      <w:pPr>
        <w:pStyle w:val="Heading3"/>
      </w:pPr>
      <w:r>
        <w:t>Conclusion</w:t>
      </w:r>
    </w:p>
    <w:p w14:paraId="41E640EC" w14:textId="77777777" w:rsidR="00E9145B" w:rsidRDefault="00E9145B" w:rsidP="00E9145B">
      <w:pPr>
        <w:pStyle w:val="ParaNumbering"/>
      </w:pPr>
      <w:r>
        <w:t>As mentioned, Mr Blumenthal agrees that he should be disqualified from managing corporations for five years and I am satisfied that an order to that effect should be made. Thus, the risk of further contraventions by him during that period is mitigated. This consideration should be considered together with that of the extra-curial consequences to which Mr Blumenthal is subject, namely his enforceable undertaking to not provide financial services, carry on a financial services business or perform any function involved in the carrying on of a financial services business, for a period of five years, arising from the same factual circumstances.</w:t>
      </w:r>
    </w:p>
    <w:p w14:paraId="39558237" w14:textId="1500BCF4" w:rsidR="00E9145B" w:rsidRDefault="00E9145B" w:rsidP="00E9145B">
      <w:pPr>
        <w:pStyle w:val="ParaNumbering"/>
      </w:pPr>
      <w:r>
        <w:t>The parties agree</w:t>
      </w:r>
      <w:r w:rsidR="00A52651">
        <w:t>d</w:t>
      </w:r>
      <w:r>
        <w:t xml:space="preserve">, and I am satisfied, that the circumstances of the case necessitate more than disqualification. The contraventions are serious and interrelated, including because the contravention of s 180 relating to Mr Blumenthal’s role as a director of </w:t>
      </w:r>
      <w:proofErr w:type="spellStart"/>
      <w:r>
        <w:t>EverBlu</w:t>
      </w:r>
      <w:proofErr w:type="spellEnd"/>
      <w:r>
        <w:t xml:space="preserve"> enabled the contraventions of s 1041B(1)(b), which contraventions involved contravention of s 180(1) and s 181(1) by Mr Blumenthal as a director of </w:t>
      </w:r>
      <w:proofErr w:type="spellStart"/>
      <w:r>
        <w:t>Creso</w:t>
      </w:r>
      <w:proofErr w:type="spellEnd"/>
      <w:r>
        <w:t>. There is also the object of general deterrence that must guide the proper outcome.</w:t>
      </w:r>
    </w:p>
    <w:p w14:paraId="207141B6" w14:textId="77777777" w:rsidR="00E9145B" w:rsidRDefault="00E9145B" w:rsidP="00E9145B">
      <w:pPr>
        <w:pStyle w:val="ParaNumbering"/>
      </w:pPr>
      <w:r>
        <w:lastRenderedPageBreak/>
        <w:t xml:space="preserve">I am satisfied that the agreed quantum reflects a balancing of relevant factors including (1) the seriousness of the contraventions, (2) the period of contravening conduct, (3) the difficulty of detection of such contraventions, (4) the risks posed to the two corporations, one of which was listed, (5) Mr Blumenthal’s cooperation with the regulator once the contraventions came to light and the remorse he has since shown, and (6) the extra-curial measure of deterrence represented by Mr Blumenthal’s entry into the enforceable undertaking. That quantum, </w:t>
      </w:r>
      <w:proofErr w:type="spellStart"/>
      <w:r>
        <w:t>ie</w:t>
      </w:r>
      <w:proofErr w:type="spellEnd"/>
      <w:r>
        <w:t xml:space="preserve"> $850,000, is within an acceptable or appropriate range in all the circumstances.</w:t>
      </w:r>
    </w:p>
    <w:p w14:paraId="33F2B2C4" w14:textId="77777777" w:rsidR="00E9145B" w:rsidRDefault="00E9145B" w:rsidP="00E9145B">
      <w:pPr>
        <w:pStyle w:val="Heading2"/>
      </w:pPr>
      <w:r>
        <w:t>Exception to disqualification under s 206G</w:t>
      </w:r>
    </w:p>
    <w:p w14:paraId="00C0E645" w14:textId="77777777" w:rsidR="00E9145B" w:rsidRDefault="00E9145B" w:rsidP="00E9145B">
      <w:pPr>
        <w:pStyle w:val="ParaNumbering"/>
      </w:pPr>
      <w:r w:rsidRPr="00D547F7">
        <w:t xml:space="preserve">Section 206G(1) </w:t>
      </w:r>
      <w:r>
        <w:t xml:space="preserve">of the Corporations Act </w:t>
      </w:r>
      <w:r w:rsidRPr="00D547F7">
        <w:t xml:space="preserve">states that </w:t>
      </w:r>
      <w:r>
        <w:t>“a</w:t>
      </w:r>
      <w:r w:rsidRPr="00D547F7">
        <w:t xml:space="preserve"> person who is disqualified</w:t>
      </w:r>
      <w:r>
        <w:t>”</w:t>
      </w:r>
      <w:r w:rsidRPr="00D547F7">
        <w:t xml:space="preserve"> may apply for leave to manage a corporation.</w:t>
      </w:r>
      <w:r>
        <w:t xml:space="preserve"> </w:t>
      </w:r>
      <w:r w:rsidRPr="00D547F7">
        <w:t xml:space="preserve">In order to seek orders </w:t>
      </w:r>
      <w:r>
        <w:t xml:space="preserve">under s 206G </w:t>
      </w:r>
      <w:r w:rsidRPr="00D547F7">
        <w:t xml:space="preserve">contemporaneously with the hearing of the </w:t>
      </w:r>
      <w:r>
        <w:t>principal</w:t>
      </w:r>
      <w:r w:rsidRPr="00D547F7">
        <w:t xml:space="preserve"> proceeding, Mr Blumenthal </w:t>
      </w:r>
      <w:r>
        <w:t>sought</w:t>
      </w:r>
      <w:r w:rsidRPr="00D547F7">
        <w:t xml:space="preserve"> relief pursuant to s 1322 of the Corporations Act from the requirement of s</w:t>
      </w:r>
      <w:r>
        <w:t> </w:t>
      </w:r>
      <w:r w:rsidRPr="00D547F7">
        <w:t xml:space="preserve">206G(2) that the application be served </w:t>
      </w:r>
      <w:r>
        <w:t>on ASIC at least</w:t>
      </w:r>
      <w:r w:rsidRPr="00D547F7">
        <w:t xml:space="preserve"> 21 days prior to commencing the proceeding for s</w:t>
      </w:r>
      <w:r>
        <w:t> </w:t>
      </w:r>
      <w:r w:rsidRPr="00D547F7">
        <w:t xml:space="preserve">206G relief. </w:t>
      </w:r>
      <w:r>
        <w:t>ASIC did not oppose that relief.</w:t>
      </w:r>
    </w:p>
    <w:p w14:paraId="034E891C" w14:textId="7FB484AD" w:rsidR="00E9145B" w:rsidRDefault="00E9145B" w:rsidP="00E9145B">
      <w:pPr>
        <w:pStyle w:val="ParaNumbering"/>
      </w:pPr>
      <w:r>
        <w:t xml:space="preserve">Such relief is competent in these circumstances: </w:t>
      </w:r>
      <w:r w:rsidRPr="009D4786">
        <w:rPr>
          <w:i/>
          <w:iCs/>
        </w:rPr>
        <w:t>Nenna v ASIC</w:t>
      </w:r>
      <w:r w:rsidRPr="009D4786">
        <w:t xml:space="preserve"> [2011] FCA 1193; 198 FCR 32</w:t>
      </w:r>
      <w:r>
        <w:t xml:space="preserve"> at [43]-[44]. </w:t>
      </w:r>
      <w:r w:rsidRPr="00C204A0">
        <w:t xml:space="preserve">Mr Blumenthal provided </w:t>
      </w:r>
      <w:r>
        <w:t>ASIC</w:t>
      </w:r>
      <w:r w:rsidRPr="00C204A0">
        <w:t xml:space="preserve"> with both an application and an affidavit in support of the application in draft in advance of the hearing for </w:t>
      </w:r>
      <w:r>
        <w:t>ASIC’</w:t>
      </w:r>
      <w:r w:rsidRPr="00C204A0">
        <w:t>s consideration. The parties agree</w:t>
      </w:r>
      <w:r w:rsidR="00AB1ED1">
        <w:t>d</w:t>
      </w:r>
      <w:r w:rsidRPr="00C204A0">
        <w:t xml:space="preserve"> that leave pursuant to s 1322 is justified and that Mr Blumenthal</w:t>
      </w:r>
      <w:r>
        <w:t>’</w:t>
      </w:r>
      <w:r w:rsidRPr="00C204A0">
        <w:t>s proposed s</w:t>
      </w:r>
      <w:r>
        <w:t> </w:t>
      </w:r>
      <w:r w:rsidRPr="00C204A0">
        <w:t>206G orders are appropriate.</w:t>
      </w:r>
      <w:r>
        <w:t xml:space="preserve"> No purpose would be served in not granting the relief, and there is no appreciable prejudice or risk in doing so. I am accordingly satisfied that it should be granted.</w:t>
      </w:r>
    </w:p>
    <w:p w14:paraId="76EEB8CF" w14:textId="541E3067" w:rsidR="00E9145B" w:rsidRDefault="00E9145B" w:rsidP="00E9145B">
      <w:pPr>
        <w:pStyle w:val="ParaNumbering"/>
      </w:pPr>
      <w:r>
        <w:t>The parties submit</w:t>
      </w:r>
      <w:r w:rsidR="00AB1ED1">
        <w:t>ted</w:t>
      </w:r>
      <w:r>
        <w:t xml:space="preserve">, and I accept, that there are two primary risks that should guide relief in the form of an exception to disqualification under s 206C under s 206G. They are the risks that the person’s involvement in the management of corporations would pose, first, to the public from the harmful use of the corporate structure or from use that is contrary to proper commercial standards and, secondly, </w:t>
      </w:r>
      <w:r w:rsidRPr="00C872CF">
        <w:t>individuals that deal with companies, including consumers, creditors, shareholders and investors</w:t>
      </w:r>
      <w:r>
        <w:t>. See Santow principles (1) and (3).</w:t>
      </w:r>
    </w:p>
    <w:p w14:paraId="3F34C709" w14:textId="77777777" w:rsidR="00E9145B" w:rsidRDefault="00E9145B" w:rsidP="00E9145B">
      <w:pPr>
        <w:pStyle w:val="Heading3"/>
      </w:pPr>
      <w:r>
        <w:t>Phillip Street Holdings Pty Ltd</w:t>
      </w:r>
    </w:p>
    <w:p w14:paraId="66C469BA" w14:textId="7FF75D29" w:rsidR="00E9145B" w:rsidRPr="005B12D6" w:rsidRDefault="00E9145B" w:rsidP="00E9145B">
      <w:pPr>
        <w:pStyle w:val="ParaNumbering"/>
      </w:pPr>
      <w:r w:rsidRPr="005B12D6">
        <w:t xml:space="preserve">The first company in respect of which Mr Blumenthal seeks an exception is Phillip Street Holdings Pty Ltd. He is the sole director and secretary of that company. It is a non-operating holding company that solely acts as trustee for the Phillip Street Trust. Mr Blumenthal and his family members are the eligible beneficiaries under the Trust. The sole activity of the Trust is </w:t>
      </w:r>
      <w:r w:rsidRPr="005B12D6">
        <w:lastRenderedPageBreak/>
        <w:t xml:space="preserve">investing in listed and unlisted companies. It has no employees. It receives dividends or distributions from companies that it is a shareholder of but plays no role in managing the affairs of any of those companies. </w:t>
      </w:r>
    </w:p>
    <w:p w14:paraId="1818ED06" w14:textId="693B8980" w:rsidR="00E9145B" w:rsidRDefault="00E9145B" w:rsidP="00E9145B">
      <w:pPr>
        <w:pStyle w:val="ParaNumbering"/>
      </w:pPr>
      <w:r>
        <w:t>As director of the company, Mr Blumenthal is responsible for making decisions as to the companies in which the trust invests. He has no ability to exercise powers in relation to the companies in which it invests. He is the only person who makes investment decisions on behalf of the Trust.</w:t>
      </w:r>
    </w:p>
    <w:p w14:paraId="0F49BA9A" w14:textId="77777777" w:rsidR="00E9145B" w:rsidRDefault="00E9145B" w:rsidP="00E9145B">
      <w:pPr>
        <w:pStyle w:val="Heading3"/>
      </w:pPr>
      <w:proofErr w:type="spellStart"/>
      <w:r>
        <w:t>Oakphil</w:t>
      </w:r>
      <w:proofErr w:type="spellEnd"/>
      <w:r>
        <w:t xml:space="preserve"> Pty Ltd</w:t>
      </w:r>
    </w:p>
    <w:p w14:paraId="1A885AFF" w14:textId="77777777" w:rsidR="00E9145B" w:rsidRDefault="00E9145B" w:rsidP="00E9145B">
      <w:pPr>
        <w:pStyle w:val="ParaNumbering"/>
      </w:pPr>
      <w:r>
        <w:t>The second company in respect of which Mr Blumenthal seeks an exception is</w:t>
      </w:r>
      <w:r w:rsidRPr="0000406C">
        <w:rPr>
          <w:b/>
          <w:bCs/>
        </w:rPr>
        <w:t xml:space="preserve"> </w:t>
      </w:r>
      <w:proofErr w:type="spellStart"/>
      <w:r w:rsidRPr="0000406C">
        <w:rPr>
          <w:b/>
          <w:bCs/>
        </w:rPr>
        <w:t>Oakphil</w:t>
      </w:r>
      <w:proofErr w:type="spellEnd"/>
      <w:r>
        <w:t xml:space="preserve"> Pty Ltd. He is the sole director and secretary of that company. It is a special purpose non-operating holding company that acts solely as trustee for the </w:t>
      </w:r>
      <w:proofErr w:type="spellStart"/>
      <w:r>
        <w:t>Oakphil</w:t>
      </w:r>
      <w:proofErr w:type="spellEnd"/>
      <w:r>
        <w:t xml:space="preserve"> Family Trust. Mr Blumenthal and his family members are the primary beneficiaries under the Trust. Its sole activity is its investment in Oakley Capital Partners Pty Ltd. The Trust holds all the shares in Oakley Capital Partners.</w:t>
      </w:r>
    </w:p>
    <w:p w14:paraId="7C17B330" w14:textId="77777777" w:rsidR="00E9145B" w:rsidRDefault="00E9145B" w:rsidP="00E9145B">
      <w:pPr>
        <w:pStyle w:val="ParaNumbering"/>
      </w:pPr>
      <w:r>
        <w:t>Oakley Capital Partners is an Authorised Representative of Alpha Securities Pty Ltd which is the holder of an AFSL.</w:t>
      </w:r>
    </w:p>
    <w:p w14:paraId="34422E60" w14:textId="77777777" w:rsidR="00E9145B" w:rsidRDefault="00E9145B" w:rsidP="00E9145B">
      <w:pPr>
        <w:pStyle w:val="ParaNumbering"/>
      </w:pPr>
      <w:r>
        <w:t xml:space="preserve">The </w:t>
      </w:r>
      <w:proofErr w:type="spellStart"/>
      <w:r>
        <w:t>Oakphil</w:t>
      </w:r>
      <w:proofErr w:type="spellEnd"/>
      <w:r>
        <w:t xml:space="preserve"> Family Trust, like the Phillip Street Trust, has no employees. </w:t>
      </w:r>
    </w:p>
    <w:p w14:paraId="69F9EF1D" w14:textId="77777777" w:rsidR="00E9145B" w:rsidRDefault="00E9145B" w:rsidP="00E9145B">
      <w:pPr>
        <w:pStyle w:val="ParaNumbering"/>
      </w:pPr>
      <w:r>
        <w:t xml:space="preserve">The concern that I raised with Mr Blumenthal’s counsel during the hearing was that it appeared to me that as the sole director and secretary of </w:t>
      </w:r>
      <w:proofErr w:type="spellStart"/>
      <w:r>
        <w:t>Oakphil</w:t>
      </w:r>
      <w:proofErr w:type="spellEnd"/>
      <w:r>
        <w:t xml:space="preserve"> that holds all the shares in Oakley Capital Partners, the proposed exception from disqualification by way of leave to allow Mr Blumenthal to “manage the affairs of” </w:t>
      </w:r>
      <w:proofErr w:type="spellStart"/>
      <w:r>
        <w:t>Oakphil</w:t>
      </w:r>
      <w:proofErr w:type="spellEnd"/>
      <w:r>
        <w:t xml:space="preserve"> would give him effective control of Oakley Capital Partners,</w:t>
      </w:r>
      <w:r w:rsidRPr="0046031A">
        <w:t xml:space="preserve"> </w:t>
      </w:r>
      <w:r>
        <w:t xml:space="preserve">an Authorised Representative of a company holding an AFSL (Alpha Securities). Notwithstanding that the proposed exemption would prohibit </w:t>
      </w:r>
      <w:proofErr w:type="spellStart"/>
      <w:r>
        <w:t>Oakphil</w:t>
      </w:r>
      <w:proofErr w:type="spellEnd"/>
      <w:r>
        <w:t xml:space="preserve"> from managing the affairs of Oakley Capital Partners, I was concerned that Mr Blumenthal could nevertheless be too closely associated and involved with the provision of financial services products through the work of Oakley Capital Partners as an Authorised Representative of the holder of an AFSL.</w:t>
      </w:r>
    </w:p>
    <w:p w14:paraId="34572E5C" w14:textId="2FD8BC8C" w:rsidR="00E9145B" w:rsidRDefault="00E9145B" w:rsidP="00E9145B">
      <w:pPr>
        <w:pStyle w:val="ParaNumbering"/>
      </w:pPr>
      <w:r>
        <w:t xml:space="preserve">To meet that concern, Mr Blumenthal proposed further limitations on what he can do in relation to </w:t>
      </w:r>
      <w:proofErr w:type="spellStart"/>
      <w:r>
        <w:t>Oakphil</w:t>
      </w:r>
      <w:proofErr w:type="spellEnd"/>
      <w:r>
        <w:t xml:space="preserve">. Those additional limitations are reflected in order 9 of the orders that I made. I am satisfied that they give the necessary protection to the public, and reinforce what </w:t>
      </w:r>
      <w:r w:rsidR="00F13000">
        <w:t>Mr Blumenthal</w:t>
      </w:r>
      <w:r>
        <w:t xml:space="preserve"> has already undertaken not to do in the enforceable undertaking.</w:t>
      </w:r>
    </w:p>
    <w:p w14:paraId="0EFC4039" w14:textId="21C2DBF4" w:rsidR="00CD1346" w:rsidRDefault="00E9145B" w:rsidP="00E9145B">
      <w:pPr>
        <w:pStyle w:val="ParaNumbering"/>
      </w:pPr>
      <w:r>
        <w:lastRenderedPageBreak/>
        <w:t>For those reasons I was satisfied that the leave that was sought under s 206G, subject to the conditions that I ordered, should be gr</w:t>
      </w:r>
      <w:r w:rsidR="00823D4B">
        <w:t>anted.</w:t>
      </w:r>
    </w:p>
    <w:p w14:paraId="16B2D2FA" w14:textId="77777777" w:rsidR="005B12D6" w:rsidRDefault="005B12D6" w:rsidP="00815065">
      <w:pPr>
        <w:pStyle w:val="BodyText"/>
      </w:pPr>
      <w:bookmarkStart w:id="22" w:name="Certification"/>
    </w:p>
    <w:tbl>
      <w:tblPr>
        <w:tblW w:w="0" w:type="auto"/>
        <w:tblLook w:val="04A0" w:firstRow="1" w:lastRow="0" w:firstColumn="1" w:lastColumn="0" w:noHBand="0" w:noVBand="1"/>
      </w:tblPr>
      <w:tblGrid>
        <w:gridCol w:w="3794"/>
      </w:tblGrid>
      <w:tr w:rsidR="005B12D6" w:rsidRPr="005B12D6" w14:paraId="7548EA68" w14:textId="77777777">
        <w:tc>
          <w:tcPr>
            <w:tcW w:w="3794" w:type="dxa"/>
            <w:shd w:val="clear" w:color="auto" w:fill="auto"/>
          </w:tcPr>
          <w:p w14:paraId="65547CE9" w14:textId="548D5C42" w:rsidR="005B12D6" w:rsidRPr="005B12D6" w:rsidRDefault="005B12D6" w:rsidP="005B12D6">
            <w:pPr>
              <w:pStyle w:val="Normal1linespace"/>
            </w:pPr>
            <w:r w:rsidRPr="005B12D6">
              <w:t xml:space="preserve">I certify that the preceding </w:t>
            </w:r>
            <w:bookmarkStart w:id="23" w:name="NumberWord"/>
            <w:r>
              <w:t>seventy-two</w:t>
            </w:r>
            <w:bookmarkEnd w:id="23"/>
            <w:r w:rsidRPr="005B12D6">
              <w:t xml:space="preserve"> (</w:t>
            </w:r>
            <w:bookmarkStart w:id="24" w:name="NumberNumeral"/>
            <w:r>
              <w:t>72</w:t>
            </w:r>
            <w:bookmarkEnd w:id="24"/>
            <w:r w:rsidRPr="005B12D6">
              <w:t xml:space="preserve">) numbered </w:t>
            </w:r>
            <w:bookmarkStart w:id="25" w:name="CertPara"/>
            <w:r>
              <w:t>paragraphs are</w:t>
            </w:r>
            <w:bookmarkEnd w:id="25"/>
            <w:r w:rsidRPr="005B12D6">
              <w:t xml:space="preserve"> a true copy of the Reasons for Judgment of </w:t>
            </w:r>
            <w:bookmarkStart w:id="26" w:name="bkHonourable"/>
            <w:r w:rsidRPr="005B12D6">
              <w:t xml:space="preserve">the Honourable </w:t>
            </w:r>
            <w:bookmarkStart w:id="27" w:name="Justice"/>
            <w:bookmarkEnd w:id="26"/>
            <w:r>
              <w:t>Justice Stewart</w:t>
            </w:r>
            <w:bookmarkEnd w:id="27"/>
            <w:r w:rsidRPr="005B12D6">
              <w:t>.</w:t>
            </w:r>
          </w:p>
        </w:tc>
      </w:tr>
    </w:tbl>
    <w:p w14:paraId="095589FA" w14:textId="77777777" w:rsidR="005B12D6" w:rsidRDefault="005B12D6" w:rsidP="00815065">
      <w:pPr>
        <w:pStyle w:val="BodyText"/>
      </w:pPr>
    </w:p>
    <w:p w14:paraId="319AE867" w14:textId="77777777" w:rsidR="005B12D6" w:rsidRDefault="005B12D6" w:rsidP="00815065">
      <w:pPr>
        <w:pStyle w:val="BodyText"/>
      </w:pPr>
    </w:p>
    <w:p w14:paraId="1ED2942E" w14:textId="77777777" w:rsidR="005B12D6" w:rsidRDefault="005B12D6" w:rsidP="00815065">
      <w:pPr>
        <w:pStyle w:val="BodyText"/>
      </w:pPr>
    </w:p>
    <w:p w14:paraId="0F8B7D9C" w14:textId="6958DC09" w:rsidR="005B12D6" w:rsidRDefault="005B12D6" w:rsidP="00815065">
      <w:pPr>
        <w:pStyle w:val="BodyText"/>
      </w:pPr>
      <w:r>
        <w:t xml:space="preserve">Associate: </w:t>
      </w:r>
    </w:p>
    <w:p w14:paraId="755E756D" w14:textId="77777777" w:rsidR="005B12D6" w:rsidRDefault="005B12D6" w:rsidP="00815065">
      <w:pPr>
        <w:pStyle w:val="BodyText"/>
      </w:pPr>
    </w:p>
    <w:p w14:paraId="43CBD9CC" w14:textId="4E192C96" w:rsidR="005B12D6" w:rsidRDefault="005B12D6" w:rsidP="00815065">
      <w:pPr>
        <w:pStyle w:val="BodyText"/>
        <w:tabs>
          <w:tab w:val="left" w:pos="1134"/>
        </w:tabs>
      </w:pPr>
      <w:r>
        <w:t>Dated:</w:t>
      </w:r>
      <w:r>
        <w:tab/>
      </w:r>
      <w:bookmarkStart w:id="28" w:name="CertifyDated"/>
      <w:r>
        <w:t>17 April 2024</w:t>
      </w:r>
      <w:bookmarkEnd w:id="28"/>
    </w:p>
    <w:p w14:paraId="7E6F430B" w14:textId="77777777" w:rsidR="005B12D6" w:rsidRDefault="005B12D6" w:rsidP="00815065">
      <w:pPr>
        <w:pStyle w:val="BodyText"/>
      </w:pPr>
    </w:p>
    <w:bookmarkEnd w:id="22"/>
    <w:p w14:paraId="5F7E98A5" w14:textId="77777777" w:rsidR="005B12D6" w:rsidRDefault="005B12D6" w:rsidP="005B12D6">
      <w:pPr>
        <w:pStyle w:val="BodyText"/>
      </w:pPr>
    </w:p>
    <w:sectPr w:rsidR="005B12D6"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C3A4" w14:textId="77777777" w:rsidR="00133FCD" w:rsidRDefault="00133FCD">
      <w:pPr>
        <w:spacing w:line="20" w:lineRule="exact"/>
      </w:pPr>
    </w:p>
    <w:p w14:paraId="37F16DC7" w14:textId="77777777" w:rsidR="00133FCD" w:rsidRDefault="00133FCD"/>
    <w:p w14:paraId="440D473B" w14:textId="77777777" w:rsidR="00133FCD" w:rsidRDefault="00133FCD"/>
  </w:endnote>
  <w:endnote w:type="continuationSeparator" w:id="0">
    <w:p w14:paraId="5E5B8382" w14:textId="77777777" w:rsidR="00133FCD" w:rsidRDefault="00133FCD">
      <w:r>
        <w:t xml:space="preserve"> </w:t>
      </w:r>
    </w:p>
    <w:p w14:paraId="77D0EAF0" w14:textId="77777777" w:rsidR="00133FCD" w:rsidRDefault="00133FCD"/>
    <w:p w14:paraId="24D1FBCA" w14:textId="77777777" w:rsidR="00133FCD" w:rsidRDefault="00133FCD"/>
  </w:endnote>
  <w:endnote w:type="continuationNotice" w:id="1">
    <w:p w14:paraId="123C4CC4" w14:textId="77777777" w:rsidR="00133FCD" w:rsidRDefault="00133FCD">
      <w:r>
        <w:t xml:space="preserve"> </w:t>
      </w:r>
    </w:p>
    <w:p w14:paraId="2E59AAEF" w14:textId="77777777" w:rsidR="00133FCD" w:rsidRDefault="00133FCD"/>
    <w:p w14:paraId="40FF6159" w14:textId="77777777" w:rsidR="00133FCD" w:rsidRDefault="00133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D599" w14:textId="77777777" w:rsidR="00F16659" w:rsidRDefault="00F16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A365" w14:textId="375E707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453CA16B" wp14:editId="42095C5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C5C2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D3F8F">
          <w:rPr>
            <w:bCs/>
            <w:sz w:val="18"/>
            <w:szCs w:val="18"/>
          </w:rPr>
          <w:t xml:space="preserve">Australian Securities and Investments Commission v Blumenthal [2024] FCA 384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7C45" w14:textId="37862D51" w:rsidR="00395B24" w:rsidRPr="00F16659" w:rsidRDefault="00395B24" w:rsidP="00F166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5540" w14:textId="45B19674"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7C28409B" wp14:editId="2F4373B2">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E107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72C24E112513447792A14558AAB2408A"/>
        </w:placeholder>
        <w:dataBinding w:prefixMappings="xmlns:ns0='http://schemas.globalmacros.com/FCA'" w:xpath="/ns0:root[1]/ns0:Name[1]" w:storeItemID="{687E7CCB-4AA5-44E7-B148-17BA2B6F57C0}"/>
        <w:text w:multiLine="1"/>
      </w:sdtPr>
      <w:sdtEndPr/>
      <w:sdtContent>
        <w:r w:rsidR="001D3F8F">
          <w:rPr>
            <w:bCs/>
            <w:sz w:val="18"/>
            <w:szCs w:val="18"/>
          </w:rPr>
          <w:t xml:space="preserve">Australian Securities and Investments Commission v Blumenthal [2024] FCA 384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2603" w14:textId="31DFEF8D"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49BA3108" wp14:editId="06F7D0A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497A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CB28A94D0E024CE9BA02046B52D760BE"/>
        </w:placeholder>
        <w:dataBinding w:prefixMappings="xmlns:ns0='http://schemas.globalmacros.com/FCA'" w:xpath="/ns0:root[1]/ns0:Name[1]" w:storeItemID="{687E7CCB-4AA5-44E7-B148-17BA2B6F57C0}"/>
        <w:text w:multiLine="1"/>
      </w:sdtPr>
      <w:sdtEndPr/>
      <w:sdtContent>
        <w:r w:rsidR="001D3F8F">
          <w:rPr>
            <w:bCs/>
            <w:sz w:val="18"/>
            <w:szCs w:val="18"/>
          </w:rPr>
          <w:t xml:space="preserve">Australian Securities and Investments Commission v Blumenthal [2024] FCA 384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24E1" w14:textId="4FA4255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6C0D75B4" wp14:editId="5B697A1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516C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D53BB0B4EA1542E5BEE9E3EAE3C8E3C3"/>
        </w:placeholder>
        <w:dataBinding w:prefixMappings="xmlns:ns0='http://schemas.globalmacros.com/FCA'" w:xpath="/ns0:root[1]/ns0:Name[1]" w:storeItemID="{687E7CCB-4AA5-44E7-B148-17BA2B6F57C0}"/>
        <w:text w:multiLine="1"/>
      </w:sdtPr>
      <w:sdtEndPr/>
      <w:sdtContent>
        <w:r w:rsidR="001D3F8F">
          <w:rPr>
            <w:bCs/>
            <w:sz w:val="18"/>
            <w:szCs w:val="18"/>
          </w:rPr>
          <w:t xml:space="preserve">Australian Securities and Investments Commission v Blumenthal [2024] FCA 384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B3A7" w14:textId="18F15E8F"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787CCBCB" wp14:editId="66A320F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9287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584BB8C8111C42908B975444B7034258"/>
        </w:placeholder>
        <w:dataBinding w:prefixMappings="xmlns:ns0='http://schemas.globalmacros.com/FCA'" w:xpath="/ns0:root[1]/ns0:Name[1]" w:storeItemID="{687E7CCB-4AA5-44E7-B148-17BA2B6F57C0}"/>
        <w:text w:multiLine="1"/>
      </w:sdtPr>
      <w:sdtEndPr/>
      <w:sdtContent>
        <w:r w:rsidR="001D3F8F">
          <w:rPr>
            <w:bCs/>
            <w:sz w:val="18"/>
            <w:szCs w:val="18"/>
          </w:rPr>
          <w:t xml:space="preserve">Australian Securities and Investments Commission v Blumenthal [2024] FCA 384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17B9" w14:textId="77777777" w:rsidR="00133FCD" w:rsidRDefault="00133FCD"/>
  </w:footnote>
  <w:footnote w:type="continuationSeparator" w:id="0">
    <w:p w14:paraId="2D49E980" w14:textId="77777777" w:rsidR="00133FCD" w:rsidRDefault="00133FCD">
      <w:r>
        <w:continuationSeparator/>
      </w:r>
    </w:p>
    <w:p w14:paraId="078FA673" w14:textId="77777777" w:rsidR="00133FCD" w:rsidRDefault="00133FCD"/>
    <w:p w14:paraId="2CF1402D" w14:textId="77777777" w:rsidR="00133FCD" w:rsidRDefault="00133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2E2A" w14:textId="77777777" w:rsidR="00F16659" w:rsidRDefault="00F16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6D77" w14:textId="77777777" w:rsidR="00F16659" w:rsidRDefault="00F16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7311" w14:textId="77777777" w:rsidR="00F16659" w:rsidRDefault="00F16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0E1D"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55AC"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5FA8"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AA8E"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5E2A"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9075733"/>
    <w:multiLevelType w:val="hybridMultilevel"/>
    <w:tmpl w:val="2E8C17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514A64"/>
    <w:multiLevelType w:val="hybridMultilevel"/>
    <w:tmpl w:val="212CEC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1CA80370"/>
    <w:multiLevelType w:val="hybridMultilevel"/>
    <w:tmpl w:val="040C9A6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FE3762A"/>
    <w:multiLevelType w:val="hybridMultilevel"/>
    <w:tmpl w:val="51BE69D8"/>
    <w:lvl w:ilvl="0" w:tplc="FFFFFFFF">
      <w:start w:val="1"/>
      <w:numFmt w:val="lowerRoman"/>
      <w:lvlText w:val="%1."/>
      <w:lvlJc w:val="righ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8" w15:restartNumberingAfterBreak="0">
    <w:nsid w:val="289A6977"/>
    <w:multiLevelType w:val="hybridMultilevel"/>
    <w:tmpl w:val="040C9A6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96C53B8"/>
    <w:multiLevelType w:val="hybridMultilevel"/>
    <w:tmpl w:val="51BE69D8"/>
    <w:lvl w:ilvl="0" w:tplc="FFFFFFFF">
      <w:start w:val="1"/>
      <w:numFmt w:val="lowerRoman"/>
      <w:lvlText w:val="%1."/>
      <w:lvlJc w:val="righ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20"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1"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5" w15:restartNumberingAfterBreak="0">
    <w:nsid w:val="36B15647"/>
    <w:multiLevelType w:val="hybridMultilevel"/>
    <w:tmpl w:val="5A2A85CC"/>
    <w:lvl w:ilvl="0" w:tplc="26B8B1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4817A7"/>
    <w:multiLevelType w:val="multilevel"/>
    <w:tmpl w:val="0F0EC90E"/>
    <w:numStyleLink w:val="FCListNo"/>
  </w:abstractNum>
  <w:abstractNum w:abstractNumId="27"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943283A"/>
    <w:multiLevelType w:val="hybridMultilevel"/>
    <w:tmpl w:val="040C9A6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55B2F3E"/>
    <w:multiLevelType w:val="hybridMultilevel"/>
    <w:tmpl w:val="7A42D4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A3C46B1"/>
    <w:multiLevelType w:val="hybridMultilevel"/>
    <w:tmpl w:val="7A42D42A"/>
    <w:lvl w:ilvl="0" w:tplc="4A5AC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4" w15:restartNumberingAfterBreak="0">
    <w:nsid w:val="7B3866D4"/>
    <w:multiLevelType w:val="hybridMultilevel"/>
    <w:tmpl w:val="51BE69D8"/>
    <w:lvl w:ilvl="0" w:tplc="0C09001B">
      <w:start w:val="1"/>
      <w:numFmt w:val="lowerRoman"/>
      <w:lvlText w:val="%1."/>
      <w:lvlJc w:val="right"/>
      <w:pPr>
        <w:ind w:left="884" w:hanging="360"/>
      </w:pPr>
    </w:lvl>
    <w:lvl w:ilvl="1" w:tplc="0C090019" w:tentative="1">
      <w:start w:val="1"/>
      <w:numFmt w:val="lowerLetter"/>
      <w:lvlText w:val="%2."/>
      <w:lvlJc w:val="left"/>
      <w:pPr>
        <w:ind w:left="1604" w:hanging="360"/>
      </w:pPr>
    </w:lvl>
    <w:lvl w:ilvl="2" w:tplc="0C09001B" w:tentative="1">
      <w:start w:val="1"/>
      <w:numFmt w:val="lowerRoman"/>
      <w:lvlText w:val="%3."/>
      <w:lvlJc w:val="right"/>
      <w:pPr>
        <w:ind w:left="2324" w:hanging="180"/>
      </w:pPr>
    </w:lvl>
    <w:lvl w:ilvl="3" w:tplc="0C09000F" w:tentative="1">
      <w:start w:val="1"/>
      <w:numFmt w:val="decimal"/>
      <w:lvlText w:val="%4."/>
      <w:lvlJc w:val="left"/>
      <w:pPr>
        <w:ind w:left="3044" w:hanging="360"/>
      </w:pPr>
    </w:lvl>
    <w:lvl w:ilvl="4" w:tplc="0C090019" w:tentative="1">
      <w:start w:val="1"/>
      <w:numFmt w:val="lowerLetter"/>
      <w:lvlText w:val="%5."/>
      <w:lvlJc w:val="left"/>
      <w:pPr>
        <w:ind w:left="3764" w:hanging="360"/>
      </w:pPr>
    </w:lvl>
    <w:lvl w:ilvl="5" w:tplc="0C09001B" w:tentative="1">
      <w:start w:val="1"/>
      <w:numFmt w:val="lowerRoman"/>
      <w:lvlText w:val="%6."/>
      <w:lvlJc w:val="right"/>
      <w:pPr>
        <w:ind w:left="4484" w:hanging="180"/>
      </w:pPr>
    </w:lvl>
    <w:lvl w:ilvl="6" w:tplc="0C09000F" w:tentative="1">
      <w:start w:val="1"/>
      <w:numFmt w:val="decimal"/>
      <w:lvlText w:val="%7."/>
      <w:lvlJc w:val="left"/>
      <w:pPr>
        <w:ind w:left="5204" w:hanging="360"/>
      </w:pPr>
    </w:lvl>
    <w:lvl w:ilvl="7" w:tplc="0C090019" w:tentative="1">
      <w:start w:val="1"/>
      <w:numFmt w:val="lowerLetter"/>
      <w:lvlText w:val="%8."/>
      <w:lvlJc w:val="left"/>
      <w:pPr>
        <w:ind w:left="5924" w:hanging="360"/>
      </w:pPr>
    </w:lvl>
    <w:lvl w:ilvl="8" w:tplc="0C09001B" w:tentative="1">
      <w:start w:val="1"/>
      <w:numFmt w:val="lowerRoman"/>
      <w:lvlText w:val="%9."/>
      <w:lvlJc w:val="right"/>
      <w:pPr>
        <w:ind w:left="6644" w:hanging="180"/>
      </w:pPr>
    </w:lvl>
  </w:abstractNum>
  <w:abstractNum w:abstractNumId="3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561670737">
    <w:abstractNumId w:val="20"/>
  </w:num>
  <w:num w:numId="2" w16cid:durableId="914821938">
    <w:abstractNumId w:val="9"/>
  </w:num>
  <w:num w:numId="3" w16cid:durableId="1931431003">
    <w:abstractNumId w:val="7"/>
  </w:num>
  <w:num w:numId="4" w16cid:durableId="1315717596">
    <w:abstractNumId w:val="6"/>
  </w:num>
  <w:num w:numId="5" w16cid:durableId="1832601408">
    <w:abstractNumId w:val="5"/>
  </w:num>
  <w:num w:numId="6" w16cid:durableId="876771334">
    <w:abstractNumId w:val="4"/>
  </w:num>
  <w:num w:numId="7" w16cid:durableId="1590968824">
    <w:abstractNumId w:val="8"/>
  </w:num>
  <w:num w:numId="8" w16cid:durableId="942301966">
    <w:abstractNumId w:val="3"/>
  </w:num>
  <w:num w:numId="9" w16cid:durableId="1358506350">
    <w:abstractNumId w:val="2"/>
  </w:num>
  <w:num w:numId="10" w16cid:durableId="1819347464">
    <w:abstractNumId w:val="1"/>
  </w:num>
  <w:num w:numId="11" w16cid:durableId="839273283">
    <w:abstractNumId w:val="0"/>
  </w:num>
  <w:num w:numId="12" w16cid:durableId="201141110">
    <w:abstractNumId w:val="31"/>
  </w:num>
  <w:num w:numId="13" w16cid:durableId="2108766271">
    <w:abstractNumId w:val="27"/>
  </w:num>
  <w:num w:numId="14" w16cid:durableId="1092706434">
    <w:abstractNumId w:val="28"/>
  </w:num>
  <w:num w:numId="15" w16cid:durableId="1257903358">
    <w:abstractNumId w:val="35"/>
  </w:num>
  <w:num w:numId="16" w16cid:durableId="784690798">
    <w:abstractNumId w:val="15"/>
  </w:num>
  <w:num w:numId="17" w16cid:durableId="592936038">
    <w:abstractNumId w:val="33"/>
  </w:num>
  <w:num w:numId="18" w16cid:durableId="1248425288">
    <w:abstractNumId w:val="11"/>
  </w:num>
  <w:num w:numId="19" w16cid:durableId="2044087242">
    <w:abstractNumId w:val="24"/>
  </w:num>
  <w:num w:numId="20" w16cid:durableId="1254315465">
    <w:abstractNumId w:val="21"/>
  </w:num>
  <w:num w:numId="21" w16cid:durableId="1689257112">
    <w:abstractNumId w:val="22"/>
  </w:num>
  <w:num w:numId="22" w16cid:durableId="1010376422">
    <w:abstractNumId w:val="26"/>
  </w:num>
  <w:num w:numId="23" w16cid:durableId="1442651569">
    <w:abstractNumId w:val="10"/>
  </w:num>
  <w:num w:numId="24" w16cid:durableId="1832791562">
    <w:abstractNumId w:val="10"/>
  </w:num>
  <w:num w:numId="25" w16cid:durableId="332535025">
    <w:abstractNumId w:val="12"/>
  </w:num>
  <w:num w:numId="26" w16cid:durableId="1693916708">
    <w:abstractNumId w:val="23"/>
  </w:num>
  <w:num w:numId="27" w16cid:durableId="1148403647">
    <w:abstractNumId w:val="23"/>
  </w:num>
  <w:num w:numId="28" w16cid:durableId="1668560316">
    <w:abstractNumId w:val="23"/>
  </w:num>
  <w:num w:numId="29" w16cid:durableId="1475098498">
    <w:abstractNumId w:val="13"/>
  </w:num>
  <w:num w:numId="30" w16cid:durableId="1804037344">
    <w:abstractNumId w:val="29"/>
  </w:num>
  <w:num w:numId="31" w16cid:durableId="1835224571">
    <w:abstractNumId w:val="25"/>
  </w:num>
  <w:num w:numId="32" w16cid:durableId="1898781932">
    <w:abstractNumId w:val="16"/>
  </w:num>
  <w:num w:numId="33" w16cid:durableId="1399787539">
    <w:abstractNumId w:val="18"/>
  </w:num>
  <w:num w:numId="34" w16cid:durableId="1715426669">
    <w:abstractNumId w:val="32"/>
  </w:num>
  <w:num w:numId="35" w16cid:durableId="1510565459">
    <w:abstractNumId w:val="14"/>
  </w:num>
  <w:num w:numId="36" w16cid:durableId="999042835">
    <w:abstractNumId w:val="34"/>
  </w:num>
  <w:num w:numId="37" w16cid:durableId="513034044">
    <w:abstractNumId w:val="30"/>
  </w:num>
  <w:num w:numId="38" w16cid:durableId="573663051">
    <w:abstractNumId w:val="17"/>
  </w:num>
  <w:num w:numId="39" w16cid:durableId="1736123297">
    <w:abstractNumId w:val="19"/>
  </w:num>
  <w:num w:numId="40" w16cid:durableId="1635020022">
    <w:abstractNumId w:val="21"/>
  </w:num>
  <w:num w:numId="41" w16cid:durableId="753546679">
    <w:abstractNumId w:val="21"/>
  </w:num>
  <w:num w:numId="42" w16cid:durableId="264925967">
    <w:abstractNumId w:val="21"/>
  </w:num>
  <w:num w:numId="43" w16cid:durableId="714741549">
    <w:abstractNumId w:val="21"/>
  </w:num>
  <w:num w:numId="44" w16cid:durableId="1530294101">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1884354">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Australian Securities and Investments Commission"/>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BFA67543-65A5-4B5B-9049-7CCDE062F538}"/>
    <w:docVar w:name="dgnword-eventsink" w:val="2184473830400"/>
    <w:docVar w:name="Division" w:val="FCA General Division"/>
    <w:docVar w:name="DocCreated" w:val="True"/>
    <w:docVar w:name="FileNumbers" w:val="NSD 1533 of 2023"/>
    <w:docVar w:name="Initiators" w:val="(and another named in the Schedule)"/>
    <w:docVar w:name="Judgdate" w:val="17 April 2024"/>
    <w:docVar w:name="Judge" w:val="Stewart"/>
    <w:docVar w:name="JudgeType" w:val="Justice"/>
    <w:docVar w:name="lstEntryList" w:val="-1"/>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Adam Blumenthal"/>
    <w:docVar w:name="ResState" w:val="New South Wales"/>
    <w:docVar w:name="SubArea" w:val="Commercial Contracts, Banking, Finance and Insurance (C &amp; C)"/>
  </w:docVars>
  <w:rsids>
    <w:rsidRoot w:val="0074636E"/>
    <w:rsid w:val="00000747"/>
    <w:rsid w:val="0000406C"/>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85CC0"/>
    <w:rsid w:val="000A2E76"/>
    <w:rsid w:val="000A4807"/>
    <w:rsid w:val="000A4BE4"/>
    <w:rsid w:val="000C023E"/>
    <w:rsid w:val="000C0770"/>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3FCD"/>
    <w:rsid w:val="00134964"/>
    <w:rsid w:val="001351B9"/>
    <w:rsid w:val="001559EB"/>
    <w:rsid w:val="00155CD2"/>
    <w:rsid w:val="001727A4"/>
    <w:rsid w:val="0017376C"/>
    <w:rsid w:val="001738AB"/>
    <w:rsid w:val="001765E0"/>
    <w:rsid w:val="00177759"/>
    <w:rsid w:val="00180BB3"/>
    <w:rsid w:val="00185DD6"/>
    <w:rsid w:val="00185E6B"/>
    <w:rsid w:val="0018662E"/>
    <w:rsid w:val="00187BBC"/>
    <w:rsid w:val="001932F3"/>
    <w:rsid w:val="001A2B40"/>
    <w:rsid w:val="001A4309"/>
    <w:rsid w:val="001A46AE"/>
    <w:rsid w:val="001A691C"/>
    <w:rsid w:val="001A6C52"/>
    <w:rsid w:val="001B1053"/>
    <w:rsid w:val="001B14AC"/>
    <w:rsid w:val="001B7940"/>
    <w:rsid w:val="001C171A"/>
    <w:rsid w:val="001C2FE0"/>
    <w:rsid w:val="001C37CA"/>
    <w:rsid w:val="001C4085"/>
    <w:rsid w:val="001D3F8F"/>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1A3B"/>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5C24"/>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3CC"/>
    <w:rsid w:val="002F1E49"/>
    <w:rsid w:val="002F4E9C"/>
    <w:rsid w:val="002F6E15"/>
    <w:rsid w:val="00302F4E"/>
    <w:rsid w:val="0031256C"/>
    <w:rsid w:val="00314D6C"/>
    <w:rsid w:val="00316D2A"/>
    <w:rsid w:val="00322A7C"/>
    <w:rsid w:val="00322EEC"/>
    <w:rsid w:val="00323061"/>
    <w:rsid w:val="00324EAE"/>
    <w:rsid w:val="003402D3"/>
    <w:rsid w:val="0034068E"/>
    <w:rsid w:val="003417CC"/>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1FB5"/>
    <w:rsid w:val="003A2D38"/>
    <w:rsid w:val="003A7ECC"/>
    <w:rsid w:val="003B2C72"/>
    <w:rsid w:val="003B58B4"/>
    <w:rsid w:val="003C1333"/>
    <w:rsid w:val="003C20FF"/>
    <w:rsid w:val="003C550A"/>
    <w:rsid w:val="003C6055"/>
    <w:rsid w:val="003D0B14"/>
    <w:rsid w:val="003D1CC9"/>
    <w:rsid w:val="003D2650"/>
    <w:rsid w:val="003D560C"/>
    <w:rsid w:val="003D5C00"/>
    <w:rsid w:val="003E120B"/>
    <w:rsid w:val="003E3154"/>
    <w:rsid w:val="003E5874"/>
    <w:rsid w:val="003E72D3"/>
    <w:rsid w:val="003F193E"/>
    <w:rsid w:val="003F242C"/>
    <w:rsid w:val="003F34F1"/>
    <w:rsid w:val="004031D8"/>
    <w:rsid w:val="004104B6"/>
    <w:rsid w:val="00411AE8"/>
    <w:rsid w:val="00411E01"/>
    <w:rsid w:val="00413B74"/>
    <w:rsid w:val="004342F3"/>
    <w:rsid w:val="00435C5F"/>
    <w:rsid w:val="00436155"/>
    <w:rsid w:val="00436460"/>
    <w:rsid w:val="00441E98"/>
    <w:rsid w:val="00450F3A"/>
    <w:rsid w:val="004532F7"/>
    <w:rsid w:val="00464D51"/>
    <w:rsid w:val="00472027"/>
    <w:rsid w:val="004804CF"/>
    <w:rsid w:val="00483314"/>
    <w:rsid w:val="00484924"/>
    <w:rsid w:val="00484962"/>
    <w:rsid w:val="00484F6D"/>
    <w:rsid w:val="00484FB7"/>
    <w:rsid w:val="0048554D"/>
    <w:rsid w:val="00491487"/>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5829"/>
    <w:rsid w:val="004E6DC4"/>
    <w:rsid w:val="004F0F7F"/>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12E5"/>
    <w:rsid w:val="005724F6"/>
    <w:rsid w:val="00573AC4"/>
    <w:rsid w:val="005801FC"/>
    <w:rsid w:val="00585BA9"/>
    <w:rsid w:val="00587359"/>
    <w:rsid w:val="00595016"/>
    <w:rsid w:val="00597AAE"/>
    <w:rsid w:val="005A222C"/>
    <w:rsid w:val="005A4DF8"/>
    <w:rsid w:val="005A78C8"/>
    <w:rsid w:val="005B12D6"/>
    <w:rsid w:val="005B1426"/>
    <w:rsid w:val="005C0A8E"/>
    <w:rsid w:val="005C1767"/>
    <w:rsid w:val="005C185C"/>
    <w:rsid w:val="005C42EF"/>
    <w:rsid w:val="005C6883"/>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45D8"/>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239C"/>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05C5"/>
    <w:rsid w:val="007028D9"/>
    <w:rsid w:val="00707218"/>
    <w:rsid w:val="00710D04"/>
    <w:rsid w:val="00712B1D"/>
    <w:rsid w:val="00715751"/>
    <w:rsid w:val="007171BA"/>
    <w:rsid w:val="00717616"/>
    <w:rsid w:val="007325D9"/>
    <w:rsid w:val="0073413F"/>
    <w:rsid w:val="0073583B"/>
    <w:rsid w:val="007360CA"/>
    <w:rsid w:val="0074636E"/>
    <w:rsid w:val="0074667B"/>
    <w:rsid w:val="007470BD"/>
    <w:rsid w:val="00760EC0"/>
    <w:rsid w:val="007711BD"/>
    <w:rsid w:val="0078003A"/>
    <w:rsid w:val="00780771"/>
    <w:rsid w:val="00781F9A"/>
    <w:rsid w:val="00783677"/>
    <w:rsid w:val="00790463"/>
    <w:rsid w:val="00791F97"/>
    <w:rsid w:val="007929CF"/>
    <w:rsid w:val="00797BA8"/>
    <w:rsid w:val="007A081D"/>
    <w:rsid w:val="007A49E7"/>
    <w:rsid w:val="007A6F28"/>
    <w:rsid w:val="007B03C6"/>
    <w:rsid w:val="007B0DB1"/>
    <w:rsid w:val="007B3E4C"/>
    <w:rsid w:val="007B5673"/>
    <w:rsid w:val="007B7238"/>
    <w:rsid w:val="007B76FF"/>
    <w:rsid w:val="007C18D4"/>
    <w:rsid w:val="007C3BF6"/>
    <w:rsid w:val="007C61A8"/>
    <w:rsid w:val="007C67B3"/>
    <w:rsid w:val="007D0FD2"/>
    <w:rsid w:val="007D2EF8"/>
    <w:rsid w:val="007D561F"/>
    <w:rsid w:val="007D6CE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17F0"/>
    <w:rsid w:val="00823D4B"/>
    <w:rsid w:val="00825BE6"/>
    <w:rsid w:val="008276B4"/>
    <w:rsid w:val="00831927"/>
    <w:rsid w:val="00837288"/>
    <w:rsid w:val="00841BD3"/>
    <w:rsid w:val="0084273D"/>
    <w:rsid w:val="00844E3F"/>
    <w:rsid w:val="00845A83"/>
    <w:rsid w:val="00846BB9"/>
    <w:rsid w:val="008552AA"/>
    <w:rsid w:val="008649D5"/>
    <w:rsid w:val="008705DD"/>
    <w:rsid w:val="008712BB"/>
    <w:rsid w:val="008830E7"/>
    <w:rsid w:val="00890EDE"/>
    <w:rsid w:val="00892B38"/>
    <w:rsid w:val="008A1741"/>
    <w:rsid w:val="008A2484"/>
    <w:rsid w:val="008A52F3"/>
    <w:rsid w:val="008A6043"/>
    <w:rsid w:val="008C26D9"/>
    <w:rsid w:val="008C6D50"/>
    <w:rsid w:val="008C7167"/>
    <w:rsid w:val="008C7503"/>
    <w:rsid w:val="008D1617"/>
    <w:rsid w:val="008D330F"/>
    <w:rsid w:val="008D48C1"/>
    <w:rsid w:val="008D5A67"/>
    <w:rsid w:val="008E6315"/>
    <w:rsid w:val="008F0480"/>
    <w:rsid w:val="008F07FC"/>
    <w:rsid w:val="008F11E0"/>
    <w:rsid w:val="008F3EA7"/>
    <w:rsid w:val="008F78BC"/>
    <w:rsid w:val="008F7B63"/>
    <w:rsid w:val="008F7D6A"/>
    <w:rsid w:val="00901C86"/>
    <w:rsid w:val="00903603"/>
    <w:rsid w:val="009054CB"/>
    <w:rsid w:val="00910E63"/>
    <w:rsid w:val="00911F8D"/>
    <w:rsid w:val="00912F94"/>
    <w:rsid w:val="009171BC"/>
    <w:rsid w:val="0092497E"/>
    <w:rsid w:val="0092590B"/>
    <w:rsid w:val="00925BF3"/>
    <w:rsid w:val="00925E60"/>
    <w:rsid w:val="009264B3"/>
    <w:rsid w:val="00931E4C"/>
    <w:rsid w:val="009365E0"/>
    <w:rsid w:val="00942BA2"/>
    <w:rsid w:val="009432B7"/>
    <w:rsid w:val="00944C86"/>
    <w:rsid w:val="00945C80"/>
    <w:rsid w:val="00947766"/>
    <w:rsid w:val="00947C02"/>
    <w:rsid w:val="00950BE6"/>
    <w:rsid w:val="00957DE8"/>
    <w:rsid w:val="00960ECB"/>
    <w:rsid w:val="009615D6"/>
    <w:rsid w:val="009674E7"/>
    <w:rsid w:val="00967855"/>
    <w:rsid w:val="00971CD1"/>
    <w:rsid w:val="00974709"/>
    <w:rsid w:val="009801AE"/>
    <w:rsid w:val="00980736"/>
    <w:rsid w:val="00981553"/>
    <w:rsid w:val="00981A39"/>
    <w:rsid w:val="00982D56"/>
    <w:rsid w:val="00983DBF"/>
    <w:rsid w:val="00987097"/>
    <w:rsid w:val="00991123"/>
    <w:rsid w:val="00991CAB"/>
    <w:rsid w:val="009A3A9C"/>
    <w:rsid w:val="009B046C"/>
    <w:rsid w:val="009B13FA"/>
    <w:rsid w:val="009B1E2D"/>
    <w:rsid w:val="009B29B8"/>
    <w:rsid w:val="009C59FB"/>
    <w:rsid w:val="009C6F3B"/>
    <w:rsid w:val="009D1467"/>
    <w:rsid w:val="009D328D"/>
    <w:rsid w:val="009D4786"/>
    <w:rsid w:val="009D510C"/>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2651"/>
    <w:rsid w:val="00A565DC"/>
    <w:rsid w:val="00A56E77"/>
    <w:rsid w:val="00A61605"/>
    <w:rsid w:val="00A65F97"/>
    <w:rsid w:val="00A73B04"/>
    <w:rsid w:val="00A76C13"/>
    <w:rsid w:val="00A84FD0"/>
    <w:rsid w:val="00A868EC"/>
    <w:rsid w:val="00A92E79"/>
    <w:rsid w:val="00A938B8"/>
    <w:rsid w:val="00A950B6"/>
    <w:rsid w:val="00A958A6"/>
    <w:rsid w:val="00A95D45"/>
    <w:rsid w:val="00AA3EA8"/>
    <w:rsid w:val="00AB0B1E"/>
    <w:rsid w:val="00AB1ED1"/>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36F3F"/>
    <w:rsid w:val="00B4005C"/>
    <w:rsid w:val="00B4227E"/>
    <w:rsid w:val="00B4471C"/>
    <w:rsid w:val="00B451A6"/>
    <w:rsid w:val="00B56D6E"/>
    <w:rsid w:val="00B64347"/>
    <w:rsid w:val="00B65DC6"/>
    <w:rsid w:val="00B6744C"/>
    <w:rsid w:val="00B67AC2"/>
    <w:rsid w:val="00B722DE"/>
    <w:rsid w:val="00B750C7"/>
    <w:rsid w:val="00B751E3"/>
    <w:rsid w:val="00B75BA6"/>
    <w:rsid w:val="00B76C44"/>
    <w:rsid w:val="00B8184A"/>
    <w:rsid w:val="00B82283"/>
    <w:rsid w:val="00B828D8"/>
    <w:rsid w:val="00B83F87"/>
    <w:rsid w:val="00B87CDC"/>
    <w:rsid w:val="00B910C1"/>
    <w:rsid w:val="00B928A9"/>
    <w:rsid w:val="00BA2CA4"/>
    <w:rsid w:val="00BA2EFA"/>
    <w:rsid w:val="00BA3DBC"/>
    <w:rsid w:val="00BA5F8A"/>
    <w:rsid w:val="00BA707A"/>
    <w:rsid w:val="00BB1AFB"/>
    <w:rsid w:val="00BB27AE"/>
    <w:rsid w:val="00BB2DA2"/>
    <w:rsid w:val="00BB56DC"/>
    <w:rsid w:val="00BB7BE0"/>
    <w:rsid w:val="00BE183D"/>
    <w:rsid w:val="00BF24C2"/>
    <w:rsid w:val="00BF2922"/>
    <w:rsid w:val="00BF5D7A"/>
    <w:rsid w:val="00C01C2E"/>
    <w:rsid w:val="00C02D33"/>
    <w:rsid w:val="00C04B53"/>
    <w:rsid w:val="00C1232C"/>
    <w:rsid w:val="00C1506E"/>
    <w:rsid w:val="00C27C6B"/>
    <w:rsid w:val="00C3594D"/>
    <w:rsid w:val="00C36442"/>
    <w:rsid w:val="00C400CE"/>
    <w:rsid w:val="00C410FD"/>
    <w:rsid w:val="00C451B2"/>
    <w:rsid w:val="00C457DE"/>
    <w:rsid w:val="00C47DD3"/>
    <w:rsid w:val="00C5316F"/>
    <w:rsid w:val="00C53562"/>
    <w:rsid w:val="00C539FB"/>
    <w:rsid w:val="00C66AA3"/>
    <w:rsid w:val="00C66E57"/>
    <w:rsid w:val="00C724D7"/>
    <w:rsid w:val="00C74150"/>
    <w:rsid w:val="00C75594"/>
    <w:rsid w:val="00C812F6"/>
    <w:rsid w:val="00C85982"/>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42DF9"/>
    <w:rsid w:val="00D55AE8"/>
    <w:rsid w:val="00D56056"/>
    <w:rsid w:val="00D6085F"/>
    <w:rsid w:val="00D62699"/>
    <w:rsid w:val="00D719A9"/>
    <w:rsid w:val="00D778E9"/>
    <w:rsid w:val="00D812BF"/>
    <w:rsid w:val="00D82620"/>
    <w:rsid w:val="00D85707"/>
    <w:rsid w:val="00D9725F"/>
    <w:rsid w:val="00DA01B1"/>
    <w:rsid w:val="00DA11A2"/>
    <w:rsid w:val="00DA14ED"/>
    <w:rsid w:val="00DA26D6"/>
    <w:rsid w:val="00DB2EF1"/>
    <w:rsid w:val="00DB3DE1"/>
    <w:rsid w:val="00DB5DA0"/>
    <w:rsid w:val="00DB716C"/>
    <w:rsid w:val="00DC52E6"/>
    <w:rsid w:val="00DC5C85"/>
    <w:rsid w:val="00DC7C5D"/>
    <w:rsid w:val="00DD4236"/>
    <w:rsid w:val="00DD44F1"/>
    <w:rsid w:val="00DD6957"/>
    <w:rsid w:val="00DD6E7A"/>
    <w:rsid w:val="00DD70F8"/>
    <w:rsid w:val="00DE3067"/>
    <w:rsid w:val="00DF3EEE"/>
    <w:rsid w:val="00DF75E1"/>
    <w:rsid w:val="00E027BC"/>
    <w:rsid w:val="00E03890"/>
    <w:rsid w:val="00E045BE"/>
    <w:rsid w:val="00E10F0D"/>
    <w:rsid w:val="00E14EA5"/>
    <w:rsid w:val="00E175C0"/>
    <w:rsid w:val="00E2070E"/>
    <w:rsid w:val="00E21133"/>
    <w:rsid w:val="00E2323F"/>
    <w:rsid w:val="00E2327E"/>
    <w:rsid w:val="00E23577"/>
    <w:rsid w:val="00E266EF"/>
    <w:rsid w:val="00E326A8"/>
    <w:rsid w:val="00E47428"/>
    <w:rsid w:val="00E501EF"/>
    <w:rsid w:val="00E56C8E"/>
    <w:rsid w:val="00E5716B"/>
    <w:rsid w:val="00E57F1F"/>
    <w:rsid w:val="00E66B9F"/>
    <w:rsid w:val="00E70A6A"/>
    <w:rsid w:val="00E710D6"/>
    <w:rsid w:val="00E73DA4"/>
    <w:rsid w:val="00E76E45"/>
    <w:rsid w:val="00E777C9"/>
    <w:rsid w:val="00E81DA6"/>
    <w:rsid w:val="00E84212"/>
    <w:rsid w:val="00E9086C"/>
    <w:rsid w:val="00E90AAA"/>
    <w:rsid w:val="00E9145B"/>
    <w:rsid w:val="00E91A0F"/>
    <w:rsid w:val="00E94A71"/>
    <w:rsid w:val="00E94CBF"/>
    <w:rsid w:val="00EA03CE"/>
    <w:rsid w:val="00EA23E5"/>
    <w:rsid w:val="00EA4E2E"/>
    <w:rsid w:val="00EA79B1"/>
    <w:rsid w:val="00EB2417"/>
    <w:rsid w:val="00EB2CCB"/>
    <w:rsid w:val="00EB7A25"/>
    <w:rsid w:val="00EC0F3E"/>
    <w:rsid w:val="00EC57A7"/>
    <w:rsid w:val="00EC61D8"/>
    <w:rsid w:val="00ED0817"/>
    <w:rsid w:val="00ED7DD9"/>
    <w:rsid w:val="00EE445B"/>
    <w:rsid w:val="00EF3113"/>
    <w:rsid w:val="00EF3F84"/>
    <w:rsid w:val="00F13000"/>
    <w:rsid w:val="00F16659"/>
    <w:rsid w:val="00F176AC"/>
    <w:rsid w:val="00F26F28"/>
    <w:rsid w:val="00F27714"/>
    <w:rsid w:val="00F3276E"/>
    <w:rsid w:val="00F33D3C"/>
    <w:rsid w:val="00F3794D"/>
    <w:rsid w:val="00F37A91"/>
    <w:rsid w:val="00F408A0"/>
    <w:rsid w:val="00F45CF5"/>
    <w:rsid w:val="00F47DB0"/>
    <w:rsid w:val="00F50C3F"/>
    <w:rsid w:val="00F50E34"/>
    <w:rsid w:val="00F51AFB"/>
    <w:rsid w:val="00F53EF7"/>
    <w:rsid w:val="00F54BF2"/>
    <w:rsid w:val="00F5573D"/>
    <w:rsid w:val="00F775AC"/>
    <w:rsid w:val="00F8792F"/>
    <w:rsid w:val="00F909FE"/>
    <w:rsid w:val="00F9214D"/>
    <w:rsid w:val="00F92355"/>
    <w:rsid w:val="00F93963"/>
    <w:rsid w:val="00F94291"/>
    <w:rsid w:val="00FA298A"/>
    <w:rsid w:val="00FA4EEA"/>
    <w:rsid w:val="00FA5B66"/>
    <w:rsid w:val="00FB0B9C"/>
    <w:rsid w:val="00FB30EB"/>
    <w:rsid w:val="00FB6FF2"/>
    <w:rsid w:val="00FB7982"/>
    <w:rsid w:val="00FC0734"/>
    <w:rsid w:val="00FC0FC5"/>
    <w:rsid w:val="00FC588F"/>
    <w:rsid w:val="00FC6879"/>
    <w:rsid w:val="00FD10FC"/>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468F3"/>
  <w15:docId w15:val="{6FB766FD-5E8C-48CA-8D74-258B8CBD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qFormat/>
    <w:rsid w:val="0074636E"/>
    <w:pPr>
      <w:spacing w:line="240" w:lineRule="auto"/>
      <w:ind w:left="720"/>
      <w:contextualSpacing/>
      <w:jc w:val="left"/>
    </w:pPr>
    <w:rPr>
      <w:rFonts w:eastAsia="Times New Roman"/>
      <w:szCs w:val="24"/>
    </w:rPr>
  </w:style>
  <w:style w:type="character" w:customStyle="1" w:styleId="Heading2Char">
    <w:name w:val="Heading 2 Char"/>
    <w:basedOn w:val="DefaultParagraphFont"/>
    <w:link w:val="Heading2"/>
    <w:rsid w:val="00E9145B"/>
    <w:rPr>
      <w:b/>
      <w:sz w:val="24"/>
      <w:szCs w:val="24"/>
      <w:lang w:eastAsia="en-US"/>
    </w:rPr>
  </w:style>
  <w:style w:type="paragraph" w:styleId="Revision">
    <w:name w:val="Revision"/>
    <w:hidden/>
    <w:uiPriority w:val="99"/>
    <w:semiHidden/>
    <w:rsid w:val="00295C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296B8823994348BCF7DAE055BEFFEA"/>
        <w:category>
          <w:name w:val="General"/>
          <w:gallery w:val="placeholder"/>
        </w:category>
        <w:types>
          <w:type w:val="bbPlcHdr"/>
        </w:types>
        <w:behaviors>
          <w:behavior w:val="content"/>
        </w:behaviors>
        <w:guid w:val="{02595D35-3082-4F29-8D34-3776519CF2D3}"/>
      </w:docPartPr>
      <w:docPartBody>
        <w:p w:rsidR="007F05C3" w:rsidRDefault="007F05C3">
          <w:pPr>
            <w:pStyle w:val="91296B8823994348BCF7DAE055BEFFEA"/>
          </w:pPr>
          <w:r>
            <w:rPr>
              <w:rStyle w:val="PlaceholderText"/>
            </w:rPr>
            <w:t>MNC Text</w:t>
          </w:r>
        </w:p>
      </w:docPartBody>
    </w:docPart>
    <w:docPart>
      <w:docPartPr>
        <w:name w:val="72C24E112513447792A14558AAB2408A"/>
        <w:category>
          <w:name w:val="General"/>
          <w:gallery w:val="placeholder"/>
        </w:category>
        <w:types>
          <w:type w:val="bbPlcHdr"/>
        </w:types>
        <w:behaviors>
          <w:behavior w:val="content"/>
        </w:behaviors>
        <w:guid w:val="{EBF985E5-90C3-4385-9677-ADCA6B833619}"/>
      </w:docPartPr>
      <w:docPartBody>
        <w:p w:rsidR="007F05C3" w:rsidRDefault="007F05C3">
          <w:pPr>
            <w:pStyle w:val="72C24E112513447792A14558AAB2408A"/>
          </w:pPr>
          <w:r w:rsidRPr="005C44BE">
            <w:rPr>
              <w:rStyle w:val="PlaceholderText"/>
            </w:rPr>
            <w:t>Click or tap here to enter text.</w:t>
          </w:r>
        </w:p>
      </w:docPartBody>
    </w:docPart>
    <w:docPart>
      <w:docPartPr>
        <w:name w:val="CB28A94D0E024CE9BA02046B52D760BE"/>
        <w:category>
          <w:name w:val="General"/>
          <w:gallery w:val="placeholder"/>
        </w:category>
        <w:types>
          <w:type w:val="bbPlcHdr"/>
        </w:types>
        <w:behaviors>
          <w:behavior w:val="content"/>
        </w:behaviors>
        <w:guid w:val="{54D84CA6-07A6-4B02-9BAA-EDA8BFE8E2B3}"/>
      </w:docPartPr>
      <w:docPartBody>
        <w:p w:rsidR="007F05C3" w:rsidRDefault="007F05C3">
          <w:pPr>
            <w:pStyle w:val="CB28A94D0E024CE9BA02046B52D760BE"/>
          </w:pPr>
          <w:r w:rsidRPr="005C44BE">
            <w:rPr>
              <w:rStyle w:val="PlaceholderText"/>
            </w:rPr>
            <w:t>Click or tap here to enter text.</w:t>
          </w:r>
        </w:p>
      </w:docPartBody>
    </w:docPart>
    <w:docPart>
      <w:docPartPr>
        <w:name w:val="D53BB0B4EA1542E5BEE9E3EAE3C8E3C3"/>
        <w:category>
          <w:name w:val="General"/>
          <w:gallery w:val="placeholder"/>
        </w:category>
        <w:types>
          <w:type w:val="bbPlcHdr"/>
        </w:types>
        <w:behaviors>
          <w:behavior w:val="content"/>
        </w:behaviors>
        <w:guid w:val="{AB5F9F00-D68A-44E8-A4F2-18177C127E91}"/>
      </w:docPartPr>
      <w:docPartBody>
        <w:p w:rsidR="007F05C3" w:rsidRDefault="007F05C3">
          <w:pPr>
            <w:pStyle w:val="D53BB0B4EA1542E5BEE9E3EAE3C8E3C3"/>
          </w:pPr>
          <w:r w:rsidRPr="005C44BE">
            <w:rPr>
              <w:rStyle w:val="PlaceholderText"/>
            </w:rPr>
            <w:t>Click or tap here to enter text.</w:t>
          </w:r>
        </w:p>
      </w:docPartBody>
    </w:docPart>
    <w:docPart>
      <w:docPartPr>
        <w:name w:val="584BB8C8111C42908B975444B7034258"/>
        <w:category>
          <w:name w:val="General"/>
          <w:gallery w:val="placeholder"/>
        </w:category>
        <w:types>
          <w:type w:val="bbPlcHdr"/>
        </w:types>
        <w:behaviors>
          <w:behavior w:val="content"/>
        </w:behaviors>
        <w:guid w:val="{44A1FF28-49F3-42F8-A414-761E7B20ADAC}"/>
      </w:docPartPr>
      <w:docPartBody>
        <w:p w:rsidR="007F05C3" w:rsidRDefault="007F05C3">
          <w:pPr>
            <w:pStyle w:val="584BB8C8111C42908B975444B703425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C3"/>
    <w:rsid w:val="007F05C3"/>
    <w:rsid w:val="00E73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296B8823994348BCF7DAE055BEFFEA">
    <w:name w:val="91296B8823994348BCF7DAE055BEFFEA"/>
  </w:style>
  <w:style w:type="paragraph" w:customStyle="1" w:styleId="72C24E112513447792A14558AAB2408A">
    <w:name w:val="72C24E112513447792A14558AAB2408A"/>
  </w:style>
  <w:style w:type="paragraph" w:customStyle="1" w:styleId="CB28A94D0E024CE9BA02046B52D760BE">
    <w:name w:val="CB28A94D0E024CE9BA02046B52D760BE"/>
  </w:style>
  <w:style w:type="paragraph" w:customStyle="1" w:styleId="D53BB0B4EA1542E5BEE9E3EAE3C8E3C3">
    <w:name w:val="D53BB0B4EA1542E5BEE9E3EAE3C8E3C3"/>
  </w:style>
  <w:style w:type="paragraph" w:customStyle="1" w:styleId="584BB8C8111C42908B975444B7034258">
    <w:name w:val="584BB8C8111C42908B975444B703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Australian Securities and Investments Commission v Blumenthal [2024] FCA 384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21</Pages>
  <Words>6721</Words>
  <Characters>34784</Characters>
  <Application>Microsoft Office Word</Application>
  <DocSecurity>0</DocSecurity>
  <Lines>656</Lines>
  <Paragraphs>251</Paragraphs>
  <ScaleCrop>false</ScaleCrop>
  <HeadingPairs>
    <vt:vector size="2" baseType="variant">
      <vt:variant>
        <vt:lpstr>Title</vt:lpstr>
      </vt:variant>
      <vt:variant>
        <vt:i4>1</vt:i4>
      </vt:variant>
    </vt:vector>
  </HeadingPairs>
  <TitlesOfParts>
    <vt:vector size="1" baseType="lpstr">
      <vt:lpstr>Australian Securities and Investments Commission v Blumenthal [2024] FCA 384 </vt:lpstr>
    </vt:vector>
  </TitlesOfParts>
  <Company>Federal Court of Australia</Company>
  <LinksUpToDate>false</LinksUpToDate>
  <CharactersWithSpaces>41254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v Blumenthal [2024] FCA 384</dc:title>
  <dc:creator>Sandra Casey</dc:creator>
  <dc:description>v1.3</dc:description>
  <cp:lastModifiedBy>Sandra Casey</cp:lastModifiedBy>
  <cp:revision>4</cp:revision>
  <cp:lastPrinted>2006-02-06T01:31:00Z</cp:lastPrinted>
  <dcterms:created xsi:type="dcterms:W3CDTF">2024-04-16T23:40:00Z</dcterms:created>
  <dcterms:modified xsi:type="dcterms:W3CDTF">2024-04-16T23:43:00Z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