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F50A49" w:rsidP="00A22932">
      <w:pPr>
        <w:pStyle w:val="CourtTitle"/>
      </w:pPr>
      <w:r>
        <w:fldChar w:fldCharType="begin"/>
      </w:r>
      <w:r>
        <w:instrText xml:space="preserve"> DOCPROPERTY  Court  \* MERGEFORMAT </w:instrText>
      </w:r>
      <w:r>
        <w:fldChar w:fldCharType="separate"/>
      </w:r>
      <w:r w:rsidR="003B4367">
        <w:t>Federal Court of Australia</w:t>
      </w:r>
      <w:r>
        <w:fldChar w:fldCharType="end"/>
      </w:r>
    </w:p>
    <w:p w:rsidR="004D7950" w:rsidRDefault="004D7950">
      <w:pPr>
        <w:pStyle w:val="NormalHeadings"/>
        <w:jc w:val="center"/>
        <w:rPr>
          <w:sz w:val="32"/>
        </w:rPr>
      </w:pPr>
    </w:p>
    <w:bookmarkStart w:id="0" w:name="MNC"/>
    <w:p w:rsidR="00374CC4" w:rsidRDefault="00C914CD" w:rsidP="001A2B40">
      <w:pPr>
        <w:pStyle w:val="MNC"/>
      </w:pPr>
      <w:sdt>
        <w:sdtPr>
          <w:alias w:val="MNC"/>
          <w:tag w:val="MNC"/>
          <w:id w:val="343289786"/>
          <w:lock w:val="sdtLocked"/>
          <w:placeholder>
            <w:docPart w:val="3E8A0ABA3965492EA0414C99AD79680D"/>
          </w:placeholder>
          <w:dataBinding w:prefixMappings="xmlns:ns0='http://schemas.globalmacros.com/FCA'" w:xpath="/ns0:root[1]/ns0:Name[1]" w:storeItemID="{687E7CCB-4AA5-44E7-B148-17BA2B6F57C0}"/>
          <w:text w:multiLine="1"/>
        </w:sdtPr>
        <w:sdtEndPr/>
        <w:sdtContent>
          <w:r w:rsidR="00524549">
            <w:t xml:space="preserve">Bibawi v Australian Human Rights Commission [2022] FCA </w:t>
          </w:r>
          <w:r w:rsidR="006B2B11">
            <w:t>607</w:t>
          </w:r>
          <w:r w:rsidR="00693854">
            <w:t xml:space="preserve"> </w:t>
          </w:r>
        </w:sdtContent>
      </w:sdt>
      <w:bookmarkEnd w:id="0"/>
    </w:p>
    <w:tbl>
      <w:tblPr>
        <w:tblW w:w="9038" w:type="dxa"/>
        <w:tblLayout w:type="fixed"/>
        <w:tblLook w:val="01E0" w:firstRow="1" w:lastRow="1" w:firstColumn="1" w:lastColumn="1" w:noHBand="0" w:noVBand="0"/>
        <w:tblCaption w:val="Cover Table"/>
        <w:tblDescription w:val="Cover Table"/>
      </w:tblPr>
      <w:tblGrid>
        <w:gridCol w:w="3072"/>
        <w:gridCol w:w="5931"/>
        <w:gridCol w:w="35"/>
      </w:tblGrid>
      <w:tr w:rsidR="003B4367" w:rsidTr="003B4367">
        <w:trPr>
          <w:gridAfter w:val="1"/>
          <w:wAfter w:w="35" w:type="dxa"/>
        </w:trPr>
        <w:tc>
          <w:tcPr>
            <w:tcW w:w="3072" w:type="dxa"/>
            <w:shd w:val="clear" w:color="auto" w:fill="auto"/>
          </w:tcPr>
          <w:p w:rsidR="003B4367" w:rsidRDefault="003B4367" w:rsidP="002539B3">
            <w:pPr>
              <w:pStyle w:val="Normal1linespace"/>
              <w:widowControl w:val="0"/>
              <w:spacing w:after="60"/>
              <w:jc w:val="left"/>
            </w:pPr>
            <w:bookmarkStart w:id="1" w:name="AppealFrom_row" w:colFirst="0" w:colLast="1"/>
            <w:r>
              <w:t>Appeal from:</w:t>
            </w:r>
          </w:p>
        </w:tc>
        <w:tc>
          <w:tcPr>
            <w:tcW w:w="5931" w:type="dxa"/>
            <w:shd w:val="clear" w:color="auto" w:fill="auto"/>
          </w:tcPr>
          <w:p w:rsidR="003B4367" w:rsidRDefault="00F50A49" w:rsidP="002539B3">
            <w:pPr>
              <w:pStyle w:val="CasesLegislationAppealFrom"/>
              <w:spacing w:after="60"/>
            </w:pPr>
            <w:r>
              <w:fldChar w:fldCharType="begin"/>
            </w:r>
            <w:r>
              <w:instrText xml:space="preserve"> DOCPROPERTY  AppealFrom  \* MERGEFORMAT </w:instrText>
            </w:r>
            <w:r>
              <w:fldChar w:fldCharType="separate"/>
            </w:r>
            <w:proofErr w:type="spellStart"/>
            <w:r w:rsidR="003B4367" w:rsidRPr="00FD2A7B">
              <w:rPr>
                <w:i/>
              </w:rPr>
              <w:t>Bibawi</w:t>
            </w:r>
            <w:proofErr w:type="spellEnd"/>
            <w:r w:rsidR="003B4367" w:rsidRPr="00FD2A7B">
              <w:rPr>
                <w:i/>
              </w:rPr>
              <w:t xml:space="preserve"> v Australian Human Rights Commission</w:t>
            </w:r>
            <w:r w:rsidR="003B4367">
              <w:t xml:space="preserve"> [2021] FCA 1476</w:t>
            </w:r>
            <w:r>
              <w:fldChar w:fldCharType="end"/>
            </w:r>
          </w:p>
        </w:tc>
      </w:tr>
      <w:tr w:rsidR="003B4367" w:rsidTr="003B4367">
        <w:trPr>
          <w:gridAfter w:val="1"/>
          <w:wAfter w:w="35" w:type="dxa"/>
        </w:trPr>
        <w:tc>
          <w:tcPr>
            <w:tcW w:w="3072" w:type="dxa"/>
            <w:shd w:val="clear" w:color="auto" w:fill="auto"/>
          </w:tcPr>
          <w:p w:rsidR="003B4367" w:rsidRDefault="003B4367" w:rsidP="00663878">
            <w:pPr>
              <w:pStyle w:val="Normal1linespace"/>
              <w:widowControl w:val="0"/>
              <w:jc w:val="left"/>
            </w:pPr>
          </w:p>
        </w:tc>
        <w:tc>
          <w:tcPr>
            <w:tcW w:w="5931" w:type="dxa"/>
            <w:shd w:val="clear" w:color="auto" w:fill="auto"/>
          </w:tcPr>
          <w:p w:rsidR="003B4367" w:rsidRDefault="003B4367" w:rsidP="00663878">
            <w:pPr>
              <w:pStyle w:val="Normal1linespace"/>
              <w:widowControl w:val="0"/>
              <w:jc w:val="left"/>
            </w:pPr>
          </w:p>
        </w:tc>
      </w:tr>
      <w:bookmarkEnd w:id="1"/>
      <w:tr w:rsidR="00395B24" w:rsidTr="003B4367">
        <w:tc>
          <w:tcPr>
            <w:tcW w:w="3072" w:type="dxa"/>
            <w:shd w:val="clear" w:color="auto" w:fill="auto"/>
          </w:tcPr>
          <w:p w:rsidR="00395B24" w:rsidRDefault="00524549" w:rsidP="00663878">
            <w:pPr>
              <w:pStyle w:val="Normal1linespace"/>
              <w:widowControl w:val="0"/>
              <w:jc w:val="left"/>
            </w:pPr>
            <w:r>
              <w:t>File number</w:t>
            </w:r>
            <w:r w:rsidR="002C7385">
              <w:t>:</w:t>
            </w:r>
          </w:p>
        </w:tc>
        <w:tc>
          <w:tcPr>
            <w:tcW w:w="5966" w:type="dxa"/>
            <w:gridSpan w:val="2"/>
            <w:shd w:val="clear" w:color="auto" w:fill="auto"/>
          </w:tcPr>
          <w:p w:rsidR="00395B24" w:rsidRPr="003B4367" w:rsidRDefault="00C914CD" w:rsidP="003B4367">
            <w:pPr>
              <w:pStyle w:val="Normal1linespace"/>
              <w:jc w:val="left"/>
            </w:pPr>
            <w:r>
              <w:fldChar w:fldCharType="begin" w:fldLock="1"/>
            </w:r>
            <w:r>
              <w:instrText xml:space="preserve"> REF  FileNo  \* MERGEFORMAT </w:instrText>
            </w:r>
            <w:r>
              <w:fldChar w:fldCharType="separate"/>
            </w:r>
            <w:r w:rsidR="003B4367" w:rsidRPr="003B4367">
              <w:t>QUD 413 of 2021</w:t>
            </w:r>
            <w:r>
              <w:fldChar w:fldCharType="end"/>
            </w:r>
          </w:p>
        </w:tc>
      </w:tr>
      <w:tr w:rsidR="00395B24" w:rsidTr="003B4367">
        <w:tc>
          <w:tcPr>
            <w:tcW w:w="3072" w:type="dxa"/>
            <w:shd w:val="clear" w:color="auto" w:fill="auto"/>
          </w:tcPr>
          <w:p w:rsidR="00395B24" w:rsidRDefault="00395B24" w:rsidP="00663878">
            <w:pPr>
              <w:pStyle w:val="Normal1linespace"/>
              <w:widowControl w:val="0"/>
              <w:jc w:val="left"/>
            </w:pPr>
          </w:p>
        </w:tc>
        <w:tc>
          <w:tcPr>
            <w:tcW w:w="5966" w:type="dxa"/>
            <w:gridSpan w:val="2"/>
            <w:shd w:val="clear" w:color="auto" w:fill="auto"/>
          </w:tcPr>
          <w:p w:rsidR="00395B24" w:rsidRDefault="00395B24" w:rsidP="00663878">
            <w:pPr>
              <w:pStyle w:val="Normal1linespace"/>
              <w:widowControl w:val="0"/>
              <w:jc w:val="left"/>
            </w:pPr>
          </w:p>
        </w:tc>
      </w:tr>
      <w:tr w:rsidR="00395B24" w:rsidTr="003B4367">
        <w:tc>
          <w:tcPr>
            <w:tcW w:w="3072" w:type="dxa"/>
            <w:shd w:val="clear" w:color="auto" w:fill="auto"/>
          </w:tcPr>
          <w:p w:rsidR="00395B24" w:rsidRDefault="002C7385" w:rsidP="00663878">
            <w:pPr>
              <w:pStyle w:val="Normal1linespace"/>
              <w:widowControl w:val="0"/>
              <w:jc w:val="left"/>
            </w:pPr>
            <w:r>
              <w:t>Judg</w:t>
            </w:r>
            <w:r w:rsidR="005724F6">
              <w:t>ment of</w:t>
            </w:r>
            <w:r>
              <w:t>:</w:t>
            </w:r>
          </w:p>
        </w:tc>
        <w:tc>
          <w:tcPr>
            <w:tcW w:w="5966" w:type="dxa"/>
            <w:gridSpan w:val="2"/>
            <w:shd w:val="clear" w:color="auto" w:fill="auto"/>
          </w:tcPr>
          <w:p w:rsidR="00395B24" w:rsidRDefault="002C7385" w:rsidP="00663878">
            <w:pPr>
              <w:pStyle w:val="Normal1linespace"/>
              <w:widowControl w:val="0"/>
              <w:jc w:val="left"/>
              <w:rPr>
                <w:b/>
              </w:rPr>
            </w:pPr>
            <w:r w:rsidRPr="003B4367">
              <w:rPr>
                <w:b/>
              </w:rPr>
              <w:fldChar w:fldCharType="begin" w:fldLock="1"/>
            </w:r>
            <w:r w:rsidRPr="003B4367">
              <w:rPr>
                <w:b/>
              </w:rPr>
              <w:instrText xml:space="preserve"> REF  Judge  \* MERGEFORMAT </w:instrText>
            </w:r>
            <w:r w:rsidRPr="003B4367">
              <w:rPr>
                <w:b/>
              </w:rPr>
              <w:fldChar w:fldCharType="separate"/>
            </w:r>
            <w:r w:rsidR="003B4367" w:rsidRPr="003B4367">
              <w:rPr>
                <w:b/>
                <w:caps/>
                <w:szCs w:val="24"/>
              </w:rPr>
              <w:t>RANGIAH J</w:t>
            </w:r>
            <w:r w:rsidRPr="003B4367">
              <w:rPr>
                <w:b/>
              </w:rPr>
              <w:fldChar w:fldCharType="end"/>
            </w:r>
          </w:p>
        </w:tc>
      </w:tr>
      <w:tr w:rsidR="00395B24" w:rsidTr="003B4367">
        <w:tc>
          <w:tcPr>
            <w:tcW w:w="3072" w:type="dxa"/>
            <w:shd w:val="clear" w:color="auto" w:fill="auto"/>
          </w:tcPr>
          <w:p w:rsidR="00395B24" w:rsidRDefault="00395B24" w:rsidP="00663878">
            <w:pPr>
              <w:pStyle w:val="Normal1linespace"/>
              <w:widowControl w:val="0"/>
              <w:jc w:val="left"/>
            </w:pPr>
          </w:p>
        </w:tc>
        <w:tc>
          <w:tcPr>
            <w:tcW w:w="5966" w:type="dxa"/>
            <w:gridSpan w:val="2"/>
            <w:shd w:val="clear" w:color="auto" w:fill="auto"/>
          </w:tcPr>
          <w:p w:rsidR="00395B24" w:rsidRDefault="00395B24" w:rsidP="00663878">
            <w:pPr>
              <w:pStyle w:val="Normal1linespace"/>
              <w:widowControl w:val="0"/>
              <w:jc w:val="left"/>
            </w:pPr>
          </w:p>
        </w:tc>
      </w:tr>
      <w:tr w:rsidR="00395B24" w:rsidTr="003B4367">
        <w:tc>
          <w:tcPr>
            <w:tcW w:w="3072" w:type="dxa"/>
            <w:shd w:val="clear" w:color="auto" w:fill="auto"/>
          </w:tcPr>
          <w:p w:rsidR="00395B24" w:rsidRDefault="002C7385" w:rsidP="00663878">
            <w:pPr>
              <w:pStyle w:val="Normal1linespace"/>
              <w:widowControl w:val="0"/>
              <w:jc w:val="left"/>
            </w:pPr>
            <w:r>
              <w:t>Date of judgment:</w:t>
            </w:r>
          </w:p>
        </w:tc>
        <w:tc>
          <w:tcPr>
            <w:tcW w:w="5966" w:type="dxa"/>
            <w:gridSpan w:val="2"/>
            <w:shd w:val="clear" w:color="auto" w:fill="auto"/>
          </w:tcPr>
          <w:p w:rsidR="00395B24" w:rsidRDefault="003B4367" w:rsidP="00663878">
            <w:pPr>
              <w:pStyle w:val="Normal1linespace"/>
              <w:widowControl w:val="0"/>
              <w:jc w:val="left"/>
            </w:pPr>
            <w:bookmarkStart w:id="2" w:name="JudgmentDate"/>
            <w:r>
              <w:t>24 May 2022</w:t>
            </w:r>
            <w:bookmarkEnd w:id="2"/>
          </w:p>
        </w:tc>
      </w:tr>
      <w:tr w:rsidR="00395B24" w:rsidTr="003B4367">
        <w:tc>
          <w:tcPr>
            <w:tcW w:w="3072" w:type="dxa"/>
            <w:shd w:val="clear" w:color="auto" w:fill="auto"/>
          </w:tcPr>
          <w:p w:rsidR="00395B24" w:rsidRDefault="00395B24" w:rsidP="00663878">
            <w:pPr>
              <w:pStyle w:val="Normal1linespace"/>
              <w:widowControl w:val="0"/>
              <w:jc w:val="left"/>
            </w:pPr>
          </w:p>
        </w:tc>
        <w:tc>
          <w:tcPr>
            <w:tcW w:w="5966" w:type="dxa"/>
            <w:gridSpan w:val="2"/>
            <w:shd w:val="clear" w:color="auto" w:fill="auto"/>
          </w:tcPr>
          <w:p w:rsidR="00395B24" w:rsidRDefault="00395B24" w:rsidP="00663878">
            <w:pPr>
              <w:pStyle w:val="Normal1linespace"/>
              <w:widowControl w:val="0"/>
              <w:jc w:val="left"/>
            </w:pPr>
          </w:p>
        </w:tc>
      </w:tr>
      <w:tr w:rsidR="00395B24" w:rsidTr="003B4367">
        <w:tc>
          <w:tcPr>
            <w:tcW w:w="3072" w:type="dxa"/>
            <w:shd w:val="clear" w:color="auto" w:fill="auto"/>
          </w:tcPr>
          <w:p w:rsidR="00395B24" w:rsidRDefault="002C7385" w:rsidP="00663878">
            <w:pPr>
              <w:pStyle w:val="Normal1linespace"/>
              <w:widowControl w:val="0"/>
              <w:jc w:val="left"/>
            </w:pPr>
            <w:r>
              <w:t>Catchwords:</w:t>
            </w:r>
          </w:p>
        </w:tc>
        <w:tc>
          <w:tcPr>
            <w:tcW w:w="5966" w:type="dxa"/>
            <w:gridSpan w:val="2"/>
            <w:shd w:val="clear" w:color="auto" w:fill="auto"/>
          </w:tcPr>
          <w:p w:rsidR="00B43A71" w:rsidRDefault="00B43A71" w:rsidP="00663878">
            <w:pPr>
              <w:pStyle w:val="Normal1linespace"/>
              <w:widowControl w:val="0"/>
              <w:jc w:val="left"/>
            </w:pPr>
            <w:r>
              <w:rPr>
                <w:b/>
              </w:rPr>
              <w:t xml:space="preserve">HUMAN RIGHTS – </w:t>
            </w:r>
            <w:r w:rsidR="003171A8">
              <w:t>Application for summary dismissal of a</w:t>
            </w:r>
            <w:r>
              <w:t xml:space="preserve">ppeal against dismissal of application for judicial review of decision by Australian Human Rights Commission – where appellant’s “complaint” did not satisfy requirements of s 46P(1A) of the </w:t>
            </w:r>
            <w:r>
              <w:rPr>
                <w:i/>
              </w:rPr>
              <w:t xml:space="preserve">Australian Human Rights Commission Act 1986 </w:t>
            </w:r>
            <w:r w:rsidR="004A0BDC">
              <w:t xml:space="preserve">(Cth) </w:t>
            </w:r>
          </w:p>
          <w:p w:rsidR="00B43A71" w:rsidRDefault="00B43A71" w:rsidP="00663878">
            <w:pPr>
              <w:pStyle w:val="Normal1linespace"/>
              <w:widowControl w:val="0"/>
              <w:jc w:val="left"/>
            </w:pPr>
          </w:p>
          <w:p w:rsidR="00395B24" w:rsidRPr="00B43A71" w:rsidRDefault="00B43A71" w:rsidP="00663878">
            <w:pPr>
              <w:pStyle w:val="Normal1linespace"/>
              <w:widowControl w:val="0"/>
              <w:jc w:val="left"/>
              <w:rPr>
                <w:i/>
              </w:rPr>
            </w:pPr>
            <w:r>
              <w:rPr>
                <w:b/>
              </w:rPr>
              <w:t xml:space="preserve">PRACTICE AND PROCEDURE - </w:t>
            </w:r>
            <w:r>
              <w:t>Application for summary judgment – where appeal has no reasonable prospects</w:t>
            </w:r>
            <w:r w:rsidR="00F92764">
              <w:t xml:space="preserve"> of success – appeal dismissed</w:t>
            </w:r>
          </w:p>
        </w:tc>
      </w:tr>
      <w:tr w:rsidR="00395B24" w:rsidTr="003B4367">
        <w:tc>
          <w:tcPr>
            <w:tcW w:w="3072" w:type="dxa"/>
            <w:shd w:val="clear" w:color="auto" w:fill="auto"/>
          </w:tcPr>
          <w:p w:rsidR="00395B24" w:rsidRDefault="00395B24" w:rsidP="00663878">
            <w:pPr>
              <w:pStyle w:val="Normal1linespace"/>
              <w:widowControl w:val="0"/>
              <w:jc w:val="left"/>
            </w:pPr>
          </w:p>
        </w:tc>
        <w:tc>
          <w:tcPr>
            <w:tcW w:w="5966" w:type="dxa"/>
            <w:gridSpan w:val="2"/>
            <w:shd w:val="clear" w:color="auto" w:fill="auto"/>
          </w:tcPr>
          <w:p w:rsidR="00395B24" w:rsidRDefault="00395B24" w:rsidP="00663878">
            <w:pPr>
              <w:pStyle w:val="Normal1linespace"/>
              <w:widowControl w:val="0"/>
              <w:jc w:val="left"/>
            </w:pPr>
          </w:p>
        </w:tc>
      </w:tr>
      <w:tr w:rsidR="00395B24" w:rsidTr="003B4367">
        <w:tc>
          <w:tcPr>
            <w:tcW w:w="3072" w:type="dxa"/>
            <w:shd w:val="clear" w:color="auto" w:fill="auto"/>
          </w:tcPr>
          <w:p w:rsidR="00395B24" w:rsidRDefault="002C7385" w:rsidP="00663878">
            <w:pPr>
              <w:pStyle w:val="Normal1linespace"/>
              <w:widowControl w:val="0"/>
              <w:jc w:val="left"/>
            </w:pPr>
            <w:r>
              <w:t>Legislation:</w:t>
            </w:r>
          </w:p>
        </w:tc>
        <w:tc>
          <w:tcPr>
            <w:tcW w:w="5966" w:type="dxa"/>
            <w:gridSpan w:val="2"/>
            <w:shd w:val="clear" w:color="auto" w:fill="auto"/>
          </w:tcPr>
          <w:p w:rsidR="00FD2A7B" w:rsidRPr="00FD2A7B" w:rsidRDefault="00FD2A7B" w:rsidP="00FD2A7B">
            <w:pPr>
              <w:pStyle w:val="CasesLegislationAppealFrom"/>
              <w:spacing w:after="60"/>
            </w:pPr>
            <w:bookmarkStart w:id="3" w:name="Legislation"/>
            <w:r w:rsidRPr="00FD2A7B">
              <w:rPr>
                <w:i/>
              </w:rPr>
              <w:t>Administrative Decisions (Judicial Review) Act 1977</w:t>
            </w:r>
            <w:r w:rsidRPr="00FD2A7B">
              <w:t xml:space="preserve"> (Cth)</w:t>
            </w:r>
          </w:p>
          <w:p w:rsidR="00FD2A7B" w:rsidRDefault="00FD2A7B" w:rsidP="00FD2A7B">
            <w:pPr>
              <w:pStyle w:val="CasesLegislationAppealFrom"/>
              <w:spacing w:after="60"/>
            </w:pPr>
            <w:r w:rsidRPr="00FD2A7B">
              <w:rPr>
                <w:i/>
              </w:rPr>
              <w:t>Australian Human Rights Commission Act 1986</w:t>
            </w:r>
            <w:r w:rsidRPr="00FD2A7B">
              <w:t xml:space="preserve"> (Cth)</w:t>
            </w:r>
            <w:r>
              <w:t xml:space="preserve"> </w:t>
            </w:r>
            <w:r w:rsidRPr="00FD2A7B">
              <w:t>s 46P(1A)</w:t>
            </w:r>
          </w:p>
          <w:p w:rsidR="00FD2A7B" w:rsidRPr="00FD2A7B" w:rsidRDefault="00FD2A7B" w:rsidP="00FD2A7B">
            <w:pPr>
              <w:pStyle w:val="CasesLegislationAppealFrom"/>
              <w:spacing w:after="60"/>
            </w:pPr>
            <w:r w:rsidRPr="00FD2A7B">
              <w:rPr>
                <w:i/>
              </w:rPr>
              <w:t>Disability Discrimination Act</w:t>
            </w:r>
            <w:r w:rsidRPr="00FD2A7B">
              <w:t xml:space="preserve"> </w:t>
            </w:r>
            <w:r w:rsidRPr="00FD2A7B">
              <w:rPr>
                <w:i/>
              </w:rPr>
              <w:t>1992</w:t>
            </w:r>
            <w:r w:rsidRPr="00FD2A7B">
              <w:t xml:space="preserve"> (Cth)</w:t>
            </w:r>
            <w:r>
              <w:t xml:space="preserve"> </w:t>
            </w:r>
            <w:r w:rsidRPr="00FD2A7B">
              <w:t>s 42</w:t>
            </w:r>
          </w:p>
          <w:p w:rsidR="00FD2A7B" w:rsidRDefault="00FD2A7B" w:rsidP="00FD2A7B">
            <w:pPr>
              <w:pStyle w:val="CasesLegislationAppealFrom"/>
              <w:spacing w:after="60"/>
            </w:pPr>
            <w:r w:rsidRPr="00FD2A7B">
              <w:rPr>
                <w:i/>
              </w:rPr>
              <w:t xml:space="preserve">Federal Court of Australia Act 1976 </w:t>
            </w:r>
            <w:r w:rsidRPr="00FD2A7B">
              <w:t>(Cth)</w:t>
            </w:r>
            <w:r>
              <w:t xml:space="preserve"> ss 24, 25, 26, 31, </w:t>
            </w:r>
            <w:r w:rsidRPr="00FD2A7B">
              <w:t>31A</w:t>
            </w:r>
            <w:r w:rsidR="00DF7E1B">
              <w:t xml:space="preserve"> and</w:t>
            </w:r>
            <w:r>
              <w:t xml:space="preserve"> 32</w:t>
            </w:r>
          </w:p>
          <w:p w:rsidR="00FD2A7B" w:rsidRPr="00FD2A7B" w:rsidRDefault="00FD2A7B" w:rsidP="00FD2A7B">
            <w:pPr>
              <w:pStyle w:val="CasesLegislationAppealFrom"/>
              <w:spacing w:after="60"/>
            </w:pPr>
            <w:r w:rsidRPr="00FD2A7B">
              <w:rPr>
                <w:i/>
              </w:rPr>
              <w:t xml:space="preserve">Racial Discrimination Act 1975 </w:t>
            </w:r>
            <w:r w:rsidRPr="00FD2A7B">
              <w:t>(Cth)</w:t>
            </w:r>
            <w:r>
              <w:t xml:space="preserve"> s</w:t>
            </w:r>
            <w:r w:rsidRPr="00FD2A7B">
              <w:t xml:space="preserve">s 11 </w:t>
            </w:r>
            <w:r>
              <w:t xml:space="preserve">and </w:t>
            </w:r>
            <w:r w:rsidRPr="00FD2A7B">
              <w:t xml:space="preserve">27 </w:t>
            </w:r>
          </w:p>
          <w:p w:rsidR="00FD2A7B" w:rsidRPr="00FD2A7B" w:rsidRDefault="00FD2A7B" w:rsidP="00FD2A7B">
            <w:pPr>
              <w:pStyle w:val="CasesLegislationAppealFrom"/>
              <w:spacing w:after="60"/>
            </w:pPr>
            <w:r w:rsidRPr="00FD2A7B">
              <w:rPr>
                <w:i/>
              </w:rPr>
              <w:t>Federal Court Rules 2011</w:t>
            </w:r>
            <w:r w:rsidRPr="00FD2A7B">
              <w:t xml:space="preserve"> (Cth)</w:t>
            </w:r>
            <w:r>
              <w:t xml:space="preserve"> r </w:t>
            </w:r>
            <w:r w:rsidRPr="00FD2A7B">
              <w:t>26.01</w:t>
            </w:r>
            <w:r>
              <w:t xml:space="preserve"> </w:t>
            </w:r>
            <w:bookmarkEnd w:id="3"/>
          </w:p>
        </w:tc>
      </w:tr>
      <w:tr w:rsidR="00395B24" w:rsidTr="003B4367">
        <w:tc>
          <w:tcPr>
            <w:tcW w:w="3072" w:type="dxa"/>
            <w:shd w:val="clear" w:color="auto" w:fill="auto"/>
          </w:tcPr>
          <w:p w:rsidR="00395B24" w:rsidRDefault="00395B24" w:rsidP="00663878">
            <w:pPr>
              <w:pStyle w:val="Normal1linespace"/>
              <w:widowControl w:val="0"/>
              <w:jc w:val="left"/>
            </w:pPr>
          </w:p>
        </w:tc>
        <w:tc>
          <w:tcPr>
            <w:tcW w:w="5966" w:type="dxa"/>
            <w:gridSpan w:val="2"/>
            <w:shd w:val="clear" w:color="auto" w:fill="auto"/>
          </w:tcPr>
          <w:p w:rsidR="00395B24" w:rsidRDefault="00395B24" w:rsidP="00663878">
            <w:pPr>
              <w:pStyle w:val="Normal1linespace"/>
              <w:widowControl w:val="0"/>
              <w:jc w:val="left"/>
            </w:pPr>
          </w:p>
        </w:tc>
      </w:tr>
      <w:tr w:rsidR="00395B24" w:rsidTr="003B4367">
        <w:tc>
          <w:tcPr>
            <w:tcW w:w="3072" w:type="dxa"/>
            <w:shd w:val="clear" w:color="auto" w:fill="auto"/>
          </w:tcPr>
          <w:p w:rsidR="00395B24" w:rsidRDefault="002C7385" w:rsidP="00663878">
            <w:pPr>
              <w:pStyle w:val="Normal1linespace"/>
              <w:widowControl w:val="0"/>
              <w:jc w:val="left"/>
            </w:pPr>
            <w:r>
              <w:t>Cases cited:</w:t>
            </w:r>
          </w:p>
        </w:tc>
        <w:tc>
          <w:tcPr>
            <w:tcW w:w="5966" w:type="dxa"/>
            <w:gridSpan w:val="2"/>
            <w:shd w:val="clear" w:color="auto" w:fill="auto"/>
          </w:tcPr>
          <w:p w:rsidR="00FD2A7B" w:rsidRPr="00FD2A7B" w:rsidRDefault="00FD2A7B" w:rsidP="00FD2A7B">
            <w:pPr>
              <w:pStyle w:val="CasesLegislationAppealFrom"/>
              <w:spacing w:after="60"/>
            </w:pPr>
            <w:bookmarkStart w:id="4" w:name="Cases_Cited"/>
            <w:r w:rsidRPr="00FD2A7B">
              <w:rPr>
                <w:i/>
              </w:rPr>
              <w:t>Allesch v Maunz</w:t>
            </w:r>
            <w:r w:rsidRPr="00FD2A7B">
              <w:t xml:space="preserve"> (2000) 203 CLR 172</w:t>
            </w:r>
          </w:p>
          <w:p w:rsidR="00FD2A7B" w:rsidRPr="00FD2A7B" w:rsidRDefault="00FD2A7B" w:rsidP="00FD2A7B">
            <w:pPr>
              <w:pStyle w:val="CasesLegislationAppealFrom"/>
              <w:spacing w:after="60"/>
            </w:pPr>
            <w:r w:rsidRPr="00FD2A7B">
              <w:rPr>
                <w:i/>
              </w:rPr>
              <w:t>Bibawi v Australian Human Rights Commission</w:t>
            </w:r>
            <w:r w:rsidRPr="00FD2A7B">
              <w:t xml:space="preserve"> [2021] FCA 1476</w:t>
            </w:r>
          </w:p>
          <w:p w:rsidR="00FD2A7B" w:rsidRPr="00FD2A7B" w:rsidRDefault="00FD2A7B" w:rsidP="00FD2A7B">
            <w:pPr>
              <w:pStyle w:val="CasesLegislationAppealFrom"/>
              <w:spacing w:after="60"/>
            </w:pPr>
            <w:r w:rsidRPr="00FD2A7B">
              <w:rPr>
                <w:i/>
              </w:rPr>
              <w:t xml:space="preserve">Penhall-Jones v New South Wales </w:t>
            </w:r>
            <w:r w:rsidRPr="00FD2A7B">
              <w:t>[2007] FCA 925</w:t>
            </w:r>
          </w:p>
          <w:p w:rsidR="00FD2A7B" w:rsidRPr="00FD2A7B" w:rsidRDefault="00FD2A7B" w:rsidP="00FD2A7B">
            <w:pPr>
              <w:pStyle w:val="CasesLegislationAppealFrom"/>
              <w:spacing w:after="60"/>
            </w:pPr>
            <w:r w:rsidRPr="00FD2A7B">
              <w:rPr>
                <w:i/>
              </w:rPr>
              <w:t xml:space="preserve">Spencer v Commonwealth </w:t>
            </w:r>
            <w:r w:rsidRPr="00FD2A7B">
              <w:t>(2010) 241 CLR 118</w:t>
            </w:r>
            <w:bookmarkEnd w:id="4"/>
          </w:p>
        </w:tc>
      </w:tr>
      <w:tr w:rsidR="003B4367" w:rsidTr="003B4367">
        <w:trPr>
          <w:gridAfter w:val="1"/>
          <w:wAfter w:w="35" w:type="dxa"/>
        </w:trPr>
        <w:tc>
          <w:tcPr>
            <w:tcW w:w="3072" w:type="dxa"/>
            <w:shd w:val="clear" w:color="auto" w:fill="auto"/>
          </w:tcPr>
          <w:p w:rsidR="003B4367" w:rsidRDefault="003B4367" w:rsidP="002F7154">
            <w:pPr>
              <w:pStyle w:val="Normal1linespace"/>
              <w:widowControl w:val="0"/>
            </w:pPr>
          </w:p>
        </w:tc>
        <w:tc>
          <w:tcPr>
            <w:tcW w:w="5931" w:type="dxa"/>
            <w:shd w:val="clear" w:color="auto" w:fill="auto"/>
          </w:tcPr>
          <w:p w:rsidR="003B4367" w:rsidRDefault="003B4367" w:rsidP="002F7154">
            <w:pPr>
              <w:pStyle w:val="Normal1linespace"/>
              <w:widowControl w:val="0"/>
              <w:jc w:val="left"/>
            </w:pPr>
          </w:p>
        </w:tc>
      </w:tr>
      <w:tr w:rsidR="003B4367" w:rsidTr="003B4367">
        <w:trPr>
          <w:gridAfter w:val="1"/>
          <w:wAfter w:w="35" w:type="dxa"/>
        </w:trPr>
        <w:tc>
          <w:tcPr>
            <w:tcW w:w="3072" w:type="dxa"/>
            <w:shd w:val="clear" w:color="auto" w:fill="auto"/>
          </w:tcPr>
          <w:p w:rsidR="003B4367" w:rsidRDefault="003B4367" w:rsidP="00501A12">
            <w:pPr>
              <w:pStyle w:val="Normal1linespace"/>
              <w:widowControl w:val="0"/>
            </w:pPr>
            <w:r>
              <w:t>Division:</w:t>
            </w:r>
          </w:p>
        </w:tc>
        <w:tc>
          <w:tcPr>
            <w:tcW w:w="5931" w:type="dxa"/>
            <w:shd w:val="clear" w:color="auto" w:fill="auto"/>
          </w:tcPr>
          <w:p w:rsidR="003B4367" w:rsidRPr="00F17599" w:rsidRDefault="00523A3C" w:rsidP="00501A12">
            <w:pPr>
              <w:pStyle w:val="Normal1linespace"/>
              <w:widowControl w:val="0"/>
              <w:jc w:val="left"/>
            </w:pPr>
            <w:fldSimple w:instr=" DOCPROPERTY  Division ">
              <w:r w:rsidR="003B4367">
                <w:t>General Division</w:t>
              </w:r>
            </w:fldSimple>
          </w:p>
        </w:tc>
      </w:tr>
      <w:tr w:rsidR="003B4367" w:rsidTr="003B4367">
        <w:trPr>
          <w:gridAfter w:val="1"/>
          <w:wAfter w:w="35" w:type="dxa"/>
        </w:trPr>
        <w:tc>
          <w:tcPr>
            <w:tcW w:w="3072" w:type="dxa"/>
            <w:shd w:val="clear" w:color="auto" w:fill="auto"/>
          </w:tcPr>
          <w:p w:rsidR="003B4367" w:rsidRDefault="003B4367" w:rsidP="00501A12">
            <w:pPr>
              <w:pStyle w:val="Normal1linespace"/>
              <w:widowControl w:val="0"/>
            </w:pPr>
            <w:bookmarkStart w:id="5" w:name="Registry_rows" w:colFirst="0" w:colLast="1"/>
          </w:p>
        </w:tc>
        <w:tc>
          <w:tcPr>
            <w:tcW w:w="5931" w:type="dxa"/>
            <w:shd w:val="clear" w:color="auto" w:fill="auto"/>
          </w:tcPr>
          <w:p w:rsidR="003B4367" w:rsidRDefault="003B4367" w:rsidP="00501A12">
            <w:pPr>
              <w:pStyle w:val="Normal1linespace"/>
              <w:widowControl w:val="0"/>
              <w:jc w:val="left"/>
            </w:pPr>
          </w:p>
        </w:tc>
      </w:tr>
      <w:tr w:rsidR="003B4367" w:rsidTr="003B4367">
        <w:trPr>
          <w:gridAfter w:val="1"/>
          <w:wAfter w:w="35" w:type="dxa"/>
        </w:trPr>
        <w:tc>
          <w:tcPr>
            <w:tcW w:w="3072" w:type="dxa"/>
            <w:shd w:val="clear" w:color="auto" w:fill="auto"/>
          </w:tcPr>
          <w:p w:rsidR="003B4367" w:rsidRDefault="003B4367" w:rsidP="00501A12">
            <w:pPr>
              <w:pStyle w:val="Normal1linespace"/>
              <w:widowControl w:val="0"/>
            </w:pPr>
            <w:r>
              <w:t>Registry:</w:t>
            </w:r>
          </w:p>
        </w:tc>
        <w:tc>
          <w:tcPr>
            <w:tcW w:w="5931" w:type="dxa"/>
            <w:shd w:val="clear" w:color="auto" w:fill="auto"/>
          </w:tcPr>
          <w:p w:rsidR="003B4367" w:rsidRPr="00F17599" w:rsidRDefault="00523A3C" w:rsidP="00501A12">
            <w:pPr>
              <w:pStyle w:val="Normal1linespace"/>
              <w:widowControl w:val="0"/>
              <w:jc w:val="left"/>
            </w:pPr>
            <w:fldSimple w:instr=" DOCPROPERTY  Registry ">
              <w:r w:rsidR="003B4367">
                <w:t>Queensland</w:t>
              </w:r>
            </w:fldSimple>
          </w:p>
        </w:tc>
      </w:tr>
      <w:tr w:rsidR="003B4367" w:rsidTr="003B4367">
        <w:trPr>
          <w:gridAfter w:val="1"/>
          <w:wAfter w:w="35" w:type="dxa"/>
        </w:trPr>
        <w:tc>
          <w:tcPr>
            <w:tcW w:w="3072" w:type="dxa"/>
            <w:shd w:val="clear" w:color="auto" w:fill="auto"/>
          </w:tcPr>
          <w:p w:rsidR="003B4367" w:rsidRDefault="003B4367" w:rsidP="00501A12">
            <w:pPr>
              <w:pStyle w:val="Normal1linespace"/>
              <w:widowControl w:val="0"/>
            </w:pPr>
            <w:bookmarkStart w:id="6" w:name="NPARow" w:colFirst="0" w:colLast="1"/>
            <w:bookmarkEnd w:id="5"/>
          </w:p>
        </w:tc>
        <w:tc>
          <w:tcPr>
            <w:tcW w:w="5931" w:type="dxa"/>
            <w:shd w:val="clear" w:color="auto" w:fill="auto"/>
          </w:tcPr>
          <w:p w:rsidR="003B4367" w:rsidRPr="00F17599" w:rsidRDefault="003B4367" w:rsidP="00501A12">
            <w:pPr>
              <w:pStyle w:val="Normal1linespace"/>
              <w:widowControl w:val="0"/>
              <w:jc w:val="left"/>
              <w:rPr>
                <w:b/>
              </w:rPr>
            </w:pPr>
          </w:p>
        </w:tc>
      </w:tr>
      <w:tr w:rsidR="003B4367" w:rsidTr="003B4367">
        <w:trPr>
          <w:gridAfter w:val="1"/>
          <w:wAfter w:w="35" w:type="dxa"/>
        </w:trPr>
        <w:tc>
          <w:tcPr>
            <w:tcW w:w="3072" w:type="dxa"/>
            <w:shd w:val="clear" w:color="auto" w:fill="auto"/>
          </w:tcPr>
          <w:p w:rsidR="003B4367" w:rsidRDefault="003B4367" w:rsidP="00501A12">
            <w:pPr>
              <w:pStyle w:val="Normal1linespace"/>
              <w:widowControl w:val="0"/>
            </w:pPr>
            <w:r>
              <w:t>National Practice Area:</w:t>
            </w:r>
          </w:p>
        </w:tc>
        <w:tc>
          <w:tcPr>
            <w:tcW w:w="5931" w:type="dxa"/>
            <w:shd w:val="clear" w:color="auto" w:fill="auto"/>
          </w:tcPr>
          <w:p w:rsidR="003B4367" w:rsidRPr="00F17599" w:rsidRDefault="00523A3C" w:rsidP="00171DBB">
            <w:pPr>
              <w:pStyle w:val="Normal1linespace"/>
              <w:widowControl w:val="0"/>
              <w:jc w:val="left"/>
              <w:rPr>
                <w:b/>
              </w:rPr>
            </w:pPr>
            <w:fldSimple w:instr=" DOCPROPERTY  &quot;Practice Area&quot;  \* MERGEFORMAT ">
              <w:r w:rsidR="003B4367">
                <w:t>Administrative and Constitutional Law and Human Rights</w:t>
              </w:r>
            </w:fldSimple>
          </w:p>
        </w:tc>
      </w:tr>
      <w:tr w:rsidR="003B4367" w:rsidTr="003B4367">
        <w:trPr>
          <w:gridAfter w:val="1"/>
          <w:wAfter w:w="35" w:type="dxa"/>
        </w:trPr>
        <w:tc>
          <w:tcPr>
            <w:tcW w:w="3072" w:type="dxa"/>
            <w:shd w:val="clear" w:color="auto" w:fill="auto"/>
          </w:tcPr>
          <w:p w:rsidR="003B4367" w:rsidRDefault="003B4367" w:rsidP="00501A12">
            <w:pPr>
              <w:pStyle w:val="Normal1linespace"/>
              <w:widowControl w:val="0"/>
            </w:pPr>
            <w:bookmarkStart w:id="7" w:name="SubAreaRow" w:colFirst="0" w:colLast="1"/>
            <w:bookmarkEnd w:id="6"/>
          </w:p>
        </w:tc>
        <w:tc>
          <w:tcPr>
            <w:tcW w:w="5931" w:type="dxa"/>
            <w:shd w:val="clear" w:color="auto" w:fill="auto"/>
          </w:tcPr>
          <w:p w:rsidR="003B4367" w:rsidRDefault="003B4367" w:rsidP="00171DBB">
            <w:pPr>
              <w:pStyle w:val="Normal1linespace"/>
              <w:widowControl w:val="0"/>
              <w:jc w:val="left"/>
            </w:pPr>
          </w:p>
        </w:tc>
      </w:tr>
      <w:bookmarkEnd w:id="7"/>
      <w:tr w:rsidR="00524549" w:rsidTr="003B4367">
        <w:tc>
          <w:tcPr>
            <w:tcW w:w="3072" w:type="dxa"/>
            <w:shd w:val="clear" w:color="auto" w:fill="auto"/>
          </w:tcPr>
          <w:p w:rsidR="00524549" w:rsidRDefault="00524549" w:rsidP="00F50A49">
            <w:pPr>
              <w:pStyle w:val="Normal1linespace"/>
              <w:keepNext/>
              <w:widowControl w:val="0"/>
            </w:pPr>
            <w:r>
              <w:lastRenderedPageBreak/>
              <w:t>Number of paragraphs:</w:t>
            </w:r>
          </w:p>
        </w:tc>
        <w:tc>
          <w:tcPr>
            <w:tcW w:w="5966" w:type="dxa"/>
            <w:gridSpan w:val="2"/>
            <w:shd w:val="clear" w:color="auto" w:fill="auto"/>
          </w:tcPr>
          <w:p w:rsidR="00524549" w:rsidRDefault="00F92764" w:rsidP="00F50A49">
            <w:pPr>
              <w:pStyle w:val="Normal1linespace"/>
              <w:keepNext/>
              <w:widowControl w:val="0"/>
              <w:jc w:val="left"/>
            </w:pPr>
            <w:bookmarkStart w:id="8" w:name="PlaceCategoryParagraphs"/>
            <w:r>
              <w:t>40</w:t>
            </w:r>
            <w:bookmarkEnd w:id="8"/>
          </w:p>
        </w:tc>
      </w:tr>
      <w:tr w:rsidR="00524549" w:rsidTr="003B4367">
        <w:tc>
          <w:tcPr>
            <w:tcW w:w="3072" w:type="dxa"/>
            <w:shd w:val="clear" w:color="auto" w:fill="auto"/>
          </w:tcPr>
          <w:p w:rsidR="00524549" w:rsidRDefault="00524549" w:rsidP="00524549">
            <w:pPr>
              <w:pStyle w:val="Normal1linespace"/>
              <w:widowControl w:val="0"/>
              <w:jc w:val="left"/>
            </w:pPr>
          </w:p>
        </w:tc>
        <w:tc>
          <w:tcPr>
            <w:tcW w:w="5966" w:type="dxa"/>
            <w:gridSpan w:val="2"/>
            <w:shd w:val="clear" w:color="auto" w:fill="auto"/>
          </w:tcPr>
          <w:p w:rsidR="00524549" w:rsidRDefault="00524549" w:rsidP="00524549">
            <w:pPr>
              <w:pStyle w:val="Normal1linespace"/>
              <w:widowControl w:val="0"/>
              <w:jc w:val="left"/>
            </w:pPr>
          </w:p>
        </w:tc>
      </w:tr>
      <w:tr w:rsidR="00524549" w:rsidTr="003B4367">
        <w:tc>
          <w:tcPr>
            <w:tcW w:w="3072" w:type="dxa"/>
            <w:shd w:val="clear" w:color="auto" w:fill="auto"/>
          </w:tcPr>
          <w:p w:rsidR="00524549" w:rsidRPr="005B7C9E" w:rsidRDefault="00F70241" w:rsidP="00524549">
            <w:pPr>
              <w:pStyle w:val="Normal1linespace"/>
              <w:widowControl w:val="0"/>
              <w:jc w:val="left"/>
            </w:pPr>
            <w:r w:rsidRPr="005B7C9E">
              <w:t>Date of last submission</w:t>
            </w:r>
            <w:r w:rsidR="00524549" w:rsidRPr="005B7C9E">
              <w:t>s:</w:t>
            </w:r>
          </w:p>
        </w:tc>
        <w:tc>
          <w:tcPr>
            <w:tcW w:w="5966" w:type="dxa"/>
            <w:gridSpan w:val="2"/>
            <w:shd w:val="clear" w:color="auto" w:fill="auto"/>
          </w:tcPr>
          <w:p w:rsidR="00F70241" w:rsidRPr="005B7C9E" w:rsidRDefault="00F70241" w:rsidP="00524549">
            <w:pPr>
              <w:pStyle w:val="Normal1linespace"/>
              <w:widowControl w:val="0"/>
              <w:jc w:val="left"/>
            </w:pPr>
            <w:r w:rsidRPr="005B7C9E">
              <w:t>11 February 2022 (Second Respondent)</w:t>
            </w:r>
          </w:p>
          <w:p w:rsidR="00F20B3F" w:rsidRPr="005B7C9E" w:rsidRDefault="00F70241" w:rsidP="00F50A49">
            <w:pPr>
              <w:pStyle w:val="Normal1linespace"/>
              <w:widowControl w:val="0"/>
              <w:jc w:val="left"/>
            </w:pPr>
            <w:r w:rsidRPr="005B7C9E">
              <w:t>14 February 2022 (Appellant)</w:t>
            </w:r>
          </w:p>
        </w:tc>
      </w:tr>
      <w:tr w:rsidR="00524549" w:rsidTr="003B4367">
        <w:tc>
          <w:tcPr>
            <w:tcW w:w="3072" w:type="dxa"/>
            <w:shd w:val="clear" w:color="auto" w:fill="auto"/>
          </w:tcPr>
          <w:p w:rsidR="00524549" w:rsidRDefault="00524549" w:rsidP="00524549">
            <w:pPr>
              <w:pStyle w:val="Normal1linespace"/>
              <w:widowControl w:val="0"/>
              <w:jc w:val="left"/>
            </w:pPr>
          </w:p>
        </w:tc>
        <w:tc>
          <w:tcPr>
            <w:tcW w:w="5966" w:type="dxa"/>
            <w:gridSpan w:val="2"/>
            <w:shd w:val="clear" w:color="auto" w:fill="auto"/>
          </w:tcPr>
          <w:p w:rsidR="00524549" w:rsidRDefault="00524549" w:rsidP="00524549">
            <w:pPr>
              <w:pStyle w:val="Normal1linespace"/>
              <w:widowControl w:val="0"/>
              <w:jc w:val="left"/>
            </w:pPr>
          </w:p>
        </w:tc>
      </w:tr>
      <w:tr w:rsidR="00524549" w:rsidTr="003B4367">
        <w:tc>
          <w:tcPr>
            <w:tcW w:w="3072" w:type="dxa"/>
            <w:shd w:val="clear" w:color="auto" w:fill="auto"/>
          </w:tcPr>
          <w:p w:rsidR="00524549" w:rsidRDefault="00524549" w:rsidP="00524549">
            <w:pPr>
              <w:pStyle w:val="Normal1linespace"/>
              <w:widowControl w:val="0"/>
              <w:jc w:val="left"/>
            </w:pPr>
            <w:bookmarkStart w:id="9" w:name="CounselDate" w:colFirst="0" w:colLast="2"/>
            <w:r w:rsidRPr="006A24E3">
              <w:t>Date of hearing:</w:t>
            </w:r>
          </w:p>
        </w:tc>
        <w:tc>
          <w:tcPr>
            <w:tcW w:w="5966" w:type="dxa"/>
            <w:gridSpan w:val="2"/>
            <w:shd w:val="clear" w:color="auto" w:fill="auto"/>
          </w:tcPr>
          <w:p w:rsidR="00524549" w:rsidRDefault="009A2AB2" w:rsidP="009A2AB2">
            <w:pPr>
              <w:pStyle w:val="Normal1linespace"/>
              <w:widowControl w:val="0"/>
              <w:jc w:val="left"/>
            </w:pPr>
            <w:bookmarkStart w:id="10" w:name="HearingDate"/>
            <w:r>
              <w:t>Determined on the papers</w:t>
            </w:r>
            <w:r w:rsidR="00524549">
              <w:t xml:space="preserve"> </w:t>
            </w:r>
            <w:bookmarkEnd w:id="10"/>
          </w:p>
        </w:tc>
      </w:tr>
      <w:tr w:rsidR="00524549" w:rsidTr="003B4367">
        <w:tc>
          <w:tcPr>
            <w:tcW w:w="3072" w:type="dxa"/>
            <w:shd w:val="clear" w:color="auto" w:fill="auto"/>
          </w:tcPr>
          <w:p w:rsidR="00524549" w:rsidRDefault="00524549" w:rsidP="00524549">
            <w:pPr>
              <w:pStyle w:val="Normal1linespace"/>
              <w:widowControl w:val="0"/>
              <w:jc w:val="left"/>
            </w:pPr>
          </w:p>
        </w:tc>
        <w:tc>
          <w:tcPr>
            <w:tcW w:w="5966" w:type="dxa"/>
            <w:gridSpan w:val="2"/>
            <w:shd w:val="clear" w:color="auto" w:fill="auto"/>
          </w:tcPr>
          <w:p w:rsidR="00524549" w:rsidRDefault="00524549" w:rsidP="00524549">
            <w:pPr>
              <w:pStyle w:val="Normal1linespace"/>
              <w:widowControl w:val="0"/>
              <w:jc w:val="left"/>
            </w:pPr>
          </w:p>
        </w:tc>
      </w:tr>
      <w:tr w:rsidR="00815559" w:rsidTr="003B4367">
        <w:tc>
          <w:tcPr>
            <w:tcW w:w="3072" w:type="dxa"/>
            <w:shd w:val="clear" w:color="auto" w:fill="auto"/>
          </w:tcPr>
          <w:p w:rsidR="00815559" w:rsidRDefault="00815559" w:rsidP="00815559">
            <w:pPr>
              <w:pStyle w:val="Normal1linespace"/>
              <w:widowControl w:val="0"/>
              <w:jc w:val="left"/>
            </w:pPr>
            <w:bookmarkStart w:id="11" w:name="Counsel" w:colFirst="0" w:colLast="2"/>
            <w:bookmarkEnd w:id="9"/>
            <w:r>
              <w:t>Counsel for the Appellant:</w:t>
            </w:r>
          </w:p>
        </w:tc>
        <w:tc>
          <w:tcPr>
            <w:tcW w:w="5966" w:type="dxa"/>
            <w:gridSpan w:val="2"/>
            <w:shd w:val="clear" w:color="auto" w:fill="auto"/>
          </w:tcPr>
          <w:p w:rsidR="00815559" w:rsidRDefault="00815559" w:rsidP="00815559">
            <w:pPr>
              <w:pStyle w:val="Normal1linespace"/>
              <w:widowControl w:val="0"/>
              <w:jc w:val="left"/>
            </w:pPr>
            <w:bookmarkStart w:id="12" w:name="AppCounsel"/>
            <w:bookmarkEnd w:id="12"/>
            <w:r>
              <w:t>The appellant appeared in person via telephone</w:t>
            </w:r>
          </w:p>
        </w:tc>
      </w:tr>
      <w:tr w:rsidR="00815559" w:rsidTr="003B4367">
        <w:tc>
          <w:tcPr>
            <w:tcW w:w="3072" w:type="dxa"/>
            <w:shd w:val="clear" w:color="auto" w:fill="auto"/>
          </w:tcPr>
          <w:p w:rsidR="00815559" w:rsidRDefault="00815559" w:rsidP="00815559">
            <w:pPr>
              <w:pStyle w:val="Normal1linespace"/>
              <w:widowControl w:val="0"/>
              <w:jc w:val="left"/>
            </w:pPr>
          </w:p>
        </w:tc>
        <w:tc>
          <w:tcPr>
            <w:tcW w:w="5966" w:type="dxa"/>
            <w:gridSpan w:val="2"/>
            <w:shd w:val="clear" w:color="auto" w:fill="auto"/>
          </w:tcPr>
          <w:p w:rsidR="00815559" w:rsidRDefault="00815559" w:rsidP="00815559">
            <w:pPr>
              <w:pStyle w:val="Normal1linespace"/>
              <w:widowControl w:val="0"/>
              <w:jc w:val="left"/>
            </w:pPr>
          </w:p>
        </w:tc>
      </w:tr>
      <w:tr w:rsidR="00815559" w:rsidTr="003B4367">
        <w:tc>
          <w:tcPr>
            <w:tcW w:w="3072" w:type="dxa"/>
            <w:shd w:val="clear" w:color="auto" w:fill="auto"/>
          </w:tcPr>
          <w:p w:rsidR="00815559" w:rsidRDefault="00815559" w:rsidP="00815559">
            <w:pPr>
              <w:pStyle w:val="Normal1linespace"/>
              <w:widowControl w:val="0"/>
              <w:jc w:val="left"/>
            </w:pPr>
            <w:r>
              <w:t>Counsel for the First Respondent:</w:t>
            </w:r>
          </w:p>
        </w:tc>
        <w:tc>
          <w:tcPr>
            <w:tcW w:w="5966" w:type="dxa"/>
            <w:gridSpan w:val="2"/>
            <w:shd w:val="clear" w:color="auto" w:fill="auto"/>
          </w:tcPr>
          <w:p w:rsidR="00815559" w:rsidRDefault="00815559" w:rsidP="00815559">
            <w:pPr>
              <w:pStyle w:val="Normal1linespace"/>
              <w:widowControl w:val="0"/>
              <w:jc w:val="left"/>
            </w:pPr>
            <w:r>
              <w:t>The First Respondent filed a submitting notice</w:t>
            </w:r>
          </w:p>
        </w:tc>
      </w:tr>
      <w:tr w:rsidR="00815559" w:rsidTr="003B4367">
        <w:tc>
          <w:tcPr>
            <w:tcW w:w="3072" w:type="dxa"/>
            <w:shd w:val="clear" w:color="auto" w:fill="auto"/>
          </w:tcPr>
          <w:p w:rsidR="00815559" w:rsidRDefault="00815559" w:rsidP="00815559">
            <w:pPr>
              <w:pStyle w:val="Normal1linespace"/>
              <w:widowControl w:val="0"/>
              <w:jc w:val="left"/>
            </w:pPr>
          </w:p>
        </w:tc>
        <w:tc>
          <w:tcPr>
            <w:tcW w:w="5966" w:type="dxa"/>
            <w:gridSpan w:val="2"/>
            <w:shd w:val="clear" w:color="auto" w:fill="auto"/>
          </w:tcPr>
          <w:p w:rsidR="00815559" w:rsidRDefault="00815559" w:rsidP="00815559">
            <w:pPr>
              <w:pStyle w:val="Normal1linespace"/>
              <w:widowControl w:val="0"/>
              <w:jc w:val="left"/>
            </w:pPr>
          </w:p>
        </w:tc>
      </w:tr>
      <w:tr w:rsidR="00815559" w:rsidTr="003B4367">
        <w:tc>
          <w:tcPr>
            <w:tcW w:w="3072" w:type="dxa"/>
            <w:shd w:val="clear" w:color="auto" w:fill="auto"/>
          </w:tcPr>
          <w:p w:rsidR="00815559" w:rsidRDefault="00815559" w:rsidP="00815559">
            <w:pPr>
              <w:pStyle w:val="Normal1linespace"/>
              <w:widowControl w:val="0"/>
              <w:jc w:val="left"/>
            </w:pPr>
            <w:r>
              <w:t>Counsel for the Second Respondent:</w:t>
            </w:r>
          </w:p>
        </w:tc>
        <w:tc>
          <w:tcPr>
            <w:tcW w:w="5966" w:type="dxa"/>
            <w:gridSpan w:val="2"/>
            <w:shd w:val="clear" w:color="auto" w:fill="auto"/>
          </w:tcPr>
          <w:p w:rsidR="00815559" w:rsidRDefault="00FD2A7B" w:rsidP="00815559">
            <w:pPr>
              <w:pStyle w:val="Normal1linespace"/>
              <w:widowControl w:val="0"/>
              <w:jc w:val="left"/>
            </w:pPr>
            <w:r>
              <w:t>Mr </w:t>
            </w:r>
            <w:r w:rsidR="00815559">
              <w:t>T Eteuati appeared via MS Teams</w:t>
            </w:r>
          </w:p>
        </w:tc>
      </w:tr>
      <w:tr w:rsidR="00815559" w:rsidTr="003B4367">
        <w:tc>
          <w:tcPr>
            <w:tcW w:w="3072" w:type="dxa"/>
            <w:shd w:val="clear" w:color="auto" w:fill="auto"/>
          </w:tcPr>
          <w:p w:rsidR="00815559" w:rsidRDefault="00815559" w:rsidP="00815559">
            <w:pPr>
              <w:pStyle w:val="Normal1linespace"/>
              <w:widowControl w:val="0"/>
              <w:jc w:val="left"/>
            </w:pPr>
          </w:p>
        </w:tc>
        <w:tc>
          <w:tcPr>
            <w:tcW w:w="5966" w:type="dxa"/>
            <w:gridSpan w:val="2"/>
            <w:shd w:val="clear" w:color="auto" w:fill="auto"/>
          </w:tcPr>
          <w:p w:rsidR="00815559" w:rsidRDefault="00815559" w:rsidP="00815559">
            <w:pPr>
              <w:pStyle w:val="Normal1linespace"/>
              <w:widowControl w:val="0"/>
              <w:jc w:val="left"/>
            </w:pPr>
          </w:p>
        </w:tc>
      </w:tr>
      <w:tr w:rsidR="00815559" w:rsidTr="003B4367">
        <w:tc>
          <w:tcPr>
            <w:tcW w:w="3072" w:type="dxa"/>
            <w:shd w:val="clear" w:color="auto" w:fill="auto"/>
          </w:tcPr>
          <w:p w:rsidR="00815559" w:rsidRPr="005B7C9E" w:rsidRDefault="00815559" w:rsidP="00815559">
            <w:pPr>
              <w:pStyle w:val="Normal1linespace"/>
              <w:widowControl w:val="0"/>
              <w:jc w:val="left"/>
            </w:pPr>
            <w:r w:rsidRPr="005B7C9E">
              <w:t>Solicitor for the Second Respondent:</w:t>
            </w:r>
          </w:p>
        </w:tc>
        <w:tc>
          <w:tcPr>
            <w:tcW w:w="5966" w:type="dxa"/>
            <w:gridSpan w:val="2"/>
            <w:shd w:val="clear" w:color="auto" w:fill="auto"/>
          </w:tcPr>
          <w:p w:rsidR="00815559" w:rsidRPr="005B7C9E" w:rsidRDefault="00815559" w:rsidP="00815559">
            <w:pPr>
              <w:pStyle w:val="Normal1linespace"/>
              <w:widowControl w:val="0"/>
              <w:jc w:val="left"/>
            </w:pPr>
            <w:r w:rsidRPr="005B7C9E">
              <w:t>Australian Government Solicitor</w:t>
            </w:r>
            <w:r w:rsidR="00C278CD" w:rsidRPr="005B7C9E">
              <w:t xml:space="preserve"> </w:t>
            </w:r>
            <w:r w:rsidR="005E246C" w:rsidRPr="005B7C9E">
              <w:t>appeared via MS </w:t>
            </w:r>
            <w:r w:rsidR="00C278CD" w:rsidRPr="005B7C9E">
              <w:t>Teams</w:t>
            </w:r>
          </w:p>
        </w:tc>
      </w:tr>
      <w:bookmarkEnd w:id="11"/>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3B4367" w:rsidP="00F92355">
            <w:pPr>
              <w:pStyle w:val="NormalHeadings"/>
              <w:jc w:val="right"/>
            </w:pPr>
            <w:bookmarkStart w:id="13" w:name="FileNo"/>
            <w:r>
              <w:t>QUD 413 of 2021</w:t>
            </w:r>
            <w:bookmarkEnd w:id="13"/>
          </w:p>
        </w:tc>
      </w:tr>
      <w:tr w:rsidR="00A76C13" w:rsidTr="00AC7548">
        <w:tc>
          <w:tcPr>
            <w:tcW w:w="9242" w:type="dxa"/>
            <w:gridSpan w:val="3"/>
          </w:tcPr>
          <w:p w:rsidR="00A76C13" w:rsidRPr="00A76C13" w:rsidRDefault="003B4367" w:rsidP="003B4367">
            <w:pPr>
              <w:pStyle w:val="NormalHeadings"/>
              <w:jc w:val="left"/>
            </w:pPr>
            <w:bookmarkStart w:id="14" w:name="InTheMatterOf"/>
            <w:r>
              <w:t xml:space="preserve"> </w:t>
            </w:r>
            <w:bookmarkEnd w:id="14"/>
          </w:p>
        </w:tc>
      </w:tr>
      <w:tr w:rsidR="00A46CCC" w:rsidTr="00AC7548">
        <w:trPr>
          <w:trHeight w:val="386"/>
        </w:trPr>
        <w:tc>
          <w:tcPr>
            <w:tcW w:w="2376" w:type="dxa"/>
          </w:tcPr>
          <w:p w:rsidR="00A46CCC" w:rsidRDefault="00A46CCC" w:rsidP="00AC7548">
            <w:pPr>
              <w:pStyle w:val="NormalHeadings"/>
              <w:jc w:val="left"/>
              <w:rPr>
                <w:caps/>
                <w:szCs w:val="24"/>
              </w:rPr>
            </w:pPr>
            <w:bookmarkStart w:id="15" w:name="Parties"/>
            <w:r>
              <w:rPr>
                <w:caps/>
                <w:szCs w:val="24"/>
              </w:rPr>
              <w:t>BETWEEN:</w:t>
            </w:r>
          </w:p>
        </w:tc>
        <w:tc>
          <w:tcPr>
            <w:tcW w:w="6866" w:type="dxa"/>
            <w:gridSpan w:val="2"/>
          </w:tcPr>
          <w:p w:rsidR="003B4367" w:rsidRDefault="003B4367" w:rsidP="003B4367">
            <w:pPr>
              <w:pStyle w:val="NormalHeadings"/>
              <w:jc w:val="left"/>
            </w:pPr>
            <w:bookmarkStart w:id="16" w:name="Applicant"/>
            <w:r>
              <w:t>MAGDY BIBAWI</w:t>
            </w:r>
          </w:p>
          <w:p w:rsidR="003B4367" w:rsidRDefault="003B4367" w:rsidP="003B4367">
            <w:pPr>
              <w:pStyle w:val="PartyType"/>
            </w:pPr>
            <w:r>
              <w:t>Appellant</w:t>
            </w:r>
          </w:p>
          <w:bookmarkEnd w:id="16"/>
          <w:p w:rsidR="00A46CCC" w:rsidRPr="006555B4" w:rsidRDefault="00A46CCC" w:rsidP="00AC7548">
            <w:pPr>
              <w:pStyle w:val="NormalHeadings"/>
              <w:jc w:val="left"/>
            </w:pPr>
          </w:p>
        </w:tc>
      </w:tr>
      <w:tr w:rsidR="00A46CCC" w:rsidTr="00AC7548">
        <w:trPr>
          <w:trHeight w:val="386"/>
        </w:trPr>
        <w:tc>
          <w:tcPr>
            <w:tcW w:w="2376" w:type="dxa"/>
          </w:tcPr>
          <w:p w:rsidR="00A46CCC" w:rsidRDefault="00A46CCC" w:rsidP="00AC7548">
            <w:pPr>
              <w:pStyle w:val="NormalHeadings"/>
              <w:jc w:val="left"/>
              <w:rPr>
                <w:caps/>
                <w:szCs w:val="24"/>
              </w:rPr>
            </w:pPr>
            <w:r>
              <w:rPr>
                <w:caps/>
                <w:szCs w:val="24"/>
              </w:rPr>
              <w:t>AND:</w:t>
            </w:r>
          </w:p>
        </w:tc>
        <w:tc>
          <w:tcPr>
            <w:tcW w:w="6866" w:type="dxa"/>
            <w:gridSpan w:val="2"/>
          </w:tcPr>
          <w:p w:rsidR="003B4367" w:rsidRDefault="003B4367" w:rsidP="003B4367">
            <w:pPr>
              <w:pStyle w:val="NormalHeadings"/>
              <w:jc w:val="left"/>
            </w:pPr>
            <w:bookmarkStart w:id="17" w:name="Respondent"/>
            <w:r>
              <w:t>AUSTRALIAN HUMAN RIGHTS COMMISSION</w:t>
            </w:r>
          </w:p>
          <w:p w:rsidR="003B4367" w:rsidRDefault="003B4367" w:rsidP="003B4367">
            <w:pPr>
              <w:pStyle w:val="PartyType"/>
            </w:pPr>
            <w:r>
              <w:t>First Respondent</w:t>
            </w:r>
          </w:p>
          <w:p w:rsidR="003B4367" w:rsidRDefault="003B4367" w:rsidP="00AC7548">
            <w:pPr>
              <w:pStyle w:val="NormalHeadings"/>
              <w:jc w:val="left"/>
            </w:pPr>
          </w:p>
          <w:p w:rsidR="003B4367" w:rsidRDefault="003B4367" w:rsidP="003B4367">
            <w:pPr>
              <w:pStyle w:val="NormalHeadings"/>
              <w:jc w:val="left"/>
            </w:pPr>
            <w:r>
              <w:t>COMMONWEALTH ATTORNEY GENERAL</w:t>
            </w:r>
          </w:p>
          <w:p w:rsidR="003B4367" w:rsidRDefault="003B4367" w:rsidP="003B4367">
            <w:pPr>
              <w:pStyle w:val="PartyType"/>
            </w:pPr>
            <w:r>
              <w:t>Second Respondent</w:t>
            </w:r>
          </w:p>
          <w:bookmarkEnd w:id="17"/>
          <w:p w:rsidR="00A46CCC" w:rsidRPr="006555B4" w:rsidRDefault="00A46CCC" w:rsidP="00AC7548">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3B4367">
            <w:pPr>
              <w:pStyle w:val="NormalHeadings"/>
              <w:jc w:val="left"/>
              <w:rPr>
                <w:caps/>
                <w:szCs w:val="24"/>
              </w:rPr>
            </w:pPr>
            <w:bookmarkStart w:id="20" w:name="Judge"/>
            <w:r>
              <w:rPr>
                <w:caps/>
                <w:szCs w:val="24"/>
              </w:rPr>
              <w:t>RANGIAH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3B4367">
            <w:pPr>
              <w:pStyle w:val="NormalHeadings"/>
              <w:jc w:val="left"/>
              <w:rPr>
                <w:caps/>
                <w:szCs w:val="24"/>
              </w:rPr>
            </w:pPr>
            <w:bookmarkStart w:id="21" w:name="Judgment_Dated"/>
            <w:r>
              <w:rPr>
                <w:caps/>
                <w:szCs w:val="24"/>
              </w:rPr>
              <w:t>24 MAY 2022</w:t>
            </w:r>
            <w:bookmarkEnd w:id="21"/>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0C5A42" w:rsidRDefault="00964AC9" w:rsidP="000C5A42">
      <w:pPr>
        <w:pStyle w:val="Order1"/>
      </w:pPr>
      <w:r>
        <w:t xml:space="preserve">The </w:t>
      </w:r>
      <w:r w:rsidR="000C5A42" w:rsidRPr="000C5A42">
        <w:t xml:space="preserve">appeal </w:t>
      </w:r>
      <w:r w:rsidR="000C5A42">
        <w:t>i</w:t>
      </w:r>
      <w:r w:rsidR="000C5A42" w:rsidRPr="000C5A42">
        <w:t>s dismissed.</w:t>
      </w:r>
    </w:p>
    <w:p w:rsidR="001A6C52" w:rsidRDefault="001A6C52" w:rsidP="001A6C52">
      <w:pPr>
        <w:pStyle w:val="BodyText"/>
      </w:pPr>
    </w:p>
    <w:p w:rsidR="00A431E6" w:rsidRDefault="00A431E6" w:rsidP="001A6C52">
      <w:pPr>
        <w:pStyle w:val="BodyText"/>
      </w:pPr>
    </w:p>
    <w:p w:rsidR="0050309C" w:rsidRDefault="003B4367" w:rsidP="004D53E5">
      <w:pPr>
        <w:pStyle w:val="SingleSpace"/>
      </w:pPr>
      <w:bookmarkStart w:id="22" w:name="OrdersStatement"/>
      <w:r>
        <w:t>Note:</w:t>
      </w:r>
      <w:r>
        <w:tab/>
        <w:t xml:space="preserve">Entry of orders is dealt with in Rule 39.32 of the </w:t>
      </w:r>
      <w:r>
        <w:rPr>
          <w:i/>
        </w:rPr>
        <w:t>Federal Court Rules 2011</w:t>
      </w:r>
      <w:r>
        <w:t>.</w:t>
      </w:r>
      <w:bookmarkEnd w:id="22"/>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694BEB" w:rsidRDefault="00F20B3F" w:rsidP="005E0510">
      <w:pPr>
        <w:pStyle w:val="NormalHeadings"/>
        <w:spacing w:line="360" w:lineRule="auto"/>
        <w:jc w:val="left"/>
        <w:rPr>
          <w:sz w:val="26"/>
          <w:szCs w:val="26"/>
        </w:rPr>
      </w:pPr>
      <w:r>
        <w:rPr>
          <w:sz w:val="26"/>
          <w:szCs w:val="26"/>
        </w:rPr>
        <w:t>RANGIAH J:</w:t>
      </w:r>
    </w:p>
    <w:p w:rsidR="00581CA2" w:rsidRDefault="00581CA2" w:rsidP="00581CA2">
      <w:pPr>
        <w:pStyle w:val="ParaNumbering"/>
      </w:pPr>
      <w:r>
        <w:t xml:space="preserve">On 9 October 2021, the first respondent (the </w:t>
      </w:r>
      <w:r>
        <w:rPr>
          <w:b/>
        </w:rPr>
        <w:t>Commission</w:t>
      </w:r>
      <w:r>
        <w:t xml:space="preserve">) decided that the appellant’s “complaint” did not satisfy the requirement of </w:t>
      </w:r>
      <w:r w:rsidRPr="00FD2A7B">
        <w:t>s </w:t>
      </w:r>
      <w:proofErr w:type="gramStart"/>
      <w:r w:rsidRPr="00FD2A7B">
        <w:t>46P(</w:t>
      </w:r>
      <w:proofErr w:type="gramEnd"/>
      <w:r w:rsidRPr="00FD2A7B">
        <w:t xml:space="preserve">1A) of the </w:t>
      </w:r>
      <w:r w:rsidRPr="00FD2A7B">
        <w:rPr>
          <w:i/>
        </w:rPr>
        <w:t>Australian Human Rights Commission Act 1986</w:t>
      </w:r>
      <w:r w:rsidRPr="00FD2A7B">
        <w:t xml:space="preserve"> (Cth)</w:t>
      </w:r>
      <w:r>
        <w:t xml:space="preserve"> (the </w:t>
      </w:r>
      <w:r w:rsidRPr="00D44F42">
        <w:rPr>
          <w:b/>
        </w:rPr>
        <w:t>Act</w:t>
      </w:r>
      <w:r>
        <w:t>) that it be, “reasonably arguable that the alleged acts, omissions or practices are unlawful discrimination”.</w:t>
      </w:r>
    </w:p>
    <w:p w:rsidR="00581CA2" w:rsidRDefault="00817998" w:rsidP="00581CA2">
      <w:pPr>
        <w:pStyle w:val="ParaNumbering"/>
      </w:pPr>
      <w:r>
        <w:t xml:space="preserve">On 24 November 2021, </w:t>
      </w:r>
      <w:r w:rsidR="00A67F4C">
        <w:t>Greenwood J</w:t>
      </w:r>
      <w:r w:rsidR="00D460D0">
        <w:t xml:space="preserve"> </w:t>
      </w:r>
      <w:r w:rsidR="00581CA2">
        <w:t xml:space="preserve">(the </w:t>
      </w:r>
      <w:r w:rsidR="00581CA2" w:rsidRPr="00581CA2">
        <w:rPr>
          <w:b/>
        </w:rPr>
        <w:t>primary judge</w:t>
      </w:r>
      <w:r w:rsidR="00581CA2">
        <w:t xml:space="preserve">) </w:t>
      </w:r>
      <w:r w:rsidR="00D460D0">
        <w:t xml:space="preserve">dismissed the </w:t>
      </w:r>
      <w:r w:rsidR="00EF5498">
        <w:t>appellant</w:t>
      </w:r>
      <w:r w:rsidR="00815559">
        <w:t>’</w:t>
      </w:r>
      <w:r w:rsidR="00D460D0">
        <w:t>s appl</w:t>
      </w:r>
      <w:r w:rsidR="00581CA2">
        <w:t>ication for judicial review of the Commission’s decision</w:t>
      </w:r>
      <w:r>
        <w:t xml:space="preserve">: </w:t>
      </w:r>
      <w:r w:rsidRPr="00FD2A7B">
        <w:rPr>
          <w:i/>
        </w:rPr>
        <w:t>Bibawi v Australian Human Rights Commission</w:t>
      </w:r>
      <w:r w:rsidRPr="00FD2A7B">
        <w:t xml:space="preserve"> [2021] FCA 1476</w:t>
      </w:r>
      <w:r w:rsidR="00581CA2">
        <w:t>. The appellant has appealed against that judgment.</w:t>
      </w:r>
    </w:p>
    <w:p w:rsidR="00817998" w:rsidRPr="006933AD" w:rsidRDefault="00D460D0" w:rsidP="00817998">
      <w:pPr>
        <w:pStyle w:val="ParaNumbering"/>
      </w:pPr>
      <w:r w:rsidRPr="006933AD">
        <w:t xml:space="preserve">On </w:t>
      </w:r>
      <w:r w:rsidR="005B7C9E">
        <w:t>11</w:t>
      </w:r>
      <w:r w:rsidRPr="006933AD">
        <w:t xml:space="preserve"> February 2022, the second respondent file</w:t>
      </w:r>
      <w:r w:rsidR="00520014" w:rsidRPr="006933AD">
        <w:t>d</w:t>
      </w:r>
      <w:r w:rsidRPr="006933AD">
        <w:t xml:space="preserve"> an interlocutory application seeking summary judgment on the basis that, relevantly, the appellant has no reasonable prospects of successfully prosecuting the appeal.</w:t>
      </w:r>
      <w:r w:rsidR="00817998" w:rsidRPr="006933AD">
        <w:t xml:space="preserve"> </w:t>
      </w:r>
      <w:r w:rsidR="00891667" w:rsidRPr="006933AD">
        <w:t>On</w:t>
      </w:r>
      <w:r w:rsidR="005B7C9E">
        <w:t xml:space="preserve"> 2 February 2022,</w:t>
      </w:r>
      <w:r w:rsidR="00891667" w:rsidRPr="006933AD">
        <w:t xml:space="preserve"> </w:t>
      </w:r>
      <w:r w:rsidR="00FD2A7B" w:rsidRPr="006933AD">
        <w:t>Mr </w:t>
      </w:r>
      <w:r w:rsidR="000C5A42" w:rsidRPr="006933AD">
        <w:t>Bibawi</w:t>
      </w:r>
      <w:r w:rsidR="00891667" w:rsidRPr="006933AD">
        <w:t xml:space="preserve"> </w:t>
      </w:r>
      <w:r w:rsidRPr="006933AD">
        <w:t>filed an interlocutory application seeking, relevantly, leave to adduce new evidence in the appeal in the form of three affidavits.</w:t>
      </w:r>
    </w:p>
    <w:p w:rsidR="00817998" w:rsidRDefault="00D460D0" w:rsidP="00D460D0">
      <w:pPr>
        <w:pStyle w:val="ParaNumbering"/>
      </w:pPr>
      <w:r>
        <w:t xml:space="preserve">The parties consented to the determination of the </w:t>
      </w:r>
      <w:r w:rsidR="004A0BDC">
        <w:t xml:space="preserve">second respondent’s interlocutory application </w:t>
      </w:r>
      <w:r>
        <w:t xml:space="preserve">on the papers.  </w:t>
      </w:r>
      <w:r w:rsidR="004A0BDC">
        <w:t>These reasons deal with that</w:t>
      </w:r>
      <w:r w:rsidR="00817998">
        <w:t xml:space="preserve"> interlocu</w:t>
      </w:r>
      <w:r w:rsidR="004A0BDC">
        <w:t>tory application</w:t>
      </w:r>
      <w:r w:rsidR="00817998">
        <w:t xml:space="preserve">. </w:t>
      </w:r>
    </w:p>
    <w:p w:rsidR="00D460D0" w:rsidRDefault="00D460D0" w:rsidP="00817998">
      <w:pPr>
        <w:pStyle w:val="ParaNumbering"/>
      </w:pPr>
      <w:r>
        <w:t>Both parties have file</w:t>
      </w:r>
      <w:r w:rsidR="00A67F4C">
        <w:t>d</w:t>
      </w:r>
      <w:r>
        <w:t xml:space="preserve"> written submissions.  </w:t>
      </w:r>
      <w:r w:rsidR="00FD2A7B">
        <w:t>Mr </w:t>
      </w:r>
      <w:r w:rsidR="000C5A42">
        <w:t>Bibawi</w:t>
      </w:r>
      <w:r>
        <w:t xml:space="preserve"> has filed some </w:t>
      </w:r>
      <w:r w:rsidR="005C6784">
        <w:t>19</w:t>
      </w:r>
      <w:r>
        <w:t xml:space="preserve"> affidavits</w:t>
      </w:r>
      <w:r w:rsidR="00817998">
        <w:t>,</w:t>
      </w:r>
      <w:r w:rsidR="00581CA2">
        <w:t xml:space="preserve"> which I take to contain evidence</w:t>
      </w:r>
      <w:r w:rsidR="00817998">
        <w:t xml:space="preserve"> intended to be</w:t>
      </w:r>
      <w:r w:rsidR="00581CA2">
        <w:t xml:space="preserve"> responsive to the second respondent’s application and </w:t>
      </w:r>
      <w:r w:rsidR="004A0BDC">
        <w:t xml:space="preserve">additional </w:t>
      </w:r>
      <w:r w:rsidR="00581CA2">
        <w:t xml:space="preserve">evidence </w:t>
      </w:r>
      <w:r w:rsidR="004A0BDC">
        <w:t>he would seek</w:t>
      </w:r>
      <w:r w:rsidR="00581CA2">
        <w:t xml:space="preserve"> to adduce in the appeal.</w:t>
      </w:r>
    </w:p>
    <w:p w:rsidR="00D460D0" w:rsidRDefault="00D460D0" w:rsidP="00D460D0">
      <w:pPr>
        <w:pStyle w:val="ParaNumbering"/>
      </w:pPr>
      <w:r>
        <w:t xml:space="preserve">It is necessary to describe the complaint made to the </w:t>
      </w:r>
      <w:r w:rsidR="00695D12">
        <w:t>Commission</w:t>
      </w:r>
      <w:r>
        <w:t xml:space="preserve"> and the </w:t>
      </w:r>
      <w:r w:rsidR="00A67F4C">
        <w:t>judgment</w:t>
      </w:r>
      <w:r>
        <w:t xml:space="preserve"> of </w:t>
      </w:r>
      <w:r w:rsidR="00A67F4C">
        <w:t>Greenwood J</w:t>
      </w:r>
      <w:r>
        <w:t xml:space="preserve"> in order to give context to the interlocutory applications presently before </w:t>
      </w:r>
      <w:r w:rsidR="00A67F4C">
        <w:t>the Court</w:t>
      </w:r>
      <w:r>
        <w:t>.</w:t>
      </w:r>
    </w:p>
    <w:p w:rsidR="00D460D0" w:rsidRDefault="00D460D0" w:rsidP="00581CA2">
      <w:pPr>
        <w:pStyle w:val="ParaNumbering"/>
      </w:pPr>
      <w:r>
        <w:t xml:space="preserve">On 1 May 2020, </w:t>
      </w:r>
      <w:r w:rsidR="00FD2A7B">
        <w:t>Mr </w:t>
      </w:r>
      <w:r w:rsidR="000C5A42">
        <w:t>Bibawi</w:t>
      </w:r>
      <w:r>
        <w:t xml:space="preserve"> made a complaint to the </w:t>
      </w:r>
      <w:r w:rsidR="00695D12">
        <w:t>Commission</w:t>
      </w:r>
      <w:r>
        <w:t xml:space="preserve"> </w:t>
      </w:r>
      <w:r w:rsidR="00360E22">
        <w:t>naming two respondents</w:t>
      </w:r>
      <w:r>
        <w:t xml:space="preserve">, the Premier of Queensland and Ms Valerie Kellett (his neighbour).  The complaint was to the effect that </w:t>
      </w:r>
      <w:r w:rsidR="00FD2A7B">
        <w:t>Mr </w:t>
      </w:r>
      <w:r>
        <w:t>B</w:t>
      </w:r>
      <w:r w:rsidR="0006340C">
        <w:t>ibawi</w:t>
      </w:r>
      <w:r>
        <w:t xml:space="preserve"> had been victimised </w:t>
      </w:r>
      <w:r w:rsidR="0006340C">
        <w:t>and</w:t>
      </w:r>
      <w:r>
        <w:t xml:space="preserve"> force</w:t>
      </w:r>
      <w:r w:rsidR="0006340C">
        <w:t>d</w:t>
      </w:r>
      <w:r>
        <w:t xml:space="preserve"> to stop working as a teacher; that he would be admitted to hospital against his will; and that he was being intimidated and threatened.  </w:t>
      </w:r>
      <w:r w:rsidR="00817998">
        <w:t>T</w:t>
      </w:r>
      <w:r>
        <w:t xml:space="preserve">he </w:t>
      </w:r>
      <w:r w:rsidR="00EF5498">
        <w:t>appellant</w:t>
      </w:r>
      <w:r>
        <w:t xml:space="preserve"> </w:t>
      </w:r>
      <w:r w:rsidR="002E0C76">
        <w:t xml:space="preserve">then </w:t>
      </w:r>
      <w:r w:rsidR="0006340C">
        <w:t>sent</w:t>
      </w:r>
      <w:r>
        <w:t xml:space="preserve"> </w:t>
      </w:r>
      <w:r w:rsidR="00817998">
        <w:t xml:space="preserve">numerous </w:t>
      </w:r>
      <w:r>
        <w:t xml:space="preserve">emails to the </w:t>
      </w:r>
      <w:r w:rsidR="00695D12">
        <w:t>Commission</w:t>
      </w:r>
      <w:r w:rsidR="005453DB">
        <w:t xml:space="preserve"> making complaints</w:t>
      </w:r>
      <w:r>
        <w:t xml:space="preserve"> </w:t>
      </w:r>
      <w:r w:rsidR="005453DB">
        <w:t xml:space="preserve">against a variety of other persons, </w:t>
      </w:r>
      <w:r>
        <w:t>including tenants in his housing complex</w:t>
      </w:r>
      <w:r w:rsidR="00817998">
        <w:t>,</w:t>
      </w:r>
      <w:r>
        <w:t xml:space="preserve"> </w:t>
      </w:r>
      <w:r w:rsidR="002E0C76">
        <w:t xml:space="preserve">Education Queensland, the Department of Housing and Public Works, </w:t>
      </w:r>
      <w:r>
        <w:t xml:space="preserve">Queensland </w:t>
      </w:r>
      <w:r w:rsidR="0006340C">
        <w:t xml:space="preserve">Police Service </w:t>
      </w:r>
      <w:r>
        <w:t>and Flight Centre.</w:t>
      </w:r>
      <w:r w:rsidR="00581CA2">
        <w:t xml:space="preserve"> </w:t>
      </w:r>
      <w:r w:rsidR="002E0C76">
        <w:t xml:space="preserve">The Commission understood </w:t>
      </w:r>
      <w:r w:rsidR="00FD2A7B">
        <w:t>Mr </w:t>
      </w:r>
      <w:r w:rsidR="002E0C76">
        <w:t>Bibawi</w:t>
      </w:r>
      <w:r w:rsidR="005B7C9E">
        <w:t>’s</w:t>
      </w:r>
      <w:r w:rsidR="002E0C76">
        <w:t xml:space="preserve"> </w:t>
      </w:r>
      <w:r w:rsidR="005453DB">
        <w:t xml:space="preserve">complaint of unlawful discrimination to primarily be </w:t>
      </w:r>
      <w:r w:rsidR="002E0C76">
        <w:t xml:space="preserve">that </w:t>
      </w:r>
      <w:r w:rsidR="002E0C76">
        <w:lastRenderedPageBreak/>
        <w:t>he was being victimised</w:t>
      </w:r>
      <w:r w:rsidR="005453DB">
        <w:t xml:space="preserve"> </w:t>
      </w:r>
      <w:r w:rsidR="002E0C76">
        <w:t xml:space="preserve">in contravention of </w:t>
      </w:r>
      <w:r w:rsidR="002E0C76" w:rsidRPr="00FD2A7B">
        <w:t xml:space="preserve">s 42 of the </w:t>
      </w:r>
      <w:r w:rsidR="002E0C76" w:rsidRPr="00FD2A7B">
        <w:rPr>
          <w:i/>
        </w:rPr>
        <w:t>Disability Discrimination Act</w:t>
      </w:r>
      <w:r w:rsidR="002E0C76" w:rsidRPr="00FD2A7B">
        <w:t xml:space="preserve"> </w:t>
      </w:r>
      <w:r w:rsidR="002E0C76" w:rsidRPr="00FD2A7B">
        <w:rPr>
          <w:i/>
        </w:rPr>
        <w:t>1992</w:t>
      </w:r>
      <w:r w:rsidR="002E0C76" w:rsidRPr="00FD2A7B">
        <w:t xml:space="preserve"> (Cth)</w:t>
      </w:r>
      <w:r w:rsidR="002E0C76">
        <w:t xml:space="preserve"> as a result of having made previous complaints to the Commission in 2011, 2018 and 2019.</w:t>
      </w:r>
    </w:p>
    <w:p w:rsidR="00D460D0" w:rsidRDefault="00D460D0" w:rsidP="00D460D0">
      <w:pPr>
        <w:pStyle w:val="ParaNumbering"/>
      </w:pPr>
      <w:r>
        <w:t xml:space="preserve">Section </w:t>
      </w:r>
      <w:proofErr w:type="gramStart"/>
      <w:r>
        <w:t>46P(</w:t>
      </w:r>
      <w:proofErr w:type="gramEnd"/>
      <w:r w:rsidR="004D2546">
        <w:t>1</w:t>
      </w:r>
      <w:r>
        <w:t xml:space="preserve">) of </w:t>
      </w:r>
      <w:r w:rsidR="00D44F42">
        <w:t>the Act</w:t>
      </w:r>
      <w:r>
        <w:t xml:space="preserve"> provides, relevantly, that a written complaint may be lodged with the </w:t>
      </w:r>
      <w:r w:rsidR="00695D12">
        <w:t>Commission</w:t>
      </w:r>
      <w:r>
        <w:t xml:space="preserve"> alleging that one or more acts have been done </w:t>
      </w:r>
      <w:r w:rsidR="00817998">
        <w:t>and</w:t>
      </w:r>
      <w:r>
        <w:t xml:space="preserve"> those acts are unlaw</w:t>
      </w:r>
      <w:r w:rsidR="004D2546">
        <w:t xml:space="preserve">ful discrimination.  Section </w:t>
      </w:r>
      <w:proofErr w:type="gramStart"/>
      <w:r w:rsidR="004D2546">
        <w:t>4</w:t>
      </w:r>
      <w:r>
        <w:t>6P(</w:t>
      </w:r>
      <w:proofErr w:type="gramEnd"/>
      <w:r>
        <w:t xml:space="preserve">1A) provides that, </w:t>
      </w:r>
      <w:r w:rsidR="00F11C51">
        <w:t>“</w:t>
      </w:r>
      <w:r w:rsidR="00CE0AE1">
        <w:t xml:space="preserve">It </w:t>
      </w:r>
      <w:r>
        <w:t>must be reasonably arguable that the alleged acts, omissions or practices are unlawful discrimination.</w:t>
      </w:r>
      <w:r w:rsidR="00F11C51">
        <w:t>”</w:t>
      </w:r>
    </w:p>
    <w:p w:rsidR="00D460D0" w:rsidRDefault="00E61442" w:rsidP="00D460D0">
      <w:pPr>
        <w:pStyle w:val="ParaNumbering"/>
      </w:pPr>
      <w:r>
        <w:t xml:space="preserve">In a letter to </w:t>
      </w:r>
      <w:r w:rsidR="00FD2A7B">
        <w:t>Mr </w:t>
      </w:r>
      <w:r>
        <w:t>Bibawi dated</w:t>
      </w:r>
      <w:r w:rsidR="00D460D0">
        <w:t xml:space="preserve"> 9</w:t>
      </w:r>
      <w:r w:rsidR="00CE0AE1">
        <w:t xml:space="preserve"> October </w:t>
      </w:r>
      <w:r w:rsidR="00D460D0">
        <w:t>2020, the Commissioner</w:t>
      </w:r>
      <w:r>
        <w:t xml:space="preserve"> stated</w:t>
      </w:r>
      <w:r w:rsidR="00D460D0">
        <w:t>:</w:t>
      </w:r>
    </w:p>
    <w:p w:rsidR="00D460D0" w:rsidRDefault="00CE0AE1" w:rsidP="00D460D0">
      <w:pPr>
        <w:pStyle w:val="Quote1"/>
      </w:pPr>
      <w:r>
        <w:t xml:space="preserve">On </w:t>
      </w:r>
      <w:r w:rsidR="00D460D0">
        <w:t xml:space="preserve">the information you have provided I consider that you have not met the requirements for lodging a complaint with the </w:t>
      </w:r>
      <w:r w:rsidR="00695D12">
        <w:t>Commission</w:t>
      </w:r>
      <w:r w:rsidR="00D460D0">
        <w:t>, as you have not met the requirement that it is reasonably arguable that the acts or practices you have alleged constitute unlawful discrimination.</w:t>
      </w:r>
    </w:p>
    <w:p w:rsidR="00D460D0" w:rsidRDefault="00465C04" w:rsidP="00D460D0">
      <w:pPr>
        <w:pStyle w:val="ParaNumbering"/>
      </w:pPr>
      <w:r>
        <w:t>T</w:t>
      </w:r>
      <w:r w:rsidR="00D460D0">
        <w:t xml:space="preserve">he </w:t>
      </w:r>
      <w:r w:rsidR="00695D12">
        <w:t>Commission</w:t>
      </w:r>
      <w:r w:rsidR="00E61442">
        <w:t xml:space="preserve"> observed</w:t>
      </w:r>
      <w:r w:rsidR="00D460D0">
        <w:t>:</w:t>
      </w:r>
    </w:p>
    <w:p w:rsidR="005453DB" w:rsidRDefault="003651ED" w:rsidP="005453DB">
      <w:pPr>
        <w:pStyle w:val="Quote1"/>
      </w:pPr>
      <w:r>
        <w:t>However</w:t>
      </w:r>
      <w:r w:rsidR="00D460D0">
        <w:t xml:space="preserve">, having considered the extensive documents you </w:t>
      </w:r>
      <w:r w:rsidR="005B7C9E">
        <w:t xml:space="preserve">have </w:t>
      </w:r>
      <w:r w:rsidR="00D460D0">
        <w:t xml:space="preserve">provided to the </w:t>
      </w:r>
      <w:r w:rsidR="00695D12">
        <w:t>Commission</w:t>
      </w:r>
      <w:r w:rsidR="00D460D0">
        <w:t xml:space="preserve">, </w:t>
      </w:r>
      <w:r>
        <w:t>there does</w:t>
      </w:r>
      <w:r w:rsidR="005B7C9E">
        <w:t xml:space="preserve"> not appear </w:t>
      </w:r>
      <w:r w:rsidR="00D460D0">
        <w:t>any information to support a reason</w:t>
      </w:r>
      <w:r w:rsidR="005B7C9E">
        <w:t>ably arguable claim that you were</w:t>
      </w:r>
      <w:r w:rsidR="00D460D0">
        <w:t xml:space="preserve"> subjected to a detriment </w:t>
      </w:r>
      <w:r w:rsidR="00D460D0" w:rsidRPr="003651ED">
        <w:rPr>
          <w:i/>
        </w:rPr>
        <w:t>because</w:t>
      </w:r>
      <w:r w:rsidR="00D460D0">
        <w:t xml:space="preserve"> of your complaints of unlawful discrimination to this </w:t>
      </w:r>
      <w:r>
        <w:t xml:space="preserve">Commission, </w:t>
      </w:r>
      <w:r w:rsidR="00D460D0">
        <w:t>or that you</w:t>
      </w:r>
      <w:r>
        <w:t>r pa</w:t>
      </w:r>
      <w:r w:rsidR="00D460D0">
        <w:t>s</w:t>
      </w:r>
      <w:r>
        <w:t>t</w:t>
      </w:r>
      <w:r w:rsidR="00D460D0">
        <w:t xml:space="preserve"> complaints could reasonably arguably be considered </w:t>
      </w:r>
      <w:r w:rsidR="00D460D0" w:rsidRPr="003651ED">
        <w:rPr>
          <w:i/>
        </w:rPr>
        <w:t xml:space="preserve">a </w:t>
      </w:r>
      <w:r w:rsidR="005B7C9E">
        <w:rPr>
          <w:i/>
        </w:rPr>
        <w:t>‘</w:t>
      </w:r>
      <w:r w:rsidR="00D460D0" w:rsidRPr="003651ED">
        <w:rPr>
          <w:i/>
        </w:rPr>
        <w:t>substantial and operative factor</w:t>
      </w:r>
      <w:r w:rsidR="005B7C9E">
        <w:rPr>
          <w:i/>
        </w:rPr>
        <w:t>’</w:t>
      </w:r>
      <w:r w:rsidR="00D460D0">
        <w:t xml:space="preserve"> in any detriment you say you have experienced</w:t>
      </w:r>
      <w:r>
        <w:t>.</w:t>
      </w:r>
    </w:p>
    <w:p w:rsidR="005453DB" w:rsidRDefault="005B7C9E" w:rsidP="005453DB">
      <w:pPr>
        <w:pStyle w:val="ParaNumbering"/>
      </w:pPr>
      <w:r>
        <w:t>In</w:t>
      </w:r>
      <w:r w:rsidR="005453DB">
        <w:t xml:space="preserve"> </w:t>
      </w:r>
      <w:r w:rsidR="00E61442">
        <w:t>finding</w:t>
      </w:r>
      <w:r w:rsidR="005453DB">
        <w:t xml:space="preserve"> there was a requirement that </w:t>
      </w:r>
      <w:r w:rsidR="00FD2A7B">
        <w:t>Mr </w:t>
      </w:r>
      <w:r w:rsidR="005453DB">
        <w:t xml:space="preserve">Bibawi demonstrate a reasonably arguable case that his past complaints were a “substantial and operative factor”, the Commission cited the judgment of Buchanan J in </w:t>
      </w:r>
      <w:r w:rsidR="005453DB" w:rsidRPr="00FD2A7B">
        <w:rPr>
          <w:i/>
        </w:rPr>
        <w:t xml:space="preserve">Penhall-Jones v New South Wales </w:t>
      </w:r>
      <w:r w:rsidR="005453DB" w:rsidRPr="00FD2A7B">
        <w:t>[2007] FCA 925</w:t>
      </w:r>
      <w:r w:rsidR="003B4367">
        <w:t>.</w:t>
      </w:r>
    </w:p>
    <w:p w:rsidR="005453DB" w:rsidRDefault="005453DB" w:rsidP="005453DB">
      <w:pPr>
        <w:pStyle w:val="ParaNumbering"/>
      </w:pPr>
      <w:r>
        <w:t>The Commission also addressed any claim</w:t>
      </w:r>
      <w:r w:rsidR="00E61442">
        <w:t>s</w:t>
      </w:r>
      <w:r>
        <w:t xml:space="preserve"> of discrimination </w:t>
      </w:r>
      <w:r w:rsidR="00E61442">
        <w:t xml:space="preserve">that </w:t>
      </w:r>
      <w:r w:rsidR="00FD2A7B">
        <w:t>Mr </w:t>
      </w:r>
      <w:r w:rsidR="00E61442">
        <w:t>Bibawi was making</w:t>
      </w:r>
      <w:r>
        <w:t>:</w:t>
      </w:r>
    </w:p>
    <w:p w:rsidR="005453DB" w:rsidRDefault="005453DB" w:rsidP="005453DB">
      <w:pPr>
        <w:pStyle w:val="Quote1"/>
      </w:pPr>
      <w:r>
        <w:t xml:space="preserve">In addition to your claim of victimisation, you </w:t>
      </w:r>
      <w:r w:rsidR="005B7C9E">
        <w:t xml:space="preserve">also </w:t>
      </w:r>
      <w:r>
        <w:t>make reference to discrimination and racial profiling in relation to</w:t>
      </w:r>
      <w:r w:rsidR="005B7C9E">
        <w:t xml:space="preserve"> the</w:t>
      </w:r>
      <w:r>
        <w:t xml:space="preserve"> activities that you witness of individuals who are both known to you and strangers (at least some of whom you claim the undercover police watching you).  I appreciate </w:t>
      </w:r>
      <w:r w:rsidR="005B7C9E">
        <w:t xml:space="preserve">that </w:t>
      </w:r>
      <w:r>
        <w:t xml:space="preserve">you have genuine concerns about individuals you encounter in your daily life, however the information you have provided to the Commission does not support a reasonably arguable claim of discrimination under </w:t>
      </w:r>
      <w:r w:rsidR="00613364">
        <w:t xml:space="preserve">the </w:t>
      </w:r>
      <w:r>
        <w:t>federal discrimination laws administered by the Commission.</w:t>
      </w:r>
    </w:p>
    <w:p w:rsidR="00E61442" w:rsidRDefault="00E61442" w:rsidP="00D460D0">
      <w:pPr>
        <w:pStyle w:val="ParaNumbering"/>
      </w:pPr>
      <w:r>
        <w:t>The Commission concluded:</w:t>
      </w:r>
    </w:p>
    <w:p w:rsidR="00E61442" w:rsidRPr="00E61442" w:rsidRDefault="003B4367" w:rsidP="003B4367">
      <w:pPr>
        <w:pStyle w:val="Quote1"/>
      </w:pPr>
      <w:r w:rsidRPr="003B4367">
        <w:t>For the above reasons, I consider that you have not met the requirements for making a valid complaint of unlawful discrimination under section 46P of the AHRCA. Therefore, the Investigation and Conciliation Service of the Commission will not be taking any action in relation to your correspondence.</w:t>
      </w:r>
    </w:p>
    <w:p w:rsidR="00D460D0" w:rsidRDefault="00FD2A7B" w:rsidP="00613364">
      <w:pPr>
        <w:pStyle w:val="ParaNumbering"/>
        <w:keepNext/>
        <w:keepLines/>
      </w:pPr>
      <w:r>
        <w:lastRenderedPageBreak/>
        <w:t>Mr </w:t>
      </w:r>
      <w:r w:rsidR="00C76F65">
        <w:t>Bibawi</w:t>
      </w:r>
      <w:r w:rsidR="00815559">
        <w:t>’</w:t>
      </w:r>
      <w:r w:rsidR="00465C04">
        <w:t>s application for judicial review of the Commission’s decision was</w:t>
      </w:r>
      <w:r w:rsidR="00D460D0">
        <w:t xml:space="preserve"> made under the </w:t>
      </w:r>
      <w:r w:rsidR="00C76F65" w:rsidRPr="00FD2A7B">
        <w:rPr>
          <w:i/>
        </w:rPr>
        <w:t xml:space="preserve">Administrative Decisions (Judicial Review) Act </w:t>
      </w:r>
      <w:r w:rsidR="00D460D0" w:rsidRPr="00FD2A7B">
        <w:rPr>
          <w:i/>
        </w:rPr>
        <w:t>1977</w:t>
      </w:r>
      <w:r w:rsidR="00D460D0" w:rsidRPr="00FD2A7B">
        <w:t xml:space="preserve"> </w:t>
      </w:r>
      <w:r w:rsidR="00C76F65" w:rsidRPr="00FD2A7B">
        <w:t>(Cth)</w:t>
      </w:r>
      <w:r w:rsidR="00D460D0">
        <w:t xml:space="preserve">.  The primary judge observed that </w:t>
      </w:r>
      <w:r>
        <w:t>Mr </w:t>
      </w:r>
      <w:r w:rsidR="0040184E">
        <w:t>Bibawi’s</w:t>
      </w:r>
      <w:r w:rsidR="00D460D0">
        <w:t xml:space="preserve"> </w:t>
      </w:r>
      <w:r w:rsidR="00465C04">
        <w:t>two main propositions appeared to be</w:t>
      </w:r>
      <w:r w:rsidR="00D460D0">
        <w:t xml:space="preserve">: there was reviewable error </w:t>
      </w:r>
      <w:r w:rsidR="0040184E">
        <w:t xml:space="preserve">on the </w:t>
      </w:r>
      <w:r w:rsidR="00D460D0">
        <w:t xml:space="preserve">ground that the </w:t>
      </w:r>
      <w:r w:rsidR="0040184E">
        <w:t xml:space="preserve">Commission </w:t>
      </w:r>
      <w:r w:rsidR="00D460D0">
        <w:t xml:space="preserve">ought to have examined his complaint not only under </w:t>
      </w:r>
      <w:r w:rsidR="00F11C51">
        <w:t>s </w:t>
      </w:r>
      <w:r w:rsidR="00D460D0">
        <w:t xml:space="preserve">42 of the </w:t>
      </w:r>
      <w:r w:rsidR="0040184E" w:rsidRPr="0040184E">
        <w:rPr>
          <w:i/>
        </w:rPr>
        <w:t>Disability Discrimination Act</w:t>
      </w:r>
      <w:r w:rsidR="0040184E">
        <w:rPr>
          <w:i/>
        </w:rPr>
        <w:t xml:space="preserve"> 1992 </w:t>
      </w:r>
      <w:r w:rsidR="0040184E">
        <w:t>(Cth)</w:t>
      </w:r>
      <w:r w:rsidR="00D460D0">
        <w:t xml:space="preserve">, </w:t>
      </w:r>
      <w:r w:rsidR="0040184E">
        <w:t xml:space="preserve">but </w:t>
      </w:r>
      <w:r w:rsidR="00D460D0">
        <w:t xml:space="preserve">also under </w:t>
      </w:r>
      <w:r w:rsidR="00F11C51" w:rsidRPr="00FD2A7B">
        <w:t>s </w:t>
      </w:r>
      <w:r w:rsidR="00D460D0" w:rsidRPr="00FD2A7B">
        <w:t xml:space="preserve">26 and </w:t>
      </w:r>
      <w:r w:rsidR="00F11C51" w:rsidRPr="00FD2A7B">
        <w:t>s </w:t>
      </w:r>
      <w:r w:rsidR="00D460D0" w:rsidRPr="00FD2A7B">
        <w:t xml:space="preserve">32 </w:t>
      </w:r>
      <w:r w:rsidR="00D460D0">
        <w:t>of th</w:t>
      </w:r>
      <w:r w:rsidR="005B7C9E">
        <w:t>e</w:t>
      </w:r>
      <w:r w:rsidR="00D460D0">
        <w:t xml:space="preserve"> </w:t>
      </w:r>
      <w:r w:rsidR="0040184E">
        <w:t>Act</w:t>
      </w:r>
      <w:r w:rsidR="00465C04">
        <w:t xml:space="preserve">; and, </w:t>
      </w:r>
      <w:r w:rsidR="00D460D0">
        <w:t>there was confusion in the decision about what was properly under examination, giving rise to error</w:t>
      </w:r>
      <w:r w:rsidR="0040184E">
        <w:t>.</w:t>
      </w:r>
      <w:r w:rsidR="00D460D0">
        <w:t xml:space="preserve"> </w:t>
      </w:r>
    </w:p>
    <w:p w:rsidR="00465C04" w:rsidRDefault="00817998" w:rsidP="00465C04">
      <w:pPr>
        <w:pStyle w:val="ParaNumbering"/>
      </w:pPr>
      <w:r>
        <w:t xml:space="preserve">Before the primary judge, </w:t>
      </w:r>
      <w:r w:rsidR="00FD2A7B">
        <w:t>Mr </w:t>
      </w:r>
      <w:r w:rsidR="000C5A42">
        <w:t>Bibawi</w:t>
      </w:r>
      <w:r w:rsidR="00D460D0">
        <w:t xml:space="preserve"> relied upon a mass of material that was </w:t>
      </w:r>
      <w:r w:rsidR="00761BDA">
        <w:t xml:space="preserve">not </w:t>
      </w:r>
      <w:r w:rsidR="00D460D0">
        <w:t xml:space="preserve">before the </w:t>
      </w:r>
      <w:r w:rsidR="00695D12">
        <w:t>Commission</w:t>
      </w:r>
      <w:r w:rsidR="00761BDA">
        <w:t xml:space="preserve">.  </w:t>
      </w:r>
      <w:r w:rsidR="00465C04">
        <w:t xml:space="preserve">The primary judge held that the </w:t>
      </w:r>
      <w:r w:rsidR="003171A8">
        <w:t xml:space="preserve">new </w:t>
      </w:r>
      <w:r w:rsidR="00465C04">
        <w:t>material that post-dated the decision was not relevant in an applica</w:t>
      </w:r>
      <w:r>
        <w:t>tion for judicial review of the Commission’s</w:t>
      </w:r>
      <w:r w:rsidR="00465C04">
        <w:t xml:space="preserve"> decision. In addition, h</w:t>
      </w:r>
      <w:r w:rsidR="00D460D0">
        <w:t xml:space="preserve">is Honour was not satisfied that the </w:t>
      </w:r>
      <w:r w:rsidR="003171A8">
        <w:t xml:space="preserve">new </w:t>
      </w:r>
      <w:r w:rsidR="00D460D0">
        <w:t>material which pre</w:t>
      </w:r>
      <w:r w:rsidR="00761BDA">
        <w:t>-</w:t>
      </w:r>
      <w:r w:rsidR="00D460D0">
        <w:t>dated the decision was relevant to any</w:t>
      </w:r>
      <w:r w:rsidR="005B7C9E">
        <w:t xml:space="preserve"> ground of judicial review. </w:t>
      </w:r>
      <w:r>
        <w:t>That</w:t>
      </w:r>
      <w:r w:rsidR="00D460D0">
        <w:t xml:space="preserve"> material was not before the </w:t>
      </w:r>
      <w:r w:rsidR="00695D12">
        <w:t>Commission</w:t>
      </w:r>
      <w:r w:rsidR="00D460D0">
        <w:t xml:space="preserve"> and it was not demonstrated </w:t>
      </w:r>
      <w:r w:rsidR="005B7C9E">
        <w:t xml:space="preserve">to </w:t>
      </w:r>
      <w:r w:rsidR="00D460D0">
        <w:t xml:space="preserve">have any logical connection in advancing the contention that the decision was not supported by evidence.  </w:t>
      </w:r>
    </w:p>
    <w:p w:rsidR="00465C04" w:rsidRDefault="00817998" w:rsidP="00465C04">
      <w:pPr>
        <w:pStyle w:val="ParaNumbering"/>
      </w:pPr>
      <w:r>
        <w:t xml:space="preserve">Turning to consider what appeared to be </w:t>
      </w:r>
      <w:r w:rsidR="00FD2A7B">
        <w:t>Mr </w:t>
      </w:r>
      <w:r>
        <w:t>Bibawi’s grounds, t</w:t>
      </w:r>
      <w:r w:rsidR="00465C04">
        <w:t>he primary judge</w:t>
      </w:r>
      <w:r w:rsidR="00D460D0">
        <w:t xml:space="preserve"> held that the </w:t>
      </w:r>
      <w:r w:rsidR="00EF5498">
        <w:t>appellant</w:t>
      </w:r>
      <w:r w:rsidR="00815559">
        <w:t>’</w:t>
      </w:r>
      <w:r w:rsidR="00D460D0">
        <w:t xml:space="preserve">s general complaint </w:t>
      </w:r>
      <w:r w:rsidR="00BB57FC">
        <w:t xml:space="preserve">that </w:t>
      </w:r>
      <w:r w:rsidR="00D460D0">
        <w:t xml:space="preserve">there was no evidence to support </w:t>
      </w:r>
      <w:r w:rsidR="00BB57FC">
        <w:t>the decision could not succeed.</w:t>
      </w:r>
      <w:r w:rsidR="00465C04">
        <w:t xml:space="preserve"> </w:t>
      </w:r>
    </w:p>
    <w:p w:rsidR="00D460D0" w:rsidRDefault="00817998" w:rsidP="00465C04">
      <w:pPr>
        <w:pStyle w:val="ParaNumbering"/>
      </w:pPr>
      <w:r>
        <w:t>H</w:t>
      </w:r>
      <w:r w:rsidR="00BB57FC">
        <w:t xml:space="preserve">is Honour considered it </w:t>
      </w:r>
      <w:r w:rsidR="00D460D0">
        <w:t xml:space="preserve">was clear the </w:t>
      </w:r>
      <w:r w:rsidR="00695D12">
        <w:t>Commission</w:t>
      </w:r>
      <w:r w:rsidR="00D460D0">
        <w:t xml:space="preserve"> had identif</w:t>
      </w:r>
      <w:r w:rsidR="00465C04">
        <w:t>ied and summarised each of the</w:t>
      </w:r>
      <w:r w:rsidR="00D460D0">
        <w:t xml:space="preserve"> claims</w:t>
      </w:r>
      <w:r w:rsidR="00465C04">
        <w:t xml:space="preserve"> made by </w:t>
      </w:r>
      <w:r w:rsidR="00FD2A7B">
        <w:t>Mr </w:t>
      </w:r>
      <w:r w:rsidR="00465C04">
        <w:t xml:space="preserve">Bibawi and </w:t>
      </w:r>
      <w:r w:rsidR="00D460D0">
        <w:t xml:space="preserve">was not satisfied that they were not considered by the </w:t>
      </w:r>
      <w:r w:rsidR="00695D12">
        <w:t>Commission</w:t>
      </w:r>
      <w:r w:rsidR="00D460D0">
        <w:t>.</w:t>
      </w:r>
    </w:p>
    <w:p w:rsidR="00D460D0" w:rsidRDefault="00D460D0" w:rsidP="00D460D0">
      <w:pPr>
        <w:pStyle w:val="ParaNumbering"/>
      </w:pPr>
      <w:r>
        <w:t xml:space="preserve">His </w:t>
      </w:r>
      <w:r w:rsidR="00BB57FC">
        <w:t xml:space="preserve">Honour </w:t>
      </w:r>
      <w:r>
        <w:t xml:space="preserve">held that </w:t>
      </w:r>
      <w:r w:rsidR="00FD2A7B">
        <w:t>Mr </w:t>
      </w:r>
      <w:r w:rsidR="000C5A42">
        <w:t>Bibawi</w:t>
      </w:r>
      <w:r>
        <w:t xml:space="preserve"> had failed to identify any basis whatsoever for his allegation of bad faith on the part of the decision-maker.</w:t>
      </w:r>
    </w:p>
    <w:p w:rsidR="00D460D0" w:rsidRDefault="00D460D0" w:rsidP="00D460D0">
      <w:pPr>
        <w:pStyle w:val="ParaNumbering"/>
      </w:pPr>
      <w:r>
        <w:t xml:space="preserve">The </w:t>
      </w:r>
      <w:r w:rsidR="00EF5498">
        <w:t>appellant</w:t>
      </w:r>
      <w:r w:rsidR="00BB57FC">
        <w:t>’</w:t>
      </w:r>
      <w:r>
        <w:t xml:space="preserve">s next </w:t>
      </w:r>
      <w:r w:rsidR="00BB57FC">
        <w:t>g</w:t>
      </w:r>
      <w:r>
        <w:t xml:space="preserve">round was that the </w:t>
      </w:r>
      <w:r w:rsidR="00695D12">
        <w:t>Commission</w:t>
      </w:r>
      <w:r>
        <w:t xml:space="preserve"> had lied and had made a</w:t>
      </w:r>
      <w:r w:rsidR="005B7C9E">
        <w:t xml:space="preserve"> number of factual errors. </w:t>
      </w:r>
      <w:r>
        <w:t xml:space="preserve">His Honour held that the </w:t>
      </w:r>
      <w:r w:rsidR="00EF5498">
        <w:t>appellant</w:t>
      </w:r>
      <w:r>
        <w:t xml:space="preserve"> was simply expressing emphatic disagreement of conclusions made by the decision-maker.  His Honour held that </w:t>
      </w:r>
      <w:r w:rsidR="00FD2A7B">
        <w:t>Mr </w:t>
      </w:r>
      <w:r w:rsidR="00C76F65">
        <w:t>Bibawi</w:t>
      </w:r>
      <w:r>
        <w:t xml:space="preserve"> had </w:t>
      </w:r>
      <w:r w:rsidR="00BB57FC">
        <w:t>been un</w:t>
      </w:r>
      <w:r>
        <w:t>able to identify any basis upon which it could be said that the</w:t>
      </w:r>
      <w:r w:rsidR="005B7C9E">
        <w:t>re was</w:t>
      </w:r>
      <w:r>
        <w:t xml:space="preserve"> no justification for the making of the decision.</w:t>
      </w:r>
    </w:p>
    <w:p w:rsidR="00D460D0" w:rsidRDefault="00D460D0" w:rsidP="00465C04">
      <w:pPr>
        <w:pStyle w:val="ParaNumbering"/>
      </w:pPr>
      <w:r>
        <w:t xml:space="preserve">His Honour considered the </w:t>
      </w:r>
      <w:r w:rsidR="00EF5498">
        <w:t>appellant</w:t>
      </w:r>
      <w:r w:rsidR="00815559">
        <w:t>’</w:t>
      </w:r>
      <w:r>
        <w:t xml:space="preserve">s </w:t>
      </w:r>
      <w:r w:rsidR="00465C04">
        <w:t>contention that the Commission</w:t>
      </w:r>
      <w:r>
        <w:t xml:space="preserve"> </w:t>
      </w:r>
      <w:r w:rsidR="00BB57FC">
        <w:t xml:space="preserve">erred </w:t>
      </w:r>
      <w:r>
        <w:t xml:space="preserve">by failing to appreciate that his complaint was being made under </w:t>
      </w:r>
      <w:r w:rsidR="00F11C51">
        <w:t>s </w:t>
      </w:r>
      <w:r>
        <w:t>26 and</w:t>
      </w:r>
      <w:r w:rsidRPr="00FD2A7B">
        <w:t xml:space="preserve"> </w:t>
      </w:r>
      <w:r w:rsidR="00BB57FC" w:rsidRPr="00FD2A7B">
        <w:t>s </w:t>
      </w:r>
      <w:r w:rsidRPr="00FD2A7B">
        <w:t xml:space="preserve">31 </w:t>
      </w:r>
      <w:r>
        <w:t xml:space="preserve">of </w:t>
      </w:r>
      <w:r w:rsidR="00D44F42">
        <w:t>the Act</w:t>
      </w:r>
      <w:r>
        <w:t xml:space="preserve">, </w:t>
      </w:r>
      <w:r w:rsidR="00F11C51">
        <w:t>s </w:t>
      </w:r>
      <w:r>
        <w:t xml:space="preserve">42 of the </w:t>
      </w:r>
      <w:r w:rsidR="00BB57FC" w:rsidRPr="00BB57FC">
        <w:rPr>
          <w:i/>
        </w:rPr>
        <w:t xml:space="preserve">Disability Discrimination Act </w:t>
      </w:r>
      <w:r w:rsidR="005B7C9E">
        <w:rPr>
          <w:i/>
        </w:rPr>
        <w:t xml:space="preserve">1992 </w:t>
      </w:r>
      <w:r w:rsidR="005B7C9E">
        <w:t xml:space="preserve">(Cth) </w:t>
      </w:r>
      <w:r>
        <w:t>and</w:t>
      </w:r>
      <w:r w:rsidRPr="00FD2A7B">
        <w:t xml:space="preserve"> </w:t>
      </w:r>
      <w:r w:rsidR="00D44F42" w:rsidRPr="00FD2A7B">
        <w:t>s </w:t>
      </w:r>
      <w:r w:rsidRPr="00FD2A7B">
        <w:t xml:space="preserve">11 and </w:t>
      </w:r>
      <w:r w:rsidR="00D44F42" w:rsidRPr="00FD2A7B">
        <w:t>s 27</w:t>
      </w:r>
      <w:r w:rsidRPr="00FD2A7B">
        <w:t>(</w:t>
      </w:r>
      <w:r w:rsidR="00D44F42" w:rsidRPr="00FD2A7B">
        <w:t>2</w:t>
      </w:r>
      <w:r w:rsidRPr="00FD2A7B">
        <w:t xml:space="preserve">) of the </w:t>
      </w:r>
      <w:r w:rsidR="00D44F42" w:rsidRPr="00FD2A7B">
        <w:rPr>
          <w:i/>
        </w:rPr>
        <w:t>Racial Discrimination Act</w:t>
      </w:r>
      <w:r w:rsidR="00BB57FC" w:rsidRPr="00FD2A7B">
        <w:rPr>
          <w:i/>
        </w:rPr>
        <w:t xml:space="preserve"> 1975 </w:t>
      </w:r>
      <w:r w:rsidR="00BB57FC" w:rsidRPr="00FD2A7B">
        <w:t>(Cth)</w:t>
      </w:r>
      <w:r>
        <w:t>.</w:t>
      </w:r>
      <w:r w:rsidR="00465C04">
        <w:t xml:space="preserve"> </w:t>
      </w:r>
      <w:r>
        <w:t xml:space="preserve">His Honour considered that the notion that the complaint </w:t>
      </w:r>
      <w:r w:rsidR="004D689C">
        <w:t>wa</w:t>
      </w:r>
      <w:r>
        <w:t xml:space="preserve">s made pursuant to </w:t>
      </w:r>
      <w:r w:rsidR="00F11C51">
        <w:t>s </w:t>
      </w:r>
      <w:r>
        <w:t xml:space="preserve">26 and </w:t>
      </w:r>
      <w:r w:rsidR="004D689C">
        <w:t>s </w:t>
      </w:r>
      <w:r>
        <w:t xml:space="preserve">31 of </w:t>
      </w:r>
      <w:r w:rsidR="00D44F42">
        <w:t>the Act</w:t>
      </w:r>
      <w:r>
        <w:t xml:space="preserve"> </w:t>
      </w:r>
      <w:r w:rsidR="005B7C9E">
        <w:t xml:space="preserve">and </w:t>
      </w:r>
      <w:r w:rsidRPr="00FD2A7B">
        <w:t>s</w:t>
      </w:r>
      <w:r w:rsidR="00D44F42" w:rsidRPr="00FD2A7B">
        <w:t> </w:t>
      </w:r>
      <w:r w:rsidRPr="00FD2A7B">
        <w:t xml:space="preserve">11 and </w:t>
      </w:r>
      <w:r w:rsidR="00D44F42" w:rsidRPr="00FD2A7B">
        <w:t>s </w:t>
      </w:r>
      <w:r w:rsidRPr="00FD2A7B">
        <w:t>27(</w:t>
      </w:r>
      <w:r w:rsidR="00D44F42" w:rsidRPr="00FD2A7B">
        <w:t>2</w:t>
      </w:r>
      <w:r w:rsidRPr="00FD2A7B">
        <w:t xml:space="preserve">) </w:t>
      </w:r>
      <w:r w:rsidR="00465C04" w:rsidRPr="00FD2A7B">
        <w:t xml:space="preserve">of the </w:t>
      </w:r>
      <w:r w:rsidR="00465C04" w:rsidRPr="00FD2A7B">
        <w:rPr>
          <w:i/>
        </w:rPr>
        <w:t>Racial Discrimination Act</w:t>
      </w:r>
      <w:r w:rsidR="00465C04">
        <w:t xml:space="preserve"> </w:t>
      </w:r>
      <w:r w:rsidR="005B7C9E">
        <w:rPr>
          <w:i/>
        </w:rPr>
        <w:t xml:space="preserve">1975 </w:t>
      </w:r>
      <w:r w:rsidR="005B7C9E">
        <w:t xml:space="preserve">(Cth) </w:t>
      </w:r>
      <w:r>
        <w:t xml:space="preserve">made </w:t>
      </w:r>
      <w:r>
        <w:lastRenderedPageBreak/>
        <w:t xml:space="preserve">no sense because, in summary, those provisions could not </w:t>
      </w:r>
      <w:r w:rsidR="00465C04">
        <w:t>possibly be engaged in</w:t>
      </w:r>
      <w:r>
        <w:t xml:space="preserve"> the circumstances alleged by </w:t>
      </w:r>
      <w:r w:rsidR="00FD2A7B">
        <w:t>Mr </w:t>
      </w:r>
      <w:r w:rsidR="000C5A42">
        <w:t>Bibawi</w:t>
      </w:r>
      <w:r>
        <w:t xml:space="preserve">.  His Honour concluded that the </w:t>
      </w:r>
      <w:r w:rsidR="00695D12">
        <w:t>Commission</w:t>
      </w:r>
      <w:r>
        <w:t xml:space="preserve"> did not </w:t>
      </w:r>
      <w:r w:rsidR="00A870C9">
        <w:t xml:space="preserve">err </w:t>
      </w:r>
      <w:r w:rsidR="005B7C9E">
        <w:t>in dealing with the complaint as</w:t>
      </w:r>
      <w:r>
        <w:t xml:space="preserve"> anything other than a complaint under </w:t>
      </w:r>
      <w:r w:rsidR="00F11C51">
        <w:t>s </w:t>
      </w:r>
      <w:r w:rsidR="00465C04">
        <w:t xml:space="preserve">42 of the </w:t>
      </w:r>
      <w:r w:rsidR="00465C04" w:rsidRPr="00465C04">
        <w:rPr>
          <w:i/>
        </w:rPr>
        <w:t>Disability Discrimination Act</w:t>
      </w:r>
      <w:r>
        <w:t>.</w:t>
      </w:r>
    </w:p>
    <w:p w:rsidR="00D460D0" w:rsidRDefault="00D460D0" w:rsidP="00D460D0">
      <w:pPr>
        <w:pStyle w:val="ParaNumbering"/>
      </w:pPr>
      <w:r>
        <w:t>The primary judge rejected the</w:t>
      </w:r>
      <w:r w:rsidR="00465C04">
        <w:t xml:space="preserve"> argument that </w:t>
      </w:r>
      <w:r>
        <w:t xml:space="preserve">that the </w:t>
      </w:r>
      <w:r w:rsidR="00695D12">
        <w:t>Commission</w:t>
      </w:r>
      <w:r w:rsidR="00465C04">
        <w:t xml:space="preserve"> erred by failing</w:t>
      </w:r>
      <w:r>
        <w:t xml:space="preserve"> to consider the consequences of its decision, </w:t>
      </w:r>
      <w:r w:rsidR="00FD2A7B">
        <w:t>Mr </w:t>
      </w:r>
      <w:r w:rsidR="00A870C9">
        <w:t xml:space="preserve">Bibawi having asserted </w:t>
      </w:r>
      <w:r w:rsidR="00465C04">
        <w:t xml:space="preserve">those consequences </w:t>
      </w:r>
      <w:r>
        <w:t xml:space="preserve">to be that </w:t>
      </w:r>
      <w:r w:rsidR="00A870C9">
        <w:t xml:space="preserve">he </w:t>
      </w:r>
      <w:r>
        <w:t xml:space="preserve">would be evicted and his mental health would be affected.  His </w:t>
      </w:r>
      <w:r w:rsidR="002F7C23">
        <w:t xml:space="preserve">Honour </w:t>
      </w:r>
      <w:r>
        <w:t xml:space="preserve">held that these were not mandatory relevant considerations and that the only relevant consequence arising from the decision was that the </w:t>
      </w:r>
      <w:r w:rsidR="00EF5498">
        <w:t>appellant</w:t>
      </w:r>
      <w:r w:rsidR="00815559">
        <w:t>’</w:t>
      </w:r>
      <w:r>
        <w:t>s complaint would not then be subject to investigation.</w:t>
      </w:r>
    </w:p>
    <w:p w:rsidR="00D460D0" w:rsidRDefault="0023585F" w:rsidP="00D460D0">
      <w:pPr>
        <w:pStyle w:val="ParaNumbering"/>
      </w:pPr>
      <w:r>
        <w:t>The p</w:t>
      </w:r>
      <w:r w:rsidR="00D460D0">
        <w:t xml:space="preserve">rimary judge concluded that the </w:t>
      </w:r>
      <w:r w:rsidR="00695D12">
        <w:t>Commission</w:t>
      </w:r>
      <w:r w:rsidR="00D460D0">
        <w:t xml:space="preserve"> had not fallen into error in any manner alleged by </w:t>
      </w:r>
      <w:r w:rsidR="00FD2A7B">
        <w:t>Mr </w:t>
      </w:r>
      <w:r w:rsidR="000C5A42">
        <w:t>Bibawi</w:t>
      </w:r>
      <w:r w:rsidR="00D460D0">
        <w:t>.  Accordingly, his Honour dismissed the application.</w:t>
      </w:r>
    </w:p>
    <w:p w:rsidR="0023585F" w:rsidRDefault="00FD2A7B" w:rsidP="0023585F">
      <w:pPr>
        <w:pStyle w:val="ParaNumbering"/>
      </w:pPr>
      <w:r>
        <w:t>Mr </w:t>
      </w:r>
      <w:r w:rsidR="0023585F">
        <w:t>Bibawi was self-represented before the primary judge and remains self-</w:t>
      </w:r>
      <w:r w:rsidR="00A870C9">
        <w:t>represented</w:t>
      </w:r>
      <w:r w:rsidR="0023585F">
        <w:t xml:space="preserve"> in the appeal.  Without intending any disrespect to </w:t>
      </w:r>
      <w:r>
        <w:t>Mr </w:t>
      </w:r>
      <w:r w:rsidR="0023585F">
        <w:t>Bibawi, it is an inescapable fact</w:t>
      </w:r>
      <w:r w:rsidR="00B43A71">
        <w:t xml:space="preserve"> that substantial parts of his Notice of A</w:t>
      </w:r>
      <w:r w:rsidR="0023585F">
        <w:t>ppeal, his written submissions and his affidavits are unintelligible.</w:t>
      </w:r>
    </w:p>
    <w:p w:rsidR="00D460D0" w:rsidRDefault="00FD2A7B" w:rsidP="00D460D0">
      <w:pPr>
        <w:pStyle w:val="ParaNumbering"/>
      </w:pPr>
      <w:r>
        <w:t>Mr </w:t>
      </w:r>
      <w:r w:rsidR="000C5A42">
        <w:t>Bibawi</w:t>
      </w:r>
      <w:r w:rsidR="00815559">
        <w:t>’</w:t>
      </w:r>
      <w:r w:rsidR="00B43A71">
        <w:t>s Notice of A</w:t>
      </w:r>
      <w:r w:rsidR="00D460D0">
        <w:t>p</w:t>
      </w:r>
      <w:r w:rsidR="0023585F">
        <w:t xml:space="preserve">peal commences by alleging </w:t>
      </w:r>
      <w:r w:rsidR="00D460D0">
        <w:t>legal errors</w:t>
      </w:r>
      <w:r w:rsidR="00BB386A">
        <w:t>,</w:t>
      </w:r>
      <w:r w:rsidR="00D460D0">
        <w:t xml:space="preserve"> abuse of power, fail</w:t>
      </w:r>
      <w:r w:rsidR="00B43A71">
        <w:t>ures</w:t>
      </w:r>
      <w:r w:rsidR="00D460D0">
        <w:t xml:space="preserve"> to take into account relevant consideration</w:t>
      </w:r>
      <w:r w:rsidR="00B43A71">
        <w:t>s</w:t>
      </w:r>
      <w:r w:rsidR="00D460D0">
        <w:t xml:space="preserve"> and fraud on the part of the </w:t>
      </w:r>
      <w:r w:rsidR="00695D12">
        <w:t>Commission</w:t>
      </w:r>
      <w:r w:rsidR="00D460D0">
        <w:t xml:space="preserve">.  It goes on to assert that the material he provided </w:t>
      </w:r>
      <w:r w:rsidR="0023585F">
        <w:t xml:space="preserve">to the Commission </w:t>
      </w:r>
      <w:r w:rsidR="00D460D0">
        <w:t>demonstrated a reasonably arguable claim of discrimination.</w:t>
      </w:r>
    </w:p>
    <w:p w:rsidR="00D460D0" w:rsidRDefault="00A870C9" w:rsidP="00D460D0">
      <w:pPr>
        <w:pStyle w:val="ParaNumbering"/>
      </w:pPr>
      <w:r>
        <w:t xml:space="preserve">The </w:t>
      </w:r>
      <w:r w:rsidR="00613364">
        <w:t xml:space="preserve">Notice </w:t>
      </w:r>
      <w:r>
        <w:t xml:space="preserve">of </w:t>
      </w:r>
      <w:r w:rsidR="00613364">
        <w:t xml:space="preserve">Appeal </w:t>
      </w:r>
      <w:r w:rsidR="0023585F">
        <w:t>appears, so</w:t>
      </w:r>
      <w:r w:rsidR="00D460D0">
        <w:t xml:space="preserve"> far as I can understand it, to raise the following particular allegations in respect of the </w:t>
      </w:r>
      <w:r w:rsidR="00A67F4C">
        <w:t>judgment</w:t>
      </w:r>
      <w:r w:rsidR="00D460D0">
        <w:t xml:space="preserve"> of the primary judge:</w:t>
      </w:r>
    </w:p>
    <w:p w:rsidR="00D460D0" w:rsidRDefault="008F08DB" w:rsidP="00B86B3E">
      <w:pPr>
        <w:pStyle w:val="FCBullets"/>
      </w:pPr>
      <w:r>
        <w:t xml:space="preserve">The </w:t>
      </w:r>
      <w:r w:rsidR="00D460D0">
        <w:t>primary judge ignored over 1</w:t>
      </w:r>
      <w:r w:rsidR="00B86B3E">
        <w:t>,</w:t>
      </w:r>
      <w:r w:rsidR="00D460D0">
        <w:t>000 documents concerning</w:t>
      </w:r>
      <w:r w:rsidR="0023585F">
        <w:t>,</w:t>
      </w:r>
      <w:r w:rsidR="00D460D0">
        <w:t xml:space="preserve"> </w:t>
      </w:r>
      <w:r w:rsidR="00F11C51">
        <w:t>“</w:t>
      </w:r>
      <w:r w:rsidR="00D460D0">
        <w:t xml:space="preserve">operations of physically terminating me by shooting, strangling and kidnapping of continuation </w:t>
      </w:r>
      <w:r w:rsidR="00B43A71">
        <w:t>of</w:t>
      </w:r>
      <w:r w:rsidR="00B86B3E">
        <w:t xml:space="preserve"> operation</w:t>
      </w:r>
      <w:r w:rsidR="00B43A71">
        <w:t>s</w:t>
      </w:r>
      <w:r w:rsidR="00B86B3E">
        <w:t xml:space="preserve"> started while A</w:t>
      </w:r>
      <w:r w:rsidR="00D460D0">
        <w:t>HRC</w:t>
      </w:r>
      <w:r w:rsidR="00B43A71">
        <w:t>,</w:t>
      </w:r>
      <w:r w:rsidR="00D460D0">
        <w:t xml:space="preserve"> looking at my complaints…</w:t>
      </w:r>
      <w:proofErr w:type="gramStart"/>
      <w:r w:rsidR="00B86B3E">
        <w:t>”.</w:t>
      </w:r>
      <w:proofErr w:type="gramEnd"/>
    </w:p>
    <w:p w:rsidR="00D460D0" w:rsidRDefault="00D460D0" w:rsidP="00B86B3E">
      <w:pPr>
        <w:pStyle w:val="FCBullets"/>
      </w:pPr>
      <w:r>
        <w:t xml:space="preserve">His Honour ignored a court order from the Queensland </w:t>
      </w:r>
      <w:r w:rsidR="00B86B3E">
        <w:t xml:space="preserve">Civil </w:t>
      </w:r>
      <w:r>
        <w:t xml:space="preserve">and </w:t>
      </w:r>
      <w:r w:rsidR="00B86B3E">
        <w:t xml:space="preserve">Administrative Tribunal </w:t>
      </w:r>
      <w:r w:rsidR="00A870C9">
        <w:t>against a person who had</w:t>
      </w:r>
      <w:r w:rsidR="0023585F">
        <w:t>,</w:t>
      </w:r>
      <w:r w:rsidR="00B43A71">
        <w:t xml:space="preserve"> </w:t>
      </w:r>
      <w:r w:rsidR="00F11C51">
        <w:t>“</w:t>
      </w:r>
      <w:r w:rsidR="00B43A71">
        <w:t>not only prejudice</w:t>
      </w:r>
      <w:r>
        <w:t xml:space="preserve"> me but also tried to kill me</w:t>
      </w:r>
      <w:r w:rsidR="00F11C51">
        <w:t>”</w:t>
      </w:r>
      <w:r>
        <w:t>.</w:t>
      </w:r>
    </w:p>
    <w:p w:rsidR="00D460D0" w:rsidRDefault="00D460D0" w:rsidP="00B86B3E">
      <w:pPr>
        <w:pStyle w:val="FCBullets"/>
      </w:pPr>
      <w:r>
        <w:t>His Honour ignored that</w:t>
      </w:r>
      <w:r w:rsidR="0023585F">
        <w:t>,</w:t>
      </w:r>
      <w:r>
        <w:t xml:space="preserve"> </w:t>
      </w:r>
      <w:r w:rsidR="00F11C51">
        <w:t>“</w:t>
      </w:r>
      <w:r>
        <w:t xml:space="preserve">they cancel my registration as a teacher, they cancel my employment as a supply teacher </w:t>
      </w:r>
      <w:r w:rsidR="00B86B3E">
        <w:t>and</w:t>
      </w:r>
      <w:r>
        <w:t xml:space="preserve"> the</w:t>
      </w:r>
      <w:r w:rsidR="00B86B3E">
        <w:t>y</w:t>
      </w:r>
      <w:r>
        <w:t xml:space="preserve"> cancel my registration as a justice of the peace, they took everything from me and they are trying to take my own life</w:t>
      </w:r>
      <w:r w:rsidR="00B86B3E">
        <w:t>”</w:t>
      </w:r>
      <w:r>
        <w:t>.</w:t>
      </w:r>
    </w:p>
    <w:p w:rsidR="00D460D0" w:rsidRDefault="00D460D0" w:rsidP="00B86B3E">
      <w:pPr>
        <w:pStyle w:val="FCBullets"/>
      </w:pPr>
      <w:r>
        <w:lastRenderedPageBreak/>
        <w:t xml:space="preserve">His Honour continued </w:t>
      </w:r>
      <w:r w:rsidR="00B86B3E">
        <w:t>t</w:t>
      </w:r>
      <w:r>
        <w:t xml:space="preserve">his discrimination against </w:t>
      </w:r>
      <w:r w:rsidR="00FD2A7B">
        <w:t>Mr </w:t>
      </w:r>
      <w:r w:rsidR="000C5A42">
        <w:t>Bibawi</w:t>
      </w:r>
      <w:r>
        <w:t xml:space="preserve"> by writing an inaccurate and misleading </w:t>
      </w:r>
      <w:r w:rsidR="00A67F4C">
        <w:t>judgment</w:t>
      </w:r>
      <w:r>
        <w:t xml:space="preserve"> relying on a fabricated decision of the </w:t>
      </w:r>
      <w:r w:rsidR="00695D12">
        <w:t>Commission</w:t>
      </w:r>
      <w:r>
        <w:t xml:space="preserve"> and an unethical </w:t>
      </w:r>
      <w:r w:rsidR="00B86B3E">
        <w:t xml:space="preserve">and </w:t>
      </w:r>
      <w:r>
        <w:t>fraudulent submission.</w:t>
      </w:r>
    </w:p>
    <w:p w:rsidR="00D460D0" w:rsidRDefault="00D460D0" w:rsidP="00B86B3E">
      <w:pPr>
        <w:pStyle w:val="FCBullets"/>
      </w:pPr>
      <w:r>
        <w:t xml:space="preserve">His Honour said that </w:t>
      </w:r>
      <w:r w:rsidR="00FD2A7B">
        <w:t>Mr </w:t>
      </w:r>
      <w:r w:rsidR="000C5A42">
        <w:t>Bibawi</w:t>
      </w:r>
      <w:r>
        <w:t xml:space="preserve"> had submitted documents consisting of about 1</w:t>
      </w:r>
      <w:r w:rsidR="00B86B3E">
        <w:t>,</w:t>
      </w:r>
      <w:r w:rsidR="00B43A71">
        <w:t>000 pages when in fact</w:t>
      </w:r>
      <w:r>
        <w:t xml:space="preserve"> there were about 2</w:t>
      </w:r>
      <w:r w:rsidR="00B86B3E">
        <w:t>,</w:t>
      </w:r>
      <w:r>
        <w:t>000 pages</w:t>
      </w:r>
      <w:r w:rsidR="00B43A71">
        <w:t>.</w:t>
      </w:r>
    </w:p>
    <w:p w:rsidR="00D460D0" w:rsidRDefault="00B86B3E" w:rsidP="00B86B3E">
      <w:pPr>
        <w:pStyle w:val="FCBullets"/>
      </w:pPr>
      <w:r>
        <w:t xml:space="preserve">The </w:t>
      </w:r>
      <w:r w:rsidR="00A67F4C">
        <w:t>judgment</w:t>
      </w:r>
      <w:r w:rsidR="00D460D0">
        <w:t xml:space="preserve"> is wrong</w:t>
      </w:r>
      <w:r w:rsidR="0023585F">
        <w:t>,</w:t>
      </w:r>
      <w:r w:rsidR="00B43A71">
        <w:t xml:space="preserve"> fraudulent,</w:t>
      </w:r>
      <w:r w:rsidR="00D460D0">
        <w:t xml:space="preserve"> has been fabr</w:t>
      </w:r>
      <w:r>
        <w:t>icated and is an abuse of power.</w:t>
      </w:r>
    </w:p>
    <w:p w:rsidR="00D460D0" w:rsidRDefault="00FD2A7B" w:rsidP="0023585F">
      <w:pPr>
        <w:pStyle w:val="ParaNumbering"/>
      </w:pPr>
      <w:r>
        <w:t>Mr </w:t>
      </w:r>
      <w:r w:rsidR="000C5A42">
        <w:t>Bibawi</w:t>
      </w:r>
      <w:r w:rsidR="00815559">
        <w:t>’</w:t>
      </w:r>
      <w:r w:rsidR="00D460D0">
        <w:t xml:space="preserve">s written submission are very difficult to follow.  </w:t>
      </w:r>
      <w:r w:rsidR="008D0C74">
        <w:t xml:space="preserve">They </w:t>
      </w:r>
      <w:r w:rsidR="00D460D0">
        <w:t>make allegations of police and criminals attempting to kidnap and murder him.  They</w:t>
      </w:r>
      <w:r w:rsidR="0023585F">
        <w:t xml:space="preserve"> refer to racial discrimination and prejudice,</w:t>
      </w:r>
      <w:r w:rsidR="00D460D0">
        <w:t xml:space="preserve"> victimisation and racial profiling.  They allege </w:t>
      </w:r>
      <w:r w:rsidR="0023585F">
        <w:t xml:space="preserve">that </w:t>
      </w:r>
      <w:r w:rsidR="00D460D0">
        <w:t xml:space="preserve">the </w:t>
      </w:r>
      <w:r w:rsidR="00695D12">
        <w:t>Commission</w:t>
      </w:r>
      <w:r w:rsidR="00D460D0">
        <w:t xml:space="preserve"> and the primary judg</w:t>
      </w:r>
      <w:r w:rsidR="0023585F">
        <w:t>e engaged in lies and fraud</w:t>
      </w:r>
      <w:r w:rsidR="00D460D0">
        <w:t xml:space="preserve">.  They allege wrongdoing by a doctor, a </w:t>
      </w:r>
      <w:r w:rsidR="00A870C9">
        <w:t>u</w:t>
      </w:r>
      <w:r w:rsidR="008D0C74">
        <w:t>niversity</w:t>
      </w:r>
      <w:r w:rsidR="00D460D0">
        <w:t>, the Mormon</w:t>
      </w:r>
      <w:r w:rsidR="0023585F">
        <w:t xml:space="preserve"> Ch</w:t>
      </w:r>
      <w:r w:rsidR="00B43A71">
        <w:t>urch,</w:t>
      </w:r>
      <w:r w:rsidR="00D460D0">
        <w:t xml:space="preserve"> the Deputy Premier</w:t>
      </w:r>
      <w:r w:rsidR="0023585F">
        <w:t xml:space="preserve"> of Queensland</w:t>
      </w:r>
      <w:r w:rsidR="00D460D0">
        <w:t xml:space="preserve">, Queensland </w:t>
      </w:r>
      <w:r w:rsidR="008D0C74">
        <w:t>Health</w:t>
      </w:r>
      <w:r w:rsidR="0023585F">
        <w:t xml:space="preserve"> and </w:t>
      </w:r>
      <w:r w:rsidR="008D0C74">
        <w:t>Stepping Stone Clubhouse</w:t>
      </w:r>
      <w:r w:rsidR="00D460D0">
        <w:t xml:space="preserve">.  He complains </w:t>
      </w:r>
      <w:r w:rsidR="008D0C74">
        <w:t xml:space="preserve">that Education </w:t>
      </w:r>
      <w:r w:rsidR="00D460D0">
        <w:t>Queensland suspended his teacher</w:t>
      </w:r>
      <w:r w:rsidR="008D0C74">
        <w:t>’</w:t>
      </w:r>
      <w:r w:rsidR="00D460D0">
        <w:t>s registration</w:t>
      </w:r>
      <w:r w:rsidR="003171A8">
        <w:t>,</w:t>
      </w:r>
      <w:r w:rsidR="00D460D0">
        <w:t xml:space="preserve"> saying that he had a significant mental illness and was a threat to the safety of children.  He alleges that there is a link between the </w:t>
      </w:r>
      <w:r w:rsidR="0023585F">
        <w:t>p</w:t>
      </w:r>
      <w:r w:rsidR="008D0C74">
        <w:t xml:space="preserve">olice, </w:t>
      </w:r>
      <w:r w:rsidR="00D460D0">
        <w:t xml:space="preserve">Queensland </w:t>
      </w:r>
      <w:r w:rsidR="008D0C74">
        <w:t xml:space="preserve">Health </w:t>
      </w:r>
      <w:r w:rsidR="00D460D0">
        <w:t>and senior citizens i</w:t>
      </w:r>
      <w:r w:rsidR="008D0C74">
        <w:t>n his</w:t>
      </w:r>
      <w:r w:rsidR="00D460D0">
        <w:t xml:space="preserve"> housing complex.</w:t>
      </w:r>
    </w:p>
    <w:p w:rsidR="00D460D0" w:rsidRDefault="00FD2A7B" w:rsidP="00D460D0">
      <w:pPr>
        <w:pStyle w:val="ParaNumbering"/>
      </w:pPr>
      <w:r>
        <w:t>Mr </w:t>
      </w:r>
      <w:r w:rsidR="008D0C74">
        <w:t xml:space="preserve">Bibawi’s </w:t>
      </w:r>
      <w:r w:rsidR="00D460D0">
        <w:t xml:space="preserve">written submissions allege that the primary judge did not read the complaint </w:t>
      </w:r>
      <w:r w:rsidR="008D0C74">
        <w:t xml:space="preserve">or </w:t>
      </w:r>
      <w:r w:rsidR="00D460D0">
        <w:t xml:space="preserve">his affidavits and </w:t>
      </w:r>
      <w:r w:rsidR="008D0C74">
        <w:t xml:space="preserve">threw </w:t>
      </w:r>
      <w:r w:rsidR="00D460D0">
        <w:t>an affidavit in the rubbish bin</w:t>
      </w:r>
      <w:r w:rsidR="0023585F">
        <w:t>. They seem</w:t>
      </w:r>
      <w:r w:rsidR="00D460D0">
        <w:t xml:space="preserve"> to </w:t>
      </w:r>
      <w:r w:rsidR="0023585F">
        <w:t xml:space="preserve">assert </w:t>
      </w:r>
      <w:r w:rsidR="00D460D0">
        <w:t xml:space="preserve">that </w:t>
      </w:r>
      <w:r w:rsidR="008D0C74">
        <w:t xml:space="preserve">his </w:t>
      </w:r>
      <w:r w:rsidR="00D460D0">
        <w:t xml:space="preserve">Honour did not provide reasons for dismissing the application.  </w:t>
      </w:r>
      <w:r w:rsidR="0023585F">
        <w:t xml:space="preserve">They allege </w:t>
      </w:r>
      <w:r w:rsidR="00D460D0">
        <w:t xml:space="preserve">that </w:t>
      </w:r>
      <w:r w:rsidR="008D0C74">
        <w:t xml:space="preserve">there </w:t>
      </w:r>
      <w:r w:rsidR="00D460D0">
        <w:t>has been a deliberate attempt from a racist, corrupt government to kill him</w:t>
      </w:r>
      <w:r w:rsidR="0023585F">
        <w:t>,</w:t>
      </w:r>
      <w:r w:rsidR="00D460D0">
        <w:t xml:space="preserve"> and a deliberate attempt from the </w:t>
      </w:r>
      <w:r w:rsidR="00695D12">
        <w:t>Commission</w:t>
      </w:r>
      <w:r w:rsidR="00D460D0">
        <w:t xml:space="preserve"> and the primary judge to cover-up the</w:t>
      </w:r>
      <w:r w:rsidR="008D0C74">
        <w:t>ir</w:t>
      </w:r>
      <w:r w:rsidR="00D460D0">
        <w:t xml:space="preserve"> criminal activities against humanity.  </w:t>
      </w:r>
      <w:r w:rsidR="0023585F">
        <w:t>They seem</w:t>
      </w:r>
      <w:r w:rsidR="00D460D0">
        <w:t xml:space="preserve"> to make a complaint against doctors at the </w:t>
      </w:r>
      <w:r w:rsidR="008D0C74">
        <w:t xml:space="preserve">Princess Alexandra </w:t>
      </w:r>
      <w:r w:rsidR="00D460D0">
        <w:t xml:space="preserve">Hospital who diagnosed </w:t>
      </w:r>
      <w:r w:rsidR="008D0C74">
        <w:t xml:space="preserve">him </w:t>
      </w:r>
      <w:r w:rsidR="00D460D0">
        <w:t xml:space="preserve">with schizophrenia and paranoia and then </w:t>
      </w:r>
      <w:r w:rsidR="00B43A71">
        <w:t xml:space="preserve">allegedly </w:t>
      </w:r>
      <w:r w:rsidR="00D460D0">
        <w:t>injected, handcuf</w:t>
      </w:r>
      <w:r w:rsidR="00B43A71">
        <w:t xml:space="preserve">fed and tried to strangle him. </w:t>
      </w:r>
      <w:r w:rsidR="0023585F">
        <w:t xml:space="preserve">They </w:t>
      </w:r>
      <w:r w:rsidR="00D460D0">
        <w:t xml:space="preserve">make </w:t>
      </w:r>
      <w:r w:rsidR="0023585F">
        <w:t>allegations of wrongdoing</w:t>
      </w:r>
      <w:r w:rsidR="00D460D0">
        <w:t xml:space="preserve"> against the </w:t>
      </w:r>
      <w:r w:rsidR="00695D12">
        <w:t>Commission</w:t>
      </w:r>
      <w:r w:rsidR="00815559">
        <w:t>’</w:t>
      </w:r>
      <w:r w:rsidR="0023585F">
        <w:t>s legal representatives.</w:t>
      </w:r>
    </w:p>
    <w:p w:rsidR="00D460D0" w:rsidRDefault="00D460D0" w:rsidP="00D460D0">
      <w:pPr>
        <w:pStyle w:val="ParaNumbering"/>
      </w:pPr>
      <w:r>
        <w:t xml:space="preserve">The numerous affidavits filed by </w:t>
      </w:r>
      <w:r w:rsidR="00FD2A7B">
        <w:t>Mr </w:t>
      </w:r>
      <w:r w:rsidR="000C5A42">
        <w:t>Bibawi</w:t>
      </w:r>
      <w:r>
        <w:t xml:space="preserve"> do not advance his case.  </w:t>
      </w:r>
      <w:r w:rsidR="002F0FDF">
        <w:t xml:space="preserve">Their </w:t>
      </w:r>
      <w:r>
        <w:t>primary theme seems to be that police</w:t>
      </w:r>
      <w:r w:rsidR="0023585F">
        <w:t>,</w:t>
      </w:r>
      <w:r>
        <w:t xml:space="preserve"> criminals and neighbours wish to kill him.  </w:t>
      </w:r>
      <w:r w:rsidR="002F0FDF">
        <w:t>At o</w:t>
      </w:r>
      <w:r>
        <w:t xml:space="preserve">ne point he seems to complain about an order made for his mental assessment by the </w:t>
      </w:r>
      <w:r w:rsidR="002F0FDF">
        <w:t xml:space="preserve">Magistrates </w:t>
      </w:r>
      <w:r>
        <w:t>Court at Holland Park.</w:t>
      </w:r>
    </w:p>
    <w:p w:rsidR="00D460D0" w:rsidRDefault="00535D77" w:rsidP="003171A8">
      <w:pPr>
        <w:pStyle w:val="ParaNumbering"/>
        <w:keepNext/>
        <w:keepLines/>
      </w:pPr>
      <w:r w:rsidRPr="00FD2A7B">
        <w:t>Section 3</w:t>
      </w:r>
      <w:r w:rsidR="003171A8">
        <w:t>1A</w:t>
      </w:r>
      <w:r w:rsidR="00D460D0" w:rsidRPr="00FD2A7B">
        <w:t>(</w:t>
      </w:r>
      <w:r w:rsidRPr="00FD2A7B">
        <w:t>2</w:t>
      </w:r>
      <w:r w:rsidR="00D460D0" w:rsidRPr="00FD2A7B">
        <w:t xml:space="preserve">) of the </w:t>
      </w:r>
      <w:r w:rsidR="00D460D0" w:rsidRPr="00FD2A7B">
        <w:rPr>
          <w:i/>
        </w:rPr>
        <w:t xml:space="preserve">Federal Court of Australia </w:t>
      </w:r>
      <w:r w:rsidRPr="00FD2A7B">
        <w:rPr>
          <w:i/>
        </w:rPr>
        <w:t xml:space="preserve">Act 1976 </w:t>
      </w:r>
      <w:r w:rsidRPr="00FD2A7B">
        <w:t>(Cth)</w:t>
      </w:r>
      <w:r>
        <w:t xml:space="preserve"> </w:t>
      </w:r>
      <w:r w:rsidR="00AC7548">
        <w:t xml:space="preserve">(the </w:t>
      </w:r>
      <w:r w:rsidR="00AC7548" w:rsidRPr="00AC7548">
        <w:rPr>
          <w:b/>
        </w:rPr>
        <w:t>FCA Act</w:t>
      </w:r>
      <w:r w:rsidR="00AC7548">
        <w:t xml:space="preserve">) </w:t>
      </w:r>
      <w:r w:rsidR="00D460D0">
        <w:t>provides:</w:t>
      </w:r>
    </w:p>
    <w:p w:rsidR="00535D77" w:rsidRDefault="00535D77" w:rsidP="003171A8">
      <w:pPr>
        <w:pStyle w:val="Quote1"/>
        <w:keepNext/>
        <w:keepLines/>
        <w:ind w:left="1440" w:hanging="703"/>
      </w:pPr>
      <w:r>
        <w:t>(2)</w:t>
      </w:r>
      <w:r>
        <w:tab/>
        <w:t>The Court may give judgment for one party against another in relation to the whole or any part of a proceeding if:</w:t>
      </w:r>
    </w:p>
    <w:p w:rsidR="00535D77" w:rsidRDefault="00535D77" w:rsidP="00C914CD">
      <w:pPr>
        <w:pStyle w:val="Quote2"/>
        <w:ind w:left="2160" w:hanging="720"/>
      </w:pPr>
      <w:r>
        <w:t>(a)</w:t>
      </w:r>
      <w:r>
        <w:tab/>
      </w:r>
      <w:proofErr w:type="gramStart"/>
      <w:r>
        <w:t>the</w:t>
      </w:r>
      <w:proofErr w:type="gramEnd"/>
      <w:r>
        <w:t xml:space="preserve"> first party is defending the proceeding or that part of the proceeding; and</w:t>
      </w:r>
    </w:p>
    <w:p w:rsidR="00535D77" w:rsidRDefault="00535D77" w:rsidP="00C914CD">
      <w:pPr>
        <w:pStyle w:val="Quote2"/>
        <w:ind w:left="2160" w:hanging="720"/>
      </w:pPr>
      <w:r>
        <w:lastRenderedPageBreak/>
        <w:t>(b)</w:t>
      </w:r>
      <w:r>
        <w:tab/>
      </w:r>
      <w:proofErr w:type="gramStart"/>
      <w:r>
        <w:t>the</w:t>
      </w:r>
      <w:proofErr w:type="gramEnd"/>
      <w:r>
        <w:t xml:space="preserve"> Court is satisfied that the other party has no reasonable prospect of successfully prosecuting the proceeding or that part of the proceeding.</w:t>
      </w:r>
    </w:p>
    <w:p w:rsidR="00D460D0" w:rsidRDefault="00AC7548" w:rsidP="003171A8">
      <w:pPr>
        <w:pStyle w:val="ParaNumbering"/>
      </w:pPr>
      <w:r w:rsidRPr="00FD2A7B">
        <w:t xml:space="preserve">Rule </w:t>
      </w:r>
      <w:r w:rsidR="00D460D0" w:rsidRPr="00FD2A7B">
        <w:t>26.01</w:t>
      </w:r>
      <w:r w:rsidR="00B43A71">
        <w:t>(1)</w:t>
      </w:r>
      <w:r w:rsidR="00D460D0" w:rsidRPr="00FD2A7B">
        <w:t xml:space="preserve"> of the </w:t>
      </w:r>
      <w:r w:rsidR="00D460D0" w:rsidRPr="00FD2A7B">
        <w:rPr>
          <w:i/>
        </w:rPr>
        <w:t xml:space="preserve">Federal Court </w:t>
      </w:r>
      <w:r w:rsidRPr="00FD2A7B">
        <w:rPr>
          <w:i/>
        </w:rPr>
        <w:t>Rules 2011</w:t>
      </w:r>
      <w:r w:rsidRPr="00FD2A7B">
        <w:t xml:space="preserve"> (Cth)</w:t>
      </w:r>
      <w:r>
        <w:t xml:space="preserve"> </w:t>
      </w:r>
      <w:r w:rsidR="00D460D0">
        <w:t>provides:</w:t>
      </w:r>
    </w:p>
    <w:p w:rsidR="00AC7548" w:rsidRPr="00AC7548" w:rsidRDefault="00AC7548" w:rsidP="003171A8">
      <w:pPr>
        <w:pStyle w:val="Quote1"/>
        <w:rPr>
          <w:b/>
        </w:rPr>
      </w:pPr>
      <w:r w:rsidRPr="00AC7548">
        <w:rPr>
          <w:b/>
        </w:rPr>
        <w:t>26.01</w:t>
      </w:r>
      <w:r>
        <w:rPr>
          <w:b/>
        </w:rPr>
        <w:tab/>
      </w:r>
      <w:r w:rsidRPr="00AC7548">
        <w:rPr>
          <w:b/>
        </w:rPr>
        <w:t>Summary judgment</w:t>
      </w:r>
    </w:p>
    <w:p w:rsidR="00AC7548" w:rsidRDefault="00AC7548" w:rsidP="003171A8">
      <w:pPr>
        <w:pStyle w:val="Quote1"/>
        <w:ind w:left="1440" w:hanging="703"/>
      </w:pPr>
      <w:r>
        <w:t>(1)</w:t>
      </w:r>
      <w:r>
        <w:tab/>
        <w:t>A party may apply to the Court for an order that judgment be given against another party because:</w:t>
      </w:r>
    </w:p>
    <w:p w:rsidR="00AC7548" w:rsidRDefault="00AC7548" w:rsidP="00C914CD">
      <w:pPr>
        <w:pStyle w:val="Quote2"/>
        <w:ind w:left="2160" w:hanging="720"/>
      </w:pPr>
      <w:r>
        <w:t>(a)</w:t>
      </w:r>
      <w:r>
        <w:tab/>
      </w:r>
      <w:proofErr w:type="gramStart"/>
      <w:r>
        <w:t>the</w:t>
      </w:r>
      <w:proofErr w:type="gramEnd"/>
      <w:r>
        <w:t xml:space="preserve"> applicant has no reasonable prospect of successfully prosecuting the proceeding or part of the proceeding; or</w:t>
      </w:r>
    </w:p>
    <w:p w:rsidR="00AC7548" w:rsidRDefault="00AC7548" w:rsidP="00C914CD">
      <w:pPr>
        <w:pStyle w:val="Quote2"/>
        <w:ind w:left="2160" w:hanging="720"/>
      </w:pPr>
      <w:r>
        <w:t>(b)</w:t>
      </w:r>
      <w:r>
        <w:tab/>
      </w:r>
      <w:proofErr w:type="gramStart"/>
      <w:r>
        <w:t>the</w:t>
      </w:r>
      <w:proofErr w:type="gramEnd"/>
      <w:r>
        <w:t xml:space="preserve"> proceeding is frivolous or vexatious; or</w:t>
      </w:r>
    </w:p>
    <w:p w:rsidR="00AC7548" w:rsidRDefault="00AC7548" w:rsidP="00C914CD">
      <w:pPr>
        <w:pStyle w:val="Quote2"/>
        <w:ind w:left="2160" w:hanging="720"/>
      </w:pPr>
      <w:r>
        <w:t>(c)</w:t>
      </w:r>
      <w:r>
        <w:tab/>
      </w:r>
      <w:proofErr w:type="gramStart"/>
      <w:r>
        <w:t>no</w:t>
      </w:r>
      <w:proofErr w:type="gramEnd"/>
      <w:r>
        <w:t xml:space="preserve"> reasonable cause of action is disclosed; or</w:t>
      </w:r>
    </w:p>
    <w:p w:rsidR="00AC7548" w:rsidRDefault="00AC7548" w:rsidP="00C914CD">
      <w:pPr>
        <w:pStyle w:val="Quote2"/>
        <w:ind w:left="2160" w:hanging="720"/>
      </w:pPr>
      <w:r>
        <w:t>(d)</w:t>
      </w:r>
      <w:r>
        <w:tab/>
      </w:r>
      <w:proofErr w:type="gramStart"/>
      <w:r>
        <w:t>the</w:t>
      </w:r>
      <w:proofErr w:type="gramEnd"/>
      <w:r>
        <w:t xml:space="preserve"> proceeding is an abuse of the process of the Court; or</w:t>
      </w:r>
    </w:p>
    <w:p w:rsidR="00D460D0" w:rsidRDefault="00AC7548" w:rsidP="00C914CD">
      <w:pPr>
        <w:pStyle w:val="Quote2"/>
        <w:ind w:left="2160" w:hanging="720"/>
      </w:pPr>
      <w:r>
        <w:t>(e)</w:t>
      </w:r>
      <w:r>
        <w:tab/>
      </w:r>
      <w:proofErr w:type="gramStart"/>
      <w:r>
        <w:t>the</w:t>
      </w:r>
      <w:proofErr w:type="gramEnd"/>
      <w:r>
        <w:t xml:space="preserve"> respondent has no reasonable prospect of successfully defending the proceeding or part of the proceeding.</w:t>
      </w:r>
    </w:p>
    <w:p w:rsidR="00D460D0" w:rsidRDefault="00D460D0" w:rsidP="00D460D0">
      <w:pPr>
        <w:pStyle w:val="ParaNumbering"/>
      </w:pPr>
      <w:r>
        <w:t xml:space="preserve">The word </w:t>
      </w:r>
      <w:r w:rsidR="00F11C51">
        <w:t>“</w:t>
      </w:r>
      <w:r>
        <w:t>proceeding</w:t>
      </w:r>
      <w:r w:rsidR="00AC7548">
        <w:t>”</w:t>
      </w:r>
      <w:r>
        <w:t xml:space="preserve"> </w:t>
      </w:r>
      <w:r w:rsidR="00AC7548">
        <w:t>i</w:t>
      </w:r>
      <w:r>
        <w:t xml:space="preserve">s defined in </w:t>
      </w:r>
      <w:r w:rsidR="00F11C51">
        <w:t>s </w:t>
      </w:r>
      <w:r>
        <w:t xml:space="preserve">4 of the FCA </w:t>
      </w:r>
      <w:r w:rsidR="00AC7548">
        <w:t xml:space="preserve">Act </w:t>
      </w:r>
      <w:r>
        <w:t>to include an appeal.</w:t>
      </w:r>
    </w:p>
    <w:p w:rsidR="0091346A" w:rsidRDefault="0091346A" w:rsidP="00D460D0">
      <w:pPr>
        <w:pStyle w:val="ParaNumbering"/>
      </w:pPr>
      <w:r>
        <w:t xml:space="preserve">In </w:t>
      </w:r>
      <w:r w:rsidRPr="00FD2A7B">
        <w:rPr>
          <w:i/>
        </w:rPr>
        <w:t xml:space="preserve">Spencer v Commonwealth </w:t>
      </w:r>
      <w:r w:rsidRPr="00FD2A7B">
        <w:t>(2010) 241 CLR 118</w:t>
      </w:r>
      <w:r>
        <w:t>, Hayne, Crennan, Kiefel and Bell JJ held:</w:t>
      </w:r>
    </w:p>
    <w:p w:rsidR="0091346A" w:rsidRDefault="00423BCF" w:rsidP="00423BCF">
      <w:pPr>
        <w:pStyle w:val="Quote1"/>
        <w:ind w:left="1440" w:hanging="703"/>
      </w:pPr>
      <w:r>
        <w:t>59</w:t>
      </w:r>
      <w:r>
        <w:tab/>
        <w:t>In many cases where a plaintiff has no reasonable prospect of prosecuting a proceeding, the proceeding could be described (with or without the addition of intensifying epithets like “clearly”,</w:t>
      </w:r>
      <w:r w:rsidR="0023585F">
        <w:t xml:space="preserve"> “mani</w:t>
      </w:r>
      <w:r>
        <w:t>festly” or “obviously”) as “frivolous”, “untenable”, “groundless” or “faulty”. But none of those expressions (alone or in combination) should be understood as providing a sufficient chart of the metes and bounds of the power given by s 31A. Nor can the content of the word “reasonable”, in the phrase “no reasonable prospect”, be sufficiently, let alone completely, illuminated by drawing some contrast with what would be a “frivolous”, “untenable”, “groundless” or “faulty” claim.</w:t>
      </w:r>
    </w:p>
    <w:p w:rsidR="00423BCF" w:rsidRDefault="00423BCF" w:rsidP="00423BCF">
      <w:pPr>
        <w:pStyle w:val="Quote1"/>
        <w:ind w:left="1440" w:hanging="703"/>
      </w:pPr>
      <w:r>
        <w:t>60</w:t>
      </w:r>
      <w:r>
        <w:tab/>
        <w:t>Rather, full weight must be given to the expression as a whole. The Federal Court may exercise power under s 31A if, and only if, satisfied that there is “no reasonable prospect” of success. Of course, it may readily be accepted that the power to dismiss an action summarily i</w:t>
      </w:r>
      <w:r w:rsidR="00325DEF">
        <w:t>s not to be exercised lightly</w:t>
      </w:r>
      <w:r w:rsidR="00B43A71">
        <w:t xml:space="preserve">. </w:t>
      </w:r>
      <w:r w:rsidR="00325DEF">
        <w:t>…</w:t>
      </w:r>
    </w:p>
    <w:p w:rsidR="00964AC9" w:rsidRDefault="00D460D0" w:rsidP="003B4367">
      <w:pPr>
        <w:pStyle w:val="ParaNumbering"/>
        <w:keepLines/>
      </w:pPr>
      <w:r>
        <w:t xml:space="preserve">Under </w:t>
      </w:r>
      <w:r w:rsidR="00F11C51" w:rsidRPr="00FD2A7B">
        <w:t>s </w:t>
      </w:r>
      <w:r w:rsidR="00AC7548" w:rsidRPr="00FD2A7B">
        <w:t>24</w:t>
      </w:r>
      <w:r w:rsidRPr="00FD2A7B">
        <w:t>(</w:t>
      </w:r>
      <w:r w:rsidR="00AC7548" w:rsidRPr="00FD2A7B">
        <w:t>1</w:t>
      </w:r>
      <w:proofErr w:type="gramStart"/>
      <w:r w:rsidRPr="00FD2A7B">
        <w:t>)(</w:t>
      </w:r>
      <w:proofErr w:type="gramEnd"/>
      <w:r w:rsidRPr="00FD2A7B">
        <w:t xml:space="preserve">a) </w:t>
      </w:r>
      <w:r w:rsidR="00AC7548" w:rsidRPr="00FD2A7B">
        <w:t>of the FCA Act</w:t>
      </w:r>
      <w:r w:rsidR="00B43A71">
        <w:t>,</w:t>
      </w:r>
      <w:r w:rsidR="00AC7548">
        <w:t xml:space="preserve"> </w:t>
      </w:r>
      <w:r w:rsidR="00A67F4C">
        <w:t>the Court</w:t>
      </w:r>
      <w:r>
        <w:t xml:space="preserve"> has jurisdiction to hear and determine appeals from a </w:t>
      </w:r>
      <w:r w:rsidR="00A67F4C">
        <w:t>judgment</w:t>
      </w:r>
      <w:r>
        <w:t xml:space="preserve"> of a single judge of </w:t>
      </w:r>
      <w:r w:rsidR="00A67F4C">
        <w:t>the Court</w:t>
      </w:r>
      <w:r>
        <w:t xml:space="preserve"> exercising the original jurisdiction of </w:t>
      </w:r>
      <w:r w:rsidR="00A67F4C">
        <w:t>the Court</w:t>
      </w:r>
      <w:r>
        <w:t xml:space="preserve">.  Section </w:t>
      </w:r>
      <w:r w:rsidRPr="00FD2A7B">
        <w:t>25(</w:t>
      </w:r>
      <w:r w:rsidR="00680084" w:rsidRPr="00FD2A7B">
        <w:t>1</w:t>
      </w:r>
      <w:r w:rsidRPr="00FD2A7B">
        <w:t>)</w:t>
      </w:r>
      <w:r>
        <w:t xml:space="preserve"> provides that in such an appeal, the appellate jurisdiction of </w:t>
      </w:r>
      <w:r w:rsidR="00A67F4C">
        <w:t>the Court</w:t>
      </w:r>
      <w:r>
        <w:t xml:space="preserve"> shall be exercised by a </w:t>
      </w:r>
      <w:r w:rsidR="00680084">
        <w:t>Full Court</w:t>
      </w:r>
      <w:r>
        <w:t xml:space="preserve">.  However, </w:t>
      </w:r>
      <w:r w:rsidR="00F11C51">
        <w:t>s </w:t>
      </w:r>
      <w:r w:rsidRPr="00FD2A7B">
        <w:t>25(2B</w:t>
      </w:r>
      <w:proofErr w:type="gramStart"/>
      <w:r w:rsidRPr="00FD2A7B">
        <w:t>)</w:t>
      </w:r>
      <w:r w:rsidR="00B43A71">
        <w:t>(</w:t>
      </w:r>
      <w:proofErr w:type="gramEnd"/>
      <w:r w:rsidR="00B43A71">
        <w:t>aa)</w:t>
      </w:r>
      <w:r>
        <w:t xml:space="preserve"> </w:t>
      </w:r>
      <w:r w:rsidR="00680084">
        <w:t>allows a</w:t>
      </w:r>
      <w:r>
        <w:t xml:space="preserve"> single judge to determine an application for summary </w:t>
      </w:r>
      <w:r w:rsidR="00A67F4C">
        <w:t>judgment</w:t>
      </w:r>
      <w:r>
        <w:t>.</w:t>
      </w:r>
    </w:p>
    <w:p w:rsidR="00D460D0" w:rsidRDefault="00D460D0" w:rsidP="004D0336">
      <w:pPr>
        <w:pStyle w:val="ParaNumbering"/>
      </w:pPr>
      <w:r>
        <w:t xml:space="preserve">In order </w:t>
      </w:r>
      <w:r w:rsidR="00325DEF">
        <w:t xml:space="preserve">to succeed in the appeal, it </w:t>
      </w:r>
      <w:r w:rsidR="00A870C9">
        <w:t xml:space="preserve">is </w:t>
      </w:r>
      <w:r w:rsidR="00325DEF">
        <w:t>necessary</w:t>
      </w:r>
      <w:r>
        <w:t xml:space="preserve"> </w:t>
      </w:r>
      <w:r w:rsidR="00325DEF">
        <w:t xml:space="preserve">for </w:t>
      </w:r>
      <w:r w:rsidR="00FD2A7B">
        <w:t>Mr </w:t>
      </w:r>
      <w:r w:rsidR="00325DEF">
        <w:t xml:space="preserve">Bibawi </w:t>
      </w:r>
      <w:r>
        <w:t xml:space="preserve">to demonstrate </w:t>
      </w:r>
      <w:r w:rsidR="004D0336">
        <w:t xml:space="preserve">that </w:t>
      </w:r>
      <w:r w:rsidR="004D0336" w:rsidRPr="004D0336">
        <w:t xml:space="preserve">the order </w:t>
      </w:r>
      <w:r w:rsidR="004D0336">
        <w:t xml:space="preserve">dismissing his application </w:t>
      </w:r>
      <w:r w:rsidR="004D0336" w:rsidRPr="004D0336">
        <w:t>is the result of some legal, factual or discretionary</w:t>
      </w:r>
      <w:r w:rsidR="004D0336">
        <w:t xml:space="preserve"> error</w:t>
      </w:r>
      <w:r w:rsidR="00325DEF">
        <w:t xml:space="preserve">: see, for example, </w:t>
      </w:r>
      <w:r w:rsidR="004D0336" w:rsidRPr="00FD2A7B">
        <w:rPr>
          <w:i/>
        </w:rPr>
        <w:t>Allesch v Maunz</w:t>
      </w:r>
      <w:r w:rsidR="004D0336" w:rsidRPr="00FD2A7B">
        <w:t xml:space="preserve"> (2000) 203 CLR 172</w:t>
      </w:r>
      <w:r w:rsidR="004D0336" w:rsidRPr="004D0336">
        <w:t xml:space="preserve"> at [23]</w:t>
      </w:r>
      <w:r w:rsidR="004D0336">
        <w:t>.</w:t>
      </w:r>
    </w:p>
    <w:p w:rsidR="00116333" w:rsidRDefault="00D460D0" w:rsidP="000C5A42">
      <w:pPr>
        <w:pStyle w:val="ParaNumbering"/>
      </w:pPr>
      <w:r>
        <w:lastRenderedPageBreak/>
        <w:t xml:space="preserve">The allegations </w:t>
      </w:r>
      <w:r w:rsidR="004D0336">
        <w:t xml:space="preserve">made by </w:t>
      </w:r>
      <w:r w:rsidR="00FD2A7B">
        <w:t>Mr </w:t>
      </w:r>
      <w:r w:rsidR="000C5A42">
        <w:t>Bibawi</w:t>
      </w:r>
      <w:r>
        <w:t xml:space="preserve"> </w:t>
      </w:r>
      <w:r w:rsidR="00116333">
        <w:t xml:space="preserve">consist </w:t>
      </w:r>
      <w:r w:rsidR="004D0336">
        <w:t>primarily</w:t>
      </w:r>
      <w:r w:rsidR="00116333">
        <w:t xml:space="preserve"> of </w:t>
      </w:r>
      <w:r w:rsidR="000C5A42">
        <w:t xml:space="preserve">allegations of </w:t>
      </w:r>
      <w:r w:rsidR="004D0336">
        <w:t xml:space="preserve">improper and </w:t>
      </w:r>
      <w:r w:rsidR="000C5A42">
        <w:t>f</w:t>
      </w:r>
      <w:r w:rsidR="00680084">
        <w:t xml:space="preserve">raudulent </w:t>
      </w:r>
      <w:r w:rsidR="00116333">
        <w:t>conduct by</w:t>
      </w:r>
      <w:r w:rsidR="004D0336">
        <w:t xml:space="preserve"> the primary judge</w:t>
      </w:r>
      <w:r w:rsidR="00964AC9">
        <w:t xml:space="preserve"> and the Commission</w:t>
      </w:r>
      <w:r w:rsidR="00680084">
        <w:t xml:space="preserve">.  </w:t>
      </w:r>
      <w:r w:rsidR="00964AC9">
        <w:t>These</w:t>
      </w:r>
      <w:r w:rsidR="00116333">
        <w:t xml:space="preserve"> are bare allegations unsupported by any particulars</w:t>
      </w:r>
      <w:r w:rsidR="00964AC9">
        <w:t xml:space="preserve"> and have no prospects of success</w:t>
      </w:r>
      <w:r w:rsidR="00116333">
        <w:t xml:space="preserve">. </w:t>
      </w:r>
    </w:p>
    <w:p w:rsidR="00116333" w:rsidRDefault="00FD2A7B" w:rsidP="000C5A42">
      <w:pPr>
        <w:pStyle w:val="ParaNumbering"/>
      </w:pPr>
      <w:r>
        <w:t>Mr </w:t>
      </w:r>
      <w:r w:rsidR="00116333">
        <w:t xml:space="preserve">Bibawi asserts that his Honour failed to provide reasons for the judgment. That allegation is patently wrong. </w:t>
      </w:r>
      <w:r w:rsidR="00A870C9">
        <w:t xml:space="preserve">To the extent that the assertion may be that the reasons are inadequate, </w:t>
      </w:r>
      <w:r>
        <w:t>Mr </w:t>
      </w:r>
      <w:r w:rsidR="00A870C9">
        <w:t>Bibawi ha</w:t>
      </w:r>
      <w:r w:rsidR="00B43A71">
        <w:t>s</w:t>
      </w:r>
      <w:r w:rsidR="00A870C9">
        <w:t xml:space="preserve"> not identified in what way they are inadequate, and no such inadequacy is apparent. </w:t>
      </w:r>
    </w:p>
    <w:p w:rsidR="00116333" w:rsidRPr="00643395" w:rsidRDefault="00FD2A7B" w:rsidP="00116333">
      <w:pPr>
        <w:pStyle w:val="ParaNumbering"/>
      </w:pPr>
      <w:r>
        <w:t>Mr </w:t>
      </w:r>
      <w:r w:rsidR="00116333">
        <w:t xml:space="preserve">Bibawi alleges that the primary judge ignored </w:t>
      </w:r>
      <w:r w:rsidR="00964AC9">
        <w:t xml:space="preserve">numerous documents that he had submitted. </w:t>
      </w:r>
      <w:r w:rsidR="00116333">
        <w:t xml:space="preserve">His Honour gave comprehensive reasons which </w:t>
      </w:r>
      <w:r w:rsidR="00A870C9">
        <w:t xml:space="preserve">indicate that he considered </w:t>
      </w:r>
      <w:r>
        <w:t>Mr </w:t>
      </w:r>
      <w:r w:rsidR="00116333">
        <w:t>Bibawi</w:t>
      </w:r>
      <w:r w:rsidR="00964AC9">
        <w:t>’s arguments and material</w:t>
      </w:r>
      <w:r w:rsidR="00116333">
        <w:t xml:space="preserve">. </w:t>
      </w:r>
      <w:r w:rsidR="00964AC9">
        <w:t xml:space="preserve">His Honour found that much of that material was irrelevant. </w:t>
      </w:r>
      <w:r w:rsidR="00116333">
        <w:t xml:space="preserve">There is </w:t>
      </w:r>
      <w:r w:rsidR="00116333" w:rsidRPr="00643395">
        <w:t xml:space="preserve">nothing to </w:t>
      </w:r>
      <w:r w:rsidR="00964AC9" w:rsidRPr="00643395">
        <w:t xml:space="preserve">indicate </w:t>
      </w:r>
      <w:r w:rsidR="00116333" w:rsidRPr="00643395">
        <w:t xml:space="preserve">that his Honour ignored </w:t>
      </w:r>
      <w:r w:rsidR="00964AC9" w:rsidRPr="00643395">
        <w:t xml:space="preserve">any </w:t>
      </w:r>
      <w:r w:rsidR="00116333" w:rsidRPr="00643395">
        <w:t>material.</w:t>
      </w:r>
    </w:p>
    <w:p w:rsidR="003171A8" w:rsidRPr="00643395" w:rsidRDefault="00FD2A7B" w:rsidP="000C5A42">
      <w:pPr>
        <w:pStyle w:val="ParaNumbering"/>
      </w:pPr>
      <w:r w:rsidRPr="00643395">
        <w:t>Mr </w:t>
      </w:r>
      <w:r w:rsidR="00964AC9" w:rsidRPr="00643395">
        <w:t xml:space="preserve">Bibawi has not demonstrated any ground of appeal upon which he could possibly succeed, even taking into account the further evidence he seeks to rely upon. That further evidence is simply irrelevant to the application for judicial review and </w:t>
      </w:r>
      <w:r w:rsidR="004A0BDC" w:rsidRPr="00643395">
        <w:t xml:space="preserve">to </w:t>
      </w:r>
      <w:r w:rsidR="00964AC9" w:rsidRPr="00643395">
        <w:t xml:space="preserve">the appeal.  </w:t>
      </w:r>
    </w:p>
    <w:p w:rsidR="00680084" w:rsidRPr="00643395" w:rsidRDefault="003171A8" w:rsidP="004A0BDC">
      <w:pPr>
        <w:pStyle w:val="ParaNumbering"/>
      </w:pPr>
      <w:r w:rsidRPr="00643395">
        <w:t xml:space="preserve">Mr Bibawi’s </w:t>
      </w:r>
      <w:r w:rsidR="00964AC9" w:rsidRPr="00643395">
        <w:t xml:space="preserve">appeal does not have </w:t>
      </w:r>
      <w:r w:rsidR="000C5A42" w:rsidRPr="00643395">
        <w:t>reasonable prospects of success</w:t>
      </w:r>
      <w:r w:rsidR="004A0BDC" w:rsidRPr="00643395">
        <w:t xml:space="preserve">. </w:t>
      </w:r>
      <w:r w:rsidR="00A870C9" w:rsidRPr="00643395">
        <w:t>The appeal must be dismissed.</w:t>
      </w:r>
    </w:p>
    <w:p w:rsidR="00D460D0" w:rsidRDefault="000C5A42" w:rsidP="00FD2A7B">
      <w:pPr>
        <w:pStyle w:val="ParaNumbering"/>
        <w:keepNext/>
      </w:pPr>
      <w:r>
        <w:t>The second respondent ha</w:t>
      </w:r>
      <w:r w:rsidR="00964AC9">
        <w:t>s not sought any order for costs.</w:t>
      </w:r>
    </w:p>
    <w:p w:rsidR="00815559" w:rsidRDefault="00815559" w:rsidP="00FD2A7B">
      <w:pPr>
        <w:pStyle w:val="BodyText"/>
        <w:keepNext/>
      </w:pPr>
    </w:p>
    <w:tbl>
      <w:tblPr>
        <w:tblW w:w="0" w:type="auto"/>
        <w:tblLook w:val="04A0" w:firstRow="1" w:lastRow="0" w:firstColumn="1" w:lastColumn="0" w:noHBand="0" w:noVBand="1"/>
      </w:tblPr>
      <w:tblGrid>
        <w:gridCol w:w="3794"/>
      </w:tblGrid>
      <w:tr w:rsidR="00815559" w:rsidRPr="00815559">
        <w:tc>
          <w:tcPr>
            <w:tcW w:w="3794" w:type="dxa"/>
            <w:shd w:val="clear" w:color="auto" w:fill="auto"/>
          </w:tcPr>
          <w:p w:rsidR="00815559" w:rsidRPr="00815559" w:rsidRDefault="00815559" w:rsidP="00FD2A7B">
            <w:pPr>
              <w:pStyle w:val="Normal1linespace"/>
              <w:keepNext/>
            </w:pPr>
            <w:bookmarkStart w:id="24" w:name="Certification"/>
            <w:r w:rsidRPr="00815559">
              <w:t xml:space="preserve">I certify that the preceding </w:t>
            </w:r>
            <w:bookmarkStart w:id="25" w:name="NumberWord"/>
            <w:r w:rsidR="00F92764">
              <w:t>forty</w:t>
            </w:r>
            <w:bookmarkEnd w:id="25"/>
            <w:r w:rsidRPr="00815559">
              <w:t xml:space="preserve"> (</w:t>
            </w:r>
            <w:bookmarkStart w:id="26" w:name="NumberNumeral"/>
            <w:r w:rsidR="00F92764">
              <w:t>40</w:t>
            </w:r>
            <w:bookmarkEnd w:id="26"/>
            <w:r w:rsidRPr="00815559">
              <w:t xml:space="preserve">) numbered </w:t>
            </w:r>
            <w:bookmarkStart w:id="27" w:name="CertPara"/>
            <w:r w:rsidR="00F92764">
              <w:t>paragraphs are</w:t>
            </w:r>
            <w:bookmarkEnd w:id="27"/>
            <w:r w:rsidRPr="00815559">
              <w:t xml:space="preserve"> a true copy of the Reasons for Judgment of </w:t>
            </w:r>
            <w:bookmarkStart w:id="28" w:name="bkHonourable"/>
            <w:r w:rsidRPr="00815559">
              <w:t xml:space="preserve">the Honourable </w:t>
            </w:r>
            <w:bookmarkStart w:id="29" w:name="Justice"/>
            <w:bookmarkEnd w:id="28"/>
            <w:r>
              <w:t>Justice Rangiah</w:t>
            </w:r>
            <w:bookmarkEnd w:id="29"/>
            <w:r w:rsidRPr="00815559">
              <w:t>.</w:t>
            </w:r>
          </w:p>
        </w:tc>
      </w:tr>
    </w:tbl>
    <w:p w:rsidR="00815559" w:rsidRDefault="00815559" w:rsidP="00FD2A7B">
      <w:pPr>
        <w:pStyle w:val="BodyText"/>
        <w:keepNext/>
      </w:pPr>
    </w:p>
    <w:p w:rsidR="00815559" w:rsidRDefault="00815559" w:rsidP="00FD2A7B">
      <w:pPr>
        <w:pStyle w:val="BodyText"/>
        <w:keepNext/>
      </w:pPr>
      <w:r>
        <w:t>Associate:</w:t>
      </w:r>
      <w:r w:rsidR="00680084">
        <w:tab/>
      </w:r>
      <w:bookmarkStart w:id="30" w:name="_GoBack"/>
      <w:bookmarkEnd w:id="30"/>
    </w:p>
    <w:p w:rsidR="00815559" w:rsidRDefault="00815559" w:rsidP="00AC7548">
      <w:pPr>
        <w:pStyle w:val="BodyText"/>
      </w:pPr>
    </w:p>
    <w:p w:rsidR="00815559" w:rsidRDefault="00815559" w:rsidP="00AC7548">
      <w:pPr>
        <w:pStyle w:val="BodyText"/>
        <w:tabs>
          <w:tab w:val="left" w:pos="1134"/>
        </w:tabs>
      </w:pPr>
      <w:r>
        <w:t>Dated:</w:t>
      </w:r>
      <w:r>
        <w:tab/>
      </w:r>
      <w:bookmarkStart w:id="31" w:name="CertifyDated"/>
      <w:r w:rsidR="003B4367">
        <w:t>24</w:t>
      </w:r>
      <w:r>
        <w:t xml:space="preserve"> May 2022</w:t>
      </w:r>
      <w:bookmarkEnd w:id="31"/>
    </w:p>
    <w:bookmarkEnd w:id="24"/>
    <w:sectPr w:rsidR="00815559"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48" w:rsidRDefault="00AC7548">
      <w:pPr>
        <w:spacing w:line="20" w:lineRule="exact"/>
      </w:pPr>
    </w:p>
    <w:p w:rsidR="00AC7548" w:rsidRDefault="00AC7548"/>
    <w:p w:rsidR="00AC7548" w:rsidRDefault="00AC7548"/>
  </w:endnote>
  <w:endnote w:type="continuationSeparator" w:id="0">
    <w:p w:rsidR="00AC7548" w:rsidRDefault="00AC7548">
      <w:r>
        <w:t xml:space="preserve"> </w:t>
      </w:r>
    </w:p>
    <w:p w:rsidR="00AC7548" w:rsidRDefault="00AC7548"/>
    <w:p w:rsidR="00AC7548" w:rsidRDefault="00AC7548"/>
  </w:endnote>
  <w:endnote w:type="continuationNotice" w:id="1">
    <w:p w:rsidR="00AC7548" w:rsidRDefault="00AC7548">
      <w:r>
        <w:t xml:space="preserve"> </w:t>
      </w:r>
    </w:p>
    <w:p w:rsidR="00AC7548" w:rsidRDefault="00AC7548"/>
    <w:p w:rsidR="00AC7548" w:rsidRDefault="00AC7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2F" w:rsidRDefault="00B32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Pr="00C47B9D" w:rsidRDefault="00AC75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AC3C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6B2B11">
          <w:rPr>
            <w:bCs/>
            <w:sz w:val="18"/>
            <w:szCs w:val="18"/>
          </w:rPr>
          <w:t xml:space="preserve">Bibawi v Australian Human Rights Commission [2022] FCA 607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Pr="00B3262F" w:rsidRDefault="00AC7548" w:rsidP="00B32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Pr="00C47B9D" w:rsidRDefault="00AC7548"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C697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C9D1B939BCA41219A50A67FCF54EE3A"/>
        </w:placeholder>
        <w:dataBinding w:prefixMappings="xmlns:ns0='http://schemas.globalmacros.com/FCA'" w:xpath="/ns0:root[1]/ns0:Name[1]" w:storeItemID="{687E7CCB-4AA5-44E7-B148-17BA2B6F57C0}"/>
        <w:text w:multiLine="1"/>
      </w:sdtPr>
      <w:sdtEndPr/>
      <w:sdtContent>
        <w:r w:rsidR="006B2B11">
          <w:rPr>
            <w:bCs/>
            <w:sz w:val="18"/>
            <w:szCs w:val="18"/>
          </w:rPr>
          <w:t xml:space="preserve">Bibawi v Australian Human Rights Commission [2022] FCA 607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Pr="00C47B9D" w:rsidRDefault="00AC75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0F3B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B486C6EF19684B5DAB93AFA579207C58"/>
        </w:placeholder>
        <w:dataBinding w:prefixMappings="xmlns:ns0='http://schemas.globalmacros.com/FCA'" w:xpath="/ns0:root[1]/ns0:Name[1]" w:storeItemID="{687E7CCB-4AA5-44E7-B148-17BA2B6F57C0}"/>
        <w:text w:multiLine="1"/>
      </w:sdtPr>
      <w:sdtEndPr/>
      <w:sdtContent>
        <w:r w:rsidR="006B2B11">
          <w:rPr>
            <w:bCs/>
            <w:sz w:val="18"/>
            <w:szCs w:val="18"/>
          </w:rPr>
          <w:t xml:space="preserve">Bibawi v Australian Human Rights Commission [2022] FCA 607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914CD">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Pr="00C47B9D" w:rsidRDefault="00AC75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CF5E8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A61EC16524B241859C32B2C1EB5B99B5"/>
        </w:placeholder>
        <w:dataBinding w:prefixMappings="xmlns:ns0='http://schemas.globalmacros.com/FCA'" w:xpath="/ns0:root[1]/ns0:Name[1]" w:storeItemID="{687E7CCB-4AA5-44E7-B148-17BA2B6F57C0}"/>
        <w:text w:multiLine="1"/>
      </w:sdtPr>
      <w:sdtEndPr/>
      <w:sdtContent>
        <w:r w:rsidR="006B2B11">
          <w:rPr>
            <w:bCs/>
            <w:sz w:val="18"/>
            <w:szCs w:val="18"/>
          </w:rPr>
          <w:t xml:space="preserve">Bibawi v Australian Human Rights Commission [2022] FCA 607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914CD">
      <w:rPr>
        <w:bCs/>
        <w:noProof/>
        <w:sz w:val="20"/>
      </w:rPr>
      <w:t>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Pr="00C47B9D" w:rsidRDefault="00AC754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4D7AD"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C533870AEDDB4ADAB863C8F2EF83E778"/>
        </w:placeholder>
        <w:dataBinding w:prefixMappings="xmlns:ns0='http://schemas.globalmacros.com/FCA'" w:xpath="/ns0:root[1]/ns0:Name[1]" w:storeItemID="{687E7CCB-4AA5-44E7-B148-17BA2B6F57C0}"/>
        <w:text w:multiLine="1"/>
      </w:sdtPr>
      <w:sdtEndPr/>
      <w:sdtContent>
        <w:r w:rsidR="006B2B11">
          <w:rPr>
            <w:bCs/>
            <w:sz w:val="18"/>
            <w:szCs w:val="18"/>
          </w:rPr>
          <w:t xml:space="preserve">Bibawi v Australian Human Rights Commission [2022] FCA 607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914C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48" w:rsidRDefault="00AC7548"/>
  </w:footnote>
  <w:footnote w:type="continuationSeparator" w:id="0">
    <w:p w:rsidR="00AC7548" w:rsidRDefault="00AC7548">
      <w:r>
        <w:continuationSeparator/>
      </w:r>
    </w:p>
    <w:p w:rsidR="00AC7548" w:rsidRDefault="00AC7548"/>
    <w:p w:rsidR="00AC7548" w:rsidRDefault="00AC75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2F" w:rsidRDefault="00B32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2F" w:rsidRDefault="00B32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62F" w:rsidRDefault="00B326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Default="00AC7548">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Default="00AC7548">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Default="00AC754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Default="00AC7548">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48" w:rsidRDefault="00AC7548"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Bibawi v Australian Human Rights Commission [2021] FCA 1476"/>
    <w:docVar w:name="Appellant" w:val="Magdy Bibawi"/>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413 of 2021"/>
    <w:docVar w:name="Initiators" w:val="(and another named in the Schedule)"/>
    <w:docVar w:name="Judgdate" w:val="24 May 2022"/>
    <w:docVar w:name="Judge" w:val="Rangiah"/>
    <w:docVar w:name="JudgeType" w:val="Justice"/>
    <w:docVar w:name="lstEntryList" w:val="-1"/>
    <w:docVar w:name="myEntryList" w:val="Counsel for the Appellant=The appellant appeared in person via telephone|Counsel for the First Respondent=The First Respondent filed a submitting notice|Counsel for the Second Respondent=Mr T Eteuati appeared via MS Teams|Solicitor for the Second Respondent=Australian Government Solicitor"/>
    <w:docVar w:name="NSD" w:val="NSD "/>
    <w:docVar w:name="NumApps" w:val="1"/>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Australian Human Rights Commission|Commonwealth Attorney General"/>
    <w:docVar w:name="ResState" w:val="Queensland"/>
    <w:docVar w:name="SubArea" w:val="(none)"/>
  </w:docVars>
  <w:rsids>
    <w:rsidRoot w:val="00524549"/>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340C"/>
    <w:rsid w:val="000650F0"/>
    <w:rsid w:val="00071FB3"/>
    <w:rsid w:val="00077768"/>
    <w:rsid w:val="00081497"/>
    <w:rsid w:val="000831EC"/>
    <w:rsid w:val="00084126"/>
    <w:rsid w:val="00085255"/>
    <w:rsid w:val="000A2E76"/>
    <w:rsid w:val="000A4807"/>
    <w:rsid w:val="000A4BE4"/>
    <w:rsid w:val="000C023E"/>
    <w:rsid w:val="000C405D"/>
    <w:rsid w:val="000C5195"/>
    <w:rsid w:val="000C5A42"/>
    <w:rsid w:val="000C62EF"/>
    <w:rsid w:val="000D2137"/>
    <w:rsid w:val="000D3FD2"/>
    <w:rsid w:val="000D4B2E"/>
    <w:rsid w:val="000E3FC8"/>
    <w:rsid w:val="000E7BAE"/>
    <w:rsid w:val="000F133D"/>
    <w:rsid w:val="0010536B"/>
    <w:rsid w:val="0011145C"/>
    <w:rsid w:val="001128BD"/>
    <w:rsid w:val="0011419D"/>
    <w:rsid w:val="00114B02"/>
    <w:rsid w:val="00116333"/>
    <w:rsid w:val="001226C0"/>
    <w:rsid w:val="00126EC8"/>
    <w:rsid w:val="0012731C"/>
    <w:rsid w:val="00132054"/>
    <w:rsid w:val="00134964"/>
    <w:rsid w:val="001351B9"/>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85F"/>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52"/>
    <w:rsid w:val="002D2DBB"/>
    <w:rsid w:val="002D37D8"/>
    <w:rsid w:val="002D54A6"/>
    <w:rsid w:val="002E0C76"/>
    <w:rsid w:val="002E3779"/>
    <w:rsid w:val="002E5BF9"/>
    <w:rsid w:val="002E6A7A"/>
    <w:rsid w:val="002F0FDF"/>
    <w:rsid w:val="002F1E49"/>
    <w:rsid w:val="002F4E9C"/>
    <w:rsid w:val="002F6E15"/>
    <w:rsid w:val="002F7C23"/>
    <w:rsid w:val="00302F4E"/>
    <w:rsid w:val="0031256C"/>
    <w:rsid w:val="00314D6C"/>
    <w:rsid w:val="00316D2A"/>
    <w:rsid w:val="003171A8"/>
    <w:rsid w:val="00322A7C"/>
    <w:rsid w:val="00322EEC"/>
    <w:rsid w:val="00323061"/>
    <w:rsid w:val="00325DEF"/>
    <w:rsid w:val="003402D3"/>
    <w:rsid w:val="0034068E"/>
    <w:rsid w:val="00343ABC"/>
    <w:rsid w:val="003463FE"/>
    <w:rsid w:val="003472FC"/>
    <w:rsid w:val="00347D41"/>
    <w:rsid w:val="003554B3"/>
    <w:rsid w:val="00356632"/>
    <w:rsid w:val="00357C7E"/>
    <w:rsid w:val="00360E22"/>
    <w:rsid w:val="003651ED"/>
    <w:rsid w:val="003653B6"/>
    <w:rsid w:val="00370327"/>
    <w:rsid w:val="00374CC4"/>
    <w:rsid w:val="003774B2"/>
    <w:rsid w:val="00380F2D"/>
    <w:rsid w:val="003845A9"/>
    <w:rsid w:val="003850C9"/>
    <w:rsid w:val="00390883"/>
    <w:rsid w:val="003922F8"/>
    <w:rsid w:val="00395B24"/>
    <w:rsid w:val="003A0DDC"/>
    <w:rsid w:val="003A2D38"/>
    <w:rsid w:val="003A3275"/>
    <w:rsid w:val="003A7ECC"/>
    <w:rsid w:val="003B2C72"/>
    <w:rsid w:val="003B4367"/>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184E"/>
    <w:rsid w:val="004031D8"/>
    <w:rsid w:val="004104B6"/>
    <w:rsid w:val="00411AE8"/>
    <w:rsid w:val="00413B74"/>
    <w:rsid w:val="00423BCF"/>
    <w:rsid w:val="004342F3"/>
    <w:rsid w:val="00435C5F"/>
    <w:rsid w:val="00436155"/>
    <w:rsid w:val="00436460"/>
    <w:rsid w:val="00441E98"/>
    <w:rsid w:val="00450F3A"/>
    <w:rsid w:val="004532F7"/>
    <w:rsid w:val="00464D51"/>
    <w:rsid w:val="00465C04"/>
    <w:rsid w:val="00472027"/>
    <w:rsid w:val="004804CF"/>
    <w:rsid w:val="00483314"/>
    <w:rsid w:val="00484962"/>
    <w:rsid w:val="00484F6D"/>
    <w:rsid w:val="00484FB7"/>
    <w:rsid w:val="0048554D"/>
    <w:rsid w:val="0049338A"/>
    <w:rsid w:val="0049417F"/>
    <w:rsid w:val="00496D41"/>
    <w:rsid w:val="004A0BDC"/>
    <w:rsid w:val="004A6602"/>
    <w:rsid w:val="004B3EFA"/>
    <w:rsid w:val="004C2A87"/>
    <w:rsid w:val="004C4D7B"/>
    <w:rsid w:val="004C4ED3"/>
    <w:rsid w:val="004C667B"/>
    <w:rsid w:val="004C7ECD"/>
    <w:rsid w:val="004D0336"/>
    <w:rsid w:val="004D2546"/>
    <w:rsid w:val="004D2EA5"/>
    <w:rsid w:val="004D32A6"/>
    <w:rsid w:val="004D53E5"/>
    <w:rsid w:val="004D689C"/>
    <w:rsid w:val="004D7950"/>
    <w:rsid w:val="004E6DC4"/>
    <w:rsid w:val="004F21C1"/>
    <w:rsid w:val="00501A12"/>
    <w:rsid w:val="0050309C"/>
    <w:rsid w:val="0051327C"/>
    <w:rsid w:val="0051346D"/>
    <w:rsid w:val="00513EAE"/>
    <w:rsid w:val="0051434F"/>
    <w:rsid w:val="00516806"/>
    <w:rsid w:val="00520014"/>
    <w:rsid w:val="0052098C"/>
    <w:rsid w:val="00523A3C"/>
    <w:rsid w:val="00524549"/>
    <w:rsid w:val="00525A49"/>
    <w:rsid w:val="005262D1"/>
    <w:rsid w:val="00530876"/>
    <w:rsid w:val="00535613"/>
    <w:rsid w:val="005359EB"/>
    <w:rsid w:val="00535D77"/>
    <w:rsid w:val="0054254A"/>
    <w:rsid w:val="0054500B"/>
    <w:rsid w:val="005453DB"/>
    <w:rsid w:val="005466B5"/>
    <w:rsid w:val="00554314"/>
    <w:rsid w:val="00562829"/>
    <w:rsid w:val="005629B3"/>
    <w:rsid w:val="0057128A"/>
    <w:rsid w:val="005724F6"/>
    <w:rsid w:val="00573AC4"/>
    <w:rsid w:val="005801FC"/>
    <w:rsid w:val="00581CA2"/>
    <w:rsid w:val="00585BA9"/>
    <w:rsid w:val="00587359"/>
    <w:rsid w:val="00595016"/>
    <w:rsid w:val="00597AAE"/>
    <w:rsid w:val="005A222C"/>
    <w:rsid w:val="005A4DF8"/>
    <w:rsid w:val="005A78C8"/>
    <w:rsid w:val="005B1426"/>
    <w:rsid w:val="005B7C9E"/>
    <w:rsid w:val="005C0A8E"/>
    <w:rsid w:val="005C1767"/>
    <w:rsid w:val="005C185C"/>
    <w:rsid w:val="005C42EF"/>
    <w:rsid w:val="005C6784"/>
    <w:rsid w:val="005D2716"/>
    <w:rsid w:val="005E02F5"/>
    <w:rsid w:val="005E0510"/>
    <w:rsid w:val="005E176E"/>
    <w:rsid w:val="005E218E"/>
    <w:rsid w:val="005E246C"/>
    <w:rsid w:val="005E35A0"/>
    <w:rsid w:val="005F0D1B"/>
    <w:rsid w:val="005F1865"/>
    <w:rsid w:val="006007BD"/>
    <w:rsid w:val="006013C8"/>
    <w:rsid w:val="0060270D"/>
    <w:rsid w:val="00604342"/>
    <w:rsid w:val="00604611"/>
    <w:rsid w:val="00611586"/>
    <w:rsid w:val="00612D26"/>
    <w:rsid w:val="00613364"/>
    <w:rsid w:val="00615855"/>
    <w:rsid w:val="00620DA8"/>
    <w:rsid w:val="00621887"/>
    <w:rsid w:val="00624520"/>
    <w:rsid w:val="006271F5"/>
    <w:rsid w:val="00632300"/>
    <w:rsid w:val="00632BB7"/>
    <w:rsid w:val="00635B36"/>
    <w:rsid w:val="00636871"/>
    <w:rsid w:val="00640EE1"/>
    <w:rsid w:val="00640F4E"/>
    <w:rsid w:val="00643395"/>
    <w:rsid w:val="00643DE0"/>
    <w:rsid w:val="0064437D"/>
    <w:rsid w:val="00644E85"/>
    <w:rsid w:val="006516D8"/>
    <w:rsid w:val="00652C52"/>
    <w:rsid w:val="0066063F"/>
    <w:rsid w:val="00662BB0"/>
    <w:rsid w:val="00663878"/>
    <w:rsid w:val="00667773"/>
    <w:rsid w:val="00670743"/>
    <w:rsid w:val="00680084"/>
    <w:rsid w:val="00680A85"/>
    <w:rsid w:val="00681ADF"/>
    <w:rsid w:val="00690EE2"/>
    <w:rsid w:val="006933AD"/>
    <w:rsid w:val="00693854"/>
    <w:rsid w:val="00694BEB"/>
    <w:rsid w:val="00695D12"/>
    <w:rsid w:val="006A0E20"/>
    <w:rsid w:val="006A24E3"/>
    <w:rsid w:val="006A5695"/>
    <w:rsid w:val="006B0439"/>
    <w:rsid w:val="006B2B11"/>
    <w:rsid w:val="006B3904"/>
    <w:rsid w:val="006B3E71"/>
    <w:rsid w:val="006B5B7D"/>
    <w:rsid w:val="006C5B46"/>
    <w:rsid w:val="006C6E39"/>
    <w:rsid w:val="006D0ECF"/>
    <w:rsid w:val="006D3D5B"/>
    <w:rsid w:val="006D4C92"/>
    <w:rsid w:val="006D4EB6"/>
    <w:rsid w:val="006D7FBC"/>
    <w:rsid w:val="006E35BF"/>
    <w:rsid w:val="006E7850"/>
    <w:rsid w:val="006F19D8"/>
    <w:rsid w:val="006F46D6"/>
    <w:rsid w:val="006F4BBB"/>
    <w:rsid w:val="007028D9"/>
    <w:rsid w:val="007045D8"/>
    <w:rsid w:val="0070602E"/>
    <w:rsid w:val="00707218"/>
    <w:rsid w:val="00710D04"/>
    <w:rsid w:val="00712B1D"/>
    <w:rsid w:val="00715751"/>
    <w:rsid w:val="007171BA"/>
    <w:rsid w:val="00717616"/>
    <w:rsid w:val="007325D9"/>
    <w:rsid w:val="0073413F"/>
    <w:rsid w:val="0073583B"/>
    <w:rsid w:val="007360CA"/>
    <w:rsid w:val="0074667B"/>
    <w:rsid w:val="007470BD"/>
    <w:rsid w:val="00760EC0"/>
    <w:rsid w:val="00761BDA"/>
    <w:rsid w:val="00761D0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15559"/>
    <w:rsid w:val="00816A36"/>
    <w:rsid w:val="00817998"/>
    <w:rsid w:val="008216E7"/>
    <w:rsid w:val="00821EBB"/>
    <w:rsid w:val="00825BE6"/>
    <w:rsid w:val="008276B4"/>
    <w:rsid w:val="00831927"/>
    <w:rsid w:val="00837288"/>
    <w:rsid w:val="00841BD3"/>
    <w:rsid w:val="0084273D"/>
    <w:rsid w:val="00844E3F"/>
    <w:rsid w:val="00845A83"/>
    <w:rsid w:val="00846BB9"/>
    <w:rsid w:val="008649D5"/>
    <w:rsid w:val="008712BB"/>
    <w:rsid w:val="008830E7"/>
    <w:rsid w:val="00890EDE"/>
    <w:rsid w:val="00891667"/>
    <w:rsid w:val="00892B38"/>
    <w:rsid w:val="008A1741"/>
    <w:rsid w:val="008A2484"/>
    <w:rsid w:val="008A52F3"/>
    <w:rsid w:val="008C26D9"/>
    <w:rsid w:val="008C6D50"/>
    <w:rsid w:val="008C7167"/>
    <w:rsid w:val="008C7503"/>
    <w:rsid w:val="008D0C74"/>
    <w:rsid w:val="008D1617"/>
    <w:rsid w:val="008D330F"/>
    <w:rsid w:val="008D48C1"/>
    <w:rsid w:val="008E6315"/>
    <w:rsid w:val="008F0480"/>
    <w:rsid w:val="008F07FC"/>
    <w:rsid w:val="008F08DB"/>
    <w:rsid w:val="008F11E0"/>
    <w:rsid w:val="008F3EA7"/>
    <w:rsid w:val="008F78BC"/>
    <w:rsid w:val="008F7B63"/>
    <w:rsid w:val="008F7D6A"/>
    <w:rsid w:val="00901C86"/>
    <w:rsid w:val="00903603"/>
    <w:rsid w:val="009054CB"/>
    <w:rsid w:val="00911F8D"/>
    <w:rsid w:val="00912F94"/>
    <w:rsid w:val="0091346A"/>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4AC9"/>
    <w:rsid w:val="00967855"/>
    <w:rsid w:val="00971CD1"/>
    <w:rsid w:val="00974709"/>
    <w:rsid w:val="009801AE"/>
    <w:rsid w:val="00980736"/>
    <w:rsid w:val="00981A39"/>
    <w:rsid w:val="00982D56"/>
    <w:rsid w:val="00983DBF"/>
    <w:rsid w:val="00987097"/>
    <w:rsid w:val="00991123"/>
    <w:rsid w:val="00991CAB"/>
    <w:rsid w:val="009A2AB2"/>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67F4C"/>
    <w:rsid w:val="00A73B04"/>
    <w:rsid w:val="00A76C13"/>
    <w:rsid w:val="00A84FD0"/>
    <w:rsid w:val="00A870C9"/>
    <w:rsid w:val="00A92E79"/>
    <w:rsid w:val="00A950B6"/>
    <w:rsid w:val="00A95D45"/>
    <w:rsid w:val="00AA3EA8"/>
    <w:rsid w:val="00AB41C1"/>
    <w:rsid w:val="00AB4CF2"/>
    <w:rsid w:val="00AB6CCA"/>
    <w:rsid w:val="00AC223F"/>
    <w:rsid w:val="00AC33B1"/>
    <w:rsid w:val="00AC7548"/>
    <w:rsid w:val="00AD12A8"/>
    <w:rsid w:val="00AE023F"/>
    <w:rsid w:val="00AF3577"/>
    <w:rsid w:val="00AF35F9"/>
    <w:rsid w:val="00B0424C"/>
    <w:rsid w:val="00B05C7D"/>
    <w:rsid w:val="00B15D57"/>
    <w:rsid w:val="00B16347"/>
    <w:rsid w:val="00B17D6E"/>
    <w:rsid w:val="00B2435E"/>
    <w:rsid w:val="00B3262F"/>
    <w:rsid w:val="00B346C3"/>
    <w:rsid w:val="00B4005C"/>
    <w:rsid w:val="00B4227E"/>
    <w:rsid w:val="00B43A71"/>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6B3E"/>
    <w:rsid w:val="00B87CDC"/>
    <w:rsid w:val="00B910C1"/>
    <w:rsid w:val="00BA2CA4"/>
    <w:rsid w:val="00BA2EFA"/>
    <w:rsid w:val="00BA3DBC"/>
    <w:rsid w:val="00BA707A"/>
    <w:rsid w:val="00BB1AFB"/>
    <w:rsid w:val="00BB27AE"/>
    <w:rsid w:val="00BB2DA2"/>
    <w:rsid w:val="00BB386A"/>
    <w:rsid w:val="00BB56DC"/>
    <w:rsid w:val="00BB57FC"/>
    <w:rsid w:val="00BE183D"/>
    <w:rsid w:val="00BF24C2"/>
    <w:rsid w:val="00BF2922"/>
    <w:rsid w:val="00BF5D7A"/>
    <w:rsid w:val="00C01C2E"/>
    <w:rsid w:val="00C02D33"/>
    <w:rsid w:val="00C04B53"/>
    <w:rsid w:val="00C1232C"/>
    <w:rsid w:val="00C278CD"/>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76F65"/>
    <w:rsid w:val="00C85982"/>
    <w:rsid w:val="00C914CD"/>
    <w:rsid w:val="00CA0466"/>
    <w:rsid w:val="00CA246D"/>
    <w:rsid w:val="00CA50D9"/>
    <w:rsid w:val="00CB3054"/>
    <w:rsid w:val="00CB5636"/>
    <w:rsid w:val="00CB5F30"/>
    <w:rsid w:val="00CC3EE5"/>
    <w:rsid w:val="00CC6E47"/>
    <w:rsid w:val="00CD1346"/>
    <w:rsid w:val="00CE0AE1"/>
    <w:rsid w:val="00CE425C"/>
    <w:rsid w:val="00CE58AC"/>
    <w:rsid w:val="00CF5A80"/>
    <w:rsid w:val="00D045EE"/>
    <w:rsid w:val="00D05091"/>
    <w:rsid w:val="00D10CA6"/>
    <w:rsid w:val="00D10F21"/>
    <w:rsid w:val="00D134CF"/>
    <w:rsid w:val="00D1573B"/>
    <w:rsid w:val="00D24806"/>
    <w:rsid w:val="00D34040"/>
    <w:rsid w:val="00D34E69"/>
    <w:rsid w:val="00D36C78"/>
    <w:rsid w:val="00D375EE"/>
    <w:rsid w:val="00D44F42"/>
    <w:rsid w:val="00D460D0"/>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DF7E1B"/>
    <w:rsid w:val="00E027BC"/>
    <w:rsid w:val="00E045BE"/>
    <w:rsid w:val="00E10F0D"/>
    <w:rsid w:val="00E14EA5"/>
    <w:rsid w:val="00E2070E"/>
    <w:rsid w:val="00E21133"/>
    <w:rsid w:val="00E2327E"/>
    <w:rsid w:val="00E23577"/>
    <w:rsid w:val="00E266EF"/>
    <w:rsid w:val="00E326A8"/>
    <w:rsid w:val="00E47428"/>
    <w:rsid w:val="00E4782A"/>
    <w:rsid w:val="00E56C8E"/>
    <w:rsid w:val="00E5716B"/>
    <w:rsid w:val="00E57F1F"/>
    <w:rsid w:val="00E61442"/>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EF5498"/>
    <w:rsid w:val="00F11C51"/>
    <w:rsid w:val="00F176AC"/>
    <w:rsid w:val="00F20B3F"/>
    <w:rsid w:val="00F26F28"/>
    <w:rsid w:val="00F27714"/>
    <w:rsid w:val="00F3276E"/>
    <w:rsid w:val="00F33D3C"/>
    <w:rsid w:val="00F37A91"/>
    <w:rsid w:val="00F408A0"/>
    <w:rsid w:val="00F45CF5"/>
    <w:rsid w:val="00F47DB0"/>
    <w:rsid w:val="00F50A49"/>
    <w:rsid w:val="00F50C3F"/>
    <w:rsid w:val="00F50E34"/>
    <w:rsid w:val="00F51AFB"/>
    <w:rsid w:val="00F53EF7"/>
    <w:rsid w:val="00F54BF2"/>
    <w:rsid w:val="00F70241"/>
    <w:rsid w:val="00F775AC"/>
    <w:rsid w:val="00F8792F"/>
    <w:rsid w:val="00F9214D"/>
    <w:rsid w:val="00F92355"/>
    <w:rsid w:val="00F92764"/>
    <w:rsid w:val="00F93963"/>
    <w:rsid w:val="00F94291"/>
    <w:rsid w:val="00FA298A"/>
    <w:rsid w:val="00FA5B66"/>
    <w:rsid w:val="00FB0B9C"/>
    <w:rsid w:val="00FB30EB"/>
    <w:rsid w:val="00FB7982"/>
    <w:rsid w:val="00FC0734"/>
    <w:rsid w:val="00FC0FC5"/>
    <w:rsid w:val="00FC588F"/>
    <w:rsid w:val="00FC6879"/>
    <w:rsid w:val="00FD2A7B"/>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EA1366A5-5A3F-4E0E-82B3-3E4CFC99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8A0ABA3965492EA0414C99AD79680D"/>
        <w:category>
          <w:name w:val="General"/>
          <w:gallery w:val="placeholder"/>
        </w:category>
        <w:types>
          <w:type w:val="bbPlcHdr"/>
        </w:types>
        <w:behaviors>
          <w:behavior w:val="content"/>
        </w:behaviors>
        <w:guid w:val="{E00FB225-8627-41D2-AF67-D762BCC924E1}"/>
      </w:docPartPr>
      <w:docPartBody>
        <w:p w:rsidR="008D47F4" w:rsidRDefault="008D47F4">
          <w:pPr>
            <w:pStyle w:val="3E8A0ABA3965492EA0414C99AD79680D"/>
          </w:pPr>
          <w:r>
            <w:rPr>
              <w:rStyle w:val="PlaceholderText"/>
            </w:rPr>
            <w:t>MNC Text</w:t>
          </w:r>
        </w:p>
      </w:docPartBody>
    </w:docPart>
    <w:docPart>
      <w:docPartPr>
        <w:name w:val="4C9D1B939BCA41219A50A67FCF54EE3A"/>
        <w:category>
          <w:name w:val="General"/>
          <w:gallery w:val="placeholder"/>
        </w:category>
        <w:types>
          <w:type w:val="bbPlcHdr"/>
        </w:types>
        <w:behaviors>
          <w:behavior w:val="content"/>
        </w:behaviors>
        <w:guid w:val="{593ECE54-0DD0-4B00-A95B-2DE94892E5BA}"/>
      </w:docPartPr>
      <w:docPartBody>
        <w:p w:rsidR="008D47F4" w:rsidRDefault="008D47F4">
          <w:pPr>
            <w:pStyle w:val="4C9D1B939BCA41219A50A67FCF54EE3A"/>
          </w:pPr>
          <w:r w:rsidRPr="005C44BE">
            <w:rPr>
              <w:rStyle w:val="PlaceholderText"/>
            </w:rPr>
            <w:t>Click or tap here to enter text.</w:t>
          </w:r>
        </w:p>
      </w:docPartBody>
    </w:docPart>
    <w:docPart>
      <w:docPartPr>
        <w:name w:val="B486C6EF19684B5DAB93AFA579207C58"/>
        <w:category>
          <w:name w:val="General"/>
          <w:gallery w:val="placeholder"/>
        </w:category>
        <w:types>
          <w:type w:val="bbPlcHdr"/>
        </w:types>
        <w:behaviors>
          <w:behavior w:val="content"/>
        </w:behaviors>
        <w:guid w:val="{36BE9790-1BD3-44CF-B553-B1FC79046A87}"/>
      </w:docPartPr>
      <w:docPartBody>
        <w:p w:rsidR="008D47F4" w:rsidRDefault="008D47F4">
          <w:pPr>
            <w:pStyle w:val="B486C6EF19684B5DAB93AFA579207C58"/>
          </w:pPr>
          <w:r w:rsidRPr="005C44BE">
            <w:rPr>
              <w:rStyle w:val="PlaceholderText"/>
            </w:rPr>
            <w:t>Click or tap here to enter text.</w:t>
          </w:r>
        </w:p>
      </w:docPartBody>
    </w:docPart>
    <w:docPart>
      <w:docPartPr>
        <w:name w:val="A61EC16524B241859C32B2C1EB5B99B5"/>
        <w:category>
          <w:name w:val="General"/>
          <w:gallery w:val="placeholder"/>
        </w:category>
        <w:types>
          <w:type w:val="bbPlcHdr"/>
        </w:types>
        <w:behaviors>
          <w:behavior w:val="content"/>
        </w:behaviors>
        <w:guid w:val="{B0F3DAE0-59C8-4AE0-A65D-91FA63F446BC}"/>
      </w:docPartPr>
      <w:docPartBody>
        <w:p w:rsidR="008D47F4" w:rsidRDefault="008D47F4">
          <w:pPr>
            <w:pStyle w:val="A61EC16524B241859C32B2C1EB5B99B5"/>
          </w:pPr>
          <w:r w:rsidRPr="005C44BE">
            <w:rPr>
              <w:rStyle w:val="PlaceholderText"/>
            </w:rPr>
            <w:t>Click or tap here to enter text.</w:t>
          </w:r>
        </w:p>
      </w:docPartBody>
    </w:docPart>
    <w:docPart>
      <w:docPartPr>
        <w:name w:val="C533870AEDDB4ADAB863C8F2EF83E778"/>
        <w:category>
          <w:name w:val="General"/>
          <w:gallery w:val="placeholder"/>
        </w:category>
        <w:types>
          <w:type w:val="bbPlcHdr"/>
        </w:types>
        <w:behaviors>
          <w:behavior w:val="content"/>
        </w:behaviors>
        <w:guid w:val="{915A7E2C-CBE2-436D-B7E3-AE2329A04A57}"/>
      </w:docPartPr>
      <w:docPartBody>
        <w:p w:rsidR="008D47F4" w:rsidRDefault="008D47F4">
          <w:pPr>
            <w:pStyle w:val="C533870AEDDB4ADAB863C8F2EF83E77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F4"/>
    <w:rsid w:val="008D4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8A0ABA3965492EA0414C99AD79680D">
    <w:name w:val="3E8A0ABA3965492EA0414C99AD79680D"/>
  </w:style>
  <w:style w:type="paragraph" w:customStyle="1" w:styleId="4C9D1B939BCA41219A50A67FCF54EE3A">
    <w:name w:val="4C9D1B939BCA41219A50A67FCF54EE3A"/>
  </w:style>
  <w:style w:type="paragraph" w:customStyle="1" w:styleId="B486C6EF19684B5DAB93AFA579207C58">
    <w:name w:val="B486C6EF19684B5DAB93AFA579207C58"/>
  </w:style>
  <w:style w:type="paragraph" w:customStyle="1" w:styleId="A61EC16524B241859C32B2C1EB5B99B5">
    <w:name w:val="A61EC16524B241859C32B2C1EB5B99B5"/>
  </w:style>
  <w:style w:type="paragraph" w:customStyle="1" w:styleId="C533870AEDDB4ADAB863C8F2EF83E778">
    <w:name w:val="C533870AEDDB4ADAB863C8F2EF83E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Bibawi v Australian Human Rights Commission [2022] FCA 607 </Name>
</root>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7609E5610F644A8BA12F5377907A17" ma:contentTypeVersion="" ma:contentTypeDescription="Create a new document." ma:contentTypeScope="" ma:versionID="37daf4783a8c1fa8eda37cd8af84dd5c">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15A7CE5-CE16-47C0-8A53-14E4C5954F3B}">
  <ds:schemaRefs>
    <ds:schemaRef ds:uri="http://purl.org/dc/terms/"/>
    <ds:schemaRef ds:uri="http://schemas.openxmlformats.org/package/2006/metadata/core-properties"/>
    <ds:schemaRef ds:uri="http://schemas.microsoft.com/office/2006/documentManagement/types"/>
    <ds:schemaRef ds:uri="85512599-8531-48e1-9b90-9215d01f2c32"/>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6C82C100-BF1D-4E46-A0D1-73479253057D}">
  <ds:schemaRefs>
    <ds:schemaRef ds:uri="http://schemas.microsoft.com/sharepoint/v3/contenttype/forms"/>
  </ds:schemaRefs>
</ds:datastoreItem>
</file>

<file path=customXml/itemProps4.xml><?xml version="1.0" encoding="utf-8"?>
<ds:datastoreItem xmlns:ds="http://schemas.openxmlformats.org/officeDocument/2006/customXml" ds:itemID="{82C629E0-E7CA-43FD-8B96-995B20F1D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EA0039-42C4-40C6-8B40-BA470B86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10</Pages>
  <Words>2956</Words>
  <Characters>15670</Characters>
  <Application>Microsoft Office Word</Application>
  <DocSecurity>0</DocSecurity>
  <Lines>356</Lines>
  <Paragraphs>156</Paragraphs>
  <ScaleCrop>false</ScaleCrop>
  <HeadingPairs>
    <vt:vector size="2" baseType="variant">
      <vt:variant>
        <vt:lpstr>Title</vt:lpstr>
      </vt:variant>
      <vt:variant>
        <vt:i4>1</vt:i4>
      </vt:variant>
    </vt:vector>
  </HeadingPairs>
  <TitlesOfParts>
    <vt:vector size="1" baseType="lpstr">
      <vt:lpstr>Bibawi v Australian Human Rights Commission [2022] FCA 607 </vt:lpstr>
    </vt:vector>
  </TitlesOfParts>
  <Company>Federal Court of Australia</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Bibawi v Australian Human Rights Commission [2022] FCA 607</dc:title>
  <dc:creator>Federal Court of Australia</dc:creator>
  <dc:description>v1.3</dc:description>
  <cp:lastModifiedBy>Federal Court of Australia</cp:lastModifiedBy>
  <cp:revision>3</cp:revision>
  <cp:lastPrinted>2022-05-23T06:08:00Z</cp:lastPrinted>
  <dcterms:created xsi:type="dcterms:W3CDTF">2022-05-24T01:18:00Z</dcterms:created>
  <dcterms:modified xsi:type="dcterms:W3CDTF">2022-05-24T01:19:00Z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9</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Bibawi v Australian Human Rights Commission [2021] FCA 1476</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0x010100C57609E5610F644A8BA12F5377907A17</vt:lpwstr>
  </property>
</Properties>
</file>